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ADE3" w14:textId="689B5B68" w:rsidR="00AE5650" w:rsidRPr="009107E5" w:rsidRDefault="004032BD" w:rsidP="00AD0441">
      <w:pPr>
        <w:pStyle w:val="Heading1"/>
        <w:numPr>
          <w:ilvl w:val="0"/>
          <w:numId w:val="0"/>
        </w:numPr>
        <w:spacing w:after="240"/>
        <w:rPr>
          <w:rFonts w:ascii="Arial" w:eastAsia="SimSun" w:hAnsi="Arial" w:cs="Arial"/>
          <w:sz w:val="20"/>
          <w:szCs w:val="20"/>
        </w:rPr>
      </w:pPr>
      <w:r w:rsidRPr="009107E5">
        <w:rPr>
          <w:rFonts w:ascii="Arial" w:eastAsia="SimSun" w:hAnsi="Arial" w:cs="Arial"/>
          <w:sz w:val="20"/>
          <w:szCs w:val="20"/>
        </w:rPr>
        <w:t>Australian P</w:t>
      </w:r>
      <w:r w:rsidR="00677840" w:rsidRPr="009107E5">
        <w:rPr>
          <w:rFonts w:ascii="Arial" w:eastAsia="SimSun" w:hAnsi="Arial" w:cs="Arial"/>
          <w:sz w:val="20"/>
          <w:szCs w:val="20"/>
        </w:rPr>
        <w:t xml:space="preserve">roduct </w:t>
      </w:r>
      <w:r w:rsidRPr="009107E5">
        <w:rPr>
          <w:rFonts w:ascii="Arial" w:eastAsia="SimSun" w:hAnsi="Arial" w:cs="Arial"/>
          <w:sz w:val="20"/>
          <w:szCs w:val="20"/>
        </w:rPr>
        <w:t>I</w:t>
      </w:r>
      <w:r w:rsidR="00677840" w:rsidRPr="009107E5">
        <w:rPr>
          <w:rFonts w:ascii="Arial" w:eastAsia="SimSun" w:hAnsi="Arial" w:cs="Arial"/>
          <w:sz w:val="20"/>
          <w:szCs w:val="20"/>
        </w:rPr>
        <w:t>nformation</w:t>
      </w:r>
      <w:r w:rsidRPr="009107E5">
        <w:rPr>
          <w:rFonts w:ascii="Arial" w:eastAsia="SimSun" w:hAnsi="Arial" w:cs="Arial"/>
          <w:sz w:val="20"/>
          <w:szCs w:val="20"/>
        </w:rPr>
        <w:t xml:space="preserve"> </w:t>
      </w:r>
    </w:p>
    <w:p w14:paraId="290AB61B" w14:textId="77777777" w:rsidR="004032BD" w:rsidRPr="009107E5" w:rsidRDefault="00AE5650" w:rsidP="00AD0441">
      <w:pPr>
        <w:pStyle w:val="Heading1"/>
        <w:numPr>
          <w:ilvl w:val="0"/>
          <w:numId w:val="0"/>
        </w:numPr>
        <w:spacing w:after="240"/>
        <w:rPr>
          <w:rFonts w:ascii="Arial" w:eastAsia="SimSun" w:hAnsi="Arial" w:cs="Arial"/>
          <w:sz w:val="20"/>
          <w:szCs w:val="20"/>
        </w:rPr>
      </w:pPr>
      <w:r w:rsidRPr="009107E5">
        <w:rPr>
          <w:rFonts w:ascii="Arial" w:eastAsia="SimSun" w:hAnsi="Arial" w:cs="Arial"/>
          <w:sz w:val="20"/>
          <w:szCs w:val="20"/>
        </w:rPr>
        <w:t>JIVI</w:t>
      </w:r>
      <w:r w:rsidRPr="009107E5">
        <w:rPr>
          <w:rFonts w:ascii="Arial" w:eastAsia="SimSun" w:hAnsi="Arial" w:cs="Arial"/>
          <w:sz w:val="20"/>
          <w:szCs w:val="20"/>
          <w:vertAlign w:val="superscript"/>
        </w:rPr>
        <w:t>®</w:t>
      </w:r>
      <w:r w:rsidRPr="009107E5">
        <w:rPr>
          <w:rFonts w:ascii="Arial" w:eastAsia="SimSun" w:hAnsi="Arial" w:cs="Arial"/>
          <w:sz w:val="20"/>
          <w:szCs w:val="20"/>
        </w:rPr>
        <w:t xml:space="preserve"> (damoctocog alfa pegol)</w:t>
      </w:r>
      <w:r w:rsidR="007E693C" w:rsidRPr="009107E5">
        <w:rPr>
          <w:rFonts w:ascii="Arial" w:eastAsia="SimSun" w:hAnsi="Arial" w:cs="Arial"/>
          <w:sz w:val="20"/>
          <w:szCs w:val="20"/>
        </w:rPr>
        <w:t xml:space="preserve"> </w:t>
      </w:r>
      <w:r w:rsidR="00013AB6" w:rsidRPr="009107E5">
        <w:rPr>
          <w:rFonts w:ascii="Arial" w:eastAsia="SimSun" w:hAnsi="Arial" w:cs="Arial"/>
          <w:sz w:val="20"/>
          <w:szCs w:val="20"/>
        </w:rPr>
        <w:t>POWDER FOR INJECTION</w:t>
      </w:r>
    </w:p>
    <w:p w14:paraId="1AF8FF14" w14:textId="77777777" w:rsidR="00013AB6" w:rsidRPr="009107E5" w:rsidRDefault="00013AB6" w:rsidP="00AD0441">
      <w:pPr>
        <w:rPr>
          <w:rFonts w:ascii="Arial" w:hAnsi="Arial" w:cs="Arial"/>
          <w:sz w:val="20"/>
          <w:szCs w:val="20"/>
        </w:rPr>
      </w:pPr>
    </w:p>
    <w:p w14:paraId="5D5E70DD" w14:textId="77777777" w:rsidR="001A3992" w:rsidRPr="009107E5" w:rsidRDefault="001A3992" w:rsidP="00AD0441">
      <w:pPr>
        <w:pStyle w:val="Heading1"/>
        <w:spacing w:before="0" w:after="120"/>
        <w:ind w:left="431" w:hanging="431"/>
        <w:rPr>
          <w:rFonts w:ascii="Arial" w:hAnsi="Arial" w:cs="Arial"/>
          <w:sz w:val="20"/>
          <w:szCs w:val="20"/>
        </w:rPr>
      </w:pPr>
      <w:r w:rsidRPr="009107E5">
        <w:rPr>
          <w:rFonts w:ascii="Arial" w:hAnsi="Arial" w:cs="Arial"/>
          <w:sz w:val="20"/>
          <w:szCs w:val="20"/>
        </w:rPr>
        <w:t>Name of the medicine</w:t>
      </w:r>
    </w:p>
    <w:p w14:paraId="0B1CBCE2" w14:textId="77777777" w:rsidR="00C57E26" w:rsidRPr="009107E5" w:rsidRDefault="00DB76C3" w:rsidP="00AD0441">
      <w:pPr>
        <w:rPr>
          <w:rFonts w:ascii="Arial" w:hAnsi="Arial" w:cs="Arial"/>
          <w:sz w:val="20"/>
          <w:szCs w:val="20"/>
        </w:rPr>
      </w:pPr>
      <w:r w:rsidRPr="009107E5">
        <w:rPr>
          <w:rFonts w:ascii="Arial" w:hAnsi="Arial" w:cs="Arial"/>
          <w:sz w:val="20"/>
          <w:szCs w:val="20"/>
        </w:rPr>
        <w:t>D</w:t>
      </w:r>
      <w:r w:rsidR="00AD18DA" w:rsidRPr="009107E5">
        <w:rPr>
          <w:rFonts w:ascii="Arial" w:hAnsi="Arial" w:cs="Arial"/>
          <w:sz w:val="20"/>
          <w:szCs w:val="20"/>
        </w:rPr>
        <w:t>amoctocog alfa pegol</w:t>
      </w:r>
    </w:p>
    <w:p w14:paraId="6886E179" w14:textId="77777777" w:rsidR="00AD18DA" w:rsidRPr="009107E5" w:rsidRDefault="00AD18DA" w:rsidP="00AD0441">
      <w:pPr>
        <w:rPr>
          <w:rFonts w:ascii="Arial" w:hAnsi="Arial" w:cs="Arial"/>
          <w:sz w:val="20"/>
          <w:szCs w:val="20"/>
        </w:rPr>
      </w:pPr>
    </w:p>
    <w:p w14:paraId="1984C1B7" w14:textId="77777777" w:rsidR="001A3992" w:rsidRPr="009107E5" w:rsidRDefault="001A3992" w:rsidP="00AD0441">
      <w:pPr>
        <w:pStyle w:val="Heading1"/>
        <w:spacing w:before="0" w:after="120"/>
        <w:rPr>
          <w:rFonts w:ascii="Arial" w:hAnsi="Arial" w:cs="Arial"/>
          <w:sz w:val="20"/>
          <w:szCs w:val="20"/>
        </w:rPr>
      </w:pPr>
      <w:bookmarkStart w:id="0" w:name="_Ref34661803"/>
      <w:r w:rsidRPr="009107E5">
        <w:rPr>
          <w:rFonts w:ascii="Arial" w:hAnsi="Arial" w:cs="Arial"/>
          <w:sz w:val="20"/>
          <w:szCs w:val="20"/>
        </w:rPr>
        <w:t>Qualitative and quantitative composition</w:t>
      </w:r>
      <w:bookmarkEnd w:id="0"/>
    </w:p>
    <w:p w14:paraId="3214E605" w14:textId="169F269B" w:rsidR="00BC058A" w:rsidRPr="009107E5" w:rsidRDefault="00BC058A" w:rsidP="00AD0441">
      <w:pPr>
        <w:autoSpaceDE w:val="0"/>
        <w:autoSpaceDN w:val="0"/>
        <w:adjustRightInd w:val="0"/>
        <w:rPr>
          <w:rFonts w:ascii="Arial" w:hAnsi="Arial" w:cs="Arial"/>
          <w:sz w:val="20"/>
          <w:szCs w:val="20"/>
        </w:rPr>
      </w:pPr>
      <w:r w:rsidRPr="009107E5">
        <w:rPr>
          <w:rFonts w:ascii="Arial" w:hAnsi="Arial" w:cs="Arial"/>
          <w:sz w:val="20"/>
          <w:szCs w:val="20"/>
        </w:rPr>
        <w:t>Each vial contains 250, 500, 1000, 2000 or 3000 IU pegylated B-domain deleted recombinant human coagulation factor VIII (PEG-BDD-</w:t>
      </w:r>
      <w:proofErr w:type="spellStart"/>
      <w:r w:rsidRPr="009107E5">
        <w:rPr>
          <w:rFonts w:ascii="Arial" w:hAnsi="Arial" w:cs="Arial"/>
          <w:sz w:val="20"/>
          <w:szCs w:val="20"/>
        </w:rPr>
        <w:t>rFVIII</w:t>
      </w:r>
      <w:proofErr w:type="spellEnd"/>
      <w:r w:rsidRPr="009107E5">
        <w:rPr>
          <w:rFonts w:ascii="Arial" w:hAnsi="Arial" w:cs="Arial"/>
          <w:sz w:val="20"/>
          <w:szCs w:val="20"/>
        </w:rPr>
        <w:t>) (INN: damoctocog alfa pegol), presented as sterile, stable, purified dried concentrate.</w:t>
      </w:r>
    </w:p>
    <w:p w14:paraId="7298BE54" w14:textId="304A0ACC" w:rsidR="00756D6B" w:rsidRPr="009107E5" w:rsidRDefault="00756D6B" w:rsidP="00AD0441">
      <w:pPr>
        <w:rPr>
          <w:rFonts w:ascii="Arial" w:hAnsi="Arial" w:cs="Arial"/>
          <w:sz w:val="20"/>
          <w:szCs w:val="20"/>
        </w:rPr>
      </w:pPr>
      <w:r w:rsidRPr="009107E5">
        <w:rPr>
          <w:rFonts w:ascii="Arial" w:hAnsi="Arial" w:cs="Arial"/>
          <w:sz w:val="20"/>
          <w:szCs w:val="20"/>
        </w:rPr>
        <w:t xml:space="preserve">Each pre-filled syringe contains 2.5 mL of </w:t>
      </w:r>
      <w:r w:rsidR="00877107" w:rsidRPr="009107E5">
        <w:rPr>
          <w:rFonts w:ascii="Arial" w:hAnsi="Arial" w:cs="Arial"/>
          <w:sz w:val="20"/>
          <w:szCs w:val="20"/>
        </w:rPr>
        <w:t>sterile water for injections for reconstitution</w:t>
      </w:r>
      <w:r w:rsidRPr="009107E5">
        <w:rPr>
          <w:rFonts w:ascii="Arial" w:hAnsi="Arial" w:cs="Arial"/>
          <w:sz w:val="20"/>
          <w:szCs w:val="20"/>
        </w:rPr>
        <w:t>.</w:t>
      </w:r>
    </w:p>
    <w:p w14:paraId="5DB82547" w14:textId="77777777" w:rsidR="0080032A" w:rsidRPr="009107E5" w:rsidRDefault="0080032A" w:rsidP="00AD0441">
      <w:pPr>
        <w:autoSpaceDE w:val="0"/>
        <w:autoSpaceDN w:val="0"/>
        <w:adjustRightInd w:val="0"/>
        <w:rPr>
          <w:rFonts w:ascii="Arial" w:hAnsi="Arial" w:cs="Arial"/>
          <w:sz w:val="20"/>
          <w:szCs w:val="20"/>
        </w:rPr>
      </w:pPr>
    </w:p>
    <w:p w14:paraId="416B6745" w14:textId="4697021B" w:rsidR="0080032A" w:rsidRPr="009107E5" w:rsidRDefault="0080032A" w:rsidP="00AD0441">
      <w:pPr>
        <w:rPr>
          <w:rFonts w:ascii="Arial" w:hAnsi="Arial" w:cs="Arial"/>
          <w:sz w:val="20"/>
          <w:szCs w:val="20"/>
        </w:rPr>
      </w:pPr>
      <w:r w:rsidRPr="009107E5">
        <w:rPr>
          <w:rFonts w:ascii="Arial" w:hAnsi="Arial" w:cs="Arial"/>
          <w:sz w:val="20"/>
          <w:szCs w:val="20"/>
          <w:lang w:eastAsia="de-DE"/>
        </w:rPr>
        <w:t xml:space="preserve">The active substance, </w:t>
      </w:r>
      <w:r w:rsidRPr="009107E5">
        <w:rPr>
          <w:rFonts w:ascii="Arial" w:hAnsi="Arial" w:cs="Arial"/>
          <w:sz w:val="20"/>
          <w:szCs w:val="20"/>
        </w:rPr>
        <w:t>damoctocog alfa pegol, is a site specifically PEGylated B</w:t>
      </w:r>
      <w:r w:rsidR="00C05064" w:rsidRPr="009107E5">
        <w:rPr>
          <w:rFonts w:ascii="Arial" w:hAnsi="Arial" w:cs="Arial"/>
          <w:sz w:val="20"/>
          <w:szCs w:val="20"/>
        </w:rPr>
        <w:t>-</w:t>
      </w:r>
      <w:r w:rsidRPr="009107E5">
        <w:rPr>
          <w:rFonts w:ascii="Arial" w:hAnsi="Arial" w:cs="Arial"/>
          <w:sz w:val="20"/>
          <w:szCs w:val="20"/>
        </w:rPr>
        <w:t>domain deleted recombinant human coagulation factor VIII, produced in baby hamster kidney cells (BHK), with a 60 </w:t>
      </w:r>
      <w:proofErr w:type="spellStart"/>
      <w:r w:rsidRPr="009107E5">
        <w:rPr>
          <w:rFonts w:ascii="Arial" w:hAnsi="Arial" w:cs="Arial"/>
          <w:sz w:val="20"/>
          <w:szCs w:val="20"/>
        </w:rPr>
        <w:t>kDa</w:t>
      </w:r>
      <w:proofErr w:type="spellEnd"/>
      <w:r w:rsidRPr="009107E5">
        <w:rPr>
          <w:rFonts w:ascii="Arial" w:hAnsi="Arial" w:cs="Arial"/>
          <w:sz w:val="20"/>
          <w:szCs w:val="20"/>
        </w:rPr>
        <w:t xml:space="preserve"> branched polyethylene</w:t>
      </w:r>
      <w:r w:rsidR="00381207" w:rsidRPr="009107E5">
        <w:rPr>
          <w:rFonts w:ascii="Arial" w:hAnsi="Arial" w:cs="Arial"/>
          <w:sz w:val="20"/>
          <w:szCs w:val="20"/>
        </w:rPr>
        <w:t>-</w:t>
      </w:r>
      <w:r w:rsidRPr="009107E5">
        <w:rPr>
          <w:rFonts w:ascii="Arial" w:hAnsi="Arial" w:cs="Arial"/>
          <w:sz w:val="20"/>
          <w:szCs w:val="20"/>
        </w:rPr>
        <w:t xml:space="preserve">glycol (two 30 </w:t>
      </w:r>
      <w:proofErr w:type="spellStart"/>
      <w:r w:rsidRPr="009107E5">
        <w:rPr>
          <w:rFonts w:ascii="Arial" w:hAnsi="Arial" w:cs="Arial"/>
          <w:sz w:val="20"/>
          <w:szCs w:val="20"/>
        </w:rPr>
        <w:t>kDa</w:t>
      </w:r>
      <w:proofErr w:type="spellEnd"/>
      <w:r w:rsidRPr="009107E5">
        <w:rPr>
          <w:rFonts w:ascii="Arial" w:hAnsi="Arial" w:cs="Arial"/>
          <w:sz w:val="20"/>
          <w:szCs w:val="20"/>
        </w:rPr>
        <w:t xml:space="preserve"> PEG) moiety. The molecular weight of the protein is approximately 234 </w:t>
      </w:r>
      <w:proofErr w:type="spellStart"/>
      <w:r w:rsidRPr="009107E5">
        <w:rPr>
          <w:rFonts w:ascii="Arial" w:hAnsi="Arial" w:cs="Arial"/>
          <w:sz w:val="20"/>
          <w:szCs w:val="20"/>
        </w:rPr>
        <w:t>kDa</w:t>
      </w:r>
      <w:proofErr w:type="spellEnd"/>
      <w:r w:rsidRPr="009107E5">
        <w:rPr>
          <w:rFonts w:ascii="Arial" w:hAnsi="Arial" w:cs="Arial"/>
          <w:sz w:val="20"/>
          <w:szCs w:val="20"/>
        </w:rPr>
        <w:t>.</w:t>
      </w:r>
    </w:p>
    <w:p w14:paraId="67038EF7" w14:textId="77777777" w:rsidR="0080032A" w:rsidRPr="009107E5" w:rsidRDefault="0080032A" w:rsidP="00AD0441">
      <w:pPr>
        <w:autoSpaceDE w:val="0"/>
        <w:autoSpaceDN w:val="0"/>
        <w:adjustRightInd w:val="0"/>
        <w:rPr>
          <w:rFonts w:ascii="Arial" w:hAnsi="Arial" w:cs="Arial"/>
          <w:sz w:val="20"/>
          <w:szCs w:val="20"/>
        </w:rPr>
      </w:pPr>
      <w:r w:rsidRPr="009107E5">
        <w:rPr>
          <w:rFonts w:ascii="Arial" w:hAnsi="Arial" w:cs="Arial"/>
          <w:sz w:val="20"/>
          <w:szCs w:val="20"/>
        </w:rPr>
        <w:t xml:space="preserve">Jivi is produced without the addition of any human or animal derived protein in the cell culture process, purification, PEGylation or final formulation. </w:t>
      </w:r>
    </w:p>
    <w:p w14:paraId="4DB8BE84" w14:textId="2DBDA65E" w:rsidR="003243FA" w:rsidRPr="009107E5" w:rsidRDefault="003243FA" w:rsidP="00AD0441">
      <w:pPr>
        <w:autoSpaceDE w:val="0"/>
        <w:autoSpaceDN w:val="0"/>
        <w:adjustRightInd w:val="0"/>
        <w:rPr>
          <w:rFonts w:ascii="Arial" w:hAnsi="Arial" w:cs="Arial"/>
          <w:sz w:val="20"/>
          <w:szCs w:val="20"/>
        </w:rPr>
      </w:pPr>
    </w:p>
    <w:p w14:paraId="2407A54A" w14:textId="065081A7" w:rsidR="00497C85" w:rsidRPr="009107E5" w:rsidRDefault="00497C85" w:rsidP="00AD0441">
      <w:pPr>
        <w:rPr>
          <w:rFonts w:ascii="Arial" w:hAnsi="Arial" w:cs="Arial"/>
          <w:sz w:val="20"/>
          <w:szCs w:val="20"/>
        </w:rPr>
      </w:pPr>
      <w:r w:rsidRPr="009107E5">
        <w:rPr>
          <w:rFonts w:ascii="Arial" w:hAnsi="Arial" w:cs="Arial"/>
          <w:sz w:val="20"/>
          <w:szCs w:val="20"/>
        </w:rPr>
        <w:t xml:space="preserve">For the full list of excipients, see Section 6.1 </w:t>
      </w:r>
      <w:r w:rsidR="00DE1963" w:rsidRPr="009107E5">
        <w:rPr>
          <w:rFonts w:ascii="Arial" w:hAnsi="Arial" w:cs="Arial"/>
          <w:sz w:val="20"/>
          <w:szCs w:val="20"/>
        </w:rPr>
        <w:fldChar w:fldCharType="begin"/>
      </w:r>
      <w:r w:rsidR="00DE1963" w:rsidRPr="009107E5">
        <w:rPr>
          <w:rFonts w:ascii="Arial" w:hAnsi="Arial" w:cs="Arial"/>
          <w:sz w:val="20"/>
          <w:szCs w:val="20"/>
        </w:rPr>
        <w:instrText xml:space="preserve"> REF _Ref34660938 \h </w:instrText>
      </w:r>
      <w:r w:rsidR="008E6063" w:rsidRPr="009107E5">
        <w:rPr>
          <w:rFonts w:ascii="Arial" w:hAnsi="Arial" w:cs="Arial"/>
          <w:sz w:val="20"/>
          <w:szCs w:val="20"/>
        </w:rPr>
        <w:instrText xml:space="preserve"> \* MERGEFORMAT </w:instrText>
      </w:r>
      <w:r w:rsidR="00DE1963" w:rsidRPr="009107E5">
        <w:rPr>
          <w:rFonts w:ascii="Arial" w:hAnsi="Arial" w:cs="Arial"/>
          <w:sz w:val="20"/>
          <w:szCs w:val="20"/>
        </w:rPr>
      </w:r>
      <w:r w:rsidR="00DE1963" w:rsidRPr="009107E5">
        <w:rPr>
          <w:rFonts w:ascii="Arial" w:hAnsi="Arial" w:cs="Arial"/>
          <w:sz w:val="20"/>
          <w:szCs w:val="20"/>
        </w:rPr>
        <w:fldChar w:fldCharType="separate"/>
      </w:r>
      <w:r w:rsidR="00FA476D" w:rsidRPr="009107E5">
        <w:rPr>
          <w:rFonts w:ascii="Arial" w:hAnsi="Arial" w:cs="Arial"/>
          <w:sz w:val="20"/>
          <w:szCs w:val="20"/>
        </w:rPr>
        <w:t>List of excipients</w:t>
      </w:r>
      <w:r w:rsidR="00DE1963" w:rsidRPr="009107E5">
        <w:rPr>
          <w:rFonts w:ascii="Arial" w:hAnsi="Arial" w:cs="Arial"/>
          <w:sz w:val="20"/>
          <w:szCs w:val="20"/>
        </w:rPr>
        <w:fldChar w:fldCharType="end"/>
      </w:r>
      <w:r w:rsidRPr="009107E5">
        <w:rPr>
          <w:rFonts w:ascii="Arial" w:hAnsi="Arial" w:cs="Arial"/>
          <w:sz w:val="20"/>
          <w:szCs w:val="20"/>
        </w:rPr>
        <w:t xml:space="preserve">. </w:t>
      </w:r>
    </w:p>
    <w:p w14:paraId="545CDE20" w14:textId="77777777" w:rsidR="004E7C25" w:rsidRPr="009107E5" w:rsidRDefault="004E7C25" w:rsidP="00AD0441">
      <w:pPr>
        <w:rPr>
          <w:rFonts w:ascii="Arial" w:hAnsi="Arial" w:cs="Arial"/>
          <w:sz w:val="20"/>
          <w:szCs w:val="20"/>
        </w:rPr>
      </w:pPr>
    </w:p>
    <w:p w14:paraId="09C24E17" w14:textId="77777777" w:rsidR="001A3992" w:rsidRPr="009107E5" w:rsidRDefault="001A3992" w:rsidP="00AD0441">
      <w:pPr>
        <w:pStyle w:val="Heading1"/>
        <w:spacing w:before="0" w:after="120"/>
        <w:rPr>
          <w:rFonts w:ascii="Arial" w:hAnsi="Arial" w:cs="Arial"/>
          <w:sz w:val="20"/>
          <w:szCs w:val="20"/>
        </w:rPr>
      </w:pPr>
      <w:r w:rsidRPr="009107E5">
        <w:rPr>
          <w:rFonts w:ascii="Arial" w:hAnsi="Arial" w:cs="Arial"/>
          <w:sz w:val="20"/>
          <w:szCs w:val="20"/>
        </w:rPr>
        <w:t>Pharmaceutical form</w:t>
      </w:r>
    </w:p>
    <w:p w14:paraId="37F49D07" w14:textId="77777777" w:rsidR="00980E92" w:rsidRPr="009107E5" w:rsidRDefault="00980E92" w:rsidP="00AD0441">
      <w:pPr>
        <w:rPr>
          <w:rFonts w:ascii="Arial" w:hAnsi="Arial" w:cs="Arial"/>
          <w:sz w:val="20"/>
          <w:szCs w:val="20"/>
        </w:rPr>
      </w:pPr>
      <w:r w:rsidRPr="009107E5">
        <w:rPr>
          <w:rFonts w:ascii="Arial" w:hAnsi="Arial" w:cs="Arial"/>
          <w:sz w:val="20"/>
          <w:szCs w:val="20"/>
        </w:rPr>
        <w:t>Powder and solvent for solution for injection.</w:t>
      </w:r>
    </w:p>
    <w:p w14:paraId="3E38D981" w14:textId="77777777" w:rsidR="00980E92" w:rsidRPr="009107E5" w:rsidRDefault="00980E92" w:rsidP="00AD0441">
      <w:pPr>
        <w:rPr>
          <w:rFonts w:ascii="Arial" w:hAnsi="Arial" w:cs="Arial"/>
          <w:sz w:val="20"/>
          <w:szCs w:val="20"/>
        </w:rPr>
      </w:pPr>
    </w:p>
    <w:p w14:paraId="25FCFA0A" w14:textId="77777777" w:rsidR="00980E92" w:rsidRPr="009107E5" w:rsidRDefault="00980E92" w:rsidP="00AD0441">
      <w:pPr>
        <w:rPr>
          <w:rFonts w:ascii="Arial" w:hAnsi="Arial" w:cs="Arial"/>
          <w:sz w:val="20"/>
          <w:szCs w:val="20"/>
        </w:rPr>
      </w:pPr>
      <w:r w:rsidRPr="009107E5">
        <w:rPr>
          <w:rFonts w:ascii="Arial" w:hAnsi="Arial" w:cs="Arial"/>
          <w:sz w:val="20"/>
          <w:szCs w:val="20"/>
        </w:rPr>
        <w:t>Powder: solid, white to slightly yellow.</w:t>
      </w:r>
    </w:p>
    <w:p w14:paraId="2582227C" w14:textId="2B08FD4F" w:rsidR="007E4503" w:rsidRPr="009107E5" w:rsidRDefault="00980E92" w:rsidP="00AD0441">
      <w:pPr>
        <w:rPr>
          <w:rFonts w:ascii="Arial" w:hAnsi="Arial" w:cs="Arial"/>
          <w:sz w:val="20"/>
          <w:szCs w:val="20"/>
        </w:rPr>
      </w:pPr>
      <w:r w:rsidRPr="009107E5">
        <w:rPr>
          <w:rFonts w:ascii="Arial" w:hAnsi="Arial" w:cs="Arial"/>
          <w:sz w:val="20"/>
          <w:szCs w:val="20"/>
        </w:rPr>
        <w:t>Solvent: clear solution.</w:t>
      </w:r>
    </w:p>
    <w:p w14:paraId="12EA83F6" w14:textId="77777777" w:rsidR="00980E92" w:rsidRPr="009107E5" w:rsidRDefault="00980E92" w:rsidP="00AD0441">
      <w:pPr>
        <w:rPr>
          <w:rFonts w:ascii="Arial" w:hAnsi="Arial" w:cs="Arial"/>
          <w:sz w:val="20"/>
          <w:szCs w:val="20"/>
        </w:rPr>
      </w:pPr>
    </w:p>
    <w:p w14:paraId="694456F3" w14:textId="77777777" w:rsidR="001A3992" w:rsidRPr="009107E5" w:rsidRDefault="001A3992" w:rsidP="00AD0441">
      <w:pPr>
        <w:pStyle w:val="Heading1"/>
        <w:spacing w:before="0" w:after="120"/>
        <w:rPr>
          <w:rFonts w:ascii="Arial" w:hAnsi="Arial" w:cs="Arial"/>
          <w:sz w:val="20"/>
          <w:szCs w:val="20"/>
        </w:rPr>
      </w:pPr>
      <w:r w:rsidRPr="009107E5">
        <w:rPr>
          <w:rFonts w:ascii="Arial" w:hAnsi="Arial" w:cs="Arial"/>
          <w:sz w:val="20"/>
          <w:szCs w:val="20"/>
        </w:rPr>
        <w:t>Clinical particulars</w:t>
      </w:r>
    </w:p>
    <w:p w14:paraId="7DC88483" w14:textId="77777777" w:rsidR="001A3992" w:rsidRPr="009107E5" w:rsidRDefault="001A3992" w:rsidP="00AD0441">
      <w:pPr>
        <w:pStyle w:val="Heading2"/>
        <w:spacing w:before="0" w:after="120"/>
        <w:rPr>
          <w:rFonts w:ascii="Arial" w:hAnsi="Arial" w:cs="Arial"/>
          <w:sz w:val="20"/>
          <w:szCs w:val="20"/>
        </w:rPr>
      </w:pPr>
      <w:r w:rsidRPr="009107E5">
        <w:rPr>
          <w:rFonts w:ascii="Arial" w:hAnsi="Arial" w:cs="Arial"/>
          <w:sz w:val="20"/>
          <w:szCs w:val="20"/>
        </w:rPr>
        <w:t xml:space="preserve">Therapeutic indications </w:t>
      </w:r>
    </w:p>
    <w:p w14:paraId="2B57A646" w14:textId="1BE56C3A" w:rsidR="00FF4ABA" w:rsidRPr="009107E5" w:rsidRDefault="00FF4ABA" w:rsidP="00AD0441">
      <w:pPr>
        <w:rPr>
          <w:rFonts w:ascii="Arial" w:hAnsi="Arial" w:cs="Arial"/>
          <w:sz w:val="20"/>
          <w:szCs w:val="20"/>
        </w:rPr>
      </w:pPr>
      <w:r w:rsidRPr="009107E5">
        <w:rPr>
          <w:rFonts w:ascii="Arial" w:hAnsi="Arial" w:cs="Arial"/>
          <w:sz w:val="20"/>
          <w:szCs w:val="20"/>
        </w:rPr>
        <w:t>Jivi, damoctocog alfa pegol, is a long-acting recombinant Factor VIII concentrate indicated for use in previously treated adults and adolescents (12 years of age and older) with h</w:t>
      </w:r>
      <w:r w:rsidR="007A1E1A" w:rsidRPr="009107E5">
        <w:rPr>
          <w:rFonts w:ascii="Arial" w:hAnsi="Arial" w:cs="Arial"/>
          <w:sz w:val="20"/>
          <w:szCs w:val="20"/>
        </w:rPr>
        <w:t>a</w:t>
      </w:r>
      <w:r w:rsidRPr="009107E5">
        <w:rPr>
          <w:rFonts w:ascii="Arial" w:hAnsi="Arial" w:cs="Arial"/>
          <w:sz w:val="20"/>
          <w:szCs w:val="20"/>
        </w:rPr>
        <w:t>emophilia A for:</w:t>
      </w:r>
    </w:p>
    <w:p w14:paraId="548FC86C" w14:textId="20D8682E" w:rsidR="00FF4ABA" w:rsidRPr="009107E5" w:rsidRDefault="00FF4ABA" w:rsidP="00AD0441">
      <w:pPr>
        <w:pStyle w:val="ListParagraph"/>
        <w:numPr>
          <w:ilvl w:val="0"/>
          <w:numId w:val="25"/>
        </w:numPr>
        <w:rPr>
          <w:rFonts w:ascii="Arial" w:hAnsi="Arial" w:cs="Arial"/>
          <w:sz w:val="20"/>
          <w:szCs w:val="20"/>
        </w:rPr>
      </w:pPr>
      <w:r w:rsidRPr="009107E5">
        <w:rPr>
          <w:rFonts w:ascii="Arial" w:hAnsi="Arial" w:cs="Arial"/>
          <w:sz w:val="20"/>
          <w:szCs w:val="20"/>
        </w:rPr>
        <w:t>Routine prophylactic treatment to prevent or reduce the frequency of bleeding episodes</w:t>
      </w:r>
    </w:p>
    <w:p w14:paraId="29217997" w14:textId="0CDD94D9" w:rsidR="00FF4ABA" w:rsidRPr="009107E5" w:rsidRDefault="00FF4ABA" w:rsidP="00AD0441">
      <w:pPr>
        <w:pStyle w:val="ListParagraph"/>
        <w:numPr>
          <w:ilvl w:val="0"/>
          <w:numId w:val="25"/>
        </w:numPr>
        <w:rPr>
          <w:rFonts w:ascii="Arial" w:hAnsi="Arial" w:cs="Arial"/>
          <w:sz w:val="20"/>
          <w:szCs w:val="20"/>
        </w:rPr>
      </w:pPr>
      <w:r w:rsidRPr="009107E5">
        <w:rPr>
          <w:rFonts w:ascii="Arial" w:hAnsi="Arial" w:cs="Arial"/>
          <w:sz w:val="20"/>
          <w:szCs w:val="20"/>
        </w:rPr>
        <w:t>On-demand treatment and control of bleeding episodes</w:t>
      </w:r>
    </w:p>
    <w:p w14:paraId="2BA3FBEF" w14:textId="5A1F5CA0" w:rsidR="00FF4ABA" w:rsidRPr="009107E5" w:rsidRDefault="00FF4ABA" w:rsidP="00AD0441">
      <w:pPr>
        <w:pStyle w:val="ListParagraph"/>
        <w:numPr>
          <w:ilvl w:val="0"/>
          <w:numId w:val="25"/>
        </w:numPr>
        <w:rPr>
          <w:rFonts w:ascii="Arial" w:hAnsi="Arial" w:cs="Arial"/>
          <w:sz w:val="20"/>
          <w:szCs w:val="20"/>
        </w:rPr>
      </w:pPr>
      <w:r w:rsidRPr="009107E5">
        <w:rPr>
          <w:rFonts w:ascii="Arial" w:hAnsi="Arial" w:cs="Arial"/>
          <w:sz w:val="20"/>
          <w:szCs w:val="20"/>
        </w:rPr>
        <w:t>Per-operative management of bleeding (surgical prophylaxis)</w:t>
      </w:r>
    </w:p>
    <w:p w14:paraId="00313E2C" w14:textId="36846ACB" w:rsidR="00FF4ABA" w:rsidRPr="009107E5" w:rsidRDefault="00FF4ABA" w:rsidP="00AD0441">
      <w:pPr>
        <w:rPr>
          <w:rFonts w:ascii="Arial" w:hAnsi="Arial" w:cs="Arial"/>
          <w:sz w:val="20"/>
          <w:szCs w:val="20"/>
        </w:rPr>
      </w:pPr>
    </w:p>
    <w:p w14:paraId="1101CDBC" w14:textId="518D8849" w:rsidR="00FF4ABA" w:rsidRPr="009107E5" w:rsidRDefault="00FF4ABA" w:rsidP="00AD0441">
      <w:pPr>
        <w:rPr>
          <w:rFonts w:ascii="Arial" w:hAnsi="Arial" w:cs="Arial"/>
          <w:sz w:val="20"/>
          <w:szCs w:val="20"/>
        </w:rPr>
      </w:pPr>
      <w:r w:rsidRPr="009107E5">
        <w:rPr>
          <w:rFonts w:ascii="Arial" w:hAnsi="Arial" w:cs="Arial"/>
          <w:sz w:val="20"/>
          <w:szCs w:val="20"/>
        </w:rPr>
        <w:t>Jivi does not contain von Willebrand factor, and therefore is not indicated in patients with von Willebrand’s disease.</w:t>
      </w:r>
    </w:p>
    <w:p w14:paraId="7F1F9FA4" w14:textId="2193C681" w:rsidR="00FF4ABA" w:rsidRDefault="00FF4ABA" w:rsidP="00AD0441">
      <w:pPr>
        <w:rPr>
          <w:rFonts w:ascii="Arial" w:hAnsi="Arial" w:cs="Arial"/>
          <w:sz w:val="20"/>
          <w:szCs w:val="20"/>
        </w:rPr>
      </w:pPr>
    </w:p>
    <w:p w14:paraId="3D33185B" w14:textId="77777777" w:rsidR="00AD0441" w:rsidRPr="009107E5" w:rsidRDefault="00AD0441" w:rsidP="00AD0441">
      <w:pPr>
        <w:rPr>
          <w:rFonts w:ascii="Arial" w:hAnsi="Arial" w:cs="Arial"/>
          <w:sz w:val="20"/>
          <w:szCs w:val="20"/>
        </w:rPr>
      </w:pPr>
    </w:p>
    <w:p w14:paraId="50C85AC7" w14:textId="37E1BD3B" w:rsidR="001A3992" w:rsidRPr="009107E5" w:rsidRDefault="001A3992" w:rsidP="00AD0441">
      <w:pPr>
        <w:pStyle w:val="Heading2"/>
        <w:spacing w:before="120" w:after="120" w:line="240" w:lineRule="auto"/>
        <w:rPr>
          <w:rFonts w:ascii="Arial" w:hAnsi="Arial" w:cs="Arial"/>
          <w:sz w:val="20"/>
          <w:szCs w:val="20"/>
        </w:rPr>
      </w:pPr>
      <w:r w:rsidRPr="009107E5">
        <w:rPr>
          <w:rFonts w:ascii="Arial" w:hAnsi="Arial" w:cs="Arial"/>
          <w:sz w:val="20"/>
          <w:szCs w:val="20"/>
        </w:rPr>
        <w:lastRenderedPageBreak/>
        <w:t xml:space="preserve">Dose and method of administration </w:t>
      </w:r>
    </w:p>
    <w:p w14:paraId="71E70A73" w14:textId="4B75A51E" w:rsidR="00E57DEA" w:rsidRPr="009107E5" w:rsidRDefault="00E57DEA"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Treatment should be under the supervision of a physician experienced in the treatment of </w:t>
      </w:r>
      <w:proofErr w:type="spellStart"/>
      <w:r w:rsidRPr="009107E5">
        <w:rPr>
          <w:rFonts w:ascii="Arial" w:hAnsi="Arial" w:cs="Arial"/>
          <w:sz w:val="20"/>
          <w:szCs w:val="20"/>
          <w:lang w:val="en-US"/>
        </w:rPr>
        <w:t>haemophilia</w:t>
      </w:r>
      <w:proofErr w:type="spellEnd"/>
      <w:r w:rsidRPr="009107E5">
        <w:rPr>
          <w:rFonts w:ascii="Arial" w:hAnsi="Arial" w:cs="Arial"/>
          <w:sz w:val="20"/>
          <w:szCs w:val="20"/>
          <w:lang w:val="en-US"/>
        </w:rPr>
        <w:t>.</w:t>
      </w:r>
    </w:p>
    <w:p w14:paraId="7B4C44A4" w14:textId="24D36494" w:rsidR="007A1E1A" w:rsidRPr="009107E5" w:rsidRDefault="007A1E1A" w:rsidP="00AD0441">
      <w:pPr>
        <w:autoSpaceDE w:val="0"/>
        <w:autoSpaceDN w:val="0"/>
        <w:adjustRightInd w:val="0"/>
        <w:spacing w:line="240" w:lineRule="auto"/>
        <w:rPr>
          <w:rFonts w:ascii="Arial" w:hAnsi="Arial" w:cs="Arial"/>
          <w:sz w:val="20"/>
          <w:szCs w:val="20"/>
          <w:lang w:val="en-US"/>
        </w:rPr>
      </w:pPr>
      <w:proofErr w:type="gramStart"/>
      <w:r w:rsidRPr="009107E5">
        <w:rPr>
          <w:rFonts w:ascii="Arial" w:hAnsi="Arial" w:cs="Arial"/>
          <w:sz w:val="20"/>
          <w:szCs w:val="20"/>
          <w:lang w:val="en-US"/>
        </w:rPr>
        <w:t>During the course of</w:t>
      </w:r>
      <w:proofErr w:type="gramEnd"/>
      <w:r w:rsidRPr="009107E5">
        <w:rPr>
          <w:rFonts w:ascii="Arial" w:hAnsi="Arial" w:cs="Arial"/>
          <w:sz w:val="20"/>
          <w:szCs w:val="20"/>
          <w:lang w:val="en-US"/>
        </w:rPr>
        <w:t xml:space="preserve"> treatment, appropriate determination of factor VIII levels (by one-stage clotting or chromogenic assays) is advised to guide the dose to be administered and the frequency of repeated infusions.</w:t>
      </w:r>
    </w:p>
    <w:p w14:paraId="6E1F884A" w14:textId="77777777" w:rsidR="00ED1716" w:rsidRPr="009107E5" w:rsidRDefault="00ED1716" w:rsidP="00AD0441">
      <w:pPr>
        <w:pStyle w:val="Heading3"/>
        <w:rPr>
          <w:rFonts w:ascii="Arial" w:hAnsi="Arial" w:cs="Arial"/>
          <w:sz w:val="20"/>
          <w:szCs w:val="20"/>
        </w:rPr>
      </w:pPr>
      <w:r w:rsidRPr="009107E5">
        <w:rPr>
          <w:rFonts w:ascii="Arial" w:hAnsi="Arial" w:cs="Arial"/>
          <w:sz w:val="20"/>
          <w:szCs w:val="20"/>
        </w:rPr>
        <w:t>Dosage regimen</w:t>
      </w:r>
    </w:p>
    <w:p w14:paraId="4ABC641C"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The dose and duration of substitution therapy depends on the severity of the factor VIII deficiency, the location and extent of the bleeding and on the patient's clinical condition.</w:t>
      </w:r>
    </w:p>
    <w:p w14:paraId="38596F4C"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The number of units of factor VIII administered is expressed in International Units (IU), which </w:t>
      </w:r>
      <w:proofErr w:type="gramStart"/>
      <w:r w:rsidRPr="009107E5">
        <w:rPr>
          <w:rFonts w:ascii="Arial" w:hAnsi="Arial" w:cs="Arial"/>
          <w:sz w:val="20"/>
          <w:szCs w:val="20"/>
          <w:lang w:val="en-US"/>
        </w:rPr>
        <w:t>are</w:t>
      </w:r>
      <w:proofErr w:type="gramEnd"/>
    </w:p>
    <w:p w14:paraId="5A0F8A61"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related to the current WHO concentrate standard for factor VIII products. Factor VIII activity in</w:t>
      </w:r>
    </w:p>
    <w:p w14:paraId="213C87ED"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plasma is expressed either as a percentage (relative to normal human plasma) or preferably in </w:t>
      </w:r>
      <w:proofErr w:type="gramStart"/>
      <w:r w:rsidRPr="009107E5">
        <w:rPr>
          <w:rFonts w:ascii="Arial" w:hAnsi="Arial" w:cs="Arial"/>
          <w:sz w:val="20"/>
          <w:szCs w:val="20"/>
          <w:lang w:val="en-US"/>
        </w:rPr>
        <w:t>IU</w:t>
      </w:r>
      <w:proofErr w:type="gramEnd"/>
    </w:p>
    <w:p w14:paraId="2A375D06"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w:t>
      </w:r>
      <w:proofErr w:type="gramStart"/>
      <w:r w:rsidRPr="009107E5">
        <w:rPr>
          <w:rFonts w:ascii="Arial" w:hAnsi="Arial" w:cs="Arial"/>
          <w:sz w:val="20"/>
          <w:szCs w:val="20"/>
          <w:lang w:val="en-US"/>
        </w:rPr>
        <w:t>relative</w:t>
      </w:r>
      <w:proofErr w:type="gramEnd"/>
      <w:r w:rsidRPr="009107E5">
        <w:rPr>
          <w:rFonts w:ascii="Arial" w:hAnsi="Arial" w:cs="Arial"/>
          <w:sz w:val="20"/>
          <w:szCs w:val="20"/>
          <w:lang w:val="en-US"/>
        </w:rPr>
        <w:t xml:space="preserve"> to an International Standard for factor VIII in plasma).</w:t>
      </w:r>
    </w:p>
    <w:p w14:paraId="28F8856D" w14:textId="18F56D5B"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One International Unit (IU) of factor VIII activity is equivalent to that quantity of factor VIII in one mL of normal h</w:t>
      </w:r>
      <w:r w:rsidRPr="001524A6">
        <w:rPr>
          <w:rFonts w:ascii="Arial" w:hAnsi="Arial" w:cs="Arial"/>
          <w:sz w:val="20"/>
          <w:szCs w:val="20"/>
          <w:lang w:val="en-US"/>
        </w:rPr>
        <w:t>uman plasma. The calculation of the required dosage of factor VIII is based on the empirical finding that 1 IU factor VIII per kg body weight raises the plasma factor VIII activity by 1.5% to 2.5% of normal activity.</w:t>
      </w:r>
    </w:p>
    <w:p w14:paraId="24A7F80D" w14:textId="78944BC0"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The clinical effect of factor VIII is the most important element in evaluating the effectiveness of treatment. It may be necessary to adjust the individual dosing at patient level </w:t>
      </w:r>
      <w:proofErr w:type="gramStart"/>
      <w:r w:rsidRPr="009107E5">
        <w:rPr>
          <w:rFonts w:ascii="Arial" w:hAnsi="Arial" w:cs="Arial"/>
          <w:sz w:val="20"/>
          <w:szCs w:val="20"/>
          <w:lang w:val="en-US"/>
        </w:rPr>
        <w:t>in order to</w:t>
      </w:r>
      <w:proofErr w:type="gramEnd"/>
      <w:r w:rsidRPr="009107E5">
        <w:rPr>
          <w:rFonts w:ascii="Arial" w:hAnsi="Arial" w:cs="Arial"/>
          <w:sz w:val="20"/>
          <w:szCs w:val="20"/>
          <w:lang w:val="en-US"/>
        </w:rPr>
        <w:t xml:space="preserve"> attain satisfactory clinical results. If the calculated dose fails to attain the expected factor VIII levels or if bleeding is not controlled after administration of the calculated dosage, the presence of a circulating factor VIII-inhibitor or anti-PEG antibodies in the patient should be suspected (see section 4.4 Special warning and precautions for use).</w:t>
      </w:r>
      <w:r w:rsidR="00AD0441">
        <w:rPr>
          <w:rFonts w:ascii="Arial" w:hAnsi="Arial" w:cs="Arial"/>
          <w:sz w:val="20"/>
          <w:szCs w:val="20"/>
          <w:lang w:val="en-US"/>
        </w:rPr>
        <w:br/>
      </w:r>
    </w:p>
    <w:p w14:paraId="6F54CD11" w14:textId="77777777" w:rsidR="00ED1716" w:rsidRPr="009107E5" w:rsidRDefault="00ED1716" w:rsidP="00AD0441">
      <w:pPr>
        <w:autoSpaceDE w:val="0"/>
        <w:autoSpaceDN w:val="0"/>
        <w:adjustRightInd w:val="0"/>
        <w:spacing w:line="240" w:lineRule="auto"/>
        <w:rPr>
          <w:rFonts w:ascii="Arial" w:hAnsi="Arial" w:cs="Arial"/>
          <w:i/>
          <w:iCs/>
          <w:sz w:val="20"/>
          <w:szCs w:val="20"/>
          <w:lang w:val="en-US"/>
        </w:rPr>
      </w:pPr>
      <w:r w:rsidRPr="009107E5">
        <w:rPr>
          <w:rFonts w:ascii="Arial" w:hAnsi="Arial" w:cs="Arial"/>
          <w:i/>
          <w:iCs/>
          <w:sz w:val="20"/>
          <w:szCs w:val="20"/>
          <w:lang w:val="en-US"/>
        </w:rPr>
        <w:t>On demand treatment</w:t>
      </w:r>
    </w:p>
    <w:p w14:paraId="25314940"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The required dose of Jivi is determined using the following formula:</w:t>
      </w:r>
    </w:p>
    <w:p w14:paraId="6ED3E60D"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Required units = body weight (kg) x desired factor VIII rise (% or IU/dL) x reciprocal of observed</w:t>
      </w:r>
    </w:p>
    <w:p w14:paraId="522D7DB4"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recovery (</w:t>
      </w:r>
      <w:proofErr w:type="gramStart"/>
      <w:r w:rsidRPr="009107E5">
        <w:rPr>
          <w:rFonts w:ascii="Arial" w:hAnsi="Arial" w:cs="Arial"/>
          <w:sz w:val="20"/>
          <w:szCs w:val="20"/>
          <w:lang w:val="en-US"/>
        </w:rPr>
        <w:t>i.e.</w:t>
      </w:r>
      <w:proofErr w:type="gramEnd"/>
      <w:r w:rsidRPr="009107E5">
        <w:rPr>
          <w:rFonts w:ascii="Arial" w:hAnsi="Arial" w:cs="Arial"/>
          <w:sz w:val="20"/>
          <w:szCs w:val="20"/>
          <w:lang w:val="en-US"/>
        </w:rPr>
        <w:t xml:space="preserve"> 0.5 for recovery of 2.0%).</w:t>
      </w:r>
    </w:p>
    <w:p w14:paraId="363C3B55"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The amount to be administered and the frequency of administration should always be oriented to the</w:t>
      </w:r>
    </w:p>
    <w:p w14:paraId="3FBCF6A8"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clinical effectiveness required in the individual case.</w:t>
      </w:r>
    </w:p>
    <w:p w14:paraId="4F4F6F82"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In the case of the following </w:t>
      </w:r>
      <w:proofErr w:type="spellStart"/>
      <w:r w:rsidRPr="009107E5">
        <w:rPr>
          <w:rFonts w:ascii="Arial" w:hAnsi="Arial" w:cs="Arial"/>
          <w:sz w:val="20"/>
          <w:szCs w:val="20"/>
          <w:lang w:val="en-US"/>
        </w:rPr>
        <w:t>haemorrhagic</w:t>
      </w:r>
      <w:proofErr w:type="spellEnd"/>
      <w:r w:rsidRPr="009107E5">
        <w:rPr>
          <w:rFonts w:ascii="Arial" w:hAnsi="Arial" w:cs="Arial"/>
          <w:sz w:val="20"/>
          <w:szCs w:val="20"/>
          <w:lang w:val="en-US"/>
        </w:rPr>
        <w:t xml:space="preserve"> events, the factor VIII activity should not fall below the</w:t>
      </w:r>
    </w:p>
    <w:p w14:paraId="3575BE52"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given plasma activity level (in % of normal) in the corresponding period. The following table can </w:t>
      </w:r>
      <w:proofErr w:type="gramStart"/>
      <w:r w:rsidRPr="009107E5">
        <w:rPr>
          <w:rFonts w:ascii="Arial" w:hAnsi="Arial" w:cs="Arial"/>
          <w:sz w:val="20"/>
          <w:szCs w:val="20"/>
          <w:lang w:val="en-US"/>
        </w:rPr>
        <w:t>be</w:t>
      </w:r>
      <w:proofErr w:type="gramEnd"/>
    </w:p>
    <w:p w14:paraId="01131F71"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used to guide dosing in bleeding episodes and surgery:</w:t>
      </w:r>
    </w:p>
    <w:p w14:paraId="55A9E8BF"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p>
    <w:p w14:paraId="7252D827" w14:textId="77777777" w:rsidR="00ED1716" w:rsidRPr="009107E5" w:rsidRDefault="00ED1716" w:rsidP="00AD0441">
      <w:pPr>
        <w:autoSpaceDE w:val="0"/>
        <w:autoSpaceDN w:val="0"/>
        <w:adjustRightInd w:val="0"/>
        <w:spacing w:line="240" w:lineRule="auto"/>
        <w:rPr>
          <w:rFonts w:ascii="Arial" w:hAnsi="Arial" w:cs="Arial"/>
          <w:b/>
          <w:bCs/>
          <w:sz w:val="20"/>
          <w:szCs w:val="20"/>
          <w:lang w:val="en-US"/>
        </w:rPr>
      </w:pPr>
      <w:r w:rsidRPr="009107E5">
        <w:rPr>
          <w:rFonts w:ascii="Arial" w:hAnsi="Arial" w:cs="Arial"/>
          <w:b/>
          <w:bCs/>
          <w:sz w:val="20"/>
          <w:szCs w:val="20"/>
          <w:lang w:val="en-US"/>
        </w:rPr>
        <w:t>Table 1: Guide for dosing in bleeding episodes and surgery for adolescents and adults</w:t>
      </w:r>
    </w:p>
    <w:p w14:paraId="6F3B43A1" w14:textId="77777777" w:rsidR="00ED1716" w:rsidRPr="009107E5" w:rsidRDefault="00ED1716" w:rsidP="00AD0441">
      <w:pPr>
        <w:autoSpaceDE w:val="0"/>
        <w:autoSpaceDN w:val="0"/>
        <w:adjustRightInd w:val="0"/>
        <w:spacing w:line="240" w:lineRule="auto"/>
        <w:rPr>
          <w:rFonts w:ascii="Arial" w:hAnsi="Arial" w:cs="Arial"/>
          <w:b/>
          <w:bCs/>
          <w:sz w:val="20"/>
          <w:szCs w:val="20"/>
          <w:lang w:val="en-US"/>
        </w:rPr>
      </w:pPr>
    </w:p>
    <w:tbl>
      <w:tblPr>
        <w:tblStyle w:val="TableGrid"/>
        <w:tblW w:w="0" w:type="auto"/>
        <w:tblLook w:val="04A0" w:firstRow="1" w:lastRow="0" w:firstColumn="1" w:lastColumn="0" w:noHBand="0" w:noVBand="1"/>
      </w:tblPr>
      <w:tblGrid>
        <w:gridCol w:w="3005"/>
        <w:gridCol w:w="1940"/>
        <w:gridCol w:w="4071"/>
      </w:tblGrid>
      <w:tr w:rsidR="00ED1716" w:rsidRPr="009107E5" w14:paraId="55301F66" w14:textId="77777777" w:rsidTr="004D21FD">
        <w:tc>
          <w:tcPr>
            <w:tcW w:w="3005" w:type="dxa"/>
          </w:tcPr>
          <w:p w14:paraId="4F9E743E"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b/>
                <w:bCs/>
                <w:sz w:val="20"/>
                <w:szCs w:val="20"/>
                <w:lang w:val="en-US"/>
              </w:rPr>
              <w:t xml:space="preserve">Degree of </w:t>
            </w:r>
            <w:proofErr w:type="spellStart"/>
            <w:r w:rsidRPr="009107E5">
              <w:rPr>
                <w:rFonts w:ascii="Arial" w:hAnsi="Arial" w:cs="Arial"/>
                <w:b/>
                <w:bCs/>
                <w:sz w:val="20"/>
                <w:szCs w:val="20"/>
                <w:lang w:val="en-US"/>
              </w:rPr>
              <w:t>haemorrhage</w:t>
            </w:r>
            <w:proofErr w:type="spellEnd"/>
            <w:r w:rsidRPr="009107E5">
              <w:rPr>
                <w:rFonts w:ascii="Arial" w:hAnsi="Arial" w:cs="Arial"/>
                <w:b/>
                <w:bCs/>
                <w:sz w:val="20"/>
                <w:szCs w:val="20"/>
                <w:lang w:val="en-US"/>
              </w:rPr>
              <w:t>/Type</w:t>
            </w:r>
          </w:p>
          <w:p w14:paraId="0CDE5900"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b/>
                <w:bCs/>
                <w:sz w:val="20"/>
                <w:szCs w:val="20"/>
                <w:lang w:val="en-US"/>
              </w:rPr>
              <w:t>of surgical procedure</w:t>
            </w:r>
          </w:p>
        </w:tc>
        <w:tc>
          <w:tcPr>
            <w:tcW w:w="1940" w:type="dxa"/>
          </w:tcPr>
          <w:p w14:paraId="49090CBF"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b/>
                <w:bCs/>
                <w:sz w:val="20"/>
                <w:szCs w:val="20"/>
                <w:lang w:val="en-US"/>
              </w:rPr>
              <w:t>Factor VIII level</w:t>
            </w:r>
          </w:p>
          <w:p w14:paraId="7B3ADA9E"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b/>
                <w:bCs/>
                <w:sz w:val="20"/>
                <w:szCs w:val="20"/>
                <w:lang w:val="en-US"/>
              </w:rPr>
              <w:t>required (%)</w:t>
            </w:r>
          </w:p>
          <w:p w14:paraId="1BE1DA6F"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b/>
                <w:bCs/>
                <w:sz w:val="20"/>
                <w:szCs w:val="20"/>
                <w:lang w:val="en-US"/>
              </w:rPr>
              <w:t>(IU/dL)</w:t>
            </w:r>
          </w:p>
        </w:tc>
        <w:tc>
          <w:tcPr>
            <w:tcW w:w="4071" w:type="dxa"/>
          </w:tcPr>
          <w:p w14:paraId="428591B1"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b/>
                <w:bCs/>
                <w:sz w:val="20"/>
                <w:szCs w:val="20"/>
                <w:lang w:val="en-US"/>
              </w:rPr>
              <w:t>Frequency of doses (hours) / Duration of</w:t>
            </w:r>
          </w:p>
          <w:p w14:paraId="19330414"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b/>
                <w:bCs/>
                <w:sz w:val="20"/>
                <w:szCs w:val="20"/>
                <w:lang w:val="en-US"/>
              </w:rPr>
              <w:t>therapy (days)</w:t>
            </w:r>
          </w:p>
        </w:tc>
      </w:tr>
      <w:tr w:rsidR="00ED1716" w:rsidRPr="009107E5" w14:paraId="186E32C1" w14:textId="77777777" w:rsidTr="004D21FD">
        <w:tc>
          <w:tcPr>
            <w:tcW w:w="3005" w:type="dxa"/>
          </w:tcPr>
          <w:p w14:paraId="3231655F" w14:textId="77777777" w:rsidR="00ED1716" w:rsidRPr="009107E5" w:rsidRDefault="00ED1716" w:rsidP="00AD0441">
            <w:pPr>
              <w:autoSpaceDE w:val="0"/>
              <w:autoSpaceDN w:val="0"/>
              <w:adjustRightInd w:val="0"/>
              <w:rPr>
                <w:rFonts w:ascii="Arial" w:hAnsi="Arial" w:cs="Arial"/>
                <w:sz w:val="20"/>
                <w:szCs w:val="20"/>
                <w:u w:val="single"/>
                <w:lang w:val="en-US"/>
              </w:rPr>
            </w:pPr>
            <w:proofErr w:type="spellStart"/>
            <w:r w:rsidRPr="009107E5">
              <w:rPr>
                <w:rFonts w:ascii="Arial" w:hAnsi="Arial" w:cs="Arial"/>
                <w:sz w:val="20"/>
                <w:szCs w:val="20"/>
                <w:u w:val="single"/>
                <w:lang w:val="en-US"/>
              </w:rPr>
              <w:t>Haemorrhage</w:t>
            </w:r>
            <w:proofErr w:type="spellEnd"/>
          </w:p>
          <w:p w14:paraId="2C0AB4C5" w14:textId="77777777" w:rsidR="00ED1716" w:rsidRPr="009107E5" w:rsidRDefault="00ED1716"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 xml:space="preserve">Early </w:t>
            </w:r>
            <w:proofErr w:type="spellStart"/>
            <w:r w:rsidRPr="009107E5">
              <w:rPr>
                <w:rFonts w:ascii="Arial" w:hAnsi="Arial" w:cs="Arial"/>
                <w:sz w:val="20"/>
                <w:szCs w:val="20"/>
                <w:lang w:val="en-US"/>
              </w:rPr>
              <w:t>haemarthrosis</w:t>
            </w:r>
            <w:proofErr w:type="spellEnd"/>
            <w:r w:rsidRPr="009107E5">
              <w:rPr>
                <w:rFonts w:ascii="Arial" w:hAnsi="Arial" w:cs="Arial"/>
                <w:sz w:val="20"/>
                <w:szCs w:val="20"/>
                <w:lang w:val="en-US"/>
              </w:rPr>
              <w:t>, muscle</w:t>
            </w:r>
          </w:p>
          <w:p w14:paraId="31C5B971"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bleeding or oral bleeding</w:t>
            </w:r>
          </w:p>
        </w:tc>
        <w:tc>
          <w:tcPr>
            <w:tcW w:w="1940" w:type="dxa"/>
          </w:tcPr>
          <w:p w14:paraId="0967EFA8"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20-40</w:t>
            </w:r>
          </w:p>
        </w:tc>
        <w:tc>
          <w:tcPr>
            <w:tcW w:w="4071" w:type="dxa"/>
          </w:tcPr>
          <w:p w14:paraId="7361BE12" w14:textId="77777777" w:rsidR="00ED1716" w:rsidRPr="009107E5" w:rsidRDefault="00ED1716"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Repeat injection every 24-48 hours.</w:t>
            </w:r>
          </w:p>
          <w:p w14:paraId="07C5A1AB" w14:textId="77777777" w:rsidR="00ED1716" w:rsidRPr="009107E5" w:rsidRDefault="00ED1716"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At least 1 day, until bleeding episode as</w:t>
            </w:r>
          </w:p>
          <w:p w14:paraId="43D7CA9A" w14:textId="77777777" w:rsidR="00ED1716" w:rsidRPr="009107E5" w:rsidRDefault="00ED1716"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 xml:space="preserve">indicated by pain is resolved or healing </w:t>
            </w:r>
            <w:proofErr w:type="gramStart"/>
            <w:r w:rsidRPr="009107E5">
              <w:rPr>
                <w:rFonts w:ascii="Arial" w:hAnsi="Arial" w:cs="Arial"/>
                <w:sz w:val="20"/>
                <w:szCs w:val="20"/>
                <w:lang w:val="en-US"/>
              </w:rPr>
              <w:t>is</w:t>
            </w:r>
            <w:proofErr w:type="gramEnd"/>
          </w:p>
          <w:p w14:paraId="4884599A"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achieved.</w:t>
            </w:r>
          </w:p>
        </w:tc>
      </w:tr>
      <w:tr w:rsidR="00ED1716" w:rsidRPr="009107E5" w14:paraId="6EC3C6C4" w14:textId="77777777" w:rsidTr="004D21FD">
        <w:tc>
          <w:tcPr>
            <w:tcW w:w="3005" w:type="dxa"/>
          </w:tcPr>
          <w:p w14:paraId="569DC65E" w14:textId="77777777" w:rsidR="00ED1716" w:rsidRPr="009107E5" w:rsidRDefault="00ED1716"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More extensive</w:t>
            </w:r>
          </w:p>
          <w:p w14:paraId="7DCFDD16" w14:textId="77777777" w:rsidR="00ED1716" w:rsidRPr="009107E5" w:rsidRDefault="00ED1716" w:rsidP="00AD0441">
            <w:pPr>
              <w:autoSpaceDE w:val="0"/>
              <w:autoSpaceDN w:val="0"/>
              <w:adjustRightInd w:val="0"/>
              <w:rPr>
                <w:rFonts w:ascii="Arial" w:hAnsi="Arial" w:cs="Arial"/>
                <w:sz w:val="20"/>
                <w:szCs w:val="20"/>
                <w:lang w:val="en-US"/>
              </w:rPr>
            </w:pPr>
            <w:proofErr w:type="spellStart"/>
            <w:r w:rsidRPr="009107E5">
              <w:rPr>
                <w:rFonts w:ascii="Arial" w:hAnsi="Arial" w:cs="Arial"/>
                <w:sz w:val="20"/>
                <w:szCs w:val="20"/>
                <w:lang w:val="en-US"/>
              </w:rPr>
              <w:t>haemarthrosis</w:t>
            </w:r>
            <w:proofErr w:type="spellEnd"/>
            <w:r w:rsidRPr="009107E5">
              <w:rPr>
                <w:rFonts w:ascii="Arial" w:hAnsi="Arial" w:cs="Arial"/>
                <w:sz w:val="20"/>
                <w:szCs w:val="20"/>
                <w:lang w:val="en-US"/>
              </w:rPr>
              <w:t>, muscle</w:t>
            </w:r>
          </w:p>
          <w:p w14:paraId="2A618623"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 xml:space="preserve">bleeding or </w:t>
            </w:r>
            <w:proofErr w:type="spellStart"/>
            <w:r w:rsidRPr="009107E5">
              <w:rPr>
                <w:rFonts w:ascii="Arial" w:hAnsi="Arial" w:cs="Arial"/>
                <w:sz w:val="20"/>
                <w:szCs w:val="20"/>
                <w:lang w:val="en-US"/>
              </w:rPr>
              <w:t>haematoma</w:t>
            </w:r>
            <w:proofErr w:type="spellEnd"/>
          </w:p>
        </w:tc>
        <w:tc>
          <w:tcPr>
            <w:tcW w:w="1940" w:type="dxa"/>
          </w:tcPr>
          <w:p w14:paraId="7A63AAFA"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30-60</w:t>
            </w:r>
          </w:p>
        </w:tc>
        <w:tc>
          <w:tcPr>
            <w:tcW w:w="4071" w:type="dxa"/>
          </w:tcPr>
          <w:p w14:paraId="5CA336D9" w14:textId="77777777" w:rsidR="00ED1716" w:rsidRPr="009107E5" w:rsidRDefault="00ED1716"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Repeat injection every 24-48 hours for</w:t>
            </w:r>
          </w:p>
          <w:p w14:paraId="7C7C10C0" w14:textId="77777777" w:rsidR="00ED1716" w:rsidRPr="009107E5" w:rsidRDefault="00ED1716"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3 to 4 days or more until pain and acute</w:t>
            </w:r>
          </w:p>
          <w:p w14:paraId="3E9B817F"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 xml:space="preserve">disability </w:t>
            </w:r>
            <w:proofErr w:type="gramStart"/>
            <w:r w:rsidRPr="009107E5">
              <w:rPr>
                <w:rFonts w:ascii="Arial" w:hAnsi="Arial" w:cs="Arial"/>
                <w:sz w:val="20"/>
                <w:szCs w:val="20"/>
                <w:lang w:val="en-US"/>
              </w:rPr>
              <w:t>are</w:t>
            </w:r>
            <w:proofErr w:type="gramEnd"/>
            <w:r w:rsidRPr="009107E5">
              <w:rPr>
                <w:rFonts w:ascii="Arial" w:hAnsi="Arial" w:cs="Arial"/>
                <w:sz w:val="20"/>
                <w:szCs w:val="20"/>
                <w:lang w:val="en-US"/>
              </w:rPr>
              <w:t xml:space="preserve"> resolved.</w:t>
            </w:r>
          </w:p>
        </w:tc>
      </w:tr>
      <w:tr w:rsidR="00ED1716" w:rsidRPr="009107E5" w14:paraId="623A613E" w14:textId="77777777" w:rsidTr="004D21FD">
        <w:tc>
          <w:tcPr>
            <w:tcW w:w="3005" w:type="dxa"/>
          </w:tcPr>
          <w:p w14:paraId="67AD410A" w14:textId="77777777" w:rsidR="00ED1716" w:rsidRPr="009107E5" w:rsidRDefault="00ED1716" w:rsidP="00AD0441">
            <w:pPr>
              <w:autoSpaceDE w:val="0"/>
              <w:autoSpaceDN w:val="0"/>
              <w:adjustRightInd w:val="0"/>
              <w:rPr>
                <w:rFonts w:ascii="Arial" w:hAnsi="Arial" w:cs="Arial"/>
                <w:sz w:val="20"/>
                <w:szCs w:val="20"/>
                <w:u w:val="single"/>
                <w:lang w:val="en-US"/>
              </w:rPr>
            </w:pPr>
            <w:r w:rsidRPr="009107E5">
              <w:rPr>
                <w:rFonts w:ascii="Arial" w:hAnsi="Arial" w:cs="Arial"/>
                <w:sz w:val="20"/>
                <w:szCs w:val="20"/>
                <w:u w:val="single"/>
                <w:lang w:val="en-US"/>
              </w:rPr>
              <w:t>Life-threatening</w:t>
            </w:r>
          </w:p>
          <w:p w14:paraId="7CA515F0" w14:textId="77777777" w:rsidR="00ED1716" w:rsidRPr="009107E5" w:rsidRDefault="00ED1716" w:rsidP="00AD0441">
            <w:pPr>
              <w:autoSpaceDE w:val="0"/>
              <w:autoSpaceDN w:val="0"/>
              <w:adjustRightInd w:val="0"/>
              <w:rPr>
                <w:rFonts w:ascii="Arial" w:hAnsi="Arial" w:cs="Arial"/>
                <w:b/>
                <w:bCs/>
                <w:sz w:val="20"/>
                <w:szCs w:val="20"/>
                <w:lang w:val="en-US"/>
              </w:rPr>
            </w:pPr>
            <w:proofErr w:type="spellStart"/>
            <w:r w:rsidRPr="009107E5">
              <w:rPr>
                <w:rFonts w:ascii="Arial" w:hAnsi="Arial" w:cs="Arial"/>
                <w:sz w:val="20"/>
                <w:szCs w:val="20"/>
                <w:lang w:val="en-US"/>
              </w:rPr>
              <w:t>Haemorrhages</w:t>
            </w:r>
            <w:proofErr w:type="spellEnd"/>
          </w:p>
        </w:tc>
        <w:tc>
          <w:tcPr>
            <w:tcW w:w="1940" w:type="dxa"/>
          </w:tcPr>
          <w:p w14:paraId="64479B4F"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60-100</w:t>
            </w:r>
          </w:p>
        </w:tc>
        <w:tc>
          <w:tcPr>
            <w:tcW w:w="4071" w:type="dxa"/>
          </w:tcPr>
          <w:p w14:paraId="2A1E211C" w14:textId="77777777" w:rsidR="00ED1716" w:rsidRPr="009107E5" w:rsidRDefault="00ED1716"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Repeat injection every 8 to 24 hours until</w:t>
            </w:r>
          </w:p>
          <w:p w14:paraId="60E8E8DD"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threat is resolved.</w:t>
            </w:r>
          </w:p>
        </w:tc>
      </w:tr>
      <w:tr w:rsidR="00ED1716" w:rsidRPr="009107E5" w14:paraId="3232B76A" w14:textId="77777777" w:rsidTr="004D21FD">
        <w:tc>
          <w:tcPr>
            <w:tcW w:w="3005" w:type="dxa"/>
          </w:tcPr>
          <w:p w14:paraId="74B16422" w14:textId="77777777" w:rsidR="00ED1716" w:rsidRPr="009107E5" w:rsidRDefault="00ED1716" w:rsidP="00AD0441">
            <w:pPr>
              <w:autoSpaceDE w:val="0"/>
              <w:autoSpaceDN w:val="0"/>
              <w:adjustRightInd w:val="0"/>
              <w:rPr>
                <w:rFonts w:ascii="Arial" w:hAnsi="Arial" w:cs="Arial"/>
                <w:sz w:val="20"/>
                <w:szCs w:val="20"/>
                <w:u w:val="single"/>
                <w:lang w:val="en-US"/>
              </w:rPr>
            </w:pPr>
            <w:r w:rsidRPr="009107E5">
              <w:rPr>
                <w:rFonts w:ascii="Arial" w:hAnsi="Arial" w:cs="Arial"/>
                <w:sz w:val="20"/>
                <w:szCs w:val="20"/>
                <w:u w:val="single"/>
                <w:lang w:val="en-US"/>
              </w:rPr>
              <w:t>Surgery</w:t>
            </w:r>
          </w:p>
          <w:p w14:paraId="545B59AC" w14:textId="77777777" w:rsidR="00ED1716" w:rsidRPr="009107E5" w:rsidRDefault="00ED1716"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Minor surgery</w:t>
            </w:r>
          </w:p>
          <w:p w14:paraId="4F8BF5EC"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including tooth extraction</w:t>
            </w:r>
          </w:p>
        </w:tc>
        <w:tc>
          <w:tcPr>
            <w:tcW w:w="1940" w:type="dxa"/>
          </w:tcPr>
          <w:p w14:paraId="476641CA"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30-60</w:t>
            </w:r>
          </w:p>
        </w:tc>
        <w:tc>
          <w:tcPr>
            <w:tcW w:w="4071" w:type="dxa"/>
          </w:tcPr>
          <w:p w14:paraId="38F6C12B" w14:textId="77777777" w:rsidR="00ED1716" w:rsidRPr="009107E5" w:rsidRDefault="00ED1716"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 xml:space="preserve">Every 24 hours, at least 1 day, until healing </w:t>
            </w:r>
            <w:proofErr w:type="gramStart"/>
            <w:r w:rsidRPr="009107E5">
              <w:rPr>
                <w:rFonts w:ascii="Arial" w:hAnsi="Arial" w:cs="Arial"/>
                <w:sz w:val="20"/>
                <w:szCs w:val="20"/>
                <w:lang w:val="en-US"/>
              </w:rPr>
              <w:t>is</w:t>
            </w:r>
            <w:proofErr w:type="gramEnd"/>
          </w:p>
          <w:p w14:paraId="6D5D5FD7"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achieved.</w:t>
            </w:r>
          </w:p>
        </w:tc>
      </w:tr>
      <w:tr w:rsidR="00ED1716" w:rsidRPr="009107E5" w14:paraId="3E770F54" w14:textId="77777777" w:rsidTr="004D21FD">
        <w:tc>
          <w:tcPr>
            <w:tcW w:w="3005" w:type="dxa"/>
          </w:tcPr>
          <w:p w14:paraId="5EB31E2B"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Major surgery</w:t>
            </w:r>
          </w:p>
        </w:tc>
        <w:tc>
          <w:tcPr>
            <w:tcW w:w="1940" w:type="dxa"/>
          </w:tcPr>
          <w:p w14:paraId="18994E76" w14:textId="77777777" w:rsidR="00ED1716" w:rsidRPr="009107E5" w:rsidRDefault="00ED1716"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80-100 (pre- and</w:t>
            </w:r>
          </w:p>
          <w:p w14:paraId="4C63BB7D"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post-operative)</w:t>
            </w:r>
          </w:p>
        </w:tc>
        <w:tc>
          <w:tcPr>
            <w:tcW w:w="4071" w:type="dxa"/>
          </w:tcPr>
          <w:p w14:paraId="291C9436" w14:textId="77777777" w:rsidR="00ED1716" w:rsidRPr="009107E5" w:rsidRDefault="00ED1716"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 xml:space="preserve">Repeat dose </w:t>
            </w:r>
            <w:proofErr w:type="gramStart"/>
            <w:r w:rsidRPr="009107E5">
              <w:rPr>
                <w:rFonts w:ascii="Arial" w:hAnsi="Arial" w:cs="Arial"/>
                <w:sz w:val="20"/>
                <w:szCs w:val="20"/>
                <w:lang w:val="en-US"/>
              </w:rPr>
              <w:t>every</w:t>
            </w:r>
            <w:proofErr w:type="gramEnd"/>
          </w:p>
          <w:p w14:paraId="486EA160" w14:textId="77777777" w:rsidR="00ED1716" w:rsidRPr="009107E5" w:rsidRDefault="00ED1716"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12-24 hours until adequate wound healing,</w:t>
            </w:r>
          </w:p>
          <w:p w14:paraId="5731BDD6" w14:textId="77777777" w:rsidR="00ED1716" w:rsidRPr="009107E5" w:rsidRDefault="00ED1716"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then therapy for at least another 7 days to</w:t>
            </w:r>
          </w:p>
          <w:p w14:paraId="2A4C8C0B" w14:textId="77777777" w:rsidR="00ED1716" w:rsidRPr="009107E5" w:rsidRDefault="00ED1716"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maintain factor VIII activity of 30-60%</w:t>
            </w:r>
          </w:p>
          <w:p w14:paraId="55A5388B" w14:textId="77777777" w:rsidR="00ED1716" w:rsidRPr="009107E5" w:rsidRDefault="00ED1716"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(IU/dL).</w:t>
            </w:r>
          </w:p>
        </w:tc>
      </w:tr>
    </w:tbl>
    <w:p w14:paraId="5A21A747" w14:textId="01A43559" w:rsidR="00ED1716" w:rsidRPr="009107E5" w:rsidRDefault="00ED1716" w:rsidP="00AD0441">
      <w:pPr>
        <w:autoSpaceDE w:val="0"/>
        <w:autoSpaceDN w:val="0"/>
        <w:adjustRightInd w:val="0"/>
        <w:spacing w:line="240" w:lineRule="auto"/>
        <w:rPr>
          <w:rFonts w:ascii="Arial" w:hAnsi="Arial" w:cs="Arial"/>
          <w:i/>
          <w:iCs/>
          <w:sz w:val="20"/>
          <w:szCs w:val="20"/>
          <w:lang w:val="en-US"/>
        </w:rPr>
      </w:pPr>
      <w:r w:rsidRPr="009107E5">
        <w:rPr>
          <w:rFonts w:ascii="Arial" w:hAnsi="Arial" w:cs="Arial"/>
          <w:i/>
          <w:iCs/>
          <w:sz w:val="20"/>
          <w:szCs w:val="20"/>
          <w:lang w:val="en-US"/>
        </w:rPr>
        <w:lastRenderedPageBreak/>
        <w:t>Prophylaxis</w:t>
      </w:r>
    </w:p>
    <w:p w14:paraId="581B23B0"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bookmarkStart w:id="1" w:name="_Hlk127533481"/>
      <w:r w:rsidRPr="009107E5">
        <w:rPr>
          <w:rFonts w:ascii="Arial" w:hAnsi="Arial" w:cs="Arial"/>
          <w:sz w:val="20"/>
          <w:szCs w:val="20"/>
          <w:lang w:val="en-US"/>
        </w:rPr>
        <w:t xml:space="preserve">All treatment decisions for identifying appropriate prophylactic treatment regimens should be </w:t>
      </w:r>
      <w:proofErr w:type="gramStart"/>
      <w:r w:rsidRPr="009107E5">
        <w:rPr>
          <w:rFonts w:ascii="Arial" w:hAnsi="Arial" w:cs="Arial"/>
          <w:sz w:val="20"/>
          <w:szCs w:val="20"/>
          <w:lang w:val="en-US"/>
        </w:rPr>
        <w:t>guided</w:t>
      </w:r>
      <w:proofErr w:type="gramEnd"/>
    </w:p>
    <w:p w14:paraId="2434E910" w14:textId="4D7C99C6"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by clinical judgement based on individual patient characteristics and treatment response.</w:t>
      </w:r>
    </w:p>
    <w:bookmarkEnd w:id="1"/>
    <w:p w14:paraId="1D88ED32" w14:textId="36A59B78" w:rsidR="009107E5" w:rsidRPr="009018D8" w:rsidRDefault="009107E5" w:rsidP="00AD0441">
      <w:pPr>
        <w:autoSpaceDE w:val="0"/>
        <w:autoSpaceDN w:val="0"/>
        <w:adjustRightInd w:val="0"/>
        <w:spacing w:line="240" w:lineRule="auto"/>
        <w:rPr>
          <w:rFonts w:ascii="Arial" w:hAnsi="Arial" w:cs="Arial"/>
          <w:sz w:val="20"/>
          <w:szCs w:val="20"/>
          <w:lang w:val="en-US"/>
        </w:rPr>
      </w:pPr>
    </w:p>
    <w:p w14:paraId="024CE963" w14:textId="6EDA5CDE" w:rsidR="00ED1716" w:rsidRPr="009107E5" w:rsidRDefault="009107E5" w:rsidP="00AD0441">
      <w:pPr>
        <w:autoSpaceDE w:val="0"/>
        <w:autoSpaceDN w:val="0"/>
        <w:adjustRightInd w:val="0"/>
        <w:spacing w:line="240" w:lineRule="auto"/>
        <w:rPr>
          <w:rFonts w:ascii="Arial" w:hAnsi="Arial" w:cs="Arial"/>
          <w:sz w:val="20"/>
          <w:szCs w:val="20"/>
          <w:lang w:val="en-US"/>
        </w:rPr>
      </w:pPr>
      <w:r w:rsidRPr="009018D8">
        <w:rPr>
          <w:rFonts w:ascii="Arial" w:hAnsi="Arial" w:cs="Arial"/>
          <w:sz w:val="20"/>
          <w:szCs w:val="20"/>
          <w:lang w:val="en-US"/>
        </w:rPr>
        <w:t xml:space="preserve">The recommended initial dose is 30-40 IU/kg 2x times per week. Based on the patient's bleeding frequency, the regimen may be adjusted to 45-60 IU/kg every 5 days. Jivi can also be individually adjusted to less frequent dosing, </w:t>
      </w:r>
      <w:proofErr w:type="gramStart"/>
      <w:r w:rsidRPr="009018D8">
        <w:rPr>
          <w:rFonts w:ascii="Arial" w:hAnsi="Arial" w:cs="Arial"/>
          <w:sz w:val="20"/>
          <w:szCs w:val="20"/>
          <w:lang w:val="en-US"/>
        </w:rPr>
        <w:t>e.g.</w:t>
      </w:r>
      <w:proofErr w:type="gramEnd"/>
      <w:r w:rsidRPr="009018D8">
        <w:rPr>
          <w:rFonts w:ascii="Arial" w:hAnsi="Arial" w:cs="Arial"/>
          <w:sz w:val="20"/>
          <w:szCs w:val="20"/>
          <w:lang w:val="en-US"/>
        </w:rPr>
        <w:t xml:space="preserve"> 60 IU/kg every 7 days. Dosing should be based on the individual patient’s overall bleeding pattern</w:t>
      </w:r>
      <w:r w:rsidR="00AB33B3">
        <w:rPr>
          <w:rFonts w:ascii="Arial" w:hAnsi="Arial" w:cs="Arial"/>
          <w:sz w:val="20"/>
          <w:szCs w:val="20"/>
          <w:lang w:val="en-US"/>
        </w:rPr>
        <w:t xml:space="preserve"> </w:t>
      </w:r>
      <w:r w:rsidR="00ED1716" w:rsidRPr="009107E5">
        <w:rPr>
          <w:rFonts w:ascii="Arial" w:hAnsi="Arial" w:cs="Arial"/>
          <w:sz w:val="20"/>
          <w:szCs w:val="20"/>
          <w:lang w:val="en-US"/>
        </w:rPr>
        <w:t>(see sections 5.1 Pharmacodynamic properties and 5.2 Pharmacokinetic properties).</w:t>
      </w:r>
    </w:p>
    <w:p w14:paraId="5BA2229A"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p>
    <w:p w14:paraId="76164B28"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For overweight patients, the maximum dose per injection for prophylaxis should not be higher than</w:t>
      </w:r>
    </w:p>
    <w:p w14:paraId="504E2CE0" w14:textId="7F6E3753"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approximately 6000 IU.</w:t>
      </w:r>
    </w:p>
    <w:p w14:paraId="424D6DC1" w14:textId="77777777" w:rsidR="00A7689F" w:rsidRPr="009107E5" w:rsidRDefault="00A7689F" w:rsidP="00AD0441">
      <w:pPr>
        <w:autoSpaceDE w:val="0"/>
        <w:autoSpaceDN w:val="0"/>
        <w:adjustRightInd w:val="0"/>
        <w:spacing w:line="240" w:lineRule="auto"/>
        <w:rPr>
          <w:rFonts w:ascii="Arial" w:hAnsi="Arial" w:cs="Arial"/>
          <w:b/>
          <w:bCs/>
          <w:sz w:val="20"/>
          <w:szCs w:val="20"/>
          <w:lang w:val="en-US"/>
        </w:rPr>
      </w:pPr>
    </w:p>
    <w:p w14:paraId="763D7FD3" w14:textId="77777777" w:rsidR="00ED1716" w:rsidRPr="009107E5" w:rsidRDefault="00ED1716" w:rsidP="00AD0441">
      <w:pPr>
        <w:pStyle w:val="Heading3"/>
        <w:rPr>
          <w:rFonts w:ascii="Arial" w:hAnsi="Arial" w:cs="Arial"/>
          <w:sz w:val="20"/>
          <w:szCs w:val="20"/>
        </w:rPr>
      </w:pPr>
      <w:r w:rsidRPr="009107E5">
        <w:rPr>
          <w:rFonts w:ascii="Arial" w:hAnsi="Arial" w:cs="Arial"/>
          <w:sz w:val="20"/>
          <w:szCs w:val="20"/>
        </w:rPr>
        <w:t>Treatment monitoring</w:t>
      </w:r>
    </w:p>
    <w:p w14:paraId="305DA66F"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During the course of treatment, appropriate determination of factor VIII levels is advised to </w:t>
      </w:r>
      <w:proofErr w:type="gramStart"/>
      <w:r w:rsidRPr="009107E5">
        <w:rPr>
          <w:rFonts w:ascii="Arial" w:hAnsi="Arial" w:cs="Arial"/>
          <w:sz w:val="20"/>
          <w:szCs w:val="20"/>
          <w:lang w:val="en-US"/>
        </w:rPr>
        <w:t>confirm</w:t>
      </w:r>
      <w:proofErr w:type="gramEnd"/>
    </w:p>
    <w:p w14:paraId="13C6AFA4"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that adequate FVIII levels have been achieved. Individual patients may vary in their response to</w:t>
      </w:r>
    </w:p>
    <w:p w14:paraId="484CECB6"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factor VIII, demonstrating different half-lives and recoveries. Dose based on bodyweight may </w:t>
      </w:r>
      <w:proofErr w:type="gramStart"/>
      <w:r w:rsidRPr="009107E5">
        <w:rPr>
          <w:rFonts w:ascii="Arial" w:hAnsi="Arial" w:cs="Arial"/>
          <w:sz w:val="20"/>
          <w:szCs w:val="20"/>
          <w:lang w:val="en-US"/>
        </w:rPr>
        <w:t>require</w:t>
      </w:r>
      <w:proofErr w:type="gramEnd"/>
    </w:p>
    <w:p w14:paraId="4A21DC8E"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adjustment in overweight patients. In the case of major surgical </w:t>
      </w:r>
      <w:proofErr w:type="gramStart"/>
      <w:r w:rsidRPr="009107E5">
        <w:rPr>
          <w:rFonts w:ascii="Arial" w:hAnsi="Arial" w:cs="Arial"/>
          <w:sz w:val="20"/>
          <w:szCs w:val="20"/>
          <w:lang w:val="en-US"/>
        </w:rPr>
        <w:t>interventions in particular, precise</w:t>
      </w:r>
      <w:proofErr w:type="gramEnd"/>
    </w:p>
    <w:p w14:paraId="101716A5"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monitoring of the substitution therapy by means of coagulation analysis (plasma factor VIII activity) is indispensable.</w:t>
      </w:r>
    </w:p>
    <w:p w14:paraId="60CC705C"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p>
    <w:p w14:paraId="1DFF7103"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When using an </w:t>
      </w:r>
      <w:r w:rsidRPr="009107E5">
        <w:rPr>
          <w:rFonts w:ascii="Arial" w:hAnsi="Arial" w:cs="Arial"/>
          <w:i/>
          <w:iCs/>
          <w:sz w:val="20"/>
          <w:szCs w:val="20"/>
          <w:lang w:val="en-US"/>
        </w:rPr>
        <w:t xml:space="preserve">in vitro </w:t>
      </w:r>
      <w:r w:rsidRPr="009107E5">
        <w:rPr>
          <w:rFonts w:ascii="Arial" w:hAnsi="Arial" w:cs="Arial"/>
          <w:sz w:val="20"/>
          <w:szCs w:val="20"/>
          <w:lang w:val="en-US"/>
        </w:rPr>
        <w:t>activated partial thromboplastin time (</w:t>
      </w:r>
      <w:proofErr w:type="spellStart"/>
      <w:r w:rsidRPr="009107E5">
        <w:rPr>
          <w:rFonts w:ascii="Arial" w:hAnsi="Arial" w:cs="Arial"/>
          <w:sz w:val="20"/>
          <w:szCs w:val="20"/>
          <w:lang w:val="en-US"/>
        </w:rPr>
        <w:t>aPTT</w:t>
      </w:r>
      <w:proofErr w:type="spellEnd"/>
      <w:r w:rsidRPr="009107E5">
        <w:rPr>
          <w:rFonts w:ascii="Arial" w:hAnsi="Arial" w:cs="Arial"/>
          <w:sz w:val="20"/>
          <w:szCs w:val="20"/>
          <w:lang w:val="en-US"/>
        </w:rPr>
        <w:t xml:space="preserve">)-based one stage clotting assay for determining factor VIII activity in patients’ blood samples, plasma factor VIII activity results can be significantly affected by both the type of </w:t>
      </w:r>
      <w:proofErr w:type="spellStart"/>
      <w:r w:rsidRPr="009107E5">
        <w:rPr>
          <w:rFonts w:ascii="Arial" w:hAnsi="Arial" w:cs="Arial"/>
          <w:sz w:val="20"/>
          <w:szCs w:val="20"/>
          <w:lang w:val="en-US"/>
        </w:rPr>
        <w:t>aPTT</w:t>
      </w:r>
      <w:proofErr w:type="spellEnd"/>
      <w:r w:rsidRPr="009107E5">
        <w:rPr>
          <w:rFonts w:ascii="Arial" w:hAnsi="Arial" w:cs="Arial"/>
          <w:sz w:val="20"/>
          <w:szCs w:val="20"/>
          <w:lang w:val="en-US"/>
        </w:rPr>
        <w:t xml:space="preserve"> reagent and the reference standard used in the assay, which can result in over- or under-estimation of factor VIII activity. It should be noted that there can be significant discrepancies between assay results obtained by specific reagents used in the </w:t>
      </w:r>
      <w:proofErr w:type="spellStart"/>
      <w:r w:rsidRPr="009107E5">
        <w:rPr>
          <w:rFonts w:ascii="Arial" w:hAnsi="Arial" w:cs="Arial"/>
          <w:sz w:val="20"/>
          <w:szCs w:val="20"/>
          <w:lang w:val="en-US"/>
        </w:rPr>
        <w:t>aPTT</w:t>
      </w:r>
      <w:proofErr w:type="spellEnd"/>
      <w:r w:rsidRPr="009107E5">
        <w:rPr>
          <w:rFonts w:ascii="Arial" w:hAnsi="Arial" w:cs="Arial"/>
          <w:sz w:val="20"/>
          <w:szCs w:val="20"/>
          <w:lang w:val="en-US"/>
        </w:rPr>
        <w:t xml:space="preserve"> based one stage clotting assay and the chromogenic assay. This is of importance when monitoring the factor VIII activity of Jivi, and when changing laboratory and/or reagents used in the assay. This applies also for modified </w:t>
      </w:r>
      <w:proofErr w:type="gramStart"/>
      <w:r w:rsidRPr="009107E5">
        <w:rPr>
          <w:rFonts w:ascii="Arial" w:hAnsi="Arial" w:cs="Arial"/>
          <w:sz w:val="20"/>
          <w:szCs w:val="20"/>
          <w:lang w:val="en-US"/>
        </w:rPr>
        <w:t>long acting</w:t>
      </w:r>
      <w:proofErr w:type="gramEnd"/>
      <w:r w:rsidRPr="009107E5">
        <w:rPr>
          <w:rFonts w:ascii="Arial" w:hAnsi="Arial" w:cs="Arial"/>
          <w:sz w:val="20"/>
          <w:szCs w:val="20"/>
          <w:lang w:val="en-US"/>
        </w:rPr>
        <w:t xml:space="preserve"> factor VIII products. Laboratories intending to measure Jivi activity should check their procedures for accuracy. A field study has indicated that the factor VIII activity of Jivi can be accurately measured in plasma using either a validated chromogenic substrate (CS) assay or a one-stage (OS) clotting assay using specific reagents. For Jivi some silica-based one-stage assays (e.g., APTT-SP, STA-PTT) may underestimate the factor VIII activity of Jivi in plasma samples; some reagents, </w:t>
      </w:r>
      <w:proofErr w:type="gramStart"/>
      <w:r w:rsidRPr="009107E5">
        <w:rPr>
          <w:rFonts w:ascii="Arial" w:hAnsi="Arial" w:cs="Arial"/>
          <w:sz w:val="20"/>
          <w:szCs w:val="20"/>
          <w:lang w:val="en-US"/>
        </w:rPr>
        <w:t>e.g.</w:t>
      </w:r>
      <w:proofErr w:type="gramEnd"/>
      <w:r w:rsidRPr="009107E5">
        <w:rPr>
          <w:rFonts w:ascii="Arial" w:hAnsi="Arial" w:cs="Arial"/>
          <w:sz w:val="20"/>
          <w:szCs w:val="20"/>
          <w:lang w:val="en-US"/>
        </w:rPr>
        <w:t xml:space="preserve"> with kaolin-based activators, have the potential for overestimation. </w:t>
      </w:r>
    </w:p>
    <w:p w14:paraId="54F49A12" w14:textId="77777777" w:rsidR="00ED1716" w:rsidRPr="009107E5" w:rsidRDefault="00ED1716" w:rsidP="00AD0441">
      <w:pPr>
        <w:pStyle w:val="Heading3"/>
        <w:rPr>
          <w:rFonts w:ascii="Arial" w:hAnsi="Arial" w:cs="Arial"/>
          <w:sz w:val="20"/>
          <w:szCs w:val="20"/>
        </w:rPr>
      </w:pPr>
      <w:r w:rsidRPr="009107E5">
        <w:rPr>
          <w:rFonts w:ascii="Arial" w:hAnsi="Arial" w:cs="Arial"/>
          <w:sz w:val="20"/>
          <w:szCs w:val="20"/>
        </w:rPr>
        <w:t>Method of administration</w:t>
      </w:r>
    </w:p>
    <w:p w14:paraId="46C7948F"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Jivi is for intravenous use.</w:t>
      </w:r>
    </w:p>
    <w:p w14:paraId="719AFAA1"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p>
    <w:p w14:paraId="73ACADB6" w14:textId="768FBEBF"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For instructions on reconstitution of the medicinal product before administration, see section</w:t>
      </w:r>
      <w:r w:rsidR="008B029D" w:rsidRPr="009107E5">
        <w:rPr>
          <w:rFonts w:ascii="Arial" w:hAnsi="Arial" w:cs="Arial"/>
          <w:sz w:val="20"/>
          <w:szCs w:val="20"/>
          <w:lang w:val="en-US"/>
        </w:rPr>
        <w:t xml:space="preserve"> Instructions for use/ handling below, see section 6.4 Special precautions for storage and </w:t>
      </w:r>
      <w:r w:rsidRPr="009107E5">
        <w:rPr>
          <w:rFonts w:ascii="Arial" w:hAnsi="Arial" w:cs="Arial"/>
          <w:sz w:val="20"/>
          <w:szCs w:val="20"/>
          <w:lang w:val="en-US"/>
        </w:rPr>
        <w:t>the package leaflet.</w:t>
      </w:r>
    </w:p>
    <w:p w14:paraId="429122D7"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p>
    <w:p w14:paraId="54F27888" w14:textId="77777777" w:rsidR="00ED1716" w:rsidRPr="009107E5" w:rsidRDefault="00ED1716" w:rsidP="00AD0441">
      <w:pPr>
        <w:pStyle w:val="Default"/>
        <w:rPr>
          <w:rFonts w:ascii="Arial" w:hAnsi="Arial" w:cs="Arial"/>
          <w:sz w:val="20"/>
          <w:szCs w:val="20"/>
        </w:rPr>
      </w:pPr>
      <w:r w:rsidRPr="009107E5">
        <w:rPr>
          <w:rFonts w:ascii="Arial" w:hAnsi="Arial" w:cs="Arial"/>
          <w:i/>
          <w:iCs/>
          <w:sz w:val="20"/>
          <w:szCs w:val="20"/>
        </w:rPr>
        <w:t xml:space="preserve">Rate of Administration </w:t>
      </w:r>
    </w:p>
    <w:p w14:paraId="391CAE77" w14:textId="77777777" w:rsidR="00F53F98" w:rsidRPr="009107E5" w:rsidRDefault="00F53F98"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Jivi should be injected intravenously over a period of 2 to 5 minutes depending on the total volume.</w:t>
      </w:r>
    </w:p>
    <w:p w14:paraId="1C5DE3CC" w14:textId="77777777" w:rsidR="00F53F98" w:rsidRPr="009107E5" w:rsidRDefault="00F53F98"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The rate of administration should be determined by the patient’s comfort level (maximal rate of injection: 2.5 mL/min).</w:t>
      </w:r>
    </w:p>
    <w:p w14:paraId="7506DEDB" w14:textId="446435BD" w:rsidR="00ED1716" w:rsidRPr="009107E5" w:rsidRDefault="00ED1716" w:rsidP="00AD0441">
      <w:pPr>
        <w:pStyle w:val="Default"/>
        <w:rPr>
          <w:rFonts w:ascii="Arial" w:hAnsi="Arial" w:cs="Arial"/>
          <w:sz w:val="20"/>
          <w:szCs w:val="20"/>
        </w:rPr>
      </w:pPr>
    </w:p>
    <w:p w14:paraId="23A07584" w14:textId="77777777" w:rsidR="00ED1716" w:rsidRPr="009107E5" w:rsidRDefault="00ED1716" w:rsidP="00AD0441">
      <w:pPr>
        <w:pStyle w:val="Default"/>
        <w:rPr>
          <w:rFonts w:ascii="Arial" w:hAnsi="Arial" w:cs="Arial"/>
          <w:sz w:val="20"/>
          <w:szCs w:val="20"/>
        </w:rPr>
      </w:pPr>
      <w:r w:rsidRPr="009107E5">
        <w:rPr>
          <w:rFonts w:ascii="Arial" w:hAnsi="Arial" w:cs="Arial"/>
          <w:sz w:val="20"/>
          <w:szCs w:val="20"/>
        </w:rPr>
        <w:t xml:space="preserve">Each vial of Jivi is labeled with the actual factor VIII potency expressed in IU. The labelled potency is based on the chromogenic assay. </w:t>
      </w:r>
    </w:p>
    <w:p w14:paraId="5DC90977"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rPr>
        <w:t xml:space="preserve">The total recommended maximum dose per infusion is approximately 6000 IU (rounded to vial </w:t>
      </w:r>
      <w:proofErr w:type="gramStart"/>
      <w:r w:rsidRPr="009107E5">
        <w:rPr>
          <w:rFonts w:ascii="Arial" w:hAnsi="Arial" w:cs="Arial"/>
          <w:sz w:val="20"/>
          <w:szCs w:val="20"/>
        </w:rPr>
        <w:t>size)(</w:t>
      </w:r>
      <w:proofErr w:type="gramEnd"/>
      <w:r w:rsidRPr="009107E5">
        <w:rPr>
          <w:rFonts w:ascii="Arial" w:hAnsi="Arial" w:cs="Arial"/>
          <w:sz w:val="20"/>
          <w:szCs w:val="20"/>
        </w:rPr>
        <w:t>see Clinical studies; under section 5.1. Pharmacodynamic properties).</w:t>
      </w:r>
    </w:p>
    <w:p w14:paraId="047D0322" w14:textId="77777777" w:rsidR="00ED1716" w:rsidRPr="009107E5" w:rsidRDefault="00ED1716" w:rsidP="00AD0441">
      <w:pPr>
        <w:autoSpaceDE w:val="0"/>
        <w:autoSpaceDN w:val="0"/>
        <w:adjustRightInd w:val="0"/>
        <w:spacing w:line="240" w:lineRule="auto"/>
        <w:rPr>
          <w:rFonts w:ascii="Arial" w:hAnsi="Arial" w:cs="Arial"/>
          <w:i/>
          <w:iCs/>
          <w:sz w:val="20"/>
          <w:szCs w:val="20"/>
          <w:u w:val="single"/>
          <w:lang w:val="en-US"/>
        </w:rPr>
      </w:pPr>
    </w:p>
    <w:p w14:paraId="4AEDEE37" w14:textId="77777777" w:rsidR="00ED1716" w:rsidRPr="009107E5" w:rsidRDefault="00ED1716" w:rsidP="00AD0441">
      <w:pPr>
        <w:autoSpaceDE w:val="0"/>
        <w:autoSpaceDN w:val="0"/>
        <w:adjustRightInd w:val="0"/>
        <w:spacing w:line="240" w:lineRule="auto"/>
        <w:rPr>
          <w:rFonts w:ascii="Arial" w:hAnsi="Arial" w:cs="Arial"/>
          <w:i/>
          <w:iCs/>
          <w:sz w:val="20"/>
          <w:szCs w:val="20"/>
          <w:u w:val="single"/>
          <w:lang w:val="en-US"/>
        </w:rPr>
      </w:pPr>
      <w:proofErr w:type="spellStart"/>
      <w:r w:rsidRPr="009107E5">
        <w:rPr>
          <w:rFonts w:ascii="Arial" w:hAnsi="Arial" w:cs="Arial"/>
          <w:i/>
          <w:iCs/>
          <w:sz w:val="20"/>
          <w:szCs w:val="20"/>
          <w:u w:val="single"/>
          <w:lang w:val="en-US"/>
        </w:rPr>
        <w:t>Paediatric</w:t>
      </w:r>
      <w:proofErr w:type="spellEnd"/>
      <w:r w:rsidRPr="009107E5">
        <w:rPr>
          <w:rFonts w:ascii="Arial" w:hAnsi="Arial" w:cs="Arial"/>
          <w:i/>
          <w:iCs/>
          <w:sz w:val="20"/>
          <w:szCs w:val="20"/>
          <w:u w:val="single"/>
          <w:lang w:val="en-US"/>
        </w:rPr>
        <w:t xml:space="preserve"> population</w:t>
      </w:r>
    </w:p>
    <w:p w14:paraId="24D89D08"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Jivi is not indicated in previously untreated patients and in patients less than 12 years of age.</w:t>
      </w:r>
    </w:p>
    <w:p w14:paraId="250D08B6" w14:textId="77777777" w:rsidR="00ED1716" w:rsidRPr="009107E5" w:rsidRDefault="00ED1716" w:rsidP="00AD0441">
      <w:pPr>
        <w:autoSpaceDE w:val="0"/>
        <w:autoSpaceDN w:val="0"/>
        <w:adjustRightInd w:val="0"/>
        <w:spacing w:line="240" w:lineRule="auto"/>
        <w:rPr>
          <w:rFonts w:ascii="Arial" w:hAnsi="Arial" w:cs="Arial"/>
          <w:i/>
          <w:iCs/>
          <w:sz w:val="20"/>
          <w:szCs w:val="20"/>
          <w:lang w:val="en-US"/>
        </w:rPr>
      </w:pPr>
    </w:p>
    <w:p w14:paraId="0013E891" w14:textId="77777777" w:rsidR="00ED1716" w:rsidRPr="009107E5" w:rsidRDefault="00ED1716" w:rsidP="00AD0441">
      <w:pPr>
        <w:autoSpaceDE w:val="0"/>
        <w:autoSpaceDN w:val="0"/>
        <w:adjustRightInd w:val="0"/>
        <w:spacing w:line="240" w:lineRule="auto"/>
        <w:rPr>
          <w:rFonts w:ascii="Arial" w:hAnsi="Arial" w:cs="Arial"/>
          <w:i/>
          <w:iCs/>
          <w:sz w:val="20"/>
          <w:szCs w:val="20"/>
          <w:u w:val="single"/>
          <w:lang w:val="en-US"/>
        </w:rPr>
      </w:pPr>
      <w:r w:rsidRPr="009107E5">
        <w:rPr>
          <w:rFonts w:ascii="Arial" w:hAnsi="Arial" w:cs="Arial"/>
          <w:i/>
          <w:iCs/>
          <w:sz w:val="20"/>
          <w:szCs w:val="20"/>
          <w:u w:val="single"/>
          <w:lang w:val="en-US"/>
        </w:rPr>
        <w:lastRenderedPageBreak/>
        <w:t>Adolescent population</w:t>
      </w:r>
    </w:p>
    <w:p w14:paraId="16CDA9DE"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On demand and prophylactic treatment dosing in adolescent patients is the same as for adult patients.</w:t>
      </w:r>
    </w:p>
    <w:p w14:paraId="6AFA5D0C" w14:textId="77777777" w:rsidR="00ED1716" w:rsidRPr="009107E5" w:rsidRDefault="00ED1716" w:rsidP="00AD0441">
      <w:pPr>
        <w:autoSpaceDE w:val="0"/>
        <w:autoSpaceDN w:val="0"/>
        <w:adjustRightInd w:val="0"/>
        <w:spacing w:line="240" w:lineRule="auto"/>
        <w:rPr>
          <w:rFonts w:ascii="Arial" w:hAnsi="Arial" w:cs="Arial"/>
          <w:i/>
          <w:iCs/>
          <w:sz w:val="20"/>
          <w:szCs w:val="20"/>
          <w:lang w:val="en-US"/>
        </w:rPr>
      </w:pPr>
    </w:p>
    <w:p w14:paraId="21D09416" w14:textId="77777777" w:rsidR="00ED1716" w:rsidRPr="009107E5" w:rsidRDefault="00ED1716" w:rsidP="00AD0441">
      <w:pPr>
        <w:autoSpaceDE w:val="0"/>
        <w:autoSpaceDN w:val="0"/>
        <w:adjustRightInd w:val="0"/>
        <w:spacing w:line="240" w:lineRule="auto"/>
        <w:rPr>
          <w:rFonts w:ascii="Arial" w:hAnsi="Arial" w:cs="Arial"/>
          <w:i/>
          <w:iCs/>
          <w:sz w:val="20"/>
          <w:szCs w:val="20"/>
          <w:u w:val="single"/>
          <w:lang w:val="en-US"/>
        </w:rPr>
      </w:pPr>
      <w:r w:rsidRPr="009107E5">
        <w:rPr>
          <w:rFonts w:ascii="Arial" w:hAnsi="Arial" w:cs="Arial"/>
          <w:i/>
          <w:iCs/>
          <w:sz w:val="20"/>
          <w:szCs w:val="20"/>
          <w:u w:val="single"/>
          <w:lang w:val="en-US"/>
        </w:rPr>
        <w:t>Elderly population</w:t>
      </w:r>
    </w:p>
    <w:p w14:paraId="59CDC1AB"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There is limited experience in patients </w:t>
      </w:r>
      <w:r w:rsidRPr="009107E5">
        <w:rPr>
          <w:rFonts w:ascii="Arial" w:eastAsia="TimesNewRomanPSMT" w:hAnsi="Arial" w:cs="Arial"/>
          <w:sz w:val="20"/>
          <w:szCs w:val="20"/>
          <w:lang w:val="en-US"/>
        </w:rPr>
        <w:t xml:space="preserve">≥ </w:t>
      </w:r>
      <w:r w:rsidRPr="009107E5">
        <w:rPr>
          <w:rFonts w:ascii="Arial" w:hAnsi="Arial" w:cs="Arial"/>
          <w:sz w:val="20"/>
          <w:szCs w:val="20"/>
          <w:lang w:val="en-US"/>
        </w:rPr>
        <w:t>65 years.</w:t>
      </w:r>
    </w:p>
    <w:p w14:paraId="239AA8B8" w14:textId="77777777" w:rsidR="00ED1716" w:rsidRPr="009107E5" w:rsidRDefault="00ED1716" w:rsidP="00AD0441">
      <w:pPr>
        <w:autoSpaceDE w:val="0"/>
        <w:autoSpaceDN w:val="0"/>
        <w:adjustRightInd w:val="0"/>
        <w:spacing w:line="240" w:lineRule="auto"/>
        <w:rPr>
          <w:rFonts w:ascii="Arial" w:hAnsi="Arial" w:cs="Arial"/>
          <w:b/>
          <w:bCs/>
          <w:sz w:val="20"/>
          <w:szCs w:val="20"/>
          <w:lang w:val="en-US"/>
        </w:rPr>
      </w:pPr>
    </w:p>
    <w:p w14:paraId="0F363C52" w14:textId="0DA23A13" w:rsidR="00ED1716" w:rsidRPr="009107E5" w:rsidRDefault="00ED1716" w:rsidP="00AD0441">
      <w:pPr>
        <w:autoSpaceDE w:val="0"/>
        <w:autoSpaceDN w:val="0"/>
        <w:adjustRightInd w:val="0"/>
        <w:spacing w:line="240" w:lineRule="auto"/>
        <w:rPr>
          <w:rFonts w:ascii="Arial" w:hAnsi="Arial" w:cs="Arial"/>
          <w:b/>
          <w:bCs/>
          <w:sz w:val="20"/>
          <w:szCs w:val="20"/>
          <w:lang w:val="en-US"/>
        </w:rPr>
      </w:pPr>
      <w:r w:rsidRPr="009107E5">
        <w:rPr>
          <w:rFonts w:ascii="Arial" w:hAnsi="Arial" w:cs="Arial"/>
          <w:b/>
          <w:bCs/>
          <w:sz w:val="20"/>
          <w:szCs w:val="20"/>
          <w:lang w:val="en-US"/>
        </w:rPr>
        <w:t>Instructions for use/ handling</w:t>
      </w:r>
    </w:p>
    <w:p w14:paraId="2EB4DF38" w14:textId="77777777" w:rsidR="00ED1716" w:rsidRPr="009107E5" w:rsidRDefault="00ED1716" w:rsidP="00AD0441">
      <w:pPr>
        <w:pStyle w:val="Default"/>
        <w:rPr>
          <w:rFonts w:ascii="Arial" w:hAnsi="Arial" w:cs="Arial"/>
          <w:sz w:val="20"/>
          <w:szCs w:val="20"/>
        </w:rPr>
      </w:pPr>
    </w:p>
    <w:p w14:paraId="6BE4417B"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Jivi powder should only be reconstituted with the supplied solvent (2.5 mL water for injections) in the</w:t>
      </w:r>
    </w:p>
    <w:p w14:paraId="2EB0F93B"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proofErr w:type="gramStart"/>
      <w:r w:rsidRPr="009107E5">
        <w:rPr>
          <w:rFonts w:ascii="Arial" w:hAnsi="Arial" w:cs="Arial"/>
          <w:sz w:val="20"/>
          <w:szCs w:val="20"/>
          <w:lang w:val="en-US"/>
        </w:rPr>
        <w:t>prefilled-syringe</w:t>
      </w:r>
      <w:proofErr w:type="gramEnd"/>
      <w:r w:rsidRPr="009107E5">
        <w:rPr>
          <w:rFonts w:ascii="Arial" w:hAnsi="Arial" w:cs="Arial"/>
          <w:sz w:val="20"/>
          <w:szCs w:val="20"/>
          <w:lang w:val="en-US"/>
        </w:rPr>
        <w:t xml:space="preserve"> and the vial adapter. The medicinal product must be prepared for injection under</w:t>
      </w:r>
    </w:p>
    <w:p w14:paraId="5656157D"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aseptic conditions. If any component of the package is opened or damaged, do not use this component.</w:t>
      </w:r>
    </w:p>
    <w:p w14:paraId="3F833A12"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p>
    <w:p w14:paraId="2857A054"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After reconstitution the solution is clear and </w:t>
      </w:r>
      <w:proofErr w:type="spellStart"/>
      <w:r w:rsidRPr="009107E5">
        <w:rPr>
          <w:rFonts w:ascii="Arial" w:hAnsi="Arial" w:cs="Arial"/>
          <w:sz w:val="20"/>
          <w:szCs w:val="20"/>
          <w:lang w:val="en-US"/>
        </w:rPr>
        <w:t>colourless</w:t>
      </w:r>
      <w:proofErr w:type="spellEnd"/>
      <w:r w:rsidRPr="009107E5">
        <w:rPr>
          <w:rFonts w:ascii="Arial" w:hAnsi="Arial" w:cs="Arial"/>
          <w:sz w:val="20"/>
          <w:szCs w:val="20"/>
          <w:lang w:val="en-US"/>
        </w:rPr>
        <w:t xml:space="preserve"> and then drawn back into the syringe.</w:t>
      </w:r>
    </w:p>
    <w:p w14:paraId="44AE7D8C"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Parenteral medicinal products should be inspected visually for particulate matter and </w:t>
      </w:r>
      <w:proofErr w:type="spellStart"/>
      <w:proofErr w:type="gramStart"/>
      <w:r w:rsidRPr="009107E5">
        <w:rPr>
          <w:rFonts w:ascii="Arial" w:hAnsi="Arial" w:cs="Arial"/>
          <w:sz w:val="20"/>
          <w:szCs w:val="20"/>
          <w:lang w:val="en-US"/>
        </w:rPr>
        <w:t>discolouration</w:t>
      </w:r>
      <w:proofErr w:type="spellEnd"/>
      <w:proofErr w:type="gramEnd"/>
    </w:p>
    <w:p w14:paraId="75134530"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prior to administration.</w:t>
      </w:r>
    </w:p>
    <w:p w14:paraId="7F5240C3"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p>
    <w:p w14:paraId="118B82A3"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The reconstituted product must be filtered prior to administration to remove potential </w:t>
      </w:r>
      <w:proofErr w:type="gramStart"/>
      <w:r w:rsidRPr="009107E5">
        <w:rPr>
          <w:rFonts w:ascii="Arial" w:hAnsi="Arial" w:cs="Arial"/>
          <w:sz w:val="20"/>
          <w:szCs w:val="20"/>
          <w:lang w:val="en-US"/>
        </w:rPr>
        <w:t>particulate</w:t>
      </w:r>
      <w:proofErr w:type="gramEnd"/>
    </w:p>
    <w:p w14:paraId="301F5C31"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matter in the solution. Filtering is achieved by using the vial adapter (see detailed instructions in the table below).</w:t>
      </w:r>
    </w:p>
    <w:p w14:paraId="3E208763"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p>
    <w:p w14:paraId="00F6B4AA" w14:textId="2BC837BD" w:rsidR="00ED1716" w:rsidRPr="009107E5" w:rsidRDefault="004A6800" w:rsidP="00AD0441">
      <w:pPr>
        <w:pStyle w:val="BodyText"/>
        <w:kinsoku w:val="0"/>
        <w:overflowPunct w:val="0"/>
        <w:spacing w:before="72"/>
        <w:ind w:right="220"/>
        <w:rPr>
          <w:rFonts w:ascii="Arial" w:hAnsi="Arial" w:cs="Arial"/>
          <w:spacing w:val="-1"/>
          <w:sz w:val="20"/>
          <w:szCs w:val="20"/>
        </w:rPr>
      </w:pPr>
      <w:r w:rsidRPr="009107E5">
        <w:rPr>
          <w:rFonts w:ascii="Arial" w:hAnsi="Arial" w:cs="Arial"/>
          <w:sz w:val="20"/>
          <w:szCs w:val="20"/>
          <w:lang w:val="en-US"/>
        </w:rPr>
        <w:t xml:space="preserve">The product is for single use in one patient only. Discard any residue. </w:t>
      </w:r>
      <w:r w:rsidR="00ED1716" w:rsidRPr="009107E5">
        <w:rPr>
          <w:rFonts w:ascii="Arial" w:hAnsi="Arial" w:cs="Arial"/>
          <w:sz w:val="20"/>
          <w:szCs w:val="20"/>
        </w:rPr>
        <w:t>Place</w:t>
      </w:r>
      <w:r w:rsidR="00ED1716" w:rsidRPr="009107E5">
        <w:rPr>
          <w:rFonts w:ascii="Arial" w:hAnsi="Arial" w:cs="Arial"/>
          <w:spacing w:val="7"/>
          <w:sz w:val="20"/>
          <w:szCs w:val="20"/>
        </w:rPr>
        <w:t xml:space="preserve"> </w:t>
      </w:r>
      <w:r w:rsidR="00ED1716" w:rsidRPr="009107E5">
        <w:rPr>
          <w:rFonts w:ascii="Arial" w:hAnsi="Arial" w:cs="Arial"/>
          <w:spacing w:val="-1"/>
          <w:sz w:val="20"/>
          <w:szCs w:val="20"/>
        </w:rPr>
        <w:t>needles</w:t>
      </w:r>
      <w:r w:rsidR="00ED1716" w:rsidRPr="009107E5">
        <w:rPr>
          <w:rFonts w:ascii="Arial" w:hAnsi="Arial" w:cs="Arial"/>
          <w:spacing w:val="7"/>
          <w:sz w:val="20"/>
          <w:szCs w:val="20"/>
        </w:rPr>
        <w:t xml:space="preserve"> </w:t>
      </w:r>
      <w:r w:rsidR="00ED1716" w:rsidRPr="009107E5">
        <w:rPr>
          <w:rFonts w:ascii="Arial" w:hAnsi="Arial" w:cs="Arial"/>
          <w:sz w:val="20"/>
          <w:szCs w:val="20"/>
        </w:rPr>
        <w:t>in</w:t>
      </w:r>
      <w:r w:rsidR="00ED1716" w:rsidRPr="009107E5">
        <w:rPr>
          <w:rFonts w:ascii="Arial" w:hAnsi="Arial" w:cs="Arial"/>
          <w:spacing w:val="7"/>
          <w:sz w:val="20"/>
          <w:szCs w:val="20"/>
        </w:rPr>
        <w:t xml:space="preserve"> </w:t>
      </w:r>
      <w:r w:rsidR="00ED1716" w:rsidRPr="009107E5">
        <w:rPr>
          <w:rFonts w:ascii="Arial" w:hAnsi="Arial" w:cs="Arial"/>
          <w:sz w:val="20"/>
          <w:szCs w:val="20"/>
        </w:rPr>
        <w:t>a</w:t>
      </w:r>
      <w:r w:rsidR="00ED1716" w:rsidRPr="009107E5">
        <w:rPr>
          <w:rFonts w:ascii="Arial" w:hAnsi="Arial" w:cs="Arial"/>
          <w:spacing w:val="7"/>
          <w:sz w:val="20"/>
          <w:szCs w:val="20"/>
        </w:rPr>
        <w:t xml:space="preserve"> </w:t>
      </w:r>
      <w:proofErr w:type="gramStart"/>
      <w:r w:rsidR="00ED1716" w:rsidRPr="009107E5">
        <w:rPr>
          <w:rFonts w:ascii="Arial" w:hAnsi="Arial" w:cs="Arial"/>
          <w:spacing w:val="-1"/>
          <w:sz w:val="20"/>
          <w:szCs w:val="20"/>
        </w:rPr>
        <w:t>sharps</w:t>
      </w:r>
      <w:proofErr w:type="gramEnd"/>
      <w:r w:rsidR="00ED1716" w:rsidRPr="009107E5">
        <w:rPr>
          <w:rFonts w:ascii="Arial" w:hAnsi="Arial" w:cs="Arial"/>
          <w:spacing w:val="10"/>
          <w:sz w:val="20"/>
          <w:szCs w:val="20"/>
        </w:rPr>
        <w:t xml:space="preserve"> </w:t>
      </w:r>
      <w:r w:rsidR="00ED1716" w:rsidRPr="009107E5">
        <w:rPr>
          <w:rFonts w:ascii="Arial" w:hAnsi="Arial" w:cs="Arial"/>
          <w:spacing w:val="-1"/>
          <w:sz w:val="20"/>
          <w:szCs w:val="20"/>
        </w:rPr>
        <w:t>container</w:t>
      </w:r>
      <w:r w:rsidR="00ED1716" w:rsidRPr="009107E5">
        <w:rPr>
          <w:rFonts w:ascii="Arial" w:hAnsi="Arial" w:cs="Arial"/>
          <w:spacing w:val="10"/>
          <w:sz w:val="20"/>
          <w:szCs w:val="20"/>
        </w:rPr>
        <w:t xml:space="preserve"> </w:t>
      </w:r>
      <w:r w:rsidR="00ED1716" w:rsidRPr="009107E5">
        <w:rPr>
          <w:rFonts w:ascii="Arial" w:hAnsi="Arial" w:cs="Arial"/>
          <w:spacing w:val="-1"/>
          <w:sz w:val="20"/>
          <w:szCs w:val="20"/>
        </w:rPr>
        <w:t>after</w:t>
      </w:r>
      <w:r w:rsidR="00ED1716" w:rsidRPr="009107E5">
        <w:rPr>
          <w:rFonts w:ascii="Arial" w:hAnsi="Arial" w:cs="Arial"/>
          <w:spacing w:val="8"/>
          <w:sz w:val="20"/>
          <w:szCs w:val="20"/>
        </w:rPr>
        <w:t xml:space="preserve"> </w:t>
      </w:r>
      <w:r w:rsidR="00ED1716" w:rsidRPr="009107E5">
        <w:rPr>
          <w:rFonts w:ascii="Arial" w:hAnsi="Arial" w:cs="Arial"/>
          <w:spacing w:val="-1"/>
          <w:sz w:val="20"/>
          <w:szCs w:val="20"/>
        </w:rPr>
        <w:t>single-use.</w:t>
      </w:r>
      <w:r w:rsidR="00ED1716" w:rsidRPr="009107E5">
        <w:rPr>
          <w:rFonts w:ascii="Arial" w:hAnsi="Arial" w:cs="Arial"/>
          <w:spacing w:val="9"/>
          <w:sz w:val="20"/>
          <w:szCs w:val="20"/>
        </w:rPr>
        <w:t xml:space="preserve"> </w:t>
      </w:r>
      <w:r w:rsidR="00ED1716" w:rsidRPr="009107E5">
        <w:rPr>
          <w:rFonts w:ascii="Arial" w:hAnsi="Arial" w:cs="Arial"/>
          <w:spacing w:val="-1"/>
          <w:sz w:val="20"/>
          <w:szCs w:val="20"/>
        </w:rPr>
        <w:t>Discard</w:t>
      </w:r>
      <w:r w:rsidR="00ED1716" w:rsidRPr="009107E5">
        <w:rPr>
          <w:rFonts w:ascii="Arial" w:hAnsi="Arial" w:cs="Arial"/>
          <w:spacing w:val="7"/>
          <w:sz w:val="20"/>
          <w:szCs w:val="20"/>
        </w:rPr>
        <w:t xml:space="preserve"> </w:t>
      </w:r>
      <w:r w:rsidR="00ED1716" w:rsidRPr="009107E5">
        <w:rPr>
          <w:rFonts w:ascii="Arial" w:hAnsi="Arial" w:cs="Arial"/>
          <w:spacing w:val="-1"/>
          <w:sz w:val="20"/>
          <w:szCs w:val="20"/>
        </w:rPr>
        <w:t>all</w:t>
      </w:r>
      <w:r w:rsidR="00ED1716" w:rsidRPr="009107E5">
        <w:rPr>
          <w:rFonts w:ascii="Arial" w:hAnsi="Arial" w:cs="Arial"/>
          <w:spacing w:val="8"/>
          <w:sz w:val="20"/>
          <w:szCs w:val="20"/>
        </w:rPr>
        <w:t xml:space="preserve"> </w:t>
      </w:r>
      <w:r w:rsidR="00ED1716" w:rsidRPr="009107E5">
        <w:rPr>
          <w:rFonts w:ascii="Arial" w:hAnsi="Arial" w:cs="Arial"/>
          <w:spacing w:val="-1"/>
          <w:sz w:val="20"/>
          <w:szCs w:val="20"/>
        </w:rPr>
        <w:t>equipment,</w:t>
      </w:r>
      <w:r w:rsidR="00ED1716" w:rsidRPr="009107E5">
        <w:rPr>
          <w:rFonts w:ascii="Arial" w:hAnsi="Arial" w:cs="Arial"/>
          <w:spacing w:val="7"/>
          <w:sz w:val="20"/>
          <w:szCs w:val="20"/>
        </w:rPr>
        <w:t xml:space="preserve"> </w:t>
      </w:r>
      <w:r w:rsidR="00ED1716" w:rsidRPr="009107E5">
        <w:rPr>
          <w:rFonts w:ascii="Arial" w:hAnsi="Arial" w:cs="Arial"/>
          <w:spacing w:val="-1"/>
          <w:sz w:val="20"/>
          <w:szCs w:val="20"/>
        </w:rPr>
        <w:t>including</w:t>
      </w:r>
      <w:r w:rsidR="00ED1716" w:rsidRPr="009107E5">
        <w:rPr>
          <w:rFonts w:ascii="Arial" w:hAnsi="Arial" w:cs="Arial"/>
          <w:spacing w:val="7"/>
          <w:sz w:val="20"/>
          <w:szCs w:val="20"/>
        </w:rPr>
        <w:t xml:space="preserve"> </w:t>
      </w:r>
      <w:r w:rsidR="00ED1716" w:rsidRPr="009107E5">
        <w:rPr>
          <w:rFonts w:ascii="Arial" w:hAnsi="Arial" w:cs="Arial"/>
          <w:sz w:val="20"/>
          <w:szCs w:val="20"/>
        </w:rPr>
        <w:t>any</w:t>
      </w:r>
      <w:r w:rsidR="00ED1716" w:rsidRPr="009107E5">
        <w:rPr>
          <w:rFonts w:ascii="Arial" w:hAnsi="Arial" w:cs="Arial"/>
          <w:spacing w:val="7"/>
          <w:sz w:val="20"/>
          <w:szCs w:val="20"/>
        </w:rPr>
        <w:t xml:space="preserve"> </w:t>
      </w:r>
      <w:r w:rsidR="00ED1716" w:rsidRPr="009107E5">
        <w:rPr>
          <w:rFonts w:ascii="Arial" w:hAnsi="Arial" w:cs="Arial"/>
          <w:spacing w:val="-1"/>
          <w:sz w:val="20"/>
          <w:szCs w:val="20"/>
        </w:rPr>
        <w:t>reconstituted</w:t>
      </w:r>
      <w:r w:rsidR="00ED1716" w:rsidRPr="009107E5">
        <w:rPr>
          <w:rFonts w:ascii="Arial" w:hAnsi="Arial" w:cs="Arial"/>
          <w:spacing w:val="4"/>
          <w:sz w:val="20"/>
          <w:szCs w:val="20"/>
        </w:rPr>
        <w:t xml:space="preserve"> </w:t>
      </w:r>
      <w:r w:rsidR="00ED1716" w:rsidRPr="009107E5">
        <w:rPr>
          <w:rFonts w:ascii="Arial" w:hAnsi="Arial" w:cs="Arial"/>
          <w:spacing w:val="-1"/>
          <w:sz w:val="20"/>
          <w:szCs w:val="20"/>
        </w:rPr>
        <w:t>Jivi</w:t>
      </w:r>
      <w:r w:rsidR="00ED1716" w:rsidRPr="009107E5">
        <w:rPr>
          <w:rFonts w:ascii="Arial" w:hAnsi="Arial" w:cs="Arial"/>
          <w:spacing w:val="77"/>
          <w:sz w:val="20"/>
          <w:szCs w:val="20"/>
        </w:rPr>
        <w:t xml:space="preserve"> </w:t>
      </w:r>
      <w:r w:rsidR="00ED1716" w:rsidRPr="009107E5">
        <w:rPr>
          <w:rFonts w:ascii="Arial" w:hAnsi="Arial" w:cs="Arial"/>
          <w:spacing w:val="-1"/>
          <w:sz w:val="20"/>
          <w:szCs w:val="20"/>
        </w:rPr>
        <w:t>product,</w:t>
      </w:r>
      <w:r w:rsidR="00ED1716" w:rsidRPr="009107E5">
        <w:rPr>
          <w:rFonts w:ascii="Arial" w:hAnsi="Arial" w:cs="Arial"/>
          <w:spacing w:val="-3"/>
          <w:sz w:val="20"/>
          <w:szCs w:val="20"/>
        </w:rPr>
        <w:t xml:space="preserve"> </w:t>
      </w:r>
      <w:r w:rsidR="00ED1716" w:rsidRPr="009107E5">
        <w:rPr>
          <w:rFonts w:ascii="Arial" w:hAnsi="Arial" w:cs="Arial"/>
          <w:sz w:val="20"/>
          <w:szCs w:val="20"/>
        </w:rPr>
        <w:t xml:space="preserve">in </w:t>
      </w:r>
      <w:r w:rsidR="00ED1716" w:rsidRPr="009107E5">
        <w:rPr>
          <w:rFonts w:ascii="Arial" w:hAnsi="Arial" w:cs="Arial"/>
          <w:spacing w:val="-1"/>
          <w:sz w:val="20"/>
          <w:szCs w:val="20"/>
        </w:rPr>
        <w:t>accordance</w:t>
      </w:r>
      <w:r w:rsidR="00ED1716" w:rsidRPr="009107E5">
        <w:rPr>
          <w:rFonts w:ascii="Arial" w:hAnsi="Arial" w:cs="Arial"/>
          <w:sz w:val="20"/>
          <w:szCs w:val="20"/>
        </w:rPr>
        <w:t xml:space="preserve"> </w:t>
      </w:r>
      <w:r w:rsidR="00ED1716" w:rsidRPr="009107E5">
        <w:rPr>
          <w:rFonts w:ascii="Arial" w:hAnsi="Arial" w:cs="Arial"/>
          <w:spacing w:val="-1"/>
          <w:sz w:val="20"/>
          <w:szCs w:val="20"/>
        </w:rPr>
        <w:t>with</w:t>
      </w:r>
      <w:r w:rsidR="00ED1716" w:rsidRPr="009107E5">
        <w:rPr>
          <w:rFonts w:ascii="Arial" w:hAnsi="Arial" w:cs="Arial"/>
          <w:spacing w:val="-3"/>
          <w:sz w:val="20"/>
          <w:szCs w:val="20"/>
        </w:rPr>
        <w:t xml:space="preserve"> </w:t>
      </w:r>
      <w:r w:rsidR="00ED1716" w:rsidRPr="009107E5">
        <w:rPr>
          <w:rFonts w:ascii="Arial" w:hAnsi="Arial" w:cs="Arial"/>
          <w:spacing w:val="-1"/>
          <w:sz w:val="20"/>
          <w:szCs w:val="20"/>
        </w:rPr>
        <w:t>biohazard</w:t>
      </w:r>
      <w:r w:rsidR="00ED1716" w:rsidRPr="009107E5">
        <w:rPr>
          <w:rFonts w:ascii="Arial" w:hAnsi="Arial" w:cs="Arial"/>
          <w:sz w:val="20"/>
          <w:szCs w:val="20"/>
        </w:rPr>
        <w:t xml:space="preserve"> </w:t>
      </w:r>
      <w:r w:rsidR="00ED1716" w:rsidRPr="009107E5">
        <w:rPr>
          <w:rFonts w:ascii="Arial" w:hAnsi="Arial" w:cs="Arial"/>
          <w:spacing w:val="-1"/>
          <w:sz w:val="20"/>
          <w:szCs w:val="20"/>
        </w:rPr>
        <w:t>procedures.</w:t>
      </w:r>
    </w:p>
    <w:p w14:paraId="21DFF2BC" w14:textId="77777777" w:rsidR="00ED1716" w:rsidRPr="009107E5" w:rsidRDefault="00ED1716" w:rsidP="00AD0441">
      <w:pPr>
        <w:pStyle w:val="Default"/>
        <w:rPr>
          <w:rFonts w:ascii="Arial" w:hAnsi="Arial" w:cs="Arial"/>
          <w:b/>
          <w:bCs/>
          <w:sz w:val="20"/>
          <w:szCs w:val="20"/>
        </w:rPr>
      </w:pPr>
      <w:r w:rsidRPr="009107E5">
        <w:rPr>
          <w:rFonts w:ascii="Arial" w:hAnsi="Arial" w:cs="Arial"/>
          <w:b/>
          <w:bCs/>
          <w:sz w:val="20"/>
          <w:szCs w:val="20"/>
        </w:rPr>
        <w:t>Detailed instructions for reconstitution and administration of Jivi</w:t>
      </w:r>
    </w:p>
    <w:p w14:paraId="276FCDAC"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You will need alcohol swabs, gauze pads, </w:t>
      </w:r>
      <w:proofErr w:type="gramStart"/>
      <w:r w:rsidRPr="009107E5">
        <w:rPr>
          <w:rFonts w:ascii="Arial" w:hAnsi="Arial" w:cs="Arial"/>
          <w:sz w:val="20"/>
          <w:szCs w:val="20"/>
          <w:lang w:val="en-US"/>
        </w:rPr>
        <w:t>plasters</w:t>
      </w:r>
      <w:proofErr w:type="gramEnd"/>
      <w:r w:rsidRPr="009107E5">
        <w:rPr>
          <w:rFonts w:ascii="Arial" w:hAnsi="Arial" w:cs="Arial"/>
          <w:sz w:val="20"/>
          <w:szCs w:val="20"/>
          <w:lang w:val="en-US"/>
        </w:rPr>
        <w:t xml:space="preserve"> and tourniquet. These items are not included in the</w:t>
      </w:r>
    </w:p>
    <w:p w14:paraId="0731FBE1" w14:textId="77777777" w:rsidR="00ED1716" w:rsidRPr="009107E5" w:rsidRDefault="00ED1716" w:rsidP="00AD0441">
      <w:pPr>
        <w:pStyle w:val="Default"/>
        <w:rPr>
          <w:rFonts w:ascii="Arial" w:hAnsi="Arial" w:cs="Arial"/>
          <w:sz w:val="20"/>
          <w:szCs w:val="20"/>
        </w:rPr>
      </w:pPr>
      <w:r w:rsidRPr="009107E5">
        <w:rPr>
          <w:rFonts w:ascii="Arial" w:hAnsi="Arial" w:cs="Arial"/>
          <w:sz w:val="20"/>
          <w:szCs w:val="20"/>
        </w:rPr>
        <w:t>Jivi package.</w:t>
      </w:r>
    </w:p>
    <w:p w14:paraId="2398A9A7" w14:textId="77777777" w:rsidR="00ED1716" w:rsidRPr="009107E5" w:rsidRDefault="00ED1716" w:rsidP="00AD0441">
      <w:pPr>
        <w:pStyle w:val="Defaul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5"/>
        <w:gridCol w:w="1631"/>
      </w:tblGrid>
      <w:tr w:rsidR="00ED1716" w:rsidRPr="009107E5" w14:paraId="1760C072" w14:textId="77777777" w:rsidTr="004D21FD">
        <w:tc>
          <w:tcPr>
            <w:tcW w:w="9288" w:type="dxa"/>
            <w:gridSpan w:val="2"/>
          </w:tcPr>
          <w:p w14:paraId="32B12703" w14:textId="77777777" w:rsidR="00ED1716" w:rsidRPr="009107E5" w:rsidRDefault="00ED1716" w:rsidP="00AD0441">
            <w:pPr>
              <w:keepNext/>
              <w:ind w:left="567" w:hanging="567"/>
              <w:rPr>
                <w:rFonts w:ascii="Arial" w:hAnsi="Arial" w:cs="Arial"/>
                <w:sz w:val="20"/>
                <w:szCs w:val="20"/>
              </w:rPr>
            </w:pPr>
            <w:r w:rsidRPr="009107E5">
              <w:rPr>
                <w:rFonts w:ascii="Arial" w:hAnsi="Arial" w:cs="Arial"/>
                <w:sz w:val="20"/>
                <w:szCs w:val="20"/>
              </w:rPr>
              <w:t>1.</w:t>
            </w:r>
            <w:r w:rsidRPr="009107E5">
              <w:rPr>
                <w:rFonts w:ascii="Arial" w:hAnsi="Arial" w:cs="Arial"/>
                <w:sz w:val="20"/>
                <w:szCs w:val="20"/>
              </w:rPr>
              <w:tab/>
              <w:t>Wash your hands thoroughly using soap and warm water.</w:t>
            </w:r>
          </w:p>
          <w:p w14:paraId="51327289" w14:textId="77777777" w:rsidR="00ED1716" w:rsidRPr="009107E5" w:rsidRDefault="00ED1716" w:rsidP="00AD0441">
            <w:pPr>
              <w:keepNext/>
              <w:rPr>
                <w:rFonts w:ascii="Arial" w:hAnsi="Arial" w:cs="Arial"/>
                <w:sz w:val="20"/>
                <w:szCs w:val="20"/>
              </w:rPr>
            </w:pPr>
          </w:p>
        </w:tc>
      </w:tr>
      <w:tr w:rsidR="00ED1716" w:rsidRPr="009107E5" w14:paraId="204C6770" w14:textId="77777777" w:rsidTr="004D21FD">
        <w:tc>
          <w:tcPr>
            <w:tcW w:w="9288" w:type="dxa"/>
            <w:gridSpan w:val="2"/>
          </w:tcPr>
          <w:p w14:paraId="75C3A49C" w14:textId="77777777" w:rsidR="00ED1716" w:rsidRPr="009107E5" w:rsidRDefault="00ED1716" w:rsidP="00AD0441">
            <w:pPr>
              <w:ind w:left="567" w:hanging="567"/>
              <w:rPr>
                <w:rFonts w:ascii="Arial" w:hAnsi="Arial" w:cs="Arial"/>
                <w:sz w:val="20"/>
                <w:szCs w:val="20"/>
              </w:rPr>
            </w:pPr>
            <w:r w:rsidRPr="009107E5">
              <w:rPr>
                <w:rFonts w:ascii="Arial" w:hAnsi="Arial" w:cs="Arial"/>
                <w:sz w:val="20"/>
                <w:szCs w:val="20"/>
              </w:rPr>
              <w:t>2.</w:t>
            </w:r>
            <w:r w:rsidRPr="009107E5">
              <w:rPr>
                <w:rFonts w:ascii="Arial" w:hAnsi="Arial" w:cs="Arial"/>
                <w:sz w:val="20"/>
                <w:szCs w:val="20"/>
              </w:rPr>
              <w:tab/>
            </w:r>
            <w:r w:rsidRPr="009107E5">
              <w:rPr>
                <w:rFonts w:ascii="Arial" w:hAnsi="Arial" w:cs="Arial"/>
                <w:sz w:val="20"/>
                <w:szCs w:val="20"/>
                <w:lang w:val="en-US"/>
              </w:rPr>
              <w:t xml:space="preserve">Hold an unopened vial </w:t>
            </w:r>
            <w:proofErr w:type="gramStart"/>
            <w:r w:rsidRPr="009107E5">
              <w:rPr>
                <w:rFonts w:ascii="Arial" w:hAnsi="Arial" w:cs="Arial"/>
                <w:sz w:val="20"/>
                <w:szCs w:val="20"/>
                <w:lang w:val="en-US"/>
              </w:rPr>
              <w:t>and also</w:t>
            </w:r>
            <w:proofErr w:type="gramEnd"/>
            <w:r w:rsidRPr="009018D8">
              <w:rPr>
                <w:rFonts w:ascii="Arial" w:hAnsi="Arial" w:cs="Arial"/>
                <w:sz w:val="20"/>
                <w:szCs w:val="20"/>
                <w:lang w:val="en-US"/>
              </w:rPr>
              <w:t xml:space="preserve"> a syringe in your hands to warm it to a comfortable temperature (do not exceed 37 °C).</w:t>
            </w:r>
          </w:p>
          <w:p w14:paraId="6D8EF4A6" w14:textId="77777777" w:rsidR="00ED1716" w:rsidRPr="009107E5" w:rsidRDefault="00ED1716" w:rsidP="00AD0441">
            <w:pPr>
              <w:rPr>
                <w:rFonts w:ascii="Arial" w:hAnsi="Arial" w:cs="Arial"/>
                <w:sz w:val="20"/>
                <w:szCs w:val="20"/>
              </w:rPr>
            </w:pPr>
          </w:p>
        </w:tc>
      </w:tr>
      <w:tr w:rsidR="00ED1716" w:rsidRPr="009107E5" w14:paraId="40E2AFF0" w14:textId="77777777" w:rsidTr="004D21FD">
        <w:tc>
          <w:tcPr>
            <w:tcW w:w="7657" w:type="dxa"/>
          </w:tcPr>
          <w:p w14:paraId="2E28F327" w14:textId="77777777" w:rsidR="00ED1716" w:rsidRPr="009107E5" w:rsidRDefault="00ED1716" w:rsidP="00AD0441">
            <w:pPr>
              <w:ind w:left="567" w:hanging="567"/>
              <w:rPr>
                <w:rFonts w:ascii="Arial" w:hAnsi="Arial" w:cs="Arial"/>
                <w:sz w:val="20"/>
                <w:szCs w:val="20"/>
              </w:rPr>
            </w:pPr>
            <w:r w:rsidRPr="009107E5">
              <w:rPr>
                <w:rFonts w:ascii="Arial" w:hAnsi="Arial" w:cs="Arial"/>
                <w:sz w:val="20"/>
                <w:szCs w:val="20"/>
              </w:rPr>
              <w:t>3.</w:t>
            </w:r>
            <w:r w:rsidRPr="009107E5">
              <w:rPr>
                <w:rFonts w:ascii="Arial" w:hAnsi="Arial" w:cs="Arial"/>
                <w:sz w:val="20"/>
                <w:szCs w:val="20"/>
              </w:rPr>
              <w:tab/>
            </w:r>
            <w:r w:rsidRPr="009107E5">
              <w:rPr>
                <w:rFonts w:ascii="Arial" w:hAnsi="Arial" w:cs="Arial"/>
                <w:sz w:val="20"/>
                <w:szCs w:val="20"/>
                <w:lang w:val="en-US"/>
              </w:rPr>
              <w:t xml:space="preserve">Remove the protective cap from the vial </w:t>
            </w:r>
            <w:r w:rsidRPr="009018D8">
              <w:rPr>
                <w:rFonts w:ascii="Arial" w:hAnsi="Arial" w:cs="Arial"/>
                <w:b/>
                <w:sz w:val="20"/>
                <w:szCs w:val="20"/>
                <w:lang w:val="en-US"/>
              </w:rPr>
              <w:t>(A)</w:t>
            </w:r>
            <w:r w:rsidRPr="009018D8">
              <w:rPr>
                <w:rFonts w:ascii="Arial" w:hAnsi="Arial" w:cs="Arial"/>
                <w:sz w:val="20"/>
                <w:szCs w:val="20"/>
                <w:lang w:val="en-US"/>
              </w:rPr>
              <w:t>. Wipe the rubber stopper on the vial with an alcohol swab and allow the stopper to air dry before use.</w:t>
            </w:r>
          </w:p>
          <w:p w14:paraId="7404F33C" w14:textId="77777777" w:rsidR="00ED1716" w:rsidRPr="009107E5" w:rsidRDefault="00ED1716" w:rsidP="00AD0441">
            <w:pPr>
              <w:ind w:left="567" w:hanging="567"/>
              <w:rPr>
                <w:rFonts w:ascii="Arial" w:hAnsi="Arial" w:cs="Arial"/>
                <w:sz w:val="20"/>
                <w:szCs w:val="20"/>
              </w:rPr>
            </w:pPr>
          </w:p>
        </w:tc>
        <w:tc>
          <w:tcPr>
            <w:tcW w:w="1631" w:type="dxa"/>
          </w:tcPr>
          <w:p w14:paraId="7CF43D5A" w14:textId="77777777" w:rsidR="00ED1716" w:rsidRPr="009107E5" w:rsidRDefault="00ED1716" w:rsidP="00AD0441">
            <w:pPr>
              <w:rPr>
                <w:rFonts w:ascii="Arial" w:hAnsi="Arial" w:cs="Arial"/>
                <w:sz w:val="20"/>
                <w:szCs w:val="20"/>
              </w:rPr>
            </w:pPr>
            <w:r w:rsidRPr="009107E5">
              <w:rPr>
                <w:rFonts w:ascii="Arial" w:hAnsi="Arial" w:cs="Arial"/>
                <w:noProof/>
                <w:sz w:val="20"/>
                <w:szCs w:val="20"/>
                <w:lang w:eastAsia="de-DE"/>
              </w:rPr>
              <w:drawing>
                <wp:inline distT="0" distB="0" distL="0" distR="0" wp14:anchorId="14C681F9" wp14:editId="1E74F684">
                  <wp:extent cx="895350" cy="914400"/>
                  <wp:effectExtent l="0" t="0" r="0" b="0"/>
                  <wp:docPr id="97"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tc>
      </w:tr>
      <w:tr w:rsidR="00ED1716" w:rsidRPr="009107E5" w14:paraId="055A5520" w14:textId="77777777" w:rsidTr="004D21FD">
        <w:tc>
          <w:tcPr>
            <w:tcW w:w="7657" w:type="dxa"/>
          </w:tcPr>
          <w:p w14:paraId="538468F9" w14:textId="77777777" w:rsidR="00ED1716" w:rsidRPr="009107E5" w:rsidRDefault="00ED1716" w:rsidP="00AD0441">
            <w:pPr>
              <w:ind w:left="567" w:hanging="567"/>
              <w:rPr>
                <w:rFonts w:ascii="Arial" w:hAnsi="Arial" w:cs="Arial"/>
                <w:sz w:val="20"/>
                <w:szCs w:val="20"/>
              </w:rPr>
            </w:pPr>
            <w:r w:rsidRPr="009107E5">
              <w:rPr>
                <w:rFonts w:ascii="Arial" w:hAnsi="Arial" w:cs="Arial"/>
                <w:sz w:val="20"/>
                <w:szCs w:val="20"/>
              </w:rPr>
              <w:t>4.</w:t>
            </w:r>
            <w:r w:rsidRPr="009107E5">
              <w:rPr>
                <w:rFonts w:ascii="Arial" w:hAnsi="Arial" w:cs="Arial"/>
                <w:sz w:val="20"/>
                <w:szCs w:val="20"/>
              </w:rPr>
              <w:tab/>
            </w:r>
            <w:r w:rsidRPr="009107E5">
              <w:rPr>
                <w:rFonts w:ascii="Arial" w:hAnsi="Arial" w:cs="Arial"/>
                <w:sz w:val="20"/>
                <w:szCs w:val="20"/>
                <w:lang w:val="en-US"/>
              </w:rPr>
              <w:t xml:space="preserve">Place </w:t>
            </w:r>
            <w:r w:rsidRPr="009018D8">
              <w:rPr>
                <w:rFonts w:ascii="Arial" w:hAnsi="Arial" w:cs="Arial"/>
                <w:b/>
                <w:sz w:val="20"/>
                <w:szCs w:val="20"/>
                <w:lang w:val="en-US"/>
              </w:rPr>
              <w:t>the powder vial</w:t>
            </w:r>
            <w:r w:rsidRPr="009018D8">
              <w:rPr>
                <w:rFonts w:ascii="Arial" w:hAnsi="Arial" w:cs="Arial"/>
                <w:sz w:val="20"/>
                <w:szCs w:val="20"/>
                <w:lang w:val="en-US"/>
              </w:rPr>
              <w:t xml:space="preserve"> on a firm, non-slip surface. Peel off the paper cover on the plastic housing of the vial adapter. </w:t>
            </w:r>
            <w:r w:rsidRPr="009107E5">
              <w:rPr>
                <w:rFonts w:ascii="Arial" w:hAnsi="Arial" w:cs="Arial"/>
                <w:b/>
                <w:sz w:val="20"/>
                <w:szCs w:val="20"/>
                <w:lang w:val="en-US"/>
              </w:rPr>
              <w:t>Do not remove</w:t>
            </w:r>
            <w:r w:rsidRPr="009107E5">
              <w:rPr>
                <w:rFonts w:ascii="Arial" w:hAnsi="Arial" w:cs="Arial"/>
                <w:sz w:val="20"/>
                <w:szCs w:val="20"/>
                <w:lang w:val="en-US"/>
              </w:rPr>
              <w:t xml:space="preserve"> the adapter from the plastic housing. Holding the adapter housing, place over the product vial and firmly press down </w:t>
            </w:r>
            <w:r w:rsidRPr="009107E5">
              <w:rPr>
                <w:rFonts w:ascii="Arial" w:hAnsi="Arial" w:cs="Arial"/>
                <w:b/>
                <w:sz w:val="20"/>
                <w:szCs w:val="20"/>
                <w:lang w:val="en-US"/>
              </w:rPr>
              <w:t>(B)</w:t>
            </w:r>
            <w:r w:rsidRPr="009107E5">
              <w:rPr>
                <w:rFonts w:ascii="Arial" w:hAnsi="Arial" w:cs="Arial"/>
                <w:sz w:val="20"/>
                <w:szCs w:val="20"/>
                <w:lang w:val="en-US"/>
              </w:rPr>
              <w:t xml:space="preserve">. The adapter will snap over the vial cap. </w:t>
            </w:r>
            <w:r w:rsidRPr="009107E5">
              <w:rPr>
                <w:rFonts w:ascii="Arial" w:hAnsi="Arial" w:cs="Arial"/>
                <w:b/>
                <w:sz w:val="20"/>
                <w:szCs w:val="20"/>
                <w:lang w:val="en-US"/>
              </w:rPr>
              <w:t>Do not remove</w:t>
            </w:r>
            <w:r w:rsidRPr="009107E5">
              <w:rPr>
                <w:rFonts w:ascii="Arial" w:hAnsi="Arial" w:cs="Arial"/>
                <w:sz w:val="20"/>
                <w:szCs w:val="20"/>
                <w:lang w:val="en-US"/>
              </w:rPr>
              <w:t xml:space="preserve"> the adapter housing at this point.</w:t>
            </w:r>
          </w:p>
          <w:p w14:paraId="19BBE9AF" w14:textId="77777777" w:rsidR="00ED1716" w:rsidRPr="009107E5" w:rsidRDefault="00ED1716" w:rsidP="00AD0441">
            <w:pPr>
              <w:rPr>
                <w:rFonts w:ascii="Arial" w:hAnsi="Arial" w:cs="Arial"/>
                <w:sz w:val="20"/>
                <w:szCs w:val="20"/>
              </w:rPr>
            </w:pPr>
          </w:p>
        </w:tc>
        <w:tc>
          <w:tcPr>
            <w:tcW w:w="1631" w:type="dxa"/>
          </w:tcPr>
          <w:p w14:paraId="59008E27" w14:textId="77777777" w:rsidR="00ED1716" w:rsidRPr="009107E5" w:rsidRDefault="00ED1716" w:rsidP="00AD0441">
            <w:pPr>
              <w:rPr>
                <w:rFonts w:ascii="Arial" w:hAnsi="Arial" w:cs="Arial"/>
                <w:sz w:val="20"/>
                <w:szCs w:val="20"/>
              </w:rPr>
            </w:pPr>
            <w:r w:rsidRPr="009107E5">
              <w:rPr>
                <w:rFonts w:ascii="Arial" w:hAnsi="Arial" w:cs="Arial"/>
                <w:noProof/>
                <w:sz w:val="20"/>
                <w:szCs w:val="20"/>
                <w:lang w:eastAsia="de-DE"/>
              </w:rPr>
              <w:drawing>
                <wp:inline distT="0" distB="0" distL="0" distR="0" wp14:anchorId="0821DD41" wp14:editId="1631BC0A">
                  <wp:extent cx="895350" cy="895350"/>
                  <wp:effectExtent l="0" t="0" r="0" b="0"/>
                  <wp:docPr id="98"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ED1716" w:rsidRPr="009107E5" w14:paraId="0B351FE9" w14:textId="77777777" w:rsidTr="004D21FD">
        <w:tc>
          <w:tcPr>
            <w:tcW w:w="7657" w:type="dxa"/>
          </w:tcPr>
          <w:p w14:paraId="75804FC3" w14:textId="77777777" w:rsidR="00ED1716" w:rsidRPr="009107E5" w:rsidRDefault="00ED1716" w:rsidP="00AD0441">
            <w:pPr>
              <w:ind w:left="567" w:hanging="567"/>
              <w:rPr>
                <w:rFonts w:ascii="Arial" w:hAnsi="Arial" w:cs="Arial"/>
                <w:sz w:val="20"/>
                <w:szCs w:val="20"/>
              </w:rPr>
            </w:pPr>
            <w:r w:rsidRPr="009107E5">
              <w:rPr>
                <w:rFonts w:ascii="Arial" w:hAnsi="Arial" w:cs="Arial"/>
                <w:sz w:val="20"/>
                <w:szCs w:val="20"/>
              </w:rPr>
              <w:t>5.</w:t>
            </w:r>
            <w:r w:rsidRPr="009107E5">
              <w:rPr>
                <w:rFonts w:ascii="Arial" w:hAnsi="Arial" w:cs="Arial"/>
                <w:sz w:val="20"/>
                <w:szCs w:val="20"/>
              </w:rPr>
              <w:tab/>
            </w:r>
            <w:r w:rsidRPr="009107E5">
              <w:rPr>
                <w:rFonts w:ascii="Arial" w:hAnsi="Arial" w:cs="Arial"/>
                <w:sz w:val="20"/>
                <w:szCs w:val="20"/>
                <w:lang w:val="en-US"/>
              </w:rPr>
              <w:t xml:space="preserve">Hold the pre-filled syringe of water for injections upright. Grasp the plunger rod as per the diagram and attach the rod by turning it firmly clockwise into the threaded stopper </w:t>
            </w:r>
            <w:r w:rsidRPr="009107E5">
              <w:rPr>
                <w:rFonts w:ascii="Arial" w:hAnsi="Arial" w:cs="Arial"/>
                <w:b/>
                <w:sz w:val="20"/>
                <w:szCs w:val="20"/>
                <w:lang w:val="en-US"/>
              </w:rPr>
              <w:t>(C).</w:t>
            </w:r>
          </w:p>
          <w:p w14:paraId="5680F34F" w14:textId="77777777" w:rsidR="00ED1716" w:rsidRPr="009107E5" w:rsidRDefault="00ED1716" w:rsidP="00AD0441">
            <w:pPr>
              <w:rPr>
                <w:rFonts w:ascii="Arial" w:hAnsi="Arial" w:cs="Arial"/>
                <w:sz w:val="20"/>
                <w:szCs w:val="20"/>
              </w:rPr>
            </w:pPr>
          </w:p>
        </w:tc>
        <w:tc>
          <w:tcPr>
            <w:tcW w:w="1631" w:type="dxa"/>
          </w:tcPr>
          <w:p w14:paraId="2C030720" w14:textId="77777777" w:rsidR="00ED1716" w:rsidRPr="009107E5" w:rsidRDefault="00ED1716" w:rsidP="00AD0441">
            <w:pPr>
              <w:rPr>
                <w:rFonts w:ascii="Arial" w:hAnsi="Arial" w:cs="Arial"/>
                <w:sz w:val="20"/>
                <w:szCs w:val="20"/>
              </w:rPr>
            </w:pPr>
            <w:r w:rsidRPr="009107E5">
              <w:rPr>
                <w:rFonts w:ascii="Arial" w:hAnsi="Arial" w:cs="Arial"/>
                <w:noProof/>
                <w:sz w:val="20"/>
                <w:szCs w:val="20"/>
                <w:lang w:eastAsia="de-DE"/>
              </w:rPr>
              <w:drawing>
                <wp:inline distT="0" distB="0" distL="0" distR="0" wp14:anchorId="0D0792AB" wp14:editId="76926516">
                  <wp:extent cx="895350" cy="895350"/>
                  <wp:effectExtent l="0" t="0" r="0" b="0"/>
                  <wp:docPr id="99"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ED1716" w:rsidRPr="009107E5" w14:paraId="66C6D44D" w14:textId="77777777" w:rsidTr="004D21FD">
        <w:tc>
          <w:tcPr>
            <w:tcW w:w="7657" w:type="dxa"/>
          </w:tcPr>
          <w:p w14:paraId="1015D37D" w14:textId="77777777" w:rsidR="00ED1716" w:rsidRPr="009107E5" w:rsidRDefault="00ED1716" w:rsidP="00AD0441">
            <w:pPr>
              <w:ind w:left="567" w:hanging="567"/>
              <w:rPr>
                <w:rFonts w:ascii="Arial" w:hAnsi="Arial" w:cs="Arial"/>
                <w:sz w:val="20"/>
                <w:szCs w:val="20"/>
              </w:rPr>
            </w:pPr>
            <w:r w:rsidRPr="009107E5">
              <w:rPr>
                <w:rFonts w:ascii="Arial" w:hAnsi="Arial" w:cs="Arial"/>
                <w:sz w:val="20"/>
                <w:szCs w:val="20"/>
              </w:rPr>
              <w:lastRenderedPageBreak/>
              <w:t>6.</w:t>
            </w:r>
            <w:r w:rsidRPr="009107E5">
              <w:rPr>
                <w:rFonts w:ascii="Arial" w:hAnsi="Arial" w:cs="Arial"/>
                <w:sz w:val="20"/>
                <w:szCs w:val="20"/>
              </w:rPr>
              <w:tab/>
              <w:t>Holding the syringe by the barrel, snap the syringe cap off the tip </w:t>
            </w:r>
            <w:r w:rsidRPr="009107E5">
              <w:rPr>
                <w:rFonts w:ascii="Arial" w:hAnsi="Arial" w:cs="Arial"/>
                <w:b/>
                <w:sz w:val="20"/>
                <w:szCs w:val="20"/>
              </w:rPr>
              <w:t>(D)</w:t>
            </w:r>
            <w:r w:rsidRPr="009018D8">
              <w:rPr>
                <w:rFonts w:ascii="Arial" w:hAnsi="Arial" w:cs="Arial"/>
                <w:sz w:val="20"/>
                <w:szCs w:val="20"/>
              </w:rPr>
              <w:t>. Do not touch the syringe tip with your hand or any surface. Set the syringe aside for further use.</w:t>
            </w:r>
          </w:p>
          <w:p w14:paraId="305F0B79" w14:textId="77777777" w:rsidR="00ED1716" w:rsidRPr="009107E5" w:rsidRDefault="00ED1716" w:rsidP="00AD0441">
            <w:pPr>
              <w:rPr>
                <w:rFonts w:ascii="Arial" w:hAnsi="Arial" w:cs="Arial"/>
                <w:sz w:val="20"/>
                <w:szCs w:val="20"/>
              </w:rPr>
            </w:pPr>
          </w:p>
        </w:tc>
        <w:tc>
          <w:tcPr>
            <w:tcW w:w="1631" w:type="dxa"/>
          </w:tcPr>
          <w:p w14:paraId="4947E91D" w14:textId="77777777" w:rsidR="00ED1716" w:rsidRPr="009107E5" w:rsidRDefault="00ED1716" w:rsidP="00AD0441">
            <w:pPr>
              <w:rPr>
                <w:rFonts w:ascii="Arial" w:hAnsi="Arial" w:cs="Arial"/>
                <w:sz w:val="20"/>
                <w:szCs w:val="20"/>
              </w:rPr>
            </w:pPr>
            <w:r w:rsidRPr="009107E5">
              <w:rPr>
                <w:rFonts w:ascii="Arial" w:hAnsi="Arial" w:cs="Arial"/>
                <w:noProof/>
                <w:sz w:val="20"/>
                <w:szCs w:val="20"/>
                <w:lang w:eastAsia="de-DE"/>
              </w:rPr>
              <w:drawing>
                <wp:inline distT="0" distB="0" distL="0" distR="0" wp14:anchorId="693CFB52" wp14:editId="63825C38">
                  <wp:extent cx="895350" cy="895350"/>
                  <wp:effectExtent l="0" t="0" r="0" b="0"/>
                  <wp:docPr id="100"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ED1716" w:rsidRPr="009107E5" w14:paraId="2F33C66F" w14:textId="77777777" w:rsidTr="004D21FD">
        <w:tc>
          <w:tcPr>
            <w:tcW w:w="7657" w:type="dxa"/>
          </w:tcPr>
          <w:p w14:paraId="74CB74D9" w14:textId="77777777" w:rsidR="00ED1716" w:rsidRPr="009018D8" w:rsidRDefault="00ED1716" w:rsidP="00AD0441">
            <w:pPr>
              <w:rPr>
                <w:rFonts w:ascii="Arial" w:hAnsi="Arial" w:cs="Arial"/>
                <w:sz w:val="20"/>
                <w:szCs w:val="20"/>
              </w:rPr>
            </w:pPr>
            <w:r w:rsidRPr="009107E5">
              <w:rPr>
                <w:rFonts w:ascii="Arial" w:hAnsi="Arial" w:cs="Arial"/>
                <w:sz w:val="20"/>
                <w:szCs w:val="20"/>
              </w:rPr>
              <w:t>7.</w:t>
            </w:r>
            <w:r w:rsidRPr="009107E5">
              <w:rPr>
                <w:rFonts w:ascii="Arial" w:hAnsi="Arial" w:cs="Arial"/>
                <w:sz w:val="20"/>
                <w:szCs w:val="20"/>
              </w:rPr>
              <w:tab/>
              <w:t>Now remove and discard the adapter housing </w:t>
            </w:r>
            <w:r w:rsidRPr="009107E5">
              <w:rPr>
                <w:rFonts w:ascii="Arial" w:hAnsi="Arial" w:cs="Arial"/>
                <w:b/>
                <w:sz w:val="20"/>
                <w:szCs w:val="20"/>
              </w:rPr>
              <w:t>(E)</w:t>
            </w:r>
            <w:r w:rsidRPr="009018D8">
              <w:rPr>
                <w:rFonts w:ascii="Arial" w:hAnsi="Arial" w:cs="Arial"/>
                <w:sz w:val="20"/>
                <w:szCs w:val="20"/>
              </w:rPr>
              <w:t>.</w:t>
            </w:r>
          </w:p>
        </w:tc>
        <w:tc>
          <w:tcPr>
            <w:tcW w:w="1631" w:type="dxa"/>
          </w:tcPr>
          <w:p w14:paraId="3C4E91BB" w14:textId="77777777" w:rsidR="00ED1716" w:rsidRPr="009107E5" w:rsidRDefault="00ED1716" w:rsidP="00AD0441">
            <w:pPr>
              <w:rPr>
                <w:rFonts w:ascii="Arial" w:hAnsi="Arial" w:cs="Arial"/>
                <w:sz w:val="20"/>
                <w:szCs w:val="20"/>
                <w:lang w:eastAsia="de-DE"/>
              </w:rPr>
            </w:pPr>
            <w:r w:rsidRPr="009107E5">
              <w:rPr>
                <w:rFonts w:ascii="Arial" w:hAnsi="Arial" w:cs="Arial"/>
                <w:noProof/>
                <w:sz w:val="20"/>
                <w:szCs w:val="20"/>
                <w:lang w:eastAsia="de-DE"/>
              </w:rPr>
              <w:drawing>
                <wp:inline distT="0" distB="0" distL="0" distR="0" wp14:anchorId="1B18AB9C" wp14:editId="1C7C3C4B">
                  <wp:extent cx="895350" cy="914400"/>
                  <wp:effectExtent l="0" t="0" r="0" b="0"/>
                  <wp:docPr id="101"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p w14:paraId="2D39982A" w14:textId="77777777" w:rsidR="00ED1716" w:rsidRPr="009107E5" w:rsidRDefault="00ED1716" w:rsidP="00AD0441">
            <w:pPr>
              <w:rPr>
                <w:rFonts w:ascii="Arial" w:hAnsi="Arial" w:cs="Arial"/>
                <w:sz w:val="20"/>
                <w:szCs w:val="20"/>
              </w:rPr>
            </w:pPr>
          </w:p>
          <w:p w14:paraId="158F45F2" w14:textId="77777777" w:rsidR="00ED1716" w:rsidRPr="009107E5" w:rsidRDefault="00ED1716" w:rsidP="00AD0441">
            <w:pPr>
              <w:rPr>
                <w:rFonts w:ascii="Arial" w:hAnsi="Arial" w:cs="Arial"/>
                <w:sz w:val="20"/>
                <w:szCs w:val="20"/>
              </w:rPr>
            </w:pPr>
          </w:p>
          <w:p w14:paraId="347B21B7" w14:textId="77777777" w:rsidR="00ED1716" w:rsidRPr="009107E5" w:rsidRDefault="00ED1716" w:rsidP="00AD0441">
            <w:pPr>
              <w:rPr>
                <w:rFonts w:ascii="Arial" w:hAnsi="Arial" w:cs="Arial"/>
                <w:sz w:val="20"/>
                <w:szCs w:val="20"/>
              </w:rPr>
            </w:pPr>
          </w:p>
          <w:p w14:paraId="72C94A49" w14:textId="77777777" w:rsidR="00ED1716" w:rsidRPr="009107E5" w:rsidRDefault="00ED1716" w:rsidP="00AD0441">
            <w:pPr>
              <w:tabs>
                <w:tab w:val="left" w:pos="1335"/>
              </w:tabs>
              <w:rPr>
                <w:rFonts w:ascii="Arial" w:hAnsi="Arial" w:cs="Arial"/>
                <w:sz w:val="20"/>
                <w:szCs w:val="20"/>
              </w:rPr>
            </w:pPr>
            <w:r w:rsidRPr="009107E5">
              <w:rPr>
                <w:rFonts w:ascii="Arial" w:hAnsi="Arial" w:cs="Arial"/>
                <w:sz w:val="20"/>
                <w:szCs w:val="20"/>
              </w:rPr>
              <w:tab/>
            </w:r>
          </w:p>
        </w:tc>
      </w:tr>
      <w:tr w:rsidR="00ED1716" w:rsidRPr="009107E5" w14:paraId="5353DE29" w14:textId="77777777" w:rsidTr="004D21FD">
        <w:tc>
          <w:tcPr>
            <w:tcW w:w="7657" w:type="dxa"/>
          </w:tcPr>
          <w:p w14:paraId="70506A29" w14:textId="77777777" w:rsidR="00ED1716" w:rsidRPr="009107E5" w:rsidRDefault="00ED1716" w:rsidP="00AD0441">
            <w:pPr>
              <w:ind w:left="567" w:hanging="567"/>
              <w:rPr>
                <w:rFonts w:ascii="Arial" w:hAnsi="Arial" w:cs="Arial"/>
                <w:b/>
                <w:sz w:val="20"/>
                <w:szCs w:val="20"/>
              </w:rPr>
            </w:pPr>
            <w:r w:rsidRPr="009107E5">
              <w:rPr>
                <w:rFonts w:ascii="Arial" w:hAnsi="Arial" w:cs="Arial"/>
                <w:sz w:val="20"/>
                <w:szCs w:val="20"/>
              </w:rPr>
              <w:t>8.</w:t>
            </w:r>
            <w:r w:rsidRPr="009107E5">
              <w:rPr>
                <w:rFonts w:ascii="Arial" w:hAnsi="Arial" w:cs="Arial"/>
                <w:sz w:val="20"/>
                <w:szCs w:val="20"/>
              </w:rPr>
              <w:tab/>
              <w:t>Attach the pre</w:t>
            </w:r>
            <w:r w:rsidRPr="009107E5">
              <w:rPr>
                <w:rFonts w:ascii="Arial" w:hAnsi="Arial" w:cs="Arial"/>
                <w:sz w:val="20"/>
                <w:szCs w:val="20"/>
              </w:rPr>
              <w:noBreakHyphen/>
              <w:t>filled syringe to the threaded vial adapter by turning clockwise </w:t>
            </w:r>
            <w:r w:rsidRPr="009107E5">
              <w:rPr>
                <w:rFonts w:ascii="Arial" w:hAnsi="Arial" w:cs="Arial"/>
                <w:b/>
                <w:sz w:val="20"/>
                <w:szCs w:val="20"/>
              </w:rPr>
              <w:t>(F).</w:t>
            </w:r>
          </w:p>
          <w:p w14:paraId="58059EEE" w14:textId="77777777" w:rsidR="00ED1716" w:rsidRPr="009107E5" w:rsidRDefault="00ED1716" w:rsidP="00AD0441">
            <w:pPr>
              <w:ind w:left="567" w:hanging="567"/>
              <w:rPr>
                <w:rFonts w:ascii="Arial" w:hAnsi="Arial" w:cs="Arial"/>
                <w:sz w:val="20"/>
                <w:szCs w:val="20"/>
              </w:rPr>
            </w:pPr>
          </w:p>
        </w:tc>
        <w:tc>
          <w:tcPr>
            <w:tcW w:w="1631" w:type="dxa"/>
          </w:tcPr>
          <w:p w14:paraId="6AAEE9FF" w14:textId="77777777" w:rsidR="00ED1716" w:rsidRPr="009107E5" w:rsidRDefault="00ED1716" w:rsidP="00AD0441">
            <w:pPr>
              <w:rPr>
                <w:rFonts w:ascii="Arial" w:hAnsi="Arial" w:cs="Arial"/>
                <w:sz w:val="20"/>
                <w:szCs w:val="20"/>
              </w:rPr>
            </w:pPr>
            <w:r w:rsidRPr="009107E5">
              <w:rPr>
                <w:rFonts w:ascii="Arial" w:hAnsi="Arial" w:cs="Arial"/>
                <w:noProof/>
                <w:sz w:val="20"/>
                <w:szCs w:val="20"/>
                <w:lang w:eastAsia="de-DE"/>
              </w:rPr>
              <w:drawing>
                <wp:inline distT="0" distB="0" distL="0" distR="0" wp14:anchorId="6521BAB2" wp14:editId="5A043A5F">
                  <wp:extent cx="895350" cy="914400"/>
                  <wp:effectExtent l="0" t="0" r="0" b="0"/>
                  <wp:docPr id="102"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tc>
      </w:tr>
      <w:tr w:rsidR="00ED1716" w:rsidRPr="009107E5" w14:paraId="41185EAA" w14:textId="77777777" w:rsidTr="004D21FD">
        <w:tc>
          <w:tcPr>
            <w:tcW w:w="7657" w:type="dxa"/>
          </w:tcPr>
          <w:p w14:paraId="537EB4C4" w14:textId="77777777" w:rsidR="00ED1716" w:rsidRPr="009018D8" w:rsidRDefault="00ED1716" w:rsidP="00AD0441">
            <w:pPr>
              <w:ind w:left="567" w:hanging="567"/>
              <w:rPr>
                <w:rFonts w:ascii="Arial" w:hAnsi="Arial" w:cs="Arial"/>
                <w:sz w:val="20"/>
                <w:szCs w:val="20"/>
              </w:rPr>
            </w:pPr>
            <w:r w:rsidRPr="009107E5">
              <w:rPr>
                <w:rFonts w:ascii="Arial" w:hAnsi="Arial" w:cs="Arial"/>
                <w:sz w:val="20"/>
                <w:szCs w:val="20"/>
              </w:rPr>
              <w:t>9.</w:t>
            </w:r>
            <w:r w:rsidRPr="009107E5">
              <w:rPr>
                <w:rFonts w:ascii="Arial" w:hAnsi="Arial" w:cs="Arial"/>
                <w:sz w:val="20"/>
                <w:szCs w:val="20"/>
              </w:rPr>
              <w:tab/>
            </w:r>
            <w:r w:rsidRPr="009107E5">
              <w:rPr>
                <w:rFonts w:ascii="Arial" w:hAnsi="Arial" w:cs="Arial"/>
                <w:sz w:val="20"/>
                <w:szCs w:val="20"/>
                <w:lang w:val="en-US"/>
              </w:rPr>
              <w:t xml:space="preserve">Inject the solvent by slowly pushing down on the plunger rod </w:t>
            </w:r>
            <w:r w:rsidRPr="009018D8">
              <w:rPr>
                <w:rFonts w:ascii="Arial" w:hAnsi="Arial" w:cs="Arial"/>
                <w:b/>
                <w:sz w:val="20"/>
                <w:szCs w:val="20"/>
                <w:lang w:val="en-US"/>
              </w:rPr>
              <w:t>(G)</w:t>
            </w:r>
            <w:r w:rsidRPr="009018D8">
              <w:rPr>
                <w:rFonts w:ascii="Arial" w:hAnsi="Arial" w:cs="Arial"/>
                <w:sz w:val="20"/>
                <w:szCs w:val="20"/>
                <w:lang w:val="en-US"/>
              </w:rPr>
              <w:t>.</w:t>
            </w:r>
          </w:p>
          <w:p w14:paraId="3EE9B64B" w14:textId="77777777" w:rsidR="00ED1716" w:rsidRPr="009107E5" w:rsidRDefault="00ED1716" w:rsidP="00AD0441">
            <w:pPr>
              <w:rPr>
                <w:rFonts w:ascii="Arial" w:hAnsi="Arial" w:cs="Arial"/>
                <w:sz w:val="20"/>
                <w:szCs w:val="20"/>
              </w:rPr>
            </w:pPr>
          </w:p>
        </w:tc>
        <w:tc>
          <w:tcPr>
            <w:tcW w:w="1631" w:type="dxa"/>
          </w:tcPr>
          <w:p w14:paraId="27033516" w14:textId="77777777" w:rsidR="00ED1716" w:rsidRPr="009107E5" w:rsidRDefault="00ED1716" w:rsidP="00AD0441">
            <w:pPr>
              <w:rPr>
                <w:rFonts w:ascii="Arial" w:hAnsi="Arial" w:cs="Arial"/>
                <w:sz w:val="20"/>
                <w:szCs w:val="20"/>
              </w:rPr>
            </w:pPr>
            <w:r w:rsidRPr="009107E5">
              <w:rPr>
                <w:rFonts w:ascii="Arial" w:hAnsi="Arial" w:cs="Arial"/>
                <w:noProof/>
                <w:sz w:val="20"/>
                <w:szCs w:val="20"/>
                <w:lang w:eastAsia="de-DE"/>
              </w:rPr>
              <w:drawing>
                <wp:inline distT="0" distB="0" distL="0" distR="0" wp14:anchorId="6F402414" wp14:editId="0AB4FDBE">
                  <wp:extent cx="895350" cy="895350"/>
                  <wp:effectExtent l="0" t="0" r="0" b="0"/>
                  <wp:docPr id="103"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ED1716" w:rsidRPr="009107E5" w14:paraId="01444260" w14:textId="77777777" w:rsidTr="004D21FD">
        <w:tc>
          <w:tcPr>
            <w:tcW w:w="7657" w:type="dxa"/>
          </w:tcPr>
          <w:p w14:paraId="5EF47925" w14:textId="77777777" w:rsidR="00ED1716" w:rsidRPr="009107E5" w:rsidRDefault="00ED1716" w:rsidP="00AD0441">
            <w:pPr>
              <w:ind w:left="567" w:hanging="567"/>
              <w:rPr>
                <w:rFonts w:ascii="Arial" w:hAnsi="Arial" w:cs="Arial"/>
                <w:sz w:val="20"/>
                <w:szCs w:val="20"/>
              </w:rPr>
            </w:pPr>
            <w:r w:rsidRPr="009107E5">
              <w:rPr>
                <w:rFonts w:ascii="Arial" w:hAnsi="Arial" w:cs="Arial"/>
                <w:sz w:val="20"/>
                <w:szCs w:val="20"/>
              </w:rPr>
              <w:t>10.</w:t>
            </w:r>
            <w:r w:rsidRPr="009107E5">
              <w:rPr>
                <w:rFonts w:ascii="Arial" w:hAnsi="Arial" w:cs="Arial"/>
                <w:sz w:val="20"/>
                <w:szCs w:val="20"/>
              </w:rPr>
              <w:tab/>
            </w:r>
            <w:r w:rsidRPr="009107E5">
              <w:rPr>
                <w:rFonts w:ascii="Arial" w:hAnsi="Arial" w:cs="Arial"/>
                <w:sz w:val="20"/>
                <w:szCs w:val="20"/>
                <w:lang w:val="en-US"/>
              </w:rPr>
              <w:t>Swirl vial gently until all material is dissolved </w:t>
            </w:r>
            <w:r w:rsidRPr="009018D8">
              <w:rPr>
                <w:rFonts w:ascii="Arial" w:hAnsi="Arial" w:cs="Arial"/>
                <w:b/>
                <w:sz w:val="20"/>
                <w:szCs w:val="20"/>
                <w:lang w:val="en-US"/>
              </w:rPr>
              <w:t>(H)</w:t>
            </w:r>
            <w:r w:rsidRPr="009018D8">
              <w:rPr>
                <w:rFonts w:ascii="Arial" w:hAnsi="Arial" w:cs="Arial"/>
                <w:sz w:val="20"/>
                <w:szCs w:val="20"/>
                <w:lang w:val="en-US"/>
              </w:rPr>
              <w:t>. Do not shake vial. Be sure that the powder is completely dissolved. Look to check there are no particles or discoloration before you use the solution. Do not use solutions containing visible particles or that are cloudy.</w:t>
            </w:r>
          </w:p>
          <w:p w14:paraId="63D87507" w14:textId="77777777" w:rsidR="00ED1716" w:rsidRPr="009107E5" w:rsidRDefault="00ED1716" w:rsidP="00AD0441">
            <w:pPr>
              <w:rPr>
                <w:rFonts w:ascii="Arial" w:hAnsi="Arial" w:cs="Arial"/>
                <w:sz w:val="20"/>
                <w:szCs w:val="20"/>
              </w:rPr>
            </w:pPr>
          </w:p>
        </w:tc>
        <w:tc>
          <w:tcPr>
            <w:tcW w:w="1631" w:type="dxa"/>
          </w:tcPr>
          <w:p w14:paraId="020E7FAA" w14:textId="77777777" w:rsidR="00ED1716" w:rsidRPr="009107E5" w:rsidRDefault="00ED1716" w:rsidP="00AD0441">
            <w:pPr>
              <w:rPr>
                <w:rFonts w:ascii="Arial" w:hAnsi="Arial" w:cs="Arial"/>
                <w:sz w:val="20"/>
                <w:szCs w:val="20"/>
              </w:rPr>
            </w:pPr>
            <w:r w:rsidRPr="009107E5">
              <w:rPr>
                <w:rFonts w:ascii="Arial" w:hAnsi="Arial" w:cs="Arial"/>
                <w:noProof/>
                <w:sz w:val="20"/>
                <w:szCs w:val="20"/>
                <w:lang w:eastAsia="de-DE"/>
              </w:rPr>
              <w:drawing>
                <wp:inline distT="0" distB="0" distL="0" distR="0" wp14:anchorId="5C7719D8" wp14:editId="602759AB">
                  <wp:extent cx="895350" cy="895350"/>
                  <wp:effectExtent l="0" t="0" r="0" b="0"/>
                  <wp:docPr id="104"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ED1716" w:rsidRPr="009107E5" w14:paraId="5679201C" w14:textId="77777777" w:rsidTr="004D21FD">
        <w:tc>
          <w:tcPr>
            <w:tcW w:w="7657" w:type="dxa"/>
          </w:tcPr>
          <w:p w14:paraId="32B31766" w14:textId="77777777" w:rsidR="00ED1716" w:rsidRPr="009107E5" w:rsidRDefault="00ED1716" w:rsidP="00AD0441">
            <w:pPr>
              <w:ind w:left="567" w:hanging="567"/>
              <w:rPr>
                <w:rFonts w:ascii="Arial" w:hAnsi="Arial" w:cs="Arial"/>
                <w:bCs/>
                <w:iCs/>
                <w:sz w:val="20"/>
                <w:szCs w:val="20"/>
              </w:rPr>
            </w:pPr>
            <w:r w:rsidRPr="009107E5">
              <w:rPr>
                <w:rFonts w:ascii="Arial" w:hAnsi="Arial" w:cs="Arial"/>
                <w:sz w:val="20"/>
                <w:szCs w:val="20"/>
              </w:rPr>
              <w:t>11.</w:t>
            </w:r>
            <w:r w:rsidRPr="009107E5">
              <w:rPr>
                <w:rFonts w:ascii="Arial" w:hAnsi="Arial" w:cs="Arial"/>
                <w:sz w:val="20"/>
                <w:szCs w:val="20"/>
              </w:rPr>
              <w:tab/>
              <w:t>Hold the vial on end above the vial adapter and syringe </w:t>
            </w:r>
            <w:r w:rsidRPr="009018D8">
              <w:rPr>
                <w:rFonts w:ascii="Arial" w:hAnsi="Arial" w:cs="Arial"/>
                <w:b/>
                <w:sz w:val="20"/>
                <w:szCs w:val="20"/>
              </w:rPr>
              <w:t>(I)</w:t>
            </w:r>
            <w:r w:rsidRPr="009018D8">
              <w:rPr>
                <w:rFonts w:ascii="Arial" w:hAnsi="Arial" w:cs="Arial"/>
                <w:sz w:val="20"/>
                <w:szCs w:val="20"/>
              </w:rPr>
              <w:t xml:space="preserve">. Fill the syringe by drawing the plunger out slowly and smoothly. Ensure that the </w:t>
            </w:r>
            <w:r w:rsidRPr="009107E5">
              <w:rPr>
                <w:rFonts w:ascii="Arial" w:hAnsi="Arial" w:cs="Arial"/>
                <w:sz w:val="20"/>
                <w:szCs w:val="20"/>
                <w:lang w:val="en-US"/>
              </w:rPr>
              <w:t xml:space="preserve">full </w:t>
            </w:r>
            <w:r w:rsidRPr="009107E5">
              <w:rPr>
                <w:rFonts w:ascii="Arial" w:hAnsi="Arial" w:cs="Arial"/>
                <w:sz w:val="20"/>
                <w:szCs w:val="20"/>
              </w:rPr>
              <w:t xml:space="preserve">content of the vial is drawn into the syringe. </w:t>
            </w:r>
            <w:r w:rsidRPr="009107E5">
              <w:rPr>
                <w:rFonts w:ascii="Arial" w:hAnsi="Arial" w:cs="Arial"/>
                <w:bCs/>
                <w:iCs/>
                <w:sz w:val="20"/>
                <w:szCs w:val="20"/>
              </w:rPr>
              <w:t>Hold the syringe upright and push the plunger until no air is left in the syringe.</w:t>
            </w:r>
          </w:p>
          <w:p w14:paraId="1B956936" w14:textId="77777777" w:rsidR="00ED1716" w:rsidRPr="009107E5" w:rsidRDefault="00ED1716" w:rsidP="00AD0441">
            <w:pPr>
              <w:rPr>
                <w:rFonts w:ascii="Arial" w:hAnsi="Arial" w:cs="Arial"/>
                <w:sz w:val="20"/>
                <w:szCs w:val="20"/>
              </w:rPr>
            </w:pPr>
          </w:p>
        </w:tc>
        <w:tc>
          <w:tcPr>
            <w:tcW w:w="1631" w:type="dxa"/>
          </w:tcPr>
          <w:p w14:paraId="4DF1F60D" w14:textId="77777777" w:rsidR="00ED1716" w:rsidRPr="009107E5" w:rsidRDefault="00ED1716" w:rsidP="00AD0441">
            <w:pPr>
              <w:rPr>
                <w:rFonts w:ascii="Arial" w:hAnsi="Arial" w:cs="Arial"/>
                <w:sz w:val="20"/>
                <w:szCs w:val="20"/>
              </w:rPr>
            </w:pPr>
            <w:r w:rsidRPr="009107E5">
              <w:rPr>
                <w:rFonts w:ascii="Arial" w:hAnsi="Arial" w:cs="Arial"/>
                <w:noProof/>
                <w:sz w:val="20"/>
                <w:szCs w:val="20"/>
                <w:lang w:eastAsia="de-DE"/>
              </w:rPr>
              <w:drawing>
                <wp:inline distT="0" distB="0" distL="0" distR="0" wp14:anchorId="60A7EC08" wp14:editId="2516D2DD">
                  <wp:extent cx="895350" cy="895350"/>
                  <wp:effectExtent l="0" t="0" r="0" b="0"/>
                  <wp:docPr id="105"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ED1716" w:rsidRPr="009107E5" w14:paraId="4142A742" w14:textId="77777777" w:rsidTr="004D21FD">
        <w:tc>
          <w:tcPr>
            <w:tcW w:w="9288" w:type="dxa"/>
            <w:gridSpan w:val="2"/>
          </w:tcPr>
          <w:p w14:paraId="7FD1A9FC" w14:textId="77777777" w:rsidR="00ED1716" w:rsidRPr="009018D8" w:rsidRDefault="00ED1716" w:rsidP="00AD0441">
            <w:pPr>
              <w:ind w:left="567" w:hanging="567"/>
              <w:rPr>
                <w:rFonts w:ascii="Arial" w:hAnsi="Arial" w:cs="Arial"/>
                <w:sz w:val="20"/>
                <w:szCs w:val="20"/>
              </w:rPr>
            </w:pPr>
            <w:r w:rsidRPr="009107E5">
              <w:rPr>
                <w:rFonts w:ascii="Arial" w:hAnsi="Arial" w:cs="Arial"/>
                <w:sz w:val="20"/>
                <w:szCs w:val="20"/>
              </w:rPr>
              <w:t>12.</w:t>
            </w:r>
            <w:r w:rsidRPr="009107E5">
              <w:rPr>
                <w:rFonts w:ascii="Arial" w:hAnsi="Arial" w:cs="Arial"/>
                <w:sz w:val="20"/>
                <w:szCs w:val="20"/>
              </w:rPr>
              <w:tab/>
              <w:t>Apply a tourniquet to your arm.</w:t>
            </w:r>
          </w:p>
          <w:p w14:paraId="29732441" w14:textId="77777777" w:rsidR="00ED1716" w:rsidRPr="009107E5" w:rsidRDefault="00ED1716" w:rsidP="00AD0441">
            <w:pPr>
              <w:rPr>
                <w:rFonts w:ascii="Arial" w:hAnsi="Arial" w:cs="Arial"/>
                <w:sz w:val="20"/>
                <w:szCs w:val="20"/>
              </w:rPr>
            </w:pPr>
          </w:p>
        </w:tc>
      </w:tr>
      <w:tr w:rsidR="00ED1716" w:rsidRPr="009107E5" w14:paraId="3A57A983" w14:textId="77777777" w:rsidTr="004D21FD">
        <w:tc>
          <w:tcPr>
            <w:tcW w:w="9288" w:type="dxa"/>
            <w:gridSpan w:val="2"/>
          </w:tcPr>
          <w:p w14:paraId="35175A0E" w14:textId="77777777" w:rsidR="00ED1716" w:rsidRPr="009018D8" w:rsidRDefault="00ED1716" w:rsidP="00AD0441">
            <w:pPr>
              <w:ind w:left="567" w:hanging="567"/>
              <w:rPr>
                <w:rFonts w:ascii="Arial" w:hAnsi="Arial" w:cs="Arial"/>
                <w:sz w:val="20"/>
                <w:szCs w:val="20"/>
              </w:rPr>
            </w:pPr>
            <w:r w:rsidRPr="009107E5">
              <w:rPr>
                <w:rFonts w:ascii="Arial" w:hAnsi="Arial" w:cs="Arial"/>
                <w:sz w:val="20"/>
                <w:szCs w:val="20"/>
              </w:rPr>
              <w:t>13.</w:t>
            </w:r>
            <w:r w:rsidRPr="009107E5">
              <w:rPr>
                <w:rFonts w:ascii="Arial" w:hAnsi="Arial" w:cs="Arial"/>
                <w:sz w:val="20"/>
                <w:szCs w:val="20"/>
              </w:rPr>
              <w:tab/>
              <w:t>Determine the point of injection and</w:t>
            </w:r>
            <w:r w:rsidRPr="009107E5">
              <w:rPr>
                <w:rFonts w:ascii="Arial" w:hAnsi="Arial" w:cs="Arial"/>
                <w:snapToGrid w:val="0"/>
                <w:sz w:val="20"/>
                <w:szCs w:val="20"/>
              </w:rPr>
              <w:t xml:space="preserve"> clean the skin.</w:t>
            </w:r>
          </w:p>
          <w:p w14:paraId="5BE6A513" w14:textId="77777777" w:rsidR="00ED1716" w:rsidRPr="009107E5" w:rsidRDefault="00ED1716" w:rsidP="00AD0441">
            <w:pPr>
              <w:rPr>
                <w:rFonts w:ascii="Arial" w:hAnsi="Arial" w:cs="Arial"/>
                <w:sz w:val="20"/>
                <w:szCs w:val="20"/>
              </w:rPr>
            </w:pPr>
          </w:p>
        </w:tc>
      </w:tr>
      <w:tr w:rsidR="00ED1716" w:rsidRPr="009107E5" w14:paraId="4D5DFDEC" w14:textId="77777777" w:rsidTr="004D21FD">
        <w:tc>
          <w:tcPr>
            <w:tcW w:w="9288" w:type="dxa"/>
            <w:gridSpan w:val="2"/>
          </w:tcPr>
          <w:p w14:paraId="500ED7BD" w14:textId="77777777" w:rsidR="00ED1716" w:rsidRPr="009107E5" w:rsidRDefault="00ED1716" w:rsidP="00AD0441">
            <w:pPr>
              <w:ind w:left="567" w:hanging="567"/>
              <w:rPr>
                <w:rFonts w:ascii="Arial" w:hAnsi="Arial" w:cs="Arial"/>
                <w:sz w:val="20"/>
                <w:szCs w:val="20"/>
              </w:rPr>
            </w:pPr>
            <w:r w:rsidRPr="009107E5">
              <w:rPr>
                <w:rFonts w:ascii="Arial" w:hAnsi="Arial" w:cs="Arial"/>
                <w:sz w:val="20"/>
                <w:szCs w:val="20"/>
              </w:rPr>
              <w:t>14.</w:t>
            </w:r>
            <w:r w:rsidRPr="009107E5">
              <w:rPr>
                <w:rFonts w:ascii="Arial" w:hAnsi="Arial" w:cs="Arial"/>
                <w:sz w:val="20"/>
                <w:szCs w:val="20"/>
              </w:rPr>
              <w:tab/>
              <w:t xml:space="preserve">Puncture the vein and secure the </w:t>
            </w:r>
            <w:proofErr w:type="spellStart"/>
            <w:r w:rsidRPr="009107E5">
              <w:rPr>
                <w:rFonts w:ascii="Arial" w:hAnsi="Arial" w:cs="Arial"/>
                <w:sz w:val="20"/>
                <w:szCs w:val="20"/>
              </w:rPr>
              <w:t>venipuncture</w:t>
            </w:r>
            <w:proofErr w:type="spellEnd"/>
            <w:r w:rsidRPr="009107E5">
              <w:rPr>
                <w:rFonts w:ascii="Arial" w:hAnsi="Arial" w:cs="Arial"/>
                <w:sz w:val="20"/>
                <w:szCs w:val="20"/>
              </w:rPr>
              <w:t xml:space="preserve"> set with a plaster.</w:t>
            </w:r>
          </w:p>
          <w:p w14:paraId="64773CA2" w14:textId="77777777" w:rsidR="00ED1716" w:rsidRPr="009107E5" w:rsidRDefault="00ED1716" w:rsidP="00AD0441">
            <w:pPr>
              <w:rPr>
                <w:rFonts w:ascii="Arial" w:hAnsi="Arial" w:cs="Arial"/>
                <w:sz w:val="20"/>
                <w:szCs w:val="20"/>
              </w:rPr>
            </w:pPr>
          </w:p>
        </w:tc>
      </w:tr>
      <w:tr w:rsidR="00ED1716" w:rsidRPr="009107E5" w14:paraId="126031B2" w14:textId="77777777" w:rsidTr="004D21FD">
        <w:tc>
          <w:tcPr>
            <w:tcW w:w="7657" w:type="dxa"/>
          </w:tcPr>
          <w:p w14:paraId="29E3363B" w14:textId="77777777" w:rsidR="00ED1716" w:rsidRPr="009107E5" w:rsidRDefault="00ED1716" w:rsidP="00AD0441">
            <w:pPr>
              <w:ind w:left="567" w:hanging="567"/>
              <w:rPr>
                <w:rFonts w:ascii="Arial" w:hAnsi="Arial" w:cs="Arial"/>
                <w:sz w:val="20"/>
                <w:szCs w:val="20"/>
              </w:rPr>
            </w:pPr>
            <w:r w:rsidRPr="009107E5">
              <w:rPr>
                <w:rFonts w:ascii="Arial" w:hAnsi="Arial" w:cs="Arial"/>
                <w:sz w:val="20"/>
                <w:szCs w:val="20"/>
              </w:rPr>
              <w:t>15.</w:t>
            </w:r>
            <w:r w:rsidRPr="009107E5">
              <w:rPr>
                <w:rFonts w:ascii="Arial" w:hAnsi="Arial" w:cs="Arial"/>
                <w:sz w:val="20"/>
                <w:szCs w:val="20"/>
              </w:rPr>
              <w:tab/>
            </w:r>
            <w:r w:rsidRPr="009107E5">
              <w:rPr>
                <w:rFonts w:ascii="Arial" w:hAnsi="Arial" w:cs="Arial"/>
                <w:sz w:val="20"/>
                <w:szCs w:val="20"/>
                <w:lang w:val="en-US"/>
              </w:rPr>
              <w:t xml:space="preserve">Holding the vial adapter in place, remove the syringe from the vial adapter (the adapter should remain attached to the vial). Attach the syringe to the venipuncture set </w:t>
            </w:r>
            <w:r w:rsidRPr="009107E5">
              <w:rPr>
                <w:rFonts w:ascii="Arial" w:hAnsi="Arial" w:cs="Arial"/>
                <w:b/>
                <w:sz w:val="20"/>
                <w:szCs w:val="20"/>
                <w:lang w:val="en-US"/>
              </w:rPr>
              <w:t>(J)</w:t>
            </w:r>
            <w:r w:rsidRPr="009107E5">
              <w:rPr>
                <w:rFonts w:ascii="Arial" w:hAnsi="Arial" w:cs="Arial"/>
                <w:sz w:val="20"/>
                <w:szCs w:val="20"/>
                <w:lang w:val="en-US"/>
              </w:rPr>
              <w:t xml:space="preserve">. Ensure that no blood enters the syringe </w:t>
            </w:r>
          </w:p>
        </w:tc>
        <w:tc>
          <w:tcPr>
            <w:tcW w:w="1631" w:type="dxa"/>
          </w:tcPr>
          <w:p w14:paraId="0CA433B4" w14:textId="77777777" w:rsidR="00ED1716" w:rsidRPr="009107E5" w:rsidRDefault="00ED1716" w:rsidP="00AD0441">
            <w:pPr>
              <w:rPr>
                <w:rFonts w:ascii="Arial" w:hAnsi="Arial" w:cs="Arial"/>
                <w:sz w:val="20"/>
                <w:szCs w:val="20"/>
              </w:rPr>
            </w:pPr>
            <w:r w:rsidRPr="009107E5">
              <w:rPr>
                <w:rFonts w:ascii="Arial" w:hAnsi="Arial" w:cs="Arial"/>
                <w:noProof/>
                <w:sz w:val="20"/>
                <w:szCs w:val="20"/>
                <w:lang w:eastAsia="de-DE"/>
              </w:rPr>
              <w:drawing>
                <wp:inline distT="0" distB="0" distL="0" distR="0" wp14:anchorId="77A42799" wp14:editId="6F900513">
                  <wp:extent cx="895350" cy="9144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tc>
      </w:tr>
      <w:tr w:rsidR="00ED1716" w:rsidRPr="009107E5" w14:paraId="22E8990F" w14:textId="77777777" w:rsidTr="004D21FD">
        <w:tc>
          <w:tcPr>
            <w:tcW w:w="9288" w:type="dxa"/>
            <w:gridSpan w:val="2"/>
          </w:tcPr>
          <w:p w14:paraId="0F5F4113" w14:textId="77777777" w:rsidR="00ED1716" w:rsidRPr="009107E5" w:rsidRDefault="00ED1716" w:rsidP="00AD0441">
            <w:pPr>
              <w:ind w:left="567" w:hanging="567"/>
              <w:rPr>
                <w:rFonts w:ascii="Arial" w:hAnsi="Arial" w:cs="Arial"/>
                <w:sz w:val="20"/>
                <w:szCs w:val="20"/>
              </w:rPr>
            </w:pPr>
            <w:r w:rsidRPr="009107E5">
              <w:rPr>
                <w:rFonts w:ascii="Arial" w:hAnsi="Arial" w:cs="Arial"/>
                <w:sz w:val="20"/>
                <w:szCs w:val="20"/>
              </w:rPr>
              <w:t>16.</w:t>
            </w:r>
            <w:r w:rsidRPr="009107E5">
              <w:rPr>
                <w:rFonts w:ascii="Arial" w:hAnsi="Arial" w:cs="Arial"/>
                <w:sz w:val="20"/>
                <w:szCs w:val="20"/>
              </w:rPr>
              <w:tab/>
              <w:t>Remove tourniquet.</w:t>
            </w:r>
          </w:p>
          <w:p w14:paraId="54502D59" w14:textId="77777777" w:rsidR="00ED1716" w:rsidRPr="009107E5" w:rsidRDefault="00ED1716" w:rsidP="00AD0441">
            <w:pPr>
              <w:ind w:left="567" w:hanging="567"/>
              <w:rPr>
                <w:rFonts w:ascii="Arial" w:hAnsi="Arial" w:cs="Arial"/>
                <w:sz w:val="20"/>
                <w:szCs w:val="20"/>
              </w:rPr>
            </w:pPr>
          </w:p>
        </w:tc>
      </w:tr>
      <w:tr w:rsidR="00ED1716" w:rsidRPr="009107E5" w14:paraId="0A58B473" w14:textId="77777777" w:rsidTr="004D21FD">
        <w:tc>
          <w:tcPr>
            <w:tcW w:w="9288" w:type="dxa"/>
            <w:gridSpan w:val="2"/>
          </w:tcPr>
          <w:p w14:paraId="5044933D" w14:textId="77777777" w:rsidR="00ED1716" w:rsidRPr="009107E5" w:rsidRDefault="00ED1716" w:rsidP="00AD0441">
            <w:pPr>
              <w:ind w:left="567" w:hanging="567"/>
              <w:rPr>
                <w:rFonts w:ascii="Arial" w:hAnsi="Arial" w:cs="Arial"/>
                <w:sz w:val="20"/>
                <w:szCs w:val="20"/>
              </w:rPr>
            </w:pPr>
            <w:r w:rsidRPr="009107E5">
              <w:rPr>
                <w:rFonts w:ascii="Arial" w:hAnsi="Arial" w:cs="Arial"/>
                <w:sz w:val="20"/>
                <w:szCs w:val="20"/>
              </w:rPr>
              <w:lastRenderedPageBreak/>
              <w:t>17.</w:t>
            </w:r>
            <w:r w:rsidRPr="009107E5">
              <w:rPr>
                <w:rFonts w:ascii="Arial" w:hAnsi="Arial" w:cs="Arial"/>
                <w:sz w:val="20"/>
                <w:szCs w:val="20"/>
              </w:rPr>
              <w:tab/>
              <w:t xml:space="preserve">Inject the solution into a vein over 2 to 5 minutes, keeping an eye on the position of the needle. The speed of injection should be based on your </w:t>
            </w:r>
            <w:proofErr w:type="gramStart"/>
            <w:r w:rsidRPr="009107E5">
              <w:rPr>
                <w:rFonts w:ascii="Arial" w:hAnsi="Arial" w:cs="Arial"/>
                <w:sz w:val="20"/>
                <w:szCs w:val="20"/>
              </w:rPr>
              <w:t>comfort, but</w:t>
            </w:r>
            <w:proofErr w:type="gramEnd"/>
            <w:r w:rsidRPr="009107E5">
              <w:rPr>
                <w:rFonts w:ascii="Arial" w:hAnsi="Arial" w:cs="Arial"/>
                <w:sz w:val="20"/>
                <w:szCs w:val="20"/>
              </w:rPr>
              <w:t xml:space="preserve"> should not be faster than 2.5 mL per minute.</w:t>
            </w:r>
          </w:p>
          <w:p w14:paraId="71D16D3D" w14:textId="77777777" w:rsidR="00ED1716" w:rsidRPr="009107E5" w:rsidRDefault="00ED1716" w:rsidP="00AD0441">
            <w:pPr>
              <w:ind w:left="567" w:hanging="567"/>
              <w:rPr>
                <w:rFonts w:ascii="Arial" w:hAnsi="Arial" w:cs="Arial"/>
                <w:sz w:val="20"/>
                <w:szCs w:val="20"/>
              </w:rPr>
            </w:pPr>
          </w:p>
        </w:tc>
      </w:tr>
      <w:tr w:rsidR="00ED1716" w:rsidRPr="009107E5" w14:paraId="4FF6AAE7" w14:textId="77777777" w:rsidTr="004D21FD">
        <w:tc>
          <w:tcPr>
            <w:tcW w:w="9288" w:type="dxa"/>
            <w:gridSpan w:val="2"/>
          </w:tcPr>
          <w:p w14:paraId="080F59DA" w14:textId="77777777" w:rsidR="00ED1716" w:rsidRPr="009018D8" w:rsidRDefault="00ED1716" w:rsidP="00AD0441">
            <w:pPr>
              <w:ind w:left="567" w:hanging="567"/>
              <w:rPr>
                <w:rFonts w:ascii="Arial" w:hAnsi="Arial" w:cs="Arial"/>
                <w:sz w:val="20"/>
                <w:szCs w:val="20"/>
              </w:rPr>
            </w:pPr>
            <w:r w:rsidRPr="009107E5">
              <w:rPr>
                <w:rFonts w:ascii="Arial" w:hAnsi="Arial" w:cs="Arial"/>
                <w:sz w:val="20"/>
                <w:szCs w:val="20"/>
              </w:rPr>
              <w:t>18.</w:t>
            </w:r>
            <w:r w:rsidRPr="009107E5">
              <w:rPr>
                <w:rFonts w:ascii="Arial" w:hAnsi="Arial" w:cs="Arial"/>
                <w:sz w:val="20"/>
                <w:szCs w:val="20"/>
              </w:rPr>
              <w:tab/>
            </w:r>
            <w:r w:rsidRPr="009107E5">
              <w:rPr>
                <w:rFonts w:ascii="Arial" w:hAnsi="Arial" w:cs="Arial"/>
                <w:sz w:val="20"/>
                <w:szCs w:val="20"/>
                <w:lang w:val="en-US"/>
              </w:rPr>
              <w:t>If a further dose is needed</w:t>
            </w:r>
            <w:r w:rsidRPr="009018D8">
              <w:rPr>
                <w:rFonts w:ascii="Arial" w:hAnsi="Arial" w:cs="Arial"/>
                <w:sz w:val="20"/>
                <w:szCs w:val="20"/>
              </w:rPr>
              <w:t>, use a new syringe with product reconstituted as described above.</w:t>
            </w:r>
          </w:p>
        </w:tc>
      </w:tr>
      <w:tr w:rsidR="00ED1716" w:rsidRPr="009107E5" w14:paraId="4740763C" w14:textId="77777777" w:rsidTr="004D21FD">
        <w:tc>
          <w:tcPr>
            <w:tcW w:w="9288" w:type="dxa"/>
            <w:gridSpan w:val="2"/>
          </w:tcPr>
          <w:p w14:paraId="45074E4A" w14:textId="77777777" w:rsidR="00ED1716" w:rsidRPr="009107E5" w:rsidRDefault="00ED1716" w:rsidP="00AD0441">
            <w:pPr>
              <w:ind w:left="567" w:hanging="567"/>
              <w:rPr>
                <w:rFonts w:ascii="Arial" w:hAnsi="Arial" w:cs="Arial"/>
                <w:sz w:val="20"/>
                <w:szCs w:val="20"/>
              </w:rPr>
            </w:pPr>
            <w:r w:rsidRPr="009107E5">
              <w:rPr>
                <w:rFonts w:ascii="Arial" w:hAnsi="Arial" w:cs="Arial"/>
                <w:sz w:val="20"/>
                <w:szCs w:val="20"/>
              </w:rPr>
              <w:t>19.</w:t>
            </w:r>
            <w:r w:rsidRPr="009107E5">
              <w:rPr>
                <w:rFonts w:ascii="Arial" w:hAnsi="Arial" w:cs="Arial"/>
                <w:sz w:val="20"/>
                <w:szCs w:val="20"/>
              </w:rPr>
              <w:tab/>
              <w:t xml:space="preserve">If no further dose is required, remove the </w:t>
            </w:r>
            <w:proofErr w:type="spellStart"/>
            <w:r w:rsidRPr="009107E5">
              <w:rPr>
                <w:rFonts w:ascii="Arial" w:hAnsi="Arial" w:cs="Arial"/>
                <w:sz w:val="20"/>
                <w:szCs w:val="20"/>
              </w:rPr>
              <w:t>venipuncture</w:t>
            </w:r>
            <w:proofErr w:type="spellEnd"/>
            <w:r w:rsidRPr="009107E5">
              <w:rPr>
                <w:rFonts w:ascii="Arial" w:hAnsi="Arial" w:cs="Arial"/>
                <w:sz w:val="20"/>
                <w:szCs w:val="20"/>
              </w:rPr>
              <w:t xml:space="preserve"> set and syringe. Hold a pad firmly over the i</w:t>
            </w:r>
            <w:bookmarkStart w:id="2" w:name="_Hlk26452218"/>
            <w:r w:rsidRPr="009107E5">
              <w:rPr>
                <w:rFonts w:ascii="Arial" w:hAnsi="Arial" w:cs="Arial"/>
                <w:sz w:val="20"/>
                <w:szCs w:val="20"/>
              </w:rPr>
              <w:t xml:space="preserve">njection site on your outstretched arm for about 2 minutes. Finally, apply a small pressure </w:t>
            </w:r>
            <w:bookmarkEnd w:id="2"/>
            <w:r w:rsidRPr="009107E5">
              <w:rPr>
                <w:rFonts w:ascii="Arial" w:hAnsi="Arial" w:cs="Arial"/>
                <w:sz w:val="20"/>
                <w:szCs w:val="20"/>
              </w:rPr>
              <w:t>dressing to the injection site and consider if a plaster is necessary.</w:t>
            </w:r>
          </w:p>
          <w:p w14:paraId="445335B7" w14:textId="77777777" w:rsidR="00ED1716" w:rsidRPr="009107E5" w:rsidRDefault="00ED1716" w:rsidP="00AD0441">
            <w:pPr>
              <w:ind w:left="567" w:hanging="567"/>
              <w:rPr>
                <w:rFonts w:ascii="Arial" w:hAnsi="Arial" w:cs="Arial"/>
                <w:sz w:val="20"/>
                <w:szCs w:val="20"/>
              </w:rPr>
            </w:pPr>
          </w:p>
        </w:tc>
      </w:tr>
      <w:tr w:rsidR="00F53F98" w:rsidRPr="009107E5" w14:paraId="2CBD7182" w14:textId="77777777" w:rsidTr="004D21FD">
        <w:tc>
          <w:tcPr>
            <w:tcW w:w="9288" w:type="dxa"/>
            <w:gridSpan w:val="2"/>
          </w:tcPr>
          <w:p w14:paraId="5D6CA9DD" w14:textId="0238EA64" w:rsidR="00F53F98" w:rsidRPr="009107E5" w:rsidRDefault="00C3434C" w:rsidP="00AD0441">
            <w:pPr>
              <w:ind w:left="254" w:hanging="270"/>
              <w:rPr>
                <w:rFonts w:ascii="Arial" w:hAnsi="Arial" w:cs="Arial"/>
                <w:sz w:val="20"/>
                <w:szCs w:val="20"/>
              </w:rPr>
            </w:pPr>
            <w:r w:rsidRPr="009107E5">
              <w:rPr>
                <w:rFonts w:ascii="Arial" w:hAnsi="Arial" w:cs="Arial"/>
                <w:sz w:val="20"/>
                <w:szCs w:val="20"/>
              </w:rPr>
              <w:t xml:space="preserve">20.      </w:t>
            </w:r>
            <w:r w:rsidR="00F53F98" w:rsidRPr="009107E5">
              <w:rPr>
                <w:rFonts w:ascii="Arial" w:hAnsi="Arial" w:cs="Arial"/>
                <w:sz w:val="20"/>
                <w:szCs w:val="20"/>
              </w:rPr>
              <w:t>It is recommended that every time you use Jivi, you note down the name and batch number of</w:t>
            </w:r>
            <w:r w:rsidRPr="009107E5">
              <w:rPr>
                <w:rFonts w:ascii="Arial" w:hAnsi="Arial" w:cs="Arial"/>
                <w:sz w:val="20"/>
                <w:szCs w:val="20"/>
              </w:rPr>
              <w:t xml:space="preserve"> </w:t>
            </w:r>
            <w:r w:rsidR="00F53F98" w:rsidRPr="009107E5">
              <w:rPr>
                <w:rFonts w:ascii="Arial" w:hAnsi="Arial" w:cs="Arial"/>
                <w:sz w:val="20"/>
                <w:szCs w:val="20"/>
              </w:rPr>
              <w:t>the product.</w:t>
            </w:r>
          </w:p>
        </w:tc>
      </w:tr>
      <w:tr w:rsidR="00F53F98" w:rsidRPr="009107E5" w14:paraId="69164473" w14:textId="77777777" w:rsidTr="004D21FD">
        <w:tc>
          <w:tcPr>
            <w:tcW w:w="9288" w:type="dxa"/>
            <w:gridSpan w:val="2"/>
          </w:tcPr>
          <w:p w14:paraId="09F3CD43" w14:textId="0E1451AB" w:rsidR="00F53F98" w:rsidRPr="009107E5" w:rsidRDefault="00F53F98" w:rsidP="00AD0441">
            <w:pPr>
              <w:ind w:left="567" w:hanging="567"/>
              <w:rPr>
                <w:rFonts w:ascii="Arial" w:hAnsi="Arial" w:cs="Arial"/>
                <w:sz w:val="20"/>
                <w:szCs w:val="20"/>
              </w:rPr>
            </w:pPr>
            <w:r w:rsidRPr="009107E5">
              <w:rPr>
                <w:rFonts w:ascii="Arial" w:hAnsi="Arial" w:cs="Arial"/>
                <w:sz w:val="20"/>
                <w:szCs w:val="20"/>
              </w:rPr>
              <w:t xml:space="preserve">21. </w:t>
            </w:r>
            <w:r w:rsidR="00C3434C" w:rsidRPr="009107E5">
              <w:rPr>
                <w:rFonts w:ascii="Arial" w:hAnsi="Arial" w:cs="Arial"/>
                <w:sz w:val="20"/>
                <w:szCs w:val="20"/>
              </w:rPr>
              <w:t xml:space="preserve">    </w:t>
            </w:r>
            <w:r w:rsidRPr="009107E5">
              <w:rPr>
                <w:rFonts w:ascii="Arial" w:hAnsi="Arial" w:cs="Arial"/>
                <w:b/>
                <w:bCs/>
                <w:sz w:val="20"/>
                <w:szCs w:val="20"/>
              </w:rPr>
              <w:t>Do not</w:t>
            </w:r>
            <w:r w:rsidRPr="009018D8">
              <w:rPr>
                <w:rFonts w:ascii="Arial" w:hAnsi="Arial" w:cs="Arial"/>
                <w:sz w:val="20"/>
                <w:szCs w:val="20"/>
              </w:rPr>
              <w:t xml:space="preserve"> throw away any medicines via wastewater or household waste. Ask your pharmacist or</w:t>
            </w:r>
            <w:r w:rsidR="00C3434C" w:rsidRPr="009107E5">
              <w:rPr>
                <w:rFonts w:ascii="Arial" w:hAnsi="Arial" w:cs="Arial"/>
                <w:sz w:val="20"/>
                <w:szCs w:val="20"/>
              </w:rPr>
              <w:t xml:space="preserve"> </w:t>
            </w:r>
            <w:r w:rsidRPr="009107E5">
              <w:rPr>
                <w:rFonts w:ascii="Arial" w:hAnsi="Arial" w:cs="Arial"/>
                <w:sz w:val="20"/>
                <w:szCs w:val="20"/>
              </w:rPr>
              <w:t>physician how to throw away medicines you no longer use. These measures will help protect the</w:t>
            </w:r>
            <w:r w:rsidR="00C3434C" w:rsidRPr="009107E5">
              <w:rPr>
                <w:rFonts w:ascii="Arial" w:hAnsi="Arial" w:cs="Arial"/>
                <w:sz w:val="20"/>
                <w:szCs w:val="20"/>
              </w:rPr>
              <w:t xml:space="preserve"> </w:t>
            </w:r>
            <w:r w:rsidRPr="009107E5">
              <w:rPr>
                <w:rFonts w:ascii="Arial" w:hAnsi="Arial" w:cs="Arial"/>
                <w:sz w:val="20"/>
                <w:szCs w:val="20"/>
              </w:rPr>
              <w:t>environment.</w:t>
            </w:r>
          </w:p>
        </w:tc>
      </w:tr>
    </w:tbl>
    <w:p w14:paraId="2EDA1541" w14:textId="77777777" w:rsidR="00A7689F" w:rsidRPr="009107E5" w:rsidRDefault="00A7689F" w:rsidP="00AD0441">
      <w:pPr>
        <w:pStyle w:val="Default"/>
        <w:rPr>
          <w:rFonts w:ascii="Arial" w:hAnsi="Arial" w:cs="Arial"/>
          <w:sz w:val="20"/>
          <w:szCs w:val="20"/>
        </w:rPr>
      </w:pPr>
    </w:p>
    <w:p w14:paraId="4F8FDC52" w14:textId="77777777" w:rsidR="001A3992" w:rsidRPr="009107E5" w:rsidRDefault="001A3992" w:rsidP="00AD0441">
      <w:pPr>
        <w:pStyle w:val="Heading2"/>
        <w:spacing w:before="0" w:after="120"/>
        <w:rPr>
          <w:rFonts w:ascii="Arial" w:hAnsi="Arial" w:cs="Arial"/>
          <w:sz w:val="20"/>
          <w:szCs w:val="20"/>
        </w:rPr>
      </w:pPr>
      <w:r w:rsidRPr="009107E5">
        <w:rPr>
          <w:rFonts w:ascii="Arial" w:hAnsi="Arial" w:cs="Arial"/>
          <w:sz w:val="20"/>
          <w:szCs w:val="20"/>
        </w:rPr>
        <w:t>Contraindications</w:t>
      </w:r>
    </w:p>
    <w:p w14:paraId="3104578D" w14:textId="77777777" w:rsidR="00ED1716" w:rsidRPr="009107E5" w:rsidRDefault="00ED171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Hypersensitivity to the active substance or to any of the excipients listed in section 6.1.</w:t>
      </w:r>
    </w:p>
    <w:p w14:paraId="0E9F9BC2" w14:textId="77777777" w:rsidR="00ED1716" w:rsidRPr="009107E5" w:rsidRDefault="00ED1716" w:rsidP="00AD0441">
      <w:pPr>
        <w:rPr>
          <w:rFonts w:ascii="Arial" w:hAnsi="Arial" w:cs="Arial"/>
          <w:sz w:val="20"/>
          <w:szCs w:val="20"/>
          <w:lang w:val="en-US"/>
        </w:rPr>
      </w:pPr>
      <w:r w:rsidRPr="009107E5">
        <w:rPr>
          <w:rFonts w:ascii="Arial" w:hAnsi="Arial" w:cs="Arial"/>
          <w:sz w:val="20"/>
          <w:szCs w:val="20"/>
          <w:lang w:val="en-US"/>
        </w:rPr>
        <w:t>Known allergic reactions to mouse or hamster proteins.</w:t>
      </w:r>
    </w:p>
    <w:p w14:paraId="0C468569" w14:textId="77777777" w:rsidR="00733A17" w:rsidRPr="009107E5" w:rsidRDefault="00733A17" w:rsidP="00AD0441">
      <w:pPr>
        <w:rPr>
          <w:rFonts w:ascii="Arial" w:hAnsi="Arial" w:cs="Arial"/>
          <w:sz w:val="20"/>
          <w:szCs w:val="20"/>
        </w:rPr>
      </w:pPr>
    </w:p>
    <w:p w14:paraId="0878C678" w14:textId="77777777" w:rsidR="001A3992" w:rsidRPr="009107E5" w:rsidRDefault="00E74A56" w:rsidP="00AD0441">
      <w:pPr>
        <w:pStyle w:val="Heading2"/>
        <w:spacing w:before="0" w:after="120"/>
        <w:rPr>
          <w:rFonts w:ascii="Arial" w:hAnsi="Arial" w:cs="Arial"/>
          <w:sz w:val="20"/>
          <w:szCs w:val="20"/>
        </w:rPr>
      </w:pPr>
      <w:bookmarkStart w:id="3" w:name="_Ref34660839"/>
      <w:r w:rsidRPr="009107E5">
        <w:rPr>
          <w:rFonts w:ascii="Arial" w:hAnsi="Arial" w:cs="Arial"/>
          <w:sz w:val="20"/>
          <w:szCs w:val="20"/>
        </w:rPr>
        <w:t>Special warnings and p</w:t>
      </w:r>
      <w:r w:rsidR="001A3992" w:rsidRPr="009107E5">
        <w:rPr>
          <w:rFonts w:ascii="Arial" w:hAnsi="Arial" w:cs="Arial"/>
          <w:sz w:val="20"/>
          <w:szCs w:val="20"/>
        </w:rPr>
        <w:t xml:space="preserve">recautions </w:t>
      </w:r>
      <w:r w:rsidRPr="009107E5">
        <w:rPr>
          <w:rFonts w:ascii="Arial" w:hAnsi="Arial" w:cs="Arial"/>
          <w:sz w:val="20"/>
          <w:szCs w:val="20"/>
        </w:rPr>
        <w:t>for use</w:t>
      </w:r>
      <w:bookmarkEnd w:id="3"/>
    </w:p>
    <w:p w14:paraId="63F5AD29" w14:textId="77777777" w:rsidR="008E6063" w:rsidRPr="009107E5" w:rsidRDefault="008E6063" w:rsidP="00AD0441">
      <w:pPr>
        <w:pStyle w:val="Heading3"/>
        <w:rPr>
          <w:rFonts w:ascii="Arial" w:hAnsi="Arial" w:cs="Arial"/>
          <w:sz w:val="20"/>
          <w:szCs w:val="20"/>
        </w:rPr>
      </w:pPr>
      <w:r w:rsidRPr="009107E5">
        <w:rPr>
          <w:rFonts w:ascii="Arial" w:hAnsi="Arial" w:cs="Arial"/>
          <w:sz w:val="20"/>
          <w:szCs w:val="20"/>
        </w:rPr>
        <w:t>Traceability</w:t>
      </w:r>
    </w:p>
    <w:p w14:paraId="6300DACE"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In order to improve the traceability of biological medicinal products, the name and the batch </w:t>
      </w:r>
      <w:proofErr w:type="gramStart"/>
      <w:r w:rsidRPr="009107E5">
        <w:rPr>
          <w:rFonts w:ascii="Arial" w:hAnsi="Arial" w:cs="Arial"/>
          <w:sz w:val="20"/>
          <w:szCs w:val="20"/>
          <w:lang w:val="en-US"/>
        </w:rPr>
        <w:t>number</w:t>
      </w:r>
      <w:proofErr w:type="gramEnd"/>
    </w:p>
    <w:p w14:paraId="32D6F3AB"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of the administered product should be clearly recorded.</w:t>
      </w:r>
    </w:p>
    <w:p w14:paraId="7B4EB0FF" w14:textId="77777777" w:rsidR="008E6063" w:rsidRPr="009107E5" w:rsidRDefault="008E6063" w:rsidP="00AD0441">
      <w:pPr>
        <w:pStyle w:val="Heading3"/>
        <w:rPr>
          <w:rFonts w:ascii="Arial" w:hAnsi="Arial" w:cs="Arial"/>
          <w:sz w:val="20"/>
          <w:szCs w:val="20"/>
        </w:rPr>
      </w:pPr>
      <w:r w:rsidRPr="009107E5">
        <w:rPr>
          <w:rFonts w:ascii="Arial" w:hAnsi="Arial" w:cs="Arial"/>
          <w:sz w:val="20"/>
          <w:szCs w:val="20"/>
        </w:rPr>
        <w:t>Hypersensitivity</w:t>
      </w:r>
    </w:p>
    <w:p w14:paraId="14E92A97"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Allergic type hypersensitivity reactions are possible with Jivi. The medicinal product may </w:t>
      </w:r>
      <w:proofErr w:type="gramStart"/>
      <w:r w:rsidRPr="009107E5">
        <w:rPr>
          <w:rFonts w:ascii="Arial" w:hAnsi="Arial" w:cs="Arial"/>
          <w:sz w:val="20"/>
          <w:szCs w:val="20"/>
          <w:lang w:val="en-US"/>
        </w:rPr>
        <w:t>contain</w:t>
      </w:r>
      <w:proofErr w:type="gramEnd"/>
    </w:p>
    <w:p w14:paraId="50139163"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traces of mouse and hamster proteins. Hypersensitivity reactions could also be related to </w:t>
      </w:r>
      <w:proofErr w:type="gramStart"/>
      <w:r w:rsidRPr="009107E5">
        <w:rPr>
          <w:rFonts w:ascii="Arial" w:hAnsi="Arial" w:cs="Arial"/>
          <w:sz w:val="20"/>
          <w:szCs w:val="20"/>
          <w:lang w:val="en-US"/>
        </w:rPr>
        <w:t>antibodies</w:t>
      </w:r>
      <w:proofErr w:type="gramEnd"/>
    </w:p>
    <w:p w14:paraId="19BD5517"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against PEG (see paragraph Immune response to polyethylene glycol (PEG)). If symptoms of</w:t>
      </w:r>
    </w:p>
    <w:p w14:paraId="0F7609D5"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hypersensitivity occur, patients should be advised to discontinue the use of the medicinal </w:t>
      </w:r>
      <w:proofErr w:type="gramStart"/>
      <w:r w:rsidRPr="009107E5">
        <w:rPr>
          <w:rFonts w:ascii="Arial" w:hAnsi="Arial" w:cs="Arial"/>
          <w:sz w:val="20"/>
          <w:szCs w:val="20"/>
          <w:lang w:val="en-US"/>
        </w:rPr>
        <w:t>product</w:t>
      </w:r>
      <w:proofErr w:type="gramEnd"/>
    </w:p>
    <w:p w14:paraId="3E63E5E1"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immediately and contact their physician. Patients should be informed of the early signs of</w:t>
      </w:r>
    </w:p>
    <w:p w14:paraId="1976B6BE"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hypersensitivity reactions including hives, generalized urticaria, tightness of the chest, wheezing,</w:t>
      </w:r>
    </w:p>
    <w:p w14:paraId="7A4D4DDE"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hypotension, and anaphylaxis. Symptomatic treatment for hypersensitivity should be instituted as</w:t>
      </w:r>
    </w:p>
    <w:p w14:paraId="02B13C5B"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appropriate. In case of anaphylaxis or shock, the current medical standards for treatment should </w:t>
      </w:r>
      <w:proofErr w:type="gramStart"/>
      <w:r w:rsidRPr="009107E5">
        <w:rPr>
          <w:rFonts w:ascii="Arial" w:hAnsi="Arial" w:cs="Arial"/>
          <w:sz w:val="20"/>
          <w:szCs w:val="20"/>
          <w:lang w:val="en-US"/>
        </w:rPr>
        <w:t>be</w:t>
      </w:r>
      <w:proofErr w:type="gramEnd"/>
    </w:p>
    <w:p w14:paraId="64652887" w14:textId="77777777" w:rsidR="008E6063" w:rsidRPr="009107E5" w:rsidRDefault="008E6063" w:rsidP="00AD0441">
      <w:pPr>
        <w:rPr>
          <w:rFonts w:ascii="Arial" w:hAnsi="Arial" w:cs="Arial"/>
          <w:sz w:val="20"/>
          <w:szCs w:val="20"/>
          <w:lang w:val="en-US"/>
        </w:rPr>
      </w:pPr>
      <w:r w:rsidRPr="009107E5">
        <w:rPr>
          <w:rFonts w:ascii="Arial" w:hAnsi="Arial" w:cs="Arial"/>
          <w:sz w:val="20"/>
          <w:szCs w:val="20"/>
          <w:lang w:val="en-US"/>
        </w:rPr>
        <w:t>implemented.</w:t>
      </w:r>
    </w:p>
    <w:p w14:paraId="3AF3FDB2" w14:textId="77777777" w:rsidR="008E6063" w:rsidRPr="009107E5" w:rsidRDefault="008E6063" w:rsidP="00AD0441">
      <w:pPr>
        <w:pStyle w:val="Heading3"/>
        <w:rPr>
          <w:rFonts w:ascii="Arial" w:hAnsi="Arial" w:cs="Arial"/>
          <w:sz w:val="20"/>
          <w:szCs w:val="20"/>
        </w:rPr>
      </w:pPr>
      <w:r w:rsidRPr="009107E5">
        <w:rPr>
          <w:rFonts w:ascii="Arial" w:hAnsi="Arial" w:cs="Arial"/>
          <w:sz w:val="20"/>
          <w:szCs w:val="20"/>
        </w:rPr>
        <w:t>Inhibitors</w:t>
      </w:r>
    </w:p>
    <w:p w14:paraId="3D5878CB"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The formation of </w:t>
      </w:r>
      <w:proofErr w:type="spellStart"/>
      <w:r w:rsidRPr="009107E5">
        <w:rPr>
          <w:rFonts w:ascii="Arial" w:hAnsi="Arial" w:cs="Arial"/>
          <w:sz w:val="20"/>
          <w:szCs w:val="20"/>
          <w:lang w:val="en-US"/>
        </w:rPr>
        <w:t>neutralising</w:t>
      </w:r>
      <w:proofErr w:type="spellEnd"/>
      <w:r w:rsidRPr="009107E5">
        <w:rPr>
          <w:rFonts w:ascii="Arial" w:hAnsi="Arial" w:cs="Arial"/>
          <w:sz w:val="20"/>
          <w:szCs w:val="20"/>
          <w:lang w:val="en-US"/>
        </w:rPr>
        <w:t xml:space="preserve"> antibodies (inhibitors) to factor VIII is a known complication in the</w:t>
      </w:r>
    </w:p>
    <w:p w14:paraId="061EE981"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management of individuals with </w:t>
      </w:r>
      <w:proofErr w:type="spellStart"/>
      <w:r w:rsidRPr="009107E5">
        <w:rPr>
          <w:rFonts w:ascii="Arial" w:hAnsi="Arial" w:cs="Arial"/>
          <w:sz w:val="20"/>
          <w:szCs w:val="20"/>
          <w:lang w:val="en-US"/>
        </w:rPr>
        <w:t>haemophilia</w:t>
      </w:r>
      <w:proofErr w:type="spellEnd"/>
      <w:r w:rsidRPr="009107E5">
        <w:rPr>
          <w:rFonts w:ascii="Arial" w:hAnsi="Arial" w:cs="Arial"/>
          <w:sz w:val="20"/>
          <w:szCs w:val="20"/>
          <w:lang w:val="en-US"/>
        </w:rPr>
        <w:t xml:space="preserve"> A. These inhibitors are usually IgG </w:t>
      </w:r>
      <w:proofErr w:type="gramStart"/>
      <w:r w:rsidRPr="009107E5">
        <w:rPr>
          <w:rFonts w:ascii="Arial" w:hAnsi="Arial" w:cs="Arial"/>
          <w:sz w:val="20"/>
          <w:szCs w:val="20"/>
          <w:lang w:val="en-US"/>
        </w:rPr>
        <w:t>immunoglobulins</w:t>
      </w:r>
      <w:proofErr w:type="gramEnd"/>
    </w:p>
    <w:p w14:paraId="6AF0A099"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directed against the factor VIII procoagulant activity, which are quantified in Bethesda Units (BU)</w:t>
      </w:r>
    </w:p>
    <w:p w14:paraId="2C4E0A44"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per mL of plasma using the modified Bethesda assay. The risk of developing inhibitors is correlated </w:t>
      </w:r>
      <w:proofErr w:type="gramStart"/>
      <w:r w:rsidRPr="009107E5">
        <w:rPr>
          <w:rFonts w:ascii="Arial" w:hAnsi="Arial" w:cs="Arial"/>
          <w:sz w:val="20"/>
          <w:szCs w:val="20"/>
          <w:lang w:val="en-US"/>
        </w:rPr>
        <w:t>to</w:t>
      </w:r>
      <w:proofErr w:type="gramEnd"/>
    </w:p>
    <w:p w14:paraId="48EC8FC5"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the severity of the disease as well as the exposure to factor VIII, this risk being highest within the first</w:t>
      </w:r>
    </w:p>
    <w:p w14:paraId="365453D4"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50 exposure days (ED) but continues throughout life although the risk is uncommon. Rarely, inhibitors may develop after the first 50 exposure days.</w:t>
      </w:r>
    </w:p>
    <w:p w14:paraId="5C20CEFF"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p>
    <w:p w14:paraId="71B1E473"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The clinical relevance of inhibitor development will depend on the </w:t>
      </w:r>
      <w:proofErr w:type="spellStart"/>
      <w:r w:rsidRPr="009107E5">
        <w:rPr>
          <w:rFonts w:ascii="Arial" w:hAnsi="Arial" w:cs="Arial"/>
          <w:sz w:val="20"/>
          <w:szCs w:val="20"/>
          <w:lang w:val="en-US"/>
        </w:rPr>
        <w:t>titre</w:t>
      </w:r>
      <w:proofErr w:type="spellEnd"/>
      <w:r w:rsidRPr="009107E5">
        <w:rPr>
          <w:rFonts w:ascii="Arial" w:hAnsi="Arial" w:cs="Arial"/>
          <w:sz w:val="20"/>
          <w:szCs w:val="20"/>
          <w:lang w:val="en-US"/>
        </w:rPr>
        <w:t xml:space="preserve"> of the inhibitor, with low </w:t>
      </w:r>
      <w:proofErr w:type="spellStart"/>
      <w:proofErr w:type="gramStart"/>
      <w:r w:rsidRPr="009107E5">
        <w:rPr>
          <w:rFonts w:ascii="Arial" w:hAnsi="Arial" w:cs="Arial"/>
          <w:sz w:val="20"/>
          <w:szCs w:val="20"/>
          <w:lang w:val="en-US"/>
        </w:rPr>
        <w:t>titre</w:t>
      </w:r>
      <w:proofErr w:type="spellEnd"/>
      <w:proofErr w:type="gramEnd"/>
    </w:p>
    <w:p w14:paraId="50960B7C"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posing less of a risk of insufficient clinical response than high </w:t>
      </w:r>
      <w:proofErr w:type="spellStart"/>
      <w:r w:rsidRPr="009107E5">
        <w:rPr>
          <w:rFonts w:ascii="Arial" w:hAnsi="Arial" w:cs="Arial"/>
          <w:sz w:val="20"/>
          <w:szCs w:val="20"/>
          <w:lang w:val="en-US"/>
        </w:rPr>
        <w:t>titre</w:t>
      </w:r>
      <w:proofErr w:type="spellEnd"/>
      <w:r w:rsidRPr="009107E5">
        <w:rPr>
          <w:rFonts w:ascii="Arial" w:hAnsi="Arial" w:cs="Arial"/>
          <w:sz w:val="20"/>
          <w:szCs w:val="20"/>
          <w:lang w:val="en-US"/>
        </w:rPr>
        <w:t xml:space="preserve"> inhibitors.</w:t>
      </w:r>
    </w:p>
    <w:p w14:paraId="274369B1"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p>
    <w:p w14:paraId="603A7661"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In general, all patients treated with coagulation factor VIII products should be carefully monitored for</w:t>
      </w:r>
    </w:p>
    <w:p w14:paraId="3DDC413A"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the development of inhibitors by appropriate clinical observations and laboratory tests.</w:t>
      </w:r>
    </w:p>
    <w:p w14:paraId="45BF2DAE"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p>
    <w:p w14:paraId="52483D5C"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If the expected factor VIII activity plasma levels are not attained, or if bleeding is not controlled </w:t>
      </w:r>
      <w:proofErr w:type="gramStart"/>
      <w:r w:rsidRPr="009107E5">
        <w:rPr>
          <w:rFonts w:ascii="Arial" w:hAnsi="Arial" w:cs="Arial"/>
          <w:sz w:val="20"/>
          <w:szCs w:val="20"/>
          <w:lang w:val="en-US"/>
        </w:rPr>
        <w:t>with</w:t>
      </w:r>
      <w:proofErr w:type="gramEnd"/>
    </w:p>
    <w:p w14:paraId="3866C166"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an appropriate dose, testing for factor VIII inhibitor presence should be performed. In patients with</w:t>
      </w:r>
    </w:p>
    <w:p w14:paraId="59162AC3"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lastRenderedPageBreak/>
        <w:t xml:space="preserve">high levels of inhibitor, factor VIII therapy may not be effective and other therapeutic options </w:t>
      </w:r>
      <w:proofErr w:type="gramStart"/>
      <w:r w:rsidRPr="009107E5">
        <w:rPr>
          <w:rFonts w:ascii="Arial" w:hAnsi="Arial" w:cs="Arial"/>
          <w:sz w:val="20"/>
          <w:szCs w:val="20"/>
          <w:lang w:val="en-US"/>
        </w:rPr>
        <w:t>should</w:t>
      </w:r>
      <w:proofErr w:type="gramEnd"/>
    </w:p>
    <w:p w14:paraId="42736A55"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be considered. Management of such patients should be directed by physicians with experience in the</w:t>
      </w:r>
    </w:p>
    <w:p w14:paraId="60C32382" w14:textId="5354953B"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care of </w:t>
      </w:r>
      <w:proofErr w:type="spellStart"/>
      <w:r w:rsidRPr="009107E5">
        <w:rPr>
          <w:rFonts w:ascii="Arial" w:hAnsi="Arial" w:cs="Arial"/>
          <w:sz w:val="20"/>
          <w:szCs w:val="20"/>
          <w:lang w:val="en-US"/>
        </w:rPr>
        <w:t>haemophilia</w:t>
      </w:r>
      <w:proofErr w:type="spellEnd"/>
      <w:r w:rsidRPr="009107E5">
        <w:rPr>
          <w:rFonts w:ascii="Arial" w:hAnsi="Arial" w:cs="Arial"/>
          <w:sz w:val="20"/>
          <w:szCs w:val="20"/>
          <w:lang w:val="en-US"/>
        </w:rPr>
        <w:t xml:space="preserve"> and factor VIII inhibitors.</w:t>
      </w:r>
    </w:p>
    <w:p w14:paraId="69265D99" w14:textId="77777777" w:rsidR="008E6063" w:rsidRPr="009107E5" w:rsidRDefault="008E6063" w:rsidP="00AD0441">
      <w:pPr>
        <w:pStyle w:val="Heading3"/>
        <w:rPr>
          <w:rFonts w:ascii="Arial" w:hAnsi="Arial" w:cs="Arial"/>
          <w:sz w:val="20"/>
          <w:szCs w:val="20"/>
        </w:rPr>
      </w:pPr>
      <w:r w:rsidRPr="009107E5">
        <w:rPr>
          <w:rFonts w:ascii="Arial" w:hAnsi="Arial" w:cs="Arial"/>
          <w:sz w:val="20"/>
          <w:szCs w:val="20"/>
        </w:rPr>
        <w:t>Immune response to polyethylene glycol (PEG)</w:t>
      </w:r>
    </w:p>
    <w:p w14:paraId="7FE19464"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A clinical immune response associated with anti-PEG antibodies, manifested as symptoms of </w:t>
      </w:r>
      <w:proofErr w:type="gramStart"/>
      <w:r w:rsidRPr="009107E5">
        <w:rPr>
          <w:rFonts w:ascii="Arial" w:hAnsi="Arial" w:cs="Arial"/>
          <w:sz w:val="20"/>
          <w:szCs w:val="20"/>
          <w:lang w:val="en-US"/>
        </w:rPr>
        <w:t>acute</w:t>
      </w:r>
      <w:proofErr w:type="gramEnd"/>
    </w:p>
    <w:p w14:paraId="0C06AA0E"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hypersensitivity and/or loss of drug effect has been observed primarily within the first 4 </w:t>
      </w:r>
      <w:proofErr w:type="gramStart"/>
      <w:r w:rsidRPr="009107E5">
        <w:rPr>
          <w:rFonts w:ascii="Arial" w:hAnsi="Arial" w:cs="Arial"/>
          <w:sz w:val="20"/>
          <w:szCs w:val="20"/>
          <w:lang w:val="en-US"/>
        </w:rPr>
        <w:t>exposure</w:t>
      </w:r>
      <w:proofErr w:type="gramEnd"/>
    </w:p>
    <w:p w14:paraId="76B699F3"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days. Low post-injection factor VIII levels in the absence of detectable factor VIII inhibitors </w:t>
      </w:r>
      <w:proofErr w:type="gramStart"/>
      <w:r w:rsidRPr="009107E5">
        <w:rPr>
          <w:rFonts w:ascii="Arial" w:hAnsi="Arial" w:cs="Arial"/>
          <w:sz w:val="20"/>
          <w:szCs w:val="20"/>
          <w:lang w:val="en-US"/>
        </w:rPr>
        <w:t>indicate</w:t>
      </w:r>
      <w:proofErr w:type="gramEnd"/>
    </w:p>
    <w:p w14:paraId="563CE853"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that loss of drug effect is likely due to anti-PEG antibodies; in such cases Jivi should be </w:t>
      </w:r>
      <w:proofErr w:type="gramStart"/>
      <w:r w:rsidRPr="009107E5">
        <w:rPr>
          <w:rFonts w:ascii="Arial" w:hAnsi="Arial" w:cs="Arial"/>
          <w:sz w:val="20"/>
          <w:szCs w:val="20"/>
          <w:lang w:val="en-US"/>
        </w:rPr>
        <w:t>discontinued</w:t>
      </w:r>
      <w:proofErr w:type="gramEnd"/>
    </w:p>
    <w:p w14:paraId="79A9AB77"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and patients switched to a previously effective factor VIII product.</w:t>
      </w:r>
    </w:p>
    <w:p w14:paraId="7D23E2F9"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p>
    <w:p w14:paraId="64C75647"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A significant decrease in the risk of an immune response to PEG was observed with an increase in age. This effect may be related to a developmental change in immunity, and although it is difficult to define a clear cut-off age for the change in risk, this phenomenon predominantly occurs in young children with </w:t>
      </w:r>
      <w:proofErr w:type="spellStart"/>
      <w:r w:rsidRPr="009107E5">
        <w:rPr>
          <w:rFonts w:ascii="Arial" w:hAnsi="Arial" w:cs="Arial"/>
          <w:sz w:val="20"/>
          <w:szCs w:val="20"/>
          <w:lang w:val="en-US"/>
        </w:rPr>
        <w:t>haemophilia</w:t>
      </w:r>
      <w:proofErr w:type="spellEnd"/>
      <w:r w:rsidRPr="009107E5">
        <w:rPr>
          <w:rFonts w:ascii="Arial" w:hAnsi="Arial" w:cs="Arial"/>
          <w:sz w:val="20"/>
          <w:szCs w:val="20"/>
          <w:lang w:val="en-US"/>
        </w:rPr>
        <w:t>.</w:t>
      </w:r>
    </w:p>
    <w:p w14:paraId="4E45CA51"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p>
    <w:p w14:paraId="666F6E2C"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The implications of any potential risk to affected patients with a hypersensitivity reaction to </w:t>
      </w:r>
      <w:proofErr w:type="gramStart"/>
      <w:r w:rsidRPr="009107E5">
        <w:rPr>
          <w:rFonts w:ascii="Arial" w:hAnsi="Arial" w:cs="Arial"/>
          <w:sz w:val="20"/>
          <w:szCs w:val="20"/>
          <w:lang w:val="en-US"/>
        </w:rPr>
        <w:t>pegylated</w:t>
      </w:r>
      <w:proofErr w:type="gramEnd"/>
    </w:p>
    <w:p w14:paraId="5BE28BA3"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proteins are unknown. Data show that in the affected subjects, following discontinuation of Jivi, the</w:t>
      </w:r>
    </w:p>
    <w:p w14:paraId="1D13DD82"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anti-PEG IgM antibodies decreased in </w:t>
      </w:r>
      <w:proofErr w:type="spellStart"/>
      <w:r w:rsidRPr="009107E5">
        <w:rPr>
          <w:rFonts w:ascii="Arial" w:hAnsi="Arial" w:cs="Arial"/>
          <w:sz w:val="20"/>
          <w:szCs w:val="20"/>
          <w:lang w:val="en-US"/>
        </w:rPr>
        <w:t>titre</w:t>
      </w:r>
      <w:proofErr w:type="spellEnd"/>
      <w:r w:rsidRPr="009107E5">
        <w:rPr>
          <w:rFonts w:ascii="Arial" w:hAnsi="Arial" w:cs="Arial"/>
          <w:sz w:val="20"/>
          <w:szCs w:val="20"/>
          <w:lang w:val="en-US"/>
        </w:rPr>
        <w:t xml:space="preserve"> and became undetectable over time. No cross-reactivity of</w:t>
      </w:r>
    </w:p>
    <w:p w14:paraId="1E259048"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anti-PEG IgM antibodies with other unmodified factor VIII products </w:t>
      </w:r>
      <w:proofErr w:type="gramStart"/>
      <w:r w:rsidRPr="009107E5">
        <w:rPr>
          <w:rFonts w:ascii="Arial" w:hAnsi="Arial" w:cs="Arial"/>
          <w:sz w:val="20"/>
          <w:szCs w:val="20"/>
          <w:lang w:val="en-US"/>
        </w:rPr>
        <w:t>was</w:t>
      </w:r>
      <w:proofErr w:type="gramEnd"/>
      <w:r w:rsidRPr="009107E5">
        <w:rPr>
          <w:rFonts w:ascii="Arial" w:hAnsi="Arial" w:cs="Arial"/>
          <w:sz w:val="20"/>
          <w:szCs w:val="20"/>
          <w:lang w:val="en-US"/>
        </w:rPr>
        <w:t xml:space="preserve"> observed. All patients could</w:t>
      </w:r>
    </w:p>
    <w:p w14:paraId="221CDBA5"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be successfully treated with their previous factor VIII products.</w:t>
      </w:r>
    </w:p>
    <w:p w14:paraId="058FF4A1" w14:textId="77777777" w:rsidR="008E6063" w:rsidRPr="009107E5" w:rsidRDefault="008E6063" w:rsidP="00AD0441">
      <w:pPr>
        <w:pStyle w:val="Heading3"/>
        <w:rPr>
          <w:rFonts w:ascii="Arial" w:hAnsi="Arial" w:cs="Arial"/>
          <w:sz w:val="20"/>
          <w:szCs w:val="20"/>
        </w:rPr>
      </w:pPr>
      <w:r w:rsidRPr="009107E5">
        <w:rPr>
          <w:rFonts w:ascii="Arial" w:hAnsi="Arial" w:cs="Arial"/>
          <w:sz w:val="20"/>
          <w:szCs w:val="20"/>
        </w:rPr>
        <w:t>Cardiovascular events</w:t>
      </w:r>
    </w:p>
    <w:p w14:paraId="7EA865AE"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In patients with existing cardiovascular risk factors, substitution therapy with factor VIII may </w:t>
      </w:r>
      <w:proofErr w:type="gramStart"/>
      <w:r w:rsidRPr="009107E5">
        <w:rPr>
          <w:rFonts w:ascii="Arial" w:hAnsi="Arial" w:cs="Arial"/>
          <w:sz w:val="20"/>
          <w:szCs w:val="20"/>
          <w:lang w:val="en-US"/>
        </w:rPr>
        <w:t>increase</w:t>
      </w:r>
      <w:proofErr w:type="gramEnd"/>
    </w:p>
    <w:p w14:paraId="1D51AFF6"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the cardiovascular risk.</w:t>
      </w:r>
    </w:p>
    <w:p w14:paraId="3D0ED9B1" w14:textId="77777777" w:rsidR="008E6063" w:rsidRPr="009107E5" w:rsidRDefault="008E6063" w:rsidP="00AD0441">
      <w:pPr>
        <w:pStyle w:val="Heading3"/>
        <w:rPr>
          <w:rFonts w:ascii="Arial" w:hAnsi="Arial" w:cs="Arial"/>
          <w:sz w:val="20"/>
          <w:szCs w:val="20"/>
        </w:rPr>
      </w:pPr>
      <w:r w:rsidRPr="009107E5">
        <w:rPr>
          <w:rFonts w:ascii="Arial" w:hAnsi="Arial" w:cs="Arial"/>
          <w:sz w:val="20"/>
          <w:szCs w:val="20"/>
        </w:rPr>
        <w:t>Catheter-related complications</w:t>
      </w:r>
    </w:p>
    <w:p w14:paraId="7DC22E18"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If a central venous access device (CVAD) is required, risk of CVAD-related complications </w:t>
      </w:r>
      <w:proofErr w:type="gramStart"/>
      <w:r w:rsidRPr="009107E5">
        <w:rPr>
          <w:rFonts w:ascii="Arial" w:hAnsi="Arial" w:cs="Arial"/>
          <w:sz w:val="20"/>
          <w:szCs w:val="20"/>
          <w:lang w:val="en-US"/>
        </w:rPr>
        <w:t>including</w:t>
      </w:r>
      <w:proofErr w:type="gramEnd"/>
    </w:p>
    <w:p w14:paraId="1D6F43E9"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local infections, </w:t>
      </w:r>
      <w:proofErr w:type="spellStart"/>
      <w:r w:rsidRPr="009107E5">
        <w:rPr>
          <w:rFonts w:ascii="Arial" w:hAnsi="Arial" w:cs="Arial"/>
          <w:sz w:val="20"/>
          <w:szCs w:val="20"/>
          <w:lang w:val="en-US"/>
        </w:rPr>
        <w:t>bacteraemia</w:t>
      </w:r>
      <w:proofErr w:type="spellEnd"/>
      <w:r w:rsidRPr="009107E5">
        <w:rPr>
          <w:rFonts w:ascii="Arial" w:hAnsi="Arial" w:cs="Arial"/>
          <w:sz w:val="20"/>
          <w:szCs w:val="20"/>
          <w:lang w:val="en-US"/>
        </w:rPr>
        <w:t xml:space="preserve"> and catheter site thrombosis should be considered.</w:t>
      </w:r>
    </w:p>
    <w:p w14:paraId="508CF86B" w14:textId="77777777" w:rsidR="008E6063" w:rsidRPr="009107E5" w:rsidRDefault="008E6063" w:rsidP="00AD0441">
      <w:pPr>
        <w:autoSpaceDE w:val="0"/>
        <w:autoSpaceDN w:val="0"/>
        <w:adjustRightInd w:val="0"/>
        <w:spacing w:line="240" w:lineRule="auto"/>
        <w:rPr>
          <w:rFonts w:ascii="Arial" w:hAnsi="Arial" w:cs="Arial"/>
          <w:sz w:val="20"/>
          <w:szCs w:val="20"/>
          <w:u w:val="single"/>
          <w:lang w:val="en-US"/>
        </w:rPr>
      </w:pPr>
    </w:p>
    <w:p w14:paraId="4B22F23E" w14:textId="77777777" w:rsidR="008E6063" w:rsidRPr="009107E5" w:rsidRDefault="008E6063" w:rsidP="00AD0441">
      <w:pPr>
        <w:pStyle w:val="Heading3"/>
        <w:rPr>
          <w:rFonts w:ascii="Arial" w:hAnsi="Arial" w:cs="Arial"/>
          <w:sz w:val="20"/>
          <w:szCs w:val="20"/>
        </w:rPr>
      </w:pPr>
      <w:r w:rsidRPr="009107E5">
        <w:rPr>
          <w:rFonts w:ascii="Arial" w:hAnsi="Arial" w:cs="Arial"/>
          <w:sz w:val="20"/>
          <w:szCs w:val="20"/>
        </w:rPr>
        <w:t>Paediatric population</w:t>
      </w:r>
    </w:p>
    <w:p w14:paraId="16B41868"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The listed warnings and precautions apply both to adults and adolescents.</w:t>
      </w:r>
    </w:p>
    <w:p w14:paraId="16190621" w14:textId="5CC645B9" w:rsidR="008E6063" w:rsidRPr="009107E5" w:rsidRDefault="008E6063" w:rsidP="00AD0441">
      <w:pPr>
        <w:rPr>
          <w:rFonts w:ascii="Arial" w:hAnsi="Arial" w:cs="Arial"/>
          <w:sz w:val="20"/>
          <w:szCs w:val="20"/>
          <w:lang w:val="en-US"/>
        </w:rPr>
      </w:pPr>
      <w:r w:rsidRPr="009107E5">
        <w:rPr>
          <w:rFonts w:ascii="Arial" w:hAnsi="Arial" w:cs="Arial"/>
          <w:sz w:val="20"/>
          <w:szCs w:val="20"/>
          <w:lang w:val="en-US"/>
        </w:rPr>
        <w:t>Jivi is not indicated in patients &lt; 12 years of age and in previously untreated patients.</w:t>
      </w:r>
    </w:p>
    <w:p w14:paraId="3D6DC0BE" w14:textId="3AF9A13F" w:rsidR="007A1E1A" w:rsidRPr="009107E5" w:rsidRDefault="007A1E1A" w:rsidP="00AD0441">
      <w:pPr>
        <w:rPr>
          <w:rFonts w:ascii="Arial" w:hAnsi="Arial" w:cs="Arial"/>
          <w:sz w:val="20"/>
          <w:szCs w:val="20"/>
          <w:lang w:val="en-US"/>
        </w:rPr>
      </w:pPr>
      <w:r w:rsidRPr="009107E5">
        <w:rPr>
          <w:rFonts w:ascii="Arial" w:hAnsi="Arial" w:cs="Arial"/>
          <w:sz w:val="20"/>
          <w:szCs w:val="20"/>
          <w:lang w:val="en-US"/>
        </w:rPr>
        <w:t xml:space="preserve">In completed clinical studies with 73 </w:t>
      </w:r>
      <w:proofErr w:type="spellStart"/>
      <w:r w:rsidRPr="009107E5">
        <w:rPr>
          <w:rFonts w:ascii="Arial" w:hAnsi="Arial" w:cs="Arial"/>
          <w:sz w:val="20"/>
          <w:szCs w:val="20"/>
          <w:lang w:val="en-US"/>
        </w:rPr>
        <w:t>paediatric</w:t>
      </w:r>
      <w:proofErr w:type="spellEnd"/>
      <w:r w:rsidRPr="009107E5">
        <w:rPr>
          <w:rFonts w:ascii="Arial" w:hAnsi="Arial" w:cs="Arial"/>
          <w:sz w:val="20"/>
          <w:szCs w:val="20"/>
          <w:lang w:val="en-US"/>
        </w:rPr>
        <w:t xml:space="preserve"> previously treated patients (PTPs) &lt; 12 years of age (44 PTPs &lt; 6 years, 29 PTPs 6 to &lt; 12 years), adverse reactions due to immune response to PEG were observed in children less than 6 years of age. In 23% of patients in the age group &lt; 6 years of age, loss of drug effect due to neutralizing anti-PEG IgM antibodies during the first 4 exposure days (EDs) was observed. In 7% of the patients &lt; 6 years of age, loss of drug effect was combined with hypersensitivity reactions.</w:t>
      </w:r>
    </w:p>
    <w:p w14:paraId="590CEA3E" w14:textId="77777777" w:rsidR="008E6063" w:rsidRPr="009107E5" w:rsidRDefault="008E6063" w:rsidP="00AD0441">
      <w:pPr>
        <w:rPr>
          <w:rFonts w:ascii="Arial" w:hAnsi="Arial" w:cs="Arial"/>
          <w:sz w:val="20"/>
          <w:szCs w:val="20"/>
          <w:lang w:val="en-US"/>
        </w:rPr>
      </w:pPr>
    </w:p>
    <w:p w14:paraId="5F832696" w14:textId="77777777" w:rsidR="008E6063" w:rsidRPr="009107E5" w:rsidRDefault="008E6063" w:rsidP="00AD0441">
      <w:pPr>
        <w:pStyle w:val="Heading3"/>
        <w:rPr>
          <w:rFonts w:ascii="Arial" w:hAnsi="Arial" w:cs="Arial"/>
          <w:sz w:val="20"/>
          <w:szCs w:val="20"/>
        </w:rPr>
      </w:pPr>
      <w:r w:rsidRPr="009107E5">
        <w:rPr>
          <w:rFonts w:ascii="Arial" w:hAnsi="Arial" w:cs="Arial"/>
          <w:sz w:val="20"/>
          <w:szCs w:val="20"/>
        </w:rPr>
        <w:t>Sodium content</w:t>
      </w:r>
    </w:p>
    <w:p w14:paraId="456C2F12"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This medicinal product contains less than 1 mmol sodium (23 mg) per dose, that is to say </w:t>
      </w:r>
      <w:proofErr w:type="gramStart"/>
      <w:r w:rsidRPr="009107E5">
        <w:rPr>
          <w:rFonts w:ascii="Arial" w:hAnsi="Arial" w:cs="Arial"/>
          <w:sz w:val="20"/>
          <w:szCs w:val="20"/>
          <w:lang w:val="en-US"/>
        </w:rPr>
        <w:t>essentially</w:t>
      </w:r>
      <w:proofErr w:type="gramEnd"/>
    </w:p>
    <w:p w14:paraId="62569290" w14:textId="77777777" w:rsidR="008E6063" w:rsidRPr="009107E5" w:rsidRDefault="008E6063" w:rsidP="00AD0441">
      <w:pPr>
        <w:rPr>
          <w:rFonts w:ascii="Arial" w:hAnsi="Arial" w:cs="Arial"/>
          <w:sz w:val="20"/>
          <w:szCs w:val="20"/>
          <w:lang w:val="en-US"/>
        </w:rPr>
      </w:pPr>
      <w:r w:rsidRPr="009107E5">
        <w:rPr>
          <w:rFonts w:ascii="Arial" w:hAnsi="Arial" w:cs="Arial"/>
          <w:sz w:val="20"/>
          <w:szCs w:val="20"/>
          <w:lang w:val="en-US"/>
        </w:rPr>
        <w:t>‘</w:t>
      </w:r>
      <w:proofErr w:type="gramStart"/>
      <w:r w:rsidRPr="009107E5">
        <w:rPr>
          <w:rFonts w:ascii="Arial" w:hAnsi="Arial" w:cs="Arial"/>
          <w:sz w:val="20"/>
          <w:szCs w:val="20"/>
          <w:lang w:val="en-US"/>
        </w:rPr>
        <w:t>sodium</w:t>
      </w:r>
      <w:proofErr w:type="gramEnd"/>
      <w:r w:rsidRPr="009107E5">
        <w:rPr>
          <w:rFonts w:ascii="Arial" w:hAnsi="Arial" w:cs="Arial"/>
          <w:sz w:val="20"/>
          <w:szCs w:val="20"/>
          <w:lang w:val="en-US"/>
        </w:rPr>
        <w:t>-free’.</w:t>
      </w:r>
    </w:p>
    <w:p w14:paraId="0A6E0924" w14:textId="77777777" w:rsidR="00A7689F" w:rsidRPr="009107E5" w:rsidRDefault="008E6063" w:rsidP="00AD0441">
      <w:pPr>
        <w:pStyle w:val="Heading3"/>
        <w:rPr>
          <w:rFonts w:ascii="Arial" w:hAnsi="Arial" w:cs="Arial"/>
          <w:sz w:val="20"/>
          <w:szCs w:val="20"/>
        </w:rPr>
      </w:pPr>
      <w:r w:rsidRPr="009107E5">
        <w:rPr>
          <w:rFonts w:ascii="Arial" w:hAnsi="Arial" w:cs="Arial"/>
          <w:sz w:val="20"/>
          <w:szCs w:val="20"/>
        </w:rPr>
        <w:t>Use in the elderly</w:t>
      </w:r>
    </w:p>
    <w:p w14:paraId="235B8DD3" w14:textId="283EC08F"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There is limited experience in patients ≥ 65 years.</w:t>
      </w:r>
    </w:p>
    <w:p w14:paraId="0A5C97CB" w14:textId="77777777" w:rsidR="008E6063" w:rsidRPr="009107E5" w:rsidRDefault="008E6063" w:rsidP="00AD0441">
      <w:pPr>
        <w:pStyle w:val="Heading3"/>
        <w:rPr>
          <w:rFonts w:ascii="Arial" w:hAnsi="Arial" w:cs="Arial"/>
          <w:sz w:val="20"/>
          <w:szCs w:val="20"/>
        </w:rPr>
      </w:pPr>
      <w:r w:rsidRPr="009107E5">
        <w:rPr>
          <w:rFonts w:ascii="Arial" w:hAnsi="Arial" w:cs="Arial"/>
          <w:sz w:val="20"/>
          <w:szCs w:val="20"/>
        </w:rPr>
        <w:t>Effects on laboratory tests</w:t>
      </w:r>
    </w:p>
    <w:p w14:paraId="1D380CCE" w14:textId="77777777" w:rsidR="008E6063" w:rsidRPr="009107E5" w:rsidRDefault="008E6063" w:rsidP="00AD0441">
      <w:pPr>
        <w:rPr>
          <w:rFonts w:ascii="Arial" w:hAnsi="Arial" w:cs="Arial"/>
          <w:sz w:val="20"/>
          <w:szCs w:val="20"/>
          <w:lang w:val="en-US"/>
        </w:rPr>
      </w:pPr>
      <w:r w:rsidRPr="009107E5">
        <w:rPr>
          <w:rFonts w:ascii="Arial" w:hAnsi="Arial" w:cs="Arial"/>
          <w:sz w:val="20"/>
          <w:szCs w:val="20"/>
          <w:lang w:val="en-US"/>
        </w:rPr>
        <w:t>No data available.</w:t>
      </w:r>
    </w:p>
    <w:p w14:paraId="5E23A8A1" w14:textId="77777777" w:rsidR="005F28AC" w:rsidRPr="009107E5" w:rsidRDefault="005F28AC" w:rsidP="00AD0441">
      <w:pPr>
        <w:rPr>
          <w:rFonts w:ascii="Arial" w:hAnsi="Arial" w:cs="Arial"/>
          <w:sz w:val="20"/>
          <w:szCs w:val="20"/>
        </w:rPr>
      </w:pPr>
    </w:p>
    <w:p w14:paraId="4E6F61CC" w14:textId="77777777" w:rsidR="001A3992" w:rsidRPr="009107E5" w:rsidRDefault="001A3992" w:rsidP="00AD0441">
      <w:pPr>
        <w:pStyle w:val="Heading2"/>
        <w:keepNext/>
        <w:keepLines/>
        <w:spacing w:before="0" w:after="120"/>
        <w:rPr>
          <w:rFonts w:ascii="Arial" w:hAnsi="Arial" w:cs="Arial"/>
          <w:sz w:val="20"/>
          <w:szCs w:val="20"/>
        </w:rPr>
      </w:pPr>
      <w:r w:rsidRPr="009107E5">
        <w:rPr>
          <w:rFonts w:ascii="Arial" w:hAnsi="Arial" w:cs="Arial"/>
          <w:sz w:val="20"/>
          <w:szCs w:val="20"/>
        </w:rPr>
        <w:t>Interactions with other medicines and other forms of interactions</w:t>
      </w:r>
    </w:p>
    <w:p w14:paraId="22079FBC" w14:textId="77777777" w:rsidR="00A2694C" w:rsidRPr="009107E5" w:rsidRDefault="00A2694C" w:rsidP="00AD0441">
      <w:pPr>
        <w:rPr>
          <w:rFonts w:ascii="Arial" w:hAnsi="Arial" w:cs="Arial"/>
          <w:sz w:val="20"/>
          <w:szCs w:val="20"/>
        </w:rPr>
      </w:pPr>
      <w:r w:rsidRPr="009107E5">
        <w:rPr>
          <w:rFonts w:ascii="Arial" w:hAnsi="Arial" w:cs="Arial"/>
          <w:sz w:val="20"/>
          <w:szCs w:val="20"/>
        </w:rPr>
        <w:t>No interactions of human coagulation factor VIII (rDNA) products with other medicinal products have been reported.</w:t>
      </w:r>
    </w:p>
    <w:p w14:paraId="060BBA1E" w14:textId="77777777" w:rsidR="001A3992" w:rsidRPr="009107E5" w:rsidRDefault="001A3992" w:rsidP="00AD0441">
      <w:pPr>
        <w:pStyle w:val="Heading2"/>
        <w:spacing w:before="0" w:after="120"/>
        <w:rPr>
          <w:rFonts w:ascii="Arial" w:hAnsi="Arial" w:cs="Arial"/>
          <w:sz w:val="20"/>
          <w:szCs w:val="20"/>
        </w:rPr>
      </w:pPr>
      <w:bookmarkStart w:id="4" w:name="_Ref34661466"/>
      <w:r w:rsidRPr="009107E5">
        <w:rPr>
          <w:rFonts w:ascii="Arial" w:hAnsi="Arial" w:cs="Arial"/>
          <w:sz w:val="20"/>
          <w:szCs w:val="20"/>
        </w:rPr>
        <w:lastRenderedPageBreak/>
        <w:t>Fertility, pregnancy and lactation</w:t>
      </w:r>
      <w:bookmarkEnd w:id="4"/>
      <w:r w:rsidRPr="009107E5">
        <w:rPr>
          <w:rFonts w:ascii="Arial" w:hAnsi="Arial" w:cs="Arial"/>
          <w:sz w:val="20"/>
          <w:szCs w:val="20"/>
        </w:rPr>
        <w:t xml:space="preserve"> </w:t>
      </w:r>
    </w:p>
    <w:p w14:paraId="7C49E924" w14:textId="0C74A060" w:rsidR="00F91F43" w:rsidRPr="009107E5" w:rsidRDefault="00F91F43" w:rsidP="00AD0441">
      <w:pPr>
        <w:rPr>
          <w:rFonts w:ascii="Arial" w:hAnsi="Arial" w:cs="Arial"/>
          <w:b/>
          <w:bCs/>
          <w:color w:val="000000"/>
          <w:sz w:val="20"/>
          <w:szCs w:val="20"/>
        </w:rPr>
      </w:pPr>
      <w:r w:rsidRPr="009107E5">
        <w:rPr>
          <w:rFonts w:ascii="Arial" w:hAnsi="Arial" w:cs="Arial"/>
          <w:b/>
          <w:bCs/>
          <w:color w:val="000000"/>
          <w:sz w:val="20"/>
          <w:szCs w:val="20"/>
        </w:rPr>
        <w:t>Effects on fertility</w:t>
      </w:r>
    </w:p>
    <w:p w14:paraId="3A821752" w14:textId="77777777" w:rsidR="00F91F43" w:rsidRPr="009107E5" w:rsidRDefault="00F91F43" w:rsidP="00AD0441">
      <w:pPr>
        <w:rPr>
          <w:rFonts w:ascii="Arial" w:hAnsi="Arial" w:cs="Arial"/>
          <w:color w:val="000000"/>
          <w:sz w:val="20"/>
          <w:szCs w:val="20"/>
        </w:rPr>
      </w:pPr>
      <w:r w:rsidRPr="009107E5">
        <w:rPr>
          <w:rFonts w:ascii="Arial" w:hAnsi="Arial" w:cs="Arial"/>
          <w:color w:val="000000"/>
          <w:sz w:val="20"/>
          <w:szCs w:val="20"/>
        </w:rPr>
        <w:t>There are no data on the effects of JIVI on human fertility.</w:t>
      </w:r>
    </w:p>
    <w:p w14:paraId="32C9670F" w14:textId="77777777" w:rsidR="00F91F43" w:rsidRPr="009107E5" w:rsidRDefault="00F91F43" w:rsidP="00AD0441">
      <w:pPr>
        <w:rPr>
          <w:rFonts w:ascii="Arial" w:hAnsi="Arial" w:cs="Arial"/>
          <w:color w:val="000000"/>
          <w:sz w:val="20"/>
          <w:szCs w:val="20"/>
        </w:rPr>
      </w:pPr>
    </w:p>
    <w:p w14:paraId="2BC56767" w14:textId="6BC06514" w:rsidR="00F91F43" w:rsidRPr="009107E5" w:rsidRDefault="00F91F43" w:rsidP="00AD0441">
      <w:pPr>
        <w:rPr>
          <w:rFonts w:ascii="Arial" w:hAnsi="Arial" w:cs="Arial"/>
          <w:b/>
          <w:bCs/>
          <w:color w:val="000000"/>
          <w:sz w:val="20"/>
          <w:szCs w:val="20"/>
        </w:rPr>
      </w:pPr>
      <w:r w:rsidRPr="009107E5">
        <w:rPr>
          <w:rFonts w:ascii="Arial" w:hAnsi="Arial" w:cs="Arial"/>
          <w:b/>
          <w:bCs/>
          <w:color w:val="000000"/>
          <w:sz w:val="20"/>
          <w:szCs w:val="20"/>
        </w:rPr>
        <w:t>Use in pregnancy – Pregnancy Category B2</w:t>
      </w:r>
      <w:r w:rsidR="00D15364" w:rsidRPr="009107E5">
        <w:rPr>
          <w:rFonts w:ascii="Arial" w:hAnsi="Arial" w:cs="Arial"/>
          <w:b/>
          <w:bCs/>
          <w:color w:val="000000"/>
          <w:sz w:val="20"/>
          <w:szCs w:val="20"/>
        </w:rPr>
        <w:t>*</w:t>
      </w:r>
    </w:p>
    <w:p w14:paraId="4F1CA040" w14:textId="77777777" w:rsidR="00F91F43" w:rsidRPr="009107E5" w:rsidRDefault="00F91F43" w:rsidP="00AD0441">
      <w:pPr>
        <w:rPr>
          <w:rFonts w:ascii="Arial" w:hAnsi="Arial" w:cs="Arial"/>
          <w:color w:val="000000"/>
          <w:sz w:val="20"/>
          <w:szCs w:val="20"/>
        </w:rPr>
      </w:pPr>
      <w:r w:rsidRPr="009107E5">
        <w:rPr>
          <w:rFonts w:ascii="Arial" w:hAnsi="Arial" w:cs="Arial"/>
          <w:color w:val="000000"/>
          <w:sz w:val="20"/>
          <w:szCs w:val="20"/>
        </w:rPr>
        <w:t xml:space="preserve">Animal reproduction studies have not been conducted with damoctocog alfa pegol. It is not known whether JIVI poses any risk to the </w:t>
      </w:r>
      <w:proofErr w:type="spellStart"/>
      <w:r w:rsidRPr="009107E5">
        <w:rPr>
          <w:rFonts w:ascii="Arial" w:hAnsi="Arial" w:cs="Arial"/>
          <w:color w:val="000000"/>
          <w:sz w:val="20"/>
          <w:szCs w:val="20"/>
        </w:rPr>
        <w:t>fetus</w:t>
      </w:r>
      <w:proofErr w:type="spellEnd"/>
      <w:r w:rsidRPr="009107E5">
        <w:rPr>
          <w:rFonts w:ascii="Arial" w:hAnsi="Arial" w:cs="Arial"/>
          <w:color w:val="000000"/>
          <w:sz w:val="20"/>
          <w:szCs w:val="20"/>
        </w:rPr>
        <w:t xml:space="preserve"> when administered to a pregnant woman. JIVI should be given to a pregnant woman only if clearly needed.</w:t>
      </w:r>
    </w:p>
    <w:p w14:paraId="17BBD974" w14:textId="77777777" w:rsidR="00F91F43" w:rsidRPr="009107E5" w:rsidRDefault="00F91F43" w:rsidP="00AD0441">
      <w:pPr>
        <w:rPr>
          <w:rFonts w:ascii="Arial" w:hAnsi="Arial" w:cs="Arial"/>
          <w:color w:val="000000"/>
          <w:sz w:val="20"/>
          <w:szCs w:val="20"/>
        </w:rPr>
      </w:pPr>
    </w:p>
    <w:p w14:paraId="183C9C2E" w14:textId="73838615" w:rsidR="00F91F43" w:rsidRPr="009107E5" w:rsidRDefault="00F91F43" w:rsidP="00AD0441">
      <w:pPr>
        <w:rPr>
          <w:rFonts w:ascii="Arial" w:hAnsi="Arial" w:cs="Arial"/>
          <w:b/>
          <w:bCs/>
          <w:color w:val="000000"/>
          <w:sz w:val="20"/>
          <w:szCs w:val="20"/>
        </w:rPr>
      </w:pPr>
      <w:r w:rsidRPr="009107E5">
        <w:rPr>
          <w:rFonts w:ascii="Arial" w:hAnsi="Arial" w:cs="Arial"/>
          <w:b/>
          <w:bCs/>
          <w:color w:val="000000"/>
          <w:sz w:val="20"/>
          <w:szCs w:val="20"/>
        </w:rPr>
        <w:t>Use in lactation</w:t>
      </w:r>
    </w:p>
    <w:p w14:paraId="365B4315" w14:textId="68405DE3" w:rsidR="00F91F43" w:rsidRPr="009107E5" w:rsidRDefault="00F91F43" w:rsidP="00AD0441">
      <w:pPr>
        <w:rPr>
          <w:rFonts w:ascii="Arial" w:hAnsi="Arial" w:cs="Arial"/>
          <w:color w:val="000000"/>
          <w:sz w:val="20"/>
          <w:szCs w:val="20"/>
        </w:rPr>
      </w:pPr>
      <w:r w:rsidRPr="009107E5">
        <w:rPr>
          <w:rFonts w:ascii="Arial" w:hAnsi="Arial" w:cs="Arial"/>
          <w:color w:val="000000"/>
          <w:sz w:val="20"/>
          <w:szCs w:val="20"/>
        </w:rPr>
        <w:t>The safety of JIVI for use in lactating women has not been established. It is not known if JIVI or its metabolites (including the PEG component) are excreted in human milk. Healthcare professionals should balance the potential risks and only prescribe JIVI to a breastfeeding woman if clearly needed</w:t>
      </w:r>
    </w:p>
    <w:p w14:paraId="708184F0" w14:textId="023D7402" w:rsidR="003F3AF5" w:rsidRPr="009107E5" w:rsidRDefault="003F3AF5" w:rsidP="00AD0441">
      <w:pPr>
        <w:rPr>
          <w:rFonts w:ascii="Arial" w:hAnsi="Arial" w:cs="Arial"/>
          <w:b/>
          <w:bCs/>
          <w:color w:val="000000"/>
          <w:sz w:val="20"/>
          <w:szCs w:val="20"/>
        </w:rPr>
      </w:pPr>
      <w:r w:rsidRPr="009107E5">
        <w:rPr>
          <w:rFonts w:ascii="Arial" w:hAnsi="Arial" w:cs="Arial"/>
          <w:b/>
          <w:bCs/>
          <w:color w:val="000000"/>
          <w:sz w:val="20"/>
          <w:szCs w:val="20"/>
        </w:rPr>
        <w:t>______________________________________</w:t>
      </w:r>
    </w:p>
    <w:p w14:paraId="33D5E938" w14:textId="4D5D7C2C" w:rsidR="003F3AF5" w:rsidRPr="009107E5" w:rsidRDefault="003F3AF5" w:rsidP="00AD0441">
      <w:pPr>
        <w:rPr>
          <w:rFonts w:ascii="Arial" w:hAnsi="Arial" w:cs="Arial"/>
          <w:sz w:val="20"/>
          <w:szCs w:val="20"/>
        </w:rPr>
      </w:pPr>
      <w:r w:rsidRPr="009107E5">
        <w:rPr>
          <w:rFonts w:ascii="Arial" w:hAnsi="Arial" w:cs="Arial"/>
          <w:sz w:val="20"/>
          <w:szCs w:val="20"/>
          <w:vertAlign w:val="superscript"/>
        </w:rPr>
        <w:t>*</w:t>
      </w:r>
      <w:r w:rsidRPr="009107E5">
        <w:rPr>
          <w:rFonts w:ascii="Arial" w:hAnsi="Arial" w:cs="Arial"/>
          <w:i/>
          <w:iCs/>
          <w:sz w:val="20"/>
          <w:szCs w:val="20"/>
        </w:rPr>
        <w:t>Drugs which have been taken by only a limited number of pregnant women and women of childbearing age, without an increase in the frequency of malformation or other direct or indirect harmful effects on the human foetus having been observed. Studies in animals are inadequate or may be lacking, but available data show no evidence of an increased occurrence of foetal damage.</w:t>
      </w:r>
      <w:r w:rsidRPr="009107E5">
        <w:rPr>
          <w:rFonts w:ascii="Arial" w:hAnsi="Arial" w:cs="Arial"/>
          <w:sz w:val="20"/>
          <w:szCs w:val="20"/>
        </w:rPr>
        <w:t xml:space="preserve">  </w:t>
      </w:r>
    </w:p>
    <w:p w14:paraId="3E77E760" w14:textId="77777777" w:rsidR="00C969D2" w:rsidRPr="009107E5" w:rsidRDefault="00C969D2" w:rsidP="00AD0441">
      <w:pPr>
        <w:rPr>
          <w:rFonts w:ascii="Arial" w:hAnsi="Arial" w:cs="Arial"/>
          <w:sz w:val="20"/>
          <w:szCs w:val="20"/>
        </w:rPr>
      </w:pPr>
    </w:p>
    <w:p w14:paraId="315E95A7" w14:textId="77777777" w:rsidR="001A3992" w:rsidRPr="009107E5" w:rsidRDefault="001A3992" w:rsidP="00AD0441">
      <w:pPr>
        <w:pStyle w:val="Heading2"/>
        <w:spacing w:before="0" w:after="120"/>
        <w:rPr>
          <w:rFonts w:ascii="Arial" w:hAnsi="Arial" w:cs="Arial"/>
          <w:sz w:val="20"/>
          <w:szCs w:val="20"/>
        </w:rPr>
      </w:pPr>
      <w:r w:rsidRPr="009107E5">
        <w:rPr>
          <w:rFonts w:ascii="Arial" w:hAnsi="Arial" w:cs="Arial"/>
          <w:sz w:val="20"/>
          <w:szCs w:val="20"/>
        </w:rPr>
        <w:t xml:space="preserve">Effects on ability to drive and use machines </w:t>
      </w:r>
    </w:p>
    <w:p w14:paraId="149FEFAD" w14:textId="77777777" w:rsidR="00A41A1A" w:rsidRPr="009107E5" w:rsidRDefault="00A41A1A" w:rsidP="00AD0441">
      <w:pPr>
        <w:rPr>
          <w:rFonts w:ascii="Arial" w:hAnsi="Arial" w:cs="Arial"/>
          <w:sz w:val="20"/>
          <w:szCs w:val="20"/>
        </w:rPr>
      </w:pPr>
      <w:r w:rsidRPr="009107E5">
        <w:rPr>
          <w:rFonts w:ascii="Arial" w:hAnsi="Arial" w:cs="Arial"/>
          <w:sz w:val="20"/>
          <w:szCs w:val="20"/>
        </w:rPr>
        <w:t xml:space="preserve">Jivi has no influence on the ability to drive and use machines. </w:t>
      </w:r>
    </w:p>
    <w:p w14:paraId="56BA88AD" w14:textId="77777777" w:rsidR="00A2694C" w:rsidRPr="009107E5" w:rsidRDefault="00A2694C" w:rsidP="00AD0441">
      <w:pPr>
        <w:rPr>
          <w:rFonts w:ascii="Arial" w:hAnsi="Arial" w:cs="Arial"/>
          <w:sz w:val="20"/>
          <w:szCs w:val="20"/>
        </w:rPr>
      </w:pPr>
    </w:p>
    <w:p w14:paraId="15F9B245" w14:textId="7BA606F4" w:rsidR="00A2144E" w:rsidRPr="009107E5" w:rsidRDefault="001A3992" w:rsidP="00AD0441">
      <w:pPr>
        <w:pStyle w:val="Heading2"/>
        <w:keepNext/>
        <w:keepLines/>
        <w:spacing w:before="0" w:after="120"/>
        <w:rPr>
          <w:rFonts w:ascii="Arial" w:hAnsi="Arial" w:cs="Arial"/>
          <w:sz w:val="20"/>
          <w:szCs w:val="20"/>
        </w:rPr>
      </w:pPr>
      <w:r w:rsidRPr="009107E5">
        <w:rPr>
          <w:rFonts w:ascii="Arial" w:hAnsi="Arial" w:cs="Arial"/>
          <w:sz w:val="20"/>
          <w:szCs w:val="20"/>
        </w:rPr>
        <w:t>Adverse effects (Undesirable effects)</w:t>
      </w:r>
    </w:p>
    <w:p w14:paraId="21611B60" w14:textId="77777777" w:rsidR="008E6063" w:rsidRPr="009107E5" w:rsidRDefault="008E6063" w:rsidP="00AD0441">
      <w:pPr>
        <w:pStyle w:val="Heading3"/>
        <w:rPr>
          <w:rFonts w:ascii="Arial" w:hAnsi="Arial" w:cs="Arial"/>
          <w:sz w:val="20"/>
          <w:szCs w:val="20"/>
        </w:rPr>
      </w:pPr>
      <w:r w:rsidRPr="009107E5">
        <w:rPr>
          <w:rFonts w:ascii="Arial" w:hAnsi="Arial" w:cs="Arial"/>
          <w:sz w:val="20"/>
          <w:szCs w:val="20"/>
        </w:rPr>
        <w:t>Summary of the safety profile</w:t>
      </w:r>
    </w:p>
    <w:p w14:paraId="08FD50E8" w14:textId="151D0E2D"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Hypersensitivity or allergic reactions (which may include angioedema, burning and stinging at the</w:t>
      </w:r>
      <w:r w:rsidR="008B029D" w:rsidRPr="009107E5">
        <w:rPr>
          <w:rFonts w:ascii="Arial" w:hAnsi="Arial" w:cs="Arial"/>
          <w:sz w:val="20"/>
          <w:szCs w:val="20"/>
          <w:lang w:val="en-US"/>
        </w:rPr>
        <w:t xml:space="preserve"> </w:t>
      </w:r>
      <w:r w:rsidRPr="009107E5">
        <w:rPr>
          <w:rFonts w:ascii="Arial" w:hAnsi="Arial" w:cs="Arial"/>
          <w:sz w:val="20"/>
          <w:szCs w:val="20"/>
          <w:lang w:val="en-US"/>
        </w:rPr>
        <w:t>injection site, chills, flushing, generalized urticaria, headache, hives, hypotension, lethargy, nausea,</w:t>
      </w:r>
      <w:r w:rsidR="008B029D" w:rsidRPr="009107E5">
        <w:rPr>
          <w:rFonts w:ascii="Arial" w:hAnsi="Arial" w:cs="Arial"/>
          <w:sz w:val="20"/>
          <w:szCs w:val="20"/>
          <w:lang w:val="en-US"/>
        </w:rPr>
        <w:t xml:space="preserve"> </w:t>
      </w:r>
      <w:r w:rsidRPr="009107E5">
        <w:rPr>
          <w:rFonts w:ascii="Arial" w:hAnsi="Arial" w:cs="Arial"/>
          <w:sz w:val="20"/>
          <w:szCs w:val="20"/>
          <w:lang w:val="en-US"/>
        </w:rPr>
        <w:t>restlessness, tachycardia, tightness of the chest, tingling, vomiting, wheezing) have been observed and</w:t>
      </w:r>
      <w:r w:rsidR="008B029D" w:rsidRPr="009107E5">
        <w:rPr>
          <w:rFonts w:ascii="Arial" w:hAnsi="Arial" w:cs="Arial"/>
          <w:sz w:val="20"/>
          <w:szCs w:val="20"/>
          <w:lang w:val="en-US"/>
        </w:rPr>
        <w:t xml:space="preserve"> </w:t>
      </w:r>
      <w:r w:rsidRPr="009107E5">
        <w:rPr>
          <w:rFonts w:ascii="Arial" w:hAnsi="Arial" w:cs="Arial"/>
          <w:sz w:val="20"/>
          <w:szCs w:val="20"/>
          <w:lang w:val="en-US"/>
        </w:rPr>
        <w:t>may in some cases progress to severe anaphylaxis (including shock).</w:t>
      </w:r>
    </w:p>
    <w:p w14:paraId="151DA389" w14:textId="4CC0FFFB"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Development of </w:t>
      </w:r>
      <w:proofErr w:type="spellStart"/>
      <w:r w:rsidRPr="009107E5">
        <w:rPr>
          <w:rFonts w:ascii="Arial" w:hAnsi="Arial" w:cs="Arial"/>
          <w:sz w:val="20"/>
          <w:szCs w:val="20"/>
          <w:lang w:val="en-US"/>
        </w:rPr>
        <w:t>neutralising</w:t>
      </w:r>
      <w:proofErr w:type="spellEnd"/>
      <w:r w:rsidRPr="009107E5">
        <w:rPr>
          <w:rFonts w:ascii="Arial" w:hAnsi="Arial" w:cs="Arial"/>
          <w:sz w:val="20"/>
          <w:szCs w:val="20"/>
          <w:lang w:val="en-US"/>
        </w:rPr>
        <w:t xml:space="preserve"> antibodies (inhibitors) may occur in patients with </w:t>
      </w:r>
      <w:proofErr w:type="spellStart"/>
      <w:r w:rsidRPr="009107E5">
        <w:rPr>
          <w:rFonts w:ascii="Arial" w:hAnsi="Arial" w:cs="Arial"/>
          <w:sz w:val="20"/>
          <w:szCs w:val="20"/>
          <w:lang w:val="en-US"/>
        </w:rPr>
        <w:t>haemophilia</w:t>
      </w:r>
      <w:proofErr w:type="spellEnd"/>
      <w:r w:rsidRPr="009107E5">
        <w:rPr>
          <w:rFonts w:ascii="Arial" w:hAnsi="Arial" w:cs="Arial"/>
          <w:sz w:val="20"/>
          <w:szCs w:val="20"/>
          <w:lang w:val="en-US"/>
        </w:rPr>
        <w:t xml:space="preserve"> A treated</w:t>
      </w:r>
      <w:r w:rsidR="008B029D" w:rsidRPr="009107E5">
        <w:rPr>
          <w:rFonts w:ascii="Arial" w:hAnsi="Arial" w:cs="Arial"/>
          <w:sz w:val="20"/>
          <w:szCs w:val="20"/>
          <w:lang w:val="en-US"/>
        </w:rPr>
        <w:t xml:space="preserve"> </w:t>
      </w:r>
      <w:r w:rsidRPr="009107E5">
        <w:rPr>
          <w:rFonts w:ascii="Arial" w:hAnsi="Arial" w:cs="Arial"/>
          <w:sz w:val="20"/>
          <w:szCs w:val="20"/>
          <w:lang w:val="en-US"/>
        </w:rPr>
        <w:t>with factor VIII, including with Jivi (see section 5.1</w:t>
      </w:r>
      <w:r w:rsidR="008B029D" w:rsidRPr="009107E5">
        <w:rPr>
          <w:rFonts w:ascii="Arial" w:hAnsi="Arial" w:cs="Arial"/>
          <w:sz w:val="20"/>
          <w:szCs w:val="20"/>
          <w:lang w:val="en-US"/>
        </w:rPr>
        <w:t xml:space="preserve"> Pharmacodynamic properties</w:t>
      </w:r>
      <w:r w:rsidRPr="009107E5">
        <w:rPr>
          <w:rFonts w:ascii="Arial" w:hAnsi="Arial" w:cs="Arial"/>
          <w:sz w:val="20"/>
          <w:szCs w:val="20"/>
          <w:lang w:val="en-US"/>
        </w:rPr>
        <w:t>). If such inhibitors occur, the condition will</w:t>
      </w:r>
      <w:r w:rsidR="008B029D" w:rsidRPr="009107E5">
        <w:rPr>
          <w:rFonts w:ascii="Arial" w:hAnsi="Arial" w:cs="Arial"/>
          <w:sz w:val="20"/>
          <w:szCs w:val="20"/>
          <w:lang w:val="en-US"/>
        </w:rPr>
        <w:t xml:space="preserve"> </w:t>
      </w:r>
      <w:r w:rsidRPr="009107E5">
        <w:rPr>
          <w:rFonts w:ascii="Arial" w:hAnsi="Arial" w:cs="Arial"/>
          <w:sz w:val="20"/>
          <w:szCs w:val="20"/>
          <w:lang w:val="en-US"/>
        </w:rPr>
        <w:t>manifest itself as an insufficient clinical response. In such cases, it is recommended that a specialized</w:t>
      </w:r>
      <w:r w:rsidR="008B029D" w:rsidRPr="009107E5">
        <w:rPr>
          <w:rFonts w:ascii="Arial" w:hAnsi="Arial" w:cs="Arial"/>
          <w:sz w:val="20"/>
          <w:szCs w:val="20"/>
          <w:lang w:val="en-US"/>
        </w:rPr>
        <w:t xml:space="preserve"> </w:t>
      </w:r>
      <w:proofErr w:type="spellStart"/>
      <w:r w:rsidRPr="009107E5">
        <w:rPr>
          <w:rFonts w:ascii="Arial" w:hAnsi="Arial" w:cs="Arial"/>
          <w:sz w:val="20"/>
          <w:szCs w:val="20"/>
          <w:lang w:val="en-US"/>
        </w:rPr>
        <w:t>haemophilia</w:t>
      </w:r>
      <w:proofErr w:type="spellEnd"/>
      <w:r w:rsidRPr="009107E5">
        <w:rPr>
          <w:rFonts w:ascii="Arial" w:hAnsi="Arial" w:cs="Arial"/>
          <w:sz w:val="20"/>
          <w:szCs w:val="20"/>
          <w:lang w:val="en-US"/>
        </w:rPr>
        <w:t xml:space="preserve"> </w:t>
      </w:r>
      <w:proofErr w:type="spellStart"/>
      <w:r w:rsidRPr="009107E5">
        <w:rPr>
          <w:rFonts w:ascii="Arial" w:hAnsi="Arial" w:cs="Arial"/>
          <w:sz w:val="20"/>
          <w:szCs w:val="20"/>
          <w:lang w:val="en-US"/>
        </w:rPr>
        <w:t>centre</w:t>
      </w:r>
      <w:proofErr w:type="spellEnd"/>
      <w:r w:rsidRPr="009107E5">
        <w:rPr>
          <w:rFonts w:ascii="Arial" w:hAnsi="Arial" w:cs="Arial"/>
          <w:sz w:val="20"/>
          <w:szCs w:val="20"/>
          <w:lang w:val="en-US"/>
        </w:rPr>
        <w:t xml:space="preserve"> be contacted.</w:t>
      </w:r>
    </w:p>
    <w:p w14:paraId="2D17734C"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p>
    <w:p w14:paraId="77AEEABF" w14:textId="77777777"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The most frequently reported adverse reactions in clinical trials in previously treated patients (PTPs) were headache, </w:t>
      </w:r>
      <w:proofErr w:type="gramStart"/>
      <w:r w:rsidRPr="009107E5">
        <w:rPr>
          <w:rFonts w:ascii="Arial" w:hAnsi="Arial" w:cs="Arial"/>
          <w:sz w:val="20"/>
          <w:szCs w:val="20"/>
          <w:lang w:val="en-US"/>
        </w:rPr>
        <w:t>cough</w:t>
      </w:r>
      <w:proofErr w:type="gramEnd"/>
      <w:r w:rsidRPr="009107E5">
        <w:rPr>
          <w:rFonts w:ascii="Arial" w:hAnsi="Arial" w:cs="Arial"/>
          <w:sz w:val="20"/>
          <w:szCs w:val="20"/>
          <w:lang w:val="en-US"/>
        </w:rPr>
        <w:t xml:space="preserve"> and pyrexia.</w:t>
      </w:r>
    </w:p>
    <w:p w14:paraId="54FD11BE" w14:textId="77777777" w:rsidR="008E6063" w:rsidRPr="009107E5" w:rsidRDefault="008E6063" w:rsidP="00AD0441">
      <w:pPr>
        <w:pStyle w:val="Heading3"/>
        <w:rPr>
          <w:rFonts w:ascii="Arial" w:hAnsi="Arial" w:cs="Arial"/>
          <w:sz w:val="20"/>
          <w:szCs w:val="20"/>
        </w:rPr>
      </w:pPr>
      <w:r w:rsidRPr="009107E5">
        <w:rPr>
          <w:rFonts w:ascii="Arial" w:hAnsi="Arial" w:cs="Arial"/>
          <w:sz w:val="20"/>
          <w:szCs w:val="20"/>
        </w:rPr>
        <w:t>Tabulated list of adverse reactions</w:t>
      </w:r>
    </w:p>
    <w:p w14:paraId="211A49DE" w14:textId="5053673E"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A total of 221 patients constituted the safety population from three pivotal Phase I and III studies</w:t>
      </w:r>
      <w:r w:rsidR="008B029D" w:rsidRPr="009107E5">
        <w:rPr>
          <w:rFonts w:ascii="Arial" w:hAnsi="Arial" w:cs="Arial"/>
          <w:sz w:val="20"/>
          <w:szCs w:val="20"/>
          <w:lang w:val="en-US"/>
        </w:rPr>
        <w:t xml:space="preserve"> </w:t>
      </w:r>
      <w:r w:rsidRPr="009107E5">
        <w:rPr>
          <w:rFonts w:ascii="Arial" w:hAnsi="Arial" w:cs="Arial"/>
          <w:sz w:val="20"/>
          <w:szCs w:val="20"/>
          <w:lang w:val="en-US"/>
        </w:rPr>
        <w:t xml:space="preserve">[PROTECT VIII], 148 adolescents/adults and 73 </w:t>
      </w:r>
      <w:proofErr w:type="spellStart"/>
      <w:r w:rsidRPr="009107E5">
        <w:rPr>
          <w:rFonts w:ascii="Arial" w:hAnsi="Arial" w:cs="Arial"/>
          <w:sz w:val="20"/>
          <w:szCs w:val="20"/>
          <w:lang w:val="en-US"/>
        </w:rPr>
        <w:t>paediatric</w:t>
      </w:r>
      <w:proofErr w:type="spellEnd"/>
      <w:r w:rsidRPr="009107E5">
        <w:rPr>
          <w:rFonts w:ascii="Arial" w:hAnsi="Arial" w:cs="Arial"/>
          <w:sz w:val="20"/>
          <w:szCs w:val="20"/>
          <w:lang w:val="en-US"/>
        </w:rPr>
        <w:t xml:space="preserve"> patients &lt; 12 years. In PROTECT VIII,</w:t>
      </w:r>
      <w:r w:rsidR="008B029D" w:rsidRPr="009107E5">
        <w:rPr>
          <w:rFonts w:ascii="Arial" w:hAnsi="Arial" w:cs="Arial"/>
          <w:sz w:val="20"/>
          <w:szCs w:val="20"/>
          <w:lang w:val="en-US"/>
        </w:rPr>
        <w:t xml:space="preserve"> </w:t>
      </w:r>
      <w:r w:rsidRPr="009107E5">
        <w:rPr>
          <w:rFonts w:ascii="Arial" w:hAnsi="Arial" w:cs="Arial"/>
          <w:sz w:val="20"/>
          <w:szCs w:val="20"/>
          <w:lang w:val="en-US"/>
        </w:rPr>
        <w:t>121 patients continued in the extension study with a median total treatment duration of 3.9 years</w:t>
      </w:r>
      <w:r w:rsidR="008B029D" w:rsidRPr="009107E5">
        <w:rPr>
          <w:rFonts w:ascii="Arial" w:hAnsi="Arial" w:cs="Arial"/>
          <w:sz w:val="20"/>
          <w:szCs w:val="20"/>
          <w:lang w:val="en-US"/>
        </w:rPr>
        <w:t xml:space="preserve"> </w:t>
      </w:r>
      <w:r w:rsidRPr="009107E5">
        <w:rPr>
          <w:rFonts w:ascii="Arial" w:hAnsi="Arial" w:cs="Arial"/>
          <w:sz w:val="20"/>
          <w:szCs w:val="20"/>
          <w:lang w:val="en-US"/>
        </w:rPr>
        <w:t>[range: 0.8-7.0].</w:t>
      </w:r>
    </w:p>
    <w:p w14:paraId="0068C0FF" w14:textId="22A71A6E"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In the </w:t>
      </w:r>
      <w:proofErr w:type="spellStart"/>
      <w:r w:rsidRPr="009107E5">
        <w:rPr>
          <w:rFonts w:ascii="Arial" w:hAnsi="Arial" w:cs="Arial"/>
          <w:sz w:val="20"/>
          <w:szCs w:val="20"/>
          <w:lang w:val="en-US"/>
        </w:rPr>
        <w:t>paediatric</w:t>
      </w:r>
      <w:proofErr w:type="spellEnd"/>
      <w:r w:rsidRPr="009107E5">
        <w:rPr>
          <w:rFonts w:ascii="Arial" w:hAnsi="Arial" w:cs="Arial"/>
          <w:sz w:val="20"/>
          <w:szCs w:val="20"/>
          <w:lang w:val="en-US"/>
        </w:rPr>
        <w:t xml:space="preserve"> study, 59/73 patients &lt; 12 years continued in the extension study. Median (range)</w:t>
      </w:r>
      <w:r w:rsidR="008B029D" w:rsidRPr="009107E5">
        <w:rPr>
          <w:rFonts w:ascii="Arial" w:hAnsi="Arial" w:cs="Arial"/>
          <w:sz w:val="20"/>
          <w:szCs w:val="20"/>
          <w:lang w:val="en-US"/>
        </w:rPr>
        <w:t xml:space="preserve"> </w:t>
      </w:r>
      <w:r w:rsidRPr="009107E5">
        <w:rPr>
          <w:rFonts w:ascii="Arial" w:hAnsi="Arial" w:cs="Arial"/>
          <w:sz w:val="20"/>
          <w:szCs w:val="20"/>
          <w:lang w:val="en-US"/>
        </w:rPr>
        <w:t>total time in study (main study + extension) was 5.8 (1.0-6.6) years with a median of 430 (range 98-</w:t>
      </w:r>
      <w:r w:rsidR="008B029D" w:rsidRPr="009107E5">
        <w:rPr>
          <w:rFonts w:ascii="Arial" w:hAnsi="Arial" w:cs="Arial"/>
          <w:sz w:val="20"/>
          <w:szCs w:val="20"/>
          <w:lang w:val="en-US"/>
        </w:rPr>
        <w:t xml:space="preserve"> </w:t>
      </w:r>
      <w:r w:rsidRPr="009107E5">
        <w:rPr>
          <w:rFonts w:ascii="Arial" w:hAnsi="Arial" w:cs="Arial"/>
          <w:sz w:val="20"/>
          <w:szCs w:val="20"/>
          <w:lang w:val="en-US"/>
        </w:rPr>
        <w:t>671) ED per subject, 39 subjects were treated for =/&gt; 5 years.</w:t>
      </w:r>
      <w:r w:rsidR="008B029D" w:rsidRPr="009107E5">
        <w:rPr>
          <w:rFonts w:ascii="Arial" w:hAnsi="Arial" w:cs="Arial"/>
          <w:sz w:val="20"/>
          <w:szCs w:val="20"/>
          <w:lang w:val="en-US"/>
        </w:rPr>
        <w:t xml:space="preserve"> </w:t>
      </w:r>
      <w:r w:rsidRPr="009107E5">
        <w:rPr>
          <w:rFonts w:ascii="Arial" w:hAnsi="Arial" w:cs="Arial"/>
          <w:sz w:val="20"/>
          <w:szCs w:val="20"/>
          <w:lang w:val="en-US"/>
        </w:rPr>
        <w:t>The median number of exposure days to Jivi per subject was 237 (min-max: 1-698) for all subjects in</w:t>
      </w:r>
      <w:r w:rsidR="008B029D" w:rsidRPr="009107E5">
        <w:rPr>
          <w:rFonts w:ascii="Arial" w:hAnsi="Arial" w:cs="Arial"/>
          <w:sz w:val="20"/>
          <w:szCs w:val="20"/>
          <w:lang w:val="en-US"/>
        </w:rPr>
        <w:t xml:space="preserve"> </w:t>
      </w:r>
      <w:r w:rsidRPr="009107E5">
        <w:rPr>
          <w:rFonts w:ascii="Arial" w:hAnsi="Arial" w:cs="Arial"/>
          <w:sz w:val="20"/>
          <w:szCs w:val="20"/>
          <w:lang w:val="en-US"/>
        </w:rPr>
        <w:t>the clinical studies.</w:t>
      </w:r>
    </w:p>
    <w:p w14:paraId="0D47C0C5" w14:textId="6613ED12"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Overall, in both studies 75 patients were observed for a treatment duration of more than 5 years.</w:t>
      </w:r>
      <w:r w:rsidR="008B029D" w:rsidRPr="009107E5">
        <w:rPr>
          <w:rFonts w:ascii="Arial" w:hAnsi="Arial" w:cs="Arial"/>
          <w:sz w:val="20"/>
          <w:szCs w:val="20"/>
          <w:lang w:val="en-US"/>
        </w:rPr>
        <w:t xml:space="preserve"> </w:t>
      </w:r>
      <w:r w:rsidRPr="009107E5">
        <w:rPr>
          <w:rFonts w:ascii="Arial" w:hAnsi="Arial" w:cs="Arial"/>
          <w:sz w:val="20"/>
          <w:szCs w:val="20"/>
          <w:lang w:val="en-US"/>
        </w:rPr>
        <w:t>The table presented below is according to the MedDRA system organ classification (SOC and</w:t>
      </w:r>
      <w:r w:rsidR="008B029D" w:rsidRPr="009107E5">
        <w:rPr>
          <w:rFonts w:ascii="Arial" w:hAnsi="Arial" w:cs="Arial"/>
          <w:sz w:val="20"/>
          <w:szCs w:val="20"/>
          <w:lang w:val="en-US"/>
        </w:rPr>
        <w:t xml:space="preserve"> </w:t>
      </w:r>
      <w:r w:rsidRPr="009107E5">
        <w:rPr>
          <w:rFonts w:ascii="Arial" w:hAnsi="Arial" w:cs="Arial"/>
          <w:sz w:val="20"/>
          <w:szCs w:val="20"/>
          <w:lang w:val="en-US"/>
        </w:rPr>
        <w:t>Preferred Term Level). Frequencies have been evaluated according to the following convention: very</w:t>
      </w:r>
      <w:r w:rsidR="008B029D" w:rsidRPr="009107E5">
        <w:rPr>
          <w:rFonts w:ascii="Arial" w:hAnsi="Arial" w:cs="Arial"/>
          <w:sz w:val="20"/>
          <w:szCs w:val="20"/>
          <w:lang w:val="en-US"/>
        </w:rPr>
        <w:t xml:space="preserve"> </w:t>
      </w:r>
      <w:r w:rsidRPr="009107E5">
        <w:rPr>
          <w:rFonts w:ascii="Arial" w:hAnsi="Arial" w:cs="Arial"/>
          <w:sz w:val="20"/>
          <w:szCs w:val="20"/>
          <w:lang w:val="en-US"/>
        </w:rPr>
        <w:t>common (</w:t>
      </w:r>
      <w:r w:rsidRPr="009107E5">
        <w:rPr>
          <w:rFonts w:ascii="Arial" w:eastAsia="TimesNewRomanPSMT" w:hAnsi="Arial" w:cs="Arial"/>
          <w:sz w:val="20"/>
          <w:szCs w:val="20"/>
          <w:lang w:val="en-US"/>
        </w:rPr>
        <w:t>≥</w:t>
      </w:r>
      <w:r w:rsidR="008B029D" w:rsidRPr="009107E5">
        <w:rPr>
          <w:rFonts w:ascii="Arial" w:eastAsia="TimesNewRomanPSMT" w:hAnsi="Arial" w:cs="Arial"/>
          <w:sz w:val="20"/>
          <w:szCs w:val="20"/>
          <w:lang w:val="en-US"/>
        </w:rPr>
        <w:t xml:space="preserve"> </w:t>
      </w:r>
      <w:r w:rsidRPr="009107E5">
        <w:rPr>
          <w:rFonts w:ascii="Arial" w:hAnsi="Arial" w:cs="Arial"/>
          <w:sz w:val="20"/>
          <w:szCs w:val="20"/>
          <w:lang w:val="en-US"/>
        </w:rPr>
        <w:t>1/10), common (</w:t>
      </w:r>
      <w:r w:rsidRPr="009107E5">
        <w:rPr>
          <w:rFonts w:ascii="Arial" w:eastAsia="TimesNewRomanPSMT" w:hAnsi="Arial" w:cs="Arial"/>
          <w:sz w:val="20"/>
          <w:szCs w:val="20"/>
          <w:lang w:val="en-US"/>
        </w:rPr>
        <w:t xml:space="preserve">≥ </w:t>
      </w:r>
      <w:r w:rsidRPr="009107E5">
        <w:rPr>
          <w:rFonts w:ascii="Arial" w:hAnsi="Arial" w:cs="Arial"/>
          <w:sz w:val="20"/>
          <w:szCs w:val="20"/>
          <w:lang w:val="en-US"/>
        </w:rPr>
        <w:t>1/100 to &lt; 1/10), uncommon (</w:t>
      </w:r>
      <w:r w:rsidRPr="009107E5">
        <w:rPr>
          <w:rFonts w:ascii="Arial" w:eastAsia="TimesNewRomanPSMT" w:hAnsi="Arial" w:cs="Arial"/>
          <w:sz w:val="20"/>
          <w:szCs w:val="20"/>
          <w:lang w:val="en-US"/>
        </w:rPr>
        <w:t xml:space="preserve">≥ </w:t>
      </w:r>
      <w:r w:rsidRPr="009107E5">
        <w:rPr>
          <w:rFonts w:ascii="Arial" w:hAnsi="Arial" w:cs="Arial"/>
          <w:sz w:val="20"/>
          <w:szCs w:val="20"/>
          <w:lang w:val="en-US"/>
        </w:rPr>
        <w:t>1/1,000 to &lt; 1/100).</w:t>
      </w:r>
      <w:r w:rsidR="008B029D" w:rsidRPr="009107E5">
        <w:rPr>
          <w:rFonts w:ascii="Arial" w:hAnsi="Arial" w:cs="Arial"/>
          <w:sz w:val="20"/>
          <w:szCs w:val="20"/>
          <w:lang w:val="en-US"/>
        </w:rPr>
        <w:t xml:space="preserve"> </w:t>
      </w:r>
      <w:r w:rsidRPr="009107E5">
        <w:rPr>
          <w:rFonts w:ascii="Arial" w:hAnsi="Arial" w:cs="Arial"/>
          <w:sz w:val="20"/>
          <w:szCs w:val="20"/>
          <w:lang w:val="en-US"/>
        </w:rPr>
        <w:t>Within each frequency grouping, adverse reactions are presented in order of decreasing seriousness.</w:t>
      </w:r>
    </w:p>
    <w:p w14:paraId="257AB664" w14:textId="77777777" w:rsidR="008B029D" w:rsidRPr="009107E5" w:rsidRDefault="008B029D" w:rsidP="00AD0441">
      <w:pPr>
        <w:autoSpaceDE w:val="0"/>
        <w:autoSpaceDN w:val="0"/>
        <w:adjustRightInd w:val="0"/>
        <w:spacing w:line="240" w:lineRule="auto"/>
        <w:rPr>
          <w:rFonts w:ascii="Arial" w:hAnsi="Arial" w:cs="Arial"/>
          <w:sz w:val="20"/>
          <w:szCs w:val="20"/>
          <w:lang w:val="en-US"/>
        </w:rPr>
      </w:pPr>
    </w:p>
    <w:p w14:paraId="3536BB70" w14:textId="64C27D22" w:rsidR="008E6063" w:rsidRPr="009107E5" w:rsidRDefault="008E6063" w:rsidP="00AD0441">
      <w:pPr>
        <w:spacing w:line="240" w:lineRule="auto"/>
        <w:rPr>
          <w:rFonts w:ascii="Arial" w:hAnsi="Arial" w:cs="Arial"/>
          <w:b/>
          <w:bCs/>
          <w:sz w:val="20"/>
          <w:szCs w:val="20"/>
        </w:rPr>
      </w:pPr>
    </w:p>
    <w:p w14:paraId="72987343" w14:textId="386847C2" w:rsidR="007A1E1A" w:rsidRPr="009107E5" w:rsidRDefault="007A1E1A" w:rsidP="00AD0441">
      <w:pPr>
        <w:autoSpaceDE w:val="0"/>
        <w:autoSpaceDN w:val="0"/>
        <w:adjustRightInd w:val="0"/>
        <w:spacing w:line="240" w:lineRule="auto"/>
        <w:rPr>
          <w:rFonts w:ascii="Arial" w:hAnsi="Arial" w:cs="Arial"/>
          <w:b/>
          <w:bCs/>
          <w:sz w:val="20"/>
          <w:szCs w:val="20"/>
          <w:lang w:val="en-US"/>
        </w:rPr>
      </w:pPr>
      <w:r w:rsidRPr="009107E5">
        <w:rPr>
          <w:rFonts w:ascii="Arial" w:hAnsi="Arial" w:cs="Arial"/>
          <w:b/>
          <w:bCs/>
          <w:sz w:val="20"/>
          <w:szCs w:val="20"/>
          <w:lang w:val="en-US"/>
        </w:rPr>
        <w:lastRenderedPageBreak/>
        <w:t xml:space="preserve">Table 2: Adverse Reactions reported for Jivi in pivotal </w:t>
      </w:r>
      <w:proofErr w:type="gramStart"/>
      <w:r w:rsidRPr="009107E5">
        <w:rPr>
          <w:rFonts w:ascii="Arial" w:hAnsi="Arial" w:cs="Arial"/>
          <w:b/>
          <w:bCs/>
          <w:sz w:val="20"/>
          <w:szCs w:val="20"/>
          <w:lang w:val="en-US"/>
        </w:rPr>
        <w:t>trials</w:t>
      </w:r>
      <w:proofErr w:type="gramEnd"/>
      <w:r w:rsidRPr="009107E5">
        <w:rPr>
          <w:rFonts w:ascii="Arial" w:hAnsi="Arial" w:cs="Arial"/>
          <w:b/>
          <w:bCs/>
          <w:sz w:val="20"/>
          <w:szCs w:val="20"/>
          <w:lang w:val="en-US"/>
        </w:rPr>
        <w:t xml:space="preserve"> </w:t>
      </w:r>
    </w:p>
    <w:tbl>
      <w:tblPr>
        <w:tblW w:w="46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60"/>
        <w:gridCol w:w="2054"/>
        <w:gridCol w:w="1842"/>
      </w:tblGrid>
      <w:tr w:rsidR="00E0469B" w:rsidRPr="009018D8" w14:paraId="4E876D69"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5D8AD463" w14:textId="77777777" w:rsidR="007A1E1A" w:rsidRPr="009018D8" w:rsidRDefault="007A1E1A" w:rsidP="00AD0441">
            <w:pPr>
              <w:keepNext/>
              <w:keepLines/>
              <w:widowControl w:val="0"/>
              <w:tabs>
                <w:tab w:val="left" w:pos="20"/>
              </w:tabs>
              <w:spacing w:before="20" w:after="20" w:line="240" w:lineRule="auto"/>
              <w:rPr>
                <w:rFonts w:ascii="Arial" w:hAnsi="Arial" w:cs="Arial"/>
                <w:b/>
                <w:sz w:val="20"/>
                <w:szCs w:val="20"/>
              </w:rPr>
            </w:pPr>
            <w:r w:rsidRPr="009018D8">
              <w:rPr>
                <w:rFonts w:ascii="Arial" w:hAnsi="Arial" w:cs="Arial"/>
                <w:b/>
                <w:sz w:val="20"/>
                <w:szCs w:val="20"/>
              </w:rPr>
              <w:t>MedDRA Standard</w:t>
            </w:r>
          </w:p>
          <w:p w14:paraId="3202CE54" w14:textId="77777777" w:rsidR="007A1E1A" w:rsidRPr="009018D8" w:rsidRDefault="007A1E1A" w:rsidP="00AD0441">
            <w:pPr>
              <w:keepNext/>
              <w:keepLines/>
              <w:widowControl w:val="0"/>
              <w:tabs>
                <w:tab w:val="left" w:pos="20"/>
              </w:tabs>
              <w:spacing w:before="20" w:after="20" w:line="240" w:lineRule="auto"/>
              <w:rPr>
                <w:rFonts w:ascii="Arial" w:hAnsi="Arial" w:cs="Arial"/>
                <w:b/>
                <w:sz w:val="20"/>
                <w:szCs w:val="20"/>
              </w:rPr>
            </w:pPr>
            <w:r w:rsidRPr="009018D8">
              <w:rPr>
                <w:rFonts w:ascii="Arial" w:hAnsi="Arial" w:cs="Arial"/>
                <w:b/>
                <w:sz w:val="20"/>
                <w:szCs w:val="20"/>
              </w:rPr>
              <w:t>System Organ Class</w:t>
            </w:r>
          </w:p>
          <w:p w14:paraId="30B249BA"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r w:rsidRPr="009018D8">
              <w:rPr>
                <w:rFonts w:ascii="Arial" w:hAnsi="Arial" w:cs="Arial"/>
                <w:sz w:val="20"/>
                <w:szCs w:val="20"/>
              </w:rPr>
              <w:t>Preferred term</w:t>
            </w:r>
          </w:p>
        </w:tc>
        <w:tc>
          <w:tcPr>
            <w:tcW w:w="1229" w:type="pct"/>
            <w:tcBorders>
              <w:top w:val="single" w:sz="6" w:space="0" w:color="auto"/>
              <w:left w:val="single" w:sz="6" w:space="0" w:color="auto"/>
              <w:bottom w:val="single" w:sz="6" w:space="0" w:color="auto"/>
              <w:right w:val="single" w:sz="6" w:space="0" w:color="auto"/>
            </w:tcBorders>
            <w:hideMark/>
          </w:tcPr>
          <w:p w14:paraId="42C33CE9"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All Subjects</w:t>
            </w:r>
          </w:p>
          <w:p w14:paraId="57049667"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n (%)</w:t>
            </w:r>
          </w:p>
          <w:p w14:paraId="660ACC80"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n=221</w:t>
            </w:r>
          </w:p>
        </w:tc>
        <w:tc>
          <w:tcPr>
            <w:tcW w:w="1102" w:type="pct"/>
            <w:tcBorders>
              <w:top w:val="single" w:sz="6" w:space="0" w:color="auto"/>
              <w:left w:val="single" w:sz="6" w:space="0" w:color="auto"/>
              <w:bottom w:val="single" w:sz="6" w:space="0" w:color="auto"/>
              <w:right w:val="single" w:sz="6" w:space="0" w:color="auto"/>
            </w:tcBorders>
            <w:hideMark/>
          </w:tcPr>
          <w:p w14:paraId="47543798"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Subjects ≥12 years of age</w:t>
            </w:r>
          </w:p>
          <w:p w14:paraId="04E5AE0B"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n (%)</w:t>
            </w:r>
          </w:p>
          <w:p w14:paraId="7A529E14"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n=148</w:t>
            </w:r>
          </w:p>
        </w:tc>
      </w:tr>
      <w:tr w:rsidR="00E0469B" w:rsidRPr="009018D8" w14:paraId="2396EAFC"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3C7D30A2" w14:textId="77777777" w:rsidR="007A1E1A" w:rsidRPr="009018D8" w:rsidRDefault="007A1E1A" w:rsidP="00AD0441">
            <w:pPr>
              <w:keepNext/>
              <w:keepLines/>
              <w:widowControl w:val="0"/>
              <w:tabs>
                <w:tab w:val="left" w:pos="20"/>
              </w:tabs>
              <w:spacing w:before="20" w:after="20" w:line="240" w:lineRule="auto"/>
              <w:rPr>
                <w:rFonts w:ascii="Arial" w:hAnsi="Arial" w:cs="Arial"/>
                <w:b/>
                <w:sz w:val="20"/>
                <w:szCs w:val="20"/>
              </w:rPr>
            </w:pPr>
            <w:r w:rsidRPr="009018D8">
              <w:rPr>
                <w:rFonts w:ascii="Arial" w:hAnsi="Arial" w:cs="Arial"/>
                <w:b/>
                <w:sz w:val="20"/>
                <w:szCs w:val="20"/>
              </w:rPr>
              <w:t>Gastrointestinal Disorders</w:t>
            </w:r>
          </w:p>
        </w:tc>
        <w:tc>
          <w:tcPr>
            <w:tcW w:w="1229" w:type="pct"/>
            <w:tcBorders>
              <w:top w:val="single" w:sz="6" w:space="0" w:color="auto"/>
              <w:left w:val="single" w:sz="6" w:space="0" w:color="auto"/>
              <w:bottom w:val="single" w:sz="6" w:space="0" w:color="auto"/>
              <w:right w:val="single" w:sz="6" w:space="0" w:color="auto"/>
            </w:tcBorders>
          </w:tcPr>
          <w:p w14:paraId="29BF8860"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p>
        </w:tc>
        <w:tc>
          <w:tcPr>
            <w:tcW w:w="1102" w:type="pct"/>
            <w:tcBorders>
              <w:top w:val="single" w:sz="6" w:space="0" w:color="auto"/>
              <w:left w:val="single" w:sz="6" w:space="0" w:color="auto"/>
              <w:bottom w:val="single" w:sz="6" w:space="0" w:color="auto"/>
              <w:right w:val="single" w:sz="6" w:space="0" w:color="auto"/>
            </w:tcBorders>
          </w:tcPr>
          <w:p w14:paraId="33DF9654"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p>
        </w:tc>
      </w:tr>
      <w:tr w:rsidR="00E0469B" w:rsidRPr="009018D8" w14:paraId="3F0DA876"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6FC1908C"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r w:rsidRPr="009018D8">
              <w:rPr>
                <w:rFonts w:ascii="Arial" w:hAnsi="Arial" w:cs="Arial"/>
                <w:sz w:val="20"/>
                <w:szCs w:val="20"/>
              </w:rPr>
              <w:t>Abdominal pain</w:t>
            </w:r>
          </w:p>
        </w:tc>
        <w:tc>
          <w:tcPr>
            <w:tcW w:w="1229" w:type="pct"/>
            <w:tcBorders>
              <w:top w:val="single" w:sz="6" w:space="0" w:color="auto"/>
              <w:left w:val="single" w:sz="6" w:space="0" w:color="auto"/>
              <w:bottom w:val="single" w:sz="6" w:space="0" w:color="auto"/>
              <w:right w:val="single" w:sz="6" w:space="0" w:color="auto"/>
            </w:tcBorders>
            <w:hideMark/>
          </w:tcPr>
          <w:p w14:paraId="6FD3443E"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9 (4%)</w:t>
            </w:r>
          </w:p>
        </w:tc>
        <w:tc>
          <w:tcPr>
            <w:tcW w:w="1102" w:type="pct"/>
            <w:tcBorders>
              <w:top w:val="single" w:sz="6" w:space="0" w:color="auto"/>
              <w:left w:val="single" w:sz="6" w:space="0" w:color="auto"/>
              <w:bottom w:val="single" w:sz="6" w:space="0" w:color="auto"/>
              <w:right w:val="single" w:sz="6" w:space="0" w:color="auto"/>
            </w:tcBorders>
            <w:hideMark/>
          </w:tcPr>
          <w:p w14:paraId="16EDE241"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5 (3%)</w:t>
            </w:r>
          </w:p>
        </w:tc>
      </w:tr>
      <w:tr w:rsidR="00E0469B" w:rsidRPr="009018D8" w14:paraId="4A02E61F"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0A049056"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r w:rsidRPr="009018D8">
              <w:rPr>
                <w:rFonts w:ascii="Arial" w:hAnsi="Arial" w:cs="Arial"/>
                <w:sz w:val="20"/>
                <w:szCs w:val="20"/>
              </w:rPr>
              <w:t>Nausea</w:t>
            </w:r>
          </w:p>
        </w:tc>
        <w:tc>
          <w:tcPr>
            <w:tcW w:w="1229" w:type="pct"/>
            <w:tcBorders>
              <w:top w:val="single" w:sz="6" w:space="0" w:color="auto"/>
              <w:left w:val="single" w:sz="6" w:space="0" w:color="auto"/>
              <w:bottom w:val="single" w:sz="6" w:space="0" w:color="auto"/>
              <w:right w:val="single" w:sz="6" w:space="0" w:color="auto"/>
            </w:tcBorders>
            <w:hideMark/>
          </w:tcPr>
          <w:p w14:paraId="6C21E212"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9 (4%)</w:t>
            </w:r>
          </w:p>
        </w:tc>
        <w:tc>
          <w:tcPr>
            <w:tcW w:w="1102" w:type="pct"/>
            <w:tcBorders>
              <w:top w:val="single" w:sz="6" w:space="0" w:color="auto"/>
              <w:left w:val="single" w:sz="6" w:space="0" w:color="auto"/>
              <w:bottom w:val="single" w:sz="6" w:space="0" w:color="auto"/>
              <w:right w:val="single" w:sz="6" w:space="0" w:color="auto"/>
            </w:tcBorders>
            <w:hideMark/>
          </w:tcPr>
          <w:p w14:paraId="6AEABA88"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8 (5%)</w:t>
            </w:r>
          </w:p>
        </w:tc>
      </w:tr>
      <w:tr w:rsidR="00E0469B" w:rsidRPr="009018D8" w14:paraId="787B9694"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6C4310B2"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r w:rsidRPr="009018D8">
              <w:rPr>
                <w:rFonts w:ascii="Arial" w:hAnsi="Arial" w:cs="Arial"/>
                <w:sz w:val="20"/>
                <w:szCs w:val="20"/>
              </w:rPr>
              <w:t>Vomiting</w:t>
            </w:r>
          </w:p>
        </w:tc>
        <w:tc>
          <w:tcPr>
            <w:tcW w:w="1229" w:type="pct"/>
            <w:tcBorders>
              <w:top w:val="single" w:sz="6" w:space="0" w:color="auto"/>
              <w:left w:val="single" w:sz="6" w:space="0" w:color="auto"/>
              <w:bottom w:val="single" w:sz="6" w:space="0" w:color="auto"/>
              <w:right w:val="single" w:sz="6" w:space="0" w:color="auto"/>
            </w:tcBorders>
            <w:hideMark/>
          </w:tcPr>
          <w:p w14:paraId="63E469E8"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10 (5%)</w:t>
            </w:r>
          </w:p>
        </w:tc>
        <w:tc>
          <w:tcPr>
            <w:tcW w:w="1102" w:type="pct"/>
            <w:tcBorders>
              <w:top w:val="single" w:sz="6" w:space="0" w:color="auto"/>
              <w:left w:val="single" w:sz="6" w:space="0" w:color="auto"/>
              <w:bottom w:val="single" w:sz="6" w:space="0" w:color="auto"/>
              <w:right w:val="single" w:sz="6" w:space="0" w:color="auto"/>
            </w:tcBorders>
            <w:hideMark/>
          </w:tcPr>
          <w:p w14:paraId="4CBFE330"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5 (3%)</w:t>
            </w:r>
          </w:p>
        </w:tc>
      </w:tr>
      <w:tr w:rsidR="00E0469B" w:rsidRPr="009018D8" w14:paraId="357EA28D"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384CAC6B" w14:textId="77777777" w:rsidR="007A1E1A" w:rsidRPr="009018D8" w:rsidRDefault="007A1E1A" w:rsidP="00AD0441">
            <w:pPr>
              <w:keepNext/>
              <w:keepLines/>
              <w:widowControl w:val="0"/>
              <w:tabs>
                <w:tab w:val="left" w:pos="20"/>
              </w:tabs>
              <w:spacing w:before="20" w:after="20" w:line="240" w:lineRule="auto"/>
              <w:rPr>
                <w:rFonts w:ascii="Arial" w:hAnsi="Arial" w:cs="Arial"/>
                <w:b/>
                <w:sz w:val="20"/>
                <w:szCs w:val="20"/>
              </w:rPr>
            </w:pPr>
            <w:r w:rsidRPr="009018D8">
              <w:rPr>
                <w:rFonts w:ascii="Arial" w:hAnsi="Arial" w:cs="Arial"/>
                <w:b/>
                <w:sz w:val="20"/>
                <w:szCs w:val="20"/>
              </w:rPr>
              <w:t>General Disorders and Administration Site Conditions</w:t>
            </w:r>
          </w:p>
        </w:tc>
        <w:tc>
          <w:tcPr>
            <w:tcW w:w="1229" w:type="pct"/>
            <w:tcBorders>
              <w:top w:val="single" w:sz="6" w:space="0" w:color="auto"/>
              <w:left w:val="single" w:sz="6" w:space="0" w:color="auto"/>
              <w:bottom w:val="single" w:sz="6" w:space="0" w:color="auto"/>
              <w:right w:val="single" w:sz="6" w:space="0" w:color="auto"/>
            </w:tcBorders>
            <w:hideMark/>
          </w:tcPr>
          <w:p w14:paraId="707F5A10" w14:textId="77777777" w:rsidR="007A1E1A" w:rsidRPr="009018D8" w:rsidRDefault="007A1E1A" w:rsidP="00AD0441">
            <w:pPr>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 xml:space="preserve"> </w:t>
            </w:r>
          </w:p>
        </w:tc>
        <w:tc>
          <w:tcPr>
            <w:tcW w:w="1102" w:type="pct"/>
            <w:tcBorders>
              <w:top w:val="single" w:sz="6" w:space="0" w:color="auto"/>
              <w:left w:val="single" w:sz="6" w:space="0" w:color="auto"/>
              <w:bottom w:val="single" w:sz="6" w:space="0" w:color="auto"/>
              <w:right w:val="single" w:sz="6" w:space="0" w:color="auto"/>
            </w:tcBorders>
          </w:tcPr>
          <w:p w14:paraId="60AF05CE"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p>
        </w:tc>
      </w:tr>
      <w:tr w:rsidR="00E0469B" w:rsidRPr="009018D8" w14:paraId="12BE9E72"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562ED895"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r w:rsidRPr="009018D8">
              <w:rPr>
                <w:rFonts w:ascii="Arial" w:hAnsi="Arial" w:cs="Arial"/>
                <w:sz w:val="20"/>
                <w:szCs w:val="20"/>
              </w:rPr>
              <w:t xml:space="preserve">Injection site </w:t>
            </w:r>
            <w:proofErr w:type="spellStart"/>
            <w:r w:rsidRPr="009018D8">
              <w:rPr>
                <w:rFonts w:ascii="Arial" w:hAnsi="Arial" w:cs="Arial"/>
                <w:sz w:val="20"/>
                <w:szCs w:val="20"/>
              </w:rPr>
              <w:t>reactions</w:t>
            </w:r>
            <w:r w:rsidRPr="009018D8">
              <w:rPr>
                <w:rFonts w:ascii="Arial" w:hAnsi="Arial" w:cs="Arial"/>
                <w:sz w:val="20"/>
                <w:szCs w:val="20"/>
                <w:vertAlign w:val="superscript"/>
              </w:rPr>
              <w:t>a</w:t>
            </w:r>
            <w:proofErr w:type="spellEnd"/>
          </w:p>
        </w:tc>
        <w:tc>
          <w:tcPr>
            <w:tcW w:w="1229" w:type="pct"/>
            <w:tcBorders>
              <w:top w:val="single" w:sz="6" w:space="0" w:color="auto"/>
              <w:left w:val="single" w:sz="6" w:space="0" w:color="auto"/>
              <w:bottom w:val="single" w:sz="6" w:space="0" w:color="auto"/>
              <w:right w:val="single" w:sz="6" w:space="0" w:color="auto"/>
            </w:tcBorders>
            <w:hideMark/>
          </w:tcPr>
          <w:p w14:paraId="5E37B268" w14:textId="77777777" w:rsidR="007A1E1A" w:rsidRPr="009018D8" w:rsidRDefault="007A1E1A" w:rsidP="00AD0441">
            <w:pPr>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4 (2%)</w:t>
            </w:r>
          </w:p>
        </w:tc>
        <w:tc>
          <w:tcPr>
            <w:tcW w:w="1102" w:type="pct"/>
            <w:tcBorders>
              <w:top w:val="single" w:sz="6" w:space="0" w:color="auto"/>
              <w:left w:val="single" w:sz="6" w:space="0" w:color="auto"/>
              <w:bottom w:val="single" w:sz="6" w:space="0" w:color="auto"/>
              <w:right w:val="single" w:sz="6" w:space="0" w:color="auto"/>
            </w:tcBorders>
            <w:hideMark/>
          </w:tcPr>
          <w:p w14:paraId="19C4174D"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2 (1%)</w:t>
            </w:r>
          </w:p>
        </w:tc>
      </w:tr>
      <w:tr w:rsidR="00E0469B" w:rsidRPr="009018D8" w14:paraId="3F68571B"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35D13B1B"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r w:rsidRPr="009018D8">
              <w:rPr>
                <w:rFonts w:ascii="Arial" w:hAnsi="Arial" w:cs="Arial"/>
                <w:sz w:val="20"/>
                <w:szCs w:val="20"/>
              </w:rPr>
              <w:t>Pyrexia (fever)</w:t>
            </w:r>
          </w:p>
        </w:tc>
        <w:tc>
          <w:tcPr>
            <w:tcW w:w="1229" w:type="pct"/>
            <w:tcBorders>
              <w:top w:val="single" w:sz="6" w:space="0" w:color="auto"/>
              <w:left w:val="single" w:sz="6" w:space="0" w:color="auto"/>
              <w:bottom w:val="single" w:sz="6" w:space="0" w:color="auto"/>
              <w:right w:val="single" w:sz="6" w:space="0" w:color="auto"/>
            </w:tcBorders>
            <w:hideMark/>
          </w:tcPr>
          <w:p w14:paraId="36D53D6C" w14:textId="77777777" w:rsidR="007A1E1A" w:rsidRPr="009018D8" w:rsidRDefault="007A1E1A" w:rsidP="00AD0441">
            <w:pPr>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20 (9%)</w:t>
            </w:r>
          </w:p>
        </w:tc>
        <w:tc>
          <w:tcPr>
            <w:tcW w:w="1102" w:type="pct"/>
            <w:tcBorders>
              <w:top w:val="single" w:sz="6" w:space="0" w:color="auto"/>
              <w:left w:val="single" w:sz="6" w:space="0" w:color="auto"/>
              <w:bottom w:val="single" w:sz="6" w:space="0" w:color="auto"/>
              <w:right w:val="single" w:sz="6" w:space="0" w:color="auto"/>
            </w:tcBorders>
            <w:hideMark/>
          </w:tcPr>
          <w:p w14:paraId="2DA21E12"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8 (5%)</w:t>
            </w:r>
          </w:p>
        </w:tc>
      </w:tr>
      <w:tr w:rsidR="00E0469B" w:rsidRPr="009018D8" w14:paraId="128C7C94"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20E273FD" w14:textId="77777777" w:rsidR="007A1E1A" w:rsidRPr="009018D8" w:rsidRDefault="007A1E1A" w:rsidP="00AD0441">
            <w:pPr>
              <w:keepNext/>
              <w:keepLines/>
              <w:widowControl w:val="0"/>
              <w:tabs>
                <w:tab w:val="left" w:pos="20"/>
              </w:tabs>
              <w:spacing w:before="20" w:after="20" w:line="240" w:lineRule="auto"/>
              <w:rPr>
                <w:rFonts w:ascii="Arial" w:hAnsi="Arial" w:cs="Arial"/>
                <w:b/>
                <w:sz w:val="20"/>
                <w:szCs w:val="20"/>
              </w:rPr>
            </w:pPr>
            <w:r w:rsidRPr="009018D8">
              <w:rPr>
                <w:rFonts w:ascii="Arial" w:hAnsi="Arial" w:cs="Arial"/>
                <w:b/>
                <w:sz w:val="20"/>
                <w:szCs w:val="20"/>
              </w:rPr>
              <w:t>Immune System Disorders</w:t>
            </w:r>
          </w:p>
        </w:tc>
        <w:tc>
          <w:tcPr>
            <w:tcW w:w="1229" w:type="pct"/>
            <w:tcBorders>
              <w:top w:val="single" w:sz="6" w:space="0" w:color="auto"/>
              <w:left w:val="single" w:sz="6" w:space="0" w:color="auto"/>
              <w:bottom w:val="single" w:sz="6" w:space="0" w:color="auto"/>
              <w:right w:val="single" w:sz="6" w:space="0" w:color="auto"/>
            </w:tcBorders>
          </w:tcPr>
          <w:p w14:paraId="2A8867D6"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p>
        </w:tc>
        <w:tc>
          <w:tcPr>
            <w:tcW w:w="1102" w:type="pct"/>
            <w:tcBorders>
              <w:top w:val="single" w:sz="6" w:space="0" w:color="auto"/>
              <w:left w:val="single" w:sz="6" w:space="0" w:color="auto"/>
              <w:bottom w:val="single" w:sz="6" w:space="0" w:color="auto"/>
              <w:right w:val="single" w:sz="6" w:space="0" w:color="auto"/>
            </w:tcBorders>
          </w:tcPr>
          <w:p w14:paraId="4E0435B0"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p>
        </w:tc>
      </w:tr>
      <w:tr w:rsidR="00E0469B" w:rsidRPr="009018D8" w14:paraId="4DDECD05"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3293F2DD"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r w:rsidRPr="009018D8">
              <w:rPr>
                <w:rFonts w:ascii="Arial" w:hAnsi="Arial" w:cs="Arial"/>
                <w:sz w:val="20"/>
                <w:szCs w:val="20"/>
              </w:rPr>
              <w:t>Hypersensitivity</w:t>
            </w:r>
          </w:p>
        </w:tc>
        <w:tc>
          <w:tcPr>
            <w:tcW w:w="1229" w:type="pct"/>
            <w:tcBorders>
              <w:top w:val="single" w:sz="6" w:space="0" w:color="auto"/>
              <w:left w:val="single" w:sz="6" w:space="0" w:color="auto"/>
              <w:bottom w:val="single" w:sz="6" w:space="0" w:color="auto"/>
              <w:right w:val="single" w:sz="6" w:space="0" w:color="auto"/>
            </w:tcBorders>
            <w:hideMark/>
          </w:tcPr>
          <w:p w14:paraId="70D8CB7E"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8 (4%)</w:t>
            </w:r>
          </w:p>
        </w:tc>
        <w:tc>
          <w:tcPr>
            <w:tcW w:w="1102" w:type="pct"/>
            <w:tcBorders>
              <w:top w:val="single" w:sz="6" w:space="0" w:color="auto"/>
              <w:left w:val="single" w:sz="6" w:space="0" w:color="auto"/>
              <w:bottom w:val="single" w:sz="6" w:space="0" w:color="auto"/>
              <w:right w:val="single" w:sz="6" w:space="0" w:color="auto"/>
            </w:tcBorders>
            <w:hideMark/>
          </w:tcPr>
          <w:p w14:paraId="48039E5A"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3 (2%)</w:t>
            </w:r>
          </w:p>
        </w:tc>
      </w:tr>
      <w:tr w:rsidR="00E0469B" w:rsidRPr="009018D8" w14:paraId="30E34E99"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776C08FD" w14:textId="77777777" w:rsidR="007A1E1A" w:rsidRPr="009018D8" w:rsidRDefault="007A1E1A" w:rsidP="00AD0441">
            <w:pPr>
              <w:keepNext/>
              <w:keepLines/>
              <w:widowControl w:val="0"/>
              <w:tabs>
                <w:tab w:val="left" w:pos="20"/>
              </w:tabs>
              <w:spacing w:before="20" w:after="20" w:line="240" w:lineRule="auto"/>
              <w:rPr>
                <w:rFonts w:ascii="Arial" w:hAnsi="Arial" w:cs="Arial"/>
                <w:b/>
                <w:sz w:val="20"/>
                <w:szCs w:val="20"/>
              </w:rPr>
            </w:pPr>
            <w:r w:rsidRPr="009018D8">
              <w:rPr>
                <w:rFonts w:ascii="Arial" w:hAnsi="Arial" w:cs="Arial"/>
                <w:b/>
                <w:sz w:val="20"/>
                <w:szCs w:val="20"/>
              </w:rPr>
              <w:t>Nervous System Disorders</w:t>
            </w:r>
          </w:p>
        </w:tc>
        <w:tc>
          <w:tcPr>
            <w:tcW w:w="1229" w:type="pct"/>
            <w:tcBorders>
              <w:top w:val="single" w:sz="6" w:space="0" w:color="auto"/>
              <w:left w:val="single" w:sz="6" w:space="0" w:color="auto"/>
              <w:bottom w:val="single" w:sz="6" w:space="0" w:color="auto"/>
              <w:right w:val="single" w:sz="6" w:space="0" w:color="auto"/>
            </w:tcBorders>
            <w:hideMark/>
          </w:tcPr>
          <w:p w14:paraId="06A1B964"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 xml:space="preserve"> </w:t>
            </w:r>
          </w:p>
        </w:tc>
        <w:tc>
          <w:tcPr>
            <w:tcW w:w="1102" w:type="pct"/>
            <w:tcBorders>
              <w:top w:val="single" w:sz="6" w:space="0" w:color="auto"/>
              <w:left w:val="single" w:sz="6" w:space="0" w:color="auto"/>
              <w:bottom w:val="single" w:sz="6" w:space="0" w:color="auto"/>
              <w:right w:val="single" w:sz="6" w:space="0" w:color="auto"/>
            </w:tcBorders>
          </w:tcPr>
          <w:p w14:paraId="0551DEF7"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p>
        </w:tc>
      </w:tr>
      <w:tr w:rsidR="00E0469B" w:rsidRPr="009018D8" w14:paraId="310FAD04"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1B4B0526"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r w:rsidRPr="009018D8">
              <w:rPr>
                <w:rFonts w:ascii="Arial" w:hAnsi="Arial" w:cs="Arial"/>
                <w:sz w:val="20"/>
                <w:szCs w:val="20"/>
              </w:rPr>
              <w:t>Dizziness</w:t>
            </w:r>
          </w:p>
        </w:tc>
        <w:tc>
          <w:tcPr>
            <w:tcW w:w="1229" w:type="pct"/>
            <w:tcBorders>
              <w:top w:val="single" w:sz="6" w:space="0" w:color="auto"/>
              <w:left w:val="single" w:sz="6" w:space="0" w:color="auto"/>
              <w:bottom w:val="single" w:sz="6" w:space="0" w:color="auto"/>
              <w:right w:val="single" w:sz="6" w:space="0" w:color="auto"/>
            </w:tcBorders>
            <w:hideMark/>
          </w:tcPr>
          <w:p w14:paraId="281133CF"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3 (1%)</w:t>
            </w:r>
          </w:p>
        </w:tc>
        <w:tc>
          <w:tcPr>
            <w:tcW w:w="1102" w:type="pct"/>
            <w:tcBorders>
              <w:top w:val="single" w:sz="6" w:space="0" w:color="auto"/>
              <w:left w:val="single" w:sz="6" w:space="0" w:color="auto"/>
              <w:bottom w:val="single" w:sz="6" w:space="0" w:color="auto"/>
              <w:right w:val="single" w:sz="6" w:space="0" w:color="auto"/>
            </w:tcBorders>
            <w:hideMark/>
          </w:tcPr>
          <w:p w14:paraId="36FD5E19"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3 (2%)</w:t>
            </w:r>
          </w:p>
        </w:tc>
      </w:tr>
      <w:tr w:rsidR="00E0469B" w:rsidRPr="009018D8" w14:paraId="4757102E"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416D3451"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r w:rsidRPr="009018D8">
              <w:rPr>
                <w:rFonts w:ascii="Arial" w:hAnsi="Arial" w:cs="Arial"/>
                <w:sz w:val="20"/>
                <w:szCs w:val="20"/>
              </w:rPr>
              <w:t>Dysgeusia (distorted sense of taste)</w:t>
            </w:r>
          </w:p>
        </w:tc>
        <w:tc>
          <w:tcPr>
            <w:tcW w:w="1229" w:type="pct"/>
            <w:tcBorders>
              <w:top w:val="single" w:sz="6" w:space="0" w:color="auto"/>
              <w:left w:val="single" w:sz="6" w:space="0" w:color="auto"/>
              <w:bottom w:val="single" w:sz="6" w:space="0" w:color="auto"/>
              <w:right w:val="single" w:sz="6" w:space="0" w:color="auto"/>
            </w:tcBorders>
            <w:hideMark/>
          </w:tcPr>
          <w:p w14:paraId="157CD44E"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1 (1%)</w:t>
            </w:r>
          </w:p>
        </w:tc>
        <w:tc>
          <w:tcPr>
            <w:tcW w:w="1102" w:type="pct"/>
            <w:tcBorders>
              <w:top w:val="single" w:sz="6" w:space="0" w:color="auto"/>
              <w:left w:val="single" w:sz="6" w:space="0" w:color="auto"/>
              <w:bottom w:val="single" w:sz="6" w:space="0" w:color="auto"/>
              <w:right w:val="single" w:sz="6" w:space="0" w:color="auto"/>
            </w:tcBorders>
            <w:hideMark/>
          </w:tcPr>
          <w:p w14:paraId="70E975BF"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0</w:t>
            </w:r>
          </w:p>
        </w:tc>
      </w:tr>
      <w:tr w:rsidR="00E0469B" w:rsidRPr="009018D8" w14:paraId="47602CE8"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72148ED9"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r w:rsidRPr="009018D8">
              <w:rPr>
                <w:rFonts w:ascii="Arial" w:hAnsi="Arial" w:cs="Arial"/>
                <w:sz w:val="20"/>
                <w:szCs w:val="20"/>
              </w:rPr>
              <w:t>Headache</w:t>
            </w:r>
          </w:p>
        </w:tc>
        <w:tc>
          <w:tcPr>
            <w:tcW w:w="1229" w:type="pct"/>
            <w:tcBorders>
              <w:top w:val="single" w:sz="6" w:space="0" w:color="auto"/>
              <w:left w:val="single" w:sz="6" w:space="0" w:color="auto"/>
              <w:bottom w:val="single" w:sz="6" w:space="0" w:color="auto"/>
              <w:right w:val="single" w:sz="6" w:space="0" w:color="auto"/>
            </w:tcBorders>
            <w:hideMark/>
          </w:tcPr>
          <w:p w14:paraId="19B90861"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29 (13%)</w:t>
            </w:r>
          </w:p>
        </w:tc>
        <w:tc>
          <w:tcPr>
            <w:tcW w:w="1102" w:type="pct"/>
            <w:tcBorders>
              <w:top w:val="single" w:sz="6" w:space="0" w:color="auto"/>
              <w:left w:val="single" w:sz="6" w:space="0" w:color="auto"/>
              <w:bottom w:val="single" w:sz="6" w:space="0" w:color="auto"/>
              <w:right w:val="single" w:sz="6" w:space="0" w:color="auto"/>
            </w:tcBorders>
            <w:hideMark/>
          </w:tcPr>
          <w:p w14:paraId="6A833A4B"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21 (14%)</w:t>
            </w:r>
          </w:p>
        </w:tc>
      </w:tr>
      <w:tr w:rsidR="00E0469B" w:rsidRPr="009018D8" w14:paraId="26289B8E"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4FA79C11" w14:textId="77777777" w:rsidR="007A1E1A" w:rsidRPr="009018D8" w:rsidRDefault="007A1E1A" w:rsidP="00AD0441">
            <w:pPr>
              <w:keepNext/>
              <w:keepLines/>
              <w:widowControl w:val="0"/>
              <w:tabs>
                <w:tab w:val="left" w:pos="20"/>
              </w:tabs>
              <w:spacing w:before="20" w:after="20" w:line="240" w:lineRule="auto"/>
              <w:rPr>
                <w:rFonts w:ascii="Arial" w:hAnsi="Arial" w:cs="Arial"/>
                <w:b/>
                <w:sz w:val="20"/>
                <w:szCs w:val="20"/>
              </w:rPr>
            </w:pPr>
            <w:r w:rsidRPr="009018D8">
              <w:rPr>
                <w:rFonts w:ascii="Arial" w:hAnsi="Arial" w:cs="Arial"/>
                <w:b/>
                <w:sz w:val="20"/>
                <w:szCs w:val="20"/>
              </w:rPr>
              <w:t>Psychiatric Disorders</w:t>
            </w:r>
          </w:p>
        </w:tc>
        <w:tc>
          <w:tcPr>
            <w:tcW w:w="1229" w:type="pct"/>
            <w:tcBorders>
              <w:top w:val="single" w:sz="6" w:space="0" w:color="auto"/>
              <w:left w:val="single" w:sz="6" w:space="0" w:color="auto"/>
              <w:bottom w:val="single" w:sz="6" w:space="0" w:color="auto"/>
              <w:right w:val="single" w:sz="6" w:space="0" w:color="auto"/>
            </w:tcBorders>
          </w:tcPr>
          <w:p w14:paraId="6C1B2592"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p>
        </w:tc>
        <w:tc>
          <w:tcPr>
            <w:tcW w:w="1102" w:type="pct"/>
            <w:tcBorders>
              <w:top w:val="single" w:sz="6" w:space="0" w:color="auto"/>
              <w:left w:val="single" w:sz="6" w:space="0" w:color="auto"/>
              <w:bottom w:val="single" w:sz="6" w:space="0" w:color="auto"/>
              <w:right w:val="single" w:sz="6" w:space="0" w:color="auto"/>
            </w:tcBorders>
          </w:tcPr>
          <w:p w14:paraId="687D335E"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p>
        </w:tc>
      </w:tr>
      <w:tr w:rsidR="00E0469B" w:rsidRPr="009018D8" w14:paraId="47FAAA30"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7EE45A78"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r w:rsidRPr="009018D8">
              <w:rPr>
                <w:rFonts w:ascii="Arial" w:hAnsi="Arial" w:cs="Arial"/>
                <w:sz w:val="20"/>
                <w:szCs w:val="20"/>
              </w:rPr>
              <w:t>Insomnia</w:t>
            </w:r>
          </w:p>
        </w:tc>
        <w:tc>
          <w:tcPr>
            <w:tcW w:w="1229" w:type="pct"/>
            <w:tcBorders>
              <w:top w:val="single" w:sz="6" w:space="0" w:color="auto"/>
              <w:left w:val="single" w:sz="6" w:space="0" w:color="auto"/>
              <w:bottom w:val="single" w:sz="6" w:space="0" w:color="auto"/>
              <w:right w:val="single" w:sz="6" w:space="0" w:color="auto"/>
            </w:tcBorders>
            <w:hideMark/>
          </w:tcPr>
          <w:p w14:paraId="196F9D2A"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5 (2%)</w:t>
            </w:r>
          </w:p>
        </w:tc>
        <w:tc>
          <w:tcPr>
            <w:tcW w:w="1102" w:type="pct"/>
            <w:tcBorders>
              <w:top w:val="single" w:sz="6" w:space="0" w:color="auto"/>
              <w:left w:val="single" w:sz="6" w:space="0" w:color="auto"/>
              <w:bottom w:val="single" w:sz="6" w:space="0" w:color="auto"/>
              <w:right w:val="single" w:sz="6" w:space="0" w:color="auto"/>
            </w:tcBorders>
            <w:hideMark/>
          </w:tcPr>
          <w:p w14:paraId="69ED1990"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4 (3%)</w:t>
            </w:r>
          </w:p>
        </w:tc>
      </w:tr>
      <w:tr w:rsidR="00E0469B" w:rsidRPr="009018D8" w14:paraId="4C5A2186"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765FDD75" w14:textId="77777777" w:rsidR="007A1E1A" w:rsidRPr="009018D8" w:rsidRDefault="007A1E1A" w:rsidP="00AD0441">
            <w:pPr>
              <w:keepNext/>
              <w:keepLines/>
              <w:widowControl w:val="0"/>
              <w:tabs>
                <w:tab w:val="left" w:pos="20"/>
              </w:tabs>
              <w:spacing w:before="20" w:after="20" w:line="240" w:lineRule="auto"/>
              <w:rPr>
                <w:rFonts w:ascii="Arial" w:hAnsi="Arial" w:cs="Arial"/>
                <w:b/>
                <w:sz w:val="20"/>
                <w:szCs w:val="20"/>
              </w:rPr>
            </w:pPr>
            <w:r w:rsidRPr="009018D8">
              <w:rPr>
                <w:rFonts w:ascii="Arial" w:hAnsi="Arial" w:cs="Arial"/>
                <w:b/>
                <w:sz w:val="20"/>
                <w:szCs w:val="20"/>
              </w:rPr>
              <w:t>Respiratory, Thoracic and Mediastinal Disorders</w:t>
            </w:r>
          </w:p>
        </w:tc>
        <w:tc>
          <w:tcPr>
            <w:tcW w:w="1229" w:type="pct"/>
            <w:tcBorders>
              <w:top w:val="single" w:sz="6" w:space="0" w:color="auto"/>
              <w:left w:val="single" w:sz="6" w:space="0" w:color="auto"/>
              <w:bottom w:val="single" w:sz="6" w:space="0" w:color="auto"/>
              <w:right w:val="single" w:sz="6" w:space="0" w:color="auto"/>
            </w:tcBorders>
          </w:tcPr>
          <w:p w14:paraId="56BFD288"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p>
        </w:tc>
        <w:tc>
          <w:tcPr>
            <w:tcW w:w="1102" w:type="pct"/>
            <w:tcBorders>
              <w:top w:val="single" w:sz="6" w:space="0" w:color="auto"/>
              <w:left w:val="single" w:sz="6" w:space="0" w:color="auto"/>
              <w:bottom w:val="single" w:sz="6" w:space="0" w:color="auto"/>
              <w:right w:val="single" w:sz="6" w:space="0" w:color="auto"/>
            </w:tcBorders>
          </w:tcPr>
          <w:p w14:paraId="17FC7D28"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p>
        </w:tc>
      </w:tr>
      <w:tr w:rsidR="00E0469B" w:rsidRPr="009018D8" w14:paraId="08AB5A83"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38C50226"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r w:rsidRPr="009018D8">
              <w:rPr>
                <w:rFonts w:ascii="Arial" w:hAnsi="Arial" w:cs="Arial"/>
                <w:sz w:val="20"/>
                <w:szCs w:val="20"/>
              </w:rPr>
              <w:t>Cough</w:t>
            </w:r>
          </w:p>
        </w:tc>
        <w:tc>
          <w:tcPr>
            <w:tcW w:w="1229" w:type="pct"/>
            <w:tcBorders>
              <w:top w:val="single" w:sz="6" w:space="0" w:color="auto"/>
              <w:left w:val="single" w:sz="6" w:space="0" w:color="auto"/>
              <w:bottom w:val="single" w:sz="6" w:space="0" w:color="auto"/>
              <w:right w:val="single" w:sz="6" w:space="0" w:color="auto"/>
            </w:tcBorders>
            <w:hideMark/>
          </w:tcPr>
          <w:p w14:paraId="78F037EE"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18 (8%)</w:t>
            </w:r>
          </w:p>
        </w:tc>
        <w:tc>
          <w:tcPr>
            <w:tcW w:w="1102" w:type="pct"/>
            <w:tcBorders>
              <w:top w:val="single" w:sz="6" w:space="0" w:color="auto"/>
              <w:left w:val="single" w:sz="6" w:space="0" w:color="auto"/>
              <w:bottom w:val="single" w:sz="6" w:space="0" w:color="auto"/>
              <w:right w:val="single" w:sz="6" w:space="0" w:color="auto"/>
            </w:tcBorders>
            <w:hideMark/>
          </w:tcPr>
          <w:p w14:paraId="329E9448"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10 (7%)</w:t>
            </w:r>
          </w:p>
        </w:tc>
      </w:tr>
      <w:tr w:rsidR="00E0469B" w:rsidRPr="009018D8" w14:paraId="69646076"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30BC0A97" w14:textId="77777777" w:rsidR="007A1E1A" w:rsidRPr="009018D8" w:rsidRDefault="007A1E1A" w:rsidP="00AD0441">
            <w:pPr>
              <w:keepNext/>
              <w:keepLines/>
              <w:widowControl w:val="0"/>
              <w:tabs>
                <w:tab w:val="left" w:pos="20"/>
              </w:tabs>
              <w:spacing w:before="20" w:after="20" w:line="240" w:lineRule="auto"/>
              <w:rPr>
                <w:rFonts w:ascii="Arial" w:hAnsi="Arial" w:cs="Arial"/>
                <w:b/>
                <w:sz w:val="20"/>
                <w:szCs w:val="20"/>
              </w:rPr>
            </w:pPr>
            <w:r w:rsidRPr="009018D8">
              <w:rPr>
                <w:rFonts w:ascii="Arial" w:hAnsi="Arial" w:cs="Arial"/>
                <w:b/>
                <w:sz w:val="20"/>
                <w:szCs w:val="20"/>
              </w:rPr>
              <w:t>Skin and Subcutaneous Tissue Disorders</w:t>
            </w:r>
          </w:p>
        </w:tc>
        <w:tc>
          <w:tcPr>
            <w:tcW w:w="1229" w:type="pct"/>
            <w:tcBorders>
              <w:top w:val="single" w:sz="6" w:space="0" w:color="auto"/>
              <w:left w:val="single" w:sz="6" w:space="0" w:color="auto"/>
              <w:bottom w:val="single" w:sz="6" w:space="0" w:color="auto"/>
              <w:right w:val="single" w:sz="6" w:space="0" w:color="auto"/>
            </w:tcBorders>
          </w:tcPr>
          <w:p w14:paraId="38EF02C5"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p>
        </w:tc>
        <w:tc>
          <w:tcPr>
            <w:tcW w:w="1102" w:type="pct"/>
            <w:tcBorders>
              <w:top w:val="single" w:sz="6" w:space="0" w:color="auto"/>
              <w:left w:val="single" w:sz="6" w:space="0" w:color="auto"/>
              <w:bottom w:val="single" w:sz="6" w:space="0" w:color="auto"/>
              <w:right w:val="single" w:sz="6" w:space="0" w:color="auto"/>
            </w:tcBorders>
          </w:tcPr>
          <w:p w14:paraId="444A1715"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p>
        </w:tc>
      </w:tr>
      <w:tr w:rsidR="00E0469B" w:rsidRPr="009018D8" w14:paraId="68EBC02F"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4AD574EB"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proofErr w:type="spellStart"/>
            <w:r w:rsidRPr="009018D8">
              <w:rPr>
                <w:rFonts w:ascii="Arial" w:hAnsi="Arial" w:cs="Arial"/>
                <w:sz w:val="20"/>
                <w:szCs w:val="20"/>
              </w:rPr>
              <w:t>Erythema</w:t>
            </w:r>
            <w:r w:rsidRPr="009018D8">
              <w:rPr>
                <w:rFonts w:ascii="Arial" w:hAnsi="Arial" w:cs="Arial"/>
                <w:sz w:val="20"/>
                <w:szCs w:val="20"/>
                <w:vertAlign w:val="superscript"/>
              </w:rPr>
              <w:t>b</w:t>
            </w:r>
            <w:proofErr w:type="spellEnd"/>
            <w:r w:rsidRPr="009018D8">
              <w:rPr>
                <w:rFonts w:ascii="Arial" w:hAnsi="Arial" w:cs="Arial"/>
                <w:sz w:val="20"/>
                <w:szCs w:val="20"/>
                <w:vertAlign w:val="superscript"/>
              </w:rPr>
              <w:t xml:space="preserve"> </w:t>
            </w:r>
            <w:r w:rsidRPr="009018D8">
              <w:rPr>
                <w:rFonts w:ascii="Arial" w:hAnsi="Arial" w:cs="Arial"/>
                <w:sz w:val="20"/>
                <w:szCs w:val="20"/>
              </w:rPr>
              <w:t>(redness)</w:t>
            </w:r>
          </w:p>
        </w:tc>
        <w:tc>
          <w:tcPr>
            <w:tcW w:w="1229" w:type="pct"/>
            <w:tcBorders>
              <w:top w:val="single" w:sz="6" w:space="0" w:color="auto"/>
              <w:left w:val="single" w:sz="6" w:space="0" w:color="auto"/>
              <w:bottom w:val="single" w:sz="6" w:space="0" w:color="auto"/>
              <w:right w:val="single" w:sz="6" w:space="0" w:color="auto"/>
            </w:tcBorders>
            <w:hideMark/>
          </w:tcPr>
          <w:p w14:paraId="79F34458"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3 (1%)</w:t>
            </w:r>
          </w:p>
        </w:tc>
        <w:tc>
          <w:tcPr>
            <w:tcW w:w="1102" w:type="pct"/>
            <w:tcBorders>
              <w:top w:val="single" w:sz="6" w:space="0" w:color="auto"/>
              <w:left w:val="single" w:sz="6" w:space="0" w:color="auto"/>
              <w:bottom w:val="single" w:sz="6" w:space="0" w:color="auto"/>
              <w:right w:val="single" w:sz="6" w:space="0" w:color="auto"/>
            </w:tcBorders>
            <w:hideMark/>
          </w:tcPr>
          <w:p w14:paraId="0491D02B"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2 (1%)</w:t>
            </w:r>
          </w:p>
        </w:tc>
      </w:tr>
      <w:tr w:rsidR="00E0469B" w:rsidRPr="009018D8" w14:paraId="7B3CB9B7"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3738BE9D"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r w:rsidRPr="009018D8">
              <w:rPr>
                <w:rFonts w:ascii="Arial" w:hAnsi="Arial" w:cs="Arial"/>
                <w:sz w:val="20"/>
                <w:szCs w:val="20"/>
              </w:rPr>
              <w:t>Pruritus (itching)</w:t>
            </w:r>
          </w:p>
        </w:tc>
        <w:tc>
          <w:tcPr>
            <w:tcW w:w="1229" w:type="pct"/>
            <w:tcBorders>
              <w:top w:val="single" w:sz="6" w:space="0" w:color="auto"/>
              <w:left w:val="single" w:sz="6" w:space="0" w:color="auto"/>
              <w:bottom w:val="single" w:sz="6" w:space="0" w:color="auto"/>
              <w:right w:val="single" w:sz="6" w:space="0" w:color="auto"/>
            </w:tcBorders>
            <w:hideMark/>
          </w:tcPr>
          <w:p w14:paraId="16F56A53"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2 (1%)</w:t>
            </w:r>
          </w:p>
        </w:tc>
        <w:tc>
          <w:tcPr>
            <w:tcW w:w="1102" w:type="pct"/>
            <w:tcBorders>
              <w:top w:val="single" w:sz="6" w:space="0" w:color="auto"/>
              <w:left w:val="single" w:sz="6" w:space="0" w:color="auto"/>
              <w:bottom w:val="single" w:sz="6" w:space="0" w:color="auto"/>
              <w:right w:val="single" w:sz="6" w:space="0" w:color="auto"/>
            </w:tcBorders>
            <w:hideMark/>
          </w:tcPr>
          <w:p w14:paraId="5FFCAB19"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1 (1%)</w:t>
            </w:r>
          </w:p>
        </w:tc>
      </w:tr>
      <w:tr w:rsidR="00E0469B" w:rsidRPr="009018D8" w14:paraId="3A076F02"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63ADA74D"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proofErr w:type="spellStart"/>
            <w:r w:rsidRPr="009018D8">
              <w:rPr>
                <w:rFonts w:ascii="Arial" w:hAnsi="Arial" w:cs="Arial"/>
                <w:sz w:val="20"/>
                <w:szCs w:val="20"/>
              </w:rPr>
              <w:t>Rash</w:t>
            </w:r>
            <w:r w:rsidRPr="009018D8">
              <w:rPr>
                <w:rFonts w:ascii="Arial" w:hAnsi="Arial" w:cs="Arial"/>
                <w:sz w:val="20"/>
                <w:szCs w:val="20"/>
                <w:vertAlign w:val="superscript"/>
              </w:rPr>
              <w:t>c</w:t>
            </w:r>
            <w:proofErr w:type="spellEnd"/>
          </w:p>
        </w:tc>
        <w:tc>
          <w:tcPr>
            <w:tcW w:w="1229" w:type="pct"/>
            <w:tcBorders>
              <w:top w:val="single" w:sz="6" w:space="0" w:color="auto"/>
              <w:left w:val="single" w:sz="6" w:space="0" w:color="auto"/>
              <w:bottom w:val="single" w:sz="6" w:space="0" w:color="auto"/>
              <w:right w:val="single" w:sz="6" w:space="0" w:color="auto"/>
            </w:tcBorders>
            <w:hideMark/>
          </w:tcPr>
          <w:p w14:paraId="17F81EB3"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9 (4%)</w:t>
            </w:r>
          </w:p>
        </w:tc>
        <w:tc>
          <w:tcPr>
            <w:tcW w:w="1102" w:type="pct"/>
            <w:tcBorders>
              <w:top w:val="single" w:sz="6" w:space="0" w:color="auto"/>
              <w:left w:val="single" w:sz="6" w:space="0" w:color="auto"/>
              <w:bottom w:val="single" w:sz="6" w:space="0" w:color="auto"/>
              <w:right w:val="single" w:sz="6" w:space="0" w:color="auto"/>
            </w:tcBorders>
            <w:hideMark/>
          </w:tcPr>
          <w:p w14:paraId="24BE77D2"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3 (2%)</w:t>
            </w:r>
          </w:p>
        </w:tc>
      </w:tr>
      <w:tr w:rsidR="00E0469B" w:rsidRPr="009018D8" w14:paraId="6E549B4D"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4A3A70A6" w14:textId="77777777" w:rsidR="007A1E1A" w:rsidRPr="009018D8" w:rsidRDefault="007A1E1A" w:rsidP="00AD0441">
            <w:pPr>
              <w:keepNext/>
              <w:keepLines/>
              <w:widowControl w:val="0"/>
              <w:tabs>
                <w:tab w:val="left" w:pos="20"/>
              </w:tabs>
              <w:spacing w:before="20" w:after="20" w:line="240" w:lineRule="auto"/>
              <w:rPr>
                <w:rFonts w:ascii="Arial" w:hAnsi="Arial" w:cs="Arial"/>
                <w:b/>
                <w:sz w:val="20"/>
                <w:szCs w:val="20"/>
              </w:rPr>
            </w:pPr>
            <w:proofErr w:type="spellStart"/>
            <w:r w:rsidRPr="009018D8">
              <w:rPr>
                <w:rFonts w:ascii="Arial" w:hAnsi="Arial" w:cs="Arial"/>
                <w:b/>
                <w:sz w:val="20"/>
                <w:szCs w:val="20"/>
              </w:rPr>
              <w:t>VascularDisorders</w:t>
            </w:r>
            <w:proofErr w:type="spellEnd"/>
          </w:p>
        </w:tc>
        <w:tc>
          <w:tcPr>
            <w:tcW w:w="1229" w:type="pct"/>
            <w:tcBorders>
              <w:top w:val="single" w:sz="6" w:space="0" w:color="auto"/>
              <w:left w:val="single" w:sz="6" w:space="0" w:color="auto"/>
              <w:bottom w:val="single" w:sz="6" w:space="0" w:color="auto"/>
              <w:right w:val="single" w:sz="6" w:space="0" w:color="auto"/>
            </w:tcBorders>
          </w:tcPr>
          <w:p w14:paraId="3F0070BD"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p>
        </w:tc>
        <w:tc>
          <w:tcPr>
            <w:tcW w:w="1102" w:type="pct"/>
            <w:tcBorders>
              <w:top w:val="single" w:sz="6" w:space="0" w:color="auto"/>
              <w:left w:val="single" w:sz="6" w:space="0" w:color="auto"/>
              <w:bottom w:val="single" w:sz="6" w:space="0" w:color="auto"/>
              <w:right w:val="single" w:sz="6" w:space="0" w:color="auto"/>
            </w:tcBorders>
          </w:tcPr>
          <w:p w14:paraId="0EF1D3BC"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p>
        </w:tc>
      </w:tr>
      <w:tr w:rsidR="007A1E1A" w:rsidRPr="009018D8" w14:paraId="19768374" w14:textId="77777777" w:rsidTr="007A1E1A">
        <w:trPr>
          <w:cantSplit/>
          <w:trHeight w:val="344"/>
          <w:tblHeader/>
        </w:trPr>
        <w:tc>
          <w:tcPr>
            <w:tcW w:w="2669" w:type="pct"/>
            <w:tcBorders>
              <w:top w:val="single" w:sz="6" w:space="0" w:color="auto"/>
              <w:left w:val="single" w:sz="6" w:space="0" w:color="auto"/>
              <w:bottom w:val="single" w:sz="6" w:space="0" w:color="auto"/>
              <w:right w:val="single" w:sz="6" w:space="0" w:color="auto"/>
            </w:tcBorders>
            <w:hideMark/>
          </w:tcPr>
          <w:p w14:paraId="3ED6C82B" w14:textId="77777777" w:rsidR="007A1E1A" w:rsidRPr="009018D8" w:rsidRDefault="007A1E1A" w:rsidP="00AD0441">
            <w:pPr>
              <w:keepNext/>
              <w:keepLines/>
              <w:widowControl w:val="0"/>
              <w:tabs>
                <w:tab w:val="left" w:pos="20"/>
              </w:tabs>
              <w:spacing w:before="20" w:after="20" w:line="240" w:lineRule="auto"/>
              <w:rPr>
                <w:rFonts w:ascii="Arial" w:hAnsi="Arial" w:cs="Arial"/>
                <w:sz w:val="20"/>
                <w:szCs w:val="20"/>
              </w:rPr>
            </w:pPr>
            <w:r w:rsidRPr="009018D8">
              <w:rPr>
                <w:rFonts w:ascii="Arial" w:hAnsi="Arial" w:cs="Arial"/>
                <w:sz w:val="20"/>
                <w:szCs w:val="20"/>
              </w:rPr>
              <w:t>Flushing</w:t>
            </w:r>
          </w:p>
        </w:tc>
        <w:tc>
          <w:tcPr>
            <w:tcW w:w="1229" w:type="pct"/>
            <w:tcBorders>
              <w:top w:val="single" w:sz="6" w:space="0" w:color="auto"/>
              <w:left w:val="single" w:sz="6" w:space="0" w:color="auto"/>
              <w:bottom w:val="single" w:sz="6" w:space="0" w:color="auto"/>
              <w:right w:val="single" w:sz="6" w:space="0" w:color="auto"/>
            </w:tcBorders>
            <w:hideMark/>
          </w:tcPr>
          <w:p w14:paraId="50C9E260"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1 (1%)</w:t>
            </w:r>
          </w:p>
        </w:tc>
        <w:tc>
          <w:tcPr>
            <w:tcW w:w="1102" w:type="pct"/>
            <w:tcBorders>
              <w:top w:val="single" w:sz="6" w:space="0" w:color="auto"/>
              <w:left w:val="single" w:sz="6" w:space="0" w:color="auto"/>
              <w:bottom w:val="single" w:sz="6" w:space="0" w:color="auto"/>
              <w:right w:val="single" w:sz="6" w:space="0" w:color="auto"/>
            </w:tcBorders>
            <w:hideMark/>
          </w:tcPr>
          <w:p w14:paraId="6BFE6506" w14:textId="77777777" w:rsidR="007A1E1A" w:rsidRPr="009018D8" w:rsidRDefault="007A1E1A" w:rsidP="00AD0441">
            <w:pPr>
              <w:keepNext/>
              <w:keepLines/>
              <w:widowControl w:val="0"/>
              <w:tabs>
                <w:tab w:val="left" w:pos="20"/>
              </w:tabs>
              <w:spacing w:before="20" w:after="20" w:line="240" w:lineRule="auto"/>
              <w:rPr>
                <w:rFonts w:ascii="Arial" w:eastAsia="MS Mincho" w:hAnsi="Arial" w:cs="Arial"/>
                <w:sz w:val="20"/>
                <w:szCs w:val="20"/>
              </w:rPr>
            </w:pPr>
            <w:r w:rsidRPr="009018D8">
              <w:rPr>
                <w:rFonts w:ascii="Arial" w:eastAsia="MS Mincho" w:hAnsi="Arial" w:cs="Arial"/>
                <w:sz w:val="20"/>
                <w:szCs w:val="20"/>
              </w:rPr>
              <w:t>1 (1%)</w:t>
            </w:r>
          </w:p>
        </w:tc>
      </w:tr>
    </w:tbl>
    <w:p w14:paraId="729DBEBF" w14:textId="77777777" w:rsidR="007A1E1A" w:rsidRPr="009107E5" w:rsidRDefault="007A1E1A" w:rsidP="00AD0441">
      <w:pPr>
        <w:autoSpaceDE w:val="0"/>
        <w:autoSpaceDN w:val="0"/>
        <w:adjustRightInd w:val="0"/>
        <w:spacing w:line="240" w:lineRule="auto"/>
        <w:rPr>
          <w:rFonts w:ascii="Arial" w:hAnsi="Arial" w:cs="Arial"/>
          <w:b/>
          <w:bCs/>
          <w:sz w:val="20"/>
          <w:szCs w:val="20"/>
          <w:lang w:val="en-US"/>
        </w:rPr>
      </w:pPr>
    </w:p>
    <w:p w14:paraId="28AB9BC6" w14:textId="77777777" w:rsidR="007A1E1A" w:rsidRPr="009018D8" w:rsidRDefault="007A1E1A" w:rsidP="00AD0441">
      <w:pPr>
        <w:spacing w:line="240" w:lineRule="auto"/>
        <w:rPr>
          <w:rFonts w:ascii="Arial" w:hAnsi="Arial" w:cs="Arial"/>
          <w:sz w:val="20"/>
          <w:szCs w:val="20"/>
        </w:rPr>
      </w:pPr>
      <w:r w:rsidRPr="009018D8">
        <w:rPr>
          <w:rFonts w:ascii="Arial" w:hAnsi="Arial" w:cs="Arial"/>
          <w:sz w:val="20"/>
          <w:szCs w:val="20"/>
          <w:vertAlign w:val="superscript"/>
        </w:rPr>
        <w:t>a</w:t>
      </w:r>
      <w:r w:rsidRPr="009018D8">
        <w:rPr>
          <w:rFonts w:ascii="Arial" w:hAnsi="Arial" w:cs="Arial"/>
          <w:sz w:val="20"/>
          <w:szCs w:val="20"/>
        </w:rPr>
        <w:t xml:space="preserve"> Includes Injection site pruritus and Injection site rash </w:t>
      </w:r>
    </w:p>
    <w:p w14:paraId="5A83D478" w14:textId="77777777" w:rsidR="007A1E1A" w:rsidRPr="009018D8" w:rsidRDefault="007A1E1A" w:rsidP="00AD0441">
      <w:pPr>
        <w:spacing w:line="240" w:lineRule="auto"/>
        <w:rPr>
          <w:rFonts w:ascii="Arial" w:hAnsi="Arial" w:cs="Arial"/>
          <w:sz w:val="20"/>
          <w:szCs w:val="20"/>
        </w:rPr>
      </w:pPr>
      <w:r w:rsidRPr="009018D8">
        <w:rPr>
          <w:rFonts w:ascii="Arial" w:hAnsi="Arial" w:cs="Arial"/>
          <w:sz w:val="20"/>
          <w:szCs w:val="20"/>
          <w:vertAlign w:val="superscript"/>
        </w:rPr>
        <w:t>b</w:t>
      </w:r>
      <w:r w:rsidRPr="009018D8">
        <w:rPr>
          <w:rFonts w:ascii="Arial" w:hAnsi="Arial" w:cs="Arial"/>
          <w:sz w:val="20"/>
          <w:szCs w:val="20"/>
        </w:rPr>
        <w:t xml:space="preserve"> Includes Erythema and Erythema multiforme </w:t>
      </w:r>
    </w:p>
    <w:p w14:paraId="0E7ADBC2" w14:textId="77777777" w:rsidR="007A1E1A" w:rsidRPr="009018D8" w:rsidRDefault="007A1E1A" w:rsidP="00AD0441">
      <w:pPr>
        <w:spacing w:line="240" w:lineRule="auto"/>
        <w:rPr>
          <w:rFonts w:ascii="Arial" w:hAnsi="Arial" w:cs="Arial"/>
          <w:b/>
          <w:bCs/>
          <w:sz w:val="20"/>
          <w:szCs w:val="20"/>
        </w:rPr>
      </w:pPr>
      <w:r w:rsidRPr="009018D8">
        <w:rPr>
          <w:rFonts w:ascii="Arial" w:hAnsi="Arial" w:cs="Arial"/>
          <w:sz w:val="20"/>
          <w:szCs w:val="20"/>
          <w:vertAlign w:val="superscript"/>
        </w:rPr>
        <w:t>c</w:t>
      </w:r>
      <w:r w:rsidRPr="009018D8">
        <w:rPr>
          <w:rFonts w:ascii="Arial" w:hAnsi="Arial" w:cs="Arial"/>
          <w:sz w:val="20"/>
          <w:szCs w:val="20"/>
        </w:rPr>
        <w:t xml:space="preserve"> Includes Rash and Rash </w:t>
      </w:r>
      <w:proofErr w:type="spellStart"/>
      <w:r w:rsidRPr="009018D8">
        <w:rPr>
          <w:rFonts w:ascii="Arial" w:hAnsi="Arial" w:cs="Arial"/>
          <w:sz w:val="20"/>
          <w:szCs w:val="20"/>
        </w:rPr>
        <w:t>papular</w:t>
      </w:r>
      <w:proofErr w:type="spellEnd"/>
    </w:p>
    <w:p w14:paraId="144778AE" w14:textId="77777777" w:rsidR="007A1E1A" w:rsidRPr="009107E5" w:rsidRDefault="007A1E1A" w:rsidP="00AD0441">
      <w:pPr>
        <w:spacing w:line="240" w:lineRule="auto"/>
        <w:rPr>
          <w:rFonts w:ascii="Arial" w:hAnsi="Arial" w:cs="Arial"/>
          <w:b/>
          <w:bCs/>
          <w:sz w:val="20"/>
          <w:szCs w:val="20"/>
        </w:rPr>
      </w:pPr>
    </w:p>
    <w:p w14:paraId="0FC1907B" w14:textId="77777777" w:rsidR="008E6063" w:rsidRPr="009107E5" w:rsidRDefault="008E6063" w:rsidP="00AD0441">
      <w:pPr>
        <w:pStyle w:val="Heading3"/>
        <w:rPr>
          <w:rFonts w:ascii="Arial" w:hAnsi="Arial" w:cs="Arial"/>
          <w:sz w:val="20"/>
          <w:szCs w:val="20"/>
        </w:rPr>
      </w:pPr>
      <w:r w:rsidRPr="009107E5">
        <w:rPr>
          <w:rFonts w:ascii="Arial" w:hAnsi="Arial" w:cs="Arial"/>
          <w:sz w:val="20"/>
          <w:szCs w:val="20"/>
        </w:rPr>
        <w:t>Description of selected adverse reactions</w:t>
      </w:r>
    </w:p>
    <w:p w14:paraId="0FD07B87" w14:textId="77777777" w:rsidR="008E6063" w:rsidRPr="009107E5" w:rsidRDefault="008E6063" w:rsidP="00AD0441">
      <w:pPr>
        <w:autoSpaceDE w:val="0"/>
        <w:autoSpaceDN w:val="0"/>
        <w:adjustRightInd w:val="0"/>
        <w:spacing w:line="240" w:lineRule="auto"/>
        <w:rPr>
          <w:rFonts w:ascii="Arial" w:hAnsi="Arial" w:cs="Arial"/>
          <w:i/>
          <w:iCs/>
          <w:sz w:val="20"/>
          <w:szCs w:val="20"/>
          <w:lang w:val="en-US"/>
        </w:rPr>
      </w:pPr>
      <w:r w:rsidRPr="009107E5">
        <w:rPr>
          <w:rFonts w:ascii="Arial" w:hAnsi="Arial" w:cs="Arial"/>
          <w:i/>
          <w:iCs/>
          <w:sz w:val="20"/>
          <w:szCs w:val="20"/>
          <w:lang w:val="en-US"/>
        </w:rPr>
        <w:t>Immunogenicity</w:t>
      </w:r>
    </w:p>
    <w:p w14:paraId="1E7DA7C0" w14:textId="673E52A6"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Immunogenicity was evaluated during clinical trials with Jivi in 159 (including surgery patients)</w:t>
      </w:r>
      <w:r w:rsidR="008B029D" w:rsidRPr="009107E5">
        <w:rPr>
          <w:rFonts w:ascii="Arial" w:hAnsi="Arial" w:cs="Arial"/>
          <w:sz w:val="20"/>
          <w:szCs w:val="20"/>
          <w:lang w:val="en-US"/>
        </w:rPr>
        <w:t xml:space="preserve"> </w:t>
      </w:r>
      <w:r w:rsidRPr="009107E5">
        <w:rPr>
          <w:rFonts w:ascii="Arial" w:hAnsi="Arial" w:cs="Arial"/>
          <w:sz w:val="20"/>
          <w:szCs w:val="20"/>
          <w:lang w:val="en-US"/>
        </w:rPr>
        <w:t>previously treated adolescents (</w:t>
      </w:r>
      <w:r w:rsidRPr="009107E5">
        <w:rPr>
          <w:rFonts w:ascii="Arial" w:eastAsia="TimesNewRomanPSMT" w:hAnsi="Arial" w:cs="Arial"/>
          <w:sz w:val="20"/>
          <w:szCs w:val="20"/>
          <w:lang w:val="en-US"/>
        </w:rPr>
        <w:t xml:space="preserve">≥ </w:t>
      </w:r>
      <w:r w:rsidRPr="009107E5">
        <w:rPr>
          <w:rFonts w:ascii="Arial" w:hAnsi="Arial" w:cs="Arial"/>
          <w:sz w:val="20"/>
          <w:szCs w:val="20"/>
          <w:lang w:val="en-US"/>
        </w:rPr>
        <w:t xml:space="preserve">12 years of age) and adults diagnosed with severe </w:t>
      </w:r>
      <w:proofErr w:type="spellStart"/>
      <w:r w:rsidRPr="009107E5">
        <w:rPr>
          <w:rFonts w:ascii="Arial" w:hAnsi="Arial" w:cs="Arial"/>
          <w:sz w:val="20"/>
          <w:szCs w:val="20"/>
          <w:lang w:val="en-US"/>
        </w:rPr>
        <w:t>haemophilia</w:t>
      </w:r>
      <w:proofErr w:type="spellEnd"/>
      <w:r w:rsidRPr="009107E5">
        <w:rPr>
          <w:rFonts w:ascii="Arial" w:hAnsi="Arial" w:cs="Arial"/>
          <w:sz w:val="20"/>
          <w:szCs w:val="20"/>
          <w:lang w:val="en-US"/>
        </w:rPr>
        <w:t xml:space="preserve"> A</w:t>
      </w:r>
      <w:r w:rsidR="008B029D" w:rsidRPr="009107E5">
        <w:rPr>
          <w:rFonts w:ascii="Arial" w:hAnsi="Arial" w:cs="Arial"/>
          <w:sz w:val="20"/>
          <w:szCs w:val="20"/>
          <w:lang w:val="en-US"/>
        </w:rPr>
        <w:t xml:space="preserve"> </w:t>
      </w:r>
      <w:r w:rsidRPr="009107E5">
        <w:rPr>
          <w:rFonts w:ascii="Arial" w:hAnsi="Arial" w:cs="Arial"/>
          <w:sz w:val="20"/>
          <w:szCs w:val="20"/>
          <w:lang w:val="en-US"/>
        </w:rPr>
        <w:t xml:space="preserve">(FVIII:C &lt; 1%), and </w:t>
      </w:r>
      <w:r w:rsidRPr="009107E5">
        <w:rPr>
          <w:rFonts w:ascii="Arial" w:eastAsia="TimesNewRomanPSMT" w:hAnsi="Arial" w:cs="Arial"/>
          <w:sz w:val="20"/>
          <w:szCs w:val="20"/>
          <w:lang w:val="en-US"/>
        </w:rPr>
        <w:t xml:space="preserve">≥ </w:t>
      </w:r>
      <w:r w:rsidRPr="009107E5">
        <w:rPr>
          <w:rFonts w:ascii="Arial" w:hAnsi="Arial" w:cs="Arial"/>
          <w:sz w:val="20"/>
          <w:szCs w:val="20"/>
          <w:lang w:val="en-US"/>
        </w:rPr>
        <w:t>150 previous exposure days.</w:t>
      </w:r>
    </w:p>
    <w:p w14:paraId="55992A5E" w14:textId="77777777" w:rsidR="008E6063" w:rsidRPr="009107E5" w:rsidRDefault="008E6063" w:rsidP="00AD0441">
      <w:pPr>
        <w:autoSpaceDE w:val="0"/>
        <w:autoSpaceDN w:val="0"/>
        <w:adjustRightInd w:val="0"/>
        <w:spacing w:line="240" w:lineRule="auto"/>
        <w:rPr>
          <w:rFonts w:ascii="Arial" w:hAnsi="Arial" w:cs="Arial"/>
          <w:i/>
          <w:iCs/>
          <w:sz w:val="20"/>
          <w:szCs w:val="20"/>
          <w:lang w:val="en-US"/>
        </w:rPr>
      </w:pPr>
      <w:r w:rsidRPr="009107E5">
        <w:rPr>
          <w:rFonts w:ascii="Arial" w:hAnsi="Arial" w:cs="Arial"/>
          <w:i/>
          <w:iCs/>
          <w:sz w:val="20"/>
          <w:szCs w:val="20"/>
          <w:lang w:val="en-US"/>
        </w:rPr>
        <w:t>FVIII inhibitors</w:t>
      </w:r>
    </w:p>
    <w:p w14:paraId="48B7F16F" w14:textId="53CF6289" w:rsidR="008E6063" w:rsidRPr="009107E5" w:rsidRDefault="008E6063" w:rsidP="00AD0441">
      <w:pPr>
        <w:autoSpaceDE w:val="0"/>
        <w:autoSpaceDN w:val="0"/>
        <w:adjustRightInd w:val="0"/>
        <w:spacing w:line="240" w:lineRule="auto"/>
        <w:rPr>
          <w:rFonts w:ascii="Arial" w:hAnsi="Arial" w:cs="Arial"/>
          <w:sz w:val="20"/>
          <w:szCs w:val="20"/>
          <w:lang w:val="en-US"/>
        </w:rPr>
      </w:pPr>
      <w:proofErr w:type="gramStart"/>
      <w:r w:rsidRPr="009107E5">
        <w:rPr>
          <w:rFonts w:ascii="Arial" w:hAnsi="Arial" w:cs="Arial"/>
          <w:sz w:val="20"/>
          <w:szCs w:val="20"/>
          <w:lang w:val="en-US"/>
        </w:rPr>
        <w:t>No</w:t>
      </w:r>
      <w:proofErr w:type="gramEnd"/>
      <w:r w:rsidRPr="009107E5">
        <w:rPr>
          <w:rFonts w:ascii="Arial" w:hAnsi="Arial" w:cs="Arial"/>
          <w:sz w:val="20"/>
          <w:szCs w:val="20"/>
          <w:lang w:val="en-US"/>
        </w:rPr>
        <w:t xml:space="preserve"> </w:t>
      </w:r>
      <w:r w:rsidRPr="009107E5">
        <w:rPr>
          <w:rFonts w:ascii="Arial" w:hAnsi="Arial" w:cs="Arial"/>
          <w:i/>
          <w:iCs/>
          <w:sz w:val="20"/>
          <w:szCs w:val="20"/>
          <w:lang w:val="en-US"/>
        </w:rPr>
        <w:t xml:space="preserve">de novo </w:t>
      </w:r>
      <w:r w:rsidRPr="009107E5">
        <w:rPr>
          <w:rFonts w:ascii="Arial" w:hAnsi="Arial" w:cs="Arial"/>
          <w:sz w:val="20"/>
          <w:szCs w:val="20"/>
          <w:lang w:val="en-US"/>
        </w:rPr>
        <w:t>or confirmed cases of inhibitor against factor VIII occurred. A single unconfirmed positive</w:t>
      </w:r>
      <w:r w:rsidR="008B029D" w:rsidRPr="009107E5">
        <w:rPr>
          <w:rFonts w:ascii="Arial" w:hAnsi="Arial" w:cs="Arial"/>
          <w:sz w:val="20"/>
          <w:szCs w:val="20"/>
          <w:lang w:val="en-US"/>
        </w:rPr>
        <w:t xml:space="preserve"> </w:t>
      </w:r>
      <w:r w:rsidRPr="009107E5">
        <w:rPr>
          <w:rFonts w:ascii="Arial" w:hAnsi="Arial" w:cs="Arial"/>
          <w:sz w:val="20"/>
          <w:szCs w:val="20"/>
          <w:lang w:val="en-US"/>
        </w:rPr>
        <w:t xml:space="preserve">result of a low </w:t>
      </w:r>
      <w:proofErr w:type="spellStart"/>
      <w:r w:rsidRPr="009107E5">
        <w:rPr>
          <w:rFonts w:ascii="Arial" w:hAnsi="Arial" w:cs="Arial"/>
          <w:sz w:val="20"/>
          <w:szCs w:val="20"/>
          <w:lang w:val="en-US"/>
        </w:rPr>
        <w:t>titre</w:t>
      </w:r>
      <w:proofErr w:type="spellEnd"/>
      <w:r w:rsidRPr="009107E5">
        <w:rPr>
          <w:rFonts w:ascii="Arial" w:hAnsi="Arial" w:cs="Arial"/>
          <w:sz w:val="20"/>
          <w:szCs w:val="20"/>
          <w:lang w:val="en-US"/>
        </w:rPr>
        <w:t xml:space="preserve"> of factor VIII inhibitor (1.7 BU/mL) was reported in one adult patient undergoing</w:t>
      </w:r>
      <w:r w:rsidR="008B029D" w:rsidRPr="009107E5">
        <w:rPr>
          <w:rFonts w:ascii="Arial" w:hAnsi="Arial" w:cs="Arial"/>
          <w:sz w:val="20"/>
          <w:szCs w:val="20"/>
          <w:lang w:val="en-US"/>
        </w:rPr>
        <w:t xml:space="preserve"> </w:t>
      </w:r>
      <w:r w:rsidRPr="009107E5">
        <w:rPr>
          <w:rFonts w:ascii="Arial" w:hAnsi="Arial" w:cs="Arial"/>
          <w:sz w:val="20"/>
          <w:szCs w:val="20"/>
          <w:lang w:val="en-US"/>
        </w:rPr>
        <w:t>surgery.</w:t>
      </w:r>
    </w:p>
    <w:p w14:paraId="53B6142D" w14:textId="1F2C91BA" w:rsidR="008E6063" w:rsidRPr="009107E5" w:rsidRDefault="008E6063" w:rsidP="00AD0441">
      <w:pPr>
        <w:autoSpaceDE w:val="0"/>
        <w:autoSpaceDN w:val="0"/>
        <w:adjustRightInd w:val="0"/>
        <w:spacing w:line="240" w:lineRule="auto"/>
        <w:rPr>
          <w:rFonts w:ascii="Arial" w:hAnsi="Arial" w:cs="Arial"/>
          <w:i/>
          <w:iCs/>
          <w:sz w:val="20"/>
          <w:szCs w:val="20"/>
          <w:lang w:val="en-US"/>
        </w:rPr>
      </w:pPr>
      <w:r w:rsidRPr="009107E5">
        <w:rPr>
          <w:rFonts w:ascii="Arial" w:hAnsi="Arial" w:cs="Arial"/>
          <w:i/>
          <w:iCs/>
          <w:sz w:val="20"/>
          <w:szCs w:val="20"/>
          <w:lang w:val="en-US"/>
        </w:rPr>
        <w:lastRenderedPageBreak/>
        <w:t>Anti</w:t>
      </w:r>
      <w:r w:rsidR="00BB0631" w:rsidRPr="009107E5">
        <w:rPr>
          <w:rFonts w:ascii="Arial" w:hAnsi="Arial" w:cs="Arial"/>
          <w:i/>
          <w:iCs/>
          <w:sz w:val="20"/>
          <w:szCs w:val="20"/>
          <w:lang w:val="en-US"/>
        </w:rPr>
        <w:t>-</w:t>
      </w:r>
      <w:r w:rsidRPr="009107E5">
        <w:rPr>
          <w:rFonts w:ascii="Arial" w:hAnsi="Arial" w:cs="Arial"/>
          <w:i/>
          <w:iCs/>
          <w:sz w:val="20"/>
          <w:szCs w:val="20"/>
          <w:lang w:val="en-US"/>
        </w:rPr>
        <w:t>PEG antibodies</w:t>
      </w:r>
    </w:p>
    <w:p w14:paraId="02E49402" w14:textId="3AA3F530"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Immunogenicity against PEG with development of specific IgM anti-PEG antibodies was observed in</w:t>
      </w:r>
      <w:r w:rsidR="008B029D" w:rsidRPr="009107E5">
        <w:rPr>
          <w:rFonts w:ascii="Arial" w:hAnsi="Arial" w:cs="Arial"/>
          <w:sz w:val="20"/>
          <w:szCs w:val="20"/>
          <w:lang w:val="en-US"/>
        </w:rPr>
        <w:t xml:space="preserve"> </w:t>
      </w:r>
      <w:r w:rsidRPr="009107E5">
        <w:rPr>
          <w:rFonts w:ascii="Arial" w:hAnsi="Arial" w:cs="Arial"/>
          <w:sz w:val="20"/>
          <w:szCs w:val="20"/>
          <w:lang w:val="en-US"/>
        </w:rPr>
        <w:t>one patient. The immune response was accompanied by a clinical hypersensitivity reaction after</w:t>
      </w:r>
      <w:r w:rsidR="008B029D" w:rsidRPr="009107E5">
        <w:rPr>
          <w:rFonts w:ascii="Arial" w:hAnsi="Arial" w:cs="Arial"/>
          <w:sz w:val="20"/>
          <w:szCs w:val="20"/>
          <w:lang w:val="en-US"/>
        </w:rPr>
        <w:t xml:space="preserve"> </w:t>
      </w:r>
      <w:r w:rsidRPr="009107E5">
        <w:rPr>
          <w:rFonts w:ascii="Arial" w:hAnsi="Arial" w:cs="Arial"/>
          <w:sz w:val="20"/>
          <w:szCs w:val="20"/>
          <w:lang w:val="en-US"/>
        </w:rPr>
        <w:t>4 injections of Jivi. Antibodies to PEG disappeared after discontinuation of Jivi.</w:t>
      </w:r>
      <w:r w:rsidR="008B029D" w:rsidRPr="009107E5">
        <w:rPr>
          <w:rFonts w:ascii="Arial" w:hAnsi="Arial" w:cs="Arial"/>
          <w:sz w:val="20"/>
          <w:szCs w:val="20"/>
          <w:lang w:val="en-US"/>
        </w:rPr>
        <w:t xml:space="preserve"> </w:t>
      </w:r>
      <w:r w:rsidRPr="009107E5">
        <w:rPr>
          <w:rFonts w:ascii="Arial" w:hAnsi="Arial" w:cs="Arial"/>
          <w:sz w:val="20"/>
          <w:szCs w:val="20"/>
          <w:lang w:val="en-US"/>
        </w:rPr>
        <w:t>No clinical immune response to PEG resulting in loss of drug efficacy or hypersensitivity was</w:t>
      </w:r>
      <w:r w:rsidR="008B029D" w:rsidRPr="009107E5">
        <w:rPr>
          <w:rFonts w:ascii="Arial" w:hAnsi="Arial" w:cs="Arial"/>
          <w:sz w:val="20"/>
          <w:szCs w:val="20"/>
          <w:lang w:val="en-US"/>
        </w:rPr>
        <w:t xml:space="preserve"> </w:t>
      </w:r>
      <w:r w:rsidRPr="009107E5">
        <w:rPr>
          <w:rFonts w:ascii="Arial" w:hAnsi="Arial" w:cs="Arial"/>
          <w:sz w:val="20"/>
          <w:szCs w:val="20"/>
          <w:lang w:val="en-US"/>
        </w:rPr>
        <w:t>observed from the 5th ED through the end of the extension studies.</w:t>
      </w:r>
    </w:p>
    <w:p w14:paraId="160ECDF2" w14:textId="77777777" w:rsidR="008E6063" w:rsidRPr="009107E5" w:rsidRDefault="008E6063" w:rsidP="00AD0441">
      <w:pPr>
        <w:autoSpaceDE w:val="0"/>
        <w:autoSpaceDN w:val="0"/>
        <w:adjustRightInd w:val="0"/>
        <w:spacing w:line="240" w:lineRule="auto"/>
        <w:rPr>
          <w:rFonts w:ascii="Arial" w:hAnsi="Arial" w:cs="Arial"/>
          <w:i/>
          <w:iCs/>
          <w:sz w:val="20"/>
          <w:szCs w:val="20"/>
          <w:lang w:val="en-US"/>
        </w:rPr>
      </w:pPr>
      <w:proofErr w:type="spellStart"/>
      <w:r w:rsidRPr="009107E5">
        <w:rPr>
          <w:rFonts w:ascii="Arial" w:hAnsi="Arial" w:cs="Arial"/>
          <w:i/>
          <w:iCs/>
          <w:sz w:val="20"/>
          <w:szCs w:val="20"/>
          <w:lang w:val="en-US"/>
        </w:rPr>
        <w:t>Paediatric</w:t>
      </w:r>
      <w:proofErr w:type="spellEnd"/>
      <w:r w:rsidRPr="009107E5">
        <w:rPr>
          <w:rFonts w:ascii="Arial" w:hAnsi="Arial" w:cs="Arial"/>
          <w:i/>
          <w:iCs/>
          <w:sz w:val="20"/>
          <w:szCs w:val="20"/>
          <w:lang w:val="en-US"/>
        </w:rPr>
        <w:t xml:space="preserve"> population</w:t>
      </w:r>
    </w:p>
    <w:p w14:paraId="2FF1C3A1" w14:textId="0ED9BBD6" w:rsidR="008E6063" w:rsidRPr="009107E5" w:rsidRDefault="008E606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In completed clinical studies with 73 </w:t>
      </w:r>
      <w:proofErr w:type="spellStart"/>
      <w:r w:rsidRPr="009107E5">
        <w:rPr>
          <w:rFonts w:ascii="Arial" w:hAnsi="Arial" w:cs="Arial"/>
          <w:sz w:val="20"/>
          <w:szCs w:val="20"/>
          <w:lang w:val="en-US"/>
        </w:rPr>
        <w:t>paediatric</w:t>
      </w:r>
      <w:proofErr w:type="spellEnd"/>
      <w:r w:rsidRPr="009107E5">
        <w:rPr>
          <w:rFonts w:ascii="Arial" w:hAnsi="Arial" w:cs="Arial"/>
          <w:sz w:val="20"/>
          <w:szCs w:val="20"/>
          <w:lang w:val="en-US"/>
        </w:rPr>
        <w:t xml:space="preserve"> PTPs &lt; 12 years (44 PTPs &lt; 6 years, 29 PTPs</w:t>
      </w:r>
      <w:r w:rsidR="008B029D" w:rsidRPr="009107E5">
        <w:rPr>
          <w:rFonts w:ascii="Arial" w:hAnsi="Arial" w:cs="Arial"/>
          <w:sz w:val="20"/>
          <w:szCs w:val="20"/>
          <w:lang w:val="en-US"/>
        </w:rPr>
        <w:t xml:space="preserve"> </w:t>
      </w:r>
      <w:r w:rsidRPr="009107E5">
        <w:rPr>
          <w:rFonts w:ascii="Arial" w:hAnsi="Arial" w:cs="Arial"/>
          <w:sz w:val="20"/>
          <w:szCs w:val="20"/>
          <w:lang w:val="en-US"/>
        </w:rPr>
        <w:t>6</w:t>
      </w:r>
      <w:r w:rsidR="00BB0631" w:rsidRPr="009107E5">
        <w:rPr>
          <w:rFonts w:ascii="Arial" w:hAnsi="Arial" w:cs="Arial"/>
          <w:sz w:val="20"/>
          <w:szCs w:val="20"/>
          <w:lang w:val="en-US"/>
        </w:rPr>
        <w:t>-</w:t>
      </w:r>
      <w:r w:rsidRPr="009107E5">
        <w:rPr>
          <w:rFonts w:ascii="Arial" w:hAnsi="Arial" w:cs="Arial"/>
          <w:sz w:val="20"/>
          <w:szCs w:val="20"/>
          <w:lang w:val="en-US"/>
        </w:rPr>
        <w:t xml:space="preserve">&lt; 12 years), adverse reactions due to immune response to PEG were observed in children less than 6 years of age. In 10 of 44 patients (23%) in the age group of younger than 6 years of age loss of drug effect due to </w:t>
      </w:r>
      <w:proofErr w:type="spellStart"/>
      <w:r w:rsidRPr="009107E5">
        <w:rPr>
          <w:rFonts w:ascii="Arial" w:hAnsi="Arial" w:cs="Arial"/>
          <w:sz w:val="20"/>
          <w:szCs w:val="20"/>
          <w:lang w:val="en-US"/>
        </w:rPr>
        <w:t>neutralising</w:t>
      </w:r>
      <w:proofErr w:type="spellEnd"/>
      <w:r w:rsidRPr="009107E5">
        <w:rPr>
          <w:rFonts w:ascii="Arial" w:hAnsi="Arial" w:cs="Arial"/>
          <w:sz w:val="20"/>
          <w:szCs w:val="20"/>
          <w:lang w:val="en-US"/>
        </w:rPr>
        <w:t xml:space="preserve"> anti-PEG antibodies during the first 4 exposure days was observed. In</w:t>
      </w:r>
      <w:r w:rsidR="008B029D" w:rsidRPr="009107E5">
        <w:rPr>
          <w:rFonts w:ascii="Arial" w:hAnsi="Arial" w:cs="Arial"/>
          <w:sz w:val="20"/>
          <w:szCs w:val="20"/>
          <w:lang w:val="en-US"/>
        </w:rPr>
        <w:t xml:space="preserve"> </w:t>
      </w:r>
      <w:r w:rsidRPr="009107E5">
        <w:rPr>
          <w:rFonts w:ascii="Arial" w:hAnsi="Arial" w:cs="Arial"/>
          <w:sz w:val="20"/>
          <w:szCs w:val="20"/>
          <w:lang w:val="en-US"/>
        </w:rPr>
        <w:t>3 of 44 patients (7%), loss of drug effect was combined with hypersensitivity reactions (see</w:t>
      </w:r>
      <w:r w:rsidR="008B029D" w:rsidRPr="009107E5">
        <w:rPr>
          <w:rFonts w:ascii="Arial" w:hAnsi="Arial" w:cs="Arial"/>
          <w:sz w:val="20"/>
          <w:szCs w:val="20"/>
          <w:lang w:val="en-US"/>
        </w:rPr>
        <w:t xml:space="preserve"> </w:t>
      </w:r>
      <w:r w:rsidRPr="009107E5">
        <w:rPr>
          <w:rFonts w:ascii="Arial" w:hAnsi="Arial" w:cs="Arial"/>
          <w:sz w:val="20"/>
          <w:szCs w:val="20"/>
          <w:lang w:val="en-US"/>
        </w:rPr>
        <w:t>section 4.4</w:t>
      </w:r>
      <w:r w:rsidR="008B029D" w:rsidRPr="009107E5">
        <w:rPr>
          <w:rFonts w:ascii="Arial" w:hAnsi="Arial" w:cs="Arial"/>
          <w:sz w:val="20"/>
          <w:szCs w:val="20"/>
          <w:lang w:val="en-US"/>
        </w:rPr>
        <w:t xml:space="preserve"> Special warnings and precautions for use</w:t>
      </w:r>
      <w:r w:rsidRPr="009107E5">
        <w:rPr>
          <w:rFonts w:ascii="Arial" w:hAnsi="Arial" w:cs="Arial"/>
          <w:sz w:val="20"/>
          <w:szCs w:val="20"/>
          <w:lang w:val="en-US"/>
        </w:rPr>
        <w:t>). No triggers or predictors of the immune response to PEG could be identified.</w:t>
      </w:r>
    </w:p>
    <w:p w14:paraId="1364B594" w14:textId="77777777" w:rsidR="008E6063" w:rsidRPr="009107E5" w:rsidRDefault="008E6063" w:rsidP="00AD0441">
      <w:pPr>
        <w:spacing w:line="240" w:lineRule="auto"/>
        <w:rPr>
          <w:rFonts w:ascii="Arial" w:hAnsi="Arial" w:cs="Arial"/>
          <w:b/>
          <w:bCs/>
          <w:sz w:val="20"/>
          <w:szCs w:val="20"/>
        </w:rPr>
      </w:pPr>
    </w:p>
    <w:p w14:paraId="7220DEA9" w14:textId="77777777" w:rsidR="002B424E" w:rsidRPr="009107E5" w:rsidRDefault="002B424E" w:rsidP="00AD0441">
      <w:pPr>
        <w:pStyle w:val="Heading3"/>
        <w:rPr>
          <w:rFonts w:ascii="Arial" w:hAnsi="Arial" w:cs="Arial"/>
          <w:sz w:val="20"/>
          <w:szCs w:val="20"/>
        </w:rPr>
      </w:pPr>
      <w:r w:rsidRPr="009107E5">
        <w:rPr>
          <w:rFonts w:ascii="Arial" w:hAnsi="Arial" w:cs="Arial"/>
          <w:sz w:val="20"/>
          <w:szCs w:val="20"/>
        </w:rPr>
        <w:t>Reporting suspected adverse effects</w:t>
      </w:r>
    </w:p>
    <w:p w14:paraId="720ADB79" w14:textId="77777777" w:rsidR="00497C85" w:rsidRPr="009107E5" w:rsidRDefault="00497C85" w:rsidP="00AD0441">
      <w:pPr>
        <w:rPr>
          <w:rFonts w:ascii="Arial" w:hAnsi="Arial" w:cs="Arial"/>
          <w:sz w:val="20"/>
          <w:szCs w:val="20"/>
        </w:rPr>
      </w:pPr>
      <w:r w:rsidRPr="009107E5">
        <w:rPr>
          <w:rFonts w:ascii="Arial" w:hAnsi="Arial" w:cs="Arial"/>
          <w:sz w:val="20"/>
          <w:szCs w:val="20"/>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21" w:history="1">
        <w:r w:rsidRPr="009018D8">
          <w:rPr>
            <w:rStyle w:val="Hyperlink"/>
            <w:rFonts w:ascii="Arial" w:hAnsi="Arial" w:cs="Arial"/>
            <w:sz w:val="20"/>
            <w:szCs w:val="20"/>
          </w:rPr>
          <w:t>www.tga.gov.au/reporting-problems</w:t>
        </w:r>
      </w:hyperlink>
      <w:r w:rsidRPr="009107E5">
        <w:rPr>
          <w:rFonts w:ascii="Arial" w:hAnsi="Arial" w:cs="Arial"/>
          <w:sz w:val="20"/>
          <w:szCs w:val="20"/>
        </w:rPr>
        <w:t>.</w:t>
      </w:r>
    </w:p>
    <w:p w14:paraId="2592A852" w14:textId="77777777" w:rsidR="0070755A" w:rsidRPr="009107E5" w:rsidRDefault="0070755A" w:rsidP="00AD0441">
      <w:pPr>
        <w:rPr>
          <w:rFonts w:ascii="Arial" w:hAnsi="Arial" w:cs="Arial"/>
          <w:sz w:val="20"/>
          <w:szCs w:val="20"/>
        </w:rPr>
      </w:pPr>
    </w:p>
    <w:p w14:paraId="065012E8" w14:textId="77777777" w:rsidR="001A3992" w:rsidRPr="009107E5" w:rsidRDefault="001A3992" w:rsidP="00AD0441">
      <w:pPr>
        <w:pStyle w:val="Heading2"/>
        <w:keepNext/>
        <w:keepLines/>
        <w:spacing w:before="0" w:after="120"/>
        <w:rPr>
          <w:rFonts w:ascii="Arial" w:hAnsi="Arial" w:cs="Arial"/>
          <w:sz w:val="20"/>
          <w:szCs w:val="20"/>
        </w:rPr>
      </w:pPr>
      <w:r w:rsidRPr="009107E5">
        <w:rPr>
          <w:rFonts w:ascii="Arial" w:hAnsi="Arial" w:cs="Arial"/>
          <w:sz w:val="20"/>
          <w:szCs w:val="20"/>
        </w:rPr>
        <w:t>Overdose</w:t>
      </w:r>
    </w:p>
    <w:p w14:paraId="23FBD59E" w14:textId="77777777" w:rsidR="00284424" w:rsidRPr="009107E5" w:rsidRDefault="00284424" w:rsidP="00AD0441">
      <w:pPr>
        <w:spacing w:line="240" w:lineRule="auto"/>
        <w:rPr>
          <w:rFonts w:ascii="Arial" w:hAnsi="Arial" w:cs="Arial"/>
          <w:sz w:val="20"/>
          <w:szCs w:val="20"/>
        </w:rPr>
      </w:pPr>
      <w:r w:rsidRPr="009107E5">
        <w:rPr>
          <w:rFonts w:ascii="Arial" w:hAnsi="Arial" w:cs="Arial"/>
          <w:sz w:val="20"/>
          <w:szCs w:val="20"/>
          <w:lang w:val="en-US"/>
        </w:rPr>
        <w:t>There was one case of overdose in the clinical trials. No adverse events were reported.</w:t>
      </w:r>
    </w:p>
    <w:p w14:paraId="06572B5E" w14:textId="77777777" w:rsidR="009A26E6" w:rsidRPr="009107E5" w:rsidRDefault="009A26E6" w:rsidP="00AD0441">
      <w:pPr>
        <w:rPr>
          <w:rFonts w:ascii="Arial" w:hAnsi="Arial" w:cs="Arial"/>
          <w:sz w:val="20"/>
          <w:szCs w:val="20"/>
        </w:rPr>
      </w:pPr>
    </w:p>
    <w:p w14:paraId="59277AD5" w14:textId="77777777" w:rsidR="00497C85" w:rsidRPr="009107E5" w:rsidRDefault="00497C85" w:rsidP="00AD0441">
      <w:pPr>
        <w:rPr>
          <w:rFonts w:ascii="Arial" w:hAnsi="Arial" w:cs="Arial"/>
          <w:sz w:val="20"/>
          <w:szCs w:val="20"/>
        </w:rPr>
      </w:pPr>
      <w:r w:rsidRPr="009107E5">
        <w:rPr>
          <w:rFonts w:ascii="Arial" w:hAnsi="Arial" w:cs="Arial"/>
          <w:sz w:val="20"/>
          <w:szCs w:val="20"/>
        </w:rPr>
        <w:t>For information on the management of overdose, contact the Poisons Information Centre on 13 11 26 (Australia).</w:t>
      </w:r>
    </w:p>
    <w:p w14:paraId="5AA0145F" w14:textId="77777777" w:rsidR="0070755A" w:rsidRPr="009107E5" w:rsidRDefault="0070755A" w:rsidP="00AD0441">
      <w:pPr>
        <w:rPr>
          <w:rFonts w:ascii="Arial" w:hAnsi="Arial" w:cs="Arial"/>
          <w:sz w:val="20"/>
          <w:szCs w:val="20"/>
        </w:rPr>
      </w:pPr>
    </w:p>
    <w:p w14:paraId="4A3A55EE" w14:textId="77777777" w:rsidR="001A3992" w:rsidRPr="009107E5" w:rsidRDefault="001A3992" w:rsidP="00AD0441">
      <w:pPr>
        <w:pStyle w:val="Heading1"/>
        <w:spacing w:before="0" w:after="120"/>
        <w:rPr>
          <w:rFonts w:ascii="Arial" w:hAnsi="Arial" w:cs="Arial"/>
          <w:sz w:val="20"/>
          <w:szCs w:val="20"/>
        </w:rPr>
      </w:pPr>
      <w:r w:rsidRPr="009107E5">
        <w:rPr>
          <w:rFonts w:ascii="Arial" w:hAnsi="Arial" w:cs="Arial"/>
          <w:sz w:val="20"/>
          <w:szCs w:val="20"/>
        </w:rPr>
        <w:t>Pharmacological properties</w:t>
      </w:r>
    </w:p>
    <w:p w14:paraId="3AFF67FF" w14:textId="77777777" w:rsidR="001A3992" w:rsidRPr="009107E5" w:rsidRDefault="001A3992" w:rsidP="00AD0441">
      <w:pPr>
        <w:pStyle w:val="Heading2"/>
        <w:spacing w:before="0" w:after="120"/>
        <w:rPr>
          <w:rFonts w:ascii="Arial" w:hAnsi="Arial" w:cs="Arial"/>
          <w:sz w:val="20"/>
          <w:szCs w:val="20"/>
        </w:rPr>
      </w:pPr>
      <w:bookmarkStart w:id="5" w:name="_Ref34660804"/>
      <w:r w:rsidRPr="009107E5">
        <w:rPr>
          <w:rFonts w:ascii="Arial" w:hAnsi="Arial" w:cs="Arial"/>
          <w:sz w:val="20"/>
          <w:szCs w:val="20"/>
        </w:rPr>
        <w:t>Pharmacodynamic properties</w:t>
      </w:r>
      <w:bookmarkEnd w:id="5"/>
      <w:r w:rsidRPr="009107E5">
        <w:rPr>
          <w:rFonts w:ascii="Arial" w:hAnsi="Arial" w:cs="Arial"/>
          <w:sz w:val="20"/>
          <w:szCs w:val="20"/>
        </w:rPr>
        <w:t xml:space="preserve"> </w:t>
      </w:r>
    </w:p>
    <w:p w14:paraId="72626EF8"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Pharmacotherapeutic group: </w:t>
      </w:r>
      <w:proofErr w:type="spellStart"/>
      <w:r w:rsidRPr="009107E5">
        <w:rPr>
          <w:rFonts w:ascii="Arial" w:hAnsi="Arial" w:cs="Arial"/>
          <w:sz w:val="20"/>
          <w:szCs w:val="20"/>
          <w:lang w:val="en-US"/>
        </w:rPr>
        <w:t>antihaemorrhagics</w:t>
      </w:r>
      <w:proofErr w:type="spellEnd"/>
      <w:r w:rsidRPr="009107E5">
        <w:rPr>
          <w:rFonts w:ascii="Arial" w:hAnsi="Arial" w:cs="Arial"/>
          <w:sz w:val="20"/>
          <w:szCs w:val="20"/>
          <w:lang w:val="en-US"/>
        </w:rPr>
        <w:t>: blood coagulation factor VIII, ATC code: B02BD02.</w:t>
      </w:r>
    </w:p>
    <w:p w14:paraId="454814FB"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p>
    <w:p w14:paraId="7959C8CE" w14:textId="77777777" w:rsidR="00284424" w:rsidRPr="009107E5" w:rsidRDefault="00284424" w:rsidP="00AD0441">
      <w:pPr>
        <w:autoSpaceDE w:val="0"/>
        <w:autoSpaceDN w:val="0"/>
        <w:adjustRightInd w:val="0"/>
        <w:spacing w:line="240" w:lineRule="auto"/>
        <w:rPr>
          <w:rFonts w:ascii="Arial" w:hAnsi="Arial" w:cs="Arial"/>
          <w:sz w:val="20"/>
          <w:szCs w:val="20"/>
          <w:u w:val="single"/>
          <w:lang w:val="en-US"/>
        </w:rPr>
      </w:pPr>
      <w:r w:rsidRPr="009107E5">
        <w:rPr>
          <w:rFonts w:ascii="Arial" w:hAnsi="Arial" w:cs="Arial"/>
          <w:sz w:val="20"/>
          <w:szCs w:val="20"/>
          <w:u w:val="single"/>
          <w:lang w:val="en-US"/>
        </w:rPr>
        <w:t>Mechanism of action</w:t>
      </w:r>
    </w:p>
    <w:p w14:paraId="60BD0845" w14:textId="50051542"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The factor VIII/von Willebrand factor complex consists of two molecules (factor VIII and von</w:t>
      </w:r>
      <w:r w:rsidR="008B029D" w:rsidRPr="009107E5">
        <w:rPr>
          <w:rFonts w:ascii="Arial" w:hAnsi="Arial" w:cs="Arial"/>
          <w:sz w:val="20"/>
          <w:szCs w:val="20"/>
          <w:lang w:val="en-US"/>
        </w:rPr>
        <w:t xml:space="preserve"> </w:t>
      </w:r>
      <w:r w:rsidRPr="009107E5">
        <w:rPr>
          <w:rFonts w:ascii="Arial" w:hAnsi="Arial" w:cs="Arial"/>
          <w:sz w:val="20"/>
          <w:szCs w:val="20"/>
          <w:lang w:val="en-US"/>
        </w:rPr>
        <w:t>Willebrand factor) with different physiological functions. When infused into a patient with</w:t>
      </w:r>
      <w:r w:rsidR="008B029D" w:rsidRPr="009107E5">
        <w:rPr>
          <w:rFonts w:ascii="Arial" w:hAnsi="Arial" w:cs="Arial"/>
          <w:sz w:val="20"/>
          <w:szCs w:val="20"/>
          <w:lang w:val="en-US"/>
        </w:rPr>
        <w:t xml:space="preserve"> </w:t>
      </w:r>
      <w:proofErr w:type="spellStart"/>
      <w:r w:rsidRPr="009107E5">
        <w:rPr>
          <w:rFonts w:ascii="Arial" w:hAnsi="Arial" w:cs="Arial"/>
          <w:sz w:val="20"/>
          <w:szCs w:val="20"/>
          <w:lang w:val="en-US"/>
        </w:rPr>
        <w:t>haemophilia</w:t>
      </w:r>
      <w:proofErr w:type="spellEnd"/>
      <w:r w:rsidRPr="009107E5">
        <w:rPr>
          <w:rFonts w:ascii="Arial" w:hAnsi="Arial" w:cs="Arial"/>
          <w:sz w:val="20"/>
          <w:szCs w:val="20"/>
          <w:lang w:val="en-US"/>
        </w:rPr>
        <w:t>, factor VIII binds to patient’s von Willebrand factor. Activated factor VIII acts as a</w:t>
      </w:r>
      <w:r w:rsidR="008B029D" w:rsidRPr="009107E5">
        <w:rPr>
          <w:rFonts w:ascii="Arial" w:hAnsi="Arial" w:cs="Arial"/>
          <w:sz w:val="20"/>
          <w:szCs w:val="20"/>
          <w:lang w:val="en-US"/>
        </w:rPr>
        <w:t xml:space="preserve"> </w:t>
      </w:r>
      <w:r w:rsidRPr="009107E5">
        <w:rPr>
          <w:rFonts w:ascii="Arial" w:hAnsi="Arial" w:cs="Arial"/>
          <w:sz w:val="20"/>
          <w:szCs w:val="20"/>
          <w:lang w:val="en-US"/>
        </w:rPr>
        <w:t>cofactor for activated factor IX, accelerating the conversion of factor X to activated factor X.</w:t>
      </w:r>
    </w:p>
    <w:p w14:paraId="2D4B1E4F" w14:textId="16BF870C"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Activated factor X converts prothrombin into thrombin. Thrombin then converts fibrinogen into fibrin</w:t>
      </w:r>
      <w:r w:rsidR="008B029D" w:rsidRPr="009107E5">
        <w:rPr>
          <w:rFonts w:ascii="Arial" w:hAnsi="Arial" w:cs="Arial"/>
          <w:sz w:val="20"/>
          <w:szCs w:val="20"/>
          <w:lang w:val="en-US"/>
        </w:rPr>
        <w:t xml:space="preserve"> </w:t>
      </w:r>
      <w:r w:rsidRPr="009107E5">
        <w:rPr>
          <w:rFonts w:ascii="Arial" w:hAnsi="Arial" w:cs="Arial"/>
          <w:sz w:val="20"/>
          <w:szCs w:val="20"/>
          <w:lang w:val="en-US"/>
        </w:rPr>
        <w:t xml:space="preserve">and a clot can be formed. </w:t>
      </w:r>
      <w:proofErr w:type="spellStart"/>
      <w:r w:rsidRPr="009107E5">
        <w:rPr>
          <w:rFonts w:ascii="Arial" w:hAnsi="Arial" w:cs="Arial"/>
          <w:sz w:val="20"/>
          <w:szCs w:val="20"/>
          <w:lang w:val="en-US"/>
        </w:rPr>
        <w:t>Haemophilia</w:t>
      </w:r>
      <w:proofErr w:type="spellEnd"/>
      <w:r w:rsidRPr="009107E5">
        <w:rPr>
          <w:rFonts w:ascii="Arial" w:hAnsi="Arial" w:cs="Arial"/>
          <w:sz w:val="20"/>
          <w:szCs w:val="20"/>
          <w:lang w:val="en-US"/>
        </w:rPr>
        <w:t xml:space="preserve"> A is a</w:t>
      </w:r>
      <w:r w:rsidR="00F91F43" w:rsidRPr="009107E5">
        <w:rPr>
          <w:rFonts w:ascii="Arial" w:hAnsi="Arial" w:cs="Arial"/>
          <w:sz w:val="20"/>
          <w:szCs w:val="20"/>
          <w:lang w:val="en-US"/>
        </w:rPr>
        <w:t xml:space="preserve"> X-chromosomal </w:t>
      </w:r>
      <w:r w:rsidRPr="009107E5">
        <w:rPr>
          <w:rFonts w:ascii="Arial" w:hAnsi="Arial" w:cs="Arial"/>
          <w:sz w:val="20"/>
          <w:szCs w:val="20"/>
          <w:lang w:val="en-US"/>
        </w:rPr>
        <w:t>hereditary disorder of blood coagulation due</w:t>
      </w:r>
      <w:r w:rsidR="008B029D" w:rsidRPr="009107E5">
        <w:rPr>
          <w:rFonts w:ascii="Arial" w:hAnsi="Arial" w:cs="Arial"/>
          <w:sz w:val="20"/>
          <w:szCs w:val="20"/>
          <w:lang w:val="en-US"/>
        </w:rPr>
        <w:t xml:space="preserve"> </w:t>
      </w:r>
      <w:r w:rsidRPr="009107E5">
        <w:rPr>
          <w:rFonts w:ascii="Arial" w:hAnsi="Arial" w:cs="Arial"/>
          <w:sz w:val="20"/>
          <w:szCs w:val="20"/>
          <w:lang w:val="en-US"/>
        </w:rPr>
        <w:t xml:space="preserve">to decreased levels or absence of factor VIII:C that results in bleeding into joints, </w:t>
      </w:r>
      <w:proofErr w:type="gramStart"/>
      <w:r w:rsidRPr="009107E5">
        <w:rPr>
          <w:rFonts w:ascii="Arial" w:hAnsi="Arial" w:cs="Arial"/>
          <w:sz w:val="20"/>
          <w:szCs w:val="20"/>
          <w:lang w:val="en-US"/>
        </w:rPr>
        <w:t>muscles</w:t>
      </w:r>
      <w:proofErr w:type="gramEnd"/>
      <w:r w:rsidRPr="009107E5">
        <w:rPr>
          <w:rFonts w:ascii="Arial" w:hAnsi="Arial" w:cs="Arial"/>
          <w:sz w:val="20"/>
          <w:szCs w:val="20"/>
          <w:lang w:val="en-US"/>
        </w:rPr>
        <w:t xml:space="preserve"> or internal</w:t>
      </w:r>
      <w:r w:rsidR="008B029D" w:rsidRPr="009107E5">
        <w:rPr>
          <w:rFonts w:ascii="Arial" w:hAnsi="Arial" w:cs="Arial"/>
          <w:sz w:val="20"/>
          <w:szCs w:val="20"/>
          <w:lang w:val="en-US"/>
        </w:rPr>
        <w:t xml:space="preserve"> </w:t>
      </w:r>
      <w:r w:rsidRPr="009107E5">
        <w:rPr>
          <w:rFonts w:ascii="Arial" w:hAnsi="Arial" w:cs="Arial"/>
          <w:sz w:val="20"/>
          <w:szCs w:val="20"/>
          <w:lang w:val="en-US"/>
        </w:rPr>
        <w:t>organs, either spontaneously or as a result of accidental or surgical trauma. By replacement therapy</w:t>
      </w:r>
      <w:r w:rsidR="008B029D" w:rsidRPr="009107E5">
        <w:rPr>
          <w:rFonts w:ascii="Arial" w:hAnsi="Arial" w:cs="Arial"/>
          <w:sz w:val="20"/>
          <w:szCs w:val="20"/>
          <w:lang w:val="en-US"/>
        </w:rPr>
        <w:t xml:space="preserve"> </w:t>
      </w:r>
      <w:r w:rsidRPr="009107E5">
        <w:rPr>
          <w:rFonts w:ascii="Arial" w:hAnsi="Arial" w:cs="Arial"/>
          <w:sz w:val="20"/>
          <w:szCs w:val="20"/>
          <w:lang w:val="en-US"/>
        </w:rPr>
        <w:t>the plasma levels of factor VIII are increased, thereby enabling a temporary correction of the factor deficiency and correction of the bleeding tendencies.</w:t>
      </w:r>
      <w:r w:rsidRPr="009107E5">
        <w:rPr>
          <w:rFonts w:ascii="Arial" w:hAnsi="Arial" w:cs="Arial"/>
          <w:sz w:val="20"/>
          <w:szCs w:val="20"/>
        </w:rPr>
        <w:t xml:space="preserve"> </w:t>
      </w:r>
    </w:p>
    <w:p w14:paraId="144E0EC9" w14:textId="77777777" w:rsidR="00623AC0" w:rsidRPr="009107E5" w:rsidRDefault="00623AC0" w:rsidP="00AD0441">
      <w:pPr>
        <w:autoSpaceDE w:val="0"/>
        <w:autoSpaceDN w:val="0"/>
        <w:adjustRightInd w:val="0"/>
        <w:spacing w:line="240" w:lineRule="auto"/>
        <w:rPr>
          <w:rFonts w:ascii="Arial" w:hAnsi="Arial" w:cs="Arial"/>
          <w:sz w:val="20"/>
          <w:szCs w:val="20"/>
          <w:lang w:val="en-US"/>
        </w:rPr>
      </w:pPr>
    </w:p>
    <w:p w14:paraId="14E334F7" w14:textId="4CAC97F2"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Damoctocog alfa pegol is a PEGylated</w:t>
      </w:r>
      <w:r w:rsidR="00F91F43" w:rsidRPr="009107E5">
        <w:rPr>
          <w:rFonts w:ascii="Arial" w:hAnsi="Arial" w:cs="Arial"/>
          <w:sz w:val="20"/>
          <w:szCs w:val="20"/>
          <w:lang w:val="en-US"/>
        </w:rPr>
        <w:t xml:space="preserve"> B-domain deleted recombinant human coagulation factor VIII (PEG-BDD-</w:t>
      </w:r>
      <w:proofErr w:type="spellStart"/>
      <w:r w:rsidR="00F91F43" w:rsidRPr="009107E5">
        <w:rPr>
          <w:rFonts w:ascii="Arial" w:hAnsi="Arial" w:cs="Arial"/>
          <w:sz w:val="20"/>
          <w:szCs w:val="20"/>
          <w:lang w:val="en-US"/>
        </w:rPr>
        <w:t>rFVIII</w:t>
      </w:r>
      <w:proofErr w:type="spellEnd"/>
      <w:r w:rsidR="00F91F43" w:rsidRPr="009107E5">
        <w:rPr>
          <w:rFonts w:ascii="Arial" w:hAnsi="Arial" w:cs="Arial"/>
          <w:sz w:val="20"/>
          <w:szCs w:val="20"/>
          <w:lang w:val="en-US"/>
        </w:rPr>
        <w:t>)</w:t>
      </w:r>
      <w:r w:rsidRPr="009107E5">
        <w:rPr>
          <w:rFonts w:ascii="Arial" w:hAnsi="Arial" w:cs="Arial"/>
          <w:sz w:val="20"/>
          <w:szCs w:val="20"/>
          <w:lang w:val="en-US"/>
        </w:rPr>
        <w:t>. Site-specific PEGylation reduces clearance of</w:t>
      </w:r>
      <w:r w:rsidR="008B029D" w:rsidRPr="009107E5">
        <w:rPr>
          <w:rFonts w:ascii="Arial" w:hAnsi="Arial" w:cs="Arial"/>
          <w:sz w:val="20"/>
          <w:szCs w:val="20"/>
          <w:lang w:val="en-US"/>
        </w:rPr>
        <w:t xml:space="preserve"> </w:t>
      </w:r>
      <w:r w:rsidRPr="009107E5">
        <w:rPr>
          <w:rFonts w:ascii="Arial" w:hAnsi="Arial" w:cs="Arial"/>
          <w:sz w:val="20"/>
          <w:szCs w:val="20"/>
          <w:lang w:val="en-US"/>
        </w:rPr>
        <w:t>factor VIII resulting in an extended half-life while maintaining the normal functions of the B-domain</w:t>
      </w:r>
      <w:r w:rsidR="008B029D" w:rsidRPr="009107E5">
        <w:rPr>
          <w:rFonts w:ascii="Arial" w:hAnsi="Arial" w:cs="Arial"/>
          <w:sz w:val="20"/>
          <w:szCs w:val="20"/>
          <w:lang w:val="en-US"/>
        </w:rPr>
        <w:t xml:space="preserve"> </w:t>
      </w:r>
      <w:r w:rsidRPr="009107E5">
        <w:rPr>
          <w:rFonts w:ascii="Arial" w:hAnsi="Arial" w:cs="Arial"/>
          <w:sz w:val="20"/>
          <w:szCs w:val="20"/>
          <w:lang w:val="en-US"/>
        </w:rPr>
        <w:t xml:space="preserve">deleted </w:t>
      </w:r>
      <w:proofErr w:type="spellStart"/>
      <w:r w:rsidRPr="009107E5">
        <w:rPr>
          <w:rFonts w:ascii="Arial" w:hAnsi="Arial" w:cs="Arial"/>
          <w:sz w:val="20"/>
          <w:szCs w:val="20"/>
          <w:lang w:val="en-US"/>
        </w:rPr>
        <w:t>rFVIII</w:t>
      </w:r>
      <w:proofErr w:type="spellEnd"/>
      <w:r w:rsidRPr="009107E5">
        <w:rPr>
          <w:rFonts w:ascii="Arial" w:hAnsi="Arial" w:cs="Arial"/>
          <w:sz w:val="20"/>
          <w:szCs w:val="20"/>
          <w:lang w:val="en-US"/>
        </w:rPr>
        <w:t xml:space="preserve"> molecule (see section 5.2</w:t>
      </w:r>
      <w:r w:rsidR="008B029D" w:rsidRPr="009107E5">
        <w:rPr>
          <w:rFonts w:ascii="Arial" w:hAnsi="Arial" w:cs="Arial"/>
          <w:sz w:val="20"/>
          <w:szCs w:val="20"/>
          <w:lang w:val="en-US"/>
        </w:rPr>
        <w:t xml:space="preserve"> Pharmacokinetic properties</w:t>
      </w:r>
      <w:r w:rsidRPr="009107E5">
        <w:rPr>
          <w:rFonts w:ascii="Arial" w:hAnsi="Arial" w:cs="Arial"/>
          <w:sz w:val="20"/>
          <w:szCs w:val="20"/>
          <w:lang w:val="en-US"/>
        </w:rPr>
        <w:t>). Damoctocog alfa pegol does not</w:t>
      </w:r>
      <w:r w:rsidR="008B029D" w:rsidRPr="009107E5">
        <w:rPr>
          <w:rFonts w:ascii="Arial" w:hAnsi="Arial" w:cs="Arial"/>
          <w:sz w:val="20"/>
          <w:szCs w:val="20"/>
          <w:lang w:val="en-US"/>
        </w:rPr>
        <w:t xml:space="preserve"> </w:t>
      </w:r>
      <w:r w:rsidRPr="009107E5">
        <w:rPr>
          <w:rFonts w:ascii="Arial" w:hAnsi="Arial" w:cs="Arial"/>
          <w:sz w:val="20"/>
          <w:szCs w:val="20"/>
          <w:lang w:val="en-US"/>
        </w:rPr>
        <w:t>contain von Willebrand</w:t>
      </w:r>
      <w:r w:rsidR="008B029D" w:rsidRPr="009107E5">
        <w:rPr>
          <w:rFonts w:ascii="Arial" w:hAnsi="Arial" w:cs="Arial"/>
          <w:sz w:val="20"/>
          <w:szCs w:val="20"/>
          <w:lang w:val="en-US"/>
        </w:rPr>
        <w:t xml:space="preserve"> </w:t>
      </w:r>
      <w:r w:rsidRPr="009107E5">
        <w:rPr>
          <w:rFonts w:ascii="Arial" w:hAnsi="Arial" w:cs="Arial"/>
          <w:sz w:val="20"/>
          <w:szCs w:val="20"/>
          <w:lang w:val="en-US"/>
        </w:rPr>
        <w:t>factor.</w:t>
      </w:r>
    </w:p>
    <w:p w14:paraId="71EE9018" w14:textId="239AE059" w:rsidR="00284424" w:rsidRPr="009107E5" w:rsidRDefault="00284424" w:rsidP="00AD0441">
      <w:pPr>
        <w:autoSpaceDE w:val="0"/>
        <w:autoSpaceDN w:val="0"/>
        <w:adjustRightInd w:val="0"/>
        <w:spacing w:line="240" w:lineRule="auto"/>
        <w:rPr>
          <w:rFonts w:ascii="Arial" w:hAnsi="Arial" w:cs="Arial"/>
          <w:sz w:val="20"/>
          <w:szCs w:val="20"/>
          <w:lang w:val="en-US"/>
        </w:rPr>
      </w:pPr>
    </w:p>
    <w:p w14:paraId="079D8396" w14:textId="45726C60" w:rsidR="007A1E1A" w:rsidRPr="009107E5" w:rsidRDefault="007A1E1A" w:rsidP="00AD0441">
      <w:pPr>
        <w:autoSpaceDE w:val="0"/>
        <w:autoSpaceDN w:val="0"/>
        <w:adjustRightInd w:val="0"/>
        <w:spacing w:line="240" w:lineRule="auto"/>
        <w:rPr>
          <w:rFonts w:ascii="Arial" w:hAnsi="Arial" w:cs="Arial"/>
          <w:b/>
          <w:bCs/>
          <w:sz w:val="20"/>
          <w:szCs w:val="20"/>
          <w:lang w:val="en-US"/>
        </w:rPr>
      </w:pPr>
      <w:r w:rsidRPr="009107E5">
        <w:rPr>
          <w:rFonts w:ascii="Arial" w:hAnsi="Arial" w:cs="Arial"/>
          <w:b/>
          <w:bCs/>
          <w:sz w:val="20"/>
          <w:szCs w:val="20"/>
          <w:lang w:val="en-US"/>
        </w:rPr>
        <w:t>Clinical trials</w:t>
      </w:r>
    </w:p>
    <w:p w14:paraId="3299BDCA" w14:textId="77777777" w:rsidR="007A1E1A" w:rsidRPr="009107E5" w:rsidRDefault="007A1E1A" w:rsidP="00AD0441">
      <w:pPr>
        <w:autoSpaceDE w:val="0"/>
        <w:autoSpaceDN w:val="0"/>
        <w:adjustRightInd w:val="0"/>
        <w:spacing w:line="240" w:lineRule="auto"/>
        <w:rPr>
          <w:rFonts w:ascii="Arial" w:hAnsi="Arial" w:cs="Arial"/>
          <w:sz w:val="20"/>
          <w:szCs w:val="20"/>
          <w:lang w:val="en-US"/>
        </w:rPr>
      </w:pPr>
    </w:p>
    <w:p w14:paraId="681ADA15"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A total of 232 previously treated patients with severe </w:t>
      </w:r>
      <w:proofErr w:type="spellStart"/>
      <w:r w:rsidRPr="009107E5">
        <w:rPr>
          <w:rFonts w:ascii="Arial" w:hAnsi="Arial" w:cs="Arial"/>
          <w:sz w:val="20"/>
          <w:szCs w:val="20"/>
          <w:lang w:val="en-US"/>
        </w:rPr>
        <w:t>haemophilia</w:t>
      </w:r>
      <w:proofErr w:type="spellEnd"/>
      <w:r w:rsidRPr="009107E5">
        <w:rPr>
          <w:rFonts w:ascii="Arial" w:hAnsi="Arial" w:cs="Arial"/>
          <w:sz w:val="20"/>
          <w:szCs w:val="20"/>
          <w:lang w:val="en-US"/>
        </w:rPr>
        <w:t xml:space="preserve"> A have been exposed in the clinical</w:t>
      </w:r>
    </w:p>
    <w:p w14:paraId="0A8CA3B2" w14:textId="43EF11FD"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trial program which included one phase I study and two phase II/III studies. One-hundred and </w:t>
      </w:r>
      <w:proofErr w:type="gramStart"/>
      <w:r w:rsidRPr="009107E5">
        <w:rPr>
          <w:rFonts w:ascii="Arial" w:hAnsi="Arial" w:cs="Arial"/>
          <w:sz w:val="20"/>
          <w:szCs w:val="20"/>
          <w:lang w:val="en-US"/>
        </w:rPr>
        <w:t>fifty</w:t>
      </w:r>
      <w:r w:rsidR="008B029D" w:rsidRPr="009107E5">
        <w:rPr>
          <w:rFonts w:ascii="Arial" w:hAnsi="Arial" w:cs="Arial"/>
          <w:sz w:val="20"/>
          <w:szCs w:val="20"/>
          <w:lang w:val="en-US"/>
        </w:rPr>
        <w:t xml:space="preserve"> </w:t>
      </w:r>
      <w:r w:rsidRPr="009107E5">
        <w:rPr>
          <w:rFonts w:ascii="Arial" w:hAnsi="Arial" w:cs="Arial"/>
          <w:sz w:val="20"/>
          <w:szCs w:val="20"/>
          <w:lang w:val="en-US"/>
        </w:rPr>
        <w:t>nine</w:t>
      </w:r>
      <w:proofErr w:type="gramEnd"/>
      <w:r w:rsidRPr="009107E5">
        <w:rPr>
          <w:rFonts w:ascii="Arial" w:hAnsi="Arial" w:cs="Arial"/>
          <w:sz w:val="20"/>
          <w:szCs w:val="20"/>
          <w:lang w:val="en-US"/>
        </w:rPr>
        <w:t xml:space="preserve"> (159) subjects were </w:t>
      </w:r>
      <w:r w:rsidRPr="009107E5">
        <w:rPr>
          <w:rFonts w:ascii="Arial" w:eastAsia="TimesNewRomanPSMT" w:hAnsi="Arial" w:cs="Arial"/>
          <w:sz w:val="20"/>
          <w:szCs w:val="20"/>
          <w:lang w:val="en-US"/>
        </w:rPr>
        <w:t xml:space="preserve">≥ </w:t>
      </w:r>
      <w:r w:rsidRPr="009107E5">
        <w:rPr>
          <w:rFonts w:ascii="Arial" w:hAnsi="Arial" w:cs="Arial"/>
          <w:sz w:val="20"/>
          <w:szCs w:val="20"/>
          <w:lang w:val="en-US"/>
        </w:rPr>
        <w:t>12 years of age,</w:t>
      </w:r>
    </w:p>
    <w:p w14:paraId="7680999A" w14:textId="50416828"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u w:val="single"/>
          <w:lang w:val="en-US"/>
        </w:rPr>
        <w:lastRenderedPageBreak/>
        <w:t>Phase II/III (PROTECT VIII):</w:t>
      </w:r>
      <w:r w:rsidRPr="009107E5">
        <w:rPr>
          <w:rFonts w:ascii="Arial" w:hAnsi="Arial" w:cs="Arial"/>
          <w:sz w:val="20"/>
          <w:szCs w:val="20"/>
          <w:lang w:val="en-US"/>
        </w:rPr>
        <w:t xml:space="preserve"> The pharmacokinetics, </w:t>
      </w:r>
      <w:proofErr w:type="gramStart"/>
      <w:r w:rsidRPr="009107E5">
        <w:rPr>
          <w:rFonts w:ascii="Arial" w:hAnsi="Arial" w:cs="Arial"/>
          <w:sz w:val="20"/>
          <w:szCs w:val="20"/>
          <w:lang w:val="en-US"/>
        </w:rPr>
        <w:t>safety</w:t>
      </w:r>
      <w:proofErr w:type="gramEnd"/>
      <w:r w:rsidRPr="009107E5">
        <w:rPr>
          <w:rFonts w:ascii="Arial" w:hAnsi="Arial" w:cs="Arial"/>
          <w:sz w:val="20"/>
          <w:szCs w:val="20"/>
          <w:lang w:val="en-US"/>
        </w:rPr>
        <w:t xml:space="preserve"> and efficacy of Jivi for on demand</w:t>
      </w:r>
      <w:r w:rsidR="008B029D" w:rsidRPr="009107E5">
        <w:rPr>
          <w:rFonts w:ascii="Arial" w:hAnsi="Arial" w:cs="Arial"/>
          <w:sz w:val="20"/>
          <w:szCs w:val="20"/>
          <w:lang w:val="en-US"/>
        </w:rPr>
        <w:t xml:space="preserve"> </w:t>
      </w:r>
      <w:r w:rsidRPr="009107E5">
        <w:rPr>
          <w:rFonts w:ascii="Arial" w:hAnsi="Arial" w:cs="Arial"/>
          <w:sz w:val="20"/>
          <w:szCs w:val="20"/>
          <w:lang w:val="en-US"/>
        </w:rPr>
        <w:t>treatment, prophylaxis with three regimens (two times per week 30-40 IU/kg, every 5-days</w:t>
      </w:r>
      <w:r w:rsidR="008B029D" w:rsidRPr="009107E5">
        <w:rPr>
          <w:rFonts w:ascii="Arial" w:hAnsi="Arial" w:cs="Arial"/>
          <w:sz w:val="20"/>
          <w:szCs w:val="20"/>
          <w:lang w:val="en-US"/>
        </w:rPr>
        <w:t xml:space="preserve"> </w:t>
      </w:r>
      <w:r w:rsidRPr="009107E5">
        <w:rPr>
          <w:rFonts w:ascii="Arial" w:hAnsi="Arial" w:cs="Arial"/>
          <w:sz w:val="20"/>
          <w:szCs w:val="20"/>
          <w:lang w:val="en-US"/>
        </w:rPr>
        <w:t xml:space="preserve">45-60 IU/kg and every 7-days 60 IU/kg) and </w:t>
      </w:r>
      <w:proofErr w:type="spellStart"/>
      <w:r w:rsidRPr="009107E5">
        <w:rPr>
          <w:rFonts w:ascii="Arial" w:hAnsi="Arial" w:cs="Arial"/>
          <w:sz w:val="20"/>
          <w:szCs w:val="20"/>
          <w:lang w:val="en-US"/>
        </w:rPr>
        <w:t>haemostasis</w:t>
      </w:r>
      <w:proofErr w:type="spellEnd"/>
      <w:r w:rsidRPr="009107E5">
        <w:rPr>
          <w:rFonts w:ascii="Arial" w:hAnsi="Arial" w:cs="Arial"/>
          <w:sz w:val="20"/>
          <w:szCs w:val="20"/>
          <w:lang w:val="en-US"/>
        </w:rPr>
        <w:t xml:space="preserve"> during major surgeries were</w:t>
      </w:r>
      <w:r w:rsidR="008B029D" w:rsidRPr="009107E5">
        <w:rPr>
          <w:rFonts w:ascii="Arial" w:hAnsi="Arial" w:cs="Arial"/>
          <w:sz w:val="20"/>
          <w:szCs w:val="20"/>
          <w:lang w:val="en-US"/>
        </w:rPr>
        <w:t xml:space="preserve"> </w:t>
      </w:r>
      <w:r w:rsidRPr="009107E5">
        <w:rPr>
          <w:rFonts w:ascii="Arial" w:hAnsi="Arial" w:cs="Arial"/>
          <w:sz w:val="20"/>
          <w:szCs w:val="20"/>
          <w:lang w:val="en-US"/>
        </w:rPr>
        <w:t>evaluated in a multi-national, open-label, uncontrolled, partially randomized study. An extension</w:t>
      </w:r>
      <w:r w:rsidR="008B029D" w:rsidRPr="009107E5">
        <w:rPr>
          <w:rFonts w:ascii="Arial" w:hAnsi="Arial" w:cs="Arial"/>
          <w:sz w:val="20"/>
          <w:szCs w:val="20"/>
          <w:lang w:val="en-US"/>
        </w:rPr>
        <w:t xml:space="preserve"> </w:t>
      </w:r>
      <w:r w:rsidRPr="009107E5">
        <w:rPr>
          <w:rFonts w:ascii="Arial" w:hAnsi="Arial" w:cs="Arial"/>
          <w:sz w:val="20"/>
          <w:szCs w:val="20"/>
          <w:lang w:val="en-US"/>
        </w:rPr>
        <w:t>study included patients completing the main study. The</w:t>
      </w:r>
      <w:r w:rsidR="008B029D" w:rsidRPr="009107E5">
        <w:rPr>
          <w:rFonts w:ascii="Arial" w:hAnsi="Arial" w:cs="Arial"/>
          <w:sz w:val="20"/>
          <w:szCs w:val="20"/>
          <w:lang w:val="en-US"/>
        </w:rPr>
        <w:t xml:space="preserve"> </w:t>
      </w:r>
      <w:r w:rsidRPr="009107E5">
        <w:rPr>
          <w:rFonts w:ascii="Arial" w:hAnsi="Arial" w:cs="Arial"/>
          <w:sz w:val="20"/>
          <w:szCs w:val="20"/>
          <w:lang w:val="en-US"/>
        </w:rPr>
        <w:t>primary efficacy variable was</w:t>
      </w:r>
      <w:r w:rsidR="008B029D" w:rsidRPr="009107E5">
        <w:rPr>
          <w:rFonts w:ascii="Arial" w:hAnsi="Arial" w:cs="Arial"/>
          <w:sz w:val="20"/>
          <w:szCs w:val="20"/>
          <w:lang w:val="en-US"/>
        </w:rPr>
        <w:t xml:space="preserve"> </w:t>
      </w:r>
      <w:r w:rsidRPr="009107E5">
        <w:rPr>
          <w:rFonts w:ascii="Arial" w:hAnsi="Arial" w:cs="Arial"/>
          <w:sz w:val="20"/>
          <w:szCs w:val="20"/>
          <w:lang w:val="en-US"/>
        </w:rPr>
        <w:t>annualized bleed rate (ABR).</w:t>
      </w:r>
      <w:r w:rsidR="00BB0631" w:rsidRPr="009107E5">
        <w:rPr>
          <w:rFonts w:ascii="Arial" w:hAnsi="Arial" w:cs="Arial"/>
          <w:sz w:val="20"/>
          <w:szCs w:val="20"/>
          <w:lang w:val="en-US"/>
        </w:rPr>
        <w:t xml:space="preserve"> </w:t>
      </w:r>
      <w:r w:rsidRPr="009107E5">
        <w:rPr>
          <w:rFonts w:ascii="Arial" w:hAnsi="Arial" w:cs="Arial"/>
          <w:sz w:val="20"/>
          <w:szCs w:val="20"/>
          <w:lang w:val="en-US"/>
        </w:rPr>
        <w:t>134 male PTPs received at least one injection of Jivi (including</w:t>
      </w:r>
      <w:r w:rsidR="00BB0631" w:rsidRPr="009107E5">
        <w:rPr>
          <w:rFonts w:ascii="Arial" w:hAnsi="Arial" w:cs="Arial"/>
          <w:sz w:val="20"/>
          <w:szCs w:val="20"/>
          <w:lang w:val="en-US"/>
        </w:rPr>
        <w:t xml:space="preserve"> </w:t>
      </w:r>
      <w:r w:rsidRPr="009107E5">
        <w:rPr>
          <w:rFonts w:ascii="Arial" w:hAnsi="Arial" w:cs="Arial"/>
          <w:sz w:val="20"/>
          <w:szCs w:val="20"/>
          <w:lang w:val="en-US"/>
        </w:rPr>
        <w:t>13 subjects aged 12 to 17 years of age) for prophylaxis (n=114) or on-demand treatment</w:t>
      </w:r>
      <w:r w:rsidR="00BB0631" w:rsidRPr="009107E5">
        <w:rPr>
          <w:rFonts w:ascii="Arial" w:hAnsi="Arial" w:cs="Arial"/>
          <w:sz w:val="20"/>
          <w:szCs w:val="20"/>
          <w:lang w:val="en-US"/>
        </w:rPr>
        <w:t xml:space="preserve"> </w:t>
      </w:r>
      <w:r w:rsidRPr="009107E5">
        <w:rPr>
          <w:rFonts w:ascii="Arial" w:hAnsi="Arial" w:cs="Arial"/>
          <w:sz w:val="20"/>
          <w:szCs w:val="20"/>
          <w:lang w:val="en-US"/>
        </w:rPr>
        <w:t>(n=20) for a period of 36 weeks. A total of 121 subjects received treatment during the</w:t>
      </w:r>
    </w:p>
    <w:p w14:paraId="273F8335" w14:textId="26002682"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extension study, 107 subjects received prophylaxis and 14 subjects on-demand treatment.</w:t>
      </w:r>
      <w:r w:rsidR="00BB0631" w:rsidRPr="009107E5">
        <w:rPr>
          <w:rFonts w:ascii="Arial" w:hAnsi="Arial" w:cs="Arial"/>
          <w:sz w:val="20"/>
          <w:szCs w:val="20"/>
          <w:lang w:val="en-US"/>
        </w:rPr>
        <w:t xml:space="preserve"> </w:t>
      </w:r>
      <w:r w:rsidRPr="009107E5">
        <w:rPr>
          <w:rFonts w:ascii="Arial" w:hAnsi="Arial" w:cs="Arial"/>
          <w:sz w:val="20"/>
          <w:szCs w:val="20"/>
          <w:lang w:val="en-US"/>
        </w:rPr>
        <w:t>36 subjects received prophylaxis treatment for &gt; 5 years up to 7.0 years. Total</w:t>
      </w:r>
      <w:r w:rsidR="00BB0631" w:rsidRPr="009107E5">
        <w:rPr>
          <w:rFonts w:ascii="Arial" w:hAnsi="Arial" w:cs="Arial"/>
          <w:sz w:val="20"/>
          <w:szCs w:val="20"/>
          <w:lang w:val="en-US"/>
        </w:rPr>
        <w:t xml:space="preserve"> </w:t>
      </w:r>
      <w:r w:rsidRPr="009107E5">
        <w:rPr>
          <w:rFonts w:ascii="Arial" w:hAnsi="Arial" w:cs="Arial"/>
          <w:sz w:val="20"/>
          <w:szCs w:val="20"/>
          <w:lang w:val="en-US"/>
        </w:rPr>
        <w:t>median (range) time in study was 3.9 years (0.8 – 7.0 years) in all 121 patients. Hemostasis</w:t>
      </w:r>
      <w:r w:rsidR="00BB0631" w:rsidRPr="009107E5">
        <w:rPr>
          <w:rFonts w:ascii="Arial" w:hAnsi="Arial" w:cs="Arial"/>
          <w:sz w:val="20"/>
          <w:szCs w:val="20"/>
          <w:lang w:val="en-US"/>
        </w:rPr>
        <w:t xml:space="preserve"> </w:t>
      </w:r>
      <w:r w:rsidRPr="009107E5">
        <w:rPr>
          <w:rFonts w:ascii="Arial" w:hAnsi="Arial" w:cs="Arial"/>
          <w:sz w:val="20"/>
          <w:szCs w:val="20"/>
          <w:lang w:val="en-US"/>
        </w:rPr>
        <w:t>during 20 major surgeries in 17 patients was evaluated in the surgery part.</w:t>
      </w:r>
    </w:p>
    <w:p w14:paraId="4A995C06" w14:textId="254996B0" w:rsidR="00284424" w:rsidRPr="009107E5" w:rsidRDefault="00284424" w:rsidP="00AD0441">
      <w:pPr>
        <w:autoSpaceDE w:val="0"/>
        <w:autoSpaceDN w:val="0"/>
        <w:adjustRightInd w:val="0"/>
        <w:spacing w:line="240" w:lineRule="auto"/>
        <w:rPr>
          <w:rFonts w:ascii="Arial" w:hAnsi="Arial" w:cs="Arial"/>
          <w:sz w:val="20"/>
          <w:szCs w:val="20"/>
          <w:lang w:val="en-US"/>
        </w:rPr>
      </w:pPr>
    </w:p>
    <w:p w14:paraId="14862050" w14:textId="77777777" w:rsidR="003962B6" w:rsidRPr="009107E5" w:rsidRDefault="003962B6" w:rsidP="00AD0441">
      <w:pPr>
        <w:autoSpaceDE w:val="0"/>
        <w:autoSpaceDN w:val="0"/>
        <w:adjustRightInd w:val="0"/>
        <w:spacing w:line="240" w:lineRule="auto"/>
        <w:rPr>
          <w:rFonts w:ascii="Arial" w:hAnsi="Arial" w:cs="Arial"/>
          <w:i/>
          <w:iCs/>
          <w:sz w:val="20"/>
          <w:szCs w:val="20"/>
          <w:lang w:val="en-US"/>
        </w:rPr>
      </w:pPr>
      <w:r w:rsidRPr="009107E5">
        <w:rPr>
          <w:rFonts w:ascii="Arial" w:hAnsi="Arial" w:cs="Arial"/>
          <w:i/>
          <w:iCs/>
          <w:sz w:val="20"/>
          <w:szCs w:val="20"/>
          <w:lang w:val="en-US"/>
        </w:rPr>
        <w:t xml:space="preserve">Prophylactic treatment in subjects </w:t>
      </w:r>
      <w:r w:rsidRPr="009107E5">
        <w:rPr>
          <w:rFonts w:ascii="Arial" w:eastAsia="TimesNewRomanPS-ItalicMT" w:hAnsi="Arial" w:cs="Arial"/>
          <w:i/>
          <w:iCs/>
          <w:sz w:val="20"/>
          <w:szCs w:val="20"/>
          <w:lang w:val="en-US"/>
        </w:rPr>
        <w:t>≥</w:t>
      </w:r>
      <w:r w:rsidRPr="009107E5">
        <w:rPr>
          <w:rFonts w:ascii="Arial" w:hAnsi="Arial" w:cs="Arial"/>
          <w:i/>
          <w:iCs/>
          <w:sz w:val="20"/>
          <w:szCs w:val="20"/>
          <w:lang w:val="en-US"/>
        </w:rPr>
        <w:t>12 years</w:t>
      </w:r>
    </w:p>
    <w:p w14:paraId="166A0B3B" w14:textId="32AE2D0C" w:rsidR="003962B6" w:rsidRPr="009107E5" w:rsidRDefault="003962B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All patients in the prophylaxis arms started with 2x/week at a dose of 25 IU/kg for 10 weeks. Thereafter, only patients with ≤ 1 breakthrough (spontaneous, no identified trauma) joint and/ or muscle bleeds qualified for random assignment to the less frequent dosing regimens. Those with 2 or more breakthrough bleeds were not randomized (2x/ week ‘failed’ group</w:t>
      </w:r>
      <w:proofErr w:type="gramStart"/>
      <w:r w:rsidRPr="009107E5">
        <w:rPr>
          <w:rFonts w:ascii="Arial" w:hAnsi="Arial" w:cs="Arial"/>
          <w:sz w:val="20"/>
          <w:szCs w:val="20"/>
          <w:lang w:val="en-US"/>
        </w:rPr>
        <w:t>), and</w:t>
      </w:r>
      <w:proofErr w:type="gramEnd"/>
      <w:r w:rsidRPr="009107E5">
        <w:rPr>
          <w:rFonts w:ascii="Arial" w:hAnsi="Arial" w:cs="Arial"/>
          <w:sz w:val="20"/>
          <w:szCs w:val="20"/>
          <w:lang w:val="en-US"/>
        </w:rPr>
        <w:t xml:space="preserve"> remained on the twice-weekly treatment at </w:t>
      </w:r>
      <w:proofErr w:type="spellStart"/>
      <w:r w:rsidRPr="009107E5">
        <w:rPr>
          <w:rFonts w:ascii="Arial" w:hAnsi="Arial" w:cs="Arial"/>
          <w:sz w:val="20"/>
          <w:szCs w:val="20"/>
          <w:lang w:val="en-US"/>
        </w:rPr>
        <w:t>hogher</w:t>
      </w:r>
      <w:proofErr w:type="spellEnd"/>
      <w:r w:rsidRPr="009107E5">
        <w:rPr>
          <w:rFonts w:ascii="Arial" w:hAnsi="Arial" w:cs="Arial"/>
          <w:sz w:val="20"/>
          <w:szCs w:val="20"/>
          <w:lang w:val="en-US"/>
        </w:rPr>
        <w:t xml:space="preserve"> doses (30-40 IU/kg). Treatment then continued for a further 26 weeks. Patients then had the option of continuing in the study extension.</w:t>
      </w:r>
    </w:p>
    <w:p w14:paraId="78926C69" w14:textId="3FD7362F" w:rsidR="003962B6" w:rsidRPr="009107E5" w:rsidRDefault="003962B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 After the </w:t>
      </w:r>
      <w:proofErr w:type="gramStart"/>
      <w:r w:rsidRPr="009107E5">
        <w:rPr>
          <w:rFonts w:ascii="Arial" w:hAnsi="Arial" w:cs="Arial"/>
          <w:sz w:val="20"/>
          <w:szCs w:val="20"/>
          <w:lang w:val="en-US"/>
        </w:rPr>
        <w:t>10 week</w:t>
      </w:r>
      <w:proofErr w:type="gramEnd"/>
      <w:r w:rsidRPr="009107E5">
        <w:rPr>
          <w:rFonts w:ascii="Arial" w:hAnsi="Arial" w:cs="Arial"/>
          <w:sz w:val="20"/>
          <w:szCs w:val="20"/>
          <w:lang w:val="en-US"/>
        </w:rPr>
        <w:t xml:space="preserve"> period subjects were assigned to prophylaxis 2x/week (n=24), or randomized to every 5 days (n=43) or every 7 days (n=43) or received on-demand treatment (n=20) with Jivi. 99 of 110 patients (90%) remained on the assigned regimen. 11 patients in </w:t>
      </w:r>
      <w:proofErr w:type="gramStart"/>
      <w:r w:rsidRPr="009107E5">
        <w:rPr>
          <w:rFonts w:ascii="Arial" w:hAnsi="Arial" w:cs="Arial"/>
          <w:sz w:val="20"/>
          <w:szCs w:val="20"/>
          <w:lang w:val="en-US"/>
        </w:rPr>
        <w:t>the every</w:t>
      </w:r>
      <w:proofErr w:type="gramEnd"/>
      <w:r w:rsidRPr="009107E5">
        <w:rPr>
          <w:rFonts w:ascii="Arial" w:hAnsi="Arial" w:cs="Arial"/>
          <w:sz w:val="20"/>
          <w:szCs w:val="20"/>
          <w:lang w:val="en-US"/>
        </w:rPr>
        <w:t xml:space="preserve"> 7 days arm increased frequency. The median dose for all prophylaxis regimens was 46.9 IU/kg/injection. The median (Q1; Q3) ABR during prophylaxis was 2.09 (0.0; 6.1) for all bleeds and 0.0 (0;0 4.2) for spontaneous bleeds as compared to 23.4 (18; 37) total bleeds in the on-demand group. 42 out of 110 in the prophylaxis arms (38.2%) experienced no bleeding episode.</w:t>
      </w:r>
    </w:p>
    <w:p w14:paraId="2455DFB3" w14:textId="77777777" w:rsidR="003962B6" w:rsidRPr="009107E5" w:rsidRDefault="003962B6" w:rsidP="00AD0441">
      <w:pPr>
        <w:autoSpaceDE w:val="0"/>
        <w:autoSpaceDN w:val="0"/>
        <w:adjustRightInd w:val="0"/>
        <w:spacing w:line="240" w:lineRule="auto"/>
        <w:rPr>
          <w:rFonts w:ascii="Arial" w:hAnsi="Arial" w:cs="Arial"/>
          <w:sz w:val="20"/>
          <w:szCs w:val="20"/>
          <w:lang w:val="en-US"/>
        </w:rPr>
      </w:pPr>
    </w:p>
    <w:p w14:paraId="0D738AB5" w14:textId="7392AA32" w:rsidR="003962B6" w:rsidRPr="009107E5" w:rsidRDefault="003962B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During the extension study (median duration of 3.2 years, range 0.1-6.3 years), 23 patients were treated 2x/week, 33 patients every 5-days, 23 patients every 7 days during total time in the extension study and 28 patients changed treatment regimen. 20 patients needed to increase their dose frequency during the extension study, 13/37 (35%) patients in </w:t>
      </w:r>
      <w:proofErr w:type="gramStart"/>
      <w:r w:rsidR="00E466DF" w:rsidRPr="009107E5">
        <w:rPr>
          <w:rFonts w:ascii="Arial" w:hAnsi="Arial" w:cs="Arial"/>
          <w:sz w:val="20"/>
          <w:szCs w:val="20"/>
          <w:lang w:val="en-US"/>
        </w:rPr>
        <w:t xml:space="preserve">the </w:t>
      </w:r>
      <w:r w:rsidRPr="009107E5">
        <w:rPr>
          <w:rFonts w:ascii="Arial" w:hAnsi="Arial" w:cs="Arial"/>
          <w:sz w:val="20"/>
          <w:szCs w:val="20"/>
          <w:lang w:val="en-US"/>
        </w:rPr>
        <w:t>every</w:t>
      </w:r>
      <w:proofErr w:type="gramEnd"/>
      <w:r w:rsidRPr="009107E5">
        <w:rPr>
          <w:rFonts w:ascii="Arial" w:hAnsi="Arial" w:cs="Arial"/>
          <w:sz w:val="20"/>
          <w:szCs w:val="20"/>
          <w:lang w:val="en-US"/>
        </w:rPr>
        <w:t xml:space="preserve"> 7</w:t>
      </w:r>
      <w:r w:rsidR="00E466DF" w:rsidRPr="009107E5">
        <w:rPr>
          <w:rFonts w:ascii="Arial" w:hAnsi="Arial" w:cs="Arial"/>
          <w:sz w:val="20"/>
          <w:szCs w:val="20"/>
          <w:lang w:val="en-US"/>
        </w:rPr>
        <w:t xml:space="preserve"> </w:t>
      </w:r>
      <w:r w:rsidRPr="009107E5">
        <w:rPr>
          <w:rFonts w:ascii="Arial" w:hAnsi="Arial" w:cs="Arial"/>
          <w:sz w:val="20"/>
          <w:szCs w:val="20"/>
          <w:lang w:val="en-US"/>
        </w:rPr>
        <w:t>day</w:t>
      </w:r>
      <w:r w:rsidR="00E466DF" w:rsidRPr="009107E5">
        <w:rPr>
          <w:rFonts w:ascii="Arial" w:hAnsi="Arial" w:cs="Arial"/>
          <w:sz w:val="20"/>
          <w:szCs w:val="20"/>
          <w:lang w:val="en-US"/>
        </w:rPr>
        <w:t>s</w:t>
      </w:r>
      <w:r w:rsidRPr="009107E5">
        <w:rPr>
          <w:rFonts w:ascii="Arial" w:hAnsi="Arial" w:cs="Arial"/>
          <w:sz w:val="20"/>
          <w:szCs w:val="20"/>
          <w:lang w:val="en-US"/>
        </w:rPr>
        <w:t xml:space="preserve"> arm increased their frequency, with 8 of them moving to the every 5</w:t>
      </w:r>
      <w:r w:rsidR="00E466DF" w:rsidRPr="009107E5">
        <w:rPr>
          <w:rFonts w:ascii="Arial" w:hAnsi="Arial" w:cs="Arial"/>
          <w:sz w:val="20"/>
          <w:szCs w:val="20"/>
          <w:lang w:val="en-US"/>
        </w:rPr>
        <w:t xml:space="preserve"> </w:t>
      </w:r>
      <w:r w:rsidRPr="009107E5">
        <w:rPr>
          <w:rFonts w:ascii="Arial" w:hAnsi="Arial" w:cs="Arial"/>
          <w:sz w:val="20"/>
          <w:szCs w:val="20"/>
          <w:lang w:val="en-US"/>
        </w:rPr>
        <w:t>day</w:t>
      </w:r>
      <w:r w:rsidR="00E466DF" w:rsidRPr="009107E5">
        <w:rPr>
          <w:rFonts w:ascii="Arial" w:hAnsi="Arial" w:cs="Arial"/>
          <w:sz w:val="20"/>
          <w:szCs w:val="20"/>
          <w:lang w:val="en-US"/>
        </w:rPr>
        <w:t>s</w:t>
      </w:r>
      <w:r w:rsidRPr="009107E5">
        <w:rPr>
          <w:rFonts w:ascii="Arial" w:hAnsi="Arial" w:cs="Arial"/>
          <w:sz w:val="20"/>
          <w:szCs w:val="20"/>
          <w:lang w:val="en-US"/>
        </w:rPr>
        <w:t xml:space="preserve"> arm and remaining 5 patients moving to the 2x per week arm. 7/46 (15.2%) patients in </w:t>
      </w:r>
      <w:proofErr w:type="gramStart"/>
      <w:r w:rsidRPr="009107E5">
        <w:rPr>
          <w:rFonts w:ascii="Arial" w:hAnsi="Arial" w:cs="Arial"/>
          <w:sz w:val="20"/>
          <w:szCs w:val="20"/>
          <w:lang w:val="en-US"/>
        </w:rPr>
        <w:t>the every</w:t>
      </w:r>
      <w:proofErr w:type="gramEnd"/>
      <w:r w:rsidRPr="009107E5">
        <w:rPr>
          <w:rFonts w:ascii="Arial" w:hAnsi="Arial" w:cs="Arial"/>
          <w:sz w:val="20"/>
          <w:szCs w:val="20"/>
          <w:lang w:val="en-US"/>
        </w:rPr>
        <w:t xml:space="preserve"> 5</w:t>
      </w:r>
      <w:r w:rsidR="00E466DF" w:rsidRPr="009107E5">
        <w:rPr>
          <w:rFonts w:ascii="Arial" w:hAnsi="Arial" w:cs="Arial"/>
          <w:sz w:val="20"/>
          <w:szCs w:val="20"/>
          <w:lang w:val="en-US"/>
        </w:rPr>
        <w:t xml:space="preserve"> </w:t>
      </w:r>
      <w:r w:rsidRPr="009107E5">
        <w:rPr>
          <w:rFonts w:ascii="Arial" w:hAnsi="Arial" w:cs="Arial"/>
          <w:sz w:val="20"/>
          <w:szCs w:val="20"/>
          <w:lang w:val="en-US"/>
        </w:rPr>
        <w:t>day</w:t>
      </w:r>
      <w:r w:rsidR="00E466DF" w:rsidRPr="009107E5">
        <w:rPr>
          <w:rFonts w:ascii="Arial" w:hAnsi="Arial" w:cs="Arial"/>
          <w:sz w:val="20"/>
          <w:szCs w:val="20"/>
          <w:lang w:val="en-US"/>
        </w:rPr>
        <w:t>s</w:t>
      </w:r>
      <w:r w:rsidRPr="009107E5">
        <w:rPr>
          <w:rFonts w:ascii="Arial" w:hAnsi="Arial" w:cs="Arial"/>
          <w:sz w:val="20"/>
          <w:szCs w:val="20"/>
          <w:lang w:val="en-US"/>
        </w:rPr>
        <w:t xml:space="preserve"> arm at the start of the extension study increased frequency to 2x weekly by the end. The median dose for prophylaxis was 47.8 IU/kg.</w:t>
      </w:r>
    </w:p>
    <w:p w14:paraId="249CE978" w14:textId="77777777" w:rsidR="003962B6" w:rsidRPr="009107E5" w:rsidRDefault="003962B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The overall median (Q1; Q3) total ABR was 1.49 (0.4; 4.8) and 0.75 (0.0: 2.9) for spontaneous </w:t>
      </w:r>
      <w:proofErr w:type="gramStart"/>
      <w:r w:rsidRPr="009107E5">
        <w:rPr>
          <w:rFonts w:ascii="Arial" w:hAnsi="Arial" w:cs="Arial"/>
          <w:sz w:val="20"/>
          <w:szCs w:val="20"/>
          <w:lang w:val="en-US"/>
        </w:rPr>
        <w:t>bleeds</w:t>
      </w:r>
      <w:proofErr w:type="gramEnd"/>
    </w:p>
    <w:p w14:paraId="32B55E69" w14:textId="77777777" w:rsidR="003962B6" w:rsidRPr="009107E5" w:rsidRDefault="003962B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in the combined prophylaxis groups and total ABR was 34.1 in the on-demand group.</w:t>
      </w:r>
    </w:p>
    <w:p w14:paraId="72F3B65C" w14:textId="77777777" w:rsidR="003962B6" w:rsidRPr="009107E5" w:rsidRDefault="003962B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Of note, ABR is not comparable between different factor concentrates and between different </w:t>
      </w:r>
      <w:proofErr w:type="gramStart"/>
      <w:r w:rsidRPr="009107E5">
        <w:rPr>
          <w:rFonts w:ascii="Arial" w:hAnsi="Arial" w:cs="Arial"/>
          <w:sz w:val="20"/>
          <w:szCs w:val="20"/>
          <w:lang w:val="en-US"/>
        </w:rPr>
        <w:t>clinical</w:t>
      </w:r>
      <w:proofErr w:type="gramEnd"/>
    </w:p>
    <w:p w14:paraId="0AA7EDEC" w14:textId="77777777" w:rsidR="003962B6" w:rsidRPr="009107E5" w:rsidRDefault="003962B6" w:rsidP="00AD0441">
      <w:pPr>
        <w:rPr>
          <w:rFonts w:ascii="Arial" w:hAnsi="Arial" w:cs="Arial"/>
          <w:sz w:val="20"/>
          <w:szCs w:val="20"/>
          <w:lang w:val="en-US"/>
        </w:rPr>
      </w:pPr>
      <w:r w:rsidRPr="009107E5">
        <w:rPr>
          <w:rFonts w:ascii="Arial" w:hAnsi="Arial" w:cs="Arial"/>
          <w:sz w:val="20"/>
          <w:szCs w:val="20"/>
          <w:lang w:val="en-US"/>
        </w:rPr>
        <w:t>studies.</w:t>
      </w:r>
    </w:p>
    <w:p w14:paraId="4928282F" w14:textId="77777777" w:rsidR="003962B6" w:rsidRPr="009107E5" w:rsidRDefault="003962B6" w:rsidP="00AD0441">
      <w:pPr>
        <w:autoSpaceDE w:val="0"/>
        <w:autoSpaceDN w:val="0"/>
        <w:adjustRightInd w:val="0"/>
        <w:spacing w:line="240" w:lineRule="auto"/>
        <w:rPr>
          <w:rFonts w:ascii="Arial" w:hAnsi="Arial" w:cs="Arial"/>
          <w:i/>
          <w:iCs/>
          <w:sz w:val="20"/>
          <w:szCs w:val="20"/>
          <w:lang w:val="en-US"/>
        </w:rPr>
      </w:pPr>
      <w:r w:rsidRPr="009107E5">
        <w:rPr>
          <w:rFonts w:ascii="Arial" w:hAnsi="Arial" w:cs="Arial"/>
          <w:i/>
          <w:iCs/>
          <w:sz w:val="20"/>
          <w:szCs w:val="20"/>
          <w:lang w:val="en-US"/>
        </w:rPr>
        <w:t>Treatment of bleeding</w:t>
      </w:r>
    </w:p>
    <w:p w14:paraId="249A7CA6" w14:textId="77777777" w:rsidR="003962B6" w:rsidRPr="009107E5" w:rsidRDefault="003962B6"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Of the 702 bleeding events treated with Jivi during the main study, 636 (90.6%) were treated with 1 or 2 injections, thereof 81.1% with 1 injection. The median (range) dose per injection was 31.7 IU/kg (14; 62). During the extension 1902 bleeds were treated with Jivi and 94.0% were controlled with 1 or 2 injections, thereof 84.9% with 1 injection. The median (range) dose was 37.9 (15; 64) IU/kg/injection.</w:t>
      </w:r>
    </w:p>
    <w:p w14:paraId="55ACC385" w14:textId="77777777" w:rsidR="003962B6" w:rsidRPr="009107E5" w:rsidRDefault="003962B6" w:rsidP="00AD0441">
      <w:pPr>
        <w:autoSpaceDE w:val="0"/>
        <w:autoSpaceDN w:val="0"/>
        <w:adjustRightInd w:val="0"/>
        <w:spacing w:line="240" w:lineRule="auto"/>
        <w:rPr>
          <w:rFonts w:ascii="Arial" w:hAnsi="Arial" w:cs="Arial"/>
          <w:i/>
          <w:iCs/>
          <w:sz w:val="20"/>
          <w:szCs w:val="20"/>
          <w:lang w:val="en-US"/>
        </w:rPr>
      </w:pPr>
      <w:r w:rsidRPr="009107E5">
        <w:rPr>
          <w:rFonts w:ascii="Arial" w:hAnsi="Arial" w:cs="Arial"/>
          <w:i/>
          <w:iCs/>
          <w:sz w:val="20"/>
          <w:szCs w:val="20"/>
          <w:lang w:val="en-US"/>
        </w:rPr>
        <w:t xml:space="preserve">Perioperative Management </w:t>
      </w:r>
    </w:p>
    <w:p w14:paraId="5FD5AFA3" w14:textId="77777777" w:rsidR="003962B6" w:rsidRPr="009107E5" w:rsidRDefault="003962B6" w:rsidP="00AD0441">
      <w:pPr>
        <w:autoSpaceDE w:val="0"/>
        <w:autoSpaceDN w:val="0"/>
        <w:adjustRightInd w:val="0"/>
        <w:spacing w:line="240" w:lineRule="auto"/>
        <w:rPr>
          <w:rFonts w:ascii="Arial" w:hAnsi="Arial" w:cs="Arial"/>
          <w:i/>
          <w:iCs/>
          <w:sz w:val="20"/>
          <w:szCs w:val="20"/>
          <w:lang w:val="en-US"/>
        </w:rPr>
      </w:pPr>
      <w:r w:rsidRPr="009107E5">
        <w:rPr>
          <w:rFonts w:ascii="Arial" w:hAnsi="Arial" w:cs="Arial"/>
          <w:sz w:val="20"/>
          <w:szCs w:val="20"/>
          <w:lang w:val="en-US"/>
        </w:rPr>
        <w:t>A total of 20 major surgical procedures were performed and assessed in 17 patients. The median total</w:t>
      </w:r>
      <w:r w:rsidRPr="009107E5">
        <w:rPr>
          <w:rFonts w:ascii="Arial" w:hAnsi="Arial" w:cs="Arial"/>
          <w:i/>
          <w:iCs/>
          <w:sz w:val="20"/>
          <w:szCs w:val="20"/>
          <w:lang w:val="en-US"/>
        </w:rPr>
        <w:t xml:space="preserve"> </w:t>
      </w:r>
      <w:r w:rsidRPr="009107E5">
        <w:rPr>
          <w:rFonts w:ascii="Arial" w:hAnsi="Arial" w:cs="Arial"/>
          <w:sz w:val="20"/>
          <w:szCs w:val="20"/>
          <w:lang w:val="en-US"/>
        </w:rPr>
        <w:t>dose for major surgeries was 219 IU/kg (range: 50-1500 IU/kg, including postoperative period up to</w:t>
      </w:r>
      <w:r w:rsidRPr="009107E5">
        <w:rPr>
          <w:rFonts w:ascii="Arial" w:hAnsi="Arial" w:cs="Arial"/>
          <w:i/>
          <w:iCs/>
          <w:sz w:val="20"/>
          <w:szCs w:val="20"/>
          <w:lang w:val="en-US"/>
        </w:rPr>
        <w:t xml:space="preserve"> </w:t>
      </w:r>
      <w:r w:rsidRPr="009107E5">
        <w:rPr>
          <w:rFonts w:ascii="Arial" w:hAnsi="Arial" w:cs="Arial"/>
          <w:sz w:val="20"/>
          <w:szCs w:val="20"/>
          <w:lang w:val="en-US"/>
        </w:rPr>
        <w:t xml:space="preserve">3 weeks). Perioperative </w:t>
      </w:r>
      <w:proofErr w:type="spellStart"/>
      <w:r w:rsidRPr="009107E5">
        <w:rPr>
          <w:rFonts w:ascii="Arial" w:hAnsi="Arial" w:cs="Arial"/>
          <w:sz w:val="20"/>
          <w:szCs w:val="20"/>
          <w:lang w:val="en-US"/>
        </w:rPr>
        <w:t>haemostatic</w:t>
      </w:r>
      <w:proofErr w:type="spellEnd"/>
      <w:r w:rsidRPr="009107E5">
        <w:rPr>
          <w:rFonts w:ascii="Arial" w:hAnsi="Arial" w:cs="Arial"/>
          <w:sz w:val="20"/>
          <w:szCs w:val="20"/>
          <w:lang w:val="en-US"/>
        </w:rPr>
        <w:t xml:space="preserve"> efficacy was rated as good or excellent during all major surgeries.</w:t>
      </w:r>
      <w:r w:rsidRPr="009107E5">
        <w:rPr>
          <w:rFonts w:ascii="Arial" w:hAnsi="Arial" w:cs="Arial"/>
          <w:i/>
          <w:iCs/>
          <w:sz w:val="20"/>
          <w:szCs w:val="20"/>
          <w:lang w:val="en-US"/>
        </w:rPr>
        <w:t xml:space="preserve"> </w:t>
      </w:r>
      <w:r w:rsidRPr="009107E5">
        <w:rPr>
          <w:rFonts w:ascii="Arial" w:hAnsi="Arial" w:cs="Arial"/>
          <w:sz w:val="20"/>
          <w:szCs w:val="20"/>
          <w:lang w:val="en-US"/>
        </w:rPr>
        <w:t>Additional 34 minor surgeries were performed in 19 patients. Hemostasis was assessed as good or</w:t>
      </w:r>
      <w:r w:rsidRPr="009107E5">
        <w:rPr>
          <w:rFonts w:ascii="Arial" w:hAnsi="Arial" w:cs="Arial"/>
          <w:i/>
          <w:iCs/>
          <w:sz w:val="20"/>
          <w:szCs w:val="20"/>
          <w:lang w:val="en-US"/>
        </w:rPr>
        <w:t xml:space="preserve"> </w:t>
      </w:r>
      <w:r w:rsidRPr="009107E5">
        <w:rPr>
          <w:rFonts w:ascii="Arial" w:hAnsi="Arial" w:cs="Arial"/>
          <w:sz w:val="20"/>
          <w:szCs w:val="20"/>
          <w:lang w:val="en-US"/>
        </w:rPr>
        <w:t>excellent in all available cases.</w:t>
      </w:r>
    </w:p>
    <w:p w14:paraId="5C2BB9DC" w14:textId="77777777" w:rsidR="003962B6" w:rsidRPr="009107E5" w:rsidRDefault="003962B6" w:rsidP="00AD0441">
      <w:pPr>
        <w:autoSpaceDE w:val="0"/>
        <w:autoSpaceDN w:val="0"/>
        <w:adjustRightInd w:val="0"/>
        <w:spacing w:line="240" w:lineRule="auto"/>
        <w:rPr>
          <w:rFonts w:ascii="Arial" w:hAnsi="Arial" w:cs="Arial"/>
          <w:sz w:val="20"/>
          <w:szCs w:val="20"/>
          <w:lang w:val="en-US"/>
        </w:rPr>
      </w:pPr>
    </w:p>
    <w:p w14:paraId="71D4EA9A" w14:textId="33BB0F4A"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u w:val="single"/>
          <w:lang w:val="en-US"/>
        </w:rPr>
        <w:t>Phase III (</w:t>
      </w:r>
      <w:proofErr w:type="spellStart"/>
      <w:r w:rsidRPr="009107E5">
        <w:rPr>
          <w:rFonts w:ascii="Arial" w:hAnsi="Arial" w:cs="Arial"/>
          <w:sz w:val="20"/>
          <w:szCs w:val="20"/>
          <w:u w:val="single"/>
          <w:lang w:val="en-US"/>
        </w:rPr>
        <w:t>Paediatric</w:t>
      </w:r>
      <w:proofErr w:type="spellEnd"/>
      <w:r w:rsidRPr="009107E5">
        <w:rPr>
          <w:rFonts w:ascii="Arial" w:hAnsi="Arial" w:cs="Arial"/>
          <w:sz w:val="20"/>
          <w:szCs w:val="20"/>
          <w:u w:val="single"/>
          <w:lang w:val="en-US"/>
        </w:rPr>
        <w:t>):</w:t>
      </w:r>
      <w:r w:rsidRPr="009107E5">
        <w:rPr>
          <w:rFonts w:ascii="Arial" w:hAnsi="Arial" w:cs="Arial"/>
          <w:sz w:val="20"/>
          <w:szCs w:val="20"/>
          <w:lang w:val="en-US"/>
        </w:rPr>
        <w:t xml:space="preserve"> Pharmacokinetics, safety, and efficacy of Jivi for three prophylaxis regimens</w:t>
      </w:r>
      <w:r w:rsidR="00BB0631" w:rsidRPr="009107E5">
        <w:rPr>
          <w:rFonts w:ascii="Arial" w:hAnsi="Arial" w:cs="Arial"/>
          <w:sz w:val="20"/>
          <w:szCs w:val="20"/>
          <w:lang w:val="en-US"/>
        </w:rPr>
        <w:t xml:space="preserve"> </w:t>
      </w:r>
      <w:r w:rsidRPr="009107E5">
        <w:rPr>
          <w:rFonts w:ascii="Arial" w:hAnsi="Arial" w:cs="Arial"/>
          <w:sz w:val="20"/>
          <w:szCs w:val="20"/>
          <w:lang w:val="en-US"/>
        </w:rPr>
        <w:t>(twice weekly, every 5 and every 7 days) and treatment of breakthrough bleeds were</w:t>
      </w:r>
      <w:r w:rsidR="00BB0631" w:rsidRPr="009107E5">
        <w:rPr>
          <w:rFonts w:ascii="Arial" w:hAnsi="Arial" w:cs="Arial"/>
          <w:sz w:val="20"/>
          <w:szCs w:val="20"/>
          <w:lang w:val="en-US"/>
        </w:rPr>
        <w:t xml:space="preserve"> </w:t>
      </w:r>
      <w:r w:rsidRPr="009107E5">
        <w:rPr>
          <w:rFonts w:ascii="Arial" w:hAnsi="Arial" w:cs="Arial"/>
          <w:sz w:val="20"/>
          <w:szCs w:val="20"/>
          <w:lang w:val="en-US"/>
        </w:rPr>
        <w:t>evaluated in a</w:t>
      </w:r>
      <w:r w:rsidR="00BB0631" w:rsidRPr="009107E5">
        <w:rPr>
          <w:rFonts w:ascii="Arial" w:hAnsi="Arial" w:cs="Arial"/>
          <w:sz w:val="20"/>
          <w:szCs w:val="20"/>
          <w:lang w:val="en-US"/>
        </w:rPr>
        <w:t xml:space="preserve"> </w:t>
      </w:r>
      <w:r w:rsidRPr="009107E5">
        <w:rPr>
          <w:rFonts w:ascii="Arial" w:hAnsi="Arial" w:cs="Arial"/>
          <w:sz w:val="20"/>
          <w:szCs w:val="20"/>
          <w:lang w:val="en-US"/>
        </w:rPr>
        <w:t xml:space="preserve">multi-national, uncontrolled, open-label trial in 73 </w:t>
      </w:r>
      <w:proofErr w:type="spellStart"/>
      <w:r w:rsidRPr="009107E5">
        <w:rPr>
          <w:rFonts w:ascii="Arial" w:hAnsi="Arial" w:cs="Arial"/>
          <w:sz w:val="20"/>
          <w:szCs w:val="20"/>
          <w:lang w:val="en-US"/>
        </w:rPr>
        <w:t>paediatric</w:t>
      </w:r>
      <w:proofErr w:type="spellEnd"/>
      <w:r w:rsidRPr="009107E5">
        <w:rPr>
          <w:rFonts w:ascii="Arial" w:hAnsi="Arial" w:cs="Arial"/>
          <w:sz w:val="20"/>
          <w:szCs w:val="20"/>
          <w:lang w:val="en-US"/>
        </w:rPr>
        <w:t xml:space="preserve"> patients</w:t>
      </w:r>
      <w:r w:rsidR="00BB0631" w:rsidRPr="009107E5">
        <w:rPr>
          <w:rFonts w:ascii="Arial" w:hAnsi="Arial" w:cs="Arial"/>
          <w:sz w:val="20"/>
          <w:szCs w:val="20"/>
          <w:lang w:val="en-US"/>
        </w:rPr>
        <w:t xml:space="preserve"> </w:t>
      </w:r>
      <w:r w:rsidRPr="009107E5">
        <w:rPr>
          <w:rFonts w:ascii="Arial" w:hAnsi="Arial" w:cs="Arial"/>
          <w:sz w:val="20"/>
          <w:szCs w:val="20"/>
          <w:lang w:val="en-US"/>
        </w:rPr>
        <w:t>(&lt; 12 years of age) during a period</w:t>
      </w:r>
      <w:r w:rsidR="00BB0631" w:rsidRPr="009107E5">
        <w:rPr>
          <w:rFonts w:ascii="Arial" w:hAnsi="Arial" w:cs="Arial"/>
          <w:sz w:val="20"/>
          <w:szCs w:val="20"/>
          <w:lang w:val="en-US"/>
        </w:rPr>
        <w:t xml:space="preserve"> </w:t>
      </w:r>
      <w:r w:rsidRPr="009107E5">
        <w:rPr>
          <w:rFonts w:ascii="Arial" w:hAnsi="Arial" w:cs="Arial"/>
          <w:sz w:val="20"/>
          <w:szCs w:val="20"/>
          <w:lang w:val="en-US"/>
        </w:rPr>
        <w:t>of 50 EDs and at least 6 months.  61 subjects</w:t>
      </w:r>
      <w:r w:rsidR="00BB0631" w:rsidRPr="009107E5">
        <w:rPr>
          <w:rFonts w:ascii="Arial" w:hAnsi="Arial" w:cs="Arial"/>
          <w:sz w:val="20"/>
          <w:szCs w:val="20"/>
          <w:lang w:val="en-US"/>
        </w:rPr>
        <w:t xml:space="preserve"> </w:t>
      </w:r>
      <w:r w:rsidRPr="009107E5">
        <w:rPr>
          <w:rFonts w:ascii="Arial" w:hAnsi="Arial" w:cs="Arial"/>
          <w:sz w:val="20"/>
          <w:szCs w:val="20"/>
          <w:lang w:val="en-US"/>
        </w:rPr>
        <w:t>(83.6%) completed the main study and 59 patients continued in the optional extension</w:t>
      </w:r>
      <w:r w:rsidR="00BB0631" w:rsidRPr="009107E5">
        <w:rPr>
          <w:rFonts w:ascii="Arial" w:hAnsi="Arial" w:cs="Arial"/>
          <w:sz w:val="20"/>
          <w:szCs w:val="20"/>
          <w:lang w:val="en-US"/>
        </w:rPr>
        <w:t xml:space="preserve"> </w:t>
      </w:r>
      <w:r w:rsidRPr="009107E5">
        <w:rPr>
          <w:rFonts w:ascii="Arial" w:hAnsi="Arial" w:cs="Arial"/>
          <w:sz w:val="20"/>
          <w:szCs w:val="20"/>
          <w:lang w:val="en-US"/>
        </w:rPr>
        <w:t>study with a total median time in study of 5.8 years (range 1.0-6.6 years).</w:t>
      </w:r>
    </w:p>
    <w:p w14:paraId="47E13568" w14:textId="4BF56E90" w:rsidR="00284424" w:rsidRPr="009107E5" w:rsidRDefault="00284424" w:rsidP="00AD0441">
      <w:pPr>
        <w:autoSpaceDE w:val="0"/>
        <w:autoSpaceDN w:val="0"/>
        <w:adjustRightInd w:val="0"/>
        <w:spacing w:line="240" w:lineRule="auto"/>
        <w:rPr>
          <w:rFonts w:ascii="Arial" w:hAnsi="Arial" w:cs="Arial"/>
          <w:i/>
          <w:iCs/>
          <w:sz w:val="20"/>
          <w:szCs w:val="20"/>
          <w:lang w:val="en-US"/>
        </w:rPr>
      </w:pPr>
      <w:proofErr w:type="spellStart"/>
      <w:r w:rsidRPr="009107E5">
        <w:rPr>
          <w:rFonts w:ascii="Arial" w:hAnsi="Arial" w:cs="Arial"/>
          <w:i/>
          <w:iCs/>
          <w:sz w:val="20"/>
          <w:szCs w:val="20"/>
          <w:lang w:val="en-US"/>
        </w:rPr>
        <w:lastRenderedPageBreak/>
        <w:t>Paediatric</w:t>
      </w:r>
      <w:proofErr w:type="spellEnd"/>
      <w:r w:rsidRPr="009107E5">
        <w:rPr>
          <w:rFonts w:ascii="Arial" w:hAnsi="Arial" w:cs="Arial"/>
          <w:i/>
          <w:iCs/>
          <w:sz w:val="20"/>
          <w:szCs w:val="20"/>
          <w:lang w:val="en-US"/>
        </w:rPr>
        <w:t xml:space="preserve"> population &lt; 12 years of age</w:t>
      </w:r>
    </w:p>
    <w:p w14:paraId="26C940C2" w14:textId="59830CB5"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The use of Jivi in children below 12 years is not indicated (see section 4.2 for information on</w:t>
      </w:r>
      <w:r w:rsidR="008B029D" w:rsidRPr="009107E5">
        <w:rPr>
          <w:rFonts w:ascii="Arial" w:hAnsi="Arial" w:cs="Arial"/>
          <w:sz w:val="20"/>
          <w:szCs w:val="20"/>
          <w:lang w:val="en-US"/>
        </w:rPr>
        <w:t xml:space="preserve"> </w:t>
      </w:r>
      <w:proofErr w:type="spellStart"/>
      <w:r w:rsidRPr="009107E5">
        <w:rPr>
          <w:rFonts w:ascii="Arial" w:hAnsi="Arial" w:cs="Arial"/>
          <w:sz w:val="20"/>
          <w:szCs w:val="20"/>
          <w:lang w:val="en-US"/>
        </w:rPr>
        <w:t>paediatric</w:t>
      </w:r>
      <w:proofErr w:type="spellEnd"/>
      <w:r w:rsidRPr="009107E5">
        <w:rPr>
          <w:rFonts w:ascii="Arial" w:hAnsi="Arial" w:cs="Arial"/>
          <w:sz w:val="20"/>
          <w:szCs w:val="20"/>
          <w:lang w:val="en-US"/>
        </w:rPr>
        <w:t xml:space="preserve"> use).</w:t>
      </w:r>
      <w:r w:rsidR="00BB0631" w:rsidRPr="009107E5">
        <w:rPr>
          <w:rFonts w:ascii="Arial" w:hAnsi="Arial" w:cs="Arial"/>
          <w:sz w:val="20"/>
          <w:szCs w:val="20"/>
          <w:lang w:val="en-US"/>
        </w:rPr>
        <w:t xml:space="preserve"> </w:t>
      </w:r>
      <w:r w:rsidRPr="009107E5">
        <w:rPr>
          <w:rFonts w:ascii="Arial" w:hAnsi="Arial" w:cs="Arial"/>
          <w:sz w:val="20"/>
          <w:szCs w:val="20"/>
          <w:lang w:val="en-US"/>
        </w:rPr>
        <w:t>A total of 73 previously treated pediatric patients (</w:t>
      </w:r>
      <w:proofErr w:type="gramStart"/>
      <w:r w:rsidR="006E4F51" w:rsidRPr="009107E5">
        <w:rPr>
          <w:rFonts w:ascii="Arial" w:hAnsi="Arial" w:cs="Arial"/>
          <w:sz w:val="20"/>
          <w:szCs w:val="20"/>
          <w:lang w:val="en-US"/>
        </w:rPr>
        <w:t>n  =</w:t>
      </w:r>
      <w:proofErr w:type="gramEnd"/>
      <w:r w:rsidR="006E4F51" w:rsidRPr="009107E5">
        <w:rPr>
          <w:rFonts w:ascii="Arial" w:hAnsi="Arial" w:cs="Arial"/>
          <w:sz w:val="20"/>
          <w:szCs w:val="20"/>
          <w:lang w:val="en-US"/>
        </w:rPr>
        <w:t xml:space="preserve"> </w:t>
      </w:r>
      <w:r w:rsidRPr="009107E5">
        <w:rPr>
          <w:rFonts w:ascii="Arial" w:hAnsi="Arial" w:cs="Arial"/>
          <w:sz w:val="20"/>
          <w:szCs w:val="20"/>
          <w:lang w:val="en-US"/>
        </w:rPr>
        <w:t xml:space="preserve">44 </w:t>
      </w:r>
      <w:r w:rsidR="006E4F51" w:rsidRPr="009107E5">
        <w:rPr>
          <w:rFonts w:ascii="Arial" w:hAnsi="Arial" w:cs="Arial"/>
          <w:sz w:val="20"/>
          <w:szCs w:val="20"/>
          <w:lang w:val="en-US"/>
        </w:rPr>
        <w:t xml:space="preserve"> aged </w:t>
      </w:r>
      <w:r w:rsidRPr="009107E5">
        <w:rPr>
          <w:rFonts w:ascii="Arial" w:hAnsi="Arial" w:cs="Arial"/>
          <w:sz w:val="20"/>
          <w:szCs w:val="20"/>
          <w:lang w:val="en-US"/>
        </w:rPr>
        <w:t xml:space="preserve">&lt; 6 years and </w:t>
      </w:r>
      <w:r w:rsidR="006E4F51" w:rsidRPr="009107E5">
        <w:rPr>
          <w:rFonts w:ascii="Arial" w:hAnsi="Arial" w:cs="Arial"/>
          <w:sz w:val="20"/>
          <w:szCs w:val="20"/>
          <w:lang w:val="en-US"/>
        </w:rPr>
        <w:t xml:space="preserve">n = </w:t>
      </w:r>
      <w:r w:rsidRPr="009107E5">
        <w:rPr>
          <w:rFonts w:ascii="Arial" w:hAnsi="Arial" w:cs="Arial"/>
          <w:sz w:val="20"/>
          <w:szCs w:val="20"/>
          <w:lang w:val="en-US"/>
        </w:rPr>
        <w:t xml:space="preserve">29 </w:t>
      </w:r>
      <w:r w:rsidR="006E4F51" w:rsidRPr="009107E5">
        <w:rPr>
          <w:rFonts w:ascii="Arial" w:hAnsi="Arial" w:cs="Arial"/>
          <w:sz w:val="20"/>
          <w:szCs w:val="20"/>
          <w:lang w:val="en-US"/>
        </w:rPr>
        <w:t xml:space="preserve"> aged </w:t>
      </w:r>
      <w:r w:rsidRPr="009107E5">
        <w:rPr>
          <w:rFonts w:ascii="Arial" w:hAnsi="Arial" w:cs="Arial"/>
          <w:sz w:val="20"/>
          <w:szCs w:val="20"/>
          <w:lang w:val="en-US"/>
        </w:rPr>
        <w:t>6 to &lt; 12 years) received prophylaxis treatment twice weekly, every 5 days or every 7 days in the</w:t>
      </w:r>
      <w:r w:rsidR="00BB0631" w:rsidRPr="009107E5">
        <w:rPr>
          <w:rFonts w:ascii="Arial" w:hAnsi="Arial" w:cs="Arial"/>
          <w:sz w:val="20"/>
          <w:szCs w:val="20"/>
          <w:lang w:val="en-US"/>
        </w:rPr>
        <w:t xml:space="preserve"> </w:t>
      </w:r>
      <w:r w:rsidRPr="009107E5">
        <w:rPr>
          <w:rFonts w:ascii="Arial" w:hAnsi="Arial" w:cs="Arial"/>
          <w:sz w:val="20"/>
          <w:szCs w:val="20"/>
          <w:lang w:val="en-US"/>
        </w:rPr>
        <w:t xml:space="preserve">phase III study. For 53 patients who completed the main study, the median (Q1; Q3) </w:t>
      </w:r>
      <w:r w:rsidR="00BB0631" w:rsidRPr="009107E5">
        <w:rPr>
          <w:rFonts w:ascii="Arial" w:hAnsi="Arial" w:cs="Arial"/>
          <w:sz w:val="20"/>
          <w:szCs w:val="20"/>
          <w:lang w:val="en-US"/>
        </w:rPr>
        <w:t xml:space="preserve">annualized </w:t>
      </w:r>
      <w:r w:rsidRPr="009107E5">
        <w:rPr>
          <w:rFonts w:ascii="Arial" w:hAnsi="Arial" w:cs="Arial"/>
          <w:sz w:val="20"/>
          <w:szCs w:val="20"/>
          <w:lang w:val="en-US"/>
        </w:rPr>
        <w:t>bleeding rate was 2.87 (1.1; 6.1) and the spontaneous ABR was 0.0 (0.0; 2.6). For treatment of bleeds,</w:t>
      </w:r>
      <w:r w:rsidR="00BB0631" w:rsidRPr="009107E5">
        <w:rPr>
          <w:rFonts w:ascii="Arial" w:hAnsi="Arial" w:cs="Arial"/>
          <w:sz w:val="20"/>
          <w:szCs w:val="20"/>
          <w:lang w:val="en-US"/>
        </w:rPr>
        <w:t xml:space="preserve"> </w:t>
      </w:r>
      <w:r w:rsidRPr="009107E5">
        <w:rPr>
          <w:rFonts w:ascii="Arial" w:hAnsi="Arial" w:cs="Arial"/>
          <w:sz w:val="20"/>
          <w:szCs w:val="20"/>
          <w:lang w:val="en-US"/>
        </w:rPr>
        <w:t>84.4 % of the bleeds were resolved with 1 injection, and 91.9% of the bleeds were resolved with</w:t>
      </w:r>
      <w:r w:rsidR="00BB0631" w:rsidRPr="009107E5">
        <w:rPr>
          <w:rFonts w:ascii="Arial" w:hAnsi="Arial" w:cs="Arial"/>
          <w:sz w:val="20"/>
          <w:szCs w:val="20"/>
          <w:lang w:val="en-US"/>
        </w:rPr>
        <w:t xml:space="preserve"> </w:t>
      </w:r>
      <w:r w:rsidRPr="009107E5">
        <w:rPr>
          <w:rFonts w:ascii="Arial" w:hAnsi="Arial" w:cs="Arial"/>
          <w:sz w:val="20"/>
          <w:szCs w:val="20"/>
          <w:lang w:val="en-US"/>
        </w:rPr>
        <w:t>1 or 2 injections.</w:t>
      </w:r>
      <w:r w:rsidR="00BB0631" w:rsidRPr="009107E5">
        <w:rPr>
          <w:rFonts w:ascii="Arial" w:hAnsi="Arial" w:cs="Arial"/>
          <w:sz w:val="20"/>
          <w:szCs w:val="20"/>
          <w:lang w:val="en-US"/>
        </w:rPr>
        <w:t xml:space="preserve"> </w:t>
      </w:r>
    </w:p>
    <w:p w14:paraId="1880BDB5" w14:textId="77777777" w:rsidR="00B80E14" w:rsidRPr="009107E5" w:rsidRDefault="00B80E14" w:rsidP="00AD0441">
      <w:pPr>
        <w:rPr>
          <w:rFonts w:ascii="Arial" w:hAnsi="Arial" w:cs="Arial"/>
          <w:sz w:val="20"/>
          <w:szCs w:val="20"/>
        </w:rPr>
      </w:pPr>
    </w:p>
    <w:p w14:paraId="4D4113EC" w14:textId="77777777" w:rsidR="001A3992" w:rsidRPr="009107E5" w:rsidRDefault="001A3992" w:rsidP="00AD0441">
      <w:pPr>
        <w:pStyle w:val="Heading2"/>
        <w:keepNext/>
        <w:spacing w:before="0" w:after="120"/>
        <w:rPr>
          <w:rFonts w:ascii="Arial" w:hAnsi="Arial" w:cs="Arial"/>
          <w:sz w:val="20"/>
          <w:szCs w:val="20"/>
        </w:rPr>
      </w:pPr>
      <w:bookmarkStart w:id="6" w:name="_Ref34660860"/>
      <w:r w:rsidRPr="009107E5">
        <w:rPr>
          <w:rFonts w:ascii="Arial" w:hAnsi="Arial" w:cs="Arial"/>
          <w:sz w:val="20"/>
          <w:szCs w:val="20"/>
        </w:rPr>
        <w:t>Pharmacokinetic properties</w:t>
      </w:r>
      <w:bookmarkEnd w:id="6"/>
      <w:r w:rsidRPr="009107E5">
        <w:rPr>
          <w:rFonts w:ascii="Arial" w:hAnsi="Arial" w:cs="Arial"/>
          <w:sz w:val="20"/>
          <w:szCs w:val="20"/>
        </w:rPr>
        <w:t xml:space="preserve"> </w:t>
      </w:r>
    </w:p>
    <w:p w14:paraId="12F2ABEE" w14:textId="6D53613A"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The pharmacokinetics (PK) of Jivi was compared to that of factor VIII in a crossover Phase I study.</w:t>
      </w:r>
      <w:r w:rsidR="00BB0631" w:rsidRPr="009107E5">
        <w:rPr>
          <w:rFonts w:ascii="Arial" w:hAnsi="Arial" w:cs="Arial"/>
          <w:sz w:val="20"/>
          <w:szCs w:val="20"/>
          <w:lang w:val="en-US"/>
        </w:rPr>
        <w:t xml:space="preserve"> </w:t>
      </w:r>
      <w:r w:rsidRPr="009107E5">
        <w:rPr>
          <w:rFonts w:ascii="Arial" w:hAnsi="Arial" w:cs="Arial"/>
          <w:sz w:val="20"/>
          <w:szCs w:val="20"/>
          <w:lang w:val="en-US"/>
        </w:rPr>
        <w:t>PK was also evaluated in 22 subjects (</w:t>
      </w:r>
      <w:r w:rsidRPr="009107E5">
        <w:rPr>
          <w:rFonts w:ascii="Arial" w:eastAsia="TimesNewRomanPSMT" w:hAnsi="Arial" w:cs="Arial"/>
          <w:sz w:val="20"/>
          <w:szCs w:val="20"/>
          <w:lang w:val="en-US"/>
        </w:rPr>
        <w:t>≥</w:t>
      </w:r>
      <w:r w:rsidRPr="009107E5">
        <w:rPr>
          <w:rFonts w:ascii="Arial" w:hAnsi="Arial" w:cs="Arial"/>
          <w:sz w:val="20"/>
          <w:szCs w:val="20"/>
          <w:lang w:val="en-US"/>
        </w:rPr>
        <w:t xml:space="preserve">12 </w:t>
      </w:r>
      <w:proofErr w:type="spellStart"/>
      <w:r w:rsidRPr="009107E5">
        <w:rPr>
          <w:rFonts w:ascii="Arial" w:hAnsi="Arial" w:cs="Arial"/>
          <w:sz w:val="20"/>
          <w:szCs w:val="20"/>
          <w:lang w:val="en-US"/>
        </w:rPr>
        <w:t>yrs</w:t>
      </w:r>
      <w:proofErr w:type="spellEnd"/>
      <w:r w:rsidRPr="009107E5">
        <w:rPr>
          <w:rFonts w:ascii="Arial" w:hAnsi="Arial" w:cs="Arial"/>
          <w:sz w:val="20"/>
          <w:szCs w:val="20"/>
          <w:lang w:val="en-US"/>
        </w:rPr>
        <w:t>) and in 16 of these subjects after 6 months of</w:t>
      </w:r>
      <w:r w:rsidR="00BB0631" w:rsidRPr="009107E5">
        <w:rPr>
          <w:rFonts w:ascii="Arial" w:hAnsi="Arial" w:cs="Arial"/>
          <w:sz w:val="20"/>
          <w:szCs w:val="20"/>
          <w:lang w:val="en-US"/>
        </w:rPr>
        <w:t xml:space="preserve"> </w:t>
      </w:r>
      <w:r w:rsidRPr="009107E5">
        <w:rPr>
          <w:rFonts w:ascii="Arial" w:hAnsi="Arial" w:cs="Arial"/>
          <w:sz w:val="20"/>
          <w:szCs w:val="20"/>
          <w:lang w:val="en-US"/>
        </w:rPr>
        <w:t>prophylaxis treatment in the Phase II/III study.</w:t>
      </w:r>
    </w:p>
    <w:p w14:paraId="046CBA77" w14:textId="5B4EFED9"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The PK data (based on chromogenic assay) indicated that Jivi has a reduced clearance (CL), resulting in a terminal half-life that is 1.4-fold longer and a dose normalized AUC which is 1.4-fold higher, as compared to the comparative factor VIII product. Dose proportional increases were observed between the doses of 25 and 60 IU/kg indicating dose linearity between 25 IU/kg and 60 IU/kg. Table 3 summarizes the PK parameters after single dose of 60 IU/kg from the Phase II/III study where PK was evaluated in 22 subjects. Repeated PK measurements did not indicate any relevant changes in PK characteristics after long-term treatment.</w:t>
      </w:r>
    </w:p>
    <w:p w14:paraId="5A3A0A25" w14:textId="77777777" w:rsidR="00284424" w:rsidRPr="009107E5" w:rsidRDefault="00284424" w:rsidP="00AD0441">
      <w:pPr>
        <w:autoSpaceDE w:val="0"/>
        <w:autoSpaceDN w:val="0"/>
        <w:adjustRightInd w:val="0"/>
        <w:spacing w:line="240" w:lineRule="auto"/>
        <w:rPr>
          <w:rFonts w:ascii="Arial" w:hAnsi="Arial" w:cs="Arial"/>
          <w:b/>
          <w:bCs/>
          <w:sz w:val="20"/>
          <w:szCs w:val="20"/>
          <w:lang w:val="en-US"/>
        </w:rPr>
      </w:pPr>
    </w:p>
    <w:p w14:paraId="566CBC26" w14:textId="57A3AA2A" w:rsidR="00284424" w:rsidRPr="009107E5" w:rsidRDefault="00284424" w:rsidP="00AD0441">
      <w:pPr>
        <w:autoSpaceDE w:val="0"/>
        <w:autoSpaceDN w:val="0"/>
        <w:adjustRightInd w:val="0"/>
        <w:spacing w:line="240" w:lineRule="auto"/>
        <w:rPr>
          <w:rFonts w:ascii="Arial" w:hAnsi="Arial" w:cs="Arial"/>
          <w:b/>
          <w:bCs/>
          <w:sz w:val="20"/>
          <w:szCs w:val="20"/>
          <w:lang w:val="en-US"/>
        </w:rPr>
      </w:pPr>
      <w:r w:rsidRPr="009107E5">
        <w:rPr>
          <w:rFonts w:ascii="Arial" w:hAnsi="Arial" w:cs="Arial"/>
          <w:b/>
          <w:bCs/>
          <w:sz w:val="20"/>
          <w:szCs w:val="20"/>
          <w:lang w:val="en-US"/>
        </w:rPr>
        <w:t>Table 3: Pharmacokinetic parameters (geometric mean (%CV) and arithmetic mean (</w:t>
      </w:r>
      <w:r w:rsidR="00BB0631" w:rsidRPr="009107E5">
        <w:rPr>
          <w:rFonts w:ascii="Arial" w:eastAsia="SymbolMT" w:hAnsi="Arial" w:cs="Arial"/>
          <w:sz w:val="20"/>
          <w:szCs w:val="20"/>
          <w:lang w:val="en-US"/>
        </w:rPr>
        <w:t>±</w:t>
      </w:r>
      <w:r w:rsidRPr="009107E5">
        <w:rPr>
          <w:rFonts w:ascii="Arial" w:hAnsi="Arial" w:cs="Arial"/>
          <w:b/>
          <w:bCs/>
          <w:sz w:val="20"/>
          <w:szCs w:val="20"/>
          <w:lang w:val="en-US"/>
        </w:rPr>
        <w:t>SD)) for</w:t>
      </w:r>
      <w:r w:rsidR="00BB0631" w:rsidRPr="009107E5">
        <w:rPr>
          <w:rFonts w:ascii="Arial" w:hAnsi="Arial" w:cs="Arial"/>
          <w:b/>
          <w:bCs/>
          <w:sz w:val="20"/>
          <w:szCs w:val="20"/>
          <w:lang w:val="en-US"/>
        </w:rPr>
        <w:t xml:space="preserve"> </w:t>
      </w:r>
      <w:r w:rsidRPr="009107E5">
        <w:rPr>
          <w:rFonts w:ascii="Arial" w:hAnsi="Arial" w:cs="Arial"/>
          <w:b/>
          <w:bCs/>
          <w:sz w:val="20"/>
          <w:szCs w:val="20"/>
          <w:lang w:val="en-US"/>
        </w:rPr>
        <w:t>Jivi following a single 60 IU/kg dose based on chromogenic assay.</w:t>
      </w:r>
    </w:p>
    <w:tbl>
      <w:tblPr>
        <w:tblStyle w:val="TableGrid"/>
        <w:tblW w:w="0" w:type="auto"/>
        <w:tblLook w:val="04A0" w:firstRow="1" w:lastRow="0" w:firstColumn="1" w:lastColumn="0" w:noHBand="0" w:noVBand="1"/>
      </w:tblPr>
      <w:tblGrid>
        <w:gridCol w:w="4508"/>
        <w:gridCol w:w="4508"/>
      </w:tblGrid>
      <w:tr w:rsidR="00284424" w:rsidRPr="009107E5" w14:paraId="39E9F140" w14:textId="77777777" w:rsidTr="004D21FD">
        <w:tc>
          <w:tcPr>
            <w:tcW w:w="4508" w:type="dxa"/>
          </w:tcPr>
          <w:p w14:paraId="247AEC53" w14:textId="77777777" w:rsidR="00284424" w:rsidRPr="009107E5" w:rsidRDefault="00284424" w:rsidP="00AD0441">
            <w:pPr>
              <w:rPr>
                <w:rFonts w:ascii="Arial" w:hAnsi="Arial" w:cs="Arial"/>
                <w:sz w:val="20"/>
                <w:szCs w:val="20"/>
              </w:rPr>
            </w:pPr>
            <w:r w:rsidRPr="009107E5">
              <w:rPr>
                <w:rFonts w:ascii="Arial" w:hAnsi="Arial" w:cs="Arial"/>
                <w:b/>
                <w:bCs/>
                <w:sz w:val="20"/>
                <w:szCs w:val="20"/>
                <w:lang w:val="en-US"/>
              </w:rPr>
              <w:t>Parameters (units)</w:t>
            </w:r>
          </w:p>
        </w:tc>
        <w:tc>
          <w:tcPr>
            <w:tcW w:w="4508" w:type="dxa"/>
          </w:tcPr>
          <w:p w14:paraId="1AC902EC"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b/>
                <w:bCs/>
                <w:sz w:val="20"/>
                <w:szCs w:val="20"/>
                <w:lang w:val="en-US"/>
              </w:rPr>
              <w:t>Jivi</w:t>
            </w:r>
          </w:p>
          <w:p w14:paraId="2C81D840"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b/>
                <w:bCs/>
                <w:sz w:val="20"/>
                <w:szCs w:val="20"/>
                <w:lang w:val="en-US"/>
              </w:rPr>
              <w:t xml:space="preserve">Patients </w:t>
            </w:r>
            <w:r w:rsidRPr="009107E5">
              <w:rPr>
                <w:rFonts w:ascii="Arial" w:eastAsia="TimesNewRomanPS-BoldMT" w:hAnsi="Arial" w:cs="Arial"/>
                <w:b/>
                <w:bCs/>
                <w:sz w:val="20"/>
                <w:szCs w:val="20"/>
                <w:lang w:val="en-US"/>
              </w:rPr>
              <w:t>≥</w:t>
            </w:r>
            <w:r w:rsidRPr="009107E5">
              <w:rPr>
                <w:rFonts w:ascii="Arial" w:hAnsi="Arial" w:cs="Arial"/>
                <w:b/>
                <w:bCs/>
                <w:sz w:val="20"/>
                <w:szCs w:val="20"/>
                <w:lang w:val="en-US"/>
              </w:rPr>
              <w:t>12 years</w:t>
            </w:r>
          </w:p>
          <w:p w14:paraId="0C51D1CA" w14:textId="77777777" w:rsidR="00284424" w:rsidRPr="009107E5" w:rsidRDefault="00284424" w:rsidP="00AD0441">
            <w:pPr>
              <w:rPr>
                <w:rFonts w:ascii="Arial" w:hAnsi="Arial" w:cs="Arial"/>
                <w:sz w:val="20"/>
                <w:szCs w:val="20"/>
              </w:rPr>
            </w:pPr>
            <w:r w:rsidRPr="009107E5">
              <w:rPr>
                <w:rFonts w:ascii="Arial" w:hAnsi="Arial" w:cs="Arial"/>
                <w:b/>
                <w:bCs/>
                <w:sz w:val="20"/>
                <w:szCs w:val="20"/>
                <w:lang w:val="en-US"/>
              </w:rPr>
              <w:t>n=22</w:t>
            </w:r>
          </w:p>
        </w:tc>
      </w:tr>
      <w:tr w:rsidR="00284424" w:rsidRPr="009107E5" w14:paraId="3CC45B65" w14:textId="77777777" w:rsidTr="004D21FD">
        <w:tc>
          <w:tcPr>
            <w:tcW w:w="4508" w:type="dxa"/>
          </w:tcPr>
          <w:p w14:paraId="5ED8E6EF" w14:textId="77777777" w:rsidR="00284424" w:rsidRPr="009107E5" w:rsidRDefault="00284424" w:rsidP="00AD0441">
            <w:pPr>
              <w:rPr>
                <w:rFonts w:ascii="Arial" w:hAnsi="Arial" w:cs="Arial"/>
                <w:sz w:val="20"/>
                <w:szCs w:val="20"/>
              </w:rPr>
            </w:pPr>
            <w:r w:rsidRPr="009107E5">
              <w:rPr>
                <w:rFonts w:ascii="Arial" w:hAnsi="Arial" w:cs="Arial"/>
                <w:b/>
                <w:bCs/>
                <w:sz w:val="20"/>
                <w:szCs w:val="20"/>
                <w:lang w:val="en-US"/>
              </w:rPr>
              <w:t>AUC (IU*h/dL)</w:t>
            </w:r>
          </w:p>
        </w:tc>
        <w:tc>
          <w:tcPr>
            <w:tcW w:w="4508" w:type="dxa"/>
          </w:tcPr>
          <w:p w14:paraId="422051FD" w14:textId="77777777" w:rsidR="00284424" w:rsidRPr="009107E5" w:rsidRDefault="00284424"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3710 (33.8)</w:t>
            </w:r>
          </w:p>
          <w:p w14:paraId="6CF637B7" w14:textId="77777777" w:rsidR="00284424" w:rsidRPr="009107E5" w:rsidRDefault="00284424" w:rsidP="00AD0441">
            <w:pPr>
              <w:rPr>
                <w:rFonts w:ascii="Arial" w:hAnsi="Arial" w:cs="Arial"/>
                <w:sz w:val="20"/>
                <w:szCs w:val="20"/>
              </w:rPr>
            </w:pPr>
            <w:r w:rsidRPr="009107E5">
              <w:rPr>
                <w:rFonts w:ascii="Arial" w:hAnsi="Arial" w:cs="Arial"/>
                <w:sz w:val="20"/>
                <w:szCs w:val="20"/>
                <w:lang w:val="en-US"/>
              </w:rPr>
              <w:t>3900 ± 1280</w:t>
            </w:r>
          </w:p>
        </w:tc>
      </w:tr>
      <w:tr w:rsidR="00284424" w:rsidRPr="009107E5" w14:paraId="3C06B542" w14:textId="77777777" w:rsidTr="004D21FD">
        <w:tc>
          <w:tcPr>
            <w:tcW w:w="4508" w:type="dxa"/>
          </w:tcPr>
          <w:p w14:paraId="53F30B88" w14:textId="77777777" w:rsidR="00284424" w:rsidRPr="009107E5" w:rsidRDefault="00284424" w:rsidP="00AD0441">
            <w:pPr>
              <w:rPr>
                <w:rFonts w:ascii="Arial" w:hAnsi="Arial" w:cs="Arial"/>
                <w:sz w:val="20"/>
                <w:szCs w:val="20"/>
                <w:lang w:val="de-DE"/>
              </w:rPr>
            </w:pPr>
            <w:r w:rsidRPr="009107E5">
              <w:rPr>
                <w:rFonts w:ascii="Arial" w:hAnsi="Arial" w:cs="Arial"/>
                <w:b/>
                <w:bCs/>
                <w:sz w:val="20"/>
                <w:szCs w:val="20"/>
                <w:lang w:val="de-DE"/>
              </w:rPr>
              <w:t>AUC, norm (h*kg/dL)</w:t>
            </w:r>
          </w:p>
        </w:tc>
        <w:tc>
          <w:tcPr>
            <w:tcW w:w="4508" w:type="dxa"/>
          </w:tcPr>
          <w:p w14:paraId="2E0E3214" w14:textId="77777777" w:rsidR="00284424" w:rsidRPr="009107E5" w:rsidRDefault="00284424"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62.5 (33.7)</w:t>
            </w:r>
          </w:p>
          <w:p w14:paraId="71A402A7" w14:textId="77777777" w:rsidR="00284424" w:rsidRPr="009107E5" w:rsidRDefault="00284424" w:rsidP="00AD0441">
            <w:pPr>
              <w:rPr>
                <w:rFonts w:ascii="Arial" w:hAnsi="Arial" w:cs="Arial"/>
                <w:sz w:val="20"/>
                <w:szCs w:val="20"/>
              </w:rPr>
            </w:pPr>
            <w:r w:rsidRPr="009107E5">
              <w:rPr>
                <w:rFonts w:ascii="Arial" w:hAnsi="Arial" w:cs="Arial"/>
                <w:sz w:val="20"/>
                <w:szCs w:val="20"/>
                <w:lang w:val="en-US"/>
              </w:rPr>
              <w:t>65.7 ± 21.4</w:t>
            </w:r>
          </w:p>
        </w:tc>
      </w:tr>
      <w:tr w:rsidR="00284424" w:rsidRPr="009107E5" w14:paraId="496F17A3" w14:textId="77777777" w:rsidTr="004D21FD">
        <w:tc>
          <w:tcPr>
            <w:tcW w:w="4508" w:type="dxa"/>
          </w:tcPr>
          <w:p w14:paraId="686470BA" w14:textId="77777777" w:rsidR="00284424" w:rsidRPr="009107E5" w:rsidRDefault="00284424" w:rsidP="00AD0441">
            <w:pPr>
              <w:rPr>
                <w:rFonts w:ascii="Arial" w:hAnsi="Arial" w:cs="Arial"/>
                <w:sz w:val="20"/>
                <w:szCs w:val="20"/>
              </w:rPr>
            </w:pPr>
            <w:proofErr w:type="spellStart"/>
            <w:r w:rsidRPr="009107E5">
              <w:rPr>
                <w:rFonts w:ascii="Arial" w:hAnsi="Arial" w:cs="Arial"/>
                <w:b/>
                <w:bCs/>
                <w:sz w:val="20"/>
                <w:szCs w:val="20"/>
                <w:lang w:val="en-US"/>
              </w:rPr>
              <w:t>Cmax</w:t>
            </w:r>
            <w:proofErr w:type="spellEnd"/>
            <w:r w:rsidRPr="009107E5">
              <w:rPr>
                <w:rFonts w:ascii="Arial" w:hAnsi="Arial" w:cs="Arial"/>
                <w:b/>
                <w:bCs/>
                <w:sz w:val="20"/>
                <w:szCs w:val="20"/>
                <w:lang w:val="en-US"/>
              </w:rPr>
              <w:t xml:space="preserve"> (IU/dL)</w:t>
            </w:r>
          </w:p>
        </w:tc>
        <w:tc>
          <w:tcPr>
            <w:tcW w:w="4508" w:type="dxa"/>
          </w:tcPr>
          <w:p w14:paraId="704581E9" w14:textId="77777777" w:rsidR="00284424" w:rsidRPr="009107E5" w:rsidRDefault="00284424"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163 (14.7)</w:t>
            </w:r>
          </w:p>
          <w:p w14:paraId="3595A887" w14:textId="77777777" w:rsidR="00284424" w:rsidRPr="009107E5" w:rsidRDefault="00284424" w:rsidP="00AD0441">
            <w:pPr>
              <w:rPr>
                <w:rFonts w:ascii="Arial" w:hAnsi="Arial" w:cs="Arial"/>
                <w:sz w:val="20"/>
                <w:szCs w:val="20"/>
              </w:rPr>
            </w:pPr>
            <w:r w:rsidRPr="009107E5">
              <w:rPr>
                <w:rFonts w:ascii="Arial" w:hAnsi="Arial" w:cs="Arial"/>
                <w:sz w:val="20"/>
                <w:szCs w:val="20"/>
                <w:lang w:val="en-US"/>
              </w:rPr>
              <w:t>164 ± 23.8</w:t>
            </w:r>
          </w:p>
        </w:tc>
      </w:tr>
      <w:tr w:rsidR="00284424" w:rsidRPr="009107E5" w14:paraId="35EEED60" w14:textId="77777777" w:rsidTr="004D21FD">
        <w:tc>
          <w:tcPr>
            <w:tcW w:w="4508" w:type="dxa"/>
          </w:tcPr>
          <w:p w14:paraId="45EAA4D4" w14:textId="77777777" w:rsidR="00284424" w:rsidRPr="009107E5" w:rsidRDefault="00284424" w:rsidP="00AD0441">
            <w:pPr>
              <w:rPr>
                <w:rFonts w:ascii="Arial" w:hAnsi="Arial" w:cs="Arial"/>
                <w:sz w:val="20"/>
                <w:szCs w:val="20"/>
              </w:rPr>
            </w:pPr>
            <w:r w:rsidRPr="009107E5">
              <w:rPr>
                <w:rFonts w:ascii="Arial" w:hAnsi="Arial" w:cs="Arial"/>
                <w:b/>
                <w:bCs/>
                <w:sz w:val="20"/>
                <w:szCs w:val="20"/>
                <w:lang w:val="en-US"/>
              </w:rPr>
              <w:t>t½ (h)</w:t>
            </w:r>
          </w:p>
        </w:tc>
        <w:tc>
          <w:tcPr>
            <w:tcW w:w="4508" w:type="dxa"/>
          </w:tcPr>
          <w:p w14:paraId="55C21FF9" w14:textId="77777777" w:rsidR="00284424" w:rsidRPr="009107E5" w:rsidRDefault="00284424"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17.1 (27.1)</w:t>
            </w:r>
          </w:p>
          <w:p w14:paraId="13516DD3" w14:textId="77777777" w:rsidR="00284424" w:rsidRPr="009107E5" w:rsidRDefault="00284424" w:rsidP="00AD0441">
            <w:pPr>
              <w:rPr>
                <w:rFonts w:ascii="Arial" w:hAnsi="Arial" w:cs="Arial"/>
                <w:sz w:val="20"/>
                <w:szCs w:val="20"/>
              </w:rPr>
            </w:pPr>
            <w:r w:rsidRPr="009107E5">
              <w:rPr>
                <w:rFonts w:ascii="Arial" w:hAnsi="Arial" w:cs="Arial"/>
                <w:sz w:val="20"/>
                <w:szCs w:val="20"/>
                <w:lang w:val="en-US"/>
              </w:rPr>
              <w:t>17.6 ± 4.26</w:t>
            </w:r>
          </w:p>
        </w:tc>
      </w:tr>
      <w:tr w:rsidR="00284424" w:rsidRPr="009107E5" w14:paraId="1C75C8B6" w14:textId="77777777" w:rsidTr="004D21FD">
        <w:tc>
          <w:tcPr>
            <w:tcW w:w="4508" w:type="dxa"/>
          </w:tcPr>
          <w:p w14:paraId="2A155EC8" w14:textId="77777777" w:rsidR="00284424" w:rsidRPr="009107E5" w:rsidRDefault="00284424" w:rsidP="00AD0441">
            <w:pPr>
              <w:rPr>
                <w:rFonts w:ascii="Arial" w:hAnsi="Arial" w:cs="Arial"/>
                <w:sz w:val="20"/>
                <w:szCs w:val="20"/>
              </w:rPr>
            </w:pPr>
            <w:r w:rsidRPr="009107E5">
              <w:rPr>
                <w:rFonts w:ascii="Arial" w:hAnsi="Arial" w:cs="Arial"/>
                <w:b/>
                <w:bCs/>
                <w:sz w:val="20"/>
                <w:szCs w:val="20"/>
                <w:lang w:val="en-US"/>
              </w:rPr>
              <w:t>MRTIV (h)</w:t>
            </w:r>
          </w:p>
        </w:tc>
        <w:tc>
          <w:tcPr>
            <w:tcW w:w="4508" w:type="dxa"/>
          </w:tcPr>
          <w:p w14:paraId="10E1EF82" w14:textId="77777777" w:rsidR="00284424" w:rsidRPr="009107E5" w:rsidRDefault="00284424"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24.4 (27.5)</w:t>
            </w:r>
          </w:p>
          <w:p w14:paraId="46AE0154" w14:textId="77777777" w:rsidR="00284424" w:rsidRPr="009107E5" w:rsidRDefault="00284424" w:rsidP="00AD0441">
            <w:pPr>
              <w:rPr>
                <w:rFonts w:ascii="Arial" w:hAnsi="Arial" w:cs="Arial"/>
                <w:sz w:val="20"/>
                <w:szCs w:val="20"/>
              </w:rPr>
            </w:pPr>
            <w:r w:rsidRPr="009107E5">
              <w:rPr>
                <w:rFonts w:ascii="Arial" w:hAnsi="Arial" w:cs="Arial"/>
                <w:sz w:val="20"/>
                <w:szCs w:val="20"/>
                <w:lang w:val="en-US"/>
              </w:rPr>
              <w:t>25.2 ± 6.19</w:t>
            </w:r>
          </w:p>
        </w:tc>
      </w:tr>
      <w:tr w:rsidR="00284424" w:rsidRPr="009107E5" w14:paraId="080F4A10" w14:textId="77777777" w:rsidTr="004D21FD">
        <w:tc>
          <w:tcPr>
            <w:tcW w:w="4508" w:type="dxa"/>
          </w:tcPr>
          <w:p w14:paraId="6DA1B5BF" w14:textId="77777777" w:rsidR="00284424" w:rsidRPr="009107E5" w:rsidRDefault="00284424" w:rsidP="00AD0441">
            <w:pPr>
              <w:rPr>
                <w:rFonts w:ascii="Arial" w:hAnsi="Arial" w:cs="Arial"/>
                <w:sz w:val="20"/>
                <w:szCs w:val="20"/>
              </w:rPr>
            </w:pPr>
            <w:proofErr w:type="spellStart"/>
            <w:r w:rsidRPr="009107E5">
              <w:rPr>
                <w:rFonts w:ascii="Arial" w:hAnsi="Arial" w:cs="Arial"/>
                <w:b/>
                <w:bCs/>
                <w:sz w:val="20"/>
                <w:szCs w:val="20"/>
                <w:lang w:val="en-US"/>
              </w:rPr>
              <w:t>Vss</w:t>
            </w:r>
            <w:proofErr w:type="spellEnd"/>
            <w:r w:rsidRPr="009107E5">
              <w:rPr>
                <w:rFonts w:ascii="Arial" w:hAnsi="Arial" w:cs="Arial"/>
                <w:b/>
                <w:bCs/>
                <w:sz w:val="20"/>
                <w:szCs w:val="20"/>
                <w:lang w:val="en-US"/>
              </w:rPr>
              <w:t xml:space="preserve"> (dL/kg)</w:t>
            </w:r>
          </w:p>
        </w:tc>
        <w:tc>
          <w:tcPr>
            <w:tcW w:w="4508" w:type="dxa"/>
          </w:tcPr>
          <w:p w14:paraId="6FC65319" w14:textId="77777777" w:rsidR="00284424" w:rsidRPr="009107E5" w:rsidRDefault="00284424"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0.391 (16.3)</w:t>
            </w:r>
          </w:p>
          <w:p w14:paraId="266EE9E2" w14:textId="77777777" w:rsidR="00284424" w:rsidRPr="009107E5" w:rsidRDefault="00284424" w:rsidP="00AD0441">
            <w:pPr>
              <w:rPr>
                <w:rFonts w:ascii="Arial" w:hAnsi="Arial" w:cs="Arial"/>
                <w:sz w:val="20"/>
                <w:szCs w:val="20"/>
              </w:rPr>
            </w:pPr>
            <w:r w:rsidRPr="009107E5">
              <w:rPr>
                <w:rFonts w:ascii="Arial" w:hAnsi="Arial" w:cs="Arial"/>
                <w:sz w:val="20"/>
                <w:szCs w:val="20"/>
                <w:lang w:val="en-US"/>
              </w:rPr>
              <w:t>0.396 ± 0.0631</w:t>
            </w:r>
          </w:p>
        </w:tc>
      </w:tr>
      <w:tr w:rsidR="00284424" w:rsidRPr="009107E5" w14:paraId="0B902578" w14:textId="77777777" w:rsidTr="004D21FD">
        <w:tc>
          <w:tcPr>
            <w:tcW w:w="4508" w:type="dxa"/>
          </w:tcPr>
          <w:p w14:paraId="4D98FBD0" w14:textId="77777777" w:rsidR="00284424" w:rsidRPr="009107E5" w:rsidRDefault="00284424" w:rsidP="00AD0441">
            <w:pPr>
              <w:rPr>
                <w:rFonts w:ascii="Arial" w:hAnsi="Arial" w:cs="Arial"/>
                <w:sz w:val="20"/>
                <w:szCs w:val="20"/>
              </w:rPr>
            </w:pPr>
            <w:r w:rsidRPr="009107E5">
              <w:rPr>
                <w:rFonts w:ascii="Arial" w:hAnsi="Arial" w:cs="Arial"/>
                <w:b/>
                <w:bCs/>
                <w:sz w:val="20"/>
                <w:szCs w:val="20"/>
                <w:lang w:val="en-US"/>
              </w:rPr>
              <w:t>CL (dL/h/kg)</w:t>
            </w:r>
          </w:p>
        </w:tc>
        <w:tc>
          <w:tcPr>
            <w:tcW w:w="4508" w:type="dxa"/>
          </w:tcPr>
          <w:p w14:paraId="010136A7" w14:textId="77777777" w:rsidR="00284424" w:rsidRPr="009107E5" w:rsidRDefault="00284424"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0.0160 (33.7)</w:t>
            </w:r>
          </w:p>
          <w:p w14:paraId="269A6136" w14:textId="77777777" w:rsidR="00284424" w:rsidRPr="009107E5" w:rsidRDefault="00284424" w:rsidP="00AD0441">
            <w:pPr>
              <w:rPr>
                <w:rFonts w:ascii="Arial" w:hAnsi="Arial" w:cs="Arial"/>
                <w:sz w:val="20"/>
                <w:szCs w:val="20"/>
              </w:rPr>
            </w:pPr>
            <w:r w:rsidRPr="009107E5">
              <w:rPr>
                <w:rFonts w:ascii="Arial" w:hAnsi="Arial" w:cs="Arial"/>
                <w:sz w:val="20"/>
                <w:szCs w:val="20"/>
                <w:lang w:val="en-US"/>
              </w:rPr>
              <w:t>0.0168 ± 0.00553</w:t>
            </w:r>
          </w:p>
        </w:tc>
      </w:tr>
    </w:tbl>
    <w:p w14:paraId="33FA2B33" w14:textId="77777777" w:rsidR="00284424" w:rsidRPr="009107E5" w:rsidRDefault="00284424" w:rsidP="00AD0441">
      <w:pPr>
        <w:rPr>
          <w:rFonts w:ascii="Arial" w:hAnsi="Arial" w:cs="Arial"/>
          <w:sz w:val="20"/>
          <w:szCs w:val="20"/>
        </w:rPr>
      </w:pPr>
    </w:p>
    <w:p w14:paraId="1F580102"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AUC: area under the curve; AUC, norm: dose normalized AUC </w:t>
      </w:r>
      <w:proofErr w:type="spellStart"/>
      <w:r w:rsidRPr="009107E5">
        <w:rPr>
          <w:rFonts w:ascii="Arial" w:hAnsi="Arial" w:cs="Arial"/>
          <w:sz w:val="20"/>
          <w:szCs w:val="20"/>
          <w:lang w:val="en-US"/>
        </w:rPr>
        <w:t>Cmax</w:t>
      </w:r>
      <w:proofErr w:type="spellEnd"/>
      <w:r w:rsidRPr="009107E5">
        <w:rPr>
          <w:rFonts w:ascii="Arial" w:hAnsi="Arial" w:cs="Arial"/>
          <w:sz w:val="20"/>
          <w:szCs w:val="20"/>
          <w:lang w:val="en-US"/>
        </w:rPr>
        <w:t>: maximum drug concentration</w:t>
      </w:r>
      <w:proofErr w:type="gramStart"/>
      <w:r w:rsidRPr="009107E5">
        <w:rPr>
          <w:rFonts w:ascii="Arial" w:hAnsi="Arial" w:cs="Arial"/>
          <w:sz w:val="20"/>
          <w:szCs w:val="20"/>
          <w:lang w:val="en-US"/>
        </w:rPr>
        <w:t>; ,</w:t>
      </w:r>
      <w:proofErr w:type="gramEnd"/>
    </w:p>
    <w:p w14:paraId="0E2B71C6" w14:textId="31058186" w:rsidR="00284424" w:rsidRPr="009107E5" w:rsidRDefault="00284424" w:rsidP="00AD0441">
      <w:pPr>
        <w:autoSpaceDE w:val="0"/>
        <w:autoSpaceDN w:val="0"/>
        <w:adjustRightInd w:val="0"/>
        <w:spacing w:line="240" w:lineRule="auto"/>
        <w:rPr>
          <w:rFonts w:ascii="Arial" w:hAnsi="Arial" w:cs="Arial"/>
          <w:sz w:val="20"/>
          <w:szCs w:val="20"/>
        </w:rPr>
      </w:pPr>
      <w:r w:rsidRPr="009107E5">
        <w:rPr>
          <w:rFonts w:ascii="Arial" w:hAnsi="Arial" w:cs="Arial"/>
          <w:sz w:val="20"/>
          <w:szCs w:val="20"/>
          <w:lang w:val="en-US"/>
        </w:rPr>
        <w:t>t½: terminal half</w:t>
      </w:r>
      <w:r w:rsidR="00BB0631" w:rsidRPr="009107E5">
        <w:rPr>
          <w:rFonts w:ascii="Arial" w:hAnsi="Arial" w:cs="Arial"/>
          <w:sz w:val="20"/>
          <w:szCs w:val="20"/>
          <w:lang w:val="en-US"/>
        </w:rPr>
        <w:t>-</w:t>
      </w:r>
      <w:r w:rsidRPr="009107E5">
        <w:rPr>
          <w:rFonts w:ascii="Arial" w:hAnsi="Arial" w:cs="Arial"/>
          <w:sz w:val="20"/>
          <w:szCs w:val="20"/>
          <w:lang w:val="en-US"/>
        </w:rPr>
        <w:t xml:space="preserve">life; </w:t>
      </w:r>
      <w:proofErr w:type="gramStart"/>
      <w:r w:rsidRPr="009107E5">
        <w:rPr>
          <w:rFonts w:ascii="Arial" w:hAnsi="Arial" w:cs="Arial"/>
          <w:sz w:val="20"/>
          <w:szCs w:val="20"/>
          <w:lang w:val="en-US"/>
        </w:rPr>
        <w:t>MRT</w:t>
      </w:r>
      <w:r w:rsidRPr="009107E5">
        <w:rPr>
          <w:rFonts w:ascii="Arial" w:hAnsi="Arial" w:cs="Arial"/>
          <w:sz w:val="20"/>
          <w:szCs w:val="20"/>
          <w:vertAlign w:val="subscript"/>
          <w:lang w:val="en-US"/>
        </w:rPr>
        <w:t>IV</w:t>
      </w:r>
      <w:r w:rsidRPr="009107E5">
        <w:rPr>
          <w:rFonts w:ascii="Arial" w:hAnsi="Arial" w:cs="Arial"/>
          <w:sz w:val="20"/>
          <w:szCs w:val="20"/>
          <w:lang w:val="en-US"/>
        </w:rPr>
        <w:t xml:space="preserve"> :</w:t>
      </w:r>
      <w:proofErr w:type="gramEnd"/>
      <w:r w:rsidRPr="009107E5">
        <w:rPr>
          <w:rFonts w:ascii="Arial" w:hAnsi="Arial" w:cs="Arial"/>
          <w:sz w:val="20"/>
          <w:szCs w:val="20"/>
          <w:lang w:val="en-US"/>
        </w:rPr>
        <w:t xml:space="preserve"> mean residence time after an intravenous administration; VSS: apparent volume distribution at steady</w:t>
      </w:r>
      <w:r w:rsidR="00BB0631" w:rsidRPr="009107E5">
        <w:rPr>
          <w:rFonts w:ascii="Arial" w:hAnsi="Arial" w:cs="Arial"/>
          <w:sz w:val="20"/>
          <w:szCs w:val="20"/>
          <w:lang w:val="en-US"/>
        </w:rPr>
        <w:t>-</w:t>
      </w:r>
      <w:r w:rsidRPr="009107E5">
        <w:rPr>
          <w:rFonts w:ascii="Arial" w:hAnsi="Arial" w:cs="Arial"/>
          <w:sz w:val="20"/>
          <w:szCs w:val="20"/>
          <w:lang w:val="en-US"/>
        </w:rPr>
        <w:t>state; CL: clearance</w:t>
      </w:r>
    </w:p>
    <w:p w14:paraId="33B87210" w14:textId="77777777" w:rsidR="00284424" w:rsidRPr="009107E5" w:rsidRDefault="00284424" w:rsidP="00AD0441">
      <w:pPr>
        <w:rPr>
          <w:rFonts w:ascii="Arial" w:hAnsi="Arial" w:cs="Arial"/>
          <w:sz w:val="20"/>
          <w:szCs w:val="20"/>
        </w:rPr>
      </w:pPr>
    </w:p>
    <w:p w14:paraId="45FCA9B0"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Incremental recovery was determined in 131 patients at several time points. The median (Q1; Q3)</w:t>
      </w:r>
    </w:p>
    <w:p w14:paraId="0906AD47"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recovery was 2.6 (2.3; 3.0) by chromogenic assay.</w:t>
      </w:r>
    </w:p>
    <w:p w14:paraId="56B0A1AB" w14:textId="6DF9E7CD"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A population PK model was developed based on all available factor VIII measurements (from dense</w:t>
      </w:r>
      <w:r w:rsidR="00BB0631" w:rsidRPr="009107E5">
        <w:rPr>
          <w:rFonts w:ascii="Arial" w:hAnsi="Arial" w:cs="Arial"/>
          <w:sz w:val="20"/>
          <w:szCs w:val="20"/>
          <w:lang w:val="en-US"/>
        </w:rPr>
        <w:t xml:space="preserve"> </w:t>
      </w:r>
      <w:r w:rsidRPr="009107E5">
        <w:rPr>
          <w:rFonts w:ascii="Arial" w:hAnsi="Arial" w:cs="Arial"/>
          <w:sz w:val="20"/>
          <w:szCs w:val="20"/>
          <w:lang w:val="en-US"/>
        </w:rPr>
        <w:t>PK sampling and all recovery samples) throughout the 3 clinical studies allowing calculation of PK</w:t>
      </w:r>
      <w:r w:rsidR="00BB0631" w:rsidRPr="009107E5">
        <w:rPr>
          <w:rFonts w:ascii="Arial" w:hAnsi="Arial" w:cs="Arial"/>
          <w:sz w:val="20"/>
          <w:szCs w:val="20"/>
          <w:lang w:val="en-US"/>
        </w:rPr>
        <w:t xml:space="preserve"> </w:t>
      </w:r>
      <w:r w:rsidRPr="009107E5">
        <w:rPr>
          <w:rFonts w:ascii="Arial" w:hAnsi="Arial" w:cs="Arial"/>
          <w:sz w:val="20"/>
          <w:szCs w:val="20"/>
          <w:lang w:val="en-US"/>
        </w:rPr>
        <w:t>parameters for subjects in the various studies. The table 4 below provides PK parameters based on the</w:t>
      </w:r>
      <w:r w:rsidR="00BB0631" w:rsidRPr="009107E5">
        <w:rPr>
          <w:rFonts w:ascii="Arial" w:hAnsi="Arial" w:cs="Arial"/>
          <w:sz w:val="20"/>
          <w:szCs w:val="20"/>
          <w:lang w:val="en-US"/>
        </w:rPr>
        <w:t xml:space="preserve"> </w:t>
      </w:r>
      <w:r w:rsidRPr="009107E5">
        <w:rPr>
          <w:rFonts w:ascii="Arial" w:hAnsi="Arial" w:cs="Arial"/>
          <w:sz w:val="20"/>
          <w:szCs w:val="20"/>
          <w:lang w:val="en-US"/>
        </w:rPr>
        <w:t>population PK model.</w:t>
      </w:r>
    </w:p>
    <w:p w14:paraId="5136F22B" w14:textId="77777777" w:rsidR="00284424" w:rsidRPr="009107E5" w:rsidRDefault="00284424" w:rsidP="00AD0441">
      <w:pPr>
        <w:rPr>
          <w:rFonts w:ascii="Arial" w:hAnsi="Arial" w:cs="Arial"/>
          <w:sz w:val="20"/>
          <w:szCs w:val="20"/>
          <w:lang w:val="en-US"/>
        </w:rPr>
      </w:pPr>
    </w:p>
    <w:p w14:paraId="2FB21151" w14:textId="1F7A3487" w:rsidR="00284424" w:rsidRPr="009107E5" w:rsidRDefault="00284424" w:rsidP="00AD0441">
      <w:pPr>
        <w:autoSpaceDE w:val="0"/>
        <w:autoSpaceDN w:val="0"/>
        <w:adjustRightInd w:val="0"/>
        <w:spacing w:line="240" w:lineRule="auto"/>
        <w:rPr>
          <w:rFonts w:ascii="Arial" w:hAnsi="Arial" w:cs="Arial"/>
          <w:b/>
          <w:bCs/>
          <w:sz w:val="20"/>
          <w:szCs w:val="20"/>
          <w:lang w:val="en-US"/>
        </w:rPr>
      </w:pPr>
      <w:r w:rsidRPr="009107E5">
        <w:rPr>
          <w:rFonts w:ascii="Arial" w:hAnsi="Arial" w:cs="Arial"/>
          <w:b/>
          <w:bCs/>
          <w:sz w:val="20"/>
          <w:szCs w:val="20"/>
          <w:lang w:val="en-US"/>
        </w:rPr>
        <w:t>Table 4: PK parameters (geometric mean [%CV]) based on population PK model, using</w:t>
      </w:r>
      <w:r w:rsidR="00BB0631" w:rsidRPr="009107E5">
        <w:rPr>
          <w:rFonts w:ascii="Arial" w:hAnsi="Arial" w:cs="Arial"/>
          <w:b/>
          <w:bCs/>
          <w:sz w:val="20"/>
          <w:szCs w:val="20"/>
          <w:lang w:val="en-US"/>
        </w:rPr>
        <w:t xml:space="preserve"> </w:t>
      </w:r>
      <w:r w:rsidRPr="009107E5">
        <w:rPr>
          <w:rFonts w:ascii="Arial" w:hAnsi="Arial" w:cs="Arial"/>
          <w:b/>
          <w:bCs/>
          <w:sz w:val="20"/>
          <w:szCs w:val="20"/>
          <w:lang w:val="en-US"/>
        </w:rPr>
        <w:t>chromogenic assay.</w:t>
      </w:r>
    </w:p>
    <w:p w14:paraId="5D4F2DDC" w14:textId="77777777" w:rsidR="00284424" w:rsidRPr="009107E5" w:rsidRDefault="00284424" w:rsidP="00AD0441">
      <w:pPr>
        <w:rPr>
          <w:rFonts w:ascii="Arial" w:hAnsi="Arial" w:cs="Arial"/>
          <w:b/>
          <w:bCs/>
          <w:sz w:val="20"/>
          <w:szCs w:val="20"/>
          <w:lang w:val="en-US"/>
        </w:rPr>
      </w:pPr>
    </w:p>
    <w:tbl>
      <w:tblPr>
        <w:tblStyle w:val="TableGrid"/>
        <w:tblW w:w="0" w:type="auto"/>
        <w:tblLook w:val="04A0" w:firstRow="1" w:lastRow="0" w:firstColumn="1" w:lastColumn="0" w:noHBand="0" w:noVBand="1"/>
      </w:tblPr>
      <w:tblGrid>
        <w:gridCol w:w="2254"/>
        <w:gridCol w:w="2254"/>
        <w:gridCol w:w="2254"/>
        <w:gridCol w:w="2254"/>
      </w:tblGrid>
      <w:tr w:rsidR="00284424" w:rsidRPr="009107E5" w14:paraId="678FAF5B" w14:textId="77777777" w:rsidTr="004D21FD">
        <w:tc>
          <w:tcPr>
            <w:tcW w:w="2254" w:type="dxa"/>
          </w:tcPr>
          <w:p w14:paraId="419F3E2B"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b/>
                <w:bCs/>
                <w:sz w:val="20"/>
                <w:szCs w:val="20"/>
                <w:lang w:val="en-US"/>
              </w:rPr>
              <w:t>PK parameter(unit)</w:t>
            </w:r>
          </w:p>
        </w:tc>
        <w:tc>
          <w:tcPr>
            <w:tcW w:w="2254" w:type="dxa"/>
          </w:tcPr>
          <w:p w14:paraId="1520CB05"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b/>
                <w:bCs/>
                <w:sz w:val="20"/>
                <w:szCs w:val="20"/>
                <w:lang w:val="en-US"/>
              </w:rPr>
              <w:t>12-&lt;18 years</w:t>
            </w:r>
          </w:p>
          <w:p w14:paraId="261938AA"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b/>
                <w:bCs/>
                <w:sz w:val="20"/>
                <w:szCs w:val="20"/>
                <w:lang w:val="en-US"/>
              </w:rPr>
              <w:lastRenderedPageBreak/>
              <w:t>N=12</w:t>
            </w:r>
          </w:p>
        </w:tc>
        <w:tc>
          <w:tcPr>
            <w:tcW w:w="2254" w:type="dxa"/>
          </w:tcPr>
          <w:p w14:paraId="309F8DED" w14:textId="77777777" w:rsidR="00284424" w:rsidRPr="009107E5" w:rsidRDefault="00284424" w:rsidP="00AD0441">
            <w:pPr>
              <w:autoSpaceDE w:val="0"/>
              <w:autoSpaceDN w:val="0"/>
              <w:adjustRightInd w:val="0"/>
              <w:rPr>
                <w:rFonts w:ascii="Arial" w:eastAsia="TimesNewRomanPS-BoldMT" w:hAnsi="Arial" w:cs="Arial"/>
                <w:b/>
                <w:bCs/>
                <w:sz w:val="20"/>
                <w:szCs w:val="20"/>
                <w:lang w:val="en-US"/>
              </w:rPr>
            </w:pPr>
            <w:r w:rsidRPr="009107E5">
              <w:rPr>
                <w:rFonts w:ascii="Arial" w:eastAsia="TimesNewRomanPS-BoldMT" w:hAnsi="Arial" w:cs="Arial"/>
                <w:b/>
                <w:bCs/>
                <w:sz w:val="20"/>
                <w:szCs w:val="20"/>
                <w:lang w:val="en-US"/>
              </w:rPr>
              <w:lastRenderedPageBreak/>
              <w:t>≥ 18 years</w:t>
            </w:r>
          </w:p>
          <w:p w14:paraId="74149177"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eastAsia="TimesNewRomanPS-BoldMT" w:hAnsi="Arial" w:cs="Arial"/>
                <w:b/>
                <w:bCs/>
                <w:sz w:val="20"/>
                <w:szCs w:val="20"/>
                <w:lang w:val="en-US"/>
              </w:rPr>
              <w:lastRenderedPageBreak/>
              <w:t>N=133</w:t>
            </w:r>
          </w:p>
        </w:tc>
        <w:tc>
          <w:tcPr>
            <w:tcW w:w="2254" w:type="dxa"/>
          </w:tcPr>
          <w:p w14:paraId="541D704D"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b/>
                <w:bCs/>
                <w:sz w:val="20"/>
                <w:szCs w:val="20"/>
                <w:lang w:val="en-US"/>
              </w:rPr>
              <w:lastRenderedPageBreak/>
              <w:t>Total (</w:t>
            </w:r>
            <w:r w:rsidRPr="009107E5">
              <w:rPr>
                <w:rFonts w:ascii="Arial" w:eastAsia="TimesNewRomanPS-BoldMT" w:hAnsi="Arial" w:cs="Arial"/>
                <w:b/>
                <w:bCs/>
                <w:sz w:val="20"/>
                <w:szCs w:val="20"/>
                <w:lang w:val="en-US"/>
              </w:rPr>
              <w:t xml:space="preserve">≥ </w:t>
            </w:r>
            <w:r w:rsidRPr="009107E5">
              <w:rPr>
                <w:rFonts w:ascii="Arial" w:hAnsi="Arial" w:cs="Arial"/>
                <w:b/>
                <w:bCs/>
                <w:sz w:val="20"/>
                <w:szCs w:val="20"/>
                <w:lang w:val="en-US"/>
              </w:rPr>
              <w:t>12 years)</w:t>
            </w:r>
          </w:p>
          <w:p w14:paraId="086A0D5F"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b/>
                <w:bCs/>
                <w:sz w:val="20"/>
                <w:szCs w:val="20"/>
                <w:lang w:val="en-US"/>
              </w:rPr>
              <w:lastRenderedPageBreak/>
              <w:t>N=145</w:t>
            </w:r>
          </w:p>
        </w:tc>
      </w:tr>
      <w:tr w:rsidR="00284424" w:rsidRPr="009107E5" w14:paraId="605F6A46" w14:textId="77777777" w:rsidTr="004D21FD">
        <w:tc>
          <w:tcPr>
            <w:tcW w:w="2254" w:type="dxa"/>
          </w:tcPr>
          <w:p w14:paraId="0E471898"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lastRenderedPageBreak/>
              <w:t>AUC (</w:t>
            </w:r>
            <w:proofErr w:type="spellStart"/>
            <w:r w:rsidRPr="009107E5">
              <w:rPr>
                <w:rFonts w:ascii="Arial" w:hAnsi="Arial" w:cs="Arial"/>
                <w:sz w:val="20"/>
                <w:szCs w:val="20"/>
                <w:lang w:val="en-US"/>
              </w:rPr>
              <w:t>IU.h</w:t>
            </w:r>
            <w:proofErr w:type="spellEnd"/>
            <w:r w:rsidRPr="009107E5">
              <w:rPr>
                <w:rFonts w:ascii="Arial" w:hAnsi="Arial" w:cs="Arial"/>
                <w:sz w:val="20"/>
                <w:szCs w:val="20"/>
                <w:lang w:val="en-US"/>
              </w:rPr>
              <w:t>/</w:t>
            </w:r>
            <w:proofErr w:type="gramStart"/>
            <w:r w:rsidRPr="009107E5">
              <w:rPr>
                <w:rFonts w:ascii="Arial" w:hAnsi="Arial" w:cs="Arial"/>
                <w:sz w:val="20"/>
                <w:szCs w:val="20"/>
                <w:lang w:val="en-US"/>
              </w:rPr>
              <w:t>dL)*</w:t>
            </w:r>
            <w:proofErr w:type="gramEnd"/>
          </w:p>
        </w:tc>
        <w:tc>
          <w:tcPr>
            <w:tcW w:w="2254" w:type="dxa"/>
          </w:tcPr>
          <w:p w14:paraId="58872D39"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3341 (34.2)</w:t>
            </w:r>
          </w:p>
        </w:tc>
        <w:tc>
          <w:tcPr>
            <w:tcW w:w="2254" w:type="dxa"/>
          </w:tcPr>
          <w:p w14:paraId="54DED1C7"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4052 (31.1)</w:t>
            </w:r>
          </w:p>
        </w:tc>
        <w:tc>
          <w:tcPr>
            <w:tcW w:w="2254" w:type="dxa"/>
          </w:tcPr>
          <w:p w14:paraId="0322929E"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3997 (31.6)</w:t>
            </w:r>
          </w:p>
        </w:tc>
      </w:tr>
      <w:tr w:rsidR="00284424" w:rsidRPr="009107E5" w14:paraId="5DC07D60" w14:textId="77777777" w:rsidTr="004D21FD">
        <w:tc>
          <w:tcPr>
            <w:tcW w:w="2254" w:type="dxa"/>
          </w:tcPr>
          <w:p w14:paraId="477CE615" w14:textId="77777777" w:rsidR="00284424" w:rsidRPr="009107E5" w:rsidRDefault="00284424" w:rsidP="00AD0441">
            <w:pPr>
              <w:autoSpaceDE w:val="0"/>
              <w:autoSpaceDN w:val="0"/>
              <w:adjustRightInd w:val="0"/>
              <w:rPr>
                <w:rFonts w:ascii="Arial" w:hAnsi="Arial" w:cs="Arial"/>
                <w:b/>
                <w:bCs/>
                <w:sz w:val="20"/>
                <w:szCs w:val="20"/>
                <w:lang w:val="en-US"/>
              </w:rPr>
            </w:pPr>
            <w:proofErr w:type="spellStart"/>
            <w:r w:rsidRPr="009107E5">
              <w:rPr>
                <w:rFonts w:ascii="Arial" w:hAnsi="Arial" w:cs="Arial"/>
                <w:sz w:val="20"/>
                <w:szCs w:val="20"/>
                <w:lang w:val="en-US"/>
              </w:rPr>
              <w:t>AUCnorm</w:t>
            </w:r>
            <w:proofErr w:type="spellEnd"/>
            <w:r w:rsidRPr="009107E5">
              <w:rPr>
                <w:rFonts w:ascii="Arial" w:hAnsi="Arial" w:cs="Arial"/>
                <w:sz w:val="20"/>
                <w:szCs w:val="20"/>
                <w:lang w:val="en-US"/>
              </w:rPr>
              <w:t xml:space="preserve"> (</w:t>
            </w:r>
            <w:proofErr w:type="spellStart"/>
            <w:r w:rsidRPr="009107E5">
              <w:rPr>
                <w:rFonts w:ascii="Arial" w:hAnsi="Arial" w:cs="Arial"/>
                <w:sz w:val="20"/>
                <w:szCs w:val="20"/>
                <w:lang w:val="en-US"/>
              </w:rPr>
              <w:t>kg.h</w:t>
            </w:r>
            <w:proofErr w:type="spellEnd"/>
            <w:r w:rsidRPr="009107E5">
              <w:rPr>
                <w:rFonts w:ascii="Arial" w:hAnsi="Arial" w:cs="Arial"/>
                <w:sz w:val="20"/>
                <w:szCs w:val="20"/>
                <w:lang w:val="en-US"/>
              </w:rPr>
              <w:t>/dL)</w:t>
            </w:r>
          </w:p>
        </w:tc>
        <w:tc>
          <w:tcPr>
            <w:tcW w:w="2254" w:type="dxa"/>
          </w:tcPr>
          <w:p w14:paraId="1D939EA1"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57.4 (32.6)</w:t>
            </w:r>
          </w:p>
        </w:tc>
        <w:tc>
          <w:tcPr>
            <w:tcW w:w="2254" w:type="dxa"/>
          </w:tcPr>
          <w:p w14:paraId="433948A6"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67.5 (30.6)</w:t>
            </w:r>
          </w:p>
        </w:tc>
        <w:tc>
          <w:tcPr>
            <w:tcW w:w="2254" w:type="dxa"/>
          </w:tcPr>
          <w:p w14:paraId="07A4F10F"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66.6 (31.0)</w:t>
            </w:r>
          </w:p>
        </w:tc>
      </w:tr>
      <w:tr w:rsidR="00284424" w:rsidRPr="009107E5" w14:paraId="090B4C57" w14:textId="77777777" w:rsidTr="004D21FD">
        <w:tc>
          <w:tcPr>
            <w:tcW w:w="2254" w:type="dxa"/>
          </w:tcPr>
          <w:p w14:paraId="3C96BD2B"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t</w:t>
            </w:r>
            <w:r w:rsidRPr="009107E5">
              <w:rPr>
                <w:rFonts w:ascii="Arial" w:hAnsi="Arial" w:cs="Arial"/>
                <w:sz w:val="20"/>
                <w:szCs w:val="20"/>
                <w:vertAlign w:val="subscript"/>
                <w:lang w:val="en-US"/>
              </w:rPr>
              <w:t>1/2</w:t>
            </w:r>
            <w:r w:rsidRPr="009018D8">
              <w:rPr>
                <w:rFonts w:ascii="Arial" w:hAnsi="Arial" w:cs="Arial"/>
                <w:sz w:val="20"/>
                <w:szCs w:val="20"/>
                <w:lang w:val="en-US"/>
              </w:rPr>
              <w:t xml:space="preserve"> (h)</w:t>
            </w:r>
          </w:p>
        </w:tc>
        <w:tc>
          <w:tcPr>
            <w:tcW w:w="2254" w:type="dxa"/>
          </w:tcPr>
          <w:p w14:paraId="7DE3E6AB"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16.8 (25.2)</w:t>
            </w:r>
          </w:p>
        </w:tc>
        <w:tc>
          <w:tcPr>
            <w:tcW w:w="2254" w:type="dxa"/>
          </w:tcPr>
          <w:p w14:paraId="2B153C56"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17.4 (28.8)</w:t>
            </w:r>
          </w:p>
        </w:tc>
        <w:tc>
          <w:tcPr>
            <w:tcW w:w="2254" w:type="dxa"/>
          </w:tcPr>
          <w:p w14:paraId="68B87FCA"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17.4 (28.4)</w:t>
            </w:r>
          </w:p>
        </w:tc>
      </w:tr>
      <w:tr w:rsidR="00284424" w:rsidRPr="009107E5" w14:paraId="2B184804" w14:textId="77777777" w:rsidTr="004D21FD">
        <w:tc>
          <w:tcPr>
            <w:tcW w:w="2254" w:type="dxa"/>
          </w:tcPr>
          <w:p w14:paraId="117C64EC" w14:textId="77777777" w:rsidR="00284424" w:rsidRPr="009107E5" w:rsidRDefault="00284424" w:rsidP="00AD0441">
            <w:pPr>
              <w:autoSpaceDE w:val="0"/>
              <w:autoSpaceDN w:val="0"/>
              <w:adjustRightInd w:val="0"/>
              <w:rPr>
                <w:rFonts w:ascii="Arial" w:hAnsi="Arial" w:cs="Arial"/>
                <w:sz w:val="20"/>
                <w:szCs w:val="20"/>
                <w:lang w:val="en-US"/>
              </w:rPr>
            </w:pPr>
            <w:proofErr w:type="spellStart"/>
            <w:r w:rsidRPr="009107E5">
              <w:rPr>
                <w:rFonts w:ascii="Arial" w:hAnsi="Arial" w:cs="Arial"/>
                <w:sz w:val="20"/>
                <w:szCs w:val="20"/>
                <w:lang w:val="en-US"/>
              </w:rPr>
              <w:t>Vss</w:t>
            </w:r>
            <w:proofErr w:type="spellEnd"/>
            <w:r w:rsidRPr="009107E5">
              <w:rPr>
                <w:rFonts w:ascii="Arial" w:hAnsi="Arial" w:cs="Arial"/>
                <w:sz w:val="20"/>
                <w:szCs w:val="20"/>
                <w:lang w:val="en-US"/>
              </w:rPr>
              <w:t xml:space="preserve"> (dL/kg)</w:t>
            </w:r>
          </w:p>
        </w:tc>
        <w:tc>
          <w:tcPr>
            <w:tcW w:w="2254" w:type="dxa"/>
          </w:tcPr>
          <w:p w14:paraId="6C3877DD" w14:textId="77777777" w:rsidR="00284424" w:rsidRPr="009107E5" w:rsidRDefault="00284424"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0.423 (15.5)</w:t>
            </w:r>
          </w:p>
        </w:tc>
        <w:tc>
          <w:tcPr>
            <w:tcW w:w="2254" w:type="dxa"/>
          </w:tcPr>
          <w:p w14:paraId="4D5B5A16" w14:textId="77777777" w:rsidR="00284424" w:rsidRPr="009107E5" w:rsidRDefault="00284424"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0.373 (15.6)</w:t>
            </w:r>
          </w:p>
        </w:tc>
        <w:tc>
          <w:tcPr>
            <w:tcW w:w="2254" w:type="dxa"/>
          </w:tcPr>
          <w:p w14:paraId="449BE11F" w14:textId="77777777" w:rsidR="00284424" w:rsidRPr="009107E5" w:rsidRDefault="00284424" w:rsidP="00AD0441">
            <w:pPr>
              <w:autoSpaceDE w:val="0"/>
              <w:autoSpaceDN w:val="0"/>
              <w:adjustRightInd w:val="0"/>
              <w:rPr>
                <w:rFonts w:ascii="Arial" w:hAnsi="Arial" w:cs="Arial"/>
                <w:sz w:val="20"/>
                <w:szCs w:val="20"/>
                <w:lang w:val="en-US"/>
              </w:rPr>
            </w:pPr>
            <w:r w:rsidRPr="009107E5">
              <w:rPr>
                <w:rFonts w:ascii="Arial" w:hAnsi="Arial" w:cs="Arial"/>
                <w:sz w:val="20"/>
                <w:szCs w:val="20"/>
                <w:lang w:val="en-US"/>
              </w:rPr>
              <w:t>0.376 (15.9)</w:t>
            </w:r>
          </w:p>
        </w:tc>
      </w:tr>
      <w:tr w:rsidR="00284424" w:rsidRPr="009107E5" w14:paraId="7A1E3F32" w14:textId="77777777" w:rsidTr="004D21FD">
        <w:tc>
          <w:tcPr>
            <w:tcW w:w="2254" w:type="dxa"/>
          </w:tcPr>
          <w:p w14:paraId="5D8F8E8E"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 xml:space="preserve"> CL (dL/h/kg)</w:t>
            </w:r>
          </w:p>
        </w:tc>
        <w:tc>
          <w:tcPr>
            <w:tcW w:w="2254" w:type="dxa"/>
          </w:tcPr>
          <w:p w14:paraId="675CB3E7"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0.0174 (34.2)</w:t>
            </w:r>
          </w:p>
        </w:tc>
        <w:tc>
          <w:tcPr>
            <w:tcW w:w="2254" w:type="dxa"/>
          </w:tcPr>
          <w:p w14:paraId="6A6E8858"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0.0148 (31.1)</w:t>
            </w:r>
          </w:p>
        </w:tc>
        <w:tc>
          <w:tcPr>
            <w:tcW w:w="2254" w:type="dxa"/>
          </w:tcPr>
          <w:p w14:paraId="2D719999" w14:textId="77777777" w:rsidR="00284424" w:rsidRPr="009107E5" w:rsidRDefault="00284424" w:rsidP="00AD0441">
            <w:pPr>
              <w:autoSpaceDE w:val="0"/>
              <w:autoSpaceDN w:val="0"/>
              <w:adjustRightInd w:val="0"/>
              <w:rPr>
                <w:rFonts w:ascii="Arial" w:hAnsi="Arial" w:cs="Arial"/>
                <w:b/>
                <w:bCs/>
                <w:sz w:val="20"/>
                <w:szCs w:val="20"/>
                <w:lang w:val="en-US"/>
              </w:rPr>
            </w:pPr>
            <w:r w:rsidRPr="009107E5">
              <w:rPr>
                <w:rFonts w:ascii="Arial" w:hAnsi="Arial" w:cs="Arial"/>
                <w:sz w:val="20"/>
                <w:szCs w:val="20"/>
                <w:lang w:val="en-US"/>
              </w:rPr>
              <w:t>0.0150 (31.6)</w:t>
            </w:r>
          </w:p>
        </w:tc>
      </w:tr>
    </w:tbl>
    <w:p w14:paraId="756B5F57"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*AUC calculated for a dose of 60 IU/kg</w:t>
      </w:r>
    </w:p>
    <w:p w14:paraId="11DEEABF" w14:textId="77777777" w:rsidR="002D04C1" w:rsidRPr="009107E5" w:rsidRDefault="002D04C1" w:rsidP="00AD0441">
      <w:pPr>
        <w:rPr>
          <w:rFonts w:ascii="Arial" w:hAnsi="Arial" w:cs="Arial"/>
          <w:sz w:val="20"/>
          <w:szCs w:val="20"/>
        </w:rPr>
      </w:pPr>
    </w:p>
    <w:p w14:paraId="1882E219" w14:textId="0C736DE8" w:rsidR="00AA09FF" w:rsidRPr="009107E5" w:rsidRDefault="001A3992" w:rsidP="00AD0441">
      <w:pPr>
        <w:pStyle w:val="Heading2"/>
        <w:spacing w:before="0" w:after="120"/>
        <w:rPr>
          <w:rFonts w:ascii="Arial" w:hAnsi="Arial" w:cs="Arial"/>
          <w:sz w:val="20"/>
          <w:szCs w:val="20"/>
        </w:rPr>
      </w:pPr>
      <w:r w:rsidRPr="009107E5">
        <w:rPr>
          <w:rFonts w:ascii="Arial" w:hAnsi="Arial" w:cs="Arial"/>
          <w:sz w:val="20"/>
          <w:szCs w:val="20"/>
        </w:rPr>
        <w:t>Preclinical safety data</w:t>
      </w:r>
    </w:p>
    <w:p w14:paraId="524148B9" w14:textId="17115F30" w:rsidR="00C969D2" w:rsidRPr="009107E5" w:rsidRDefault="00C969D2" w:rsidP="00AD0441">
      <w:pPr>
        <w:pStyle w:val="Heading3"/>
        <w:rPr>
          <w:rFonts w:ascii="Arial" w:hAnsi="Arial" w:cs="Arial"/>
          <w:sz w:val="20"/>
          <w:szCs w:val="20"/>
        </w:rPr>
      </w:pPr>
      <w:r w:rsidRPr="009107E5">
        <w:rPr>
          <w:rFonts w:ascii="Arial" w:hAnsi="Arial" w:cs="Arial"/>
          <w:sz w:val="20"/>
          <w:szCs w:val="20"/>
        </w:rPr>
        <w:t>Gen</w:t>
      </w:r>
      <w:r w:rsidR="00C727D8" w:rsidRPr="009107E5">
        <w:rPr>
          <w:rFonts w:ascii="Arial" w:hAnsi="Arial" w:cs="Arial"/>
          <w:sz w:val="20"/>
          <w:szCs w:val="20"/>
        </w:rPr>
        <w:t>o</w:t>
      </w:r>
      <w:r w:rsidRPr="009107E5">
        <w:rPr>
          <w:rFonts w:ascii="Arial" w:hAnsi="Arial" w:cs="Arial"/>
          <w:sz w:val="20"/>
          <w:szCs w:val="20"/>
        </w:rPr>
        <w:t>toxicity</w:t>
      </w:r>
    </w:p>
    <w:p w14:paraId="18590BFC" w14:textId="47AE7ECE" w:rsidR="00C969D2" w:rsidRPr="009107E5" w:rsidRDefault="00F91F43"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 No dedicated genotoxicity studies have been performed with damoctocog alfa </w:t>
      </w:r>
      <w:proofErr w:type="spellStart"/>
      <w:proofErr w:type="gramStart"/>
      <w:r w:rsidRPr="009107E5">
        <w:rPr>
          <w:rFonts w:ascii="Arial" w:hAnsi="Arial" w:cs="Arial"/>
          <w:sz w:val="20"/>
          <w:szCs w:val="20"/>
          <w:lang w:val="en-US"/>
        </w:rPr>
        <w:t>pegol.</w:t>
      </w:r>
      <w:r w:rsidR="00C969D2" w:rsidRPr="009107E5">
        <w:rPr>
          <w:rFonts w:ascii="Arial" w:hAnsi="Arial" w:cs="Arial"/>
          <w:sz w:val="20"/>
          <w:szCs w:val="20"/>
          <w:lang w:val="en-US"/>
        </w:rPr>
        <w:t>The</w:t>
      </w:r>
      <w:proofErr w:type="spellEnd"/>
      <w:proofErr w:type="gramEnd"/>
      <w:r w:rsidR="00C969D2" w:rsidRPr="009107E5">
        <w:rPr>
          <w:rFonts w:ascii="Arial" w:hAnsi="Arial" w:cs="Arial"/>
          <w:sz w:val="20"/>
          <w:szCs w:val="20"/>
          <w:lang w:val="en-US"/>
        </w:rPr>
        <w:t xml:space="preserve"> PEG-linker moiety was tested </w:t>
      </w:r>
      <w:r w:rsidR="00C969D2" w:rsidRPr="009107E5">
        <w:rPr>
          <w:rFonts w:ascii="Arial" w:hAnsi="Arial" w:cs="Arial"/>
          <w:i/>
          <w:iCs/>
          <w:sz w:val="20"/>
          <w:szCs w:val="20"/>
          <w:lang w:val="en-US"/>
        </w:rPr>
        <w:t>in vivo</w:t>
      </w:r>
      <w:r w:rsidR="00C969D2" w:rsidRPr="009107E5">
        <w:rPr>
          <w:rFonts w:ascii="Arial" w:hAnsi="Arial" w:cs="Arial"/>
          <w:sz w:val="20"/>
          <w:szCs w:val="20"/>
          <w:lang w:val="en-US"/>
        </w:rPr>
        <w:t xml:space="preserve"> </w:t>
      </w:r>
      <w:r w:rsidRPr="009107E5">
        <w:rPr>
          <w:rFonts w:ascii="Arial" w:hAnsi="Arial" w:cs="Arial"/>
          <w:sz w:val="20"/>
          <w:szCs w:val="20"/>
          <w:lang w:val="en-US"/>
        </w:rPr>
        <w:t xml:space="preserve">(micronucleus rat </w:t>
      </w:r>
      <w:proofErr w:type="spellStart"/>
      <w:r w:rsidRPr="009107E5">
        <w:rPr>
          <w:rFonts w:ascii="Arial" w:hAnsi="Arial" w:cs="Arial"/>
          <w:sz w:val="20"/>
          <w:szCs w:val="20"/>
          <w:lang w:val="en-US"/>
        </w:rPr>
        <w:t>study_</w:t>
      </w:r>
      <w:r w:rsidR="00C969D2" w:rsidRPr="009107E5">
        <w:rPr>
          <w:rFonts w:ascii="Arial" w:hAnsi="Arial" w:cs="Arial"/>
          <w:sz w:val="20"/>
          <w:szCs w:val="20"/>
          <w:lang w:val="en-US"/>
        </w:rPr>
        <w:t>and</w:t>
      </w:r>
      <w:proofErr w:type="spellEnd"/>
      <w:r w:rsidR="00C969D2" w:rsidRPr="009107E5">
        <w:rPr>
          <w:rFonts w:ascii="Arial" w:hAnsi="Arial" w:cs="Arial"/>
          <w:sz w:val="20"/>
          <w:szCs w:val="20"/>
          <w:lang w:val="en-US"/>
        </w:rPr>
        <w:t xml:space="preserve"> </w:t>
      </w:r>
      <w:r w:rsidR="00C969D2" w:rsidRPr="009107E5">
        <w:rPr>
          <w:rFonts w:ascii="Arial" w:hAnsi="Arial" w:cs="Arial"/>
          <w:i/>
          <w:iCs/>
          <w:sz w:val="20"/>
          <w:szCs w:val="20"/>
          <w:lang w:val="en-US"/>
        </w:rPr>
        <w:t>in vitro</w:t>
      </w:r>
      <w:r w:rsidR="00C969D2" w:rsidRPr="009107E5">
        <w:rPr>
          <w:rFonts w:ascii="Arial" w:hAnsi="Arial" w:cs="Arial"/>
          <w:sz w:val="20"/>
          <w:szCs w:val="20"/>
          <w:lang w:val="en-US"/>
        </w:rPr>
        <w:t xml:space="preserve"> </w:t>
      </w:r>
      <w:r w:rsidRPr="009107E5">
        <w:rPr>
          <w:rFonts w:ascii="Arial" w:hAnsi="Arial" w:cs="Arial"/>
          <w:sz w:val="20"/>
          <w:szCs w:val="20"/>
          <w:lang w:val="en-US"/>
        </w:rPr>
        <w:t xml:space="preserve">(Ames test and mouse lymphoma assay) </w:t>
      </w:r>
      <w:r w:rsidR="00C969D2" w:rsidRPr="009107E5">
        <w:rPr>
          <w:rFonts w:ascii="Arial" w:hAnsi="Arial" w:cs="Arial"/>
          <w:sz w:val="20"/>
          <w:szCs w:val="20"/>
          <w:lang w:val="en-US"/>
        </w:rPr>
        <w:t xml:space="preserve">genotoxicity studies and they did not indicate a potential for genotoxicity. </w:t>
      </w:r>
    </w:p>
    <w:p w14:paraId="5728C1DE" w14:textId="16A2EB67" w:rsidR="00C969D2" w:rsidRPr="009107E5" w:rsidRDefault="00C969D2" w:rsidP="00AD0441">
      <w:pPr>
        <w:autoSpaceDE w:val="0"/>
        <w:autoSpaceDN w:val="0"/>
        <w:adjustRightInd w:val="0"/>
        <w:spacing w:line="240" w:lineRule="auto"/>
        <w:rPr>
          <w:rFonts w:ascii="Arial" w:hAnsi="Arial" w:cs="Arial"/>
          <w:sz w:val="20"/>
          <w:szCs w:val="20"/>
          <w:lang w:val="en-US"/>
        </w:rPr>
      </w:pPr>
    </w:p>
    <w:p w14:paraId="032D7DC7" w14:textId="371E13AC" w:rsidR="00C969D2" w:rsidRPr="009107E5" w:rsidRDefault="00C969D2" w:rsidP="00AD0441">
      <w:pPr>
        <w:pStyle w:val="Heading3"/>
        <w:rPr>
          <w:rFonts w:ascii="Arial" w:hAnsi="Arial" w:cs="Arial"/>
          <w:sz w:val="20"/>
          <w:szCs w:val="20"/>
        </w:rPr>
      </w:pPr>
      <w:r w:rsidRPr="009107E5">
        <w:rPr>
          <w:rFonts w:ascii="Arial" w:hAnsi="Arial" w:cs="Arial"/>
          <w:sz w:val="20"/>
          <w:szCs w:val="20"/>
        </w:rPr>
        <w:t>Carcinogenicity</w:t>
      </w:r>
    </w:p>
    <w:p w14:paraId="45C282A7" w14:textId="78DEDA09" w:rsidR="00C969D2" w:rsidRPr="009107E5" w:rsidRDefault="00C969D2"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No studies in animals to evaluate the carcinogenic potential of</w:t>
      </w:r>
      <w:r w:rsidR="2BF64D0A" w:rsidRPr="009107E5">
        <w:rPr>
          <w:rFonts w:ascii="Arial" w:hAnsi="Arial" w:cs="Arial"/>
          <w:sz w:val="20"/>
          <w:szCs w:val="20"/>
          <w:lang w:val="en-US"/>
        </w:rPr>
        <w:t xml:space="preserve"> </w:t>
      </w:r>
      <w:r w:rsidR="00DD22A3" w:rsidRPr="009107E5">
        <w:rPr>
          <w:rFonts w:ascii="Arial" w:hAnsi="Arial" w:cs="Arial"/>
          <w:sz w:val="20"/>
          <w:szCs w:val="20"/>
          <w:lang w:val="en-US"/>
        </w:rPr>
        <w:t>damoctocog alfa pegol</w:t>
      </w:r>
      <w:r w:rsidRPr="009107E5">
        <w:rPr>
          <w:rFonts w:ascii="Arial" w:hAnsi="Arial" w:cs="Arial"/>
          <w:sz w:val="20"/>
          <w:szCs w:val="20"/>
          <w:lang w:val="en-US"/>
        </w:rPr>
        <w:t xml:space="preserve"> have been conducted.</w:t>
      </w:r>
    </w:p>
    <w:p w14:paraId="71754EC7" w14:textId="77777777" w:rsidR="001C461C" w:rsidRPr="009107E5" w:rsidRDefault="001C461C" w:rsidP="00AD0441">
      <w:pPr>
        <w:rPr>
          <w:rFonts w:ascii="Arial" w:hAnsi="Arial" w:cs="Arial"/>
          <w:sz w:val="20"/>
          <w:szCs w:val="20"/>
        </w:rPr>
      </w:pPr>
    </w:p>
    <w:p w14:paraId="3C5C1C6F" w14:textId="77777777" w:rsidR="001A3992" w:rsidRPr="009107E5" w:rsidRDefault="001A3992" w:rsidP="00AD0441">
      <w:pPr>
        <w:pStyle w:val="Heading1"/>
        <w:spacing w:before="0" w:after="120"/>
        <w:rPr>
          <w:rFonts w:ascii="Arial" w:hAnsi="Arial" w:cs="Arial"/>
          <w:sz w:val="20"/>
          <w:szCs w:val="20"/>
        </w:rPr>
      </w:pPr>
      <w:r w:rsidRPr="009107E5">
        <w:rPr>
          <w:rFonts w:ascii="Arial" w:hAnsi="Arial" w:cs="Arial"/>
          <w:sz w:val="20"/>
          <w:szCs w:val="20"/>
        </w:rPr>
        <w:t>Pharmaceutical particulars</w:t>
      </w:r>
    </w:p>
    <w:p w14:paraId="34BB96C8" w14:textId="419D05AF" w:rsidR="001A3992" w:rsidRPr="009107E5" w:rsidRDefault="001A3992" w:rsidP="00AD0441">
      <w:pPr>
        <w:pStyle w:val="Heading2"/>
        <w:spacing w:before="0" w:after="120"/>
        <w:rPr>
          <w:rFonts w:ascii="Arial" w:hAnsi="Arial" w:cs="Arial"/>
          <w:sz w:val="20"/>
          <w:szCs w:val="20"/>
        </w:rPr>
      </w:pPr>
      <w:bookmarkStart w:id="7" w:name="_Ref34660938"/>
      <w:r w:rsidRPr="009107E5">
        <w:rPr>
          <w:rFonts w:ascii="Arial" w:hAnsi="Arial" w:cs="Arial"/>
          <w:sz w:val="20"/>
          <w:szCs w:val="20"/>
        </w:rPr>
        <w:t>List of excipients</w:t>
      </w:r>
      <w:bookmarkEnd w:id="7"/>
      <w:r w:rsidRPr="009107E5">
        <w:rPr>
          <w:rFonts w:ascii="Arial" w:hAnsi="Arial" w:cs="Arial"/>
          <w:sz w:val="20"/>
          <w:szCs w:val="20"/>
        </w:rPr>
        <w:t xml:space="preserve"> </w:t>
      </w:r>
    </w:p>
    <w:p w14:paraId="7990610D" w14:textId="77777777" w:rsidR="00284424" w:rsidRPr="009107E5" w:rsidRDefault="00284424" w:rsidP="00AD0441">
      <w:pPr>
        <w:autoSpaceDE w:val="0"/>
        <w:autoSpaceDN w:val="0"/>
        <w:adjustRightInd w:val="0"/>
        <w:spacing w:line="240" w:lineRule="auto"/>
        <w:rPr>
          <w:rFonts w:ascii="Arial" w:hAnsi="Arial" w:cs="Arial"/>
          <w:sz w:val="20"/>
          <w:szCs w:val="20"/>
          <w:u w:val="single"/>
          <w:lang w:val="en-US"/>
        </w:rPr>
      </w:pPr>
      <w:r w:rsidRPr="009107E5">
        <w:rPr>
          <w:rFonts w:ascii="Arial" w:hAnsi="Arial" w:cs="Arial"/>
          <w:sz w:val="20"/>
          <w:szCs w:val="20"/>
          <w:u w:val="single"/>
          <w:lang w:val="en-US"/>
        </w:rPr>
        <w:t>Powder</w:t>
      </w:r>
    </w:p>
    <w:p w14:paraId="32E82968"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Sucrose</w:t>
      </w:r>
    </w:p>
    <w:p w14:paraId="0F895406"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Histidine</w:t>
      </w:r>
    </w:p>
    <w:p w14:paraId="22692A78"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Glycine</w:t>
      </w:r>
    </w:p>
    <w:p w14:paraId="378F1197"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Sodium chloride</w:t>
      </w:r>
    </w:p>
    <w:p w14:paraId="06A29916"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Calcium chloride dihydrate</w:t>
      </w:r>
    </w:p>
    <w:p w14:paraId="26D7A28E"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Polysorbate 80</w:t>
      </w:r>
    </w:p>
    <w:p w14:paraId="3983F8F4"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Acetic acid, glacial (for pH adjustment)</w:t>
      </w:r>
    </w:p>
    <w:p w14:paraId="16F27A8A"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p>
    <w:p w14:paraId="6F53C810" w14:textId="77777777" w:rsidR="00284424" w:rsidRPr="009107E5" w:rsidRDefault="00284424" w:rsidP="00AD0441">
      <w:pPr>
        <w:autoSpaceDE w:val="0"/>
        <w:autoSpaceDN w:val="0"/>
        <w:adjustRightInd w:val="0"/>
        <w:spacing w:line="240" w:lineRule="auto"/>
        <w:rPr>
          <w:rFonts w:ascii="Arial" w:hAnsi="Arial" w:cs="Arial"/>
          <w:sz w:val="20"/>
          <w:szCs w:val="20"/>
          <w:u w:val="single"/>
          <w:lang w:val="en-US"/>
        </w:rPr>
      </w:pPr>
      <w:r w:rsidRPr="009107E5">
        <w:rPr>
          <w:rFonts w:ascii="Arial" w:hAnsi="Arial" w:cs="Arial"/>
          <w:sz w:val="20"/>
          <w:szCs w:val="20"/>
          <w:u w:val="single"/>
          <w:lang w:val="en-US"/>
        </w:rPr>
        <w:t>Solvent</w:t>
      </w:r>
    </w:p>
    <w:p w14:paraId="7C2EF609" w14:textId="77777777" w:rsidR="00284424" w:rsidRPr="009107E5" w:rsidRDefault="00284424" w:rsidP="00AD0441">
      <w:pPr>
        <w:rPr>
          <w:rFonts w:ascii="Arial" w:hAnsi="Arial" w:cs="Arial"/>
          <w:sz w:val="20"/>
          <w:szCs w:val="20"/>
          <w:lang w:val="en-US"/>
        </w:rPr>
      </w:pPr>
      <w:r w:rsidRPr="009107E5">
        <w:rPr>
          <w:rFonts w:ascii="Arial" w:hAnsi="Arial" w:cs="Arial"/>
          <w:sz w:val="20"/>
          <w:szCs w:val="20"/>
          <w:lang w:val="en-US"/>
        </w:rPr>
        <w:t>Water for injections</w:t>
      </w:r>
    </w:p>
    <w:p w14:paraId="781C8153" w14:textId="77777777" w:rsidR="00490CD4" w:rsidRPr="009107E5" w:rsidRDefault="00490CD4" w:rsidP="00AD0441">
      <w:pPr>
        <w:rPr>
          <w:rFonts w:ascii="Arial" w:hAnsi="Arial" w:cs="Arial"/>
          <w:sz w:val="20"/>
          <w:szCs w:val="20"/>
        </w:rPr>
      </w:pPr>
    </w:p>
    <w:p w14:paraId="789A3ED1" w14:textId="18A38867" w:rsidR="001A3992" w:rsidRPr="009107E5" w:rsidRDefault="001A3992" w:rsidP="00AD0441">
      <w:pPr>
        <w:pStyle w:val="Heading2"/>
        <w:keepNext/>
        <w:keepLines/>
        <w:spacing w:before="0" w:after="120"/>
        <w:rPr>
          <w:rFonts w:ascii="Arial" w:hAnsi="Arial" w:cs="Arial"/>
          <w:sz w:val="20"/>
          <w:szCs w:val="20"/>
        </w:rPr>
      </w:pPr>
      <w:r w:rsidRPr="009107E5">
        <w:rPr>
          <w:rFonts w:ascii="Arial" w:hAnsi="Arial" w:cs="Arial"/>
          <w:sz w:val="20"/>
          <w:szCs w:val="20"/>
        </w:rPr>
        <w:t xml:space="preserve">Incompatibilities </w:t>
      </w:r>
    </w:p>
    <w:p w14:paraId="418CD0FB"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In the absence of compatibility studies, this medicinal product must not be mixed with other </w:t>
      </w:r>
      <w:proofErr w:type="gramStart"/>
      <w:r w:rsidRPr="009107E5">
        <w:rPr>
          <w:rFonts w:ascii="Arial" w:hAnsi="Arial" w:cs="Arial"/>
          <w:sz w:val="20"/>
          <w:szCs w:val="20"/>
          <w:lang w:val="en-US"/>
        </w:rPr>
        <w:t>medicinal</w:t>
      </w:r>
      <w:proofErr w:type="gramEnd"/>
    </w:p>
    <w:p w14:paraId="523A00E1" w14:textId="77777777" w:rsidR="00284424" w:rsidRPr="009107E5" w:rsidRDefault="00284424" w:rsidP="00AD0441">
      <w:pPr>
        <w:autoSpaceDE w:val="0"/>
        <w:autoSpaceDN w:val="0"/>
        <w:adjustRightInd w:val="0"/>
        <w:spacing w:line="240" w:lineRule="auto"/>
        <w:rPr>
          <w:rFonts w:ascii="Arial" w:hAnsi="Arial" w:cs="Arial"/>
          <w:i/>
          <w:iCs/>
          <w:sz w:val="20"/>
          <w:szCs w:val="20"/>
          <w:lang w:val="en-US"/>
        </w:rPr>
      </w:pPr>
      <w:r w:rsidRPr="009107E5">
        <w:rPr>
          <w:rFonts w:ascii="Arial" w:hAnsi="Arial" w:cs="Arial"/>
          <w:sz w:val="20"/>
          <w:szCs w:val="20"/>
          <w:lang w:val="en-US"/>
        </w:rPr>
        <w:t>products</w:t>
      </w:r>
      <w:r w:rsidRPr="009107E5">
        <w:rPr>
          <w:rFonts w:ascii="Arial" w:hAnsi="Arial" w:cs="Arial"/>
          <w:i/>
          <w:iCs/>
          <w:sz w:val="20"/>
          <w:szCs w:val="20"/>
          <w:lang w:val="en-US"/>
        </w:rPr>
        <w:t>.</w:t>
      </w:r>
    </w:p>
    <w:p w14:paraId="16408D76"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p>
    <w:p w14:paraId="4A4C5E17" w14:textId="28727ACA"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Only the components provided in the package should be used for reconstitution and injection because</w:t>
      </w:r>
      <w:r w:rsidR="00BB0631" w:rsidRPr="009107E5">
        <w:rPr>
          <w:rFonts w:ascii="Arial" w:hAnsi="Arial" w:cs="Arial"/>
          <w:sz w:val="20"/>
          <w:szCs w:val="20"/>
          <w:lang w:val="en-US"/>
        </w:rPr>
        <w:t xml:space="preserve"> </w:t>
      </w:r>
      <w:r w:rsidRPr="009107E5">
        <w:rPr>
          <w:rFonts w:ascii="Arial" w:hAnsi="Arial" w:cs="Arial"/>
          <w:sz w:val="20"/>
          <w:szCs w:val="20"/>
          <w:lang w:val="en-US"/>
        </w:rPr>
        <w:t xml:space="preserve">treatment failure can occur as a consequence of factor VIII adsorption to the internal surfaces of </w:t>
      </w:r>
      <w:proofErr w:type="gramStart"/>
      <w:r w:rsidRPr="009107E5">
        <w:rPr>
          <w:rFonts w:ascii="Arial" w:hAnsi="Arial" w:cs="Arial"/>
          <w:sz w:val="20"/>
          <w:szCs w:val="20"/>
          <w:lang w:val="en-US"/>
        </w:rPr>
        <w:t>some</w:t>
      </w:r>
      <w:proofErr w:type="gramEnd"/>
    </w:p>
    <w:p w14:paraId="6EC27856" w14:textId="77777777" w:rsidR="00284424" w:rsidRPr="009107E5" w:rsidRDefault="00284424" w:rsidP="00AD0441">
      <w:pPr>
        <w:rPr>
          <w:rFonts w:ascii="Arial" w:hAnsi="Arial" w:cs="Arial"/>
          <w:sz w:val="20"/>
          <w:szCs w:val="20"/>
          <w:lang w:val="en-US"/>
        </w:rPr>
      </w:pPr>
      <w:r w:rsidRPr="009107E5">
        <w:rPr>
          <w:rFonts w:ascii="Arial" w:hAnsi="Arial" w:cs="Arial"/>
          <w:sz w:val="20"/>
          <w:szCs w:val="20"/>
          <w:lang w:val="en-US"/>
        </w:rPr>
        <w:t>injection equipment.</w:t>
      </w:r>
    </w:p>
    <w:p w14:paraId="1A888B68" w14:textId="77777777" w:rsidR="00710342" w:rsidRPr="009107E5" w:rsidRDefault="00710342" w:rsidP="00AD0441">
      <w:pPr>
        <w:rPr>
          <w:rFonts w:ascii="Arial" w:hAnsi="Arial" w:cs="Arial"/>
          <w:sz w:val="20"/>
          <w:szCs w:val="20"/>
        </w:rPr>
      </w:pPr>
    </w:p>
    <w:p w14:paraId="304CD9F9" w14:textId="1B719776" w:rsidR="001A3992" w:rsidRPr="009107E5" w:rsidRDefault="001A3992" w:rsidP="00AD0441">
      <w:pPr>
        <w:pStyle w:val="Heading2"/>
        <w:spacing w:before="0" w:after="120"/>
        <w:rPr>
          <w:rFonts w:ascii="Arial" w:hAnsi="Arial" w:cs="Arial"/>
          <w:sz w:val="20"/>
          <w:szCs w:val="20"/>
        </w:rPr>
      </w:pPr>
      <w:r w:rsidRPr="009107E5">
        <w:rPr>
          <w:rFonts w:ascii="Arial" w:hAnsi="Arial" w:cs="Arial"/>
          <w:sz w:val="20"/>
          <w:szCs w:val="20"/>
        </w:rPr>
        <w:t xml:space="preserve">Shelf life </w:t>
      </w:r>
    </w:p>
    <w:p w14:paraId="6EFE2F00" w14:textId="7D75172D"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In Australia, information on the shelf life can be found on the public summary of the Australian Register of Therapeutic Goods (ARTG). The expiry date can be found on the packaging.</w:t>
      </w:r>
    </w:p>
    <w:p w14:paraId="37F1B33B" w14:textId="77777777" w:rsidR="00284424" w:rsidRPr="009107E5" w:rsidRDefault="00284424" w:rsidP="00AD0441">
      <w:pPr>
        <w:autoSpaceDE w:val="0"/>
        <w:autoSpaceDN w:val="0"/>
        <w:adjustRightInd w:val="0"/>
        <w:spacing w:line="240" w:lineRule="auto"/>
        <w:rPr>
          <w:rFonts w:ascii="Arial" w:hAnsi="Arial" w:cs="Arial"/>
          <w:sz w:val="20"/>
          <w:szCs w:val="20"/>
          <w:u w:val="single"/>
          <w:lang w:val="en-US"/>
        </w:rPr>
      </w:pPr>
    </w:p>
    <w:p w14:paraId="77DA229F" w14:textId="59DD98B8" w:rsidR="001A3992" w:rsidRPr="009107E5" w:rsidRDefault="001A3992" w:rsidP="00AD0441">
      <w:pPr>
        <w:pStyle w:val="Heading2"/>
        <w:keepNext/>
        <w:keepLines/>
        <w:spacing w:before="0" w:after="120"/>
        <w:rPr>
          <w:rFonts w:ascii="Arial" w:hAnsi="Arial" w:cs="Arial"/>
          <w:sz w:val="20"/>
          <w:szCs w:val="20"/>
        </w:rPr>
      </w:pPr>
      <w:r w:rsidRPr="009107E5">
        <w:rPr>
          <w:rFonts w:ascii="Arial" w:hAnsi="Arial" w:cs="Arial"/>
          <w:sz w:val="20"/>
          <w:szCs w:val="20"/>
        </w:rPr>
        <w:t xml:space="preserve">Special precautions for storage </w:t>
      </w:r>
    </w:p>
    <w:p w14:paraId="2BA3062F" w14:textId="5EFF6201"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Store in a refrigerator (2 °C </w:t>
      </w:r>
      <w:r w:rsidR="00BB0631" w:rsidRPr="009107E5">
        <w:rPr>
          <w:rFonts w:ascii="Arial" w:hAnsi="Arial" w:cs="Arial"/>
          <w:sz w:val="20"/>
          <w:szCs w:val="20"/>
          <w:lang w:val="en-US"/>
        </w:rPr>
        <w:t>-</w:t>
      </w:r>
      <w:r w:rsidRPr="009107E5">
        <w:rPr>
          <w:rFonts w:ascii="Arial" w:hAnsi="Arial" w:cs="Arial"/>
          <w:sz w:val="20"/>
          <w:szCs w:val="20"/>
          <w:lang w:val="en-US"/>
        </w:rPr>
        <w:t xml:space="preserve"> 8 °C).</w:t>
      </w:r>
    </w:p>
    <w:p w14:paraId="2830FA1D"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Do not freeze.</w:t>
      </w:r>
    </w:p>
    <w:p w14:paraId="79F7F77C"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Keep the vial and the pre-filled syringe in the outer carton </w:t>
      </w:r>
      <w:proofErr w:type="gramStart"/>
      <w:r w:rsidRPr="009107E5">
        <w:rPr>
          <w:rFonts w:ascii="Arial" w:hAnsi="Arial" w:cs="Arial"/>
          <w:sz w:val="20"/>
          <w:szCs w:val="20"/>
          <w:lang w:val="en-US"/>
        </w:rPr>
        <w:t>in order to</w:t>
      </w:r>
      <w:proofErr w:type="gramEnd"/>
      <w:r w:rsidRPr="009107E5">
        <w:rPr>
          <w:rFonts w:ascii="Arial" w:hAnsi="Arial" w:cs="Arial"/>
          <w:sz w:val="20"/>
          <w:szCs w:val="20"/>
          <w:lang w:val="en-US"/>
        </w:rPr>
        <w:t xml:space="preserve"> protect from light.</w:t>
      </w:r>
    </w:p>
    <w:p w14:paraId="38DE3ECB"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p>
    <w:p w14:paraId="220EA164" w14:textId="0D11766F"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lastRenderedPageBreak/>
        <w:t>Within its overall shelf life of 2 years, the product (when kept in its outer carton) may be stored at up</w:t>
      </w:r>
      <w:r w:rsidR="00BB0631" w:rsidRPr="009107E5">
        <w:rPr>
          <w:rFonts w:ascii="Arial" w:hAnsi="Arial" w:cs="Arial"/>
          <w:sz w:val="20"/>
          <w:szCs w:val="20"/>
          <w:lang w:val="en-US"/>
        </w:rPr>
        <w:t xml:space="preserve"> </w:t>
      </w:r>
      <w:r w:rsidRPr="009107E5">
        <w:rPr>
          <w:rFonts w:ascii="Arial" w:hAnsi="Arial" w:cs="Arial"/>
          <w:sz w:val="20"/>
          <w:szCs w:val="20"/>
          <w:lang w:val="en-US"/>
        </w:rPr>
        <w:t xml:space="preserve">to 25 °C for a limited period of 6 months. The end date of the </w:t>
      </w:r>
      <w:proofErr w:type="gramStart"/>
      <w:r w:rsidRPr="009107E5">
        <w:rPr>
          <w:rFonts w:ascii="Arial" w:hAnsi="Arial" w:cs="Arial"/>
          <w:sz w:val="20"/>
          <w:szCs w:val="20"/>
          <w:lang w:val="en-US"/>
        </w:rPr>
        <w:t>6 month</w:t>
      </w:r>
      <w:proofErr w:type="gramEnd"/>
      <w:r w:rsidRPr="009107E5">
        <w:rPr>
          <w:rFonts w:ascii="Arial" w:hAnsi="Arial" w:cs="Arial"/>
          <w:sz w:val="20"/>
          <w:szCs w:val="20"/>
          <w:lang w:val="en-US"/>
        </w:rPr>
        <w:t xml:space="preserve"> storage period at a temperature</w:t>
      </w:r>
      <w:r w:rsidR="00BB0631" w:rsidRPr="009107E5">
        <w:rPr>
          <w:rFonts w:ascii="Arial" w:hAnsi="Arial" w:cs="Arial"/>
          <w:sz w:val="20"/>
          <w:szCs w:val="20"/>
          <w:lang w:val="en-US"/>
        </w:rPr>
        <w:t xml:space="preserve"> </w:t>
      </w:r>
      <w:r w:rsidRPr="009107E5">
        <w:rPr>
          <w:rFonts w:ascii="Arial" w:hAnsi="Arial" w:cs="Arial"/>
          <w:sz w:val="20"/>
          <w:szCs w:val="20"/>
          <w:lang w:val="en-US"/>
        </w:rPr>
        <w:t xml:space="preserve">up to 25 °C should be recorded on the product carton. This date should never exceed the expiry </w:t>
      </w:r>
      <w:proofErr w:type="gramStart"/>
      <w:r w:rsidRPr="009107E5">
        <w:rPr>
          <w:rFonts w:ascii="Arial" w:hAnsi="Arial" w:cs="Arial"/>
          <w:sz w:val="20"/>
          <w:szCs w:val="20"/>
          <w:lang w:val="en-US"/>
        </w:rPr>
        <w:t>date</w:t>
      </w:r>
      <w:proofErr w:type="gramEnd"/>
    </w:p>
    <w:p w14:paraId="39CA09CB" w14:textId="71F94B06" w:rsidR="00284424" w:rsidRPr="009107E5" w:rsidRDefault="00BB0631"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 xml:space="preserve"> </w:t>
      </w:r>
      <w:r w:rsidR="00284424" w:rsidRPr="009107E5">
        <w:rPr>
          <w:rFonts w:ascii="Arial" w:hAnsi="Arial" w:cs="Arial"/>
          <w:sz w:val="20"/>
          <w:szCs w:val="20"/>
          <w:lang w:val="en-US"/>
        </w:rPr>
        <w:t>printed on the outer carton. At the end of this period the product should not be put back in the</w:t>
      </w:r>
    </w:p>
    <w:p w14:paraId="16E68053" w14:textId="74B49CAC"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refrigerator, but should be used or discarded.</w:t>
      </w:r>
    </w:p>
    <w:p w14:paraId="4FEB5F5B"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p>
    <w:p w14:paraId="7025D890" w14:textId="77777777" w:rsidR="00284424" w:rsidRPr="009107E5" w:rsidRDefault="00284424" w:rsidP="00AD0441">
      <w:pPr>
        <w:autoSpaceDE w:val="0"/>
        <w:autoSpaceDN w:val="0"/>
        <w:adjustRightInd w:val="0"/>
        <w:spacing w:line="240" w:lineRule="auto"/>
        <w:rPr>
          <w:rFonts w:ascii="Arial" w:hAnsi="Arial" w:cs="Arial"/>
          <w:sz w:val="20"/>
          <w:szCs w:val="20"/>
          <w:u w:val="single"/>
          <w:lang w:val="en-US"/>
        </w:rPr>
      </w:pPr>
      <w:r w:rsidRPr="009107E5">
        <w:rPr>
          <w:rFonts w:ascii="Arial" w:hAnsi="Arial" w:cs="Arial"/>
          <w:sz w:val="20"/>
          <w:szCs w:val="20"/>
          <w:u w:val="single"/>
          <w:lang w:val="en-US"/>
        </w:rPr>
        <w:t>Reconstituted solution</w:t>
      </w:r>
    </w:p>
    <w:p w14:paraId="23714A4F" w14:textId="228ECC95"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The chemical and physical in-use stability after reconstitution has been demonstrated for 3 hours at</w:t>
      </w:r>
      <w:r w:rsidR="00BB0631" w:rsidRPr="009107E5">
        <w:rPr>
          <w:rFonts w:ascii="Arial" w:hAnsi="Arial" w:cs="Arial"/>
          <w:sz w:val="20"/>
          <w:szCs w:val="20"/>
          <w:lang w:val="en-US"/>
        </w:rPr>
        <w:t xml:space="preserve"> </w:t>
      </w:r>
      <w:r w:rsidRPr="009107E5">
        <w:rPr>
          <w:rFonts w:ascii="Arial" w:hAnsi="Arial" w:cs="Arial"/>
          <w:sz w:val="20"/>
          <w:szCs w:val="20"/>
          <w:lang w:val="en-US"/>
        </w:rPr>
        <w:t>room temperature. Do not refrigerate after reconstitution.</w:t>
      </w:r>
      <w:r w:rsidR="00BB0631" w:rsidRPr="009107E5">
        <w:rPr>
          <w:rFonts w:ascii="Arial" w:hAnsi="Arial" w:cs="Arial"/>
          <w:sz w:val="20"/>
          <w:szCs w:val="20"/>
          <w:lang w:val="en-US"/>
        </w:rPr>
        <w:t xml:space="preserve"> </w:t>
      </w:r>
      <w:r w:rsidRPr="009107E5">
        <w:rPr>
          <w:rFonts w:ascii="Arial" w:hAnsi="Arial" w:cs="Arial"/>
          <w:sz w:val="20"/>
          <w:szCs w:val="20"/>
          <w:lang w:val="en-US"/>
        </w:rPr>
        <w:t xml:space="preserve">From a microbiological point of view the product should be used immediately after reconstitution. </w:t>
      </w:r>
      <w:r w:rsidR="004A6800" w:rsidRPr="009107E5">
        <w:rPr>
          <w:rFonts w:ascii="Arial" w:hAnsi="Arial" w:cs="Arial"/>
          <w:sz w:val="20"/>
          <w:szCs w:val="20"/>
          <w:lang w:val="en-US"/>
        </w:rPr>
        <w:t xml:space="preserve"> The product is for single use in one patient only. Discard any residue.</w:t>
      </w:r>
    </w:p>
    <w:p w14:paraId="5AFEFE01" w14:textId="77777777" w:rsidR="00AE0245" w:rsidRPr="009107E5" w:rsidRDefault="00AE0245" w:rsidP="00AD0441">
      <w:pPr>
        <w:rPr>
          <w:rFonts w:ascii="Arial" w:hAnsi="Arial" w:cs="Arial"/>
          <w:sz w:val="20"/>
          <w:szCs w:val="20"/>
        </w:rPr>
      </w:pPr>
    </w:p>
    <w:p w14:paraId="51D65A47" w14:textId="77777777" w:rsidR="001A3992" w:rsidRPr="009107E5" w:rsidRDefault="001A3992" w:rsidP="00AD0441">
      <w:pPr>
        <w:pStyle w:val="Heading2"/>
        <w:spacing w:before="0" w:after="120"/>
        <w:rPr>
          <w:rFonts w:ascii="Arial" w:hAnsi="Arial" w:cs="Arial"/>
          <w:sz w:val="20"/>
          <w:szCs w:val="20"/>
        </w:rPr>
      </w:pPr>
      <w:r w:rsidRPr="009107E5">
        <w:rPr>
          <w:rFonts w:ascii="Arial" w:hAnsi="Arial" w:cs="Arial"/>
          <w:sz w:val="20"/>
          <w:szCs w:val="20"/>
        </w:rPr>
        <w:t xml:space="preserve">Nature and contents of container </w:t>
      </w:r>
    </w:p>
    <w:p w14:paraId="27524969" w14:textId="77777777" w:rsidR="00317BC0" w:rsidRPr="009107E5" w:rsidRDefault="00317BC0" w:rsidP="00AD0441">
      <w:pPr>
        <w:rPr>
          <w:rFonts w:ascii="Arial" w:hAnsi="Arial" w:cs="Arial"/>
          <w:sz w:val="20"/>
          <w:szCs w:val="20"/>
        </w:rPr>
      </w:pPr>
      <w:r w:rsidRPr="009107E5">
        <w:rPr>
          <w:rFonts w:ascii="Arial" w:hAnsi="Arial" w:cs="Arial"/>
          <w:sz w:val="20"/>
          <w:szCs w:val="20"/>
        </w:rPr>
        <w:t>Each package of Jivi contains:</w:t>
      </w:r>
    </w:p>
    <w:p w14:paraId="1AD6FF0A" w14:textId="77777777" w:rsidR="00317BC0" w:rsidRPr="009107E5" w:rsidRDefault="00317BC0" w:rsidP="00AD0441">
      <w:pPr>
        <w:pStyle w:val="ListParagraph"/>
        <w:numPr>
          <w:ilvl w:val="0"/>
          <w:numId w:val="14"/>
        </w:numPr>
        <w:rPr>
          <w:rFonts w:ascii="Arial" w:hAnsi="Arial" w:cs="Arial"/>
          <w:sz w:val="20"/>
          <w:szCs w:val="20"/>
        </w:rPr>
      </w:pPr>
      <w:r w:rsidRPr="009107E5">
        <w:rPr>
          <w:rFonts w:ascii="Arial" w:hAnsi="Arial" w:cs="Arial"/>
          <w:sz w:val="20"/>
          <w:szCs w:val="20"/>
        </w:rPr>
        <w:t xml:space="preserve">one vial with powder (10 mL clear glass type 1 vial with grey </w:t>
      </w:r>
      <w:proofErr w:type="spellStart"/>
      <w:r w:rsidRPr="009107E5">
        <w:rPr>
          <w:rFonts w:ascii="Arial" w:hAnsi="Arial" w:cs="Arial"/>
          <w:sz w:val="20"/>
          <w:szCs w:val="20"/>
        </w:rPr>
        <w:t>bromobutyl</w:t>
      </w:r>
      <w:proofErr w:type="spellEnd"/>
      <w:r w:rsidRPr="009107E5">
        <w:rPr>
          <w:rFonts w:ascii="Arial" w:hAnsi="Arial" w:cs="Arial"/>
          <w:sz w:val="20"/>
          <w:szCs w:val="20"/>
        </w:rPr>
        <w:t xml:space="preserve"> rubber blend stopper and aluminium seal)</w:t>
      </w:r>
    </w:p>
    <w:p w14:paraId="4502D775" w14:textId="77777777" w:rsidR="00317BC0" w:rsidRPr="009107E5" w:rsidRDefault="00317BC0" w:rsidP="00AD0441">
      <w:pPr>
        <w:pStyle w:val="ListParagraph"/>
        <w:numPr>
          <w:ilvl w:val="0"/>
          <w:numId w:val="14"/>
        </w:numPr>
        <w:rPr>
          <w:rFonts w:ascii="Arial" w:hAnsi="Arial" w:cs="Arial"/>
          <w:sz w:val="20"/>
          <w:szCs w:val="20"/>
        </w:rPr>
      </w:pPr>
      <w:r w:rsidRPr="009107E5">
        <w:rPr>
          <w:rFonts w:ascii="Arial" w:hAnsi="Arial" w:cs="Arial"/>
          <w:sz w:val="20"/>
          <w:szCs w:val="20"/>
        </w:rPr>
        <w:t xml:space="preserve">one pre-filled syringe with 2.5 mL solvent (clear glass cylinder type 1 with grey </w:t>
      </w:r>
      <w:proofErr w:type="spellStart"/>
      <w:r w:rsidRPr="009107E5">
        <w:rPr>
          <w:rFonts w:ascii="Arial" w:hAnsi="Arial" w:cs="Arial"/>
          <w:sz w:val="20"/>
          <w:szCs w:val="20"/>
        </w:rPr>
        <w:t>bromobutyl</w:t>
      </w:r>
      <w:proofErr w:type="spellEnd"/>
      <w:r w:rsidRPr="009107E5">
        <w:rPr>
          <w:rFonts w:ascii="Arial" w:hAnsi="Arial" w:cs="Arial"/>
          <w:sz w:val="20"/>
          <w:szCs w:val="20"/>
        </w:rPr>
        <w:t xml:space="preserve"> rubber blend stopper)</w:t>
      </w:r>
    </w:p>
    <w:p w14:paraId="19107F85" w14:textId="77777777" w:rsidR="00317BC0" w:rsidRPr="009107E5" w:rsidRDefault="00317BC0" w:rsidP="00AD0441">
      <w:pPr>
        <w:pStyle w:val="ListParagraph"/>
        <w:numPr>
          <w:ilvl w:val="0"/>
          <w:numId w:val="14"/>
        </w:numPr>
        <w:rPr>
          <w:rFonts w:ascii="Arial" w:hAnsi="Arial" w:cs="Arial"/>
          <w:sz w:val="20"/>
          <w:szCs w:val="20"/>
        </w:rPr>
      </w:pPr>
      <w:r w:rsidRPr="009107E5">
        <w:rPr>
          <w:rFonts w:ascii="Arial" w:hAnsi="Arial" w:cs="Arial"/>
          <w:sz w:val="20"/>
          <w:szCs w:val="20"/>
        </w:rPr>
        <w:t>syringe plunger rod</w:t>
      </w:r>
    </w:p>
    <w:p w14:paraId="28F8C6E4" w14:textId="77777777" w:rsidR="00317BC0" w:rsidRPr="009107E5" w:rsidRDefault="00317BC0" w:rsidP="00AD0441">
      <w:pPr>
        <w:pStyle w:val="ListParagraph"/>
        <w:numPr>
          <w:ilvl w:val="0"/>
          <w:numId w:val="14"/>
        </w:numPr>
        <w:rPr>
          <w:rFonts w:ascii="Arial" w:hAnsi="Arial" w:cs="Arial"/>
          <w:sz w:val="20"/>
          <w:szCs w:val="20"/>
        </w:rPr>
      </w:pPr>
      <w:r w:rsidRPr="009107E5">
        <w:rPr>
          <w:rFonts w:ascii="Arial" w:hAnsi="Arial" w:cs="Arial"/>
          <w:sz w:val="20"/>
          <w:szCs w:val="20"/>
        </w:rPr>
        <w:t>vial adapter (with integrated filter)</w:t>
      </w:r>
    </w:p>
    <w:p w14:paraId="6AF2EDCB" w14:textId="13B5FD0E" w:rsidR="00317BC0" w:rsidRPr="009107E5" w:rsidRDefault="00317BC0" w:rsidP="00AD0441">
      <w:pPr>
        <w:pStyle w:val="ListParagraph"/>
        <w:numPr>
          <w:ilvl w:val="0"/>
          <w:numId w:val="14"/>
        </w:numPr>
        <w:rPr>
          <w:rFonts w:ascii="Arial" w:hAnsi="Arial" w:cs="Arial"/>
          <w:sz w:val="20"/>
          <w:szCs w:val="20"/>
        </w:rPr>
      </w:pPr>
      <w:r w:rsidRPr="009107E5">
        <w:rPr>
          <w:rFonts w:ascii="Arial" w:hAnsi="Arial" w:cs="Arial"/>
          <w:sz w:val="20"/>
          <w:szCs w:val="20"/>
        </w:rPr>
        <w:t xml:space="preserve">one </w:t>
      </w:r>
      <w:r w:rsidR="00183B87" w:rsidRPr="009107E5">
        <w:rPr>
          <w:rFonts w:ascii="Arial" w:hAnsi="Arial" w:cs="Arial"/>
          <w:sz w:val="20"/>
          <w:szCs w:val="20"/>
        </w:rPr>
        <w:t xml:space="preserve">sterile administration </w:t>
      </w:r>
      <w:r w:rsidRPr="009107E5">
        <w:rPr>
          <w:rFonts w:ascii="Arial" w:hAnsi="Arial" w:cs="Arial"/>
          <w:sz w:val="20"/>
          <w:szCs w:val="20"/>
        </w:rPr>
        <w:t>set</w:t>
      </w:r>
      <w:r w:rsidR="00284424" w:rsidRPr="009107E5">
        <w:rPr>
          <w:rFonts w:ascii="Arial" w:hAnsi="Arial" w:cs="Arial"/>
          <w:sz w:val="20"/>
          <w:szCs w:val="20"/>
        </w:rPr>
        <w:t xml:space="preserve"> (</w:t>
      </w:r>
      <w:proofErr w:type="spellStart"/>
      <w:r w:rsidR="00284424" w:rsidRPr="009107E5">
        <w:rPr>
          <w:rFonts w:ascii="Arial" w:hAnsi="Arial" w:cs="Arial"/>
          <w:sz w:val="20"/>
          <w:szCs w:val="20"/>
        </w:rPr>
        <w:t>venipuncture</w:t>
      </w:r>
      <w:proofErr w:type="spellEnd"/>
      <w:r w:rsidR="00284424" w:rsidRPr="009107E5">
        <w:rPr>
          <w:rFonts w:ascii="Arial" w:hAnsi="Arial" w:cs="Arial"/>
          <w:sz w:val="20"/>
          <w:szCs w:val="20"/>
        </w:rPr>
        <w:t xml:space="preserve"> set)</w:t>
      </w:r>
    </w:p>
    <w:p w14:paraId="47B9B124" w14:textId="77777777" w:rsidR="00284424" w:rsidRPr="009107E5" w:rsidRDefault="00284424" w:rsidP="00AD0441">
      <w:pPr>
        <w:rPr>
          <w:rFonts w:ascii="Arial" w:hAnsi="Arial" w:cs="Arial"/>
          <w:sz w:val="20"/>
          <w:szCs w:val="20"/>
        </w:rPr>
      </w:pPr>
    </w:p>
    <w:p w14:paraId="2CB43DA8" w14:textId="77777777" w:rsidR="00284424" w:rsidRPr="009107E5" w:rsidRDefault="00284424" w:rsidP="00AD0441">
      <w:pPr>
        <w:autoSpaceDE w:val="0"/>
        <w:autoSpaceDN w:val="0"/>
        <w:adjustRightInd w:val="0"/>
        <w:spacing w:line="240" w:lineRule="auto"/>
        <w:rPr>
          <w:rFonts w:ascii="Arial" w:hAnsi="Arial" w:cs="Arial"/>
          <w:sz w:val="20"/>
          <w:szCs w:val="20"/>
          <w:lang w:val="en-US"/>
        </w:rPr>
      </w:pPr>
      <w:r w:rsidRPr="009107E5">
        <w:rPr>
          <w:rFonts w:ascii="Arial" w:hAnsi="Arial" w:cs="Arial"/>
          <w:sz w:val="20"/>
          <w:szCs w:val="20"/>
          <w:lang w:val="en-US"/>
        </w:rPr>
        <w:t>Pack sizes</w:t>
      </w:r>
    </w:p>
    <w:p w14:paraId="19AE2FB9" w14:textId="77777777" w:rsidR="00284424" w:rsidRPr="009107E5" w:rsidRDefault="00284424" w:rsidP="00AD0441">
      <w:pPr>
        <w:pStyle w:val="ListParagraph"/>
        <w:numPr>
          <w:ilvl w:val="0"/>
          <w:numId w:val="23"/>
        </w:numPr>
        <w:spacing w:line="259" w:lineRule="auto"/>
        <w:rPr>
          <w:rFonts w:ascii="Arial" w:hAnsi="Arial" w:cs="Arial"/>
          <w:b/>
          <w:bCs/>
          <w:sz w:val="20"/>
          <w:szCs w:val="20"/>
        </w:rPr>
      </w:pPr>
      <w:r w:rsidRPr="009107E5">
        <w:rPr>
          <w:rFonts w:ascii="Arial" w:hAnsi="Arial" w:cs="Arial"/>
          <w:sz w:val="20"/>
          <w:szCs w:val="20"/>
          <w:lang w:val="en-US"/>
        </w:rPr>
        <w:t>1 single pack.</w:t>
      </w:r>
    </w:p>
    <w:p w14:paraId="04998434" w14:textId="77777777" w:rsidR="00317BC0" w:rsidRPr="009107E5" w:rsidRDefault="00317BC0" w:rsidP="00AD0441">
      <w:pPr>
        <w:rPr>
          <w:rFonts w:ascii="Arial" w:hAnsi="Arial" w:cs="Arial"/>
          <w:sz w:val="20"/>
          <w:szCs w:val="20"/>
        </w:rPr>
      </w:pPr>
    </w:p>
    <w:p w14:paraId="10717152" w14:textId="77777777" w:rsidR="001A3992" w:rsidRPr="009107E5" w:rsidRDefault="001A3992" w:rsidP="00AD0441">
      <w:pPr>
        <w:pStyle w:val="Heading2"/>
        <w:spacing w:before="0" w:after="120"/>
        <w:rPr>
          <w:rFonts w:ascii="Arial" w:hAnsi="Arial" w:cs="Arial"/>
          <w:sz w:val="20"/>
          <w:szCs w:val="20"/>
        </w:rPr>
      </w:pPr>
      <w:r w:rsidRPr="009107E5">
        <w:rPr>
          <w:rFonts w:ascii="Arial" w:hAnsi="Arial" w:cs="Arial"/>
          <w:sz w:val="20"/>
          <w:szCs w:val="20"/>
        </w:rPr>
        <w:t xml:space="preserve">Special precautions for disposal </w:t>
      </w:r>
    </w:p>
    <w:p w14:paraId="6FF7DC4F" w14:textId="77777777" w:rsidR="002B424E" w:rsidRPr="009107E5" w:rsidRDefault="002B424E" w:rsidP="00AD0441">
      <w:pPr>
        <w:rPr>
          <w:rFonts w:ascii="Arial" w:hAnsi="Arial" w:cs="Arial"/>
          <w:sz w:val="20"/>
          <w:szCs w:val="20"/>
        </w:rPr>
      </w:pPr>
      <w:r w:rsidRPr="009107E5">
        <w:rPr>
          <w:rFonts w:ascii="Arial" w:hAnsi="Arial" w:cs="Arial"/>
          <w:sz w:val="20"/>
          <w:szCs w:val="20"/>
        </w:rPr>
        <w:t>In Australia, any unused medicine or waste material should be disposed of in accordance with local requirements.</w:t>
      </w:r>
    </w:p>
    <w:p w14:paraId="12CBC574" w14:textId="77777777" w:rsidR="009A09BC" w:rsidRPr="009107E5" w:rsidRDefault="009A09BC" w:rsidP="00AD0441">
      <w:pPr>
        <w:rPr>
          <w:rFonts w:ascii="Arial" w:hAnsi="Arial" w:cs="Arial"/>
          <w:sz w:val="20"/>
          <w:szCs w:val="20"/>
        </w:rPr>
      </w:pPr>
    </w:p>
    <w:p w14:paraId="2E62A545" w14:textId="77777777" w:rsidR="001A3992" w:rsidRPr="009107E5" w:rsidRDefault="001A3992" w:rsidP="00AD0441">
      <w:pPr>
        <w:pStyle w:val="Heading2"/>
        <w:spacing w:before="0" w:after="120"/>
        <w:rPr>
          <w:rFonts w:ascii="Arial" w:hAnsi="Arial" w:cs="Arial"/>
          <w:sz w:val="20"/>
          <w:szCs w:val="20"/>
        </w:rPr>
      </w:pPr>
      <w:r w:rsidRPr="009107E5">
        <w:rPr>
          <w:rFonts w:ascii="Arial" w:hAnsi="Arial" w:cs="Arial"/>
          <w:sz w:val="20"/>
          <w:szCs w:val="20"/>
        </w:rPr>
        <w:t>Physicochemical properties</w:t>
      </w:r>
    </w:p>
    <w:p w14:paraId="196B0F67" w14:textId="77777777" w:rsidR="001A3992" w:rsidRPr="009107E5" w:rsidRDefault="001A3992" w:rsidP="00AD0441">
      <w:pPr>
        <w:pStyle w:val="Heading3"/>
        <w:spacing w:before="0" w:after="120"/>
        <w:rPr>
          <w:rFonts w:ascii="Arial" w:hAnsi="Arial" w:cs="Arial"/>
          <w:sz w:val="20"/>
          <w:szCs w:val="20"/>
        </w:rPr>
      </w:pPr>
      <w:r w:rsidRPr="009107E5">
        <w:rPr>
          <w:rFonts w:ascii="Arial" w:hAnsi="Arial" w:cs="Arial"/>
          <w:sz w:val="20"/>
          <w:szCs w:val="20"/>
        </w:rPr>
        <w:t>Chemical structure</w:t>
      </w:r>
    </w:p>
    <w:p w14:paraId="0EB8E246" w14:textId="77777777" w:rsidR="00AF3B3D" w:rsidRPr="009107E5" w:rsidRDefault="00AF3B3D" w:rsidP="00AD0441">
      <w:pPr>
        <w:rPr>
          <w:rFonts w:ascii="Arial" w:hAnsi="Arial" w:cs="Arial"/>
          <w:sz w:val="20"/>
          <w:szCs w:val="20"/>
        </w:rPr>
      </w:pPr>
      <w:r w:rsidRPr="009107E5">
        <w:rPr>
          <w:rFonts w:ascii="Arial" w:hAnsi="Arial" w:cs="Arial"/>
          <w:sz w:val="20"/>
          <w:szCs w:val="20"/>
        </w:rPr>
        <w:t xml:space="preserve">Jivi is a B-domain deleted (BDD) recombinant human coagulation FVIII variant which is site-specifically conjugated at the A3 domain with a 60 </w:t>
      </w:r>
      <w:proofErr w:type="spellStart"/>
      <w:r w:rsidRPr="009107E5">
        <w:rPr>
          <w:rFonts w:ascii="Arial" w:hAnsi="Arial" w:cs="Arial"/>
          <w:sz w:val="20"/>
          <w:szCs w:val="20"/>
        </w:rPr>
        <w:t>kDa</w:t>
      </w:r>
      <w:proofErr w:type="spellEnd"/>
      <w:r w:rsidRPr="009107E5">
        <w:rPr>
          <w:rFonts w:ascii="Arial" w:hAnsi="Arial" w:cs="Arial"/>
          <w:sz w:val="20"/>
          <w:szCs w:val="20"/>
        </w:rPr>
        <w:t xml:space="preserve"> branched (two 30 </w:t>
      </w:r>
      <w:proofErr w:type="spellStart"/>
      <w:r w:rsidRPr="009107E5">
        <w:rPr>
          <w:rFonts w:ascii="Arial" w:hAnsi="Arial" w:cs="Arial"/>
          <w:sz w:val="20"/>
          <w:szCs w:val="20"/>
        </w:rPr>
        <w:t>kDa</w:t>
      </w:r>
      <w:proofErr w:type="spellEnd"/>
      <w:r w:rsidRPr="009107E5">
        <w:rPr>
          <w:rFonts w:ascii="Arial" w:hAnsi="Arial" w:cs="Arial"/>
          <w:sz w:val="20"/>
          <w:szCs w:val="20"/>
        </w:rPr>
        <w:t xml:space="preserve"> PEG) polyethylene glycol. The molecular weight of the protein is approximately 234 </w:t>
      </w:r>
      <w:proofErr w:type="spellStart"/>
      <w:r w:rsidRPr="009107E5">
        <w:rPr>
          <w:rFonts w:ascii="Arial" w:hAnsi="Arial" w:cs="Arial"/>
          <w:sz w:val="20"/>
          <w:szCs w:val="20"/>
        </w:rPr>
        <w:t>kDa</w:t>
      </w:r>
      <w:proofErr w:type="spellEnd"/>
      <w:r w:rsidRPr="009107E5">
        <w:rPr>
          <w:rFonts w:ascii="Arial" w:hAnsi="Arial" w:cs="Arial"/>
          <w:sz w:val="20"/>
          <w:szCs w:val="20"/>
        </w:rPr>
        <w:t xml:space="preserve"> based on the calculated average molecular weight of the BDD-</w:t>
      </w:r>
      <w:proofErr w:type="spellStart"/>
      <w:r w:rsidRPr="009107E5">
        <w:rPr>
          <w:rFonts w:ascii="Arial" w:hAnsi="Arial" w:cs="Arial"/>
          <w:sz w:val="20"/>
          <w:szCs w:val="20"/>
        </w:rPr>
        <w:t>rFVIII</w:t>
      </w:r>
      <w:proofErr w:type="spellEnd"/>
      <w:r w:rsidRPr="009107E5">
        <w:rPr>
          <w:rFonts w:ascii="Arial" w:hAnsi="Arial" w:cs="Arial"/>
          <w:sz w:val="20"/>
          <w:szCs w:val="20"/>
        </w:rPr>
        <w:t xml:space="preserve"> variant of 165 </w:t>
      </w:r>
      <w:proofErr w:type="spellStart"/>
      <w:r w:rsidRPr="009107E5">
        <w:rPr>
          <w:rFonts w:ascii="Arial" w:hAnsi="Arial" w:cs="Arial"/>
          <w:sz w:val="20"/>
          <w:szCs w:val="20"/>
        </w:rPr>
        <w:t>kDa</w:t>
      </w:r>
      <w:proofErr w:type="spellEnd"/>
      <w:r w:rsidRPr="009107E5">
        <w:rPr>
          <w:rFonts w:ascii="Arial" w:hAnsi="Arial" w:cs="Arial"/>
          <w:sz w:val="20"/>
          <w:szCs w:val="20"/>
        </w:rPr>
        <w:t xml:space="preserve">, plus glycosylation (~4 </w:t>
      </w:r>
      <w:proofErr w:type="spellStart"/>
      <w:r w:rsidRPr="009107E5">
        <w:rPr>
          <w:rFonts w:ascii="Arial" w:hAnsi="Arial" w:cs="Arial"/>
          <w:sz w:val="20"/>
          <w:szCs w:val="20"/>
        </w:rPr>
        <w:t>kDa</w:t>
      </w:r>
      <w:proofErr w:type="spellEnd"/>
      <w:r w:rsidRPr="009107E5">
        <w:rPr>
          <w:rFonts w:ascii="Arial" w:hAnsi="Arial" w:cs="Arial"/>
          <w:sz w:val="20"/>
          <w:szCs w:val="20"/>
        </w:rPr>
        <w:t xml:space="preserve">), and the average molecular weight of the single maleimide-derivatized 60 </w:t>
      </w:r>
      <w:proofErr w:type="spellStart"/>
      <w:r w:rsidRPr="009107E5">
        <w:rPr>
          <w:rFonts w:ascii="Arial" w:hAnsi="Arial" w:cs="Arial"/>
          <w:sz w:val="20"/>
          <w:szCs w:val="20"/>
        </w:rPr>
        <w:t>kDa</w:t>
      </w:r>
      <w:proofErr w:type="spellEnd"/>
      <w:r w:rsidRPr="009107E5">
        <w:rPr>
          <w:rFonts w:ascii="Arial" w:hAnsi="Arial" w:cs="Arial"/>
          <w:sz w:val="20"/>
          <w:szCs w:val="20"/>
        </w:rPr>
        <w:t xml:space="preserve"> branched PEG moiety.</w:t>
      </w:r>
    </w:p>
    <w:p w14:paraId="65CD5ED6" w14:textId="77777777" w:rsidR="00AF3B3D" w:rsidRPr="009107E5" w:rsidRDefault="00AF3B3D" w:rsidP="00AD0441">
      <w:pPr>
        <w:rPr>
          <w:rFonts w:ascii="Arial" w:hAnsi="Arial" w:cs="Arial"/>
          <w:sz w:val="20"/>
          <w:szCs w:val="20"/>
        </w:rPr>
      </w:pPr>
      <w:r w:rsidRPr="009107E5">
        <w:rPr>
          <w:rFonts w:ascii="Arial" w:hAnsi="Arial" w:cs="Arial"/>
          <w:sz w:val="20"/>
          <w:szCs w:val="20"/>
        </w:rPr>
        <w:t xml:space="preserve">The active protein (or starting molecule), prior to conjugation, is a recombinant B-domain deleted human coagulation factor VIII (BDD </w:t>
      </w:r>
      <w:proofErr w:type="spellStart"/>
      <w:r w:rsidRPr="009107E5">
        <w:rPr>
          <w:rFonts w:ascii="Arial" w:hAnsi="Arial" w:cs="Arial"/>
          <w:sz w:val="20"/>
          <w:szCs w:val="20"/>
        </w:rPr>
        <w:t>rFVIII</w:t>
      </w:r>
      <w:proofErr w:type="spellEnd"/>
      <w:r w:rsidRPr="009107E5">
        <w:rPr>
          <w:rFonts w:ascii="Arial" w:hAnsi="Arial" w:cs="Arial"/>
          <w:sz w:val="20"/>
          <w:szCs w:val="20"/>
        </w:rPr>
        <w:t xml:space="preserve">) variant with K1804C mutation produced by recombinant DNA technology in Baby Hamster Kidney (BHK) cells and the conjugated protein is prepared without the addition of any human or animal derived protein in the cell culture process, purification, </w:t>
      </w:r>
      <w:proofErr w:type="spellStart"/>
      <w:r w:rsidRPr="009107E5">
        <w:rPr>
          <w:rFonts w:ascii="Arial" w:hAnsi="Arial" w:cs="Arial"/>
          <w:sz w:val="20"/>
          <w:szCs w:val="20"/>
        </w:rPr>
        <w:t>pegylation</w:t>
      </w:r>
      <w:proofErr w:type="spellEnd"/>
      <w:r w:rsidRPr="009107E5">
        <w:rPr>
          <w:rFonts w:ascii="Arial" w:hAnsi="Arial" w:cs="Arial"/>
          <w:sz w:val="20"/>
          <w:szCs w:val="20"/>
        </w:rPr>
        <w:t xml:space="preserve"> or final formulation.</w:t>
      </w:r>
    </w:p>
    <w:p w14:paraId="12BC158E" w14:textId="77777777" w:rsidR="00AF3B3D" w:rsidRPr="009107E5" w:rsidRDefault="00AF3B3D" w:rsidP="00AD0441">
      <w:pPr>
        <w:rPr>
          <w:rFonts w:ascii="Arial" w:hAnsi="Arial" w:cs="Arial"/>
          <w:sz w:val="20"/>
          <w:szCs w:val="20"/>
        </w:rPr>
      </w:pPr>
    </w:p>
    <w:p w14:paraId="5493ABF2" w14:textId="63146921" w:rsidR="00AF3B3D" w:rsidRPr="009107E5" w:rsidRDefault="00AF3B3D" w:rsidP="00AD0441">
      <w:pPr>
        <w:rPr>
          <w:rFonts w:ascii="Arial" w:hAnsi="Arial" w:cs="Arial"/>
          <w:sz w:val="20"/>
          <w:szCs w:val="20"/>
        </w:rPr>
      </w:pPr>
      <w:r w:rsidRPr="009107E5">
        <w:rPr>
          <w:rFonts w:ascii="Arial" w:hAnsi="Arial" w:cs="Arial"/>
          <w:sz w:val="20"/>
          <w:szCs w:val="20"/>
        </w:rPr>
        <w:t xml:space="preserve">Amino acid 910 for Jivi corresponds to amino acid 1804 in the </w:t>
      </w:r>
      <w:proofErr w:type="gramStart"/>
      <w:r w:rsidRPr="009107E5">
        <w:rPr>
          <w:rFonts w:ascii="Arial" w:hAnsi="Arial" w:cs="Arial"/>
          <w:sz w:val="20"/>
          <w:szCs w:val="20"/>
        </w:rPr>
        <w:t>full length</w:t>
      </w:r>
      <w:proofErr w:type="gramEnd"/>
      <w:r w:rsidRPr="009107E5">
        <w:rPr>
          <w:rFonts w:ascii="Arial" w:hAnsi="Arial" w:cs="Arial"/>
          <w:sz w:val="20"/>
          <w:szCs w:val="20"/>
        </w:rPr>
        <w:t xml:space="preserve"> Factor VIII amino acid</w:t>
      </w:r>
      <w:r w:rsidR="00BB0631" w:rsidRPr="009107E5">
        <w:rPr>
          <w:rFonts w:ascii="Arial" w:hAnsi="Arial" w:cs="Arial"/>
          <w:sz w:val="20"/>
          <w:szCs w:val="20"/>
        </w:rPr>
        <w:t xml:space="preserve"> </w:t>
      </w:r>
      <w:r w:rsidRPr="009107E5">
        <w:rPr>
          <w:rFonts w:ascii="Arial" w:hAnsi="Arial" w:cs="Arial"/>
          <w:sz w:val="20"/>
          <w:szCs w:val="20"/>
        </w:rPr>
        <w:t>sequence.</w:t>
      </w:r>
    </w:p>
    <w:p w14:paraId="410F429C" w14:textId="77777777" w:rsidR="000B60BC" w:rsidRPr="009107E5" w:rsidRDefault="000B60BC" w:rsidP="00AD0441">
      <w:pPr>
        <w:rPr>
          <w:rFonts w:ascii="Arial" w:hAnsi="Arial" w:cs="Arial"/>
          <w:sz w:val="20"/>
          <w:szCs w:val="20"/>
        </w:rPr>
      </w:pPr>
    </w:p>
    <w:p w14:paraId="51224909" w14:textId="77777777" w:rsidR="001A3992" w:rsidRPr="009107E5" w:rsidRDefault="001A3992" w:rsidP="00AD0441">
      <w:pPr>
        <w:pStyle w:val="Heading3"/>
        <w:spacing w:before="0" w:after="120"/>
        <w:rPr>
          <w:rFonts w:ascii="Arial" w:hAnsi="Arial" w:cs="Arial"/>
          <w:sz w:val="20"/>
          <w:szCs w:val="20"/>
        </w:rPr>
      </w:pPr>
      <w:r w:rsidRPr="009107E5">
        <w:rPr>
          <w:rFonts w:ascii="Arial" w:hAnsi="Arial" w:cs="Arial"/>
          <w:sz w:val="20"/>
          <w:szCs w:val="20"/>
        </w:rPr>
        <w:t>CAS number</w:t>
      </w:r>
    </w:p>
    <w:p w14:paraId="2B58C30D" w14:textId="71EB9A3C" w:rsidR="009E21C5" w:rsidRPr="009107E5" w:rsidRDefault="002F1A20" w:rsidP="00AD0441">
      <w:pPr>
        <w:rPr>
          <w:rFonts w:ascii="Arial" w:hAnsi="Arial" w:cs="Arial"/>
          <w:sz w:val="20"/>
          <w:szCs w:val="20"/>
        </w:rPr>
      </w:pPr>
      <w:r w:rsidRPr="009107E5">
        <w:rPr>
          <w:rFonts w:ascii="Arial" w:hAnsi="Arial" w:cs="Arial"/>
          <w:sz w:val="20"/>
          <w:szCs w:val="20"/>
        </w:rPr>
        <w:t>1363853-26-2</w:t>
      </w:r>
    </w:p>
    <w:p w14:paraId="7688F551" w14:textId="77777777" w:rsidR="002F1A20" w:rsidRPr="009107E5" w:rsidRDefault="002F1A20" w:rsidP="00AD0441">
      <w:pPr>
        <w:rPr>
          <w:rFonts w:ascii="Arial" w:hAnsi="Arial" w:cs="Arial"/>
          <w:sz w:val="20"/>
          <w:szCs w:val="20"/>
        </w:rPr>
      </w:pPr>
    </w:p>
    <w:p w14:paraId="073F88F7" w14:textId="77777777" w:rsidR="001A3992" w:rsidRPr="009107E5" w:rsidRDefault="001A3992" w:rsidP="00AD0441">
      <w:pPr>
        <w:pStyle w:val="Heading1"/>
        <w:spacing w:before="0" w:after="120"/>
        <w:rPr>
          <w:rFonts w:ascii="Arial" w:hAnsi="Arial" w:cs="Arial"/>
          <w:sz w:val="20"/>
          <w:szCs w:val="20"/>
        </w:rPr>
      </w:pPr>
      <w:r w:rsidRPr="009107E5">
        <w:rPr>
          <w:rFonts w:ascii="Arial" w:hAnsi="Arial" w:cs="Arial"/>
          <w:sz w:val="20"/>
          <w:szCs w:val="20"/>
        </w:rPr>
        <w:lastRenderedPageBreak/>
        <w:t>Medicine schedule (Poisons Standard)</w:t>
      </w:r>
    </w:p>
    <w:p w14:paraId="2B762AE6" w14:textId="77777777" w:rsidR="00F512AD" w:rsidRPr="009107E5" w:rsidRDefault="00F512AD" w:rsidP="00AD0441">
      <w:pPr>
        <w:rPr>
          <w:rFonts w:ascii="Arial" w:hAnsi="Arial" w:cs="Arial"/>
          <w:sz w:val="20"/>
          <w:szCs w:val="20"/>
        </w:rPr>
      </w:pPr>
      <w:r w:rsidRPr="009107E5">
        <w:rPr>
          <w:rFonts w:ascii="Arial" w:hAnsi="Arial" w:cs="Arial"/>
          <w:sz w:val="20"/>
          <w:szCs w:val="20"/>
        </w:rPr>
        <w:t>Unscheduled</w:t>
      </w:r>
    </w:p>
    <w:p w14:paraId="6F5871C0" w14:textId="77777777" w:rsidR="00973916" w:rsidRPr="009107E5" w:rsidRDefault="00973916" w:rsidP="00AD0441">
      <w:pPr>
        <w:rPr>
          <w:rFonts w:ascii="Arial" w:hAnsi="Arial" w:cs="Arial"/>
          <w:sz w:val="20"/>
          <w:szCs w:val="20"/>
        </w:rPr>
      </w:pPr>
    </w:p>
    <w:p w14:paraId="2F10B56F" w14:textId="77777777" w:rsidR="001A3992" w:rsidRPr="009107E5" w:rsidRDefault="001A3992" w:rsidP="00AD0441">
      <w:pPr>
        <w:pStyle w:val="Heading1"/>
        <w:spacing w:before="0" w:after="120"/>
        <w:rPr>
          <w:rFonts w:ascii="Arial" w:hAnsi="Arial" w:cs="Arial"/>
          <w:sz w:val="20"/>
          <w:szCs w:val="20"/>
        </w:rPr>
      </w:pPr>
      <w:r w:rsidRPr="009107E5">
        <w:rPr>
          <w:rFonts w:ascii="Arial" w:hAnsi="Arial" w:cs="Arial"/>
          <w:sz w:val="20"/>
          <w:szCs w:val="20"/>
        </w:rPr>
        <w:t>Sponsor</w:t>
      </w:r>
    </w:p>
    <w:p w14:paraId="2F0D1F58" w14:textId="77777777" w:rsidR="00C828FD" w:rsidRPr="009107E5" w:rsidRDefault="00C828FD" w:rsidP="00AD0441">
      <w:pPr>
        <w:spacing w:line="240" w:lineRule="auto"/>
        <w:rPr>
          <w:rFonts w:ascii="Arial" w:hAnsi="Arial" w:cs="Arial"/>
          <w:sz w:val="20"/>
          <w:szCs w:val="20"/>
        </w:rPr>
      </w:pPr>
      <w:r w:rsidRPr="009107E5">
        <w:rPr>
          <w:rFonts w:ascii="Arial" w:hAnsi="Arial" w:cs="Arial"/>
          <w:sz w:val="20"/>
          <w:szCs w:val="20"/>
        </w:rPr>
        <w:t>Bayer Australia Limited</w:t>
      </w:r>
    </w:p>
    <w:p w14:paraId="25783967" w14:textId="77777777" w:rsidR="00C828FD" w:rsidRPr="009107E5" w:rsidRDefault="00C828FD" w:rsidP="00AD0441">
      <w:pPr>
        <w:spacing w:line="240" w:lineRule="auto"/>
        <w:rPr>
          <w:rFonts w:ascii="Arial" w:hAnsi="Arial" w:cs="Arial"/>
          <w:sz w:val="20"/>
          <w:szCs w:val="20"/>
        </w:rPr>
      </w:pPr>
      <w:r w:rsidRPr="009107E5">
        <w:rPr>
          <w:rFonts w:ascii="Arial" w:hAnsi="Arial" w:cs="Arial"/>
          <w:sz w:val="20"/>
          <w:szCs w:val="20"/>
        </w:rPr>
        <w:t>ABN 22 000 138 714</w:t>
      </w:r>
    </w:p>
    <w:p w14:paraId="103EF45F" w14:textId="77777777" w:rsidR="00C828FD" w:rsidRPr="009107E5" w:rsidRDefault="00C828FD" w:rsidP="00AD0441">
      <w:pPr>
        <w:spacing w:line="240" w:lineRule="auto"/>
        <w:rPr>
          <w:rFonts w:ascii="Arial" w:hAnsi="Arial" w:cs="Arial"/>
          <w:sz w:val="20"/>
          <w:szCs w:val="20"/>
        </w:rPr>
      </w:pPr>
      <w:r w:rsidRPr="009107E5">
        <w:rPr>
          <w:rFonts w:ascii="Arial" w:hAnsi="Arial" w:cs="Arial"/>
          <w:sz w:val="20"/>
          <w:szCs w:val="20"/>
        </w:rPr>
        <w:t>875 Pacific Highway</w:t>
      </w:r>
    </w:p>
    <w:p w14:paraId="5A318CB8" w14:textId="77777777" w:rsidR="00C828FD" w:rsidRPr="009107E5" w:rsidRDefault="00C828FD" w:rsidP="00AD0441">
      <w:pPr>
        <w:spacing w:line="240" w:lineRule="auto"/>
        <w:rPr>
          <w:rFonts w:ascii="Arial" w:hAnsi="Arial" w:cs="Arial"/>
          <w:sz w:val="20"/>
          <w:szCs w:val="20"/>
        </w:rPr>
      </w:pPr>
      <w:r w:rsidRPr="009107E5">
        <w:rPr>
          <w:rFonts w:ascii="Arial" w:hAnsi="Arial" w:cs="Arial"/>
          <w:sz w:val="20"/>
          <w:szCs w:val="20"/>
        </w:rPr>
        <w:t>Pymble, NSW 2073</w:t>
      </w:r>
    </w:p>
    <w:p w14:paraId="74A1B326" w14:textId="77777777" w:rsidR="00D25B59" w:rsidRPr="009107E5" w:rsidRDefault="00D25B59" w:rsidP="00AD0441">
      <w:pPr>
        <w:rPr>
          <w:rFonts w:ascii="Arial" w:hAnsi="Arial" w:cs="Arial"/>
          <w:sz w:val="20"/>
          <w:szCs w:val="20"/>
        </w:rPr>
      </w:pPr>
    </w:p>
    <w:p w14:paraId="39F04F21" w14:textId="40829E0F" w:rsidR="00C57E26" w:rsidRPr="009107E5" w:rsidRDefault="00D25B59" w:rsidP="00AD0441">
      <w:pPr>
        <w:rPr>
          <w:rFonts w:ascii="Arial" w:hAnsi="Arial" w:cs="Arial"/>
          <w:sz w:val="20"/>
          <w:szCs w:val="20"/>
        </w:rPr>
      </w:pPr>
      <w:r w:rsidRPr="001524A6">
        <w:rPr>
          <w:rFonts w:ascii="Arial" w:hAnsi="Arial" w:cs="Arial"/>
          <w:sz w:val="20"/>
          <w:szCs w:val="20"/>
        </w:rPr>
        <w:t>www.bayer.com.au</w:t>
      </w:r>
      <w:r w:rsidR="00C828FD" w:rsidRPr="009107E5">
        <w:rPr>
          <w:rFonts w:ascii="Arial" w:hAnsi="Arial" w:cs="Arial"/>
          <w:sz w:val="20"/>
          <w:szCs w:val="20"/>
        </w:rPr>
        <w:t xml:space="preserve"> </w:t>
      </w:r>
    </w:p>
    <w:p w14:paraId="53186820" w14:textId="77777777" w:rsidR="0098181F" w:rsidRPr="009107E5" w:rsidRDefault="0098181F" w:rsidP="00AD0441">
      <w:pPr>
        <w:rPr>
          <w:rFonts w:ascii="Arial" w:hAnsi="Arial" w:cs="Arial"/>
          <w:sz w:val="20"/>
          <w:szCs w:val="20"/>
        </w:rPr>
      </w:pPr>
    </w:p>
    <w:p w14:paraId="6A5F63DF" w14:textId="77777777" w:rsidR="001A3992" w:rsidRPr="009107E5" w:rsidRDefault="001A3992" w:rsidP="00AD0441">
      <w:pPr>
        <w:pStyle w:val="Heading1"/>
        <w:spacing w:before="0" w:after="120"/>
        <w:rPr>
          <w:rFonts w:ascii="Arial" w:hAnsi="Arial" w:cs="Arial"/>
          <w:sz w:val="20"/>
          <w:szCs w:val="20"/>
        </w:rPr>
      </w:pPr>
      <w:r w:rsidRPr="009107E5">
        <w:rPr>
          <w:rFonts w:ascii="Arial" w:hAnsi="Arial" w:cs="Arial"/>
          <w:sz w:val="20"/>
          <w:szCs w:val="20"/>
        </w:rPr>
        <w:t xml:space="preserve">Date of first approval  </w:t>
      </w:r>
    </w:p>
    <w:p w14:paraId="68875074" w14:textId="3C102D79" w:rsidR="00C57E26" w:rsidRPr="009107E5" w:rsidRDefault="007700E0" w:rsidP="00AD0441">
      <w:pPr>
        <w:rPr>
          <w:rFonts w:ascii="Arial" w:hAnsi="Arial" w:cs="Arial"/>
          <w:sz w:val="20"/>
          <w:szCs w:val="20"/>
        </w:rPr>
      </w:pPr>
      <w:r>
        <w:rPr>
          <w:rFonts w:ascii="Arial" w:hAnsi="Arial" w:cs="Arial"/>
          <w:sz w:val="20"/>
          <w:szCs w:val="20"/>
        </w:rPr>
        <w:t>27 March 2023</w:t>
      </w:r>
    </w:p>
    <w:p w14:paraId="2A26684E" w14:textId="77777777" w:rsidR="00061117" w:rsidRPr="009107E5" w:rsidRDefault="00061117" w:rsidP="00AD0441">
      <w:pPr>
        <w:rPr>
          <w:rFonts w:ascii="Arial" w:hAnsi="Arial" w:cs="Arial"/>
          <w:sz w:val="20"/>
          <w:szCs w:val="20"/>
        </w:rPr>
      </w:pPr>
    </w:p>
    <w:p w14:paraId="1E7C3CF9" w14:textId="77777777" w:rsidR="001A3992" w:rsidRPr="009107E5" w:rsidRDefault="001A3992" w:rsidP="00AD0441">
      <w:pPr>
        <w:pStyle w:val="Heading1"/>
        <w:spacing w:before="0" w:after="120"/>
        <w:rPr>
          <w:rFonts w:ascii="Arial" w:hAnsi="Arial" w:cs="Arial"/>
          <w:sz w:val="20"/>
          <w:szCs w:val="20"/>
        </w:rPr>
      </w:pPr>
      <w:r w:rsidRPr="009107E5">
        <w:rPr>
          <w:rFonts w:ascii="Arial" w:hAnsi="Arial" w:cs="Arial"/>
          <w:sz w:val="20"/>
          <w:szCs w:val="20"/>
        </w:rPr>
        <w:t xml:space="preserve">Date of revision </w:t>
      </w:r>
    </w:p>
    <w:p w14:paraId="55DD352F" w14:textId="158D60B3" w:rsidR="00E466E1" w:rsidRPr="009107E5" w:rsidRDefault="007700E0" w:rsidP="00AD0441">
      <w:pPr>
        <w:rPr>
          <w:rFonts w:ascii="Arial" w:hAnsi="Arial" w:cs="Arial"/>
          <w:sz w:val="20"/>
          <w:szCs w:val="20"/>
        </w:rPr>
      </w:pPr>
      <w:r>
        <w:rPr>
          <w:rFonts w:ascii="Arial" w:hAnsi="Arial" w:cs="Arial"/>
          <w:sz w:val="20"/>
          <w:szCs w:val="20"/>
        </w:rPr>
        <w:t>Not applicable</w:t>
      </w:r>
    </w:p>
    <w:p w14:paraId="1F3BDE9F" w14:textId="77777777" w:rsidR="0082162E" w:rsidRPr="009107E5" w:rsidRDefault="0082162E" w:rsidP="00AD0441">
      <w:pPr>
        <w:rPr>
          <w:rFonts w:ascii="Arial" w:hAnsi="Arial" w:cs="Arial"/>
          <w:sz w:val="20"/>
          <w:szCs w:val="20"/>
        </w:rPr>
      </w:pPr>
    </w:p>
    <w:p w14:paraId="56D83C26" w14:textId="77777777" w:rsidR="001A3992" w:rsidRPr="009107E5" w:rsidRDefault="001A3992" w:rsidP="00AD0441">
      <w:pPr>
        <w:pStyle w:val="Heading2"/>
        <w:numPr>
          <w:ilvl w:val="0"/>
          <w:numId w:val="0"/>
        </w:numPr>
        <w:spacing w:before="0" w:after="120"/>
        <w:rPr>
          <w:rFonts w:ascii="Arial" w:hAnsi="Arial" w:cs="Arial"/>
          <w:sz w:val="20"/>
          <w:szCs w:val="20"/>
        </w:rPr>
      </w:pPr>
      <w:r w:rsidRPr="009107E5">
        <w:rPr>
          <w:rFonts w:ascii="Arial" w:hAnsi="Arial" w:cs="Arial"/>
          <w:sz w:val="20"/>
          <w:szCs w:val="20"/>
        </w:rPr>
        <w:t>Summary table of changes</w:t>
      </w:r>
    </w:p>
    <w:tbl>
      <w:tblPr>
        <w:tblStyle w:val="LightGrid"/>
        <w:tblW w:w="0" w:type="auto"/>
        <w:tblCellMar>
          <w:top w:w="57" w:type="dxa"/>
          <w:bottom w:w="57" w:type="dxa"/>
        </w:tblCellMar>
        <w:tblLook w:val="06A0" w:firstRow="1" w:lastRow="0" w:firstColumn="1" w:lastColumn="0" w:noHBand="1" w:noVBand="1"/>
      </w:tblPr>
      <w:tblGrid>
        <w:gridCol w:w="1373"/>
        <w:gridCol w:w="7633"/>
      </w:tblGrid>
      <w:tr w:rsidR="00ED0937" w:rsidRPr="009107E5" w14:paraId="21571E25" w14:textId="77777777" w:rsidTr="002F75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40885519" w14:textId="77777777" w:rsidR="00ED0937" w:rsidRPr="009107E5" w:rsidRDefault="00ED0937" w:rsidP="00AD0441">
            <w:pPr>
              <w:rPr>
                <w:rFonts w:ascii="Arial" w:hAnsi="Arial" w:cs="Arial"/>
                <w:sz w:val="20"/>
                <w:szCs w:val="20"/>
              </w:rPr>
            </w:pPr>
            <w:r w:rsidRPr="009107E5">
              <w:rPr>
                <w:rFonts w:ascii="Arial" w:hAnsi="Arial" w:cs="Arial"/>
                <w:sz w:val="20"/>
                <w:szCs w:val="20"/>
              </w:rPr>
              <w:t>Section Changed</w:t>
            </w:r>
          </w:p>
        </w:tc>
        <w:tc>
          <w:tcPr>
            <w:tcW w:w="7858" w:type="dxa"/>
            <w:shd w:val="clear" w:color="auto" w:fill="F2F2F2" w:themeFill="background1" w:themeFillShade="F2"/>
            <w:vAlign w:val="center"/>
          </w:tcPr>
          <w:p w14:paraId="49356B03" w14:textId="77777777" w:rsidR="00ED0937" w:rsidRPr="009107E5" w:rsidRDefault="00ED0937" w:rsidP="00AD044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107E5">
              <w:rPr>
                <w:rFonts w:ascii="Arial" w:hAnsi="Arial" w:cs="Arial"/>
                <w:sz w:val="20"/>
                <w:szCs w:val="20"/>
              </w:rPr>
              <w:t>Summary of new information</w:t>
            </w:r>
          </w:p>
        </w:tc>
      </w:tr>
      <w:tr w:rsidR="00ED0937" w:rsidRPr="009107E5" w14:paraId="158361F1" w14:textId="77777777" w:rsidTr="002F750B">
        <w:tc>
          <w:tcPr>
            <w:cnfStyle w:val="001000000000" w:firstRow="0" w:lastRow="0" w:firstColumn="1" w:lastColumn="0" w:oddVBand="0" w:evenVBand="0" w:oddHBand="0" w:evenHBand="0" w:firstRowFirstColumn="0" w:firstRowLastColumn="0" w:lastRowFirstColumn="0" w:lastRowLastColumn="0"/>
            <w:tcW w:w="1384" w:type="dxa"/>
            <w:vAlign w:val="center"/>
          </w:tcPr>
          <w:p w14:paraId="262C32EE" w14:textId="77777777" w:rsidR="00ED0937" w:rsidRPr="009107E5" w:rsidRDefault="00ED0937" w:rsidP="00AD0441">
            <w:pPr>
              <w:rPr>
                <w:rFonts w:ascii="Arial" w:hAnsi="Arial" w:cs="Arial"/>
                <w:sz w:val="20"/>
                <w:szCs w:val="20"/>
              </w:rPr>
            </w:pPr>
          </w:p>
        </w:tc>
        <w:tc>
          <w:tcPr>
            <w:tcW w:w="7858" w:type="dxa"/>
            <w:vAlign w:val="center"/>
          </w:tcPr>
          <w:p w14:paraId="08AAA4DD" w14:textId="77777777" w:rsidR="00ED0937" w:rsidRPr="009107E5" w:rsidRDefault="00ED0937" w:rsidP="00AD04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D0937" w:rsidRPr="009107E5" w14:paraId="44C39638" w14:textId="77777777" w:rsidTr="002F750B">
        <w:tc>
          <w:tcPr>
            <w:cnfStyle w:val="001000000000" w:firstRow="0" w:lastRow="0" w:firstColumn="1" w:lastColumn="0" w:oddVBand="0" w:evenVBand="0" w:oddHBand="0" w:evenHBand="0" w:firstRowFirstColumn="0" w:firstRowLastColumn="0" w:lastRowFirstColumn="0" w:lastRowLastColumn="0"/>
            <w:tcW w:w="1384" w:type="dxa"/>
            <w:vAlign w:val="center"/>
          </w:tcPr>
          <w:p w14:paraId="6C51221B" w14:textId="77777777" w:rsidR="00ED0937" w:rsidRPr="009107E5" w:rsidRDefault="00ED0937" w:rsidP="00AD0441">
            <w:pPr>
              <w:rPr>
                <w:rFonts w:ascii="Arial" w:hAnsi="Arial" w:cs="Arial"/>
                <w:sz w:val="20"/>
                <w:szCs w:val="20"/>
              </w:rPr>
            </w:pPr>
          </w:p>
        </w:tc>
        <w:tc>
          <w:tcPr>
            <w:tcW w:w="7858" w:type="dxa"/>
            <w:vAlign w:val="center"/>
          </w:tcPr>
          <w:p w14:paraId="7F96518D" w14:textId="77777777" w:rsidR="00ED0937" w:rsidRPr="009107E5" w:rsidRDefault="00ED0937" w:rsidP="00AD04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D0937" w:rsidRPr="009107E5" w14:paraId="3A622AB5" w14:textId="77777777" w:rsidTr="002F750B">
        <w:tc>
          <w:tcPr>
            <w:cnfStyle w:val="001000000000" w:firstRow="0" w:lastRow="0" w:firstColumn="1" w:lastColumn="0" w:oddVBand="0" w:evenVBand="0" w:oddHBand="0" w:evenHBand="0" w:firstRowFirstColumn="0" w:firstRowLastColumn="0" w:lastRowFirstColumn="0" w:lastRowLastColumn="0"/>
            <w:tcW w:w="1384" w:type="dxa"/>
            <w:vAlign w:val="center"/>
          </w:tcPr>
          <w:p w14:paraId="1E66AFE6" w14:textId="77777777" w:rsidR="00ED0937" w:rsidRPr="009107E5" w:rsidRDefault="00ED0937" w:rsidP="00AD0441">
            <w:pPr>
              <w:rPr>
                <w:rFonts w:ascii="Arial" w:hAnsi="Arial" w:cs="Arial"/>
                <w:sz w:val="20"/>
                <w:szCs w:val="20"/>
              </w:rPr>
            </w:pPr>
          </w:p>
        </w:tc>
        <w:tc>
          <w:tcPr>
            <w:tcW w:w="7858" w:type="dxa"/>
            <w:vAlign w:val="center"/>
          </w:tcPr>
          <w:p w14:paraId="6476BDF4" w14:textId="77777777" w:rsidR="00ED0937" w:rsidRPr="009107E5" w:rsidRDefault="00ED0937" w:rsidP="00AD044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30D3F43" w14:textId="77777777" w:rsidR="001A3992" w:rsidRPr="009107E5" w:rsidRDefault="001A3992" w:rsidP="00AD0441">
      <w:pPr>
        <w:spacing w:after="120"/>
        <w:rPr>
          <w:rFonts w:ascii="Arial" w:hAnsi="Arial" w:cs="Arial"/>
          <w:sz w:val="20"/>
          <w:szCs w:val="20"/>
        </w:rPr>
      </w:pPr>
    </w:p>
    <w:p w14:paraId="0E40E18F" w14:textId="144036DE" w:rsidR="0082162E" w:rsidRPr="009107E5" w:rsidRDefault="0082162E" w:rsidP="00AD0441">
      <w:pPr>
        <w:rPr>
          <w:rFonts w:ascii="Arial" w:hAnsi="Arial" w:cs="Arial"/>
          <w:sz w:val="20"/>
          <w:szCs w:val="20"/>
        </w:rPr>
      </w:pPr>
      <w:r w:rsidRPr="009107E5">
        <w:rPr>
          <w:rFonts w:ascii="Arial" w:hAnsi="Arial" w:cs="Arial"/>
          <w:sz w:val="20"/>
          <w:szCs w:val="20"/>
          <w:vertAlign w:val="superscript"/>
        </w:rPr>
        <w:t>®</w:t>
      </w:r>
      <w:r w:rsidRPr="009107E5">
        <w:rPr>
          <w:rFonts w:ascii="Arial" w:hAnsi="Arial" w:cs="Arial"/>
          <w:sz w:val="20"/>
          <w:szCs w:val="20"/>
        </w:rPr>
        <w:t xml:space="preserve"> Registered Trademark of </w:t>
      </w:r>
      <w:r w:rsidR="00735247" w:rsidRPr="009107E5">
        <w:rPr>
          <w:rFonts w:ascii="Arial" w:hAnsi="Arial" w:cs="Arial"/>
          <w:sz w:val="20"/>
          <w:szCs w:val="20"/>
        </w:rPr>
        <w:t xml:space="preserve">the </w:t>
      </w:r>
      <w:r w:rsidRPr="009107E5">
        <w:rPr>
          <w:rFonts w:ascii="Arial" w:hAnsi="Arial" w:cs="Arial"/>
          <w:sz w:val="20"/>
          <w:szCs w:val="20"/>
        </w:rPr>
        <w:t xml:space="preserve">Bayer </w:t>
      </w:r>
      <w:r w:rsidR="00C53ED4" w:rsidRPr="009107E5">
        <w:rPr>
          <w:rFonts w:ascii="Arial" w:hAnsi="Arial" w:cs="Arial"/>
          <w:sz w:val="20"/>
          <w:szCs w:val="20"/>
        </w:rPr>
        <w:t>Group, Germany</w:t>
      </w:r>
    </w:p>
    <w:p w14:paraId="6A19D3DC" w14:textId="77777777" w:rsidR="00960CD5" w:rsidRPr="009107E5" w:rsidRDefault="00960CD5" w:rsidP="00AD0441">
      <w:pPr>
        <w:spacing w:after="120"/>
        <w:rPr>
          <w:rFonts w:ascii="Arial" w:hAnsi="Arial" w:cs="Arial"/>
          <w:sz w:val="20"/>
          <w:szCs w:val="20"/>
        </w:rPr>
      </w:pPr>
    </w:p>
    <w:sectPr w:rsidR="00960CD5" w:rsidRPr="009107E5" w:rsidSect="00AD0441">
      <w:headerReference w:type="default" r:id="rId22"/>
      <w:footerReference w:type="default" r:id="rId23"/>
      <w:headerReference w:type="first" r:id="rId24"/>
      <w:footerReference w:type="first" r:id="rId25"/>
      <w:pgSz w:w="11906" w:h="16838"/>
      <w:pgMar w:top="709" w:right="1440"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4031D" w14:textId="77777777" w:rsidR="004612DE" w:rsidRDefault="004612DE" w:rsidP="001A3992">
      <w:pPr>
        <w:spacing w:line="240" w:lineRule="auto"/>
      </w:pPr>
      <w:r>
        <w:separator/>
      </w:r>
    </w:p>
  </w:endnote>
  <w:endnote w:type="continuationSeparator" w:id="0">
    <w:p w14:paraId="2CE46170" w14:textId="77777777" w:rsidR="004612DE" w:rsidRDefault="004612DE" w:rsidP="001A3992">
      <w:pPr>
        <w:spacing w:line="240" w:lineRule="auto"/>
      </w:pPr>
      <w:r>
        <w:continuationSeparator/>
      </w:r>
    </w:p>
  </w:endnote>
  <w:endnote w:type="continuationNotice" w:id="1">
    <w:p w14:paraId="123A8E1C" w14:textId="77777777" w:rsidR="00964897" w:rsidRDefault="009648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rFonts w:asciiTheme="minorHAnsi" w:hAnsiTheme="minorHAnsi" w:cstheme="minorHAnsi"/>
        <w:noProof/>
        <w:sz w:val="20"/>
      </w:rPr>
    </w:sdtEndPr>
    <w:sdtContent>
      <w:p w14:paraId="6801FED3" w14:textId="7AFF2050" w:rsidR="004D21FD" w:rsidRPr="006855CA" w:rsidRDefault="004D21FD" w:rsidP="008B581C">
        <w:pPr>
          <w:pStyle w:val="Footer"/>
          <w:rPr>
            <w:rFonts w:asciiTheme="minorHAnsi" w:hAnsiTheme="minorHAnsi" w:cstheme="minorHAnsi"/>
            <w:sz w:val="20"/>
          </w:rPr>
        </w:pPr>
        <w:r w:rsidRPr="008B581C">
          <w:rPr>
            <w:rFonts w:asciiTheme="minorHAnsi" w:hAnsiTheme="minorHAnsi" w:cstheme="minorHAnsi"/>
          </w:rPr>
          <w:t>Jivi PI</w:t>
        </w:r>
        <w:r>
          <w:rPr>
            <w:rFonts w:asciiTheme="minorHAnsi" w:hAnsiTheme="minorHAnsi" w:cstheme="minorHAnsi"/>
          </w:rPr>
          <w:t xml:space="preserve"> V</w:t>
        </w:r>
        <w:r w:rsidR="007700E0">
          <w:rPr>
            <w:rFonts w:asciiTheme="minorHAnsi" w:hAnsiTheme="minorHAnsi" w:cstheme="minorHAnsi"/>
          </w:rPr>
          <w:t>1.0</w:t>
        </w:r>
        <w:r>
          <w:rPr>
            <w:rFonts w:asciiTheme="minorHAnsi" w:hAnsiTheme="minorHAnsi" w:cstheme="minorHAnsi"/>
          </w:rPr>
          <w:t xml:space="preserve">; CCDS </w:t>
        </w:r>
        <w:r w:rsidR="00741A1C">
          <w:rPr>
            <w:rFonts w:asciiTheme="minorHAnsi" w:hAnsiTheme="minorHAnsi" w:cstheme="minorHAnsi"/>
          </w:rPr>
          <w:t>2.0</w:t>
        </w:r>
        <w:r>
          <w:tab/>
        </w:r>
        <w:r>
          <w:tab/>
        </w:r>
        <w:r w:rsidRPr="00C045DF">
          <w:rPr>
            <w:rFonts w:asciiTheme="minorHAnsi" w:hAnsiTheme="minorHAnsi" w:cstheme="minorHAnsi"/>
          </w:rPr>
          <w:fldChar w:fldCharType="begin"/>
        </w:r>
        <w:r w:rsidRPr="00C045DF">
          <w:rPr>
            <w:rFonts w:asciiTheme="minorHAnsi" w:hAnsiTheme="minorHAnsi" w:cstheme="minorHAnsi"/>
          </w:rPr>
          <w:instrText xml:space="preserve"> PAGE   \* MERGEFORMAT </w:instrText>
        </w:r>
        <w:r w:rsidRPr="00C045DF">
          <w:rPr>
            <w:rFonts w:asciiTheme="minorHAnsi" w:hAnsiTheme="minorHAnsi" w:cstheme="minorHAnsi"/>
          </w:rPr>
          <w:fldChar w:fldCharType="separate"/>
        </w:r>
        <w:r w:rsidRPr="00C045DF">
          <w:rPr>
            <w:rFonts w:asciiTheme="minorHAnsi" w:hAnsiTheme="minorHAnsi" w:cstheme="minorHAnsi"/>
            <w:noProof/>
          </w:rPr>
          <w:t>2</w:t>
        </w:r>
        <w:r w:rsidRPr="00C045DF">
          <w:rPr>
            <w:rFonts w:asciiTheme="minorHAnsi" w:hAnsiTheme="minorHAnsi"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EE363" w14:textId="2D7ACCC6" w:rsidR="00494023" w:rsidRDefault="008C5FDD">
    <w:pPr>
      <w:pStyle w:val="Footer"/>
    </w:pPr>
    <w:r w:rsidRPr="008B581C">
      <w:rPr>
        <w:rFonts w:asciiTheme="minorHAnsi" w:hAnsiTheme="minorHAnsi" w:cstheme="minorHAnsi"/>
      </w:rPr>
      <w:t>Jivi PI</w:t>
    </w:r>
    <w:r>
      <w:rPr>
        <w:rFonts w:asciiTheme="minorHAnsi" w:hAnsiTheme="minorHAnsi" w:cstheme="minorHAnsi"/>
      </w:rPr>
      <w:t xml:space="preserve"> V</w:t>
    </w:r>
    <w:r w:rsidR="007700E0">
      <w:rPr>
        <w:rFonts w:asciiTheme="minorHAnsi" w:hAnsiTheme="minorHAnsi" w:cstheme="minorHAnsi"/>
      </w:rPr>
      <w:t>1.0</w:t>
    </w:r>
    <w:r>
      <w:rPr>
        <w:rFonts w:asciiTheme="minorHAnsi" w:hAnsiTheme="minorHAnsi" w:cstheme="minorHAnsi"/>
      </w:rPr>
      <w:t>; CCDS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C2ECA" w14:textId="77777777" w:rsidR="004612DE" w:rsidRDefault="004612DE" w:rsidP="001A3992">
      <w:pPr>
        <w:spacing w:line="240" w:lineRule="auto"/>
      </w:pPr>
      <w:r>
        <w:separator/>
      </w:r>
    </w:p>
  </w:footnote>
  <w:footnote w:type="continuationSeparator" w:id="0">
    <w:p w14:paraId="6EF3BC50" w14:textId="77777777" w:rsidR="004612DE" w:rsidRDefault="004612DE" w:rsidP="001A3992">
      <w:pPr>
        <w:spacing w:line="240" w:lineRule="auto"/>
      </w:pPr>
      <w:r>
        <w:continuationSeparator/>
      </w:r>
    </w:p>
  </w:footnote>
  <w:footnote w:type="continuationNotice" w:id="1">
    <w:p w14:paraId="7B4B2E60" w14:textId="77777777" w:rsidR="00964897" w:rsidRDefault="009648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AD0441" w:rsidRPr="000B2145" w14:paraId="3E4879D6" w14:textId="77777777" w:rsidTr="00AD0441">
      <w:trPr>
        <w:trHeight w:val="552"/>
      </w:trPr>
      <w:tc>
        <w:tcPr>
          <w:tcW w:w="9180" w:type="dxa"/>
          <w:shd w:val="clear" w:color="auto" w:fill="E4F2E0"/>
        </w:tcPr>
        <w:p w14:paraId="169DC984" w14:textId="77777777" w:rsidR="00AD0441" w:rsidRPr="000E4791" w:rsidRDefault="00AD0441" w:rsidP="00AD0441">
          <w:pPr>
            <w:pStyle w:val="Footer"/>
            <w:rPr>
              <w:b/>
              <w:sz w:val="18"/>
              <w:szCs w:val="18"/>
            </w:rPr>
          </w:pPr>
          <w:r w:rsidRPr="00EE2A41">
            <w:rPr>
              <w:b/>
              <w:sz w:val="18"/>
              <w:szCs w:val="18"/>
            </w:rPr>
            <w:t xml:space="preserve">Attachment </w:t>
          </w:r>
          <w:r w:rsidRPr="00033D3D">
            <w:rPr>
              <w:b/>
              <w:sz w:val="18"/>
              <w:szCs w:val="18"/>
            </w:rPr>
            <w:t>AusPAR - Jivi - damoctocog alfa pegol - Bayer Australia Ltd - PM-2022-00347-1-6</w:t>
          </w:r>
          <w:r>
            <w:rPr>
              <w:b/>
              <w:sz w:val="18"/>
              <w:szCs w:val="18"/>
            </w:rPr>
            <w:t xml:space="preserve"> </w:t>
          </w:r>
          <w:r w:rsidRPr="00033D3D">
            <w:rPr>
              <w:b/>
              <w:sz w:val="18"/>
              <w:szCs w:val="18"/>
            </w:rPr>
            <w:t>Final 9 November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p w14:paraId="4FF19CAF" w14:textId="0B6C87B7" w:rsidR="004D21FD" w:rsidRDefault="004D21FD" w:rsidP="00AD0441">
    <w:pPr>
      <w:tabs>
        <w:tab w:val="left" w:pos="284"/>
      </w:tabs>
      <w:spacing w:after="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AD0441" w:rsidRPr="000B2145" w14:paraId="16E356D1" w14:textId="77777777" w:rsidTr="00442E26">
      <w:trPr>
        <w:trHeight w:val="1012"/>
      </w:trPr>
      <w:tc>
        <w:tcPr>
          <w:tcW w:w="9180" w:type="dxa"/>
          <w:shd w:val="clear" w:color="auto" w:fill="E4F2E0"/>
        </w:tcPr>
        <w:p w14:paraId="5D4ABA8B" w14:textId="77777777" w:rsidR="00AD0441" w:rsidRPr="000E4791" w:rsidRDefault="00AD0441" w:rsidP="00AD0441">
          <w:pPr>
            <w:pStyle w:val="Footer"/>
            <w:rPr>
              <w:b/>
              <w:sz w:val="18"/>
              <w:szCs w:val="18"/>
            </w:rPr>
          </w:pPr>
          <w:bookmarkStart w:id="8" w:name="_Hlk109054010"/>
          <w:r w:rsidRPr="00EE2A41">
            <w:rPr>
              <w:b/>
              <w:sz w:val="18"/>
              <w:szCs w:val="18"/>
            </w:rPr>
            <w:t xml:space="preserve">Attachment </w:t>
          </w:r>
          <w:r w:rsidRPr="00033D3D">
            <w:rPr>
              <w:b/>
              <w:sz w:val="18"/>
              <w:szCs w:val="18"/>
            </w:rPr>
            <w:t>AusPAR - Jivi - damoctocog alfa pegol - Bayer Australia Ltd - PM-2022-00347-1-6</w:t>
          </w:r>
          <w:r>
            <w:rPr>
              <w:b/>
              <w:sz w:val="18"/>
              <w:szCs w:val="18"/>
            </w:rPr>
            <w:t xml:space="preserve"> </w:t>
          </w:r>
          <w:r w:rsidRPr="00033D3D">
            <w:rPr>
              <w:b/>
              <w:sz w:val="18"/>
              <w:szCs w:val="18"/>
            </w:rPr>
            <w:t xml:space="preserve">Final </w:t>
          </w:r>
          <w:bookmarkStart w:id="9" w:name="_Hlk150770656"/>
          <w:r w:rsidRPr="00033D3D">
            <w:rPr>
              <w:b/>
              <w:sz w:val="18"/>
              <w:szCs w:val="18"/>
            </w:rPr>
            <w:t xml:space="preserve">9 November </w:t>
          </w:r>
          <w:bookmarkEnd w:id="9"/>
          <w:r w:rsidRPr="00033D3D">
            <w:rPr>
              <w:b/>
              <w:sz w:val="18"/>
              <w:szCs w:val="18"/>
            </w:rPr>
            <w:t>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bookmarkEnd w:id="8"/>
  <w:p w14:paraId="0A7D65B2" w14:textId="35F18FB6" w:rsidR="004A6800" w:rsidRDefault="004A6800" w:rsidP="00111DF9">
    <w:pPr>
      <w:tabs>
        <w:tab w:val="left" w:pos="284"/>
      </w:tabs>
      <w:spacing w:after="480"/>
    </w:pPr>
    <w:r w:rsidRPr="00D35F43">
      <w:rPr>
        <w:rFonts w:ascii="Arial" w:hAnsi="Arial" w:cs="Arial"/>
        <w:noProof/>
        <w:sz w:val="20"/>
        <w:szCs w:val="20"/>
      </w:rPr>
      <mc:AlternateContent>
        <mc:Choice Requires="wps">
          <w:drawing>
            <wp:inline distT="0" distB="0" distL="0" distR="0" wp14:anchorId="73251874" wp14:editId="71280510">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23279" w14:textId="77777777" w:rsidR="004A6800" w:rsidRPr="00BE2A26" w:rsidRDefault="004A6800" w:rsidP="004A6800">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3251874"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05E23279" w14:textId="77777777" w:rsidR="004A6800" w:rsidRPr="00BE2A26" w:rsidRDefault="004A6800" w:rsidP="004A6800">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D35F43">
      <w:rPr>
        <w:rFonts w:ascii="Arial" w:hAnsi="Arial" w:cs="Arial"/>
        <w:sz w:val="20"/>
        <w:szCs w:val="20"/>
      </w:rPr>
      <w:t xml:space="preserve">This medicinal product is subject to additional monitoring in Australia. This will allow quick identification of new safety information. Healthcare professionals are asked to report any suspected adverse events at </w:t>
    </w:r>
    <w:hyperlink r:id="rId2" w:history="1">
      <w:r w:rsidRPr="00D35F43">
        <w:rPr>
          <w:rStyle w:val="Hyperlink"/>
          <w:rFonts w:ascii="Arial" w:hAnsi="Arial" w:cs="Arial"/>
          <w:sz w:val="20"/>
          <w:szCs w:val="20"/>
        </w:rPr>
        <w:t>www.tga.gov.au/reporting-problems</w:t>
      </w:r>
    </w:hyperlink>
    <w:r w:rsidRPr="00D35F43">
      <w:rPr>
        <w:rFonts w:ascii="Arial" w:hAnsi="Arial" w:cs="Arial"/>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32E02D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585646"/>
    <w:multiLevelType w:val="hybridMultilevel"/>
    <w:tmpl w:val="A71C5190"/>
    <w:lvl w:ilvl="0" w:tplc="44BEBBC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035E1F"/>
    <w:multiLevelType w:val="hybridMultilevel"/>
    <w:tmpl w:val="771E1FFE"/>
    <w:lvl w:ilvl="0" w:tplc="7C86A3F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5" w15:restartNumberingAfterBreak="0">
    <w:nsid w:val="05C923B8"/>
    <w:multiLevelType w:val="hybridMultilevel"/>
    <w:tmpl w:val="D564F366"/>
    <w:lvl w:ilvl="0" w:tplc="62E431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A5E17"/>
    <w:multiLevelType w:val="hybridMultilevel"/>
    <w:tmpl w:val="24FC4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144C99"/>
    <w:multiLevelType w:val="hybridMultilevel"/>
    <w:tmpl w:val="A8206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845006"/>
    <w:multiLevelType w:val="multilevel"/>
    <w:tmpl w:val="56A6B2C2"/>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1B5520"/>
    <w:multiLevelType w:val="hybridMultilevel"/>
    <w:tmpl w:val="E0105F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69666E8"/>
    <w:multiLevelType w:val="hybridMultilevel"/>
    <w:tmpl w:val="AA868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96470"/>
    <w:multiLevelType w:val="hybridMultilevel"/>
    <w:tmpl w:val="C8F638F6"/>
    <w:lvl w:ilvl="0" w:tplc="64569A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AD6BAC"/>
    <w:multiLevelType w:val="hybridMultilevel"/>
    <w:tmpl w:val="3BFA5BDC"/>
    <w:lvl w:ilvl="0" w:tplc="5FF0EAC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154165"/>
    <w:multiLevelType w:val="hybridMultilevel"/>
    <w:tmpl w:val="3CA03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325FCE"/>
    <w:multiLevelType w:val="hybridMultilevel"/>
    <w:tmpl w:val="462A3596"/>
    <w:lvl w:ilvl="0" w:tplc="5AEA195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90129"/>
    <w:multiLevelType w:val="hybridMultilevel"/>
    <w:tmpl w:val="DB3AF5C2"/>
    <w:lvl w:ilvl="0" w:tplc="2AC05F7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787461"/>
    <w:multiLevelType w:val="hybridMultilevel"/>
    <w:tmpl w:val="CC2EAB20"/>
    <w:lvl w:ilvl="0" w:tplc="3C62D0E0">
      <w:start w:val="4"/>
      <w:numFmt w:val="bullet"/>
      <w:lvlText w:val="-"/>
      <w:lvlJc w:val="left"/>
      <w:pPr>
        <w:ind w:left="1800" w:hanging="360"/>
      </w:pPr>
      <w:rPr>
        <w:rFonts w:ascii="Calibri" w:eastAsia="Calibri" w:hAnsi="Calibri" w:cs="Calibri" w:hint="default"/>
        <w:sz w:val="22"/>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0"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151E1C"/>
    <w:multiLevelType w:val="hybridMultilevel"/>
    <w:tmpl w:val="B2D64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332797"/>
    <w:multiLevelType w:val="multilevel"/>
    <w:tmpl w:val="9104C7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9645958">
    <w:abstractNumId w:val="23"/>
  </w:num>
  <w:num w:numId="2" w16cid:durableId="867257274">
    <w:abstractNumId w:val="7"/>
  </w:num>
  <w:num w:numId="3" w16cid:durableId="648942466">
    <w:abstractNumId w:val="2"/>
  </w:num>
  <w:num w:numId="4" w16cid:durableId="1775250760">
    <w:abstractNumId w:val="15"/>
  </w:num>
  <w:num w:numId="5" w16cid:durableId="1074738563">
    <w:abstractNumId w:val="26"/>
  </w:num>
  <w:num w:numId="6" w16cid:durableId="682364129">
    <w:abstractNumId w:val="24"/>
  </w:num>
  <w:num w:numId="7" w16cid:durableId="1160073345">
    <w:abstractNumId w:val="21"/>
  </w:num>
  <w:num w:numId="8" w16cid:durableId="1922982271">
    <w:abstractNumId w:val="25"/>
  </w:num>
  <w:num w:numId="9" w16cid:durableId="531262991">
    <w:abstractNumId w:val="9"/>
  </w:num>
  <w:num w:numId="10" w16cid:durableId="492113399">
    <w:abstractNumId w:val="20"/>
  </w:num>
  <w:num w:numId="11" w16cid:durableId="1021784744">
    <w:abstractNumId w:val="0"/>
  </w:num>
  <w:num w:numId="12" w16cid:durableId="381445127">
    <w:abstractNumId w:val="14"/>
  </w:num>
  <w:num w:numId="13" w16cid:durableId="1545290265">
    <w:abstractNumId w:val="8"/>
  </w:num>
  <w:num w:numId="14" w16cid:durableId="241373179">
    <w:abstractNumId w:val="22"/>
  </w:num>
  <w:num w:numId="15" w16cid:durableId="818423544">
    <w:abstractNumId w:val="16"/>
  </w:num>
  <w:num w:numId="16" w16cid:durableId="1431510713">
    <w:abstractNumId w:val="4"/>
  </w:num>
  <w:num w:numId="17" w16cid:durableId="1152870794">
    <w:abstractNumId w:val="13"/>
  </w:num>
  <w:num w:numId="18" w16cid:durableId="1421563770">
    <w:abstractNumId w:val="6"/>
  </w:num>
  <w:num w:numId="19" w16cid:durableId="1362584850">
    <w:abstractNumId w:val="10"/>
  </w:num>
  <w:num w:numId="20" w16cid:durableId="104618966">
    <w:abstractNumId w:val="18"/>
  </w:num>
  <w:num w:numId="21" w16cid:durableId="688873023">
    <w:abstractNumId w:val="1"/>
  </w:num>
  <w:num w:numId="22" w16cid:durableId="762266090">
    <w:abstractNumId w:val="3"/>
  </w:num>
  <w:num w:numId="23" w16cid:durableId="2032606799">
    <w:abstractNumId w:val="17"/>
  </w:num>
  <w:num w:numId="24" w16cid:durableId="1561669525">
    <w:abstractNumId w:val="5"/>
  </w:num>
  <w:num w:numId="25" w16cid:durableId="1170952273">
    <w:abstractNumId w:val="12"/>
  </w:num>
  <w:num w:numId="26" w16cid:durableId="1213888040">
    <w:abstractNumId w:val="11"/>
  </w:num>
  <w:num w:numId="27" w16cid:durableId="1586666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50"/>
    <w:rsid w:val="00006313"/>
    <w:rsid w:val="000078EB"/>
    <w:rsid w:val="00013AB6"/>
    <w:rsid w:val="00013CC7"/>
    <w:rsid w:val="000140EA"/>
    <w:rsid w:val="00016006"/>
    <w:rsid w:val="00016917"/>
    <w:rsid w:val="000170F1"/>
    <w:rsid w:val="00022689"/>
    <w:rsid w:val="00026F68"/>
    <w:rsid w:val="000277FB"/>
    <w:rsid w:val="00044B70"/>
    <w:rsid w:val="00045E1F"/>
    <w:rsid w:val="00047CF5"/>
    <w:rsid w:val="000534D5"/>
    <w:rsid w:val="00054E5C"/>
    <w:rsid w:val="0005500A"/>
    <w:rsid w:val="00055B92"/>
    <w:rsid w:val="00061117"/>
    <w:rsid w:val="00062AD3"/>
    <w:rsid w:val="000711CF"/>
    <w:rsid w:val="00081AC3"/>
    <w:rsid w:val="00081E4E"/>
    <w:rsid w:val="00082480"/>
    <w:rsid w:val="00084C18"/>
    <w:rsid w:val="0009000F"/>
    <w:rsid w:val="00093F38"/>
    <w:rsid w:val="0009454C"/>
    <w:rsid w:val="00094A16"/>
    <w:rsid w:val="00097138"/>
    <w:rsid w:val="000A139B"/>
    <w:rsid w:val="000A648F"/>
    <w:rsid w:val="000A6598"/>
    <w:rsid w:val="000B0152"/>
    <w:rsid w:val="000B60BC"/>
    <w:rsid w:val="000B60DE"/>
    <w:rsid w:val="000C14A8"/>
    <w:rsid w:val="000C2BD2"/>
    <w:rsid w:val="000C543C"/>
    <w:rsid w:val="000C73EB"/>
    <w:rsid w:val="000D1CDF"/>
    <w:rsid w:val="000D41FE"/>
    <w:rsid w:val="000D57F6"/>
    <w:rsid w:val="000D6DC9"/>
    <w:rsid w:val="000D7BE8"/>
    <w:rsid w:val="000F25D1"/>
    <w:rsid w:val="000F5801"/>
    <w:rsid w:val="000F6459"/>
    <w:rsid w:val="00106053"/>
    <w:rsid w:val="001071C9"/>
    <w:rsid w:val="001109C6"/>
    <w:rsid w:val="00111837"/>
    <w:rsid w:val="00111DF9"/>
    <w:rsid w:val="00112B48"/>
    <w:rsid w:val="00121A0D"/>
    <w:rsid w:val="001240EA"/>
    <w:rsid w:val="001256EF"/>
    <w:rsid w:val="001263BE"/>
    <w:rsid w:val="001309E8"/>
    <w:rsid w:val="00132549"/>
    <w:rsid w:val="0013418B"/>
    <w:rsid w:val="0013493B"/>
    <w:rsid w:val="0014188F"/>
    <w:rsid w:val="001419BC"/>
    <w:rsid w:val="0014205C"/>
    <w:rsid w:val="0014313F"/>
    <w:rsid w:val="001524A6"/>
    <w:rsid w:val="001560DB"/>
    <w:rsid w:val="00156A4A"/>
    <w:rsid w:val="00163BE5"/>
    <w:rsid w:val="001669E2"/>
    <w:rsid w:val="001678FB"/>
    <w:rsid w:val="00170F8B"/>
    <w:rsid w:val="00173356"/>
    <w:rsid w:val="00175788"/>
    <w:rsid w:val="001758A8"/>
    <w:rsid w:val="001767DA"/>
    <w:rsid w:val="001773A3"/>
    <w:rsid w:val="00183B87"/>
    <w:rsid w:val="00185AEC"/>
    <w:rsid w:val="00186811"/>
    <w:rsid w:val="00191691"/>
    <w:rsid w:val="00193C94"/>
    <w:rsid w:val="00194BB4"/>
    <w:rsid w:val="001A088C"/>
    <w:rsid w:val="001A3992"/>
    <w:rsid w:val="001A6158"/>
    <w:rsid w:val="001B791B"/>
    <w:rsid w:val="001B7C86"/>
    <w:rsid w:val="001C3000"/>
    <w:rsid w:val="001C3F37"/>
    <w:rsid w:val="001C461C"/>
    <w:rsid w:val="001C70D2"/>
    <w:rsid w:val="001C75E0"/>
    <w:rsid w:val="001D0130"/>
    <w:rsid w:val="001D1CEF"/>
    <w:rsid w:val="001D559C"/>
    <w:rsid w:val="001E7513"/>
    <w:rsid w:val="001F33C8"/>
    <w:rsid w:val="001F6B95"/>
    <w:rsid w:val="002040D8"/>
    <w:rsid w:val="00210A9F"/>
    <w:rsid w:val="002138E8"/>
    <w:rsid w:val="002151C4"/>
    <w:rsid w:val="00215336"/>
    <w:rsid w:val="002172F1"/>
    <w:rsid w:val="002204E2"/>
    <w:rsid w:val="00220906"/>
    <w:rsid w:val="002258A1"/>
    <w:rsid w:val="0022677D"/>
    <w:rsid w:val="00231EDD"/>
    <w:rsid w:val="002346B4"/>
    <w:rsid w:val="00235648"/>
    <w:rsid w:val="00236F25"/>
    <w:rsid w:val="00246972"/>
    <w:rsid w:val="00251D50"/>
    <w:rsid w:val="0025471B"/>
    <w:rsid w:val="00256580"/>
    <w:rsid w:val="002617D4"/>
    <w:rsid w:val="00275208"/>
    <w:rsid w:val="00280D76"/>
    <w:rsid w:val="002824F0"/>
    <w:rsid w:val="00283522"/>
    <w:rsid w:val="00283B65"/>
    <w:rsid w:val="00284424"/>
    <w:rsid w:val="0028706A"/>
    <w:rsid w:val="002905C2"/>
    <w:rsid w:val="00291FDA"/>
    <w:rsid w:val="00292DDF"/>
    <w:rsid w:val="00294A6A"/>
    <w:rsid w:val="00294F83"/>
    <w:rsid w:val="002963AA"/>
    <w:rsid w:val="002979C0"/>
    <w:rsid w:val="002A18E1"/>
    <w:rsid w:val="002A763C"/>
    <w:rsid w:val="002A7837"/>
    <w:rsid w:val="002B1275"/>
    <w:rsid w:val="002B30BA"/>
    <w:rsid w:val="002B424E"/>
    <w:rsid w:val="002C082A"/>
    <w:rsid w:val="002C243A"/>
    <w:rsid w:val="002D04C1"/>
    <w:rsid w:val="002D25AD"/>
    <w:rsid w:val="002D4FDE"/>
    <w:rsid w:val="002E277D"/>
    <w:rsid w:val="002E4363"/>
    <w:rsid w:val="002E71C0"/>
    <w:rsid w:val="002F0598"/>
    <w:rsid w:val="002F1A20"/>
    <w:rsid w:val="002F1F7C"/>
    <w:rsid w:val="002F4DB5"/>
    <w:rsid w:val="002F68D5"/>
    <w:rsid w:val="002F6DE4"/>
    <w:rsid w:val="002F750B"/>
    <w:rsid w:val="003014CD"/>
    <w:rsid w:val="00303C72"/>
    <w:rsid w:val="00317BC0"/>
    <w:rsid w:val="00320AA4"/>
    <w:rsid w:val="00324302"/>
    <w:rsid w:val="003243FA"/>
    <w:rsid w:val="00324621"/>
    <w:rsid w:val="00325369"/>
    <w:rsid w:val="003254C3"/>
    <w:rsid w:val="0032586F"/>
    <w:rsid w:val="00330A64"/>
    <w:rsid w:val="00332117"/>
    <w:rsid w:val="00346B47"/>
    <w:rsid w:val="0034714A"/>
    <w:rsid w:val="0035106C"/>
    <w:rsid w:val="003528D9"/>
    <w:rsid w:val="003576BB"/>
    <w:rsid w:val="00357D0E"/>
    <w:rsid w:val="0036095C"/>
    <w:rsid w:val="00367435"/>
    <w:rsid w:val="0037421A"/>
    <w:rsid w:val="003804B2"/>
    <w:rsid w:val="00381207"/>
    <w:rsid w:val="003825C8"/>
    <w:rsid w:val="00382A0F"/>
    <w:rsid w:val="00385C77"/>
    <w:rsid w:val="0038612C"/>
    <w:rsid w:val="00391A4D"/>
    <w:rsid w:val="003962B6"/>
    <w:rsid w:val="003A6035"/>
    <w:rsid w:val="003B1AA4"/>
    <w:rsid w:val="003B51D7"/>
    <w:rsid w:val="003C42F8"/>
    <w:rsid w:val="003C66FA"/>
    <w:rsid w:val="003D4950"/>
    <w:rsid w:val="003E23F2"/>
    <w:rsid w:val="003E5597"/>
    <w:rsid w:val="003E6860"/>
    <w:rsid w:val="003F3AF5"/>
    <w:rsid w:val="003F4D1F"/>
    <w:rsid w:val="004032BD"/>
    <w:rsid w:val="00412A03"/>
    <w:rsid w:val="00425390"/>
    <w:rsid w:val="00431ACD"/>
    <w:rsid w:val="00432BBB"/>
    <w:rsid w:val="00443C98"/>
    <w:rsid w:val="00455725"/>
    <w:rsid w:val="0046033E"/>
    <w:rsid w:val="004612DE"/>
    <w:rsid w:val="00466DEC"/>
    <w:rsid w:val="00466FC7"/>
    <w:rsid w:val="004714A1"/>
    <w:rsid w:val="00471713"/>
    <w:rsid w:val="00473B36"/>
    <w:rsid w:val="00475514"/>
    <w:rsid w:val="00482011"/>
    <w:rsid w:val="004824B5"/>
    <w:rsid w:val="0048715A"/>
    <w:rsid w:val="00490030"/>
    <w:rsid w:val="00490070"/>
    <w:rsid w:val="00490CD4"/>
    <w:rsid w:val="00494023"/>
    <w:rsid w:val="004956DA"/>
    <w:rsid w:val="00497C85"/>
    <w:rsid w:val="00497E10"/>
    <w:rsid w:val="004A6800"/>
    <w:rsid w:val="004B0BC5"/>
    <w:rsid w:val="004C2077"/>
    <w:rsid w:val="004C2BAA"/>
    <w:rsid w:val="004C7F73"/>
    <w:rsid w:val="004D21FD"/>
    <w:rsid w:val="004D3A24"/>
    <w:rsid w:val="004E1D0F"/>
    <w:rsid w:val="004E2184"/>
    <w:rsid w:val="004E2459"/>
    <w:rsid w:val="004E565D"/>
    <w:rsid w:val="004E7C25"/>
    <w:rsid w:val="004F31F2"/>
    <w:rsid w:val="004F715F"/>
    <w:rsid w:val="00501CD7"/>
    <w:rsid w:val="00505943"/>
    <w:rsid w:val="00507164"/>
    <w:rsid w:val="00510707"/>
    <w:rsid w:val="00512BA0"/>
    <w:rsid w:val="00513D15"/>
    <w:rsid w:val="00515C62"/>
    <w:rsid w:val="00524057"/>
    <w:rsid w:val="00526A20"/>
    <w:rsid w:val="0052746D"/>
    <w:rsid w:val="005301EE"/>
    <w:rsid w:val="00531A8D"/>
    <w:rsid w:val="00532385"/>
    <w:rsid w:val="00532D79"/>
    <w:rsid w:val="0053361E"/>
    <w:rsid w:val="005338E1"/>
    <w:rsid w:val="005523D6"/>
    <w:rsid w:val="00552C09"/>
    <w:rsid w:val="00556F8C"/>
    <w:rsid w:val="0056151B"/>
    <w:rsid w:val="005620BE"/>
    <w:rsid w:val="00566C76"/>
    <w:rsid w:val="0057107F"/>
    <w:rsid w:val="005864F9"/>
    <w:rsid w:val="00590F08"/>
    <w:rsid w:val="00591118"/>
    <w:rsid w:val="00591834"/>
    <w:rsid w:val="005974B0"/>
    <w:rsid w:val="005A2005"/>
    <w:rsid w:val="005A4E8A"/>
    <w:rsid w:val="005A6522"/>
    <w:rsid w:val="005A6981"/>
    <w:rsid w:val="005B2946"/>
    <w:rsid w:val="005B4E7C"/>
    <w:rsid w:val="005B7333"/>
    <w:rsid w:val="005D0A81"/>
    <w:rsid w:val="005D5848"/>
    <w:rsid w:val="005E17EE"/>
    <w:rsid w:val="005E1D75"/>
    <w:rsid w:val="005E7021"/>
    <w:rsid w:val="005F044F"/>
    <w:rsid w:val="005F182C"/>
    <w:rsid w:val="005F28AC"/>
    <w:rsid w:val="005F3444"/>
    <w:rsid w:val="005F39B7"/>
    <w:rsid w:val="006041BB"/>
    <w:rsid w:val="006107BF"/>
    <w:rsid w:val="00614D87"/>
    <w:rsid w:val="00623AC0"/>
    <w:rsid w:val="006250F8"/>
    <w:rsid w:val="006255BD"/>
    <w:rsid w:val="00645C08"/>
    <w:rsid w:val="0065068B"/>
    <w:rsid w:val="00650A4E"/>
    <w:rsid w:val="00651F20"/>
    <w:rsid w:val="00653508"/>
    <w:rsid w:val="00653A20"/>
    <w:rsid w:val="00653B02"/>
    <w:rsid w:val="006630FF"/>
    <w:rsid w:val="00663E01"/>
    <w:rsid w:val="00666DDF"/>
    <w:rsid w:val="00675431"/>
    <w:rsid w:val="00677840"/>
    <w:rsid w:val="006855CA"/>
    <w:rsid w:val="00693241"/>
    <w:rsid w:val="00693B46"/>
    <w:rsid w:val="0069419E"/>
    <w:rsid w:val="00697707"/>
    <w:rsid w:val="006A059A"/>
    <w:rsid w:val="006A1795"/>
    <w:rsid w:val="006A57DB"/>
    <w:rsid w:val="006A6728"/>
    <w:rsid w:val="006B39EE"/>
    <w:rsid w:val="006B45DA"/>
    <w:rsid w:val="006C038C"/>
    <w:rsid w:val="006C1279"/>
    <w:rsid w:val="006C1298"/>
    <w:rsid w:val="006D736B"/>
    <w:rsid w:val="006E190B"/>
    <w:rsid w:val="006E1DCD"/>
    <w:rsid w:val="006E4F51"/>
    <w:rsid w:val="007022EC"/>
    <w:rsid w:val="00702308"/>
    <w:rsid w:val="007065F3"/>
    <w:rsid w:val="0070755A"/>
    <w:rsid w:val="00710342"/>
    <w:rsid w:val="00712F3B"/>
    <w:rsid w:val="0071712C"/>
    <w:rsid w:val="00720629"/>
    <w:rsid w:val="00722419"/>
    <w:rsid w:val="00730D57"/>
    <w:rsid w:val="00733381"/>
    <w:rsid w:val="00733A17"/>
    <w:rsid w:val="00735247"/>
    <w:rsid w:val="00741A1C"/>
    <w:rsid w:val="007440EE"/>
    <w:rsid w:val="00744451"/>
    <w:rsid w:val="007456BC"/>
    <w:rsid w:val="0075213B"/>
    <w:rsid w:val="00753C1B"/>
    <w:rsid w:val="00753E3C"/>
    <w:rsid w:val="00756D6B"/>
    <w:rsid w:val="00760647"/>
    <w:rsid w:val="00761B1C"/>
    <w:rsid w:val="00762F47"/>
    <w:rsid w:val="007656AC"/>
    <w:rsid w:val="0076738D"/>
    <w:rsid w:val="00767F53"/>
    <w:rsid w:val="007700E0"/>
    <w:rsid w:val="007769F1"/>
    <w:rsid w:val="00781C7A"/>
    <w:rsid w:val="00786D92"/>
    <w:rsid w:val="007A1E1A"/>
    <w:rsid w:val="007A26E4"/>
    <w:rsid w:val="007A38BC"/>
    <w:rsid w:val="007A692D"/>
    <w:rsid w:val="007A72AE"/>
    <w:rsid w:val="007A7B15"/>
    <w:rsid w:val="007B5347"/>
    <w:rsid w:val="007C72B8"/>
    <w:rsid w:val="007D3AE5"/>
    <w:rsid w:val="007E243F"/>
    <w:rsid w:val="007E27BF"/>
    <w:rsid w:val="007E4503"/>
    <w:rsid w:val="007E4C52"/>
    <w:rsid w:val="007E625F"/>
    <w:rsid w:val="007E693C"/>
    <w:rsid w:val="007E7EA2"/>
    <w:rsid w:val="007F052D"/>
    <w:rsid w:val="007F7A3A"/>
    <w:rsid w:val="0080032A"/>
    <w:rsid w:val="00806036"/>
    <w:rsid w:val="0081112D"/>
    <w:rsid w:val="00812FC5"/>
    <w:rsid w:val="0082162E"/>
    <w:rsid w:val="0083005B"/>
    <w:rsid w:val="00833796"/>
    <w:rsid w:val="00833A1B"/>
    <w:rsid w:val="00833D12"/>
    <w:rsid w:val="00835149"/>
    <w:rsid w:val="00840A67"/>
    <w:rsid w:val="008504B6"/>
    <w:rsid w:val="00855D6B"/>
    <w:rsid w:val="00856A0D"/>
    <w:rsid w:val="008614DA"/>
    <w:rsid w:val="00873976"/>
    <w:rsid w:val="008748A7"/>
    <w:rsid w:val="00874D5A"/>
    <w:rsid w:val="00877107"/>
    <w:rsid w:val="008873E1"/>
    <w:rsid w:val="00890C91"/>
    <w:rsid w:val="008914D7"/>
    <w:rsid w:val="00892ECC"/>
    <w:rsid w:val="008930D6"/>
    <w:rsid w:val="008939C4"/>
    <w:rsid w:val="00893FDD"/>
    <w:rsid w:val="00897319"/>
    <w:rsid w:val="008A484C"/>
    <w:rsid w:val="008A4F00"/>
    <w:rsid w:val="008A5280"/>
    <w:rsid w:val="008A5C06"/>
    <w:rsid w:val="008B029D"/>
    <w:rsid w:val="008B5183"/>
    <w:rsid w:val="008B581C"/>
    <w:rsid w:val="008B5C39"/>
    <w:rsid w:val="008B5D8D"/>
    <w:rsid w:val="008C0F89"/>
    <w:rsid w:val="008C5FDD"/>
    <w:rsid w:val="008C73BD"/>
    <w:rsid w:val="008D2E5C"/>
    <w:rsid w:val="008D4642"/>
    <w:rsid w:val="008E1E78"/>
    <w:rsid w:val="008E6063"/>
    <w:rsid w:val="008F3B58"/>
    <w:rsid w:val="008F52FE"/>
    <w:rsid w:val="008F5713"/>
    <w:rsid w:val="008F6A70"/>
    <w:rsid w:val="009018D8"/>
    <w:rsid w:val="009024AB"/>
    <w:rsid w:val="00902A5A"/>
    <w:rsid w:val="00903B89"/>
    <w:rsid w:val="00906E25"/>
    <w:rsid w:val="009107E5"/>
    <w:rsid w:val="009118CF"/>
    <w:rsid w:val="00913D43"/>
    <w:rsid w:val="00914175"/>
    <w:rsid w:val="00922CFF"/>
    <w:rsid w:val="0092406D"/>
    <w:rsid w:val="00926784"/>
    <w:rsid w:val="00926BAD"/>
    <w:rsid w:val="00933859"/>
    <w:rsid w:val="00934186"/>
    <w:rsid w:val="00935DED"/>
    <w:rsid w:val="0094516B"/>
    <w:rsid w:val="0094584B"/>
    <w:rsid w:val="00945944"/>
    <w:rsid w:val="00947905"/>
    <w:rsid w:val="009526A7"/>
    <w:rsid w:val="00953E05"/>
    <w:rsid w:val="00960CD5"/>
    <w:rsid w:val="00960F6C"/>
    <w:rsid w:val="00964897"/>
    <w:rsid w:val="009730B2"/>
    <w:rsid w:val="00973916"/>
    <w:rsid w:val="00974C3F"/>
    <w:rsid w:val="00980E92"/>
    <w:rsid w:val="0098181F"/>
    <w:rsid w:val="00990425"/>
    <w:rsid w:val="00990CF4"/>
    <w:rsid w:val="009910FA"/>
    <w:rsid w:val="009913D7"/>
    <w:rsid w:val="00992FBA"/>
    <w:rsid w:val="009A03D4"/>
    <w:rsid w:val="009A09BC"/>
    <w:rsid w:val="009A171D"/>
    <w:rsid w:val="009A1A23"/>
    <w:rsid w:val="009A26E6"/>
    <w:rsid w:val="009A5493"/>
    <w:rsid w:val="009A7DBA"/>
    <w:rsid w:val="009A7F3D"/>
    <w:rsid w:val="009B1351"/>
    <w:rsid w:val="009B6B70"/>
    <w:rsid w:val="009C0AD4"/>
    <w:rsid w:val="009C3FA0"/>
    <w:rsid w:val="009D4652"/>
    <w:rsid w:val="009E152F"/>
    <w:rsid w:val="009E1F52"/>
    <w:rsid w:val="009E21C5"/>
    <w:rsid w:val="009E5DEA"/>
    <w:rsid w:val="009F0C45"/>
    <w:rsid w:val="009F1E27"/>
    <w:rsid w:val="009F2BF9"/>
    <w:rsid w:val="009F62EB"/>
    <w:rsid w:val="00A002F7"/>
    <w:rsid w:val="00A008FD"/>
    <w:rsid w:val="00A075A2"/>
    <w:rsid w:val="00A07CB9"/>
    <w:rsid w:val="00A14280"/>
    <w:rsid w:val="00A160BE"/>
    <w:rsid w:val="00A2144E"/>
    <w:rsid w:val="00A21597"/>
    <w:rsid w:val="00A25C79"/>
    <w:rsid w:val="00A2694C"/>
    <w:rsid w:val="00A2771C"/>
    <w:rsid w:val="00A30C76"/>
    <w:rsid w:val="00A368AE"/>
    <w:rsid w:val="00A37C31"/>
    <w:rsid w:val="00A4052E"/>
    <w:rsid w:val="00A41A1A"/>
    <w:rsid w:val="00A50D9C"/>
    <w:rsid w:val="00A534D7"/>
    <w:rsid w:val="00A554B2"/>
    <w:rsid w:val="00A56C4C"/>
    <w:rsid w:val="00A607A9"/>
    <w:rsid w:val="00A65A4A"/>
    <w:rsid w:val="00A72752"/>
    <w:rsid w:val="00A7689F"/>
    <w:rsid w:val="00A92E64"/>
    <w:rsid w:val="00AA09FF"/>
    <w:rsid w:val="00AA5550"/>
    <w:rsid w:val="00AA5587"/>
    <w:rsid w:val="00AA74BC"/>
    <w:rsid w:val="00AB0DC8"/>
    <w:rsid w:val="00AB268C"/>
    <w:rsid w:val="00AB33B3"/>
    <w:rsid w:val="00AB37DE"/>
    <w:rsid w:val="00AB5E23"/>
    <w:rsid w:val="00AC368C"/>
    <w:rsid w:val="00AC4651"/>
    <w:rsid w:val="00AC5926"/>
    <w:rsid w:val="00AD0441"/>
    <w:rsid w:val="00AD18DA"/>
    <w:rsid w:val="00AD4280"/>
    <w:rsid w:val="00AD631C"/>
    <w:rsid w:val="00AE0245"/>
    <w:rsid w:val="00AE5650"/>
    <w:rsid w:val="00AF0748"/>
    <w:rsid w:val="00AF375D"/>
    <w:rsid w:val="00AF3B3D"/>
    <w:rsid w:val="00AF54B3"/>
    <w:rsid w:val="00AF5DD8"/>
    <w:rsid w:val="00AF5E45"/>
    <w:rsid w:val="00B00082"/>
    <w:rsid w:val="00B12499"/>
    <w:rsid w:val="00B12ED4"/>
    <w:rsid w:val="00B2493E"/>
    <w:rsid w:val="00B30707"/>
    <w:rsid w:val="00B50995"/>
    <w:rsid w:val="00B51D94"/>
    <w:rsid w:val="00B53244"/>
    <w:rsid w:val="00B71B33"/>
    <w:rsid w:val="00B72FBC"/>
    <w:rsid w:val="00B74280"/>
    <w:rsid w:val="00B7768E"/>
    <w:rsid w:val="00B80E14"/>
    <w:rsid w:val="00B85BD9"/>
    <w:rsid w:val="00B87B04"/>
    <w:rsid w:val="00B94226"/>
    <w:rsid w:val="00B94F48"/>
    <w:rsid w:val="00B96972"/>
    <w:rsid w:val="00B96BB7"/>
    <w:rsid w:val="00BA0578"/>
    <w:rsid w:val="00BA1C4B"/>
    <w:rsid w:val="00BA78ED"/>
    <w:rsid w:val="00BB0631"/>
    <w:rsid w:val="00BB60EC"/>
    <w:rsid w:val="00BB68AD"/>
    <w:rsid w:val="00BC058A"/>
    <w:rsid w:val="00BC0C62"/>
    <w:rsid w:val="00BC0DFA"/>
    <w:rsid w:val="00BD3CEC"/>
    <w:rsid w:val="00BD5CD6"/>
    <w:rsid w:val="00BD743E"/>
    <w:rsid w:val="00BE4663"/>
    <w:rsid w:val="00BE6361"/>
    <w:rsid w:val="00BF0AA3"/>
    <w:rsid w:val="00BF7BFA"/>
    <w:rsid w:val="00C03674"/>
    <w:rsid w:val="00C045DF"/>
    <w:rsid w:val="00C04B46"/>
    <w:rsid w:val="00C05064"/>
    <w:rsid w:val="00C103AE"/>
    <w:rsid w:val="00C1084D"/>
    <w:rsid w:val="00C1128F"/>
    <w:rsid w:val="00C113D2"/>
    <w:rsid w:val="00C1376D"/>
    <w:rsid w:val="00C13983"/>
    <w:rsid w:val="00C15BE7"/>
    <w:rsid w:val="00C22961"/>
    <w:rsid w:val="00C30576"/>
    <w:rsid w:val="00C3434C"/>
    <w:rsid w:val="00C34A8B"/>
    <w:rsid w:val="00C361C7"/>
    <w:rsid w:val="00C37D75"/>
    <w:rsid w:val="00C401F6"/>
    <w:rsid w:val="00C40FAF"/>
    <w:rsid w:val="00C46427"/>
    <w:rsid w:val="00C53ED4"/>
    <w:rsid w:val="00C56941"/>
    <w:rsid w:val="00C57DA4"/>
    <w:rsid w:val="00C57E26"/>
    <w:rsid w:val="00C61804"/>
    <w:rsid w:val="00C6181D"/>
    <w:rsid w:val="00C6256E"/>
    <w:rsid w:val="00C70D3B"/>
    <w:rsid w:val="00C71ABE"/>
    <w:rsid w:val="00C72217"/>
    <w:rsid w:val="00C727D8"/>
    <w:rsid w:val="00C72824"/>
    <w:rsid w:val="00C72EE4"/>
    <w:rsid w:val="00C72FF9"/>
    <w:rsid w:val="00C763DA"/>
    <w:rsid w:val="00C7668A"/>
    <w:rsid w:val="00C828FD"/>
    <w:rsid w:val="00C969D2"/>
    <w:rsid w:val="00C97480"/>
    <w:rsid w:val="00CA2EA6"/>
    <w:rsid w:val="00CA4862"/>
    <w:rsid w:val="00CA6CCF"/>
    <w:rsid w:val="00CB363B"/>
    <w:rsid w:val="00CB54A3"/>
    <w:rsid w:val="00CC1D4A"/>
    <w:rsid w:val="00CC382C"/>
    <w:rsid w:val="00CC4BCD"/>
    <w:rsid w:val="00CC4DF2"/>
    <w:rsid w:val="00CC6A73"/>
    <w:rsid w:val="00CD159A"/>
    <w:rsid w:val="00CE1570"/>
    <w:rsid w:val="00CF2347"/>
    <w:rsid w:val="00D13CBA"/>
    <w:rsid w:val="00D15364"/>
    <w:rsid w:val="00D23ABE"/>
    <w:rsid w:val="00D25B59"/>
    <w:rsid w:val="00D27538"/>
    <w:rsid w:val="00D33ED8"/>
    <w:rsid w:val="00D3458F"/>
    <w:rsid w:val="00D35F43"/>
    <w:rsid w:val="00D36732"/>
    <w:rsid w:val="00D379DD"/>
    <w:rsid w:val="00D42D1F"/>
    <w:rsid w:val="00D44BA0"/>
    <w:rsid w:val="00D4692F"/>
    <w:rsid w:val="00D46FE7"/>
    <w:rsid w:val="00D51DFA"/>
    <w:rsid w:val="00D53806"/>
    <w:rsid w:val="00D601DF"/>
    <w:rsid w:val="00D63384"/>
    <w:rsid w:val="00D72909"/>
    <w:rsid w:val="00D74597"/>
    <w:rsid w:val="00D80D2E"/>
    <w:rsid w:val="00D828C2"/>
    <w:rsid w:val="00D86992"/>
    <w:rsid w:val="00D86EC1"/>
    <w:rsid w:val="00D94749"/>
    <w:rsid w:val="00D9759D"/>
    <w:rsid w:val="00DA0D8F"/>
    <w:rsid w:val="00DA0E97"/>
    <w:rsid w:val="00DA55E3"/>
    <w:rsid w:val="00DA7B7C"/>
    <w:rsid w:val="00DB360D"/>
    <w:rsid w:val="00DB43D3"/>
    <w:rsid w:val="00DB76C3"/>
    <w:rsid w:val="00DB76F7"/>
    <w:rsid w:val="00DC48E9"/>
    <w:rsid w:val="00DC6314"/>
    <w:rsid w:val="00DD11C7"/>
    <w:rsid w:val="00DD1313"/>
    <w:rsid w:val="00DD22A3"/>
    <w:rsid w:val="00DD4157"/>
    <w:rsid w:val="00DE1963"/>
    <w:rsid w:val="00DE5A68"/>
    <w:rsid w:val="00DE5EAC"/>
    <w:rsid w:val="00DE71C2"/>
    <w:rsid w:val="00DF3BF5"/>
    <w:rsid w:val="00DF5741"/>
    <w:rsid w:val="00DF5CCF"/>
    <w:rsid w:val="00DF5E99"/>
    <w:rsid w:val="00DF6B13"/>
    <w:rsid w:val="00E02098"/>
    <w:rsid w:val="00E0469B"/>
    <w:rsid w:val="00E0512D"/>
    <w:rsid w:val="00E06CAF"/>
    <w:rsid w:val="00E10F5B"/>
    <w:rsid w:val="00E17ED8"/>
    <w:rsid w:val="00E322D2"/>
    <w:rsid w:val="00E342DA"/>
    <w:rsid w:val="00E3552F"/>
    <w:rsid w:val="00E3735F"/>
    <w:rsid w:val="00E43046"/>
    <w:rsid w:val="00E466DF"/>
    <w:rsid w:val="00E466E1"/>
    <w:rsid w:val="00E467BA"/>
    <w:rsid w:val="00E57523"/>
    <w:rsid w:val="00E57AED"/>
    <w:rsid w:val="00E57DEA"/>
    <w:rsid w:val="00E61D3C"/>
    <w:rsid w:val="00E6397A"/>
    <w:rsid w:val="00E71B38"/>
    <w:rsid w:val="00E72670"/>
    <w:rsid w:val="00E74A56"/>
    <w:rsid w:val="00E8132D"/>
    <w:rsid w:val="00E83E6A"/>
    <w:rsid w:val="00E863FB"/>
    <w:rsid w:val="00E87728"/>
    <w:rsid w:val="00E87CAB"/>
    <w:rsid w:val="00E9182F"/>
    <w:rsid w:val="00E925F9"/>
    <w:rsid w:val="00E93EEB"/>
    <w:rsid w:val="00E95083"/>
    <w:rsid w:val="00EA1822"/>
    <w:rsid w:val="00EA697C"/>
    <w:rsid w:val="00EB272D"/>
    <w:rsid w:val="00EB36C0"/>
    <w:rsid w:val="00EB6F92"/>
    <w:rsid w:val="00EB760E"/>
    <w:rsid w:val="00EC6D3B"/>
    <w:rsid w:val="00ED0937"/>
    <w:rsid w:val="00ED1716"/>
    <w:rsid w:val="00ED3E2E"/>
    <w:rsid w:val="00EE4CD1"/>
    <w:rsid w:val="00EE5D17"/>
    <w:rsid w:val="00EF08EE"/>
    <w:rsid w:val="00F02D0B"/>
    <w:rsid w:val="00F04B6E"/>
    <w:rsid w:val="00F10072"/>
    <w:rsid w:val="00F10CB6"/>
    <w:rsid w:val="00F10F7D"/>
    <w:rsid w:val="00F11079"/>
    <w:rsid w:val="00F112C6"/>
    <w:rsid w:val="00F17850"/>
    <w:rsid w:val="00F17FAD"/>
    <w:rsid w:val="00F20517"/>
    <w:rsid w:val="00F23CE1"/>
    <w:rsid w:val="00F24127"/>
    <w:rsid w:val="00F321C1"/>
    <w:rsid w:val="00F436E1"/>
    <w:rsid w:val="00F46D35"/>
    <w:rsid w:val="00F500FC"/>
    <w:rsid w:val="00F512AD"/>
    <w:rsid w:val="00F53F98"/>
    <w:rsid w:val="00F64B73"/>
    <w:rsid w:val="00F65D32"/>
    <w:rsid w:val="00F73786"/>
    <w:rsid w:val="00F74B04"/>
    <w:rsid w:val="00F839BD"/>
    <w:rsid w:val="00F90233"/>
    <w:rsid w:val="00F91F43"/>
    <w:rsid w:val="00FA1BF7"/>
    <w:rsid w:val="00FA476D"/>
    <w:rsid w:val="00FB5084"/>
    <w:rsid w:val="00FB52BA"/>
    <w:rsid w:val="00FB66C2"/>
    <w:rsid w:val="00FC2F3E"/>
    <w:rsid w:val="00FC3EA3"/>
    <w:rsid w:val="00FC40EC"/>
    <w:rsid w:val="00FD3E87"/>
    <w:rsid w:val="00FD5474"/>
    <w:rsid w:val="00FD62A1"/>
    <w:rsid w:val="00FD6348"/>
    <w:rsid w:val="00FE1B12"/>
    <w:rsid w:val="00FE3C0B"/>
    <w:rsid w:val="00FE4C21"/>
    <w:rsid w:val="00FE4D8D"/>
    <w:rsid w:val="00FE5BAD"/>
    <w:rsid w:val="00FE5CF4"/>
    <w:rsid w:val="00FE6455"/>
    <w:rsid w:val="00FE70FC"/>
    <w:rsid w:val="00FF2C18"/>
    <w:rsid w:val="00FF4ABA"/>
    <w:rsid w:val="00FF6A79"/>
    <w:rsid w:val="00FF6F4C"/>
    <w:rsid w:val="038A0B4A"/>
    <w:rsid w:val="0C60425B"/>
    <w:rsid w:val="2443D729"/>
    <w:rsid w:val="2BF64D0A"/>
    <w:rsid w:val="2FB25862"/>
    <w:rsid w:val="30B8F92D"/>
    <w:rsid w:val="37CAA692"/>
    <w:rsid w:val="4795ED30"/>
    <w:rsid w:val="53046E69"/>
    <w:rsid w:val="5AD39208"/>
    <w:rsid w:val="707B168E"/>
    <w:rsid w:val="7C57D2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2FC77"/>
  <w15:docId w15:val="{8BEEC9F1-E541-47F6-BAD2-A027EF3D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62E"/>
    <w:pPr>
      <w:spacing w:after="0"/>
    </w:pPr>
  </w:style>
  <w:style w:type="paragraph" w:styleId="Heading1">
    <w:name w:val="heading 1"/>
    <w:basedOn w:val="Normal"/>
    <w:next w:val="Normal"/>
    <w:link w:val="Heading1Char"/>
    <w:uiPriority w:val="9"/>
    <w:qFormat/>
    <w:rsid w:val="009A03D4"/>
    <w:pPr>
      <w:keepNext/>
      <w:keepLines/>
      <w:numPr>
        <w:numId w:val="1"/>
      </w:numPr>
      <w:spacing w:before="480"/>
      <w:outlineLvl w:val="0"/>
    </w:pPr>
    <w:rPr>
      <w:rFonts w:ascii="Calibri" w:eastAsiaTheme="majorEastAsia" w:hAnsi="Calibri" w:cstheme="majorBidi"/>
      <w:b/>
      <w:bCs/>
      <w:caps/>
      <w:sz w:val="28"/>
      <w:szCs w:val="28"/>
    </w:rPr>
  </w:style>
  <w:style w:type="paragraph" w:styleId="Heading2">
    <w:name w:val="heading 2"/>
    <w:basedOn w:val="Normal"/>
    <w:next w:val="Normal"/>
    <w:link w:val="Heading2Char"/>
    <w:uiPriority w:val="9"/>
    <w:unhideWhenUsed/>
    <w:qFormat/>
    <w:rsid w:val="009A03D4"/>
    <w:pPr>
      <w:numPr>
        <w:ilvl w:val="1"/>
        <w:numId w:val="1"/>
      </w:numPr>
      <w:spacing w:before="240"/>
      <w:ind w:left="578" w:hanging="578"/>
      <w:outlineLvl w:val="1"/>
    </w:pPr>
    <w:rPr>
      <w:rFonts w:ascii="Calibri" w:hAnsi="Calibri"/>
      <w:b/>
      <w:smallCaps/>
      <w:sz w:val="24"/>
    </w:rPr>
  </w:style>
  <w:style w:type="paragraph" w:styleId="Heading3">
    <w:name w:val="heading 3"/>
    <w:basedOn w:val="Normal"/>
    <w:next w:val="Normal"/>
    <w:link w:val="Heading3Char"/>
    <w:uiPriority w:val="9"/>
    <w:unhideWhenUsed/>
    <w:qFormat/>
    <w:rsid w:val="009A03D4"/>
    <w:pPr>
      <w:keepNext/>
      <w:keepLines/>
      <w:spacing w:before="200"/>
      <w:ind w:left="227"/>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8A484C"/>
    <w:pPr>
      <w:keepNext/>
      <w:keepLines/>
      <w:spacing w:before="200"/>
      <w:outlineLvl w:val="3"/>
    </w:pPr>
    <w:rPr>
      <w:rFonts w:ascii="Calibri" w:eastAsiaTheme="majorEastAsia" w:hAnsi="Calibri" w:cstheme="majorBidi"/>
      <w:bCs/>
      <w:i/>
      <w:iCs/>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3D4"/>
    <w:rPr>
      <w:rFonts w:ascii="Calibri" w:eastAsiaTheme="majorEastAsia" w:hAnsi="Calibri" w:cstheme="majorBidi"/>
      <w:b/>
      <w:bCs/>
      <w:caps/>
      <w:sz w:val="28"/>
      <w:szCs w:val="28"/>
    </w:rPr>
  </w:style>
  <w:style w:type="character" w:customStyle="1" w:styleId="Heading2Char">
    <w:name w:val="Heading 2 Char"/>
    <w:basedOn w:val="DefaultParagraphFont"/>
    <w:link w:val="Heading2"/>
    <w:uiPriority w:val="9"/>
    <w:rsid w:val="009A03D4"/>
    <w:rPr>
      <w:rFonts w:ascii="Calibri" w:hAnsi="Calibri"/>
      <w:b/>
      <w:smallCaps/>
      <w:sz w:val="24"/>
    </w:rPr>
  </w:style>
  <w:style w:type="character" w:customStyle="1" w:styleId="Heading3Char">
    <w:name w:val="Heading 3 Char"/>
    <w:basedOn w:val="DefaultParagraphFont"/>
    <w:link w:val="Heading3"/>
    <w:uiPriority w:val="9"/>
    <w:rsid w:val="009A03D4"/>
    <w:rPr>
      <w:rFonts w:ascii="Calibri" w:eastAsiaTheme="majorEastAsia" w:hAnsi="Calibri" w:cstheme="majorBidi"/>
      <w:b/>
      <w:bCs/>
    </w:rPr>
  </w:style>
  <w:style w:type="character" w:customStyle="1" w:styleId="Heading4Char">
    <w:name w:val="Heading 4 Char"/>
    <w:basedOn w:val="DefaultParagraphFont"/>
    <w:link w:val="Heading4"/>
    <w:uiPriority w:val="9"/>
    <w:rsid w:val="008A484C"/>
    <w:rPr>
      <w:rFonts w:ascii="Calibri" w:eastAsiaTheme="majorEastAsia" w:hAnsi="Calibri" w:cstheme="majorBidi"/>
      <w:bCs/>
      <w:i/>
      <w:iCs/>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line="240" w:lineRule="auto"/>
    </w:pPr>
  </w:style>
  <w:style w:type="character" w:customStyle="1" w:styleId="HeaderChar">
    <w:name w:val="Header Char"/>
    <w:basedOn w:val="DefaultParagraphFont"/>
    <w:link w:val="Header"/>
    <w:uiPriority w:val="99"/>
    <w:rsid w:val="00CA6CCF"/>
  </w:style>
  <w:style w:type="character" w:styleId="UnresolvedMention">
    <w:name w:val="Unresolved Mention"/>
    <w:basedOn w:val="DefaultParagraphFont"/>
    <w:uiPriority w:val="99"/>
    <w:semiHidden/>
    <w:unhideWhenUsed/>
    <w:rsid w:val="00C828FD"/>
    <w:rPr>
      <w:color w:val="605E5C"/>
      <w:shd w:val="clear" w:color="auto" w:fill="E1DFDD"/>
    </w:rPr>
  </w:style>
  <w:style w:type="paragraph" w:styleId="ListBullet3">
    <w:name w:val="List Bullet 3"/>
    <w:basedOn w:val="Normal"/>
    <w:rsid w:val="00F10F7D"/>
    <w:pPr>
      <w:numPr>
        <w:numId w:val="11"/>
      </w:numPr>
      <w:tabs>
        <w:tab w:val="left" w:pos="567"/>
      </w:tabs>
      <w:spacing w:line="240" w:lineRule="auto"/>
      <w:contextualSpacing/>
    </w:pPr>
    <w:rPr>
      <w:rFonts w:ascii="Times New Roman" w:eastAsia="Times New Roman" w:hAnsi="Times New Roman" w:cs="Times New Roman"/>
      <w:szCs w:val="20"/>
      <w:lang w:val="en-GB" w:eastAsia="zh-TW"/>
    </w:rPr>
  </w:style>
  <w:style w:type="paragraph" w:styleId="Caption">
    <w:name w:val="caption"/>
    <w:aliases w:val="Bayer Caption,Bayer Normal Zchn Zchn,NDA,IB Caption,Medical Caption,Tab/Fig,Tab,Bayer Normal Char,12+,Caption 12pt+,12,Caption 12pt,Figure A. Char,Bayer Normal Char + Blac...,Caption-FUSA,Bayer Normal...,table,appendix,Vion Caption"/>
    <w:basedOn w:val="Normal"/>
    <w:next w:val="Normal"/>
    <w:link w:val="CaptionChar"/>
    <w:unhideWhenUsed/>
    <w:qFormat/>
    <w:rsid w:val="00F10F7D"/>
    <w:pPr>
      <w:tabs>
        <w:tab w:val="left" w:pos="567"/>
      </w:tabs>
      <w:spacing w:line="240" w:lineRule="auto"/>
    </w:pPr>
    <w:rPr>
      <w:rFonts w:ascii="Times New Roman" w:eastAsia="Times New Roman" w:hAnsi="Times New Roman" w:cs="Times New Roman"/>
      <w:b/>
      <w:bCs/>
      <w:sz w:val="20"/>
      <w:szCs w:val="20"/>
      <w:lang w:val="en-GB" w:eastAsia="zh-TW"/>
    </w:rPr>
  </w:style>
  <w:style w:type="paragraph" w:customStyle="1" w:styleId="Default">
    <w:name w:val="Default"/>
    <w:rsid w:val="00F10F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ayerBodyTextFull">
    <w:name w:val="Bayer Body Text Full"/>
    <w:basedOn w:val="Normal"/>
    <w:link w:val="BayerBodyTextFullChar"/>
    <w:qFormat/>
    <w:rsid w:val="00F10F7D"/>
    <w:pPr>
      <w:spacing w:before="120" w:after="120" w:line="240" w:lineRule="auto"/>
    </w:pPr>
    <w:rPr>
      <w:rFonts w:ascii="Times New Roman" w:eastAsia="Times New Roman" w:hAnsi="Times New Roman" w:cs="Times New Roman"/>
      <w:sz w:val="24"/>
      <w:szCs w:val="20"/>
      <w:lang w:val="en-US"/>
    </w:rPr>
  </w:style>
  <w:style w:type="character" w:customStyle="1" w:styleId="BayerBodyTextFullChar">
    <w:name w:val="Bayer Body Text Full Char"/>
    <w:link w:val="BayerBodyTextFull"/>
    <w:locked/>
    <w:rsid w:val="00F10F7D"/>
    <w:rPr>
      <w:rFonts w:ascii="Times New Roman" w:eastAsia="Times New Roman" w:hAnsi="Times New Roman" w:cs="Times New Roman"/>
      <w:sz w:val="24"/>
      <w:szCs w:val="20"/>
      <w:lang w:val="en-US"/>
    </w:rPr>
  </w:style>
  <w:style w:type="character" w:customStyle="1" w:styleId="CaptionChar">
    <w:name w:val="Caption Char"/>
    <w:aliases w:val="Bayer Caption Char,Bayer Normal Zchn Zchn Char,NDA Char,IB Caption Char,Medical Caption Char,Tab/Fig Char,Tab Char,Bayer Normal Char Char,12+ Char,Caption 12pt+ Char,12 Char,Caption 12pt Char,Figure A. Char Char,Caption-FUSA Char,table Char"/>
    <w:link w:val="Caption"/>
    <w:locked/>
    <w:rsid w:val="00F10F7D"/>
    <w:rPr>
      <w:rFonts w:ascii="Times New Roman" w:eastAsia="Times New Roman" w:hAnsi="Times New Roman" w:cs="Times New Roman"/>
      <w:b/>
      <w:bCs/>
      <w:sz w:val="20"/>
      <w:szCs w:val="20"/>
      <w:lang w:val="en-GB" w:eastAsia="zh-TW"/>
    </w:rPr>
  </w:style>
  <w:style w:type="paragraph" w:customStyle="1" w:styleId="BayerTableColumnHeadings">
    <w:name w:val="Bayer Table Column Headings"/>
    <w:basedOn w:val="Normal"/>
    <w:link w:val="BayerTableColumnHeadingsZchn"/>
    <w:qFormat/>
    <w:rsid w:val="00F10F7D"/>
    <w:pPr>
      <w:keepNext/>
      <w:widowControl w:val="0"/>
      <w:adjustRightInd w:val="0"/>
      <w:spacing w:line="240" w:lineRule="auto"/>
      <w:jc w:val="center"/>
      <w:textAlignment w:val="baseline"/>
    </w:pPr>
    <w:rPr>
      <w:rFonts w:ascii="Arial" w:eastAsia="Times New Roman" w:hAnsi="Arial" w:cs="Times New Roman"/>
      <w:b/>
      <w:sz w:val="20"/>
      <w:szCs w:val="20"/>
      <w:lang w:val="en-US" w:eastAsia="de-DE"/>
    </w:rPr>
  </w:style>
  <w:style w:type="character" w:customStyle="1" w:styleId="BayerTableColumnHeadingsZchn">
    <w:name w:val="Bayer Table Column Headings Zchn"/>
    <w:link w:val="BayerTableColumnHeadings"/>
    <w:rsid w:val="00F10F7D"/>
    <w:rPr>
      <w:rFonts w:ascii="Arial" w:eastAsia="Times New Roman" w:hAnsi="Arial" w:cs="Times New Roman"/>
      <w:b/>
      <w:sz w:val="20"/>
      <w:szCs w:val="20"/>
      <w:lang w:val="en-US" w:eastAsia="de-DE"/>
    </w:rPr>
  </w:style>
  <w:style w:type="paragraph" w:customStyle="1" w:styleId="SOPOMTextStandard">
    <w:name w:val="SOP/OM Text Standard"/>
    <w:rsid w:val="00F10F7D"/>
    <w:pPr>
      <w:spacing w:before="60" w:after="60" w:line="240" w:lineRule="auto"/>
      <w:jc w:val="both"/>
    </w:pPr>
    <w:rPr>
      <w:rFonts w:ascii="Arial" w:eastAsia="Times New Roman" w:hAnsi="Arial" w:cs="Times New Roman"/>
      <w:sz w:val="20"/>
      <w:szCs w:val="20"/>
      <w:lang w:val="en-US"/>
    </w:rPr>
  </w:style>
  <w:style w:type="paragraph" w:styleId="BodyTextIndent">
    <w:name w:val="Body Text Indent"/>
    <w:basedOn w:val="Normal"/>
    <w:link w:val="BodyTextIndentChar"/>
    <w:rsid w:val="00317BC0"/>
    <w:pPr>
      <w:tabs>
        <w:tab w:val="left" w:pos="567"/>
      </w:tabs>
      <w:spacing w:after="120" w:line="240" w:lineRule="auto"/>
      <w:ind w:left="283"/>
    </w:pPr>
    <w:rPr>
      <w:rFonts w:ascii="Times New Roman" w:eastAsia="Times New Roman" w:hAnsi="Times New Roman" w:cs="Times New Roman"/>
      <w:szCs w:val="20"/>
      <w:lang w:val="en-GB" w:eastAsia="zh-TW"/>
    </w:rPr>
  </w:style>
  <w:style w:type="character" w:customStyle="1" w:styleId="BodyTextIndentChar">
    <w:name w:val="Body Text Indent Char"/>
    <w:basedOn w:val="DefaultParagraphFont"/>
    <w:link w:val="BodyTextIndent"/>
    <w:rsid w:val="00317BC0"/>
    <w:rPr>
      <w:rFonts w:ascii="Times New Roman" w:eastAsia="Times New Roman" w:hAnsi="Times New Roman" w:cs="Times New Roman"/>
      <w:szCs w:val="20"/>
      <w:lang w:val="en-GB" w:eastAsia="zh-TW"/>
    </w:rPr>
  </w:style>
  <w:style w:type="paragraph" w:styleId="CommentSubject">
    <w:name w:val="annotation subject"/>
    <w:basedOn w:val="CommentText"/>
    <w:next w:val="CommentText"/>
    <w:link w:val="CommentSubjectChar"/>
    <w:uiPriority w:val="99"/>
    <w:semiHidden/>
    <w:unhideWhenUsed/>
    <w:rsid w:val="009D4652"/>
    <w:rPr>
      <w:rFonts w:asciiTheme="minorHAnsi" w:hAnsiTheme="minorHAnsi"/>
      <w:b/>
      <w:bCs/>
    </w:rPr>
  </w:style>
  <w:style w:type="character" w:customStyle="1" w:styleId="CommentSubjectChar">
    <w:name w:val="Comment Subject Char"/>
    <w:basedOn w:val="CommentTextChar"/>
    <w:link w:val="CommentSubject"/>
    <w:uiPriority w:val="99"/>
    <w:semiHidden/>
    <w:rsid w:val="009D4652"/>
    <w:rPr>
      <w:rFonts w:ascii="Cambria" w:hAnsi="Cambria"/>
      <w:b/>
      <w:bCs/>
      <w:sz w:val="20"/>
      <w:szCs w:val="20"/>
    </w:rPr>
  </w:style>
  <w:style w:type="paragraph" w:customStyle="1" w:styleId="BayerBibliography">
    <w:name w:val="Bayer Bibliography"/>
    <w:basedOn w:val="Normal"/>
    <w:rsid w:val="00425390"/>
    <w:pPr>
      <w:shd w:val="clear" w:color="auto" w:fill="BFBFBF"/>
      <w:spacing w:after="120" w:line="240" w:lineRule="auto"/>
      <w:ind w:left="1627" w:hanging="720"/>
    </w:pPr>
    <w:rPr>
      <w:rFonts w:ascii="Times New Roman" w:eastAsia="Times New Roman" w:hAnsi="Times New Roman" w:cs="Times New Roman"/>
      <w:sz w:val="24"/>
      <w:szCs w:val="20"/>
      <w:lang w:val="en-US"/>
    </w:rPr>
  </w:style>
  <w:style w:type="character" w:styleId="EndnoteReference">
    <w:name w:val="endnote reference"/>
    <w:uiPriority w:val="99"/>
    <w:semiHidden/>
    <w:rsid w:val="00425390"/>
    <w:rPr>
      <w:bdr w:val="none" w:sz="0" w:space="0" w:color="auto"/>
      <w:shd w:val="clear" w:color="auto" w:fill="BFBFBF"/>
      <w:vertAlign w:val="superscript"/>
    </w:rPr>
  </w:style>
  <w:style w:type="table" w:customStyle="1" w:styleId="BayerTableStyle1">
    <w:name w:val="Bayer Table Style1"/>
    <w:basedOn w:val="TableNormal"/>
    <w:rsid w:val="004824B5"/>
    <w:pPr>
      <w:spacing w:after="0" w:line="240" w:lineRule="auto"/>
    </w:pPr>
    <w:rPr>
      <w:rFonts w:ascii="Times New Roman" w:eastAsia="Times New Roman" w:hAnsi="Times New Roman" w:cs="Times New Roman"/>
      <w:szCs w:val="20"/>
      <w:lang w:val="en-US"/>
    </w:rPr>
    <w:tblPr>
      <w:tblBorders>
        <w:top w:val="single" w:sz="12" w:space="0" w:color="auto"/>
        <w:bottom w:val="single" w:sz="12" w:space="0" w:color="auto"/>
      </w:tblBorders>
    </w:tblPr>
    <w:tblStylePr w:type="firstRow">
      <w:rPr>
        <w:rFonts w:ascii="Arial" w:hAnsi="Arial"/>
        <w:sz w:val="20"/>
      </w:rPr>
      <w:tblPr/>
      <w:tcPr>
        <w:tcBorders>
          <w:top w:val="single" w:sz="12" w:space="0" w:color="auto"/>
          <w:left w:val="nil"/>
          <w:bottom w:val="single" w:sz="6" w:space="0" w:color="auto"/>
          <w:right w:val="nil"/>
          <w:insideH w:val="nil"/>
          <w:insideV w:val="nil"/>
          <w:tl2br w:val="nil"/>
          <w:tr2bl w:val="nil"/>
        </w:tcBorders>
      </w:tcPr>
    </w:tblStylePr>
    <w:tblStylePr w:type="firstCol">
      <w:pPr>
        <w:jc w:val="left"/>
      </w:pPr>
      <w:rPr>
        <w:rFonts w:ascii="Arial" w:hAnsi="Arial"/>
        <w:sz w:val="20"/>
      </w:rPr>
    </w:tblStylePr>
  </w:style>
  <w:style w:type="paragraph" w:customStyle="1" w:styleId="BayerFootnote">
    <w:name w:val="Bayer Footnote"/>
    <w:basedOn w:val="Normal"/>
    <w:link w:val="BayerFootnoteChar"/>
    <w:rsid w:val="00A2144E"/>
    <w:pPr>
      <w:tabs>
        <w:tab w:val="left" w:pos="907"/>
      </w:tabs>
      <w:spacing w:after="60" w:line="240" w:lineRule="auto"/>
      <w:ind w:left="907"/>
    </w:pPr>
    <w:rPr>
      <w:rFonts w:ascii="Times New Roman" w:eastAsia="Times New Roman" w:hAnsi="Times New Roman" w:cs="Times New Roman"/>
      <w:sz w:val="20"/>
      <w:szCs w:val="20"/>
      <w:lang w:val="en-US"/>
    </w:rPr>
  </w:style>
  <w:style w:type="character" w:customStyle="1" w:styleId="BayerFootnoteChar">
    <w:name w:val="Bayer Footnote Char"/>
    <w:link w:val="BayerFootnote"/>
    <w:rsid w:val="00A2144E"/>
    <w:rPr>
      <w:rFonts w:ascii="Times New Roman" w:eastAsia="Times New Roman" w:hAnsi="Times New Roman" w:cs="Times New Roman"/>
      <w:sz w:val="20"/>
      <w:szCs w:val="20"/>
      <w:lang w:val="en-US"/>
    </w:rPr>
  </w:style>
  <w:style w:type="paragraph" w:customStyle="1" w:styleId="Lemm1">
    <w:name w:val="Lemm1"/>
    <w:basedOn w:val="Normal"/>
    <w:rsid w:val="00A2144E"/>
    <w:pPr>
      <w:spacing w:line="240" w:lineRule="auto"/>
    </w:pPr>
    <w:rPr>
      <w:rFonts w:ascii="Arial" w:eastAsia="Times New Roman" w:hAnsi="Arial" w:cs="Times New Roman"/>
      <w:szCs w:val="20"/>
      <w:lang w:val="en-US" w:eastAsia="ja-JP"/>
    </w:rPr>
  </w:style>
  <w:style w:type="table" w:styleId="TableGrid">
    <w:name w:val="Table Grid"/>
    <w:basedOn w:val="TableNormal"/>
    <w:uiPriority w:val="59"/>
    <w:rsid w:val="0076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46427"/>
    <w:pPr>
      <w:spacing w:after="120"/>
    </w:pPr>
  </w:style>
  <w:style w:type="character" w:customStyle="1" w:styleId="BodyTextChar">
    <w:name w:val="Body Text Char"/>
    <w:basedOn w:val="DefaultParagraphFont"/>
    <w:link w:val="BodyText"/>
    <w:uiPriority w:val="99"/>
    <w:semiHidden/>
    <w:rsid w:val="00C46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4687">
      <w:bodyDiv w:val="1"/>
      <w:marLeft w:val="0"/>
      <w:marRight w:val="0"/>
      <w:marTop w:val="0"/>
      <w:marBottom w:val="0"/>
      <w:divBdr>
        <w:top w:val="none" w:sz="0" w:space="0" w:color="auto"/>
        <w:left w:val="none" w:sz="0" w:space="0" w:color="auto"/>
        <w:bottom w:val="none" w:sz="0" w:space="0" w:color="auto"/>
        <w:right w:val="none" w:sz="0" w:space="0" w:color="auto"/>
      </w:divBdr>
    </w:div>
    <w:div w:id="675885711">
      <w:bodyDiv w:val="1"/>
      <w:marLeft w:val="0"/>
      <w:marRight w:val="0"/>
      <w:marTop w:val="0"/>
      <w:marBottom w:val="0"/>
      <w:divBdr>
        <w:top w:val="none" w:sz="0" w:space="0" w:color="auto"/>
        <w:left w:val="none" w:sz="0" w:space="0" w:color="auto"/>
        <w:bottom w:val="none" w:sz="0" w:space="0" w:color="auto"/>
        <w:right w:val="none" w:sz="0" w:space="0" w:color="auto"/>
      </w:divBdr>
      <w:divsChild>
        <w:div w:id="181893394">
          <w:marLeft w:val="0"/>
          <w:marRight w:val="0"/>
          <w:marTop w:val="0"/>
          <w:marBottom w:val="0"/>
          <w:divBdr>
            <w:top w:val="none" w:sz="0" w:space="0" w:color="auto"/>
            <w:left w:val="none" w:sz="0" w:space="0" w:color="auto"/>
            <w:bottom w:val="none" w:sz="0" w:space="0" w:color="auto"/>
            <w:right w:val="none" w:sz="0" w:space="0" w:color="auto"/>
          </w:divBdr>
        </w:div>
        <w:div w:id="1657225121">
          <w:marLeft w:val="0"/>
          <w:marRight w:val="0"/>
          <w:marTop w:val="0"/>
          <w:marBottom w:val="0"/>
          <w:divBdr>
            <w:top w:val="none" w:sz="0" w:space="0" w:color="auto"/>
            <w:left w:val="none" w:sz="0" w:space="0" w:color="auto"/>
            <w:bottom w:val="none" w:sz="0" w:space="0" w:color="auto"/>
            <w:right w:val="none" w:sz="0" w:space="0" w:color="auto"/>
          </w:divBdr>
        </w:div>
      </w:divsChild>
    </w:div>
    <w:div w:id="796026893">
      <w:bodyDiv w:val="1"/>
      <w:marLeft w:val="0"/>
      <w:marRight w:val="0"/>
      <w:marTop w:val="0"/>
      <w:marBottom w:val="0"/>
      <w:divBdr>
        <w:top w:val="none" w:sz="0" w:space="0" w:color="auto"/>
        <w:left w:val="none" w:sz="0" w:space="0" w:color="auto"/>
        <w:bottom w:val="none" w:sz="0" w:space="0" w:color="auto"/>
        <w:right w:val="none" w:sz="0" w:space="0" w:color="auto"/>
      </w:divBdr>
      <w:divsChild>
        <w:div w:id="1215697356">
          <w:marLeft w:val="0"/>
          <w:marRight w:val="0"/>
          <w:marTop w:val="0"/>
          <w:marBottom w:val="0"/>
          <w:divBdr>
            <w:top w:val="none" w:sz="0" w:space="0" w:color="auto"/>
            <w:left w:val="none" w:sz="0" w:space="0" w:color="auto"/>
            <w:bottom w:val="none" w:sz="0" w:space="0" w:color="auto"/>
            <w:right w:val="none" w:sz="0" w:space="0" w:color="auto"/>
          </w:divBdr>
        </w:div>
        <w:div w:id="1298224509">
          <w:marLeft w:val="0"/>
          <w:marRight w:val="0"/>
          <w:marTop w:val="0"/>
          <w:marBottom w:val="0"/>
          <w:divBdr>
            <w:top w:val="none" w:sz="0" w:space="0" w:color="auto"/>
            <w:left w:val="none" w:sz="0" w:space="0" w:color="auto"/>
            <w:bottom w:val="none" w:sz="0" w:space="0" w:color="auto"/>
            <w:right w:val="none" w:sz="0" w:space="0" w:color="auto"/>
          </w:divBdr>
        </w:div>
      </w:divsChild>
    </w:div>
    <w:div w:id="1077558602">
      <w:bodyDiv w:val="1"/>
      <w:marLeft w:val="0"/>
      <w:marRight w:val="0"/>
      <w:marTop w:val="0"/>
      <w:marBottom w:val="0"/>
      <w:divBdr>
        <w:top w:val="none" w:sz="0" w:space="0" w:color="auto"/>
        <w:left w:val="none" w:sz="0" w:space="0" w:color="auto"/>
        <w:bottom w:val="none" w:sz="0" w:space="0" w:color="auto"/>
        <w:right w:val="none" w:sz="0" w:space="0" w:color="auto"/>
      </w:divBdr>
    </w:div>
    <w:div w:id="1107507757">
      <w:bodyDiv w:val="1"/>
      <w:marLeft w:val="0"/>
      <w:marRight w:val="0"/>
      <w:marTop w:val="0"/>
      <w:marBottom w:val="0"/>
      <w:divBdr>
        <w:top w:val="none" w:sz="0" w:space="0" w:color="auto"/>
        <w:left w:val="none" w:sz="0" w:space="0" w:color="auto"/>
        <w:bottom w:val="none" w:sz="0" w:space="0" w:color="auto"/>
        <w:right w:val="none" w:sz="0" w:space="0" w:color="auto"/>
      </w:divBdr>
    </w:div>
    <w:div w:id="1212618520">
      <w:bodyDiv w:val="1"/>
      <w:marLeft w:val="0"/>
      <w:marRight w:val="0"/>
      <w:marTop w:val="0"/>
      <w:marBottom w:val="0"/>
      <w:divBdr>
        <w:top w:val="none" w:sz="0" w:space="0" w:color="auto"/>
        <w:left w:val="none" w:sz="0" w:space="0" w:color="auto"/>
        <w:bottom w:val="none" w:sz="0" w:space="0" w:color="auto"/>
        <w:right w:val="none" w:sz="0" w:space="0" w:color="auto"/>
      </w:divBdr>
    </w:div>
    <w:div w:id="1213421142">
      <w:bodyDiv w:val="1"/>
      <w:marLeft w:val="0"/>
      <w:marRight w:val="0"/>
      <w:marTop w:val="0"/>
      <w:marBottom w:val="0"/>
      <w:divBdr>
        <w:top w:val="none" w:sz="0" w:space="0" w:color="auto"/>
        <w:left w:val="none" w:sz="0" w:space="0" w:color="auto"/>
        <w:bottom w:val="none" w:sz="0" w:space="0" w:color="auto"/>
        <w:right w:val="none" w:sz="0" w:space="0" w:color="auto"/>
      </w:divBdr>
    </w:div>
    <w:div w:id="1331568853">
      <w:bodyDiv w:val="1"/>
      <w:marLeft w:val="0"/>
      <w:marRight w:val="0"/>
      <w:marTop w:val="0"/>
      <w:marBottom w:val="0"/>
      <w:divBdr>
        <w:top w:val="none" w:sz="0" w:space="0" w:color="auto"/>
        <w:left w:val="none" w:sz="0" w:space="0" w:color="auto"/>
        <w:bottom w:val="none" w:sz="0" w:space="0" w:color="auto"/>
        <w:right w:val="none" w:sz="0" w:space="0" w:color="auto"/>
      </w:divBdr>
    </w:div>
    <w:div w:id="1665165424">
      <w:bodyDiv w:val="1"/>
      <w:marLeft w:val="0"/>
      <w:marRight w:val="0"/>
      <w:marTop w:val="0"/>
      <w:marBottom w:val="0"/>
      <w:divBdr>
        <w:top w:val="none" w:sz="0" w:space="0" w:color="auto"/>
        <w:left w:val="none" w:sz="0" w:space="0" w:color="auto"/>
        <w:bottom w:val="none" w:sz="0" w:space="0" w:color="auto"/>
        <w:right w:val="none" w:sz="0" w:space="0" w:color="auto"/>
      </w:divBdr>
      <w:divsChild>
        <w:div w:id="841429815">
          <w:marLeft w:val="0"/>
          <w:marRight w:val="0"/>
          <w:marTop w:val="0"/>
          <w:marBottom w:val="0"/>
          <w:divBdr>
            <w:top w:val="none" w:sz="0" w:space="0" w:color="auto"/>
            <w:left w:val="none" w:sz="0" w:space="0" w:color="auto"/>
            <w:bottom w:val="none" w:sz="0" w:space="0" w:color="auto"/>
            <w:right w:val="none" w:sz="0" w:space="0" w:color="auto"/>
          </w:divBdr>
        </w:div>
        <w:div w:id="1792286061">
          <w:marLeft w:val="0"/>
          <w:marRight w:val="0"/>
          <w:marTop w:val="0"/>
          <w:marBottom w:val="0"/>
          <w:divBdr>
            <w:top w:val="none" w:sz="0" w:space="0" w:color="auto"/>
            <w:left w:val="none" w:sz="0" w:space="0" w:color="auto"/>
            <w:bottom w:val="none" w:sz="0" w:space="0" w:color="auto"/>
            <w:right w:val="none" w:sz="0" w:space="0" w:color="auto"/>
          </w:divBdr>
        </w:div>
      </w:divsChild>
    </w:div>
    <w:div w:id="1711105087">
      <w:bodyDiv w:val="1"/>
      <w:marLeft w:val="0"/>
      <w:marRight w:val="0"/>
      <w:marTop w:val="0"/>
      <w:marBottom w:val="0"/>
      <w:divBdr>
        <w:top w:val="none" w:sz="0" w:space="0" w:color="auto"/>
        <w:left w:val="none" w:sz="0" w:space="0" w:color="auto"/>
        <w:bottom w:val="none" w:sz="0" w:space="0" w:color="auto"/>
        <w:right w:val="none" w:sz="0" w:space="0" w:color="auto"/>
      </w:divBdr>
    </w:div>
    <w:div w:id="1921599985">
      <w:bodyDiv w:val="1"/>
      <w:marLeft w:val="0"/>
      <w:marRight w:val="0"/>
      <w:marTop w:val="0"/>
      <w:marBottom w:val="0"/>
      <w:divBdr>
        <w:top w:val="none" w:sz="0" w:space="0" w:color="auto"/>
        <w:left w:val="none" w:sz="0" w:space="0" w:color="auto"/>
        <w:bottom w:val="none" w:sz="0" w:space="0" w:color="auto"/>
        <w:right w:val="none" w:sz="0" w:space="0" w:color="auto"/>
      </w:divBdr>
    </w:div>
    <w:div w:id="1970627804">
      <w:bodyDiv w:val="1"/>
      <w:marLeft w:val="0"/>
      <w:marRight w:val="0"/>
      <w:marTop w:val="0"/>
      <w:marBottom w:val="0"/>
      <w:divBdr>
        <w:top w:val="none" w:sz="0" w:space="0" w:color="auto"/>
        <w:left w:val="none" w:sz="0" w:space="0" w:color="auto"/>
        <w:bottom w:val="none" w:sz="0" w:space="0" w:color="auto"/>
        <w:right w:val="none" w:sz="0" w:space="0" w:color="auto"/>
      </w:divBdr>
      <w:divsChild>
        <w:div w:id="2142379421">
          <w:marLeft w:val="0"/>
          <w:marRight w:val="0"/>
          <w:marTop w:val="0"/>
          <w:marBottom w:val="0"/>
          <w:divBdr>
            <w:top w:val="none" w:sz="0" w:space="0" w:color="auto"/>
            <w:left w:val="none" w:sz="0" w:space="0" w:color="auto"/>
            <w:bottom w:val="none" w:sz="0" w:space="0" w:color="auto"/>
            <w:right w:val="none" w:sz="0" w:space="0" w:color="auto"/>
          </w:divBdr>
        </w:div>
        <w:div w:id="312566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ga.gov.au/reporting-problem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tga.gov.au/reporting-problems" TargetMode="External"/><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yl\AppData\Local\Temp\pi-template-new-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139198-56df-4d6c-b325-b6202eb17dfd">
      <UserInfo>
        <DisplayName>Anu Kshirsagar</DisplayName>
        <AccountId>53</AccountId>
        <AccountType/>
      </UserInfo>
      <UserInfo>
        <DisplayName>Mary Flannery</DisplayName>
        <AccountId>57</AccountId>
        <AccountType/>
      </UserInfo>
      <UserInfo>
        <DisplayName>Divina Patiag</DisplayName>
        <AccountId>58</AccountId>
        <AccountType/>
      </UserInfo>
      <UserInfo>
        <DisplayName>Hans Vis</DisplayName>
        <AccountId>64</AccountId>
        <AccountType/>
      </UserInfo>
      <UserInfo>
        <DisplayName>Monika Maas Enriquez</DisplayName>
        <AccountId>24</AccountId>
        <AccountType/>
      </UserInfo>
      <UserInfo>
        <DisplayName>Doris Zimmermann</DisplayName>
        <AccountId>22</AccountId>
        <AccountType/>
      </UserInfo>
      <UserInfo>
        <DisplayName>Glaucia Natrieli</DisplayName>
        <AccountId>20</AccountId>
        <AccountType/>
      </UserInfo>
      <UserInfo>
        <DisplayName>Sherry Yang</DisplayName>
        <AccountId>43</AccountId>
        <AccountType/>
      </UserInfo>
      <UserInfo>
        <DisplayName>Emilio Musi</DisplayName>
        <AccountId>23</AccountId>
        <AccountType/>
      </UserInfo>
      <UserInfo>
        <DisplayName>Silvana Schumacher-Goethel</DisplayName>
        <AccountId>12</AccountId>
        <AccountType/>
      </UserInfo>
      <UserInfo>
        <DisplayName>Kerstin von der Ehe</DisplayName>
        <AccountId>49</AccountId>
        <AccountType/>
      </UserInfo>
      <UserInfo>
        <DisplayName>Britta Walter</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3BBC96E4447D419A7A8AD99E116A6C" ma:contentTypeVersion="6" ma:contentTypeDescription="Create a new document." ma:contentTypeScope="" ma:versionID="5bc48cc19b654f23a8950532e0f63baa">
  <xsd:schema xmlns:xsd="http://www.w3.org/2001/XMLSchema" xmlns:xs="http://www.w3.org/2001/XMLSchema" xmlns:p="http://schemas.microsoft.com/office/2006/metadata/properties" xmlns:ns2="4be4774d-4f6e-491b-a7ef-2e0ccdbd7a60" xmlns:ns3="98139198-56df-4d6c-b325-b6202eb17dfd" targetNamespace="http://schemas.microsoft.com/office/2006/metadata/properties" ma:root="true" ma:fieldsID="503c5284c206ddb00dec8ee2c1f41189" ns2:_="" ns3:_="">
    <xsd:import namespace="4be4774d-4f6e-491b-a7ef-2e0ccdbd7a60"/>
    <xsd:import namespace="98139198-56df-4d6c-b325-b6202eb17d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4774d-4f6e-491b-a7ef-2e0ccdbd7a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39198-56df-4d6c-b325-b6202eb17d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C3059-2C70-4F08-BD4E-AB2B72367036}">
  <ds:schemaRefs>
    <ds:schemaRef ds:uri="http://schemas.microsoft.com/office/2006/metadata/properties"/>
    <ds:schemaRef ds:uri="http://schemas.microsoft.com/office/infopath/2007/PartnerControls"/>
    <ds:schemaRef ds:uri="98139198-56df-4d6c-b325-b6202eb17dfd"/>
  </ds:schemaRefs>
</ds:datastoreItem>
</file>

<file path=customXml/itemProps2.xml><?xml version="1.0" encoding="utf-8"?>
<ds:datastoreItem xmlns:ds="http://schemas.openxmlformats.org/officeDocument/2006/customXml" ds:itemID="{865E5D71-FB16-496E-93E1-BF1AF7AD9CF2}">
  <ds:schemaRefs>
    <ds:schemaRef ds:uri="http://schemas.microsoft.com/sharepoint/v3/contenttype/forms"/>
  </ds:schemaRefs>
</ds:datastoreItem>
</file>

<file path=customXml/itemProps3.xml><?xml version="1.0" encoding="utf-8"?>
<ds:datastoreItem xmlns:ds="http://schemas.openxmlformats.org/officeDocument/2006/customXml" ds:itemID="{9C85E7B4-E374-4E52-8D1A-E6FBCA8C8ECC}">
  <ds:schemaRefs>
    <ds:schemaRef ds:uri="http://schemas.openxmlformats.org/officeDocument/2006/bibliography"/>
  </ds:schemaRefs>
</ds:datastoreItem>
</file>

<file path=customXml/itemProps4.xml><?xml version="1.0" encoding="utf-8"?>
<ds:datastoreItem xmlns:ds="http://schemas.openxmlformats.org/officeDocument/2006/customXml" ds:itemID="{E484271E-ECB4-4F21-A486-67ACE91A9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4774d-4f6e-491b-a7ef-2e0ccdbd7a60"/>
    <ds:schemaRef ds:uri="98139198-56df-4d6c-b325-b6202eb17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pi-template-new-format.dotx</Template>
  <TotalTime>7</TotalTime>
  <Pages>15</Pages>
  <Words>5884</Words>
  <Characters>33539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Bayer Australia Ltd</Company>
  <LinksUpToDate>false</LinksUpToDate>
  <CharactersWithSpaces>39345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Jivi</dc:title>
  <dc:subject>prescription medicines</dc:subject>
  <dc:creator>Bayer Australia Ltd</dc:creator>
  <cp:lastModifiedBy>LACK, Janet</cp:lastModifiedBy>
  <cp:revision>3</cp:revision>
  <cp:lastPrinted>2022-11-18T01:37:00Z</cp:lastPrinted>
  <dcterms:created xsi:type="dcterms:W3CDTF">2023-11-13T21:48:00Z</dcterms:created>
  <dcterms:modified xsi:type="dcterms:W3CDTF">2023-11-13T21:55:00Z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2022-02-01T03:02:03Z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y fmtid="{D5CDD505-2E9C-101B-9397-08002B2CF9AE}" pid="8" name="ContentTypeId">
    <vt:lpwstr>0x0101001A3BBC96E4447D419A7A8AD99E116A6C</vt:lpwstr>
  </property>
</Properties>
</file>