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482662B8" w:rsidR="00F02AEC" w:rsidRPr="00215D48" w:rsidRDefault="00346EC2" w:rsidP="00B410D7">
            <w:pPr>
              <w:pStyle w:val="NonTOCheading2"/>
            </w:pPr>
            <w:r w:rsidRPr="00346EC2">
              <w:t xml:space="preserve">Australian Public Assessment Report for </w:t>
            </w:r>
            <w:r w:rsidR="009A6A05" w:rsidRPr="009A6A05">
              <w:t>I</w:t>
            </w:r>
            <w:r w:rsidR="009A6A05">
              <w:t>ntrarosa</w:t>
            </w:r>
          </w:p>
        </w:tc>
      </w:tr>
      <w:tr w:rsidR="00F02AEC" w:rsidRPr="00215D48" w14:paraId="318A40A3" w14:textId="77777777" w:rsidTr="00346EC2">
        <w:trPr>
          <w:trHeight w:val="995"/>
        </w:trPr>
        <w:tc>
          <w:tcPr>
            <w:tcW w:w="8720" w:type="dxa"/>
          </w:tcPr>
          <w:p w14:paraId="1AA7C701" w14:textId="61C6AA52" w:rsidR="00F02AEC" w:rsidRPr="00215D48" w:rsidRDefault="00346EC2" w:rsidP="007452E8">
            <w:pPr>
              <w:pStyle w:val="Subtitle"/>
              <w:ind w:left="0"/>
            </w:pPr>
            <w:r w:rsidRPr="00346EC2">
              <w:t xml:space="preserve">Active ingredient/s: </w:t>
            </w:r>
            <w:r w:rsidR="009A6A05">
              <w:t>P</w:t>
            </w:r>
            <w:r w:rsidR="009A6A05" w:rsidRPr="009A6A05">
              <w:t>rasterone</w:t>
            </w:r>
          </w:p>
        </w:tc>
      </w:tr>
      <w:tr w:rsidR="00346EC2" w:rsidRPr="00215D48" w14:paraId="362CCAE4" w14:textId="77777777" w:rsidTr="007452E8">
        <w:trPr>
          <w:trHeight w:val="1916"/>
        </w:trPr>
        <w:tc>
          <w:tcPr>
            <w:tcW w:w="8720" w:type="dxa"/>
          </w:tcPr>
          <w:p w14:paraId="709C45C0" w14:textId="5FEB13A0" w:rsidR="00346EC2" w:rsidRPr="00215D48" w:rsidRDefault="00346EC2" w:rsidP="007452E8">
            <w:pPr>
              <w:pStyle w:val="Subtitle"/>
              <w:ind w:left="0"/>
            </w:pPr>
            <w:r w:rsidRPr="00346EC2">
              <w:t xml:space="preserve">Sponsor: </w:t>
            </w:r>
            <w:r w:rsidR="009A6A05" w:rsidRPr="009A6A05">
              <w:t>Theramex Australia Pty Ltd</w:t>
            </w:r>
          </w:p>
        </w:tc>
      </w:tr>
      <w:tr w:rsidR="00F02AEC" w:rsidRPr="00215D48" w14:paraId="37F2AA1F" w14:textId="77777777" w:rsidTr="007452E8">
        <w:tc>
          <w:tcPr>
            <w:tcW w:w="8720" w:type="dxa"/>
          </w:tcPr>
          <w:p w14:paraId="1FDE8DCD" w14:textId="6049A6DA" w:rsidR="00F02AEC" w:rsidRPr="00215D48" w:rsidRDefault="009A6A05" w:rsidP="007452E8">
            <w:pPr>
              <w:pStyle w:val="Date"/>
            </w:pPr>
            <w:r>
              <w:t>September</w:t>
            </w:r>
            <w:r w:rsidR="00F02AEC" w:rsidRPr="00215D48">
              <w:t xml:space="preserve"> </w:t>
            </w:r>
            <w:r>
              <w:t>2023</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3CBCBDFC"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0F15B4">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AF350BA"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692DDB3D" w:rsidR="00175CD8" w:rsidRPr="00346EC2" w:rsidRDefault="00F02AEC" w:rsidP="00346EC2">
      <w:pPr>
        <w:pStyle w:val="LegalCopy"/>
        <w:rPr>
          <w:rFonts w:cs="Arial"/>
        </w:rPr>
      </w:pPr>
      <w:r w:rsidRPr="00215D48">
        <w:rPr>
          <w:rFonts w:cs="Arial"/>
        </w:rPr>
        <w:t>© Commonwealth of Australia 20</w:t>
      </w:r>
      <w:r>
        <w:rPr>
          <w:rFonts w:cs="Arial"/>
        </w:rPr>
        <w:t>2</w:t>
      </w:r>
      <w:r w:rsidR="00E47E0C">
        <w:rPr>
          <w:rFonts w:cs="Arial"/>
        </w:rPr>
        <w:t>3</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6FF65B6C" w14:textId="77ED680E" w:rsidR="0067247F"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46618660" w:history="1">
            <w:r w:rsidR="0067247F" w:rsidRPr="00013DE9">
              <w:rPr>
                <w:rStyle w:val="Hyperlink"/>
                <w:noProof/>
              </w:rPr>
              <w:t>List of abbreviations</w:t>
            </w:r>
            <w:r w:rsidR="0067247F">
              <w:rPr>
                <w:noProof/>
                <w:webHidden/>
              </w:rPr>
              <w:tab/>
            </w:r>
            <w:r w:rsidR="0067247F">
              <w:rPr>
                <w:noProof/>
                <w:webHidden/>
              </w:rPr>
              <w:fldChar w:fldCharType="begin"/>
            </w:r>
            <w:r w:rsidR="0067247F">
              <w:rPr>
                <w:noProof/>
                <w:webHidden/>
              </w:rPr>
              <w:instrText xml:space="preserve"> PAGEREF _Toc146618660 \h </w:instrText>
            </w:r>
            <w:r w:rsidR="0067247F">
              <w:rPr>
                <w:noProof/>
                <w:webHidden/>
              </w:rPr>
            </w:r>
            <w:r w:rsidR="0067247F">
              <w:rPr>
                <w:noProof/>
                <w:webHidden/>
              </w:rPr>
              <w:fldChar w:fldCharType="separate"/>
            </w:r>
            <w:r w:rsidR="0067247F">
              <w:rPr>
                <w:noProof/>
                <w:webHidden/>
              </w:rPr>
              <w:t>4</w:t>
            </w:r>
            <w:r w:rsidR="0067247F">
              <w:rPr>
                <w:noProof/>
                <w:webHidden/>
              </w:rPr>
              <w:fldChar w:fldCharType="end"/>
            </w:r>
          </w:hyperlink>
        </w:p>
        <w:p w14:paraId="591E428E" w14:textId="54CA9B12" w:rsidR="0067247F" w:rsidRDefault="004E2876">
          <w:pPr>
            <w:pStyle w:val="TOC1"/>
            <w:rPr>
              <w:rFonts w:asciiTheme="minorHAnsi" w:eastAsiaTheme="minorEastAsia" w:hAnsiTheme="minorHAnsi" w:cstheme="minorBidi"/>
              <w:b w:val="0"/>
              <w:noProof/>
              <w:color w:val="auto"/>
              <w:sz w:val="22"/>
              <w:szCs w:val="22"/>
              <w:lang w:eastAsia="en-AU"/>
            </w:rPr>
          </w:pPr>
          <w:hyperlink w:anchor="_Toc146618661" w:history="1">
            <w:r w:rsidR="0067247F" w:rsidRPr="00013DE9">
              <w:rPr>
                <w:rStyle w:val="Hyperlink"/>
                <w:noProof/>
              </w:rPr>
              <w:t>Product submission</w:t>
            </w:r>
            <w:r w:rsidR="0067247F">
              <w:rPr>
                <w:noProof/>
                <w:webHidden/>
              </w:rPr>
              <w:tab/>
            </w:r>
            <w:r w:rsidR="0067247F">
              <w:rPr>
                <w:noProof/>
                <w:webHidden/>
              </w:rPr>
              <w:fldChar w:fldCharType="begin"/>
            </w:r>
            <w:r w:rsidR="0067247F">
              <w:rPr>
                <w:noProof/>
                <w:webHidden/>
              </w:rPr>
              <w:instrText xml:space="preserve"> PAGEREF _Toc146618661 \h </w:instrText>
            </w:r>
            <w:r w:rsidR="0067247F">
              <w:rPr>
                <w:noProof/>
                <w:webHidden/>
              </w:rPr>
            </w:r>
            <w:r w:rsidR="0067247F">
              <w:rPr>
                <w:noProof/>
                <w:webHidden/>
              </w:rPr>
              <w:fldChar w:fldCharType="separate"/>
            </w:r>
            <w:r w:rsidR="0067247F">
              <w:rPr>
                <w:noProof/>
                <w:webHidden/>
              </w:rPr>
              <w:t>5</w:t>
            </w:r>
            <w:r w:rsidR="0067247F">
              <w:rPr>
                <w:noProof/>
                <w:webHidden/>
              </w:rPr>
              <w:fldChar w:fldCharType="end"/>
            </w:r>
          </w:hyperlink>
        </w:p>
        <w:p w14:paraId="78EC3965" w14:textId="1C714AD0" w:rsidR="0067247F" w:rsidRDefault="004E2876">
          <w:pPr>
            <w:pStyle w:val="TOC2"/>
            <w:rPr>
              <w:rFonts w:asciiTheme="minorHAnsi" w:eastAsiaTheme="minorEastAsia" w:hAnsiTheme="minorHAnsi" w:cstheme="minorBidi"/>
              <w:b w:val="0"/>
              <w:noProof/>
              <w:color w:val="auto"/>
              <w:sz w:val="22"/>
              <w:szCs w:val="22"/>
              <w:lang w:eastAsia="en-AU"/>
            </w:rPr>
          </w:pPr>
          <w:hyperlink w:anchor="_Toc146618662" w:history="1">
            <w:r w:rsidR="0067247F" w:rsidRPr="00013DE9">
              <w:rPr>
                <w:rStyle w:val="Hyperlink"/>
                <w:noProof/>
                <w:lang w:eastAsia="en-AU"/>
              </w:rPr>
              <w:t>Submission details</w:t>
            </w:r>
            <w:r w:rsidR="0067247F">
              <w:rPr>
                <w:noProof/>
                <w:webHidden/>
              </w:rPr>
              <w:tab/>
            </w:r>
            <w:r w:rsidR="0067247F">
              <w:rPr>
                <w:noProof/>
                <w:webHidden/>
              </w:rPr>
              <w:fldChar w:fldCharType="begin"/>
            </w:r>
            <w:r w:rsidR="0067247F">
              <w:rPr>
                <w:noProof/>
                <w:webHidden/>
              </w:rPr>
              <w:instrText xml:space="preserve"> PAGEREF _Toc146618662 \h </w:instrText>
            </w:r>
            <w:r w:rsidR="0067247F">
              <w:rPr>
                <w:noProof/>
                <w:webHidden/>
              </w:rPr>
            </w:r>
            <w:r w:rsidR="0067247F">
              <w:rPr>
                <w:noProof/>
                <w:webHidden/>
              </w:rPr>
              <w:fldChar w:fldCharType="separate"/>
            </w:r>
            <w:r w:rsidR="0067247F">
              <w:rPr>
                <w:noProof/>
                <w:webHidden/>
              </w:rPr>
              <w:t>5</w:t>
            </w:r>
            <w:r w:rsidR="0067247F">
              <w:rPr>
                <w:noProof/>
                <w:webHidden/>
              </w:rPr>
              <w:fldChar w:fldCharType="end"/>
            </w:r>
          </w:hyperlink>
        </w:p>
        <w:p w14:paraId="1962C28B" w14:textId="2B2A5B98" w:rsidR="0067247F" w:rsidRDefault="004E2876">
          <w:pPr>
            <w:pStyle w:val="TOC2"/>
            <w:rPr>
              <w:rFonts w:asciiTheme="minorHAnsi" w:eastAsiaTheme="minorEastAsia" w:hAnsiTheme="minorHAnsi" w:cstheme="minorBidi"/>
              <w:b w:val="0"/>
              <w:noProof/>
              <w:color w:val="auto"/>
              <w:sz w:val="22"/>
              <w:szCs w:val="22"/>
              <w:lang w:eastAsia="en-AU"/>
            </w:rPr>
          </w:pPr>
          <w:hyperlink w:anchor="_Toc146618663" w:history="1">
            <w:r w:rsidR="0067247F" w:rsidRPr="00013DE9">
              <w:rPr>
                <w:rStyle w:val="Hyperlink"/>
                <w:noProof/>
              </w:rPr>
              <w:t>Product background</w:t>
            </w:r>
            <w:r w:rsidR="0067247F">
              <w:rPr>
                <w:noProof/>
                <w:webHidden/>
              </w:rPr>
              <w:tab/>
            </w:r>
            <w:r w:rsidR="0067247F">
              <w:rPr>
                <w:noProof/>
                <w:webHidden/>
              </w:rPr>
              <w:fldChar w:fldCharType="begin"/>
            </w:r>
            <w:r w:rsidR="0067247F">
              <w:rPr>
                <w:noProof/>
                <w:webHidden/>
              </w:rPr>
              <w:instrText xml:space="preserve"> PAGEREF _Toc146618663 \h </w:instrText>
            </w:r>
            <w:r w:rsidR="0067247F">
              <w:rPr>
                <w:noProof/>
                <w:webHidden/>
              </w:rPr>
            </w:r>
            <w:r w:rsidR="0067247F">
              <w:rPr>
                <w:noProof/>
                <w:webHidden/>
              </w:rPr>
              <w:fldChar w:fldCharType="separate"/>
            </w:r>
            <w:r w:rsidR="0067247F">
              <w:rPr>
                <w:noProof/>
                <w:webHidden/>
              </w:rPr>
              <w:t>6</w:t>
            </w:r>
            <w:r w:rsidR="0067247F">
              <w:rPr>
                <w:noProof/>
                <w:webHidden/>
              </w:rPr>
              <w:fldChar w:fldCharType="end"/>
            </w:r>
          </w:hyperlink>
        </w:p>
        <w:p w14:paraId="7CCE02DE" w14:textId="3C3979E7" w:rsidR="0067247F" w:rsidRDefault="004E2876">
          <w:pPr>
            <w:pStyle w:val="TOC3"/>
            <w:rPr>
              <w:rFonts w:asciiTheme="minorHAnsi" w:eastAsiaTheme="minorEastAsia" w:hAnsiTheme="minorHAnsi" w:cstheme="minorBidi"/>
              <w:b w:val="0"/>
              <w:noProof/>
              <w:color w:val="auto"/>
              <w:szCs w:val="22"/>
              <w:lang w:eastAsia="en-AU"/>
            </w:rPr>
          </w:pPr>
          <w:hyperlink w:anchor="_Toc146618664" w:history="1">
            <w:r w:rsidR="0067247F" w:rsidRPr="00013DE9">
              <w:rPr>
                <w:rStyle w:val="Hyperlink"/>
                <w:noProof/>
              </w:rPr>
              <w:t>Condition</w:t>
            </w:r>
            <w:r w:rsidR="0067247F">
              <w:rPr>
                <w:noProof/>
                <w:webHidden/>
              </w:rPr>
              <w:tab/>
            </w:r>
            <w:r w:rsidR="0067247F">
              <w:rPr>
                <w:noProof/>
                <w:webHidden/>
              </w:rPr>
              <w:fldChar w:fldCharType="begin"/>
            </w:r>
            <w:r w:rsidR="0067247F">
              <w:rPr>
                <w:noProof/>
                <w:webHidden/>
              </w:rPr>
              <w:instrText xml:space="preserve"> PAGEREF _Toc146618664 \h </w:instrText>
            </w:r>
            <w:r w:rsidR="0067247F">
              <w:rPr>
                <w:noProof/>
                <w:webHidden/>
              </w:rPr>
            </w:r>
            <w:r w:rsidR="0067247F">
              <w:rPr>
                <w:noProof/>
                <w:webHidden/>
              </w:rPr>
              <w:fldChar w:fldCharType="separate"/>
            </w:r>
            <w:r w:rsidR="0067247F">
              <w:rPr>
                <w:noProof/>
                <w:webHidden/>
              </w:rPr>
              <w:t>6</w:t>
            </w:r>
            <w:r w:rsidR="0067247F">
              <w:rPr>
                <w:noProof/>
                <w:webHidden/>
              </w:rPr>
              <w:fldChar w:fldCharType="end"/>
            </w:r>
          </w:hyperlink>
        </w:p>
        <w:p w14:paraId="0650FD95" w14:textId="5D482565" w:rsidR="0067247F" w:rsidRDefault="004E2876">
          <w:pPr>
            <w:pStyle w:val="TOC2"/>
            <w:rPr>
              <w:rFonts w:asciiTheme="minorHAnsi" w:eastAsiaTheme="minorEastAsia" w:hAnsiTheme="minorHAnsi" w:cstheme="minorBidi"/>
              <w:b w:val="0"/>
              <w:noProof/>
              <w:color w:val="auto"/>
              <w:sz w:val="22"/>
              <w:szCs w:val="22"/>
              <w:lang w:eastAsia="en-AU"/>
            </w:rPr>
          </w:pPr>
          <w:hyperlink w:anchor="_Toc146618665" w:history="1">
            <w:r w:rsidR="0067247F" w:rsidRPr="00013DE9">
              <w:rPr>
                <w:rStyle w:val="Hyperlink"/>
                <w:noProof/>
              </w:rPr>
              <w:t>Regulatory status</w:t>
            </w:r>
            <w:r w:rsidR="0067247F">
              <w:rPr>
                <w:noProof/>
                <w:webHidden/>
              </w:rPr>
              <w:tab/>
            </w:r>
            <w:r w:rsidR="0067247F">
              <w:rPr>
                <w:noProof/>
                <w:webHidden/>
              </w:rPr>
              <w:fldChar w:fldCharType="begin"/>
            </w:r>
            <w:r w:rsidR="0067247F">
              <w:rPr>
                <w:noProof/>
                <w:webHidden/>
              </w:rPr>
              <w:instrText xml:space="preserve"> PAGEREF _Toc146618665 \h </w:instrText>
            </w:r>
            <w:r w:rsidR="0067247F">
              <w:rPr>
                <w:noProof/>
                <w:webHidden/>
              </w:rPr>
            </w:r>
            <w:r w:rsidR="0067247F">
              <w:rPr>
                <w:noProof/>
                <w:webHidden/>
              </w:rPr>
              <w:fldChar w:fldCharType="separate"/>
            </w:r>
            <w:r w:rsidR="0067247F">
              <w:rPr>
                <w:noProof/>
                <w:webHidden/>
              </w:rPr>
              <w:t>6</w:t>
            </w:r>
            <w:r w:rsidR="0067247F">
              <w:rPr>
                <w:noProof/>
                <w:webHidden/>
              </w:rPr>
              <w:fldChar w:fldCharType="end"/>
            </w:r>
          </w:hyperlink>
        </w:p>
        <w:p w14:paraId="6C1CE537" w14:textId="4713829F" w:rsidR="0067247F" w:rsidRDefault="004E2876">
          <w:pPr>
            <w:pStyle w:val="TOC2"/>
            <w:rPr>
              <w:rFonts w:asciiTheme="minorHAnsi" w:eastAsiaTheme="minorEastAsia" w:hAnsiTheme="minorHAnsi" w:cstheme="minorBidi"/>
              <w:b w:val="0"/>
              <w:noProof/>
              <w:color w:val="auto"/>
              <w:sz w:val="22"/>
              <w:szCs w:val="22"/>
              <w:lang w:eastAsia="en-AU"/>
            </w:rPr>
          </w:pPr>
          <w:hyperlink w:anchor="_Toc146618666" w:history="1">
            <w:r w:rsidR="0067247F" w:rsidRPr="00013DE9">
              <w:rPr>
                <w:rStyle w:val="Hyperlink"/>
                <w:noProof/>
              </w:rPr>
              <w:t>Product Information</w:t>
            </w:r>
            <w:r w:rsidR="0067247F">
              <w:rPr>
                <w:noProof/>
                <w:webHidden/>
              </w:rPr>
              <w:tab/>
            </w:r>
            <w:r w:rsidR="0067247F">
              <w:rPr>
                <w:noProof/>
                <w:webHidden/>
              </w:rPr>
              <w:fldChar w:fldCharType="begin"/>
            </w:r>
            <w:r w:rsidR="0067247F">
              <w:rPr>
                <w:noProof/>
                <w:webHidden/>
              </w:rPr>
              <w:instrText xml:space="preserve"> PAGEREF _Toc146618666 \h </w:instrText>
            </w:r>
            <w:r w:rsidR="0067247F">
              <w:rPr>
                <w:noProof/>
                <w:webHidden/>
              </w:rPr>
            </w:r>
            <w:r w:rsidR="0067247F">
              <w:rPr>
                <w:noProof/>
                <w:webHidden/>
              </w:rPr>
              <w:fldChar w:fldCharType="separate"/>
            </w:r>
            <w:r w:rsidR="0067247F">
              <w:rPr>
                <w:noProof/>
                <w:webHidden/>
              </w:rPr>
              <w:t>7</w:t>
            </w:r>
            <w:r w:rsidR="0067247F">
              <w:rPr>
                <w:noProof/>
                <w:webHidden/>
              </w:rPr>
              <w:fldChar w:fldCharType="end"/>
            </w:r>
          </w:hyperlink>
        </w:p>
        <w:p w14:paraId="2B924FA4" w14:textId="0C138799" w:rsidR="0067247F" w:rsidRDefault="004E2876">
          <w:pPr>
            <w:pStyle w:val="TOC1"/>
            <w:rPr>
              <w:rFonts w:asciiTheme="minorHAnsi" w:eastAsiaTheme="minorEastAsia" w:hAnsiTheme="minorHAnsi" w:cstheme="minorBidi"/>
              <w:b w:val="0"/>
              <w:noProof/>
              <w:color w:val="auto"/>
              <w:sz w:val="22"/>
              <w:szCs w:val="22"/>
              <w:lang w:eastAsia="en-AU"/>
            </w:rPr>
          </w:pPr>
          <w:hyperlink w:anchor="_Toc146618667" w:history="1">
            <w:r w:rsidR="0067247F" w:rsidRPr="00013DE9">
              <w:rPr>
                <w:rStyle w:val="Hyperlink"/>
                <w:noProof/>
              </w:rPr>
              <w:t>Registration timeline</w:t>
            </w:r>
            <w:r w:rsidR="0067247F">
              <w:rPr>
                <w:noProof/>
                <w:webHidden/>
              </w:rPr>
              <w:tab/>
            </w:r>
            <w:r w:rsidR="0067247F">
              <w:rPr>
                <w:noProof/>
                <w:webHidden/>
              </w:rPr>
              <w:fldChar w:fldCharType="begin"/>
            </w:r>
            <w:r w:rsidR="0067247F">
              <w:rPr>
                <w:noProof/>
                <w:webHidden/>
              </w:rPr>
              <w:instrText xml:space="preserve"> PAGEREF _Toc146618667 \h </w:instrText>
            </w:r>
            <w:r w:rsidR="0067247F">
              <w:rPr>
                <w:noProof/>
                <w:webHidden/>
              </w:rPr>
            </w:r>
            <w:r w:rsidR="0067247F">
              <w:rPr>
                <w:noProof/>
                <w:webHidden/>
              </w:rPr>
              <w:fldChar w:fldCharType="separate"/>
            </w:r>
            <w:r w:rsidR="0067247F">
              <w:rPr>
                <w:noProof/>
                <w:webHidden/>
              </w:rPr>
              <w:t>7</w:t>
            </w:r>
            <w:r w:rsidR="0067247F">
              <w:rPr>
                <w:noProof/>
                <w:webHidden/>
              </w:rPr>
              <w:fldChar w:fldCharType="end"/>
            </w:r>
          </w:hyperlink>
        </w:p>
        <w:p w14:paraId="27060658" w14:textId="5DA93E98" w:rsidR="0067247F" w:rsidRDefault="004E2876">
          <w:pPr>
            <w:pStyle w:val="TOC1"/>
            <w:rPr>
              <w:rFonts w:asciiTheme="minorHAnsi" w:eastAsiaTheme="minorEastAsia" w:hAnsiTheme="minorHAnsi" w:cstheme="minorBidi"/>
              <w:b w:val="0"/>
              <w:noProof/>
              <w:color w:val="auto"/>
              <w:sz w:val="22"/>
              <w:szCs w:val="22"/>
              <w:lang w:eastAsia="en-AU"/>
            </w:rPr>
          </w:pPr>
          <w:hyperlink w:anchor="_Toc146618668" w:history="1">
            <w:r w:rsidR="0067247F" w:rsidRPr="00013DE9">
              <w:rPr>
                <w:rStyle w:val="Hyperlink"/>
                <w:noProof/>
              </w:rPr>
              <w:t>Submission overview and risk/benefit assessment</w:t>
            </w:r>
            <w:r w:rsidR="0067247F">
              <w:rPr>
                <w:noProof/>
                <w:webHidden/>
              </w:rPr>
              <w:tab/>
            </w:r>
            <w:r w:rsidR="0067247F">
              <w:rPr>
                <w:noProof/>
                <w:webHidden/>
              </w:rPr>
              <w:fldChar w:fldCharType="begin"/>
            </w:r>
            <w:r w:rsidR="0067247F">
              <w:rPr>
                <w:noProof/>
                <w:webHidden/>
              </w:rPr>
              <w:instrText xml:space="preserve"> PAGEREF _Toc146618668 \h </w:instrText>
            </w:r>
            <w:r w:rsidR="0067247F">
              <w:rPr>
                <w:noProof/>
                <w:webHidden/>
              </w:rPr>
            </w:r>
            <w:r w:rsidR="0067247F">
              <w:rPr>
                <w:noProof/>
                <w:webHidden/>
              </w:rPr>
              <w:fldChar w:fldCharType="separate"/>
            </w:r>
            <w:r w:rsidR="0067247F">
              <w:rPr>
                <w:noProof/>
                <w:webHidden/>
              </w:rPr>
              <w:t>8</w:t>
            </w:r>
            <w:r w:rsidR="0067247F">
              <w:rPr>
                <w:noProof/>
                <w:webHidden/>
              </w:rPr>
              <w:fldChar w:fldCharType="end"/>
            </w:r>
          </w:hyperlink>
        </w:p>
        <w:p w14:paraId="2D2E278D" w14:textId="3BBA084C" w:rsidR="0067247F" w:rsidRDefault="004E2876">
          <w:pPr>
            <w:pStyle w:val="TOC2"/>
            <w:rPr>
              <w:rFonts w:asciiTheme="minorHAnsi" w:eastAsiaTheme="minorEastAsia" w:hAnsiTheme="minorHAnsi" w:cstheme="minorBidi"/>
              <w:b w:val="0"/>
              <w:noProof/>
              <w:color w:val="auto"/>
              <w:sz w:val="22"/>
              <w:szCs w:val="22"/>
              <w:lang w:eastAsia="en-AU"/>
            </w:rPr>
          </w:pPr>
          <w:hyperlink w:anchor="_Toc146618669" w:history="1">
            <w:r w:rsidR="0067247F" w:rsidRPr="00013DE9">
              <w:rPr>
                <w:rStyle w:val="Hyperlink"/>
                <w:noProof/>
              </w:rPr>
              <w:t>Quality</w:t>
            </w:r>
            <w:r w:rsidR="0067247F">
              <w:rPr>
                <w:noProof/>
                <w:webHidden/>
              </w:rPr>
              <w:tab/>
            </w:r>
            <w:r w:rsidR="0067247F">
              <w:rPr>
                <w:noProof/>
                <w:webHidden/>
              </w:rPr>
              <w:fldChar w:fldCharType="begin"/>
            </w:r>
            <w:r w:rsidR="0067247F">
              <w:rPr>
                <w:noProof/>
                <w:webHidden/>
              </w:rPr>
              <w:instrText xml:space="preserve"> PAGEREF _Toc146618669 \h </w:instrText>
            </w:r>
            <w:r w:rsidR="0067247F">
              <w:rPr>
                <w:noProof/>
                <w:webHidden/>
              </w:rPr>
            </w:r>
            <w:r w:rsidR="0067247F">
              <w:rPr>
                <w:noProof/>
                <w:webHidden/>
              </w:rPr>
              <w:fldChar w:fldCharType="separate"/>
            </w:r>
            <w:r w:rsidR="0067247F">
              <w:rPr>
                <w:noProof/>
                <w:webHidden/>
              </w:rPr>
              <w:t>8</w:t>
            </w:r>
            <w:r w:rsidR="0067247F">
              <w:rPr>
                <w:noProof/>
                <w:webHidden/>
              </w:rPr>
              <w:fldChar w:fldCharType="end"/>
            </w:r>
          </w:hyperlink>
        </w:p>
        <w:p w14:paraId="5EB00DEF" w14:textId="4393769B" w:rsidR="0067247F" w:rsidRDefault="004E2876">
          <w:pPr>
            <w:pStyle w:val="TOC2"/>
            <w:rPr>
              <w:rFonts w:asciiTheme="minorHAnsi" w:eastAsiaTheme="minorEastAsia" w:hAnsiTheme="minorHAnsi" w:cstheme="minorBidi"/>
              <w:b w:val="0"/>
              <w:noProof/>
              <w:color w:val="auto"/>
              <w:sz w:val="22"/>
              <w:szCs w:val="22"/>
              <w:lang w:eastAsia="en-AU"/>
            </w:rPr>
          </w:pPr>
          <w:hyperlink w:anchor="_Toc146618670" w:history="1">
            <w:r w:rsidR="0067247F" w:rsidRPr="00013DE9">
              <w:rPr>
                <w:rStyle w:val="Hyperlink"/>
                <w:noProof/>
              </w:rPr>
              <w:t>Nonclinical</w:t>
            </w:r>
            <w:r w:rsidR="0067247F">
              <w:rPr>
                <w:noProof/>
                <w:webHidden/>
              </w:rPr>
              <w:tab/>
            </w:r>
            <w:r w:rsidR="0067247F">
              <w:rPr>
                <w:noProof/>
                <w:webHidden/>
              </w:rPr>
              <w:fldChar w:fldCharType="begin"/>
            </w:r>
            <w:r w:rsidR="0067247F">
              <w:rPr>
                <w:noProof/>
                <w:webHidden/>
              </w:rPr>
              <w:instrText xml:space="preserve"> PAGEREF _Toc146618670 \h </w:instrText>
            </w:r>
            <w:r w:rsidR="0067247F">
              <w:rPr>
                <w:noProof/>
                <w:webHidden/>
              </w:rPr>
            </w:r>
            <w:r w:rsidR="0067247F">
              <w:rPr>
                <w:noProof/>
                <w:webHidden/>
              </w:rPr>
              <w:fldChar w:fldCharType="separate"/>
            </w:r>
            <w:r w:rsidR="0067247F">
              <w:rPr>
                <w:noProof/>
                <w:webHidden/>
              </w:rPr>
              <w:t>9</w:t>
            </w:r>
            <w:r w:rsidR="0067247F">
              <w:rPr>
                <w:noProof/>
                <w:webHidden/>
              </w:rPr>
              <w:fldChar w:fldCharType="end"/>
            </w:r>
          </w:hyperlink>
        </w:p>
        <w:p w14:paraId="23136F21" w14:textId="7B7073AB" w:rsidR="0067247F" w:rsidRDefault="004E2876">
          <w:pPr>
            <w:pStyle w:val="TOC3"/>
            <w:rPr>
              <w:rFonts w:asciiTheme="minorHAnsi" w:eastAsiaTheme="minorEastAsia" w:hAnsiTheme="minorHAnsi" w:cstheme="minorBidi"/>
              <w:b w:val="0"/>
              <w:noProof/>
              <w:color w:val="auto"/>
              <w:szCs w:val="22"/>
              <w:lang w:eastAsia="en-AU"/>
            </w:rPr>
          </w:pPr>
          <w:hyperlink w:anchor="_Toc146618671" w:history="1">
            <w:r w:rsidR="0067247F" w:rsidRPr="00013DE9">
              <w:rPr>
                <w:rStyle w:val="Hyperlink"/>
                <w:noProof/>
              </w:rPr>
              <w:t>Conclusions and recommendations</w:t>
            </w:r>
            <w:r w:rsidR="0067247F">
              <w:rPr>
                <w:noProof/>
                <w:webHidden/>
              </w:rPr>
              <w:tab/>
            </w:r>
            <w:r w:rsidR="0067247F">
              <w:rPr>
                <w:noProof/>
                <w:webHidden/>
              </w:rPr>
              <w:fldChar w:fldCharType="begin"/>
            </w:r>
            <w:r w:rsidR="0067247F">
              <w:rPr>
                <w:noProof/>
                <w:webHidden/>
              </w:rPr>
              <w:instrText xml:space="preserve"> PAGEREF _Toc146618671 \h </w:instrText>
            </w:r>
            <w:r w:rsidR="0067247F">
              <w:rPr>
                <w:noProof/>
                <w:webHidden/>
              </w:rPr>
            </w:r>
            <w:r w:rsidR="0067247F">
              <w:rPr>
                <w:noProof/>
                <w:webHidden/>
              </w:rPr>
              <w:fldChar w:fldCharType="separate"/>
            </w:r>
            <w:r w:rsidR="0067247F">
              <w:rPr>
                <w:noProof/>
                <w:webHidden/>
              </w:rPr>
              <w:t>10</w:t>
            </w:r>
            <w:r w:rsidR="0067247F">
              <w:rPr>
                <w:noProof/>
                <w:webHidden/>
              </w:rPr>
              <w:fldChar w:fldCharType="end"/>
            </w:r>
          </w:hyperlink>
        </w:p>
        <w:p w14:paraId="3B9B0EA5" w14:textId="4F25C3A1" w:rsidR="0067247F" w:rsidRDefault="004E2876">
          <w:pPr>
            <w:pStyle w:val="TOC2"/>
            <w:rPr>
              <w:rFonts w:asciiTheme="minorHAnsi" w:eastAsiaTheme="minorEastAsia" w:hAnsiTheme="minorHAnsi" w:cstheme="minorBidi"/>
              <w:b w:val="0"/>
              <w:noProof/>
              <w:color w:val="auto"/>
              <w:sz w:val="22"/>
              <w:szCs w:val="22"/>
              <w:lang w:eastAsia="en-AU"/>
            </w:rPr>
          </w:pPr>
          <w:hyperlink w:anchor="_Toc146618672" w:history="1">
            <w:r w:rsidR="0067247F" w:rsidRPr="00013DE9">
              <w:rPr>
                <w:rStyle w:val="Hyperlink"/>
                <w:noProof/>
              </w:rPr>
              <w:t>Clinical</w:t>
            </w:r>
            <w:r w:rsidR="0067247F">
              <w:rPr>
                <w:noProof/>
                <w:webHidden/>
              </w:rPr>
              <w:tab/>
            </w:r>
            <w:r w:rsidR="0067247F">
              <w:rPr>
                <w:noProof/>
                <w:webHidden/>
              </w:rPr>
              <w:fldChar w:fldCharType="begin"/>
            </w:r>
            <w:r w:rsidR="0067247F">
              <w:rPr>
                <w:noProof/>
                <w:webHidden/>
              </w:rPr>
              <w:instrText xml:space="preserve"> PAGEREF _Toc146618672 \h </w:instrText>
            </w:r>
            <w:r w:rsidR="0067247F">
              <w:rPr>
                <w:noProof/>
                <w:webHidden/>
              </w:rPr>
            </w:r>
            <w:r w:rsidR="0067247F">
              <w:rPr>
                <w:noProof/>
                <w:webHidden/>
              </w:rPr>
              <w:fldChar w:fldCharType="separate"/>
            </w:r>
            <w:r w:rsidR="0067247F">
              <w:rPr>
                <w:noProof/>
                <w:webHidden/>
              </w:rPr>
              <w:t>10</w:t>
            </w:r>
            <w:r w:rsidR="0067247F">
              <w:rPr>
                <w:noProof/>
                <w:webHidden/>
              </w:rPr>
              <w:fldChar w:fldCharType="end"/>
            </w:r>
          </w:hyperlink>
        </w:p>
        <w:p w14:paraId="468D989F" w14:textId="7CBC858A" w:rsidR="0067247F" w:rsidRDefault="004E2876">
          <w:pPr>
            <w:pStyle w:val="TOC3"/>
            <w:rPr>
              <w:rFonts w:asciiTheme="minorHAnsi" w:eastAsiaTheme="minorEastAsia" w:hAnsiTheme="minorHAnsi" w:cstheme="minorBidi"/>
              <w:b w:val="0"/>
              <w:noProof/>
              <w:color w:val="auto"/>
              <w:szCs w:val="22"/>
              <w:lang w:eastAsia="en-AU"/>
            </w:rPr>
          </w:pPr>
          <w:hyperlink w:anchor="_Toc146618673" w:history="1">
            <w:r w:rsidR="0067247F" w:rsidRPr="00013DE9">
              <w:rPr>
                <w:rStyle w:val="Hyperlink"/>
                <w:noProof/>
              </w:rPr>
              <w:t>Summary of clinical studies</w:t>
            </w:r>
            <w:r w:rsidR="0067247F">
              <w:rPr>
                <w:noProof/>
                <w:webHidden/>
              </w:rPr>
              <w:tab/>
            </w:r>
            <w:r w:rsidR="0067247F">
              <w:rPr>
                <w:noProof/>
                <w:webHidden/>
              </w:rPr>
              <w:fldChar w:fldCharType="begin"/>
            </w:r>
            <w:r w:rsidR="0067247F">
              <w:rPr>
                <w:noProof/>
                <w:webHidden/>
              </w:rPr>
              <w:instrText xml:space="preserve"> PAGEREF _Toc146618673 \h </w:instrText>
            </w:r>
            <w:r w:rsidR="0067247F">
              <w:rPr>
                <w:noProof/>
                <w:webHidden/>
              </w:rPr>
            </w:r>
            <w:r w:rsidR="0067247F">
              <w:rPr>
                <w:noProof/>
                <w:webHidden/>
              </w:rPr>
              <w:fldChar w:fldCharType="separate"/>
            </w:r>
            <w:r w:rsidR="0067247F">
              <w:rPr>
                <w:noProof/>
                <w:webHidden/>
              </w:rPr>
              <w:t>10</w:t>
            </w:r>
            <w:r w:rsidR="0067247F">
              <w:rPr>
                <w:noProof/>
                <w:webHidden/>
              </w:rPr>
              <w:fldChar w:fldCharType="end"/>
            </w:r>
          </w:hyperlink>
        </w:p>
        <w:p w14:paraId="4124ECF2" w14:textId="2141D997" w:rsidR="0067247F" w:rsidRDefault="004E2876">
          <w:pPr>
            <w:pStyle w:val="TOC3"/>
            <w:rPr>
              <w:rFonts w:asciiTheme="minorHAnsi" w:eastAsiaTheme="minorEastAsia" w:hAnsiTheme="minorHAnsi" w:cstheme="minorBidi"/>
              <w:b w:val="0"/>
              <w:noProof/>
              <w:color w:val="auto"/>
              <w:szCs w:val="22"/>
              <w:lang w:eastAsia="en-AU"/>
            </w:rPr>
          </w:pPr>
          <w:hyperlink w:anchor="_Toc146618674" w:history="1">
            <w:r w:rsidR="0067247F" w:rsidRPr="00013DE9">
              <w:rPr>
                <w:rStyle w:val="Hyperlink"/>
                <w:noProof/>
              </w:rPr>
              <w:t>Pharmacology</w:t>
            </w:r>
            <w:r w:rsidR="0067247F">
              <w:rPr>
                <w:noProof/>
                <w:webHidden/>
              </w:rPr>
              <w:tab/>
            </w:r>
            <w:r w:rsidR="0067247F">
              <w:rPr>
                <w:noProof/>
                <w:webHidden/>
              </w:rPr>
              <w:fldChar w:fldCharType="begin"/>
            </w:r>
            <w:r w:rsidR="0067247F">
              <w:rPr>
                <w:noProof/>
                <w:webHidden/>
              </w:rPr>
              <w:instrText xml:space="preserve"> PAGEREF _Toc146618674 \h </w:instrText>
            </w:r>
            <w:r w:rsidR="0067247F">
              <w:rPr>
                <w:noProof/>
                <w:webHidden/>
              </w:rPr>
            </w:r>
            <w:r w:rsidR="0067247F">
              <w:rPr>
                <w:noProof/>
                <w:webHidden/>
              </w:rPr>
              <w:fldChar w:fldCharType="separate"/>
            </w:r>
            <w:r w:rsidR="0067247F">
              <w:rPr>
                <w:noProof/>
                <w:webHidden/>
              </w:rPr>
              <w:t>11</w:t>
            </w:r>
            <w:r w:rsidR="0067247F">
              <w:rPr>
                <w:noProof/>
                <w:webHidden/>
              </w:rPr>
              <w:fldChar w:fldCharType="end"/>
            </w:r>
          </w:hyperlink>
        </w:p>
        <w:p w14:paraId="40A2C9F2" w14:textId="6E066226" w:rsidR="0067247F" w:rsidRDefault="004E2876">
          <w:pPr>
            <w:pStyle w:val="TOC3"/>
            <w:rPr>
              <w:rFonts w:asciiTheme="minorHAnsi" w:eastAsiaTheme="minorEastAsia" w:hAnsiTheme="minorHAnsi" w:cstheme="minorBidi"/>
              <w:b w:val="0"/>
              <w:noProof/>
              <w:color w:val="auto"/>
              <w:szCs w:val="22"/>
              <w:lang w:eastAsia="en-AU"/>
            </w:rPr>
          </w:pPr>
          <w:hyperlink w:anchor="_Toc146618675" w:history="1">
            <w:r w:rsidR="0067247F" w:rsidRPr="00013DE9">
              <w:rPr>
                <w:rStyle w:val="Hyperlink"/>
                <w:noProof/>
              </w:rPr>
              <w:t>Efficacy</w:t>
            </w:r>
            <w:r w:rsidR="0067247F">
              <w:rPr>
                <w:noProof/>
                <w:webHidden/>
              </w:rPr>
              <w:tab/>
            </w:r>
            <w:r w:rsidR="0067247F">
              <w:rPr>
                <w:noProof/>
                <w:webHidden/>
              </w:rPr>
              <w:fldChar w:fldCharType="begin"/>
            </w:r>
            <w:r w:rsidR="0067247F">
              <w:rPr>
                <w:noProof/>
                <w:webHidden/>
              </w:rPr>
              <w:instrText xml:space="preserve"> PAGEREF _Toc146618675 \h </w:instrText>
            </w:r>
            <w:r w:rsidR="0067247F">
              <w:rPr>
                <w:noProof/>
                <w:webHidden/>
              </w:rPr>
            </w:r>
            <w:r w:rsidR="0067247F">
              <w:rPr>
                <w:noProof/>
                <w:webHidden/>
              </w:rPr>
              <w:fldChar w:fldCharType="separate"/>
            </w:r>
            <w:r w:rsidR="0067247F">
              <w:rPr>
                <w:noProof/>
                <w:webHidden/>
              </w:rPr>
              <w:t>13</w:t>
            </w:r>
            <w:r w:rsidR="0067247F">
              <w:rPr>
                <w:noProof/>
                <w:webHidden/>
              </w:rPr>
              <w:fldChar w:fldCharType="end"/>
            </w:r>
          </w:hyperlink>
        </w:p>
        <w:p w14:paraId="402A0E13" w14:textId="29A3E9C9" w:rsidR="0067247F" w:rsidRDefault="004E2876">
          <w:pPr>
            <w:pStyle w:val="TOC3"/>
            <w:rPr>
              <w:rFonts w:asciiTheme="minorHAnsi" w:eastAsiaTheme="minorEastAsia" w:hAnsiTheme="minorHAnsi" w:cstheme="minorBidi"/>
              <w:b w:val="0"/>
              <w:noProof/>
              <w:color w:val="auto"/>
              <w:szCs w:val="22"/>
              <w:lang w:eastAsia="en-AU"/>
            </w:rPr>
          </w:pPr>
          <w:hyperlink w:anchor="_Toc146618676" w:history="1">
            <w:r w:rsidR="0067247F" w:rsidRPr="00013DE9">
              <w:rPr>
                <w:rStyle w:val="Hyperlink"/>
                <w:noProof/>
              </w:rPr>
              <w:t>Safety</w:t>
            </w:r>
            <w:r w:rsidR="0067247F">
              <w:rPr>
                <w:noProof/>
                <w:webHidden/>
              </w:rPr>
              <w:tab/>
            </w:r>
            <w:r w:rsidR="0067247F">
              <w:rPr>
                <w:noProof/>
                <w:webHidden/>
              </w:rPr>
              <w:fldChar w:fldCharType="begin"/>
            </w:r>
            <w:r w:rsidR="0067247F">
              <w:rPr>
                <w:noProof/>
                <w:webHidden/>
              </w:rPr>
              <w:instrText xml:space="preserve"> PAGEREF _Toc146618676 \h </w:instrText>
            </w:r>
            <w:r w:rsidR="0067247F">
              <w:rPr>
                <w:noProof/>
                <w:webHidden/>
              </w:rPr>
            </w:r>
            <w:r w:rsidR="0067247F">
              <w:rPr>
                <w:noProof/>
                <w:webHidden/>
              </w:rPr>
              <w:fldChar w:fldCharType="separate"/>
            </w:r>
            <w:r w:rsidR="0067247F">
              <w:rPr>
                <w:noProof/>
                <w:webHidden/>
              </w:rPr>
              <w:t>16</w:t>
            </w:r>
            <w:r w:rsidR="0067247F">
              <w:rPr>
                <w:noProof/>
                <w:webHidden/>
              </w:rPr>
              <w:fldChar w:fldCharType="end"/>
            </w:r>
          </w:hyperlink>
        </w:p>
        <w:p w14:paraId="286ABB7B" w14:textId="2E5CC56A" w:rsidR="0067247F" w:rsidRDefault="004E2876">
          <w:pPr>
            <w:pStyle w:val="TOC2"/>
            <w:rPr>
              <w:rFonts w:asciiTheme="minorHAnsi" w:eastAsiaTheme="minorEastAsia" w:hAnsiTheme="minorHAnsi" w:cstheme="minorBidi"/>
              <w:b w:val="0"/>
              <w:noProof/>
              <w:color w:val="auto"/>
              <w:sz w:val="22"/>
              <w:szCs w:val="22"/>
              <w:lang w:eastAsia="en-AU"/>
            </w:rPr>
          </w:pPr>
          <w:hyperlink w:anchor="_Toc146618677" w:history="1">
            <w:r w:rsidR="0067247F" w:rsidRPr="00013DE9">
              <w:rPr>
                <w:rStyle w:val="Hyperlink"/>
                <w:noProof/>
                <w:lang w:eastAsia="en-AU"/>
              </w:rPr>
              <w:t>Risk management plan</w:t>
            </w:r>
            <w:r w:rsidR="0067247F">
              <w:rPr>
                <w:noProof/>
                <w:webHidden/>
              </w:rPr>
              <w:tab/>
            </w:r>
            <w:r w:rsidR="0067247F">
              <w:rPr>
                <w:noProof/>
                <w:webHidden/>
              </w:rPr>
              <w:fldChar w:fldCharType="begin"/>
            </w:r>
            <w:r w:rsidR="0067247F">
              <w:rPr>
                <w:noProof/>
                <w:webHidden/>
              </w:rPr>
              <w:instrText xml:space="preserve"> PAGEREF _Toc146618677 \h </w:instrText>
            </w:r>
            <w:r w:rsidR="0067247F">
              <w:rPr>
                <w:noProof/>
                <w:webHidden/>
              </w:rPr>
            </w:r>
            <w:r w:rsidR="0067247F">
              <w:rPr>
                <w:noProof/>
                <w:webHidden/>
              </w:rPr>
              <w:fldChar w:fldCharType="separate"/>
            </w:r>
            <w:r w:rsidR="0067247F">
              <w:rPr>
                <w:noProof/>
                <w:webHidden/>
              </w:rPr>
              <w:t>21</w:t>
            </w:r>
            <w:r w:rsidR="0067247F">
              <w:rPr>
                <w:noProof/>
                <w:webHidden/>
              </w:rPr>
              <w:fldChar w:fldCharType="end"/>
            </w:r>
          </w:hyperlink>
        </w:p>
        <w:p w14:paraId="21A72997" w14:textId="3B0AB5C5" w:rsidR="0067247F" w:rsidRDefault="004E2876">
          <w:pPr>
            <w:pStyle w:val="TOC3"/>
            <w:rPr>
              <w:rFonts w:asciiTheme="minorHAnsi" w:eastAsiaTheme="minorEastAsia" w:hAnsiTheme="minorHAnsi" w:cstheme="minorBidi"/>
              <w:b w:val="0"/>
              <w:noProof/>
              <w:color w:val="auto"/>
              <w:szCs w:val="22"/>
              <w:lang w:eastAsia="en-AU"/>
            </w:rPr>
          </w:pPr>
          <w:hyperlink w:anchor="_Toc146618678" w:history="1">
            <w:r w:rsidR="0067247F" w:rsidRPr="00013DE9">
              <w:rPr>
                <w:rStyle w:val="Hyperlink"/>
                <w:noProof/>
              </w:rPr>
              <w:t>Recommended condition/s of registration</w:t>
            </w:r>
            <w:r w:rsidR="0067247F">
              <w:rPr>
                <w:noProof/>
                <w:webHidden/>
              </w:rPr>
              <w:tab/>
            </w:r>
            <w:r w:rsidR="0067247F">
              <w:rPr>
                <w:noProof/>
                <w:webHidden/>
              </w:rPr>
              <w:fldChar w:fldCharType="begin"/>
            </w:r>
            <w:r w:rsidR="0067247F">
              <w:rPr>
                <w:noProof/>
                <w:webHidden/>
              </w:rPr>
              <w:instrText xml:space="preserve"> PAGEREF _Toc146618678 \h </w:instrText>
            </w:r>
            <w:r w:rsidR="0067247F">
              <w:rPr>
                <w:noProof/>
                <w:webHidden/>
              </w:rPr>
            </w:r>
            <w:r w:rsidR="0067247F">
              <w:rPr>
                <w:noProof/>
                <w:webHidden/>
              </w:rPr>
              <w:fldChar w:fldCharType="separate"/>
            </w:r>
            <w:r w:rsidR="0067247F">
              <w:rPr>
                <w:noProof/>
                <w:webHidden/>
              </w:rPr>
              <w:t>22</w:t>
            </w:r>
            <w:r w:rsidR="0067247F">
              <w:rPr>
                <w:noProof/>
                <w:webHidden/>
              </w:rPr>
              <w:fldChar w:fldCharType="end"/>
            </w:r>
          </w:hyperlink>
        </w:p>
        <w:p w14:paraId="24F33968" w14:textId="7A7D468E" w:rsidR="0067247F" w:rsidRDefault="004E2876">
          <w:pPr>
            <w:pStyle w:val="TOC2"/>
            <w:rPr>
              <w:rFonts w:asciiTheme="minorHAnsi" w:eastAsiaTheme="minorEastAsia" w:hAnsiTheme="minorHAnsi" w:cstheme="minorBidi"/>
              <w:b w:val="0"/>
              <w:noProof/>
              <w:color w:val="auto"/>
              <w:sz w:val="22"/>
              <w:szCs w:val="22"/>
              <w:lang w:eastAsia="en-AU"/>
            </w:rPr>
          </w:pPr>
          <w:hyperlink w:anchor="_Toc146618679" w:history="1">
            <w:r w:rsidR="0067247F" w:rsidRPr="00013DE9">
              <w:rPr>
                <w:rStyle w:val="Hyperlink"/>
                <w:noProof/>
              </w:rPr>
              <w:t>Risk-benefit analysis</w:t>
            </w:r>
            <w:r w:rsidR="0067247F">
              <w:rPr>
                <w:noProof/>
                <w:webHidden/>
              </w:rPr>
              <w:tab/>
            </w:r>
            <w:r w:rsidR="0067247F">
              <w:rPr>
                <w:noProof/>
                <w:webHidden/>
              </w:rPr>
              <w:fldChar w:fldCharType="begin"/>
            </w:r>
            <w:r w:rsidR="0067247F">
              <w:rPr>
                <w:noProof/>
                <w:webHidden/>
              </w:rPr>
              <w:instrText xml:space="preserve"> PAGEREF _Toc146618679 \h </w:instrText>
            </w:r>
            <w:r w:rsidR="0067247F">
              <w:rPr>
                <w:noProof/>
                <w:webHidden/>
              </w:rPr>
            </w:r>
            <w:r w:rsidR="0067247F">
              <w:rPr>
                <w:noProof/>
                <w:webHidden/>
              </w:rPr>
              <w:fldChar w:fldCharType="separate"/>
            </w:r>
            <w:r w:rsidR="0067247F">
              <w:rPr>
                <w:noProof/>
                <w:webHidden/>
              </w:rPr>
              <w:t>22</w:t>
            </w:r>
            <w:r w:rsidR="0067247F">
              <w:rPr>
                <w:noProof/>
                <w:webHidden/>
              </w:rPr>
              <w:fldChar w:fldCharType="end"/>
            </w:r>
          </w:hyperlink>
        </w:p>
        <w:p w14:paraId="21EE236C" w14:textId="46875552" w:rsidR="0067247F" w:rsidRDefault="004E2876">
          <w:pPr>
            <w:pStyle w:val="TOC3"/>
            <w:rPr>
              <w:rFonts w:asciiTheme="minorHAnsi" w:eastAsiaTheme="minorEastAsia" w:hAnsiTheme="minorHAnsi" w:cstheme="minorBidi"/>
              <w:b w:val="0"/>
              <w:noProof/>
              <w:color w:val="auto"/>
              <w:szCs w:val="22"/>
              <w:lang w:eastAsia="en-AU"/>
            </w:rPr>
          </w:pPr>
          <w:hyperlink w:anchor="_Toc146618680" w:history="1">
            <w:r w:rsidR="0067247F" w:rsidRPr="00013DE9">
              <w:rPr>
                <w:rStyle w:val="Hyperlink"/>
                <w:noProof/>
              </w:rPr>
              <w:t>Delegate’s considerations</w:t>
            </w:r>
            <w:r w:rsidR="0067247F">
              <w:rPr>
                <w:noProof/>
                <w:webHidden/>
              </w:rPr>
              <w:tab/>
            </w:r>
            <w:r w:rsidR="0067247F">
              <w:rPr>
                <w:noProof/>
                <w:webHidden/>
              </w:rPr>
              <w:fldChar w:fldCharType="begin"/>
            </w:r>
            <w:r w:rsidR="0067247F">
              <w:rPr>
                <w:noProof/>
                <w:webHidden/>
              </w:rPr>
              <w:instrText xml:space="preserve"> PAGEREF _Toc146618680 \h </w:instrText>
            </w:r>
            <w:r w:rsidR="0067247F">
              <w:rPr>
                <w:noProof/>
                <w:webHidden/>
              </w:rPr>
            </w:r>
            <w:r w:rsidR="0067247F">
              <w:rPr>
                <w:noProof/>
                <w:webHidden/>
              </w:rPr>
              <w:fldChar w:fldCharType="separate"/>
            </w:r>
            <w:r w:rsidR="0067247F">
              <w:rPr>
                <w:noProof/>
                <w:webHidden/>
              </w:rPr>
              <w:t>22</w:t>
            </w:r>
            <w:r w:rsidR="0067247F">
              <w:rPr>
                <w:noProof/>
                <w:webHidden/>
              </w:rPr>
              <w:fldChar w:fldCharType="end"/>
            </w:r>
          </w:hyperlink>
        </w:p>
        <w:p w14:paraId="47D1BB81" w14:textId="2FEEAA97" w:rsidR="0067247F" w:rsidRDefault="004E2876">
          <w:pPr>
            <w:pStyle w:val="TOC3"/>
            <w:rPr>
              <w:rFonts w:asciiTheme="minorHAnsi" w:eastAsiaTheme="minorEastAsia" w:hAnsiTheme="minorHAnsi" w:cstheme="minorBidi"/>
              <w:b w:val="0"/>
              <w:noProof/>
              <w:color w:val="auto"/>
              <w:szCs w:val="22"/>
              <w:lang w:eastAsia="en-AU"/>
            </w:rPr>
          </w:pPr>
          <w:hyperlink w:anchor="_Toc146618681" w:history="1">
            <w:r w:rsidR="0067247F" w:rsidRPr="00013DE9">
              <w:rPr>
                <w:rStyle w:val="Hyperlink"/>
                <w:noProof/>
              </w:rPr>
              <w:t>Proposed action</w:t>
            </w:r>
            <w:r w:rsidR="0067247F">
              <w:rPr>
                <w:noProof/>
                <w:webHidden/>
              </w:rPr>
              <w:tab/>
            </w:r>
            <w:r w:rsidR="0067247F">
              <w:rPr>
                <w:noProof/>
                <w:webHidden/>
              </w:rPr>
              <w:fldChar w:fldCharType="begin"/>
            </w:r>
            <w:r w:rsidR="0067247F">
              <w:rPr>
                <w:noProof/>
                <w:webHidden/>
              </w:rPr>
              <w:instrText xml:space="preserve"> PAGEREF _Toc146618681 \h </w:instrText>
            </w:r>
            <w:r w:rsidR="0067247F">
              <w:rPr>
                <w:noProof/>
                <w:webHidden/>
              </w:rPr>
            </w:r>
            <w:r w:rsidR="0067247F">
              <w:rPr>
                <w:noProof/>
                <w:webHidden/>
              </w:rPr>
              <w:fldChar w:fldCharType="separate"/>
            </w:r>
            <w:r w:rsidR="0067247F">
              <w:rPr>
                <w:noProof/>
                <w:webHidden/>
              </w:rPr>
              <w:t>23</w:t>
            </w:r>
            <w:r w:rsidR="0067247F">
              <w:rPr>
                <w:noProof/>
                <w:webHidden/>
              </w:rPr>
              <w:fldChar w:fldCharType="end"/>
            </w:r>
          </w:hyperlink>
        </w:p>
        <w:p w14:paraId="54131276" w14:textId="52042937" w:rsidR="0067247F" w:rsidRDefault="004E2876">
          <w:pPr>
            <w:pStyle w:val="TOC3"/>
            <w:rPr>
              <w:rFonts w:asciiTheme="minorHAnsi" w:eastAsiaTheme="minorEastAsia" w:hAnsiTheme="minorHAnsi" w:cstheme="minorBidi"/>
              <w:b w:val="0"/>
              <w:noProof/>
              <w:color w:val="auto"/>
              <w:szCs w:val="22"/>
              <w:lang w:eastAsia="en-AU"/>
            </w:rPr>
          </w:pPr>
          <w:hyperlink w:anchor="_Toc146618682" w:history="1">
            <w:r w:rsidR="0067247F" w:rsidRPr="00013DE9">
              <w:rPr>
                <w:rStyle w:val="Hyperlink"/>
                <w:noProof/>
              </w:rPr>
              <w:t>Advisory Committee considerations</w:t>
            </w:r>
            <w:r w:rsidR="0067247F">
              <w:rPr>
                <w:noProof/>
                <w:webHidden/>
              </w:rPr>
              <w:tab/>
            </w:r>
            <w:r w:rsidR="0067247F">
              <w:rPr>
                <w:noProof/>
                <w:webHidden/>
              </w:rPr>
              <w:fldChar w:fldCharType="begin"/>
            </w:r>
            <w:r w:rsidR="0067247F">
              <w:rPr>
                <w:noProof/>
                <w:webHidden/>
              </w:rPr>
              <w:instrText xml:space="preserve"> PAGEREF _Toc146618682 \h </w:instrText>
            </w:r>
            <w:r w:rsidR="0067247F">
              <w:rPr>
                <w:noProof/>
                <w:webHidden/>
              </w:rPr>
            </w:r>
            <w:r w:rsidR="0067247F">
              <w:rPr>
                <w:noProof/>
                <w:webHidden/>
              </w:rPr>
              <w:fldChar w:fldCharType="separate"/>
            </w:r>
            <w:r w:rsidR="0067247F">
              <w:rPr>
                <w:noProof/>
                <w:webHidden/>
              </w:rPr>
              <w:t>24</w:t>
            </w:r>
            <w:r w:rsidR="0067247F">
              <w:rPr>
                <w:noProof/>
                <w:webHidden/>
              </w:rPr>
              <w:fldChar w:fldCharType="end"/>
            </w:r>
          </w:hyperlink>
        </w:p>
        <w:p w14:paraId="7AB82775" w14:textId="5BB4B71F" w:rsidR="0067247F" w:rsidRDefault="004E2876">
          <w:pPr>
            <w:pStyle w:val="TOC1"/>
            <w:rPr>
              <w:rFonts w:asciiTheme="minorHAnsi" w:eastAsiaTheme="minorEastAsia" w:hAnsiTheme="minorHAnsi" w:cstheme="minorBidi"/>
              <w:b w:val="0"/>
              <w:noProof/>
              <w:color w:val="auto"/>
              <w:sz w:val="22"/>
              <w:szCs w:val="22"/>
              <w:lang w:eastAsia="en-AU"/>
            </w:rPr>
          </w:pPr>
          <w:hyperlink w:anchor="_Toc146618683" w:history="1">
            <w:r w:rsidR="0067247F" w:rsidRPr="00013DE9">
              <w:rPr>
                <w:rStyle w:val="Hyperlink"/>
                <w:noProof/>
              </w:rPr>
              <w:t>Outcome</w:t>
            </w:r>
            <w:r w:rsidR="0067247F">
              <w:rPr>
                <w:noProof/>
                <w:webHidden/>
              </w:rPr>
              <w:tab/>
            </w:r>
            <w:r w:rsidR="0067247F">
              <w:rPr>
                <w:noProof/>
                <w:webHidden/>
              </w:rPr>
              <w:fldChar w:fldCharType="begin"/>
            </w:r>
            <w:r w:rsidR="0067247F">
              <w:rPr>
                <w:noProof/>
                <w:webHidden/>
              </w:rPr>
              <w:instrText xml:space="preserve"> PAGEREF _Toc146618683 \h </w:instrText>
            </w:r>
            <w:r w:rsidR="0067247F">
              <w:rPr>
                <w:noProof/>
                <w:webHidden/>
              </w:rPr>
            </w:r>
            <w:r w:rsidR="0067247F">
              <w:rPr>
                <w:noProof/>
                <w:webHidden/>
              </w:rPr>
              <w:fldChar w:fldCharType="separate"/>
            </w:r>
            <w:r w:rsidR="0067247F">
              <w:rPr>
                <w:noProof/>
                <w:webHidden/>
              </w:rPr>
              <w:t>24</w:t>
            </w:r>
            <w:r w:rsidR="0067247F">
              <w:rPr>
                <w:noProof/>
                <w:webHidden/>
              </w:rPr>
              <w:fldChar w:fldCharType="end"/>
            </w:r>
          </w:hyperlink>
        </w:p>
        <w:p w14:paraId="05CEB79B" w14:textId="2B85550E" w:rsidR="0067247F" w:rsidRDefault="004E2876">
          <w:pPr>
            <w:pStyle w:val="TOC2"/>
            <w:rPr>
              <w:rFonts w:asciiTheme="minorHAnsi" w:eastAsiaTheme="minorEastAsia" w:hAnsiTheme="minorHAnsi" w:cstheme="minorBidi"/>
              <w:b w:val="0"/>
              <w:noProof/>
              <w:color w:val="auto"/>
              <w:sz w:val="22"/>
              <w:szCs w:val="22"/>
              <w:lang w:eastAsia="en-AU"/>
            </w:rPr>
          </w:pPr>
          <w:hyperlink w:anchor="_Toc146618684" w:history="1">
            <w:r w:rsidR="0067247F" w:rsidRPr="00013DE9">
              <w:rPr>
                <w:rStyle w:val="Hyperlink"/>
                <w:noProof/>
              </w:rPr>
              <w:t>Specific conditions of registration applying to these goods</w:t>
            </w:r>
            <w:r w:rsidR="0067247F">
              <w:rPr>
                <w:noProof/>
                <w:webHidden/>
              </w:rPr>
              <w:tab/>
            </w:r>
            <w:r w:rsidR="0067247F">
              <w:rPr>
                <w:noProof/>
                <w:webHidden/>
              </w:rPr>
              <w:fldChar w:fldCharType="begin"/>
            </w:r>
            <w:r w:rsidR="0067247F">
              <w:rPr>
                <w:noProof/>
                <w:webHidden/>
              </w:rPr>
              <w:instrText xml:space="preserve"> PAGEREF _Toc146618684 \h </w:instrText>
            </w:r>
            <w:r w:rsidR="0067247F">
              <w:rPr>
                <w:noProof/>
                <w:webHidden/>
              </w:rPr>
            </w:r>
            <w:r w:rsidR="0067247F">
              <w:rPr>
                <w:noProof/>
                <w:webHidden/>
              </w:rPr>
              <w:fldChar w:fldCharType="separate"/>
            </w:r>
            <w:r w:rsidR="0067247F">
              <w:rPr>
                <w:noProof/>
                <w:webHidden/>
              </w:rPr>
              <w:t>24</w:t>
            </w:r>
            <w:r w:rsidR="0067247F">
              <w:rPr>
                <w:noProof/>
                <w:webHidden/>
              </w:rPr>
              <w:fldChar w:fldCharType="end"/>
            </w:r>
          </w:hyperlink>
        </w:p>
        <w:p w14:paraId="666671C6" w14:textId="365A3CF1" w:rsidR="0067247F" w:rsidRDefault="004E2876">
          <w:pPr>
            <w:pStyle w:val="TOC1"/>
            <w:rPr>
              <w:rFonts w:asciiTheme="minorHAnsi" w:eastAsiaTheme="minorEastAsia" w:hAnsiTheme="minorHAnsi" w:cstheme="minorBidi"/>
              <w:b w:val="0"/>
              <w:noProof/>
              <w:color w:val="auto"/>
              <w:sz w:val="22"/>
              <w:szCs w:val="22"/>
              <w:lang w:eastAsia="en-AU"/>
            </w:rPr>
          </w:pPr>
          <w:hyperlink w:anchor="_Toc146618685" w:history="1">
            <w:r w:rsidR="0067247F" w:rsidRPr="00013DE9">
              <w:rPr>
                <w:rStyle w:val="Hyperlink"/>
                <w:noProof/>
              </w:rPr>
              <w:t>Attachment 1. Product Information</w:t>
            </w:r>
            <w:r w:rsidR="0067247F">
              <w:rPr>
                <w:noProof/>
                <w:webHidden/>
              </w:rPr>
              <w:tab/>
            </w:r>
            <w:r w:rsidR="0067247F">
              <w:rPr>
                <w:noProof/>
                <w:webHidden/>
              </w:rPr>
              <w:fldChar w:fldCharType="begin"/>
            </w:r>
            <w:r w:rsidR="0067247F">
              <w:rPr>
                <w:noProof/>
                <w:webHidden/>
              </w:rPr>
              <w:instrText xml:space="preserve"> PAGEREF _Toc146618685 \h </w:instrText>
            </w:r>
            <w:r w:rsidR="0067247F">
              <w:rPr>
                <w:noProof/>
                <w:webHidden/>
              </w:rPr>
            </w:r>
            <w:r w:rsidR="0067247F">
              <w:rPr>
                <w:noProof/>
                <w:webHidden/>
              </w:rPr>
              <w:fldChar w:fldCharType="separate"/>
            </w:r>
            <w:r w:rsidR="0067247F">
              <w:rPr>
                <w:noProof/>
                <w:webHidden/>
              </w:rPr>
              <w:t>24</w:t>
            </w:r>
            <w:r w:rsidR="0067247F">
              <w:rPr>
                <w:noProof/>
                <w:webHidden/>
              </w:rPr>
              <w:fldChar w:fldCharType="end"/>
            </w:r>
          </w:hyperlink>
        </w:p>
        <w:p w14:paraId="77659F2D" w14:textId="0327A92D"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58578454" w14:textId="0FE5758A" w:rsidR="00324B33" w:rsidRPr="009A6A05" w:rsidRDefault="00324B33" w:rsidP="009A6A05">
      <w:pPr>
        <w:pStyle w:val="Heading2"/>
      </w:pPr>
      <w:bookmarkStart w:id="0" w:name="_Toc98931917"/>
      <w:bookmarkStart w:id="1" w:name="_Toc103679287"/>
      <w:bookmarkStart w:id="2" w:name="_Toc146618660"/>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67247F" w:rsidRPr="00D01DDB" w14:paraId="300DAAA9" w14:textId="77777777" w:rsidTr="00532326">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E257416" w14:textId="77777777" w:rsidR="0067247F" w:rsidRPr="00D01DDB" w:rsidRDefault="0067247F" w:rsidP="00532326">
            <w:pPr>
              <w:rPr>
                <w:szCs w:val="22"/>
              </w:rPr>
            </w:pPr>
            <w:r w:rsidRPr="00D01DDB">
              <w:rPr>
                <w:szCs w:val="22"/>
              </w:rPr>
              <w:t>Abbreviation</w:t>
            </w:r>
          </w:p>
        </w:tc>
        <w:tc>
          <w:tcPr>
            <w:tcW w:w="3800" w:type="pct"/>
          </w:tcPr>
          <w:p w14:paraId="1DE3324E" w14:textId="77777777" w:rsidR="0067247F" w:rsidRPr="00D01DDB" w:rsidRDefault="0067247F" w:rsidP="00532326">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67247F" w:rsidRPr="00D01DDB" w14:paraId="75701EBA" w14:textId="77777777" w:rsidTr="005323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758E472" w14:textId="77777777" w:rsidR="0067247F" w:rsidRPr="00D01DDB" w:rsidRDefault="0067247F" w:rsidP="00532326">
            <w:pPr>
              <w:rPr>
                <w:szCs w:val="22"/>
              </w:rPr>
            </w:pPr>
            <w:r w:rsidRPr="00D01DDB">
              <w:rPr>
                <w:szCs w:val="22"/>
              </w:rPr>
              <w:t>ACM</w:t>
            </w:r>
          </w:p>
        </w:tc>
        <w:tc>
          <w:tcPr>
            <w:tcW w:w="3800" w:type="pct"/>
          </w:tcPr>
          <w:p w14:paraId="4840B517" w14:textId="77777777" w:rsidR="0067247F" w:rsidRPr="00D01DDB" w:rsidRDefault="0067247F" w:rsidP="00532326">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67247F" w:rsidRPr="00D01DDB" w14:paraId="67A3DD06" w14:textId="77777777" w:rsidTr="005323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957AA92" w14:textId="77777777" w:rsidR="0067247F" w:rsidRPr="00D01DDB" w:rsidRDefault="0067247F" w:rsidP="00532326">
            <w:pPr>
              <w:rPr>
                <w:szCs w:val="22"/>
              </w:rPr>
            </w:pPr>
            <w:r>
              <w:rPr>
                <w:szCs w:val="22"/>
              </w:rPr>
              <w:t>AE</w:t>
            </w:r>
          </w:p>
        </w:tc>
        <w:tc>
          <w:tcPr>
            <w:tcW w:w="3800" w:type="pct"/>
          </w:tcPr>
          <w:p w14:paraId="63379D8C" w14:textId="77777777" w:rsidR="0067247F" w:rsidRPr="00D01DDB" w:rsidRDefault="0067247F" w:rsidP="00532326">
            <w:pPr>
              <w:cnfStyle w:val="000000000000" w:firstRow="0" w:lastRow="0" w:firstColumn="0" w:lastColumn="0" w:oddVBand="0" w:evenVBand="0" w:oddHBand="0" w:evenHBand="0" w:firstRowFirstColumn="0" w:firstRowLastColumn="0" w:lastRowFirstColumn="0" w:lastRowLastColumn="0"/>
              <w:rPr>
                <w:szCs w:val="22"/>
              </w:rPr>
            </w:pPr>
            <w:r>
              <w:rPr>
                <w:szCs w:val="22"/>
              </w:rPr>
              <w:t>Adverse event</w:t>
            </w:r>
          </w:p>
        </w:tc>
      </w:tr>
      <w:tr w:rsidR="0067247F" w:rsidRPr="00D01DDB" w14:paraId="626E9645" w14:textId="77777777" w:rsidTr="005323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630EDE" w14:textId="77777777" w:rsidR="0067247F" w:rsidRPr="00D01DDB" w:rsidRDefault="0067247F" w:rsidP="00532326">
            <w:pPr>
              <w:rPr>
                <w:szCs w:val="22"/>
              </w:rPr>
            </w:pPr>
            <w:r w:rsidRPr="00D01DDB">
              <w:rPr>
                <w:szCs w:val="22"/>
              </w:rPr>
              <w:t>ARTG</w:t>
            </w:r>
          </w:p>
        </w:tc>
        <w:tc>
          <w:tcPr>
            <w:tcW w:w="3800" w:type="pct"/>
          </w:tcPr>
          <w:p w14:paraId="373E0C67" w14:textId="77777777" w:rsidR="0067247F" w:rsidRPr="00D01DDB" w:rsidRDefault="0067247F" w:rsidP="00532326">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67247F" w:rsidRPr="00D01DDB" w14:paraId="6D395D55" w14:textId="77777777" w:rsidTr="005323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787C083" w14:textId="77777777" w:rsidR="0067247F" w:rsidRPr="00D01DDB" w:rsidRDefault="0067247F" w:rsidP="00532326">
            <w:pPr>
              <w:rPr>
                <w:szCs w:val="22"/>
              </w:rPr>
            </w:pPr>
            <w:r w:rsidRPr="00D01DDB">
              <w:rPr>
                <w:szCs w:val="22"/>
              </w:rPr>
              <w:t>ASA</w:t>
            </w:r>
          </w:p>
        </w:tc>
        <w:tc>
          <w:tcPr>
            <w:tcW w:w="3800" w:type="pct"/>
          </w:tcPr>
          <w:p w14:paraId="3DF14D90" w14:textId="77777777" w:rsidR="0067247F" w:rsidRPr="00D01DDB" w:rsidRDefault="0067247F" w:rsidP="00532326">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 specific annex</w:t>
            </w:r>
          </w:p>
        </w:tc>
      </w:tr>
      <w:tr w:rsidR="0067247F" w:rsidRPr="00D01DDB" w14:paraId="79FD8CAB" w14:textId="77777777" w:rsidTr="005323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CBE85C8" w14:textId="77777777" w:rsidR="0067247F" w:rsidRPr="00D01DDB" w:rsidRDefault="0067247F" w:rsidP="00532326">
            <w:pPr>
              <w:rPr>
                <w:szCs w:val="22"/>
              </w:rPr>
            </w:pPr>
            <w:r w:rsidRPr="00751B23">
              <w:t>AUC</w:t>
            </w:r>
            <w:r w:rsidRPr="00751B23">
              <w:rPr>
                <w:vertAlign w:val="subscript"/>
              </w:rPr>
              <w:t>0-24</w:t>
            </w:r>
          </w:p>
        </w:tc>
        <w:tc>
          <w:tcPr>
            <w:tcW w:w="3800" w:type="pct"/>
          </w:tcPr>
          <w:p w14:paraId="441F25E5" w14:textId="77777777" w:rsidR="0067247F" w:rsidRPr="00D01DDB" w:rsidRDefault="0067247F" w:rsidP="00532326">
            <w:pPr>
              <w:cnfStyle w:val="000000000000" w:firstRow="0" w:lastRow="0" w:firstColumn="0" w:lastColumn="0" w:oddVBand="0" w:evenVBand="0" w:oddHBand="0" w:evenHBand="0" w:firstRowFirstColumn="0" w:firstRowLastColumn="0" w:lastRowFirstColumn="0" w:lastRowLastColumn="0"/>
              <w:rPr>
                <w:szCs w:val="22"/>
              </w:rPr>
            </w:pPr>
            <w:r>
              <w:t>Area under concentration time curve from time zero to 24 hours</w:t>
            </w:r>
          </w:p>
        </w:tc>
      </w:tr>
      <w:tr w:rsidR="0067247F" w:rsidRPr="00D01DDB" w14:paraId="30862E10" w14:textId="77777777" w:rsidTr="005323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0A6B18" w14:textId="77777777" w:rsidR="0067247F" w:rsidRPr="00D01DDB" w:rsidRDefault="0067247F" w:rsidP="00532326">
            <w:pPr>
              <w:rPr>
                <w:szCs w:val="22"/>
              </w:rPr>
            </w:pPr>
            <w:r w:rsidRPr="00751B23">
              <w:t>C</w:t>
            </w:r>
            <w:r w:rsidRPr="00751B23">
              <w:rPr>
                <w:vertAlign w:val="subscript"/>
              </w:rPr>
              <w:t>max</w:t>
            </w:r>
          </w:p>
        </w:tc>
        <w:tc>
          <w:tcPr>
            <w:tcW w:w="3800" w:type="pct"/>
          </w:tcPr>
          <w:p w14:paraId="1DBB2BA5" w14:textId="77777777" w:rsidR="0067247F" w:rsidRPr="00D01DDB" w:rsidRDefault="0067247F" w:rsidP="00532326">
            <w:pPr>
              <w:cnfStyle w:val="000000000000" w:firstRow="0" w:lastRow="0" w:firstColumn="0" w:lastColumn="0" w:oddVBand="0" w:evenVBand="0" w:oddHBand="0" w:evenHBand="0" w:firstRowFirstColumn="0" w:firstRowLastColumn="0" w:lastRowFirstColumn="0" w:lastRowLastColumn="0"/>
              <w:rPr>
                <w:szCs w:val="22"/>
              </w:rPr>
            </w:pPr>
            <w:r>
              <w:t>Maximum concentration</w:t>
            </w:r>
          </w:p>
        </w:tc>
      </w:tr>
      <w:tr w:rsidR="0067247F" w:rsidRPr="00D01DDB" w14:paraId="0B88BCBC" w14:textId="77777777" w:rsidTr="005323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6A1DC7A" w14:textId="77777777" w:rsidR="0067247F" w:rsidRPr="00D01DDB" w:rsidRDefault="0067247F" w:rsidP="00532326">
            <w:pPr>
              <w:rPr>
                <w:szCs w:val="22"/>
              </w:rPr>
            </w:pPr>
            <w:r w:rsidRPr="00D01DDB">
              <w:rPr>
                <w:szCs w:val="22"/>
              </w:rPr>
              <w:t>CMI</w:t>
            </w:r>
          </w:p>
        </w:tc>
        <w:tc>
          <w:tcPr>
            <w:tcW w:w="3800" w:type="pct"/>
          </w:tcPr>
          <w:p w14:paraId="2A9404CC" w14:textId="77777777" w:rsidR="0067247F" w:rsidRPr="00D01DDB" w:rsidRDefault="0067247F" w:rsidP="00532326">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67247F" w:rsidRPr="00D01DDB" w14:paraId="69FD340B" w14:textId="77777777" w:rsidTr="005323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7BD3BBC" w14:textId="77777777" w:rsidR="0067247F" w:rsidRPr="00D01DDB" w:rsidRDefault="0067247F" w:rsidP="00532326">
            <w:pPr>
              <w:rPr>
                <w:szCs w:val="22"/>
              </w:rPr>
            </w:pPr>
            <w:r>
              <w:rPr>
                <w:szCs w:val="22"/>
              </w:rPr>
              <w:t>COR-B</w:t>
            </w:r>
          </w:p>
        </w:tc>
        <w:tc>
          <w:tcPr>
            <w:tcW w:w="3800" w:type="pct"/>
          </w:tcPr>
          <w:p w14:paraId="51A9610E" w14:textId="77777777" w:rsidR="0067247F" w:rsidRPr="00D01DDB" w:rsidRDefault="0067247F" w:rsidP="00532326">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Comparable Oversea Regulator – B </w:t>
            </w:r>
          </w:p>
        </w:tc>
      </w:tr>
      <w:tr w:rsidR="0067247F" w:rsidRPr="00D01DDB" w14:paraId="074C8E63" w14:textId="77777777" w:rsidTr="005323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C281A8" w14:textId="77777777" w:rsidR="0067247F" w:rsidRPr="00D01DDB" w:rsidRDefault="0067247F" w:rsidP="00532326">
            <w:pPr>
              <w:rPr>
                <w:szCs w:val="22"/>
              </w:rPr>
            </w:pPr>
            <w:r>
              <w:rPr>
                <w:szCs w:val="22"/>
              </w:rPr>
              <w:t>DHEA</w:t>
            </w:r>
          </w:p>
        </w:tc>
        <w:tc>
          <w:tcPr>
            <w:tcW w:w="3800" w:type="pct"/>
          </w:tcPr>
          <w:p w14:paraId="0DF4E6F2" w14:textId="77777777" w:rsidR="0067247F" w:rsidRPr="00D01DDB" w:rsidRDefault="0067247F" w:rsidP="00532326">
            <w:pPr>
              <w:cnfStyle w:val="000000000000" w:firstRow="0" w:lastRow="0" w:firstColumn="0" w:lastColumn="0" w:oddVBand="0" w:evenVBand="0" w:oddHBand="0" w:evenHBand="0" w:firstRowFirstColumn="0" w:firstRowLastColumn="0" w:lastRowFirstColumn="0" w:lastRowLastColumn="0"/>
              <w:rPr>
                <w:szCs w:val="22"/>
              </w:rPr>
            </w:pPr>
            <w:r>
              <w:t>D</w:t>
            </w:r>
            <w:r w:rsidRPr="00AB01D0">
              <w:t>ehydroepiandrosterone</w:t>
            </w:r>
          </w:p>
        </w:tc>
      </w:tr>
      <w:tr w:rsidR="0067247F" w:rsidRPr="00D01DDB" w14:paraId="70138EE2" w14:textId="77777777" w:rsidTr="005323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FF0F7C" w14:textId="77777777" w:rsidR="0067247F" w:rsidRPr="00D01DDB" w:rsidRDefault="0067247F" w:rsidP="00532326">
            <w:pPr>
              <w:rPr>
                <w:szCs w:val="22"/>
              </w:rPr>
            </w:pPr>
            <w:r w:rsidRPr="00D01DDB">
              <w:rPr>
                <w:szCs w:val="22"/>
              </w:rPr>
              <w:t>DLP</w:t>
            </w:r>
          </w:p>
        </w:tc>
        <w:tc>
          <w:tcPr>
            <w:tcW w:w="3800" w:type="pct"/>
          </w:tcPr>
          <w:p w14:paraId="3A01BF45" w14:textId="77777777" w:rsidR="0067247F" w:rsidRPr="00D01DDB" w:rsidRDefault="0067247F" w:rsidP="00532326">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67247F" w:rsidRPr="00D01DDB" w14:paraId="3D5E416B" w14:textId="77777777" w:rsidTr="005323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95D659E" w14:textId="77777777" w:rsidR="0067247F" w:rsidRPr="00D01DDB" w:rsidRDefault="0067247F" w:rsidP="00532326">
            <w:pPr>
              <w:rPr>
                <w:szCs w:val="22"/>
              </w:rPr>
            </w:pPr>
            <w:r>
              <w:rPr>
                <w:szCs w:val="22"/>
              </w:rPr>
              <w:t>EMA</w:t>
            </w:r>
          </w:p>
        </w:tc>
        <w:tc>
          <w:tcPr>
            <w:tcW w:w="3800" w:type="pct"/>
          </w:tcPr>
          <w:p w14:paraId="4F103F6E" w14:textId="77777777" w:rsidR="0067247F" w:rsidRPr="00D01DDB" w:rsidRDefault="0067247F" w:rsidP="00532326">
            <w:pPr>
              <w:cnfStyle w:val="000000000000" w:firstRow="0" w:lastRow="0" w:firstColumn="0" w:lastColumn="0" w:oddVBand="0" w:evenVBand="0" w:oddHBand="0" w:evenHBand="0" w:firstRowFirstColumn="0" w:firstRowLastColumn="0" w:lastRowFirstColumn="0" w:lastRowLastColumn="0"/>
              <w:rPr>
                <w:szCs w:val="22"/>
              </w:rPr>
            </w:pPr>
            <w:r w:rsidRPr="00373B71">
              <w:rPr>
                <w:szCs w:val="22"/>
              </w:rPr>
              <w:t>European Medicines Agency</w:t>
            </w:r>
          </w:p>
        </w:tc>
      </w:tr>
      <w:tr w:rsidR="0067247F" w:rsidRPr="00D01DDB" w14:paraId="0DA386ED" w14:textId="77777777" w:rsidTr="005323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4007345" w14:textId="77777777" w:rsidR="0067247F" w:rsidRPr="00D01DDB" w:rsidRDefault="0067247F" w:rsidP="00532326">
            <w:pPr>
              <w:rPr>
                <w:szCs w:val="22"/>
              </w:rPr>
            </w:pPr>
            <w:r>
              <w:rPr>
                <w:szCs w:val="22"/>
              </w:rPr>
              <w:t>EU</w:t>
            </w:r>
          </w:p>
        </w:tc>
        <w:tc>
          <w:tcPr>
            <w:tcW w:w="3800" w:type="pct"/>
          </w:tcPr>
          <w:p w14:paraId="00531043" w14:textId="77777777" w:rsidR="0067247F" w:rsidRPr="00D01DDB" w:rsidRDefault="0067247F" w:rsidP="00532326">
            <w:pPr>
              <w:cnfStyle w:val="000000000000" w:firstRow="0" w:lastRow="0" w:firstColumn="0" w:lastColumn="0" w:oddVBand="0" w:evenVBand="0" w:oddHBand="0" w:evenHBand="0" w:firstRowFirstColumn="0" w:firstRowLastColumn="0" w:lastRowFirstColumn="0" w:lastRowLastColumn="0"/>
              <w:rPr>
                <w:szCs w:val="22"/>
              </w:rPr>
            </w:pPr>
            <w:r>
              <w:rPr>
                <w:szCs w:val="22"/>
              </w:rPr>
              <w:t>European Union</w:t>
            </w:r>
          </w:p>
        </w:tc>
      </w:tr>
      <w:tr w:rsidR="0067247F" w:rsidRPr="00D01DDB" w14:paraId="6327A53F" w14:textId="77777777" w:rsidTr="005323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57BE87F" w14:textId="77777777" w:rsidR="0067247F" w:rsidRPr="00D01DDB" w:rsidRDefault="0067247F" w:rsidP="00532326">
            <w:pPr>
              <w:rPr>
                <w:szCs w:val="22"/>
              </w:rPr>
            </w:pPr>
            <w:r>
              <w:rPr>
                <w:szCs w:val="22"/>
              </w:rPr>
              <w:t>HRT</w:t>
            </w:r>
          </w:p>
        </w:tc>
        <w:tc>
          <w:tcPr>
            <w:tcW w:w="3800" w:type="pct"/>
          </w:tcPr>
          <w:p w14:paraId="0D933367" w14:textId="77777777" w:rsidR="0067247F" w:rsidRPr="00D01DDB" w:rsidRDefault="0067247F" w:rsidP="00532326">
            <w:pPr>
              <w:cnfStyle w:val="000000000000" w:firstRow="0" w:lastRow="0" w:firstColumn="0" w:lastColumn="0" w:oddVBand="0" w:evenVBand="0" w:oddHBand="0" w:evenHBand="0" w:firstRowFirstColumn="0" w:firstRowLastColumn="0" w:lastRowFirstColumn="0" w:lastRowLastColumn="0"/>
              <w:rPr>
                <w:szCs w:val="22"/>
              </w:rPr>
            </w:pPr>
            <w:r>
              <w:rPr>
                <w:szCs w:val="22"/>
              </w:rPr>
              <w:t>H</w:t>
            </w:r>
            <w:r w:rsidRPr="007B49FD">
              <w:rPr>
                <w:szCs w:val="22"/>
              </w:rPr>
              <w:t>ormone replacement therapy</w:t>
            </w:r>
          </w:p>
        </w:tc>
      </w:tr>
      <w:tr w:rsidR="0067247F" w:rsidRPr="00D01DDB" w14:paraId="39F20881" w14:textId="77777777" w:rsidTr="005323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FB4FE3" w14:textId="77777777" w:rsidR="0067247F" w:rsidRPr="00D01DDB" w:rsidRDefault="0067247F" w:rsidP="00532326">
            <w:pPr>
              <w:rPr>
                <w:szCs w:val="22"/>
              </w:rPr>
            </w:pPr>
            <w:r>
              <w:rPr>
                <w:szCs w:val="22"/>
              </w:rPr>
              <w:t>ITT</w:t>
            </w:r>
          </w:p>
        </w:tc>
        <w:tc>
          <w:tcPr>
            <w:tcW w:w="3800" w:type="pct"/>
          </w:tcPr>
          <w:p w14:paraId="7E345D73" w14:textId="77777777" w:rsidR="0067247F" w:rsidRPr="00D01DDB" w:rsidRDefault="0067247F" w:rsidP="00532326">
            <w:pPr>
              <w:cnfStyle w:val="000000000000" w:firstRow="0" w:lastRow="0" w:firstColumn="0" w:lastColumn="0" w:oddVBand="0" w:evenVBand="0" w:oddHBand="0" w:evenHBand="0" w:firstRowFirstColumn="0" w:firstRowLastColumn="0" w:lastRowFirstColumn="0" w:lastRowLastColumn="0"/>
              <w:rPr>
                <w:szCs w:val="22"/>
              </w:rPr>
            </w:pPr>
            <w:r>
              <w:t>Intent to treat</w:t>
            </w:r>
          </w:p>
        </w:tc>
      </w:tr>
      <w:tr w:rsidR="0067247F" w:rsidRPr="00D01DDB" w14:paraId="32668C5C" w14:textId="77777777" w:rsidTr="005323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53D13DC" w14:textId="77777777" w:rsidR="0067247F" w:rsidRPr="00D01DDB" w:rsidRDefault="0067247F" w:rsidP="00532326">
            <w:pPr>
              <w:rPr>
                <w:szCs w:val="22"/>
              </w:rPr>
            </w:pPr>
            <w:r>
              <w:rPr>
                <w:szCs w:val="22"/>
              </w:rPr>
              <w:t>MBS</w:t>
            </w:r>
          </w:p>
        </w:tc>
        <w:tc>
          <w:tcPr>
            <w:tcW w:w="3800" w:type="pct"/>
          </w:tcPr>
          <w:p w14:paraId="632F8DFA" w14:textId="77777777" w:rsidR="0067247F" w:rsidRPr="00D01DDB" w:rsidRDefault="0067247F" w:rsidP="00532326">
            <w:pPr>
              <w:cnfStyle w:val="000000000000" w:firstRow="0" w:lastRow="0" w:firstColumn="0" w:lastColumn="0" w:oddVBand="0" w:evenVBand="0" w:oddHBand="0" w:evenHBand="0" w:firstRowFirstColumn="0" w:firstRowLastColumn="0" w:lastRowFirstColumn="0" w:lastRowLastColumn="0"/>
              <w:rPr>
                <w:szCs w:val="22"/>
              </w:rPr>
            </w:pPr>
            <w:r>
              <w:t>M</w:t>
            </w:r>
            <w:r w:rsidRPr="00B83CCE">
              <w:t>ost bothersome symptoms</w:t>
            </w:r>
          </w:p>
        </w:tc>
      </w:tr>
      <w:tr w:rsidR="0067247F" w:rsidRPr="00D01DDB" w14:paraId="46C03B33" w14:textId="77777777" w:rsidTr="005323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323656A" w14:textId="77777777" w:rsidR="0067247F" w:rsidRPr="00D01DDB" w:rsidRDefault="0067247F" w:rsidP="00532326">
            <w:pPr>
              <w:rPr>
                <w:szCs w:val="22"/>
              </w:rPr>
            </w:pPr>
            <w:proofErr w:type="spellStart"/>
            <w:r>
              <w:rPr>
                <w:szCs w:val="22"/>
              </w:rPr>
              <w:t>mITT</w:t>
            </w:r>
            <w:proofErr w:type="spellEnd"/>
          </w:p>
        </w:tc>
        <w:tc>
          <w:tcPr>
            <w:tcW w:w="3800" w:type="pct"/>
          </w:tcPr>
          <w:p w14:paraId="1FF64BA2" w14:textId="77777777" w:rsidR="0067247F" w:rsidRPr="00D01DDB" w:rsidRDefault="0067247F" w:rsidP="00532326">
            <w:pPr>
              <w:cnfStyle w:val="000000000000" w:firstRow="0" w:lastRow="0" w:firstColumn="0" w:lastColumn="0" w:oddVBand="0" w:evenVBand="0" w:oddHBand="0" w:evenHBand="0" w:firstRowFirstColumn="0" w:firstRowLastColumn="0" w:lastRowFirstColumn="0" w:lastRowLastColumn="0"/>
              <w:rPr>
                <w:szCs w:val="22"/>
              </w:rPr>
            </w:pPr>
            <w:r>
              <w:rPr>
                <w:szCs w:val="22"/>
              </w:rPr>
              <w:t>Modified intent to treat</w:t>
            </w:r>
          </w:p>
        </w:tc>
      </w:tr>
      <w:tr w:rsidR="0067247F" w:rsidRPr="00D01DDB" w14:paraId="6767CF4F" w14:textId="77777777" w:rsidTr="005323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ABF9F4" w14:textId="77777777" w:rsidR="0067247F" w:rsidRPr="00D01DDB" w:rsidRDefault="0067247F" w:rsidP="00532326">
            <w:pPr>
              <w:rPr>
                <w:szCs w:val="22"/>
              </w:rPr>
            </w:pPr>
            <w:r w:rsidRPr="00D01DDB">
              <w:rPr>
                <w:szCs w:val="22"/>
              </w:rPr>
              <w:t>PI</w:t>
            </w:r>
          </w:p>
        </w:tc>
        <w:tc>
          <w:tcPr>
            <w:tcW w:w="3800" w:type="pct"/>
          </w:tcPr>
          <w:p w14:paraId="7BA0EB17" w14:textId="77777777" w:rsidR="0067247F" w:rsidRPr="00D01DDB" w:rsidRDefault="0067247F" w:rsidP="00532326">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67247F" w:rsidRPr="00D01DDB" w14:paraId="6F1E0F33" w14:textId="77777777" w:rsidTr="005323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88F094" w14:textId="77777777" w:rsidR="0067247F" w:rsidRPr="00D01DDB" w:rsidRDefault="0067247F" w:rsidP="00532326">
            <w:pPr>
              <w:rPr>
                <w:szCs w:val="22"/>
              </w:rPr>
            </w:pPr>
            <w:r>
              <w:rPr>
                <w:szCs w:val="22"/>
              </w:rPr>
              <w:t>PK</w:t>
            </w:r>
          </w:p>
        </w:tc>
        <w:tc>
          <w:tcPr>
            <w:tcW w:w="3800" w:type="pct"/>
          </w:tcPr>
          <w:p w14:paraId="6482204D" w14:textId="77777777" w:rsidR="0067247F" w:rsidRPr="00D01DDB" w:rsidRDefault="0067247F" w:rsidP="00532326">
            <w:pPr>
              <w:cnfStyle w:val="000000000000" w:firstRow="0" w:lastRow="0" w:firstColumn="0" w:lastColumn="0" w:oddVBand="0" w:evenVBand="0" w:oddHBand="0" w:evenHBand="0" w:firstRowFirstColumn="0" w:firstRowLastColumn="0" w:lastRowFirstColumn="0" w:lastRowLastColumn="0"/>
              <w:rPr>
                <w:szCs w:val="22"/>
              </w:rPr>
            </w:pPr>
            <w:r>
              <w:rPr>
                <w:szCs w:val="22"/>
              </w:rPr>
              <w:t>Pharmacokinetic</w:t>
            </w:r>
          </w:p>
        </w:tc>
      </w:tr>
      <w:tr w:rsidR="0067247F" w:rsidRPr="00D01DDB" w14:paraId="4E832D4D" w14:textId="77777777" w:rsidTr="005323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F3A0093" w14:textId="77777777" w:rsidR="0067247F" w:rsidRPr="00D01DDB" w:rsidRDefault="0067247F" w:rsidP="00532326">
            <w:pPr>
              <w:rPr>
                <w:szCs w:val="22"/>
              </w:rPr>
            </w:pPr>
            <w:r>
              <w:rPr>
                <w:szCs w:val="22"/>
              </w:rPr>
              <w:t>PRAC</w:t>
            </w:r>
          </w:p>
        </w:tc>
        <w:tc>
          <w:tcPr>
            <w:tcW w:w="3800" w:type="pct"/>
          </w:tcPr>
          <w:p w14:paraId="1F34FAB8" w14:textId="77777777" w:rsidR="0067247F" w:rsidRPr="00D01DDB" w:rsidRDefault="0067247F" w:rsidP="00532326">
            <w:pPr>
              <w:cnfStyle w:val="000000000000" w:firstRow="0" w:lastRow="0" w:firstColumn="0" w:lastColumn="0" w:oddVBand="0" w:evenVBand="0" w:oddHBand="0" w:evenHBand="0" w:firstRowFirstColumn="0" w:firstRowLastColumn="0" w:lastRowFirstColumn="0" w:lastRowLastColumn="0"/>
              <w:rPr>
                <w:szCs w:val="22"/>
              </w:rPr>
            </w:pPr>
            <w:r w:rsidRPr="00E326F1">
              <w:rPr>
                <w:szCs w:val="22"/>
              </w:rPr>
              <w:t>Pharmacovigilance Risk Assessment Committee</w:t>
            </w:r>
          </w:p>
        </w:tc>
      </w:tr>
      <w:tr w:rsidR="0067247F" w:rsidRPr="00D01DDB" w14:paraId="48CA7DFA" w14:textId="77777777" w:rsidTr="005323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96DAF41" w14:textId="77777777" w:rsidR="0067247F" w:rsidRPr="00D01DDB" w:rsidRDefault="0067247F" w:rsidP="00532326">
            <w:pPr>
              <w:rPr>
                <w:szCs w:val="22"/>
              </w:rPr>
            </w:pPr>
            <w:r w:rsidRPr="00D01DDB">
              <w:rPr>
                <w:szCs w:val="22"/>
              </w:rPr>
              <w:t>PSUR</w:t>
            </w:r>
          </w:p>
        </w:tc>
        <w:tc>
          <w:tcPr>
            <w:tcW w:w="3800" w:type="pct"/>
          </w:tcPr>
          <w:p w14:paraId="1FE900A5" w14:textId="77777777" w:rsidR="0067247F" w:rsidRPr="00D01DDB" w:rsidRDefault="0067247F" w:rsidP="00532326">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67247F" w:rsidRPr="00D01DDB" w14:paraId="73AF3380" w14:textId="77777777" w:rsidTr="005323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B4FB6F7" w14:textId="77777777" w:rsidR="0067247F" w:rsidRPr="00D01DDB" w:rsidRDefault="0067247F" w:rsidP="00532326">
            <w:pPr>
              <w:rPr>
                <w:szCs w:val="22"/>
              </w:rPr>
            </w:pPr>
            <w:r>
              <w:rPr>
                <w:szCs w:val="22"/>
              </w:rPr>
              <w:t>PT</w:t>
            </w:r>
          </w:p>
        </w:tc>
        <w:tc>
          <w:tcPr>
            <w:tcW w:w="3800" w:type="pct"/>
          </w:tcPr>
          <w:p w14:paraId="5C2ADEB9" w14:textId="77777777" w:rsidR="0067247F" w:rsidRPr="00D01DDB" w:rsidRDefault="0067247F" w:rsidP="00532326">
            <w:pPr>
              <w:cnfStyle w:val="000000000000" w:firstRow="0" w:lastRow="0" w:firstColumn="0" w:lastColumn="0" w:oddVBand="0" w:evenVBand="0" w:oddHBand="0" w:evenHBand="0" w:firstRowFirstColumn="0" w:firstRowLastColumn="0" w:lastRowFirstColumn="0" w:lastRowLastColumn="0"/>
              <w:rPr>
                <w:szCs w:val="22"/>
              </w:rPr>
            </w:pPr>
            <w:r>
              <w:rPr>
                <w:szCs w:val="22"/>
              </w:rPr>
              <w:t>Preferred Term</w:t>
            </w:r>
          </w:p>
        </w:tc>
      </w:tr>
      <w:tr w:rsidR="0067247F" w:rsidRPr="00D01DDB" w14:paraId="1DFF89D5" w14:textId="77777777" w:rsidTr="005323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3579C9A" w14:textId="77777777" w:rsidR="0067247F" w:rsidRPr="00D01DDB" w:rsidRDefault="0067247F" w:rsidP="00532326">
            <w:pPr>
              <w:rPr>
                <w:szCs w:val="22"/>
              </w:rPr>
            </w:pPr>
            <w:r w:rsidRPr="00D01DDB">
              <w:rPr>
                <w:szCs w:val="22"/>
              </w:rPr>
              <w:t>RMP</w:t>
            </w:r>
          </w:p>
        </w:tc>
        <w:tc>
          <w:tcPr>
            <w:tcW w:w="3800" w:type="pct"/>
          </w:tcPr>
          <w:p w14:paraId="731F9762" w14:textId="77777777" w:rsidR="0067247F" w:rsidRPr="00D01DDB" w:rsidRDefault="0067247F" w:rsidP="00532326">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67247F" w:rsidRPr="00D01DDB" w14:paraId="5212A2EB" w14:textId="77777777" w:rsidTr="005323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F577456" w14:textId="77777777" w:rsidR="0067247F" w:rsidRPr="00D01DDB" w:rsidRDefault="0067247F" w:rsidP="00532326">
            <w:pPr>
              <w:rPr>
                <w:szCs w:val="22"/>
              </w:rPr>
            </w:pPr>
            <w:r>
              <w:rPr>
                <w:szCs w:val="22"/>
              </w:rPr>
              <w:t>SAE</w:t>
            </w:r>
          </w:p>
        </w:tc>
        <w:tc>
          <w:tcPr>
            <w:tcW w:w="3800" w:type="pct"/>
          </w:tcPr>
          <w:p w14:paraId="0916FDC8" w14:textId="77777777" w:rsidR="0067247F" w:rsidRPr="00D01DDB" w:rsidRDefault="0067247F" w:rsidP="00532326">
            <w:pPr>
              <w:cnfStyle w:val="000000000000" w:firstRow="0" w:lastRow="0" w:firstColumn="0" w:lastColumn="0" w:oddVBand="0" w:evenVBand="0" w:oddHBand="0" w:evenHBand="0" w:firstRowFirstColumn="0" w:firstRowLastColumn="0" w:lastRowFirstColumn="0" w:lastRowLastColumn="0"/>
              <w:rPr>
                <w:szCs w:val="22"/>
              </w:rPr>
            </w:pPr>
            <w:r>
              <w:t>Serious adverse event</w:t>
            </w:r>
          </w:p>
        </w:tc>
      </w:tr>
      <w:tr w:rsidR="0067247F" w:rsidRPr="00D01DDB" w14:paraId="56EC5A92" w14:textId="77777777" w:rsidTr="005323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000F33B" w14:textId="77777777" w:rsidR="0067247F" w:rsidRDefault="0067247F" w:rsidP="00532326">
            <w:pPr>
              <w:rPr>
                <w:szCs w:val="22"/>
              </w:rPr>
            </w:pPr>
            <w:r>
              <w:rPr>
                <w:szCs w:val="22"/>
              </w:rPr>
              <w:t>SOC</w:t>
            </w:r>
          </w:p>
        </w:tc>
        <w:tc>
          <w:tcPr>
            <w:tcW w:w="3800" w:type="pct"/>
          </w:tcPr>
          <w:p w14:paraId="2F7FDA74" w14:textId="77777777" w:rsidR="0067247F" w:rsidRDefault="0067247F" w:rsidP="00532326">
            <w:pPr>
              <w:cnfStyle w:val="000000000000" w:firstRow="0" w:lastRow="0" w:firstColumn="0" w:lastColumn="0" w:oddVBand="0" w:evenVBand="0" w:oddHBand="0" w:evenHBand="0" w:firstRowFirstColumn="0" w:firstRowLastColumn="0" w:lastRowFirstColumn="0" w:lastRowLastColumn="0"/>
            </w:pPr>
            <w:r>
              <w:t>System Organ Class</w:t>
            </w:r>
          </w:p>
        </w:tc>
      </w:tr>
      <w:tr w:rsidR="0067247F" w:rsidRPr="00D01DDB" w14:paraId="526354FC" w14:textId="77777777" w:rsidTr="005323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45B895A" w14:textId="77777777" w:rsidR="0067247F" w:rsidRPr="00D01DDB" w:rsidRDefault="0067247F" w:rsidP="00532326">
            <w:pPr>
              <w:rPr>
                <w:szCs w:val="22"/>
              </w:rPr>
            </w:pPr>
            <w:r>
              <w:rPr>
                <w:szCs w:val="22"/>
              </w:rPr>
              <w:t>TEAE</w:t>
            </w:r>
          </w:p>
        </w:tc>
        <w:tc>
          <w:tcPr>
            <w:tcW w:w="3800" w:type="pct"/>
          </w:tcPr>
          <w:p w14:paraId="06B11445" w14:textId="77777777" w:rsidR="0067247F" w:rsidRPr="00D01DDB" w:rsidRDefault="0067247F" w:rsidP="00532326">
            <w:pPr>
              <w:cnfStyle w:val="000000000000" w:firstRow="0" w:lastRow="0" w:firstColumn="0" w:lastColumn="0" w:oddVBand="0" w:evenVBand="0" w:oddHBand="0" w:evenHBand="0" w:firstRowFirstColumn="0" w:firstRowLastColumn="0" w:lastRowFirstColumn="0" w:lastRowLastColumn="0"/>
              <w:rPr>
                <w:szCs w:val="22"/>
              </w:rPr>
            </w:pPr>
            <w:r>
              <w:t>Treatment emergent adverse event</w:t>
            </w:r>
          </w:p>
        </w:tc>
      </w:tr>
      <w:tr w:rsidR="0067247F" w:rsidRPr="00D01DDB" w14:paraId="63AE4DC0" w14:textId="77777777" w:rsidTr="005323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7C0310C" w14:textId="77777777" w:rsidR="0067247F" w:rsidRPr="00D01DDB" w:rsidRDefault="0067247F" w:rsidP="00532326">
            <w:pPr>
              <w:rPr>
                <w:szCs w:val="22"/>
              </w:rPr>
            </w:pPr>
            <w:r w:rsidRPr="00D01DDB">
              <w:rPr>
                <w:szCs w:val="22"/>
              </w:rPr>
              <w:t>TGA</w:t>
            </w:r>
          </w:p>
        </w:tc>
        <w:tc>
          <w:tcPr>
            <w:tcW w:w="3800" w:type="pct"/>
          </w:tcPr>
          <w:p w14:paraId="3326699C" w14:textId="77777777" w:rsidR="0067247F" w:rsidRPr="00D01DDB" w:rsidRDefault="0067247F" w:rsidP="00532326">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67247F" w:rsidRPr="00D01DDB" w14:paraId="5286311A" w14:textId="77777777" w:rsidTr="005323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0E9B4EA" w14:textId="77777777" w:rsidR="0067247F" w:rsidRPr="00D01DDB" w:rsidRDefault="0067247F" w:rsidP="00532326">
            <w:pPr>
              <w:rPr>
                <w:szCs w:val="22"/>
              </w:rPr>
            </w:pPr>
            <w:r>
              <w:rPr>
                <w:szCs w:val="22"/>
              </w:rPr>
              <w:t>USA</w:t>
            </w:r>
          </w:p>
        </w:tc>
        <w:tc>
          <w:tcPr>
            <w:tcW w:w="3800" w:type="pct"/>
          </w:tcPr>
          <w:p w14:paraId="10CE39A5" w14:textId="77777777" w:rsidR="0067247F" w:rsidRPr="00D01DDB" w:rsidRDefault="0067247F" w:rsidP="00532326">
            <w:pPr>
              <w:cnfStyle w:val="000000000000" w:firstRow="0" w:lastRow="0" w:firstColumn="0" w:lastColumn="0" w:oddVBand="0" w:evenVBand="0" w:oddHBand="0" w:evenHBand="0" w:firstRowFirstColumn="0" w:firstRowLastColumn="0" w:lastRowFirstColumn="0" w:lastRowLastColumn="0"/>
              <w:rPr>
                <w:szCs w:val="22"/>
              </w:rPr>
            </w:pPr>
            <w:r>
              <w:rPr>
                <w:szCs w:val="22"/>
              </w:rPr>
              <w:t>United States (of America)</w:t>
            </w:r>
          </w:p>
        </w:tc>
      </w:tr>
      <w:tr w:rsidR="0067247F" w:rsidRPr="00D01DDB" w14:paraId="264DE76F" w14:textId="77777777" w:rsidTr="005323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1169B33" w14:textId="77777777" w:rsidR="0067247F" w:rsidRPr="00D01DDB" w:rsidRDefault="0067247F" w:rsidP="00532326">
            <w:pPr>
              <w:rPr>
                <w:szCs w:val="22"/>
              </w:rPr>
            </w:pPr>
            <w:r>
              <w:rPr>
                <w:szCs w:val="22"/>
              </w:rPr>
              <w:t>VVA</w:t>
            </w:r>
          </w:p>
        </w:tc>
        <w:tc>
          <w:tcPr>
            <w:tcW w:w="3800" w:type="pct"/>
          </w:tcPr>
          <w:p w14:paraId="5B4CA474" w14:textId="77777777" w:rsidR="0067247F" w:rsidRPr="00D01DDB" w:rsidRDefault="0067247F" w:rsidP="00532326">
            <w:pPr>
              <w:cnfStyle w:val="000000000000" w:firstRow="0" w:lastRow="0" w:firstColumn="0" w:lastColumn="0" w:oddVBand="0" w:evenVBand="0" w:oddHBand="0" w:evenHBand="0" w:firstRowFirstColumn="0" w:firstRowLastColumn="0" w:lastRowFirstColumn="0" w:lastRowLastColumn="0"/>
              <w:rPr>
                <w:szCs w:val="22"/>
              </w:rPr>
            </w:pPr>
            <w:r>
              <w:rPr>
                <w:szCs w:val="22"/>
              </w:rPr>
              <w:t>Vulvar and vaginal atrophy</w:t>
            </w:r>
          </w:p>
        </w:tc>
      </w:tr>
    </w:tbl>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146618661"/>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46618662"/>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77777777" w:rsidR="00324B33" w:rsidRPr="00BD5DBD" w:rsidRDefault="00324B33" w:rsidP="007452E8">
            <w:pPr>
              <w:rPr>
                <w:i/>
                <w:szCs w:val="22"/>
              </w:rPr>
            </w:pPr>
            <w:r w:rsidRPr="00BD5DBD">
              <w:rPr>
                <w:i/>
                <w:szCs w:val="22"/>
              </w:rPr>
              <w:t>Type of submission:</w:t>
            </w:r>
          </w:p>
        </w:tc>
        <w:tc>
          <w:tcPr>
            <w:tcW w:w="3423" w:type="pct"/>
          </w:tcPr>
          <w:p w14:paraId="4F07C303" w14:textId="413F1FC6" w:rsidR="00324B33" w:rsidRPr="00BD5DBD" w:rsidRDefault="00324B33" w:rsidP="007452E8">
            <w:pPr>
              <w:rPr>
                <w:szCs w:val="22"/>
              </w:rPr>
            </w:pPr>
            <w:r w:rsidRPr="00BD5DBD">
              <w:rPr>
                <w:szCs w:val="22"/>
              </w:rPr>
              <w:t>New chemical entity</w:t>
            </w:r>
          </w:p>
        </w:tc>
      </w:tr>
      <w:tr w:rsidR="00324B33" w:rsidRPr="00BD5DBD" w14:paraId="13482B61" w14:textId="77777777" w:rsidTr="00F865A7">
        <w:tc>
          <w:tcPr>
            <w:tcW w:w="1577" w:type="pct"/>
          </w:tcPr>
          <w:p w14:paraId="2C427FCF" w14:textId="3FD53FF9" w:rsidR="00324B33" w:rsidRPr="00BD5DBD" w:rsidRDefault="00324B33" w:rsidP="007452E8">
            <w:pPr>
              <w:rPr>
                <w:i/>
                <w:szCs w:val="22"/>
              </w:rPr>
            </w:pPr>
            <w:r w:rsidRPr="00BD5DBD">
              <w:rPr>
                <w:i/>
                <w:szCs w:val="22"/>
              </w:rPr>
              <w:t>Product name:</w:t>
            </w:r>
          </w:p>
        </w:tc>
        <w:tc>
          <w:tcPr>
            <w:tcW w:w="3423" w:type="pct"/>
          </w:tcPr>
          <w:p w14:paraId="0E2DEF76" w14:textId="578E2965" w:rsidR="00324B33" w:rsidRPr="00BD5DBD" w:rsidRDefault="00541304" w:rsidP="007452E8">
            <w:pPr>
              <w:rPr>
                <w:szCs w:val="22"/>
              </w:rPr>
            </w:pPr>
            <w:r>
              <w:rPr>
                <w:szCs w:val="22"/>
              </w:rPr>
              <w:t>Intrarosa</w:t>
            </w:r>
          </w:p>
        </w:tc>
      </w:tr>
      <w:tr w:rsidR="00324B33" w:rsidRPr="00BD5DBD" w14:paraId="01255B5B" w14:textId="77777777" w:rsidTr="00F865A7">
        <w:tc>
          <w:tcPr>
            <w:tcW w:w="1577" w:type="pct"/>
          </w:tcPr>
          <w:p w14:paraId="52B4F3D7" w14:textId="3D3210CC" w:rsidR="00324B33" w:rsidRPr="00BD5DBD" w:rsidRDefault="00324B33" w:rsidP="007452E8">
            <w:pPr>
              <w:rPr>
                <w:i/>
                <w:szCs w:val="22"/>
              </w:rPr>
            </w:pPr>
            <w:r w:rsidRPr="00BD5DBD">
              <w:rPr>
                <w:i/>
                <w:szCs w:val="22"/>
              </w:rPr>
              <w:t>Active ingredient:</w:t>
            </w:r>
          </w:p>
        </w:tc>
        <w:tc>
          <w:tcPr>
            <w:tcW w:w="3423" w:type="pct"/>
          </w:tcPr>
          <w:p w14:paraId="02FB6383" w14:textId="2F80E0B2" w:rsidR="00324B33" w:rsidRPr="00BD5DBD" w:rsidRDefault="00541304" w:rsidP="007452E8">
            <w:pPr>
              <w:rPr>
                <w:szCs w:val="22"/>
              </w:rPr>
            </w:pPr>
            <w:r>
              <w:rPr>
                <w:szCs w:val="22"/>
              </w:rPr>
              <w:t>Prasterone</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66C1E21D"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433DB2AE" w:rsidR="00AE1947" w:rsidRPr="00541304" w:rsidRDefault="00AE1947" w:rsidP="00541304">
            <w:pPr>
              <w:rPr>
                <w:i/>
                <w:szCs w:val="22"/>
              </w:rPr>
            </w:pPr>
            <w:r w:rsidRPr="00BD5DBD">
              <w:rPr>
                <w:i/>
                <w:szCs w:val="22"/>
              </w:rPr>
              <w:t>Date of decision:</w:t>
            </w:r>
          </w:p>
        </w:tc>
        <w:tc>
          <w:tcPr>
            <w:tcW w:w="3423" w:type="pct"/>
          </w:tcPr>
          <w:p w14:paraId="7B381CD6" w14:textId="78D536ED" w:rsidR="00AE1947" w:rsidRPr="00BD5DBD" w:rsidRDefault="00541304" w:rsidP="00602658">
            <w:pPr>
              <w:rPr>
                <w:szCs w:val="22"/>
              </w:rPr>
            </w:pPr>
            <w:r>
              <w:rPr>
                <w:szCs w:val="22"/>
              </w:rPr>
              <w:t>15 June 2023</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618DF3D3" w:rsidR="00324B33" w:rsidRPr="00BD5DBD" w:rsidRDefault="00541304" w:rsidP="007452E8">
            <w:pPr>
              <w:rPr>
                <w:szCs w:val="22"/>
              </w:rPr>
            </w:pPr>
            <w:r>
              <w:rPr>
                <w:szCs w:val="22"/>
              </w:rPr>
              <w:t>16 June 2023</w:t>
            </w:r>
          </w:p>
        </w:tc>
      </w:tr>
      <w:tr w:rsidR="00324B33" w:rsidRPr="00BD5DBD" w14:paraId="547E08D7" w14:textId="77777777" w:rsidTr="00F865A7">
        <w:tc>
          <w:tcPr>
            <w:tcW w:w="1577" w:type="pct"/>
          </w:tcPr>
          <w:p w14:paraId="5030EF30" w14:textId="5B572CA4" w:rsidR="00324B33" w:rsidRPr="00BD5DBD" w:rsidRDefault="00324B33" w:rsidP="007452E8">
            <w:pPr>
              <w:rPr>
                <w:i/>
                <w:szCs w:val="22"/>
              </w:rPr>
            </w:pPr>
            <w:r w:rsidRPr="00BD5DBD">
              <w:rPr>
                <w:i/>
                <w:szCs w:val="22"/>
              </w:rPr>
              <w:t>ARTG number:</w:t>
            </w:r>
          </w:p>
        </w:tc>
        <w:tc>
          <w:tcPr>
            <w:tcW w:w="3423" w:type="pct"/>
          </w:tcPr>
          <w:p w14:paraId="0054E912" w14:textId="6D28EF2F" w:rsidR="00324B33" w:rsidRPr="00BD5DBD" w:rsidRDefault="00541304" w:rsidP="007452E8">
            <w:pPr>
              <w:rPr>
                <w:szCs w:val="22"/>
              </w:rPr>
            </w:pPr>
            <w:r>
              <w:rPr>
                <w:szCs w:val="22"/>
              </w:rPr>
              <w:t>391550</w:t>
            </w:r>
          </w:p>
        </w:tc>
      </w:tr>
      <w:tr w:rsidR="00324B33" w:rsidRPr="00BD5DBD" w14:paraId="7618393F" w14:textId="77777777" w:rsidTr="00F865A7">
        <w:tc>
          <w:tcPr>
            <w:tcW w:w="1577" w:type="pct"/>
          </w:tcPr>
          <w:p w14:paraId="6C24CEB6" w14:textId="24875C38" w:rsidR="00E47E0C" w:rsidRPr="00BD5DBD" w:rsidRDefault="00324B33" w:rsidP="007452E8">
            <w:pPr>
              <w:rPr>
                <w:rStyle w:val="Hyperlink"/>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08EF3693" w14:textId="1ECF0C1A" w:rsidR="00324B33" w:rsidRPr="00BD5DBD" w:rsidRDefault="00324B33" w:rsidP="007452E8">
            <w:pPr>
              <w:rPr>
                <w:szCs w:val="22"/>
              </w:rPr>
            </w:pPr>
            <w:r w:rsidRPr="00BD5DBD">
              <w:rPr>
                <w:szCs w:val="22"/>
              </w:rPr>
              <w:t>Yes</w:t>
            </w:r>
          </w:p>
          <w:p w14:paraId="6FF3C6A2" w14:textId="23887784" w:rsidR="00324B33" w:rsidRPr="00BD5DBD" w:rsidRDefault="00324B33" w:rsidP="007452E8">
            <w:pPr>
              <w:rPr>
                <w:szCs w:val="22"/>
              </w:rPr>
            </w:pPr>
            <w:r w:rsidRPr="00BD5DBD">
              <w:rPr>
                <w:szCs w:val="22"/>
              </w:rPr>
              <w:t>This product will remain in the scheme for 5 years, starting on the date the product is first supplied in Australia</w:t>
            </w:r>
            <w:r w:rsidR="00541304">
              <w:rPr>
                <w:szCs w:val="22"/>
              </w:rPr>
              <w:t>.</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50A0B71A" w14:textId="77777777" w:rsidR="00541304" w:rsidRPr="00541304" w:rsidRDefault="00541304" w:rsidP="00541304">
            <w:pPr>
              <w:rPr>
                <w:szCs w:val="22"/>
              </w:rPr>
            </w:pPr>
            <w:r w:rsidRPr="00541304">
              <w:rPr>
                <w:szCs w:val="22"/>
              </w:rPr>
              <w:t>Theramex Australia Pty Ltd</w:t>
            </w:r>
          </w:p>
          <w:p w14:paraId="409D3677" w14:textId="77777777" w:rsidR="00541304" w:rsidRPr="00541304" w:rsidRDefault="00541304" w:rsidP="00541304">
            <w:pPr>
              <w:rPr>
                <w:szCs w:val="22"/>
              </w:rPr>
            </w:pPr>
            <w:r w:rsidRPr="00541304">
              <w:rPr>
                <w:szCs w:val="22"/>
              </w:rPr>
              <w:t>Level 22, 60 Margaret Street,</w:t>
            </w:r>
          </w:p>
          <w:p w14:paraId="68DD94B0" w14:textId="6A3F3AC9" w:rsidR="00324B33" w:rsidRPr="00BD5DBD" w:rsidRDefault="00541304" w:rsidP="00541304">
            <w:pPr>
              <w:rPr>
                <w:szCs w:val="22"/>
              </w:rPr>
            </w:pPr>
            <w:r w:rsidRPr="00541304">
              <w:rPr>
                <w:szCs w:val="22"/>
              </w:rPr>
              <w:t>Sydney NSW 2000</w:t>
            </w:r>
          </w:p>
        </w:tc>
      </w:tr>
      <w:tr w:rsidR="00324B33" w:rsidRPr="00BD5DBD" w14:paraId="5322B989" w14:textId="77777777" w:rsidTr="00F865A7">
        <w:tc>
          <w:tcPr>
            <w:tcW w:w="1577" w:type="pct"/>
          </w:tcPr>
          <w:p w14:paraId="24F217E3" w14:textId="113B1E62" w:rsidR="00324B33" w:rsidRPr="00BD5DBD" w:rsidRDefault="00324B33" w:rsidP="007452E8">
            <w:pPr>
              <w:rPr>
                <w:i/>
                <w:szCs w:val="22"/>
              </w:rPr>
            </w:pPr>
            <w:r w:rsidRPr="00BD5DBD">
              <w:rPr>
                <w:i/>
                <w:szCs w:val="22"/>
              </w:rPr>
              <w:t>Dose form:</w:t>
            </w:r>
          </w:p>
        </w:tc>
        <w:tc>
          <w:tcPr>
            <w:tcW w:w="3423" w:type="pct"/>
          </w:tcPr>
          <w:p w14:paraId="768B254C" w14:textId="7156F42D" w:rsidR="00324B33" w:rsidRPr="00BD5DBD" w:rsidRDefault="00541304" w:rsidP="007452E8">
            <w:pPr>
              <w:rPr>
                <w:szCs w:val="22"/>
              </w:rPr>
            </w:pPr>
            <w:r>
              <w:rPr>
                <w:szCs w:val="22"/>
              </w:rPr>
              <w:t>Pessary</w:t>
            </w:r>
          </w:p>
        </w:tc>
      </w:tr>
      <w:tr w:rsidR="00324B33" w:rsidRPr="00BD5DBD" w14:paraId="115243E6" w14:textId="77777777" w:rsidTr="00F865A7">
        <w:tc>
          <w:tcPr>
            <w:tcW w:w="1577" w:type="pct"/>
          </w:tcPr>
          <w:p w14:paraId="7634B062" w14:textId="5C9F4894" w:rsidR="00324B33" w:rsidRPr="00BD5DBD" w:rsidRDefault="00324B33" w:rsidP="007452E8">
            <w:pPr>
              <w:rPr>
                <w:i/>
                <w:szCs w:val="22"/>
              </w:rPr>
            </w:pPr>
            <w:r w:rsidRPr="00BD5DBD">
              <w:rPr>
                <w:i/>
                <w:szCs w:val="22"/>
              </w:rPr>
              <w:t>Strength:</w:t>
            </w:r>
          </w:p>
        </w:tc>
        <w:tc>
          <w:tcPr>
            <w:tcW w:w="3423" w:type="pct"/>
          </w:tcPr>
          <w:p w14:paraId="5E5F83DB" w14:textId="7C9B9A56" w:rsidR="00324B33" w:rsidRPr="00BD5DBD" w:rsidRDefault="00541304" w:rsidP="007452E8">
            <w:pPr>
              <w:rPr>
                <w:szCs w:val="22"/>
              </w:rPr>
            </w:pPr>
            <w:r>
              <w:rPr>
                <w:szCs w:val="22"/>
              </w:rPr>
              <w:t>6.5 mg</w:t>
            </w:r>
          </w:p>
        </w:tc>
      </w:tr>
      <w:tr w:rsidR="00324B33" w:rsidRPr="00BD5DBD" w14:paraId="34B07BA6" w14:textId="77777777" w:rsidTr="00F865A7">
        <w:tc>
          <w:tcPr>
            <w:tcW w:w="1577" w:type="pct"/>
          </w:tcPr>
          <w:p w14:paraId="1C039224" w14:textId="55C50CA4" w:rsidR="00324B33" w:rsidRPr="00BD5DBD" w:rsidRDefault="00324B33" w:rsidP="007452E8">
            <w:pPr>
              <w:rPr>
                <w:i/>
                <w:szCs w:val="22"/>
              </w:rPr>
            </w:pPr>
            <w:r w:rsidRPr="00BD5DBD">
              <w:rPr>
                <w:i/>
                <w:szCs w:val="22"/>
              </w:rPr>
              <w:t>Container:</w:t>
            </w:r>
          </w:p>
        </w:tc>
        <w:tc>
          <w:tcPr>
            <w:tcW w:w="3423" w:type="pct"/>
          </w:tcPr>
          <w:p w14:paraId="500A42C6" w14:textId="20ACEFCF" w:rsidR="00324B33" w:rsidRPr="00BD5DBD" w:rsidRDefault="00541304" w:rsidP="007452E8">
            <w:pPr>
              <w:rPr>
                <w:szCs w:val="22"/>
              </w:rPr>
            </w:pPr>
            <w:r>
              <w:rPr>
                <w:szCs w:val="22"/>
              </w:rPr>
              <w:t>Blister pack</w:t>
            </w:r>
          </w:p>
        </w:tc>
      </w:tr>
      <w:tr w:rsidR="00324B33" w:rsidRPr="00BD5DBD" w14:paraId="176B6773" w14:textId="77777777" w:rsidTr="00F865A7">
        <w:tc>
          <w:tcPr>
            <w:tcW w:w="1577" w:type="pct"/>
          </w:tcPr>
          <w:p w14:paraId="71846159" w14:textId="49C94381" w:rsidR="00324B33" w:rsidRPr="00BD5DBD" w:rsidRDefault="00324B33" w:rsidP="007452E8">
            <w:pPr>
              <w:rPr>
                <w:i/>
                <w:szCs w:val="22"/>
              </w:rPr>
            </w:pPr>
            <w:r w:rsidRPr="00BD5DBD">
              <w:rPr>
                <w:i/>
                <w:szCs w:val="22"/>
              </w:rPr>
              <w:t>Pack size:</w:t>
            </w:r>
          </w:p>
        </w:tc>
        <w:tc>
          <w:tcPr>
            <w:tcW w:w="3423" w:type="pct"/>
          </w:tcPr>
          <w:p w14:paraId="7E978F8F" w14:textId="42BCE788" w:rsidR="00324B33" w:rsidRPr="00BD5DBD" w:rsidRDefault="00541304" w:rsidP="007452E8">
            <w:pPr>
              <w:rPr>
                <w:szCs w:val="22"/>
              </w:rPr>
            </w:pPr>
            <w:r>
              <w:rPr>
                <w:szCs w:val="22"/>
              </w:rPr>
              <w:t>28</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E143E2E" w14:textId="72D37700" w:rsidR="00324B33" w:rsidRPr="00BD5DBD" w:rsidRDefault="00541304" w:rsidP="00541304">
            <w:pPr>
              <w:rPr>
                <w:szCs w:val="22"/>
              </w:rPr>
            </w:pPr>
            <w:r w:rsidRPr="00541304">
              <w:rPr>
                <w:i/>
                <w:iCs/>
                <w:szCs w:val="22"/>
              </w:rPr>
              <w:t>I</w:t>
            </w:r>
            <w:r>
              <w:rPr>
                <w:i/>
                <w:iCs/>
                <w:szCs w:val="22"/>
              </w:rPr>
              <w:t>ntrarosa</w:t>
            </w:r>
            <w:r w:rsidRPr="00541304">
              <w:rPr>
                <w:i/>
                <w:iCs/>
                <w:szCs w:val="22"/>
              </w:rPr>
              <w:t xml:space="preserve"> is indicated for the treatment of vulvar and vaginal atrophy in postmenopausal women having moderate to severe symptoms</w:t>
            </w:r>
            <w:r w:rsidRPr="00541304">
              <w:rPr>
                <w:szCs w:val="22"/>
              </w:rPr>
              <w:t>.</w:t>
            </w:r>
          </w:p>
        </w:tc>
      </w:tr>
      <w:tr w:rsidR="00324B33" w:rsidRPr="00BD5DBD" w14:paraId="5AFDEED3" w14:textId="77777777" w:rsidTr="00F865A7">
        <w:tc>
          <w:tcPr>
            <w:tcW w:w="1577" w:type="pct"/>
          </w:tcPr>
          <w:p w14:paraId="03884BD1" w14:textId="5003290A" w:rsidR="00324B33" w:rsidRPr="00BD5DBD" w:rsidRDefault="00324B33" w:rsidP="007452E8">
            <w:pPr>
              <w:rPr>
                <w:i/>
                <w:szCs w:val="22"/>
              </w:rPr>
            </w:pPr>
            <w:r w:rsidRPr="00BD5DBD">
              <w:rPr>
                <w:i/>
                <w:szCs w:val="22"/>
              </w:rPr>
              <w:t>Route of administration:</w:t>
            </w:r>
          </w:p>
        </w:tc>
        <w:tc>
          <w:tcPr>
            <w:tcW w:w="3423" w:type="pct"/>
          </w:tcPr>
          <w:p w14:paraId="1ED1357E" w14:textId="6363C8C4" w:rsidR="00324B33" w:rsidRPr="00BD5DBD" w:rsidRDefault="00541304" w:rsidP="007452E8">
            <w:pPr>
              <w:rPr>
                <w:szCs w:val="22"/>
              </w:rPr>
            </w:pPr>
            <w:r>
              <w:rPr>
                <w:szCs w:val="22"/>
              </w:rPr>
              <w:t>I</w:t>
            </w:r>
            <w:r w:rsidRPr="00541304">
              <w:rPr>
                <w:szCs w:val="22"/>
              </w:rPr>
              <w:t>ntravaginally</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274976F9" w14:textId="573F92D2" w:rsidR="00541304" w:rsidRPr="00541304" w:rsidRDefault="00541304" w:rsidP="00541304">
            <w:pPr>
              <w:rPr>
                <w:szCs w:val="22"/>
              </w:rPr>
            </w:pPr>
            <w:r w:rsidRPr="00541304">
              <w:rPr>
                <w:szCs w:val="22"/>
              </w:rPr>
              <w:t>I</w:t>
            </w:r>
            <w:r>
              <w:rPr>
                <w:szCs w:val="22"/>
              </w:rPr>
              <w:t>ntrarosa</w:t>
            </w:r>
            <w:r w:rsidRPr="00541304">
              <w:rPr>
                <w:szCs w:val="22"/>
              </w:rPr>
              <w:t xml:space="preserve"> is administered intravaginally with the use of the provided applicator or with fingers.</w:t>
            </w:r>
          </w:p>
          <w:p w14:paraId="1246B144" w14:textId="4865EB69" w:rsidR="00324B33" w:rsidRPr="00BD5DBD" w:rsidRDefault="00541304" w:rsidP="00541304">
            <w:pPr>
              <w:rPr>
                <w:szCs w:val="22"/>
              </w:rPr>
            </w:pPr>
            <w:r w:rsidRPr="00541304">
              <w:rPr>
                <w:szCs w:val="22"/>
              </w:rPr>
              <w:t>One pessary is administered once a day at bedtime.</w:t>
            </w:r>
          </w:p>
          <w:p w14:paraId="3D0B2D5C" w14:textId="77777777" w:rsidR="00324B33" w:rsidRPr="00BD5DBD" w:rsidRDefault="00324B33" w:rsidP="007452E8">
            <w:pPr>
              <w:rPr>
                <w:szCs w:val="22"/>
              </w:rPr>
            </w:pPr>
            <w:r w:rsidRPr="00BD5DBD">
              <w:rPr>
                <w:szCs w:val="22"/>
              </w:rPr>
              <w:t>For further information regarding dosage, refer to the Product Information.</w:t>
            </w:r>
          </w:p>
        </w:tc>
      </w:tr>
      <w:tr w:rsidR="00324B33" w:rsidRPr="00BD5DBD" w14:paraId="24DC408E" w14:textId="77777777" w:rsidTr="00F865A7">
        <w:tc>
          <w:tcPr>
            <w:tcW w:w="1577" w:type="pct"/>
          </w:tcPr>
          <w:p w14:paraId="26380792" w14:textId="77777777" w:rsidR="00324B33" w:rsidRPr="00BD5DBD" w:rsidRDefault="00324B33" w:rsidP="007452E8">
            <w:pPr>
              <w:rPr>
                <w:i/>
                <w:szCs w:val="22"/>
              </w:rPr>
            </w:pPr>
            <w:r w:rsidRPr="00BD5DBD">
              <w:rPr>
                <w:i/>
                <w:szCs w:val="22"/>
              </w:rPr>
              <w:t>Pregnancy category:</w:t>
            </w:r>
          </w:p>
        </w:tc>
        <w:tc>
          <w:tcPr>
            <w:tcW w:w="3423" w:type="pct"/>
          </w:tcPr>
          <w:p w14:paraId="4E87274F" w14:textId="1AB5A35D" w:rsidR="00324B33" w:rsidRDefault="00373B71" w:rsidP="007452E8">
            <w:pPr>
              <w:rPr>
                <w:szCs w:val="22"/>
              </w:rPr>
            </w:pPr>
            <w:r>
              <w:rPr>
                <w:szCs w:val="22"/>
              </w:rPr>
              <w:t>D</w:t>
            </w:r>
          </w:p>
          <w:p w14:paraId="4548EDF8" w14:textId="38042A56" w:rsidR="00373B71" w:rsidRPr="00BD5DBD" w:rsidRDefault="00373B71" w:rsidP="007452E8">
            <w:pPr>
              <w:rPr>
                <w:szCs w:val="22"/>
              </w:rPr>
            </w:pPr>
            <w:r w:rsidRPr="00373B71">
              <w:rPr>
                <w:szCs w:val="22"/>
              </w:rPr>
              <w:t xml:space="preserve">Drugs which have caused, are suspected to have caused or may be expected to cause, an increased incidence of human </w:t>
            </w:r>
            <w:proofErr w:type="spellStart"/>
            <w:r w:rsidRPr="00373B71">
              <w:rPr>
                <w:szCs w:val="22"/>
              </w:rPr>
              <w:t>fetal</w:t>
            </w:r>
            <w:proofErr w:type="spellEnd"/>
            <w:r w:rsidRPr="00373B71">
              <w:rPr>
                <w:szCs w:val="22"/>
              </w:rPr>
              <w:t xml:space="preserve"> malformations or irreversible damage. These drugs may also have adverse pharmacological effects. Accompanying texts should be consulted for further details.</w:t>
            </w:r>
          </w:p>
          <w:p w14:paraId="5E2AA3D6" w14:textId="29B8DA90" w:rsidR="00324B33" w:rsidRPr="00BD5DBD" w:rsidRDefault="00324B33" w:rsidP="007452E8">
            <w:pPr>
              <w:rPr>
                <w:szCs w:val="22"/>
              </w:rPr>
            </w:pPr>
            <w:r w:rsidRPr="00BD5DBD">
              <w:rPr>
                <w:szCs w:val="22"/>
              </w:rPr>
              <w:t xml:space="preserve">The use of any medicine during pregnancy requires careful consideration of both risks and benefits by the treating health professional. This must not be used as the sole basis of decision making in the use of medicines during pregnancy. The TGA </w:t>
            </w:r>
            <w:r w:rsidRPr="00BD5DBD">
              <w:rPr>
                <w:szCs w:val="22"/>
              </w:rPr>
              <w:lastRenderedPageBreak/>
              <w:t>does not provide advice on the use of medicines in pregnancy for specific cases. More information is available from obstetric drug information services in your State or Territory.</w:t>
            </w:r>
          </w:p>
        </w:tc>
      </w:tr>
    </w:tbl>
    <w:p w14:paraId="51F2479F" w14:textId="77777777" w:rsidR="00324B33" w:rsidRDefault="00324B33" w:rsidP="00324B33">
      <w:pPr>
        <w:pStyle w:val="Heading3"/>
      </w:pPr>
      <w:bookmarkStart w:id="11" w:name="_Toc247691503"/>
      <w:bookmarkStart w:id="12" w:name="_Toc314842484"/>
      <w:bookmarkStart w:id="13" w:name="_Toc103679290"/>
      <w:bookmarkStart w:id="14" w:name="_Toc146618663"/>
      <w:r>
        <w:lastRenderedPageBreak/>
        <w:t>Product background</w:t>
      </w:r>
      <w:bookmarkEnd w:id="11"/>
      <w:bookmarkEnd w:id="12"/>
      <w:bookmarkEnd w:id="13"/>
      <w:bookmarkEnd w:id="14"/>
    </w:p>
    <w:p w14:paraId="56B27CF2" w14:textId="07420131" w:rsidR="00324B33" w:rsidRDefault="00324B33" w:rsidP="00324B33">
      <w:pPr>
        <w:rPr>
          <w:szCs w:val="22"/>
        </w:rPr>
      </w:pPr>
      <w:r w:rsidRPr="00BD5DBD">
        <w:rPr>
          <w:szCs w:val="22"/>
        </w:rPr>
        <w:t xml:space="preserve">This AusPAR describes the submission by </w:t>
      </w:r>
      <w:r w:rsidR="00373B71">
        <w:rPr>
          <w:szCs w:val="22"/>
        </w:rPr>
        <w:t>Theramex Australia Pty Ltd (</w:t>
      </w:r>
      <w:r w:rsidRPr="00BD5DBD">
        <w:rPr>
          <w:szCs w:val="22"/>
        </w:rPr>
        <w:t xml:space="preserve">the sponsor) to register </w:t>
      </w:r>
      <w:r w:rsidR="00373B71" w:rsidRPr="009A6A05">
        <w:t>I</w:t>
      </w:r>
      <w:r w:rsidR="00373B71">
        <w:t>ntrarosa</w:t>
      </w:r>
      <w:r w:rsidR="00373B71" w:rsidRPr="009A6A05">
        <w:t xml:space="preserve"> </w:t>
      </w:r>
      <w:r w:rsidR="00373B71">
        <w:t>(</w:t>
      </w:r>
      <w:r w:rsidR="00373B71" w:rsidRPr="009A6A05">
        <w:t>prasterone</w:t>
      </w:r>
      <w:r w:rsidRPr="00BD5DBD">
        <w:rPr>
          <w:szCs w:val="22"/>
        </w:rPr>
        <w:t xml:space="preserve">) </w:t>
      </w:r>
      <w:r w:rsidR="00373B71">
        <w:rPr>
          <w:szCs w:val="22"/>
        </w:rPr>
        <w:t>6.5 mg</w:t>
      </w:r>
      <w:r w:rsidRPr="00BD5DBD">
        <w:rPr>
          <w:szCs w:val="22"/>
        </w:rPr>
        <w:t xml:space="preserve">, </w:t>
      </w:r>
      <w:r w:rsidR="00373B71">
        <w:rPr>
          <w:szCs w:val="22"/>
        </w:rPr>
        <w:t>pessary</w:t>
      </w:r>
      <w:r w:rsidR="00D62877" w:rsidRPr="00BD5DBD">
        <w:rPr>
          <w:szCs w:val="22"/>
        </w:rPr>
        <w:t xml:space="preserve">, </w:t>
      </w:r>
      <w:r w:rsidR="00373B71">
        <w:rPr>
          <w:szCs w:val="22"/>
        </w:rPr>
        <w:t>blister pack</w:t>
      </w:r>
      <w:r w:rsidRPr="00BD5DBD">
        <w:rPr>
          <w:szCs w:val="22"/>
        </w:rPr>
        <w:t xml:space="preserve"> for the following proposed indication:</w:t>
      </w:r>
      <w:r w:rsidR="00D63760" w:rsidRPr="00BD5DBD">
        <w:rPr>
          <w:rStyle w:val="FootnoteReference"/>
          <w:szCs w:val="22"/>
        </w:rPr>
        <w:footnoteReference w:id="1"/>
      </w:r>
    </w:p>
    <w:p w14:paraId="0A346030" w14:textId="0046B7A7" w:rsidR="00373B71" w:rsidRPr="00373B71" w:rsidRDefault="00373B71" w:rsidP="00373B71">
      <w:pPr>
        <w:ind w:firstLine="720"/>
        <w:rPr>
          <w:i/>
          <w:iCs/>
          <w:szCs w:val="22"/>
        </w:rPr>
      </w:pPr>
      <w:r w:rsidRPr="00373B71">
        <w:rPr>
          <w:i/>
          <w:iCs/>
          <w:szCs w:val="22"/>
        </w:rPr>
        <w:t>The treatment of postmenopausal vulvovaginal atrophy.</w:t>
      </w:r>
    </w:p>
    <w:p w14:paraId="7C499C14" w14:textId="473DA047" w:rsidR="00373B71" w:rsidRPr="00373B71" w:rsidRDefault="00373B71" w:rsidP="00373B71">
      <w:pPr>
        <w:pStyle w:val="Heading4"/>
      </w:pPr>
      <w:bookmarkStart w:id="15" w:name="_Toc146618664"/>
      <w:bookmarkStart w:id="16" w:name="_Toc314842485"/>
      <w:bookmarkStart w:id="17" w:name="_Toc247691504"/>
      <w:r w:rsidRPr="00373B71">
        <w:t>Condition</w:t>
      </w:r>
      <w:bookmarkEnd w:id="15"/>
    </w:p>
    <w:p w14:paraId="2EF5B087" w14:textId="77777777" w:rsidR="00373B71" w:rsidRPr="00373B71" w:rsidRDefault="00373B71" w:rsidP="00373B71">
      <w:r w:rsidRPr="00373B71">
        <w:t xml:space="preserve">Vulvar and vaginal atrophy (VVA) is a condition associated with loss of vaginal elasticity, dryness, decreased lubrication with irritation, dyspareunia and urinary symptoms. It is typically a consequence of reduced oestrogen levels in the affected tissues. It may symptomatically affect approximately 50% of postmenopausal women. </w:t>
      </w:r>
    </w:p>
    <w:p w14:paraId="2281F3A7" w14:textId="44D53062" w:rsidR="00373B71" w:rsidRPr="00373B71" w:rsidRDefault="00373B71" w:rsidP="00373B71">
      <w:pPr>
        <w:pStyle w:val="Heading5"/>
      </w:pPr>
      <w:r w:rsidRPr="00373B71">
        <w:t>Current treatment options</w:t>
      </w:r>
    </w:p>
    <w:p w14:paraId="6E6D0184" w14:textId="27C88212" w:rsidR="00373B71" w:rsidRPr="00373B71" w:rsidRDefault="00373B71" w:rsidP="00373B71">
      <w:r w:rsidRPr="00373B71">
        <w:t>Intravaginal oestrogen therapies are the most effective treatment for symptoms of VVA (</w:t>
      </w:r>
      <w:r>
        <w:t>for example</w:t>
      </w:r>
      <w:r w:rsidRPr="00373B71">
        <w:t xml:space="preserve">, vaginal dryness, dyspareunia, urinary frequency, dysuria, nocturia and urgency). Although less effective, non-hormonal therapies (vaginal moisturisers or lubricants) can be used if vaginal dryness is the only symptom. </w:t>
      </w:r>
    </w:p>
    <w:p w14:paraId="0442AFDD" w14:textId="55A952FE" w:rsidR="00324B33" w:rsidRPr="00BD5DBD" w:rsidRDefault="00324B33" w:rsidP="00373B71">
      <w:pPr>
        <w:rPr>
          <w:szCs w:val="22"/>
        </w:rPr>
      </w:pPr>
      <w:r w:rsidRPr="00BD5DBD">
        <w:rPr>
          <w:szCs w:val="22"/>
        </w:rPr>
        <w:t xml:space="preserve">This submission was submitted through the TGA’s </w:t>
      </w:r>
      <w:hyperlink r:id="rId19" w:history="1">
        <w:r w:rsidRPr="00BD5DBD">
          <w:rPr>
            <w:rStyle w:val="Hyperlink"/>
            <w:szCs w:val="22"/>
          </w:rPr>
          <w:t>Comparable Overseas Regulator</w:t>
        </w:r>
      </w:hyperlink>
      <w:r w:rsidRPr="00BD5DBD">
        <w:rPr>
          <w:szCs w:val="22"/>
        </w:rPr>
        <w:t xml:space="preserve"> B (COR-B) process, using evaluation reports from</w:t>
      </w:r>
      <w:r w:rsidR="00373B71">
        <w:rPr>
          <w:szCs w:val="22"/>
        </w:rPr>
        <w:t xml:space="preserve"> </w:t>
      </w:r>
      <w:r w:rsidR="00373B71" w:rsidRPr="00373B71">
        <w:rPr>
          <w:szCs w:val="22"/>
        </w:rPr>
        <w:t>European Medicines Agency (EMA</w:t>
      </w:r>
      <w:r w:rsidR="00373B71">
        <w:rPr>
          <w:szCs w:val="22"/>
        </w:rPr>
        <w:t>)</w:t>
      </w:r>
      <w:r w:rsidRPr="00BD5DBD">
        <w:rPr>
          <w:iCs/>
          <w:szCs w:val="22"/>
        </w:rPr>
        <w:t xml:space="preserve">. </w:t>
      </w:r>
      <w:r w:rsidRPr="00BD5DBD">
        <w:rPr>
          <w:szCs w:val="22"/>
        </w:rPr>
        <w:t>The full dossier was submitted to the TGA.</w:t>
      </w:r>
    </w:p>
    <w:p w14:paraId="0D615854" w14:textId="77777777" w:rsidR="00324B33" w:rsidRPr="003F31A2" w:rsidRDefault="00324B33" w:rsidP="00324B33">
      <w:pPr>
        <w:pStyle w:val="Heading3"/>
      </w:pPr>
      <w:bookmarkStart w:id="18" w:name="_Toc103679291"/>
      <w:bookmarkStart w:id="19" w:name="_Toc146618665"/>
      <w:r>
        <w:t>Regulatory status</w:t>
      </w:r>
      <w:bookmarkEnd w:id="16"/>
      <w:bookmarkEnd w:id="17"/>
      <w:bookmarkEnd w:id="18"/>
      <w:bookmarkEnd w:id="19"/>
    </w:p>
    <w:p w14:paraId="50B22BD0" w14:textId="32B2852C" w:rsidR="00373B71" w:rsidRPr="00373B71" w:rsidRDefault="00324B33" w:rsidP="00373B71">
      <w:pPr>
        <w:rPr>
          <w:szCs w:val="22"/>
        </w:rPr>
      </w:pPr>
      <w:r w:rsidRPr="00BD5DBD">
        <w:rPr>
          <w:szCs w:val="22"/>
        </w:rPr>
        <w:t>This product is considered a new chemical</w:t>
      </w:r>
      <w:r w:rsidR="008C754C" w:rsidRPr="00BD5DBD">
        <w:rPr>
          <w:szCs w:val="22"/>
        </w:rPr>
        <w:t xml:space="preserve"> entity</w:t>
      </w:r>
      <w:r w:rsidRPr="00BD5DBD">
        <w:rPr>
          <w:szCs w:val="22"/>
        </w:rPr>
        <w:t xml:space="preserve"> for Australian regulatory purposes.</w:t>
      </w:r>
      <w:r w:rsidR="00373B71">
        <w:rPr>
          <w:szCs w:val="22"/>
        </w:rPr>
        <w:t xml:space="preserve"> </w:t>
      </w:r>
      <w:r w:rsidR="00373B71" w:rsidRPr="00373B71">
        <w:t xml:space="preserve">This is a </w:t>
      </w:r>
      <w:r w:rsidR="00373B71">
        <w:t>new chemical entity</w:t>
      </w:r>
      <w:r w:rsidR="00373B71" w:rsidRPr="00373B71">
        <w:t xml:space="preserve"> application to register I</w:t>
      </w:r>
      <w:r w:rsidR="00373B71">
        <w:t xml:space="preserve">ntrarosa </w:t>
      </w:r>
      <w:r w:rsidR="00373B71" w:rsidRPr="00373B71">
        <w:t>(prasterone) 6.5 mg pessary via the COR-B pathway.</w:t>
      </w:r>
    </w:p>
    <w:p w14:paraId="5E479F88" w14:textId="77777777" w:rsidR="00373B71" w:rsidRPr="00373B71" w:rsidRDefault="00373B71" w:rsidP="00373B71">
      <w:r w:rsidRPr="00373B71">
        <w:t xml:space="preserve">The European Union (EU) approved Intrarosa via the Centralised Procedure on 8 January 2018 for the indication: </w:t>
      </w:r>
    </w:p>
    <w:p w14:paraId="7CBFFD7E" w14:textId="77777777" w:rsidR="00373B71" w:rsidRPr="007E1470" w:rsidRDefault="00373B71" w:rsidP="007E1470">
      <w:pPr>
        <w:ind w:left="720"/>
        <w:rPr>
          <w:i/>
          <w:iCs/>
        </w:rPr>
      </w:pPr>
      <w:r w:rsidRPr="007E1470">
        <w:rPr>
          <w:i/>
          <w:iCs/>
        </w:rPr>
        <w:t xml:space="preserve">Intrarosa is indicated for the treatment of vulvar and vaginal atrophy in postmenopausal women having moderate to severe symptoms. </w:t>
      </w:r>
    </w:p>
    <w:p w14:paraId="6C6CC9D9" w14:textId="491D8AF1" w:rsidR="00373B71" w:rsidRPr="00373B71" w:rsidRDefault="00373B71" w:rsidP="00373B71">
      <w:r w:rsidRPr="00373B71">
        <w:t>For Australia, the sponsor has proposed the following indication for Australia:</w:t>
      </w:r>
    </w:p>
    <w:p w14:paraId="24888C6F" w14:textId="278B7B43" w:rsidR="00373B71" w:rsidRPr="007E1470" w:rsidRDefault="00373B71" w:rsidP="007E1470">
      <w:pPr>
        <w:ind w:firstLine="720"/>
        <w:rPr>
          <w:i/>
          <w:iCs/>
        </w:rPr>
      </w:pPr>
      <w:r w:rsidRPr="007E1470">
        <w:rPr>
          <w:i/>
          <w:iCs/>
        </w:rPr>
        <w:t>I</w:t>
      </w:r>
      <w:r w:rsidR="007E1470">
        <w:rPr>
          <w:i/>
          <w:iCs/>
        </w:rPr>
        <w:t>ntrarosa</w:t>
      </w:r>
      <w:r w:rsidRPr="007E1470">
        <w:rPr>
          <w:i/>
          <w:iCs/>
        </w:rPr>
        <w:t xml:space="preserve"> is indicated for the treatment of postmenopausal vulvovaginal atrophy.</w:t>
      </w:r>
    </w:p>
    <w:p w14:paraId="258048E1" w14:textId="36BE48B1" w:rsidR="00373B71" w:rsidRPr="00373B71" w:rsidRDefault="00373B71" w:rsidP="00373B71">
      <w:r w:rsidRPr="00373B71">
        <w:t>The broader nature of the indication proposed for Australia should have been rejected (or converted to a different pathway) at submission assessment stage by the submission assessment evaluator</w:t>
      </w:r>
      <w:r w:rsidR="007E1470">
        <w:t xml:space="preserve">. </w:t>
      </w:r>
      <w:r w:rsidRPr="00373B71">
        <w:t>This has been rectified during the evaluation process instead</w:t>
      </w:r>
      <w:r w:rsidR="007E1470">
        <w:t xml:space="preserve">, </w:t>
      </w:r>
      <w:r w:rsidRPr="00373B71">
        <w:t xml:space="preserve">through the clinical evaluator and decision </w:t>
      </w:r>
      <w:r w:rsidR="007E1470">
        <w:t>D</w:t>
      </w:r>
      <w:r w:rsidRPr="00373B71">
        <w:t>elegate.</w:t>
      </w:r>
    </w:p>
    <w:p w14:paraId="5DDDA89F" w14:textId="62A82086" w:rsidR="00324B33" w:rsidRDefault="00324B33" w:rsidP="007E1470">
      <w:r w:rsidRPr="00BD5DBD">
        <w:rPr>
          <w:szCs w:val="22"/>
        </w:rPr>
        <w:t xml:space="preserve">At the time the TGA considered this submission, a similar submission had been approved in </w:t>
      </w:r>
      <w:r w:rsidR="00AE20E8">
        <w:rPr>
          <w:szCs w:val="22"/>
        </w:rPr>
        <w:t xml:space="preserve">United States of America (USA) </w:t>
      </w:r>
      <w:r w:rsidRPr="00BD5DBD">
        <w:rPr>
          <w:szCs w:val="22"/>
        </w:rPr>
        <w:t xml:space="preserve">on </w:t>
      </w:r>
      <w:r w:rsidR="00AE20E8">
        <w:rPr>
          <w:szCs w:val="22"/>
        </w:rPr>
        <w:t xml:space="preserve">16 </w:t>
      </w:r>
      <w:r w:rsidR="00452B89">
        <w:rPr>
          <w:szCs w:val="22"/>
        </w:rPr>
        <w:t>November 2016</w:t>
      </w:r>
      <w:r w:rsidR="00AE20E8">
        <w:rPr>
          <w:szCs w:val="22"/>
        </w:rPr>
        <w:t xml:space="preserve">, European Union on </w:t>
      </w:r>
      <w:r w:rsidR="00452B89">
        <w:rPr>
          <w:szCs w:val="22"/>
        </w:rPr>
        <w:t>8 January 2018</w:t>
      </w:r>
      <w:r w:rsidR="00AE20E8">
        <w:rPr>
          <w:szCs w:val="22"/>
        </w:rPr>
        <w:t xml:space="preserve">, </w:t>
      </w:r>
      <w:r w:rsidR="00AE20E8">
        <w:rPr>
          <w:szCs w:val="22"/>
        </w:rPr>
        <w:lastRenderedPageBreak/>
        <w:t xml:space="preserve">United Kingdom on </w:t>
      </w:r>
      <w:r w:rsidR="00452B89">
        <w:rPr>
          <w:szCs w:val="22"/>
        </w:rPr>
        <w:t>4 March 2022</w:t>
      </w:r>
      <w:r w:rsidR="00AE20E8">
        <w:rPr>
          <w:szCs w:val="22"/>
        </w:rPr>
        <w:t xml:space="preserve">, Canada on </w:t>
      </w:r>
      <w:r w:rsidR="00452B89">
        <w:rPr>
          <w:szCs w:val="22"/>
        </w:rPr>
        <w:t>1 November 2019</w:t>
      </w:r>
      <w:r w:rsidR="00AE20E8">
        <w:rPr>
          <w:szCs w:val="22"/>
        </w:rPr>
        <w:t xml:space="preserve"> and Switzerland on </w:t>
      </w:r>
      <w:r w:rsidR="00452B89">
        <w:rPr>
          <w:szCs w:val="22"/>
        </w:rPr>
        <w:t>19 May 2020</w:t>
      </w:r>
      <w:r w:rsidRPr="00BD5DBD">
        <w:rPr>
          <w:szCs w:val="22"/>
        </w:rPr>
        <w:t>.</w:t>
      </w:r>
    </w:p>
    <w:p w14:paraId="1B9AB90D" w14:textId="3E8AA98C" w:rsidR="00324B33" w:rsidRPr="00BD5DBD" w:rsidRDefault="00324B33" w:rsidP="00324B33">
      <w:pPr>
        <w:rPr>
          <w:szCs w:val="22"/>
        </w:rPr>
      </w:pPr>
      <w:r w:rsidRPr="00BD5DBD">
        <w:rPr>
          <w:szCs w:val="22"/>
        </w:rPr>
        <w:t>The following table summarises these submissions and provides the indications where approved.</w:t>
      </w:r>
    </w:p>
    <w:p w14:paraId="19B9E0AC" w14:textId="0A2B0E9A" w:rsidR="00324B33" w:rsidRDefault="00324B33" w:rsidP="00324B33">
      <w:pPr>
        <w:pStyle w:val="TableTitle"/>
      </w:pPr>
      <w:bookmarkStart w:id="20" w:name="_Ref99705479"/>
      <w:r>
        <w:t xml:space="preserve">Table </w:t>
      </w:r>
      <w:r w:rsidR="004E2876">
        <w:fldChar w:fldCharType="begin"/>
      </w:r>
      <w:r w:rsidR="004E2876">
        <w:instrText xml:space="preserve"> SEQ Table \* ARABIC </w:instrText>
      </w:r>
      <w:r w:rsidR="004E2876">
        <w:fldChar w:fldCharType="separate"/>
      </w:r>
      <w:r w:rsidR="0067247F">
        <w:rPr>
          <w:noProof/>
        </w:rPr>
        <w:t>1</w:t>
      </w:r>
      <w:r w:rsidR="004E2876">
        <w:rPr>
          <w:noProof/>
        </w:rPr>
        <w:fldChar w:fldCharType="end"/>
      </w:r>
      <w:bookmarkEnd w:id="20"/>
      <w:r>
        <w:t>: International regulatory status</w:t>
      </w:r>
    </w:p>
    <w:tbl>
      <w:tblPr>
        <w:tblStyle w:val="TableTGAblue2023"/>
        <w:tblW w:w="5000" w:type="pct"/>
        <w:tblLook w:val="04A0" w:firstRow="1" w:lastRow="0" w:firstColumn="1" w:lastColumn="0" w:noHBand="0" w:noVBand="1"/>
      </w:tblPr>
      <w:tblGrid>
        <w:gridCol w:w="1837"/>
        <w:gridCol w:w="1845"/>
        <w:gridCol w:w="2125"/>
        <w:gridCol w:w="3253"/>
      </w:tblGrid>
      <w:tr w:rsidR="00324B33" w:rsidRPr="00D01DDB" w14:paraId="405E5D78" w14:textId="16839333" w:rsidTr="0013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D01DDB" w:rsidRDefault="00324B33" w:rsidP="00324B33">
            <w:pPr>
              <w:rPr>
                <w:szCs w:val="22"/>
              </w:rPr>
            </w:pPr>
            <w:r w:rsidRPr="00D01DDB">
              <w:rPr>
                <w:szCs w:val="22"/>
              </w:rPr>
              <w:t>Region</w:t>
            </w:r>
          </w:p>
        </w:tc>
        <w:tc>
          <w:tcPr>
            <w:tcW w:w="1018"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173" w:type="pct"/>
          </w:tcPr>
          <w:p w14:paraId="58F81584" w14:textId="66689ABF" w:rsidR="00324B33" w:rsidRPr="00D01DDB" w:rsidRDefault="00324B33" w:rsidP="001727F8">
            <w:pPr>
              <w:ind w:right="-112"/>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1795"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324B33" w:rsidRPr="00D01DDB" w14:paraId="38D24E86"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C540DE5" w14:textId="04C93B82" w:rsidR="00324B33" w:rsidRPr="00D01DDB" w:rsidRDefault="00AE20E8" w:rsidP="00324B33">
            <w:pPr>
              <w:rPr>
                <w:szCs w:val="22"/>
              </w:rPr>
            </w:pPr>
            <w:r>
              <w:rPr>
                <w:szCs w:val="22"/>
              </w:rPr>
              <w:t>United States of America</w:t>
            </w:r>
          </w:p>
        </w:tc>
        <w:tc>
          <w:tcPr>
            <w:tcW w:w="1018" w:type="pct"/>
          </w:tcPr>
          <w:p w14:paraId="4FA5DDA9" w14:textId="34E91B30" w:rsidR="00324B33" w:rsidRPr="00D01DDB" w:rsidRDefault="00AE20E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16 October 2015</w:t>
            </w:r>
          </w:p>
        </w:tc>
        <w:tc>
          <w:tcPr>
            <w:tcW w:w="1173" w:type="pct"/>
          </w:tcPr>
          <w:p w14:paraId="29358393" w14:textId="2847DB6C" w:rsidR="00324B33" w:rsidRPr="00D01DDB" w:rsidRDefault="00324B33" w:rsidP="001727F8">
            <w:pPr>
              <w:ind w:right="-112"/>
              <w:cnfStyle w:val="000000000000" w:firstRow="0" w:lastRow="0" w:firstColumn="0" w:lastColumn="0" w:oddVBand="0" w:evenVBand="0" w:oddHBand="0" w:evenHBand="0" w:firstRowFirstColumn="0" w:firstRowLastColumn="0" w:lastRowFirstColumn="0" w:lastRowLastColumn="0"/>
              <w:rPr>
                <w:szCs w:val="22"/>
              </w:rPr>
            </w:pPr>
            <w:r w:rsidRPr="00D01DDB">
              <w:rPr>
                <w:szCs w:val="22"/>
              </w:rPr>
              <w:t xml:space="preserve">Approved on </w:t>
            </w:r>
            <w:r w:rsidR="00AE20E8">
              <w:rPr>
                <w:szCs w:val="22"/>
              </w:rPr>
              <w:t>16</w:t>
            </w:r>
            <w:r w:rsidR="001727F8">
              <w:rPr>
                <w:szCs w:val="22"/>
              </w:rPr>
              <w:t> </w:t>
            </w:r>
            <w:r w:rsidR="00AE20E8">
              <w:rPr>
                <w:szCs w:val="22"/>
              </w:rPr>
              <w:t>November 2016</w:t>
            </w:r>
          </w:p>
        </w:tc>
        <w:tc>
          <w:tcPr>
            <w:tcW w:w="1795" w:type="pct"/>
          </w:tcPr>
          <w:p w14:paraId="05055674" w14:textId="0218AD2D" w:rsidR="00324B33" w:rsidRPr="00AE20E8" w:rsidRDefault="00AE20E8" w:rsidP="00AE20E8">
            <w:pPr>
              <w:cnfStyle w:val="000000000000" w:firstRow="0" w:lastRow="0" w:firstColumn="0" w:lastColumn="0" w:oddVBand="0" w:evenVBand="0" w:oddHBand="0" w:evenHBand="0" w:firstRowFirstColumn="0" w:firstRowLastColumn="0" w:lastRowFirstColumn="0" w:lastRowLastColumn="0"/>
              <w:rPr>
                <w:i/>
                <w:iCs/>
                <w:szCs w:val="22"/>
              </w:rPr>
            </w:pPr>
            <w:r w:rsidRPr="00AE20E8">
              <w:rPr>
                <w:i/>
                <w:iCs/>
                <w:szCs w:val="22"/>
              </w:rPr>
              <w:t>Treatment of moderate to severe dyspareunia, a symptom of vulvar and vaginal atrophy, due to menopause.</w:t>
            </w:r>
          </w:p>
        </w:tc>
      </w:tr>
      <w:tr w:rsidR="00324B33" w:rsidRPr="00D01DDB" w14:paraId="18B6E2AA" w14:textId="7783D66F" w:rsidTr="0013132F">
        <w:tc>
          <w:tcPr>
            <w:cnfStyle w:val="001000000000" w:firstRow="0" w:lastRow="0" w:firstColumn="1" w:lastColumn="0" w:oddVBand="0" w:evenVBand="0" w:oddHBand="0" w:evenHBand="0" w:firstRowFirstColumn="0" w:firstRowLastColumn="0" w:lastRowFirstColumn="0" w:lastRowLastColumn="0"/>
            <w:tcW w:w="1014" w:type="pct"/>
          </w:tcPr>
          <w:p w14:paraId="7F348960" w14:textId="45609B77" w:rsidR="00324B33" w:rsidRPr="00D01DDB" w:rsidRDefault="00AE20E8" w:rsidP="00324B33">
            <w:pPr>
              <w:rPr>
                <w:szCs w:val="22"/>
              </w:rPr>
            </w:pPr>
            <w:r>
              <w:rPr>
                <w:szCs w:val="22"/>
              </w:rPr>
              <w:t>European Union</w:t>
            </w:r>
          </w:p>
        </w:tc>
        <w:tc>
          <w:tcPr>
            <w:tcW w:w="1018" w:type="pct"/>
          </w:tcPr>
          <w:p w14:paraId="1D871E57" w14:textId="0A58675E" w:rsidR="00324B33" w:rsidRPr="00D01DDB" w:rsidRDefault="00AE20E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17 December 2015</w:t>
            </w:r>
          </w:p>
        </w:tc>
        <w:tc>
          <w:tcPr>
            <w:tcW w:w="1173" w:type="pct"/>
          </w:tcPr>
          <w:p w14:paraId="63A3A9D3" w14:textId="4207CC30" w:rsidR="00324B33" w:rsidRPr="00D01DDB" w:rsidRDefault="00AE20E8" w:rsidP="001727F8">
            <w:pPr>
              <w:ind w:right="-112"/>
              <w:cnfStyle w:val="000000000000" w:firstRow="0" w:lastRow="0" w:firstColumn="0" w:lastColumn="0" w:oddVBand="0" w:evenVBand="0" w:oddHBand="0" w:evenHBand="0" w:firstRowFirstColumn="0" w:firstRowLastColumn="0" w:lastRowFirstColumn="0" w:lastRowLastColumn="0"/>
              <w:rPr>
                <w:szCs w:val="22"/>
              </w:rPr>
            </w:pPr>
            <w:r>
              <w:rPr>
                <w:szCs w:val="22"/>
              </w:rPr>
              <w:t>Approved on 8</w:t>
            </w:r>
            <w:r w:rsidR="001727F8">
              <w:rPr>
                <w:szCs w:val="22"/>
              </w:rPr>
              <w:t> </w:t>
            </w:r>
            <w:r>
              <w:rPr>
                <w:szCs w:val="22"/>
              </w:rPr>
              <w:t>January 2018</w:t>
            </w:r>
          </w:p>
        </w:tc>
        <w:tc>
          <w:tcPr>
            <w:tcW w:w="1795" w:type="pct"/>
          </w:tcPr>
          <w:p w14:paraId="17C650B8" w14:textId="206A1CC0" w:rsidR="00324B33" w:rsidRPr="00AE20E8" w:rsidRDefault="00AE20E8" w:rsidP="00AE20E8">
            <w:pPr>
              <w:cnfStyle w:val="000000000000" w:firstRow="0" w:lastRow="0" w:firstColumn="0" w:lastColumn="0" w:oddVBand="0" w:evenVBand="0" w:oddHBand="0" w:evenHBand="0" w:firstRowFirstColumn="0" w:firstRowLastColumn="0" w:lastRowFirstColumn="0" w:lastRowLastColumn="0"/>
              <w:rPr>
                <w:i/>
                <w:iCs/>
                <w:szCs w:val="22"/>
              </w:rPr>
            </w:pPr>
            <w:r w:rsidRPr="00AE20E8">
              <w:rPr>
                <w:i/>
                <w:iCs/>
                <w:szCs w:val="22"/>
              </w:rPr>
              <w:t>Treatment of vulvar and vaginal atrophy in postmenopausal women having moderate to severe symptoms</w:t>
            </w:r>
          </w:p>
        </w:tc>
      </w:tr>
      <w:tr w:rsidR="00AE20E8" w:rsidRPr="00D01DDB" w14:paraId="1BAD1B39"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7E064E6B" w14:textId="2AB2305B" w:rsidR="00AE20E8" w:rsidRDefault="00AE20E8" w:rsidP="00324B33">
            <w:pPr>
              <w:rPr>
                <w:szCs w:val="22"/>
              </w:rPr>
            </w:pPr>
            <w:r>
              <w:rPr>
                <w:szCs w:val="22"/>
              </w:rPr>
              <w:t>United Kingdom</w:t>
            </w:r>
          </w:p>
        </w:tc>
        <w:tc>
          <w:tcPr>
            <w:tcW w:w="1018" w:type="pct"/>
          </w:tcPr>
          <w:p w14:paraId="52FB484B" w14:textId="3CCA721C" w:rsidR="00AE20E8" w:rsidRDefault="00AE20E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22 December 2021</w:t>
            </w:r>
          </w:p>
        </w:tc>
        <w:tc>
          <w:tcPr>
            <w:tcW w:w="1173" w:type="pct"/>
          </w:tcPr>
          <w:p w14:paraId="0D1154F8" w14:textId="2EF6DE45" w:rsidR="00AE20E8" w:rsidRDefault="00AE20E8" w:rsidP="001727F8">
            <w:pPr>
              <w:ind w:right="-112"/>
              <w:cnfStyle w:val="000000000000" w:firstRow="0" w:lastRow="0" w:firstColumn="0" w:lastColumn="0" w:oddVBand="0" w:evenVBand="0" w:oddHBand="0" w:evenHBand="0" w:firstRowFirstColumn="0" w:firstRowLastColumn="0" w:lastRowFirstColumn="0" w:lastRowLastColumn="0"/>
              <w:rPr>
                <w:szCs w:val="22"/>
              </w:rPr>
            </w:pPr>
            <w:r>
              <w:rPr>
                <w:szCs w:val="22"/>
              </w:rPr>
              <w:t>Approved on 4</w:t>
            </w:r>
            <w:r w:rsidR="001727F8">
              <w:rPr>
                <w:szCs w:val="22"/>
              </w:rPr>
              <w:t> </w:t>
            </w:r>
            <w:r>
              <w:rPr>
                <w:szCs w:val="22"/>
              </w:rPr>
              <w:t>March 2022</w:t>
            </w:r>
          </w:p>
        </w:tc>
        <w:tc>
          <w:tcPr>
            <w:tcW w:w="1795" w:type="pct"/>
          </w:tcPr>
          <w:p w14:paraId="6CF55AE6" w14:textId="411B10FF" w:rsidR="00AE20E8" w:rsidRPr="00AE20E8" w:rsidRDefault="00AE20E8" w:rsidP="00AE20E8">
            <w:pPr>
              <w:cnfStyle w:val="000000000000" w:firstRow="0" w:lastRow="0" w:firstColumn="0" w:lastColumn="0" w:oddVBand="0" w:evenVBand="0" w:oddHBand="0" w:evenHBand="0" w:firstRowFirstColumn="0" w:firstRowLastColumn="0" w:lastRowFirstColumn="0" w:lastRowLastColumn="0"/>
              <w:rPr>
                <w:i/>
                <w:iCs/>
                <w:szCs w:val="22"/>
              </w:rPr>
            </w:pPr>
            <w:r w:rsidRPr="00AE20E8">
              <w:rPr>
                <w:i/>
                <w:iCs/>
                <w:szCs w:val="22"/>
              </w:rPr>
              <w:t>Treatment of vulvar and vaginal atrophy in postmenopausal women having moderate to severe symptoms</w:t>
            </w:r>
          </w:p>
        </w:tc>
      </w:tr>
      <w:tr w:rsidR="00AE20E8" w:rsidRPr="00D01DDB" w14:paraId="0590BE85"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2534C405" w14:textId="49603470" w:rsidR="00AE20E8" w:rsidRDefault="00AE20E8" w:rsidP="00324B33">
            <w:pPr>
              <w:rPr>
                <w:szCs w:val="22"/>
              </w:rPr>
            </w:pPr>
            <w:r>
              <w:rPr>
                <w:szCs w:val="22"/>
              </w:rPr>
              <w:t>Canada</w:t>
            </w:r>
          </w:p>
        </w:tc>
        <w:tc>
          <w:tcPr>
            <w:tcW w:w="1018" w:type="pct"/>
          </w:tcPr>
          <w:p w14:paraId="7450C749" w14:textId="58CBA825" w:rsidR="00AE20E8" w:rsidRDefault="00AE20E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29 September 2016</w:t>
            </w:r>
          </w:p>
        </w:tc>
        <w:tc>
          <w:tcPr>
            <w:tcW w:w="1173" w:type="pct"/>
          </w:tcPr>
          <w:p w14:paraId="59FA22B2" w14:textId="501C338B" w:rsidR="00AE20E8" w:rsidRDefault="00AE20E8" w:rsidP="001727F8">
            <w:pPr>
              <w:ind w:right="-112"/>
              <w:cnfStyle w:val="000000000000" w:firstRow="0" w:lastRow="0" w:firstColumn="0" w:lastColumn="0" w:oddVBand="0" w:evenVBand="0" w:oddHBand="0" w:evenHBand="0" w:firstRowFirstColumn="0" w:firstRowLastColumn="0" w:lastRowFirstColumn="0" w:lastRowLastColumn="0"/>
              <w:rPr>
                <w:szCs w:val="22"/>
              </w:rPr>
            </w:pPr>
            <w:r>
              <w:rPr>
                <w:szCs w:val="22"/>
              </w:rPr>
              <w:t>Approved on 1</w:t>
            </w:r>
            <w:r w:rsidR="001727F8">
              <w:rPr>
                <w:szCs w:val="22"/>
              </w:rPr>
              <w:t> </w:t>
            </w:r>
            <w:r>
              <w:rPr>
                <w:szCs w:val="22"/>
              </w:rPr>
              <w:t>November 2019</w:t>
            </w:r>
          </w:p>
        </w:tc>
        <w:tc>
          <w:tcPr>
            <w:tcW w:w="1795" w:type="pct"/>
          </w:tcPr>
          <w:p w14:paraId="6C11E525" w14:textId="2740D6B6" w:rsidR="00AE20E8" w:rsidRPr="00AE20E8" w:rsidRDefault="00AE20E8" w:rsidP="00324B33">
            <w:pPr>
              <w:cnfStyle w:val="000000000000" w:firstRow="0" w:lastRow="0" w:firstColumn="0" w:lastColumn="0" w:oddVBand="0" w:evenVBand="0" w:oddHBand="0" w:evenHBand="0" w:firstRowFirstColumn="0" w:firstRowLastColumn="0" w:lastRowFirstColumn="0" w:lastRowLastColumn="0"/>
              <w:rPr>
                <w:i/>
                <w:iCs/>
                <w:szCs w:val="22"/>
              </w:rPr>
            </w:pPr>
            <w:r w:rsidRPr="00AE20E8">
              <w:rPr>
                <w:i/>
                <w:iCs/>
                <w:szCs w:val="22"/>
              </w:rPr>
              <w:t>Treatment of postmenopausal vulvovaginal atrophy</w:t>
            </w:r>
          </w:p>
        </w:tc>
      </w:tr>
      <w:tr w:rsidR="00AE20E8" w:rsidRPr="00D01DDB" w14:paraId="3D18D9F9"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7454391F" w14:textId="56D5DC1E" w:rsidR="00AE20E8" w:rsidRDefault="00AE20E8" w:rsidP="00324B33">
            <w:pPr>
              <w:rPr>
                <w:szCs w:val="22"/>
              </w:rPr>
            </w:pPr>
            <w:r>
              <w:rPr>
                <w:szCs w:val="22"/>
              </w:rPr>
              <w:t>Switzerland</w:t>
            </w:r>
          </w:p>
        </w:tc>
        <w:tc>
          <w:tcPr>
            <w:tcW w:w="1018" w:type="pct"/>
          </w:tcPr>
          <w:p w14:paraId="5E206122" w14:textId="7301F412" w:rsidR="00AE20E8" w:rsidRDefault="00AE20E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 November 2018</w:t>
            </w:r>
          </w:p>
        </w:tc>
        <w:tc>
          <w:tcPr>
            <w:tcW w:w="1173" w:type="pct"/>
          </w:tcPr>
          <w:p w14:paraId="1B3B2D65" w14:textId="73AEE0B0" w:rsidR="00AE20E8" w:rsidRDefault="00AE20E8" w:rsidP="001727F8">
            <w:pPr>
              <w:ind w:right="-112"/>
              <w:cnfStyle w:val="000000000000" w:firstRow="0" w:lastRow="0" w:firstColumn="0" w:lastColumn="0" w:oddVBand="0" w:evenVBand="0" w:oddHBand="0" w:evenHBand="0" w:firstRowFirstColumn="0" w:firstRowLastColumn="0" w:lastRowFirstColumn="0" w:lastRowLastColumn="0"/>
              <w:rPr>
                <w:szCs w:val="22"/>
              </w:rPr>
            </w:pPr>
            <w:r>
              <w:rPr>
                <w:szCs w:val="22"/>
              </w:rPr>
              <w:t>Approved on 19</w:t>
            </w:r>
            <w:r w:rsidR="001727F8">
              <w:rPr>
                <w:szCs w:val="22"/>
              </w:rPr>
              <w:t> </w:t>
            </w:r>
            <w:r>
              <w:rPr>
                <w:szCs w:val="22"/>
              </w:rPr>
              <w:t>May 2020</w:t>
            </w:r>
          </w:p>
        </w:tc>
        <w:tc>
          <w:tcPr>
            <w:tcW w:w="1795" w:type="pct"/>
          </w:tcPr>
          <w:p w14:paraId="48493F94" w14:textId="51112C19" w:rsidR="00AE20E8" w:rsidRPr="00AE20E8" w:rsidRDefault="00AE20E8" w:rsidP="00AE20E8">
            <w:pPr>
              <w:cnfStyle w:val="000000000000" w:firstRow="0" w:lastRow="0" w:firstColumn="0" w:lastColumn="0" w:oddVBand="0" w:evenVBand="0" w:oddHBand="0" w:evenHBand="0" w:firstRowFirstColumn="0" w:firstRowLastColumn="0" w:lastRowFirstColumn="0" w:lastRowLastColumn="0"/>
              <w:rPr>
                <w:i/>
                <w:iCs/>
                <w:szCs w:val="22"/>
              </w:rPr>
            </w:pPr>
            <w:r w:rsidRPr="00AE20E8">
              <w:rPr>
                <w:i/>
                <w:iCs/>
                <w:szCs w:val="22"/>
              </w:rPr>
              <w:t>Local treatment of vulvovaginal atrophy in postmenopausal women.</w:t>
            </w:r>
          </w:p>
        </w:tc>
      </w:tr>
    </w:tbl>
    <w:p w14:paraId="064CCADF" w14:textId="77777777" w:rsidR="00324B33" w:rsidRDefault="00324B33" w:rsidP="00324B33">
      <w:pPr>
        <w:pStyle w:val="Heading3"/>
      </w:pPr>
      <w:bookmarkStart w:id="21" w:name="_Toc103679292"/>
      <w:bookmarkStart w:id="22" w:name="_Toc146618666"/>
      <w:r>
        <w:t>Product Information</w:t>
      </w:r>
      <w:bookmarkEnd w:id="21"/>
      <w:bookmarkEnd w:id="22"/>
    </w:p>
    <w:p w14:paraId="4B0F7D57" w14:textId="2ADDBA12" w:rsidR="00324B33" w:rsidRPr="00BD5DBD" w:rsidRDefault="00324B33" w:rsidP="00324B33">
      <w:pPr>
        <w:rPr>
          <w:szCs w:val="22"/>
        </w:rPr>
      </w:pPr>
      <w:bookmarkStart w:id="23" w:name="_Toc504480011"/>
      <w:r w:rsidRPr="00BD5DBD">
        <w:rPr>
          <w:szCs w:val="22"/>
        </w:rPr>
        <w:t xml:space="preserve">The </w:t>
      </w:r>
      <w:hyperlink r:id="rId20" w:history="1">
        <w:r w:rsidRPr="00BD5DBD">
          <w:rPr>
            <w:rStyle w:val="Hyperlink"/>
            <w:szCs w:val="22"/>
          </w:rPr>
          <w:t>Product Information</w:t>
        </w:r>
      </w:hyperlink>
      <w:r w:rsidRPr="00BD5DBD">
        <w:rPr>
          <w:szCs w:val="22"/>
        </w:rPr>
        <w:t xml:space="preserve"> (</w:t>
      </w:r>
      <w:hyperlink r:id="rId21" w:history="1">
        <w:r w:rsidRPr="00BD5DBD">
          <w:rPr>
            <w:rStyle w:val="Hyperlink"/>
            <w:szCs w:val="22"/>
          </w:rPr>
          <w:t>PI</w:t>
        </w:r>
      </w:hyperlink>
      <w:r w:rsidRPr="00BD5DBD">
        <w:rPr>
          <w:szCs w:val="22"/>
        </w:rPr>
        <w:t>) approved with the submission which is described in this AusPAR can be found as Attachment 1. For the most recent PI</w:t>
      </w:r>
      <w:r w:rsidR="00A93DC6" w:rsidRPr="00BD5DBD">
        <w:rPr>
          <w:szCs w:val="22"/>
        </w:rPr>
        <w:t xml:space="preserve"> and </w:t>
      </w:r>
      <w:hyperlink r:id="rId22" w:history="1">
        <w:r w:rsidR="00A93DC6" w:rsidRPr="00BD5DBD">
          <w:rPr>
            <w:rStyle w:val="Hyperlink"/>
            <w:szCs w:val="22"/>
          </w:rPr>
          <w:t>Consumer Medicines Information</w:t>
        </w:r>
      </w:hyperlink>
      <w:r w:rsidR="00A93DC6" w:rsidRPr="00BD5DBD">
        <w:rPr>
          <w:szCs w:val="22"/>
        </w:rPr>
        <w:t xml:space="preserve"> (CMI)</w:t>
      </w:r>
      <w:r w:rsidRPr="00BD5DBD">
        <w:rPr>
          <w:szCs w:val="22"/>
        </w:rPr>
        <w:t xml:space="preserve">, please refer to the TGA </w:t>
      </w:r>
      <w:hyperlink r:id="rId23" w:history="1">
        <w:r w:rsidRPr="00BD5DBD">
          <w:rPr>
            <w:rStyle w:val="Hyperlink"/>
            <w:szCs w:val="22"/>
          </w:rPr>
          <w:t>PI/CMI search facility.</w:t>
        </w:r>
      </w:hyperlink>
    </w:p>
    <w:p w14:paraId="6D92589C" w14:textId="77777777" w:rsidR="00324B33" w:rsidRDefault="00324B33" w:rsidP="00324B33">
      <w:pPr>
        <w:pStyle w:val="Heading2"/>
      </w:pPr>
      <w:bookmarkStart w:id="24" w:name="_Toc103679293"/>
      <w:bookmarkStart w:id="25" w:name="_Toc146618667"/>
      <w:r>
        <w:t>Registration timeline</w:t>
      </w:r>
      <w:bookmarkEnd w:id="23"/>
      <w:bookmarkEnd w:id="24"/>
      <w:bookmarkEnd w:id="25"/>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5D0F56A3" w:rsidR="00477C4E" w:rsidRPr="00BD5DBD" w:rsidRDefault="00477C4E" w:rsidP="00324B33">
      <w:pPr>
        <w:rPr>
          <w:szCs w:val="22"/>
        </w:rPr>
      </w:pPr>
      <w:r w:rsidRPr="00BD5DBD">
        <w:rPr>
          <w:szCs w:val="22"/>
        </w:rPr>
        <w:t xml:space="preserve">This submission was evaluated under the </w:t>
      </w:r>
      <w:hyperlink r:id="rId24" w:history="1">
        <w:r w:rsidRPr="00BD5DBD">
          <w:rPr>
            <w:rStyle w:val="Hyperlink"/>
            <w:szCs w:val="22"/>
          </w:rPr>
          <w:t>standard prescription medicines registration process</w:t>
        </w:r>
      </w:hyperlink>
      <w:r w:rsidRPr="00BD5DBD">
        <w:rPr>
          <w:szCs w:val="22"/>
        </w:rPr>
        <w:t>.</w:t>
      </w:r>
    </w:p>
    <w:p w14:paraId="44628C5F" w14:textId="2D1F2EC5" w:rsidR="00324B33" w:rsidRDefault="00324B33" w:rsidP="0013528C">
      <w:pPr>
        <w:pStyle w:val="TableTitle"/>
      </w:pPr>
      <w:r>
        <w:t xml:space="preserve">Table </w:t>
      </w:r>
      <w:r w:rsidR="0013528C">
        <w:fldChar w:fldCharType="begin"/>
      </w:r>
      <w:r w:rsidR="0013528C">
        <w:rPr>
          <w:b w:val="0"/>
        </w:rPr>
        <w:instrText xml:space="preserve"> SEQ Table \* ARABIC </w:instrText>
      </w:r>
      <w:r w:rsidR="0013528C">
        <w:fldChar w:fldCharType="separate"/>
      </w:r>
      <w:r w:rsidR="0067247F">
        <w:rPr>
          <w:b w:val="0"/>
          <w:noProof/>
        </w:rPr>
        <w:t>2</w:t>
      </w:r>
      <w:r w:rsidR="0013528C">
        <w:rPr>
          <w:noProof/>
        </w:rPr>
        <w:fldChar w:fldCharType="end"/>
      </w:r>
      <w:r>
        <w:t>:</w:t>
      </w:r>
      <w:r w:rsidRPr="006A58A8">
        <w:t xml:space="preserve"> Timeline for Submission PM-20</w:t>
      </w:r>
      <w:r>
        <w:t>2</w:t>
      </w:r>
      <w:r w:rsidR="00AE20E8">
        <w:t>2</w:t>
      </w:r>
      <w:r w:rsidRPr="006A58A8">
        <w:t>-</w:t>
      </w:r>
      <w:r w:rsidR="00AE20E8">
        <w:t>02509</w:t>
      </w:r>
      <w:r w:rsidRPr="006A58A8">
        <w:t>-1-</w:t>
      </w:r>
      <w:r w:rsidR="00AE20E8">
        <w:t>5</w:t>
      </w:r>
    </w:p>
    <w:tbl>
      <w:tblPr>
        <w:tblStyle w:val="TableTGAblue2023"/>
        <w:tblW w:w="8642" w:type="dxa"/>
        <w:tblLook w:val="04A0" w:firstRow="1" w:lastRow="0" w:firstColumn="1" w:lastColumn="0" w:noHBand="0" w:noVBand="1"/>
      </w:tblPr>
      <w:tblGrid>
        <w:gridCol w:w="4390"/>
        <w:gridCol w:w="4252"/>
      </w:tblGrid>
      <w:tr w:rsidR="00324B33" w:rsidRPr="00D01DDB" w14:paraId="6C59BE9C" w14:textId="77777777" w:rsidTr="00324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6D80E78" w14:textId="3EC0CCAF" w:rsidR="00324B33" w:rsidRPr="00D01DDB" w:rsidRDefault="00324B33" w:rsidP="00324B33">
            <w:pPr>
              <w:rPr>
                <w:szCs w:val="22"/>
              </w:rPr>
            </w:pPr>
            <w:r w:rsidRPr="00D01DDB">
              <w:rPr>
                <w:szCs w:val="22"/>
              </w:rPr>
              <w:t>Description</w:t>
            </w:r>
          </w:p>
        </w:tc>
        <w:tc>
          <w:tcPr>
            <w:tcW w:w="4252"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59D2A12" w14:textId="0D705F83" w:rsidR="00324B33" w:rsidRPr="00D01DDB" w:rsidRDefault="00324B33" w:rsidP="00324B33">
            <w:pPr>
              <w:rPr>
                <w:szCs w:val="22"/>
              </w:rPr>
            </w:pPr>
            <w:r w:rsidRPr="00D01DDB">
              <w:rPr>
                <w:szCs w:val="22"/>
              </w:rPr>
              <w:t>Submission dossier accepted and first round evaluation commenced</w:t>
            </w:r>
          </w:p>
        </w:tc>
        <w:tc>
          <w:tcPr>
            <w:tcW w:w="4252" w:type="dxa"/>
          </w:tcPr>
          <w:p w14:paraId="2963D9D8" w14:textId="642D6DD4" w:rsidR="00324B33" w:rsidRPr="00D01DDB" w:rsidRDefault="00A9357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August 2022</w:t>
            </w:r>
          </w:p>
        </w:tc>
      </w:tr>
      <w:tr w:rsidR="00324B33" w:rsidRPr="00D01DDB" w14:paraId="53437815"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4C037D4E" w14:textId="2B0CE255" w:rsidR="00324B33" w:rsidRPr="00D01DDB" w:rsidRDefault="00324B33" w:rsidP="00324B33">
            <w:pPr>
              <w:rPr>
                <w:szCs w:val="22"/>
              </w:rPr>
            </w:pPr>
            <w:r w:rsidRPr="00D01DDB">
              <w:rPr>
                <w:szCs w:val="22"/>
              </w:rPr>
              <w:t>First round evaluation completed</w:t>
            </w:r>
          </w:p>
        </w:tc>
        <w:tc>
          <w:tcPr>
            <w:tcW w:w="4252" w:type="dxa"/>
          </w:tcPr>
          <w:p w14:paraId="3CEAFAAB" w14:textId="71CFE8E6" w:rsidR="00324B33" w:rsidRPr="00D01DDB" w:rsidRDefault="00A9357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18 January 2023</w:t>
            </w:r>
          </w:p>
        </w:tc>
      </w:tr>
      <w:tr w:rsidR="00324B33" w:rsidRPr="00D01DDB" w14:paraId="60DA57CC"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02EA1147" w14:textId="2853A422" w:rsidR="00324B33" w:rsidRPr="00D01DDB" w:rsidRDefault="00324B33" w:rsidP="00324B33">
            <w:pPr>
              <w:rPr>
                <w:szCs w:val="22"/>
              </w:rPr>
            </w:pPr>
            <w:r w:rsidRPr="00D01DDB">
              <w:rPr>
                <w:szCs w:val="22"/>
              </w:rPr>
              <w:t>Sponsor provides responses on questions raised in first round evaluation</w:t>
            </w:r>
          </w:p>
        </w:tc>
        <w:tc>
          <w:tcPr>
            <w:tcW w:w="4252" w:type="dxa"/>
          </w:tcPr>
          <w:p w14:paraId="68A577C1" w14:textId="576ECE99" w:rsidR="00324B33" w:rsidRPr="00D01DDB" w:rsidRDefault="00A9357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17 March 2023</w:t>
            </w:r>
          </w:p>
        </w:tc>
      </w:tr>
      <w:tr w:rsidR="00324B33" w:rsidRPr="00D01DDB" w14:paraId="767E33A4"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4AFC5B50" w14:textId="2BCC6A3E" w:rsidR="00324B33" w:rsidRPr="00D01DDB" w:rsidRDefault="00324B33" w:rsidP="00324B33">
            <w:pPr>
              <w:rPr>
                <w:szCs w:val="22"/>
              </w:rPr>
            </w:pPr>
            <w:r w:rsidRPr="00D01DDB">
              <w:rPr>
                <w:szCs w:val="22"/>
              </w:rPr>
              <w:lastRenderedPageBreak/>
              <w:t>Second round evaluation completed</w:t>
            </w:r>
          </w:p>
        </w:tc>
        <w:tc>
          <w:tcPr>
            <w:tcW w:w="4252" w:type="dxa"/>
          </w:tcPr>
          <w:p w14:paraId="4E47DF62" w14:textId="61D659EF" w:rsidR="00324B33" w:rsidRPr="00D01DDB" w:rsidRDefault="00A9357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28 March 2023</w:t>
            </w:r>
          </w:p>
        </w:tc>
      </w:tr>
      <w:tr w:rsidR="00324B33" w:rsidRPr="00D01DDB" w14:paraId="302FCB45"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16E9DC1" w14:textId="7003222F" w:rsidR="00324B33" w:rsidRPr="00D01DDB" w:rsidRDefault="00324B33" w:rsidP="00324B33">
            <w:pPr>
              <w:rPr>
                <w:szCs w:val="22"/>
              </w:rPr>
            </w:pPr>
            <w:r w:rsidRPr="00D01DDB">
              <w:rPr>
                <w:szCs w:val="22"/>
              </w:rPr>
              <w:t>Delegate’s Overall benefit-risk assessment</w:t>
            </w:r>
          </w:p>
        </w:tc>
        <w:tc>
          <w:tcPr>
            <w:tcW w:w="4252" w:type="dxa"/>
          </w:tcPr>
          <w:p w14:paraId="3BA6EF79" w14:textId="0B2EAD93" w:rsidR="00324B33" w:rsidRPr="00D01DDB" w:rsidRDefault="00A9357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13 June 2023</w:t>
            </w:r>
          </w:p>
        </w:tc>
      </w:tr>
      <w:tr w:rsidR="00324B33" w:rsidRPr="00D01DDB" w14:paraId="5832EBC8"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20592DE" w14:textId="1F72CD22" w:rsidR="00324B33" w:rsidRPr="00D01DDB" w:rsidRDefault="00324B33" w:rsidP="00324B33">
            <w:pPr>
              <w:rPr>
                <w:szCs w:val="22"/>
              </w:rPr>
            </w:pPr>
            <w:r w:rsidRPr="00D01DDB">
              <w:rPr>
                <w:szCs w:val="22"/>
              </w:rPr>
              <w:t>Sponsor’s pre-Advisory Committee response</w:t>
            </w:r>
          </w:p>
        </w:tc>
        <w:tc>
          <w:tcPr>
            <w:tcW w:w="4252" w:type="dxa"/>
          </w:tcPr>
          <w:p w14:paraId="5AE04841" w14:textId="755EE110" w:rsidR="00324B33" w:rsidRPr="00D01DDB" w:rsidRDefault="00A9357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Not applicable</w:t>
            </w:r>
          </w:p>
        </w:tc>
      </w:tr>
      <w:tr w:rsidR="00324B33" w:rsidRPr="00D01DDB" w14:paraId="5754F7AC"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89DE187" w14:textId="123446EE" w:rsidR="00324B33" w:rsidRPr="00D01DDB" w:rsidRDefault="00324B33" w:rsidP="00324B33">
            <w:pPr>
              <w:rPr>
                <w:szCs w:val="22"/>
              </w:rPr>
            </w:pPr>
            <w:r w:rsidRPr="00D01DDB">
              <w:rPr>
                <w:szCs w:val="22"/>
              </w:rPr>
              <w:t>Advisory Committee meeting</w:t>
            </w:r>
          </w:p>
        </w:tc>
        <w:tc>
          <w:tcPr>
            <w:tcW w:w="4252" w:type="dxa"/>
          </w:tcPr>
          <w:p w14:paraId="5BE1EDE7" w14:textId="53F0D441" w:rsidR="00324B33" w:rsidRPr="00D01DDB" w:rsidRDefault="00A9357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Not applicable</w:t>
            </w:r>
          </w:p>
        </w:tc>
      </w:tr>
      <w:tr w:rsidR="00324B33" w:rsidRPr="00D01DDB" w14:paraId="6E5D32FE"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4E95C44C" w14:textId="7A91C710" w:rsidR="00324B33" w:rsidRPr="00D01DDB" w:rsidRDefault="00324B33" w:rsidP="00324B33">
            <w:pPr>
              <w:rPr>
                <w:szCs w:val="22"/>
              </w:rPr>
            </w:pPr>
            <w:r w:rsidRPr="00D01DDB">
              <w:rPr>
                <w:szCs w:val="22"/>
              </w:rPr>
              <w:t>Registration decision (Outcome)</w:t>
            </w:r>
          </w:p>
        </w:tc>
        <w:tc>
          <w:tcPr>
            <w:tcW w:w="4252" w:type="dxa"/>
          </w:tcPr>
          <w:p w14:paraId="62987ABD" w14:textId="1FE8B83F" w:rsidR="00324B33" w:rsidRPr="00D01DDB" w:rsidRDefault="00A9357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15 June 2023</w:t>
            </w:r>
          </w:p>
        </w:tc>
      </w:tr>
      <w:tr w:rsidR="00324B33" w:rsidRPr="00D01DDB" w14:paraId="6DDCDDA4"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192FD19D" w14:textId="7D5F96C5" w:rsidR="00324B33" w:rsidRPr="00D01DDB" w:rsidRDefault="0013132F" w:rsidP="00324B33">
            <w:pPr>
              <w:rPr>
                <w:szCs w:val="22"/>
              </w:rPr>
            </w:pPr>
            <w:r>
              <w:t>Administrative activities and registration on the ARTG completed</w:t>
            </w:r>
          </w:p>
        </w:tc>
        <w:tc>
          <w:tcPr>
            <w:tcW w:w="4252" w:type="dxa"/>
          </w:tcPr>
          <w:p w14:paraId="5A8923FD" w14:textId="546A8302" w:rsidR="00324B33" w:rsidRPr="00D01DDB" w:rsidRDefault="00A9357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16 June 2023</w:t>
            </w:r>
          </w:p>
        </w:tc>
      </w:tr>
      <w:tr w:rsidR="00324B33" w:rsidRPr="00D01DDB" w14:paraId="56D922E2"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87FD8DD" w14:textId="0E0CF97F" w:rsidR="00324B33" w:rsidRPr="00D01DDB" w:rsidRDefault="00324B33" w:rsidP="00324B33">
            <w:pPr>
              <w:rPr>
                <w:szCs w:val="22"/>
              </w:rPr>
            </w:pPr>
            <w:r w:rsidRPr="00D01DDB">
              <w:rPr>
                <w:szCs w:val="22"/>
              </w:rPr>
              <w:t>Number of working days from submission dossier acceptance to registration decision*</w:t>
            </w:r>
          </w:p>
        </w:tc>
        <w:tc>
          <w:tcPr>
            <w:tcW w:w="4252" w:type="dxa"/>
          </w:tcPr>
          <w:p w14:paraId="5BAF9FA1" w14:textId="580A108E" w:rsidR="00324B33" w:rsidRPr="00D01DDB" w:rsidRDefault="00A9357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150</w:t>
            </w:r>
          </w:p>
        </w:tc>
      </w:tr>
    </w:tbl>
    <w:p w14:paraId="47E88CFC" w14:textId="52215AAF" w:rsidR="00433318" w:rsidRDefault="00433318" w:rsidP="00854D98">
      <w:pPr>
        <w:pStyle w:val="TableDescription"/>
      </w:pPr>
      <w:r w:rsidRPr="00006FAB">
        <w:t>* The COR-B process has a 175 working day evaluation and decision timeframe.</w:t>
      </w:r>
    </w:p>
    <w:p w14:paraId="220925F1" w14:textId="77777777" w:rsidR="00C22214" w:rsidRPr="00792A32" w:rsidRDefault="00C22214" w:rsidP="00C22214">
      <w:pPr>
        <w:pStyle w:val="Heading2"/>
      </w:pPr>
      <w:bookmarkStart w:id="26" w:name="_Toc196046504"/>
      <w:bookmarkStart w:id="27" w:name="_Toc247691527"/>
      <w:bookmarkStart w:id="28" w:name="_Toc314842510"/>
      <w:bookmarkStart w:id="29" w:name="_Toc103679294"/>
      <w:bookmarkStart w:id="30" w:name="_Toc146618668"/>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26"/>
      <w:bookmarkEnd w:id="27"/>
      <w:bookmarkEnd w:id="28"/>
      <w:bookmarkEnd w:id="29"/>
      <w:bookmarkEnd w:id="30"/>
    </w:p>
    <w:p w14:paraId="5F5FAA14" w14:textId="77777777" w:rsidR="00C22214" w:rsidRPr="00BD5DBD" w:rsidRDefault="00C22214" w:rsidP="00C22214">
      <w:pPr>
        <w:rPr>
          <w:szCs w:val="22"/>
        </w:rPr>
      </w:pPr>
      <w:bookmarkStart w:id="31" w:name="_Toc247691528"/>
      <w:bookmarkStart w:id="32" w:name="_Toc314842511"/>
      <w:r w:rsidRPr="00BD5DBD">
        <w:rPr>
          <w:szCs w:val="22"/>
        </w:rPr>
        <w:t>This section is a TGA summary of wording used in TGA’s evaluation report, which discussed numerous aspects of overseas evaluation reports and included some information that was commercial-in-confidence.</w:t>
      </w:r>
    </w:p>
    <w:p w14:paraId="37F5A1C0" w14:textId="77777777" w:rsidR="00C22214" w:rsidRDefault="00C22214" w:rsidP="00C22214">
      <w:pPr>
        <w:pStyle w:val="Heading3"/>
      </w:pPr>
      <w:bookmarkStart w:id="33" w:name="_Toc103679295"/>
      <w:bookmarkStart w:id="34" w:name="_Toc146618669"/>
      <w:r>
        <w:t>Quality</w:t>
      </w:r>
      <w:bookmarkEnd w:id="31"/>
      <w:bookmarkEnd w:id="32"/>
      <w:bookmarkEnd w:id="33"/>
      <w:bookmarkEnd w:id="34"/>
    </w:p>
    <w:p w14:paraId="401FAAA7" w14:textId="075B3E07" w:rsidR="00AB01D0" w:rsidRDefault="00AB01D0" w:rsidP="00AB01D0">
      <w:proofErr w:type="spellStart"/>
      <w:r w:rsidRPr="00AB01D0">
        <w:t>Prasterone</w:t>
      </w:r>
      <w:proofErr w:type="spellEnd"/>
      <w:r w:rsidRPr="00AB01D0">
        <w:t xml:space="preserve"> (3β-hydroxyandrost-5-en-17-one, see </w:t>
      </w:r>
      <w:r w:rsidR="00E71FC0">
        <w:fldChar w:fldCharType="begin"/>
      </w:r>
      <w:r w:rsidR="00E71FC0">
        <w:instrText xml:space="preserve"> REF _Ref146606892 \h </w:instrText>
      </w:r>
      <w:r w:rsidR="00E71FC0">
        <w:fldChar w:fldCharType="separate"/>
      </w:r>
      <w:r w:rsidR="0067247F" w:rsidRPr="00AB01D0">
        <w:t xml:space="preserve">Figure </w:t>
      </w:r>
      <w:r w:rsidR="0067247F">
        <w:rPr>
          <w:noProof/>
        </w:rPr>
        <w:t>1</w:t>
      </w:r>
      <w:r w:rsidR="00E71FC0">
        <w:fldChar w:fldCharType="end"/>
      </w:r>
      <w:r w:rsidRPr="00AB01D0">
        <w:t>) or dehydroepiandrosterone (DHEA), is a precursor steroid which is inactive by itself, with no estrogenic, androgenic, or other hormonal activity. Following intravaginal administration, prasterone is transformed inside the vaginal cells into estrogens and androgens.</w:t>
      </w:r>
    </w:p>
    <w:p w14:paraId="23E36509" w14:textId="34055179" w:rsidR="00AB01D0" w:rsidRDefault="00AB01D0" w:rsidP="00AB01D0">
      <w:pPr>
        <w:pStyle w:val="FigureTitle"/>
      </w:pPr>
      <w:bookmarkStart w:id="35" w:name="_Ref146606892"/>
      <w:r w:rsidRPr="00AB01D0">
        <w:t xml:space="preserve">Figure </w:t>
      </w:r>
      <w:r w:rsidR="004E2876">
        <w:fldChar w:fldCharType="begin"/>
      </w:r>
      <w:r w:rsidR="004E2876">
        <w:instrText xml:space="preserve"> SEQ Figure \* ARABIC </w:instrText>
      </w:r>
      <w:r w:rsidR="004E2876">
        <w:fldChar w:fldCharType="separate"/>
      </w:r>
      <w:r w:rsidR="0067247F">
        <w:rPr>
          <w:noProof/>
        </w:rPr>
        <w:t>1</w:t>
      </w:r>
      <w:r w:rsidR="004E2876">
        <w:rPr>
          <w:noProof/>
        </w:rPr>
        <w:fldChar w:fldCharType="end"/>
      </w:r>
      <w:bookmarkEnd w:id="35"/>
      <w:r>
        <w:t>: Chemical structure of prasterone</w:t>
      </w:r>
    </w:p>
    <w:p w14:paraId="7783A951" w14:textId="4EFA9574" w:rsidR="00AB01D0" w:rsidRPr="00AB01D0" w:rsidRDefault="00AB01D0" w:rsidP="00AB01D0">
      <w:r>
        <w:rPr>
          <w:noProof/>
        </w:rPr>
        <w:drawing>
          <wp:inline distT="0" distB="0" distL="0" distR="0" wp14:anchorId="7E446A9D" wp14:editId="7485FB5B">
            <wp:extent cx="2820838" cy="1697217"/>
            <wp:effectExtent l="0" t="0" r="0" b="0"/>
            <wp:docPr id="1" name="Picture 1" descr="Figure 1: Chemical structure of praste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Chemical structure of prasterone"/>
                    <pic:cNvPicPr/>
                  </pic:nvPicPr>
                  <pic:blipFill>
                    <a:blip r:embed="rId25"/>
                    <a:stretch>
                      <a:fillRect/>
                    </a:stretch>
                  </pic:blipFill>
                  <pic:spPr>
                    <a:xfrm>
                      <a:off x="0" y="0"/>
                      <a:ext cx="2823983" cy="1699110"/>
                    </a:xfrm>
                    <a:prstGeom prst="rect">
                      <a:avLst/>
                    </a:prstGeom>
                  </pic:spPr>
                </pic:pic>
              </a:graphicData>
            </a:graphic>
          </wp:inline>
        </w:drawing>
      </w:r>
    </w:p>
    <w:p w14:paraId="42C72012" w14:textId="77777777" w:rsidR="00AB01D0" w:rsidRPr="00AB01D0" w:rsidRDefault="00AB01D0" w:rsidP="00AB01D0">
      <w:r w:rsidRPr="00AB01D0">
        <w:t>The drug product is administered intravaginally with the use of a provided applicator or with fingers once a day at bedtime (6.5 mg daily dose) and is indicated for the treatment of postmenopausal vulvovaginal atrophy.</w:t>
      </w:r>
    </w:p>
    <w:p w14:paraId="6C2629AE" w14:textId="295FBD57" w:rsidR="00AB01D0" w:rsidRPr="00AB01D0" w:rsidRDefault="00AB01D0" w:rsidP="00AB01D0">
      <w:r w:rsidRPr="00AB01D0">
        <w:t xml:space="preserve">The drug product is a white, bullet-shaped pessary, approximately 28 mm long and 8.6 mm in diameter at its widest end and packaged as a kit with 28 pessaries in blister packs and </w:t>
      </w:r>
      <w:r w:rsidR="00E71FC0">
        <w:t>six</w:t>
      </w:r>
      <w:r w:rsidRPr="00AB01D0">
        <w:t xml:space="preserve"> </w:t>
      </w:r>
      <w:r w:rsidRPr="00AB01D0">
        <w:lastRenderedPageBreak/>
        <w:t>applicators. The applicators are intended to be reused with rinsing under running water and discarded after a one week of usage. Two additional applicators are provided if necessary.</w:t>
      </w:r>
    </w:p>
    <w:p w14:paraId="3C36DDF4" w14:textId="79930F50" w:rsidR="00AB01D0" w:rsidRPr="00AB01D0" w:rsidRDefault="00AB01D0" w:rsidP="00AB01D0">
      <w:pPr>
        <w:rPr>
          <w:szCs w:val="22"/>
        </w:rPr>
      </w:pPr>
      <w:r w:rsidRPr="00AB01D0">
        <w:rPr>
          <w:szCs w:val="22"/>
        </w:rPr>
        <w:t>Approval is recommended for registration of the proposed product from a pharmaceutical chemistry perspective.</w:t>
      </w:r>
    </w:p>
    <w:p w14:paraId="2BE90AAE" w14:textId="09565E1A" w:rsidR="00C22214" w:rsidRDefault="00C22214" w:rsidP="00C22214">
      <w:pPr>
        <w:pStyle w:val="Heading3"/>
      </w:pPr>
      <w:bookmarkStart w:id="36" w:name="_Toc314842512"/>
      <w:bookmarkStart w:id="37" w:name="_Toc103679296"/>
      <w:bookmarkStart w:id="38" w:name="_Toc146618670"/>
      <w:r>
        <w:t>Nonclinical</w:t>
      </w:r>
      <w:bookmarkEnd w:id="36"/>
      <w:bookmarkEnd w:id="37"/>
      <w:bookmarkEnd w:id="38"/>
    </w:p>
    <w:p w14:paraId="608E2A19" w14:textId="763FDFFC" w:rsidR="00AB01D0" w:rsidRPr="00AB01D0" w:rsidRDefault="00AB01D0" w:rsidP="00AB01D0">
      <w:bookmarkStart w:id="39" w:name="_Toc247691530"/>
      <w:bookmarkStart w:id="40" w:name="_Toc314842513"/>
      <w:bookmarkStart w:id="41" w:name="_Toc103679297"/>
      <w:r>
        <w:t xml:space="preserve">The nonclinical dossier </w:t>
      </w:r>
      <w:r w:rsidRPr="00AB01D0">
        <w:t>contained a limited set of studies (on pharmacokinetic drug interactions, repeat-dose toxicity and genotoxicity) plus a large number of published papers (but was not a formal literature based-submission with an approved systematic search strategy). The nonclinical dossier was of poor overall quality.</w:t>
      </w:r>
    </w:p>
    <w:p w14:paraId="48F1F1D9" w14:textId="63F794CD" w:rsidR="00AB01D0" w:rsidRPr="00AB01D0" w:rsidRDefault="00AB01D0" w:rsidP="00AB01D0">
      <w:r w:rsidRPr="00AB01D0">
        <w:t>Prasterone is the synthetic equivalent of DHEA, an endogenous steroid precursor of androgens and estrogens. I</w:t>
      </w:r>
      <w:r w:rsidR="00E71FC0">
        <w:t>ntrarosa</w:t>
      </w:r>
      <w:r w:rsidRPr="00AB01D0">
        <w:t xml:space="preserve"> is intended as a pro-drug providing local hormone replacement therapy. Conversion to hormone metabolites is cell</w:t>
      </w:r>
      <w:r w:rsidR="00E71FC0">
        <w:t xml:space="preserve"> </w:t>
      </w:r>
      <w:r w:rsidRPr="00AB01D0">
        <w:t>specific.</w:t>
      </w:r>
    </w:p>
    <w:p w14:paraId="04D7F9D6" w14:textId="77777777" w:rsidR="00AB01D0" w:rsidRPr="00AB01D0" w:rsidRDefault="00AB01D0" w:rsidP="00AB01D0">
      <w:r w:rsidRPr="00AB01D0">
        <w:t>Supporting utility for the proposed indication, vaginal (and percutaneous) administration of prasterone was shown to prevent the decreased weight and histological signs of vaginal atrophy induced by ovariectomy in rats. Steroidogenic enzyme and sex hormone receptor expression in the monkey vagina was described.</w:t>
      </w:r>
    </w:p>
    <w:p w14:paraId="6C983EB6" w14:textId="77777777" w:rsidR="00AB01D0" w:rsidRPr="00AB01D0" w:rsidRDefault="00AB01D0" w:rsidP="00AB01D0">
      <w:r w:rsidRPr="00AB01D0">
        <w:t>Besides effects mediated by the androgens and estrogens formed by prasterone, some direct effects on receptors and ion channels are reported for the compound in the literature. Such secondary activity and limited information available on safety pharmacology do not raise concerns relevant to patients given limited/physiological systemic exposure.</w:t>
      </w:r>
    </w:p>
    <w:p w14:paraId="27AAC042" w14:textId="77777777" w:rsidR="00AB01D0" w:rsidRPr="00AB01D0" w:rsidRDefault="00AB01D0" w:rsidP="00AB01D0">
      <w:r w:rsidRPr="00AB01D0">
        <w:t>Rapid absorption after intravaginal administration was demonstrated in ovariectomised rats. Systemic exposure to prasterone and hormone metabolites after intravaginal administration was apparent in rats (and humans).</w:t>
      </w:r>
    </w:p>
    <w:p w14:paraId="5C9E6C6E" w14:textId="2653A94D" w:rsidR="00AB01D0" w:rsidRPr="00AB01D0" w:rsidRDefault="00AB01D0" w:rsidP="00AB01D0">
      <w:r w:rsidRPr="00AB01D0">
        <w:t>Prasterone was shown not to inhibit CYP1A2, 2B7, 2C8, 2C9, 2C19, 2D6, 2E1 or 3A4</w:t>
      </w:r>
      <w:r w:rsidR="00E71FC0">
        <w:t>;</w:t>
      </w:r>
      <w:r w:rsidR="00E71FC0">
        <w:rPr>
          <w:rStyle w:val="FootnoteReference"/>
        </w:rPr>
        <w:footnoteReference w:id="2"/>
      </w:r>
      <w:r w:rsidRPr="00AB01D0">
        <w:t xml:space="preserve"> at clinically relevant concentrations </w:t>
      </w:r>
      <w:r w:rsidRPr="00E71FC0">
        <w:rPr>
          <w:i/>
          <w:iCs/>
        </w:rPr>
        <w:t>in vitro</w:t>
      </w:r>
      <w:r w:rsidRPr="00AB01D0">
        <w:t>. Transporter inhibition and CYP induction potential were not investigated. Based on the available data and considering the extent of systemic exposure, pharmacokinetic drug interactions mediated by prasterone are not expected in patients.</w:t>
      </w:r>
    </w:p>
    <w:p w14:paraId="44B2AA9A" w14:textId="165E856B" w:rsidR="00AB01D0" w:rsidRPr="00AB01D0" w:rsidRDefault="00AB01D0" w:rsidP="00AB01D0">
      <w:r w:rsidRPr="00AB01D0">
        <w:t>Repeat-dose toxicity studies were performed in rats (</w:t>
      </w:r>
      <w:r w:rsidR="00E71FC0">
        <w:t>six</w:t>
      </w:r>
      <w:r w:rsidRPr="00AB01D0">
        <w:t xml:space="preserve"> months duration) and cynomolgus monkeys (12 months). These were not designed as recommended in the relevant TGA-adopted EMA guideline, involving oral administration rather than using the clinical route and employing too few dose groups to appropriately characterise dose-response relationships. While not ideal, oral administration has allowed for higher systemic exposure to be achieved than would be obtained with intravaginal administration.</w:t>
      </w:r>
    </w:p>
    <w:p w14:paraId="17B7337A" w14:textId="2507B4DC" w:rsidR="00AB01D0" w:rsidRDefault="00AB01D0" w:rsidP="00AB01D0">
      <w:r w:rsidRPr="00AB01D0">
        <w:t xml:space="preserve">Prasterone was well tolerated in the two species at doses providing moderate to high multiples of the systemic exposure in patients. Findings in treated animals were attributable to the pharmacology of prasterone (estrogenic/androgenic effects). Female rats showed microscopic </w:t>
      </w:r>
      <w:r w:rsidRPr="00AB01D0">
        <w:lastRenderedPageBreak/>
        <w:t>changes in the uterus and vagina. No treatment-related histopathological changes were observed with prasterone in monkeys, although ovary, uterus and vagina weight were altered.</w:t>
      </w:r>
    </w:p>
    <w:p w14:paraId="081B3D85" w14:textId="153119CB" w:rsidR="00AB01D0" w:rsidRDefault="00AB01D0" w:rsidP="00AB01D0">
      <w:r>
        <w:t>Compensating for the absence of a repeat-dose toxicity study by the intravaginal route, the clinical program included examination of cervical cytology and endometrial biopsy.</w:t>
      </w:r>
    </w:p>
    <w:p w14:paraId="1813DCE4" w14:textId="77777777" w:rsidR="00AB01D0" w:rsidRDefault="00AB01D0" w:rsidP="00AB01D0">
      <w:r>
        <w:t>Prasterone was negative in the standard battery of tests for genotoxicity.</w:t>
      </w:r>
    </w:p>
    <w:p w14:paraId="1406A231" w14:textId="6A3E81AB" w:rsidR="00AB01D0" w:rsidRDefault="00AB01D0" w:rsidP="00AB01D0">
      <w:r>
        <w:t>Carcinogenicity studies were not performed, which is considered to be acceptable given the drug’s status as an endogenous compound with a low level of systemic exposure, that data show that systemic sex hormone levels in prasterone-treated postmenopausal women are essentially the same as in women receiving a placebo, and given existing knowledge for androgens and estrogens. These have been demonstrated to be carcinogenic in animals, which raises concern for potential local carcinogenic effects (including to the cervix and endometrium).</w:t>
      </w:r>
    </w:p>
    <w:p w14:paraId="5B2E7A8F" w14:textId="6351D200" w:rsidR="00AB01D0" w:rsidRPr="00AB01D0" w:rsidRDefault="00AB01D0" w:rsidP="00AB01D0">
      <w:r>
        <w:t>No reproductive and developmental toxicity studies were included in the submission, which is acceptable given the patient population (exclusively postmenopausal women). Pregnancy Category D,</w:t>
      </w:r>
      <w:r w:rsidR="00E71FC0">
        <w:rPr>
          <w:rStyle w:val="FootnoteReference"/>
        </w:rPr>
        <w:footnoteReference w:id="3"/>
      </w:r>
      <w:r>
        <w:t xml:space="preserve"> as proposed by the sponsor, is appropriate. The product should also be contraindicated in pregnancy, however, consistent with similar hormonal products.</w:t>
      </w:r>
    </w:p>
    <w:p w14:paraId="58100177" w14:textId="77777777" w:rsidR="00AB01D0" w:rsidRDefault="00AB01D0" w:rsidP="00AB01D0">
      <w:pPr>
        <w:pStyle w:val="Heading4"/>
      </w:pPr>
      <w:bookmarkStart w:id="42" w:name="_Toc146618671"/>
      <w:r>
        <w:t>Conclusions and recommendations</w:t>
      </w:r>
      <w:bookmarkEnd w:id="42"/>
    </w:p>
    <w:p w14:paraId="791508B2" w14:textId="2EA357C5" w:rsidR="00AB01D0" w:rsidRDefault="00AB01D0" w:rsidP="00AB01D0">
      <w:r>
        <w:t>There are no nonclinical objections to the registration of Intrarosa for the proposed indication.</w:t>
      </w:r>
    </w:p>
    <w:p w14:paraId="35B580A5" w14:textId="69B9BE44" w:rsidR="00C22214" w:rsidRDefault="00C22214" w:rsidP="008804CF">
      <w:pPr>
        <w:pStyle w:val="Heading3"/>
      </w:pPr>
      <w:bookmarkStart w:id="43" w:name="_Toc146618672"/>
      <w:r>
        <w:t>Clinical</w:t>
      </w:r>
      <w:bookmarkEnd w:id="39"/>
      <w:bookmarkEnd w:id="40"/>
      <w:bookmarkEnd w:id="41"/>
      <w:bookmarkEnd w:id="43"/>
    </w:p>
    <w:p w14:paraId="32B0DEDA" w14:textId="77777777" w:rsidR="00C22214" w:rsidRPr="00433318" w:rsidRDefault="00C22214" w:rsidP="00433318">
      <w:pPr>
        <w:pStyle w:val="Heading4"/>
      </w:pPr>
      <w:bookmarkStart w:id="44" w:name="_Toc98931928"/>
      <w:bookmarkStart w:id="45" w:name="_Toc146618673"/>
      <w:r>
        <w:t>Summary of clinical studies</w:t>
      </w:r>
      <w:bookmarkEnd w:id="44"/>
      <w:bookmarkEnd w:id="45"/>
    </w:p>
    <w:p w14:paraId="46622364" w14:textId="2C728F95" w:rsidR="00C22214" w:rsidRPr="00BD5DBD" w:rsidRDefault="00C22214" w:rsidP="00C22214">
      <w:pPr>
        <w:rPr>
          <w:szCs w:val="22"/>
        </w:rPr>
      </w:pPr>
      <w:r w:rsidRPr="00BD5DBD">
        <w:rPr>
          <w:szCs w:val="22"/>
        </w:rPr>
        <w:t>The clinical dossier consisted of</w:t>
      </w:r>
      <w:r w:rsidR="007357B9" w:rsidRPr="00BD5DBD">
        <w:rPr>
          <w:szCs w:val="22"/>
        </w:rPr>
        <w:t>:</w:t>
      </w:r>
      <w:r w:rsidRPr="00BD5DBD">
        <w:rPr>
          <w:szCs w:val="22"/>
        </w:rPr>
        <w:t xml:space="preserve"> </w:t>
      </w:r>
    </w:p>
    <w:p w14:paraId="3DF49722" w14:textId="507E23BA" w:rsidR="00C22214" w:rsidRPr="00BD5DBD" w:rsidRDefault="00751B23" w:rsidP="00C22214">
      <w:pPr>
        <w:pStyle w:val="ListBullet"/>
        <w:rPr>
          <w:szCs w:val="22"/>
        </w:rPr>
      </w:pPr>
      <w:r>
        <w:rPr>
          <w:szCs w:val="22"/>
        </w:rPr>
        <w:t>One</w:t>
      </w:r>
      <w:r w:rsidR="00C22214" w:rsidRPr="00BD5DBD">
        <w:rPr>
          <w:szCs w:val="22"/>
        </w:rPr>
        <w:t xml:space="preserve"> Phase I</w:t>
      </w:r>
      <w:r>
        <w:rPr>
          <w:szCs w:val="22"/>
        </w:rPr>
        <w:t>/II</w:t>
      </w:r>
      <w:r w:rsidR="00C22214" w:rsidRPr="00BD5DBD">
        <w:rPr>
          <w:szCs w:val="22"/>
        </w:rPr>
        <w:t xml:space="preserve"> stud</w:t>
      </w:r>
      <w:r>
        <w:rPr>
          <w:szCs w:val="22"/>
        </w:rPr>
        <w:t>y, Study ERC-213</w:t>
      </w:r>
    </w:p>
    <w:p w14:paraId="6B56CB17" w14:textId="1AD2640B" w:rsidR="00C22214" w:rsidRPr="00BD5DBD" w:rsidRDefault="00751B23" w:rsidP="00C22214">
      <w:pPr>
        <w:pStyle w:val="ListBullet"/>
        <w:rPr>
          <w:szCs w:val="22"/>
        </w:rPr>
      </w:pPr>
      <w:r>
        <w:rPr>
          <w:szCs w:val="22"/>
        </w:rPr>
        <w:t xml:space="preserve">Five </w:t>
      </w:r>
      <w:r w:rsidR="00C22214" w:rsidRPr="00BD5DBD">
        <w:rPr>
          <w:szCs w:val="22"/>
        </w:rPr>
        <w:t>Phase II</w:t>
      </w:r>
      <w:r>
        <w:rPr>
          <w:szCs w:val="22"/>
        </w:rPr>
        <w:t>I</w:t>
      </w:r>
      <w:r w:rsidR="00C22214" w:rsidRPr="00BD5DBD">
        <w:rPr>
          <w:szCs w:val="22"/>
        </w:rPr>
        <w:t xml:space="preserve"> studies</w:t>
      </w:r>
      <w:r>
        <w:rPr>
          <w:szCs w:val="22"/>
        </w:rPr>
        <w:t>, Stud</w:t>
      </w:r>
      <w:r w:rsidR="00E71FC0">
        <w:rPr>
          <w:szCs w:val="22"/>
        </w:rPr>
        <w:t>ies</w:t>
      </w:r>
      <w:r>
        <w:rPr>
          <w:szCs w:val="22"/>
        </w:rPr>
        <w:t xml:space="preserve"> ERC-210, ERC-231, ERC-238, ERC-234 and ERC-230</w:t>
      </w:r>
      <w:r w:rsidR="00E71FC0">
        <w:rPr>
          <w:szCs w:val="22"/>
        </w:rPr>
        <w:t xml:space="preserve"> (see </w:t>
      </w:r>
      <w:r w:rsidR="00E71FC0">
        <w:rPr>
          <w:szCs w:val="22"/>
        </w:rPr>
        <w:fldChar w:fldCharType="begin"/>
      </w:r>
      <w:r w:rsidR="00E71FC0">
        <w:rPr>
          <w:szCs w:val="22"/>
        </w:rPr>
        <w:instrText xml:space="preserve"> REF _Ref146542744 \h </w:instrText>
      </w:r>
      <w:r w:rsidR="00E71FC0">
        <w:rPr>
          <w:szCs w:val="22"/>
        </w:rPr>
      </w:r>
      <w:r w:rsidR="00E71FC0">
        <w:rPr>
          <w:szCs w:val="22"/>
        </w:rPr>
        <w:fldChar w:fldCharType="separate"/>
      </w:r>
      <w:r w:rsidR="0067247F" w:rsidRPr="00751B23">
        <w:t>Table</w:t>
      </w:r>
      <w:r w:rsidR="00C347EB">
        <w:t> </w:t>
      </w:r>
      <w:r w:rsidR="0067247F">
        <w:rPr>
          <w:noProof/>
        </w:rPr>
        <w:t>3</w:t>
      </w:r>
      <w:r w:rsidR="00E71FC0">
        <w:rPr>
          <w:szCs w:val="22"/>
        </w:rPr>
        <w:fldChar w:fldCharType="end"/>
      </w:r>
      <w:r w:rsidR="00E71FC0">
        <w:rPr>
          <w:szCs w:val="22"/>
        </w:rPr>
        <w:t>)</w:t>
      </w:r>
    </w:p>
    <w:p w14:paraId="7D328DE1" w14:textId="4AAA1F5D" w:rsidR="000902CB" w:rsidRDefault="000902CB" w:rsidP="00751B23">
      <w:pPr>
        <w:pStyle w:val="TableTitle"/>
      </w:pPr>
      <w:bookmarkStart w:id="46" w:name="_Ref146542744"/>
      <w:r w:rsidRPr="00751B23">
        <w:lastRenderedPageBreak/>
        <w:t xml:space="preserve">Table </w:t>
      </w:r>
      <w:r w:rsidR="004E2876">
        <w:fldChar w:fldCharType="begin"/>
      </w:r>
      <w:r w:rsidR="004E2876">
        <w:instrText xml:space="preserve"> SEQ Table \* ARABIC </w:instrText>
      </w:r>
      <w:r w:rsidR="004E2876">
        <w:fldChar w:fldCharType="separate"/>
      </w:r>
      <w:r w:rsidR="0067247F">
        <w:rPr>
          <w:noProof/>
        </w:rPr>
        <w:t>3</w:t>
      </w:r>
      <w:r w:rsidR="004E2876">
        <w:rPr>
          <w:noProof/>
        </w:rPr>
        <w:fldChar w:fldCharType="end"/>
      </w:r>
      <w:bookmarkEnd w:id="46"/>
      <w:r>
        <w:t>:</w:t>
      </w:r>
      <w:r w:rsidR="00751B23">
        <w:t xml:space="preserve"> Overview of clinical studies</w:t>
      </w:r>
    </w:p>
    <w:p w14:paraId="478B5A1A" w14:textId="329A26E2" w:rsidR="000902CB" w:rsidRDefault="000902CB" w:rsidP="000902CB">
      <w:r w:rsidRPr="000902CB">
        <w:rPr>
          <w:noProof/>
        </w:rPr>
        <w:drawing>
          <wp:inline distT="0" distB="0" distL="0" distR="0" wp14:anchorId="3C80F485" wp14:editId="00DEB43F">
            <wp:extent cx="5759450" cy="2827655"/>
            <wp:effectExtent l="0" t="0" r="0" b="0"/>
            <wp:docPr id="2" name="Picture 2" descr="Overview of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verview of clinical studies"/>
                    <pic:cNvPicPr/>
                  </pic:nvPicPr>
                  <pic:blipFill>
                    <a:blip r:embed="rId26"/>
                    <a:stretch>
                      <a:fillRect/>
                    </a:stretch>
                  </pic:blipFill>
                  <pic:spPr>
                    <a:xfrm>
                      <a:off x="0" y="0"/>
                      <a:ext cx="5759450" cy="2827655"/>
                    </a:xfrm>
                    <a:prstGeom prst="rect">
                      <a:avLst/>
                    </a:prstGeom>
                  </pic:spPr>
                </pic:pic>
              </a:graphicData>
            </a:graphic>
          </wp:inline>
        </w:drawing>
      </w:r>
      <w:r w:rsidR="00751B23" w:rsidRPr="00751B23">
        <w:rPr>
          <w:noProof/>
        </w:rPr>
        <w:drawing>
          <wp:inline distT="0" distB="0" distL="0" distR="0" wp14:anchorId="100FFDEC" wp14:editId="72FF46FA">
            <wp:extent cx="5759450" cy="2825115"/>
            <wp:effectExtent l="0" t="0" r="0" b="0"/>
            <wp:docPr id="3" name="Picture 3" descr="Table 3: Overview of clinical studies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3: Overview of clinical studies (part 2)"/>
                    <pic:cNvPicPr/>
                  </pic:nvPicPr>
                  <pic:blipFill>
                    <a:blip r:embed="rId27"/>
                    <a:stretch>
                      <a:fillRect/>
                    </a:stretch>
                  </pic:blipFill>
                  <pic:spPr>
                    <a:xfrm>
                      <a:off x="0" y="0"/>
                      <a:ext cx="5759450" cy="2825115"/>
                    </a:xfrm>
                    <a:prstGeom prst="rect">
                      <a:avLst/>
                    </a:prstGeom>
                  </pic:spPr>
                </pic:pic>
              </a:graphicData>
            </a:graphic>
          </wp:inline>
        </w:drawing>
      </w:r>
      <w:r w:rsidR="00751B23" w:rsidRPr="00751B23">
        <w:rPr>
          <w:noProof/>
        </w:rPr>
        <w:drawing>
          <wp:inline distT="0" distB="0" distL="0" distR="0" wp14:anchorId="009384D6" wp14:editId="5A03A64F">
            <wp:extent cx="5759450" cy="838200"/>
            <wp:effectExtent l="0" t="0" r="0" b="0"/>
            <wp:docPr id="4" name="Picture 4" descr="Table 3: Overview of clinical studies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3: Overview of clinical studies (part 3)"/>
                    <pic:cNvPicPr/>
                  </pic:nvPicPr>
                  <pic:blipFill>
                    <a:blip r:embed="rId28"/>
                    <a:stretch>
                      <a:fillRect/>
                    </a:stretch>
                  </pic:blipFill>
                  <pic:spPr>
                    <a:xfrm>
                      <a:off x="0" y="0"/>
                      <a:ext cx="5759450" cy="838200"/>
                    </a:xfrm>
                    <a:prstGeom prst="rect">
                      <a:avLst/>
                    </a:prstGeom>
                  </pic:spPr>
                </pic:pic>
              </a:graphicData>
            </a:graphic>
          </wp:inline>
        </w:drawing>
      </w:r>
    </w:p>
    <w:p w14:paraId="6ADB8D12" w14:textId="4878DBDD" w:rsidR="00751B23" w:rsidRPr="00751B23" w:rsidRDefault="00751B23" w:rsidP="00751B23">
      <w:pPr>
        <w:pStyle w:val="Heading4"/>
      </w:pPr>
      <w:bookmarkStart w:id="47" w:name="_Toc146618674"/>
      <w:r w:rsidRPr="00751B23">
        <w:t>Pharmacology</w:t>
      </w:r>
      <w:bookmarkEnd w:id="47"/>
    </w:p>
    <w:p w14:paraId="03BFCDB3" w14:textId="44289DC3" w:rsidR="00751B23" w:rsidRPr="00751B23" w:rsidRDefault="00751B23" w:rsidP="00751B23">
      <w:r w:rsidRPr="00751B23">
        <w:t>P</w:t>
      </w:r>
      <w:r>
        <w:t>harmacokinetic</w:t>
      </w:r>
      <w:r w:rsidR="00E71FC0">
        <w:t>s</w:t>
      </w:r>
      <w:r>
        <w:t xml:space="preserve"> (P</w:t>
      </w:r>
      <w:r w:rsidRPr="00751B23">
        <w:t>K</w:t>
      </w:r>
      <w:r>
        <w:t>)</w:t>
      </w:r>
      <w:r w:rsidRPr="00751B23">
        <w:t xml:space="preserve"> data were provided in Study ERC-213, a Phase I, randomised, double</w:t>
      </w:r>
      <w:r>
        <w:t xml:space="preserve"> </w:t>
      </w:r>
      <w:r w:rsidRPr="00751B23">
        <w:t>blind, placebo</w:t>
      </w:r>
      <w:r w:rsidR="00951CEE">
        <w:t>-</w:t>
      </w:r>
      <w:r w:rsidRPr="00751B23">
        <w:t xml:space="preserve">controlled study to evaluate the systemic bioavailability of DHEA and its metabolites following daily intravaginal administration of DHEA at </w:t>
      </w:r>
      <w:r>
        <w:t>three</w:t>
      </w:r>
      <w:r w:rsidRPr="00751B23">
        <w:t xml:space="preserve"> different strengths for </w:t>
      </w:r>
      <w:r>
        <w:t>seven</w:t>
      </w:r>
      <w:r w:rsidRPr="00751B23">
        <w:t xml:space="preserve"> days in postmenopausal women with VVA.</w:t>
      </w:r>
    </w:p>
    <w:p w14:paraId="7042FDB4" w14:textId="6751F7E5" w:rsidR="00751B23" w:rsidRPr="00751B23" w:rsidRDefault="00751B23" w:rsidP="00751B23">
      <w:r w:rsidRPr="00751B23">
        <w:t>The study enrolled 40 postmenopausal women, randomised to 1 of 4 groups (n = 10 per group); DHEA 0%, 0.5% (6.5 mg – proposed strength for registration), 1% (13 mg) or 1.8% (23.4 mg). One pessary was administered once daily in the evening with a single</w:t>
      </w:r>
      <w:r w:rsidR="00E71FC0">
        <w:t xml:space="preserve"> </w:t>
      </w:r>
      <w:r w:rsidRPr="00751B23">
        <w:t xml:space="preserve">use applicator. Blood sampling for PK analysis was collected at screening and at specified time points after dosing on </w:t>
      </w:r>
      <w:r w:rsidRPr="00751B23">
        <w:lastRenderedPageBreak/>
        <w:t xml:space="preserve">Day 1 and Day 7. The study was conducted at a single centre in Canada in 2006. The methodology and results are presented </w:t>
      </w:r>
      <w:r>
        <w:t>in sponsor submitted dossier</w:t>
      </w:r>
      <w:r w:rsidRPr="00751B23">
        <w:t>.</w:t>
      </w:r>
    </w:p>
    <w:p w14:paraId="550BCCA3" w14:textId="19CDB26C" w:rsidR="00751B23" w:rsidRPr="00751B23" w:rsidRDefault="00751B23" w:rsidP="00751B23">
      <w:r w:rsidRPr="00751B23">
        <w:t xml:space="preserve">Compared to placebo, the </w:t>
      </w:r>
      <w:r>
        <w:t>area under concentration time curve from time zero to 24 hours (</w:t>
      </w:r>
      <w:r w:rsidRPr="00751B23">
        <w:t>AUC</w:t>
      </w:r>
      <w:r w:rsidRPr="00751B23">
        <w:rPr>
          <w:vertAlign w:val="subscript"/>
        </w:rPr>
        <w:t>0-24</w:t>
      </w:r>
      <w:r>
        <w:t>) o</w:t>
      </w:r>
      <w:r w:rsidRPr="00751B23">
        <w:t>f DHEA increased:</w:t>
      </w:r>
    </w:p>
    <w:p w14:paraId="40B678EF" w14:textId="44DBB049" w:rsidR="00751B23" w:rsidRPr="00751B23" w:rsidRDefault="00751B23" w:rsidP="00751B23">
      <w:pPr>
        <w:pStyle w:val="ListBullet"/>
      </w:pPr>
      <w:r w:rsidRPr="00751B23">
        <w:t>2.68-fold, 3.06-fold and 5.05-fold for the 0.5%, 1% and 1.8% strengths, respectively (Day 1).</w:t>
      </w:r>
    </w:p>
    <w:p w14:paraId="334A3BFF" w14:textId="11A3680F" w:rsidR="00751B23" w:rsidRPr="00751B23" w:rsidRDefault="00751B23" w:rsidP="00751B23">
      <w:pPr>
        <w:pStyle w:val="ListBullet"/>
      </w:pPr>
      <w:r w:rsidRPr="00751B23">
        <w:t xml:space="preserve">2.26-fold, 3.07-fold and 4.61-fold for the 0.5%, 1% and 1.8% strengths, respectively (Day 7). </w:t>
      </w:r>
    </w:p>
    <w:p w14:paraId="26B59615" w14:textId="2225F809" w:rsidR="00751B23" w:rsidRPr="00751B23" w:rsidRDefault="00751B23" w:rsidP="00751B23">
      <w:pPr>
        <w:pStyle w:val="Heading5"/>
      </w:pPr>
      <w:r w:rsidRPr="00751B23">
        <w:t>Pharmacokinetics</w:t>
      </w:r>
    </w:p>
    <w:p w14:paraId="1F4B76E0" w14:textId="25A929C4" w:rsidR="00751B23" w:rsidRPr="00751B23" w:rsidRDefault="00751B23" w:rsidP="00751B23">
      <w:pPr>
        <w:pStyle w:val="Heading6"/>
      </w:pPr>
      <w:r w:rsidRPr="00751B23">
        <w:t>Absorption</w:t>
      </w:r>
    </w:p>
    <w:p w14:paraId="2D1C41A6" w14:textId="6CA46A5F" w:rsidR="00751B23" w:rsidRPr="00751B23" w:rsidRDefault="00751B23" w:rsidP="00751B23">
      <w:r w:rsidRPr="00751B23">
        <w:t xml:space="preserve">In </w:t>
      </w:r>
      <w:r>
        <w:t xml:space="preserve">Study </w:t>
      </w:r>
      <w:r w:rsidRPr="00751B23">
        <w:t>ERC-213, administration of the I</w:t>
      </w:r>
      <w:r>
        <w:t>ntrarosa</w:t>
      </w:r>
      <w:r w:rsidRPr="00751B23">
        <w:t xml:space="preserve"> pessary once daily for </w:t>
      </w:r>
      <w:r>
        <w:t>seven</w:t>
      </w:r>
      <w:r w:rsidRPr="00751B23">
        <w:t xml:space="preserve"> days resulted in a mean prasterone</w:t>
      </w:r>
      <w:r>
        <w:t xml:space="preserve"> maximum concentration (</w:t>
      </w:r>
      <w:r w:rsidRPr="00751B23">
        <w:t>C</w:t>
      </w:r>
      <w:r w:rsidRPr="00751B23">
        <w:rPr>
          <w:vertAlign w:val="subscript"/>
        </w:rPr>
        <w:t>max</w:t>
      </w:r>
      <w:r>
        <w:t>)</w:t>
      </w:r>
      <w:r w:rsidRPr="00751B23">
        <w:t xml:space="preserve"> and AUC</w:t>
      </w:r>
      <w:r w:rsidRPr="00751B23">
        <w:rPr>
          <w:vertAlign w:val="subscript"/>
        </w:rPr>
        <w:t>0-24</w:t>
      </w:r>
      <w:r w:rsidRPr="00751B23">
        <w:t xml:space="preserve"> at </w:t>
      </w:r>
      <w:r>
        <w:t>D</w:t>
      </w:r>
      <w:r w:rsidRPr="00751B23">
        <w:t>ay 7 of 4.4 ng/mL and 56.2</w:t>
      </w:r>
      <w:r>
        <w:t> </w:t>
      </w:r>
      <w:r w:rsidRPr="00751B23">
        <w:t>ng</w:t>
      </w:r>
      <w:r>
        <w:t> </w:t>
      </w:r>
      <w:r w:rsidRPr="00751B23">
        <w:t>h/mL, respectively. The C</w:t>
      </w:r>
      <w:r w:rsidRPr="00751B23">
        <w:rPr>
          <w:vertAlign w:val="subscript"/>
        </w:rPr>
        <w:t>max</w:t>
      </w:r>
      <w:r w:rsidRPr="00751B23">
        <w:t xml:space="preserve"> and AUC</w:t>
      </w:r>
      <w:r w:rsidRPr="00751B23">
        <w:rPr>
          <w:vertAlign w:val="subscript"/>
        </w:rPr>
        <w:t>0-24</w:t>
      </w:r>
      <w:r w:rsidRPr="00751B23">
        <w:t xml:space="preserve"> of the metabolites testosterone and oestradiol were also slightly higher compared to placebo, but all remained within normal values of postmenopausal women (&lt; 10 </w:t>
      </w:r>
      <w:proofErr w:type="spellStart"/>
      <w:r w:rsidRPr="00751B23">
        <w:t>pg</w:t>
      </w:r>
      <w:proofErr w:type="spellEnd"/>
      <w:r w:rsidRPr="00751B23">
        <w:t xml:space="preserve"> oestradiol/mL; &lt; 0.26 ng testosterone/mL) as measured by validated mass spectrometry-based assays for both the study samples and reference values.</w:t>
      </w:r>
    </w:p>
    <w:p w14:paraId="300F41B7" w14:textId="45A9CD7E" w:rsidR="00751B23" w:rsidRPr="00751B23" w:rsidRDefault="00751B23" w:rsidP="00751B23">
      <w:pPr>
        <w:pStyle w:val="Heading6"/>
      </w:pPr>
      <w:r w:rsidRPr="00751B23">
        <w:t>Distribution</w:t>
      </w:r>
    </w:p>
    <w:p w14:paraId="5458DD19" w14:textId="30F43BF7" w:rsidR="00751B23" w:rsidRPr="00751B23" w:rsidRDefault="00751B23" w:rsidP="00751B23">
      <w:r w:rsidRPr="00751B23">
        <w:t>The distribution of intravaginal (exogenous) prasterone is mainly local but some increase in systemic exposure is observed especially for the metabolites but within normal values.</w:t>
      </w:r>
    </w:p>
    <w:p w14:paraId="7026FD31" w14:textId="24AD44DB" w:rsidR="00751B23" w:rsidRPr="00751B23" w:rsidRDefault="00751B23" w:rsidP="00751B23">
      <w:pPr>
        <w:pStyle w:val="Heading6"/>
      </w:pPr>
      <w:r w:rsidRPr="00751B23">
        <w:t>Metabolism</w:t>
      </w:r>
    </w:p>
    <w:p w14:paraId="22CC3D55" w14:textId="7A91ABD4" w:rsidR="00751B23" w:rsidRPr="00751B23" w:rsidRDefault="00751B23" w:rsidP="00751B23">
      <w:r w:rsidRPr="00751B23">
        <w:t>Exogenous prasterone is metabolised in the same manner as endogenous prasterone. Systemic metabolism has not been studied in this application.</w:t>
      </w:r>
    </w:p>
    <w:p w14:paraId="1059BB86" w14:textId="5CF666E8" w:rsidR="00751B23" w:rsidRPr="00751B23" w:rsidRDefault="00751B23" w:rsidP="00751B23">
      <w:pPr>
        <w:pStyle w:val="Heading6"/>
      </w:pPr>
      <w:r w:rsidRPr="00751B23">
        <w:t>Excretion and elimination</w:t>
      </w:r>
    </w:p>
    <w:p w14:paraId="5D7BCEC2" w14:textId="191A8D07" w:rsidR="00751B23" w:rsidRPr="00751B23" w:rsidRDefault="00751B23" w:rsidP="00751B23">
      <w:r w:rsidRPr="00751B23">
        <w:t>Systemic excretion has not been studied specifically for this application.</w:t>
      </w:r>
    </w:p>
    <w:p w14:paraId="358DBF41" w14:textId="2A4E9F5B" w:rsidR="00751B23" w:rsidRPr="00751B23" w:rsidRDefault="00751B23" w:rsidP="00751B23">
      <w:pPr>
        <w:pStyle w:val="Heading5"/>
      </w:pPr>
      <w:r w:rsidRPr="00751B23">
        <w:t>Pharmacodynamics</w:t>
      </w:r>
    </w:p>
    <w:p w14:paraId="19EEEF97" w14:textId="2F4C2EAF" w:rsidR="00751B23" w:rsidRPr="00751B23" w:rsidRDefault="00751B23" w:rsidP="00751B23">
      <w:pPr>
        <w:pStyle w:val="Heading6"/>
      </w:pPr>
      <w:r w:rsidRPr="00751B23">
        <w:t>Mechanism of action</w:t>
      </w:r>
    </w:p>
    <w:p w14:paraId="7E6A3890" w14:textId="010A2365" w:rsidR="00751B23" w:rsidRPr="00751B23" w:rsidRDefault="00751B23" w:rsidP="00751B23">
      <w:r w:rsidRPr="00751B23">
        <w:t>Prasterone is biochemically and biologically identical to endogenous human DHEA, a precursor steroid with no or little pharmacological activity itself that is converted into oestrogens and androgens. These metabolites formed from prasterone activate oestrogen and androgen receptors.</w:t>
      </w:r>
    </w:p>
    <w:p w14:paraId="4C08DBCE" w14:textId="7CFC890B" w:rsidR="00751B23" w:rsidRPr="00751B23" w:rsidRDefault="00751B23" w:rsidP="00751B23">
      <w:r w:rsidRPr="00751B23">
        <w:t>Prasterone administered locally in the vagina enters the vaginal cells and is converted intracellularly into oestrogens and androgens, depending upon the level of particular steroidogenic enzymes expressed in each cell type.</w:t>
      </w:r>
    </w:p>
    <w:p w14:paraId="5ED28D35" w14:textId="22C30290" w:rsidR="00751B23" w:rsidRDefault="00751B23" w:rsidP="00751B23">
      <w:r w:rsidRPr="00751B23">
        <w:t>An increase in the number of superficial and intermediate cells and decrease in the number of parabasal cells in the vaginal mucosa is noted. In addition, the vaginal pH decreased towards the normal range, thus facilitating the growth of the normal bacterial flora.</w:t>
      </w:r>
    </w:p>
    <w:p w14:paraId="21111930" w14:textId="77777777" w:rsidR="00751B23" w:rsidRDefault="00751B23" w:rsidP="00751B23">
      <w:pPr>
        <w:pStyle w:val="Heading6"/>
      </w:pPr>
      <w:r>
        <w:t>Primary pharmacology</w:t>
      </w:r>
    </w:p>
    <w:p w14:paraId="27FFFC76" w14:textId="77777777" w:rsidR="00751B23" w:rsidRDefault="00751B23" w:rsidP="00751B23">
      <w:r>
        <w:t>There were no specific Phase I or II studies to investigate the primary pharmacology of DHEA. The mechanism of action of DHEA administered intravaginally is not fully elucidated.</w:t>
      </w:r>
    </w:p>
    <w:p w14:paraId="22851349" w14:textId="058F672D" w:rsidR="00751B23" w:rsidRDefault="00751B23" w:rsidP="00751B23">
      <w:r>
        <w:lastRenderedPageBreak/>
        <w:t xml:space="preserve">In the Phase I Study ERC-213 described in </w:t>
      </w:r>
      <w:r w:rsidR="00B83CCE" w:rsidRPr="00B83CCE">
        <w:t xml:space="preserve">section </w:t>
      </w:r>
      <w:r w:rsidR="00671BC6">
        <w:t>above</w:t>
      </w:r>
      <w:r w:rsidRPr="00B83CCE">
        <w:t>, vaginal</w:t>
      </w:r>
      <w:r>
        <w:t xml:space="preserve"> maturation index and vaginal pH were assessed pre-treatment (Day 1) and after 7 days of treatment to assess the effect of DHEA and placebo pessaries on the vaginal mucosa:</w:t>
      </w:r>
    </w:p>
    <w:p w14:paraId="664197E2" w14:textId="499EB062" w:rsidR="00751B23" w:rsidRDefault="00751B23" w:rsidP="00751B23">
      <w:pPr>
        <w:pStyle w:val="ListBullet"/>
      </w:pPr>
      <w:r>
        <w:t>At Day 7, there was a significant increase in vaginal maturation index of 107%, 75% and 150% in the DHEA 0.5%, 1% and 1.8% groups</w:t>
      </w:r>
      <w:r w:rsidR="00B77B73">
        <w:t>,</w:t>
      </w:r>
      <w:r>
        <w:t xml:space="preserve"> respectively</w:t>
      </w:r>
      <w:r w:rsidR="00B77B73">
        <w:t>,</w:t>
      </w:r>
      <w:r>
        <w:t xml:space="preserve"> v</w:t>
      </w:r>
      <w:r w:rsidR="00026EE3">
        <w:t>ersus</w:t>
      </w:r>
      <w:r>
        <w:t xml:space="preserve"> no change in the placebo group.</w:t>
      </w:r>
    </w:p>
    <w:p w14:paraId="7D6C9410" w14:textId="20E73645" w:rsidR="00751B23" w:rsidRDefault="00751B23" w:rsidP="00751B23">
      <w:pPr>
        <w:pStyle w:val="ListBullet"/>
      </w:pPr>
      <w:r>
        <w:t>At Day 7, there was a significant decrease in vaginal pH in all DHEA groups and no change in vaginal pH in the placebo group.</w:t>
      </w:r>
    </w:p>
    <w:p w14:paraId="49791748" w14:textId="3CDA6E4F" w:rsidR="00751B23" w:rsidRDefault="00751B23" w:rsidP="00751B23">
      <w:r>
        <w:t xml:space="preserve">The </w:t>
      </w:r>
      <w:r w:rsidR="00026EE3">
        <w:t>oversea</w:t>
      </w:r>
      <w:r w:rsidR="00324866">
        <w:t>s</w:t>
      </w:r>
      <w:r w:rsidR="00026EE3">
        <w:t xml:space="preserve"> evaluator report</w:t>
      </w:r>
      <w:r>
        <w:t xml:space="preserve"> includes a summary of findings from the Phase III studies relevant to </w:t>
      </w:r>
      <w:proofErr w:type="gramStart"/>
      <w:r w:rsidR="00452B89">
        <w:t xml:space="preserve">pharmacodynamics </w:t>
      </w:r>
      <w:r>
        <w:t>,</w:t>
      </w:r>
      <w:proofErr w:type="gramEnd"/>
      <w:r>
        <w:t xml:space="preserve"> namely changes in percentages of superficial and parabasal cells</w:t>
      </w:r>
      <w:r w:rsidR="00026EE3">
        <w:t xml:space="preserve">. </w:t>
      </w:r>
      <w:r>
        <w:t>These parameters were efficacy endpoints in the pivotal studies.</w:t>
      </w:r>
    </w:p>
    <w:p w14:paraId="457F0D88" w14:textId="52F3B07C" w:rsidR="00751B23" w:rsidRDefault="00751B23" w:rsidP="00026EE3">
      <w:pPr>
        <w:pStyle w:val="Heading4"/>
      </w:pPr>
      <w:bookmarkStart w:id="48" w:name="_Toc146618675"/>
      <w:r>
        <w:t>Efficacy</w:t>
      </w:r>
      <w:bookmarkEnd w:id="48"/>
    </w:p>
    <w:p w14:paraId="3636F538" w14:textId="37A355D4" w:rsidR="00751B23" w:rsidRDefault="00751B23" w:rsidP="00751B23">
      <w:r>
        <w:t xml:space="preserve">An overview of all studies is </w:t>
      </w:r>
      <w:r w:rsidR="00B83CCE">
        <w:t xml:space="preserve">listed </w:t>
      </w:r>
      <w:r>
        <w:t xml:space="preserve">in </w:t>
      </w:r>
      <w:r w:rsidR="00026EE3">
        <w:fldChar w:fldCharType="begin"/>
      </w:r>
      <w:r w:rsidR="00026EE3">
        <w:instrText xml:space="preserve"> REF _Ref146542744 \h </w:instrText>
      </w:r>
      <w:r w:rsidR="00026EE3">
        <w:fldChar w:fldCharType="separate"/>
      </w:r>
      <w:r w:rsidR="0067247F" w:rsidRPr="00751B23">
        <w:t xml:space="preserve">Table </w:t>
      </w:r>
      <w:r w:rsidR="0067247F">
        <w:rPr>
          <w:noProof/>
        </w:rPr>
        <w:t>3</w:t>
      </w:r>
      <w:r w:rsidR="00026EE3">
        <w:fldChar w:fldCharType="end"/>
      </w:r>
      <w:r w:rsidR="00026EE3">
        <w:t>.</w:t>
      </w:r>
    </w:p>
    <w:p w14:paraId="756A44E0" w14:textId="1EB6BEB2" w:rsidR="00751B23" w:rsidRDefault="00751B23" w:rsidP="00751B23">
      <w:r>
        <w:t xml:space="preserve">The efficacy and safety of </w:t>
      </w:r>
      <w:r w:rsidR="00026EE3">
        <w:t>Intrarosa</w:t>
      </w:r>
      <w:r>
        <w:t xml:space="preserve"> is mainly assessed from data from two pivotal </w:t>
      </w:r>
      <w:r w:rsidR="00026EE3">
        <w:t>P</w:t>
      </w:r>
      <w:r>
        <w:t xml:space="preserve">hase </w:t>
      </w:r>
      <w:r w:rsidR="00026EE3">
        <w:t>III</w:t>
      </w:r>
      <w:r>
        <w:t xml:space="preserve"> studies (</w:t>
      </w:r>
      <w:r w:rsidR="00026EE3">
        <w:t xml:space="preserve">Studies </w:t>
      </w:r>
      <w:r>
        <w:t>ERC-231 and ERC-238). They were randomised, double blind, and placebo</w:t>
      </w:r>
      <w:r w:rsidR="00951CEE">
        <w:t>-</w:t>
      </w:r>
      <w:r>
        <w:t xml:space="preserve">controlled to assess the efficacy of 6.5 mg of vaginal prasterone in postmenopausal women with VVA. Prasterone was administered vaginally once a day for 12 weeks. There were </w:t>
      </w:r>
      <w:r w:rsidR="00026EE3">
        <w:t>four</w:t>
      </w:r>
      <w:r>
        <w:t xml:space="preserve"> co-primary endpoints including change in vaginal maturation index (increase in % of superficial cells, decrease in % of parabasal cells), change in vaginal </w:t>
      </w:r>
      <w:r w:rsidR="00026EE3">
        <w:t>p</w:t>
      </w:r>
      <w:r>
        <w:t>H and improvement in dyspareunia.</w:t>
      </w:r>
    </w:p>
    <w:p w14:paraId="08E135EC" w14:textId="4FC93FCA" w:rsidR="00751B23" w:rsidRDefault="00751B23" w:rsidP="00751B23">
      <w:r>
        <w:t>Additional supportive data are also provided from an open label safety study (</w:t>
      </w:r>
      <w:r w:rsidR="00026EE3">
        <w:t xml:space="preserve">Study </w:t>
      </w:r>
      <w:r>
        <w:t>ERC-230) which was conducted for 52 weeks to assess the safety outcome of long</w:t>
      </w:r>
      <w:r w:rsidR="00951CEE">
        <w:t>-</w:t>
      </w:r>
      <w:r>
        <w:t>term administration.</w:t>
      </w:r>
    </w:p>
    <w:p w14:paraId="42DE4B9E" w14:textId="77777777" w:rsidR="00751B23" w:rsidRDefault="00751B23" w:rsidP="00751B23">
      <w:r>
        <w:t>No active comparator group was included in the clinical program.</w:t>
      </w:r>
    </w:p>
    <w:p w14:paraId="6507BEAB" w14:textId="4870CA22" w:rsidR="00751B23" w:rsidRDefault="00B215FD" w:rsidP="00751B23">
      <w:r>
        <w:t>A</w:t>
      </w:r>
      <w:r w:rsidR="00751B23">
        <w:t xml:space="preserve">dditional </w:t>
      </w:r>
      <w:r w:rsidR="00026EE3">
        <w:t>P</w:t>
      </w:r>
      <w:r w:rsidR="00751B23">
        <w:t xml:space="preserve">hase </w:t>
      </w:r>
      <w:r w:rsidR="00026EE3">
        <w:t>III</w:t>
      </w:r>
      <w:r w:rsidR="00751B23">
        <w:t xml:space="preserve"> efficacy and safety stud</w:t>
      </w:r>
      <w:r w:rsidR="00671BC6">
        <w:t>ies</w:t>
      </w:r>
      <w:r w:rsidR="00751B23">
        <w:t xml:space="preserve"> (</w:t>
      </w:r>
      <w:r w:rsidR="00026EE3">
        <w:t xml:space="preserve">Study </w:t>
      </w:r>
      <w:r w:rsidR="00751B23">
        <w:t>ERC-234</w:t>
      </w:r>
      <w:r w:rsidR="00671BC6">
        <w:t xml:space="preserve"> and Study ERC-210</w:t>
      </w:r>
      <w:r w:rsidR="00751B23">
        <w:t>) included an administration regimen different to the proposed regimen</w:t>
      </w:r>
      <w:r w:rsidR="00671BC6">
        <w:t xml:space="preserve"> and a dose-ranging study, respective</w:t>
      </w:r>
      <w:r w:rsidR="00823707">
        <w:t>ly</w:t>
      </w:r>
      <w:r w:rsidR="00671BC6">
        <w:t xml:space="preserve"> </w:t>
      </w:r>
      <w:r w:rsidR="00751B23">
        <w:t xml:space="preserve">and can </w:t>
      </w:r>
      <w:r w:rsidR="00671BC6">
        <w:t xml:space="preserve">therefore </w:t>
      </w:r>
      <w:r w:rsidR="00751B23">
        <w:t>be considered supportive only.</w:t>
      </w:r>
    </w:p>
    <w:p w14:paraId="752A90E4" w14:textId="6B0DFCC2" w:rsidR="00751B23" w:rsidRDefault="00751B23" w:rsidP="00026EE3">
      <w:pPr>
        <w:pStyle w:val="Heading5"/>
      </w:pPr>
      <w:r>
        <w:t>Study ERC-231</w:t>
      </w:r>
      <w:r w:rsidR="00026EE3">
        <w:t xml:space="preserve"> (pivotal Phase III trial)</w:t>
      </w:r>
    </w:p>
    <w:p w14:paraId="555F1E50" w14:textId="51098EB5" w:rsidR="00751B23" w:rsidRDefault="00026EE3" w:rsidP="00751B23">
      <w:r>
        <w:t xml:space="preserve">Study ERC-231 is a </w:t>
      </w:r>
      <w:r w:rsidR="00751B23">
        <w:t>12-week, Phase III, randomised, double</w:t>
      </w:r>
      <w:r>
        <w:t xml:space="preserve"> </w:t>
      </w:r>
      <w:r w:rsidR="00751B23">
        <w:t xml:space="preserve">blind, placebo-controlled, multicentre, </w:t>
      </w:r>
      <w:r>
        <w:t xml:space="preserve">three </w:t>
      </w:r>
      <w:r w:rsidR="00751B23">
        <w:t xml:space="preserve">arm, parallel group study to confirm the efficacy of daily intravaginal administration of DHEA compared to placebo on the symptoms and signs of vaginal atrophy in postmenopausal women suffering from moderate to severe dyspareunia as </w:t>
      </w:r>
      <w:r w:rsidR="00B83CCE" w:rsidRPr="00B83CCE">
        <w:t>most bothersome symptoms</w:t>
      </w:r>
      <w:r w:rsidR="00AF7778">
        <w:t xml:space="preserve"> (MBS)</w:t>
      </w:r>
      <w:r w:rsidR="00751B23">
        <w:t xml:space="preserve"> of VVA at </w:t>
      </w:r>
      <w:r w:rsidR="00B83CCE">
        <w:t>B</w:t>
      </w:r>
      <w:r w:rsidR="00751B23">
        <w:t>aseline. The study was conducted at 33 sites in Canada and the USA from 30 November 2010 to 29 July 2011.</w:t>
      </w:r>
    </w:p>
    <w:p w14:paraId="3D1AB94E" w14:textId="45145271" w:rsidR="00751B23" w:rsidRDefault="00751B23" w:rsidP="00751B23">
      <w:r>
        <w:t>Eligible subjects were postmenopausal women 40</w:t>
      </w:r>
      <w:r w:rsidR="00026EE3">
        <w:t xml:space="preserve"> to </w:t>
      </w:r>
      <w:r>
        <w:t xml:space="preserve">75 years of age who self-identified moderate to severe dyspareunia as the </w:t>
      </w:r>
      <w:r w:rsidR="00AF7778">
        <w:t>MBS</w:t>
      </w:r>
      <w:r>
        <w:t xml:space="preserve"> (</w:t>
      </w:r>
      <w:r w:rsidR="00026EE3">
        <w:t>that is</w:t>
      </w:r>
      <w:r>
        <w:t xml:space="preserve"> symptom severity score of 2 or 3), with vaginal pH &gt; 5 and ≤ 5% superficial cells on vaginal smear at </w:t>
      </w:r>
      <w:r w:rsidR="00026EE3">
        <w:t>B</w:t>
      </w:r>
      <w:r>
        <w:t xml:space="preserve">aseline. A full list of inclusion/exclusion criteria is </w:t>
      </w:r>
      <w:r w:rsidR="00026EE3">
        <w:t>listed in sponsor submitted dossier</w:t>
      </w:r>
      <w:r>
        <w:t>.</w:t>
      </w:r>
    </w:p>
    <w:p w14:paraId="4543C1CC" w14:textId="03F572DC" w:rsidR="00751B23" w:rsidRDefault="00751B23" w:rsidP="00751B23">
      <w:r>
        <w:t xml:space="preserve">Following </w:t>
      </w:r>
      <w:r w:rsidR="00026EE3">
        <w:t>six</w:t>
      </w:r>
      <w:r w:rsidR="00102C65">
        <w:t>-</w:t>
      </w:r>
      <w:r>
        <w:t>week screening period, 255 participants were randomised in 1:1:1 ratio to 1 of 3</w:t>
      </w:r>
      <w:r w:rsidR="00102C65">
        <w:t> </w:t>
      </w:r>
      <w:r>
        <w:t xml:space="preserve">treatment arms; placebo (n = 82), 0.25% DHEA (n = 87) and </w:t>
      </w:r>
      <w:bookmarkStart w:id="49" w:name="_Hlk146814178"/>
      <w:r>
        <w:t xml:space="preserve">0.50% DHEA </w:t>
      </w:r>
      <w:bookmarkEnd w:id="49"/>
      <w:r>
        <w:t>(n = 87</w:t>
      </w:r>
      <w:r w:rsidR="00951CEE">
        <w:t xml:space="preserve"> Intrarosa</w:t>
      </w:r>
      <w:r>
        <w:t>). All participants administered 1 pessary before bedtime for 12 weeks.</w:t>
      </w:r>
    </w:p>
    <w:p w14:paraId="5A3CB47D" w14:textId="77777777" w:rsidR="00026EE3" w:rsidRDefault="00751B23" w:rsidP="00026EE3">
      <w:r>
        <w:t xml:space="preserve">The </w:t>
      </w:r>
      <w:r w:rsidR="00026EE3">
        <w:t>four</w:t>
      </w:r>
      <w:r>
        <w:t xml:space="preserve"> co-primary endpoints were changes in percentage of parabasal cells and superficial cells, vaginal pH and dyspareunia severity score. Vaginal smears were obtained from the middle or second third of the side wall of the vagina and sent to central laboratory for determination of vaginal cell maturation index by a blinded experienced cytopathologist. For the vaginal cell </w:t>
      </w:r>
      <w:r>
        <w:lastRenderedPageBreak/>
        <w:t>maturation evaluation, a 100-cell count was performed to classify cells as parabasal (including</w:t>
      </w:r>
      <w:r w:rsidR="00026EE3">
        <w:t xml:space="preserve"> basal), intermediate, and superficial squamous cell types. Vaginal pH was measured with pH indicator strip applied to the lateral wall of the vagina. Dyspareunia was self-assessed via a questionnaire using a 4-point severity score (none [0], mild [1], moderate [2], severe [3]).</w:t>
      </w:r>
    </w:p>
    <w:p w14:paraId="65E511C0" w14:textId="0F1D4A9A" w:rsidR="00026EE3" w:rsidRDefault="00026EE3" w:rsidP="00026EE3">
      <w:r>
        <w:t xml:space="preserve">Baseline demographics and characteristics were similar in each group. The majority of subjects were White (86 </w:t>
      </w:r>
      <w:r w:rsidR="00652944">
        <w:t>to</w:t>
      </w:r>
      <w:r>
        <w:t xml:space="preserve"> 95%), with mean age 58.55 years and mean </w:t>
      </w:r>
      <w:r w:rsidR="00652944">
        <w:t>body mass index</w:t>
      </w:r>
      <w:r>
        <w:t xml:space="preserve"> 26.08</w:t>
      </w:r>
      <w:r w:rsidR="00652944">
        <w:t> </w:t>
      </w:r>
      <w:r>
        <w:t>kg/m</w:t>
      </w:r>
      <w:r w:rsidRPr="00652944">
        <w:rPr>
          <w:vertAlign w:val="superscript"/>
        </w:rPr>
        <w:t>2</w:t>
      </w:r>
      <w:r>
        <w:t xml:space="preserve">. There were 58% subjects with previous </w:t>
      </w:r>
      <w:r w:rsidR="00AF7778" w:rsidRPr="00AF7778">
        <w:t xml:space="preserve">hormone replacement therapy </w:t>
      </w:r>
      <w:r w:rsidR="00AF7778">
        <w:t>(</w:t>
      </w:r>
      <w:r>
        <w:t>HRT</w:t>
      </w:r>
      <w:r w:rsidR="00AF7778">
        <w:t>)</w:t>
      </w:r>
      <w:r>
        <w:t xml:space="preserve"> use, 61% with hysterectomy and 33% with (any) ovariectomy (25% bilateral).</w:t>
      </w:r>
    </w:p>
    <w:p w14:paraId="1FE6D3A2" w14:textId="77777777" w:rsidR="00026EE3" w:rsidRDefault="00026EE3" w:rsidP="00652944">
      <w:pPr>
        <w:pStyle w:val="Heading6"/>
      </w:pPr>
      <w:r>
        <w:t>Magnitude of the treatment effect and its clinical significance</w:t>
      </w:r>
    </w:p>
    <w:p w14:paraId="7551C25E" w14:textId="2C574768" w:rsidR="00026EE3" w:rsidRDefault="00026EE3" w:rsidP="00026EE3">
      <w:r>
        <w:t>Results for the co-primary endpoints</w:t>
      </w:r>
      <w:r w:rsidR="00951CEE">
        <w:t xml:space="preserve"> for 0.5% DHEA</w:t>
      </w:r>
      <w:r w:rsidR="00C845FB">
        <w:t xml:space="preserve"> </w:t>
      </w:r>
      <w:r w:rsidR="00951CEE">
        <w:t>(</w:t>
      </w:r>
      <w:proofErr w:type="spellStart"/>
      <w:r w:rsidR="00951CEE">
        <w:t>Intrarosa</w:t>
      </w:r>
      <w:proofErr w:type="spellEnd"/>
      <w:r w:rsidR="00951CEE">
        <w:t xml:space="preserve">) and </w:t>
      </w:r>
      <w:r w:rsidR="00B215FD">
        <w:t>p</w:t>
      </w:r>
      <w:r w:rsidR="00951CEE">
        <w:t xml:space="preserve">lacebo </w:t>
      </w:r>
      <w:r>
        <w:t>are summarised in</w:t>
      </w:r>
      <w:r w:rsidR="00AF7778">
        <w:t xml:space="preserve"> </w:t>
      </w:r>
      <w:r w:rsidR="00AF7778">
        <w:fldChar w:fldCharType="begin"/>
      </w:r>
      <w:r w:rsidR="00AF7778">
        <w:instrText xml:space="preserve"> REF _Ref146544629 \h </w:instrText>
      </w:r>
      <w:r w:rsidR="00AF7778">
        <w:fldChar w:fldCharType="separate"/>
      </w:r>
      <w:r w:rsidR="0067247F" w:rsidRPr="00652944">
        <w:t xml:space="preserve">Table </w:t>
      </w:r>
      <w:r w:rsidR="0067247F">
        <w:rPr>
          <w:noProof/>
        </w:rPr>
        <w:t>4</w:t>
      </w:r>
      <w:r w:rsidR="00AF7778">
        <w:fldChar w:fldCharType="end"/>
      </w:r>
      <w:r>
        <w:t>.</w:t>
      </w:r>
    </w:p>
    <w:p w14:paraId="34AE6CB6" w14:textId="15B35793" w:rsidR="00652944" w:rsidRDefault="00652944" w:rsidP="00652944">
      <w:pPr>
        <w:pStyle w:val="TableTitle"/>
      </w:pPr>
      <w:bookmarkStart w:id="50" w:name="_Ref146544629"/>
      <w:r w:rsidRPr="00652944">
        <w:t xml:space="preserve">Table </w:t>
      </w:r>
      <w:r w:rsidR="004E2876">
        <w:fldChar w:fldCharType="begin"/>
      </w:r>
      <w:r w:rsidR="004E2876">
        <w:instrText xml:space="preserve"> SEQ Table \* ARABIC </w:instrText>
      </w:r>
      <w:r w:rsidR="004E2876">
        <w:fldChar w:fldCharType="separate"/>
      </w:r>
      <w:r w:rsidR="0067247F">
        <w:rPr>
          <w:noProof/>
        </w:rPr>
        <w:t>4</w:t>
      </w:r>
      <w:r w:rsidR="004E2876">
        <w:rPr>
          <w:noProof/>
        </w:rPr>
        <w:fldChar w:fldCharType="end"/>
      </w:r>
      <w:bookmarkEnd w:id="50"/>
      <w:r>
        <w:t xml:space="preserve">: </w:t>
      </w:r>
      <w:r w:rsidRPr="00652944">
        <w:t>Studies ERC-210, ERC-231 and ERC-238. Summary of co-primary efficacy endpoints (</w:t>
      </w:r>
      <w:r>
        <w:t>intent</w:t>
      </w:r>
      <w:r w:rsidR="00951CEE">
        <w:t>-</w:t>
      </w:r>
      <w:r>
        <w:t>to</w:t>
      </w:r>
      <w:r w:rsidR="00951CEE">
        <w:t>-</w:t>
      </w:r>
      <w:r>
        <w:t>treat</w:t>
      </w:r>
      <w:r w:rsidRPr="00652944">
        <w:t xml:space="preserve"> population)</w:t>
      </w:r>
    </w:p>
    <w:p w14:paraId="0497F389" w14:textId="0D66F523" w:rsidR="00652944" w:rsidRPr="00652944" w:rsidRDefault="00652944" w:rsidP="00652944">
      <w:r w:rsidRPr="00652944">
        <w:rPr>
          <w:noProof/>
        </w:rPr>
        <w:drawing>
          <wp:inline distT="0" distB="0" distL="0" distR="0" wp14:anchorId="29AB532F" wp14:editId="24D17A92">
            <wp:extent cx="5759450" cy="4495800"/>
            <wp:effectExtent l="0" t="0" r="0" b="0"/>
            <wp:docPr id="5" name="Picture 5" descr="Studies ERC-210, ERC-231 and ERC-238. Summary of co-primary efficacy endpoints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udies ERC-210, ERC-231 and ERC-238. Summary of co-primary efficacy endpoints (intent to treat popula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4495800"/>
                    </a:xfrm>
                    <a:prstGeom prst="rect">
                      <a:avLst/>
                    </a:prstGeom>
                    <a:noFill/>
                    <a:ln>
                      <a:noFill/>
                    </a:ln>
                  </pic:spPr>
                </pic:pic>
              </a:graphicData>
            </a:graphic>
          </wp:inline>
        </w:drawing>
      </w:r>
    </w:p>
    <w:p w14:paraId="5C9A8C27" w14:textId="5CE149C2" w:rsidR="00026EE3" w:rsidRDefault="00026EE3" w:rsidP="00652944">
      <w:pPr>
        <w:pStyle w:val="Heading5"/>
      </w:pPr>
      <w:r>
        <w:t xml:space="preserve">Study ERC-238 (pivotal </w:t>
      </w:r>
      <w:r w:rsidR="00652944">
        <w:t>P</w:t>
      </w:r>
      <w:r>
        <w:t xml:space="preserve">hase </w:t>
      </w:r>
      <w:r w:rsidR="00652944">
        <w:t>III</w:t>
      </w:r>
      <w:r>
        <w:t xml:space="preserve"> </w:t>
      </w:r>
      <w:r w:rsidR="00652944">
        <w:t>trial</w:t>
      </w:r>
      <w:r>
        <w:t>)</w:t>
      </w:r>
    </w:p>
    <w:p w14:paraId="7D840B87" w14:textId="51DCEE30" w:rsidR="00026EE3" w:rsidRDefault="00652944" w:rsidP="00026EE3">
      <w:r>
        <w:t xml:space="preserve">Study ERC-238 is </w:t>
      </w:r>
      <w:r w:rsidR="00026EE3">
        <w:t>12-week, Phase III, randomised, double</w:t>
      </w:r>
      <w:r>
        <w:t xml:space="preserve"> </w:t>
      </w:r>
      <w:r w:rsidR="00026EE3">
        <w:t>blind, placebo</w:t>
      </w:r>
      <w:r w:rsidR="00951CEE">
        <w:t>-</w:t>
      </w:r>
      <w:r w:rsidR="00026EE3">
        <w:t xml:space="preserve">controlled, multicentre, </w:t>
      </w:r>
      <w:r>
        <w:t xml:space="preserve">two </w:t>
      </w:r>
      <w:r w:rsidR="00026EE3">
        <w:t xml:space="preserve">arm, parallel group study to confirm the efficacy of intravaginal 0.50% DHEA </w:t>
      </w:r>
      <w:r>
        <w:t>versus</w:t>
      </w:r>
      <w:r w:rsidR="00026EE3">
        <w:t xml:space="preserve"> placebo on moderate to severe dyspareunia as the MBS of VVA in postmenopausal women. The study was conducted at 38 sites in Canada and the USA from 11 February 2014 to 6</w:t>
      </w:r>
      <w:r w:rsidR="006571D8">
        <w:t> </w:t>
      </w:r>
      <w:r w:rsidR="00026EE3">
        <w:t>January 2015.</w:t>
      </w:r>
    </w:p>
    <w:p w14:paraId="4DBB3BE5" w14:textId="48C816D5" w:rsidR="00026EE3" w:rsidRDefault="00026EE3" w:rsidP="00026EE3">
      <w:r>
        <w:t xml:space="preserve">Postmenopausal women aged 40 to 80 years with </w:t>
      </w:r>
      <w:r w:rsidR="00AF7778">
        <w:t>less than or equal to</w:t>
      </w:r>
      <w:r>
        <w:t xml:space="preserve"> 5% superficial cells on vaginal smear, vaginal pH </w:t>
      </w:r>
      <w:r w:rsidR="00AF7778">
        <w:t>greater than</w:t>
      </w:r>
      <w:r>
        <w:t xml:space="preserve"> 5, who self-identified moderate to severe dyspareunia as </w:t>
      </w:r>
      <w:r>
        <w:lastRenderedPageBreak/>
        <w:t>their MBS of VVA were eligible to participate. Inclusion/exclusion criteria are mostly comparable with Study ERC-231.</w:t>
      </w:r>
    </w:p>
    <w:p w14:paraId="22F591CA" w14:textId="58E71085" w:rsidR="00026EE3" w:rsidRDefault="00026EE3" w:rsidP="00026EE3">
      <w:r>
        <w:t>Eligible subjects were randomised in 2:1 ratio to 0.5% DHEA (n = 376</w:t>
      </w:r>
      <w:r w:rsidR="00951CEE">
        <w:t>; Intrarosa</w:t>
      </w:r>
      <w:r>
        <w:t>) or placebo (n</w:t>
      </w:r>
      <w:r w:rsidR="00F507D8">
        <w:t> </w:t>
      </w:r>
      <w:r>
        <w:t>=</w:t>
      </w:r>
      <w:r w:rsidR="00F507D8">
        <w:t> </w:t>
      </w:r>
      <w:r>
        <w:t xml:space="preserve">182) and administered </w:t>
      </w:r>
      <w:r w:rsidR="00AF7778">
        <w:t>one</w:t>
      </w:r>
      <w:r>
        <w:t xml:space="preserve"> pessary each evening for 12 weeks.</w:t>
      </w:r>
    </w:p>
    <w:p w14:paraId="41E6C4CE" w14:textId="7247C481" w:rsidR="00026EE3" w:rsidRDefault="00026EE3" w:rsidP="00026EE3">
      <w:r>
        <w:t xml:space="preserve">The </w:t>
      </w:r>
      <w:r w:rsidR="00652944">
        <w:t>four</w:t>
      </w:r>
      <w:r>
        <w:t xml:space="preserve"> co-primary endpoints were as per Study ERC-231. Efficacy analyses were conducted on the </w:t>
      </w:r>
      <w:r w:rsidR="00652944">
        <w:t>intent</w:t>
      </w:r>
      <w:r w:rsidR="00951CEE">
        <w:t>-</w:t>
      </w:r>
      <w:r w:rsidR="00652944">
        <w:t>to</w:t>
      </w:r>
      <w:r w:rsidR="00951CEE">
        <w:t>-</w:t>
      </w:r>
      <w:r w:rsidR="00652944">
        <w:t>treat (</w:t>
      </w:r>
      <w:r>
        <w:t>ITT</w:t>
      </w:r>
      <w:r w:rsidR="00652944">
        <w:t>)</w:t>
      </w:r>
      <w:r>
        <w:t xml:space="preserve"> population (n = 482; n = 325 DHEA 0.50%, n = 157 placebo), as previously defined, with the 12-week assessment the primary time point for analysis.</w:t>
      </w:r>
    </w:p>
    <w:p w14:paraId="4D18E52F" w14:textId="7AFC97D0" w:rsidR="00026EE3" w:rsidRDefault="00026EE3" w:rsidP="00026EE3">
      <w:r>
        <w:t>Statistical methods were consistent with those described for Study ERC-231. For the co-primary endpoint dyspareunia, an additional analysis was conducted on a modified ITT population (</w:t>
      </w:r>
      <w:proofErr w:type="spellStart"/>
      <w:r>
        <w:t>mITT</w:t>
      </w:r>
      <w:proofErr w:type="spellEnd"/>
      <w:r>
        <w:t>) comprising women from the ITT population who had post-baseline sexual activity at least once before evaluation of dyspareunia at Week 6, Week 12 or discontinuation (n = 448; n</w:t>
      </w:r>
      <w:r w:rsidR="00652944">
        <w:t> </w:t>
      </w:r>
      <w:r>
        <w:t>=</w:t>
      </w:r>
      <w:r w:rsidR="00652944">
        <w:t> </w:t>
      </w:r>
      <w:r>
        <w:t>305 DHEA 0.50%, n = 143 placebo).</w:t>
      </w:r>
    </w:p>
    <w:p w14:paraId="4F1D0774" w14:textId="624B7F24" w:rsidR="00026EE3" w:rsidRDefault="00026EE3" w:rsidP="00026EE3">
      <w:r>
        <w:t xml:space="preserve">Baseline demographics and characteristics of subjects in the </w:t>
      </w:r>
      <w:r w:rsidR="00652944">
        <w:t>two</w:t>
      </w:r>
      <w:r>
        <w:t xml:space="preserve"> treatment groups were similar. Study subjects were predominately White (90%), with mean age 59.5 years and mean </w:t>
      </w:r>
      <w:r w:rsidR="00AF7778">
        <w:t>body mass index of</w:t>
      </w:r>
      <w:r>
        <w:t xml:space="preserve"> 26.4</w:t>
      </w:r>
      <w:r w:rsidR="00652944">
        <w:t> </w:t>
      </w:r>
      <w:r>
        <w:t>kg/m</w:t>
      </w:r>
      <w:r w:rsidRPr="00AF7778">
        <w:rPr>
          <w:vertAlign w:val="superscript"/>
        </w:rPr>
        <w:t>2</w:t>
      </w:r>
      <w:r>
        <w:t>. The proportion of subjects with previous HRT use, hysterectomy and ovariectomy (any) was 42%, 38% and 26% respectively.</w:t>
      </w:r>
    </w:p>
    <w:p w14:paraId="27B3BCA4" w14:textId="77777777" w:rsidR="00026EE3" w:rsidRDefault="00026EE3" w:rsidP="00652944">
      <w:pPr>
        <w:pStyle w:val="Heading6"/>
      </w:pPr>
      <w:r>
        <w:t>Magnitude of the treatment effect and its clinical significance</w:t>
      </w:r>
    </w:p>
    <w:p w14:paraId="3558AEB4" w14:textId="717A95CD" w:rsidR="00026EE3" w:rsidRDefault="00026EE3" w:rsidP="00026EE3">
      <w:r>
        <w:t xml:space="preserve">Results for the co-primary endpoints are summarised </w:t>
      </w:r>
      <w:r w:rsidR="00846BC8">
        <w:t xml:space="preserve">above </w:t>
      </w:r>
      <w:r>
        <w:t xml:space="preserve">in </w:t>
      </w:r>
      <w:r w:rsidR="00652944">
        <w:fldChar w:fldCharType="begin"/>
      </w:r>
      <w:r w:rsidR="00652944">
        <w:instrText xml:space="preserve"> REF _Ref146544629 \h </w:instrText>
      </w:r>
      <w:r w:rsidR="00652944">
        <w:fldChar w:fldCharType="separate"/>
      </w:r>
      <w:r w:rsidR="0067247F" w:rsidRPr="00652944">
        <w:t xml:space="preserve">Table </w:t>
      </w:r>
      <w:r w:rsidR="0067247F">
        <w:rPr>
          <w:noProof/>
        </w:rPr>
        <w:t>4</w:t>
      </w:r>
      <w:r w:rsidR="00652944">
        <w:fldChar w:fldCharType="end"/>
      </w:r>
      <w:r>
        <w:t xml:space="preserve">. Analysis of the co-primary endpoint dyspareunia in the </w:t>
      </w:r>
      <w:proofErr w:type="spellStart"/>
      <w:r>
        <w:t>mITT</w:t>
      </w:r>
      <w:proofErr w:type="spellEnd"/>
      <w:r>
        <w:t xml:space="preserve"> population was similar to ITT population with an improvement of 0.34 severity score unit over placebo (p = 0.0003).</w:t>
      </w:r>
    </w:p>
    <w:p w14:paraId="2E4601A4" w14:textId="4609F4A3" w:rsidR="00751B23" w:rsidRDefault="00026EE3" w:rsidP="00026EE3">
      <w:r>
        <w:t xml:space="preserve">In the placebo group, greater mean changes from </w:t>
      </w:r>
      <w:r w:rsidR="004F62EB">
        <w:t>B</w:t>
      </w:r>
      <w:r>
        <w:t xml:space="preserve">aseline were observed for each of the </w:t>
      </w:r>
      <w:r w:rsidR="00652944">
        <w:t>four</w:t>
      </w:r>
      <w:r>
        <w:t xml:space="preserve"> co-primary endpoints in Study ERC-238 than in Study ERC-231. The </w:t>
      </w:r>
      <w:r w:rsidR="00652944">
        <w:t>s</w:t>
      </w:r>
      <w:r>
        <w:t>ponsor did not have a ‘</w:t>
      </w:r>
      <w:r w:rsidRPr="00652944">
        <w:rPr>
          <w:i/>
          <w:iCs/>
        </w:rPr>
        <w:t>well-supported explanation</w:t>
      </w:r>
      <w:r>
        <w:t xml:space="preserve">’ for the observed study difference, however noted a certain level of sexual activity was required in Study ERC-238, which may have beneficial effects on vaginal physiology and could partially explain the greater placebo effect. The </w:t>
      </w:r>
      <w:r w:rsidR="00652944">
        <w:t>oversea</w:t>
      </w:r>
      <w:r w:rsidR="00846BC8">
        <w:t>s</w:t>
      </w:r>
      <w:r w:rsidR="00652944">
        <w:t xml:space="preserve"> </w:t>
      </w:r>
      <w:r w:rsidR="00846BC8">
        <w:t>evaluator</w:t>
      </w:r>
      <w:r>
        <w:t xml:space="preserve"> considered the explanation plausible, but difficult to confirm as data relating to frequency of sexual intercourse was not collected in either pivotal study. The issue was considered resolved.</w:t>
      </w:r>
    </w:p>
    <w:p w14:paraId="631CE4E0" w14:textId="56A52661" w:rsidR="00652944" w:rsidRPr="00652944" w:rsidRDefault="00652944" w:rsidP="00652944">
      <w:pPr>
        <w:pStyle w:val="Heading5"/>
      </w:pPr>
      <w:r w:rsidRPr="00652944">
        <w:t>Study ERC-210 (supportive study)</w:t>
      </w:r>
    </w:p>
    <w:p w14:paraId="211ECF6C" w14:textId="134FB645" w:rsidR="00652944" w:rsidRPr="00652944" w:rsidRDefault="00652944" w:rsidP="00652944">
      <w:r>
        <w:t>Study ERC-210 is a</w:t>
      </w:r>
      <w:r w:rsidRPr="00652944">
        <w:t xml:space="preserve"> 12-week, Phase III, randomised, double</w:t>
      </w:r>
      <w:r>
        <w:t xml:space="preserve"> </w:t>
      </w:r>
      <w:r w:rsidRPr="00652944">
        <w:t>blind, placebo</w:t>
      </w:r>
      <w:r w:rsidR="00951CEE">
        <w:t>-</w:t>
      </w:r>
      <w:r w:rsidRPr="00652944">
        <w:t>controlled dose</w:t>
      </w:r>
      <w:r>
        <w:t xml:space="preserve"> </w:t>
      </w:r>
      <w:r w:rsidRPr="00652944">
        <w:t xml:space="preserve">response study comparing the effect of different doses of DHEA pessaries on vaginal mucosa parameters in postmenopausal women with vaginal atrophy. The study was conducted at </w:t>
      </w:r>
      <w:r>
        <w:t>eight</w:t>
      </w:r>
      <w:r w:rsidRPr="00652944">
        <w:t xml:space="preserve"> centres in Canada and USA from 28 June 2007 to 23 May 2008.</w:t>
      </w:r>
    </w:p>
    <w:p w14:paraId="36082153" w14:textId="70C8EAFF" w:rsidR="00652944" w:rsidRPr="00652944" w:rsidRDefault="00652944" w:rsidP="00652944">
      <w:r w:rsidRPr="00652944">
        <w:t>Postmenopausal women aged 40</w:t>
      </w:r>
      <w:r>
        <w:t xml:space="preserve"> to </w:t>
      </w:r>
      <w:r w:rsidRPr="00652944">
        <w:t xml:space="preserve">75 years with low maturation index, vaginal pH </w:t>
      </w:r>
      <w:r w:rsidR="00AF7778">
        <w:t>greater than</w:t>
      </w:r>
      <w:r w:rsidRPr="00652944">
        <w:t xml:space="preserve"> 5 and at least </w:t>
      </w:r>
      <w:r>
        <w:t>one</w:t>
      </w:r>
      <w:r w:rsidRPr="00652944">
        <w:t xml:space="preserve"> self-identified moderate-severe symptom of vaginal atrophy (vaginal dryness, vaginal and/or vulvar irritation/itching, vaginal pain associated with sexual activity) were eligible to participate. Inclusion/exclusion criteria are listed</w:t>
      </w:r>
      <w:r>
        <w:t xml:space="preserve"> in sponsor submitted dossier</w:t>
      </w:r>
      <w:r w:rsidRPr="00652944">
        <w:t>.</w:t>
      </w:r>
    </w:p>
    <w:p w14:paraId="70F344BE" w14:textId="522A89F9" w:rsidR="00652944" w:rsidRPr="00652944" w:rsidRDefault="00652944" w:rsidP="00652944">
      <w:r w:rsidRPr="00652944">
        <w:t xml:space="preserve">There were 218 participants randomised equally to one of </w:t>
      </w:r>
      <w:r>
        <w:t>four</w:t>
      </w:r>
      <w:r w:rsidRPr="00652944">
        <w:t xml:space="preserve"> treatment arms (n = 54 </w:t>
      </w:r>
      <w:r>
        <w:t>to</w:t>
      </w:r>
      <w:r w:rsidRPr="00652944">
        <w:t xml:space="preserve"> 56 each arm): 0.0% DHEA (placebo), 0.25% (3.25 mg) DHEA, 0.5% (6.5 mg</w:t>
      </w:r>
      <w:r w:rsidR="00951CEE">
        <w:t>; Intrarosa</w:t>
      </w:r>
      <w:r w:rsidRPr="00652944">
        <w:t>) DHEA or 1.0% (13 mg) DHEA. All participants administered one pessary daily in the evening for 12</w:t>
      </w:r>
      <w:r w:rsidR="00C82291">
        <w:t> </w:t>
      </w:r>
      <w:r w:rsidRPr="00652944">
        <w:t>weeks.</w:t>
      </w:r>
    </w:p>
    <w:p w14:paraId="3FA113D3" w14:textId="496126EA" w:rsidR="00652944" w:rsidRPr="00652944" w:rsidRDefault="00652944" w:rsidP="00652944">
      <w:r w:rsidRPr="00652944">
        <w:t>The mean (</w:t>
      </w:r>
      <w:r>
        <w:t>standard deviation</w:t>
      </w:r>
      <w:r w:rsidRPr="00652944">
        <w:t>) age of participants in the ITT population (n = 216) was 58 (5.5) years.</w:t>
      </w:r>
    </w:p>
    <w:p w14:paraId="21826796" w14:textId="47C29698" w:rsidR="00652944" w:rsidRPr="00652944" w:rsidRDefault="00652944" w:rsidP="00652944">
      <w:pPr>
        <w:pStyle w:val="Heading6"/>
      </w:pPr>
      <w:r w:rsidRPr="00652944">
        <w:lastRenderedPageBreak/>
        <w:t>Magnitude of the treatment effect and its clinical significance</w:t>
      </w:r>
    </w:p>
    <w:p w14:paraId="22CCA87B" w14:textId="228C47C8" w:rsidR="00652944" w:rsidRPr="00652944" w:rsidRDefault="00652944" w:rsidP="00652944">
      <w:r w:rsidRPr="00652944">
        <w:t xml:space="preserve">Results for the </w:t>
      </w:r>
      <w:r>
        <w:t>four</w:t>
      </w:r>
      <w:r w:rsidRPr="00652944">
        <w:t xml:space="preserve"> co-primary endpoints after 12 weeks of treatment (ITT population)</w:t>
      </w:r>
      <w:r w:rsidR="00951CEE">
        <w:t xml:space="preserve"> for 0.50% DHEA (</w:t>
      </w:r>
      <w:proofErr w:type="spellStart"/>
      <w:r w:rsidR="00951CEE">
        <w:t>Intrarosa</w:t>
      </w:r>
      <w:proofErr w:type="spellEnd"/>
      <w:r w:rsidR="00951CEE">
        <w:t xml:space="preserve">) and </w:t>
      </w:r>
      <w:r w:rsidR="00B215FD">
        <w:t>p</w:t>
      </w:r>
      <w:r w:rsidR="00951CEE">
        <w:t>lacebo</w:t>
      </w:r>
      <w:r w:rsidRPr="00652944">
        <w:t xml:space="preserve"> are summarised in </w:t>
      </w:r>
      <w:r>
        <w:fldChar w:fldCharType="begin"/>
      </w:r>
      <w:r>
        <w:instrText xml:space="preserve"> REF _Ref146544629 \h </w:instrText>
      </w:r>
      <w:r>
        <w:fldChar w:fldCharType="separate"/>
      </w:r>
      <w:r w:rsidR="0067247F" w:rsidRPr="00652944">
        <w:t xml:space="preserve">Table </w:t>
      </w:r>
      <w:r w:rsidR="0067247F">
        <w:rPr>
          <w:noProof/>
        </w:rPr>
        <w:t>4</w:t>
      </w:r>
      <w:r>
        <w:fldChar w:fldCharType="end"/>
      </w:r>
      <w:r>
        <w:t>.</w:t>
      </w:r>
    </w:p>
    <w:p w14:paraId="38C5A1AC" w14:textId="189A90CD" w:rsidR="00652944" w:rsidRDefault="00652944" w:rsidP="00652944">
      <w:r w:rsidRPr="00652944">
        <w:t xml:space="preserve">For all </w:t>
      </w:r>
      <w:r>
        <w:t>three</w:t>
      </w:r>
      <w:r w:rsidRPr="00652944">
        <w:t xml:space="preserve"> DHEA groups at Week 12, there was a significant decrease from </w:t>
      </w:r>
      <w:r>
        <w:t>B</w:t>
      </w:r>
      <w:r w:rsidRPr="00652944">
        <w:t xml:space="preserve">aseline in the percentage of parabasal cells, significant increase from </w:t>
      </w:r>
      <w:r w:rsidR="004F62EB">
        <w:t>B</w:t>
      </w:r>
      <w:r w:rsidRPr="00652944">
        <w:t xml:space="preserve">aseline in the percentage of superficial cells and significant decrease in vaginal </w:t>
      </w:r>
      <w:proofErr w:type="spellStart"/>
      <w:r w:rsidRPr="00652944">
        <w:t>pH.</w:t>
      </w:r>
      <w:proofErr w:type="spellEnd"/>
    </w:p>
    <w:p w14:paraId="151F6C96" w14:textId="440D6E81" w:rsidR="00652944" w:rsidRPr="00652944" w:rsidRDefault="00652944" w:rsidP="00652944">
      <w:pPr>
        <w:pStyle w:val="Heading4"/>
      </w:pPr>
      <w:bookmarkStart w:id="51" w:name="_Toc146618676"/>
      <w:r w:rsidRPr="00652944">
        <w:t>Safety</w:t>
      </w:r>
      <w:bookmarkEnd w:id="51"/>
    </w:p>
    <w:p w14:paraId="71958670" w14:textId="76168B4C" w:rsidR="00652944" w:rsidRPr="00CC501C" w:rsidRDefault="00652944" w:rsidP="00CC501C">
      <w:pPr>
        <w:pStyle w:val="Heading5"/>
      </w:pPr>
      <w:r w:rsidRPr="00CC501C">
        <w:t>Exposure</w:t>
      </w:r>
    </w:p>
    <w:p w14:paraId="5299635A" w14:textId="32BB1601" w:rsidR="00652944" w:rsidRDefault="00652944" w:rsidP="00652944">
      <w:r w:rsidRPr="00652944">
        <w:t xml:space="preserve">Safety data were generated from </w:t>
      </w:r>
      <w:r>
        <w:t>six</w:t>
      </w:r>
      <w:r w:rsidRPr="00652944">
        <w:t xml:space="preserve"> clinical studies (</w:t>
      </w:r>
      <w:r w:rsidR="006C7E7A">
        <w:fldChar w:fldCharType="begin"/>
      </w:r>
      <w:r w:rsidR="006C7E7A">
        <w:instrText xml:space="preserve"> REF _Ref146542744 \h </w:instrText>
      </w:r>
      <w:r w:rsidR="006C7E7A">
        <w:fldChar w:fldCharType="separate"/>
      </w:r>
      <w:r w:rsidR="0067247F" w:rsidRPr="00751B23">
        <w:t xml:space="preserve">Table </w:t>
      </w:r>
      <w:r w:rsidR="0067247F">
        <w:rPr>
          <w:noProof/>
        </w:rPr>
        <w:t>3</w:t>
      </w:r>
      <w:r w:rsidR="006C7E7A">
        <w:fldChar w:fldCharType="end"/>
      </w:r>
      <w:r w:rsidRPr="00652944">
        <w:t>). 1196 postmenopausal women were treated with prasterone</w:t>
      </w:r>
      <w:r w:rsidR="00951CEE">
        <w:t xml:space="preserve"> 6.5 mg (</w:t>
      </w:r>
      <w:proofErr w:type="spellStart"/>
      <w:r w:rsidR="00951CEE">
        <w:t>Intrarosa</w:t>
      </w:r>
      <w:proofErr w:type="spellEnd"/>
      <w:r w:rsidR="00951CEE">
        <w:t xml:space="preserve">) </w:t>
      </w:r>
      <w:r w:rsidRPr="00652944">
        <w:t>during the clinical trial program, including 435</w:t>
      </w:r>
      <w:r w:rsidR="00872EE3">
        <w:t> </w:t>
      </w:r>
      <w:r w:rsidRPr="00652944">
        <w:t>receiving treatment for 52 weeks. The extent of exposure in those studies is shown in</w:t>
      </w:r>
      <w:r w:rsidR="006C7E7A">
        <w:t xml:space="preserve"> </w:t>
      </w:r>
      <w:r w:rsidR="006C7E7A">
        <w:fldChar w:fldCharType="begin"/>
      </w:r>
      <w:r w:rsidR="006C7E7A">
        <w:instrText xml:space="preserve"> REF _Ref146544912 \h </w:instrText>
      </w:r>
      <w:r w:rsidR="006C7E7A">
        <w:fldChar w:fldCharType="separate"/>
      </w:r>
      <w:r w:rsidR="0067247F" w:rsidRPr="006C7E7A">
        <w:t>Table</w:t>
      </w:r>
      <w:r w:rsidR="008B0500">
        <w:t> </w:t>
      </w:r>
      <w:r w:rsidR="0067247F">
        <w:rPr>
          <w:noProof/>
        </w:rPr>
        <w:t>5</w:t>
      </w:r>
      <w:r w:rsidR="006C7E7A">
        <w:fldChar w:fldCharType="end"/>
      </w:r>
      <w:r w:rsidRPr="00652944">
        <w:t>. Additionally, post-market data are available.</w:t>
      </w:r>
    </w:p>
    <w:p w14:paraId="17A4B6B0" w14:textId="58A0416D" w:rsidR="006C7E7A" w:rsidRDefault="006C7E7A" w:rsidP="006C7E7A">
      <w:pPr>
        <w:pStyle w:val="TableTitle"/>
      </w:pPr>
      <w:bookmarkStart w:id="52" w:name="_Ref146544912"/>
      <w:r w:rsidRPr="006C7E7A">
        <w:t xml:space="preserve">Table </w:t>
      </w:r>
      <w:r w:rsidR="004E2876">
        <w:fldChar w:fldCharType="begin"/>
      </w:r>
      <w:r w:rsidR="004E2876">
        <w:instrText xml:space="preserve"> SEQ Table \* ARABIC </w:instrText>
      </w:r>
      <w:r w:rsidR="004E2876">
        <w:fldChar w:fldCharType="separate"/>
      </w:r>
      <w:r w:rsidR="0067247F">
        <w:rPr>
          <w:noProof/>
        </w:rPr>
        <w:t>5</w:t>
      </w:r>
      <w:r w:rsidR="004E2876">
        <w:rPr>
          <w:noProof/>
        </w:rPr>
        <w:fldChar w:fldCharType="end"/>
      </w:r>
      <w:bookmarkEnd w:id="52"/>
      <w:r>
        <w:t>: E</w:t>
      </w:r>
      <w:r w:rsidRPr="006C7E7A">
        <w:t xml:space="preserve">xposure to intravaginal </w:t>
      </w:r>
      <w:r w:rsidR="00AF7778">
        <w:t>d</w:t>
      </w:r>
      <w:r w:rsidR="00AF7778" w:rsidRPr="00AB01D0">
        <w:t>ehydroepiandrosterone</w:t>
      </w:r>
      <w:r w:rsidRPr="006C7E7A">
        <w:t xml:space="preserve"> (</w:t>
      </w:r>
      <w:r>
        <w:t>s</w:t>
      </w:r>
      <w:r w:rsidRPr="006C7E7A">
        <w:t xml:space="preserve">afety </w:t>
      </w:r>
      <w:r>
        <w:t>p</w:t>
      </w:r>
      <w:r w:rsidRPr="006C7E7A">
        <w:t>opulation)</w:t>
      </w:r>
    </w:p>
    <w:p w14:paraId="12D33276" w14:textId="607D6B40" w:rsidR="006C7E7A" w:rsidRDefault="006C7E7A" w:rsidP="006C7E7A">
      <w:r w:rsidRPr="006C7E7A">
        <w:rPr>
          <w:noProof/>
        </w:rPr>
        <w:drawing>
          <wp:inline distT="0" distB="0" distL="0" distR="0" wp14:anchorId="11E42592" wp14:editId="4FD1386C">
            <wp:extent cx="4770755" cy="1900555"/>
            <wp:effectExtent l="0" t="0" r="0" b="4445"/>
            <wp:docPr id="6" name="Picture 6" descr="Exposure to intravaginal dehydroepiandrosteron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xposure to intravaginal dehydroepiandrosterone (safety popul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0755" cy="1900555"/>
                    </a:xfrm>
                    <a:prstGeom prst="rect">
                      <a:avLst/>
                    </a:prstGeom>
                    <a:noFill/>
                    <a:ln>
                      <a:noFill/>
                    </a:ln>
                  </pic:spPr>
                </pic:pic>
              </a:graphicData>
            </a:graphic>
          </wp:inline>
        </w:drawing>
      </w:r>
    </w:p>
    <w:p w14:paraId="468851D0" w14:textId="72E6D89C" w:rsidR="006C7E7A" w:rsidRDefault="006C7E7A" w:rsidP="006C7E7A">
      <w:r w:rsidRPr="006C7E7A">
        <w:t>Adverse event overview</w:t>
      </w:r>
      <w:r>
        <w:t xml:space="preserve"> </w:t>
      </w:r>
      <w:r w:rsidR="00AF7778">
        <w:t>is</w:t>
      </w:r>
      <w:r>
        <w:t xml:space="preserve"> listed in </w:t>
      </w:r>
      <w:r>
        <w:fldChar w:fldCharType="begin"/>
      </w:r>
      <w:r>
        <w:instrText xml:space="preserve"> REF _Ref146545088 \h </w:instrText>
      </w:r>
      <w:r>
        <w:fldChar w:fldCharType="separate"/>
      </w:r>
      <w:r w:rsidR="0067247F" w:rsidRPr="006C7E7A">
        <w:t xml:space="preserve">Table </w:t>
      </w:r>
      <w:r w:rsidR="0067247F">
        <w:rPr>
          <w:noProof/>
        </w:rPr>
        <w:t>6</w:t>
      </w:r>
      <w:r>
        <w:fldChar w:fldCharType="end"/>
      </w:r>
      <w:r>
        <w:t>.</w:t>
      </w:r>
    </w:p>
    <w:p w14:paraId="6B3B5C7A" w14:textId="47715060" w:rsidR="006C7E7A" w:rsidRDefault="006C7E7A" w:rsidP="006C7E7A">
      <w:pPr>
        <w:pStyle w:val="TableTitle"/>
      </w:pPr>
      <w:bookmarkStart w:id="53" w:name="_Ref146545088"/>
      <w:r w:rsidRPr="006C7E7A">
        <w:lastRenderedPageBreak/>
        <w:t xml:space="preserve">Table </w:t>
      </w:r>
      <w:r w:rsidR="004E2876">
        <w:fldChar w:fldCharType="begin"/>
      </w:r>
      <w:r w:rsidR="004E2876">
        <w:instrText xml:space="preserve"> SEQ Table \* ARABIC </w:instrText>
      </w:r>
      <w:r w:rsidR="004E2876">
        <w:fldChar w:fldCharType="separate"/>
      </w:r>
      <w:r w:rsidR="0067247F">
        <w:rPr>
          <w:noProof/>
        </w:rPr>
        <w:t>6</w:t>
      </w:r>
      <w:r w:rsidR="004E2876">
        <w:rPr>
          <w:noProof/>
        </w:rPr>
        <w:fldChar w:fldCharType="end"/>
      </w:r>
      <w:bookmarkEnd w:id="53"/>
      <w:r>
        <w:t>:</w:t>
      </w:r>
      <w:r w:rsidRPr="006C7E7A">
        <w:t xml:space="preserve"> </w:t>
      </w:r>
      <w:r>
        <w:t>O</w:t>
      </w:r>
      <w:r w:rsidRPr="006C7E7A">
        <w:t xml:space="preserve">verview of </w:t>
      </w:r>
      <w:r>
        <w:t>treatment</w:t>
      </w:r>
      <w:r w:rsidR="002E0888">
        <w:t>-</w:t>
      </w:r>
      <w:r>
        <w:t>emergent adverse events</w:t>
      </w:r>
      <w:r w:rsidRPr="006C7E7A">
        <w:t xml:space="preserve"> to Week 16 (</w:t>
      </w:r>
      <w:r>
        <w:t>s</w:t>
      </w:r>
      <w:r w:rsidRPr="006C7E7A">
        <w:t xml:space="preserve">afety </w:t>
      </w:r>
      <w:r>
        <w:t>p</w:t>
      </w:r>
      <w:r w:rsidRPr="006C7E7A">
        <w:t>opulation)</w:t>
      </w:r>
    </w:p>
    <w:p w14:paraId="61CEE9D6" w14:textId="77777777" w:rsidR="006C7E7A" w:rsidRDefault="006C7E7A" w:rsidP="006C7E7A">
      <w:pPr>
        <w:rPr>
          <w:szCs w:val="22"/>
        </w:rPr>
      </w:pPr>
      <w:r w:rsidRPr="006C7E7A">
        <w:rPr>
          <w:noProof/>
        </w:rPr>
        <w:drawing>
          <wp:inline distT="0" distB="0" distL="0" distR="0" wp14:anchorId="47AC87ED" wp14:editId="01E9151F">
            <wp:extent cx="4746625" cy="3800724"/>
            <wp:effectExtent l="0" t="0" r="0" b="9525"/>
            <wp:docPr id="7" name="Picture 7" descr="Overview of treatment emergent adverse events to Week 16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verview of treatment emergent adverse events to Week 16 (safety population)"/>
                    <pic:cNvPicPr>
                      <a:picLocks noChangeAspect="1" noChangeArrowheads="1"/>
                    </pic:cNvPicPr>
                  </pic:nvPicPr>
                  <pic:blipFill rotWithShape="1">
                    <a:blip r:embed="rId31">
                      <a:extLst>
                        <a:ext uri="{28A0092B-C50C-407E-A947-70E740481C1C}">
                          <a14:useLocalDpi xmlns:a14="http://schemas.microsoft.com/office/drawing/2010/main" val="0"/>
                        </a:ext>
                      </a:extLst>
                    </a:blip>
                    <a:srcRect b="11157"/>
                    <a:stretch/>
                  </pic:blipFill>
                  <pic:spPr bwMode="auto">
                    <a:xfrm>
                      <a:off x="0" y="0"/>
                      <a:ext cx="4746625" cy="3800724"/>
                    </a:xfrm>
                    <a:prstGeom prst="rect">
                      <a:avLst/>
                    </a:prstGeom>
                    <a:noFill/>
                    <a:ln>
                      <a:noFill/>
                    </a:ln>
                    <a:extLst>
                      <a:ext uri="{53640926-AAD7-44D8-BBD7-CCE9431645EC}">
                        <a14:shadowObscured xmlns:a14="http://schemas.microsoft.com/office/drawing/2010/main"/>
                      </a:ext>
                    </a:extLst>
                  </pic:spPr>
                </pic:pic>
              </a:graphicData>
            </a:graphic>
          </wp:inline>
        </w:drawing>
      </w:r>
    </w:p>
    <w:p w14:paraId="4AF68F30" w14:textId="47EE7935" w:rsidR="006C7E7A" w:rsidRDefault="006C7E7A" w:rsidP="006C7E7A">
      <w:r w:rsidRPr="006C7E7A">
        <w:t xml:space="preserve">An overview of </w:t>
      </w:r>
      <w:r>
        <w:t>treatment</w:t>
      </w:r>
      <w:r w:rsidR="002E0888">
        <w:t>-</w:t>
      </w:r>
      <w:r>
        <w:t>emergent adverse events (</w:t>
      </w:r>
      <w:r w:rsidRPr="006C7E7A">
        <w:t>TEAE</w:t>
      </w:r>
      <w:r>
        <w:t>)</w:t>
      </w:r>
      <w:r w:rsidRPr="006C7E7A">
        <w:t xml:space="preserve"> is shown in </w:t>
      </w:r>
      <w:r>
        <w:fldChar w:fldCharType="begin"/>
      </w:r>
      <w:r>
        <w:instrText xml:space="preserve"> REF _Ref146545088 \h </w:instrText>
      </w:r>
      <w:r>
        <w:fldChar w:fldCharType="separate"/>
      </w:r>
      <w:r w:rsidR="0067247F" w:rsidRPr="006C7E7A">
        <w:t xml:space="preserve">Table </w:t>
      </w:r>
      <w:r w:rsidR="0067247F">
        <w:rPr>
          <w:noProof/>
        </w:rPr>
        <w:t>6</w:t>
      </w:r>
      <w:r>
        <w:fldChar w:fldCharType="end"/>
      </w:r>
      <w:r w:rsidRPr="006C7E7A">
        <w:t xml:space="preserve"> (by severity and whether related to drug), </w:t>
      </w:r>
      <w:r>
        <w:fldChar w:fldCharType="begin"/>
      </w:r>
      <w:r>
        <w:instrText xml:space="preserve"> REF _Ref146545142 \h </w:instrText>
      </w:r>
      <w:r>
        <w:fldChar w:fldCharType="separate"/>
      </w:r>
      <w:r w:rsidR="0067247F" w:rsidRPr="006C7E7A">
        <w:t xml:space="preserve">Table </w:t>
      </w:r>
      <w:r w:rsidR="0067247F">
        <w:rPr>
          <w:noProof/>
        </w:rPr>
        <w:t>7</w:t>
      </w:r>
      <w:r>
        <w:fldChar w:fldCharType="end"/>
      </w:r>
      <w:r>
        <w:t xml:space="preserve"> </w:t>
      </w:r>
      <w:r w:rsidRPr="006C7E7A">
        <w:t xml:space="preserve">(by </w:t>
      </w:r>
      <w:r>
        <w:t>system organ class (</w:t>
      </w:r>
      <w:r w:rsidRPr="006C7E7A">
        <w:t>SOC</w:t>
      </w:r>
      <w:r>
        <w:t>)</w:t>
      </w:r>
      <w:r w:rsidRPr="006C7E7A">
        <w:t xml:space="preserve"> and </w:t>
      </w:r>
      <w:r>
        <w:t>Preferred Term (</w:t>
      </w:r>
      <w:r w:rsidRPr="006C7E7A">
        <w:t>PT</w:t>
      </w:r>
      <w:r>
        <w:t>)</w:t>
      </w:r>
      <w:r w:rsidRPr="006C7E7A">
        <w:t xml:space="preserve"> up to Week 16), and </w:t>
      </w:r>
      <w:r>
        <w:fldChar w:fldCharType="begin"/>
      </w:r>
      <w:r>
        <w:instrText xml:space="preserve"> REF _Ref146545150 \h </w:instrText>
      </w:r>
      <w:r>
        <w:fldChar w:fldCharType="separate"/>
      </w:r>
      <w:r w:rsidR="0067247F" w:rsidRPr="006C7E7A">
        <w:t xml:space="preserve">Table </w:t>
      </w:r>
      <w:r w:rsidR="0067247F">
        <w:rPr>
          <w:noProof/>
        </w:rPr>
        <w:t>8</w:t>
      </w:r>
      <w:r>
        <w:fldChar w:fldCharType="end"/>
      </w:r>
      <w:r>
        <w:t xml:space="preserve"> </w:t>
      </w:r>
      <w:r w:rsidRPr="006C7E7A">
        <w:t>(by SOC and PT up to Week 52).</w:t>
      </w:r>
    </w:p>
    <w:p w14:paraId="063F2576" w14:textId="248B4191" w:rsidR="006C7E7A" w:rsidRDefault="006C7E7A" w:rsidP="006C7E7A">
      <w:pPr>
        <w:pStyle w:val="TableTitle"/>
      </w:pPr>
      <w:bookmarkStart w:id="54" w:name="_Ref146545142"/>
      <w:r w:rsidRPr="006C7E7A">
        <w:lastRenderedPageBreak/>
        <w:t xml:space="preserve">Table </w:t>
      </w:r>
      <w:r w:rsidR="004E2876">
        <w:fldChar w:fldCharType="begin"/>
      </w:r>
      <w:r w:rsidR="004E2876">
        <w:instrText xml:space="preserve"> SEQ Table \* ARABIC </w:instrText>
      </w:r>
      <w:r w:rsidR="004E2876">
        <w:fldChar w:fldCharType="separate"/>
      </w:r>
      <w:r w:rsidR="0067247F">
        <w:rPr>
          <w:noProof/>
        </w:rPr>
        <w:t>7</w:t>
      </w:r>
      <w:r w:rsidR="004E2876">
        <w:rPr>
          <w:noProof/>
        </w:rPr>
        <w:fldChar w:fldCharType="end"/>
      </w:r>
      <w:bookmarkEnd w:id="54"/>
      <w:r>
        <w:t>: O</w:t>
      </w:r>
      <w:r w:rsidRPr="006C7E7A">
        <w:t xml:space="preserve">verview of </w:t>
      </w:r>
      <w:r>
        <w:t>treatment</w:t>
      </w:r>
      <w:r w:rsidR="002E0888">
        <w:t>-</w:t>
      </w:r>
      <w:r>
        <w:t xml:space="preserve">emergent adverse events </w:t>
      </w:r>
      <w:r w:rsidRPr="006C7E7A">
        <w:t>by Primary S</w:t>
      </w:r>
      <w:r>
        <w:t xml:space="preserve">ystem </w:t>
      </w:r>
      <w:r w:rsidRPr="006C7E7A">
        <w:t>O</w:t>
      </w:r>
      <w:r>
        <w:t xml:space="preserve">rgan </w:t>
      </w:r>
      <w:r w:rsidRPr="006C7E7A">
        <w:t>C</w:t>
      </w:r>
      <w:r>
        <w:t>lass</w:t>
      </w:r>
      <w:r w:rsidRPr="006C7E7A">
        <w:t xml:space="preserve"> and P</w:t>
      </w:r>
      <w:r>
        <w:t xml:space="preserve">referred </w:t>
      </w:r>
      <w:r w:rsidRPr="006C7E7A">
        <w:t>T</w:t>
      </w:r>
      <w:r>
        <w:t>erm</w:t>
      </w:r>
      <w:r w:rsidRPr="006C7E7A">
        <w:t xml:space="preserve"> to Week 16 (Safety Population, Preferred Terms with an incidence </w:t>
      </w:r>
      <w:r w:rsidR="00AF7778">
        <w:t>of at least</w:t>
      </w:r>
      <w:r>
        <w:t> </w:t>
      </w:r>
      <w:r w:rsidRPr="006C7E7A">
        <w:t>1% in any treatment group).</w:t>
      </w:r>
    </w:p>
    <w:p w14:paraId="39D3D49E" w14:textId="5414524C" w:rsidR="006C7E7A" w:rsidRDefault="006C7E7A" w:rsidP="006C7E7A">
      <w:r w:rsidRPr="006C7E7A">
        <w:rPr>
          <w:noProof/>
        </w:rPr>
        <w:drawing>
          <wp:inline distT="0" distB="0" distL="0" distR="0" wp14:anchorId="393685D6" wp14:editId="1D1DE230">
            <wp:extent cx="5303520" cy="6003235"/>
            <wp:effectExtent l="0" t="0" r="0" b="0"/>
            <wp:docPr id="8" name="Picture 8" descr="Overview of treatment emergent adverse events by Primary System Organ Class and Preferred Term to Week 16 (Safety Population, Preferred Terms with an incidence of at least 1% in an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verview of treatment emergent adverse events by Primary System Organ Class and Preferred Term to Week 16 (Safety Population, Preferred Terms with an incidence of at least 1% in any treatment group)."/>
                    <pic:cNvPicPr>
                      <a:picLocks noChangeAspect="1" noChangeArrowheads="1"/>
                    </pic:cNvPicPr>
                  </pic:nvPicPr>
                  <pic:blipFill rotWithShape="1">
                    <a:blip r:embed="rId32">
                      <a:extLst>
                        <a:ext uri="{28A0092B-C50C-407E-A947-70E740481C1C}">
                          <a14:useLocalDpi xmlns:a14="http://schemas.microsoft.com/office/drawing/2010/main" val="0"/>
                        </a:ext>
                      </a:extLst>
                    </a:blip>
                    <a:srcRect b="2456"/>
                    <a:stretch/>
                  </pic:blipFill>
                  <pic:spPr bwMode="auto">
                    <a:xfrm>
                      <a:off x="0" y="0"/>
                      <a:ext cx="5303520" cy="6003235"/>
                    </a:xfrm>
                    <a:prstGeom prst="rect">
                      <a:avLst/>
                    </a:prstGeom>
                    <a:noFill/>
                    <a:ln>
                      <a:noFill/>
                    </a:ln>
                    <a:extLst>
                      <a:ext uri="{53640926-AAD7-44D8-BBD7-CCE9431645EC}">
                        <a14:shadowObscured xmlns:a14="http://schemas.microsoft.com/office/drawing/2010/main"/>
                      </a:ext>
                    </a:extLst>
                  </pic:spPr>
                </pic:pic>
              </a:graphicData>
            </a:graphic>
          </wp:inline>
        </w:drawing>
      </w:r>
    </w:p>
    <w:p w14:paraId="2AA616A9" w14:textId="43C798B4" w:rsidR="006C7E7A" w:rsidRPr="006C7E7A" w:rsidRDefault="006C7E7A" w:rsidP="006C7E7A">
      <w:r>
        <w:rPr>
          <w:szCs w:val="22"/>
        </w:rPr>
        <w:t>There were 40 (3.3%) 0.5% DHEA subjects and 10 (2.1%) placebo subjects discontinuing studies due to TEAEs, including 31 subjects from Study ERC-230. Application site discharge (0.5%) and human papilloma test positive (0.2%) were the most common TEAEs leading to discontinuation of 0.50% DHEA.</w:t>
      </w:r>
    </w:p>
    <w:p w14:paraId="0A6EADA3" w14:textId="1ADEE904" w:rsidR="006C7E7A" w:rsidRDefault="006C7E7A" w:rsidP="006C7E7A">
      <w:pPr>
        <w:pStyle w:val="TableTitle"/>
      </w:pPr>
      <w:bookmarkStart w:id="55" w:name="_Ref146545150"/>
      <w:r w:rsidRPr="006C7E7A">
        <w:lastRenderedPageBreak/>
        <w:t xml:space="preserve">Table </w:t>
      </w:r>
      <w:r w:rsidR="004E2876">
        <w:fldChar w:fldCharType="begin"/>
      </w:r>
      <w:r w:rsidR="004E2876">
        <w:instrText xml:space="preserve"> SEQ Table \* ARABIC </w:instrText>
      </w:r>
      <w:r w:rsidR="004E2876">
        <w:fldChar w:fldCharType="separate"/>
      </w:r>
      <w:r w:rsidR="0067247F">
        <w:rPr>
          <w:noProof/>
        </w:rPr>
        <w:t>8</w:t>
      </w:r>
      <w:r w:rsidR="004E2876">
        <w:rPr>
          <w:noProof/>
        </w:rPr>
        <w:fldChar w:fldCharType="end"/>
      </w:r>
      <w:bookmarkEnd w:id="55"/>
      <w:r>
        <w:t>: O</w:t>
      </w:r>
      <w:r w:rsidRPr="006C7E7A">
        <w:t xml:space="preserve">verview of </w:t>
      </w:r>
      <w:r>
        <w:t>treatment</w:t>
      </w:r>
      <w:r w:rsidR="002E0888">
        <w:t>-</w:t>
      </w:r>
      <w:r>
        <w:t>emergent adverse events</w:t>
      </w:r>
      <w:r w:rsidRPr="006C7E7A">
        <w:t xml:space="preserve"> by </w:t>
      </w:r>
      <w:r>
        <w:t xml:space="preserve">primary System Organ Class </w:t>
      </w:r>
      <w:r w:rsidRPr="006C7E7A">
        <w:t xml:space="preserve">and </w:t>
      </w:r>
      <w:r>
        <w:t xml:space="preserve">Preferred </w:t>
      </w:r>
      <w:r w:rsidRPr="006C7E7A">
        <w:t>T</w:t>
      </w:r>
      <w:r>
        <w:t>erm</w:t>
      </w:r>
      <w:r w:rsidRPr="006C7E7A">
        <w:t xml:space="preserve"> to Week 52 (Safety Population, Preferred Terms with an incidence </w:t>
      </w:r>
      <w:r w:rsidR="00AF7778">
        <w:t>of at least</w:t>
      </w:r>
      <w:r>
        <w:t> </w:t>
      </w:r>
      <w:r w:rsidRPr="006C7E7A">
        <w:t>1% in any treatment group).</w:t>
      </w:r>
    </w:p>
    <w:p w14:paraId="7B6538B2" w14:textId="77777777" w:rsidR="00B43224" w:rsidRDefault="006C7E7A" w:rsidP="006C7E7A">
      <w:r w:rsidRPr="006C7E7A">
        <w:rPr>
          <w:noProof/>
        </w:rPr>
        <w:drawing>
          <wp:inline distT="0" distB="0" distL="0" distR="0" wp14:anchorId="1C5DDE56" wp14:editId="7D4DA6A0">
            <wp:extent cx="3275938" cy="4422697"/>
            <wp:effectExtent l="0" t="0" r="1270" b="0"/>
            <wp:docPr id="9" name="Picture 9" descr="Overview of treatment emergent adverse events by primary System Organ Class and Preferred Term to Week 52 (Safety Population, Preferred Terms with an incidence of at least 1% in an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verview of treatment emergent adverse events by primary System Organ Class and Preferred Term to Week 52 (Safety Population, Preferred Terms with an incidence of at least 1% in any treatment grou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90715" cy="4442646"/>
                    </a:xfrm>
                    <a:prstGeom prst="rect">
                      <a:avLst/>
                    </a:prstGeom>
                    <a:noFill/>
                    <a:ln>
                      <a:noFill/>
                    </a:ln>
                  </pic:spPr>
                </pic:pic>
              </a:graphicData>
            </a:graphic>
          </wp:inline>
        </w:drawing>
      </w:r>
      <w:r w:rsidRPr="006C7E7A">
        <w:t xml:space="preserve"> </w:t>
      </w:r>
      <w:r w:rsidRPr="006C7E7A">
        <w:rPr>
          <w:noProof/>
        </w:rPr>
        <w:drawing>
          <wp:inline distT="0" distB="0" distL="0" distR="0" wp14:anchorId="6D9C5FAE" wp14:editId="3C0594D1">
            <wp:extent cx="3275330" cy="3627725"/>
            <wp:effectExtent l="0" t="0" r="1270" b="0"/>
            <wp:docPr id="10" name="Picture 10" descr="Table 8: Overview of treatment-emergent adverse events by primary System Organ Class and Preferred Term to Week 5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8: Overview of treatment-emergent adverse events by primary System Organ Class and Preferred Term to Week 52 (part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88148" cy="3641922"/>
                    </a:xfrm>
                    <a:prstGeom prst="rect">
                      <a:avLst/>
                    </a:prstGeom>
                    <a:noFill/>
                    <a:ln>
                      <a:noFill/>
                    </a:ln>
                  </pic:spPr>
                </pic:pic>
              </a:graphicData>
            </a:graphic>
          </wp:inline>
        </w:drawing>
      </w:r>
    </w:p>
    <w:p w14:paraId="6C8DDFA7" w14:textId="32016AA6" w:rsidR="006C7E7A" w:rsidRDefault="00B43224" w:rsidP="00B215FD">
      <w:pPr>
        <w:pStyle w:val="TableDescription"/>
      </w:pPr>
      <w:r w:rsidRPr="00B43224">
        <w:t xml:space="preserve">1: Subjects were counted only once within each preferred term. 2: Including data of 0.25%, 0.50% and 1.0% DHEA doses from studies ERC-210, ERC-213, ERC-230 (up to Week 52), ERC-231, ERC-234 and ERC-238. Data from 10 </w:t>
      </w:r>
      <w:r w:rsidRPr="00B43224">
        <w:lastRenderedPageBreak/>
        <w:t>subjects treated for 1 week with 1.8% DHEA in ERC-213 are not included. 3: TEAE (treatment-emergent adverse event): Any event that starts or worsens after the start of study treatment through 30 days after the last dose of study treatment. (AEs coded with MedDRA version 16.1.) Note: Days at risk=cumulative number of days TEAEs could have been observed. Note: Incidence rate [IR] = 16 week incidence rate defined as the total number of events divided by the cumulative days at risk, multiplied by 114 days, multiplied by 100.</w:t>
      </w:r>
    </w:p>
    <w:p w14:paraId="4A6A4733" w14:textId="7BF11849" w:rsidR="00CC501C" w:rsidRPr="00CC501C" w:rsidRDefault="00CC501C" w:rsidP="00CC501C">
      <w:pPr>
        <w:pStyle w:val="Heading5"/>
      </w:pPr>
      <w:r w:rsidRPr="00CC501C">
        <w:t>Treatment related adverse event (adverse drug reaction) overview</w:t>
      </w:r>
    </w:p>
    <w:p w14:paraId="54278303" w14:textId="28E73E07" w:rsidR="00CC501C" w:rsidRDefault="00CC501C" w:rsidP="00CC501C">
      <w:r w:rsidRPr="00CC501C">
        <w:t>An overview of treatment</w:t>
      </w:r>
      <w:r w:rsidR="00AF7778">
        <w:t xml:space="preserve"> </w:t>
      </w:r>
      <w:r w:rsidRPr="00CC501C">
        <w:t xml:space="preserve">related TEAEs is shown in </w:t>
      </w:r>
      <w:r>
        <w:fldChar w:fldCharType="begin"/>
      </w:r>
      <w:r>
        <w:instrText xml:space="preserve"> REF _Ref146545534 \h </w:instrText>
      </w:r>
      <w:r>
        <w:fldChar w:fldCharType="separate"/>
      </w:r>
      <w:r w:rsidR="0067247F" w:rsidRPr="00CC501C">
        <w:t xml:space="preserve">Table </w:t>
      </w:r>
      <w:r w:rsidR="0067247F">
        <w:rPr>
          <w:noProof/>
        </w:rPr>
        <w:t>9</w:t>
      </w:r>
      <w:r>
        <w:fldChar w:fldCharType="end"/>
      </w:r>
      <w:r>
        <w:t>.</w:t>
      </w:r>
    </w:p>
    <w:p w14:paraId="33D57D1D" w14:textId="0EBE562C" w:rsidR="00CC501C" w:rsidRDefault="00CC501C" w:rsidP="00CC501C">
      <w:pPr>
        <w:pStyle w:val="TableTitle"/>
      </w:pPr>
      <w:bookmarkStart w:id="56" w:name="_Ref146545534"/>
      <w:r w:rsidRPr="00CC501C">
        <w:t xml:space="preserve">Table </w:t>
      </w:r>
      <w:r w:rsidR="004E2876">
        <w:fldChar w:fldCharType="begin"/>
      </w:r>
      <w:r w:rsidR="004E2876">
        <w:instrText xml:space="preserve"> SEQ Table \* ARABIC </w:instrText>
      </w:r>
      <w:r w:rsidR="004E2876">
        <w:fldChar w:fldCharType="separate"/>
      </w:r>
      <w:r w:rsidR="0067247F">
        <w:rPr>
          <w:noProof/>
        </w:rPr>
        <w:t>9</w:t>
      </w:r>
      <w:r w:rsidR="004E2876">
        <w:rPr>
          <w:noProof/>
        </w:rPr>
        <w:fldChar w:fldCharType="end"/>
      </w:r>
      <w:bookmarkEnd w:id="56"/>
      <w:r>
        <w:t xml:space="preserve">: </w:t>
      </w:r>
      <w:r w:rsidRPr="00CC501C">
        <w:t xml:space="preserve">Overview of drug-related </w:t>
      </w:r>
      <w:r>
        <w:t>treatment</w:t>
      </w:r>
      <w:r w:rsidR="002E0888">
        <w:t>-</w:t>
      </w:r>
      <w:r>
        <w:t>emergent adverse events</w:t>
      </w:r>
      <w:r w:rsidRPr="00CC501C">
        <w:t xml:space="preserve"> by Primary System Organ Class and Preferred Term (</w:t>
      </w:r>
      <w:r>
        <w:t>s</w:t>
      </w:r>
      <w:r w:rsidRPr="00CC501C">
        <w:t xml:space="preserve">afety </w:t>
      </w:r>
      <w:r>
        <w:t>p</w:t>
      </w:r>
      <w:r w:rsidRPr="00CC501C">
        <w:t>opulation)</w:t>
      </w:r>
    </w:p>
    <w:p w14:paraId="38316D5C" w14:textId="0A634B47" w:rsidR="00CC501C" w:rsidRDefault="00CC501C" w:rsidP="00CC501C">
      <w:r w:rsidRPr="00CC501C">
        <w:rPr>
          <w:noProof/>
        </w:rPr>
        <w:drawing>
          <wp:inline distT="0" distB="0" distL="0" distR="0" wp14:anchorId="02E1B585" wp14:editId="3910EE5C">
            <wp:extent cx="5303520" cy="5685155"/>
            <wp:effectExtent l="0" t="0" r="0" b="0"/>
            <wp:docPr id="14" name="Picture 14" descr="Overview of drug-related treatment emergent adverse events by Primary System Organ Class and Preferred Term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Overview of drug-related treatment emergent adverse events by Primary System Organ Class and Preferred Term (safety population)"/>
                    <pic:cNvPicPr>
                      <a:picLocks noChangeAspect="1" noChangeArrowheads="1"/>
                    </pic:cNvPicPr>
                  </pic:nvPicPr>
                  <pic:blipFill rotWithShape="1">
                    <a:blip r:embed="rId35">
                      <a:extLst>
                        <a:ext uri="{28A0092B-C50C-407E-A947-70E740481C1C}">
                          <a14:useLocalDpi xmlns:a14="http://schemas.microsoft.com/office/drawing/2010/main" val="0"/>
                        </a:ext>
                      </a:extLst>
                    </a:blip>
                    <a:srcRect b="4409"/>
                    <a:stretch/>
                  </pic:blipFill>
                  <pic:spPr bwMode="auto">
                    <a:xfrm>
                      <a:off x="0" y="0"/>
                      <a:ext cx="5303546" cy="5685183"/>
                    </a:xfrm>
                    <a:prstGeom prst="rect">
                      <a:avLst/>
                    </a:prstGeom>
                    <a:noFill/>
                    <a:ln>
                      <a:noFill/>
                    </a:ln>
                    <a:extLst>
                      <a:ext uri="{53640926-AAD7-44D8-BBD7-CCE9431645EC}">
                        <a14:shadowObscured xmlns:a14="http://schemas.microsoft.com/office/drawing/2010/main"/>
                      </a:ext>
                    </a:extLst>
                  </pic:spPr>
                </pic:pic>
              </a:graphicData>
            </a:graphic>
          </wp:inline>
        </w:drawing>
      </w:r>
    </w:p>
    <w:p w14:paraId="75CE44CA" w14:textId="705D9B1E" w:rsidR="00CC501C" w:rsidRPr="00CC501C" w:rsidRDefault="00CC501C" w:rsidP="00CC501C">
      <w:pPr>
        <w:pStyle w:val="Heading5"/>
      </w:pPr>
      <w:r w:rsidRPr="00CC501C">
        <w:t>Deaths</w:t>
      </w:r>
    </w:p>
    <w:p w14:paraId="05320068" w14:textId="6C6E4C92" w:rsidR="00CC501C" w:rsidRPr="00CC501C" w:rsidRDefault="00CC501C" w:rsidP="00CC501C">
      <w:r w:rsidRPr="00CC501C">
        <w:t xml:space="preserve">No deaths were recorded in the </w:t>
      </w:r>
      <w:r w:rsidR="00AF7778">
        <w:t>six</w:t>
      </w:r>
      <w:r w:rsidRPr="00CC501C">
        <w:t xml:space="preserve"> clinical studies included in the analysis.</w:t>
      </w:r>
    </w:p>
    <w:p w14:paraId="6A46558B" w14:textId="4F1C513E" w:rsidR="00CC501C" w:rsidRPr="00CC501C" w:rsidRDefault="00CC501C" w:rsidP="00CC501C">
      <w:pPr>
        <w:pStyle w:val="Heading5"/>
      </w:pPr>
      <w:r w:rsidRPr="00CC501C">
        <w:t>Serious adverse events</w:t>
      </w:r>
    </w:p>
    <w:p w14:paraId="274CA571" w14:textId="74BAAAD7" w:rsidR="00CC501C" w:rsidRPr="00CC501C" w:rsidRDefault="00CC501C" w:rsidP="00CC501C">
      <w:r>
        <w:t>Serious adverse events (</w:t>
      </w:r>
      <w:r w:rsidRPr="00CC501C">
        <w:t>SAE</w:t>
      </w:r>
      <w:r>
        <w:t>)</w:t>
      </w:r>
      <w:r w:rsidRPr="00CC501C">
        <w:t xml:space="preserve"> were reported for a comparable proportion of subjects in 0.50% DHEA group (1.3%) and placebo group (1.1%) up to Week 16.</w:t>
      </w:r>
    </w:p>
    <w:p w14:paraId="4273A1C3" w14:textId="3838F0DE" w:rsidR="00CC501C" w:rsidRPr="00CC501C" w:rsidRDefault="00CC501C" w:rsidP="00CC501C">
      <w:pPr>
        <w:pStyle w:val="Heading5"/>
      </w:pPr>
      <w:r w:rsidRPr="00CC501C">
        <w:lastRenderedPageBreak/>
        <w:t>Adverse events of special interest</w:t>
      </w:r>
    </w:p>
    <w:p w14:paraId="1E4B8F9A" w14:textId="5C57B38A" w:rsidR="00CC501C" w:rsidRDefault="00CC501C" w:rsidP="00CC501C">
      <w:r w:rsidRPr="00CC501C">
        <w:t xml:space="preserve">Adverse events of interest in terms of oestrogenic and androgenic effects </w:t>
      </w:r>
      <w:r>
        <w:t>were</w:t>
      </w:r>
      <w:r w:rsidRPr="00CC501C">
        <w:t xml:space="preserve"> evaluated</w:t>
      </w:r>
      <w:r>
        <w:t>.</w:t>
      </w:r>
    </w:p>
    <w:p w14:paraId="7B53EC2E" w14:textId="77777777" w:rsidR="00CC501C" w:rsidRPr="00CC501C" w:rsidRDefault="00CC501C" w:rsidP="00CC501C">
      <w:pPr>
        <w:pStyle w:val="Heading6"/>
        <w:rPr>
          <w:rFonts w:eastAsiaTheme="minorHAnsi"/>
        </w:rPr>
      </w:pPr>
      <w:r w:rsidRPr="00CC501C">
        <w:t>Cervical dysplasia</w:t>
      </w:r>
    </w:p>
    <w:p w14:paraId="714E9DFD" w14:textId="2EDD5711" w:rsidR="00CC501C" w:rsidRDefault="00CC501C" w:rsidP="00CC501C">
      <w:r>
        <w:t>Overall, there appeared to be 23 cases of interest (n = 11 detected by Pap smear and n = 12 by vaginal smear), for which 8 cases had colposcopic assessment. No further follow</w:t>
      </w:r>
      <w:r w:rsidR="00EF18A6">
        <w:t>-</w:t>
      </w:r>
      <w:r>
        <w:t>up information was available for the remaining cases.</w:t>
      </w:r>
    </w:p>
    <w:p w14:paraId="700FE386" w14:textId="44182B5D" w:rsidR="00CC501C" w:rsidRDefault="00CC501C" w:rsidP="00CC501C">
      <w:r>
        <w:t xml:space="preserve">As cervical abnormalities were exclusion criteria in the studies, all subjects had normal Pap smear at screening, and the abnormalities occurred during treatment with prasterone, the </w:t>
      </w:r>
      <w:r w:rsidR="00EF18A6">
        <w:t xml:space="preserve">overseas evaluator </w:t>
      </w:r>
      <w:r>
        <w:t>stated that ‘the causal relationship is considered at least possible’. ‘Abnormal pap smear (ASCUS)’ was included as an Important identified risk in the risk management plan (RMP).</w:t>
      </w:r>
    </w:p>
    <w:p w14:paraId="6C872526" w14:textId="77777777" w:rsidR="00CC501C" w:rsidRDefault="00CC501C" w:rsidP="00CC501C">
      <w:pPr>
        <w:pStyle w:val="Heading6"/>
      </w:pPr>
      <w:r>
        <w:t>Endometrial safety</w:t>
      </w:r>
    </w:p>
    <w:p w14:paraId="2C988C2F" w14:textId="67AEEDB1" w:rsidR="00CC501C" w:rsidRDefault="00CC501C" w:rsidP="00CC501C">
      <w:r>
        <w:t xml:space="preserve">There were no clinically significant histologic findings. The sponsor stated the subject with disordered proliferative endometrium, and subject with functional polyp both had ‘estrogen signature’ typical of oestrogen use. Additional questions relating to </w:t>
      </w:r>
      <w:r w:rsidR="008D0B5F">
        <w:t>t</w:t>
      </w:r>
      <w:r w:rsidR="008D0B5F" w:rsidRPr="008D0B5F">
        <w:t>ransvaginal ultrasound</w:t>
      </w:r>
      <w:r>
        <w:t xml:space="preserve"> results and missing data were considered resolved with responses </w:t>
      </w:r>
      <w:r w:rsidR="00EF18A6">
        <w:t>during the overseas evaluation</w:t>
      </w:r>
      <w:r>
        <w:t>. Overall, there were no concerns regarding endometrial safety.</w:t>
      </w:r>
    </w:p>
    <w:p w14:paraId="7346AE54" w14:textId="0D9E8067" w:rsidR="00CC501C" w:rsidRDefault="00CC501C" w:rsidP="00CC501C">
      <w:r>
        <w:t xml:space="preserve">The results presented </w:t>
      </w:r>
      <w:r w:rsidR="00EF18A6">
        <w:t xml:space="preserve">are </w:t>
      </w:r>
      <w:r>
        <w:t>in line with the TGA adopted EU guidelines for hormone replacement therapy of oestrogen deficiency symptoms in postmenopausal women for endometrial safety which state for a new HRT a reasonable requirement is that the incidence of endometrial events should be statistically less than 2% after 1 year of treatment.</w:t>
      </w:r>
    </w:p>
    <w:p w14:paraId="40159B2C" w14:textId="77777777" w:rsidR="00CC501C" w:rsidRDefault="00CC501C" w:rsidP="00CC501C">
      <w:pPr>
        <w:pStyle w:val="Heading6"/>
      </w:pPr>
      <w:r>
        <w:t>Breast safety</w:t>
      </w:r>
    </w:p>
    <w:p w14:paraId="799AC2C0" w14:textId="3715092E" w:rsidR="00CC501C" w:rsidRDefault="00CC501C" w:rsidP="00CC501C">
      <w:r>
        <w:t>In Study ERC-230, of 434 subjects with an end-of-study mammogram, 431 (99%) had normal or no significant finding. There was one SAE of breast cancer (final histologic diagnosis of infiltrating carcinoma) considered possibly related to DHEA by the investigator, and one case of breast hyperplasia (final histologic diagnosis of atypical intraductal epithelial hyperplasia with micropapillary architecture) considered not</w:t>
      </w:r>
      <w:r w:rsidR="003455A1">
        <w:t xml:space="preserve"> </w:t>
      </w:r>
      <w:r>
        <w:t xml:space="preserve">related to study drug by the Investigator. </w:t>
      </w:r>
      <w:r w:rsidRPr="002E0888">
        <w:t>However, taking into consideration pre-clinical data, and cases observed in clinical trials, the long</w:t>
      </w:r>
      <w:r w:rsidR="002E0888">
        <w:t>-</w:t>
      </w:r>
      <w:r w:rsidRPr="002E0888">
        <w:t>term use of prasterone in postmenopausal women with regard to breast safety was consider</w:t>
      </w:r>
      <w:r>
        <w:t xml:space="preserve">ed of concern. </w:t>
      </w:r>
      <w:r w:rsidR="00E04F8A">
        <w:t>T</w:t>
      </w:r>
      <w:r>
        <w:t>here was 1 case of ovarian cancer in the DHEA 0.50% group. The oversea</w:t>
      </w:r>
      <w:r w:rsidR="00E04F8A">
        <w:t>s</w:t>
      </w:r>
      <w:r>
        <w:t xml:space="preserve"> evaluator stated no firm conclusion could be drawn given the limited number of cases of breast and ovarian cancer, however the role of prasterone in hormonal dependant cancers could not be excluded, stating further ‘breast and ovarian cancers constitute a potential safety concern which warrants inclusion in the safety specification of the RMP as an important potential risk’.</w:t>
      </w:r>
    </w:p>
    <w:p w14:paraId="412E31DE" w14:textId="77777777" w:rsidR="00CC501C" w:rsidRDefault="00CC501C" w:rsidP="00CC501C">
      <w:pPr>
        <w:pStyle w:val="Heading5"/>
      </w:pPr>
      <w:r>
        <w:t>Post-market</w:t>
      </w:r>
    </w:p>
    <w:p w14:paraId="243BDDB4" w14:textId="15014462" w:rsidR="00CC501C" w:rsidRDefault="00CC501C" w:rsidP="00CC501C">
      <w:r>
        <w:t xml:space="preserve">There were eight </w:t>
      </w:r>
      <w:r w:rsidR="00B1122F">
        <w:rPr>
          <w:szCs w:val="22"/>
        </w:rPr>
        <w:t>p</w:t>
      </w:r>
      <w:r w:rsidR="00B1122F" w:rsidRPr="00D01DDB">
        <w:rPr>
          <w:szCs w:val="22"/>
        </w:rPr>
        <w:t>eriodic safety update report</w:t>
      </w:r>
      <w:r w:rsidR="00B1122F">
        <w:rPr>
          <w:szCs w:val="22"/>
        </w:rPr>
        <w:t>s</w:t>
      </w:r>
      <w:r w:rsidR="00B1122F">
        <w:t xml:space="preserve"> (</w:t>
      </w:r>
      <w:r>
        <w:t>PSUR</w:t>
      </w:r>
      <w:r w:rsidR="00B1122F">
        <w:t>)</w:t>
      </w:r>
      <w:r>
        <w:t xml:space="preserve"> for reporting intervals from 16</w:t>
      </w:r>
      <w:r w:rsidR="00AE36C1">
        <w:t> </w:t>
      </w:r>
      <w:r>
        <w:t xml:space="preserve">November 2016 (IBD) to 21 November 2021, with corresponding </w:t>
      </w:r>
      <w:r w:rsidR="00B1122F" w:rsidRPr="00B1122F">
        <w:t xml:space="preserve">Pharmacovigilance Risk Assessment Committee </w:t>
      </w:r>
      <w:r w:rsidR="00B1122F">
        <w:t>(</w:t>
      </w:r>
      <w:r>
        <w:t>PRAC</w:t>
      </w:r>
      <w:r w:rsidR="00B1122F">
        <w:t>)</w:t>
      </w:r>
      <w:r>
        <w:t xml:space="preserve"> PSUR Assessment Reports and PRAC Recommendations provided in sponsor submitted dossier.</w:t>
      </w:r>
    </w:p>
    <w:p w14:paraId="2B8F8B4D" w14:textId="42210026" w:rsidR="00CC501C" w:rsidRPr="00CC501C" w:rsidRDefault="00CC501C" w:rsidP="00CC501C">
      <w:r>
        <w:t xml:space="preserve">There were no new safety issues for Intrarosa identified, noting the assessments are based on the known safety concerns of Intrarosa (identified risks, potential </w:t>
      </w:r>
      <w:proofErr w:type="gramStart"/>
      <w:r>
        <w:t>risks</w:t>
      </w:r>
      <w:proofErr w:type="gramEnd"/>
      <w:r>
        <w:t xml:space="preserve"> and missing information) as outlined in th</w:t>
      </w:r>
      <w:r w:rsidR="00B1122F">
        <w:t xml:space="preserve">e </w:t>
      </w:r>
      <w:r w:rsidR="00B1122F">
        <w:fldChar w:fldCharType="begin"/>
      </w:r>
      <w:r w:rsidR="00B1122F">
        <w:instrText xml:space="preserve"> REF _Ref146617961 \h </w:instrText>
      </w:r>
      <w:r w:rsidR="00B1122F">
        <w:fldChar w:fldCharType="separate"/>
      </w:r>
      <w:r w:rsidR="0067247F">
        <w:rPr>
          <w:lang w:eastAsia="en-AU"/>
        </w:rPr>
        <w:t>Risk management plan</w:t>
      </w:r>
      <w:r w:rsidR="00B1122F">
        <w:fldChar w:fldCharType="end"/>
      </w:r>
      <w:r>
        <w:t>.</w:t>
      </w:r>
    </w:p>
    <w:p w14:paraId="2858B006" w14:textId="77777777" w:rsidR="00C22214" w:rsidRDefault="00C22214" w:rsidP="00C22214">
      <w:pPr>
        <w:pStyle w:val="Heading3"/>
        <w:rPr>
          <w:lang w:eastAsia="en-AU"/>
        </w:rPr>
      </w:pPr>
      <w:bookmarkStart w:id="57" w:name="_Toc314842514"/>
      <w:bookmarkStart w:id="58" w:name="_Toc103679298"/>
      <w:bookmarkStart w:id="59" w:name="_Ref146617961"/>
      <w:bookmarkStart w:id="60" w:name="_Toc146618677"/>
      <w:r>
        <w:rPr>
          <w:lang w:eastAsia="en-AU"/>
        </w:rPr>
        <w:lastRenderedPageBreak/>
        <w:t>Risk management plan</w:t>
      </w:r>
      <w:bookmarkEnd w:id="57"/>
      <w:bookmarkEnd w:id="58"/>
      <w:bookmarkEnd w:id="59"/>
      <w:bookmarkEnd w:id="60"/>
    </w:p>
    <w:p w14:paraId="73A76BEB" w14:textId="4D04231D" w:rsidR="00CC501C" w:rsidRPr="00CC501C" w:rsidRDefault="00CC501C" w:rsidP="00CC501C">
      <w:pPr>
        <w:rPr>
          <w:szCs w:val="22"/>
        </w:rPr>
      </w:pPr>
      <w:bookmarkStart w:id="61" w:name="_Toc247691531"/>
      <w:bookmarkStart w:id="62" w:name="_Toc314842515"/>
      <w:r w:rsidRPr="00CC501C">
        <w:rPr>
          <w:szCs w:val="22"/>
        </w:rPr>
        <w:t xml:space="preserve">The sponsor has submitted EU-RMP version 1.7 (date 3 December 2021; </w:t>
      </w:r>
      <w:r w:rsidR="00E135EE">
        <w:rPr>
          <w:szCs w:val="22"/>
        </w:rPr>
        <w:t>data lock point (</w:t>
      </w:r>
      <w:r w:rsidRPr="00CC501C">
        <w:rPr>
          <w:szCs w:val="22"/>
        </w:rPr>
        <w:t>DLP</w:t>
      </w:r>
      <w:r w:rsidR="00E135EE">
        <w:rPr>
          <w:szCs w:val="22"/>
        </w:rPr>
        <w:t>)</w:t>
      </w:r>
      <w:r w:rsidRPr="00CC501C">
        <w:rPr>
          <w:szCs w:val="22"/>
        </w:rPr>
        <w:t xml:space="preserve"> 18 November 2021) and </w:t>
      </w:r>
      <w:r w:rsidR="00E135EE">
        <w:rPr>
          <w:szCs w:val="22"/>
        </w:rPr>
        <w:t>Australia specific annex (</w:t>
      </w:r>
      <w:r w:rsidRPr="00CC501C">
        <w:rPr>
          <w:szCs w:val="22"/>
        </w:rPr>
        <w:t>ASA</w:t>
      </w:r>
      <w:r w:rsidR="00E135EE">
        <w:rPr>
          <w:szCs w:val="22"/>
        </w:rPr>
        <w:t>)</w:t>
      </w:r>
      <w:r w:rsidRPr="00CC501C">
        <w:rPr>
          <w:szCs w:val="22"/>
        </w:rPr>
        <w:t xml:space="preserve"> version 1.0 (date 22 June 2022) in support of this application. </w:t>
      </w:r>
    </w:p>
    <w:p w14:paraId="3163B377" w14:textId="1C30C0C7" w:rsidR="00CC501C" w:rsidRDefault="00E135EE" w:rsidP="00CC501C">
      <w:pPr>
        <w:rPr>
          <w:szCs w:val="22"/>
        </w:rPr>
      </w:pPr>
      <w:r>
        <w:rPr>
          <w:szCs w:val="22"/>
        </w:rPr>
        <w:t>In response to TGA’s questions</w:t>
      </w:r>
      <w:r w:rsidR="00CC501C" w:rsidRPr="00CC501C">
        <w:rPr>
          <w:szCs w:val="22"/>
        </w:rPr>
        <w:t xml:space="preserve"> the sponsor provided an updated EU</w:t>
      </w:r>
      <w:r>
        <w:rPr>
          <w:szCs w:val="22"/>
        </w:rPr>
        <w:t>-</w:t>
      </w:r>
      <w:r w:rsidR="00CC501C" w:rsidRPr="00CC501C">
        <w:rPr>
          <w:szCs w:val="22"/>
        </w:rPr>
        <w:t>RMP version 1.8 (date 29</w:t>
      </w:r>
      <w:r w:rsidR="007A59BF">
        <w:rPr>
          <w:szCs w:val="22"/>
        </w:rPr>
        <w:t> </w:t>
      </w:r>
      <w:r w:rsidR="00CC501C" w:rsidRPr="00CC501C">
        <w:rPr>
          <w:szCs w:val="22"/>
        </w:rPr>
        <w:t>March 2023; DLP 28 March 2023) and an ASA version 1.0 (9 February 2023).</w:t>
      </w:r>
    </w:p>
    <w:p w14:paraId="39F3CD1D" w14:textId="15863F6A" w:rsidR="0072003B" w:rsidRPr="00BD5DBD" w:rsidRDefault="00C22214" w:rsidP="00C22214">
      <w:pPr>
        <w:rPr>
          <w:szCs w:val="22"/>
        </w:rPr>
      </w:pPr>
      <w:r w:rsidRPr="00BD5DBD">
        <w:rPr>
          <w:szCs w:val="22"/>
        </w:rPr>
        <w:t>The summary of safety concerns and their associated risk monitoring and mitigation strategies are summarised in</w:t>
      </w:r>
      <w:r w:rsidR="003B149C">
        <w:rPr>
          <w:szCs w:val="22"/>
        </w:rPr>
        <w:t xml:space="preserve"> </w:t>
      </w:r>
      <w:r w:rsidR="003B149C" w:rsidRPr="003B149C">
        <w:rPr>
          <w:szCs w:val="22"/>
        </w:rPr>
        <w:fldChar w:fldCharType="begin"/>
      </w:r>
      <w:r w:rsidR="003B149C" w:rsidRPr="003B149C">
        <w:rPr>
          <w:szCs w:val="22"/>
        </w:rPr>
        <w:instrText xml:space="preserve"> REF _Ref97629131 \h </w:instrText>
      </w:r>
      <w:r w:rsidR="003B149C">
        <w:rPr>
          <w:szCs w:val="22"/>
        </w:rPr>
        <w:instrText xml:space="preserve"> \* MERGEFORMAT </w:instrText>
      </w:r>
      <w:r w:rsidR="003B149C" w:rsidRPr="003B149C">
        <w:rPr>
          <w:szCs w:val="22"/>
        </w:rPr>
      </w:r>
      <w:r w:rsidR="003B149C" w:rsidRPr="003B149C">
        <w:rPr>
          <w:szCs w:val="22"/>
        </w:rPr>
        <w:fldChar w:fldCharType="separate"/>
      </w:r>
      <w:r w:rsidR="0067247F" w:rsidRPr="0067247F">
        <w:rPr>
          <w:szCs w:val="22"/>
        </w:rPr>
        <w:t xml:space="preserve">Table </w:t>
      </w:r>
      <w:r w:rsidR="0067247F" w:rsidRPr="0067247F">
        <w:rPr>
          <w:noProof/>
          <w:szCs w:val="22"/>
        </w:rPr>
        <w:t>10</w:t>
      </w:r>
      <w:r w:rsidR="003B149C" w:rsidRPr="003B149C">
        <w:rPr>
          <w:szCs w:val="22"/>
        </w:rPr>
        <w:fldChar w:fldCharType="end"/>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life-cycle, during both the pre-approval and post-approval phases.</w:t>
      </w:r>
    </w:p>
    <w:p w14:paraId="56B51A93" w14:textId="526C8335" w:rsidR="006A277A" w:rsidRDefault="00C22214" w:rsidP="00C22214">
      <w:pPr>
        <w:pStyle w:val="TableTitle"/>
      </w:pPr>
      <w:bookmarkStart w:id="63" w:name="_Ref97629131"/>
      <w:r>
        <w:t xml:space="preserve">Table </w:t>
      </w:r>
      <w:r w:rsidR="004E2876">
        <w:fldChar w:fldCharType="begin"/>
      </w:r>
      <w:r w:rsidR="004E2876">
        <w:instrText xml:space="preserve"> SEQ Table \* ARABIC </w:instrText>
      </w:r>
      <w:r w:rsidR="004E2876">
        <w:fldChar w:fldCharType="separate"/>
      </w:r>
      <w:r w:rsidR="0067247F">
        <w:rPr>
          <w:noProof/>
        </w:rPr>
        <w:t>10</w:t>
      </w:r>
      <w:r w:rsidR="004E2876">
        <w:rPr>
          <w:noProof/>
        </w:rPr>
        <w:fldChar w:fldCharType="end"/>
      </w:r>
      <w:bookmarkEnd w:id="63"/>
      <w:r>
        <w:t>: Summary of safety concerns</w:t>
      </w:r>
    </w:p>
    <w:tbl>
      <w:tblPr>
        <w:tblStyle w:val="TableTGAblue2023"/>
        <w:tblW w:w="5000" w:type="pct"/>
        <w:tblLook w:val="04A0" w:firstRow="1" w:lastRow="0" w:firstColumn="1" w:lastColumn="0" w:noHBand="0" w:noVBand="1"/>
      </w:tblPr>
      <w:tblGrid>
        <w:gridCol w:w="1440"/>
        <w:gridCol w:w="3480"/>
        <w:gridCol w:w="935"/>
        <w:gridCol w:w="1135"/>
        <w:gridCol w:w="935"/>
        <w:gridCol w:w="1135"/>
      </w:tblGrid>
      <w:tr w:rsidR="00E135EE" w:rsidRPr="00BF52F4" w14:paraId="20A98610" w14:textId="77777777" w:rsidTr="00E135EE">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2715" w:type="pct"/>
            <w:gridSpan w:val="2"/>
            <w:vMerge w:val="restart"/>
          </w:tcPr>
          <w:p w14:paraId="40EE0F04" w14:textId="77777777" w:rsidR="00E135EE" w:rsidRPr="00BF52F4" w:rsidRDefault="00E135EE" w:rsidP="00863A8E">
            <w:pPr>
              <w:pStyle w:val="Tabletext0"/>
              <w:rPr>
                <w:b w:val="0"/>
                <w:kern w:val="0"/>
              </w:rPr>
            </w:pPr>
            <w:r w:rsidRPr="00BF52F4">
              <w:rPr>
                <w:kern w:val="0"/>
              </w:rPr>
              <w:t>Summary of safety concerns</w:t>
            </w:r>
          </w:p>
        </w:tc>
        <w:tc>
          <w:tcPr>
            <w:tcW w:w="1142" w:type="pct"/>
            <w:gridSpan w:val="2"/>
          </w:tcPr>
          <w:p w14:paraId="07C2E985" w14:textId="77777777" w:rsidR="00E135EE" w:rsidRPr="00BF52F4" w:rsidRDefault="00E135EE" w:rsidP="00863A8E">
            <w:pPr>
              <w:pStyle w:val="Tabletext0"/>
              <w:cnfStyle w:val="100000000000" w:firstRow="1" w:lastRow="0" w:firstColumn="0" w:lastColumn="0" w:oddVBand="0" w:evenVBand="0" w:oddHBand="0" w:evenHBand="0" w:firstRowFirstColumn="0" w:firstRowLastColumn="0" w:lastRowFirstColumn="0" w:lastRowLastColumn="0"/>
              <w:rPr>
                <w:b w:val="0"/>
                <w:kern w:val="0"/>
                <w:sz w:val="18"/>
              </w:rPr>
            </w:pPr>
            <w:r w:rsidRPr="00BF52F4">
              <w:rPr>
                <w:kern w:val="0"/>
                <w:sz w:val="18"/>
              </w:rPr>
              <w:t>Pharmacovigilance</w:t>
            </w:r>
          </w:p>
        </w:tc>
        <w:tc>
          <w:tcPr>
            <w:tcW w:w="1142" w:type="pct"/>
            <w:gridSpan w:val="2"/>
          </w:tcPr>
          <w:p w14:paraId="5B85375B" w14:textId="77777777" w:rsidR="00E135EE" w:rsidRPr="00BF52F4" w:rsidRDefault="00E135EE" w:rsidP="00863A8E">
            <w:pPr>
              <w:pStyle w:val="Tabletext0"/>
              <w:cnfStyle w:val="100000000000" w:firstRow="1" w:lastRow="0" w:firstColumn="0" w:lastColumn="0" w:oddVBand="0" w:evenVBand="0" w:oddHBand="0" w:evenHBand="0" w:firstRowFirstColumn="0" w:firstRowLastColumn="0" w:lastRowFirstColumn="0" w:lastRowLastColumn="0"/>
              <w:rPr>
                <w:b w:val="0"/>
                <w:kern w:val="0"/>
                <w:sz w:val="18"/>
              </w:rPr>
            </w:pPr>
            <w:r w:rsidRPr="00BF52F4">
              <w:rPr>
                <w:kern w:val="0"/>
                <w:sz w:val="18"/>
              </w:rPr>
              <w:t>Risk Minimisation</w:t>
            </w:r>
          </w:p>
        </w:tc>
      </w:tr>
      <w:tr w:rsidR="00E135EE" w:rsidRPr="00BF52F4" w14:paraId="6CE0E4CA" w14:textId="77777777" w:rsidTr="00E135EE">
        <w:trPr>
          <w:trHeight w:val="150"/>
        </w:trPr>
        <w:tc>
          <w:tcPr>
            <w:cnfStyle w:val="001000000000" w:firstRow="0" w:lastRow="0" w:firstColumn="1" w:lastColumn="0" w:oddVBand="0" w:evenVBand="0" w:oddHBand="0" w:evenHBand="0" w:firstRowFirstColumn="0" w:firstRowLastColumn="0" w:lastRowFirstColumn="0" w:lastRowLastColumn="0"/>
            <w:tcW w:w="2715" w:type="pct"/>
            <w:gridSpan w:val="2"/>
            <w:vMerge/>
          </w:tcPr>
          <w:p w14:paraId="2288CBC9" w14:textId="77777777" w:rsidR="00E135EE" w:rsidRPr="00BF52F4" w:rsidRDefault="00E135EE" w:rsidP="00863A8E">
            <w:pPr>
              <w:pStyle w:val="Tabletext0"/>
              <w:rPr>
                <w:b/>
                <w:kern w:val="0"/>
              </w:rPr>
            </w:pPr>
          </w:p>
        </w:tc>
        <w:tc>
          <w:tcPr>
            <w:tcW w:w="516" w:type="pct"/>
          </w:tcPr>
          <w:p w14:paraId="74FEABCB" w14:textId="77777777" w:rsidR="00E135EE" w:rsidRPr="00BF52F4" w:rsidRDefault="00E135EE" w:rsidP="00863A8E">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Routine</w:t>
            </w:r>
          </w:p>
        </w:tc>
        <w:tc>
          <w:tcPr>
            <w:tcW w:w="626" w:type="pct"/>
          </w:tcPr>
          <w:p w14:paraId="6911796A" w14:textId="77777777" w:rsidR="00E135EE" w:rsidRPr="00BF52F4" w:rsidRDefault="00E135EE" w:rsidP="00863A8E">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Additional</w:t>
            </w:r>
          </w:p>
        </w:tc>
        <w:tc>
          <w:tcPr>
            <w:tcW w:w="516" w:type="pct"/>
          </w:tcPr>
          <w:p w14:paraId="5E6BBC49" w14:textId="77777777" w:rsidR="00E135EE" w:rsidRPr="00BF52F4" w:rsidRDefault="00E135EE" w:rsidP="00863A8E">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Routine</w:t>
            </w:r>
          </w:p>
        </w:tc>
        <w:tc>
          <w:tcPr>
            <w:tcW w:w="626" w:type="pct"/>
          </w:tcPr>
          <w:p w14:paraId="6623221F" w14:textId="77777777" w:rsidR="00E135EE" w:rsidRPr="00BF52F4" w:rsidRDefault="00E135EE" w:rsidP="00863A8E">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Additional</w:t>
            </w:r>
          </w:p>
        </w:tc>
      </w:tr>
      <w:tr w:rsidR="00E135EE" w:rsidRPr="00BF52F4" w14:paraId="6F2BFBCA" w14:textId="77777777" w:rsidTr="00E135EE">
        <w:trPr>
          <w:trHeight w:val="137"/>
        </w:trPr>
        <w:tc>
          <w:tcPr>
            <w:cnfStyle w:val="001000000000" w:firstRow="0" w:lastRow="0" w:firstColumn="1" w:lastColumn="0" w:oddVBand="0" w:evenVBand="0" w:oddHBand="0" w:evenHBand="0" w:firstRowFirstColumn="0" w:firstRowLastColumn="0" w:lastRowFirstColumn="0" w:lastRowLastColumn="0"/>
            <w:tcW w:w="795" w:type="pct"/>
          </w:tcPr>
          <w:p w14:paraId="0AB5F7F2" w14:textId="77777777" w:rsidR="00E135EE" w:rsidRPr="00BF52F4" w:rsidRDefault="00E135EE" w:rsidP="00863A8E">
            <w:pPr>
              <w:pStyle w:val="Tabletext0"/>
              <w:rPr>
                <w:b/>
                <w:kern w:val="0"/>
              </w:rPr>
            </w:pPr>
            <w:r w:rsidRPr="00BF52F4">
              <w:rPr>
                <w:b/>
                <w:kern w:val="0"/>
              </w:rPr>
              <w:t>Important identified risks</w:t>
            </w:r>
          </w:p>
        </w:tc>
        <w:tc>
          <w:tcPr>
            <w:tcW w:w="1921" w:type="pct"/>
          </w:tcPr>
          <w:p w14:paraId="01F5BB63" w14:textId="77777777" w:rsidR="00E135EE" w:rsidRPr="0039202A" w:rsidRDefault="00E135EE" w:rsidP="00863A8E">
            <w:pPr>
              <w:pStyle w:val="Tabletext0"/>
              <w:cnfStyle w:val="000000000000" w:firstRow="0" w:lastRow="0" w:firstColumn="0" w:lastColumn="0" w:oddVBand="0" w:evenVBand="0" w:oddHBand="0" w:evenHBand="0" w:firstRowFirstColumn="0" w:firstRowLastColumn="0" w:lastRowFirstColumn="0" w:lastRowLastColumn="0"/>
              <w:rPr>
                <w:bCs/>
                <w:sz w:val="22"/>
                <w:szCs w:val="22"/>
              </w:rPr>
            </w:pPr>
            <w:r w:rsidRPr="0039202A">
              <w:rPr>
                <w:bCs/>
                <w:sz w:val="22"/>
                <w:szCs w:val="22"/>
              </w:rPr>
              <w:t>Abnormal Pap smear (ASCUS)</w:t>
            </w:r>
          </w:p>
        </w:tc>
        <w:tc>
          <w:tcPr>
            <w:tcW w:w="516" w:type="pct"/>
          </w:tcPr>
          <w:p w14:paraId="4B22687B" w14:textId="77777777" w:rsidR="00E135EE" w:rsidRPr="00AD1F04" w:rsidRDefault="00E135EE" w:rsidP="00863A8E">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AD1F04">
              <w:rPr>
                <w:rFonts w:eastAsia="Cambria"/>
                <w:kern w:val="0"/>
              </w:rPr>
              <w:sym w:font="Wingdings" w:char="F0FC"/>
            </w:r>
          </w:p>
        </w:tc>
        <w:tc>
          <w:tcPr>
            <w:tcW w:w="626" w:type="pct"/>
          </w:tcPr>
          <w:p w14:paraId="020F1447" w14:textId="77777777" w:rsidR="00E135EE" w:rsidRPr="00AD1F04" w:rsidRDefault="00E135EE" w:rsidP="00863A8E">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AD1F04">
              <w:rPr>
                <w:kern w:val="0"/>
              </w:rPr>
              <w:t>–</w:t>
            </w:r>
          </w:p>
        </w:tc>
        <w:tc>
          <w:tcPr>
            <w:tcW w:w="516" w:type="pct"/>
          </w:tcPr>
          <w:p w14:paraId="178986E4" w14:textId="77777777" w:rsidR="00E135EE" w:rsidRPr="00AD1F04" w:rsidRDefault="00E135EE" w:rsidP="00863A8E">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AD1F04">
              <w:rPr>
                <w:rFonts w:eastAsia="Cambria"/>
                <w:kern w:val="0"/>
              </w:rPr>
              <w:sym w:font="Wingdings" w:char="F0FC"/>
            </w:r>
          </w:p>
        </w:tc>
        <w:tc>
          <w:tcPr>
            <w:tcW w:w="626" w:type="pct"/>
          </w:tcPr>
          <w:p w14:paraId="12089AEC" w14:textId="77777777" w:rsidR="00E135EE" w:rsidRPr="00AD1F04" w:rsidRDefault="00E135EE" w:rsidP="00863A8E">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AD1F04">
              <w:rPr>
                <w:kern w:val="0"/>
              </w:rPr>
              <w:t>–</w:t>
            </w:r>
          </w:p>
        </w:tc>
      </w:tr>
      <w:tr w:rsidR="00E135EE" w:rsidRPr="00BF52F4" w14:paraId="16791EC3" w14:textId="77777777" w:rsidTr="00E135EE">
        <w:trPr>
          <w:trHeight w:val="159"/>
        </w:trPr>
        <w:tc>
          <w:tcPr>
            <w:cnfStyle w:val="001000000000" w:firstRow="0" w:lastRow="0" w:firstColumn="1" w:lastColumn="0" w:oddVBand="0" w:evenVBand="0" w:oddHBand="0" w:evenHBand="0" w:firstRowFirstColumn="0" w:firstRowLastColumn="0" w:lastRowFirstColumn="0" w:lastRowLastColumn="0"/>
            <w:tcW w:w="795" w:type="pct"/>
          </w:tcPr>
          <w:p w14:paraId="05676D19" w14:textId="77777777" w:rsidR="00E135EE" w:rsidRPr="00BF52F4" w:rsidRDefault="00E135EE" w:rsidP="00863A8E">
            <w:pPr>
              <w:pStyle w:val="Tabletext0"/>
              <w:rPr>
                <w:b/>
                <w:kern w:val="0"/>
              </w:rPr>
            </w:pPr>
            <w:r w:rsidRPr="00BF52F4">
              <w:rPr>
                <w:b/>
                <w:kern w:val="0"/>
              </w:rPr>
              <w:t>Important potential risks</w:t>
            </w:r>
          </w:p>
        </w:tc>
        <w:tc>
          <w:tcPr>
            <w:tcW w:w="1921" w:type="pct"/>
          </w:tcPr>
          <w:p w14:paraId="6BD0FD2B" w14:textId="77777777" w:rsidR="00E135EE" w:rsidRPr="0039202A" w:rsidRDefault="00E135EE" w:rsidP="00863A8E">
            <w:pPr>
              <w:pStyle w:val="Tabletext0"/>
              <w:cnfStyle w:val="000000000000" w:firstRow="0" w:lastRow="0" w:firstColumn="0" w:lastColumn="0" w:oddVBand="0" w:evenVBand="0" w:oddHBand="0" w:evenHBand="0" w:firstRowFirstColumn="0" w:firstRowLastColumn="0" w:lastRowFirstColumn="0" w:lastRowLastColumn="0"/>
              <w:rPr>
                <w:bCs/>
                <w:sz w:val="22"/>
                <w:szCs w:val="22"/>
              </w:rPr>
            </w:pPr>
            <w:r w:rsidRPr="0039202A">
              <w:rPr>
                <w:bCs/>
                <w:sz w:val="22"/>
                <w:szCs w:val="22"/>
              </w:rPr>
              <w:t>Oestrogen-dependent cancers such as ovarian or breast cancer</w:t>
            </w:r>
          </w:p>
        </w:tc>
        <w:tc>
          <w:tcPr>
            <w:tcW w:w="516" w:type="pct"/>
          </w:tcPr>
          <w:p w14:paraId="4B8D5774" w14:textId="77777777" w:rsidR="00E135EE" w:rsidRPr="00AD1F04" w:rsidRDefault="00E135EE" w:rsidP="00863A8E">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AD1F04">
              <w:rPr>
                <w:rFonts w:eastAsia="Cambria"/>
                <w:kern w:val="0"/>
              </w:rPr>
              <w:sym w:font="Wingdings" w:char="F0FC"/>
            </w:r>
          </w:p>
        </w:tc>
        <w:tc>
          <w:tcPr>
            <w:tcW w:w="626" w:type="pct"/>
          </w:tcPr>
          <w:p w14:paraId="0860C84C" w14:textId="77777777" w:rsidR="00E135EE" w:rsidRPr="00AD1F04" w:rsidRDefault="00E135EE" w:rsidP="00863A8E">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AD1F04">
              <w:rPr>
                <w:kern w:val="0"/>
              </w:rPr>
              <w:t>–</w:t>
            </w:r>
          </w:p>
        </w:tc>
        <w:tc>
          <w:tcPr>
            <w:tcW w:w="516" w:type="pct"/>
          </w:tcPr>
          <w:p w14:paraId="03F0C635" w14:textId="77777777" w:rsidR="00E135EE" w:rsidRPr="00AD1F04" w:rsidRDefault="00E135EE" w:rsidP="00863A8E">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AD1F04">
              <w:rPr>
                <w:rFonts w:eastAsia="Cambria"/>
                <w:kern w:val="0"/>
              </w:rPr>
              <w:sym w:font="Wingdings" w:char="F0FC"/>
            </w:r>
          </w:p>
        </w:tc>
        <w:tc>
          <w:tcPr>
            <w:tcW w:w="626" w:type="pct"/>
          </w:tcPr>
          <w:p w14:paraId="46F09461" w14:textId="77777777" w:rsidR="00E135EE" w:rsidRPr="00AD1F04" w:rsidRDefault="00E135EE" w:rsidP="00863A8E">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AD1F04">
              <w:rPr>
                <w:kern w:val="0"/>
              </w:rPr>
              <w:t>–</w:t>
            </w:r>
          </w:p>
        </w:tc>
      </w:tr>
      <w:tr w:rsidR="00E135EE" w:rsidRPr="00BF52F4" w14:paraId="47239395" w14:textId="77777777" w:rsidTr="00E135EE">
        <w:trPr>
          <w:trHeight w:val="178"/>
        </w:trPr>
        <w:tc>
          <w:tcPr>
            <w:cnfStyle w:val="001000000000" w:firstRow="0" w:lastRow="0" w:firstColumn="1" w:lastColumn="0" w:oddVBand="0" w:evenVBand="0" w:oddHBand="0" w:evenHBand="0" w:firstRowFirstColumn="0" w:firstRowLastColumn="0" w:lastRowFirstColumn="0" w:lastRowLastColumn="0"/>
            <w:tcW w:w="795" w:type="pct"/>
            <w:vMerge w:val="restart"/>
          </w:tcPr>
          <w:p w14:paraId="3F9DEA4B" w14:textId="77777777" w:rsidR="00E135EE" w:rsidRPr="00BF52F4" w:rsidRDefault="00E135EE" w:rsidP="00863A8E">
            <w:pPr>
              <w:pStyle w:val="Tabletext0"/>
              <w:rPr>
                <w:b/>
                <w:kern w:val="0"/>
              </w:rPr>
            </w:pPr>
            <w:r w:rsidRPr="00BF52F4">
              <w:rPr>
                <w:b/>
                <w:kern w:val="0"/>
              </w:rPr>
              <w:t>Missing information</w:t>
            </w:r>
          </w:p>
        </w:tc>
        <w:tc>
          <w:tcPr>
            <w:tcW w:w="1921" w:type="pct"/>
          </w:tcPr>
          <w:p w14:paraId="283215B7" w14:textId="77777777" w:rsidR="00E135EE" w:rsidRPr="0039202A" w:rsidRDefault="00E135EE" w:rsidP="00863A8E">
            <w:pPr>
              <w:pStyle w:val="Tabletext0"/>
              <w:cnfStyle w:val="000000000000" w:firstRow="0" w:lastRow="0" w:firstColumn="0" w:lastColumn="0" w:oddVBand="0" w:evenVBand="0" w:oddHBand="0" w:evenHBand="0" w:firstRowFirstColumn="0" w:firstRowLastColumn="0" w:lastRowFirstColumn="0" w:lastRowLastColumn="0"/>
              <w:rPr>
                <w:bCs/>
                <w:sz w:val="22"/>
                <w:szCs w:val="22"/>
              </w:rPr>
            </w:pPr>
            <w:r w:rsidRPr="0039202A">
              <w:rPr>
                <w:bCs/>
                <w:sz w:val="22"/>
                <w:szCs w:val="22"/>
              </w:rPr>
              <w:t>Long-term use (after 12 months)</w:t>
            </w:r>
          </w:p>
        </w:tc>
        <w:tc>
          <w:tcPr>
            <w:tcW w:w="516" w:type="pct"/>
          </w:tcPr>
          <w:p w14:paraId="2477D87C" w14:textId="77777777" w:rsidR="00E135EE" w:rsidRPr="00AD1F04" w:rsidRDefault="00E135EE" w:rsidP="00863A8E">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AD1F04">
              <w:rPr>
                <w:rFonts w:eastAsia="Cambria"/>
                <w:kern w:val="0"/>
              </w:rPr>
              <w:sym w:font="Wingdings" w:char="F0FC"/>
            </w:r>
          </w:p>
        </w:tc>
        <w:tc>
          <w:tcPr>
            <w:tcW w:w="626" w:type="pct"/>
          </w:tcPr>
          <w:p w14:paraId="24B8E012" w14:textId="77777777" w:rsidR="00E135EE" w:rsidRPr="00AD1F04" w:rsidRDefault="00E135EE" w:rsidP="00863A8E">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AD1F04">
              <w:rPr>
                <w:kern w:val="0"/>
              </w:rPr>
              <w:t>–</w:t>
            </w:r>
          </w:p>
        </w:tc>
        <w:tc>
          <w:tcPr>
            <w:tcW w:w="516" w:type="pct"/>
          </w:tcPr>
          <w:p w14:paraId="6378CFE7" w14:textId="77777777" w:rsidR="00E135EE" w:rsidRPr="00AD1F04" w:rsidRDefault="00E135EE" w:rsidP="00863A8E">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AD1F04">
              <w:rPr>
                <w:rFonts w:eastAsia="Cambria"/>
                <w:kern w:val="0"/>
              </w:rPr>
              <w:sym w:font="Wingdings" w:char="F0FC"/>
            </w:r>
          </w:p>
        </w:tc>
        <w:tc>
          <w:tcPr>
            <w:tcW w:w="626" w:type="pct"/>
          </w:tcPr>
          <w:p w14:paraId="2CCCC80E" w14:textId="77777777" w:rsidR="00E135EE" w:rsidRPr="00AD1F04" w:rsidRDefault="00E135EE" w:rsidP="00863A8E">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AD1F04">
              <w:rPr>
                <w:kern w:val="0"/>
              </w:rPr>
              <w:t>–</w:t>
            </w:r>
          </w:p>
        </w:tc>
      </w:tr>
      <w:tr w:rsidR="00E135EE" w:rsidRPr="00BF52F4" w14:paraId="62C373C9" w14:textId="77777777" w:rsidTr="00E135EE">
        <w:trPr>
          <w:trHeight w:val="103"/>
        </w:trPr>
        <w:tc>
          <w:tcPr>
            <w:cnfStyle w:val="001000000000" w:firstRow="0" w:lastRow="0" w:firstColumn="1" w:lastColumn="0" w:oddVBand="0" w:evenVBand="0" w:oddHBand="0" w:evenHBand="0" w:firstRowFirstColumn="0" w:firstRowLastColumn="0" w:lastRowFirstColumn="0" w:lastRowLastColumn="0"/>
            <w:tcW w:w="795" w:type="pct"/>
            <w:vMerge/>
          </w:tcPr>
          <w:p w14:paraId="3AE19472" w14:textId="77777777" w:rsidR="00E135EE" w:rsidRPr="00BF52F4" w:rsidRDefault="00E135EE" w:rsidP="00863A8E">
            <w:pPr>
              <w:pStyle w:val="Tabletext0"/>
              <w:rPr>
                <w:kern w:val="0"/>
              </w:rPr>
            </w:pPr>
          </w:p>
        </w:tc>
        <w:tc>
          <w:tcPr>
            <w:tcW w:w="1921" w:type="pct"/>
          </w:tcPr>
          <w:p w14:paraId="7B08A0AB" w14:textId="77777777" w:rsidR="00E135EE" w:rsidRPr="00BF52F4" w:rsidRDefault="00E135EE" w:rsidP="00863A8E">
            <w:pPr>
              <w:pStyle w:val="Tabletext0"/>
              <w:cnfStyle w:val="000000000000" w:firstRow="0" w:lastRow="0" w:firstColumn="0" w:lastColumn="0" w:oddVBand="0" w:evenVBand="0" w:oddHBand="0" w:evenHBand="0" w:firstRowFirstColumn="0" w:firstRowLastColumn="0" w:lastRowFirstColumn="0" w:lastRowLastColumn="0"/>
              <w:rPr>
                <w:kern w:val="0"/>
              </w:rPr>
            </w:pPr>
            <w:r w:rsidRPr="00493DEE">
              <w:rPr>
                <w:bCs/>
                <w:sz w:val="22"/>
                <w:szCs w:val="22"/>
              </w:rPr>
              <w:t>Use in women with active or past oestrogen-dependent malignant</w:t>
            </w:r>
            <w:r>
              <w:rPr>
                <w:bCs/>
              </w:rPr>
              <w:t xml:space="preserve"> </w:t>
            </w:r>
            <w:r w:rsidRPr="00493DEE">
              <w:rPr>
                <w:bCs/>
                <w:sz w:val="22"/>
                <w:szCs w:val="22"/>
              </w:rPr>
              <w:t>tumours (breast and endometrial cancer)</w:t>
            </w:r>
          </w:p>
        </w:tc>
        <w:tc>
          <w:tcPr>
            <w:tcW w:w="516" w:type="pct"/>
          </w:tcPr>
          <w:p w14:paraId="1508B65C" w14:textId="77777777" w:rsidR="00E135EE" w:rsidRPr="00AD1F04" w:rsidRDefault="00E135EE" w:rsidP="00863A8E">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AD1F04">
              <w:rPr>
                <w:rFonts w:eastAsia="Cambria"/>
                <w:kern w:val="0"/>
              </w:rPr>
              <w:sym w:font="Wingdings" w:char="F0FC"/>
            </w:r>
          </w:p>
        </w:tc>
        <w:tc>
          <w:tcPr>
            <w:tcW w:w="626" w:type="pct"/>
          </w:tcPr>
          <w:p w14:paraId="0A48B32E" w14:textId="77777777" w:rsidR="00E135EE" w:rsidRPr="00AD1F04" w:rsidRDefault="00E135EE" w:rsidP="00863A8E">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AD1F04">
              <w:rPr>
                <w:kern w:val="0"/>
              </w:rPr>
              <w:t>–</w:t>
            </w:r>
          </w:p>
        </w:tc>
        <w:tc>
          <w:tcPr>
            <w:tcW w:w="516" w:type="pct"/>
          </w:tcPr>
          <w:p w14:paraId="220E9154" w14:textId="77777777" w:rsidR="00E135EE" w:rsidRPr="00AD1F04" w:rsidRDefault="00E135EE" w:rsidP="00863A8E">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AD1F04">
              <w:rPr>
                <w:rFonts w:eastAsia="Cambria"/>
                <w:kern w:val="0"/>
              </w:rPr>
              <w:sym w:font="Wingdings" w:char="F0FC"/>
            </w:r>
          </w:p>
        </w:tc>
        <w:tc>
          <w:tcPr>
            <w:tcW w:w="626" w:type="pct"/>
          </w:tcPr>
          <w:p w14:paraId="23E9FE09" w14:textId="77777777" w:rsidR="00E135EE" w:rsidRPr="00AD1F04" w:rsidRDefault="00E135EE" w:rsidP="00863A8E">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AD1F04">
              <w:rPr>
                <w:kern w:val="0"/>
              </w:rPr>
              <w:t>–</w:t>
            </w:r>
          </w:p>
        </w:tc>
      </w:tr>
      <w:tr w:rsidR="00E135EE" w:rsidRPr="00BF52F4" w14:paraId="0C4179E7" w14:textId="77777777" w:rsidTr="00E135EE">
        <w:trPr>
          <w:trHeight w:val="103"/>
        </w:trPr>
        <w:tc>
          <w:tcPr>
            <w:cnfStyle w:val="001000000000" w:firstRow="0" w:lastRow="0" w:firstColumn="1" w:lastColumn="0" w:oddVBand="0" w:evenVBand="0" w:oddHBand="0" w:evenHBand="0" w:firstRowFirstColumn="0" w:firstRowLastColumn="0" w:lastRowFirstColumn="0" w:lastRowLastColumn="0"/>
            <w:tcW w:w="795" w:type="pct"/>
            <w:vMerge/>
          </w:tcPr>
          <w:p w14:paraId="7F3DE206" w14:textId="77777777" w:rsidR="00E135EE" w:rsidRPr="00BF52F4" w:rsidRDefault="00E135EE" w:rsidP="00863A8E">
            <w:pPr>
              <w:pStyle w:val="Tabletext0"/>
              <w:rPr>
                <w:kern w:val="0"/>
              </w:rPr>
            </w:pPr>
          </w:p>
        </w:tc>
        <w:tc>
          <w:tcPr>
            <w:tcW w:w="1921" w:type="pct"/>
          </w:tcPr>
          <w:p w14:paraId="0414F1A0" w14:textId="77777777" w:rsidR="00E135EE" w:rsidRPr="00BF52F4" w:rsidRDefault="00E135EE" w:rsidP="00863A8E">
            <w:pPr>
              <w:pStyle w:val="Tabletext0"/>
              <w:cnfStyle w:val="000000000000" w:firstRow="0" w:lastRow="0" w:firstColumn="0" w:lastColumn="0" w:oddVBand="0" w:evenVBand="0" w:oddHBand="0" w:evenHBand="0" w:firstRowFirstColumn="0" w:firstRowLastColumn="0" w:lastRowFirstColumn="0" w:lastRowLastColumn="0"/>
              <w:rPr>
                <w:kern w:val="0"/>
              </w:rPr>
            </w:pPr>
            <w:r w:rsidRPr="00493DEE">
              <w:rPr>
                <w:bCs/>
                <w:sz w:val="22"/>
                <w:szCs w:val="22"/>
              </w:rPr>
              <w:t>Use in women with gyn</w:t>
            </w:r>
            <w:r>
              <w:rPr>
                <w:bCs/>
                <w:sz w:val="22"/>
                <w:szCs w:val="22"/>
              </w:rPr>
              <w:t>a</w:t>
            </w:r>
            <w:r w:rsidRPr="00493DEE">
              <w:rPr>
                <w:bCs/>
                <w:sz w:val="22"/>
                <w:szCs w:val="22"/>
              </w:rPr>
              <w:t>ecological findings (including uterine</w:t>
            </w:r>
            <w:r>
              <w:rPr>
                <w:bCs/>
              </w:rPr>
              <w:t xml:space="preserve"> </w:t>
            </w:r>
            <w:r w:rsidRPr="00493DEE">
              <w:rPr>
                <w:bCs/>
                <w:sz w:val="22"/>
                <w:szCs w:val="22"/>
              </w:rPr>
              <w:t>fibroids, abnormal Pap smear (ASCUS), untreated endometrial</w:t>
            </w:r>
            <w:r>
              <w:rPr>
                <w:bCs/>
              </w:rPr>
              <w:t xml:space="preserve"> </w:t>
            </w:r>
            <w:r w:rsidRPr="00493DEE">
              <w:rPr>
                <w:bCs/>
                <w:sz w:val="22"/>
                <w:szCs w:val="22"/>
              </w:rPr>
              <w:t xml:space="preserve">hyperplasia or undiagnosed genital </w:t>
            </w:r>
            <w:r>
              <w:rPr>
                <w:bCs/>
                <w:sz w:val="22"/>
                <w:szCs w:val="22"/>
              </w:rPr>
              <w:t>b</w:t>
            </w:r>
            <w:r w:rsidRPr="00493DEE">
              <w:rPr>
                <w:bCs/>
                <w:sz w:val="22"/>
                <w:szCs w:val="22"/>
              </w:rPr>
              <w:t>leeding)</w:t>
            </w:r>
          </w:p>
        </w:tc>
        <w:tc>
          <w:tcPr>
            <w:tcW w:w="516" w:type="pct"/>
          </w:tcPr>
          <w:p w14:paraId="32863AE7" w14:textId="77777777" w:rsidR="00E135EE" w:rsidRPr="00AD1F04" w:rsidRDefault="00E135EE" w:rsidP="00863A8E">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AD1F04">
              <w:rPr>
                <w:rFonts w:eastAsia="Cambria"/>
                <w:kern w:val="0"/>
              </w:rPr>
              <w:sym w:font="Wingdings" w:char="F0FC"/>
            </w:r>
          </w:p>
        </w:tc>
        <w:tc>
          <w:tcPr>
            <w:tcW w:w="626" w:type="pct"/>
          </w:tcPr>
          <w:p w14:paraId="628E7719" w14:textId="77777777" w:rsidR="00E135EE" w:rsidRPr="00AD1F04" w:rsidRDefault="00E135EE" w:rsidP="00863A8E">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AD1F04">
              <w:rPr>
                <w:kern w:val="0"/>
              </w:rPr>
              <w:t>–</w:t>
            </w:r>
          </w:p>
        </w:tc>
        <w:tc>
          <w:tcPr>
            <w:tcW w:w="516" w:type="pct"/>
          </w:tcPr>
          <w:p w14:paraId="0E7BE95B" w14:textId="77777777" w:rsidR="00E135EE" w:rsidRPr="00AD1F04" w:rsidRDefault="00E135EE" w:rsidP="00863A8E">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AD1F04">
              <w:rPr>
                <w:rFonts w:eastAsia="Cambria"/>
                <w:kern w:val="0"/>
              </w:rPr>
              <w:sym w:font="Wingdings" w:char="F0FC"/>
            </w:r>
          </w:p>
        </w:tc>
        <w:tc>
          <w:tcPr>
            <w:tcW w:w="626" w:type="pct"/>
          </w:tcPr>
          <w:p w14:paraId="42B3F16B" w14:textId="77777777" w:rsidR="00E135EE" w:rsidRPr="00AD1F04" w:rsidRDefault="00E135EE" w:rsidP="00863A8E">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AD1F04">
              <w:rPr>
                <w:kern w:val="0"/>
              </w:rPr>
              <w:t>–</w:t>
            </w:r>
          </w:p>
        </w:tc>
      </w:tr>
      <w:tr w:rsidR="00E135EE" w:rsidRPr="00BF52F4" w14:paraId="6E1B5EE0" w14:textId="77777777" w:rsidTr="00E135EE">
        <w:trPr>
          <w:trHeight w:val="103"/>
        </w:trPr>
        <w:tc>
          <w:tcPr>
            <w:cnfStyle w:val="001000000000" w:firstRow="0" w:lastRow="0" w:firstColumn="1" w:lastColumn="0" w:oddVBand="0" w:evenVBand="0" w:oddHBand="0" w:evenHBand="0" w:firstRowFirstColumn="0" w:firstRowLastColumn="0" w:lastRowFirstColumn="0" w:lastRowLastColumn="0"/>
            <w:tcW w:w="795" w:type="pct"/>
            <w:vMerge/>
          </w:tcPr>
          <w:p w14:paraId="46EE5933" w14:textId="77777777" w:rsidR="00E135EE" w:rsidRPr="00BF52F4" w:rsidRDefault="00E135EE" w:rsidP="00863A8E">
            <w:pPr>
              <w:pStyle w:val="Tabletext0"/>
              <w:rPr>
                <w:kern w:val="0"/>
              </w:rPr>
            </w:pPr>
          </w:p>
        </w:tc>
        <w:tc>
          <w:tcPr>
            <w:tcW w:w="1921" w:type="pct"/>
          </w:tcPr>
          <w:p w14:paraId="40E0E1E7" w14:textId="32B4B78C" w:rsidR="00E135EE" w:rsidRPr="00BF52F4" w:rsidRDefault="00E135EE" w:rsidP="00863A8E">
            <w:pPr>
              <w:pStyle w:val="Tabletext0"/>
              <w:cnfStyle w:val="000000000000" w:firstRow="0" w:lastRow="0" w:firstColumn="0" w:lastColumn="0" w:oddVBand="0" w:evenVBand="0" w:oddHBand="0" w:evenHBand="0" w:firstRowFirstColumn="0" w:firstRowLastColumn="0" w:lastRowFirstColumn="0" w:lastRowLastColumn="0"/>
              <w:rPr>
                <w:kern w:val="0"/>
              </w:rPr>
            </w:pPr>
            <w:r w:rsidRPr="00493DEE">
              <w:rPr>
                <w:bCs/>
                <w:sz w:val="22"/>
                <w:szCs w:val="22"/>
              </w:rPr>
              <w:t>Use in women with cardiovascular disease or uncontrolled</w:t>
            </w:r>
            <w:r>
              <w:rPr>
                <w:bCs/>
              </w:rPr>
              <w:t xml:space="preserve"> </w:t>
            </w:r>
            <w:r w:rsidRPr="00493DEE">
              <w:rPr>
                <w:bCs/>
                <w:sz w:val="22"/>
                <w:szCs w:val="22"/>
              </w:rPr>
              <w:t>hypertension (blood pressure above 140/90</w:t>
            </w:r>
            <w:r w:rsidR="00137FE8">
              <w:rPr>
                <w:bCs/>
                <w:sz w:val="22"/>
                <w:szCs w:val="22"/>
              </w:rPr>
              <w:t> </w:t>
            </w:r>
            <w:r w:rsidRPr="00493DEE">
              <w:rPr>
                <w:bCs/>
                <w:sz w:val="22"/>
                <w:szCs w:val="22"/>
              </w:rPr>
              <w:t>mmHg)</w:t>
            </w:r>
          </w:p>
        </w:tc>
        <w:tc>
          <w:tcPr>
            <w:tcW w:w="516" w:type="pct"/>
          </w:tcPr>
          <w:p w14:paraId="0E4735BC" w14:textId="77777777" w:rsidR="00E135EE" w:rsidRPr="00AD1F04" w:rsidRDefault="00E135EE" w:rsidP="00863A8E">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AD1F04">
              <w:rPr>
                <w:rFonts w:eastAsia="Cambria"/>
                <w:kern w:val="0"/>
              </w:rPr>
              <w:sym w:font="Wingdings" w:char="F0FC"/>
            </w:r>
          </w:p>
        </w:tc>
        <w:tc>
          <w:tcPr>
            <w:tcW w:w="626" w:type="pct"/>
          </w:tcPr>
          <w:p w14:paraId="5CE52677" w14:textId="77777777" w:rsidR="00E135EE" w:rsidRPr="00AD1F04" w:rsidRDefault="00E135EE" w:rsidP="00863A8E">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AD1F04">
              <w:rPr>
                <w:kern w:val="0"/>
              </w:rPr>
              <w:t>–</w:t>
            </w:r>
          </w:p>
        </w:tc>
        <w:tc>
          <w:tcPr>
            <w:tcW w:w="516" w:type="pct"/>
          </w:tcPr>
          <w:p w14:paraId="5E0193C5" w14:textId="77777777" w:rsidR="00E135EE" w:rsidRPr="00AD1F04" w:rsidRDefault="00E135EE" w:rsidP="00863A8E">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AD1F04">
              <w:rPr>
                <w:rFonts w:eastAsia="Cambria"/>
                <w:kern w:val="0"/>
              </w:rPr>
              <w:sym w:font="Wingdings" w:char="F0FC"/>
            </w:r>
          </w:p>
        </w:tc>
        <w:tc>
          <w:tcPr>
            <w:tcW w:w="626" w:type="pct"/>
          </w:tcPr>
          <w:p w14:paraId="7D8EE606" w14:textId="77777777" w:rsidR="00E135EE" w:rsidRPr="00AD1F04" w:rsidRDefault="00E135EE" w:rsidP="00863A8E">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AD1F04">
              <w:rPr>
                <w:kern w:val="0"/>
              </w:rPr>
              <w:t>–</w:t>
            </w:r>
          </w:p>
        </w:tc>
      </w:tr>
      <w:tr w:rsidR="00E135EE" w:rsidRPr="00BF52F4" w14:paraId="5FEE5D6B" w14:textId="77777777" w:rsidTr="00E135EE">
        <w:trPr>
          <w:trHeight w:val="103"/>
        </w:trPr>
        <w:tc>
          <w:tcPr>
            <w:cnfStyle w:val="001000000000" w:firstRow="0" w:lastRow="0" w:firstColumn="1" w:lastColumn="0" w:oddVBand="0" w:evenVBand="0" w:oddHBand="0" w:evenHBand="0" w:firstRowFirstColumn="0" w:firstRowLastColumn="0" w:lastRowFirstColumn="0" w:lastRowLastColumn="0"/>
            <w:tcW w:w="795" w:type="pct"/>
            <w:vMerge/>
          </w:tcPr>
          <w:p w14:paraId="2B13AA64" w14:textId="77777777" w:rsidR="00E135EE" w:rsidRPr="00BF52F4" w:rsidRDefault="00E135EE" w:rsidP="00863A8E">
            <w:pPr>
              <w:pStyle w:val="Tabletext0"/>
              <w:rPr>
                <w:kern w:val="0"/>
              </w:rPr>
            </w:pPr>
          </w:p>
        </w:tc>
        <w:tc>
          <w:tcPr>
            <w:tcW w:w="1921" w:type="pct"/>
          </w:tcPr>
          <w:p w14:paraId="2C7C9146" w14:textId="77777777" w:rsidR="00E135EE" w:rsidRPr="00BF52F4" w:rsidRDefault="00E135EE" w:rsidP="00863A8E">
            <w:pPr>
              <w:pStyle w:val="Tabletext0"/>
              <w:cnfStyle w:val="000000000000" w:firstRow="0" w:lastRow="0" w:firstColumn="0" w:lastColumn="0" w:oddVBand="0" w:evenVBand="0" w:oddHBand="0" w:evenHBand="0" w:firstRowFirstColumn="0" w:firstRowLastColumn="0" w:lastRowFirstColumn="0" w:lastRowLastColumn="0"/>
              <w:rPr>
                <w:kern w:val="0"/>
              </w:rPr>
            </w:pPr>
            <w:r w:rsidRPr="00493DEE">
              <w:rPr>
                <w:bCs/>
                <w:sz w:val="22"/>
                <w:szCs w:val="22"/>
              </w:rPr>
              <w:t>Use in women with current or previous thromboembolic disease</w:t>
            </w:r>
            <w:r>
              <w:rPr>
                <w:bCs/>
              </w:rPr>
              <w:t xml:space="preserve"> </w:t>
            </w:r>
            <w:r w:rsidRPr="00493DEE">
              <w:rPr>
                <w:bCs/>
                <w:sz w:val="22"/>
                <w:szCs w:val="22"/>
              </w:rPr>
              <w:t>(either arterial or venous)</w:t>
            </w:r>
          </w:p>
        </w:tc>
        <w:tc>
          <w:tcPr>
            <w:tcW w:w="516" w:type="pct"/>
          </w:tcPr>
          <w:p w14:paraId="41DE0731" w14:textId="77777777" w:rsidR="00E135EE" w:rsidRPr="00AD1F04" w:rsidRDefault="00E135EE" w:rsidP="00863A8E">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AD1F04">
              <w:rPr>
                <w:rFonts w:eastAsia="Cambria"/>
                <w:kern w:val="0"/>
              </w:rPr>
              <w:sym w:font="Wingdings" w:char="F0FC"/>
            </w:r>
          </w:p>
        </w:tc>
        <w:tc>
          <w:tcPr>
            <w:tcW w:w="626" w:type="pct"/>
          </w:tcPr>
          <w:p w14:paraId="7DC6B7B1" w14:textId="77777777" w:rsidR="00E135EE" w:rsidRPr="00AD1F04" w:rsidRDefault="00E135EE" w:rsidP="00863A8E">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AD1F04">
              <w:rPr>
                <w:kern w:val="0"/>
              </w:rPr>
              <w:t>–</w:t>
            </w:r>
          </w:p>
        </w:tc>
        <w:tc>
          <w:tcPr>
            <w:tcW w:w="516" w:type="pct"/>
          </w:tcPr>
          <w:p w14:paraId="4B81F9C9" w14:textId="77777777" w:rsidR="00E135EE" w:rsidRPr="00AD1F04" w:rsidRDefault="00E135EE" w:rsidP="00863A8E">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AD1F04">
              <w:rPr>
                <w:rFonts w:eastAsia="Cambria"/>
                <w:kern w:val="0"/>
              </w:rPr>
              <w:sym w:font="Wingdings" w:char="F0FC"/>
            </w:r>
          </w:p>
        </w:tc>
        <w:tc>
          <w:tcPr>
            <w:tcW w:w="626" w:type="pct"/>
          </w:tcPr>
          <w:p w14:paraId="545870DB" w14:textId="77777777" w:rsidR="00E135EE" w:rsidRPr="00AD1F04" w:rsidRDefault="00E135EE" w:rsidP="00863A8E">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AD1F04">
              <w:rPr>
                <w:kern w:val="0"/>
              </w:rPr>
              <w:t>–</w:t>
            </w:r>
          </w:p>
        </w:tc>
      </w:tr>
      <w:tr w:rsidR="00E135EE" w:rsidRPr="00BF52F4" w14:paraId="3DA5B3E6" w14:textId="77777777" w:rsidTr="00E135EE">
        <w:trPr>
          <w:trHeight w:val="140"/>
        </w:trPr>
        <w:tc>
          <w:tcPr>
            <w:cnfStyle w:val="001000000000" w:firstRow="0" w:lastRow="0" w:firstColumn="1" w:lastColumn="0" w:oddVBand="0" w:evenVBand="0" w:oddHBand="0" w:evenHBand="0" w:firstRowFirstColumn="0" w:firstRowLastColumn="0" w:lastRowFirstColumn="0" w:lastRowLastColumn="0"/>
            <w:tcW w:w="795" w:type="pct"/>
            <w:vMerge/>
          </w:tcPr>
          <w:p w14:paraId="5682C63C" w14:textId="77777777" w:rsidR="00E135EE" w:rsidRPr="00BF52F4" w:rsidRDefault="00E135EE" w:rsidP="00863A8E">
            <w:pPr>
              <w:pStyle w:val="Tabletext0"/>
              <w:rPr>
                <w:kern w:val="0"/>
              </w:rPr>
            </w:pPr>
          </w:p>
        </w:tc>
        <w:tc>
          <w:tcPr>
            <w:tcW w:w="1921" w:type="pct"/>
          </w:tcPr>
          <w:p w14:paraId="71FBC901" w14:textId="77777777" w:rsidR="00E135EE" w:rsidRPr="00BF52F4" w:rsidRDefault="00E135EE" w:rsidP="00863A8E">
            <w:pPr>
              <w:pStyle w:val="Tabletext0"/>
              <w:cnfStyle w:val="000000000000" w:firstRow="0" w:lastRow="0" w:firstColumn="0" w:lastColumn="0" w:oddVBand="0" w:evenVBand="0" w:oddHBand="0" w:evenHBand="0" w:firstRowFirstColumn="0" w:firstRowLastColumn="0" w:lastRowFirstColumn="0" w:lastRowLastColumn="0"/>
              <w:rPr>
                <w:kern w:val="0"/>
              </w:rPr>
            </w:pPr>
            <w:r w:rsidRPr="00493DEE">
              <w:rPr>
                <w:bCs/>
                <w:sz w:val="22"/>
                <w:szCs w:val="22"/>
              </w:rPr>
              <w:t>Women with a current hormonal treatment: hormone replacement</w:t>
            </w:r>
            <w:r>
              <w:rPr>
                <w:bCs/>
              </w:rPr>
              <w:t xml:space="preserve"> </w:t>
            </w:r>
            <w:r w:rsidRPr="00493DEE">
              <w:rPr>
                <w:bCs/>
                <w:sz w:val="22"/>
                <w:szCs w:val="22"/>
              </w:rPr>
              <w:t>therapy (</w:t>
            </w:r>
            <w:proofErr w:type="gramStart"/>
            <w:r w:rsidRPr="00493DEE">
              <w:rPr>
                <w:bCs/>
                <w:sz w:val="22"/>
                <w:szCs w:val="22"/>
              </w:rPr>
              <w:t>e.g.</w:t>
            </w:r>
            <w:proofErr w:type="gramEnd"/>
            <w:r w:rsidRPr="00493DEE">
              <w:rPr>
                <w:bCs/>
                <w:sz w:val="22"/>
                <w:szCs w:val="22"/>
              </w:rPr>
              <w:t xml:space="preserve"> oestrogen alone or combined with progestogens or</w:t>
            </w:r>
            <w:r>
              <w:rPr>
                <w:bCs/>
              </w:rPr>
              <w:t xml:space="preserve"> </w:t>
            </w:r>
            <w:r w:rsidRPr="00493DEE">
              <w:rPr>
                <w:bCs/>
                <w:sz w:val="22"/>
                <w:szCs w:val="22"/>
              </w:rPr>
              <w:t>androgen treatment)</w:t>
            </w:r>
          </w:p>
        </w:tc>
        <w:tc>
          <w:tcPr>
            <w:tcW w:w="516" w:type="pct"/>
          </w:tcPr>
          <w:p w14:paraId="635B2A11" w14:textId="77777777" w:rsidR="00E135EE" w:rsidRPr="00AD1F04" w:rsidRDefault="00E135EE" w:rsidP="00863A8E">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AD1F04">
              <w:rPr>
                <w:rFonts w:eastAsia="Cambria"/>
                <w:kern w:val="0"/>
              </w:rPr>
              <w:sym w:font="Wingdings" w:char="F0FC"/>
            </w:r>
          </w:p>
        </w:tc>
        <w:tc>
          <w:tcPr>
            <w:tcW w:w="626" w:type="pct"/>
          </w:tcPr>
          <w:p w14:paraId="3B69AE02" w14:textId="77777777" w:rsidR="00E135EE" w:rsidRPr="00AD1F04" w:rsidRDefault="00E135EE" w:rsidP="00863A8E">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AD1F04">
              <w:rPr>
                <w:kern w:val="0"/>
              </w:rPr>
              <w:t>–</w:t>
            </w:r>
          </w:p>
        </w:tc>
        <w:tc>
          <w:tcPr>
            <w:tcW w:w="516" w:type="pct"/>
          </w:tcPr>
          <w:p w14:paraId="604568C7" w14:textId="77777777" w:rsidR="00E135EE" w:rsidRPr="00AD1F04" w:rsidRDefault="00E135EE" w:rsidP="00863A8E">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AD1F04">
              <w:rPr>
                <w:rFonts w:eastAsia="Cambria"/>
                <w:kern w:val="0"/>
              </w:rPr>
              <w:sym w:font="Wingdings" w:char="F0FC"/>
            </w:r>
          </w:p>
        </w:tc>
        <w:tc>
          <w:tcPr>
            <w:tcW w:w="626" w:type="pct"/>
          </w:tcPr>
          <w:p w14:paraId="61D18344" w14:textId="77777777" w:rsidR="00E135EE" w:rsidRPr="00AD1F04" w:rsidRDefault="00E135EE" w:rsidP="00863A8E">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AD1F04">
              <w:rPr>
                <w:kern w:val="0"/>
              </w:rPr>
              <w:t>–</w:t>
            </w:r>
          </w:p>
        </w:tc>
      </w:tr>
    </w:tbl>
    <w:p w14:paraId="7373D73B" w14:textId="77777777" w:rsidR="00E135EE" w:rsidRPr="00E135EE" w:rsidRDefault="00E135EE" w:rsidP="00E135EE">
      <w:pPr>
        <w:pStyle w:val="TableDescription"/>
      </w:pPr>
      <w:r w:rsidRPr="00E135EE">
        <w:t>ASCUS - Atypical Squamous Cells of Undetermined Significance</w:t>
      </w:r>
    </w:p>
    <w:p w14:paraId="42C75EE5" w14:textId="77777777" w:rsidR="00E135EE" w:rsidRPr="00E135EE" w:rsidRDefault="00E135EE" w:rsidP="00E135EE">
      <w:r w:rsidRPr="00E135EE">
        <w:t>The summary of safety concerns is acceptable from an RMP perspective. This summary of safety concerns is the same as the summary approved by the EMA.</w:t>
      </w:r>
    </w:p>
    <w:p w14:paraId="75903E12" w14:textId="7ACEDE91" w:rsidR="00E135EE" w:rsidRPr="00E135EE" w:rsidRDefault="00E135EE" w:rsidP="00E135EE">
      <w:r w:rsidRPr="00E135EE">
        <w:lastRenderedPageBreak/>
        <w:t>Only routine pharmacovigilance has been proposed for Australia. The pharmacovigilance plan is acceptable from an RMP perspective.</w:t>
      </w:r>
    </w:p>
    <w:p w14:paraId="39AA324C" w14:textId="1AA4380A" w:rsidR="00E135EE" w:rsidRDefault="00E135EE" w:rsidP="00E135EE">
      <w:r w:rsidRPr="00E135EE">
        <w:t>Only routine risk minimisation activities have been proposed for Australia. This is in line with the approached carried out in the EU. Risk minimisation plan is acceptable.</w:t>
      </w:r>
      <w:bookmarkStart w:id="64" w:name="_Hlk129265255"/>
      <w:bookmarkStart w:id="65" w:name="_Hlk121750276"/>
    </w:p>
    <w:p w14:paraId="2906A52F" w14:textId="54CBC8D6" w:rsidR="00E135EE" w:rsidRPr="00E135EE" w:rsidRDefault="00E135EE" w:rsidP="00E135EE">
      <w:pPr>
        <w:pStyle w:val="Heading4"/>
      </w:pPr>
      <w:bookmarkStart w:id="66" w:name="_Toc146618678"/>
      <w:r w:rsidRPr="00E135EE">
        <w:t>Recommended condition/s of registration</w:t>
      </w:r>
      <w:bookmarkEnd w:id="66"/>
    </w:p>
    <w:bookmarkEnd w:id="64"/>
    <w:bookmarkEnd w:id="65"/>
    <w:p w14:paraId="0C79E198" w14:textId="77777777" w:rsidR="00E135EE" w:rsidRDefault="00E135EE" w:rsidP="00E135EE">
      <w:r>
        <w:t>The suggested wording is:</w:t>
      </w:r>
    </w:p>
    <w:p w14:paraId="3AD049E7" w14:textId="5F2EB021" w:rsidR="00E135EE" w:rsidRDefault="00E135EE" w:rsidP="00E135EE">
      <w:pPr>
        <w:ind w:left="720"/>
      </w:pPr>
      <w:r>
        <w:t>‘The Intrarosa EU-RMP (version 1.8, date 29 March 2023; DLP 28 March 2023), with ASA (version 1.0, dated 9 February 2023), included with submission PM-2022-02509-1-5, and any subsequent revisions, as agreed with the TGA will be implemented in Australia.’</w:t>
      </w:r>
    </w:p>
    <w:p w14:paraId="63AFF9E8" w14:textId="77777777" w:rsidR="00E135EE" w:rsidRDefault="00E135EE" w:rsidP="00E135EE">
      <w:r>
        <w:t>The following wording is recommended for the PSUR requirement:</w:t>
      </w:r>
    </w:p>
    <w:p w14:paraId="08E7835A" w14:textId="6634C7F1" w:rsidR="00E135EE" w:rsidRDefault="00E135EE" w:rsidP="00E135EE">
      <w:pPr>
        <w:ind w:left="720"/>
      </w:pPr>
      <w:r>
        <w:t>‘An obligatory component of risk management plans is routine pharmacovigilance. Routine pharmacovigilance includes the submission of periodic safety update reports (PSURs).</w:t>
      </w:r>
    </w:p>
    <w:p w14:paraId="34A6D3C3" w14:textId="77777777" w:rsidR="00E135EE" w:rsidRDefault="00E135EE" w:rsidP="00E135EE">
      <w:pPr>
        <w:ind w:left="720"/>
      </w:pPr>
      <w:r>
        <w:t>Reports are to be provided in line with the current published list of EU reference dates and frequency of submission of PSURs until the period covered by such reports is not less than three years from the date of this approval letter.</w:t>
      </w:r>
    </w:p>
    <w:p w14:paraId="7F169EED" w14:textId="1840D069" w:rsidR="00E135EE" w:rsidRDefault="00E135EE" w:rsidP="00E135EE">
      <w:pPr>
        <w:ind w:left="720"/>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21DBE80E" w14:textId="77777777" w:rsidR="00E135EE" w:rsidRDefault="00E135EE" w:rsidP="00E135EE">
      <w:r>
        <w:t>The following wording is recommended for the Black Triangle Scheme condition of registration:</w:t>
      </w:r>
    </w:p>
    <w:p w14:paraId="75873A89" w14:textId="6954AB9B" w:rsidR="00E135EE" w:rsidRDefault="00E135EE" w:rsidP="00E135EE">
      <w:pPr>
        <w:ind w:left="720"/>
      </w:pPr>
      <w:r>
        <w:t>‘Intrarosa (prasterone) is to be included in the Black Triangle Scheme. The PI and CMI for Intrarosa must include the black triangle symbol and mandatory accompanying text for five years, which starts from the date that the sponsor notifies the TGA of supply of the product.’</w:t>
      </w:r>
    </w:p>
    <w:p w14:paraId="74A4F87F" w14:textId="77777777" w:rsidR="00C22214" w:rsidRDefault="00C22214" w:rsidP="00C22214">
      <w:pPr>
        <w:pStyle w:val="Heading3"/>
      </w:pPr>
      <w:bookmarkStart w:id="67" w:name="_Toc103679299"/>
      <w:bookmarkStart w:id="68" w:name="_Toc146618679"/>
      <w:r>
        <w:t>Risk-benefit analysis</w:t>
      </w:r>
      <w:bookmarkEnd w:id="61"/>
      <w:bookmarkEnd w:id="62"/>
      <w:bookmarkEnd w:id="67"/>
      <w:bookmarkEnd w:id="68"/>
    </w:p>
    <w:p w14:paraId="77DE2655" w14:textId="77777777" w:rsidR="00C22214" w:rsidRDefault="00C22214" w:rsidP="00C22214">
      <w:pPr>
        <w:pStyle w:val="Heading4"/>
      </w:pPr>
      <w:bookmarkStart w:id="69" w:name="_Toc98931932"/>
      <w:bookmarkStart w:id="70" w:name="_Toc146618680"/>
      <w:r>
        <w:t>Delegate’s considerations</w:t>
      </w:r>
      <w:bookmarkEnd w:id="69"/>
      <w:bookmarkEnd w:id="70"/>
    </w:p>
    <w:p w14:paraId="342407A9" w14:textId="63C88C51" w:rsidR="00E135EE" w:rsidRDefault="00E135EE" w:rsidP="0039776D">
      <w:pPr>
        <w:pStyle w:val="Heading5"/>
      </w:pPr>
      <w:r>
        <w:t>Efficacy</w:t>
      </w:r>
    </w:p>
    <w:p w14:paraId="6546C019" w14:textId="43FD254C" w:rsidR="00E135EE" w:rsidRDefault="00E135EE" w:rsidP="00E135EE">
      <w:r>
        <w:t>Following treatment with intravaginal DHEA 0.5</w:t>
      </w:r>
      <w:r w:rsidR="002E0888">
        <w:t>0</w:t>
      </w:r>
      <w:r>
        <w:t xml:space="preserve">% </w:t>
      </w:r>
      <w:r w:rsidR="002E0888">
        <w:t>(6.5</w:t>
      </w:r>
      <w:r w:rsidR="00C735D1">
        <w:t xml:space="preserve"> </w:t>
      </w:r>
      <w:r w:rsidR="002E0888">
        <w:t>mg prasterone; Intrarosa)</w:t>
      </w:r>
      <w:r w:rsidR="00D32E5B">
        <w:t xml:space="preserve"> </w:t>
      </w:r>
      <w:r>
        <w:t>for 12 weeks, statistically significant differences for DHEA 0.5</w:t>
      </w:r>
      <w:r w:rsidR="002E0888">
        <w:t>0</w:t>
      </w:r>
      <w:r>
        <w:t>% v</w:t>
      </w:r>
      <w:r w:rsidR="00B1122F">
        <w:t>ersus</w:t>
      </w:r>
      <w:r>
        <w:t xml:space="preserve"> placebo were demonstrated for the </w:t>
      </w:r>
      <w:r w:rsidR="0039776D">
        <w:t>four</w:t>
      </w:r>
      <w:r>
        <w:t xml:space="preserve"> co-primary endpoints in both pivotal studies. The pivotal studies included subjects with moderate to severe symptoms. There are no data for women with mild symptoms.</w:t>
      </w:r>
    </w:p>
    <w:p w14:paraId="664479E3" w14:textId="70F46427" w:rsidR="00E135EE" w:rsidRDefault="00E135EE" w:rsidP="00E135EE">
      <w:r>
        <w:t>The studies were placebo</w:t>
      </w:r>
      <w:r w:rsidR="00B1122F">
        <w:t xml:space="preserve"> </w:t>
      </w:r>
      <w:r>
        <w:t xml:space="preserve">controlled in line with </w:t>
      </w:r>
      <w:r w:rsidR="00B1122F" w:rsidRPr="00B1122F">
        <w:t xml:space="preserve">United States Food and Drug Administration </w:t>
      </w:r>
      <w:r>
        <w:t xml:space="preserve">guidance. The efficacy of </w:t>
      </w:r>
      <w:r w:rsidRPr="002E0888">
        <w:t>prasterone</w:t>
      </w:r>
      <w:r>
        <w:t xml:space="preserve"> compared to standard of care (intravaginal oestrogens) </w:t>
      </w:r>
      <w:r w:rsidR="00452B89">
        <w:t>has not been demonstrated.</w:t>
      </w:r>
    </w:p>
    <w:p w14:paraId="6C04EE80" w14:textId="77777777" w:rsidR="00E135EE" w:rsidRDefault="00E135EE" w:rsidP="00E135EE">
      <w:r>
        <w:t>The treatment effect on the clinical co-primary endpoint dyspareunia was modest. There was a placebo effect for this endpoint demonstrated in both studies, potentially related to lubricant-like effect of the excipient.</w:t>
      </w:r>
    </w:p>
    <w:p w14:paraId="143E9A11" w14:textId="14945442" w:rsidR="00E135EE" w:rsidRDefault="00E135EE" w:rsidP="0039776D">
      <w:pPr>
        <w:pStyle w:val="Heading5"/>
      </w:pPr>
      <w:r>
        <w:lastRenderedPageBreak/>
        <w:t>Safety</w:t>
      </w:r>
    </w:p>
    <w:p w14:paraId="40A93180" w14:textId="7B14A1F1" w:rsidR="00E135EE" w:rsidRDefault="00E135EE" w:rsidP="00E135EE">
      <w:r>
        <w:t>1196 postmenopausal women were treated with prasterone</w:t>
      </w:r>
      <w:r w:rsidR="002E0888">
        <w:t xml:space="preserve"> 6.5 mg (Intrarosa) </w:t>
      </w:r>
      <w:r>
        <w:t>during the clinical trial program, including 435 receiving treatment for 52 weeks.</w:t>
      </w:r>
    </w:p>
    <w:p w14:paraId="35DCE599" w14:textId="428EDF45" w:rsidR="00E135EE" w:rsidRDefault="00C031BB" w:rsidP="00E135EE">
      <w:r>
        <w:t>Treatment</w:t>
      </w:r>
      <w:r w:rsidR="002E0888">
        <w:t>-</w:t>
      </w:r>
      <w:r>
        <w:t>emergent adverse events</w:t>
      </w:r>
      <w:r w:rsidR="00E135EE">
        <w:t xml:space="preserve"> assessed as drug</w:t>
      </w:r>
      <w:r>
        <w:t xml:space="preserve"> </w:t>
      </w:r>
      <w:r w:rsidR="00E135EE">
        <w:t xml:space="preserve">related by the </w:t>
      </w:r>
      <w:r>
        <w:t>i</w:t>
      </w:r>
      <w:r w:rsidR="00E135EE">
        <w:t>nvestigator up to Week 16 were reported for a higher proportion of subjects in 0.5% DHEA group than placebo group; 9.2% v</w:t>
      </w:r>
      <w:r>
        <w:t>ersus</w:t>
      </w:r>
      <w:r w:rsidR="00E135EE">
        <w:t xml:space="preserve"> 3.8%. Application site discharge was the most frequent treatment-related AE (8.2% vs. 3.4%), with all other PTs reported for ≤ 0.3% subjects. The </w:t>
      </w:r>
      <w:r w:rsidR="0039776D">
        <w:t>oversea</w:t>
      </w:r>
      <w:r w:rsidR="00226C7F">
        <w:t>s</w:t>
      </w:r>
      <w:r w:rsidR="0039776D">
        <w:t xml:space="preserve"> evaluator</w:t>
      </w:r>
      <w:r w:rsidR="00E135EE">
        <w:t xml:space="preserve"> considered frequent local </w:t>
      </w:r>
      <w:r>
        <w:t>adverse events (AE)</w:t>
      </w:r>
      <w:r w:rsidR="00E135EE">
        <w:t xml:space="preserve"> not related or possibly related to prasterone seemed likely related to prasterone pharmaceutical form, and other TEAEs assessed as non-related or possibly related by the </w:t>
      </w:r>
      <w:r w:rsidR="0039776D">
        <w:t>i</w:t>
      </w:r>
      <w:r w:rsidR="00E135EE">
        <w:t>nvestigator could be related to prasterone based on oestrogenic effects (cervical dysplasia, hormonal tumour development [breast, ovarian], uterine/cervical polyps, weight fluctuations, breast mass, breast tenderness) and androgenic effects (hypertension).</w:t>
      </w:r>
    </w:p>
    <w:p w14:paraId="3BA5DBCE" w14:textId="77777777" w:rsidR="0039776D" w:rsidRDefault="00E135EE" w:rsidP="0039776D">
      <w:pPr>
        <w:pStyle w:val="Heading6"/>
      </w:pPr>
      <w:r>
        <w:t>Systemic exposure</w:t>
      </w:r>
    </w:p>
    <w:p w14:paraId="76610036" w14:textId="063017A4" w:rsidR="00E135EE" w:rsidRDefault="00E135EE" w:rsidP="00E135EE">
      <w:r>
        <w:t>P</w:t>
      </w:r>
      <w:r w:rsidR="00C031BB">
        <w:t>harmacokinetics</w:t>
      </w:r>
      <w:r>
        <w:t xml:space="preserve"> data demonstrated systemic exposure to DHEA and metabolites with intravaginal prasterone treatment, with concentrations within the expected range for postmenopausal women.</w:t>
      </w:r>
    </w:p>
    <w:p w14:paraId="78B30E41" w14:textId="77777777" w:rsidR="0039776D" w:rsidRDefault="00E135EE" w:rsidP="0039776D">
      <w:pPr>
        <w:pStyle w:val="Heading6"/>
      </w:pPr>
      <w:r>
        <w:t>Long-term safety</w:t>
      </w:r>
    </w:p>
    <w:p w14:paraId="47B7E525" w14:textId="16120CD0" w:rsidR="00E135EE" w:rsidRDefault="00E135EE" w:rsidP="00E135EE">
      <w:r>
        <w:t>There is a lack of safety data beyond 12 months of use. Further, given the exclusion criteria of the clinical trials, there were limited long</w:t>
      </w:r>
      <w:r w:rsidR="002E0888">
        <w:t>-</w:t>
      </w:r>
      <w:r>
        <w:t>term safety data in the intended patient population. It is not unreasonable to expect excluded co-morbidities such as coronary artery disease, hypertension, gynaecological abnormalities or history of cancer may be present in postmenopausal women.</w:t>
      </w:r>
    </w:p>
    <w:p w14:paraId="74DE8678" w14:textId="6FF0AD2F" w:rsidR="00E135EE" w:rsidRDefault="00E135EE" w:rsidP="00E135EE">
      <w:r>
        <w:t xml:space="preserve">The TGA </w:t>
      </w:r>
      <w:r w:rsidR="00C031BB">
        <w:t>e</w:t>
      </w:r>
      <w:r>
        <w:t>valuator considers the Summary of Safety Concerns in the EU</w:t>
      </w:r>
      <w:r w:rsidR="00C031BB">
        <w:t>-</w:t>
      </w:r>
      <w:r>
        <w:t xml:space="preserve">RMP and </w:t>
      </w:r>
      <w:r w:rsidR="00C031BB" w:rsidRPr="00C031BB">
        <w:t>Summary of Product Characteristic</w:t>
      </w:r>
      <w:r w:rsidR="00C031BB">
        <w:t xml:space="preserve"> </w:t>
      </w:r>
      <w:r>
        <w:t>sufficiently characterise the risks with prasterone identified during the COR evaluation procedure. The uncertainties regarding long</w:t>
      </w:r>
      <w:r w:rsidR="002E0888">
        <w:t>-</w:t>
      </w:r>
      <w:r>
        <w:t>term safety were mitigated with modifications to labelling and Safety Concerns in the RMP.</w:t>
      </w:r>
    </w:p>
    <w:p w14:paraId="17D9951E" w14:textId="7EA052DE" w:rsidR="00E135EE" w:rsidRDefault="00E135EE" w:rsidP="0039776D">
      <w:pPr>
        <w:pStyle w:val="Heading6"/>
      </w:pPr>
      <w:r>
        <w:t>Additional issues not part of the original application</w:t>
      </w:r>
    </w:p>
    <w:p w14:paraId="09633019" w14:textId="4B939B58" w:rsidR="00E135EE" w:rsidRDefault="00E135EE" w:rsidP="00E135EE">
      <w:r>
        <w:t>It appears that the sponsor intended to register a 28-pessary starter pack (</w:t>
      </w:r>
      <w:r w:rsidR="00C031BB" w:rsidRPr="00C031BB">
        <w:t xml:space="preserve">Therapeutic Goods Order No. 91 </w:t>
      </w:r>
      <w:r>
        <w:t>terminology for sample pack) additional to the 28-pessary trade pack during the application. However, the starter pack was not part of the original application within PM-2022-02509-1-5</w:t>
      </w:r>
      <w:r w:rsidR="00A47D4E">
        <w:t>.</w:t>
      </w:r>
      <w:r>
        <w:t xml:space="preserve"> The proposal to register said starter pack was only introduced in </w:t>
      </w:r>
      <w:r w:rsidR="0039776D">
        <w:t xml:space="preserve">a later </w:t>
      </w:r>
      <w:r>
        <w:t>sequence, but a corresponding application form had not been received.</w:t>
      </w:r>
    </w:p>
    <w:p w14:paraId="702C4792" w14:textId="23F23815" w:rsidR="00E135EE" w:rsidRPr="00E135EE" w:rsidRDefault="0039776D" w:rsidP="00E135EE">
      <w:r w:rsidRPr="0039776D">
        <w:t>Therapeutic Goods Order No. 91</w:t>
      </w:r>
      <w:r>
        <w:t xml:space="preserve"> </w:t>
      </w:r>
      <w:r w:rsidR="00E135EE">
        <w:t xml:space="preserve">limits the starter pack size to be not exceeding one third the size of the trade pack. Such a smaller pack may have been considered within this application, but a 28-pessary starter pack could not be considered within this application. </w:t>
      </w:r>
    </w:p>
    <w:p w14:paraId="3916F296" w14:textId="77777777" w:rsidR="00C22214" w:rsidRDefault="00C22214" w:rsidP="00C22214">
      <w:pPr>
        <w:pStyle w:val="Heading4"/>
      </w:pPr>
      <w:bookmarkStart w:id="71" w:name="_Toc98931933"/>
      <w:bookmarkStart w:id="72" w:name="_Toc146618681"/>
      <w:r w:rsidRPr="00D23139">
        <w:t>Proposed action</w:t>
      </w:r>
      <w:bookmarkEnd w:id="71"/>
      <w:bookmarkEnd w:id="72"/>
    </w:p>
    <w:p w14:paraId="08AF2EA5" w14:textId="77777777" w:rsidR="00E135EE" w:rsidRDefault="00E135EE" w:rsidP="00E135EE">
      <w:r>
        <w:t>The benefit-risk balance is not favourable for the indication initially proposed by the sponsor:</w:t>
      </w:r>
    </w:p>
    <w:p w14:paraId="439D3001" w14:textId="40F3BF36" w:rsidR="00E135EE" w:rsidRPr="00C031BB" w:rsidRDefault="00E135EE" w:rsidP="00C031BB">
      <w:pPr>
        <w:ind w:firstLine="720"/>
        <w:rPr>
          <w:i/>
          <w:iCs/>
        </w:rPr>
      </w:pPr>
      <w:r w:rsidRPr="00C031BB">
        <w:rPr>
          <w:i/>
          <w:iCs/>
        </w:rPr>
        <w:t>Intrarosa is indicated for the treatment of postmenopausal vulvovaginal atrophy.</w:t>
      </w:r>
    </w:p>
    <w:p w14:paraId="00477BD2" w14:textId="77777777" w:rsidR="00E135EE" w:rsidRDefault="00E135EE" w:rsidP="00E135EE">
      <w:r>
        <w:t>This indication is not aligned with the COR indication. Subsets of the COR indications, or a difference in wording of the COR indication that retains the same meaning can be accommodated within a COR-B pathway, but not an indication broader than the COR indication.</w:t>
      </w:r>
    </w:p>
    <w:p w14:paraId="5165D884" w14:textId="77777777" w:rsidR="00E135EE" w:rsidRDefault="00E135EE" w:rsidP="00E135EE">
      <w:r>
        <w:t>Consequently, the sponsor was advised to change the indication to the following:</w:t>
      </w:r>
    </w:p>
    <w:p w14:paraId="4B3026C1" w14:textId="77777777" w:rsidR="00E135EE" w:rsidRPr="00C031BB" w:rsidRDefault="00E135EE" w:rsidP="00C031BB">
      <w:pPr>
        <w:ind w:left="720"/>
        <w:rPr>
          <w:i/>
          <w:iCs/>
        </w:rPr>
      </w:pPr>
      <w:r w:rsidRPr="00C031BB">
        <w:rPr>
          <w:i/>
          <w:iCs/>
        </w:rPr>
        <w:lastRenderedPageBreak/>
        <w:t>Intrarosa is indicated for the treatment of vulvar and vaginal atrophy in postmenopausal women having moderate to severe symptoms.</w:t>
      </w:r>
    </w:p>
    <w:p w14:paraId="7798AC0D" w14:textId="114BAA6F" w:rsidR="00E135EE" w:rsidRPr="00E135EE" w:rsidRDefault="00E135EE" w:rsidP="00E135EE">
      <w:r>
        <w:t>For this revised indication, the benefit-risk balance is favourable. This has been reflected in an updated PI document.</w:t>
      </w:r>
    </w:p>
    <w:p w14:paraId="318CFABC" w14:textId="77777777" w:rsidR="00C22214" w:rsidRPr="00F73346" w:rsidRDefault="00C22214" w:rsidP="00C22214">
      <w:pPr>
        <w:pStyle w:val="Heading4"/>
      </w:pPr>
      <w:bookmarkStart w:id="73" w:name="_Toc98931936"/>
      <w:bookmarkStart w:id="74" w:name="_Toc146618682"/>
      <w:bookmarkStart w:id="75" w:name="_Toc247691532"/>
      <w:bookmarkStart w:id="76" w:name="_Toc314842516"/>
      <w:r w:rsidRPr="00F73346">
        <w:t>Advisory Committee considerations</w:t>
      </w:r>
      <w:bookmarkEnd w:id="73"/>
      <w:bookmarkEnd w:id="74"/>
    </w:p>
    <w:p w14:paraId="15E2951C" w14:textId="5CC50DFF" w:rsidR="00C22214" w:rsidRPr="00BD5DBD" w:rsidRDefault="00C22214" w:rsidP="00C22214">
      <w:pPr>
        <w:rPr>
          <w:szCs w:val="22"/>
        </w:rPr>
      </w:pPr>
      <w:r w:rsidRPr="00BD5DBD">
        <w:rPr>
          <w:szCs w:val="22"/>
        </w:rPr>
        <w:t>The Delegate did not refer this submission to the Advisory Committee on Medicines (ACM</w:t>
      </w:r>
      <w:r w:rsidR="00E135EE">
        <w:rPr>
          <w:szCs w:val="22"/>
        </w:rPr>
        <w:t>)</w:t>
      </w:r>
      <w:r w:rsidRPr="00BD5DBD">
        <w:rPr>
          <w:szCs w:val="22"/>
        </w:rPr>
        <w:t xml:space="preserve"> for advice.</w:t>
      </w:r>
    </w:p>
    <w:p w14:paraId="307F236C" w14:textId="77777777" w:rsidR="00C22214" w:rsidRPr="002E238E" w:rsidRDefault="00C22214" w:rsidP="00C22214">
      <w:pPr>
        <w:pStyle w:val="Heading2"/>
      </w:pPr>
      <w:bookmarkStart w:id="77" w:name="_Toc103679300"/>
      <w:bookmarkStart w:id="78" w:name="_Toc146618683"/>
      <w:r>
        <w:t>Outcome</w:t>
      </w:r>
      <w:bookmarkEnd w:id="75"/>
      <w:bookmarkEnd w:id="76"/>
      <w:bookmarkEnd w:id="77"/>
      <w:bookmarkEnd w:id="78"/>
    </w:p>
    <w:p w14:paraId="4EF22939" w14:textId="69332594" w:rsidR="00C22214" w:rsidRDefault="00C22214" w:rsidP="00C22214">
      <w:pPr>
        <w:spacing w:after="480"/>
        <w:rPr>
          <w:szCs w:val="22"/>
        </w:rPr>
      </w:pPr>
      <w:r w:rsidRPr="00BD5DBD">
        <w:rPr>
          <w:szCs w:val="22"/>
        </w:rPr>
        <w:t xml:space="preserve">Based on a review of quality, safety, and efficacy, the TGA approved the registration of </w:t>
      </w:r>
      <w:r w:rsidR="00355DC5" w:rsidRPr="009A6A05">
        <w:t>I</w:t>
      </w:r>
      <w:r w:rsidR="00355DC5">
        <w:t>ntrarosa</w:t>
      </w:r>
      <w:r w:rsidR="00355DC5" w:rsidRPr="009A6A05">
        <w:t xml:space="preserve"> </w:t>
      </w:r>
      <w:r w:rsidR="00355DC5">
        <w:t>(</w:t>
      </w:r>
      <w:r w:rsidR="00355DC5" w:rsidRPr="009A6A05">
        <w:t>prasterone</w:t>
      </w:r>
      <w:r w:rsidR="00355DC5" w:rsidRPr="00BD5DBD">
        <w:rPr>
          <w:szCs w:val="22"/>
        </w:rPr>
        <w:t xml:space="preserve">) </w:t>
      </w:r>
      <w:r w:rsidR="00355DC5">
        <w:rPr>
          <w:szCs w:val="22"/>
        </w:rPr>
        <w:t>6.5 mg</w:t>
      </w:r>
      <w:r w:rsidR="00355DC5" w:rsidRPr="00BD5DBD">
        <w:rPr>
          <w:szCs w:val="22"/>
        </w:rPr>
        <w:t xml:space="preserve">, </w:t>
      </w:r>
      <w:r w:rsidR="00355DC5">
        <w:rPr>
          <w:szCs w:val="22"/>
        </w:rPr>
        <w:t>pessary</w:t>
      </w:r>
      <w:r w:rsidR="00355DC5" w:rsidRPr="00BD5DBD">
        <w:rPr>
          <w:szCs w:val="22"/>
        </w:rPr>
        <w:t xml:space="preserve">, </w:t>
      </w:r>
      <w:r w:rsidR="00355DC5">
        <w:rPr>
          <w:szCs w:val="22"/>
        </w:rPr>
        <w:t>blister pack</w:t>
      </w:r>
      <w:r w:rsidRPr="00BD5DBD">
        <w:rPr>
          <w:szCs w:val="22"/>
        </w:rPr>
        <w:t>, indicated for:</w:t>
      </w:r>
    </w:p>
    <w:p w14:paraId="6A359FA4" w14:textId="263A409B" w:rsidR="00355DC5" w:rsidRPr="00BD5DBD" w:rsidRDefault="00355DC5" w:rsidP="001E115A">
      <w:pPr>
        <w:spacing w:after="360"/>
        <w:ind w:left="720"/>
        <w:rPr>
          <w:szCs w:val="22"/>
        </w:rPr>
      </w:pPr>
      <w:r w:rsidRPr="00541304">
        <w:rPr>
          <w:i/>
          <w:iCs/>
          <w:szCs w:val="22"/>
        </w:rPr>
        <w:t>I</w:t>
      </w:r>
      <w:r>
        <w:rPr>
          <w:i/>
          <w:iCs/>
          <w:szCs w:val="22"/>
        </w:rPr>
        <w:t>ntrarosa</w:t>
      </w:r>
      <w:r w:rsidRPr="00541304">
        <w:rPr>
          <w:i/>
          <w:iCs/>
          <w:szCs w:val="22"/>
        </w:rPr>
        <w:t xml:space="preserve"> is indicated for the treatment of vulvar and vaginal atrophy in postmenopausal women having moderate to severe symptoms</w:t>
      </w:r>
      <w:r w:rsidRPr="00541304">
        <w:rPr>
          <w:szCs w:val="22"/>
        </w:rPr>
        <w:t>.</w:t>
      </w:r>
    </w:p>
    <w:p w14:paraId="0D732DA4" w14:textId="77777777" w:rsidR="00854D98" w:rsidRPr="00D23139" w:rsidRDefault="00854D98" w:rsidP="001E115A">
      <w:pPr>
        <w:pStyle w:val="Heading3"/>
        <w:spacing w:before="360"/>
      </w:pPr>
      <w:bookmarkStart w:id="79" w:name="_Toc103679301"/>
      <w:bookmarkStart w:id="80" w:name="_Toc146618684"/>
      <w:r w:rsidRPr="00D23139">
        <w:t>Specific conditions of registration applying to these goods</w:t>
      </w:r>
      <w:bookmarkEnd w:id="79"/>
      <w:bookmarkEnd w:id="80"/>
    </w:p>
    <w:p w14:paraId="4E28B75D" w14:textId="72F4C347" w:rsidR="00355DC5" w:rsidRPr="00F81DC5" w:rsidRDefault="00355DC5" w:rsidP="00355DC5">
      <w:pPr>
        <w:pStyle w:val="ListParagraph"/>
        <w:numPr>
          <w:ilvl w:val="0"/>
          <w:numId w:val="9"/>
        </w:numPr>
        <w:spacing w:before="120"/>
        <w:ind w:left="357" w:hanging="357"/>
        <w:contextualSpacing w:val="0"/>
        <w:rPr>
          <w:rFonts w:ascii="Cambria" w:hAnsi="Cambria"/>
        </w:rPr>
      </w:pPr>
      <w:r w:rsidRPr="00F81DC5">
        <w:rPr>
          <w:rFonts w:ascii="Cambria" w:hAnsi="Cambria"/>
        </w:rPr>
        <w:t>Intrarosa (prasterone) is to be included in the Black Triangle Scheme. The PI and CM</w:t>
      </w:r>
      <w:r w:rsidR="00324866">
        <w:rPr>
          <w:rFonts w:ascii="Cambria" w:hAnsi="Cambria"/>
        </w:rPr>
        <w:t>I</w:t>
      </w:r>
      <w:r w:rsidR="00324866" w:rsidRPr="00F81DC5">
        <w:rPr>
          <w:rFonts w:ascii="Cambria" w:hAnsi="Cambria"/>
        </w:rPr>
        <w:t xml:space="preserve"> </w:t>
      </w:r>
      <w:r w:rsidRPr="00F81DC5">
        <w:rPr>
          <w:rFonts w:ascii="Cambria" w:hAnsi="Cambria"/>
        </w:rPr>
        <w:t>for Intrarosa must include the black triangle symbol and mandatory accompanying text for five years, which starts from the date that the sponsor notifies the TGA of supply of the product.</w:t>
      </w:r>
    </w:p>
    <w:p w14:paraId="0B0F4C7F" w14:textId="3D07703D" w:rsidR="00355DC5" w:rsidRPr="00F81DC5" w:rsidRDefault="00355DC5" w:rsidP="00355DC5">
      <w:pPr>
        <w:pStyle w:val="ListParagraph"/>
        <w:numPr>
          <w:ilvl w:val="0"/>
          <w:numId w:val="9"/>
        </w:numPr>
        <w:spacing w:before="120"/>
        <w:ind w:left="357" w:hanging="357"/>
        <w:contextualSpacing w:val="0"/>
        <w:rPr>
          <w:rFonts w:ascii="Cambria" w:hAnsi="Cambria"/>
        </w:rPr>
      </w:pPr>
      <w:r w:rsidRPr="00F81DC5">
        <w:rPr>
          <w:rFonts w:ascii="Cambria" w:hAnsi="Cambria"/>
        </w:rPr>
        <w:t xml:space="preserve">The Intrarosa EU-RMP (version 1.8, date 29 March 2023; DLP 28 March 2023), with </w:t>
      </w:r>
      <w:r w:rsidR="00B473D1">
        <w:rPr>
          <w:rFonts w:ascii="Cambria" w:hAnsi="Cambria"/>
        </w:rPr>
        <w:t>ASA</w:t>
      </w:r>
      <w:r w:rsidRPr="00F81DC5">
        <w:rPr>
          <w:rFonts w:ascii="Cambria" w:hAnsi="Cambria"/>
        </w:rPr>
        <w:t xml:space="preserve"> (version 1.0, dated 9 February 2023), included with submission PM-2022-02509-1-5, and any subsequent revisions, as agreed with the TGA will be implemented in Australia.</w:t>
      </w:r>
    </w:p>
    <w:p w14:paraId="64F66938" w14:textId="77777777" w:rsidR="00355DC5" w:rsidRDefault="00355DC5" w:rsidP="00355DC5">
      <w:pPr>
        <w:spacing w:before="120"/>
        <w:ind w:left="357"/>
      </w:pPr>
      <w:r>
        <w:t>An obligatory component of risk management plans is routine pharmacovigilance. Routine pharmacovigilance includes the submission of periodic safety update reports (PSURs).</w:t>
      </w:r>
    </w:p>
    <w:p w14:paraId="5C2F7550" w14:textId="77777777" w:rsidR="00355DC5" w:rsidRDefault="00355DC5" w:rsidP="00355DC5">
      <w:pPr>
        <w:spacing w:before="120"/>
        <w:ind w:left="357"/>
      </w:pPr>
      <w:r>
        <w:t>Reports are to be provided in line with the current published list of EU reference dates and frequency of submission of PSURs until the period covered by such reports is not less than three years from the date of the approval letter.</w:t>
      </w:r>
    </w:p>
    <w:p w14:paraId="23B47474" w14:textId="77777777" w:rsidR="00355DC5" w:rsidRPr="006E5FC3" w:rsidRDefault="00355DC5" w:rsidP="00355DC5">
      <w:pPr>
        <w:spacing w:before="120"/>
        <w:ind w:left="357"/>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451DC3FC" w14:textId="77777777" w:rsidR="00C22214" w:rsidRDefault="00C22214" w:rsidP="001E115A">
      <w:pPr>
        <w:pStyle w:val="Heading2"/>
        <w:spacing w:before="360"/>
      </w:pPr>
      <w:bookmarkStart w:id="81" w:name="_Toc103679303"/>
      <w:bookmarkStart w:id="82" w:name="_Toc146618685"/>
      <w:r>
        <w:t>Attachment 1. Product Information</w:t>
      </w:r>
      <w:bookmarkEnd w:id="81"/>
      <w:bookmarkEnd w:id="82"/>
    </w:p>
    <w:p w14:paraId="53357BF3" w14:textId="1E5E43C4" w:rsidR="00C22214" w:rsidRDefault="00C22214" w:rsidP="00C22214">
      <w:pPr>
        <w:rPr>
          <w:lang w:eastAsia="ja-JP"/>
        </w:rPr>
        <w:sectPr w:rsidR="00C22214" w:rsidSect="007452E8">
          <w:headerReference w:type="default" r:id="rId36"/>
          <w:footerReference w:type="default" r:id="rId37"/>
          <w:pgSz w:w="11906" w:h="16838" w:code="9"/>
          <w:pgMar w:top="1134" w:right="1418" w:bottom="1361" w:left="1418" w:header="573" w:footer="567" w:gutter="0"/>
          <w:cols w:space="708"/>
          <w:docGrid w:linePitch="360"/>
        </w:sectPr>
      </w:pPr>
      <w:r w:rsidRPr="00BD5DBD">
        <w:rPr>
          <w:szCs w:val="22"/>
        </w:rPr>
        <w:t xml:space="preserve">The PI for </w:t>
      </w:r>
      <w:r w:rsidR="00E135EE">
        <w:rPr>
          <w:szCs w:val="22"/>
        </w:rPr>
        <w:t xml:space="preserve">Intrarosa </w:t>
      </w:r>
      <w:r w:rsidRPr="00BD5DBD">
        <w:rPr>
          <w:szCs w:val="22"/>
        </w:rPr>
        <w:t xml:space="preserve">approved with the submission which is described in this AusPAR is at Attachment 1. For the most recent PI, please refer to the TGA </w:t>
      </w:r>
      <w:hyperlink r:id="rId38" w:history="1">
        <w:r w:rsidRPr="00BD5DBD">
          <w:rPr>
            <w:rStyle w:val="Hyperlink"/>
            <w:szCs w:val="22"/>
          </w:rPr>
          <w:t>PI/CMI search facility.</w:t>
        </w:r>
      </w:hyperlink>
      <w:r w:rsidRPr="00BD5DBD">
        <w:rPr>
          <w:szCs w:val="22"/>
        </w:rPr>
        <w:t xml:space="preserve"> </w:t>
      </w: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7E20B1F5" w:rsidR="00F02AEC" w:rsidRDefault="00F02AEC">
            <w:pPr>
              <w:pStyle w:val="Address"/>
              <w:jc w:val="center"/>
              <w:rPr>
                <w:sz w:val="22"/>
                <w:szCs w:val="22"/>
              </w:rPr>
            </w:pPr>
            <w:r w:rsidRPr="00215D48">
              <w:t xml:space="preserve">Email: </w:t>
            </w:r>
            <w:hyperlink r:id="rId39"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3A3D9AA" w:rsidR="00F02AEC" w:rsidRPr="00215D48" w:rsidRDefault="004E2876">
            <w:pPr>
              <w:pStyle w:val="Address"/>
              <w:jc w:val="center"/>
              <w:rPr>
                <w:rStyle w:val="Hyperlink"/>
                <w:b/>
                <w:color w:val="auto"/>
                <w:sz w:val="22"/>
              </w:rPr>
            </w:pPr>
            <w:hyperlink r:id="rId40"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41"/>
      <w:footerReference w:type="first" r:id="rId42"/>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26BD5" w14:textId="77777777" w:rsidR="00C74253" w:rsidRDefault="00C74253" w:rsidP="00F02AEC">
      <w:pPr>
        <w:spacing w:after="0" w:line="240" w:lineRule="auto"/>
      </w:pPr>
      <w:r>
        <w:separator/>
      </w:r>
    </w:p>
  </w:endnote>
  <w:endnote w:type="continuationSeparator" w:id="0">
    <w:p w14:paraId="424F2AAB" w14:textId="77777777" w:rsidR="00C74253" w:rsidRDefault="00C74253"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4E2876">
                <w:fldChar w:fldCharType="begin"/>
              </w:r>
              <w:r w:rsidR="004E2876">
                <w:instrText xml:space="preserve"> NUMPAGES  </w:instrText>
              </w:r>
              <w:r w:rsidR="004E2876">
                <w:fldChar w:fldCharType="separate"/>
              </w:r>
              <w:r>
                <w:rPr>
                  <w:noProof/>
                </w:rPr>
                <w:t>2</w:t>
              </w:r>
              <w:r w:rsidR="004E2876">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2893C673" w:rsidR="007452E8" w:rsidRPr="004A3084" w:rsidRDefault="007452E8" w:rsidP="007452E8">
          <w:pPr>
            <w:pStyle w:val="Footer"/>
          </w:pPr>
          <w:proofErr w:type="spellStart"/>
          <w:r w:rsidRPr="00487162">
            <w:t>AusPA</w:t>
          </w:r>
          <w:r>
            <w:t>R</w:t>
          </w:r>
          <w:proofErr w:type="spellEnd"/>
          <w:r>
            <w:t xml:space="preserve"> </w:t>
          </w:r>
          <w:r w:rsidR="009A6A05">
            <w:t>–</w:t>
          </w:r>
          <w:r>
            <w:t xml:space="preserve"> </w:t>
          </w:r>
          <w:proofErr w:type="spellStart"/>
          <w:r w:rsidR="009A6A05" w:rsidRPr="009A6A05">
            <w:t>I</w:t>
          </w:r>
          <w:r w:rsidR="009A6A05">
            <w:t>ntrarosa</w:t>
          </w:r>
          <w:proofErr w:type="spellEnd"/>
          <w:r w:rsidR="009A6A05" w:rsidRPr="009A6A05">
            <w:t xml:space="preserve"> - prasterone - Theramex Australia Pty Ltd - PM-2022-02509-1-5</w:t>
          </w:r>
          <w:r>
            <w:br/>
          </w:r>
          <w:r w:rsidR="00B215FD">
            <w:t>FINAL</w:t>
          </w:r>
          <w:r w:rsidRPr="00487162">
            <w:t xml:space="preserve"> </w:t>
          </w:r>
          <w:r w:rsidR="00B215FD">
            <w:t>2 November</w:t>
          </w:r>
          <w:r w:rsidR="009A6A05">
            <w:t xml:space="preserve"> 2023</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4E2876">
                <w:fldChar w:fldCharType="begin"/>
              </w:r>
              <w:r w:rsidR="004E2876">
                <w:instrText xml:space="preserve"> NUMPAGES  </w:instrText>
              </w:r>
              <w:r w:rsidR="004E2876">
                <w:fldChar w:fldCharType="separate"/>
              </w:r>
              <w:r w:rsidR="006D6B44">
                <w:rPr>
                  <w:noProof/>
                </w:rPr>
                <w:t>17</w:t>
              </w:r>
              <w:r w:rsidR="004E2876">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7B6B5" w14:textId="77777777" w:rsidR="00C74253" w:rsidRDefault="00C74253" w:rsidP="00F02AEC">
      <w:pPr>
        <w:spacing w:after="0" w:line="240" w:lineRule="auto"/>
      </w:pPr>
      <w:r>
        <w:separator/>
      </w:r>
    </w:p>
  </w:footnote>
  <w:footnote w:type="continuationSeparator" w:id="0">
    <w:p w14:paraId="28A1362A" w14:textId="77777777" w:rsidR="00C74253" w:rsidRDefault="00C74253" w:rsidP="00F02AEC">
      <w:pPr>
        <w:spacing w:after="0" w:line="240" w:lineRule="auto"/>
      </w:pPr>
      <w:r>
        <w:continuationSeparator/>
      </w:r>
    </w:p>
  </w:footnote>
  <w:footnote w:id="1">
    <w:p w14:paraId="68402A9B" w14:textId="60286C39"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e TGA and registered on the Australian Register of Therapeutic Goods.</w:t>
      </w:r>
    </w:p>
  </w:footnote>
  <w:footnote w:id="2">
    <w:p w14:paraId="23E7FEAC" w14:textId="77777777" w:rsidR="00E71FC0" w:rsidRDefault="00E71FC0" w:rsidP="00E71FC0">
      <w:pPr>
        <w:pStyle w:val="FootnoteText"/>
      </w:pPr>
      <w:r>
        <w:rPr>
          <w:rStyle w:val="FootnoteReference"/>
        </w:rPr>
        <w:footnoteRef/>
      </w:r>
      <w:r>
        <w:t xml:space="preserve"> Cytochrome P450 (CYP) enzymes: CYPs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14:paraId="7292B7BA" w14:textId="5E815D5F" w:rsidR="00E71FC0" w:rsidRDefault="00E71FC0" w:rsidP="00E71FC0">
      <w:pPr>
        <w:pStyle w:val="FootnoteText"/>
      </w:pPr>
      <w:r>
        <w:t>Many drugs may increase or decrease the activity of various CYP isozymes either by inducing the biosynthesis of an isozyme (enzyme induction) or by directly inhibiting the activity of the CYP (enzyme inhibition). This is a major source of adverse drug interactions, since changes in CYP enzyme activity may affect the metabolism and clearance of various drugs. Such drug interactions are especially important to take into account when using drugs of vital importance to the patient, drugs with important side-effects and drugs with small therapeutic windows, but any drug may be subject to an altered plasma concentration due to altered drug metabolism.</w:t>
      </w:r>
    </w:p>
  </w:footnote>
  <w:footnote w:id="3">
    <w:p w14:paraId="52EB57DF" w14:textId="1C3CF3CD" w:rsidR="00E71FC0" w:rsidRDefault="00E71FC0">
      <w:pPr>
        <w:pStyle w:val="FootnoteText"/>
      </w:pPr>
      <w:r>
        <w:rPr>
          <w:rStyle w:val="FootnoteReference"/>
        </w:rPr>
        <w:footnoteRef/>
      </w:r>
      <w:r>
        <w:t xml:space="preserve"> </w:t>
      </w:r>
      <w:r w:rsidR="00452B89" w:rsidRPr="00452B89">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4E2876"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594A4CA6">
                    <wp:extent cx="7631430" cy="5523865"/>
                    <wp:effectExtent l="0" t="0" r="7620" b="63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inline distT="0" distB="0" distL="0" distR="0" wp14:anchorId="19C10218" wp14:editId="63D65389">
          <wp:extent cx="2676525" cy="621665"/>
          <wp:effectExtent l="0" t="0" r="9525" b="6985"/>
          <wp:docPr id="12" name="Picture 1" descr="Australian Government, Department of Health and Aged Care, Therapeutic Goods Admini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ustralian Government, Department of Health and Aged Care, Therapeutic Goods Administration "/>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inline>
      </w:drawing>
    </w:r>
    <w:r w:rsidRPr="002B29B2">
      <w:rPr>
        <w:noProof/>
        <w:lang w:val="en-GB" w:eastAsia="en-GB"/>
      </w:rPr>
      <w:drawing>
        <wp:anchor distT="0" distB="0" distL="114300" distR="114300" simplePos="0" relativeHeight="251660288" behindDoc="0" locked="0" layoutInCell="0" allowOverlap="1" wp14:anchorId="14BBEAC1" wp14:editId="126B5878">
          <wp:simplePos x="0" y="0"/>
          <wp:positionH relativeFrom="page">
            <wp:align>left</wp:align>
          </wp:positionH>
          <wp:positionV relativeFrom="page">
            <wp:posOffset>3239495</wp:posOffset>
          </wp:positionV>
          <wp:extent cx="7663815" cy="4323091"/>
          <wp:effectExtent l="0" t="0" r="0" b="127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05C5E5B"/>
    <w:multiLevelType w:val="hybridMultilevel"/>
    <w:tmpl w:val="C4FC9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46285240">
    <w:abstractNumId w:val="4"/>
  </w:num>
  <w:num w:numId="2" w16cid:durableId="742290628">
    <w:abstractNumId w:val="1"/>
  </w:num>
  <w:num w:numId="3" w16cid:durableId="2108573959">
    <w:abstractNumId w:val="3"/>
  </w:num>
  <w:num w:numId="4" w16cid:durableId="1884101371">
    <w:abstractNumId w:val="7"/>
  </w:num>
  <w:num w:numId="5" w16cid:durableId="1032344718">
    <w:abstractNumId w:val="5"/>
  </w:num>
  <w:num w:numId="6" w16cid:durableId="1466847678">
    <w:abstractNumId w:val="6"/>
  </w:num>
  <w:num w:numId="7" w16cid:durableId="50806457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000549418">
    <w:abstractNumId w:val="0"/>
  </w:num>
  <w:num w:numId="9" w16cid:durableId="16609596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26EE3"/>
    <w:rsid w:val="0003305F"/>
    <w:rsid w:val="00077844"/>
    <w:rsid w:val="000902CB"/>
    <w:rsid w:val="00094B81"/>
    <w:rsid w:val="000975AA"/>
    <w:rsid w:val="000D7934"/>
    <w:rsid w:val="000D7EBA"/>
    <w:rsid w:val="00101FB1"/>
    <w:rsid w:val="00102C65"/>
    <w:rsid w:val="0012473C"/>
    <w:rsid w:val="001249E5"/>
    <w:rsid w:val="0013132F"/>
    <w:rsid w:val="0013528C"/>
    <w:rsid w:val="00137FE8"/>
    <w:rsid w:val="001458DF"/>
    <w:rsid w:val="001554DE"/>
    <w:rsid w:val="00165D28"/>
    <w:rsid w:val="001727F8"/>
    <w:rsid w:val="00175CD8"/>
    <w:rsid w:val="001C1C2E"/>
    <w:rsid w:val="001C3302"/>
    <w:rsid w:val="001E115A"/>
    <w:rsid w:val="002029A8"/>
    <w:rsid w:val="0020369B"/>
    <w:rsid w:val="00226C7F"/>
    <w:rsid w:val="00226F39"/>
    <w:rsid w:val="0023628D"/>
    <w:rsid w:val="00241B60"/>
    <w:rsid w:val="002B07E0"/>
    <w:rsid w:val="002C5E29"/>
    <w:rsid w:val="002D7127"/>
    <w:rsid w:val="002E0888"/>
    <w:rsid w:val="003008D8"/>
    <w:rsid w:val="00303959"/>
    <w:rsid w:val="00312AC3"/>
    <w:rsid w:val="00314430"/>
    <w:rsid w:val="00324866"/>
    <w:rsid w:val="00324B33"/>
    <w:rsid w:val="003455A1"/>
    <w:rsid w:val="00346EC2"/>
    <w:rsid w:val="0035444D"/>
    <w:rsid w:val="00355DC5"/>
    <w:rsid w:val="00373B71"/>
    <w:rsid w:val="00375E4A"/>
    <w:rsid w:val="0038014C"/>
    <w:rsid w:val="00384F2D"/>
    <w:rsid w:val="00395140"/>
    <w:rsid w:val="0039776D"/>
    <w:rsid w:val="00397C35"/>
    <w:rsid w:val="003B149C"/>
    <w:rsid w:val="003D1937"/>
    <w:rsid w:val="003D71A1"/>
    <w:rsid w:val="0041688F"/>
    <w:rsid w:val="0042376F"/>
    <w:rsid w:val="004246B8"/>
    <w:rsid w:val="00424747"/>
    <w:rsid w:val="00433318"/>
    <w:rsid w:val="00442111"/>
    <w:rsid w:val="00452B89"/>
    <w:rsid w:val="00462DBF"/>
    <w:rsid w:val="00474E8D"/>
    <w:rsid w:val="00477C4E"/>
    <w:rsid w:val="00491A55"/>
    <w:rsid w:val="004A29C5"/>
    <w:rsid w:val="004B3081"/>
    <w:rsid w:val="004D29BD"/>
    <w:rsid w:val="004D329F"/>
    <w:rsid w:val="004E2876"/>
    <w:rsid w:val="004F62EB"/>
    <w:rsid w:val="00505209"/>
    <w:rsid w:val="00535DFE"/>
    <w:rsid w:val="00541304"/>
    <w:rsid w:val="00562F42"/>
    <w:rsid w:val="0056766D"/>
    <w:rsid w:val="0058575E"/>
    <w:rsid w:val="0058783C"/>
    <w:rsid w:val="005911AE"/>
    <w:rsid w:val="0059313A"/>
    <w:rsid w:val="005B023F"/>
    <w:rsid w:val="005C2B20"/>
    <w:rsid w:val="005C4B8E"/>
    <w:rsid w:val="005D2089"/>
    <w:rsid w:val="005D7514"/>
    <w:rsid w:val="005E1A7B"/>
    <w:rsid w:val="005E2595"/>
    <w:rsid w:val="006277A1"/>
    <w:rsid w:val="006351D9"/>
    <w:rsid w:val="00637130"/>
    <w:rsid w:val="00637F0E"/>
    <w:rsid w:val="006423F2"/>
    <w:rsid w:val="00645B42"/>
    <w:rsid w:val="00652944"/>
    <w:rsid w:val="006571D8"/>
    <w:rsid w:val="00671BC6"/>
    <w:rsid w:val="0067247F"/>
    <w:rsid w:val="00676CDF"/>
    <w:rsid w:val="00692CCD"/>
    <w:rsid w:val="006A1F0B"/>
    <w:rsid w:val="006A277A"/>
    <w:rsid w:val="006A4307"/>
    <w:rsid w:val="006C7E7A"/>
    <w:rsid w:val="006D6B44"/>
    <w:rsid w:val="00703BF0"/>
    <w:rsid w:val="007072A1"/>
    <w:rsid w:val="00710BC5"/>
    <w:rsid w:val="0072003B"/>
    <w:rsid w:val="00734B34"/>
    <w:rsid w:val="007357B9"/>
    <w:rsid w:val="007452E8"/>
    <w:rsid w:val="00746990"/>
    <w:rsid w:val="00750D70"/>
    <w:rsid w:val="00751B23"/>
    <w:rsid w:val="00767FEE"/>
    <w:rsid w:val="00793272"/>
    <w:rsid w:val="007A59BF"/>
    <w:rsid w:val="007B04DE"/>
    <w:rsid w:val="007C57BC"/>
    <w:rsid w:val="007D4138"/>
    <w:rsid w:val="007E1470"/>
    <w:rsid w:val="007F0A77"/>
    <w:rsid w:val="007F50D3"/>
    <w:rsid w:val="00823707"/>
    <w:rsid w:val="008329DB"/>
    <w:rsid w:val="008361C5"/>
    <w:rsid w:val="0083628F"/>
    <w:rsid w:val="00837AB9"/>
    <w:rsid w:val="00846BC8"/>
    <w:rsid w:val="00850637"/>
    <w:rsid w:val="00853784"/>
    <w:rsid w:val="00853C67"/>
    <w:rsid w:val="00854D98"/>
    <w:rsid w:val="00860B29"/>
    <w:rsid w:val="00865354"/>
    <w:rsid w:val="008724B0"/>
    <w:rsid w:val="00872EE3"/>
    <w:rsid w:val="008804CF"/>
    <w:rsid w:val="008964B3"/>
    <w:rsid w:val="008B0500"/>
    <w:rsid w:val="008C49C6"/>
    <w:rsid w:val="008C754C"/>
    <w:rsid w:val="008D0B5F"/>
    <w:rsid w:val="008D6A54"/>
    <w:rsid w:val="008E0C5C"/>
    <w:rsid w:val="009030CA"/>
    <w:rsid w:val="0090605E"/>
    <w:rsid w:val="00906A1B"/>
    <w:rsid w:val="009108CE"/>
    <w:rsid w:val="009122ED"/>
    <w:rsid w:val="00915A9F"/>
    <w:rsid w:val="00930D58"/>
    <w:rsid w:val="00951CEE"/>
    <w:rsid w:val="00966EF1"/>
    <w:rsid w:val="0098350E"/>
    <w:rsid w:val="00996FA5"/>
    <w:rsid w:val="009A6A05"/>
    <w:rsid w:val="009E6F8C"/>
    <w:rsid w:val="00A01C56"/>
    <w:rsid w:val="00A358E7"/>
    <w:rsid w:val="00A47D4E"/>
    <w:rsid w:val="00A50ADB"/>
    <w:rsid w:val="00A51A2D"/>
    <w:rsid w:val="00A63D9B"/>
    <w:rsid w:val="00A74552"/>
    <w:rsid w:val="00A93574"/>
    <w:rsid w:val="00A93DC6"/>
    <w:rsid w:val="00AA3651"/>
    <w:rsid w:val="00AB016B"/>
    <w:rsid w:val="00AB01D0"/>
    <w:rsid w:val="00AB7CBF"/>
    <w:rsid w:val="00AE1947"/>
    <w:rsid w:val="00AE20E8"/>
    <w:rsid w:val="00AE36C1"/>
    <w:rsid w:val="00AF7778"/>
    <w:rsid w:val="00B05CCB"/>
    <w:rsid w:val="00B1122F"/>
    <w:rsid w:val="00B215FD"/>
    <w:rsid w:val="00B21A82"/>
    <w:rsid w:val="00B410D7"/>
    <w:rsid w:val="00B43224"/>
    <w:rsid w:val="00B45754"/>
    <w:rsid w:val="00B46BC0"/>
    <w:rsid w:val="00B473D1"/>
    <w:rsid w:val="00B55681"/>
    <w:rsid w:val="00B721E6"/>
    <w:rsid w:val="00B77B73"/>
    <w:rsid w:val="00B83CCE"/>
    <w:rsid w:val="00B967FF"/>
    <w:rsid w:val="00BA7F7D"/>
    <w:rsid w:val="00BB1C14"/>
    <w:rsid w:val="00BC4EFD"/>
    <w:rsid w:val="00BD07DF"/>
    <w:rsid w:val="00BD5DBD"/>
    <w:rsid w:val="00BF10BE"/>
    <w:rsid w:val="00BF3697"/>
    <w:rsid w:val="00BF4638"/>
    <w:rsid w:val="00C031BB"/>
    <w:rsid w:val="00C07551"/>
    <w:rsid w:val="00C22214"/>
    <w:rsid w:val="00C347EB"/>
    <w:rsid w:val="00C407AB"/>
    <w:rsid w:val="00C570FF"/>
    <w:rsid w:val="00C6574E"/>
    <w:rsid w:val="00C735D1"/>
    <w:rsid w:val="00C74253"/>
    <w:rsid w:val="00C816C6"/>
    <w:rsid w:val="00C82291"/>
    <w:rsid w:val="00C845FB"/>
    <w:rsid w:val="00CA762C"/>
    <w:rsid w:val="00CB0550"/>
    <w:rsid w:val="00CB085B"/>
    <w:rsid w:val="00CC501C"/>
    <w:rsid w:val="00CD4F33"/>
    <w:rsid w:val="00D01DDB"/>
    <w:rsid w:val="00D078BE"/>
    <w:rsid w:val="00D11A20"/>
    <w:rsid w:val="00D13F8A"/>
    <w:rsid w:val="00D32E5B"/>
    <w:rsid w:val="00D409F7"/>
    <w:rsid w:val="00D62877"/>
    <w:rsid w:val="00D63760"/>
    <w:rsid w:val="00D6527D"/>
    <w:rsid w:val="00D918D5"/>
    <w:rsid w:val="00D94C8E"/>
    <w:rsid w:val="00DB192C"/>
    <w:rsid w:val="00DB1CF3"/>
    <w:rsid w:val="00DE4B35"/>
    <w:rsid w:val="00DF5BFE"/>
    <w:rsid w:val="00E04F8A"/>
    <w:rsid w:val="00E0589B"/>
    <w:rsid w:val="00E135EE"/>
    <w:rsid w:val="00E25CC9"/>
    <w:rsid w:val="00E345A2"/>
    <w:rsid w:val="00E47E0C"/>
    <w:rsid w:val="00E51813"/>
    <w:rsid w:val="00E53D3F"/>
    <w:rsid w:val="00E5579B"/>
    <w:rsid w:val="00E71FC0"/>
    <w:rsid w:val="00E94557"/>
    <w:rsid w:val="00EA4481"/>
    <w:rsid w:val="00EB161E"/>
    <w:rsid w:val="00EF18A6"/>
    <w:rsid w:val="00F02AEC"/>
    <w:rsid w:val="00F157FC"/>
    <w:rsid w:val="00F30AF3"/>
    <w:rsid w:val="00F31E72"/>
    <w:rsid w:val="00F507D8"/>
    <w:rsid w:val="00F657B4"/>
    <w:rsid w:val="00F865A7"/>
    <w:rsid w:val="00FA0754"/>
    <w:rsid w:val="00FA1BC9"/>
    <w:rsid w:val="00FA49C3"/>
    <w:rsid w:val="00FB236E"/>
    <w:rsid w:val="00FC06A3"/>
    <w:rsid w:val="00FC6F56"/>
    <w:rsid w:val="00FE08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paragraph" w:customStyle="1" w:styleId="Default">
    <w:name w:val="Default"/>
    <w:rsid w:val="00373B71"/>
    <w:pPr>
      <w:autoSpaceDE w:val="0"/>
      <w:autoSpaceDN w:val="0"/>
      <w:adjustRightInd w:val="0"/>
      <w:spacing w:after="0" w:line="240" w:lineRule="auto"/>
    </w:pPr>
    <w:rPr>
      <w:rFonts w:ascii="Cambria" w:hAnsi="Cambria" w:cs="Cambria"/>
      <w:color w:val="000000"/>
      <w:sz w:val="24"/>
      <w:szCs w:val="24"/>
    </w:rPr>
  </w:style>
  <w:style w:type="paragraph" w:customStyle="1" w:styleId="Tabletext0">
    <w:name w:val="Table text"/>
    <w:basedOn w:val="Normal"/>
    <w:link w:val="TabletextChar"/>
    <w:qFormat/>
    <w:rsid w:val="00E135EE"/>
    <w:pPr>
      <w:spacing w:before="20" w:after="20" w:line="252" w:lineRule="auto"/>
    </w:pPr>
    <w:rPr>
      <w:rFonts w:eastAsia="Times New Roman" w:cs="Times New Roman"/>
      <w:snapToGrid w:val="0"/>
      <w:kern w:val="16"/>
      <w:sz w:val="20"/>
      <w:szCs w:val="24"/>
    </w:rPr>
  </w:style>
  <w:style w:type="character" w:customStyle="1" w:styleId="TabletextChar">
    <w:name w:val="Table text Char"/>
    <w:basedOn w:val="DefaultParagraphFont"/>
    <w:link w:val="Tabletext0"/>
    <w:rsid w:val="00E135EE"/>
    <w:rPr>
      <w:rFonts w:ascii="Cambria" w:eastAsia="Times New Roman" w:hAnsi="Cambria" w:cs="Times New Roman"/>
      <w:snapToGrid w:val="0"/>
      <w:kern w:val="16"/>
      <w:szCs w:val="24"/>
    </w:rPr>
  </w:style>
  <w:style w:type="paragraph" w:customStyle="1" w:styleId="Standard">
    <w:name w:val="Standard"/>
    <w:basedOn w:val="Normal"/>
    <w:link w:val="StandardChar"/>
    <w:qFormat/>
    <w:rsid w:val="00E135EE"/>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E135EE"/>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E135EE"/>
    <w:pPr>
      <w:numPr>
        <w:numId w:val="8"/>
      </w:numPr>
      <w:spacing w:after="180"/>
      <w:ind w:left="426" w:hanging="284"/>
    </w:pPr>
    <w:rPr>
      <w:kern w:val="2"/>
      <w:szCs w:val="22"/>
    </w:rPr>
  </w:style>
  <w:style w:type="character" w:customStyle="1" w:styleId="BulletlistChar">
    <w:name w:val="Bullet list Char"/>
    <w:basedOn w:val="StandardChar"/>
    <w:link w:val="Bulletlist"/>
    <w:rsid w:val="00E135EE"/>
    <w:rPr>
      <w:rFonts w:ascii="Cambria" w:eastAsia="Times New Roman" w:hAnsi="Cambria" w:cs="Times New Roman"/>
      <w:snapToGrid w:val="0"/>
      <w:kern w:val="2"/>
      <w:sz w:val="23"/>
      <w:szCs w:val="22"/>
    </w:rPr>
  </w:style>
  <w:style w:type="paragraph" w:styleId="ListParagraph">
    <w:name w:val="List Paragraph"/>
    <w:basedOn w:val="Normal"/>
    <w:uiPriority w:val="34"/>
    <w:qFormat/>
    <w:rsid w:val="00355DC5"/>
    <w:pPr>
      <w:spacing w:after="160"/>
      <w:ind w:left="720"/>
      <w:contextualSpacing/>
    </w:pPr>
    <w:rPr>
      <w:rFonts w:asciiTheme="minorHAnsi" w:hAnsi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image" Target="media/image5.png"/><Relationship Id="rId39" Type="http://schemas.openxmlformats.org/officeDocument/2006/relationships/hyperlink" Target="mailto:info@tga.gov.au" TargetMode="External"/><Relationship Id="rId3" Type="http://schemas.openxmlformats.org/officeDocument/2006/relationships/customXml" Target="../customXml/item3.xml"/><Relationship Id="rId21" Type="http://schemas.openxmlformats.org/officeDocument/2006/relationships/hyperlink" Target="https://www.tga.gov.au/products/australian-register-therapeutic-goods-artg/product-information-one" TargetMode="External"/><Relationship Id="rId34" Type="http://schemas.openxmlformats.org/officeDocument/2006/relationships/image" Target="media/image13.emf"/><Relationship Id="rId42"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4.png"/><Relationship Id="rId33" Type="http://schemas.openxmlformats.org/officeDocument/2006/relationships/image" Target="media/image12.emf"/><Relationship Id="rId38" Type="http://schemas.openxmlformats.org/officeDocument/2006/relationships/hyperlink" Target="https://www.tga.gov.au/picmi-search-facility" TargetMode="Externa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hyperlink" Target="https://www.tga.gov.au/products/australian-register-therapeutic-goods-artg/product-information-one" TargetMode="External"/><Relationship Id="rId29" Type="http://schemas.openxmlformats.org/officeDocument/2006/relationships/image" Target="media/image8.emf"/><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tga.gov.au/how-we-regulate/supply-therapeutic-good-0/supply-prescription-medicine/application-process/prescription-medicines-registration-process" TargetMode="External"/><Relationship Id="rId32" Type="http://schemas.openxmlformats.org/officeDocument/2006/relationships/image" Target="media/image11.emf"/><Relationship Id="rId37" Type="http://schemas.openxmlformats.org/officeDocument/2006/relationships/footer" Target="footer3.xml"/><Relationship Id="rId40" Type="http://schemas.openxmlformats.org/officeDocument/2006/relationships/hyperlink" Target="https://www.tga.gov.au" TargetMode="Externa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hyperlink" Target="https://www.tga.gov.au/picmi-search-facility" TargetMode="External"/><Relationship Id="rId28" Type="http://schemas.openxmlformats.org/officeDocument/2006/relationships/image" Target="media/image7.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tga.gov.au/comparable-overseas-regulators-cors-timeframes-and-milestones" TargetMode="External"/><Relationship Id="rId31" Type="http://schemas.openxmlformats.org/officeDocument/2006/relationships/image" Target="media/image10.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products/australian-register-therapeutic-goods-artg/consumer-medicines-information-cmi" TargetMode="External"/><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1332C3C0FA3E74FAB42DF6E1888CD7B" ma:contentTypeVersion="17" ma:contentTypeDescription="Create a new document." ma:contentTypeScope="" ma:versionID="1f7125e2212177094cc241dff9ca846f">
  <xsd:schema xmlns:xsd="http://www.w3.org/2001/XMLSchema" xmlns:xs="http://www.w3.org/2001/XMLSchema" xmlns:p="http://schemas.microsoft.com/office/2006/metadata/properties" xmlns:ns2="17169798-4606-4e70-b909-fa98b8adb794" xmlns:ns3="18aa2ed8-a69e-4a61-891e-6292b3c1565c" targetNamespace="http://schemas.microsoft.com/office/2006/metadata/properties" ma:root="true" ma:fieldsID="d4a32d32f773a05441a2d40d1b0a8cff" ns2:_="" ns3:_="">
    <xsd:import namespace="17169798-4606-4e70-b909-fa98b8adb794"/>
    <xsd:import namespace="18aa2ed8-a69e-4a61-891e-6292b3c1565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AutoKeyPoints" minOccurs="0"/>
                <xsd:element ref="ns3:MediaServiceKeyPoints" minOccurs="0"/>
                <xsd:element ref="ns3:MediaServiceDateTaken"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69798-4606-4e70-b909-fa98b8adb79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5f00202-b05b-41a9-a9b8-2428bf8bf1cc}" ma:internalName="TaxCatchAll" ma:showField="CatchAllData" ma:web="17169798-4606-4e70-b909-fa98b8adb79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8aa2ed8-a69e-4a61-891e-6292b3c1565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803dd44-cefc-496e-a1c2-1331df506ea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8aa2ed8-a69e-4a61-891e-6292b3c1565c">
      <Terms xmlns="http://schemas.microsoft.com/office/infopath/2007/PartnerControls"/>
    </lcf76f155ced4ddcb4097134ff3c332f>
    <TaxCatchAll xmlns="17169798-4606-4e70-b909-fa98b8adb79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2A75E-1D2C-49FF-846E-91D1768256D6}">
  <ds:schemaRefs>
    <ds:schemaRef ds:uri="http://schemas.microsoft.com/sharepoint/v3/contenttype/forms"/>
  </ds:schemaRefs>
</ds:datastoreItem>
</file>

<file path=customXml/itemProps2.xml><?xml version="1.0" encoding="utf-8"?>
<ds:datastoreItem xmlns:ds="http://schemas.openxmlformats.org/officeDocument/2006/customXml" ds:itemID="{EA3CE31E-9BC7-4938-BAD1-51D9892F5E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69798-4606-4e70-b909-fa98b8adb794"/>
    <ds:schemaRef ds:uri="18aa2ed8-a69e-4a61-891e-6292b3c156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7C2998-4A6F-45ED-A6CF-C116C67BE3F6}">
  <ds:schemaRefs>
    <ds:schemaRef ds:uri="http://schemas.microsoft.com/office/2006/metadata/properties"/>
    <ds:schemaRef ds:uri="http://schemas.microsoft.com/office/infopath/2007/PartnerControls"/>
    <ds:schemaRef ds:uri="18aa2ed8-a69e-4a61-891e-6292b3c1565c"/>
    <ds:schemaRef ds:uri="17169798-4606-4e70-b909-fa98b8adb794"/>
  </ds:schemaRefs>
</ds:datastoreItem>
</file>

<file path=customXml/itemProps4.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7710</Words>
  <Characters>40329</Characters>
  <Application>Microsoft Office Word</Application>
  <DocSecurity>4</DocSecurity>
  <Lines>1833</Lines>
  <Paragraphs>1334</Paragraphs>
  <ScaleCrop>false</ScaleCrop>
  <HeadingPairs>
    <vt:vector size="2" baseType="variant">
      <vt:variant>
        <vt:lpstr>Title</vt:lpstr>
      </vt:variant>
      <vt:variant>
        <vt:i4>1</vt:i4>
      </vt:variant>
    </vt:vector>
  </HeadingPairs>
  <TitlesOfParts>
    <vt:vector size="1" baseType="lpstr">
      <vt:lpstr>Australian public assessment report for Intrarosa</vt:lpstr>
    </vt:vector>
  </TitlesOfParts>
  <Company>Department of Health and Aged Care</Company>
  <LinksUpToDate>false</LinksUpToDate>
  <CharactersWithSpaces>46705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Intrarosa</dc:title>
  <dc:subject>Prescription medicine regulation</dc:subject>
  <dc:creator>Therapeutic Goods Administration</dc:creator>
  <cp:keywords/>
  <dc:description/>
  <cp:lastModifiedBy>MCMAHON, Emily</cp:lastModifiedBy>
  <cp:revision>2</cp:revision>
  <dcterms:created xsi:type="dcterms:W3CDTF">2023-11-05T22:15:00Z</dcterms:created>
  <dcterms:modified xsi:type="dcterms:W3CDTF">2023-11-05T22:15:00Z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0x010100E1332C3C0FA3E74FAB42DF6E1888CD7B</vt:lpwstr>
  </property>
</Properties>
</file>