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0DC1" w14:textId="0DCAC04A" w:rsidR="00CC2516" w:rsidRDefault="00CC2516" w:rsidP="00CC2516">
      <w:pPr>
        <w:pStyle w:val="BodyText"/>
        <w:rPr>
          <w:rStyle w:val="BodyTextChar"/>
        </w:rPr>
      </w:pPr>
      <w:bookmarkStart w:id="0" w:name="_Ref69885253"/>
      <w:r w:rsidRPr="00CC2516">
        <w:rPr>
          <w:rFonts w:eastAsiaTheme="majorEastAsia"/>
          <w:noProof/>
        </w:rPr>
        <w:drawing>
          <wp:inline distT="0" distB="0" distL="0" distR="0" wp14:anchorId="3922DC5D" wp14:editId="096CBB9F">
            <wp:extent cx="292100" cy="292100"/>
            <wp:effectExtent l="0" t="0" r="0" b="0"/>
            <wp:docPr id="1" name="Picture 1" descr="black triang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ack triangle icon"/>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CC2516">
        <w:rPr>
          <w:rStyle w:val="BodyTextChar"/>
        </w:rPr>
        <w:t>This medicinal product is subject to additional monitoring in Australia. This will allow quick identification of new safety information. Healthcare professionals are asked to report any suspected adverse events at </w:t>
      </w:r>
      <w:hyperlink r:id="rId12" w:history="1">
        <w:r w:rsidRPr="00CC2516">
          <w:rPr>
            <w:rStyle w:val="Hyperlink"/>
          </w:rPr>
          <w:t>www.tga.gov.au/reporting-problems</w:t>
        </w:r>
      </w:hyperlink>
      <w:r>
        <w:rPr>
          <w:rStyle w:val="BodyTextChar"/>
        </w:rPr>
        <w:t>.</w:t>
      </w:r>
    </w:p>
    <w:p w14:paraId="363F8231" w14:textId="77777777" w:rsidR="00CC2516" w:rsidRDefault="00CC2516" w:rsidP="00CC2516">
      <w:pPr>
        <w:pStyle w:val="BodyText"/>
        <w:rPr>
          <w:rStyle w:val="BodyTextChar"/>
        </w:rPr>
      </w:pPr>
    </w:p>
    <w:p w14:paraId="27A07221" w14:textId="614A22FC" w:rsidR="00962B1E" w:rsidRPr="003D5AFB" w:rsidRDefault="001856B1" w:rsidP="00CC2516">
      <w:pPr>
        <w:pStyle w:val="Title"/>
        <w:spacing w:before="0"/>
        <w:jc w:val="center"/>
        <w:rPr>
          <w:b/>
          <w:bCs/>
        </w:rPr>
      </w:pPr>
      <w:r w:rsidRPr="003D5AFB">
        <w:rPr>
          <w:b/>
          <w:bCs/>
        </w:rPr>
        <w:t xml:space="preserve">AUSTRALIAN PRODUCT INFORMATION </w:t>
      </w:r>
      <w:r w:rsidR="008E2AB7" w:rsidRPr="003D5AFB">
        <w:rPr>
          <w:b/>
          <w:bCs/>
        </w:rPr>
        <w:br/>
      </w:r>
      <w:r w:rsidR="00C5693D" w:rsidRPr="003D5AFB">
        <w:rPr>
          <w:b/>
          <w:bCs/>
        </w:rPr>
        <w:t>INTRAROSA</w:t>
      </w:r>
      <w:r w:rsidR="00C5693D" w:rsidRPr="003D5AFB">
        <w:rPr>
          <w:b/>
          <w:bCs/>
          <w:vertAlign w:val="superscript"/>
        </w:rPr>
        <w:t>®</w:t>
      </w:r>
      <w:r w:rsidR="00C5693D" w:rsidRPr="003D5AFB">
        <w:rPr>
          <w:b/>
          <w:bCs/>
        </w:rPr>
        <w:t xml:space="preserve"> </w:t>
      </w:r>
      <w:proofErr w:type="spellStart"/>
      <w:r w:rsidR="00C5693D" w:rsidRPr="003D5AFB">
        <w:rPr>
          <w:b/>
          <w:bCs/>
        </w:rPr>
        <w:t>prasterone</w:t>
      </w:r>
      <w:proofErr w:type="spellEnd"/>
      <w:r w:rsidR="00C5693D" w:rsidRPr="003D5AFB">
        <w:rPr>
          <w:b/>
          <w:bCs/>
        </w:rPr>
        <w:t xml:space="preserve"> 6.5 mg pessary</w:t>
      </w:r>
    </w:p>
    <w:p w14:paraId="754C2620" w14:textId="3630FB2B" w:rsidR="00962B1E" w:rsidRPr="003D5AFB" w:rsidRDefault="00962B1E" w:rsidP="007447D6">
      <w:pPr>
        <w:pStyle w:val="Heading1"/>
      </w:pPr>
      <w:r w:rsidRPr="003D5AFB">
        <w:t>NAME OF THE MEDICINE</w:t>
      </w:r>
      <w:bookmarkEnd w:id="0"/>
    </w:p>
    <w:p w14:paraId="1020707F" w14:textId="5B24AA16" w:rsidR="000A1356" w:rsidRPr="003D5AFB" w:rsidRDefault="000A1356" w:rsidP="00CD5FDD">
      <w:pPr>
        <w:pStyle w:val="BodyText"/>
      </w:pPr>
      <w:proofErr w:type="spellStart"/>
      <w:r w:rsidRPr="003D5AFB">
        <w:t>Prasterone</w:t>
      </w:r>
      <w:proofErr w:type="spellEnd"/>
    </w:p>
    <w:p w14:paraId="3FCE097D" w14:textId="578D1766" w:rsidR="00962B1E" w:rsidRPr="003D5AFB" w:rsidRDefault="00962B1E" w:rsidP="007447D6">
      <w:pPr>
        <w:pStyle w:val="Heading1"/>
      </w:pPr>
      <w:r w:rsidRPr="003D5AFB">
        <w:t>QUALITATIVE AND QUANTITATIVE COMPOSITION</w:t>
      </w:r>
    </w:p>
    <w:p w14:paraId="306DEADA" w14:textId="75CBF3D0" w:rsidR="000A1356" w:rsidRPr="003D5AFB" w:rsidRDefault="000A1356" w:rsidP="00CD5FDD">
      <w:pPr>
        <w:pStyle w:val="BodyText"/>
      </w:pPr>
      <w:r w:rsidRPr="003D5AFB">
        <w:t>Each pessary contains 6.5</w:t>
      </w:r>
      <w:r w:rsidR="0038427A">
        <w:t> </w:t>
      </w:r>
      <w:r w:rsidRPr="003D5AFB">
        <w:t xml:space="preserve">mg of </w:t>
      </w:r>
      <w:proofErr w:type="spellStart"/>
      <w:r w:rsidRPr="003D5AFB">
        <w:t>prasterone</w:t>
      </w:r>
      <w:proofErr w:type="spellEnd"/>
      <w:r w:rsidRPr="003D5AFB">
        <w:t xml:space="preserve"> in hard fat</w:t>
      </w:r>
      <w:r w:rsidR="00534836" w:rsidRPr="003D5AFB">
        <w:t>.</w:t>
      </w:r>
    </w:p>
    <w:p w14:paraId="26C54CFB" w14:textId="223872F8" w:rsidR="00543D49" w:rsidRPr="003D5AFB" w:rsidRDefault="00962B1E" w:rsidP="00CD5FDD">
      <w:pPr>
        <w:pStyle w:val="BodyText"/>
      </w:pPr>
      <w:r w:rsidRPr="003D5AFB">
        <w:t xml:space="preserve">For the full list of excipients, see </w:t>
      </w:r>
      <w:r w:rsidR="00470F45">
        <w:t>s</w:t>
      </w:r>
      <w:r w:rsidRPr="003D5AFB">
        <w:t>ection</w:t>
      </w:r>
      <w:r w:rsidR="005A391E" w:rsidRPr="003D5AFB">
        <w:t xml:space="preserve"> </w:t>
      </w:r>
      <w:r w:rsidR="005A391E" w:rsidRPr="003D5AFB">
        <w:fldChar w:fldCharType="begin"/>
      </w:r>
      <w:r w:rsidR="005A391E" w:rsidRPr="003D5AFB">
        <w:instrText xml:space="preserve"> REF _Ref69885210 \w \h </w:instrText>
      </w:r>
      <w:r w:rsidR="003D5AFB">
        <w:instrText xml:space="preserve"> \* MERGEFORMAT </w:instrText>
      </w:r>
      <w:r w:rsidR="005A391E" w:rsidRPr="003D5AFB">
        <w:fldChar w:fldCharType="separate"/>
      </w:r>
      <w:r w:rsidR="007A2C94">
        <w:t>6.1</w:t>
      </w:r>
      <w:r w:rsidR="005A391E" w:rsidRPr="003D5AFB">
        <w:fldChar w:fldCharType="end"/>
      </w:r>
      <w:r w:rsidR="005A391E" w:rsidRPr="003D5AFB">
        <w:t xml:space="preserve"> </w:t>
      </w:r>
      <w:r w:rsidR="005A391E" w:rsidRPr="003D5AFB">
        <w:fldChar w:fldCharType="begin"/>
      </w:r>
      <w:r w:rsidR="005A391E" w:rsidRPr="003D5AFB">
        <w:instrText xml:space="preserve"> REF _Ref69885210 \h </w:instrText>
      </w:r>
      <w:r w:rsidR="003D5AFB">
        <w:instrText xml:space="preserve"> \* MERGEFORMAT </w:instrText>
      </w:r>
      <w:r w:rsidR="005A391E" w:rsidRPr="003D5AFB">
        <w:fldChar w:fldCharType="separate"/>
      </w:r>
      <w:r w:rsidR="007A2C94" w:rsidRPr="003D5AFB">
        <w:t>List of</w:t>
      </w:r>
      <w:r w:rsidR="007A2C94" w:rsidRPr="003D5AFB">
        <w:rPr>
          <w:spacing w:val="1"/>
        </w:rPr>
        <w:t xml:space="preserve"> </w:t>
      </w:r>
      <w:r w:rsidR="007A2C94" w:rsidRPr="003D5AFB">
        <w:t>excipients</w:t>
      </w:r>
      <w:r w:rsidR="005A391E" w:rsidRPr="003D5AFB">
        <w:fldChar w:fldCharType="end"/>
      </w:r>
      <w:r w:rsidR="00534836" w:rsidRPr="003D5AFB">
        <w:t>.</w:t>
      </w:r>
      <w:r w:rsidR="005A391E" w:rsidRPr="003D5AFB">
        <w:t xml:space="preserve"> </w:t>
      </w:r>
    </w:p>
    <w:p w14:paraId="66AA10A6" w14:textId="72285F33" w:rsidR="00962B1E" w:rsidRPr="003D5AFB" w:rsidRDefault="00962B1E" w:rsidP="007447D6">
      <w:pPr>
        <w:pStyle w:val="Heading1"/>
      </w:pPr>
      <w:r w:rsidRPr="003D5AFB">
        <w:t>PHARMACEUTICAL FORM</w:t>
      </w:r>
    </w:p>
    <w:p w14:paraId="11D929FB" w14:textId="7DA19B45" w:rsidR="00C5693D" w:rsidRPr="003D5AFB" w:rsidRDefault="008A7CD7" w:rsidP="00CD5FDD">
      <w:pPr>
        <w:pStyle w:val="BodyText"/>
      </w:pPr>
      <w:r w:rsidRPr="003D5AFB">
        <w:t>INTRAROSA</w:t>
      </w:r>
      <w:r w:rsidR="00C5693D" w:rsidRPr="003D5AFB">
        <w:t xml:space="preserve"> is a white to off-white, bullet-shaped pessary, approximately 28 mm long and 9</w:t>
      </w:r>
      <w:r w:rsidR="000D6355" w:rsidRPr="003D5AFB">
        <w:t> </w:t>
      </w:r>
      <w:r w:rsidR="00C5693D" w:rsidRPr="003D5AFB">
        <w:t>mm in diameter at its widest end.</w:t>
      </w:r>
    </w:p>
    <w:p w14:paraId="52C75F43" w14:textId="3F10748D" w:rsidR="00962B1E" w:rsidRPr="003D5AFB" w:rsidRDefault="00962B1E" w:rsidP="007447D6">
      <w:pPr>
        <w:pStyle w:val="Heading1"/>
      </w:pPr>
      <w:r w:rsidRPr="003D5AFB">
        <w:t>CLINICAL PARTICULARS</w:t>
      </w:r>
    </w:p>
    <w:p w14:paraId="56DAB4DB" w14:textId="3E777B15" w:rsidR="00543D49" w:rsidRPr="003D5AFB" w:rsidRDefault="00962B1E" w:rsidP="00910010">
      <w:pPr>
        <w:pStyle w:val="Heading2"/>
      </w:pPr>
      <w:r w:rsidRPr="003D5AFB">
        <w:t>Therapeutic indications</w:t>
      </w:r>
    </w:p>
    <w:p w14:paraId="0572E1F8" w14:textId="33458D84" w:rsidR="00D97BFA" w:rsidRPr="003D5AFB" w:rsidRDefault="008A7CD7" w:rsidP="004E340A">
      <w:pPr>
        <w:pStyle w:val="BodyText"/>
      </w:pPr>
      <w:r w:rsidRPr="003D5AFB">
        <w:rPr>
          <w:rStyle w:val="markedcontent"/>
        </w:rPr>
        <w:t>INTRAROSA</w:t>
      </w:r>
      <w:r w:rsidR="00BB4812" w:rsidRPr="003D5AFB">
        <w:rPr>
          <w:rStyle w:val="markedcontent"/>
        </w:rPr>
        <w:t xml:space="preserve"> is indicated for the treatment of </w:t>
      </w:r>
      <w:r w:rsidR="00470F45">
        <w:rPr>
          <w:rStyle w:val="markedcontent"/>
        </w:rPr>
        <w:t xml:space="preserve">vulvar and vaginal atrophy in </w:t>
      </w:r>
      <w:r w:rsidR="00BB4812" w:rsidRPr="003D5AFB">
        <w:rPr>
          <w:rStyle w:val="markedcontent"/>
        </w:rPr>
        <w:t xml:space="preserve">postmenopausal </w:t>
      </w:r>
      <w:r w:rsidR="00470F45">
        <w:rPr>
          <w:rStyle w:val="markedcontent"/>
        </w:rPr>
        <w:t>women</w:t>
      </w:r>
      <w:r w:rsidR="00D02706">
        <w:rPr>
          <w:rStyle w:val="markedcontent"/>
        </w:rPr>
        <w:t xml:space="preserve"> having moderate to severe symptoms</w:t>
      </w:r>
      <w:r w:rsidR="00BB4812" w:rsidRPr="003D5AFB">
        <w:rPr>
          <w:rStyle w:val="markedcontent"/>
        </w:rPr>
        <w:t>.</w:t>
      </w:r>
    </w:p>
    <w:p w14:paraId="34D4E8DC" w14:textId="66E9D7FB" w:rsidR="00962B1E" w:rsidRPr="003D5AFB" w:rsidRDefault="00962B1E" w:rsidP="00910010">
      <w:pPr>
        <w:pStyle w:val="Heading2"/>
      </w:pPr>
      <w:r w:rsidRPr="003D5AFB">
        <w:t>Dose and method of</w:t>
      </w:r>
      <w:r w:rsidRPr="003D5AFB">
        <w:rPr>
          <w:spacing w:val="1"/>
        </w:rPr>
        <w:t xml:space="preserve"> </w:t>
      </w:r>
      <w:r w:rsidRPr="003D5AFB">
        <w:t>administration</w:t>
      </w:r>
    </w:p>
    <w:p w14:paraId="561F5256" w14:textId="518D6DA6" w:rsidR="00305729" w:rsidRPr="003D5AFB" w:rsidRDefault="00305729" w:rsidP="008F60D3">
      <w:pPr>
        <w:pStyle w:val="Heading3"/>
      </w:pPr>
      <w:r w:rsidRPr="003D5AFB">
        <w:t>Dosage</w:t>
      </w:r>
    </w:p>
    <w:p w14:paraId="697F98D6" w14:textId="20CEF38B" w:rsidR="00BB4812" w:rsidRPr="003D5AFB" w:rsidRDefault="008A7CD7" w:rsidP="004E340A">
      <w:pPr>
        <w:pStyle w:val="BodyText"/>
        <w:spacing w:before="26" w:after="200" w:line="277" w:lineRule="auto"/>
      </w:pPr>
      <w:r w:rsidRPr="003D5AFB">
        <w:t>INTRAROSA</w:t>
      </w:r>
      <w:r w:rsidR="00BB4812" w:rsidRPr="003D5AFB">
        <w:t xml:space="preserve"> is administered intravaginally with the use of the provided applicator or with fingers.</w:t>
      </w:r>
    </w:p>
    <w:p w14:paraId="5F174526" w14:textId="77777777" w:rsidR="00BB4812" w:rsidRPr="003D5AFB" w:rsidRDefault="00BB4812" w:rsidP="004E340A">
      <w:pPr>
        <w:pStyle w:val="BodyText"/>
        <w:spacing w:before="26" w:after="200" w:line="277" w:lineRule="auto"/>
      </w:pPr>
      <w:r w:rsidRPr="003D5AFB">
        <w:t>One pessary is administered once a day at bedtime.</w:t>
      </w:r>
    </w:p>
    <w:p w14:paraId="4AD1B616" w14:textId="77777777" w:rsidR="00470F45" w:rsidRDefault="00470F45" w:rsidP="004E340A">
      <w:pPr>
        <w:pStyle w:val="BodyText"/>
        <w:spacing w:before="26" w:after="200" w:line="277" w:lineRule="auto"/>
      </w:pPr>
      <w:r w:rsidRPr="00470F45">
        <w:t xml:space="preserve">For the treatment of postmenopausal symptoms, INTRAROSA should only be initiated for symptoms that adversely affect quality of life. In all cases, a careful appraisal of the risks and benefits should be reassessed at least every 6 months (or as clinically appropriate) and INTRAROSA should only be continued </w:t>
      </w:r>
      <w:proofErr w:type="gramStart"/>
      <w:r w:rsidRPr="00470F45">
        <w:t>as long as</w:t>
      </w:r>
      <w:proofErr w:type="gramEnd"/>
      <w:r w:rsidRPr="00470F45">
        <w:t xml:space="preserve"> the benefit outweighs the risk</w:t>
      </w:r>
      <w:r>
        <w:t>.</w:t>
      </w:r>
    </w:p>
    <w:p w14:paraId="39B46C9F" w14:textId="04A8CCE2" w:rsidR="00BB4812" w:rsidRPr="003D5AFB" w:rsidRDefault="00BB4812" w:rsidP="004E340A">
      <w:pPr>
        <w:pStyle w:val="BodyText"/>
      </w:pPr>
      <w:r w:rsidRPr="003D5AFB">
        <w:t>If a dose is forgotten, it should be taken as soon as the woman remembers. However, if the next dose is due in less than 8 hours, the woman should skip the missed pessary. Do not use two pessaries to make up for a forgotten dose.</w:t>
      </w:r>
    </w:p>
    <w:p w14:paraId="4E56FE9B" w14:textId="5AC8B059" w:rsidR="00305729" w:rsidRPr="003D5AFB" w:rsidRDefault="00305729" w:rsidP="008F60D3">
      <w:pPr>
        <w:pStyle w:val="Heading3"/>
      </w:pPr>
      <w:r w:rsidRPr="003D5AFB">
        <w:lastRenderedPageBreak/>
        <w:t>Method of administration</w:t>
      </w:r>
    </w:p>
    <w:p w14:paraId="7C3BCC5F" w14:textId="67F473EF" w:rsidR="00BB4812" w:rsidRPr="003D5AFB" w:rsidRDefault="00D02706" w:rsidP="00CD5FDD">
      <w:pPr>
        <w:pStyle w:val="BodyText"/>
        <w:spacing w:after="60"/>
      </w:pPr>
      <w:r>
        <w:t xml:space="preserve">If </w:t>
      </w:r>
      <w:r w:rsidR="008A7CD7" w:rsidRPr="003D5AFB">
        <w:t>INTRAROSA</w:t>
      </w:r>
      <w:r w:rsidR="00BB4812" w:rsidRPr="003D5AFB">
        <w:t xml:space="preserve"> </w:t>
      </w:r>
      <w:r>
        <w:t>is</w:t>
      </w:r>
      <w:r w:rsidR="00BB4812" w:rsidRPr="003D5AFB">
        <w:t xml:space="preserve"> placed in the vagina us</w:t>
      </w:r>
      <w:r>
        <w:t>ing</w:t>
      </w:r>
      <w:r w:rsidR="00BB4812" w:rsidRPr="003D5AFB">
        <w:t xml:space="preserve"> the provided applicator:</w:t>
      </w:r>
    </w:p>
    <w:p w14:paraId="223B97AA" w14:textId="3534379F" w:rsidR="00BB4812" w:rsidRPr="003D5AFB" w:rsidRDefault="00D02706" w:rsidP="003C5E71">
      <w:pPr>
        <w:pStyle w:val="BodyText"/>
        <w:numPr>
          <w:ilvl w:val="0"/>
          <w:numId w:val="36"/>
        </w:numPr>
        <w:spacing w:before="0" w:after="60" w:line="240" w:lineRule="auto"/>
        <w:ind w:left="709" w:hanging="425"/>
      </w:pPr>
      <w:r>
        <w:t>Activate the applicator (by pulling back the plunger) before use.</w:t>
      </w:r>
    </w:p>
    <w:p w14:paraId="2D376A75" w14:textId="77777777" w:rsidR="00D02706" w:rsidRDefault="00BB4812" w:rsidP="003C5E71">
      <w:pPr>
        <w:pStyle w:val="BodyText"/>
        <w:numPr>
          <w:ilvl w:val="0"/>
          <w:numId w:val="36"/>
        </w:numPr>
        <w:spacing w:before="0" w:after="60" w:line="240" w:lineRule="auto"/>
        <w:ind w:left="709" w:hanging="425"/>
      </w:pPr>
      <w:r w:rsidRPr="003D5AFB">
        <w:t xml:space="preserve">Place the </w:t>
      </w:r>
      <w:r w:rsidR="00D02706">
        <w:t xml:space="preserve">flat end of the </w:t>
      </w:r>
      <w:r w:rsidRPr="003D5AFB">
        <w:t xml:space="preserve">pessary into the </w:t>
      </w:r>
      <w:r w:rsidR="00D02706">
        <w:t xml:space="preserve">open end of the activated applicator. </w:t>
      </w:r>
    </w:p>
    <w:p w14:paraId="567497FC" w14:textId="283F2EB2" w:rsidR="00D02706" w:rsidRDefault="00D02706" w:rsidP="00D6164F">
      <w:pPr>
        <w:pStyle w:val="BodyText"/>
        <w:numPr>
          <w:ilvl w:val="0"/>
          <w:numId w:val="36"/>
        </w:numPr>
        <w:spacing w:before="0" w:after="60" w:line="240" w:lineRule="auto"/>
        <w:ind w:left="709" w:hanging="425"/>
      </w:pPr>
      <w:r>
        <w:t xml:space="preserve">Insert the applicator into the </w:t>
      </w:r>
      <w:r w:rsidR="00BB4812" w:rsidRPr="003D5AFB">
        <w:t>vagina as far as it can comfortably go without force.</w:t>
      </w:r>
    </w:p>
    <w:p w14:paraId="6E62C869" w14:textId="48AD0D99" w:rsidR="00D02706" w:rsidRPr="003D5AFB" w:rsidRDefault="00BB4812" w:rsidP="00AC07D3">
      <w:pPr>
        <w:pStyle w:val="BodyText"/>
        <w:numPr>
          <w:ilvl w:val="0"/>
          <w:numId w:val="36"/>
        </w:numPr>
        <w:spacing w:before="0" w:after="60" w:line="240" w:lineRule="auto"/>
        <w:ind w:left="709" w:hanging="425"/>
      </w:pPr>
      <w:r w:rsidRPr="003D5AFB">
        <w:t xml:space="preserve">Press the plunger </w:t>
      </w:r>
      <w:r w:rsidR="00D02706">
        <w:t xml:space="preserve">of the applicator </w:t>
      </w:r>
      <w:r w:rsidRPr="003D5AFB">
        <w:t>to release the pessary.</w:t>
      </w:r>
    </w:p>
    <w:p w14:paraId="4090F4A9" w14:textId="29F3A483" w:rsidR="00D02706" w:rsidRDefault="00BB4812" w:rsidP="00D02706">
      <w:pPr>
        <w:pStyle w:val="BodyText"/>
        <w:numPr>
          <w:ilvl w:val="0"/>
          <w:numId w:val="36"/>
        </w:numPr>
        <w:spacing w:before="0" w:after="60" w:line="240" w:lineRule="auto"/>
        <w:ind w:left="709" w:hanging="425"/>
      </w:pPr>
      <w:r w:rsidRPr="003D5AFB">
        <w:t>Withdraw the applicator</w:t>
      </w:r>
      <w:r w:rsidR="00D02706">
        <w:t xml:space="preserve"> completely. </w:t>
      </w:r>
    </w:p>
    <w:p w14:paraId="667113CE" w14:textId="59E17172" w:rsidR="00D02706" w:rsidRDefault="00D02706">
      <w:pPr>
        <w:pStyle w:val="BodyText"/>
        <w:numPr>
          <w:ilvl w:val="0"/>
          <w:numId w:val="36"/>
        </w:numPr>
        <w:spacing w:before="0" w:after="60" w:line="240" w:lineRule="auto"/>
        <w:ind w:left="709" w:hanging="425"/>
      </w:pPr>
      <w:r>
        <w:t>D</w:t>
      </w:r>
      <w:r w:rsidR="00BB4812" w:rsidRPr="003D5AFB">
        <w:t>isassemble</w:t>
      </w:r>
      <w:r>
        <w:t xml:space="preserve"> the applicator</w:t>
      </w:r>
      <w:r w:rsidR="00BB4812" w:rsidRPr="003D5AFB">
        <w:t xml:space="preserve"> and rinse the two pieces for 30 seconds under running water before </w:t>
      </w:r>
      <w:r>
        <w:t xml:space="preserve">drying </w:t>
      </w:r>
      <w:r w:rsidR="00BB4812" w:rsidRPr="003D5AFB">
        <w:t xml:space="preserve">with a paper towel or the like and </w:t>
      </w:r>
      <w:r>
        <w:t xml:space="preserve">then </w:t>
      </w:r>
      <w:r w:rsidR="00BB4812" w:rsidRPr="003D5AFB">
        <w:t>reassemble</w:t>
      </w:r>
      <w:r>
        <w:t xml:space="preserve"> the applicator</w:t>
      </w:r>
      <w:r w:rsidR="00BB4812" w:rsidRPr="003D5AFB">
        <w:t>.</w:t>
      </w:r>
    </w:p>
    <w:p w14:paraId="151D80C1" w14:textId="600E5D7E" w:rsidR="00127874" w:rsidRPr="003D5AFB" w:rsidRDefault="00127874" w:rsidP="00AC07D3">
      <w:pPr>
        <w:pStyle w:val="BodyText"/>
        <w:numPr>
          <w:ilvl w:val="0"/>
          <w:numId w:val="36"/>
        </w:numPr>
        <w:spacing w:before="0" w:after="60" w:line="240" w:lineRule="auto"/>
        <w:ind w:left="709" w:hanging="425"/>
      </w:pPr>
      <w:r w:rsidRPr="00127874">
        <w:t xml:space="preserve">The </w:t>
      </w:r>
      <w:r w:rsidR="000D2D90">
        <w:t xml:space="preserve">washed </w:t>
      </w:r>
      <w:r w:rsidRPr="00127874">
        <w:t>applicator should be stored in a clean place, separate to the unused applicators.</w:t>
      </w:r>
    </w:p>
    <w:p w14:paraId="76DC723A" w14:textId="60A61178" w:rsidR="00BB4812" w:rsidRPr="003D5AFB" w:rsidRDefault="00BB4812" w:rsidP="00AC07D3">
      <w:pPr>
        <w:pStyle w:val="BodyText"/>
        <w:spacing w:before="0" w:after="60" w:line="240" w:lineRule="auto"/>
        <w:ind w:left="709" w:hanging="425"/>
      </w:pPr>
      <w:r w:rsidRPr="003D5AFB">
        <w:t>Discard the applicator after one week of usage.</w:t>
      </w:r>
      <w:r w:rsidR="00D02706">
        <w:t xml:space="preserve"> </w:t>
      </w:r>
      <w:r w:rsidRPr="003D5AFB">
        <w:t>Two extra applicators are provided</w:t>
      </w:r>
      <w:r w:rsidR="00D02706">
        <w:t>.</w:t>
      </w:r>
    </w:p>
    <w:p w14:paraId="02171402" w14:textId="39A4BB13" w:rsidR="00BB4812" w:rsidRPr="003D5AFB" w:rsidRDefault="00D02706" w:rsidP="003C5E71">
      <w:pPr>
        <w:pStyle w:val="BodyText"/>
        <w:spacing w:before="120" w:after="60" w:line="240" w:lineRule="auto"/>
      </w:pPr>
      <w:r>
        <w:t xml:space="preserve">If </w:t>
      </w:r>
      <w:r w:rsidR="008A7CD7" w:rsidRPr="003D5AFB">
        <w:t>INTRAROSA</w:t>
      </w:r>
      <w:r w:rsidR="00BB4812" w:rsidRPr="003D5AFB">
        <w:t xml:space="preserve"> </w:t>
      </w:r>
      <w:r>
        <w:t xml:space="preserve">is </w:t>
      </w:r>
      <w:r w:rsidR="00BB4812" w:rsidRPr="003D5AFB">
        <w:t>placed in the vagina with fingers:</w:t>
      </w:r>
    </w:p>
    <w:p w14:paraId="602233A7" w14:textId="68BBF8EA" w:rsidR="00BB4812" w:rsidRPr="003D5AFB" w:rsidRDefault="00BB4812" w:rsidP="003C5E71">
      <w:pPr>
        <w:pStyle w:val="BodyText"/>
        <w:spacing w:before="120" w:after="0" w:line="240" w:lineRule="auto"/>
        <w:ind w:left="709" w:hanging="425"/>
      </w:pPr>
      <w:r w:rsidRPr="003D5AFB">
        <w:t>1.</w:t>
      </w:r>
      <w:r w:rsidRPr="003D5AFB">
        <w:tab/>
      </w:r>
      <w:r w:rsidR="00D02706">
        <w:t>Insert t</w:t>
      </w:r>
      <w:r w:rsidRPr="003D5AFB">
        <w:t>he pessary into the vagina as far as it can comfortably go without force.</w:t>
      </w:r>
    </w:p>
    <w:p w14:paraId="780A7D63" w14:textId="1C1AC9A1" w:rsidR="00962B1E" w:rsidRPr="003D5AFB" w:rsidRDefault="00962B1E" w:rsidP="00910010">
      <w:pPr>
        <w:pStyle w:val="Heading2"/>
      </w:pPr>
      <w:bookmarkStart w:id="1" w:name="_Ref69885839"/>
      <w:r w:rsidRPr="003D5AFB">
        <w:t>Contraindications</w:t>
      </w:r>
      <w:bookmarkEnd w:id="1"/>
    </w:p>
    <w:p w14:paraId="4AB5EBD8" w14:textId="38DC05B3" w:rsidR="004A6E98" w:rsidRPr="003D5AFB" w:rsidRDefault="008A7CD7" w:rsidP="003C5E71">
      <w:pPr>
        <w:pStyle w:val="BodyText"/>
      </w:pPr>
      <w:r w:rsidRPr="003D5AFB">
        <w:t>INTRAROSA</w:t>
      </w:r>
      <w:r w:rsidR="004A6E98" w:rsidRPr="003D5AFB">
        <w:t xml:space="preserve"> is contraindicated in</w:t>
      </w:r>
      <w:r w:rsidR="00A340F6">
        <w:t xml:space="preserve"> women with:</w:t>
      </w:r>
    </w:p>
    <w:p w14:paraId="5EBF39BE" w14:textId="46E85A4C" w:rsidR="00470F45" w:rsidRPr="00D04042" w:rsidRDefault="00470F45" w:rsidP="00470F45">
      <w:pPr>
        <w:widowControl/>
        <w:numPr>
          <w:ilvl w:val="0"/>
          <w:numId w:val="33"/>
        </w:numPr>
        <w:spacing w:after="120" w:line="276" w:lineRule="auto"/>
        <w:ind w:left="714" w:hanging="357"/>
        <w:rPr>
          <w:rFonts w:ascii="Times New Roman" w:hAnsi="Times New Roman" w:cs="Times New Roman"/>
          <w:noProof/>
          <w:sz w:val="24"/>
          <w:szCs w:val="24"/>
        </w:rPr>
      </w:pPr>
      <w:r w:rsidRPr="00470F45">
        <w:rPr>
          <w:rFonts w:ascii="Times New Roman" w:hAnsi="Times New Roman" w:cs="Times New Roman"/>
          <w:noProof/>
          <w:sz w:val="24"/>
          <w:szCs w:val="24"/>
        </w:rPr>
        <w:t xml:space="preserve">Hypersensitivity to the active substance or to the excipient listed in </w:t>
      </w:r>
      <w:r w:rsidRPr="00D04042">
        <w:rPr>
          <w:rFonts w:ascii="Times New Roman" w:hAnsi="Times New Roman" w:cs="Times New Roman"/>
          <w:noProof/>
          <w:sz w:val="24"/>
          <w:szCs w:val="24"/>
        </w:rPr>
        <w:t xml:space="preserve">section </w:t>
      </w:r>
      <w:r w:rsidR="00D04042" w:rsidRPr="00D04042">
        <w:rPr>
          <w:rFonts w:ascii="Times New Roman" w:hAnsi="Times New Roman" w:cs="Times New Roman"/>
          <w:sz w:val="24"/>
          <w:szCs w:val="24"/>
        </w:rPr>
        <w:fldChar w:fldCharType="begin"/>
      </w:r>
      <w:r w:rsidR="00D04042" w:rsidRPr="00D04042">
        <w:rPr>
          <w:rFonts w:ascii="Times New Roman" w:hAnsi="Times New Roman" w:cs="Times New Roman"/>
          <w:sz w:val="24"/>
          <w:szCs w:val="24"/>
        </w:rPr>
        <w:instrText xml:space="preserve"> REF _Ref69885210 \w \h  \* MERGEFORMAT </w:instrText>
      </w:r>
      <w:r w:rsidR="00D04042" w:rsidRPr="00D04042">
        <w:rPr>
          <w:rFonts w:ascii="Times New Roman" w:hAnsi="Times New Roman" w:cs="Times New Roman"/>
          <w:sz w:val="24"/>
          <w:szCs w:val="24"/>
        </w:rPr>
      </w:r>
      <w:r w:rsidR="00D04042" w:rsidRPr="00D04042">
        <w:rPr>
          <w:rFonts w:ascii="Times New Roman" w:hAnsi="Times New Roman" w:cs="Times New Roman"/>
          <w:sz w:val="24"/>
          <w:szCs w:val="24"/>
        </w:rPr>
        <w:fldChar w:fldCharType="separate"/>
      </w:r>
      <w:r w:rsidR="007A2C94">
        <w:rPr>
          <w:rFonts w:ascii="Times New Roman" w:hAnsi="Times New Roman" w:cs="Times New Roman"/>
          <w:sz w:val="24"/>
          <w:szCs w:val="24"/>
        </w:rPr>
        <w:t>6.1</w:t>
      </w:r>
      <w:r w:rsidR="00D04042" w:rsidRPr="00D04042">
        <w:rPr>
          <w:rFonts w:ascii="Times New Roman" w:hAnsi="Times New Roman" w:cs="Times New Roman"/>
          <w:sz w:val="24"/>
          <w:szCs w:val="24"/>
        </w:rPr>
        <w:fldChar w:fldCharType="end"/>
      </w:r>
      <w:r w:rsidR="00D04042" w:rsidRPr="00D04042">
        <w:rPr>
          <w:rFonts w:ascii="Times New Roman" w:hAnsi="Times New Roman" w:cs="Times New Roman"/>
          <w:sz w:val="24"/>
          <w:szCs w:val="24"/>
        </w:rPr>
        <w:t xml:space="preserve"> </w:t>
      </w:r>
      <w:r w:rsidR="00D04042" w:rsidRPr="00D04042">
        <w:rPr>
          <w:rFonts w:ascii="Times New Roman" w:hAnsi="Times New Roman" w:cs="Times New Roman"/>
          <w:sz w:val="24"/>
          <w:szCs w:val="24"/>
        </w:rPr>
        <w:fldChar w:fldCharType="begin"/>
      </w:r>
      <w:r w:rsidR="00D04042" w:rsidRPr="00D04042">
        <w:rPr>
          <w:rFonts w:ascii="Times New Roman" w:hAnsi="Times New Roman" w:cs="Times New Roman"/>
          <w:sz w:val="24"/>
          <w:szCs w:val="24"/>
        </w:rPr>
        <w:instrText xml:space="preserve"> REF _Ref69885210 \h  \* MERGEFORMAT </w:instrText>
      </w:r>
      <w:r w:rsidR="00D04042" w:rsidRPr="00D04042">
        <w:rPr>
          <w:rFonts w:ascii="Times New Roman" w:hAnsi="Times New Roman" w:cs="Times New Roman"/>
          <w:sz w:val="24"/>
          <w:szCs w:val="24"/>
        </w:rPr>
      </w:r>
      <w:r w:rsidR="00D04042" w:rsidRPr="00D04042">
        <w:rPr>
          <w:rFonts w:ascii="Times New Roman" w:hAnsi="Times New Roman" w:cs="Times New Roman"/>
          <w:sz w:val="24"/>
          <w:szCs w:val="24"/>
        </w:rPr>
        <w:fldChar w:fldCharType="separate"/>
      </w:r>
      <w:r w:rsidR="007A2C94" w:rsidRPr="007A2C94">
        <w:rPr>
          <w:rFonts w:ascii="Times New Roman" w:hAnsi="Times New Roman" w:cs="Times New Roman"/>
          <w:sz w:val="24"/>
          <w:szCs w:val="24"/>
        </w:rPr>
        <w:t>List of</w:t>
      </w:r>
      <w:r w:rsidR="007A2C94" w:rsidRPr="007A2C94">
        <w:rPr>
          <w:rFonts w:ascii="Times New Roman" w:hAnsi="Times New Roman" w:cs="Times New Roman"/>
          <w:spacing w:val="1"/>
          <w:sz w:val="24"/>
          <w:szCs w:val="24"/>
        </w:rPr>
        <w:t xml:space="preserve"> </w:t>
      </w:r>
      <w:r w:rsidR="007A2C94" w:rsidRPr="007A2C94">
        <w:rPr>
          <w:rFonts w:ascii="Times New Roman" w:hAnsi="Times New Roman" w:cs="Times New Roman"/>
          <w:sz w:val="24"/>
          <w:szCs w:val="24"/>
        </w:rPr>
        <w:t>excipients</w:t>
      </w:r>
      <w:r w:rsidR="00D04042" w:rsidRPr="00D04042">
        <w:rPr>
          <w:rFonts w:ascii="Times New Roman" w:hAnsi="Times New Roman" w:cs="Times New Roman"/>
          <w:sz w:val="24"/>
          <w:szCs w:val="24"/>
        </w:rPr>
        <w:fldChar w:fldCharType="end"/>
      </w:r>
      <w:r w:rsidRPr="00D04042">
        <w:rPr>
          <w:rFonts w:ascii="Times New Roman" w:hAnsi="Times New Roman" w:cs="Times New Roman"/>
          <w:noProof/>
          <w:sz w:val="24"/>
          <w:szCs w:val="24"/>
        </w:rPr>
        <w:t>;</w:t>
      </w:r>
    </w:p>
    <w:p w14:paraId="69170AEF" w14:textId="77777777" w:rsidR="00470F45" w:rsidRPr="00470F45" w:rsidRDefault="00470F45" w:rsidP="00470F45">
      <w:pPr>
        <w:widowControl/>
        <w:numPr>
          <w:ilvl w:val="0"/>
          <w:numId w:val="33"/>
        </w:numPr>
        <w:spacing w:after="120" w:line="276" w:lineRule="auto"/>
        <w:ind w:left="714" w:hanging="357"/>
        <w:rPr>
          <w:rFonts w:ascii="Times New Roman" w:hAnsi="Times New Roman" w:cs="Times New Roman"/>
          <w:noProof/>
          <w:sz w:val="24"/>
          <w:szCs w:val="24"/>
        </w:rPr>
      </w:pPr>
      <w:r w:rsidRPr="00470F45">
        <w:rPr>
          <w:rFonts w:ascii="Times New Roman" w:hAnsi="Times New Roman" w:cs="Times New Roman"/>
          <w:noProof/>
          <w:sz w:val="24"/>
          <w:szCs w:val="24"/>
        </w:rPr>
        <w:t>Undiagnosed genital bleeding;</w:t>
      </w:r>
    </w:p>
    <w:p w14:paraId="340B55A8" w14:textId="77777777" w:rsidR="00470F45" w:rsidRPr="00470F45" w:rsidRDefault="00470F45" w:rsidP="00470F45">
      <w:pPr>
        <w:pStyle w:val="C-BodyText"/>
        <w:numPr>
          <w:ilvl w:val="0"/>
          <w:numId w:val="33"/>
        </w:numPr>
        <w:spacing w:before="0" w:line="276" w:lineRule="auto"/>
        <w:ind w:left="714" w:hanging="357"/>
        <w:rPr>
          <w:szCs w:val="24"/>
        </w:rPr>
      </w:pPr>
      <w:r w:rsidRPr="00470F45">
        <w:rPr>
          <w:szCs w:val="24"/>
        </w:rPr>
        <w:t xml:space="preserve">Known, past or suspected breast </w:t>
      </w:r>
      <w:proofErr w:type="gramStart"/>
      <w:r w:rsidRPr="00470F45">
        <w:rPr>
          <w:szCs w:val="24"/>
        </w:rPr>
        <w:t>cancer;</w:t>
      </w:r>
      <w:proofErr w:type="gramEnd"/>
    </w:p>
    <w:p w14:paraId="31E1D7E9" w14:textId="0A9B966D" w:rsidR="00470F45" w:rsidRPr="00470F45" w:rsidRDefault="00470F45" w:rsidP="00470F45">
      <w:pPr>
        <w:pStyle w:val="C-BodyText"/>
        <w:numPr>
          <w:ilvl w:val="0"/>
          <w:numId w:val="33"/>
        </w:numPr>
        <w:spacing w:before="0" w:line="276" w:lineRule="auto"/>
        <w:ind w:left="714" w:hanging="357"/>
        <w:rPr>
          <w:szCs w:val="24"/>
        </w:rPr>
      </w:pPr>
      <w:r w:rsidRPr="00470F45">
        <w:rPr>
          <w:szCs w:val="24"/>
        </w:rPr>
        <w:t xml:space="preserve">Known or suspected </w:t>
      </w:r>
      <w:proofErr w:type="spellStart"/>
      <w:r w:rsidR="00D02706">
        <w:rPr>
          <w:szCs w:val="24"/>
        </w:rPr>
        <w:t>o</w:t>
      </w:r>
      <w:r w:rsidRPr="00470F45">
        <w:rPr>
          <w:szCs w:val="24"/>
        </w:rPr>
        <w:t>estrogen</w:t>
      </w:r>
      <w:proofErr w:type="spellEnd"/>
      <w:r w:rsidRPr="00470F45">
        <w:rPr>
          <w:szCs w:val="24"/>
        </w:rPr>
        <w:t xml:space="preserve">-dependent malignant </w:t>
      </w:r>
      <w:proofErr w:type="spellStart"/>
      <w:r w:rsidRPr="00470F45">
        <w:rPr>
          <w:szCs w:val="24"/>
        </w:rPr>
        <w:t>tumours</w:t>
      </w:r>
      <w:proofErr w:type="spellEnd"/>
      <w:r w:rsidRPr="00470F45">
        <w:rPr>
          <w:szCs w:val="24"/>
        </w:rPr>
        <w:t xml:space="preserve"> (</w:t>
      </w:r>
      <w:r w:rsidR="00A340F6" w:rsidRPr="00470F45">
        <w:rPr>
          <w:szCs w:val="24"/>
        </w:rPr>
        <w:t>e.g.,</w:t>
      </w:r>
      <w:r w:rsidRPr="00470F45">
        <w:rPr>
          <w:szCs w:val="24"/>
        </w:rPr>
        <w:t xml:space="preserve"> endometrial cancer</w:t>
      </w:r>
      <w:proofErr w:type="gramStart"/>
      <w:r w:rsidRPr="00470F45">
        <w:rPr>
          <w:szCs w:val="24"/>
        </w:rPr>
        <w:t>);</w:t>
      </w:r>
      <w:proofErr w:type="gramEnd"/>
    </w:p>
    <w:p w14:paraId="4024E33B" w14:textId="77777777" w:rsidR="00470F45" w:rsidRPr="00470F45" w:rsidRDefault="00470F45" w:rsidP="00470F45">
      <w:pPr>
        <w:pStyle w:val="C-BodyText"/>
        <w:numPr>
          <w:ilvl w:val="0"/>
          <w:numId w:val="33"/>
        </w:numPr>
        <w:spacing w:before="0" w:line="276" w:lineRule="auto"/>
        <w:ind w:left="714" w:hanging="357"/>
        <w:rPr>
          <w:szCs w:val="24"/>
        </w:rPr>
      </w:pPr>
      <w:r w:rsidRPr="00470F45">
        <w:rPr>
          <w:szCs w:val="24"/>
        </w:rPr>
        <w:t xml:space="preserve">Untreated endometrial </w:t>
      </w:r>
      <w:proofErr w:type="gramStart"/>
      <w:r w:rsidRPr="00470F45">
        <w:rPr>
          <w:szCs w:val="24"/>
        </w:rPr>
        <w:t>hyperplasia;</w:t>
      </w:r>
      <w:proofErr w:type="gramEnd"/>
    </w:p>
    <w:p w14:paraId="3AB2AED3" w14:textId="3C9EFA2B" w:rsidR="009E4373" w:rsidRPr="002840CD" w:rsidRDefault="009E4373" w:rsidP="00470F45">
      <w:pPr>
        <w:pStyle w:val="C-BodyText"/>
        <w:numPr>
          <w:ilvl w:val="0"/>
          <w:numId w:val="33"/>
        </w:numPr>
        <w:spacing w:before="0" w:line="276" w:lineRule="auto"/>
        <w:ind w:left="714" w:hanging="357"/>
        <w:rPr>
          <w:szCs w:val="24"/>
        </w:rPr>
      </w:pPr>
      <w:r w:rsidRPr="002840CD">
        <w:rPr>
          <w:szCs w:val="24"/>
        </w:rPr>
        <w:t xml:space="preserve">Known </w:t>
      </w:r>
      <w:r w:rsidRPr="008F60D3">
        <w:rPr>
          <w:szCs w:val="24"/>
        </w:rPr>
        <w:t>o</w:t>
      </w:r>
      <w:r w:rsidR="00362DD4" w:rsidRPr="008F60D3">
        <w:rPr>
          <w:szCs w:val="24"/>
        </w:rPr>
        <w:t>r</w:t>
      </w:r>
      <w:r w:rsidRPr="002840CD">
        <w:rPr>
          <w:szCs w:val="24"/>
        </w:rPr>
        <w:t xml:space="preserve"> suspected </w:t>
      </w:r>
      <w:proofErr w:type="gramStart"/>
      <w:r w:rsidRPr="002840CD">
        <w:rPr>
          <w:szCs w:val="24"/>
        </w:rPr>
        <w:t>pregnancy;</w:t>
      </w:r>
      <w:proofErr w:type="gramEnd"/>
    </w:p>
    <w:p w14:paraId="622E2340" w14:textId="52A262BC" w:rsidR="00470F45" w:rsidRPr="00470F45" w:rsidRDefault="00470F45" w:rsidP="00470F45">
      <w:pPr>
        <w:pStyle w:val="C-BodyText"/>
        <w:numPr>
          <w:ilvl w:val="0"/>
          <w:numId w:val="33"/>
        </w:numPr>
        <w:spacing w:before="0" w:line="276" w:lineRule="auto"/>
        <w:ind w:left="714" w:hanging="357"/>
        <w:rPr>
          <w:szCs w:val="24"/>
        </w:rPr>
      </w:pPr>
      <w:r w:rsidRPr="00470F45">
        <w:rPr>
          <w:szCs w:val="24"/>
        </w:rPr>
        <w:t xml:space="preserve">Acute liver disease, or a history of liver disease as long as liver function tests have failed to return to </w:t>
      </w:r>
      <w:proofErr w:type="gramStart"/>
      <w:r w:rsidRPr="00470F45">
        <w:rPr>
          <w:szCs w:val="24"/>
        </w:rPr>
        <w:t>normal;</w:t>
      </w:r>
      <w:proofErr w:type="gramEnd"/>
    </w:p>
    <w:p w14:paraId="1F0B3FC5" w14:textId="77777777" w:rsidR="00470F45" w:rsidRPr="00470F45" w:rsidRDefault="00470F45" w:rsidP="00470F45">
      <w:pPr>
        <w:pStyle w:val="C-BodyText"/>
        <w:numPr>
          <w:ilvl w:val="0"/>
          <w:numId w:val="33"/>
        </w:numPr>
        <w:spacing w:before="0" w:line="276" w:lineRule="auto"/>
        <w:ind w:left="714" w:hanging="357"/>
        <w:rPr>
          <w:szCs w:val="24"/>
        </w:rPr>
      </w:pPr>
      <w:r w:rsidRPr="00470F45">
        <w:rPr>
          <w:szCs w:val="24"/>
        </w:rPr>
        <w:t>Previous or current venous thromboembolism (VTE) (deep vein thrombosis, pulmonary embolism</w:t>
      </w:r>
      <w:proofErr w:type="gramStart"/>
      <w:r w:rsidRPr="00470F45">
        <w:rPr>
          <w:szCs w:val="24"/>
        </w:rPr>
        <w:t>);</w:t>
      </w:r>
      <w:proofErr w:type="gramEnd"/>
    </w:p>
    <w:p w14:paraId="0D9A232A" w14:textId="5BB720D5" w:rsidR="00470F45" w:rsidRPr="00470F45" w:rsidRDefault="00470F45" w:rsidP="00470F45">
      <w:pPr>
        <w:pStyle w:val="C-BodyText"/>
        <w:numPr>
          <w:ilvl w:val="0"/>
          <w:numId w:val="33"/>
        </w:numPr>
        <w:spacing w:before="0" w:line="276" w:lineRule="auto"/>
        <w:ind w:left="714" w:hanging="357"/>
        <w:rPr>
          <w:szCs w:val="24"/>
        </w:rPr>
      </w:pPr>
      <w:r w:rsidRPr="00470F45">
        <w:rPr>
          <w:szCs w:val="24"/>
        </w:rPr>
        <w:t xml:space="preserve">Known </w:t>
      </w:r>
      <w:proofErr w:type="spellStart"/>
      <w:r w:rsidRPr="00470F45">
        <w:rPr>
          <w:szCs w:val="24"/>
        </w:rPr>
        <w:t>thrombophilic</w:t>
      </w:r>
      <w:proofErr w:type="spellEnd"/>
      <w:r w:rsidRPr="00470F45">
        <w:rPr>
          <w:szCs w:val="24"/>
        </w:rPr>
        <w:t xml:space="preserve"> disorders (</w:t>
      </w:r>
      <w:r w:rsidR="00A340F6" w:rsidRPr="00470F45">
        <w:rPr>
          <w:szCs w:val="24"/>
        </w:rPr>
        <w:t>e.g.,</w:t>
      </w:r>
      <w:r w:rsidRPr="00470F45">
        <w:rPr>
          <w:szCs w:val="24"/>
        </w:rPr>
        <w:t xml:space="preserve"> protein C, protein S, or antithrombin deficiency, see section </w:t>
      </w:r>
      <w:r w:rsidR="00D04042">
        <w:rPr>
          <w:szCs w:val="24"/>
        </w:rPr>
        <w:fldChar w:fldCharType="begin"/>
      </w:r>
      <w:r w:rsidR="00D04042">
        <w:rPr>
          <w:szCs w:val="24"/>
        </w:rPr>
        <w:instrText xml:space="preserve"> REF _Ref69885430 \r \h </w:instrText>
      </w:r>
      <w:r w:rsidR="00D04042">
        <w:rPr>
          <w:szCs w:val="24"/>
        </w:rPr>
      </w:r>
      <w:r w:rsidR="00D04042">
        <w:rPr>
          <w:szCs w:val="24"/>
        </w:rPr>
        <w:fldChar w:fldCharType="separate"/>
      </w:r>
      <w:r w:rsidR="007A2C94">
        <w:rPr>
          <w:szCs w:val="24"/>
        </w:rPr>
        <w:t>4.4</w:t>
      </w:r>
      <w:r w:rsidR="00D04042">
        <w:rPr>
          <w:szCs w:val="24"/>
        </w:rPr>
        <w:fldChar w:fldCharType="end"/>
      </w:r>
      <w:r w:rsidR="00D04042">
        <w:rPr>
          <w:szCs w:val="24"/>
        </w:rPr>
        <w:t xml:space="preserve"> </w:t>
      </w:r>
      <w:r w:rsidR="00D04042">
        <w:rPr>
          <w:szCs w:val="24"/>
        </w:rPr>
        <w:fldChar w:fldCharType="begin"/>
      </w:r>
      <w:r w:rsidR="00D04042">
        <w:rPr>
          <w:szCs w:val="24"/>
        </w:rPr>
        <w:instrText xml:space="preserve"> REF _Ref69885430 \h </w:instrText>
      </w:r>
      <w:r w:rsidR="00D04042">
        <w:rPr>
          <w:szCs w:val="24"/>
        </w:rPr>
      </w:r>
      <w:r w:rsidR="00D04042">
        <w:rPr>
          <w:szCs w:val="24"/>
        </w:rPr>
        <w:fldChar w:fldCharType="separate"/>
      </w:r>
      <w:r w:rsidR="007A2C94" w:rsidRPr="003D5AFB">
        <w:t>Special warnings and precautions for use</w:t>
      </w:r>
      <w:r w:rsidR="00D04042">
        <w:rPr>
          <w:szCs w:val="24"/>
        </w:rPr>
        <w:fldChar w:fldCharType="end"/>
      </w:r>
      <w:proofErr w:type="gramStart"/>
      <w:r w:rsidRPr="00470F45">
        <w:rPr>
          <w:szCs w:val="24"/>
        </w:rPr>
        <w:t>);</w:t>
      </w:r>
      <w:proofErr w:type="gramEnd"/>
    </w:p>
    <w:p w14:paraId="6D43B761" w14:textId="7BF8FF82" w:rsidR="00470F45" w:rsidRPr="00470F45" w:rsidRDefault="00470F45" w:rsidP="00470F45">
      <w:pPr>
        <w:pStyle w:val="C-BodyText"/>
        <w:numPr>
          <w:ilvl w:val="0"/>
          <w:numId w:val="33"/>
        </w:numPr>
        <w:spacing w:before="0" w:line="276" w:lineRule="auto"/>
        <w:ind w:left="714" w:hanging="357"/>
        <w:jc w:val="left"/>
        <w:rPr>
          <w:szCs w:val="24"/>
        </w:rPr>
      </w:pPr>
      <w:r w:rsidRPr="00470F45">
        <w:rPr>
          <w:szCs w:val="24"/>
        </w:rPr>
        <w:t>Active or recent arterial thromboembolic disease (</w:t>
      </w:r>
      <w:r w:rsidR="00A340F6" w:rsidRPr="00470F45">
        <w:rPr>
          <w:szCs w:val="24"/>
        </w:rPr>
        <w:t>e.g.,</w:t>
      </w:r>
      <w:r w:rsidRPr="00470F45">
        <w:rPr>
          <w:szCs w:val="24"/>
        </w:rPr>
        <w:t xml:space="preserve"> angina, myocardial infarction</w:t>
      </w:r>
      <w:proofErr w:type="gramStart"/>
      <w:r w:rsidRPr="00470F45">
        <w:rPr>
          <w:szCs w:val="24"/>
        </w:rPr>
        <w:t>);</w:t>
      </w:r>
      <w:proofErr w:type="gramEnd"/>
    </w:p>
    <w:p w14:paraId="2BC1F676" w14:textId="59DEFC1F" w:rsidR="00BB4812" w:rsidRPr="00470F45" w:rsidRDefault="00470F45" w:rsidP="00470F45">
      <w:pPr>
        <w:pStyle w:val="ListParagraph"/>
        <w:numPr>
          <w:ilvl w:val="0"/>
          <w:numId w:val="33"/>
        </w:numPr>
        <w:ind w:left="714" w:hanging="357"/>
        <w:rPr>
          <w:rFonts w:cs="Times New Roman"/>
          <w:sz w:val="28"/>
          <w:szCs w:val="28"/>
        </w:rPr>
      </w:pPr>
      <w:r w:rsidRPr="00470F45">
        <w:rPr>
          <w:rFonts w:cs="Times New Roman"/>
        </w:rPr>
        <w:t>Porphyria</w:t>
      </w:r>
    </w:p>
    <w:p w14:paraId="175AAC6D" w14:textId="536E45DE" w:rsidR="00945623" w:rsidRPr="003D5AFB" w:rsidRDefault="00962B1E" w:rsidP="00910010">
      <w:pPr>
        <w:pStyle w:val="Heading2"/>
      </w:pPr>
      <w:bookmarkStart w:id="2" w:name="_Ref69885430"/>
      <w:r w:rsidRPr="003D5AFB">
        <w:lastRenderedPageBreak/>
        <w:t>Special warnings and precautions for use</w:t>
      </w:r>
      <w:bookmarkEnd w:id="2"/>
    </w:p>
    <w:p w14:paraId="6C36016A" w14:textId="2809BFC0" w:rsidR="008A7CD7" w:rsidRDefault="00D04042" w:rsidP="008A7CD7">
      <w:pPr>
        <w:pStyle w:val="BodyText"/>
        <w:spacing w:before="26" w:line="277" w:lineRule="auto"/>
        <w:rPr>
          <w:lang w:val="en-CA"/>
        </w:rPr>
      </w:pPr>
      <w:r w:rsidRPr="00D04042">
        <w:rPr>
          <w:lang w:val="en-CA"/>
        </w:rPr>
        <w:t xml:space="preserve">For the treatment of postmenopausal symptoms, INTRAROSA should only be initiated for symptoms that adversely affect quality of life. In all cases, a careful appraisal of the risks and benefits should be reassessed at least every 6 months (or as clinically appropriate) and INTRAROSA should only be continued </w:t>
      </w:r>
      <w:proofErr w:type="gramStart"/>
      <w:r w:rsidRPr="00D04042">
        <w:rPr>
          <w:lang w:val="en-CA"/>
        </w:rPr>
        <w:t>as long as</w:t>
      </w:r>
      <w:proofErr w:type="gramEnd"/>
      <w:r w:rsidRPr="00D04042">
        <w:rPr>
          <w:lang w:val="en-CA"/>
        </w:rPr>
        <w:t xml:space="preserve"> the benefit outweighs the risk following discussions with their doctor.</w:t>
      </w:r>
    </w:p>
    <w:p w14:paraId="190DF255" w14:textId="53FDEFD7" w:rsidR="00D04042" w:rsidRDefault="00D04042" w:rsidP="008F60D3">
      <w:pPr>
        <w:pStyle w:val="Heading3"/>
        <w:rPr>
          <w:lang w:val="en-CA"/>
        </w:rPr>
      </w:pPr>
      <w:r>
        <w:rPr>
          <w:lang w:val="en-CA"/>
        </w:rPr>
        <w:t>Medical examination/follow-up</w:t>
      </w:r>
    </w:p>
    <w:p w14:paraId="4FE6EA1D" w14:textId="1EC54730" w:rsidR="00D04042" w:rsidRDefault="00D04042" w:rsidP="00D04042">
      <w:pPr>
        <w:pStyle w:val="BodyText"/>
        <w:rPr>
          <w:lang w:val="en-CA"/>
        </w:rPr>
      </w:pPr>
      <w:r w:rsidRPr="00D04042">
        <w:rPr>
          <w:lang w:val="en-CA"/>
        </w:rPr>
        <w:t>Before initiating INTRAROSA, a complete personal and family medical history should be taken. Physical (including pelvic and breast) examination should be guided by this and by the contraindications and special warnings and precautions for use according to the decision of their doctor. During treatment, periodic check-ups are recommended of a frequency and nature adapted to the individual woman. Women should be advised what changes in their breasts should be reported to their doctor or nurse (see ‘Breast cancer’ below). Investigations, including Pap smears and blood pressure measurements should be carried out in accordance with currently accepted screening practices, modified to the clinical needs of the individual.</w:t>
      </w:r>
    </w:p>
    <w:p w14:paraId="1148CA71" w14:textId="5000FCCC" w:rsidR="00D04042" w:rsidRDefault="00D04042" w:rsidP="008F60D3">
      <w:pPr>
        <w:pStyle w:val="Heading3"/>
        <w:rPr>
          <w:lang w:val="en-CA"/>
        </w:rPr>
      </w:pPr>
      <w:r>
        <w:rPr>
          <w:lang w:val="en-CA"/>
        </w:rPr>
        <w:t xml:space="preserve">Conditions which need supervision </w:t>
      </w:r>
    </w:p>
    <w:p w14:paraId="50EEFFE4" w14:textId="694E351D" w:rsidR="00D04042" w:rsidRDefault="00D04042" w:rsidP="00D04042">
      <w:pPr>
        <w:pStyle w:val="BodyText"/>
        <w:rPr>
          <w:lang w:val="en-CA"/>
        </w:rPr>
      </w:pPr>
      <w:r w:rsidRPr="00D04042">
        <w:rPr>
          <w:lang w:val="en-CA"/>
        </w:rPr>
        <w:t xml:space="preserve">If any of the following conditions are present, have occurred previously, and/or have been aggravated during pregnancy or previous hormone treatment, the patient should be closely supervised. It should be </w:t>
      </w:r>
      <w:proofErr w:type="gramStart"/>
      <w:r w:rsidRPr="00D04042">
        <w:rPr>
          <w:lang w:val="en-CA"/>
        </w:rPr>
        <w:t>taken into account</w:t>
      </w:r>
      <w:proofErr w:type="gramEnd"/>
      <w:r w:rsidRPr="00D04042">
        <w:rPr>
          <w:lang w:val="en-CA"/>
        </w:rPr>
        <w:t xml:space="preserve"> that these conditions may recur or be aggravated during treatment with INTRAROSA, in particular:</w:t>
      </w:r>
    </w:p>
    <w:p w14:paraId="0633DE96" w14:textId="0575C82A" w:rsidR="00D04042" w:rsidRPr="00D04042" w:rsidRDefault="00D04042" w:rsidP="00D04042">
      <w:pPr>
        <w:pStyle w:val="ListParagraph"/>
        <w:rPr>
          <w:lang w:val="en-CA"/>
        </w:rPr>
      </w:pPr>
      <w:r w:rsidRPr="00D04042">
        <w:rPr>
          <w:lang w:val="en-CA"/>
        </w:rPr>
        <w:t>Leiomyoma (uterine fibroids) or endometriosis</w:t>
      </w:r>
    </w:p>
    <w:p w14:paraId="0EEEE55B" w14:textId="3A2401A1" w:rsidR="00D04042" w:rsidRPr="00D04042" w:rsidRDefault="00D04042" w:rsidP="00D04042">
      <w:pPr>
        <w:pStyle w:val="ListParagraph"/>
        <w:rPr>
          <w:lang w:val="en-CA"/>
        </w:rPr>
      </w:pPr>
      <w:r w:rsidRPr="00D04042">
        <w:rPr>
          <w:lang w:val="en-CA"/>
        </w:rPr>
        <w:t>Risk factors for thromboembolic disorders (see below)</w:t>
      </w:r>
    </w:p>
    <w:p w14:paraId="7DE184C2" w14:textId="6CD83075" w:rsidR="00D04042" w:rsidRPr="00D04042" w:rsidRDefault="00D04042" w:rsidP="00D04042">
      <w:pPr>
        <w:pStyle w:val="ListParagraph"/>
        <w:rPr>
          <w:lang w:val="en-CA"/>
        </w:rPr>
      </w:pPr>
      <w:r w:rsidRPr="00D04042">
        <w:rPr>
          <w:lang w:val="en-CA"/>
        </w:rPr>
        <w:t xml:space="preserve">Risk factors for </w:t>
      </w:r>
      <w:r w:rsidR="00D02706">
        <w:rPr>
          <w:lang w:val="en-CA"/>
        </w:rPr>
        <w:t>o</w:t>
      </w:r>
      <w:r w:rsidRPr="00D04042">
        <w:rPr>
          <w:lang w:val="en-CA"/>
        </w:rPr>
        <w:t xml:space="preserve">estrogen dependent tumours, </w:t>
      </w:r>
      <w:r w:rsidR="00A340F6" w:rsidRPr="00D04042">
        <w:rPr>
          <w:lang w:val="en-CA"/>
        </w:rPr>
        <w:t>e.g.,</w:t>
      </w:r>
      <w:r w:rsidRPr="00D04042">
        <w:rPr>
          <w:lang w:val="en-CA"/>
        </w:rPr>
        <w:t xml:space="preserve"> 1</w:t>
      </w:r>
      <w:r w:rsidRPr="00AC07D3">
        <w:rPr>
          <w:vertAlign w:val="superscript"/>
          <w:lang w:val="en-CA"/>
        </w:rPr>
        <w:t>st</w:t>
      </w:r>
      <w:r w:rsidRPr="00D04042">
        <w:rPr>
          <w:lang w:val="en-CA"/>
        </w:rPr>
        <w:t xml:space="preserve"> degree heredity for breast cancer</w:t>
      </w:r>
    </w:p>
    <w:p w14:paraId="4FAF093A" w14:textId="6F802567" w:rsidR="00D04042" w:rsidRPr="00D04042" w:rsidRDefault="00D04042" w:rsidP="00D04042">
      <w:pPr>
        <w:pStyle w:val="ListParagraph"/>
        <w:rPr>
          <w:lang w:val="en-CA"/>
        </w:rPr>
      </w:pPr>
      <w:r w:rsidRPr="00D04042">
        <w:rPr>
          <w:lang w:val="en-CA"/>
        </w:rPr>
        <w:t>Hypertension</w:t>
      </w:r>
    </w:p>
    <w:p w14:paraId="0901CE90" w14:textId="3A81151D" w:rsidR="00D04042" w:rsidRPr="00D04042" w:rsidRDefault="00D04042" w:rsidP="00D04042">
      <w:pPr>
        <w:pStyle w:val="ListParagraph"/>
        <w:rPr>
          <w:lang w:val="en-CA"/>
        </w:rPr>
      </w:pPr>
      <w:r w:rsidRPr="00D04042">
        <w:rPr>
          <w:lang w:val="en-CA"/>
        </w:rPr>
        <w:t>Liver disorders (</w:t>
      </w:r>
      <w:r w:rsidR="00A340F6" w:rsidRPr="00D04042">
        <w:rPr>
          <w:lang w:val="en-CA"/>
        </w:rPr>
        <w:t>e.g.,</w:t>
      </w:r>
      <w:r w:rsidRPr="00D04042">
        <w:rPr>
          <w:lang w:val="en-CA"/>
        </w:rPr>
        <w:t xml:space="preserve"> liver adenoma)</w:t>
      </w:r>
    </w:p>
    <w:p w14:paraId="255E31A5" w14:textId="6AB45AAA" w:rsidR="00D04042" w:rsidRPr="00D04042" w:rsidRDefault="00D04042" w:rsidP="00D04042">
      <w:pPr>
        <w:pStyle w:val="ListParagraph"/>
        <w:rPr>
          <w:lang w:val="en-CA"/>
        </w:rPr>
      </w:pPr>
      <w:r w:rsidRPr="00D04042">
        <w:rPr>
          <w:lang w:val="en-CA"/>
        </w:rPr>
        <w:t>Diabetes mellitus with or without vascular involvement</w:t>
      </w:r>
    </w:p>
    <w:p w14:paraId="29A35DC9" w14:textId="4281AA4A" w:rsidR="00D04042" w:rsidRPr="00D04042" w:rsidRDefault="00D04042" w:rsidP="00D04042">
      <w:pPr>
        <w:pStyle w:val="ListParagraph"/>
        <w:rPr>
          <w:lang w:val="en-CA"/>
        </w:rPr>
      </w:pPr>
      <w:r w:rsidRPr="00D04042">
        <w:rPr>
          <w:lang w:val="en-CA"/>
        </w:rPr>
        <w:t>Cholelithiasis</w:t>
      </w:r>
    </w:p>
    <w:p w14:paraId="7B51AF7F" w14:textId="48105D49" w:rsidR="00D04042" w:rsidRPr="00D04042" w:rsidRDefault="00D04042" w:rsidP="00D04042">
      <w:pPr>
        <w:pStyle w:val="ListParagraph"/>
        <w:rPr>
          <w:lang w:val="en-CA"/>
        </w:rPr>
      </w:pPr>
      <w:r w:rsidRPr="00D04042">
        <w:rPr>
          <w:lang w:val="en-CA"/>
        </w:rPr>
        <w:t>Migraine or (severe) headache</w:t>
      </w:r>
    </w:p>
    <w:p w14:paraId="07C6A648" w14:textId="3CDDC60F" w:rsidR="00D04042" w:rsidRPr="00D04042" w:rsidRDefault="00D04042" w:rsidP="00D04042">
      <w:pPr>
        <w:pStyle w:val="ListParagraph"/>
        <w:rPr>
          <w:lang w:val="en-CA"/>
        </w:rPr>
      </w:pPr>
      <w:r w:rsidRPr="00D04042">
        <w:rPr>
          <w:lang w:val="en-CA"/>
        </w:rPr>
        <w:t>Systemic lupus erythematosus</w:t>
      </w:r>
    </w:p>
    <w:p w14:paraId="6AE5D778" w14:textId="66DE495A" w:rsidR="00D04042" w:rsidRPr="00D04042" w:rsidRDefault="00D04042" w:rsidP="00D04042">
      <w:pPr>
        <w:pStyle w:val="ListParagraph"/>
        <w:rPr>
          <w:lang w:val="en-CA"/>
        </w:rPr>
      </w:pPr>
      <w:r w:rsidRPr="00D04042">
        <w:rPr>
          <w:lang w:val="en-CA"/>
        </w:rPr>
        <w:t>A history of endometrial hyperplasia (see below)</w:t>
      </w:r>
    </w:p>
    <w:p w14:paraId="0E880318" w14:textId="39B10595" w:rsidR="00D04042" w:rsidRPr="00D04042" w:rsidRDefault="00D04042" w:rsidP="00D04042">
      <w:pPr>
        <w:pStyle w:val="ListParagraph"/>
        <w:rPr>
          <w:lang w:val="en-CA"/>
        </w:rPr>
      </w:pPr>
      <w:r w:rsidRPr="00D04042">
        <w:rPr>
          <w:lang w:val="en-CA"/>
        </w:rPr>
        <w:t>Epilepsy</w:t>
      </w:r>
    </w:p>
    <w:p w14:paraId="12EB63CC" w14:textId="643065FA" w:rsidR="00D04042" w:rsidRPr="00D04042" w:rsidRDefault="00D04042" w:rsidP="00D04042">
      <w:pPr>
        <w:pStyle w:val="ListParagraph"/>
        <w:rPr>
          <w:lang w:val="en-CA"/>
        </w:rPr>
      </w:pPr>
      <w:r w:rsidRPr="00D04042">
        <w:rPr>
          <w:lang w:val="en-CA"/>
        </w:rPr>
        <w:t>Asthma</w:t>
      </w:r>
    </w:p>
    <w:p w14:paraId="785889ED" w14:textId="792DAFD8" w:rsidR="00D04042" w:rsidRDefault="00D04042" w:rsidP="00D04042">
      <w:pPr>
        <w:pStyle w:val="ListParagraph"/>
        <w:rPr>
          <w:lang w:val="en-CA"/>
        </w:rPr>
      </w:pPr>
      <w:r w:rsidRPr="00D04042">
        <w:rPr>
          <w:lang w:val="en-CA"/>
        </w:rPr>
        <w:t>Otosclerosis</w:t>
      </w:r>
    </w:p>
    <w:p w14:paraId="68BFF2CB" w14:textId="7956334F" w:rsidR="00D04042" w:rsidRDefault="00D04042" w:rsidP="00D04042">
      <w:pPr>
        <w:pStyle w:val="subheading4BOLD"/>
        <w:rPr>
          <w:lang w:val="en-CA"/>
        </w:rPr>
      </w:pPr>
      <w:r w:rsidRPr="00D04042">
        <w:rPr>
          <w:lang w:val="en-CA"/>
        </w:rPr>
        <w:lastRenderedPageBreak/>
        <w:t xml:space="preserve">Reasons for immediate withdrawal of therapy </w:t>
      </w:r>
    </w:p>
    <w:p w14:paraId="7AFB50B6" w14:textId="3F239757" w:rsidR="00D04042" w:rsidRDefault="00D04042" w:rsidP="00D04042">
      <w:pPr>
        <w:pStyle w:val="BodyText"/>
        <w:rPr>
          <w:lang w:val="en-CA"/>
        </w:rPr>
      </w:pPr>
      <w:r w:rsidRPr="00D04042">
        <w:rPr>
          <w:lang w:val="en-CA"/>
        </w:rPr>
        <w:t>Therapy should be discontinued in case a contraindication is discovered and in the following situation:</w:t>
      </w:r>
    </w:p>
    <w:p w14:paraId="4A76DE8A" w14:textId="370DDC1C" w:rsidR="00EC7007" w:rsidRPr="00EC7007" w:rsidRDefault="00EC7007" w:rsidP="00EC7007">
      <w:pPr>
        <w:pStyle w:val="ListParagraph"/>
        <w:rPr>
          <w:lang w:val="en-CA"/>
        </w:rPr>
      </w:pPr>
      <w:r w:rsidRPr="00EC7007">
        <w:rPr>
          <w:lang w:val="en-CA"/>
        </w:rPr>
        <w:t>Jaundice or deterioration in liver function</w:t>
      </w:r>
    </w:p>
    <w:p w14:paraId="4D443790" w14:textId="12CA0BF4" w:rsidR="00EC7007" w:rsidRPr="00EC7007" w:rsidRDefault="00EC7007" w:rsidP="00EC7007">
      <w:pPr>
        <w:pStyle w:val="ListParagraph"/>
        <w:rPr>
          <w:lang w:val="en-CA"/>
        </w:rPr>
      </w:pPr>
      <w:r w:rsidRPr="00EC7007">
        <w:rPr>
          <w:lang w:val="en-CA"/>
        </w:rPr>
        <w:t xml:space="preserve">Significant increase in blood pressure </w:t>
      </w:r>
    </w:p>
    <w:p w14:paraId="4D146A93" w14:textId="6BF32604" w:rsidR="00EC7007" w:rsidRPr="00EC7007" w:rsidRDefault="00EC7007" w:rsidP="00EC7007">
      <w:pPr>
        <w:pStyle w:val="ListParagraph"/>
        <w:rPr>
          <w:lang w:val="en-CA"/>
        </w:rPr>
      </w:pPr>
      <w:r w:rsidRPr="00EC7007">
        <w:rPr>
          <w:lang w:val="en-CA"/>
        </w:rPr>
        <w:t>New onset of migraine-type headache</w:t>
      </w:r>
    </w:p>
    <w:p w14:paraId="5371CB2E" w14:textId="23040EB5" w:rsidR="00D04042" w:rsidRPr="00D04042" w:rsidRDefault="00EC7007" w:rsidP="00EC7007">
      <w:pPr>
        <w:pStyle w:val="ListParagraph"/>
        <w:rPr>
          <w:lang w:val="en-CA"/>
        </w:rPr>
      </w:pPr>
      <w:r w:rsidRPr="00EC7007">
        <w:rPr>
          <w:lang w:val="en-CA"/>
        </w:rPr>
        <w:t>Pregnancy</w:t>
      </w:r>
    </w:p>
    <w:p w14:paraId="31B74CF4" w14:textId="79D0A34B" w:rsidR="00EC7007" w:rsidRDefault="00EC7007" w:rsidP="00EC7007">
      <w:pPr>
        <w:pStyle w:val="subheading4BOLD"/>
      </w:pPr>
      <w:r>
        <w:t xml:space="preserve">Endometrial hyperplasia and carcinoma </w:t>
      </w:r>
    </w:p>
    <w:p w14:paraId="639615B0" w14:textId="2F982B3E" w:rsidR="00EC7007" w:rsidRDefault="00D02706" w:rsidP="00EC7007">
      <w:pPr>
        <w:pStyle w:val="ListParagraph"/>
      </w:pPr>
      <w:r>
        <w:t>Oe</w:t>
      </w:r>
      <w:r w:rsidR="00EC7007">
        <w:t xml:space="preserve">strogen is a metabolite of </w:t>
      </w:r>
      <w:proofErr w:type="spellStart"/>
      <w:r w:rsidR="00EC7007">
        <w:t>prasterone</w:t>
      </w:r>
      <w:proofErr w:type="spellEnd"/>
      <w:r w:rsidR="00EC7007">
        <w:t xml:space="preserve">. In women with an intact uterus, the risk of endometrial hyperplasia and carcinoma is increased when exogenous </w:t>
      </w:r>
      <w:r>
        <w:t>o</w:t>
      </w:r>
      <w:r w:rsidR="00EC7007">
        <w:t xml:space="preserve">estrogens are administered for prolonged periods. No cases of endometrial hyperplasia have been reported in women treated for 52 weeks during the clinical studies. INTRAROSA has not been studied in women with endometrial hyperplasia. </w:t>
      </w:r>
    </w:p>
    <w:p w14:paraId="0FCAE439" w14:textId="25FDB7ED" w:rsidR="00EC7007" w:rsidRDefault="00EC7007" w:rsidP="00EC7007">
      <w:pPr>
        <w:pStyle w:val="ListParagraph"/>
      </w:pPr>
      <w:r>
        <w:t xml:space="preserve">For </w:t>
      </w:r>
      <w:r w:rsidR="00D02706">
        <w:t>o</w:t>
      </w:r>
      <w:r>
        <w:t xml:space="preserve">estrogen products for vaginal application of which the systemic exposure to </w:t>
      </w:r>
      <w:r w:rsidR="00D02706">
        <w:t>o</w:t>
      </w:r>
      <w:r>
        <w:t xml:space="preserve">estrogen remains within the normal postmenopausal range, it is not recommended to add a </w:t>
      </w:r>
      <w:r w:rsidR="003F3193">
        <w:t>progestogen</w:t>
      </w:r>
      <w:r>
        <w:t>.</w:t>
      </w:r>
    </w:p>
    <w:p w14:paraId="75A205AB" w14:textId="5002A67A" w:rsidR="00EC7007" w:rsidRDefault="00EC7007" w:rsidP="00EC7007">
      <w:pPr>
        <w:pStyle w:val="ListParagraph"/>
      </w:pPr>
      <w:r>
        <w:t xml:space="preserve">Endometrial safety of long-term of local vaginally administered </w:t>
      </w:r>
      <w:proofErr w:type="spellStart"/>
      <w:r>
        <w:t>prasterone</w:t>
      </w:r>
      <w:proofErr w:type="spellEnd"/>
      <w:r>
        <w:t xml:space="preserve"> has not been studied for more than one year. Therefore, if repeated, treatment should be reviewed at least annually. </w:t>
      </w:r>
    </w:p>
    <w:p w14:paraId="63C05C57" w14:textId="33A0B71F" w:rsidR="00EC7007" w:rsidRDefault="00EC7007" w:rsidP="00EC7007">
      <w:pPr>
        <w:pStyle w:val="ListParagraph"/>
      </w:pPr>
      <w:r>
        <w:t>If bleeding or spotting appears at any time on therapy, the reason should be investigated, which may include endometrial biopsy to exclude endometrial malignancy.</w:t>
      </w:r>
    </w:p>
    <w:p w14:paraId="54155CC5" w14:textId="3C15C376" w:rsidR="00EC7007" w:rsidRDefault="00EC7007" w:rsidP="00EC7007">
      <w:pPr>
        <w:pStyle w:val="ListParagraph"/>
      </w:pPr>
      <w:r>
        <w:t xml:space="preserve">Unopposed </w:t>
      </w:r>
      <w:r w:rsidR="00D02706">
        <w:t>o</w:t>
      </w:r>
      <w:r>
        <w:t xml:space="preserve">estrogen stimulation may lead to premalignant or malignant transformation in the residual foci of endometriosis. Therefore, caution is advised when using this product in women who have undergone hysterectomy because of endometriosis, especially if they are known to have residual endometriosis since intravaginal </w:t>
      </w:r>
      <w:proofErr w:type="spellStart"/>
      <w:r>
        <w:t>prasterone</w:t>
      </w:r>
      <w:proofErr w:type="spellEnd"/>
      <w:r>
        <w:t xml:space="preserve"> has not been studied in women with endometriosis.</w:t>
      </w:r>
    </w:p>
    <w:p w14:paraId="792372EF" w14:textId="48B227F4" w:rsidR="00EC7007" w:rsidRDefault="00EC7007" w:rsidP="00EC7007">
      <w:pPr>
        <w:pStyle w:val="BodyText"/>
        <w:rPr>
          <w:i/>
          <w:iCs/>
        </w:rPr>
      </w:pPr>
      <w:proofErr w:type="spellStart"/>
      <w:r w:rsidRPr="00EC7007">
        <w:rPr>
          <w:i/>
          <w:iCs/>
        </w:rPr>
        <w:t>Prasterone</w:t>
      </w:r>
      <w:proofErr w:type="spellEnd"/>
      <w:r w:rsidRPr="00EC7007">
        <w:rPr>
          <w:i/>
          <w:iCs/>
        </w:rPr>
        <w:t xml:space="preserve"> is metabolised into </w:t>
      </w:r>
      <w:r w:rsidR="00D02706">
        <w:rPr>
          <w:i/>
          <w:iCs/>
        </w:rPr>
        <w:t>o</w:t>
      </w:r>
      <w:r w:rsidRPr="00EC7007">
        <w:rPr>
          <w:i/>
          <w:iCs/>
        </w:rPr>
        <w:t xml:space="preserve">estrogenic compounds. The following risks have been associated with </w:t>
      </w:r>
      <w:r w:rsidRPr="00753714">
        <w:rPr>
          <w:b/>
          <w:bCs/>
          <w:i/>
          <w:iCs/>
        </w:rPr>
        <w:t>systemic</w:t>
      </w:r>
      <w:r w:rsidRPr="00EC7007">
        <w:rPr>
          <w:i/>
          <w:iCs/>
        </w:rPr>
        <w:t xml:space="preserve"> Hormone Replacement Therapy (HRT) and apply to a lesser extent for </w:t>
      </w:r>
      <w:r w:rsidR="00D02706">
        <w:rPr>
          <w:i/>
          <w:iCs/>
        </w:rPr>
        <w:t>o</w:t>
      </w:r>
      <w:r w:rsidRPr="00EC7007">
        <w:rPr>
          <w:i/>
          <w:iCs/>
        </w:rPr>
        <w:t xml:space="preserve">estrogen products for vaginal application of which the systemic exposure to the </w:t>
      </w:r>
      <w:r w:rsidR="00D02706">
        <w:rPr>
          <w:i/>
          <w:iCs/>
        </w:rPr>
        <w:t>o</w:t>
      </w:r>
      <w:r w:rsidRPr="00EC7007">
        <w:rPr>
          <w:i/>
          <w:iCs/>
        </w:rPr>
        <w:t>estrogen remains within the normal postmenopausal range. However, they should be considered in case of long term or repeated use of this product.</w:t>
      </w:r>
    </w:p>
    <w:p w14:paraId="068CEF29" w14:textId="1BD15CD3" w:rsidR="00EC7007" w:rsidRDefault="00EC7007" w:rsidP="00EC7007">
      <w:pPr>
        <w:pStyle w:val="subheading4BOLD"/>
      </w:pPr>
      <w:r>
        <w:t xml:space="preserve">Breast cancer </w:t>
      </w:r>
    </w:p>
    <w:p w14:paraId="44F1152B" w14:textId="48D94184" w:rsidR="00EC7007" w:rsidRDefault="00EC7007" w:rsidP="00EC7007">
      <w:pPr>
        <w:pStyle w:val="BodyText"/>
      </w:pPr>
      <w:r>
        <w:t xml:space="preserve">The overall evidence suggests an increased risk of breast cancer in women taking combined </w:t>
      </w:r>
      <w:r w:rsidR="00D02706">
        <w:t>o</w:t>
      </w:r>
      <w:r>
        <w:t>estrogen-</w:t>
      </w:r>
      <w:r w:rsidR="003F3193">
        <w:t>progestogen</w:t>
      </w:r>
      <w:r>
        <w:t xml:space="preserve"> and possibly also </w:t>
      </w:r>
      <w:r w:rsidR="00D02706">
        <w:t>o</w:t>
      </w:r>
      <w:r>
        <w:t>estrogen-only systemic HRT, that is dependent on the duration of taking HRT. The excess risk becomes apparent within a few years of use but returns to baseline within a few (at most five) years after stopping treatment.</w:t>
      </w:r>
    </w:p>
    <w:p w14:paraId="49E2BF40" w14:textId="25C4213B" w:rsidR="00EC7007" w:rsidRDefault="00EC7007" w:rsidP="00EC7007">
      <w:pPr>
        <w:pStyle w:val="BodyText"/>
      </w:pPr>
      <w:r>
        <w:lastRenderedPageBreak/>
        <w:t xml:space="preserve">INTRAROSA has not been studied in women with active or past breast cancer. One case of breast cancer at week 52 has been reported </w:t>
      </w:r>
      <w:r w:rsidR="00D02706">
        <w:t>i</w:t>
      </w:r>
      <w:r>
        <w:t>n 1196 women who have been exposed with the 6.5</w:t>
      </w:r>
      <w:r w:rsidR="0038427A">
        <w:t> </w:t>
      </w:r>
      <w:r>
        <w:t>mg dose which is below the incidence rate observed in the normal population of the same age.</w:t>
      </w:r>
    </w:p>
    <w:p w14:paraId="15886130" w14:textId="50A78193" w:rsidR="00EC7007" w:rsidRDefault="00EC7007" w:rsidP="00EC7007">
      <w:pPr>
        <w:pStyle w:val="subheading4BOLD"/>
      </w:pPr>
      <w:r>
        <w:t>Ovarian cancer</w:t>
      </w:r>
    </w:p>
    <w:p w14:paraId="2A4C016A" w14:textId="77777777" w:rsidR="00EC7007" w:rsidRDefault="00EC7007" w:rsidP="00EC7007">
      <w:pPr>
        <w:pStyle w:val="BodyText"/>
      </w:pPr>
      <w:r>
        <w:t>Ovarian cancer is much rarer than breast cancer.</w:t>
      </w:r>
    </w:p>
    <w:p w14:paraId="40DF12D4" w14:textId="3E3B3F76" w:rsidR="00EC7007" w:rsidRDefault="00EC7007" w:rsidP="00EC7007">
      <w:pPr>
        <w:pStyle w:val="BodyText"/>
      </w:pPr>
      <w:r>
        <w:t xml:space="preserve">Epidemiological evidence from a large meta-analysis suggests a slightly increased risk in women taking </w:t>
      </w:r>
      <w:r w:rsidR="00D02706">
        <w:t>o</w:t>
      </w:r>
      <w:r>
        <w:t>estrogen-only systemic HRT, which becomes apparent within 5 years of use and diminishes over time after stopping.</w:t>
      </w:r>
    </w:p>
    <w:p w14:paraId="4522D41F" w14:textId="2B8D5008" w:rsidR="00EC7007" w:rsidRDefault="00EC7007" w:rsidP="00EC7007">
      <w:pPr>
        <w:pStyle w:val="BodyText"/>
      </w:pPr>
      <w:r>
        <w:t xml:space="preserve">INTRAROSA has not been studied in women with active or past ovarian cancer. One </w:t>
      </w:r>
      <w:r w:rsidR="00D02706">
        <w:t>c</w:t>
      </w:r>
      <w:r>
        <w:t xml:space="preserve">ase of ovarian cancer has been reported </w:t>
      </w:r>
      <w:r w:rsidR="00D02706">
        <w:t>i</w:t>
      </w:r>
      <w:r>
        <w:t>n 1196 women who have been exposed with the 6.5</w:t>
      </w:r>
      <w:r w:rsidR="0038427A">
        <w:t> </w:t>
      </w:r>
      <w:r>
        <w:t>mg dose which is above the incidence rate observed in the normal population of the same age. Of note, this case was present before start of treatment and was bearing a BRCA1 mutation.</w:t>
      </w:r>
    </w:p>
    <w:p w14:paraId="57C200B2" w14:textId="39CDC8A5" w:rsidR="00EC7007" w:rsidRDefault="00EC7007" w:rsidP="00EC7007">
      <w:pPr>
        <w:pStyle w:val="subheading4BOLD"/>
      </w:pPr>
      <w:r>
        <w:t>Abnormal Pap smear</w:t>
      </w:r>
    </w:p>
    <w:p w14:paraId="26972BF9" w14:textId="751D4DFC" w:rsidR="00EC7007" w:rsidRDefault="00EC7007" w:rsidP="00EC7007">
      <w:pPr>
        <w:pStyle w:val="BodyText"/>
      </w:pPr>
      <w:r w:rsidRPr="00EC7007">
        <w:t>INTRAROSA has not been studied in women with abnormal Pap smears (Atypical Squamous Cells of Undetermined Significance (ASCUS)) or worse. Cases of abnormal Pap smears corresponding to ASCUS or Low Grade Squamous Intraepithelial Lesion (LSIL) have been reported in women treated with the 6.5 mg dose (common frequency).</w:t>
      </w:r>
    </w:p>
    <w:p w14:paraId="0045AC92" w14:textId="6B429954" w:rsidR="00EC7007" w:rsidRDefault="00EC7007" w:rsidP="00EC7007">
      <w:pPr>
        <w:pStyle w:val="subheading4BOLD"/>
      </w:pPr>
      <w:r>
        <w:t xml:space="preserve">Venous thromboembolism </w:t>
      </w:r>
    </w:p>
    <w:p w14:paraId="6B6B3337" w14:textId="77777777" w:rsidR="00EC7007" w:rsidRDefault="00EC7007" w:rsidP="00EC7007">
      <w:pPr>
        <w:pStyle w:val="BodyText"/>
      </w:pPr>
      <w:r>
        <w:t xml:space="preserve">INTRAROSA has not been studied in women with current or previous venous thromboembolic disease. </w:t>
      </w:r>
    </w:p>
    <w:p w14:paraId="39C8E705" w14:textId="66CCBB5F" w:rsidR="00EC7007" w:rsidRDefault="00EC7007" w:rsidP="00EC7007">
      <w:pPr>
        <w:pStyle w:val="ListParagraph"/>
      </w:pPr>
      <w:r>
        <w:t xml:space="preserve">Systemic HRT is associated with a </w:t>
      </w:r>
      <w:r w:rsidR="0038427A">
        <w:t>1.3-3-fold</w:t>
      </w:r>
      <w:r>
        <w:t xml:space="preserve"> risk of developing venous thromboembolism (VTE), </w:t>
      </w:r>
      <w:r w:rsidR="0038427A">
        <w:t>i.e.,</w:t>
      </w:r>
      <w:r>
        <w:t xml:space="preserve"> deep vein thrombosis or pulmonary embolism. The occurrence of such an event is more likely in the first year of HRT than later (see section </w:t>
      </w:r>
      <w:r>
        <w:fldChar w:fldCharType="begin"/>
      </w:r>
      <w:r>
        <w:instrText xml:space="preserve"> REF _Ref90377502 \r \h </w:instrText>
      </w:r>
      <w:r>
        <w:fldChar w:fldCharType="separate"/>
      </w:r>
      <w:r w:rsidR="007A2C94">
        <w:t>4.8</w:t>
      </w:r>
      <w:r>
        <w:fldChar w:fldCharType="end"/>
      </w:r>
      <w:r>
        <w:t xml:space="preserve"> </w:t>
      </w:r>
      <w:r>
        <w:fldChar w:fldCharType="begin"/>
      </w:r>
      <w:r>
        <w:instrText xml:space="preserve"> REF _Ref90377502 \h </w:instrText>
      </w:r>
      <w:r>
        <w:fldChar w:fldCharType="separate"/>
      </w:r>
      <w:r w:rsidR="007A2C94" w:rsidRPr="003D5AFB">
        <w:t>Adverse effects (Undesirable effects)</w:t>
      </w:r>
      <w:r>
        <w:fldChar w:fldCharType="end"/>
      </w:r>
      <w:r>
        <w:t>).</w:t>
      </w:r>
    </w:p>
    <w:p w14:paraId="5572F78D" w14:textId="36ECA8C0" w:rsidR="00EC7007" w:rsidRDefault="00EC7007" w:rsidP="00EC7007">
      <w:pPr>
        <w:pStyle w:val="ListParagraph"/>
      </w:pPr>
      <w:r>
        <w:t xml:space="preserve">Patients with known </w:t>
      </w:r>
      <w:proofErr w:type="spellStart"/>
      <w:r>
        <w:t>thrombophilic</w:t>
      </w:r>
      <w:proofErr w:type="spellEnd"/>
      <w:r>
        <w:t xml:space="preserve"> states have an increased risk of VTE and HRT may add to this risk. HRT is therefore contraindicated in these patients (see section </w:t>
      </w:r>
      <w:r>
        <w:fldChar w:fldCharType="begin"/>
      </w:r>
      <w:r>
        <w:instrText xml:space="preserve"> REF _Ref69885839 \r \h </w:instrText>
      </w:r>
      <w:r>
        <w:fldChar w:fldCharType="separate"/>
      </w:r>
      <w:r w:rsidR="007A2C94">
        <w:t>4.3</w:t>
      </w:r>
      <w:r>
        <w:fldChar w:fldCharType="end"/>
      </w:r>
      <w:r>
        <w:t xml:space="preserve"> </w:t>
      </w:r>
      <w:r>
        <w:fldChar w:fldCharType="begin"/>
      </w:r>
      <w:r>
        <w:instrText xml:space="preserve"> REF _Ref69885839 \h </w:instrText>
      </w:r>
      <w:r>
        <w:fldChar w:fldCharType="separate"/>
      </w:r>
      <w:r w:rsidR="007A2C94" w:rsidRPr="003D5AFB">
        <w:t>Contraindications</w:t>
      </w:r>
      <w:r>
        <w:fldChar w:fldCharType="end"/>
      </w:r>
      <w:r>
        <w:t>).</w:t>
      </w:r>
    </w:p>
    <w:p w14:paraId="20988EEA" w14:textId="77777777" w:rsidR="00EC7007" w:rsidRDefault="00EC7007" w:rsidP="00EC7007">
      <w:pPr>
        <w:pStyle w:val="ListParagraph"/>
      </w:pPr>
      <w:r>
        <w:t>Generally recognised risk factors for VTE include, use of oestrogens, older age, major surgery, prolonged immobilisation, obesity (BMI &gt; 30 kg/m</w:t>
      </w:r>
      <w:r w:rsidRPr="00753714">
        <w:rPr>
          <w:vertAlign w:val="superscript"/>
        </w:rPr>
        <w:t>2</w:t>
      </w:r>
      <w:r>
        <w:t>), pregnancy/postpartum period, systemic lupus erythematosus (SLE), and cancer. There is no consensus about the possible role of varicose veins in VTE.</w:t>
      </w:r>
    </w:p>
    <w:p w14:paraId="00CA6089" w14:textId="77777777" w:rsidR="00EC7007" w:rsidRDefault="00EC7007" w:rsidP="00EC7007">
      <w:pPr>
        <w:pStyle w:val="ListParagraph"/>
        <w:numPr>
          <w:ilvl w:val="0"/>
          <w:numId w:val="0"/>
        </w:numPr>
        <w:ind w:left="720"/>
      </w:pPr>
      <w:r>
        <w:t>As in all postoperative patients, prophylactic measures need be considered to prevent VTE following surgery. If prolonged immobilisation is to follow elective surgery temporarily stopping HRT 4 to 6 weeks earlier is recommended. Treatment should not be restarted until the woman is completely mobilised.</w:t>
      </w:r>
    </w:p>
    <w:p w14:paraId="13B8A028" w14:textId="77777777" w:rsidR="00EC7007" w:rsidRDefault="00EC7007" w:rsidP="00EC7007">
      <w:pPr>
        <w:pStyle w:val="ListParagraph"/>
      </w:pPr>
      <w:r>
        <w:lastRenderedPageBreak/>
        <w:t xml:space="preserve">In women with no personal history of VTE but with a first degree relative with a history of thrombosis at young age, screening may be offered after careful counselling regarding its limitations (only a proportion of </w:t>
      </w:r>
      <w:proofErr w:type="spellStart"/>
      <w:r>
        <w:t>thrombophilic</w:t>
      </w:r>
      <w:proofErr w:type="spellEnd"/>
      <w:r>
        <w:t xml:space="preserve"> defects are identified by screening).</w:t>
      </w:r>
    </w:p>
    <w:p w14:paraId="54F96AEE" w14:textId="36E4D0BF" w:rsidR="00EC7007" w:rsidRDefault="00EC7007" w:rsidP="00EC7007">
      <w:pPr>
        <w:pStyle w:val="ListParagraph"/>
        <w:numPr>
          <w:ilvl w:val="0"/>
          <w:numId w:val="0"/>
        </w:numPr>
        <w:ind w:left="720"/>
      </w:pPr>
      <w:r>
        <w:t xml:space="preserve">If a </w:t>
      </w:r>
      <w:proofErr w:type="spellStart"/>
      <w:r>
        <w:t>thrombophilic</w:t>
      </w:r>
      <w:proofErr w:type="spellEnd"/>
      <w:r>
        <w:t xml:space="preserve"> defect is identified which segregates with thrombosis in family members or if the defect is ‘severe’ (</w:t>
      </w:r>
      <w:r w:rsidR="00753714">
        <w:t>e.g.</w:t>
      </w:r>
      <w:r>
        <w:t>, antithrombin, protein S, or protein C deficiencies or a combination of defects) HRT is contraindicated.</w:t>
      </w:r>
    </w:p>
    <w:p w14:paraId="07E71482" w14:textId="77777777" w:rsidR="00EC7007" w:rsidRDefault="00EC7007" w:rsidP="00EC7007">
      <w:pPr>
        <w:pStyle w:val="ListParagraph"/>
      </w:pPr>
      <w:r>
        <w:t>Women already on chronic anticoagulant treatment require careful consideration of the benefit-risk of use of HRT.</w:t>
      </w:r>
    </w:p>
    <w:p w14:paraId="756E0055" w14:textId="0FE57BBD" w:rsidR="00EC7007" w:rsidRDefault="00EC7007" w:rsidP="00EC7007">
      <w:pPr>
        <w:pStyle w:val="ListParagraph"/>
      </w:pPr>
      <w:r>
        <w:t>If VTE develops after initiating therapy, INTRAROSA should be discontinued. Patients should be told to contact their doctors immediately when they are aware of a potential thromboembolic symptom (</w:t>
      </w:r>
      <w:r w:rsidR="00753714">
        <w:t>e.g.,</w:t>
      </w:r>
      <w:r>
        <w:t xml:space="preserve"> painful swelling of a leg, sudden pain in the chest, dyspnoea).</w:t>
      </w:r>
    </w:p>
    <w:p w14:paraId="75011E14" w14:textId="470A6A9C" w:rsidR="00EC7007" w:rsidRDefault="00EC7007" w:rsidP="00EC7007">
      <w:pPr>
        <w:pStyle w:val="BodyText"/>
      </w:pPr>
      <w:r>
        <w:t>One case of pulmonary embolism has been reported in the 6.5 mg group and one in the placebo group during clinical studies.</w:t>
      </w:r>
    </w:p>
    <w:p w14:paraId="75A8C307" w14:textId="4392BB28" w:rsidR="00EC7007" w:rsidRDefault="00EC7007" w:rsidP="00EC7007">
      <w:pPr>
        <w:pStyle w:val="subheading4BOLD"/>
      </w:pPr>
      <w:r>
        <w:t xml:space="preserve">Coronary artery disease (CAD)/Hypertension </w:t>
      </w:r>
    </w:p>
    <w:p w14:paraId="6F22C7F8" w14:textId="487F4002" w:rsidR="00EC7007" w:rsidRDefault="00EC7007" w:rsidP="00EC7007">
      <w:pPr>
        <w:pStyle w:val="BodyText"/>
      </w:pPr>
      <w:r w:rsidRPr="00EC7007">
        <w:t>INTRAROSA has not been studied in women with uncontrolled hypertension (blood pressure above 140/90 mmHg) and cardiovascular disease. Cases of hypertension have been reported in clinical studies with an uncommon frequency and similar incidence rates were observed in both groups (6.5</w:t>
      </w:r>
      <w:r w:rsidR="0038427A">
        <w:t> </w:t>
      </w:r>
      <w:r w:rsidRPr="00EC7007">
        <w:t xml:space="preserve">mg </w:t>
      </w:r>
      <w:proofErr w:type="spellStart"/>
      <w:r w:rsidRPr="00EC7007">
        <w:t>prasterone</w:t>
      </w:r>
      <w:proofErr w:type="spellEnd"/>
      <w:r w:rsidRPr="00EC7007">
        <w:t xml:space="preserve"> and placebo). No case of coronary artery disease has been reported during clinical studies.</w:t>
      </w:r>
    </w:p>
    <w:p w14:paraId="56275989" w14:textId="01CEC853" w:rsidR="00EC7007" w:rsidRDefault="00EC7007" w:rsidP="00EC7007">
      <w:pPr>
        <w:pStyle w:val="subheading4BOLD"/>
      </w:pPr>
      <w:r>
        <w:t>Ischaemic stroke</w:t>
      </w:r>
    </w:p>
    <w:p w14:paraId="6119A965" w14:textId="656ACBD4" w:rsidR="00EC7007" w:rsidRDefault="00EC7007" w:rsidP="00EC7007">
      <w:pPr>
        <w:pStyle w:val="BodyText"/>
      </w:pPr>
      <w:r>
        <w:t xml:space="preserve">Systemic </w:t>
      </w:r>
      <w:r w:rsidR="00D02706">
        <w:t>o</w:t>
      </w:r>
      <w:r>
        <w:t xml:space="preserve">estrogen-only therapy is associated with an up to 1.5-fold increase in risk of ischaemic stroke. The relative risk does not change with age or time since menopause. However, as the baseline risk of stroke is strongly age-dependent, the overall risk of stroke in women who use HRT will increase with age (see section </w:t>
      </w:r>
      <w:r>
        <w:fldChar w:fldCharType="begin"/>
      </w:r>
      <w:r>
        <w:instrText xml:space="preserve"> REF _Ref90377502 \r \h </w:instrText>
      </w:r>
      <w:r>
        <w:fldChar w:fldCharType="separate"/>
      </w:r>
      <w:r w:rsidR="007A2C94">
        <w:t>4.8</w:t>
      </w:r>
      <w:r>
        <w:fldChar w:fldCharType="end"/>
      </w:r>
      <w:r>
        <w:t xml:space="preserve"> </w:t>
      </w:r>
      <w:r>
        <w:fldChar w:fldCharType="begin"/>
      </w:r>
      <w:r>
        <w:instrText xml:space="preserve"> REF _Ref90377502 \h </w:instrText>
      </w:r>
      <w:r>
        <w:fldChar w:fldCharType="separate"/>
      </w:r>
      <w:r w:rsidR="007A2C94" w:rsidRPr="003D5AFB">
        <w:t>Adverse effects (Undesirable effects)</w:t>
      </w:r>
      <w:r>
        <w:fldChar w:fldCharType="end"/>
      </w:r>
      <w:r>
        <w:t>).</w:t>
      </w:r>
    </w:p>
    <w:p w14:paraId="74E7CA34" w14:textId="146308B1" w:rsidR="00EC7007" w:rsidRDefault="00EC7007" w:rsidP="00EC7007">
      <w:pPr>
        <w:pStyle w:val="BodyText"/>
      </w:pPr>
      <w:r>
        <w:t>INTRAROSA has not been studied in women with current or previous arterial thromboembolic disease. No cases of arterial thromboembolic disease have been reported during clinical studies.</w:t>
      </w:r>
    </w:p>
    <w:p w14:paraId="36512287" w14:textId="01DF7A56" w:rsidR="00EC7007" w:rsidRDefault="00EC7007" w:rsidP="008F60D3">
      <w:pPr>
        <w:pStyle w:val="Heading3"/>
      </w:pPr>
      <w:r>
        <w:t xml:space="preserve">Other conditions observed with </w:t>
      </w:r>
      <w:proofErr w:type="gramStart"/>
      <w:r>
        <w:t>HRT</w:t>
      </w:r>
      <w:proofErr w:type="gramEnd"/>
    </w:p>
    <w:p w14:paraId="56EA2705" w14:textId="15628254" w:rsidR="002D2653" w:rsidRDefault="001F5B36" w:rsidP="002D2653">
      <w:pPr>
        <w:pStyle w:val="ListParagraph"/>
      </w:pPr>
      <w:r>
        <w:t>O</w:t>
      </w:r>
      <w:r w:rsidR="00D02706">
        <w:t>e</w:t>
      </w:r>
      <w:r w:rsidR="002D2653">
        <w:t>strogens may cause fluid retention, and therefore patients with cardiac or renal dysfunction should be carefully observed.</w:t>
      </w:r>
    </w:p>
    <w:p w14:paraId="6FE7D7C2" w14:textId="300BBC3B" w:rsidR="002D2653" w:rsidRDefault="002D2653" w:rsidP="002D2653">
      <w:pPr>
        <w:pStyle w:val="ListParagraph"/>
      </w:pPr>
      <w:r>
        <w:t xml:space="preserve">Women with pre-existing </w:t>
      </w:r>
      <w:proofErr w:type="spellStart"/>
      <w:r>
        <w:t>hypertriglyceridaemia</w:t>
      </w:r>
      <w:proofErr w:type="spellEnd"/>
      <w:r>
        <w:t xml:space="preserve"> should be followed closely during </w:t>
      </w:r>
      <w:r w:rsidR="00D02706">
        <w:t>o</w:t>
      </w:r>
      <w:r>
        <w:t xml:space="preserve">estrogen replacement or HRT, since rare cases of large increases of plasma triglycerides leading to pancreatitis have been reported with </w:t>
      </w:r>
      <w:r w:rsidR="00D02706">
        <w:t>o</w:t>
      </w:r>
      <w:r>
        <w:t>estrogen therapy in this condition.</w:t>
      </w:r>
    </w:p>
    <w:p w14:paraId="2C4D31BA" w14:textId="3E3E8162" w:rsidR="002D2653" w:rsidRDefault="00D02706" w:rsidP="002D2653">
      <w:pPr>
        <w:pStyle w:val="ListParagraph"/>
      </w:pPr>
      <w:r>
        <w:t>Oe</w:t>
      </w:r>
      <w:r w:rsidR="002D2653">
        <w:t xml:space="preserve">strogens increase thyroid binding globulin (TBG), leading to increased circulating total thyroid hormone, as measured by protein-bound iodine (PBI), T4 levels (by column or by </w:t>
      </w:r>
      <w:proofErr w:type="gramStart"/>
      <w:r w:rsidR="002D2653">
        <w:t>radio-immunoassay</w:t>
      </w:r>
      <w:proofErr w:type="gramEnd"/>
      <w:r w:rsidR="002D2653">
        <w:t xml:space="preserve">) or T3 levels (by radio-immunoassay). T3 resin uptake is decreased, </w:t>
      </w:r>
      <w:r w:rsidR="002D2653">
        <w:lastRenderedPageBreak/>
        <w:t xml:space="preserve">reflecting the elevated TBG. Free T4 and free T3 concentrations are unaltered. Other binding proteins may be elevated in serum, </w:t>
      </w:r>
      <w:r w:rsidR="00753714">
        <w:t>i.e.,</w:t>
      </w:r>
      <w:r w:rsidR="002D2653">
        <w:t xml:space="preserve"> corticoid binding globulin (CBG), sex-hormone-binding globulin (SHBG) leading to increased circulating corticosteroids and sex steroids, respectively. Free or biological active hormone concentrations are unchanged. Other plasma proteins may be increased (angiotensinogen/renin substrate, alpha-I-antitrypsin, ceruloplasmin).</w:t>
      </w:r>
    </w:p>
    <w:p w14:paraId="7564E318" w14:textId="405A7554" w:rsidR="00EC7007" w:rsidRDefault="002D2653" w:rsidP="002D2653">
      <w:pPr>
        <w:pStyle w:val="ListParagraph"/>
      </w:pPr>
      <w:r>
        <w:t xml:space="preserve">HRT use does not improve cognitive function. There is some evidence of increased risk of probable dementia in women who start using continuous combined or </w:t>
      </w:r>
      <w:r w:rsidR="00D02706">
        <w:t>o</w:t>
      </w:r>
      <w:r>
        <w:t>estrogen-only HRT after the age of 65.</w:t>
      </w:r>
    </w:p>
    <w:p w14:paraId="770FC539" w14:textId="6FABE1DC" w:rsidR="00962B1E" w:rsidRPr="003D5AFB" w:rsidRDefault="002D2653" w:rsidP="002D2653">
      <w:pPr>
        <w:pStyle w:val="BodyText"/>
      </w:pPr>
      <w:r w:rsidRPr="002D2653">
        <w:t>None of these conditions has been observed with INTRAROSA during the clinical studies.</w:t>
      </w:r>
    </w:p>
    <w:p w14:paraId="638413D3" w14:textId="68778CC9" w:rsidR="006D1121" w:rsidRPr="003D5AFB" w:rsidRDefault="006D1121" w:rsidP="002D2653">
      <w:pPr>
        <w:pStyle w:val="BodyText"/>
        <w:rPr>
          <w:lang w:val="en"/>
        </w:rPr>
      </w:pPr>
      <w:r w:rsidRPr="003D5AFB">
        <w:rPr>
          <w:lang w:val="en"/>
        </w:rPr>
        <w:t xml:space="preserve">Women should undergo regular </w:t>
      </w:r>
      <w:proofErr w:type="spellStart"/>
      <w:r w:rsidRPr="003D5AFB">
        <w:rPr>
          <w:lang w:val="en"/>
        </w:rPr>
        <w:t>gyn</w:t>
      </w:r>
      <w:r w:rsidR="00B86262">
        <w:rPr>
          <w:lang w:val="en"/>
        </w:rPr>
        <w:t>a</w:t>
      </w:r>
      <w:r w:rsidRPr="003D5AFB">
        <w:rPr>
          <w:lang w:val="en"/>
        </w:rPr>
        <w:t>ecological</w:t>
      </w:r>
      <w:proofErr w:type="spellEnd"/>
      <w:r w:rsidRPr="003D5AFB">
        <w:rPr>
          <w:lang w:val="en"/>
        </w:rPr>
        <w:t xml:space="preserve"> and breast exams according to current Australian guidelines.</w:t>
      </w:r>
    </w:p>
    <w:p w14:paraId="5CF9845B" w14:textId="421AA662" w:rsidR="006D1121" w:rsidRPr="003D5AFB" w:rsidRDefault="006D1121" w:rsidP="002D2653">
      <w:pPr>
        <w:pStyle w:val="BodyText"/>
        <w:rPr>
          <w:lang w:val="en"/>
        </w:rPr>
      </w:pPr>
      <w:r w:rsidRPr="003D5AFB">
        <w:rPr>
          <w:lang w:val="en"/>
        </w:rPr>
        <w:t xml:space="preserve">Women with vaginal infection should be treated with appropriate antimicrobial therapy before starting </w:t>
      </w:r>
      <w:r w:rsidR="008A7CD7" w:rsidRPr="003D5AFB">
        <w:rPr>
          <w:lang w:val="en"/>
        </w:rPr>
        <w:t>INTRAROSA</w:t>
      </w:r>
      <w:r w:rsidRPr="003D5AFB">
        <w:rPr>
          <w:lang w:val="en"/>
        </w:rPr>
        <w:t xml:space="preserve">. </w:t>
      </w:r>
    </w:p>
    <w:p w14:paraId="5C5A2BB3" w14:textId="714EAB95" w:rsidR="006D1121" w:rsidRDefault="002D2653" w:rsidP="002D2653">
      <w:pPr>
        <w:pStyle w:val="BodyText"/>
      </w:pPr>
      <w:bookmarkStart w:id="3" w:name="_Hlk105752791"/>
      <w:r>
        <w:rPr>
          <w:lang w:val="en"/>
        </w:rPr>
        <w:t>Due to t</w:t>
      </w:r>
      <w:r w:rsidR="006D1121" w:rsidRPr="003D5AFB">
        <w:rPr>
          <w:lang w:val="en"/>
        </w:rPr>
        <w:t>he melting of the hard fat</w:t>
      </w:r>
      <w:r>
        <w:rPr>
          <w:lang w:val="en"/>
        </w:rPr>
        <w:t xml:space="preserve"> base</w:t>
      </w:r>
      <w:r w:rsidR="006D1121" w:rsidRPr="003D5AFB">
        <w:rPr>
          <w:lang w:val="en"/>
        </w:rPr>
        <w:t xml:space="preserve">, </w:t>
      </w:r>
      <w:r>
        <w:rPr>
          <w:lang w:val="en"/>
        </w:rPr>
        <w:t xml:space="preserve">added to an expected </w:t>
      </w:r>
      <w:r w:rsidR="006D1121" w:rsidRPr="003D5AFB">
        <w:rPr>
          <w:lang w:val="en"/>
        </w:rPr>
        <w:t>increase</w:t>
      </w:r>
      <w:r>
        <w:rPr>
          <w:lang w:val="en"/>
        </w:rPr>
        <w:t xml:space="preserve"> in</w:t>
      </w:r>
      <w:r w:rsidR="006D1121" w:rsidRPr="003D5AFB">
        <w:rPr>
          <w:lang w:val="en"/>
        </w:rPr>
        <w:t xml:space="preserve"> vaginal secretions</w:t>
      </w:r>
      <w:r>
        <w:rPr>
          <w:lang w:val="en"/>
        </w:rPr>
        <w:t xml:space="preserve"> due to treatment, </w:t>
      </w:r>
      <w:r w:rsidR="006D1121" w:rsidRPr="003D5AFB">
        <w:rPr>
          <w:lang w:val="en"/>
        </w:rPr>
        <w:t>vaginal discharge</w:t>
      </w:r>
      <w:bookmarkEnd w:id="3"/>
      <w:r>
        <w:rPr>
          <w:lang w:val="en"/>
        </w:rPr>
        <w:t xml:space="preserve"> can occur although it does not require a stop to INTRAROSA </w:t>
      </w:r>
      <w:r>
        <w:t xml:space="preserve">(see section </w:t>
      </w:r>
      <w:r>
        <w:fldChar w:fldCharType="begin"/>
      </w:r>
      <w:r>
        <w:instrText xml:space="preserve"> REF _Ref90377502 \r \h </w:instrText>
      </w:r>
      <w:r>
        <w:fldChar w:fldCharType="separate"/>
      </w:r>
      <w:r w:rsidR="007A2C94">
        <w:t>4.8</w:t>
      </w:r>
      <w:r>
        <w:fldChar w:fldCharType="end"/>
      </w:r>
      <w:r>
        <w:t xml:space="preserve"> </w:t>
      </w:r>
      <w:r>
        <w:fldChar w:fldCharType="begin"/>
      </w:r>
      <w:r>
        <w:instrText xml:space="preserve"> REF _Ref90377502 \h </w:instrText>
      </w:r>
      <w:r>
        <w:fldChar w:fldCharType="separate"/>
      </w:r>
      <w:r w:rsidR="007A2C94" w:rsidRPr="003D5AFB">
        <w:t>Adverse effects (Undesirable effects)</w:t>
      </w:r>
      <w:r>
        <w:fldChar w:fldCharType="end"/>
      </w:r>
      <w:r>
        <w:t>).</w:t>
      </w:r>
    </w:p>
    <w:p w14:paraId="5A32A7CD" w14:textId="77777777" w:rsidR="002D2653" w:rsidRPr="002D2653" w:rsidRDefault="002D2653" w:rsidP="002D2653">
      <w:pPr>
        <w:pStyle w:val="BodyText"/>
        <w:rPr>
          <w:lang w:val="en"/>
        </w:rPr>
      </w:pPr>
      <w:r w:rsidRPr="002D2653">
        <w:rPr>
          <w:lang w:val="en"/>
        </w:rPr>
        <w:t>Use of INTRAROSA with condoms, diaphragms or cervical caps made of latex must be avoided since the rubber may be damaged by the preparation.</w:t>
      </w:r>
    </w:p>
    <w:p w14:paraId="0C3960F6" w14:textId="4C368313" w:rsidR="002D2653" w:rsidRPr="003D5AFB" w:rsidRDefault="002D2653" w:rsidP="002D2653">
      <w:pPr>
        <w:pStyle w:val="BodyText"/>
        <w:rPr>
          <w:lang w:val="en"/>
        </w:rPr>
      </w:pPr>
      <w:r w:rsidRPr="002D2653">
        <w:rPr>
          <w:lang w:val="en"/>
        </w:rPr>
        <w:t>INTRAROSA has not been studied in women with a current hormonal treatment: HRT (</w:t>
      </w:r>
      <w:proofErr w:type="spellStart"/>
      <w:r w:rsidR="00D02706">
        <w:rPr>
          <w:lang w:val="en"/>
        </w:rPr>
        <w:t>o</w:t>
      </w:r>
      <w:r w:rsidRPr="002D2653">
        <w:rPr>
          <w:lang w:val="en"/>
        </w:rPr>
        <w:t>estrogens</w:t>
      </w:r>
      <w:proofErr w:type="spellEnd"/>
      <w:r w:rsidRPr="002D2653">
        <w:rPr>
          <w:lang w:val="en"/>
        </w:rPr>
        <w:t xml:space="preserve"> alone or combined with progestogens) or androgens treatment</w:t>
      </w:r>
      <w:r w:rsidR="001F5B36">
        <w:rPr>
          <w:lang w:val="en"/>
        </w:rPr>
        <w:t>.</w:t>
      </w:r>
    </w:p>
    <w:p w14:paraId="27263B2D" w14:textId="37C864EE" w:rsidR="00962B1E" w:rsidRPr="003D5AFB" w:rsidRDefault="00945623" w:rsidP="008F60D3">
      <w:pPr>
        <w:pStyle w:val="Heading3"/>
      </w:pPr>
      <w:r w:rsidRPr="003D5AFB">
        <w:t xml:space="preserve">Use in hepatic </w:t>
      </w:r>
      <w:proofErr w:type="gramStart"/>
      <w:r w:rsidRPr="003D5AFB">
        <w:t>impairment</w:t>
      </w:r>
      <w:proofErr w:type="gramEnd"/>
    </w:p>
    <w:p w14:paraId="1DD4DCA6" w14:textId="60786141" w:rsidR="00945623" w:rsidRPr="003D5AFB" w:rsidRDefault="008E2AB7" w:rsidP="004E340A">
      <w:pPr>
        <w:pStyle w:val="BodyText"/>
      </w:pPr>
      <w:r w:rsidRPr="003D5AFB">
        <w:t xml:space="preserve">No dose adjustment is required in case of hepatic impairment. The </w:t>
      </w:r>
      <w:r w:rsidR="0080425F" w:rsidRPr="003D5AFB">
        <w:t xml:space="preserve">pharmacokinetics </w:t>
      </w:r>
      <w:r w:rsidRPr="003D5AFB">
        <w:t xml:space="preserve">of </w:t>
      </w:r>
      <w:proofErr w:type="spellStart"/>
      <w:r w:rsidRPr="003D5AFB">
        <w:t>prasterone</w:t>
      </w:r>
      <w:proofErr w:type="spellEnd"/>
      <w:r w:rsidRPr="003D5AFB">
        <w:t xml:space="preserve"> ha</w:t>
      </w:r>
      <w:r w:rsidR="00C378D5" w:rsidRPr="003D5AFB">
        <w:t>ve</w:t>
      </w:r>
      <w:r w:rsidRPr="003D5AFB">
        <w:t xml:space="preserve"> not been studied in these patients</w:t>
      </w:r>
      <w:r w:rsidR="00945623" w:rsidRPr="003D5AFB">
        <w:t>.</w:t>
      </w:r>
    </w:p>
    <w:p w14:paraId="2F3A5F39" w14:textId="6A124759" w:rsidR="00962B1E" w:rsidRPr="003D5AFB" w:rsidRDefault="00962B1E" w:rsidP="008F60D3">
      <w:pPr>
        <w:pStyle w:val="Heading3"/>
      </w:pPr>
      <w:r w:rsidRPr="003D5AFB">
        <w:t xml:space="preserve">Use in renal </w:t>
      </w:r>
      <w:proofErr w:type="gramStart"/>
      <w:r w:rsidRPr="003D5AFB">
        <w:t>impairment</w:t>
      </w:r>
      <w:proofErr w:type="gramEnd"/>
    </w:p>
    <w:p w14:paraId="1C88F2F4" w14:textId="4CCF55EE" w:rsidR="00945623" w:rsidRPr="003D5AFB" w:rsidRDefault="008E2AB7" w:rsidP="004E340A">
      <w:pPr>
        <w:pStyle w:val="BodyText"/>
      </w:pPr>
      <w:r w:rsidRPr="003D5AFB">
        <w:t xml:space="preserve">No dose adjustment is required in case of renal impairment. The </w:t>
      </w:r>
      <w:r w:rsidR="0080425F" w:rsidRPr="003D5AFB">
        <w:t xml:space="preserve">pharmacokinetics </w:t>
      </w:r>
      <w:r w:rsidRPr="003D5AFB">
        <w:t xml:space="preserve">of </w:t>
      </w:r>
      <w:proofErr w:type="spellStart"/>
      <w:r w:rsidRPr="003D5AFB">
        <w:t>prasterone</w:t>
      </w:r>
      <w:proofErr w:type="spellEnd"/>
      <w:r w:rsidRPr="003D5AFB">
        <w:t xml:space="preserve"> ha</w:t>
      </w:r>
      <w:r w:rsidR="00C378D5" w:rsidRPr="003D5AFB">
        <w:t>ve</w:t>
      </w:r>
      <w:r w:rsidRPr="003D5AFB">
        <w:t xml:space="preserve"> not been studied in these patients</w:t>
      </w:r>
      <w:r w:rsidR="00945623" w:rsidRPr="003D5AFB">
        <w:t>.</w:t>
      </w:r>
    </w:p>
    <w:p w14:paraId="2BC26287" w14:textId="4CDD317D" w:rsidR="00962B1E" w:rsidRPr="003D5AFB" w:rsidRDefault="00962B1E" w:rsidP="008F60D3">
      <w:pPr>
        <w:pStyle w:val="Heading3"/>
      </w:pPr>
      <w:r w:rsidRPr="003D5AFB">
        <w:t xml:space="preserve">Use in the </w:t>
      </w:r>
      <w:proofErr w:type="gramStart"/>
      <w:r w:rsidRPr="003D5AFB">
        <w:t>elderly</w:t>
      </w:r>
      <w:proofErr w:type="gramEnd"/>
    </w:p>
    <w:p w14:paraId="5CC060C0" w14:textId="43392130" w:rsidR="00945623" w:rsidRPr="003D5AFB" w:rsidRDefault="008E2AB7" w:rsidP="004E340A">
      <w:pPr>
        <w:pStyle w:val="BodyText"/>
      </w:pPr>
      <w:r w:rsidRPr="003D5AFB">
        <w:t xml:space="preserve">Among 1196 patients who received </w:t>
      </w:r>
      <w:r w:rsidR="008A7CD7" w:rsidRPr="003D5AFB">
        <w:t>INTRAROSA</w:t>
      </w:r>
      <w:r w:rsidRPr="003D5AFB">
        <w:t xml:space="preserve"> in clinical trials, 17% of participants in the four 12-week placebo-controlled studies were older than 65 years of age and 9.2% of participants in the </w:t>
      </w:r>
      <w:r w:rsidR="00F02178" w:rsidRPr="003D5AFB">
        <w:t>52-week</w:t>
      </w:r>
      <w:r w:rsidRPr="003D5AFB">
        <w:t xml:space="preserve"> open-label clinical trial were over 65</w:t>
      </w:r>
      <w:r w:rsidR="00D02706">
        <w:t xml:space="preserve"> years of age</w:t>
      </w:r>
      <w:r w:rsidRPr="003D5AFB">
        <w:t xml:space="preserve">. Use as recommended. No dose adjustment is required in elderly. </w:t>
      </w:r>
    </w:p>
    <w:p w14:paraId="56165FF8" w14:textId="75F2174A" w:rsidR="00962B1E" w:rsidRPr="003D5AFB" w:rsidRDefault="00962B1E" w:rsidP="008F60D3">
      <w:pPr>
        <w:pStyle w:val="Heading3"/>
      </w:pPr>
      <w:r w:rsidRPr="003D5AFB">
        <w:t>Paediatric use</w:t>
      </w:r>
    </w:p>
    <w:p w14:paraId="637463C6" w14:textId="73060359" w:rsidR="00945623" w:rsidRPr="003D5AFB" w:rsidRDefault="002D2653" w:rsidP="004E340A">
      <w:pPr>
        <w:pStyle w:val="BodyText"/>
      </w:pPr>
      <w:r>
        <w:t xml:space="preserve">No data available. </w:t>
      </w:r>
      <w:r w:rsidR="008A7CD7" w:rsidRPr="003D5AFB">
        <w:t>INTRAROSA</w:t>
      </w:r>
      <w:r w:rsidR="004A6E98" w:rsidRPr="003D5AFB">
        <w:t xml:space="preserve"> is only indicated for use in postmenopausal women</w:t>
      </w:r>
      <w:r>
        <w:t xml:space="preserve">. </w:t>
      </w:r>
    </w:p>
    <w:p w14:paraId="67643AC4" w14:textId="5D952E58" w:rsidR="00962B1E" w:rsidRPr="003D5AFB" w:rsidRDefault="00962B1E" w:rsidP="008F60D3">
      <w:pPr>
        <w:pStyle w:val="Heading3"/>
      </w:pPr>
      <w:r w:rsidRPr="003D5AFB">
        <w:lastRenderedPageBreak/>
        <w:t>Effects on laboratory</w:t>
      </w:r>
      <w:r w:rsidRPr="003D5AFB">
        <w:rPr>
          <w:spacing w:val="-5"/>
        </w:rPr>
        <w:t xml:space="preserve"> </w:t>
      </w:r>
      <w:r w:rsidRPr="003D5AFB">
        <w:t>tests</w:t>
      </w:r>
    </w:p>
    <w:p w14:paraId="606B613E" w14:textId="71F32CD7" w:rsidR="00F03833" w:rsidRPr="003D5AFB" w:rsidRDefault="00F03833" w:rsidP="004E340A">
      <w:pPr>
        <w:pStyle w:val="BodyText"/>
      </w:pPr>
      <w:r w:rsidRPr="003D5AFB">
        <w:rPr>
          <w:b/>
          <w:bCs/>
          <w:i/>
          <w:iCs/>
        </w:rPr>
        <w:t>Laboratory Parameters</w:t>
      </w:r>
      <w:r w:rsidRPr="003D5AFB">
        <w:t xml:space="preserve"> </w:t>
      </w:r>
      <w:r w:rsidR="009E4373">
        <w:t>–</w:t>
      </w:r>
      <w:r w:rsidRPr="003D5AFB">
        <w:t xml:space="preserve"> Hematology, serum chemistry and urinalysis parameters displayed no clinically significant changes from baseline to the final assessment (up to 12 weeks), and values generally remained within the normal adult female ranges.</w:t>
      </w:r>
    </w:p>
    <w:p w14:paraId="0E5B4E23" w14:textId="11CE4493" w:rsidR="00F03833" w:rsidRPr="003D5AFB" w:rsidRDefault="00F03833" w:rsidP="004E340A">
      <w:pPr>
        <w:pStyle w:val="BodyText"/>
      </w:pPr>
      <w:r w:rsidRPr="003D5AFB">
        <w:rPr>
          <w:b/>
          <w:bCs/>
          <w:i/>
          <w:iCs/>
        </w:rPr>
        <w:t>Cervical Cytology</w:t>
      </w:r>
      <w:r w:rsidRPr="003D5AFB">
        <w:t xml:space="preserve"> </w:t>
      </w:r>
      <w:r w:rsidR="009E4373">
        <w:t>–</w:t>
      </w:r>
      <w:r w:rsidRPr="003D5AFB">
        <w:t xml:space="preserve"> According to study protocol, participants were to have a normal Pap smear and normal mammography at study entrance. In the 521 postmenopausal women who participated in the 52-week non-comparative, open-label clinical trial, 11 cases of abnormal Pap smear (2.1%) were reported. The 11 cases of abnormal Pap smear at week 52 included 10 cases of atypical squamous cells of unknown significance (ASCUS) and 1 case of low grade squamous intraepithelial lesion (LSIL).</w:t>
      </w:r>
    </w:p>
    <w:p w14:paraId="35C83855" w14:textId="7DD5CE61" w:rsidR="00962B1E" w:rsidRPr="003D5AFB" w:rsidRDefault="00962B1E" w:rsidP="00910010">
      <w:pPr>
        <w:pStyle w:val="Heading2"/>
      </w:pPr>
      <w:bookmarkStart w:id="4" w:name="_Ref105768367"/>
      <w:r w:rsidRPr="003D5AFB">
        <w:t>Interactions with other medicines and other forms of</w:t>
      </w:r>
      <w:r w:rsidRPr="003D5AFB">
        <w:rPr>
          <w:spacing w:val="1"/>
        </w:rPr>
        <w:t xml:space="preserve"> </w:t>
      </w:r>
      <w:r w:rsidRPr="003D5AFB">
        <w:t>interactions</w:t>
      </w:r>
      <w:bookmarkEnd w:id="4"/>
    </w:p>
    <w:p w14:paraId="2D22D555" w14:textId="45C57402" w:rsidR="002D2653" w:rsidRDefault="002D2653" w:rsidP="004E340A">
      <w:pPr>
        <w:pStyle w:val="BodyText"/>
      </w:pPr>
      <w:r w:rsidRPr="002D2653">
        <w:t>Concomitant use with systemic hormone replacement therapy (</w:t>
      </w:r>
      <w:r w:rsidR="00D02706">
        <w:t>o</w:t>
      </w:r>
      <w:r w:rsidRPr="002D2653">
        <w:t xml:space="preserve">estrogen-only or </w:t>
      </w:r>
      <w:r w:rsidR="00D02706">
        <w:t>o</w:t>
      </w:r>
      <w:r w:rsidRPr="002D2653">
        <w:t xml:space="preserve">estrogen, progestogen combination or androgen treatment) or vaginal </w:t>
      </w:r>
      <w:r w:rsidR="00D02706">
        <w:t>o</w:t>
      </w:r>
      <w:r w:rsidRPr="002D2653">
        <w:t>estrogens has not been investigated and is therefore not recommended.</w:t>
      </w:r>
    </w:p>
    <w:p w14:paraId="3CE0F884" w14:textId="0F112C1E" w:rsidR="00871773" w:rsidRPr="003D5AFB" w:rsidRDefault="00871773" w:rsidP="004E340A">
      <w:pPr>
        <w:pStyle w:val="BodyText"/>
      </w:pPr>
      <w:r w:rsidRPr="003D5AFB">
        <w:t xml:space="preserve">Interactions between </w:t>
      </w:r>
      <w:r w:rsidR="008A7CD7" w:rsidRPr="003D5AFB">
        <w:t>INTRAROSA</w:t>
      </w:r>
      <w:r w:rsidRPr="003D5AFB">
        <w:t xml:space="preserve"> and other medicinal products have not been established but are not expected.</w:t>
      </w:r>
      <w:r w:rsidR="009E4373">
        <w:t xml:space="preserve"> </w:t>
      </w:r>
      <w:proofErr w:type="spellStart"/>
      <w:r w:rsidR="009E4373">
        <w:t>Prasterone</w:t>
      </w:r>
      <w:proofErr w:type="spellEnd"/>
      <w:r w:rsidR="009E4373">
        <w:t xml:space="preserve"> was shown not to inhibit CYP1A2, 2B7, 2C8, 2C9, 2C19, 2D6, 2E1 or 3A4 at clinically relevant concentrations </w:t>
      </w:r>
      <w:r w:rsidR="009E4373">
        <w:rPr>
          <w:i/>
          <w:iCs/>
        </w:rPr>
        <w:t xml:space="preserve">in vitro. </w:t>
      </w:r>
      <w:r w:rsidRPr="003D5AFB">
        <w:t xml:space="preserve"> </w:t>
      </w:r>
    </w:p>
    <w:p w14:paraId="5CE1379B" w14:textId="77777777" w:rsidR="00871773" w:rsidRPr="003D5AFB" w:rsidRDefault="00871773" w:rsidP="008F60D3">
      <w:pPr>
        <w:pStyle w:val="Heading3"/>
      </w:pPr>
      <w:r w:rsidRPr="003D5AFB">
        <w:t>Other forms of interactions</w:t>
      </w:r>
    </w:p>
    <w:p w14:paraId="0E24066B" w14:textId="1E68E02D" w:rsidR="00D02706" w:rsidRDefault="00D02706" w:rsidP="004E340A">
      <w:pPr>
        <w:pStyle w:val="BodyText"/>
      </w:pPr>
      <w:r>
        <w:t xml:space="preserve">INTRAROSA can weaken condoms, diaphragms or cervical caps made of latex </w:t>
      </w:r>
      <w:r w:rsidRPr="002D2653">
        <w:t xml:space="preserve">(see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rsidRPr="002D2653">
        <w:t>)</w:t>
      </w:r>
      <w:r>
        <w:t>.</w:t>
      </w:r>
    </w:p>
    <w:p w14:paraId="2197F00F" w14:textId="42E96066" w:rsidR="00871773" w:rsidRPr="003D5AFB" w:rsidRDefault="008A7CD7" w:rsidP="004E340A">
      <w:pPr>
        <w:pStyle w:val="BodyText"/>
      </w:pPr>
      <w:r w:rsidRPr="003D5AFB">
        <w:t>INTRAROSA</w:t>
      </w:r>
      <w:r w:rsidR="00871773" w:rsidRPr="003D5AFB">
        <w:t xml:space="preserve"> is not expected to interact with other substances. </w:t>
      </w:r>
    </w:p>
    <w:p w14:paraId="0249D1C2" w14:textId="77777777" w:rsidR="00962B1E" w:rsidRPr="003D5AFB" w:rsidRDefault="00962B1E" w:rsidP="00910010">
      <w:pPr>
        <w:pStyle w:val="Heading2"/>
      </w:pPr>
      <w:bookmarkStart w:id="5" w:name="_Ref105767783"/>
      <w:r w:rsidRPr="003D5AFB">
        <w:t>Fertility, pregnancy and lactation</w:t>
      </w:r>
      <w:bookmarkEnd w:id="5"/>
    </w:p>
    <w:p w14:paraId="6500B92B" w14:textId="731D643E" w:rsidR="00962B1E" w:rsidRPr="003D5AFB" w:rsidRDefault="00962B1E" w:rsidP="008F60D3">
      <w:pPr>
        <w:pStyle w:val="Heading3"/>
      </w:pPr>
      <w:r w:rsidRPr="003D5AFB">
        <w:t>Effects on fertility</w:t>
      </w:r>
    </w:p>
    <w:p w14:paraId="499B9044" w14:textId="04E55FC1" w:rsidR="00AD62F4" w:rsidRPr="003D5AFB" w:rsidRDefault="008A7CD7" w:rsidP="004E340A">
      <w:pPr>
        <w:pStyle w:val="BodyText"/>
      </w:pPr>
      <w:r w:rsidRPr="003D5AFB">
        <w:t>INTRAROSA</w:t>
      </w:r>
      <w:r w:rsidR="005146BB" w:rsidRPr="003D5AFB">
        <w:t xml:space="preserve"> is not indicated in fertile women. No </w:t>
      </w:r>
      <w:r w:rsidR="009E4373">
        <w:t xml:space="preserve">fertility studies have been performed with </w:t>
      </w:r>
      <w:proofErr w:type="spellStart"/>
      <w:r w:rsidR="009E4373">
        <w:t>prasterone</w:t>
      </w:r>
      <w:proofErr w:type="spellEnd"/>
      <w:r w:rsidR="009E4373">
        <w:t xml:space="preserve"> in animals. </w:t>
      </w:r>
      <w:r w:rsidR="00871773" w:rsidRPr="003D5AFB">
        <w:t xml:space="preserve"> </w:t>
      </w:r>
    </w:p>
    <w:p w14:paraId="305F9E62" w14:textId="6FFA5059" w:rsidR="00962B1E" w:rsidRPr="003D5AFB" w:rsidRDefault="00962B1E" w:rsidP="008F60D3">
      <w:pPr>
        <w:pStyle w:val="Heading3"/>
      </w:pPr>
      <w:r w:rsidRPr="003D5AFB">
        <w:t>Use in pregnancy</w:t>
      </w:r>
      <w:r w:rsidRPr="003D5AFB">
        <w:rPr>
          <w:spacing w:val="-5"/>
        </w:rPr>
        <w:t xml:space="preserve"> </w:t>
      </w:r>
      <w:r w:rsidRPr="003D5AFB">
        <w:t>– Pregnancy</w:t>
      </w:r>
      <w:r w:rsidRPr="003D5AFB">
        <w:rPr>
          <w:spacing w:val="-5"/>
        </w:rPr>
        <w:t xml:space="preserve"> </w:t>
      </w:r>
      <w:r w:rsidRPr="003D5AFB">
        <w:t>Category</w:t>
      </w:r>
      <w:r w:rsidRPr="003D5AFB">
        <w:rPr>
          <w:spacing w:val="-3"/>
        </w:rPr>
        <w:t xml:space="preserve"> </w:t>
      </w:r>
      <w:r w:rsidRPr="003D5AFB">
        <w:t>D</w:t>
      </w:r>
    </w:p>
    <w:p w14:paraId="70E969C1" w14:textId="3F494E68" w:rsidR="00AD62F4" w:rsidRPr="003D5AFB" w:rsidRDefault="008A7CD7" w:rsidP="004E340A">
      <w:pPr>
        <w:pStyle w:val="BodyText"/>
      </w:pPr>
      <w:r w:rsidRPr="003D5AFB">
        <w:rPr>
          <w:rStyle w:val="markedcontent"/>
        </w:rPr>
        <w:t>INTRAROSA</w:t>
      </w:r>
      <w:r w:rsidR="00BC4411" w:rsidRPr="003D5AFB">
        <w:rPr>
          <w:rStyle w:val="markedcontent"/>
        </w:rPr>
        <w:t xml:space="preserve"> is </w:t>
      </w:r>
      <w:r w:rsidR="009E4373">
        <w:rPr>
          <w:rStyle w:val="markedcontent"/>
        </w:rPr>
        <w:t>contraindicated in pregnancy</w:t>
      </w:r>
      <w:r w:rsidR="00BC4411" w:rsidRPr="003D5AFB">
        <w:rPr>
          <w:rStyle w:val="markedcontent"/>
        </w:rPr>
        <w:t xml:space="preserve">. There are no data on the use of </w:t>
      </w:r>
      <w:r w:rsidRPr="003D5AFB">
        <w:rPr>
          <w:rStyle w:val="markedcontent"/>
        </w:rPr>
        <w:t>INTRAROSA</w:t>
      </w:r>
      <w:r w:rsidR="00BC4411" w:rsidRPr="003D5AFB">
        <w:rPr>
          <w:rStyle w:val="markedcontent"/>
        </w:rPr>
        <w:t xml:space="preserve"> in pregnant women. </w:t>
      </w:r>
      <w:r w:rsidR="009A08D6">
        <w:rPr>
          <w:rStyle w:val="markedcontent"/>
        </w:rPr>
        <w:t xml:space="preserve">Being only indicated in postmenopausal women, no embryofetal developmental studies have been performed with </w:t>
      </w:r>
      <w:proofErr w:type="spellStart"/>
      <w:r w:rsidR="009A08D6">
        <w:rPr>
          <w:rStyle w:val="markedcontent"/>
        </w:rPr>
        <w:t>prasterone</w:t>
      </w:r>
      <w:proofErr w:type="spellEnd"/>
      <w:r w:rsidR="009A08D6">
        <w:rPr>
          <w:rStyle w:val="markedcontent"/>
        </w:rPr>
        <w:t xml:space="preserve"> in animals. Concerns for potential adverse effects on embryofetal development are held based on the formation of oestradiol and testosterone from </w:t>
      </w:r>
      <w:proofErr w:type="spellStart"/>
      <w:r w:rsidR="009A08D6">
        <w:rPr>
          <w:rStyle w:val="markedcontent"/>
        </w:rPr>
        <w:t>prasterone</w:t>
      </w:r>
      <w:proofErr w:type="spellEnd"/>
      <w:r w:rsidR="00871773" w:rsidRPr="003D5AFB">
        <w:rPr>
          <w:rStyle w:val="markedcontent"/>
        </w:rPr>
        <w:t>.</w:t>
      </w:r>
    </w:p>
    <w:p w14:paraId="5DAB552C" w14:textId="6E9729A1" w:rsidR="00962B1E" w:rsidRPr="003D5AFB" w:rsidRDefault="00962B1E" w:rsidP="008F60D3">
      <w:pPr>
        <w:pStyle w:val="Heading3"/>
      </w:pPr>
      <w:r w:rsidRPr="003D5AFB">
        <w:t xml:space="preserve">Use in </w:t>
      </w:r>
      <w:proofErr w:type="gramStart"/>
      <w:r w:rsidRPr="003D5AFB">
        <w:t>lactation</w:t>
      </w:r>
      <w:proofErr w:type="gramEnd"/>
    </w:p>
    <w:p w14:paraId="3B128E89" w14:textId="3394D30F" w:rsidR="00BC4411" w:rsidRPr="003D5AFB" w:rsidRDefault="008A7CD7" w:rsidP="004E340A">
      <w:pPr>
        <w:pStyle w:val="BodyText"/>
        <w:spacing w:before="26" w:after="200" w:line="277" w:lineRule="auto"/>
        <w:rPr>
          <w:rStyle w:val="markedcontent"/>
        </w:rPr>
      </w:pPr>
      <w:r w:rsidRPr="003D5AFB">
        <w:rPr>
          <w:rStyle w:val="markedcontent"/>
        </w:rPr>
        <w:t>INTRAROSA</w:t>
      </w:r>
      <w:r w:rsidR="00BC4411" w:rsidRPr="003D5AFB">
        <w:rPr>
          <w:rStyle w:val="markedcontent"/>
        </w:rPr>
        <w:t xml:space="preserve"> is not indicated during breast-feeding.</w:t>
      </w:r>
      <w:r w:rsidR="009A08D6">
        <w:rPr>
          <w:rStyle w:val="markedcontent"/>
        </w:rPr>
        <w:t xml:space="preserve"> There is no information on the presence of </w:t>
      </w:r>
      <w:proofErr w:type="spellStart"/>
      <w:r w:rsidR="009A08D6">
        <w:rPr>
          <w:rStyle w:val="markedcontent"/>
        </w:rPr>
        <w:t>prasterone</w:t>
      </w:r>
      <w:proofErr w:type="spellEnd"/>
      <w:r w:rsidR="009A08D6">
        <w:rPr>
          <w:rStyle w:val="markedcontent"/>
        </w:rPr>
        <w:t xml:space="preserve"> in human milk, the effects on the breastfed infant, or the effects on milk production. </w:t>
      </w:r>
    </w:p>
    <w:p w14:paraId="4D4E2084" w14:textId="6A95503F" w:rsidR="00962B1E" w:rsidRPr="003D5AFB" w:rsidRDefault="00962B1E" w:rsidP="00910010">
      <w:pPr>
        <w:pStyle w:val="Heading2"/>
      </w:pPr>
      <w:bookmarkStart w:id="6" w:name="_Ref90377491"/>
      <w:r w:rsidRPr="003D5AFB">
        <w:lastRenderedPageBreak/>
        <w:t>Effects on ability to drive and use machines</w:t>
      </w:r>
      <w:bookmarkEnd w:id="6"/>
    </w:p>
    <w:p w14:paraId="7D3471EA" w14:textId="3A8FD208" w:rsidR="00AD62F4" w:rsidRPr="003D5AFB" w:rsidRDefault="008A7CD7" w:rsidP="004E340A">
      <w:pPr>
        <w:pStyle w:val="BodyText"/>
      </w:pPr>
      <w:r w:rsidRPr="003D5AFB">
        <w:rPr>
          <w:rStyle w:val="markedcontent"/>
        </w:rPr>
        <w:t>INTRAROSA</w:t>
      </w:r>
      <w:r w:rsidR="00BC4411" w:rsidRPr="003D5AFB">
        <w:rPr>
          <w:rStyle w:val="markedcontent"/>
        </w:rPr>
        <w:t xml:space="preserve"> </w:t>
      </w:r>
      <w:r w:rsidR="00800B61" w:rsidRPr="003D5AFB">
        <w:rPr>
          <w:rStyle w:val="markedcontent"/>
        </w:rPr>
        <w:t xml:space="preserve">does not affect the patient’s ability to drive or operate machinery. </w:t>
      </w:r>
    </w:p>
    <w:p w14:paraId="0DB7BC5C" w14:textId="77777777" w:rsidR="00962B1E" w:rsidRPr="003D5AFB" w:rsidRDefault="00962B1E" w:rsidP="00910010">
      <w:pPr>
        <w:pStyle w:val="Heading2"/>
      </w:pPr>
      <w:bookmarkStart w:id="7" w:name="_Ref90377502"/>
      <w:r w:rsidRPr="003D5AFB">
        <w:t>Adverse effects (Undesirable effects)</w:t>
      </w:r>
      <w:bookmarkEnd w:id="7"/>
    </w:p>
    <w:p w14:paraId="0F7A0A7A" w14:textId="31D91B8B" w:rsidR="00B86262" w:rsidRDefault="00B86262" w:rsidP="008F60D3">
      <w:pPr>
        <w:pStyle w:val="Heading3"/>
      </w:pPr>
      <w:r>
        <w:t xml:space="preserve">Clinical Trial Adverse Events </w:t>
      </w:r>
    </w:p>
    <w:p w14:paraId="42039145" w14:textId="7165BDDF" w:rsidR="00B86262" w:rsidRPr="007479C7" w:rsidRDefault="00B86262" w:rsidP="00981B7E">
      <w:pPr>
        <w:pStyle w:val="BodyText"/>
      </w:pPr>
      <w:r w:rsidRPr="007479C7">
        <w:t xml:space="preserve">The safety data for INTRAROSA </w:t>
      </w:r>
      <w:r>
        <w:t>was</w:t>
      </w:r>
      <w:r w:rsidRPr="007479C7">
        <w:t xml:space="preserve"> obtained from one single-</w:t>
      </w:r>
      <w:r w:rsidR="00044795" w:rsidRPr="007479C7">
        <w:t>centre</w:t>
      </w:r>
      <w:r w:rsidRPr="007479C7">
        <w:t xml:space="preserve"> and four </w:t>
      </w:r>
      <w:r w:rsidR="00044795" w:rsidRPr="007479C7">
        <w:t>multicentre</w:t>
      </w:r>
      <w:r w:rsidRPr="007479C7">
        <w:t>, randomized, double blind, placebo-controlled PK/efficacy studies and one uncontrolled, 52 week open-label safety study. The safety data</w:t>
      </w:r>
      <w:r w:rsidR="001F5B36">
        <w:t xml:space="preserve"> presented in </w:t>
      </w:r>
      <w:r w:rsidR="001F5B36">
        <w:fldChar w:fldCharType="begin"/>
      </w:r>
      <w:r w:rsidR="001F5B36">
        <w:instrText xml:space="preserve"> REF _Ref131666215 \h </w:instrText>
      </w:r>
      <w:r w:rsidR="001F5B36">
        <w:fldChar w:fldCharType="separate"/>
      </w:r>
      <w:r w:rsidR="007A2C94" w:rsidRPr="00AC07D3">
        <w:rPr>
          <w:rFonts w:cs="Times New Roman"/>
        </w:rPr>
        <w:t xml:space="preserve">Table </w:t>
      </w:r>
      <w:r w:rsidR="007A2C94">
        <w:rPr>
          <w:rFonts w:cs="Times New Roman"/>
          <w:iCs/>
          <w:noProof/>
        </w:rPr>
        <w:t>1</w:t>
      </w:r>
      <w:r w:rsidR="001F5B36">
        <w:fldChar w:fldCharType="end"/>
      </w:r>
      <w:r w:rsidRPr="007479C7">
        <w:t xml:space="preserve"> was pooled for a total of 1196 postmenopausal women treated with vaginal pessaries containing 6.5 mg of </w:t>
      </w:r>
      <w:proofErr w:type="spellStart"/>
      <w:r w:rsidRPr="007479C7">
        <w:t>prasterone</w:t>
      </w:r>
      <w:proofErr w:type="spellEnd"/>
      <w:r w:rsidR="001F5B36">
        <w:t xml:space="preserve"> (INTRAROSA)</w:t>
      </w:r>
      <w:r w:rsidRPr="007479C7">
        <w:t>, including 435 women treated daily for one year</w:t>
      </w:r>
      <w:r>
        <w:t xml:space="preserve"> and 474 women who received placebo</w:t>
      </w:r>
      <w:r w:rsidRPr="007479C7">
        <w:t xml:space="preserve">. </w:t>
      </w:r>
    </w:p>
    <w:p w14:paraId="61673DAB" w14:textId="75E3E714" w:rsidR="00B86262" w:rsidRPr="00AC07D3" w:rsidRDefault="00B86262" w:rsidP="001F5B36">
      <w:pPr>
        <w:pStyle w:val="Caption"/>
        <w:ind w:left="993" w:hanging="993"/>
        <w:rPr>
          <w:rFonts w:cs="Times New Roman"/>
          <w:szCs w:val="24"/>
        </w:rPr>
      </w:pPr>
      <w:bookmarkStart w:id="8" w:name="_Ref131666215"/>
      <w:r w:rsidRPr="00AC07D3">
        <w:rPr>
          <w:rFonts w:cs="Times New Roman"/>
          <w:iCs w:val="0"/>
          <w:szCs w:val="24"/>
        </w:rPr>
        <w:t xml:space="preserve">Table </w:t>
      </w:r>
      <w:r w:rsidRPr="00AC07D3">
        <w:rPr>
          <w:rFonts w:cs="Times New Roman"/>
          <w:iCs w:val="0"/>
          <w:szCs w:val="24"/>
        </w:rPr>
        <w:fldChar w:fldCharType="begin"/>
      </w:r>
      <w:r w:rsidRPr="00AC07D3">
        <w:rPr>
          <w:rFonts w:cs="Times New Roman"/>
          <w:iCs w:val="0"/>
          <w:szCs w:val="24"/>
        </w:rPr>
        <w:instrText xml:space="preserve"> SEQ Table \* ARABIC </w:instrText>
      </w:r>
      <w:r w:rsidRPr="00AC07D3">
        <w:rPr>
          <w:rFonts w:cs="Times New Roman"/>
          <w:iCs w:val="0"/>
          <w:szCs w:val="24"/>
        </w:rPr>
        <w:fldChar w:fldCharType="separate"/>
      </w:r>
      <w:r w:rsidR="007A2C94">
        <w:rPr>
          <w:rFonts w:cs="Times New Roman"/>
          <w:iCs w:val="0"/>
          <w:noProof/>
          <w:szCs w:val="24"/>
        </w:rPr>
        <w:t>1</w:t>
      </w:r>
      <w:r w:rsidRPr="00AC07D3">
        <w:rPr>
          <w:rFonts w:cs="Times New Roman"/>
          <w:iCs w:val="0"/>
          <w:szCs w:val="24"/>
        </w:rPr>
        <w:fldChar w:fldCharType="end"/>
      </w:r>
      <w:bookmarkEnd w:id="8"/>
      <w:r w:rsidRPr="00AC07D3">
        <w:rPr>
          <w:rFonts w:cs="Times New Roman"/>
          <w:iCs w:val="0"/>
          <w:szCs w:val="24"/>
        </w:rPr>
        <w:t xml:space="preserve">: </w:t>
      </w:r>
      <w:r w:rsidR="001F5B36">
        <w:rPr>
          <w:rFonts w:cs="Times New Roman"/>
          <w:iCs w:val="0"/>
          <w:szCs w:val="24"/>
        </w:rPr>
        <w:tab/>
      </w:r>
      <w:r w:rsidR="00127874" w:rsidRPr="00981B7E">
        <w:rPr>
          <w:rFonts w:cs="Times New Roman"/>
          <w:iCs w:val="0"/>
          <w:color w:val="auto"/>
          <w:szCs w:val="24"/>
        </w:rPr>
        <w:t xml:space="preserve">Treatment-Emergent Adverse Events by Primary System Organ Class and Preferred Term </w:t>
      </w:r>
      <w:r w:rsidR="00127874" w:rsidRPr="00AC07D3">
        <w:rPr>
          <w:rFonts w:cs="Times New Roman"/>
          <w:iCs w:val="0"/>
          <w:szCs w:val="24"/>
        </w:rPr>
        <w:t xml:space="preserve">with an Incidence Exceeding Placebo Reported </w:t>
      </w:r>
      <w:r w:rsidR="00127874" w:rsidRPr="00AC07D3">
        <w:rPr>
          <w:rFonts w:cs="Times New Roman"/>
          <w:iCs w:val="0"/>
          <w:color w:val="auto"/>
          <w:szCs w:val="24"/>
        </w:rPr>
        <w:t xml:space="preserve">by ≥ </w:t>
      </w:r>
      <w:r w:rsidR="008F60D3" w:rsidRPr="00AC07D3">
        <w:rPr>
          <w:rFonts w:cs="Times New Roman"/>
          <w:iCs w:val="0"/>
          <w:color w:val="auto"/>
          <w:szCs w:val="24"/>
        </w:rPr>
        <w:t>2</w:t>
      </w:r>
      <w:r w:rsidR="00127874" w:rsidRPr="00AC07D3">
        <w:rPr>
          <w:rFonts w:cs="Times New Roman"/>
          <w:iCs w:val="0"/>
          <w:color w:val="auto"/>
          <w:szCs w:val="24"/>
        </w:rPr>
        <w:t>% of Pat</w:t>
      </w:r>
      <w:r w:rsidR="00127874" w:rsidRPr="00AC07D3">
        <w:rPr>
          <w:rFonts w:cs="Times New Roman"/>
          <w:iCs w:val="0"/>
          <w:szCs w:val="24"/>
        </w:rPr>
        <w:t>ients in Clinical Studies for INTRAROSA</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firstRow="0" w:lastRow="0" w:firstColumn="0" w:lastColumn="0" w:noHBand="0" w:noVBand="0"/>
      </w:tblPr>
      <w:tblGrid>
        <w:gridCol w:w="6254"/>
        <w:gridCol w:w="1630"/>
        <w:gridCol w:w="1634"/>
      </w:tblGrid>
      <w:tr w:rsidR="00B86262" w:rsidRPr="009E4B0A" w14:paraId="28367F67" w14:textId="1AC2F96F" w:rsidTr="00AC07D3">
        <w:trPr>
          <w:cantSplit/>
          <w:tblHeader/>
        </w:trPr>
        <w:tc>
          <w:tcPr>
            <w:tcW w:w="3286" w:type="pct"/>
            <w:shd w:val="clear" w:color="auto" w:fill="F2F2F2"/>
          </w:tcPr>
          <w:p w14:paraId="0998BED4" w14:textId="3E7F83B3" w:rsidR="00B86262" w:rsidRPr="00AC07D3" w:rsidRDefault="00B86262" w:rsidP="001F5B36">
            <w:pPr>
              <w:pStyle w:val="BodyText"/>
              <w:spacing w:after="0"/>
              <w:rPr>
                <w:rFonts w:eastAsia="Calibri"/>
                <w:b/>
                <w:bCs/>
                <w:lang w:val="en-US"/>
              </w:rPr>
            </w:pPr>
            <w:r w:rsidRPr="00AC07D3">
              <w:rPr>
                <w:rFonts w:eastAsia="Calibri"/>
                <w:b/>
                <w:bCs/>
                <w:lang w:val="en-US"/>
              </w:rPr>
              <w:t>Primary System Organ Class</w:t>
            </w:r>
          </w:p>
          <w:p w14:paraId="43DD79EC" w14:textId="501C8000" w:rsidR="00B86262" w:rsidRPr="001F5B36" w:rsidRDefault="00B86262" w:rsidP="001F5B36">
            <w:pPr>
              <w:pStyle w:val="BodyText"/>
              <w:ind w:left="179"/>
              <w:rPr>
                <w:rFonts w:eastAsia="Calibri"/>
                <w:b/>
                <w:bCs/>
                <w:i/>
                <w:iCs/>
                <w:lang w:val="en-US"/>
              </w:rPr>
            </w:pPr>
            <w:r w:rsidRPr="001F5B36">
              <w:rPr>
                <w:rFonts w:eastAsia="Calibri"/>
                <w:b/>
                <w:bCs/>
                <w:i/>
                <w:iCs/>
                <w:lang w:val="en-US"/>
              </w:rPr>
              <w:t>Preferred Term</w:t>
            </w:r>
          </w:p>
        </w:tc>
        <w:tc>
          <w:tcPr>
            <w:tcW w:w="857" w:type="pct"/>
            <w:shd w:val="clear" w:color="auto" w:fill="F2F2F2"/>
            <w:vAlign w:val="center"/>
          </w:tcPr>
          <w:p w14:paraId="345AA879" w14:textId="06535D73" w:rsidR="00B86262" w:rsidRPr="00AC07D3" w:rsidRDefault="00B86262" w:rsidP="001F5B36">
            <w:pPr>
              <w:pStyle w:val="BodyText"/>
              <w:spacing w:after="0"/>
              <w:jc w:val="center"/>
              <w:rPr>
                <w:rFonts w:eastAsia="Calibri"/>
                <w:b/>
                <w:bCs/>
                <w:lang w:val="en-US"/>
              </w:rPr>
            </w:pPr>
            <w:r w:rsidRPr="00AC07D3">
              <w:rPr>
                <w:rFonts w:eastAsia="Calibri"/>
                <w:b/>
                <w:bCs/>
                <w:lang w:val="en-US"/>
              </w:rPr>
              <w:t>Placebo</w:t>
            </w:r>
          </w:p>
          <w:p w14:paraId="14FE07B2" w14:textId="33FFC2BA" w:rsidR="00B86262" w:rsidRPr="00AC07D3" w:rsidRDefault="00B86262" w:rsidP="001F5B36">
            <w:pPr>
              <w:pStyle w:val="BodyText"/>
              <w:spacing w:before="0" w:after="0"/>
              <w:jc w:val="center"/>
              <w:rPr>
                <w:rFonts w:eastAsia="Calibri"/>
                <w:b/>
                <w:bCs/>
                <w:lang w:val="en-US"/>
              </w:rPr>
            </w:pPr>
            <w:r w:rsidRPr="00AC07D3">
              <w:rPr>
                <w:rFonts w:eastAsia="Calibri"/>
                <w:b/>
                <w:bCs/>
                <w:lang w:val="en-US"/>
              </w:rPr>
              <w:t>n = 474</w:t>
            </w:r>
          </w:p>
          <w:p w14:paraId="7079F40E" w14:textId="66140F96" w:rsidR="00B86262" w:rsidRPr="00AC07D3" w:rsidRDefault="00B86262" w:rsidP="001F5B36">
            <w:pPr>
              <w:pStyle w:val="BodyText"/>
              <w:spacing w:before="0"/>
              <w:jc w:val="center"/>
              <w:rPr>
                <w:rFonts w:eastAsia="Calibri"/>
                <w:b/>
                <w:bCs/>
                <w:lang w:val="en-US"/>
              </w:rPr>
            </w:pPr>
            <w:r w:rsidRPr="00AC07D3">
              <w:rPr>
                <w:rFonts w:eastAsia="Calibri"/>
                <w:b/>
                <w:bCs/>
                <w:lang w:val="en-US"/>
              </w:rPr>
              <w:t>n (%)</w:t>
            </w:r>
          </w:p>
        </w:tc>
        <w:tc>
          <w:tcPr>
            <w:tcW w:w="857" w:type="pct"/>
            <w:shd w:val="clear" w:color="auto" w:fill="F2F2F2"/>
            <w:vAlign w:val="center"/>
          </w:tcPr>
          <w:p w14:paraId="0EBEF935" w14:textId="391DE06C" w:rsidR="00B86262" w:rsidRPr="00AC07D3" w:rsidRDefault="001F5B36" w:rsidP="001F5B36">
            <w:pPr>
              <w:pStyle w:val="BodyText"/>
              <w:spacing w:after="0"/>
              <w:jc w:val="center"/>
              <w:rPr>
                <w:rFonts w:eastAsia="Calibri"/>
                <w:b/>
                <w:bCs/>
                <w:lang w:val="en-US"/>
              </w:rPr>
            </w:pPr>
            <w:r>
              <w:rPr>
                <w:rFonts w:eastAsia="Calibri"/>
                <w:b/>
                <w:bCs/>
                <w:lang w:val="en-US"/>
              </w:rPr>
              <w:t>INTRAROSA</w:t>
            </w:r>
          </w:p>
          <w:p w14:paraId="4F6B1B4D" w14:textId="33413BD8" w:rsidR="00B86262" w:rsidRPr="00AC07D3" w:rsidRDefault="00B86262" w:rsidP="001F5B36">
            <w:pPr>
              <w:pStyle w:val="BodyText"/>
              <w:spacing w:before="0" w:after="0"/>
              <w:jc w:val="center"/>
              <w:rPr>
                <w:rFonts w:eastAsia="Calibri"/>
                <w:b/>
                <w:bCs/>
                <w:lang w:val="en-US"/>
              </w:rPr>
            </w:pPr>
            <w:r w:rsidRPr="00AC07D3">
              <w:rPr>
                <w:rFonts w:eastAsia="Calibri"/>
                <w:b/>
                <w:bCs/>
                <w:lang w:val="en-US"/>
              </w:rPr>
              <w:t>n = 1196</w:t>
            </w:r>
          </w:p>
          <w:p w14:paraId="5B0349E3" w14:textId="1BBC1D76" w:rsidR="00B86262" w:rsidRPr="00AC07D3" w:rsidRDefault="00B86262" w:rsidP="001F5B36">
            <w:pPr>
              <w:pStyle w:val="BodyText"/>
              <w:spacing w:before="0"/>
              <w:jc w:val="center"/>
              <w:rPr>
                <w:rFonts w:eastAsia="Calibri"/>
                <w:b/>
                <w:bCs/>
                <w:lang w:val="en-US"/>
              </w:rPr>
            </w:pPr>
            <w:r w:rsidRPr="00AC07D3">
              <w:rPr>
                <w:rFonts w:eastAsia="Calibri"/>
                <w:b/>
                <w:bCs/>
                <w:lang w:val="en-US"/>
              </w:rPr>
              <w:t>n (%)</w:t>
            </w:r>
          </w:p>
        </w:tc>
      </w:tr>
      <w:tr w:rsidR="00B86262" w:rsidRPr="009C2711" w14:paraId="6538E90F" w14:textId="418D97E2" w:rsidTr="00AC07D3">
        <w:trPr>
          <w:cantSplit/>
        </w:trPr>
        <w:tc>
          <w:tcPr>
            <w:tcW w:w="3286" w:type="pct"/>
          </w:tcPr>
          <w:p w14:paraId="18C1F35E" w14:textId="0AFD106A" w:rsidR="00B86262" w:rsidRPr="009C2711" w:rsidRDefault="00B86262" w:rsidP="00AC07D3">
            <w:pPr>
              <w:pStyle w:val="BodyText"/>
              <w:rPr>
                <w:rFonts w:eastAsia="Calibri"/>
                <w:lang w:val="en-CA"/>
              </w:rPr>
            </w:pPr>
            <w:r>
              <w:rPr>
                <w:rFonts w:eastAsia="Calibri"/>
                <w:lang w:val="en-CA"/>
              </w:rPr>
              <w:t xml:space="preserve">General disorders and administration site complications </w:t>
            </w:r>
          </w:p>
        </w:tc>
        <w:tc>
          <w:tcPr>
            <w:tcW w:w="857" w:type="pct"/>
          </w:tcPr>
          <w:p w14:paraId="63A20C20" w14:textId="296B7A71" w:rsidR="00B86262" w:rsidRPr="009C2711" w:rsidRDefault="00B86262" w:rsidP="00AC07D3">
            <w:pPr>
              <w:pStyle w:val="BodyText"/>
              <w:jc w:val="center"/>
              <w:rPr>
                <w:rFonts w:eastAsia="Calibri"/>
                <w:lang w:val="en-CA"/>
              </w:rPr>
            </w:pPr>
          </w:p>
        </w:tc>
        <w:tc>
          <w:tcPr>
            <w:tcW w:w="857" w:type="pct"/>
            <w:vAlign w:val="bottom"/>
          </w:tcPr>
          <w:p w14:paraId="5AB8238E" w14:textId="1B4502EA" w:rsidR="00B86262" w:rsidRPr="009C2711" w:rsidRDefault="00B86262" w:rsidP="00AC07D3">
            <w:pPr>
              <w:pStyle w:val="BodyText"/>
              <w:jc w:val="center"/>
              <w:rPr>
                <w:rFonts w:eastAsia="Calibri"/>
                <w:lang w:val="en-CA"/>
              </w:rPr>
            </w:pPr>
          </w:p>
        </w:tc>
      </w:tr>
      <w:tr w:rsidR="00B86262" w:rsidRPr="009C2711" w14:paraId="5E6B9E9B" w14:textId="6455CE82" w:rsidTr="00AC07D3">
        <w:trPr>
          <w:cantSplit/>
        </w:trPr>
        <w:tc>
          <w:tcPr>
            <w:tcW w:w="3286" w:type="pct"/>
          </w:tcPr>
          <w:p w14:paraId="5351C28F" w14:textId="1610A12C" w:rsidR="00B86262" w:rsidRPr="001F5B36" w:rsidRDefault="00B86262" w:rsidP="00AC07D3">
            <w:pPr>
              <w:pStyle w:val="BodyText"/>
              <w:ind w:left="321"/>
              <w:rPr>
                <w:rFonts w:eastAsia="Calibri"/>
                <w:i/>
                <w:iCs/>
                <w:lang w:val="en-CA"/>
              </w:rPr>
            </w:pPr>
            <w:r w:rsidRPr="001F5B36">
              <w:rPr>
                <w:rFonts w:eastAsia="Calibri"/>
                <w:i/>
                <w:iCs/>
                <w:lang w:val="en-CA"/>
              </w:rPr>
              <w:t>Application site discharge</w:t>
            </w:r>
          </w:p>
        </w:tc>
        <w:tc>
          <w:tcPr>
            <w:tcW w:w="857" w:type="pct"/>
          </w:tcPr>
          <w:p w14:paraId="02A1C730" w14:textId="0739A807" w:rsidR="00B86262" w:rsidRPr="009C2711" w:rsidRDefault="00B86262" w:rsidP="00AC07D3">
            <w:pPr>
              <w:pStyle w:val="BodyText"/>
              <w:jc w:val="center"/>
              <w:rPr>
                <w:rFonts w:eastAsia="Calibri"/>
                <w:lang w:val="en-CA"/>
              </w:rPr>
            </w:pPr>
            <w:r>
              <w:rPr>
                <w:rFonts w:eastAsia="Calibri"/>
                <w:lang w:val="en-CA"/>
              </w:rPr>
              <w:t>16 (3.4)</w:t>
            </w:r>
          </w:p>
        </w:tc>
        <w:tc>
          <w:tcPr>
            <w:tcW w:w="857" w:type="pct"/>
            <w:vAlign w:val="bottom"/>
          </w:tcPr>
          <w:p w14:paraId="13632ABF" w14:textId="0C4F96B8" w:rsidR="00B86262" w:rsidRPr="009C2711" w:rsidRDefault="00B86262" w:rsidP="00AC07D3">
            <w:pPr>
              <w:pStyle w:val="BodyText"/>
              <w:jc w:val="center"/>
              <w:rPr>
                <w:rFonts w:eastAsia="Calibri"/>
                <w:lang w:val="en-CA"/>
              </w:rPr>
            </w:pPr>
            <w:r>
              <w:rPr>
                <w:rFonts w:eastAsia="Calibri"/>
                <w:lang w:val="en-CA"/>
              </w:rPr>
              <w:t>99 (8.3)</w:t>
            </w:r>
          </w:p>
        </w:tc>
      </w:tr>
      <w:tr w:rsidR="00B86262" w:rsidRPr="009C2711" w14:paraId="7C1BEC85" w14:textId="74FE7831" w:rsidTr="00AC07D3">
        <w:trPr>
          <w:cantSplit/>
        </w:trPr>
        <w:tc>
          <w:tcPr>
            <w:tcW w:w="3286" w:type="pct"/>
          </w:tcPr>
          <w:p w14:paraId="4A4D51B9" w14:textId="17B27C64" w:rsidR="00B86262" w:rsidRPr="009C2711" w:rsidRDefault="00B86262" w:rsidP="00AC07D3">
            <w:pPr>
              <w:pStyle w:val="BodyText"/>
              <w:rPr>
                <w:rFonts w:eastAsia="Calibri"/>
                <w:lang w:val="en-CA"/>
              </w:rPr>
            </w:pPr>
            <w:r>
              <w:rPr>
                <w:rFonts w:eastAsia="Calibri"/>
                <w:lang w:val="en-CA"/>
              </w:rPr>
              <w:t>Infections and infestations</w:t>
            </w:r>
          </w:p>
        </w:tc>
        <w:tc>
          <w:tcPr>
            <w:tcW w:w="857" w:type="pct"/>
          </w:tcPr>
          <w:p w14:paraId="1344F230" w14:textId="355ABCC7" w:rsidR="00B86262" w:rsidRPr="009C2711" w:rsidRDefault="00B86262" w:rsidP="00AC07D3">
            <w:pPr>
              <w:pStyle w:val="BodyText"/>
              <w:jc w:val="center"/>
              <w:rPr>
                <w:rFonts w:eastAsia="Calibri"/>
                <w:lang w:val="en-CA"/>
              </w:rPr>
            </w:pPr>
          </w:p>
        </w:tc>
        <w:tc>
          <w:tcPr>
            <w:tcW w:w="857" w:type="pct"/>
            <w:vAlign w:val="bottom"/>
          </w:tcPr>
          <w:p w14:paraId="570BD5F5" w14:textId="7508FDD3" w:rsidR="00B86262" w:rsidRPr="009C2711" w:rsidRDefault="00B86262" w:rsidP="00AC07D3">
            <w:pPr>
              <w:pStyle w:val="BodyText"/>
              <w:jc w:val="center"/>
              <w:rPr>
                <w:rFonts w:eastAsia="Calibri"/>
                <w:lang w:val="en-CA"/>
              </w:rPr>
            </w:pPr>
          </w:p>
        </w:tc>
      </w:tr>
      <w:tr w:rsidR="00B86262" w:rsidRPr="009C2711" w14:paraId="4009A564" w14:textId="0803EF8D" w:rsidTr="00AC07D3">
        <w:trPr>
          <w:cantSplit/>
        </w:trPr>
        <w:tc>
          <w:tcPr>
            <w:tcW w:w="3286" w:type="pct"/>
          </w:tcPr>
          <w:p w14:paraId="15D09205" w14:textId="1057A5D0" w:rsidR="00B86262" w:rsidRPr="001F5B36" w:rsidRDefault="00B86262" w:rsidP="00AC07D3">
            <w:pPr>
              <w:pStyle w:val="BodyText"/>
              <w:ind w:left="321"/>
              <w:rPr>
                <w:rFonts w:eastAsia="Calibri"/>
                <w:i/>
                <w:iCs/>
                <w:lang w:val="en-CA"/>
              </w:rPr>
            </w:pPr>
            <w:r w:rsidRPr="001F5B36">
              <w:rPr>
                <w:rFonts w:eastAsia="Calibri"/>
                <w:i/>
                <w:iCs/>
                <w:lang w:val="en-CA"/>
              </w:rPr>
              <w:t xml:space="preserve">Urinary tract infection </w:t>
            </w:r>
          </w:p>
        </w:tc>
        <w:tc>
          <w:tcPr>
            <w:tcW w:w="857" w:type="pct"/>
          </w:tcPr>
          <w:p w14:paraId="7D7E8B4D" w14:textId="20AE8D56" w:rsidR="00B86262" w:rsidRPr="009C2711" w:rsidRDefault="00B86262" w:rsidP="00AC07D3">
            <w:pPr>
              <w:pStyle w:val="BodyText"/>
              <w:jc w:val="center"/>
              <w:rPr>
                <w:rFonts w:eastAsia="Calibri"/>
                <w:lang w:val="en-CA"/>
              </w:rPr>
            </w:pPr>
            <w:r>
              <w:rPr>
                <w:rFonts w:eastAsia="Calibri"/>
                <w:lang w:val="en-CA"/>
              </w:rPr>
              <w:t>21 (4.4)</w:t>
            </w:r>
          </w:p>
        </w:tc>
        <w:tc>
          <w:tcPr>
            <w:tcW w:w="857" w:type="pct"/>
            <w:vAlign w:val="bottom"/>
          </w:tcPr>
          <w:p w14:paraId="7AB2FFBB" w14:textId="79BDF8EF" w:rsidR="00B86262" w:rsidRPr="009C2711" w:rsidRDefault="00B86262" w:rsidP="00AC07D3">
            <w:pPr>
              <w:pStyle w:val="BodyText"/>
              <w:jc w:val="center"/>
              <w:rPr>
                <w:rFonts w:eastAsia="Calibri"/>
                <w:lang w:val="en-CA"/>
              </w:rPr>
            </w:pPr>
            <w:r>
              <w:rPr>
                <w:rFonts w:eastAsia="Calibri"/>
                <w:lang w:val="en-CA"/>
              </w:rPr>
              <w:t>57 (4.8)</w:t>
            </w:r>
          </w:p>
        </w:tc>
      </w:tr>
    </w:tbl>
    <w:p w14:paraId="5CC1DFE6" w14:textId="7E094ED7" w:rsidR="00962B1E" w:rsidRPr="003D5AFB" w:rsidRDefault="002D2653" w:rsidP="008F60D3">
      <w:pPr>
        <w:pStyle w:val="Heading3"/>
      </w:pPr>
      <w:r>
        <w:t>Summ</w:t>
      </w:r>
      <w:r w:rsidR="00B86262">
        <w:t>a</w:t>
      </w:r>
      <w:r>
        <w:t>r</w:t>
      </w:r>
      <w:r w:rsidR="00126E1A">
        <w:t>y</w:t>
      </w:r>
      <w:r>
        <w:t xml:space="preserve"> of safety profile </w:t>
      </w:r>
    </w:p>
    <w:p w14:paraId="4C9C7EF2" w14:textId="4210071F" w:rsidR="002D2653" w:rsidRDefault="002D2653" w:rsidP="00C93AF9">
      <w:pPr>
        <w:pStyle w:val="BodyText"/>
      </w:pPr>
      <w:r w:rsidRPr="002D2653">
        <w:t xml:space="preserve">The most frequently observed adverse reaction was vaginal discharge. This is due to melting of the hard fat used as vehicle, added to the expected increase in vaginal secretions due to treatment. It is not required to stop INTRAROSA if vaginal discharge occurs (see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rsidRPr="002D2653">
        <w:t>).</w:t>
      </w:r>
    </w:p>
    <w:p w14:paraId="27E56C21" w14:textId="2983EA0B" w:rsidR="002D2653" w:rsidRDefault="002D2653" w:rsidP="008F60D3">
      <w:pPr>
        <w:pStyle w:val="Heading3"/>
      </w:pPr>
      <w:r>
        <w:t xml:space="preserve">Tabulated list of adverse reactions </w:t>
      </w:r>
    </w:p>
    <w:p w14:paraId="44B67B3E" w14:textId="43A1D853" w:rsidR="002D2653" w:rsidRDefault="002D2653" w:rsidP="002D2653">
      <w:pPr>
        <w:pStyle w:val="BodyText"/>
      </w:pPr>
      <w:r w:rsidRPr="002D2653">
        <w:t xml:space="preserve">Adverse reactions observed with </w:t>
      </w:r>
      <w:proofErr w:type="spellStart"/>
      <w:r w:rsidRPr="002D2653">
        <w:t>prasterone</w:t>
      </w:r>
      <w:proofErr w:type="spellEnd"/>
      <w:r w:rsidRPr="002D2653">
        <w:t xml:space="preserve"> 6.5 mg pessaries </w:t>
      </w:r>
      <w:r w:rsidR="001F5B36">
        <w:t xml:space="preserve">(INTRAROSA) </w:t>
      </w:r>
      <w:r w:rsidRPr="002D2653">
        <w:t xml:space="preserve">obtained from clinical studies are tabulated in </w:t>
      </w:r>
      <w:r>
        <w:fldChar w:fldCharType="begin"/>
      </w:r>
      <w:r>
        <w:instrText xml:space="preserve"> REF _Ref126828260 \h </w:instrText>
      </w:r>
      <w:r>
        <w:fldChar w:fldCharType="separate"/>
      </w:r>
      <w:r w:rsidR="007A2C94">
        <w:t xml:space="preserve">Table </w:t>
      </w:r>
      <w:r w:rsidR="007A2C94">
        <w:rPr>
          <w:noProof/>
        </w:rPr>
        <w:t>2</w:t>
      </w:r>
      <w:r>
        <w:fldChar w:fldCharType="end"/>
      </w:r>
      <w:r w:rsidRPr="002D2653">
        <w:t xml:space="preserve"> below.</w:t>
      </w:r>
    </w:p>
    <w:p w14:paraId="69B547E7" w14:textId="77777777" w:rsidR="007A73D7" w:rsidRDefault="007A73D7" w:rsidP="001F5B36">
      <w:pPr>
        <w:pStyle w:val="Caption"/>
        <w:ind w:left="993" w:hanging="993"/>
      </w:pPr>
      <w:bookmarkStart w:id="9" w:name="_Ref126828260"/>
    </w:p>
    <w:p w14:paraId="73E42B46" w14:textId="4C86C80C" w:rsidR="002D2653" w:rsidRDefault="002D2653" w:rsidP="001F5B36">
      <w:pPr>
        <w:pStyle w:val="Caption"/>
        <w:ind w:left="993" w:hanging="993"/>
      </w:pPr>
      <w:r>
        <w:t xml:space="preserve">Table </w:t>
      </w:r>
      <w:r>
        <w:fldChar w:fldCharType="begin"/>
      </w:r>
      <w:r>
        <w:instrText xml:space="preserve"> SEQ Table \* ARABIC </w:instrText>
      </w:r>
      <w:r>
        <w:fldChar w:fldCharType="separate"/>
      </w:r>
      <w:r w:rsidR="007A2C94">
        <w:rPr>
          <w:noProof/>
        </w:rPr>
        <w:t>2</w:t>
      </w:r>
      <w:r>
        <w:fldChar w:fldCharType="end"/>
      </w:r>
      <w:bookmarkEnd w:id="9"/>
      <w:r>
        <w:t xml:space="preserve">: </w:t>
      </w:r>
      <w:r w:rsidR="001F5B36">
        <w:tab/>
      </w:r>
      <w:r>
        <w:t xml:space="preserve">Adverse </w:t>
      </w:r>
      <w:r w:rsidR="001F5B36">
        <w:t>R</w:t>
      </w:r>
      <w:r>
        <w:t xml:space="preserve">eactions </w:t>
      </w:r>
      <w:r w:rsidR="001F5B36">
        <w:t>O</w:t>
      </w:r>
      <w:r>
        <w:t xml:space="preserve">bserved with </w:t>
      </w:r>
      <w:proofErr w:type="spellStart"/>
      <w:r w:rsidR="001F5B36">
        <w:t>P</w:t>
      </w:r>
      <w:r>
        <w:t>rasterone</w:t>
      </w:r>
      <w:proofErr w:type="spellEnd"/>
      <w:r>
        <w:t xml:space="preserve"> 6.5 mg </w:t>
      </w:r>
      <w:r w:rsidR="001F5B36">
        <w:t>P</w:t>
      </w:r>
      <w:r>
        <w:t xml:space="preserve">essaries </w:t>
      </w:r>
      <w:r w:rsidR="001F5B36">
        <w:t xml:space="preserve">(INTRAROSA) </w:t>
      </w:r>
      <w:r>
        <w:t xml:space="preserve">in </w:t>
      </w:r>
      <w:r w:rsidR="001F5B36">
        <w:t>C</w:t>
      </w:r>
      <w:r>
        <w:t xml:space="preserve">linical </w:t>
      </w:r>
      <w:proofErr w:type="gramStart"/>
      <w:r>
        <w:t>studies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434"/>
        <w:gridCol w:w="2954"/>
      </w:tblGrid>
      <w:tr w:rsidR="002D2653" w:rsidRPr="002D2653" w14:paraId="09CE4B84" w14:textId="77777777" w:rsidTr="002D2653">
        <w:trPr>
          <w:trHeight w:val="281"/>
        </w:trPr>
        <w:tc>
          <w:tcPr>
            <w:tcW w:w="1644" w:type="pct"/>
            <w:tcBorders>
              <w:top w:val="single" w:sz="4" w:space="0" w:color="auto"/>
              <w:left w:val="single" w:sz="4" w:space="0" w:color="auto"/>
              <w:bottom w:val="single" w:sz="4" w:space="0" w:color="auto"/>
              <w:right w:val="single" w:sz="4" w:space="0" w:color="auto"/>
            </w:tcBorders>
            <w:hideMark/>
          </w:tcPr>
          <w:p w14:paraId="4DDABE38" w14:textId="77777777" w:rsidR="002D2653" w:rsidRPr="002D2653" w:rsidRDefault="002D2653" w:rsidP="002D2653">
            <w:pPr>
              <w:pStyle w:val="BodyText"/>
              <w:rPr>
                <w:b/>
                <w:bCs/>
                <w:lang w:val="en"/>
              </w:rPr>
            </w:pPr>
            <w:r w:rsidRPr="002D2653">
              <w:rPr>
                <w:b/>
                <w:bCs/>
                <w:lang w:val="en"/>
              </w:rPr>
              <w:t>MedDRA System Organ Class</w:t>
            </w:r>
          </w:p>
        </w:tc>
        <w:tc>
          <w:tcPr>
            <w:tcW w:w="1804" w:type="pct"/>
            <w:tcBorders>
              <w:top w:val="single" w:sz="4" w:space="0" w:color="auto"/>
              <w:left w:val="single" w:sz="4" w:space="0" w:color="auto"/>
              <w:bottom w:val="single" w:sz="4" w:space="0" w:color="auto"/>
              <w:right w:val="single" w:sz="4" w:space="0" w:color="auto"/>
            </w:tcBorders>
            <w:hideMark/>
          </w:tcPr>
          <w:p w14:paraId="5BC04036" w14:textId="77777777" w:rsidR="002D2653" w:rsidRPr="002D2653" w:rsidRDefault="002D2653" w:rsidP="002D2653">
            <w:pPr>
              <w:pStyle w:val="BodyText"/>
              <w:jc w:val="center"/>
              <w:rPr>
                <w:b/>
                <w:bCs/>
                <w:lang w:val="en"/>
              </w:rPr>
            </w:pPr>
            <w:r w:rsidRPr="002D2653">
              <w:rPr>
                <w:b/>
                <w:bCs/>
                <w:lang w:val="en"/>
              </w:rPr>
              <w:t>Common</w:t>
            </w:r>
          </w:p>
          <w:p w14:paraId="796C3799" w14:textId="77777777" w:rsidR="002D2653" w:rsidRPr="002D2653" w:rsidRDefault="002D2653" w:rsidP="002D2653">
            <w:pPr>
              <w:pStyle w:val="BodyText"/>
              <w:jc w:val="center"/>
              <w:rPr>
                <w:b/>
                <w:bCs/>
                <w:lang w:val="en"/>
              </w:rPr>
            </w:pPr>
            <w:r w:rsidRPr="002D2653">
              <w:rPr>
                <w:b/>
                <w:bCs/>
                <w:lang w:val="en"/>
              </w:rPr>
              <w:t>(≥ 1/100 to &lt; 1/10)</w:t>
            </w:r>
          </w:p>
        </w:tc>
        <w:tc>
          <w:tcPr>
            <w:tcW w:w="1552" w:type="pct"/>
            <w:tcBorders>
              <w:top w:val="single" w:sz="4" w:space="0" w:color="auto"/>
              <w:left w:val="single" w:sz="4" w:space="0" w:color="auto"/>
              <w:bottom w:val="single" w:sz="4" w:space="0" w:color="auto"/>
              <w:right w:val="single" w:sz="4" w:space="0" w:color="auto"/>
            </w:tcBorders>
            <w:hideMark/>
          </w:tcPr>
          <w:p w14:paraId="479DDC92" w14:textId="77777777" w:rsidR="002D2653" w:rsidRPr="002D2653" w:rsidRDefault="002D2653" w:rsidP="002D2653">
            <w:pPr>
              <w:pStyle w:val="BodyText"/>
              <w:jc w:val="center"/>
              <w:rPr>
                <w:b/>
                <w:bCs/>
                <w:lang w:val="en"/>
              </w:rPr>
            </w:pPr>
            <w:r w:rsidRPr="002D2653">
              <w:rPr>
                <w:b/>
                <w:bCs/>
                <w:lang w:val="en"/>
              </w:rPr>
              <w:t>Uncommon</w:t>
            </w:r>
          </w:p>
          <w:p w14:paraId="0E23ADC6" w14:textId="77777777" w:rsidR="002D2653" w:rsidRPr="002D2653" w:rsidRDefault="002D2653" w:rsidP="002D2653">
            <w:pPr>
              <w:pStyle w:val="BodyText"/>
              <w:jc w:val="center"/>
              <w:rPr>
                <w:b/>
                <w:bCs/>
                <w:lang w:val="en"/>
              </w:rPr>
            </w:pPr>
            <w:r w:rsidRPr="002D2653">
              <w:rPr>
                <w:b/>
                <w:bCs/>
                <w:lang w:val="en"/>
              </w:rPr>
              <w:t>(≥ 1/1,000 to &lt; 1/100)</w:t>
            </w:r>
          </w:p>
        </w:tc>
      </w:tr>
      <w:tr w:rsidR="002D2653" w:rsidRPr="002D2653" w14:paraId="3598BAB3" w14:textId="77777777" w:rsidTr="002D2653">
        <w:trPr>
          <w:trHeight w:val="267"/>
        </w:trPr>
        <w:tc>
          <w:tcPr>
            <w:tcW w:w="1644" w:type="pct"/>
            <w:tcBorders>
              <w:top w:val="single" w:sz="4" w:space="0" w:color="auto"/>
              <w:left w:val="single" w:sz="4" w:space="0" w:color="auto"/>
              <w:bottom w:val="single" w:sz="4" w:space="0" w:color="auto"/>
              <w:right w:val="single" w:sz="4" w:space="0" w:color="auto"/>
            </w:tcBorders>
            <w:hideMark/>
          </w:tcPr>
          <w:p w14:paraId="4A33BE7A" w14:textId="77777777" w:rsidR="002D2653" w:rsidRPr="002D2653" w:rsidRDefault="002D2653" w:rsidP="002D2653">
            <w:pPr>
              <w:pStyle w:val="BodyText"/>
              <w:rPr>
                <w:lang w:val="en"/>
              </w:rPr>
            </w:pPr>
            <w:r w:rsidRPr="002D2653">
              <w:rPr>
                <w:lang w:val="en"/>
              </w:rPr>
              <w:t>General disorders and administration site conditions</w:t>
            </w:r>
          </w:p>
        </w:tc>
        <w:tc>
          <w:tcPr>
            <w:tcW w:w="1804" w:type="pct"/>
            <w:tcBorders>
              <w:top w:val="single" w:sz="4" w:space="0" w:color="auto"/>
              <w:left w:val="single" w:sz="4" w:space="0" w:color="auto"/>
              <w:bottom w:val="single" w:sz="4" w:space="0" w:color="auto"/>
              <w:right w:val="single" w:sz="4" w:space="0" w:color="auto"/>
            </w:tcBorders>
            <w:hideMark/>
          </w:tcPr>
          <w:p w14:paraId="3E1F18A6" w14:textId="77777777" w:rsidR="002D2653" w:rsidRPr="002D2653" w:rsidRDefault="002D2653" w:rsidP="002D2653">
            <w:pPr>
              <w:pStyle w:val="BodyText"/>
              <w:rPr>
                <w:lang w:val="en"/>
              </w:rPr>
            </w:pPr>
            <w:r w:rsidRPr="002D2653">
              <w:rPr>
                <w:lang w:val="en"/>
              </w:rPr>
              <w:t>Application site discharge</w:t>
            </w:r>
          </w:p>
        </w:tc>
        <w:tc>
          <w:tcPr>
            <w:tcW w:w="1552" w:type="pct"/>
            <w:tcBorders>
              <w:top w:val="single" w:sz="4" w:space="0" w:color="auto"/>
              <w:left w:val="single" w:sz="4" w:space="0" w:color="auto"/>
              <w:bottom w:val="single" w:sz="4" w:space="0" w:color="auto"/>
              <w:right w:val="single" w:sz="4" w:space="0" w:color="auto"/>
            </w:tcBorders>
            <w:hideMark/>
          </w:tcPr>
          <w:p w14:paraId="4A017956" w14:textId="77777777" w:rsidR="002D2653" w:rsidRPr="002D2653" w:rsidRDefault="002D2653" w:rsidP="002D2653">
            <w:pPr>
              <w:pStyle w:val="BodyText"/>
              <w:rPr>
                <w:lang w:val="en"/>
              </w:rPr>
            </w:pPr>
            <w:r w:rsidRPr="002D2653">
              <w:rPr>
                <w:lang w:val="en"/>
              </w:rPr>
              <w:t>-</w:t>
            </w:r>
          </w:p>
        </w:tc>
      </w:tr>
      <w:tr w:rsidR="002D2653" w:rsidRPr="002D2653" w14:paraId="03B92CA3" w14:textId="77777777" w:rsidTr="002D2653">
        <w:trPr>
          <w:trHeight w:val="267"/>
        </w:trPr>
        <w:tc>
          <w:tcPr>
            <w:tcW w:w="1644" w:type="pct"/>
            <w:tcBorders>
              <w:top w:val="single" w:sz="4" w:space="0" w:color="auto"/>
              <w:left w:val="single" w:sz="4" w:space="0" w:color="auto"/>
              <w:bottom w:val="single" w:sz="4" w:space="0" w:color="auto"/>
              <w:right w:val="single" w:sz="4" w:space="0" w:color="auto"/>
            </w:tcBorders>
            <w:hideMark/>
          </w:tcPr>
          <w:p w14:paraId="3F3F326E" w14:textId="77777777" w:rsidR="002D2653" w:rsidRPr="002D2653" w:rsidRDefault="002D2653" w:rsidP="002D2653">
            <w:pPr>
              <w:pStyle w:val="BodyText"/>
              <w:rPr>
                <w:lang w:val="en"/>
              </w:rPr>
            </w:pPr>
            <w:r w:rsidRPr="002D2653">
              <w:rPr>
                <w:lang w:val="en"/>
              </w:rPr>
              <w:t xml:space="preserve">Reproductive system and breast disorders </w:t>
            </w:r>
          </w:p>
        </w:tc>
        <w:tc>
          <w:tcPr>
            <w:tcW w:w="1804" w:type="pct"/>
            <w:tcBorders>
              <w:top w:val="single" w:sz="4" w:space="0" w:color="auto"/>
              <w:left w:val="single" w:sz="4" w:space="0" w:color="auto"/>
              <w:bottom w:val="single" w:sz="4" w:space="0" w:color="auto"/>
              <w:right w:val="single" w:sz="4" w:space="0" w:color="auto"/>
            </w:tcBorders>
            <w:hideMark/>
          </w:tcPr>
          <w:p w14:paraId="767E71C9" w14:textId="77777777" w:rsidR="002D2653" w:rsidRPr="002D2653" w:rsidRDefault="002D2653" w:rsidP="002D2653">
            <w:pPr>
              <w:pStyle w:val="BodyText"/>
              <w:rPr>
                <w:vertAlign w:val="superscript"/>
                <w:lang w:val="en"/>
              </w:rPr>
            </w:pPr>
            <w:r w:rsidRPr="002D2653">
              <w:rPr>
                <w:lang w:val="en"/>
              </w:rPr>
              <w:t>Abnormal Pap smear (mostly ASCUS or LSIL)</w:t>
            </w:r>
            <w:r w:rsidRPr="002D2653">
              <w:rPr>
                <w:vertAlign w:val="superscript"/>
                <w:lang w:val="en"/>
              </w:rPr>
              <w:footnoteReference w:id="1"/>
            </w:r>
          </w:p>
        </w:tc>
        <w:tc>
          <w:tcPr>
            <w:tcW w:w="1552" w:type="pct"/>
            <w:tcBorders>
              <w:top w:val="single" w:sz="4" w:space="0" w:color="auto"/>
              <w:left w:val="single" w:sz="4" w:space="0" w:color="auto"/>
              <w:bottom w:val="single" w:sz="4" w:space="0" w:color="auto"/>
              <w:right w:val="single" w:sz="4" w:space="0" w:color="auto"/>
            </w:tcBorders>
            <w:hideMark/>
          </w:tcPr>
          <w:p w14:paraId="6BE02553" w14:textId="77777777" w:rsidR="002D2653" w:rsidRPr="002D2653" w:rsidRDefault="002D2653" w:rsidP="002D2653">
            <w:pPr>
              <w:pStyle w:val="BodyText"/>
              <w:rPr>
                <w:lang w:val="en"/>
              </w:rPr>
            </w:pPr>
            <w:r w:rsidRPr="002D2653">
              <w:rPr>
                <w:lang w:val="en"/>
              </w:rPr>
              <w:t>Cervical/ uterine polyps</w:t>
            </w:r>
          </w:p>
          <w:p w14:paraId="1104E45B" w14:textId="77777777" w:rsidR="002D2653" w:rsidRPr="002D2653" w:rsidRDefault="002D2653" w:rsidP="002D2653">
            <w:pPr>
              <w:pStyle w:val="BodyText"/>
              <w:rPr>
                <w:lang w:val="en"/>
              </w:rPr>
            </w:pPr>
            <w:r w:rsidRPr="002D2653">
              <w:rPr>
                <w:lang w:val="en"/>
              </w:rPr>
              <w:t xml:space="preserve">Breast mass (benign) </w:t>
            </w:r>
          </w:p>
        </w:tc>
      </w:tr>
      <w:tr w:rsidR="002D2653" w:rsidRPr="002D2653" w14:paraId="51D795D2" w14:textId="77777777" w:rsidTr="002D2653">
        <w:trPr>
          <w:trHeight w:val="267"/>
        </w:trPr>
        <w:tc>
          <w:tcPr>
            <w:tcW w:w="1644" w:type="pct"/>
            <w:tcBorders>
              <w:top w:val="single" w:sz="4" w:space="0" w:color="auto"/>
              <w:left w:val="single" w:sz="4" w:space="0" w:color="auto"/>
              <w:bottom w:val="single" w:sz="4" w:space="0" w:color="auto"/>
              <w:right w:val="single" w:sz="4" w:space="0" w:color="auto"/>
            </w:tcBorders>
            <w:hideMark/>
          </w:tcPr>
          <w:p w14:paraId="71F217D1" w14:textId="77777777" w:rsidR="002D2653" w:rsidRPr="002D2653" w:rsidRDefault="002D2653" w:rsidP="002D2653">
            <w:pPr>
              <w:pStyle w:val="BodyText"/>
              <w:rPr>
                <w:lang w:val="en"/>
              </w:rPr>
            </w:pPr>
            <w:r w:rsidRPr="002D2653">
              <w:rPr>
                <w:lang w:val="en"/>
              </w:rPr>
              <w:t xml:space="preserve">Investigations </w:t>
            </w:r>
          </w:p>
        </w:tc>
        <w:tc>
          <w:tcPr>
            <w:tcW w:w="1804" w:type="pct"/>
            <w:tcBorders>
              <w:top w:val="single" w:sz="4" w:space="0" w:color="auto"/>
              <w:left w:val="single" w:sz="4" w:space="0" w:color="auto"/>
              <w:bottom w:val="single" w:sz="4" w:space="0" w:color="auto"/>
              <w:right w:val="single" w:sz="4" w:space="0" w:color="auto"/>
            </w:tcBorders>
            <w:hideMark/>
          </w:tcPr>
          <w:p w14:paraId="6F88AC60" w14:textId="77777777" w:rsidR="002D2653" w:rsidRPr="002D2653" w:rsidRDefault="002D2653" w:rsidP="002D2653">
            <w:pPr>
              <w:pStyle w:val="BodyText"/>
              <w:rPr>
                <w:lang w:val="en"/>
              </w:rPr>
            </w:pPr>
            <w:r w:rsidRPr="002D2653">
              <w:rPr>
                <w:lang w:val="en"/>
              </w:rPr>
              <w:t>Weight fluctuation</w:t>
            </w:r>
          </w:p>
        </w:tc>
        <w:tc>
          <w:tcPr>
            <w:tcW w:w="1552" w:type="pct"/>
            <w:tcBorders>
              <w:top w:val="single" w:sz="4" w:space="0" w:color="auto"/>
              <w:left w:val="single" w:sz="4" w:space="0" w:color="auto"/>
              <w:bottom w:val="single" w:sz="4" w:space="0" w:color="auto"/>
              <w:right w:val="single" w:sz="4" w:space="0" w:color="auto"/>
            </w:tcBorders>
            <w:hideMark/>
          </w:tcPr>
          <w:p w14:paraId="6949DE07" w14:textId="77777777" w:rsidR="002D2653" w:rsidRPr="002D2653" w:rsidRDefault="002D2653" w:rsidP="002D2653">
            <w:pPr>
              <w:pStyle w:val="BodyText"/>
              <w:rPr>
                <w:lang w:val="en"/>
              </w:rPr>
            </w:pPr>
            <w:r w:rsidRPr="002D2653">
              <w:rPr>
                <w:lang w:val="en"/>
              </w:rPr>
              <w:t>-</w:t>
            </w:r>
          </w:p>
        </w:tc>
      </w:tr>
    </w:tbl>
    <w:p w14:paraId="569B8CFA" w14:textId="6724C8F7" w:rsidR="002D2653" w:rsidRPr="002D2653" w:rsidRDefault="000C45B9" w:rsidP="000C45B9">
      <w:pPr>
        <w:pStyle w:val="subheading4BOLD"/>
        <w:spacing w:before="240"/>
        <w:rPr>
          <w:lang w:val="en"/>
        </w:rPr>
      </w:pPr>
      <w:r>
        <w:rPr>
          <w:lang w:val="en"/>
        </w:rPr>
        <w:t xml:space="preserve">Breast cancer risk </w:t>
      </w:r>
    </w:p>
    <w:p w14:paraId="1C7CD91C" w14:textId="5B8C29E9" w:rsidR="000C45B9" w:rsidRDefault="000C45B9" w:rsidP="000C45B9">
      <w:pPr>
        <w:pStyle w:val="ListParagraph"/>
      </w:pPr>
      <w:r>
        <w:t xml:space="preserve">An up to 2-fold increased risk of having breast cancer diagnosed is reported in women taking combined </w:t>
      </w:r>
      <w:r w:rsidR="00D02706">
        <w:t>o</w:t>
      </w:r>
      <w:r>
        <w:t>estrogen-</w:t>
      </w:r>
      <w:r w:rsidR="003F3193">
        <w:t>progestogen</w:t>
      </w:r>
      <w:r>
        <w:t xml:space="preserve"> therapy for more than 5 years. </w:t>
      </w:r>
    </w:p>
    <w:p w14:paraId="1D3BDD10" w14:textId="1BF25BAA" w:rsidR="000C45B9" w:rsidRDefault="000C45B9" w:rsidP="000C45B9">
      <w:pPr>
        <w:pStyle w:val="ListParagraph"/>
      </w:pPr>
      <w:r>
        <w:t xml:space="preserve">Any increased risk in users of </w:t>
      </w:r>
      <w:r w:rsidR="00D02706">
        <w:t>o</w:t>
      </w:r>
      <w:r>
        <w:t xml:space="preserve">estrogen-only therapy is substantially lower than that seen in users of </w:t>
      </w:r>
      <w:r w:rsidR="00D02706">
        <w:t>o</w:t>
      </w:r>
      <w:r>
        <w:t>estrogen-</w:t>
      </w:r>
      <w:r w:rsidR="003F3193">
        <w:t>progestogen</w:t>
      </w:r>
      <w:r>
        <w:t xml:space="preserve"> combinations. </w:t>
      </w:r>
    </w:p>
    <w:p w14:paraId="43AF0C3B" w14:textId="7DE44FF8" w:rsidR="000C45B9" w:rsidRDefault="000C45B9" w:rsidP="000C45B9">
      <w:pPr>
        <w:pStyle w:val="ListParagraph"/>
      </w:pPr>
      <w:r>
        <w:t xml:space="preserve">The level of risk is dependent on the duration of use (see </w:t>
      </w:r>
      <w:r w:rsidRPr="002D2653">
        <w:t xml:space="preserve">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t xml:space="preserve">). </w:t>
      </w:r>
    </w:p>
    <w:p w14:paraId="7B369972" w14:textId="316E621D" w:rsidR="000C45B9" w:rsidRDefault="000C45B9" w:rsidP="000C45B9">
      <w:pPr>
        <w:pStyle w:val="ListParagraph"/>
      </w:pPr>
      <w:r>
        <w:t>Results of the largest randomised placebo-controlled study (WHI-study) and largest epidemiological study (MWS) are presented.</w:t>
      </w:r>
    </w:p>
    <w:p w14:paraId="121334B3" w14:textId="7C628909" w:rsidR="000C45B9" w:rsidRPr="000C45B9" w:rsidRDefault="000C45B9" w:rsidP="000C45B9">
      <w:pPr>
        <w:pStyle w:val="BodyText"/>
        <w:rPr>
          <w:b/>
          <w:bCs/>
          <w:strike/>
        </w:rPr>
      </w:pPr>
      <w:r w:rsidRPr="000C45B9">
        <w:rPr>
          <w:b/>
          <w:bCs/>
        </w:rPr>
        <w:t xml:space="preserve">Million Women study– </w:t>
      </w:r>
      <w:r w:rsidRPr="000C45B9">
        <w:rPr>
          <w:b/>
          <w:bCs/>
          <w:u w:val="single"/>
        </w:rPr>
        <w:t>Estimated</w:t>
      </w:r>
      <w:r w:rsidRPr="000C45B9">
        <w:rPr>
          <w:b/>
          <w:bCs/>
        </w:rPr>
        <w:t xml:space="preserve"> additional risk of breast cancer after 5 years’ </w:t>
      </w:r>
      <w:proofErr w:type="gramStart"/>
      <w:r w:rsidRPr="000C45B9">
        <w:rPr>
          <w:b/>
          <w:bCs/>
        </w:rPr>
        <w:t>use</w:t>
      </w:r>
      <w:proofErr w:type="gramEnd"/>
      <w:r w:rsidRPr="000C45B9">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3685"/>
        <w:gridCol w:w="1308"/>
        <w:gridCol w:w="3253"/>
      </w:tblGrid>
      <w:tr w:rsidR="000C45B9" w:rsidRPr="000C45B9" w14:paraId="00EC376E" w14:textId="77777777" w:rsidTr="001F5B36">
        <w:tc>
          <w:tcPr>
            <w:tcW w:w="668" w:type="pct"/>
            <w:tcBorders>
              <w:top w:val="single" w:sz="4" w:space="0" w:color="auto"/>
              <w:left w:val="single" w:sz="4" w:space="0" w:color="auto"/>
              <w:bottom w:val="single" w:sz="4" w:space="0" w:color="auto"/>
              <w:right w:val="single" w:sz="4" w:space="0" w:color="auto"/>
            </w:tcBorders>
            <w:hideMark/>
          </w:tcPr>
          <w:p w14:paraId="42B33241" w14:textId="77777777" w:rsidR="000C45B9" w:rsidRPr="000C45B9" w:rsidRDefault="000C45B9" w:rsidP="0084356A">
            <w:pPr>
              <w:pStyle w:val="BodyText"/>
              <w:spacing w:before="0" w:after="0"/>
              <w:rPr>
                <w:lang w:val="en-GB"/>
              </w:rPr>
            </w:pPr>
            <w:r w:rsidRPr="000C45B9">
              <w:rPr>
                <w:lang w:val="en-GB"/>
              </w:rPr>
              <w:t>Age range</w:t>
            </w:r>
          </w:p>
          <w:p w14:paraId="6F9BBE01" w14:textId="77777777" w:rsidR="000C45B9" w:rsidRPr="000C45B9" w:rsidRDefault="000C45B9" w:rsidP="0084356A">
            <w:pPr>
              <w:pStyle w:val="BodyText"/>
              <w:spacing w:before="0" w:after="60"/>
              <w:rPr>
                <w:lang w:val="en-GB"/>
              </w:rPr>
            </w:pPr>
            <w:r w:rsidRPr="000C45B9">
              <w:rPr>
                <w:lang w:val="en-GB"/>
              </w:rPr>
              <w:t>(years)</w:t>
            </w:r>
          </w:p>
        </w:tc>
        <w:tc>
          <w:tcPr>
            <w:tcW w:w="1936" w:type="pct"/>
            <w:tcBorders>
              <w:top w:val="single" w:sz="4" w:space="0" w:color="auto"/>
              <w:left w:val="single" w:sz="4" w:space="0" w:color="auto"/>
              <w:bottom w:val="single" w:sz="4" w:space="0" w:color="auto"/>
              <w:right w:val="single" w:sz="4" w:space="0" w:color="auto"/>
            </w:tcBorders>
            <w:hideMark/>
          </w:tcPr>
          <w:p w14:paraId="44D516C3" w14:textId="77777777" w:rsidR="000C45B9" w:rsidRPr="000C45B9" w:rsidRDefault="000C45B9" w:rsidP="0084356A">
            <w:pPr>
              <w:pStyle w:val="BodyText"/>
              <w:spacing w:before="0" w:after="60"/>
              <w:rPr>
                <w:lang w:val="en-GB"/>
              </w:rPr>
            </w:pPr>
            <w:r w:rsidRPr="000C45B9">
              <w:rPr>
                <w:lang w:val="en-GB"/>
              </w:rPr>
              <w:t>Additional cases per 1000 never-users of HRT over a 5-year period</w:t>
            </w:r>
            <w:r w:rsidRPr="000C45B9">
              <w:rPr>
                <w:vertAlign w:val="superscript"/>
                <w:lang w:val="en-GB"/>
              </w:rPr>
              <w:footnoteReference w:id="2"/>
            </w:r>
          </w:p>
        </w:tc>
        <w:tc>
          <w:tcPr>
            <w:tcW w:w="687" w:type="pct"/>
            <w:tcBorders>
              <w:top w:val="single" w:sz="4" w:space="0" w:color="auto"/>
              <w:left w:val="single" w:sz="4" w:space="0" w:color="auto"/>
              <w:bottom w:val="single" w:sz="4" w:space="0" w:color="auto"/>
              <w:right w:val="single" w:sz="4" w:space="0" w:color="auto"/>
            </w:tcBorders>
            <w:hideMark/>
          </w:tcPr>
          <w:p w14:paraId="3DD70DFB" w14:textId="77777777" w:rsidR="000C45B9" w:rsidRPr="000C45B9" w:rsidRDefault="000C45B9" w:rsidP="0084356A">
            <w:pPr>
              <w:pStyle w:val="BodyText"/>
              <w:spacing w:before="0" w:after="60"/>
              <w:rPr>
                <w:lang w:val="en-GB"/>
              </w:rPr>
            </w:pPr>
            <w:r w:rsidRPr="000C45B9">
              <w:rPr>
                <w:lang w:val="en-GB"/>
              </w:rPr>
              <w:t>Risk ratio &amp; 95%CI</w:t>
            </w:r>
            <w:r w:rsidRPr="000C45B9">
              <w:rPr>
                <w:vertAlign w:val="superscript"/>
                <w:lang w:val="en-GB"/>
              </w:rPr>
              <w:t>#</w:t>
            </w:r>
            <w:r w:rsidRPr="000C45B9">
              <w:rPr>
                <w:lang w:val="en-GB"/>
              </w:rPr>
              <w:t xml:space="preserve"> </w:t>
            </w:r>
          </w:p>
        </w:tc>
        <w:tc>
          <w:tcPr>
            <w:tcW w:w="1709" w:type="pct"/>
            <w:tcBorders>
              <w:top w:val="single" w:sz="4" w:space="0" w:color="auto"/>
              <w:left w:val="single" w:sz="4" w:space="0" w:color="auto"/>
              <w:bottom w:val="single" w:sz="4" w:space="0" w:color="auto"/>
              <w:right w:val="single" w:sz="4" w:space="0" w:color="auto"/>
            </w:tcBorders>
            <w:hideMark/>
          </w:tcPr>
          <w:p w14:paraId="7E403989" w14:textId="77777777" w:rsidR="000C45B9" w:rsidRPr="000C45B9" w:rsidRDefault="000C45B9" w:rsidP="0084356A">
            <w:pPr>
              <w:pStyle w:val="BodyText"/>
              <w:spacing w:before="0" w:after="60"/>
              <w:rPr>
                <w:lang w:val="en-GB"/>
              </w:rPr>
            </w:pPr>
            <w:r w:rsidRPr="000C45B9">
              <w:rPr>
                <w:lang w:val="en-GB"/>
              </w:rPr>
              <w:t xml:space="preserve">Additional cases per 1000 HRT users over 5 years (95%CI) </w:t>
            </w:r>
          </w:p>
        </w:tc>
      </w:tr>
      <w:tr w:rsidR="000C45B9" w:rsidRPr="000C45B9" w14:paraId="51DF3AD9" w14:textId="77777777" w:rsidTr="001F5B36">
        <w:tc>
          <w:tcPr>
            <w:tcW w:w="2604"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1737C7" w14:textId="77777777" w:rsidR="000C45B9" w:rsidRPr="000C45B9" w:rsidRDefault="000C45B9" w:rsidP="0084356A">
            <w:pPr>
              <w:pStyle w:val="BodyText"/>
              <w:spacing w:before="0" w:after="60"/>
              <w:rPr>
                <w:b/>
                <w:lang w:val="en-GB"/>
              </w:rPr>
            </w:pPr>
          </w:p>
        </w:tc>
        <w:tc>
          <w:tcPr>
            <w:tcW w:w="2396"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72C38556" w14:textId="4A8ADAA2" w:rsidR="000C45B9" w:rsidRPr="000C45B9" w:rsidRDefault="00D02706" w:rsidP="0084356A">
            <w:pPr>
              <w:pStyle w:val="BodyText"/>
              <w:spacing w:before="0" w:after="60"/>
              <w:rPr>
                <w:b/>
                <w:lang w:val="en-GB"/>
              </w:rPr>
            </w:pPr>
            <w:r>
              <w:rPr>
                <w:b/>
                <w:lang w:val="en-GB"/>
              </w:rPr>
              <w:t>Oe</w:t>
            </w:r>
            <w:r w:rsidR="000C45B9" w:rsidRPr="000C45B9">
              <w:rPr>
                <w:b/>
                <w:lang w:val="en-GB"/>
              </w:rPr>
              <w:t>strogen only HRT</w:t>
            </w:r>
          </w:p>
        </w:tc>
      </w:tr>
      <w:tr w:rsidR="000C45B9" w:rsidRPr="000C45B9" w14:paraId="46218C3A" w14:textId="77777777" w:rsidTr="001F5B36">
        <w:tc>
          <w:tcPr>
            <w:tcW w:w="668" w:type="pct"/>
            <w:tcBorders>
              <w:top w:val="single" w:sz="4" w:space="0" w:color="auto"/>
              <w:left w:val="single" w:sz="4" w:space="0" w:color="auto"/>
              <w:bottom w:val="single" w:sz="4" w:space="0" w:color="auto"/>
              <w:right w:val="single" w:sz="4" w:space="0" w:color="auto"/>
            </w:tcBorders>
            <w:vAlign w:val="center"/>
            <w:hideMark/>
          </w:tcPr>
          <w:p w14:paraId="7BE1790F" w14:textId="77777777" w:rsidR="000C45B9" w:rsidRPr="000C45B9" w:rsidRDefault="000C45B9" w:rsidP="0084356A">
            <w:pPr>
              <w:pStyle w:val="BodyText"/>
              <w:spacing w:before="0" w:after="60"/>
              <w:rPr>
                <w:lang w:val="en-GB"/>
              </w:rPr>
            </w:pPr>
            <w:r w:rsidRPr="000C45B9">
              <w:rPr>
                <w:lang w:val="en-GB"/>
              </w:rPr>
              <w:t>50-65</w:t>
            </w:r>
          </w:p>
        </w:tc>
        <w:tc>
          <w:tcPr>
            <w:tcW w:w="1936" w:type="pct"/>
            <w:tcBorders>
              <w:top w:val="single" w:sz="4" w:space="0" w:color="auto"/>
              <w:left w:val="single" w:sz="4" w:space="0" w:color="auto"/>
              <w:bottom w:val="single" w:sz="4" w:space="0" w:color="auto"/>
              <w:right w:val="single" w:sz="4" w:space="0" w:color="auto"/>
            </w:tcBorders>
            <w:vAlign w:val="center"/>
            <w:hideMark/>
          </w:tcPr>
          <w:p w14:paraId="13EE39AD" w14:textId="77777777" w:rsidR="000C45B9" w:rsidRPr="000C45B9" w:rsidRDefault="000C45B9" w:rsidP="0084356A">
            <w:pPr>
              <w:pStyle w:val="BodyText"/>
              <w:spacing w:before="0" w:after="60"/>
              <w:rPr>
                <w:lang w:val="en-GB"/>
              </w:rPr>
            </w:pPr>
            <w:r w:rsidRPr="000C45B9">
              <w:rPr>
                <w:lang w:val="en-GB"/>
              </w:rPr>
              <w:t>9-12</w:t>
            </w:r>
          </w:p>
        </w:tc>
        <w:tc>
          <w:tcPr>
            <w:tcW w:w="687" w:type="pct"/>
            <w:tcBorders>
              <w:top w:val="single" w:sz="4" w:space="0" w:color="auto"/>
              <w:left w:val="single" w:sz="4" w:space="0" w:color="auto"/>
              <w:bottom w:val="single" w:sz="4" w:space="0" w:color="auto"/>
              <w:right w:val="single" w:sz="4" w:space="0" w:color="auto"/>
            </w:tcBorders>
            <w:vAlign w:val="center"/>
            <w:hideMark/>
          </w:tcPr>
          <w:p w14:paraId="352753D3" w14:textId="77777777" w:rsidR="000C45B9" w:rsidRPr="000C45B9" w:rsidRDefault="000C45B9" w:rsidP="0084356A">
            <w:pPr>
              <w:pStyle w:val="BodyText"/>
              <w:spacing w:before="0" w:after="60"/>
              <w:rPr>
                <w:lang w:val="en-GB"/>
              </w:rPr>
            </w:pPr>
            <w:r w:rsidRPr="000C45B9">
              <w:rPr>
                <w:lang w:val="en-GB"/>
              </w:rPr>
              <w:t>1.2</w:t>
            </w:r>
          </w:p>
        </w:tc>
        <w:tc>
          <w:tcPr>
            <w:tcW w:w="1709" w:type="pct"/>
            <w:tcBorders>
              <w:top w:val="single" w:sz="4" w:space="0" w:color="auto"/>
              <w:left w:val="single" w:sz="4" w:space="0" w:color="auto"/>
              <w:bottom w:val="single" w:sz="4" w:space="0" w:color="auto"/>
              <w:right w:val="single" w:sz="4" w:space="0" w:color="auto"/>
            </w:tcBorders>
            <w:vAlign w:val="center"/>
            <w:hideMark/>
          </w:tcPr>
          <w:p w14:paraId="40C7A569" w14:textId="77777777" w:rsidR="000C45B9" w:rsidRPr="000C45B9" w:rsidRDefault="000C45B9" w:rsidP="0084356A">
            <w:pPr>
              <w:pStyle w:val="BodyText"/>
              <w:spacing w:before="0" w:after="60"/>
              <w:rPr>
                <w:lang w:val="en-GB"/>
              </w:rPr>
            </w:pPr>
            <w:r w:rsidRPr="000C45B9">
              <w:rPr>
                <w:lang w:val="en-GB"/>
              </w:rPr>
              <w:t>1-2 (0-3)</w:t>
            </w:r>
          </w:p>
        </w:tc>
      </w:tr>
    </w:tbl>
    <w:p w14:paraId="7AD5FF76" w14:textId="4D548476" w:rsidR="000C45B9" w:rsidRDefault="000C45B9" w:rsidP="003A2836">
      <w:pPr>
        <w:pStyle w:val="BodyText"/>
        <w:spacing w:before="0" w:after="0"/>
      </w:pPr>
      <w:r>
        <w:t>#Overall risk ratio. The risk ratio is not constant but will increase with increasing duration on use</w:t>
      </w:r>
      <w:r w:rsidR="003A2836">
        <w:t>.</w:t>
      </w:r>
    </w:p>
    <w:p w14:paraId="79BEECD8" w14:textId="00574FA3" w:rsidR="000C45B9" w:rsidRDefault="000C45B9" w:rsidP="000C45B9">
      <w:pPr>
        <w:pStyle w:val="BodyText"/>
      </w:pPr>
      <w:r>
        <w:t>Note: Since the background incidence of breast cancer differs by EU country, the number of additional cases of breast cancer will also change proportionately.</w:t>
      </w:r>
    </w:p>
    <w:p w14:paraId="57DCDB1A" w14:textId="77777777" w:rsidR="007A73D7" w:rsidRDefault="007A73D7" w:rsidP="000C45B9">
      <w:pPr>
        <w:pStyle w:val="BodyText"/>
        <w:rPr>
          <w:b/>
          <w:bCs/>
        </w:rPr>
      </w:pPr>
    </w:p>
    <w:p w14:paraId="54407B19" w14:textId="6A94570F" w:rsidR="000C45B9" w:rsidRPr="000C45B9" w:rsidRDefault="000C45B9" w:rsidP="000C45B9">
      <w:pPr>
        <w:pStyle w:val="BodyText"/>
        <w:rPr>
          <w:b/>
          <w:bCs/>
        </w:rPr>
      </w:pPr>
      <w:r w:rsidRPr="000C45B9">
        <w:rPr>
          <w:b/>
          <w:bCs/>
        </w:rPr>
        <w:lastRenderedPageBreak/>
        <w:t>US WHI studies - additional risk of breast cancer after 5 years’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979"/>
        <w:gridCol w:w="2073"/>
        <w:gridCol w:w="3217"/>
      </w:tblGrid>
      <w:tr w:rsidR="000C45B9" w:rsidRPr="000C45B9" w14:paraId="61435A32" w14:textId="77777777" w:rsidTr="000C45B9">
        <w:tc>
          <w:tcPr>
            <w:tcW w:w="656" w:type="pct"/>
            <w:tcBorders>
              <w:top w:val="single" w:sz="4" w:space="0" w:color="auto"/>
              <w:left w:val="single" w:sz="4" w:space="0" w:color="auto"/>
              <w:bottom w:val="single" w:sz="4" w:space="0" w:color="auto"/>
              <w:right w:val="single" w:sz="4" w:space="0" w:color="auto"/>
            </w:tcBorders>
            <w:hideMark/>
          </w:tcPr>
          <w:p w14:paraId="1112C6CF" w14:textId="77777777" w:rsidR="000C45B9" w:rsidRPr="000C45B9" w:rsidRDefault="000C45B9" w:rsidP="003A2836">
            <w:pPr>
              <w:pStyle w:val="BodyText"/>
              <w:spacing w:after="60"/>
              <w:rPr>
                <w:lang w:val="en"/>
              </w:rPr>
            </w:pPr>
            <w:r w:rsidRPr="000C45B9">
              <w:rPr>
                <w:lang w:val="en"/>
              </w:rPr>
              <w:t>Age range</w:t>
            </w:r>
          </w:p>
          <w:p w14:paraId="18619B97" w14:textId="77777777" w:rsidR="000C45B9" w:rsidRPr="000C45B9" w:rsidRDefault="000C45B9" w:rsidP="003A2836">
            <w:pPr>
              <w:pStyle w:val="BodyText"/>
              <w:spacing w:after="60"/>
              <w:rPr>
                <w:lang w:val="en"/>
              </w:rPr>
            </w:pPr>
            <w:r w:rsidRPr="000C45B9">
              <w:rPr>
                <w:lang w:val="en"/>
              </w:rPr>
              <w:t>(years)</w:t>
            </w:r>
          </w:p>
        </w:tc>
        <w:tc>
          <w:tcPr>
            <w:tcW w:w="1565" w:type="pct"/>
            <w:tcBorders>
              <w:top w:val="single" w:sz="4" w:space="0" w:color="auto"/>
              <w:left w:val="single" w:sz="4" w:space="0" w:color="auto"/>
              <w:bottom w:val="single" w:sz="4" w:space="0" w:color="auto"/>
              <w:right w:val="single" w:sz="4" w:space="0" w:color="auto"/>
            </w:tcBorders>
            <w:hideMark/>
          </w:tcPr>
          <w:p w14:paraId="739A9FA8" w14:textId="77777777" w:rsidR="000C45B9" w:rsidRPr="000C45B9" w:rsidRDefault="000C45B9" w:rsidP="003A2836">
            <w:pPr>
              <w:pStyle w:val="BodyText"/>
              <w:spacing w:after="60"/>
              <w:rPr>
                <w:lang w:val="en"/>
              </w:rPr>
            </w:pPr>
            <w:r w:rsidRPr="000C45B9">
              <w:rPr>
                <w:lang w:val="en"/>
              </w:rPr>
              <w:t>Incidence per 1000 women in placebo arm over 5 years</w:t>
            </w:r>
          </w:p>
        </w:tc>
        <w:tc>
          <w:tcPr>
            <w:tcW w:w="1089" w:type="pct"/>
            <w:tcBorders>
              <w:top w:val="single" w:sz="4" w:space="0" w:color="auto"/>
              <w:left w:val="single" w:sz="4" w:space="0" w:color="auto"/>
              <w:bottom w:val="single" w:sz="4" w:space="0" w:color="auto"/>
              <w:right w:val="single" w:sz="4" w:space="0" w:color="auto"/>
            </w:tcBorders>
            <w:hideMark/>
          </w:tcPr>
          <w:p w14:paraId="0DEBEBE4" w14:textId="77777777" w:rsidR="000C45B9" w:rsidRPr="000C45B9" w:rsidRDefault="000C45B9" w:rsidP="003A2836">
            <w:pPr>
              <w:pStyle w:val="BodyText"/>
              <w:spacing w:after="60"/>
              <w:rPr>
                <w:lang w:val="en"/>
              </w:rPr>
            </w:pPr>
            <w:r w:rsidRPr="000C45B9">
              <w:rPr>
                <w:lang w:val="en"/>
              </w:rPr>
              <w:t xml:space="preserve">Risk ratio &amp; 95%CI </w:t>
            </w:r>
          </w:p>
        </w:tc>
        <w:tc>
          <w:tcPr>
            <w:tcW w:w="1691" w:type="pct"/>
            <w:tcBorders>
              <w:top w:val="single" w:sz="4" w:space="0" w:color="auto"/>
              <w:left w:val="single" w:sz="4" w:space="0" w:color="auto"/>
              <w:bottom w:val="single" w:sz="4" w:space="0" w:color="auto"/>
              <w:right w:val="single" w:sz="4" w:space="0" w:color="auto"/>
            </w:tcBorders>
            <w:hideMark/>
          </w:tcPr>
          <w:p w14:paraId="2EC5470C" w14:textId="77777777" w:rsidR="000C45B9" w:rsidRPr="000C45B9" w:rsidRDefault="000C45B9" w:rsidP="003A2836">
            <w:pPr>
              <w:pStyle w:val="BodyText"/>
              <w:spacing w:after="60"/>
              <w:rPr>
                <w:lang w:val="en"/>
              </w:rPr>
            </w:pPr>
            <w:r w:rsidRPr="000C45B9">
              <w:rPr>
                <w:lang w:val="en"/>
              </w:rPr>
              <w:t>Additional cases per 1000 HRT users over 5 years (95%CI)</w:t>
            </w:r>
          </w:p>
        </w:tc>
      </w:tr>
      <w:tr w:rsidR="000C45B9" w:rsidRPr="000C45B9" w14:paraId="29731B80" w14:textId="77777777" w:rsidTr="000C45B9">
        <w:tc>
          <w:tcPr>
            <w:tcW w:w="2220" w:type="pct"/>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FE80AE6" w14:textId="77777777" w:rsidR="000C45B9" w:rsidRPr="000C45B9" w:rsidRDefault="000C45B9" w:rsidP="003A2836">
            <w:pPr>
              <w:pStyle w:val="BodyText"/>
              <w:spacing w:after="60"/>
              <w:rPr>
                <w:lang w:val="en"/>
              </w:rPr>
            </w:pPr>
          </w:p>
        </w:tc>
        <w:tc>
          <w:tcPr>
            <w:tcW w:w="278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3F7187C" w14:textId="43FFFD09" w:rsidR="000C45B9" w:rsidRPr="000C45B9" w:rsidRDefault="000C45B9" w:rsidP="003A2836">
            <w:pPr>
              <w:pStyle w:val="BodyText"/>
              <w:spacing w:after="60"/>
              <w:rPr>
                <w:b/>
                <w:lang w:val="en"/>
              </w:rPr>
            </w:pPr>
            <w:r w:rsidRPr="000C45B9">
              <w:rPr>
                <w:b/>
                <w:lang w:val="en"/>
              </w:rPr>
              <w:t xml:space="preserve">CEE </w:t>
            </w:r>
            <w:proofErr w:type="spellStart"/>
            <w:r w:rsidR="00D02706">
              <w:rPr>
                <w:b/>
                <w:lang w:val="en"/>
              </w:rPr>
              <w:t>o</w:t>
            </w:r>
            <w:r w:rsidRPr="000C45B9">
              <w:rPr>
                <w:b/>
                <w:lang w:val="en"/>
              </w:rPr>
              <w:t>estrogen</w:t>
            </w:r>
            <w:proofErr w:type="spellEnd"/>
            <w:r w:rsidRPr="000C45B9">
              <w:rPr>
                <w:b/>
                <w:lang w:val="en"/>
              </w:rPr>
              <w:t>-only</w:t>
            </w:r>
          </w:p>
        </w:tc>
      </w:tr>
      <w:tr w:rsidR="000C45B9" w:rsidRPr="000C45B9" w14:paraId="6217EF60" w14:textId="77777777" w:rsidTr="000C45B9">
        <w:tc>
          <w:tcPr>
            <w:tcW w:w="656" w:type="pct"/>
            <w:tcBorders>
              <w:top w:val="single" w:sz="4" w:space="0" w:color="auto"/>
              <w:left w:val="single" w:sz="4" w:space="0" w:color="auto"/>
              <w:bottom w:val="single" w:sz="4" w:space="0" w:color="auto"/>
              <w:right w:val="single" w:sz="4" w:space="0" w:color="auto"/>
            </w:tcBorders>
            <w:vAlign w:val="center"/>
            <w:hideMark/>
          </w:tcPr>
          <w:p w14:paraId="3FF2B7CB" w14:textId="77777777" w:rsidR="000C45B9" w:rsidRPr="000C45B9" w:rsidRDefault="000C45B9" w:rsidP="003A2836">
            <w:pPr>
              <w:pStyle w:val="BodyText"/>
              <w:spacing w:after="60"/>
              <w:rPr>
                <w:lang w:val="en"/>
              </w:rPr>
            </w:pPr>
            <w:r w:rsidRPr="000C45B9">
              <w:rPr>
                <w:lang w:val="en"/>
              </w:rPr>
              <w:t>50-79</w:t>
            </w:r>
          </w:p>
        </w:tc>
        <w:tc>
          <w:tcPr>
            <w:tcW w:w="1565" w:type="pct"/>
            <w:tcBorders>
              <w:top w:val="single" w:sz="4" w:space="0" w:color="auto"/>
              <w:left w:val="single" w:sz="4" w:space="0" w:color="auto"/>
              <w:bottom w:val="single" w:sz="4" w:space="0" w:color="auto"/>
              <w:right w:val="single" w:sz="4" w:space="0" w:color="auto"/>
            </w:tcBorders>
            <w:vAlign w:val="center"/>
            <w:hideMark/>
          </w:tcPr>
          <w:p w14:paraId="5D81CCB9" w14:textId="77777777" w:rsidR="000C45B9" w:rsidRPr="000C45B9" w:rsidRDefault="000C45B9" w:rsidP="003A2836">
            <w:pPr>
              <w:pStyle w:val="BodyText"/>
              <w:spacing w:after="60"/>
              <w:rPr>
                <w:lang w:val="en"/>
              </w:rPr>
            </w:pPr>
            <w:r w:rsidRPr="000C45B9">
              <w:rPr>
                <w:lang w:val="en"/>
              </w:rPr>
              <w:t>21</w:t>
            </w:r>
          </w:p>
        </w:tc>
        <w:tc>
          <w:tcPr>
            <w:tcW w:w="1089" w:type="pct"/>
            <w:tcBorders>
              <w:top w:val="single" w:sz="4" w:space="0" w:color="auto"/>
              <w:left w:val="single" w:sz="4" w:space="0" w:color="auto"/>
              <w:bottom w:val="single" w:sz="4" w:space="0" w:color="auto"/>
              <w:right w:val="single" w:sz="4" w:space="0" w:color="auto"/>
            </w:tcBorders>
            <w:vAlign w:val="center"/>
            <w:hideMark/>
          </w:tcPr>
          <w:p w14:paraId="5797B736" w14:textId="77777777" w:rsidR="000C45B9" w:rsidRPr="000C45B9" w:rsidRDefault="000C45B9" w:rsidP="003A2836">
            <w:pPr>
              <w:pStyle w:val="BodyText"/>
              <w:spacing w:after="60"/>
              <w:rPr>
                <w:lang w:val="en"/>
              </w:rPr>
            </w:pPr>
            <w:r w:rsidRPr="000C45B9">
              <w:rPr>
                <w:lang w:val="en"/>
              </w:rPr>
              <w:t>0.8 (0.7 – 1.0)</w:t>
            </w:r>
          </w:p>
        </w:tc>
        <w:tc>
          <w:tcPr>
            <w:tcW w:w="1691" w:type="pct"/>
            <w:tcBorders>
              <w:top w:val="single" w:sz="4" w:space="0" w:color="auto"/>
              <w:left w:val="single" w:sz="4" w:space="0" w:color="auto"/>
              <w:bottom w:val="single" w:sz="4" w:space="0" w:color="auto"/>
              <w:right w:val="single" w:sz="4" w:space="0" w:color="auto"/>
            </w:tcBorders>
            <w:vAlign w:val="center"/>
            <w:hideMark/>
          </w:tcPr>
          <w:p w14:paraId="725C82EF" w14:textId="77777777" w:rsidR="000C45B9" w:rsidRPr="000C45B9" w:rsidRDefault="000C45B9" w:rsidP="003A2836">
            <w:pPr>
              <w:pStyle w:val="BodyText"/>
              <w:spacing w:after="60"/>
              <w:rPr>
                <w:lang w:val="en"/>
              </w:rPr>
            </w:pPr>
            <w:r w:rsidRPr="000C45B9">
              <w:rPr>
                <w:lang w:val="en"/>
              </w:rPr>
              <w:t>-4 (-6 – 0)</w:t>
            </w:r>
            <w:r w:rsidRPr="000C45B9">
              <w:rPr>
                <w:vertAlign w:val="superscript"/>
                <w:lang w:val="en"/>
              </w:rPr>
              <w:footnoteReference w:id="3"/>
            </w:r>
          </w:p>
        </w:tc>
      </w:tr>
    </w:tbl>
    <w:p w14:paraId="6A8015D8" w14:textId="7E2F8E25" w:rsidR="000C45B9" w:rsidRDefault="000C45B9" w:rsidP="000C45B9">
      <w:pPr>
        <w:pStyle w:val="subheading4BOLD"/>
        <w:spacing w:before="240"/>
      </w:pPr>
      <w:r>
        <w:t>Ovarian cancer</w:t>
      </w:r>
    </w:p>
    <w:p w14:paraId="7212CC94" w14:textId="0A80334F" w:rsidR="000C45B9" w:rsidRDefault="000C45B9" w:rsidP="000C45B9">
      <w:pPr>
        <w:pStyle w:val="BodyText"/>
      </w:pPr>
      <w:r>
        <w:t xml:space="preserve">Use of </w:t>
      </w:r>
      <w:r w:rsidR="00D02706">
        <w:t>o</w:t>
      </w:r>
      <w:r>
        <w:t xml:space="preserve">estrogen-only or combined </w:t>
      </w:r>
      <w:r w:rsidR="00D02706">
        <w:t>o</w:t>
      </w:r>
      <w:r>
        <w:t>estrogen-</w:t>
      </w:r>
      <w:r w:rsidR="003F3193">
        <w:t>progestogen</w:t>
      </w:r>
      <w:r>
        <w:t xml:space="preserve"> HRT has been associated with a slightly increased risk of having ovarian cancer diagnosed (see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t xml:space="preserve">). </w:t>
      </w:r>
    </w:p>
    <w:p w14:paraId="016D302F" w14:textId="563F453F" w:rsidR="000C45B9" w:rsidRDefault="000C45B9" w:rsidP="000C45B9">
      <w:pPr>
        <w:pStyle w:val="BodyText"/>
      </w:pPr>
      <w:r>
        <w:t>A meta-analysis from 52 epidemiological studies reported an increased risk of ovarian cancer in women currently using HRT compared to women who have never used HRT (RR 1.43, 95% CI 1.31-1.56). For women aged 50 to 54 years taking 5 years of HRT, this results in about 1 extra case per 2000 users. In women aged 50 to 54 who are not taking HRT, about 2 women in 2000 will be diagnosed with ovarian cancer over a 5-year period.</w:t>
      </w:r>
    </w:p>
    <w:p w14:paraId="1BCD148D" w14:textId="76AC4A5A" w:rsidR="000C45B9" w:rsidRDefault="000C45B9" w:rsidP="000C45B9">
      <w:pPr>
        <w:pStyle w:val="subheading4BOLD"/>
        <w:spacing w:before="240"/>
      </w:pPr>
      <w:r>
        <w:t xml:space="preserve">Risk of venous thromboembolism </w:t>
      </w:r>
    </w:p>
    <w:p w14:paraId="4AAD5D19" w14:textId="21E5001F" w:rsidR="000C45B9" w:rsidRDefault="000C45B9" w:rsidP="000C45B9">
      <w:pPr>
        <w:pStyle w:val="BodyText"/>
      </w:pPr>
      <w:r w:rsidRPr="000C45B9">
        <w:t xml:space="preserve">HRT is associated with a 1.3-3-fold increased relative risk of developing VTE, </w:t>
      </w:r>
      <w:r w:rsidR="00753714" w:rsidRPr="000C45B9">
        <w:t>i.e.,</w:t>
      </w:r>
      <w:r w:rsidRPr="000C45B9">
        <w:t xml:space="preserve"> deep vein thrombosis or pulmonary embolism. The occurrence of such an event is more likely in the first year of using HT (see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rsidRPr="000C45B9">
        <w:t>). Results of the WHI studies are presented:</w:t>
      </w:r>
    </w:p>
    <w:p w14:paraId="58C27960" w14:textId="1ACE97C6" w:rsidR="000C45B9" w:rsidRPr="000C45B9" w:rsidRDefault="000C45B9" w:rsidP="000C45B9">
      <w:pPr>
        <w:pStyle w:val="BodyText"/>
        <w:rPr>
          <w:b/>
          <w:bCs/>
        </w:rPr>
      </w:pPr>
      <w:r w:rsidRPr="000C45B9">
        <w:rPr>
          <w:b/>
          <w:bCs/>
        </w:rPr>
        <w:t>WHI Studies - Additional risk of VTE over 5 years’ use</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2850"/>
        <w:gridCol w:w="1712"/>
        <w:gridCol w:w="2586"/>
      </w:tblGrid>
      <w:tr w:rsidR="000C45B9" w:rsidRPr="000C45B9" w14:paraId="0FC441D8" w14:textId="77777777" w:rsidTr="000C45B9">
        <w:tc>
          <w:tcPr>
            <w:tcW w:w="1823" w:type="dxa"/>
            <w:tcBorders>
              <w:top w:val="single" w:sz="4" w:space="0" w:color="auto"/>
              <w:left w:val="single" w:sz="4" w:space="0" w:color="auto"/>
              <w:bottom w:val="single" w:sz="4" w:space="0" w:color="auto"/>
              <w:right w:val="single" w:sz="4" w:space="0" w:color="auto"/>
            </w:tcBorders>
            <w:hideMark/>
          </w:tcPr>
          <w:p w14:paraId="1879B390" w14:textId="77777777" w:rsidR="000C45B9" w:rsidRPr="000C45B9" w:rsidRDefault="000C45B9" w:rsidP="003A2836">
            <w:pPr>
              <w:pStyle w:val="BodyText"/>
              <w:spacing w:after="60"/>
              <w:rPr>
                <w:lang w:val="en"/>
              </w:rPr>
            </w:pPr>
            <w:r w:rsidRPr="000C45B9">
              <w:rPr>
                <w:lang w:val="en"/>
              </w:rPr>
              <w:t>Age range</w:t>
            </w:r>
          </w:p>
          <w:p w14:paraId="0FEA5EAD" w14:textId="77777777" w:rsidR="000C45B9" w:rsidRPr="000C45B9" w:rsidRDefault="000C45B9" w:rsidP="003A2836">
            <w:pPr>
              <w:pStyle w:val="BodyText"/>
              <w:spacing w:after="60"/>
              <w:rPr>
                <w:lang w:val="en"/>
              </w:rPr>
            </w:pPr>
            <w:r w:rsidRPr="000C45B9">
              <w:rPr>
                <w:lang w:val="en"/>
              </w:rPr>
              <w:t>(years)</w:t>
            </w:r>
          </w:p>
        </w:tc>
        <w:tc>
          <w:tcPr>
            <w:tcW w:w="2850" w:type="dxa"/>
            <w:tcBorders>
              <w:top w:val="single" w:sz="4" w:space="0" w:color="auto"/>
              <w:left w:val="single" w:sz="4" w:space="0" w:color="auto"/>
              <w:bottom w:val="single" w:sz="4" w:space="0" w:color="auto"/>
              <w:right w:val="single" w:sz="4" w:space="0" w:color="auto"/>
            </w:tcBorders>
            <w:hideMark/>
          </w:tcPr>
          <w:p w14:paraId="2D3ED1A4" w14:textId="77777777" w:rsidR="000C45B9" w:rsidRPr="000C45B9" w:rsidRDefault="000C45B9" w:rsidP="003A2836">
            <w:pPr>
              <w:pStyle w:val="BodyText"/>
              <w:spacing w:after="60"/>
              <w:rPr>
                <w:lang w:val="en"/>
              </w:rPr>
            </w:pPr>
            <w:r w:rsidRPr="000C45B9">
              <w:rPr>
                <w:lang w:val="en"/>
              </w:rPr>
              <w:t>Incidence per 1000 women in placebo arm over 5 years</w:t>
            </w:r>
          </w:p>
        </w:tc>
        <w:tc>
          <w:tcPr>
            <w:tcW w:w="1712" w:type="dxa"/>
            <w:tcBorders>
              <w:top w:val="single" w:sz="4" w:space="0" w:color="auto"/>
              <w:left w:val="single" w:sz="4" w:space="0" w:color="auto"/>
              <w:bottom w:val="single" w:sz="4" w:space="0" w:color="auto"/>
              <w:right w:val="single" w:sz="4" w:space="0" w:color="auto"/>
            </w:tcBorders>
            <w:hideMark/>
          </w:tcPr>
          <w:p w14:paraId="5DFD3C4B" w14:textId="77777777" w:rsidR="000C45B9" w:rsidRPr="000C45B9" w:rsidRDefault="000C45B9" w:rsidP="003A2836">
            <w:pPr>
              <w:pStyle w:val="BodyText"/>
              <w:spacing w:after="60"/>
              <w:rPr>
                <w:lang w:val="en"/>
              </w:rPr>
            </w:pPr>
            <w:r w:rsidRPr="000C45B9">
              <w:rPr>
                <w:lang w:val="en"/>
              </w:rPr>
              <w:t>Risk ratio and 95%CI</w:t>
            </w:r>
          </w:p>
        </w:tc>
        <w:tc>
          <w:tcPr>
            <w:tcW w:w="2586" w:type="dxa"/>
            <w:tcBorders>
              <w:top w:val="single" w:sz="4" w:space="0" w:color="auto"/>
              <w:left w:val="single" w:sz="4" w:space="0" w:color="auto"/>
              <w:bottom w:val="single" w:sz="4" w:space="0" w:color="auto"/>
              <w:right w:val="single" w:sz="4" w:space="0" w:color="auto"/>
            </w:tcBorders>
            <w:hideMark/>
          </w:tcPr>
          <w:p w14:paraId="56FF0088" w14:textId="77777777" w:rsidR="000C45B9" w:rsidRPr="000C45B9" w:rsidRDefault="000C45B9" w:rsidP="003A2836">
            <w:pPr>
              <w:pStyle w:val="BodyText"/>
              <w:spacing w:after="60"/>
              <w:rPr>
                <w:lang w:val="en"/>
              </w:rPr>
            </w:pPr>
            <w:r w:rsidRPr="000C45B9">
              <w:rPr>
                <w:lang w:val="en"/>
              </w:rPr>
              <w:t>Additional cases per 1000 HRT users</w:t>
            </w:r>
          </w:p>
        </w:tc>
      </w:tr>
      <w:tr w:rsidR="000C45B9" w:rsidRPr="000C45B9" w14:paraId="6DD9FAB7" w14:textId="77777777" w:rsidTr="000C45B9">
        <w:trPr>
          <w:cantSplit/>
        </w:trPr>
        <w:tc>
          <w:tcPr>
            <w:tcW w:w="8971"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71EA62D" w14:textId="0C309AC9" w:rsidR="000C45B9" w:rsidRPr="000C45B9" w:rsidRDefault="000C45B9" w:rsidP="003A2836">
            <w:pPr>
              <w:pStyle w:val="BodyText"/>
              <w:spacing w:after="60"/>
              <w:rPr>
                <w:lang w:val="en-GB"/>
              </w:rPr>
            </w:pPr>
            <w:r w:rsidRPr="000C45B9">
              <w:rPr>
                <w:lang w:val="en-GB"/>
              </w:rPr>
              <w:t xml:space="preserve">Oral </w:t>
            </w:r>
            <w:r w:rsidR="00D02706">
              <w:rPr>
                <w:lang w:val="en-GB"/>
              </w:rPr>
              <w:t>o</w:t>
            </w:r>
            <w:r w:rsidRPr="000C45B9">
              <w:rPr>
                <w:lang w:val="en-GB"/>
              </w:rPr>
              <w:t>estrogen-only</w:t>
            </w:r>
            <w:r w:rsidRPr="000C45B9">
              <w:rPr>
                <w:vertAlign w:val="superscript"/>
                <w:lang w:val="en-GB"/>
              </w:rPr>
              <w:footnoteReference w:id="4"/>
            </w:r>
          </w:p>
        </w:tc>
      </w:tr>
      <w:tr w:rsidR="000C45B9" w:rsidRPr="000C45B9" w14:paraId="41221361" w14:textId="77777777" w:rsidTr="000C45B9">
        <w:trPr>
          <w:cantSplit/>
        </w:trPr>
        <w:tc>
          <w:tcPr>
            <w:tcW w:w="1823" w:type="dxa"/>
            <w:tcBorders>
              <w:top w:val="single" w:sz="4" w:space="0" w:color="auto"/>
              <w:left w:val="single" w:sz="4" w:space="0" w:color="auto"/>
              <w:bottom w:val="single" w:sz="4" w:space="0" w:color="auto"/>
              <w:right w:val="single" w:sz="4" w:space="0" w:color="auto"/>
            </w:tcBorders>
            <w:hideMark/>
          </w:tcPr>
          <w:p w14:paraId="5E742DBF" w14:textId="77777777" w:rsidR="000C45B9" w:rsidRPr="000C45B9" w:rsidRDefault="000C45B9" w:rsidP="003A2836">
            <w:pPr>
              <w:pStyle w:val="BodyText"/>
              <w:spacing w:after="60"/>
              <w:rPr>
                <w:lang w:val="en"/>
              </w:rPr>
            </w:pPr>
            <w:r w:rsidRPr="000C45B9">
              <w:rPr>
                <w:lang w:val="en"/>
              </w:rPr>
              <w:t>50-59</w:t>
            </w:r>
          </w:p>
        </w:tc>
        <w:tc>
          <w:tcPr>
            <w:tcW w:w="2850" w:type="dxa"/>
            <w:tcBorders>
              <w:top w:val="single" w:sz="4" w:space="0" w:color="auto"/>
              <w:left w:val="single" w:sz="4" w:space="0" w:color="auto"/>
              <w:bottom w:val="single" w:sz="4" w:space="0" w:color="auto"/>
              <w:right w:val="single" w:sz="4" w:space="0" w:color="auto"/>
            </w:tcBorders>
            <w:hideMark/>
          </w:tcPr>
          <w:p w14:paraId="2A0BEE8D" w14:textId="77777777" w:rsidR="000C45B9" w:rsidRPr="000C45B9" w:rsidRDefault="000C45B9" w:rsidP="003A2836">
            <w:pPr>
              <w:pStyle w:val="BodyText"/>
              <w:spacing w:after="60"/>
              <w:rPr>
                <w:lang w:val="en-GB"/>
              </w:rPr>
            </w:pPr>
            <w:r w:rsidRPr="000C45B9">
              <w:rPr>
                <w:lang w:val="en-GB"/>
              </w:rPr>
              <w:t>7</w:t>
            </w:r>
          </w:p>
        </w:tc>
        <w:tc>
          <w:tcPr>
            <w:tcW w:w="1712" w:type="dxa"/>
            <w:tcBorders>
              <w:top w:val="single" w:sz="4" w:space="0" w:color="auto"/>
              <w:left w:val="single" w:sz="4" w:space="0" w:color="auto"/>
              <w:bottom w:val="single" w:sz="4" w:space="0" w:color="auto"/>
              <w:right w:val="single" w:sz="4" w:space="0" w:color="auto"/>
            </w:tcBorders>
            <w:hideMark/>
          </w:tcPr>
          <w:p w14:paraId="26CB5BDC" w14:textId="77777777" w:rsidR="000C45B9" w:rsidRPr="000C45B9" w:rsidRDefault="000C45B9" w:rsidP="003A2836">
            <w:pPr>
              <w:pStyle w:val="BodyText"/>
              <w:spacing w:after="60"/>
              <w:rPr>
                <w:lang w:val="en"/>
              </w:rPr>
            </w:pPr>
            <w:r w:rsidRPr="000C45B9">
              <w:rPr>
                <w:lang w:val="en"/>
              </w:rPr>
              <w:t>1.2 (0.6 - 2.4)</w:t>
            </w:r>
          </w:p>
        </w:tc>
        <w:tc>
          <w:tcPr>
            <w:tcW w:w="2586" w:type="dxa"/>
            <w:tcBorders>
              <w:top w:val="single" w:sz="4" w:space="0" w:color="auto"/>
              <w:left w:val="single" w:sz="4" w:space="0" w:color="auto"/>
              <w:bottom w:val="single" w:sz="4" w:space="0" w:color="auto"/>
              <w:right w:val="single" w:sz="4" w:space="0" w:color="auto"/>
            </w:tcBorders>
            <w:hideMark/>
          </w:tcPr>
          <w:p w14:paraId="628FC915" w14:textId="77777777" w:rsidR="000C45B9" w:rsidRPr="000C45B9" w:rsidRDefault="000C45B9" w:rsidP="003A2836">
            <w:pPr>
              <w:pStyle w:val="BodyText"/>
              <w:spacing w:after="60"/>
              <w:rPr>
                <w:lang w:val="en-GB"/>
              </w:rPr>
            </w:pPr>
            <w:r w:rsidRPr="000C45B9">
              <w:rPr>
                <w:lang w:val="en-GB"/>
              </w:rPr>
              <w:t>1 (-3 – 10)</w:t>
            </w:r>
          </w:p>
        </w:tc>
      </w:tr>
    </w:tbl>
    <w:p w14:paraId="528FCDB6" w14:textId="77777777" w:rsidR="000C45B9" w:rsidRPr="000C45B9" w:rsidRDefault="000C45B9" w:rsidP="000C45B9">
      <w:pPr>
        <w:pStyle w:val="BodyText"/>
      </w:pPr>
    </w:p>
    <w:p w14:paraId="43C2B93B" w14:textId="77777777" w:rsidR="000C45B9" w:rsidRDefault="000C45B9" w:rsidP="008F60D3">
      <w:pPr>
        <w:pStyle w:val="Heading3"/>
      </w:pPr>
    </w:p>
    <w:p w14:paraId="285D959A" w14:textId="77777777" w:rsidR="000C45B9" w:rsidRDefault="000C45B9" w:rsidP="008F60D3">
      <w:pPr>
        <w:pStyle w:val="Heading3"/>
      </w:pPr>
    </w:p>
    <w:p w14:paraId="63A95D14" w14:textId="1E87D34E" w:rsidR="000C45B9" w:rsidRDefault="000C45B9" w:rsidP="008F60D3">
      <w:pPr>
        <w:pStyle w:val="Heading3"/>
      </w:pPr>
    </w:p>
    <w:p w14:paraId="5BC211B4" w14:textId="29392970" w:rsidR="000C45B9" w:rsidRDefault="000C45B9" w:rsidP="000C45B9">
      <w:pPr>
        <w:pStyle w:val="subheading4BOLD"/>
      </w:pPr>
      <w:r>
        <w:t xml:space="preserve">Risk of coronary artery disease </w:t>
      </w:r>
    </w:p>
    <w:p w14:paraId="10F76EF4" w14:textId="50943E1F" w:rsidR="000C45B9" w:rsidRDefault="000C45B9" w:rsidP="000C45B9">
      <w:pPr>
        <w:pStyle w:val="BodyText"/>
      </w:pPr>
      <w:r w:rsidRPr="000C45B9">
        <w:t xml:space="preserve">The risk of coronary artery disease is slightly increased in users of combined </w:t>
      </w:r>
      <w:r w:rsidR="00D02706">
        <w:t>o</w:t>
      </w:r>
      <w:r w:rsidRPr="000C45B9">
        <w:t>estrogen-</w:t>
      </w:r>
      <w:r w:rsidR="003F3193">
        <w:t>progestogen</w:t>
      </w:r>
      <w:r w:rsidRPr="000C45B9">
        <w:t xml:space="preserve"> HRT over the age of 60 (see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rsidRPr="000C45B9">
        <w:t>).</w:t>
      </w:r>
    </w:p>
    <w:p w14:paraId="0437ADA5" w14:textId="4CB725FD" w:rsidR="000C45B9" w:rsidRDefault="000C45B9" w:rsidP="000C45B9">
      <w:pPr>
        <w:pStyle w:val="subheading4BOLD"/>
      </w:pPr>
      <w:r>
        <w:lastRenderedPageBreak/>
        <w:t xml:space="preserve">Risk of ischaemic stroke </w:t>
      </w:r>
    </w:p>
    <w:p w14:paraId="53F4B28A" w14:textId="1D411A1D" w:rsidR="000C45B9" w:rsidRDefault="000C45B9" w:rsidP="000C45B9">
      <w:pPr>
        <w:pStyle w:val="ListParagraph"/>
      </w:pPr>
      <w:r>
        <w:t xml:space="preserve">The use of </w:t>
      </w:r>
      <w:r w:rsidR="00D02706">
        <w:t>o</w:t>
      </w:r>
      <w:r>
        <w:t xml:space="preserve">estrogen-only and </w:t>
      </w:r>
      <w:r w:rsidR="00D02706">
        <w:t>o</w:t>
      </w:r>
      <w:r>
        <w:t xml:space="preserve">estrogen + </w:t>
      </w:r>
      <w:r w:rsidR="003F3193">
        <w:t>progestogen</w:t>
      </w:r>
      <w:r>
        <w:t xml:space="preserve"> therapy is associated with an up to </w:t>
      </w:r>
      <w:r w:rsidR="00753714">
        <w:t>1.5-fold</w:t>
      </w:r>
      <w:r>
        <w:t xml:space="preserve"> increased relative risk of ischaemic stroke. The risk of haemorrhagic stroke is not increased during use of HRT.</w:t>
      </w:r>
    </w:p>
    <w:p w14:paraId="0FC1508F" w14:textId="08F17B0A" w:rsidR="000C45B9" w:rsidRDefault="000C45B9" w:rsidP="000C45B9">
      <w:pPr>
        <w:pStyle w:val="ListParagraph"/>
      </w:pPr>
      <w:r>
        <w:t xml:space="preserve">This relative risk is not dependent on age or on duration of use, but as the baseline risk is strongly age-dependent, the overall risk of stroke in women who use HRT will increase with age, see </w:t>
      </w:r>
      <w:r w:rsidRPr="000C45B9">
        <w:t xml:space="preserve">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t>.</w:t>
      </w:r>
    </w:p>
    <w:p w14:paraId="0BB41B13" w14:textId="77777777" w:rsidR="00EA5D9A" w:rsidRPr="00EA5D9A" w:rsidRDefault="00EA5D9A" w:rsidP="00EA5D9A">
      <w:pPr>
        <w:pStyle w:val="BodyText"/>
        <w:rPr>
          <w:b/>
          <w:bCs/>
          <w:vertAlign w:val="superscript"/>
        </w:rPr>
      </w:pPr>
      <w:r w:rsidRPr="00EA5D9A">
        <w:rPr>
          <w:b/>
          <w:bCs/>
        </w:rPr>
        <w:t>WHI studies combined - Additional risk of ischaemic stroke</w:t>
      </w:r>
      <w:r w:rsidRPr="00EA5D9A">
        <w:rPr>
          <w:rStyle w:val="FootnoteReference"/>
          <w:rFonts w:ascii="Cambria" w:hAnsi="Cambria"/>
          <w:b/>
          <w:bCs/>
          <w:sz w:val="22"/>
          <w:szCs w:val="22"/>
          <w:vertAlign w:val="superscript"/>
        </w:rPr>
        <w:footnoteReference w:id="5"/>
      </w:r>
      <w:r w:rsidRPr="00EA5D9A">
        <w:rPr>
          <w:b/>
          <w:bCs/>
        </w:rPr>
        <w:t xml:space="preserve"> over 5 years’ </w:t>
      </w:r>
      <w:proofErr w:type="gramStart"/>
      <w:r w:rsidRPr="00EA5D9A">
        <w:rPr>
          <w:b/>
          <w:bCs/>
        </w:rPr>
        <w:t>use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3120"/>
        <w:gridCol w:w="1711"/>
        <w:gridCol w:w="2749"/>
      </w:tblGrid>
      <w:tr w:rsidR="00EA5D9A" w:rsidRPr="00EA5D9A" w14:paraId="234A8ED5" w14:textId="77777777" w:rsidTr="00EA5D9A">
        <w:tc>
          <w:tcPr>
            <w:tcW w:w="1018" w:type="pct"/>
            <w:tcBorders>
              <w:top w:val="single" w:sz="4" w:space="0" w:color="auto"/>
              <w:left w:val="single" w:sz="4" w:space="0" w:color="auto"/>
              <w:bottom w:val="single" w:sz="4" w:space="0" w:color="auto"/>
              <w:right w:val="single" w:sz="4" w:space="0" w:color="auto"/>
            </w:tcBorders>
            <w:hideMark/>
          </w:tcPr>
          <w:p w14:paraId="693ED30A" w14:textId="77777777" w:rsidR="00EA5D9A" w:rsidRPr="00EA5D9A" w:rsidRDefault="00EA5D9A" w:rsidP="003A2836">
            <w:pPr>
              <w:pStyle w:val="BodyText"/>
              <w:spacing w:after="60"/>
              <w:rPr>
                <w:lang w:val="en"/>
              </w:rPr>
            </w:pPr>
            <w:r w:rsidRPr="00EA5D9A">
              <w:rPr>
                <w:lang w:val="en"/>
              </w:rPr>
              <w:t>Age range</w:t>
            </w:r>
          </w:p>
          <w:p w14:paraId="2A332005" w14:textId="77777777" w:rsidR="00EA5D9A" w:rsidRPr="00EA5D9A" w:rsidRDefault="00EA5D9A" w:rsidP="003A2836">
            <w:pPr>
              <w:pStyle w:val="BodyText"/>
              <w:spacing w:after="60"/>
              <w:rPr>
                <w:lang w:val="en"/>
              </w:rPr>
            </w:pPr>
            <w:r w:rsidRPr="00EA5D9A">
              <w:rPr>
                <w:lang w:val="en"/>
              </w:rPr>
              <w:t>(years)</w:t>
            </w:r>
          </w:p>
        </w:tc>
        <w:tc>
          <w:tcPr>
            <w:tcW w:w="1639" w:type="pct"/>
            <w:tcBorders>
              <w:top w:val="single" w:sz="4" w:space="0" w:color="auto"/>
              <w:left w:val="single" w:sz="4" w:space="0" w:color="auto"/>
              <w:bottom w:val="single" w:sz="4" w:space="0" w:color="auto"/>
              <w:right w:val="single" w:sz="4" w:space="0" w:color="auto"/>
            </w:tcBorders>
            <w:hideMark/>
          </w:tcPr>
          <w:p w14:paraId="06601D30" w14:textId="77777777" w:rsidR="00EA5D9A" w:rsidRPr="00EA5D9A" w:rsidRDefault="00EA5D9A" w:rsidP="003A2836">
            <w:pPr>
              <w:pStyle w:val="BodyText"/>
              <w:spacing w:after="60"/>
              <w:rPr>
                <w:vertAlign w:val="superscript"/>
                <w:lang w:val="en"/>
              </w:rPr>
            </w:pPr>
            <w:r w:rsidRPr="00EA5D9A">
              <w:rPr>
                <w:lang w:val="en"/>
              </w:rPr>
              <w:t>Incidence per 1000 women in placebo arm over 5 years</w:t>
            </w:r>
          </w:p>
        </w:tc>
        <w:tc>
          <w:tcPr>
            <w:tcW w:w="899" w:type="pct"/>
            <w:tcBorders>
              <w:top w:val="single" w:sz="4" w:space="0" w:color="auto"/>
              <w:left w:val="single" w:sz="4" w:space="0" w:color="auto"/>
              <w:bottom w:val="single" w:sz="4" w:space="0" w:color="auto"/>
              <w:right w:val="single" w:sz="4" w:space="0" w:color="auto"/>
            </w:tcBorders>
            <w:hideMark/>
          </w:tcPr>
          <w:p w14:paraId="304C64D9" w14:textId="77777777" w:rsidR="00EA5D9A" w:rsidRPr="00EA5D9A" w:rsidRDefault="00EA5D9A" w:rsidP="003A2836">
            <w:pPr>
              <w:pStyle w:val="BodyText"/>
              <w:spacing w:after="60"/>
              <w:rPr>
                <w:vertAlign w:val="superscript"/>
                <w:lang w:val="en"/>
              </w:rPr>
            </w:pPr>
            <w:r w:rsidRPr="00EA5D9A">
              <w:rPr>
                <w:lang w:val="en"/>
              </w:rPr>
              <w:t>Risk ratio and 95%CI</w:t>
            </w:r>
          </w:p>
        </w:tc>
        <w:tc>
          <w:tcPr>
            <w:tcW w:w="1444" w:type="pct"/>
            <w:tcBorders>
              <w:top w:val="single" w:sz="4" w:space="0" w:color="auto"/>
              <w:left w:val="single" w:sz="4" w:space="0" w:color="auto"/>
              <w:bottom w:val="single" w:sz="4" w:space="0" w:color="auto"/>
              <w:right w:val="single" w:sz="4" w:space="0" w:color="auto"/>
            </w:tcBorders>
            <w:hideMark/>
          </w:tcPr>
          <w:p w14:paraId="7DC5AB53" w14:textId="77777777" w:rsidR="00EA5D9A" w:rsidRPr="00EA5D9A" w:rsidRDefault="00EA5D9A" w:rsidP="003A2836">
            <w:pPr>
              <w:pStyle w:val="BodyText"/>
              <w:spacing w:after="60"/>
              <w:rPr>
                <w:lang w:val="en"/>
              </w:rPr>
            </w:pPr>
            <w:r w:rsidRPr="00EA5D9A">
              <w:rPr>
                <w:lang w:val="en"/>
              </w:rPr>
              <w:t>Additional cases per 1000 HRT users over 5 years</w:t>
            </w:r>
          </w:p>
        </w:tc>
      </w:tr>
      <w:tr w:rsidR="00EA5D9A" w:rsidRPr="00EA5D9A" w14:paraId="37447FB0" w14:textId="77777777" w:rsidTr="00EA5D9A">
        <w:trPr>
          <w:cantSplit/>
        </w:trPr>
        <w:tc>
          <w:tcPr>
            <w:tcW w:w="1018" w:type="pct"/>
            <w:tcBorders>
              <w:top w:val="single" w:sz="4" w:space="0" w:color="auto"/>
              <w:left w:val="single" w:sz="4" w:space="0" w:color="auto"/>
              <w:bottom w:val="single" w:sz="4" w:space="0" w:color="auto"/>
              <w:right w:val="single" w:sz="4" w:space="0" w:color="auto"/>
            </w:tcBorders>
            <w:vAlign w:val="center"/>
            <w:hideMark/>
          </w:tcPr>
          <w:p w14:paraId="7E5648A2" w14:textId="77777777" w:rsidR="00EA5D9A" w:rsidRPr="00EA5D9A" w:rsidRDefault="00EA5D9A" w:rsidP="003A2836">
            <w:pPr>
              <w:pStyle w:val="BodyText"/>
              <w:spacing w:after="60"/>
              <w:rPr>
                <w:lang w:val="en"/>
              </w:rPr>
            </w:pPr>
            <w:r w:rsidRPr="00EA5D9A">
              <w:rPr>
                <w:lang w:val="en"/>
              </w:rPr>
              <w:t>50-59</w:t>
            </w:r>
          </w:p>
        </w:tc>
        <w:tc>
          <w:tcPr>
            <w:tcW w:w="1639" w:type="pct"/>
            <w:tcBorders>
              <w:top w:val="single" w:sz="4" w:space="0" w:color="auto"/>
              <w:left w:val="single" w:sz="4" w:space="0" w:color="auto"/>
              <w:bottom w:val="single" w:sz="4" w:space="0" w:color="auto"/>
              <w:right w:val="single" w:sz="4" w:space="0" w:color="auto"/>
            </w:tcBorders>
            <w:vAlign w:val="center"/>
            <w:hideMark/>
          </w:tcPr>
          <w:p w14:paraId="4F2D6516" w14:textId="77777777" w:rsidR="00EA5D9A" w:rsidRPr="00EA5D9A" w:rsidRDefault="00EA5D9A" w:rsidP="003A2836">
            <w:pPr>
              <w:pStyle w:val="BodyText"/>
              <w:spacing w:after="60"/>
              <w:rPr>
                <w:lang w:val="en-GB"/>
              </w:rPr>
            </w:pPr>
            <w:r w:rsidRPr="00EA5D9A">
              <w:rPr>
                <w:lang w:val="en-GB"/>
              </w:rPr>
              <w:t>8</w:t>
            </w:r>
          </w:p>
        </w:tc>
        <w:tc>
          <w:tcPr>
            <w:tcW w:w="899" w:type="pct"/>
            <w:tcBorders>
              <w:top w:val="single" w:sz="4" w:space="0" w:color="auto"/>
              <w:left w:val="single" w:sz="4" w:space="0" w:color="auto"/>
              <w:bottom w:val="single" w:sz="4" w:space="0" w:color="auto"/>
              <w:right w:val="single" w:sz="4" w:space="0" w:color="auto"/>
            </w:tcBorders>
            <w:vAlign w:val="center"/>
            <w:hideMark/>
          </w:tcPr>
          <w:p w14:paraId="1B8BEF1C" w14:textId="77777777" w:rsidR="00EA5D9A" w:rsidRPr="00EA5D9A" w:rsidRDefault="00EA5D9A" w:rsidP="003A2836">
            <w:pPr>
              <w:pStyle w:val="BodyText"/>
              <w:spacing w:after="60"/>
              <w:rPr>
                <w:lang w:val="en"/>
              </w:rPr>
            </w:pPr>
            <w:r w:rsidRPr="00EA5D9A">
              <w:rPr>
                <w:lang w:val="en"/>
              </w:rPr>
              <w:t>1.3 (1.1-1.6)</w:t>
            </w:r>
          </w:p>
        </w:tc>
        <w:tc>
          <w:tcPr>
            <w:tcW w:w="1444" w:type="pct"/>
            <w:tcBorders>
              <w:top w:val="single" w:sz="4" w:space="0" w:color="auto"/>
              <w:left w:val="single" w:sz="4" w:space="0" w:color="auto"/>
              <w:bottom w:val="single" w:sz="4" w:space="0" w:color="auto"/>
              <w:right w:val="single" w:sz="4" w:space="0" w:color="auto"/>
            </w:tcBorders>
            <w:vAlign w:val="center"/>
            <w:hideMark/>
          </w:tcPr>
          <w:p w14:paraId="6260D126" w14:textId="77777777" w:rsidR="00EA5D9A" w:rsidRPr="00EA5D9A" w:rsidRDefault="00EA5D9A" w:rsidP="003A2836">
            <w:pPr>
              <w:pStyle w:val="BodyText"/>
              <w:spacing w:after="60"/>
              <w:rPr>
                <w:lang w:val="en-GB"/>
              </w:rPr>
            </w:pPr>
            <w:r w:rsidRPr="00EA5D9A">
              <w:rPr>
                <w:lang w:val="en-GB"/>
              </w:rPr>
              <w:t>3 (1-5)</w:t>
            </w:r>
          </w:p>
        </w:tc>
      </w:tr>
    </w:tbl>
    <w:p w14:paraId="220FB956" w14:textId="49F1EC4D" w:rsidR="00EA5D9A" w:rsidRDefault="00EA5D9A" w:rsidP="00EA5D9A">
      <w:pPr>
        <w:pStyle w:val="BodyText"/>
        <w:spacing w:before="240"/>
      </w:pPr>
      <w:r>
        <w:t xml:space="preserve">Other adverse reactions have been reported in association with </w:t>
      </w:r>
      <w:r w:rsidR="0088614E">
        <w:t>o</w:t>
      </w:r>
      <w:r>
        <w:t>estrogen/</w:t>
      </w:r>
      <w:r w:rsidR="003F3193">
        <w:t>progestogen</w:t>
      </w:r>
      <w:r>
        <w:t xml:space="preserve"> treatment:</w:t>
      </w:r>
    </w:p>
    <w:p w14:paraId="48FEC63E" w14:textId="77777777" w:rsidR="00EA5D9A" w:rsidRDefault="00EA5D9A" w:rsidP="00EA5D9A">
      <w:pPr>
        <w:pStyle w:val="ListParagraph"/>
      </w:pPr>
      <w:r>
        <w:t>Gall bladder disease.</w:t>
      </w:r>
    </w:p>
    <w:p w14:paraId="69CB6C11" w14:textId="77777777" w:rsidR="00EA5D9A" w:rsidRDefault="00EA5D9A" w:rsidP="00EA5D9A">
      <w:pPr>
        <w:pStyle w:val="ListParagraph"/>
      </w:pPr>
      <w:r>
        <w:t>Skin and subcutaneous disorders: chloasma, erythema multiforme, erythema nodosum, vascular purpura.</w:t>
      </w:r>
    </w:p>
    <w:p w14:paraId="0B5DF503" w14:textId="6BB0ACCE" w:rsidR="00EA5D9A" w:rsidRPr="00EA5D9A" w:rsidRDefault="00EA5D9A" w:rsidP="00EA5D9A">
      <w:pPr>
        <w:pStyle w:val="ListParagraph"/>
      </w:pPr>
      <w:r>
        <w:t xml:space="preserve">Probable dementia over the age of 65 (see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t>).</w:t>
      </w:r>
    </w:p>
    <w:p w14:paraId="57300B5C" w14:textId="6B6C0661" w:rsidR="00962B1E" w:rsidRPr="003D5AFB" w:rsidRDefault="00962B1E" w:rsidP="008F60D3">
      <w:pPr>
        <w:pStyle w:val="Heading3"/>
      </w:pPr>
      <w:r w:rsidRPr="003D5AFB">
        <w:t>Reporting suspected adverse events</w:t>
      </w:r>
    </w:p>
    <w:p w14:paraId="5F8614EB" w14:textId="57FDBF43" w:rsidR="00AD62F4" w:rsidRPr="003D5AFB" w:rsidRDefault="00AD62F4" w:rsidP="004E340A">
      <w:pPr>
        <w:pStyle w:val="BodyText"/>
        <w:rPr>
          <w:rStyle w:val="markedcontent"/>
        </w:rPr>
      </w:pPr>
      <w:r w:rsidRPr="003D5AFB">
        <w:rPr>
          <w:rStyle w:val="markedcontent"/>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3D5AFB">
          <w:rPr>
            <w:rStyle w:val="Hyperlink"/>
          </w:rPr>
          <w:t>https://www.tga.gov.au/reporting-problems</w:t>
        </w:r>
      </w:hyperlink>
      <w:r w:rsidRPr="003D5AFB">
        <w:rPr>
          <w:rStyle w:val="markedcontent"/>
        </w:rPr>
        <w:t>.</w:t>
      </w:r>
    </w:p>
    <w:p w14:paraId="5E7DCFA2" w14:textId="7841E86E" w:rsidR="00962B1E" w:rsidRPr="003D5AFB" w:rsidRDefault="00962B1E" w:rsidP="00910010">
      <w:pPr>
        <w:pStyle w:val="Heading2"/>
      </w:pPr>
      <w:r w:rsidRPr="003D5AFB">
        <w:t>Overdose</w:t>
      </w:r>
    </w:p>
    <w:p w14:paraId="7136FE5B" w14:textId="77777777" w:rsidR="00C93AF9" w:rsidRPr="003D5AFB" w:rsidRDefault="005921F8" w:rsidP="004E340A">
      <w:pPr>
        <w:pStyle w:val="BodyText"/>
        <w:rPr>
          <w:rStyle w:val="markedcontent"/>
        </w:rPr>
      </w:pPr>
      <w:r w:rsidRPr="003D5AFB">
        <w:rPr>
          <w:rStyle w:val="markedcontent"/>
        </w:rPr>
        <w:t>No experience of overdosage is available. In the event of overdose, vaginal douching is recommended.</w:t>
      </w:r>
      <w:r w:rsidR="00F02178" w:rsidRPr="003D5AFB">
        <w:rPr>
          <w:rStyle w:val="markedcontent"/>
        </w:rPr>
        <w:t xml:space="preserve"> </w:t>
      </w:r>
    </w:p>
    <w:p w14:paraId="137EB04F" w14:textId="576FA5C3" w:rsidR="00AD62F4" w:rsidRPr="003D5AFB" w:rsidRDefault="00AD62F4" w:rsidP="004E340A">
      <w:pPr>
        <w:pStyle w:val="BodyText"/>
      </w:pPr>
      <w:r w:rsidRPr="003D5AFB">
        <w:rPr>
          <w:rStyle w:val="markedcontent"/>
        </w:rPr>
        <w:t>For information on the management of overdose, contact the Poisons Information Centre on 13</w:t>
      </w:r>
      <w:r w:rsidR="005921F8" w:rsidRPr="003D5AFB">
        <w:rPr>
          <w:rStyle w:val="markedcontent"/>
        </w:rPr>
        <w:t> </w:t>
      </w:r>
      <w:r w:rsidRPr="003D5AFB">
        <w:rPr>
          <w:rStyle w:val="markedcontent"/>
        </w:rPr>
        <w:t>11</w:t>
      </w:r>
      <w:r w:rsidR="005921F8" w:rsidRPr="003D5AFB">
        <w:rPr>
          <w:rStyle w:val="markedcontent"/>
        </w:rPr>
        <w:t> </w:t>
      </w:r>
      <w:r w:rsidRPr="003D5AFB">
        <w:rPr>
          <w:rStyle w:val="markedcontent"/>
        </w:rPr>
        <w:t>26 (Australia).</w:t>
      </w:r>
    </w:p>
    <w:p w14:paraId="2C8944EB" w14:textId="77777777" w:rsidR="00962B1E" w:rsidRPr="003D5AFB" w:rsidRDefault="00962B1E" w:rsidP="007447D6">
      <w:pPr>
        <w:pStyle w:val="Heading1"/>
      </w:pPr>
      <w:r w:rsidRPr="003D5AFB">
        <w:lastRenderedPageBreak/>
        <w:t>PHARMACOLOGICAL</w:t>
      </w:r>
      <w:r w:rsidRPr="003D5AFB">
        <w:rPr>
          <w:spacing w:val="73"/>
        </w:rPr>
        <w:t xml:space="preserve"> </w:t>
      </w:r>
      <w:r w:rsidRPr="003D5AFB">
        <w:t>PROPERTIES</w:t>
      </w:r>
    </w:p>
    <w:p w14:paraId="2925ACDC" w14:textId="2FFEA1FA" w:rsidR="00962B1E" w:rsidRPr="003D5AFB" w:rsidRDefault="00962B1E" w:rsidP="00910010">
      <w:pPr>
        <w:pStyle w:val="Heading2"/>
      </w:pPr>
      <w:bookmarkStart w:id="10" w:name="_Ref59624588"/>
      <w:bookmarkStart w:id="11" w:name="_Ref69888012"/>
      <w:r w:rsidRPr="003D5AFB">
        <w:t>Pharmacodynamic properties</w:t>
      </w:r>
      <w:bookmarkEnd w:id="10"/>
      <w:bookmarkEnd w:id="11"/>
      <w:r w:rsidRPr="003D5AFB">
        <w:t xml:space="preserve"> </w:t>
      </w:r>
    </w:p>
    <w:p w14:paraId="34E3D1D8" w14:textId="2094C75B" w:rsidR="003A2836" w:rsidRDefault="00AD62F4" w:rsidP="004E340A">
      <w:pPr>
        <w:pStyle w:val="BodyText"/>
        <w:rPr>
          <w:rStyle w:val="markedcontent"/>
        </w:rPr>
      </w:pPr>
      <w:r w:rsidRPr="003D5AFB">
        <w:rPr>
          <w:rStyle w:val="markedcontent"/>
        </w:rPr>
        <w:t>Pharmacotherapeutic group:</w:t>
      </w:r>
      <w:r w:rsidR="005921F8" w:rsidRPr="003D5AFB">
        <w:rPr>
          <w:rStyle w:val="markedcontent"/>
        </w:rPr>
        <w:t xml:space="preserve"> Other sex hormones and modulators of the genital system</w:t>
      </w:r>
      <w:r w:rsidR="003A2836">
        <w:rPr>
          <w:rStyle w:val="markedcontent"/>
        </w:rPr>
        <w:t>.</w:t>
      </w:r>
      <w:r w:rsidR="005921F8" w:rsidRPr="003D5AFB">
        <w:rPr>
          <w:rStyle w:val="markedcontent"/>
        </w:rPr>
        <w:t xml:space="preserve"> </w:t>
      </w:r>
    </w:p>
    <w:p w14:paraId="5698B9E1" w14:textId="05A5636C" w:rsidR="00AD62F4" w:rsidRPr="003D5AFB" w:rsidRDefault="00AD62F4" w:rsidP="004E340A">
      <w:pPr>
        <w:pStyle w:val="BodyText"/>
      </w:pPr>
      <w:r w:rsidRPr="003D5AFB">
        <w:rPr>
          <w:rStyle w:val="markedcontent"/>
        </w:rPr>
        <w:t>ATC</w:t>
      </w:r>
      <w:r w:rsidR="009D3C80" w:rsidRPr="003D5AFB">
        <w:rPr>
          <w:rStyle w:val="markedcontent"/>
        </w:rPr>
        <w:t> </w:t>
      </w:r>
      <w:r w:rsidRPr="003D5AFB">
        <w:rPr>
          <w:rStyle w:val="markedcontent"/>
        </w:rPr>
        <w:t>code</w:t>
      </w:r>
      <w:r w:rsidR="005921F8" w:rsidRPr="003D5AFB">
        <w:rPr>
          <w:rStyle w:val="markedcontent"/>
        </w:rPr>
        <w:t>: G03XX01</w:t>
      </w:r>
    </w:p>
    <w:p w14:paraId="38FAD3CF" w14:textId="11567870" w:rsidR="00962B1E" w:rsidRPr="003D5AFB" w:rsidRDefault="00962B1E" w:rsidP="008F60D3">
      <w:pPr>
        <w:pStyle w:val="Heading3"/>
      </w:pPr>
      <w:bookmarkStart w:id="12" w:name="Early_Breast_Cancer"/>
      <w:bookmarkStart w:id="13" w:name="Clinical_trials"/>
      <w:bookmarkStart w:id="14" w:name="Mechanism_of_action"/>
      <w:bookmarkEnd w:id="12"/>
      <w:bookmarkEnd w:id="13"/>
      <w:bookmarkEnd w:id="14"/>
      <w:r w:rsidRPr="003D5AFB">
        <w:t>Mechanism of action</w:t>
      </w:r>
    </w:p>
    <w:p w14:paraId="4684BE2B" w14:textId="0F946E73" w:rsidR="00241DF6" w:rsidRPr="003D5AFB" w:rsidRDefault="009A08D6" w:rsidP="004E340A">
      <w:pPr>
        <w:pStyle w:val="BodyText"/>
        <w:spacing w:before="26" w:after="200" w:line="277" w:lineRule="auto"/>
      </w:pPr>
      <w:proofErr w:type="spellStart"/>
      <w:r>
        <w:t>Prasterone</w:t>
      </w:r>
      <w:proofErr w:type="spellEnd"/>
      <w:r w:rsidR="00241DF6" w:rsidRPr="003D5AFB">
        <w:t xml:space="preserve"> is biochemically and biologically identical to endogenous human</w:t>
      </w:r>
      <w:r>
        <w:t xml:space="preserve"> dehydroepiandrosterone</w:t>
      </w:r>
      <w:r w:rsidR="00241DF6" w:rsidRPr="003D5AFB">
        <w:t xml:space="preserve"> </w:t>
      </w:r>
      <w:r>
        <w:t>(</w:t>
      </w:r>
      <w:r w:rsidR="00241DF6" w:rsidRPr="003D5AFB">
        <w:t>DHEA</w:t>
      </w:r>
      <w:r>
        <w:t>)</w:t>
      </w:r>
      <w:r w:rsidR="00241DF6" w:rsidRPr="003D5AFB">
        <w:t xml:space="preserve">, a precursor steroid </w:t>
      </w:r>
      <w:r>
        <w:t>with no or little pharmacological activity</w:t>
      </w:r>
      <w:r w:rsidR="00241DF6" w:rsidRPr="003D5AFB">
        <w:t xml:space="preserve"> itself</w:t>
      </w:r>
      <w:r w:rsidR="00EA5D9A">
        <w:t xml:space="preserve"> </w:t>
      </w:r>
      <w:r>
        <w:t xml:space="preserve">that </w:t>
      </w:r>
      <w:r w:rsidR="00EA5D9A">
        <w:t xml:space="preserve">is converted into </w:t>
      </w:r>
      <w:r w:rsidR="0088614E">
        <w:t>o</w:t>
      </w:r>
      <w:r w:rsidR="00241DF6" w:rsidRPr="003D5AFB">
        <w:t xml:space="preserve">estrogens and androgens. </w:t>
      </w:r>
      <w:r>
        <w:t xml:space="preserve">These </w:t>
      </w:r>
      <w:r w:rsidR="00F81701">
        <w:t xml:space="preserve">metabolites formed from </w:t>
      </w:r>
      <w:proofErr w:type="spellStart"/>
      <w:r w:rsidR="00F81701">
        <w:t>prasterone</w:t>
      </w:r>
      <w:proofErr w:type="spellEnd"/>
      <w:r w:rsidR="00F81701">
        <w:t xml:space="preserve"> activate oestrogen and androgen receptors. </w:t>
      </w:r>
      <w:r w:rsidR="008A7CD7" w:rsidRPr="003D5AFB">
        <w:t>INTRAROSA</w:t>
      </w:r>
      <w:r w:rsidR="00241DF6" w:rsidRPr="003D5AFB">
        <w:t xml:space="preserve"> is thus different from the </w:t>
      </w:r>
      <w:r w:rsidR="0088614E">
        <w:t>o</w:t>
      </w:r>
      <w:r w:rsidR="00C93AF9" w:rsidRPr="003D5AFB">
        <w:t xml:space="preserve">estrogens </w:t>
      </w:r>
      <w:r w:rsidR="00241DF6" w:rsidRPr="003D5AFB">
        <w:t xml:space="preserve">preparations since it </w:t>
      </w:r>
      <w:r w:rsidR="00C93AF9" w:rsidRPr="003D5AFB">
        <w:t>also delivers</w:t>
      </w:r>
      <w:r w:rsidR="00241DF6" w:rsidRPr="003D5AFB">
        <w:t xml:space="preserve"> androgen metabolites. </w:t>
      </w:r>
    </w:p>
    <w:p w14:paraId="3D570D1F" w14:textId="6D80489E" w:rsidR="00241DF6" w:rsidRPr="003D5AFB" w:rsidRDefault="00241DF6" w:rsidP="004E340A">
      <w:pPr>
        <w:pStyle w:val="BodyText"/>
      </w:pPr>
      <w:r w:rsidRPr="003D5AFB">
        <w:t>An increase in the number of superficial and intermediate cells and decrease in the number of parabasal cells in the vaginal mucosa is noted. In addition, the vaginal pH decreased towards the normal range, thus facilitating the growth of the normal bacterial flora.</w:t>
      </w:r>
    </w:p>
    <w:p w14:paraId="57FE7CD3" w14:textId="0019B53E" w:rsidR="00962B1E" w:rsidRPr="003D5AFB" w:rsidRDefault="00962B1E" w:rsidP="008F60D3">
      <w:pPr>
        <w:pStyle w:val="Heading3"/>
      </w:pPr>
      <w:bookmarkStart w:id="15" w:name="_Ref69888038"/>
      <w:r w:rsidRPr="003D5AFB">
        <w:t xml:space="preserve">Clinical </w:t>
      </w:r>
      <w:r w:rsidR="00EA5D9A">
        <w:t xml:space="preserve">efficacy </w:t>
      </w:r>
      <w:bookmarkEnd w:id="15"/>
    </w:p>
    <w:p w14:paraId="377D41CD" w14:textId="18B6F33D" w:rsidR="00241DF6" w:rsidRDefault="00EA5D9A" w:rsidP="00241DF6">
      <w:pPr>
        <w:pStyle w:val="subheading4BOLD"/>
      </w:pPr>
      <w:bookmarkStart w:id="16" w:name="_Ref90377878"/>
      <w:r>
        <w:t xml:space="preserve">Physiological response (objective measures) </w:t>
      </w:r>
    </w:p>
    <w:p w14:paraId="3D9E27C7" w14:textId="19A61788" w:rsidR="00EA5D9A" w:rsidRDefault="00EA5D9A" w:rsidP="00EA5D9A">
      <w:pPr>
        <w:pStyle w:val="BodyText"/>
      </w:pPr>
      <w:r w:rsidRPr="00EA5D9A">
        <w:t>Efficacy data were obtained from two US and Canadian randomised, double-blind, placebo-controlled, multicentre, pivotal phase III studies (ERC-231/Study 1 and ERC-238/Study 2) performed in postmenopausal women aged 40 to 80 years (mean age = 58.6 years in Study 1 and 59.5 years in Study 2) with vulvar and vaginal atrophy (</w:t>
      </w:r>
      <w:r w:rsidR="00753714" w:rsidRPr="00EA5D9A">
        <w:t>VVA)</w:t>
      </w:r>
      <w:r w:rsidRPr="00EA5D9A">
        <w:t xml:space="preserve">. At baseline, women had </w:t>
      </w:r>
      <w:r w:rsidRPr="00EA5D9A">
        <w:rPr>
          <w:rFonts w:hint="eastAsia"/>
        </w:rPr>
        <w:t>≤</w:t>
      </w:r>
      <w:r w:rsidRPr="00EA5D9A">
        <w:t xml:space="preserve"> 5.0% superficial cells in the vaginal smear, a vaginal pH ˃ 5.0 and they had identified dyspareunia (moderate to severe) as their most bothersome symptom (MBS) of VVA. After 12 weeks of daily treatment with a </w:t>
      </w:r>
      <w:proofErr w:type="spellStart"/>
      <w:r w:rsidRPr="00EA5D9A">
        <w:t>prasterone</w:t>
      </w:r>
      <w:proofErr w:type="spellEnd"/>
      <w:r w:rsidRPr="00EA5D9A">
        <w:t xml:space="preserve"> 6.5 mg pessary (n=81 in Study 1 and n=325 in Study 2), the change from baseline, in comparison with placebo treatment (n=77 in Study 1 and n=157 in Study 2), demonstrated significant improvements of the 3 co primary endpoints compared to placebo in both studies, namely increase of the percentage of superficial cells (p&lt;0.0001), decrease of the percentage of parabasal cells (p&lt;0.0001), and decrease in the vaginal pH (p&lt;0.0001).</w:t>
      </w:r>
    </w:p>
    <w:p w14:paraId="083DE92B" w14:textId="61BEF1EC" w:rsidR="00EA5D9A" w:rsidRDefault="00EA5D9A" w:rsidP="00EA5D9A">
      <w:pPr>
        <w:pStyle w:val="subheading4BOLD"/>
      </w:pPr>
      <w:r w:rsidRPr="00EA5D9A">
        <w:t>Symptoms (subjective measures)</w:t>
      </w:r>
    </w:p>
    <w:p w14:paraId="7553C47F" w14:textId="76487DBF" w:rsidR="00EA5D9A" w:rsidRDefault="00EA5D9A" w:rsidP="00EA5D9A">
      <w:pPr>
        <w:pStyle w:val="BodyText"/>
      </w:pPr>
      <w:r w:rsidRPr="00EA5D9A">
        <w:t xml:space="preserve">The MBS dyspareunia (co-primary endpoint) was assessed at baseline and 12 weeks with the severity scored as follows: None=0, Mild=1, Moderate=2, Severe=3. </w:t>
      </w:r>
      <w:r>
        <w:fldChar w:fldCharType="begin"/>
      </w:r>
      <w:r>
        <w:instrText xml:space="preserve"> REF _Ref126829377 \h </w:instrText>
      </w:r>
      <w:r>
        <w:fldChar w:fldCharType="separate"/>
      </w:r>
      <w:r w:rsidR="007A2C94">
        <w:t xml:space="preserve">Table </w:t>
      </w:r>
      <w:r w:rsidR="007A2C94">
        <w:rPr>
          <w:noProof/>
        </w:rPr>
        <w:t>3</w:t>
      </w:r>
      <w:r>
        <w:fldChar w:fldCharType="end"/>
      </w:r>
      <w:r>
        <w:t xml:space="preserve"> </w:t>
      </w:r>
      <w:r w:rsidRPr="00EA5D9A">
        <w:t>shows the mean change in severity score in MBS dyspareunia after 12 weeks with associated statistical testing for the difference vs. placebo for Study 1 (ERC 231) and Study 2 (ERC 238).</w:t>
      </w:r>
    </w:p>
    <w:p w14:paraId="5AE90056" w14:textId="77777777" w:rsidR="007A73D7" w:rsidRDefault="007A73D7" w:rsidP="003A2836">
      <w:pPr>
        <w:pStyle w:val="Caption"/>
        <w:ind w:left="993" w:hanging="993"/>
      </w:pPr>
      <w:bookmarkStart w:id="17" w:name="_Ref126829377"/>
    </w:p>
    <w:p w14:paraId="10B8AE6C" w14:textId="4ECE4990" w:rsidR="00EA5D9A" w:rsidRDefault="00EA5D9A" w:rsidP="003A2836">
      <w:pPr>
        <w:pStyle w:val="Caption"/>
        <w:ind w:left="993" w:hanging="993"/>
      </w:pPr>
      <w:r>
        <w:t xml:space="preserve">Table </w:t>
      </w:r>
      <w:r>
        <w:fldChar w:fldCharType="begin"/>
      </w:r>
      <w:r>
        <w:instrText xml:space="preserve"> SEQ Table \* ARABIC </w:instrText>
      </w:r>
      <w:r>
        <w:fldChar w:fldCharType="separate"/>
      </w:r>
      <w:r w:rsidR="007A2C94">
        <w:rPr>
          <w:noProof/>
        </w:rPr>
        <w:t>3</w:t>
      </w:r>
      <w:r>
        <w:fldChar w:fldCharType="end"/>
      </w:r>
      <w:bookmarkEnd w:id="17"/>
      <w:r>
        <w:t xml:space="preserve">: </w:t>
      </w:r>
      <w:r w:rsidR="003A2836">
        <w:tab/>
      </w:r>
      <w:r>
        <w:t xml:space="preserve">Primary </w:t>
      </w:r>
      <w:r w:rsidR="003A2836">
        <w:t>E</w:t>
      </w:r>
      <w:r>
        <w:t xml:space="preserve">fficacy </w:t>
      </w:r>
      <w:r w:rsidR="003A2836">
        <w:t>A</w:t>
      </w:r>
      <w:r>
        <w:t xml:space="preserve">nalysis - Change from </w:t>
      </w:r>
      <w:r w:rsidR="003A2836">
        <w:t>B</w:t>
      </w:r>
      <w:r>
        <w:t xml:space="preserve">aseline to </w:t>
      </w:r>
      <w:r w:rsidR="003A2836">
        <w:t>W</w:t>
      </w:r>
      <w:r>
        <w:t xml:space="preserve">eek 12 in the </w:t>
      </w:r>
      <w:r w:rsidR="003A2836">
        <w:t>M</w:t>
      </w:r>
      <w:r>
        <w:t xml:space="preserve">ost </w:t>
      </w:r>
      <w:r w:rsidR="003A2836">
        <w:t>B</w:t>
      </w:r>
      <w:r>
        <w:t xml:space="preserve">othersome </w:t>
      </w:r>
      <w:r w:rsidR="003A2836">
        <w:t>S</w:t>
      </w:r>
      <w:r>
        <w:t xml:space="preserve">ymptom </w:t>
      </w:r>
      <w:r w:rsidR="003A2836">
        <w:t>D</w:t>
      </w:r>
      <w:r>
        <w:t xml:space="preserve">yspareunia (ITT </w:t>
      </w:r>
      <w:r w:rsidR="003A2836">
        <w:t>p</w:t>
      </w:r>
      <w:r>
        <w:t>opulation; LOCF)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2705"/>
        <w:gridCol w:w="2604"/>
        <w:gridCol w:w="2604"/>
      </w:tblGrid>
      <w:tr w:rsidR="00EA5D9A" w:rsidRPr="00EA5D9A" w14:paraId="16B59A63" w14:textId="77777777" w:rsidTr="00EA5D9A">
        <w:tc>
          <w:tcPr>
            <w:tcW w:w="843" w:type="pct"/>
            <w:vMerge w:val="restart"/>
            <w:tcBorders>
              <w:top w:val="single" w:sz="4" w:space="0" w:color="auto"/>
              <w:left w:val="single" w:sz="4" w:space="0" w:color="auto"/>
              <w:bottom w:val="single" w:sz="4" w:space="0" w:color="auto"/>
              <w:right w:val="single" w:sz="4" w:space="0" w:color="auto"/>
            </w:tcBorders>
            <w:hideMark/>
          </w:tcPr>
          <w:p w14:paraId="766A36E1" w14:textId="77777777" w:rsidR="00EA5D9A" w:rsidRPr="00EA5D9A" w:rsidRDefault="00EA5D9A" w:rsidP="00EA5D9A">
            <w:pPr>
              <w:pStyle w:val="BodyText"/>
              <w:rPr>
                <w:b/>
                <w:lang w:val="en-GB"/>
              </w:rPr>
            </w:pPr>
            <w:r w:rsidRPr="00EA5D9A">
              <w:rPr>
                <w:b/>
                <w:lang w:val="en-GB"/>
              </w:rPr>
              <w:t>Study</w:t>
            </w:r>
          </w:p>
        </w:tc>
        <w:tc>
          <w:tcPr>
            <w:tcW w:w="4157" w:type="pct"/>
            <w:gridSpan w:val="3"/>
            <w:tcBorders>
              <w:top w:val="single" w:sz="4" w:space="0" w:color="auto"/>
              <w:left w:val="single" w:sz="4" w:space="0" w:color="auto"/>
              <w:bottom w:val="single" w:sz="4" w:space="0" w:color="auto"/>
              <w:right w:val="single" w:sz="4" w:space="0" w:color="auto"/>
            </w:tcBorders>
            <w:hideMark/>
          </w:tcPr>
          <w:p w14:paraId="63C85018" w14:textId="77777777" w:rsidR="00EA5D9A" w:rsidRPr="00EA5D9A" w:rsidRDefault="00EA5D9A" w:rsidP="00EA5D9A">
            <w:pPr>
              <w:pStyle w:val="BodyText"/>
              <w:jc w:val="center"/>
              <w:rPr>
                <w:b/>
                <w:lang w:val="en-GB"/>
              </w:rPr>
            </w:pPr>
            <w:r w:rsidRPr="00EA5D9A">
              <w:rPr>
                <w:b/>
                <w:lang w:val="en-GB"/>
              </w:rPr>
              <w:t>Dyspareunia</w:t>
            </w:r>
          </w:p>
        </w:tc>
      </w:tr>
      <w:tr w:rsidR="00EA5D9A" w:rsidRPr="00EA5D9A" w14:paraId="2A7FF3B7" w14:textId="77777777" w:rsidTr="00EA5D9A">
        <w:tc>
          <w:tcPr>
            <w:tcW w:w="0" w:type="auto"/>
            <w:vMerge/>
            <w:tcBorders>
              <w:top w:val="single" w:sz="4" w:space="0" w:color="auto"/>
              <w:left w:val="single" w:sz="4" w:space="0" w:color="auto"/>
              <w:bottom w:val="single" w:sz="4" w:space="0" w:color="auto"/>
              <w:right w:val="single" w:sz="4" w:space="0" w:color="auto"/>
            </w:tcBorders>
            <w:vAlign w:val="center"/>
            <w:hideMark/>
          </w:tcPr>
          <w:p w14:paraId="4FF0907F" w14:textId="77777777" w:rsidR="00EA5D9A" w:rsidRPr="00EA5D9A" w:rsidRDefault="00EA5D9A" w:rsidP="00EA5D9A">
            <w:pPr>
              <w:pStyle w:val="BodyText"/>
              <w:rPr>
                <w:b/>
                <w:lang w:val="en-GB"/>
              </w:rPr>
            </w:pPr>
          </w:p>
        </w:tc>
        <w:tc>
          <w:tcPr>
            <w:tcW w:w="1421" w:type="pct"/>
            <w:tcBorders>
              <w:top w:val="single" w:sz="4" w:space="0" w:color="auto"/>
              <w:left w:val="single" w:sz="4" w:space="0" w:color="auto"/>
              <w:bottom w:val="single" w:sz="4" w:space="0" w:color="auto"/>
              <w:right w:val="single" w:sz="4" w:space="0" w:color="auto"/>
            </w:tcBorders>
            <w:hideMark/>
          </w:tcPr>
          <w:p w14:paraId="5AE42B61" w14:textId="00AA87BF" w:rsidR="00EA5D9A" w:rsidRPr="00EA5D9A" w:rsidRDefault="00EA5D9A" w:rsidP="00EA5D9A">
            <w:pPr>
              <w:pStyle w:val="BodyText"/>
              <w:jc w:val="center"/>
              <w:rPr>
                <w:b/>
                <w:lang w:val="en-GB"/>
              </w:rPr>
            </w:pPr>
            <w:r w:rsidRPr="00EA5D9A">
              <w:rPr>
                <w:b/>
                <w:lang w:val="en-GB"/>
              </w:rPr>
              <w:t>I</w:t>
            </w:r>
            <w:r w:rsidR="003A2836">
              <w:rPr>
                <w:b/>
                <w:lang w:val="en-GB"/>
              </w:rPr>
              <w:t>NTRAROSA</w:t>
            </w:r>
            <w:r w:rsidRPr="00EA5D9A">
              <w:rPr>
                <w:b/>
                <w:lang w:val="en-GB"/>
              </w:rPr>
              <w:t xml:space="preserve"> 6.5 mg</w:t>
            </w:r>
          </w:p>
        </w:tc>
        <w:tc>
          <w:tcPr>
            <w:tcW w:w="1368" w:type="pct"/>
            <w:tcBorders>
              <w:top w:val="single" w:sz="4" w:space="0" w:color="auto"/>
              <w:left w:val="single" w:sz="4" w:space="0" w:color="auto"/>
              <w:bottom w:val="single" w:sz="4" w:space="0" w:color="auto"/>
              <w:right w:val="single" w:sz="4" w:space="0" w:color="auto"/>
            </w:tcBorders>
            <w:hideMark/>
          </w:tcPr>
          <w:p w14:paraId="7E6120DF" w14:textId="77777777" w:rsidR="00EA5D9A" w:rsidRPr="00EA5D9A" w:rsidRDefault="00EA5D9A" w:rsidP="00EA5D9A">
            <w:pPr>
              <w:pStyle w:val="BodyText"/>
              <w:jc w:val="center"/>
              <w:rPr>
                <w:b/>
                <w:lang w:val="en-GB"/>
              </w:rPr>
            </w:pPr>
            <w:r w:rsidRPr="00EA5D9A">
              <w:rPr>
                <w:b/>
                <w:lang w:val="en-GB"/>
              </w:rPr>
              <w:t>Placebo</w:t>
            </w:r>
          </w:p>
        </w:tc>
        <w:tc>
          <w:tcPr>
            <w:tcW w:w="1368" w:type="pct"/>
            <w:tcBorders>
              <w:top w:val="single" w:sz="4" w:space="0" w:color="auto"/>
              <w:left w:val="single" w:sz="4" w:space="0" w:color="auto"/>
              <w:bottom w:val="single" w:sz="4" w:space="0" w:color="auto"/>
              <w:right w:val="single" w:sz="4" w:space="0" w:color="auto"/>
            </w:tcBorders>
            <w:hideMark/>
          </w:tcPr>
          <w:p w14:paraId="6F36F5C8" w14:textId="77777777" w:rsidR="00EA5D9A" w:rsidRPr="00EA5D9A" w:rsidRDefault="00EA5D9A" w:rsidP="00EA5D9A">
            <w:pPr>
              <w:pStyle w:val="BodyText"/>
              <w:jc w:val="center"/>
              <w:rPr>
                <w:b/>
                <w:lang w:val="en-GB"/>
              </w:rPr>
            </w:pPr>
            <w:r w:rsidRPr="00EA5D9A">
              <w:rPr>
                <w:b/>
                <w:lang w:val="en-GB"/>
              </w:rPr>
              <w:t>p-value</w:t>
            </w:r>
          </w:p>
        </w:tc>
      </w:tr>
      <w:tr w:rsidR="00EA5D9A" w:rsidRPr="00EA5D9A" w14:paraId="36BB3EB8" w14:textId="77777777" w:rsidTr="00EA5D9A">
        <w:tc>
          <w:tcPr>
            <w:tcW w:w="843" w:type="pct"/>
            <w:tcBorders>
              <w:top w:val="single" w:sz="4" w:space="0" w:color="auto"/>
              <w:left w:val="single" w:sz="4" w:space="0" w:color="auto"/>
              <w:bottom w:val="single" w:sz="4" w:space="0" w:color="auto"/>
              <w:right w:val="single" w:sz="4" w:space="0" w:color="auto"/>
            </w:tcBorders>
            <w:hideMark/>
          </w:tcPr>
          <w:p w14:paraId="09B58947" w14:textId="77777777" w:rsidR="00EA5D9A" w:rsidRPr="00EA5D9A" w:rsidRDefault="00EA5D9A" w:rsidP="00EA5D9A">
            <w:pPr>
              <w:pStyle w:val="BodyText"/>
              <w:rPr>
                <w:b/>
                <w:lang w:val="en-GB"/>
              </w:rPr>
            </w:pPr>
            <w:r w:rsidRPr="00EA5D9A">
              <w:rPr>
                <w:b/>
                <w:bCs/>
                <w:lang w:val="en-GB"/>
              </w:rPr>
              <w:t>Study</w:t>
            </w:r>
            <w:r w:rsidRPr="00EA5D9A">
              <w:rPr>
                <w:b/>
                <w:lang w:val="en-GB"/>
              </w:rPr>
              <w:t xml:space="preserve"> 1 </w:t>
            </w:r>
          </w:p>
        </w:tc>
        <w:tc>
          <w:tcPr>
            <w:tcW w:w="1421" w:type="pct"/>
            <w:tcBorders>
              <w:top w:val="single" w:sz="4" w:space="0" w:color="auto"/>
              <w:left w:val="single" w:sz="4" w:space="0" w:color="auto"/>
              <w:bottom w:val="single" w:sz="4" w:space="0" w:color="auto"/>
              <w:right w:val="single" w:sz="4" w:space="0" w:color="auto"/>
            </w:tcBorders>
            <w:hideMark/>
          </w:tcPr>
          <w:p w14:paraId="14601B73" w14:textId="77777777" w:rsidR="00EA5D9A" w:rsidRPr="00EA5D9A" w:rsidRDefault="00EA5D9A" w:rsidP="00EA5D9A">
            <w:pPr>
              <w:pStyle w:val="BodyText"/>
              <w:jc w:val="center"/>
              <w:rPr>
                <w:lang w:val="en-GB"/>
              </w:rPr>
            </w:pPr>
            <w:r w:rsidRPr="00EA5D9A">
              <w:rPr>
                <w:lang w:val="en-GB"/>
              </w:rPr>
              <w:t>-1.27</w:t>
            </w:r>
          </w:p>
        </w:tc>
        <w:tc>
          <w:tcPr>
            <w:tcW w:w="1368" w:type="pct"/>
            <w:tcBorders>
              <w:top w:val="single" w:sz="4" w:space="0" w:color="auto"/>
              <w:left w:val="single" w:sz="4" w:space="0" w:color="auto"/>
              <w:bottom w:val="single" w:sz="4" w:space="0" w:color="auto"/>
              <w:right w:val="single" w:sz="4" w:space="0" w:color="auto"/>
            </w:tcBorders>
            <w:hideMark/>
          </w:tcPr>
          <w:p w14:paraId="4609B629" w14:textId="77777777" w:rsidR="00EA5D9A" w:rsidRPr="00EA5D9A" w:rsidRDefault="00EA5D9A" w:rsidP="00EA5D9A">
            <w:pPr>
              <w:pStyle w:val="BodyText"/>
              <w:jc w:val="center"/>
              <w:rPr>
                <w:lang w:val="en-GB"/>
              </w:rPr>
            </w:pPr>
            <w:r w:rsidRPr="00EA5D9A">
              <w:rPr>
                <w:lang w:val="en-GB"/>
              </w:rPr>
              <w:t>-0.87</w:t>
            </w:r>
          </w:p>
        </w:tc>
        <w:tc>
          <w:tcPr>
            <w:tcW w:w="1368" w:type="pct"/>
            <w:tcBorders>
              <w:top w:val="single" w:sz="4" w:space="0" w:color="auto"/>
              <w:left w:val="single" w:sz="4" w:space="0" w:color="auto"/>
              <w:bottom w:val="single" w:sz="4" w:space="0" w:color="auto"/>
              <w:right w:val="single" w:sz="4" w:space="0" w:color="auto"/>
            </w:tcBorders>
            <w:hideMark/>
          </w:tcPr>
          <w:p w14:paraId="7D9E2340" w14:textId="77777777" w:rsidR="00EA5D9A" w:rsidRPr="00EA5D9A" w:rsidRDefault="00EA5D9A" w:rsidP="00EA5D9A">
            <w:pPr>
              <w:pStyle w:val="BodyText"/>
              <w:jc w:val="center"/>
              <w:rPr>
                <w:lang w:val="en-GB"/>
              </w:rPr>
            </w:pPr>
            <w:r w:rsidRPr="00EA5D9A">
              <w:rPr>
                <w:lang w:val="en-GB"/>
              </w:rPr>
              <w:t>0.0132</w:t>
            </w:r>
          </w:p>
        </w:tc>
      </w:tr>
      <w:tr w:rsidR="00EA5D9A" w:rsidRPr="00EA5D9A" w14:paraId="7FF99B47" w14:textId="77777777" w:rsidTr="00EA5D9A">
        <w:tc>
          <w:tcPr>
            <w:tcW w:w="843" w:type="pct"/>
            <w:tcBorders>
              <w:top w:val="single" w:sz="4" w:space="0" w:color="auto"/>
              <w:left w:val="single" w:sz="4" w:space="0" w:color="auto"/>
              <w:bottom w:val="single" w:sz="4" w:space="0" w:color="auto"/>
              <w:right w:val="single" w:sz="4" w:space="0" w:color="auto"/>
            </w:tcBorders>
            <w:hideMark/>
          </w:tcPr>
          <w:p w14:paraId="4861E50C" w14:textId="77777777" w:rsidR="00EA5D9A" w:rsidRPr="00EA5D9A" w:rsidRDefault="00EA5D9A" w:rsidP="00EA5D9A">
            <w:pPr>
              <w:pStyle w:val="BodyText"/>
              <w:rPr>
                <w:b/>
                <w:lang w:val="en-GB"/>
              </w:rPr>
            </w:pPr>
            <w:r w:rsidRPr="00EA5D9A">
              <w:rPr>
                <w:b/>
                <w:bCs/>
                <w:lang w:val="en-GB"/>
              </w:rPr>
              <w:t>Study</w:t>
            </w:r>
            <w:r w:rsidRPr="00EA5D9A">
              <w:rPr>
                <w:b/>
                <w:lang w:val="en-GB"/>
              </w:rPr>
              <w:t xml:space="preserve"> 2 </w:t>
            </w:r>
          </w:p>
        </w:tc>
        <w:tc>
          <w:tcPr>
            <w:tcW w:w="1421" w:type="pct"/>
            <w:tcBorders>
              <w:top w:val="single" w:sz="4" w:space="0" w:color="auto"/>
              <w:left w:val="single" w:sz="4" w:space="0" w:color="auto"/>
              <w:bottom w:val="single" w:sz="4" w:space="0" w:color="auto"/>
              <w:right w:val="single" w:sz="4" w:space="0" w:color="auto"/>
            </w:tcBorders>
            <w:hideMark/>
          </w:tcPr>
          <w:p w14:paraId="6E9CCCC8" w14:textId="77777777" w:rsidR="00EA5D9A" w:rsidRPr="00EA5D9A" w:rsidRDefault="00EA5D9A" w:rsidP="00EA5D9A">
            <w:pPr>
              <w:pStyle w:val="BodyText"/>
              <w:jc w:val="center"/>
              <w:rPr>
                <w:lang w:val="en-GB"/>
              </w:rPr>
            </w:pPr>
            <w:r w:rsidRPr="00EA5D9A">
              <w:rPr>
                <w:lang w:val="en-GB"/>
              </w:rPr>
              <w:t>-1.42</w:t>
            </w:r>
          </w:p>
        </w:tc>
        <w:tc>
          <w:tcPr>
            <w:tcW w:w="1368" w:type="pct"/>
            <w:tcBorders>
              <w:top w:val="single" w:sz="4" w:space="0" w:color="auto"/>
              <w:left w:val="single" w:sz="4" w:space="0" w:color="auto"/>
              <w:bottom w:val="single" w:sz="4" w:space="0" w:color="auto"/>
              <w:right w:val="single" w:sz="4" w:space="0" w:color="auto"/>
            </w:tcBorders>
            <w:hideMark/>
          </w:tcPr>
          <w:p w14:paraId="1069032E" w14:textId="77777777" w:rsidR="00EA5D9A" w:rsidRPr="00EA5D9A" w:rsidRDefault="00EA5D9A" w:rsidP="00EA5D9A">
            <w:pPr>
              <w:pStyle w:val="BodyText"/>
              <w:jc w:val="center"/>
              <w:rPr>
                <w:lang w:val="en-GB"/>
              </w:rPr>
            </w:pPr>
            <w:r w:rsidRPr="00EA5D9A">
              <w:rPr>
                <w:lang w:val="en-GB"/>
              </w:rPr>
              <w:t>-1.06</w:t>
            </w:r>
          </w:p>
        </w:tc>
        <w:tc>
          <w:tcPr>
            <w:tcW w:w="1368" w:type="pct"/>
            <w:tcBorders>
              <w:top w:val="single" w:sz="4" w:space="0" w:color="auto"/>
              <w:left w:val="single" w:sz="4" w:space="0" w:color="auto"/>
              <w:bottom w:val="single" w:sz="4" w:space="0" w:color="auto"/>
              <w:right w:val="single" w:sz="4" w:space="0" w:color="auto"/>
            </w:tcBorders>
            <w:hideMark/>
          </w:tcPr>
          <w:p w14:paraId="27ABAC31" w14:textId="77777777" w:rsidR="00EA5D9A" w:rsidRPr="00EA5D9A" w:rsidRDefault="00EA5D9A" w:rsidP="00EA5D9A">
            <w:pPr>
              <w:pStyle w:val="BodyText"/>
              <w:jc w:val="center"/>
              <w:rPr>
                <w:lang w:val="en-GB"/>
              </w:rPr>
            </w:pPr>
            <w:r w:rsidRPr="00EA5D9A">
              <w:rPr>
                <w:lang w:val="en-GB"/>
              </w:rPr>
              <w:t>0.0002</w:t>
            </w:r>
          </w:p>
        </w:tc>
      </w:tr>
    </w:tbl>
    <w:p w14:paraId="763A6843" w14:textId="2FE56B06" w:rsidR="00EA5D9A" w:rsidRDefault="00FB1D84" w:rsidP="00EA5D9A">
      <w:pPr>
        <w:pStyle w:val="BodyText"/>
        <w:spacing w:before="240"/>
      </w:pPr>
      <w:r>
        <w:fldChar w:fldCharType="begin"/>
      </w:r>
      <w:r>
        <w:instrText xml:space="preserve"> REF _Ref126829590 \h </w:instrText>
      </w:r>
      <w:r>
        <w:fldChar w:fldCharType="separate"/>
      </w:r>
      <w:r w:rsidR="007A2C94">
        <w:t xml:space="preserve">Table </w:t>
      </w:r>
      <w:r w:rsidR="007A2C94">
        <w:rPr>
          <w:noProof/>
        </w:rPr>
        <w:t>4</w:t>
      </w:r>
      <w:r>
        <w:fldChar w:fldCharType="end"/>
      </w:r>
      <w:r>
        <w:t xml:space="preserve"> </w:t>
      </w:r>
      <w:r w:rsidR="00EA5D9A" w:rsidRPr="00EA5D9A">
        <w:t>shows the percentage of subjects who reported a change from baseline in their MBS dyspareunia at week 12. “Improvement” was defined as a reduction in the severity score of 1 or more. “Relief” was defined as no or only mild symptoms at week 12. “Substantial improvement” was restricted to patients who had moderate or severe MBS at baseline and changed from severe to mild or severe or moderate to none.</w:t>
      </w:r>
    </w:p>
    <w:p w14:paraId="6469ADD7" w14:textId="682ED22C" w:rsidR="00FB1D84" w:rsidRDefault="00FB1D84" w:rsidP="006A4A43">
      <w:pPr>
        <w:pStyle w:val="Caption"/>
        <w:ind w:left="993" w:hanging="993"/>
      </w:pPr>
      <w:bookmarkStart w:id="18" w:name="_Ref126829590"/>
      <w:r>
        <w:t xml:space="preserve">Table </w:t>
      </w:r>
      <w:r>
        <w:fldChar w:fldCharType="begin"/>
      </w:r>
      <w:r>
        <w:instrText xml:space="preserve"> SEQ Table \* ARABIC </w:instrText>
      </w:r>
      <w:r>
        <w:fldChar w:fldCharType="separate"/>
      </w:r>
      <w:r w:rsidR="007A2C94">
        <w:rPr>
          <w:noProof/>
        </w:rPr>
        <w:t>4</w:t>
      </w:r>
      <w:r>
        <w:fldChar w:fldCharType="end"/>
      </w:r>
      <w:bookmarkEnd w:id="18"/>
      <w:r>
        <w:t xml:space="preserve">: </w:t>
      </w:r>
      <w:r w:rsidR="006A4A43">
        <w:tab/>
      </w:r>
      <w:r>
        <w:t xml:space="preserve">Percentage of </w:t>
      </w:r>
      <w:r w:rsidR="006A4A43">
        <w:t>P</w:t>
      </w:r>
      <w:r>
        <w:t xml:space="preserve">atients with </w:t>
      </w:r>
      <w:r w:rsidR="006A4A43">
        <w:t>I</w:t>
      </w:r>
      <w:r>
        <w:t xml:space="preserve">mprovement, </w:t>
      </w:r>
      <w:r w:rsidR="006A4A43">
        <w:t>R</w:t>
      </w:r>
      <w:r>
        <w:t xml:space="preserve">elief or </w:t>
      </w:r>
      <w:r w:rsidR="006A4A43">
        <w:t>S</w:t>
      </w:r>
      <w:r>
        <w:t xml:space="preserve">ubstantial </w:t>
      </w:r>
      <w:r w:rsidR="006A4A43">
        <w:t>I</w:t>
      </w:r>
      <w:r>
        <w:t xml:space="preserve">mprovement of MBS </w:t>
      </w:r>
      <w:r w:rsidR="006A4A43">
        <w:t>D</w:t>
      </w:r>
      <w:r>
        <w:t xml:space="preserve">yspareunia </w:t>
      </w:r>
      <w:r w:rsidR="006A4A43">
        <w:t>A</w:t>
      </w:r>
      <w:r>
        <w:t xml:space="preserve">fter 12 </w:t>
      </w:r>
      <w:r w:rsidR="006A4A43">
        <w:t>W</w:t>
      </w:r>
      <w:r>
        <w:t xml:space="preserve">eeks on INTRAROSA vs. </w:t>
      </w:r>
      <w:r w:rsidR="006A4A43">
        <w:t>P</w:t>
      </w:r>
      <w:r>
        <w:t>lacebo (ITT, LOCF)</w:t>
      </w:r>
    </w:p>
    <w:tbl>
      <w:tblPr>
        <w:tblW w:w="5000" w:type="pct"/>
        <w:tblCellMar>
          <w:left w:w="70" w:type="dxa"/>
          <w:right w:w="70" w:type="dxa"/>
        </w:tblCellMar>
        <w:tblLook w:val="04A0" w:firstRow="1" w:lastRow="0" w:firstColumn="1" w:lastColumn="0" w:noHBand="0" w:noVBand="1"/>
      </w:tblPr>
      <w:tblGrid>
        <w:gridCol w:w="1108"/>
        <w:gridCol w:w="900"/>
        <w:gridCol w:w="1572"/>
        <w:gridCol w:w="933"/>
        <w:gridCol w:w="1572"/>
        <w:gridCol w:w="933"/>
        <w:gridCol w:w="1572"/>
        <w:gridCol w:w="933"/>
      </w:tblGrid>
      <w:tr w:rsidR="00EA5D9A" w:rsidRPr="00EA5D9A" w14:paraId="09E6E9E7" w14:textId="77777777" w:rsidTr="006A4A43">
        <w:trPr>
          <w:gridBefore w:val="1"/>
          <w:wBefore w:w="650" w:type="pct"/>
          <w:trHeight w:val="300"/>
        </w:trPr>
        <w:tc>
          <w:tcPr>
            <w:tcW w:w="541" w:type="pct"/>
            <w:noWrap/>
            <w:vAlign w:val="bottom"/>
            <w:hideMark/>
          </w:tcPr>
          <w:p w14:paraId="57F780EF" w14:textId="77777777" w:rsidR="00EA5D9A" w:rsidRPr="00EA5D9A" w:rsidRDefault="00EA5D9A" w:rsidP="00EA5D9A">
            <w:pPr>
              <w:pStyle w:val="BodyText"/>
              <w:spacing w:before="240"/>
              <w:rPr>
                <w:lang w:val="en"/>
              </w:rPr>
            </w:pPr>
          </w:p>
        </w:tc>
        <w:tc>
          <w:tcPr>
            <w:tcW w:w="1179" w:type="pct"/>
            <w:gridSpan w:val="2"/>
            <w:tcBorders>
              <w:top w:val="single" w:sz="4" w:space="0" w:color="auto"/>
              <w:left w:val="single" w:sz="4" w:space="0" w:color="auto"/>
              <w:bottom w:val="single" w:sz="4" w:space="0" w:color="auto"/>
              <w:right w:val="single" w:sz="4" w:space="0" w:color="auto"/>
            </w:tcBorders>
            <w:noWrap/>
            <w:vAlign w:val="center"/>
            <w:hideMark/>
          </w:tcPr>
          <w:p w14:paraId="4D1A3FB8" w14:textId="77777777" w:rsidR="00EA5D9A" w:rsidRPr="00EA5D9A" w:rsidRDefault="00EA5D9A" w:rsidP="00EA5D9A">
            <w:pPr>
              <w:pStyle w:val="BodyText"/>
              <w:spacing w:before="120"/>
              <w:jc w:val="center"/>
              <w:rPr>
                <w:b/>
                <w:bCs/>
                <w:lang w:val="en-GB"/>
              </w:rPr>
            </w:pPr>
            <w:r w:rsidRPr="00EA5D9A">
              <w:rPr>
                <w:b/>
                <w:bCs/>
                <w:lang w:val="en-GB"/>
              </w:rPr>
              <w:t>Improvement</w:t>
            </w:r>
          </w:p>
        </w:tc>
        <w:tc>
          <w:tcPr>
            <w:tcW w:w="1315" w:type="pct"/>
            <w:gridSpan w:val="2"/>
            <w:tcBorders>
              <w:top w:val="single" w:sz="4" w:space="0" w:color="auto"/>
              <w:left w:val="nil"/>
              <w:bottom w:val="single" w:sz="4" w:space="0" w:color="auto"/>
              <w:right w:val="single" w:sz="4" w:space="0" w:color="auto"/>
            </w:tcBorders>
            <w:noWrap/>
            <w:vAlign w:val="center"/>
            <w:hideMark/>
          </w:tcPr>
          <w:p w14:paraId="030B4918" w14:textId="77777777" w:rsidR="00EA5D9A" w:rsidRPr="00EA5D9A" w:rsidRDefault="00EA5D9A" w:rsidP="00EA5D9A">
            <w:pPr>
              <w:pStyle w:val="BodyText"/>
              <w:spacing w:before="120"/>
              <w:jc w:val="center"/>
              <w:rPr>
                <w:b/>
                <w:bCs/>
                <w:lang w:val="en-GB"/>
              </w:rPr>
            </w:pPr>
            <w:r w:rsidRPr="00EA5D9A">
              <w:rPr>
                <w:b/>
                <w:bCs/>
                <w:lang w:val="en-GB"/>
              </w:rPr>
              <w:t>Relief</w:t>
            </w:r>
          </w:p>
        </w:tc>
        <w:tc>
          <w:tcPr>
            <w:tcW w:w="1315" w:type="pct"/>
            <w:gridSpan w:val="2"/>
            <w:tcBorders>
              <w:top w:val="single" w:sz="4" w:space="0" w:color="auto"/>
              <w:left w:val="nil"/>
              <w:bottom w:val="single" w:sz="4" w:space="0" w:color="auto"/>
              <w:right w:val="single" w:sz="4" w:space="0" w:color="auto"/>
            </w:tcBorders>
            <w:vAlign w:val="center"/>
            <w:hideMark/>
          </w:tcPr>
          <w:p w14:paraId="62FFC9A0" w14:textId="77777777" w:rsidR="00EA5D9A" w:rsidRPr="00EA5D9A" w:rsidRDefault="00EA5D9A" w:rsidP="00EA5D9A">
            <w:pPr>
              <w:pStyle w:val="BodyText"/>
              <w:spacing w:before="120"/>
              <w:jc w:val="center"/>
              <w:rPr>
                <w:b/>
                <w:bCs/>
                <w:lang w:val="en-GB"/>
              </w:rPr>
            </w:pPr>
            <w:r w:rsidRPr="00EA5D9A">
              <w:rPr>
                <w:b/>
                <w:bCs/>
                <w:lang w:val="en-GB"/>
              </w:rPr>
              <w:t xml:space="preserve">Substantial </w:t>
            </w:r>
            <w:r w:rsidRPr="00EA5D9A">
              <w:rPr>
                <w:b/>
                <w:bCs/>
                <w:lang w:val="en-GB"/>
              </w:rPr>
              <w:br/>
              <w:t>improvement</w:t>
            </w:r>
          </w:p>
        </w:tc>
      </w:tr>
      <w:tr w:rsidR="00FB1D84" w:rsidRPr="00EA5D9A" w14:paraId="6362C36D" w14:textId="77777777" w:rsidTr="006A4A43">
        <w:trPr>
          <w:gridBefore w:val="1"/>
          <w:wBefore w:w="650" w:type="pct"/>
          <w:trHeight w:val="300"/>
        </w:trPr>
        <w:tc>
          <w:tcPr>
            <w:tcW w:w="541" w:type="pct"/>
            <w:tcBorders>
              <w:top w:val="nil"/>
              <w:left w:val="nil"/>
              <w:bottom w:val="single" w:sz="4" w:space="0" w:color="auto"/>
              <w:right w:val="nil"/>
            </w:tcBorders>
            <w:noWrap/>
            <w:vAlign w:val="bottom"/>
            <w:hideMark/>
          </w:tcPr>
          <w:p w14:paraId="7AA8072D" w14:textId="77777777" w:rsidR="00EA5D9A" w:rsidRPr="00EA5D9A" w:rsidRDefault="00EA5D9A" w:rsidP="00EA5D9A">
            <w:pPr>
              <w:pStyle w:val="BodyText"/>
              <w:spacing w:before="240"/>
              <w:rPr>
                <w:lang w:val="en"/>
              </w:rPr>
            </w:pPr>
          </w:p>
        </w:tc>
        <w:tc>
          <w:tcPr>
            <w:tcW w:w="689" w:type="pct"/>
            <w:tcBorders>
              <w:top w:val="nil"/>
              <w:left w:val="single" w:sz="4" w:space="0" w:color="auto"/>
              <w:bottom w:val="single" w:sz="4" w:space="0" w:color="auto"/>
              <w:right w:val="single" w:sz="4" w:space="0" w:color="auto"/>
            </w:tcBorders>
            <w:noWrap/>
            <w:vAlign w:val="center"/>
            <w:hideMark/>
          </w:tcPr>
          <w:p w14:paraId="1B283566" w14:textId="60BA1159" w:rsidR="00EA5D9A" w:rsidRPr="00EA5D9A" w:rsidRDefault="006A4A43" w:rsidP="00EA5D9A">
            <w:pPr>
              <w:pStyle w:val="BodyText"/>
              <w:spacing w:before="120"/>
              <w:jc w:val="center"/>
              <w:rPr>
                <w:b/>
                <w:bCs/>
                <w:lang w:val="en-GB"/>
              </w:rPr>
            </w:pPr>
            <w:r>
              <w:rPr>
                <w:b/>
                <w:bCs/>
                <w:lang w:val="en-GB"/>
              </w:rPr>
              <w:t>INTRAROSA</w:t>
            </w:r>
          </w:p>
        </w:tc>
        <w:tc>
          <w:tcPr>
            <w:tcW w:w="490" w:type="pct"/>
            <w:tcBorders>
              <w:top w:val="nil"/>
              <w:left w:val="nil"/>
              <w:bottom w:val="single" w:sz="4" w:space="0" w:color="auto"/>
              <w:right w:val="single" w:sz="4" w:space="0" w:color="auto"/>
            </w:tcBorders>
            <w:noWrap/>
            <w:vAlign w:val="center"/>
            <w:hideMark/>
          </w:tcPr>
          <w:p w14:paraId="70953AD5" w14:textId="77777777" w:rsidR="00EA5D9A" w:rsidRPr="00EA5D9A" w:rsidRDefault="00EA5D9A" w:rsidP="00EA5D9A">
            <w:pPr>
              <w:pStyle w:val="BodyText"/>
              <w:spacing w:before="120"/>
              <w:jc w:val="center"/>
              <w:rPr>
                <w:b/>
                <w:bCs/>
                <w:lang w:val="en-GB"/>
              </w:rPr>
            </w:pPr>
            <w:r w:rsidRPr="00EA5D9A">
              <w:rPr>
                <w:b/>
                <w:bCs/>
                <w:lang w:val="en-GB"/>
              </w:rPr>
              <w:t>Placebo</w:t>
            </w:r>
          </w:p>
        </w:tc>
        <w:tc>
          <w:tcPr>
            <w:tcW w:w="825" w:type="pct"/>
            <w:tcBorders>
              <w:top w:val="nil"/>
              <w:left w:val="nil"/>
              <w:bottom w:val="single" w:sz="4" w:space="0" w:color="auto"/>
              <w:right w:val="single" w:sz="4" w:space="0" w:color="auto"/>
            </w:tcBorders>
            <w:noWrap/>
            <w:vAlign w:val="center"/>
            <w:hideMark/>
          </w:tcPr>
          <w:p w14:paraId="27FEE0BC" w14:textId="05EE81F6" w:rsidR="00EA5D9A" w:rsidRPr="00EA5D9A" w:rsidRDefault="006A4A43" w:rsidP="00EA5D9A">
            <w:pPr>
              <w:pStyle w:val="BodyText"/>
              <w:spacing w:before="120"/>
              <w:jc w:val="center"/>
              <w:rPr>
                <w:b/>
                <w:bCs/>
                <w:lang w:val="en-GB"/>
              </w:rPr>
            </w:pPr>
            <w:r>
              <w:rPr>
                <w:b/>
                <w:bCs/>
                <w:lang w:val="en-GB"/>
              </w:rPr>
              <w:t>INTRAROSA</w:t>
            </w:r>
          </w:p>
        </w:tc>
        <w:tc>
          <w:tcPr>
            <w:tcW w:w="490" w:type="pct"/>
            <w:tcBorders>
              <w:top w:val="nil"/>
              <w:left w:val="nil"/>
              <w:bottom w:val="single" w:sz="4" w:space="0" w:color="auto"/>
              <w:right w:val="single" w:sz="4" w:space="0" w:color="auto"/>
            </w:tcBorders>
            <w:noWrap/>
            <w:vAlign w:val="center"/>
            <w:hideMark/>
          </w:tcPr>
          <w:p w14:paraId="780060BD" w14:textId="77777777" w:rsidR="00EA5D9A" w:rsidRPr="00EA5D9A" w:rsidRDefault="00EA5D9A" w:rsidP="00EA5D9A">
            <w:pPr>
              <w:pStyle w:val="BodyText"/>
              <w:spacing w:before="120"/>
              <w:jc w:val="center"/>
              <w:rPr>
                <w:b/>
                <w:bCs/>
                <w:lang w:val="en-GB"/>
              </w:rPr>
            </w:pPr>
            <w:r w:rsidRPr="00EA5D9A">
              <w:rPr>
                <w:b/>
                <w:bCs/>
                <w:lang w:val="en-GB"/>
              </w:rPr>
              <w:t>Placebo</w:t>
            </w:r>
          </w:p>
        </w:tc>
        <w:tc>
          <w:tcPr>
            <w:tcW w:w="825" w:type="pct"/>
            <w:tcBorders>
              <w:top w:val="nil"/>
              <w:left w:val="nil"/>
              <w:bottom w:val="single" w:sz="4" w:space="0" w:color="auto"/>
              <w:right w:val="single" w:sz="4" w:space="0" w:color="auto"/>
            </w:tcBorders>
            <w:noWrap/>
            <w:vAlign w:val="center"/>
            <w:hideMark/>
          </w:tcPr>
          <w:p w14:paraId="418C27B3" w14:textId="69003BA2" w:rsidR="00EA5D9A" w:rsidRPr="00EA5D9A" w:rsidRDefault="006A4A43" w:rsidP="00EA5D9A">
            <w:pPr>
              <w:pStyle w:val="BodyText"/>
              <w:spacing w:before="120"/>
              <w:jc w:val="center"/>
              <w:rPr>
                <w:b/>
                <w:bCs/>
                <w:lang w:val="en-GB"/>
              </w:rPr>
            </w:pPr>
            <w:r>
              <w:rPr>
                <w:b/>
                <w:bCs/>
                <w:lang w:val="en-GB"/>
              </w:rPr>
              <w:t>INTRAROSA</w:t>
            </w:r>
          </w:p>
        </w:tc>
        <w:tc>
          <w:tcPr>
            <w:tcW w:w="490" w:type="pct"/>
            <w:tcBorders>
              <w:top w:val="nil"/>
              <w:left w:val="nil"/>
              <w:bottom w:val="single" w:sz="4" w:space="0" w:color="auto"/>
              <w:right w:val="single" w:sz="4" w:space="0" w:color="auto"/>
            </w:tcBorders>
            <w:noWrap/>
            <w:vAlign w:val="center"/>
            <w:hideMark/>
          </w:tcPr>
          <w:p w14:paraId="38DBCD61" w14:textId="77777777" w:rsidR="00EA5D9A" w:rsidRPr="00EA5D9A" w:rsidRDefault="00EA5D9A" w:rsidP="00EA5D9A">
            <w:pPr>
              <w:pStyle w:val="BodyText"/>
              <w:spacing w:before="120"/>
              <w:jc w:val="center"/>
              <w:rPr>
                <w:b/>
                <w:bCs/>
                <w:lang w:val="en-GB"/>
              </w:rPr>
            </w:pPr>
            <w:r w:rsidRPr="00EA5D9A">
              <w:rPr>
                <w:b/>
                <w:bCs/>
                <w:lang w:val="en-GB"/>
              </w:rPr>
              <w:t>Placebo</w:t>
            </w:r>
          </w:p>
        </w:tc>
      </w:tr>
      <w:tr w:rsidR="00FB1D84" w:rsidRPr="00EA5D9A" w14:paraId="28DE35C7" w14:textId="77777777" w:rsidTr="006A4A43">
        <w:trPr>
          <w:trHeight w:val="744"/>
        </w:trPr>
        <w:tc>
          <w:tcPr>
            <w:tcW w:w="1191" w:type="pct"/>
            <w:gridSpan w:val="2"/>
            <w:tcBorders>
              <w:top w:val="single" w:sz="4" w:space="0" w:color="auto"/>
              <w:left w:val="single" w:sz="4" w:space="0" w:color="auto"/>
              <w:bottom w:val="single" w:sz="4" w:space="0" w:color="auto"/>
              <w:right w:val="single" w:sz="4" w:space="0" w:color="auto"/>
            </w:tcBorders>
            <w:vAlign w:val="center"/>
            <w:hideMark/>
          </w:tcPr>
          <w:p w14:paraId="5EF0077C" w14:textId="77777777" w:rsidR="00EA5D9A" w:rsidRPr="00EA5D9A" w:rsidRDefault="00EA5D9A" w:rsidP="006A4A43">
            <w:pPr>
              <w:pStyle w:val="BodyText"/>
              <w:spacing w:before="120"/>
              <w:jc w:val="center"/>
              <w:rPr>
                <w:b/>
                <w:bCs/>
                <w:lang w:val="pt-PT"/>
              </w:rPr>
            </w:pPr>
            <w:r w:rsidRPr="00EA5D9A">
              <w:rPr>
                <w:b/>
                <w:bCs/>
                <w:lang w:val="pt-PT"/>
              </w:rPr>
              <w:t>Study 1</w:t>
            </w:r>
          </w:p>
          <w:p w14:paraId="395C068D" w14:textId="5EFFAAAD" w:rsidR="00EA5D9A" w:rsidRPr="006A4A43" w:rsidRDefault="00EA5D9A" w:rsidP="006A4A43">
            <w:pPr>
              <w:pStyle w:val="BodyText"/>
              <w:spacing w:before="120"/>
              <w:jc w:val="center"/>
              <w:rPr>
                <w:bCs/>
                <w:sz w:val="22"/>
                <w:szCs w:val="22"/>
                <w:lang w:val="pt-PT"/>
              </w:rPr>
            </w:pPr>
            <w:r w:rsidRPr="006A4A43">
              <w:rPr>
                <w:bCs/>
                <w:sz w:val="22"/>
                <w:szCs w:val="22"/>
                <w:lang w:val="pt-PT"/>
              </w:rPr>
              <w:t>(I</w:t>
            </w:r>
            <w:r w:rsidR="006A4A43" w:rsidRPr="006A4A43">
              <w:rPr>
                <w:bCs/>
                <w:sz w:val="22"/>
                <w:szCs w:val="22"/>
                <w:lang w:val="pt-PT"/>
              </w:rPr>
              <w:t>NTRAROSA</w:t>
            </w:r>
            <w:r w:rsidR="006A4A43">
              <w:rPr>
                <w:bCs/>
                <w:sz w:val="22"/>
                <w:szCs w:val="22"/>
                <w:lang w:val="pt-PT"/>
              </w:rPr>
              <w:t xml:space="preserve"> </w:t>
            </w:r>
            <w:r w:rsidRPr="006A4A43">
              <w:rPr>
                <w:bCs/>
                <w:sz w:val="22"/>
                <w:szCs w:val="22"/>
                <w:lang w:val="pt-PT"/>
              </w:rPr>
              <w:t>n=81)</w:t>
            </w:r>
          </w:p>
          <w:p w14:paraId="1A741549" w14:textId="11438C36" w:rsidR="00EA5D9A" w:rsidRPr="00EA5D9A" w:rsidRDefault="00EA5D9A" w:rsidP="006A4A43">
            <w:pPr>
              <w:pStyle w:val="BodyText"/>
              <w:spacing w:before="120"/>
              <w:jc w:val="center"/>
              <w:rPr>
                <w:b/>
                <w:bCs/>
                <w:lang w:val="pt-PT"/>
              </w:rPr>
            </w:pPr>
            <w:r w:rsidRPr="006A4A43">
              <w:rPr>
                <w:bCs/>
                <w:sz w:val="22"/>
                <w:szCs w:val="22"/>
                <w:lang w:val="pt-PT"/>
              </w:rPr>
              <w:t>(Placebo n= 77)</w:t>
            </w:r>
          </w:p>
        </w:tc>
        <w:tc>
          <w:tcPr>
            <w:tcW w:w="689" w:type="pct"/>
            <w:tcBorders>
              <w:top w:val="single" w:sz="4" w:space="0" w:color="auto"/>
              <w:left w:val="nil"/>
              <w:bottom w:val="single" w:sz="4" w:space="0" w:color="auto"/>
              <w:right w:val="single" w:sz="4" w:space="0" w:color="auto"/>
            </w:tcBorders>
            <w:noWrap/>
            <w:hideMark/>
          </w:tcPr>
          <w:p w14:paraId="72613EA0" w14:textId="77777777" w:rsidR="00EA5D9A" w:rsidRPr="00EA5D9A" w:rsidRDefault="00EA5D9A" w:rsidP="00EA5D9A">
            <w:pPr>
              <w:pStyle w:val="BodyText"/>
              <w:spacing w:before="120"/>
              <w:jc w:val="center"/>
              <w:rPr>
                <w:lang w:val="en-GB"/>
              </w:rPr>
            </w:pPr>
            <w:r w:rsidRPr="00EA5D9A">
              <w:rPr>
                <w:lang w:val="en-GB"/>
              </w:rPr>
              <w:t>72.8%</w:t>
            </w:r>
          </w:p>
          <w:p w14:paraId="17AC674E" w14:textId="77777777" w:rsidR="00EA5D9A" w:rsidRPr="00EA5D9A" w:rsidRDefault="00EA5D9A" w:rsidP="00EA5D9A">
            <w:pPr>
              <w:pStyle w:val="BodyText"/>
              <w:spacing w:before="120"/>
              <w:jc w:val="center"/>
              <w:rPr>
                <w:lang w:val="en-GB"/>
              </w:rPr>
            </w:pPr>
            <w:r w:rsidRPr="00EA5D9A">
              <w:rPr>
                <w:lang w:val="en-GB"/>
              </w:rPr>
              <w:t>(p=0.0565)</w:t>
            </w:r>
          </w:p>
        </w:tc>
        <w:tc>
          <w:tcPr>
            <w:tcW w:w="490" w:type="pct"/>
            <w:tcBorders>
              <w:top w:val="single" w:sz="4" w:space="0" w:color="auto"/>
              <w:left w:val="nil"/>
              <w:bottom w:val="single" w:sz="4" w:space="0" w:color="auto"/>
              <w:right w:val="single" w:sz="4" w:space="0" w:color="auto"/>
            </w:tcBorders>
            <w:hideMark/>
          </w:tcPr>
          <w:p w14:paraId="4C03D375" w14:textId="77777777" w:rsidR="00EA5D9A" w:rsidRPr="00EA5D9A" w:rsidRDefault="00EA5D9A" w:rsidP="00EA5D9A">
            <w:pPr>
              <w:pStyle w:val="BodyText"/>
              <w:spacing w:before="120"/>
              <w:jc w:val="center"/>
              <w:rPr>
                <w:lang w:val="en-GB"/>
              </w:rPr>
            </w:pPr>
            <w:r w:rsidRPr="00EA5D9A">
              <w:rPr>
                <w:lang w:val="en-GB"/>
              </w:rPr>
              <w:t>58.4%</w:t>
            </w:r>
          </w:p>
        </w:tc>
        <w:tc>
          <w:tcPr>
            <w:tcW w:w="825" w:type="pct"/>
            <w:tcBorders>
              <w:top w:val="single" w:sz="4" w:space="0" w:color="auto"/>
              <w:left w:val="nil"/>
              <w:bottom w:val="single" w:sz="4" w:space="0" w:color="auto"/>
              <w:right w:val="single" w:sz="4" w:space="0" w:color="auto"/>
            </w:tcBorders>
            <w:noWrap/>
            <w:hideMark/>
          </w:tcPr>
          <w:p w14:paraId="49D40B37" w14:textId="77777777" w:rsidR="00EA5D9A" w:rsidRPr="00EA5D9A" w:rsidRDefault="00EA5D9A" w:rsidP="00EA5D9A">
            <w:pPr>
              <w:pStyle w:val="BodyText"/>
              <w:spacing w:before="120"/>
              <w:jc w:val="center"/>
              <w:rPr>
                <w:lang w:val="en-GB"/>
              </w:rPr>
            </w:pPr>
            <w:r w:rsidRPr="00EA5D9A">
              <w:rPr>
                <w:lang w:val="en-GB"/>
              </w:rPr>
              <w:t>58.0%</w:t>
            </w:r>
          </w:p>
          <w:p w14:paraId="66BF2368" w14:textId="77777777" w:rsidR="00EA5D9A" w:rsidRPr="00EA5D9A" w:rsidRDefault="00EA5D9A" w:rsidP="00EA5D9A">
            <w:pPr>
              <w:pStyle w:val="BodyText"/>
              <w:spacing w:before="120"/>
              <w:jc w:val="center"/>
              <w:rPr>
                <w:lang w:val="en-GB"/>
              </w:rPr>
            </w:pPr>
            <w:r w:rsidRPr="00EA5D9A">
              <w:rPr>
                <w:lang w:val="en-GB"/>
              </w:rPr>
              <w:t>(p=0.0813)</w:t>
            </w:r>
          </w:p>
        </w:tc>
        <w:tc>
          <w:tcPr>
            <w:tcW w:w="490" w:type="pct"/>
            <w:tcBorders>
              <w:top w:val="single" w:sz="4" w:space="0" w:color="auto"/>
              <w:left w:val="nil"/>
              <w:bottom w:val="single" w:sz="4" w:space="0" w:color="auto"/>
              <w:right w:val="single" w:sz="4" w:space="0" w:color="auto"/>
            </w:tcBorders>
            <w:hideMark/>
          </w:tcPr>
          <w:p w14:paraId="4DBE323C" w14:textId="77777777" w:rsidR="00EA5D9A" w:rsidRPr="00EA5D9A" w:rsidRDefault="00EA5D9A" w:rsidP="00EA5D9A">
            <w:pPr>
              <w:pStyle w:val="BodyText"/>
              <w:spacing w:before="120"/>
              <w:jc w:val="center"/>
              <w:rPr>
                <w:lang w:val="en-GB"/>
              </w:rPr>
            </w:pPr>
            <w:r w:rsidRPr="00EA5D9A">
              <w:rPr>
                <w:lang w:val="en-GB"/>
              </w:rPr>
              <w:t>44.2%</w:t>
            </w:r>
          </w:p>
        </w:tc>
        <w:tc>
          <w:tcPr>
            <w:tcW w:w="825" w:type="pct"/>
            <w:tcBorders>
              <w:top w:val="single" w:sz="4" w:space="0" w:color="auto"/>
              <w:left w:val="nil"/>
              <w:bottom w:val="single" w:sz="4" w:space="0" w:color="auto"/>
              <w:right w:val="single" w:sz="4" w:space="0" w:color="auto"/>
            </w:tcBorders>
            <w:noWrap/>
            <w:hideMark/>
          </w:tcPr>
          <w:p w14:paraId="1499FF64" w14:textId="77777777" w:rsidR="00EA5D9A" w:rsidRPr="00EA5D9A" w:rsidRDefault="00EA5D9A" w:rsidP="00EA5D9A">
            <w:pPr>
              <w:pStyle w:val="BodyText"/>
              <w:spacing w:before="120"/>
              <w:jc w:val="center"/>
              <w:rPr>
                <w:lang w:val="en-GB"/>
              </w:rPr>
            </w:pPr>
            <w:r w:rsidRPr="00EA5D9A">
              <w:rPr>
                <w:lang w:val="en-GB"/>
              </w:rPr>
              <w:t>43.2%</w:t>
            </w:r>
          </w:p>
          <w:p w14:paraId="72E75FC4" w14:textId="77777777" w:rsidR="00EA5D9A" w:rsidRPr="00EA5D9A" w:rsidRDefault="00EA5D9A" w:rsidP="00EA5D9A">
            <w:pPr>
              <w:pStyle w:val="BodyText"/>
              <w:spacing w:before="120"/>
              <w:jc w:val="center"/>
              <w:rPr>
                <w:lang w:val="en-GB"/>
              </w:rPr>
            </w:pPr>
            <w:r w:rsidRPr="00EA5D9A">
              <w:rPr>
                <w:lang w:val="en-GB"/>
              </w:rPr>
              <w:t>(p=0.0821)</w:t>
            </w:r>
          </w:p>
        </w:tc>
        <w:tc>
          <w:tcPr>
            <w:tcW w:w="490" w:type="pct"/>
            <w:tcBorders>
              <w:top w:val="single" w:sz="4" w:space="0" w:color="auto"/>
              <w:left w:val="nil"/>
              <w:bottom w:val="single" w:sz="4" w:space="0" w:color="auto"/>
              <w:right w:val="single" w:sz="4" w:space="0" w:color="auto"/>
            </w:tcBorders>
            <w:hideMark/>
          </w:tcPr>
          <w:p w14:paraId="3151C423" w14:textId="77777777" w:rsidR="00EA5D9A" w:rsidRPr="00EA5D9A" w:rsidRDefault="00EA5D9A" w:rsidP="00EA5D9A">
            <w:pPr>
              <w:pStyle w:val="BodyText"/>
              <w:spacing w:before="120"/>
              <w:jc w:val="center"/>
              <w:rPr>
                <w:lang w:val="en-GB"/>
              </w:rPr>
            </w:pPr>
            <w:r w:rsidRPr="00EA5D9A">
              <w:rPr>
                <w:lang w:val="en-GB"/>
              </w:rPr>
              <w:t>29.9%</w:t>
            </w:r>
          </w:p>
        </w:tc>
      </w:tr>
      <w:tr w:rsidR="00FB1D84" w:rsidRPr="00EA5D9A" w14:paraId="6814102F" w14:textId="77777777" w:rsidTr="006A4A43">
        <w:trPr>
          <w:trHeight w:val="706"/>
        </w:trPr>
        <w:tc>
          <w:tcPr>
            <w:tcW w:w="1191" w:type="pct"/>
            <w:gridSpan w:val="2"/>
            <w:tcBorders>
              <w:top w:val="single" w:sz="4" w:space="0" w:color="auto"/>
              <w:left w:val="single" w:sz="4" w:space="0" w:color="auto"/>
              <w:bottom w:val="single" w:sz="4" w:space="0" w:color="auto"/>
              <w:right w:val="single" w:sz="4" w:space="0" w:color="auto"/>
            </w:tcBorders>
            <w:hideMark/>
          </w:tcPr>
          <w:p w14:paraId="6FC1DC92" w14:textId="77777777" w:rsidR="00EA5D9A" w:rsidRPr="00EA5D9A" w:rsidRDefault="00EA5D9A" w:rsidP="006A4A43">
            <w:pPr>
              <w:pStyle w:val="BodyText"/>
              <w:spacing w:before="120"/>
              <w:jc w:val="center"/>
              <w:rPr>
                <w:b/>
                <w:bCs/>
                <w:lang w:val="pt-PT"/>
              </w:rPr>
            </w:pPr>
            <w:r w:rsidRPr="00EA5D9A">
              <w:rPr>
                <w:b/>
                <w:bCs/>
                <w:lang w:val="pt-PT"/>
              </w:rPr>
              <w:t>Study 2</w:t>
            </w:r>
          </w:p>
          <w:p w14:paraId="7B37BF9A" w14:textId="6BBA0C22" w:rsidR="00EA5D9A" w:rsidRPr="006A4A43" w:rsidRDefault="00EA5D9A" w:rsidP="006A4A43">
            <w:pPr>
              <w:pStyle w:val="BodyText"/>
              <w:spacing w:before="120"/>
              <w:jc w:val="center"/>
              <w:rPr>
                <w:bCs/>
                <w:sz w:val="22"/>
                <w:szCs w:val="22"/>
                <w:lang w:val="pt-PT"/>
              </w:rPr>
            </w:pPr>
            <w:r w:rsidRPr="006A4A43">
              <w:rPr>
                <w:bCs/>
                <w:sz w:val="22"/>
                <w:szCs w:val="22"/>
                <w:lang w:val="pt-PT"/>
              </w:rPr>
              <w:t>(I</w:t>
            </w:r>
            <w:r w:rsidR="006A4A43" w:rsidRPr="006A4A43">
              <w:rPr>
                <w:bCs/>
                <w:sz w:val="22"/>
                <w:szCs w:val="22"/>
                <w:lang w:val="pt-PT"/>
              </w:rPr>
              <w:t>NTRAROSA</w:t>
            </w:r>
            <w:r w:rsidRPr="006A4A43">
              <w:rPr>
                <w:bCs/>
                <w:sz w:val="22"/>
                <w:szCs w:val="22"/>
                <w:lang w:val="pt-PT"/>
              </w:rPr>
              <w:t xml:space="preserve"> n=325)</w:t>
            </w:r>
          </w:p>
          <w:p w14:paraId="24BE6CCF" w14:textId="77777777" w:rsidR="00EA5D9A" w:rsidRPr="00EA5D9A" w:rsidRDefault="00EA5D9A" w:rsidP="006A4A43">
            <w:pPr>
              <w:pStyle w:val="BodyText"/>
              <w:spacing w:before="120"/>
              <w:jc w:val="center"/>
              <w:rPr>
                <w:b/>
                <w:bCs/>
                <w:lang w:val="pt-PT"/>
              </w:rPr>
            </w:pPr>
            <w:r w:rsidRPr="006A4A43">
              <w:rPr>
                <w:bCs/>
                <w:sz w:val="22"/>
                <w:szCs w:val="22"/>
                <w:lang w:val="pt-PT"/>
              </w:rPr>
              <w:t>(Placebo: n= 157)</w:t>
            </w:r>
          </w:p>
        </w:tc>
        <w:tc>
          <w:tcPr>
            <w:tcW w:w="689" w:type="pct"/>
            <w:tcBorders>
              <w:top w:val="single" w:sz="4" w:space="0" w:color="auto"/>
              <w:left w:val="nil"/>
              <w:bottom w:val="single" w:sz="4" w:space="0" w:color="auto"/>
              <w:right w:val="single" w:sz="4" w:space="0" w:color="auto"/>
            </w:tcBorders>
            <w:noWrap/>
            <w:hideMark/>
          </w:tcPr>
          <w:p w14:paraId="38611066" w14:textId="77777777" w:rsidR="00EA5D9A" w:rsidRPr="00EA5D9A" w:rsidRDefault="00EA5D9A" w:rsidP="00EA5D9A">
            <w:pPr>
              <w:pStyle w:val="BodyText"/>
              <w:spacing w:before="120"/>
              <w:jc w:val="center"/>
              <w:rPr>
                <w:lang w:val="en-GB"/>
              </w:rPr>
            </w:pPr>
            <w:r w:rsidRPr="00EA5D9A">
              <w:rPr>
                <w:lang w:val="en-GB"/>
              </w:rPr>
              <w:t>80.3%</w:t>
            </w:r>
          </w:p>
          <w:p w14:paraId="7EBEF2AA" w14:textId="77777777" w:rsidR="00EA5D9A" w:rsidRPr="00EA5D9A" w:rsidRDefault="00EA5D9A" w:rsidP="00EA5D9A">
            <w:pPr>
              <w:pStyle w:val="BodyText"/>
              <w:spacing w:before="120"/>
              <w:jc w:val="center"/>
              <w:rPr>
                <w:lang w:val="en-GB"/>
              </w:rPr>
            </w:pPr>
            <w:r w:rsidRPr="00EA5D9A">
              <w:rPr>
                <w:lang w:val="en-GB"/>
              </w:rPr>
              <w:t>(p=0.0003)</w:t>
            </w:r>
          </w:p>
        </w:tc>
        <w:tc>
          <w:tcPr>
            <w:tcW w:w="490" w:type="pct"/>
            <w:tcBorders>
              <w:top w:val="single" w:sz="4" w:space="0" w:color="auto"/>
              <w:left w:val="nil"/>
              <w:bottom w:val="single" w:sz="4" w:space="0" w:color="auto"/>
              <w:right w:val="single" w:sz="4" w:space="0" w:color="auto"/>
            </w:tcBorders>
            <w:hideMark/>
          </w:tcPr>
          <w:p w14:paraId="7E706D3F" w14:textId="77777777" w:rsidR="00EA5D9A" w:rsidRPr="00EA5D9A" w:rsidRDefault="00EA5D9A" w:rsidP="00EA5D9A">
            <w:pPr>
              <w:pStyle w:val="BodyText"/>
              <w:spacing w:before="120"/>
              <w:jc w:val="center"/>
              <w:rPr>
                <w:lang w:val="en-GB"/>
              </w:rPr>
            </w:pPr>
            <w:r w:rsidRPr="00EA5D9A">
              <w:rPr>
                <w:lang w:val="en-GB"/>
              </w:rPr>
              <w:t>65.0%</w:t>
            </w:r>
          </w:p>
        </w:tc>
        <w:tc>
          <w:tcPr>
            <w:tcW w:w="825" w:type="pct"/>
            <w:tcBorders>
              <w:top w:val="single" w:sz="4" w:space="0" w:color="auto"/>
              <w:left w:val="nil"/>
              <w:bottom w:val="single" w:sz="4" w:space="0" w:color="auto"/>
              <w:right w:val="single" w:sz="4" w:space="0" w:color="auto"/>
            </w:tcBorders>
            <w:noWrap/>
            <w:hideMark/>
          </w:tcPr>
          <w:p w14:paraId="3A1C1614" w14:textId="77777777" w:rsidR="00EA5D9A" w:rsidRPr="00EA5D9A" w:rsidRDefault="00EA5D9A" w:rsidP="00EA5D9A">
            <w:pPr>
              <w:pStyle w:val="BodyText"/>
              <w:spacing w:before="120"/>
              <w:jc w:val="center"/>
              <w:rPr>
                <w:lang w:val="en-GB"/>
              </w:rPr>
            </w:pPr>
            <w:r w:rsidRPr="00EA5D9A">
              <w:rPr>
                <w:lang w:val="en-GB"/>
              </w:rPr>
              <w:t>68.6%</w:t>
            </w:r>
          </w:p>
          <w:p w14:paraId="6287D169" w14:textId="77777777" w:rsidR="00EA5D9A" w:rsidRPr="00EA5D9A" w:rsidRDefault="00EA5D9A" w:rsidP="00EA5D9A">
            <w:pPr>
              <w:pStyle w:val="BodyText"/>
              <w:spacing w:before="120"/>
              <w:jc w:val="center"/>
              <w:rPr>
                <w:lang w:val="en-GB"/>
              </w:rPr>
            </w:pPr>
            <w:r w:rsidRPr="00EA5D9A">
              <w:rPr>
                <w:lang w:val="en-GB"/>
              </w:rPr>
              <w:t>(p=0.0003)</w:t>
            </w:r>
          </w:p>
        </w:tc>
        <w:tc>
          <w:tcPr>
            <w:tcW w:w="490" w:type="pct"/>
            <w:tcBorders>
              <w:top w:val="single" w:sz="4" w:space="0" w:color="auto"/>
              <w:left w:val="nil"/>
              <w:bottom w:val="single" w:sz="4" w:space="0" w:color="auto"/>
              <w:right w:val="single" w:sz="4" w:space="0" w:color="auto"/>
            </w:tcBorders>
            <w:hideMark/>
          </w:tcPr>
          <w:p w14:paraId="0F798250" w14:textId="77777777" w:rsidR="00EA5D9A" w:rsidRPr="00EA5D9A" w:rsidRDefault="00EA5D9A" w:rsidP="00EA5D9A">
            <w:pPr>
              <w:pStyle w:val="BodyText"/>
              <w:spacing w:before="120"/>
              <w:jc w:val="center"/>
              <w:rPr>
                <w:lang w:val="en-GB"/>
              </w:rPr>
            </w:pPr>
            <w:r w:rsidRPr="00EA5D9A">
              <w:rPr>
                <w:lang w:val="en-GB"/>
              </w:rPr>
              <w:t>51.6%</w:t>
            </w:r>
          </w:p>
        </w:tc>
        <w:tc>
          <w:tcPr>
            <w:tcW w:w="825" w:type="pct"/>
            <w:tcBorders>
              <w:top w:val="single" w:sz="4" w:space="0" w:color="auto"/>
              <w:left w:val="nil"/>
              <w:bottom w:val="single" w:sz="4" w:space="0" w:color="auto"/>
              <w:right w:val="single" w:sz="4" w:space="0" w:color="auto"/>
            </w:tcBorders>
            <w:noWrap/>
            <w:hideMark/>
          </w:tcPr>
          <w:p w14:paraId="4388F062" w14:textId="77777777" w:rsidR="00EA5D9A" w:rsidRPr="00EA5D9A" w:rsidRDefault="00EA5D9A" w:rsidP="00EA5D9A">
            <w:pPr>
              <w:pStyle w:val="BodyText"/>
              <w:spacing w:before="120"/>
              <w:jc w:val="center"/>
              <w:rPr>
                <w:lang w:val="en-GB"/>
              </w:rPr>
            </w:pPr>
            <w:r w:rsidRPr="00EA5D9A">
              <w:rPr>
                <w:lang w:val="en-GB"/>
              </w:rPr>
              <w:t>47.1%</w:t>
            </w:r>
          </w:p>
          <w:p w14:paraId="777AB7B7" w14:textId="77777777" w:rsidR="00EA5D9A" w:rsidRPr="00EA5D9A" w:rsidRDefault="00EA5D9A" w:rsidP="00EA5D9A">
            <w:pPr>
              <w:pStyle w:val="BodyText"/>
              <w:spacing w:before="120"/>
              <w:jc w:val="center"/>
              <w:rPr>
                <w:lang w:val="en-GB"/>
              </w:rPr>
            </w:pPr>
            <w:r w:rsidRPr="00EA5D9A">
              <w:rPr>
                <w:lang w:val="en-GB"/>
              </w:rPr>
              <w:t>(p=0.0179)</w:t>
            </w:r>
          </w:p>
        </w:tc>
        <w:tc>
          <w:tcPr>
            <w:tcW w:w="490" w:type="pct"/>
            <w:tcBorders>
              <w:top w:val="single" w:sz="4" w:space="0" w:color="auto"/>
              <w:left w:val="nil"/>
              <w:bottom w:val="single" w:sz="4" w:space="0" w:color="auto"/>
              <w:right w:val="single" w:sz="4" w:space="0" w:color="auto"/>
            </w:tcBorders>
            <w:hideMark/>
          </w:tcPr>
          <w:p w14:paraId="39E6D8B3" w14:textId="77777777" w:rsidR="00EA5D9A" w:rsidRPr="00EA5D9A" w:rsidRDefault="00EA5D9A" w:rsidP="00EA5D9A">
            <w:pPr>
              <w:pStyle w:val="BodyText"/>
              <w:spacing w:before="120"/>
              <w:jc w:val="center"/>
              <w:rPr>
                <w:lang w:val="en-GB"/>
              </w:rPr>
            </w:pPr>
            <w:r w:rsidRPr="00EA5D9A">
              <w:rPr>
                <w:lang w:val="en-GB"/>
              </w:rPr>
              <w:t>35.7%</w:t>
            </w:r>
          </w:p>
        </w:tc>
      </w:tr>
    </w:tbl>
    <w:p w14:paraId="3BD4669D" w14:textId="633B13D8" w:rsidR="00EA5D9A" w:rsidRDefault="00FB1D84" w:rsidP="008F60D3">
      <w:pPr>
        <w:pStyle w:val="Heading3"/>
      </w:pPr>
      <w:r>
        <w:t xml:space="preserve">Clinical safety </w:t>
      </w:r>
    </w:p>
    <w:p w14:paraId="2240A034" w14:textId="45EEA17C" w:rsidR="00FB1D84" w:rsidRDefault="00FB1D84" w:rsidP="00FB1D84">
      <w:pPr>
        <w:pStyle w:val="BodyText"/>
      </w:pPr>
      <w:r>
        <w:t xml:space="preserve">Apart from the main two 12-week phase III clinical studies, the safety data of INTRAROSA has also been obtained from one non comparative open-label safety study of one year. </w:t>
      </w:r>
    </w:p>
    <w:p w14:paraId="244E9D9E" w14:textId="409E2163" w:rsidR="00FB1D84" w:rsidRDefault="00FB1D84" w:rsidP="00FB1D84">
      <w:pPr>
        <w:pStyle w:val="BodyText"/>
      </w:pPr>
      <w:r>
        <w:t xml:space="preserve">Cases of breast and ovarian cancer have been reported in women treated with 6.5 mg of </w:t>
      </w:r>
      <w:proofErr w:type="spellStart"/>
      <w:r>
        <w:t>prasterone</w:t>
      </w:r>
      <w:proofErr w:type="spellEnd"/>
      <w:r>
        <w:t xml:space="preserve"> for 52 weeks (see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t>).</w:t>
      </w:r>
    </w:p>
    <w:p w14:paraId="6C7532C9" w14:textId="66694F33" w:rsidR="00FB1D84" w:rsidRDefault="00FB1D84" w:rsidP="00FB1D84">
      <w:pPr>
        <w:pStyle w:val="BodyText"/>
      </w:pPr>
      <w:r>
        <w:lastRenderedPageBreak/>
        <w:t xml:space="preserve">Cases of abnormal Pap smears either ASCUS or LSIL have been reported with a common frequency in women treated with INTRAROSA for 52 weeks (see section </w:t>
      </w:r>
      <w:r>
        <w:fldChar w:fldCharType="begin"/>
      </w:r>
      <w:r>
        <w:instrText xml:space="preserve"> REF _Ref69885430 \r \h </w:instrText>
      </w:r>
      <w:r>
        <w:fldChar w:fldCharType="separate"/>
      </w:r>
      <w:r w:rsidR="007A2C94">
        <w:t>4.4</w:t>
      </w:r>
      <w:r>
        <w:fldChar w:fldCharType="end"/>
      </w:r>
      <w:r>
        <w:t xml:space="preserve"> </w:t>
      </w:r>
      <w:r>
        <w:fldChar w:fldCharType="begin"/>
      </w:r>
      <w:r>
        <w:instrText xml:space="preserve"> REF _Ref69885430 \h </w:instrText>
      </w:r>
      <w:r>
        <w:fldChar w:fldCharType="separate"/>
      </w:r>
      <w:r w:rsidR="007A2C94" w:rsidRPr="003D5AFB">
        <w:t>Special warnings and precautions for use</w:t>
      </w:r>
      <w:r>
        <w:fldChar w:fldCharType="end"/>
      </w:r>
      <w:r>
        <w:t>).</w:t>
      </w:r>
    </w:p>
    <w:p w14:paraId="61741F51" w14:textId="79A5A86B" w:rsidR="00FB1D84" w:rsidRDefault="00FB1D84" w:rsidP="008F60D3">
      <w:pPr>
        <w:pStyle w:val="Heading3"/>
      </w:pPr>
      <w:r>
        <w:t xml:space="preserve">Endometrial safety </w:t>
      </w:r>
    </w:p>
    <w:p w14:paraId="4BB0287E" w14:textId="56E63224" w:rsidR="00EA5D9A" w:rsidRPr="00FB1D84" w:rsidRDefault="00FB1D84" w:rsidP="00FB1D84">
      <w:pPr>
        <w:pStyle w:val="BodyText"/>
      </w:pPr>
      <w:r w:rsidRPr="00FB1D84">
        <w:t>On the 389 evaluable end-of-study endometrial biopsies performed after 52 weeks of treatment with INTRAROSA, no histological abnormalities were reported on the biopsies.</w:t>
      </w:r>
    </w:p>
    <w:p w14:paraId="7D2DB971" w14:textId="65C61C80" w:rsidR="00962B1E" w:rsidRPr="003D5AFB" w:rsidRDefault="00962B1E" w:rsidP="00910010">
      <w:pPr>
        <w:pStyle w:val="Heading2"/>
      </w:pPr>
      <w:bookmarkStart w:id="19" w:name="_Ref59624535"/>
      <w:bookmarkEnd w:id="16"/>
      <w:r w:rsidRPr="003D5AFB">
        <w:t>Pharmacokinetic properties</w:t>
      </w:r>
      <w:bookmarkEnd w:id="19"/>
    </w:p>
    <w:p w14:paraId="5E3011E5" w14:textId="6349373B" w:rsidR="00962B1E" w:rsidRPr="003D5AFB" w:rsidRDefault="00962B1E" w:rsidP="008F60D3">
      <w:pPr>
        <w:pStyle w:val="Heading3"/>
      </w:pPr>
      <w:r w:rsidRPr="003D5AFB">
        <w:t>Absorption</w:t>
      </w:r>
    </w:p>
    <w:p w14:paraId="0AD8B3FE" w14:textId="5A73744A" w:rsidR="004E340A" w:rsidRDefault="004E340A" w:rsidP="004E340A">
      <w:pPr>
        <w:pStyle w:val="BodyText"/>
        <w:rPr>
          <w:lang w:val="en-CA"/>
        </w:rPr>
      </w:pPr>
      <w:proofErr w:type="spellStart"/>
      <w:r w:rsidRPr="003D5AFB">
        <w:rPr>
          <w:lang w:val="en-CA"/>
        </w:rPr>
        <w:t>Prasterone</w:t>
      </w:r>
      <w:proofErr w:type="spellEnd"/>
      <w:r w:rsidRPr="003D5AFB">
        <w:rPr>
          <w:lang w:val="en-CA"/>
        </w:rPr>
        <w:t xml:space="preserve"> administered locally in the vagina enters the vaginal cells and is converted intracellularly into </w:t>
      </w:r>
      <w:r w:rsidR="00D02706">
        <w:rPr>
          <w:lang w:val="en-CA"/>
        </w:rPr>
        <w:t>o</w:t>
      </w:r>
      <w:r w:rsidRPr="003D5AFB">
        <w:rPr>
          <w:lang w:val="en-CA"/>
        </w:rPr>
        <w:t xml:space="preserve">estrogens and androgens, depending upon the level of </w:t>
      </w:r>
      <w:proofErr w:type="gramStart"/>
      <w:r w:rsidR="00F81701">
        <w:rPr>
          <w:lang w:val="en-CA"/>
        </w:rPr>
        <w:t>particular steroidogenic</w:t>
      </w:r>
      <w:proofErr w:type="gramEnd"/>
      <w:r w:rsidR="00F81701">
        <w:rPr>
          <w:lang w:val="en-CA"/>
        </w:rPr>
        <w:t xml:space="preserve"> </w:t>
      </w:r>
      <w:r w:rsidRPr="003D5AFB">
        <w:rPr>
          <w:lang w:val="en-CA"/>
        </w:rPr>
        <w:t xml:space="preserve">enzymes expressed in each cell type. </w:t>
      </w:r>
    </w:p>
    <w:p w14:paraId="06643267" w14:textId="3B642F89" w:rsidR="00FB1D84" w:rsidRDefault="00FB1D84" w:rsidP="004E340A">
      <w:pPr>
        <w:pStyle w:val="BodyText"/>
      </w:pPr>
      <w:r w:rsidRPr="00FB1D84">
        <w:t xml:space="preserve">In a study conducted in postmenopausal women, administration of the INTRAROSA pessary once daily for 7 days resulted in a mean </w:t>
      </w:r>
      <w:proofErr w:type="spellStart"/>
      <w:r w:rsidRPr="00FB1D84">
        <w:t>prasterone</w:t>
      </w:r>
      <w:proofErr w:type="spellEnd"/>
      <w:r w:rsidRPr="00FB1D84">
        <w:t xml:space="preserve"> </w:t>
      </w:r>
      <w:proofErr w:type="spellStart"/>
      <w:r w:rsidRPr="00FB1D84">
        <w:t>C</w:t>
      </w:r>
      <w:r w:rsidRPr="00F5435D">
        <w:rPr>
          <w:vertAlign w:val="subscript"/>
        </w:rPr>
        <w:t>max</w:t>
      </w:r>
      <w:proofErr w:type="spellEnd"/>
      <w:r w:rsidRPr="00FB1D84">
        <w:t xml:space="preserve"> and area under the curve from 0 to 24 hours (AUC</w:t>
      </w:r>
      <w:r w:rsidRPr="00F5435D">
        <w:rPr>
          <w:vertAlign w:val="subscript"/>
        </w:rPr>
        <w:t>0-24</w:t>
      </w:r>
      <w:r w:rsidRPr="00FB1D84">
        <w:t>) at day 7 of 4.4 ng/mL and 56.2 ng h/mL, respectively, which were significantly higher than those in the group treated with placebo (</w:t>
      </w:r>
      <w:r w:rsidR="00F5435D">
        <w:fldChar w:fldCharType="begin"/>
      </w:r>
      <w:r w:rsidR="00F5435D">
        <w:instrText xml:space="preserve"> REF _Ref126830422 \h </w:instrText>
      </w:r>
      <w:r w:rsidR="00F5435D">
        <w:fldChar w:fldCharType="separate"/>
      </w:r>
      <w:r w:rsidR="007A2C94">
        <w:t xml:space="preserve">Table </w:t>
      </w:r>
      <w:r w:rsidR="007A2C94">
        <w:rPr>
          <w:noProof/>
        </w:rPr>
        <w:t>5</w:t>
      </w:r>
      <w:r w:rsidR="00F5435D">
        <w:fldChar w:fldCharType="end"/>
      </w:r>
      <w:r w:rsidRPr="00FB1D84">
        <w:t xml:space="preserve">; </w:t>
      </w:r>
      <w:r w:rsidR="00F5435D">
        <w:fldChar w:fldCharType="begin"/>
      </w:r>
      <w:r w:rsidR="00F5435D">
        <w:instrText xml:space="preserve"> REF _Ref126830430 \h </w:instrText>
      </w:r>
      <w:r w:rsidR="00F5435D">
        <w:fldChar w:fldCharType="separate"/>
      </w:r>
      <w:r w:rsidR="007A2C94">
        <w:t xml:space="preserve">Figure </w:t>
      </w:r>
      <w:r w:rsidR="007A2C94">
        <w:rPr>
          <w:noProof/>
        </w:rPr>
        <w:t>1</w:t>
      </w:r>
      <w:r w:rsidR="00F5435D">
        <w:fldChar w:fldCharType="end"/>
      </w:r>
      <w:r w:rsidRPr="00FB1D84">
        <w:t xml:space="preserve">). The </w:t>
      </w:r>
      <w:proofErr w:type="spellStart"/>
      <w:r w:rsidRPr="00FB1D84">
        <w:t>C</w:t>
      </w:r>
      <w:r w:rsidRPr="00F5435D">
        <w:rPr>
          <w:vertAlign w:val="subscript"/>
        </w:rPr>
        <w:t>max</w:t>
      </w:r>
      <w:proofErr w:type="spellEnd"/>
      <w:r w:rsidRPr="00FB1D84">
        <w:t xml:space="preserve"> and AUC</w:t>
      </w:r>
      <w:r w:rsidRPr="00F5435D">
        <w:rPr>
          <w:vertAlign w:val="subscript"/>
        </w:rPr>
        <w:t>0-24</w:t>
      </w:r>
      <w:r w:rsidRPr="00FB1D84">
        <w:t xml:space="preserve"> of the metabolites testosterone and </w:t>
      </w:r>
      <w:r w:rsidR="00F81701">
        <w:t>o</w:t>
      </w:r>
      <w:r w:rsidRPr="00FB1D84">
        <w:t xml:space="preserve">estradiol were also slightly higher in women treated with the INTRAROSA pessary compared to those receiving </w:t>
      </w:r>
      <w:proofErr w:type="gramStart"/>
      <w:r w:rsidRPr="00FB1D84">
        <w:t>placebo</w:t>
      </w:r>
      <w:proofErr w:type="gramEnd"/>
      <w:r w:rsidRPr="00FB1D84">
        <w:t xml:space="preserve"> but all remained within normal values of postmenopausal women (&lt; 10 </w:t>
      </w:r>
      <w:proofErr w:type="spellStart"/>
      <w:r w:rsidRPr="00FB1D84">
        <w:t>pg</w:t>
      </w:r>
      <w:proofErr w:type="spellEnd"/>
      <w:r w:rsidRPr="00FB1D84">
        <w:t xml:space="preserve"> </w:t>
      </w:r>
      <w:r w:rsidR="00F81701">
        <w:t>o</w:t>
      </w:r>
      <w:r w:rsidRPr="00FB1D84">
        <w:t>estradiol/mL; &lt; 0.26 ng testosterone/mL) as measured by validated mass spectrometry-based assays for both the study samples and reference values.</w:t>
      </w:r>
    </w:p>
    <w:p w14:paraId="020CCEA7" w14:textId="115FD45E" w:rsidR="00FB1D84" w:rsidRDefault="00FB1D84" w:rsidP="006A4A43">
      <w:pPr>
        <w:pStyle w:val="Caption"/>
        <w:ind w:left="993" w:hanging="993"/>
      </w:pPr>
      <w:bookmarkStart w:id="20" w:name="_Ref126830422"/>
      <w:r>
        <w:t xml:space="preserve">Table </w:t>
      </w:r>
      <w:r>
        <w:fldChar w:fldCharType="begin"/>
      </w:r>
      <w:r>
        <w:instrText xml:space="preserve"> SEQ Table \* ARABIC </w:instrText>
      </w:r>
      <w:r>
        <w:fldChar w:fldCharType="separate"/>
      </w:r>
      <w:r w:rsidR="007A2C94">
        <w:rPr>
          <w:noProof/>
        </w:rPr>
        <w:t>5</w:t>
      </w:r>
      <w:r>
        <w:fldChar w:fldCharType="end"/>
      </w:r>
      <w:bookmarkEnd w:id="20"/>
      <w:r>
        <w:t xml:space="preserve">: </w:t>
      </w:r>
      <w:r w:rsidR="006A4A43">
        <w:tab/>
      </w:r>
      <w:proofErr w:type="spellStart"/>
      <w:r>
        <w:t>C</w:t>
      </w:r>
      <w:r w:rsidRPr="00F5435D">
        <w:rPr>
          <w:vertAlign w:val="subscript"/>
        </w:rPr>
        <w:t>max</w:t>
      </w:r>
      <w:proofErr w:type="spellEnd"/>
      <w:r>
        <w:t xml:space="preserve"> and AUC</w:t>
      </w:r>
      <w:r w:rsidRPr="00F5435D">
        <w:rPr>
          <w:vertAlign w:val="subscript"/>
        </w:rPr>
        <w:t>0-24</w:t>
      </w:r>
      <w:r>
        <w:t xml:space="preserve"> of </w:t>
      </w:r>
      <w:proofErr w:type="spellStart"/>
      <w:r w:rsidR="006A4A43">
        <w:t>P</w:t>
      </w:r>
      <w:r>
        <w:t>rasterone</w:t>
      </w:r>
      <w:proofErr w:type="spellEnd"/>
      <w:r>
        <w:t xml:space="preserve">, </w:t>
      </w:r>
      <w:r w:rsidR="006A4A43">
        <w:t>T</w:t>
      </w:r>
      <w:r>
        <w:t xml:space="preserve">estosterone and </w:t>
      </w:r>
      <w:r w:rsidR="006A4A43">
        <w:t>O</w:t>
      </w:r>
      <w:r>
        <w:t>estradiol on Day 7</w:t>
      </w:r>
      <w:r w:rsidR="006A4A43">
        <w:t xml:space="preserve"> F</w:t>
      </w:r>
      <w:r>
        <w:t xml:space="preserve">ollowing </w:t>
      </w:r>
      <w:r w:rsidR="006A4A43">
        <w:t>D</w:t>
      </w:r>
      <w:r>
        <w:t xml:space="preserve">aily </w:t>
      </w:r>
      <w:r w:rsidR="006A4A43">
        <w:t>A</w:t>
      </w:r>
      <w:r>
        <w:t xml:space="preserve">dministration of </w:t>
      </w:r>
      <w:r w:rsidR="006A4A43">
        <w:t>P</w:t>
      </w:r>
      <w:r>
        <w:t xml:space="preserve">lacebo or INTRAROSA (mean </w:t>
      </w:r>
      <w:r w:rsidR="00F5435D">
        <w:rPr>
          <w:rFonts w:cs="Times New Roman"/>
        </w:rPr>
        <w:t>±</w:t>
      </w:r>
      <w:r>
        <w:t xml:space="preserve"> S.D.)</w:t>
      </w:r>
    </w:p>
    <w:tbl>
      <w:tblPr>
        <w:tblStyle w:val="TableGrid"/>
        <w:tblW w:w="5000" w:type="pct"/>
        <w:jc w:val="center"/>
        <w:tblBorders>
          <w:top w:val="single" w:sz="8" w:space="0" w:color="auto"/>
          <w:bottom w:val="single" w:sz="8" w:space="0" w:color="auto"/>
        </w:tblBorders>
        <w:tblLook w:val="04A0" w:firstRow="1" w:lastRow="0" w:firstColumn="1" w:lastColumn="0" w:noHBand="0" w:noVBand="1"/>
      </w:tblPr>
      <w:tblGrid>
        <w:gridCol w:w="1981"/>
        <w:gridCol w:w="2408"/>
        <w:gridCol w:w="2553"/>
        <w:gridCol w:w="2576"/>
      </w:tblGrid>
      <w:tr w:rsidR="00FB1D84" w:rsidRPr="00FB1D84" w14:paraId="1D70CCF9" w14:textId="77777777" w:rsidTr="00753714">
        <w:trPr>
          <w:jc w:val="center"/>
        </w:trPr>
        <w:tc>
          <w:tcPr>
            <w:tcW w:w="1041" w:type="pct"/>
            <w:tcBorders>
              <w:top w:val="single" w:sz="8" w:space="0" w:color="auto"/>
              <w:left w:val="single" w:sz="4" w:space="0" w:color="auto"/>
              <w:bottom w:val="single" w:sz="8" w:space="0" w:color="auto"/>
              <w:right w:val="nil"/>
            </w:tcBorders>
          </w:tcPr>
          <w:p w14:paraId="575A025C" w14:textId="77777777" w:rsidR="00FB1D84" w:rsidRPr="00FB1D84" w:rsidRDefault="00FB1D84" w:rsidP="00FB1D84">
            <w:pPr>
              <w:pStyle w:val="BodyText"/>
              <w:rPr>
                <w:lang w:val="en-US"/>
              </w:rPr>
            </w:pPr>
          </w:p>
        </w:tc>
        <w:tc>
          <w:tcPr>
            <w:tcW w:w="1265" w:type="pct"/>
            <w:tcBorders>
              <w:top w:val="single" w:sz="8" w:space="0" w:color="auto"/>
              <w:left w:val="nil"/>
              <w:bottom w:val="single" w:sz="8" w:space="0" w:color="auto"/>
              <w:right w:val="single" w:sz="4" w:space="0" w:color="auto"/>
            </w:tcBorders>
          </w:tcPr>
          <w:p w14:paraId="331965BB" w14:textId="77777777" w:rsidR="00FB1D84" w:rsidRPr="00FB1D84" w:rsidRDefault="00FB1D84" w:rsidP="00FB1D84">
            <w:pPr>
              <w:pStyle w:val="BodyText"/>
              <w:rPr>
                <w:lang w:val="en-US"/>
              </w:rPr>
            </w:pPr>
          </w:p>
        </w:tc>
        <w:tc>
          <w:tcPr>
            <w:tcW w:w="1341" w:type="pct"/>
            <w:tcBorders>
              <w:top w:val="single" w:sz="8" w:space="0" w:color="auto"/>
              <w:left w:val="single" w:sz="4" w:space="0" w:color="auto"/>
              <w:bottom w:val="single" w:sz="8" w:space="0" w:color="auto"/>
              <w:right w:val="single" w:sz="4" w:space="0" w:color="auto"/>
            </w:tcBorders>
            <w:vAlign w:val="center"/>
            <w:hideMark/>
          </w:tcPr>
          <w:p w14:paraId="70607665" w14:textId="77777777" w:rsidR="00FB1D84" w:rsidRPr="00FB1D84" w:rsidRDefault="00FB1D84" w:rsidP="00FB1D84">
            <w:pPr>
              <w:pStyle w:val="BodyText"/>
              <w:jc w:val="center"/>
              <w:rPr>
                <w:lang w:val="en"/>
              </w:rPr>
            </w:pPr>
            <w:r w:rsidRPr="00FB1D84">
              <w:rPr>
                <w:b/>
                <w:lang w:val="en"/>
              </w:rPr>
              <w:t>Placebo</w:t>
            </w:r>
            <w:r w:rsidRPr="00FB1D84">
              <w:rPr>
                <w:lang w:val="en"/>
              </w:rPr>
              <w:t xml:space="preserve"> (N=9)</w:t>
            </w:r>
          </w:p>
        </w:tc>
        <w:tc>
          <w:tcPr>
            <w:tcW w:w="1354" w:type="pct"/>
            <w:tcBorders>
              <w:top w:val="single" w:sz="8" w:space="0" w:color="auto"/>
              <w:left w:val="single" w:sz="4" w:space="0" w:color="auto"/>
              <w:bottom w:val="single" w:sz="8" w:space="0" w:color="auto"/>
              <w:right w:val="single" w:sz="4" w:space="0" w:color="auto"/>
            </w:tcBorders>
            <w:vAlign w:val="center"/>
            <w:hideMark/>
          </w:tcPr>
          <w:p w14:paraId="3FAAFB20" w14:textId="1B2E48C8" w:rsidR="00FB1D84" w:rsidRPr="00FB1D84" w:rsidRDefault="00753714" w:rsidP="00FB1D84">
            <w:pPr>
              <w:pStyle w:val="BodyText"/>
              <w:jc w:val="center"/>
              <w:rPr>
                <w:lang w:val="en"/>
              </w:rPr>
            </w:pPr>
            <w:r>
              <w:rPr>
                <w:b/>
                <w:lang w:val="en"/>
              </w:rPr>
              <w:t>INTRAROSA</w:t>
            </w:r>
            <w:r w:rsidR="00FB1D84" w:rsidRPr="00FB1D84">
              <w:rPr>
                <w:lang w:val="en"/>
              </w:rPr>
              <w:t xml:space="preserve"> (N=10)</w:t>
            </w:r>
          </w:p>
        </w:tc>
      </w:tr>
      <w:tr w:rsidR="00FB1D84" w:rsidRPr="00FB1D84" w14:paraId="52C7E89A" w14:textId="77777777" w:rsidTr="00753714">
        <w:trPr>
          <w:jc w:val="center"/>
        </w:trPr>
        <w:tc>
          <w:tcPr>
            <w:tcW w:w="1041" w:type="pct"/>
            <w:vMerge w:val="restart"/>
            <w:tcBorders>
              <w:top w:val="single" w:sz="8" w:space="0" w:color="auto"/>
              <w:left w:val="single" w:sz="4" w:space="0" w:color="auto"/>
              <w:bottom w:val="single" w:sz="4" w:space="0" w:color="auto"/>
              <w:right w:val="single" w:sz="4" w:space="0" w:color="auto"/>
            </w:tcBorders>
            <w:vAlign w:val="center"/>
            <w:hideMark/>
          </w:tcPr>
          <w:p w14:paraId="0B7437D7" w14:textId="77777777" w:rsidR="00FB1D84" w:rsidRPr="00FB1D84" w:rsidRDefault="00FB1D84" w:rsidP="00FB1D84">
            <w:pPr>
              <w:pStyle w:val="BodyText"/>
              <w:jc w:val="center"/>
              <w:rPr>
                <w:lang w:val="en"/>
              </w:rPr>
            </w:pPr>
            <w:proofErr w:type="spellStart"/>
            <w:r w:rsidRPr="00FB1D84">
              <w:rPr>
                <w:b/>
                <w:lang w:val="en"/>
              </w:rPr>
              <w:t>Prasterone</w:t>
            </w:r>
            <w:proofErr w:type="spellEnd"/>
          </w:p>
        </w:tc>
        <w:tc>
          <w:tcPr>
            <w:tcW w:w="1265" w:type="pct"/>
            <w:tcBorders>
              <w:top w:val="single" w:sz="8" w:space="0" w:color="auto"/>
              <w:left w:val="single" w:sz="4" w:space="0" w:color="auto"/>
              <w:bottom w:val="single" w:sz="4" w:space="0" w:color="auto"/>
              <w:right w:val="single" w:sz="4" w:space="0" w:color="auto"/>
            </w:tcBorders>
            <w:vAlign w:val="center"/>
            <w:hideMark/>
          </w:tcPr>
          <w:p w14:paraId="048EDC3F" w14:textId="77777777" w:rsidR="00FB1D84" w:rsidRPr="00FB1D84" w:rsidRDefault="00FB1D84" w:rsidP="00FB1D84">
            <w:pPr>
              <w:pStyle w:val="BodyText"/>
              <w:jc w:val="center"/>
              <w:rPr>
                <w:lang w:val="en"/>
              </w:rPr>
            </w:pPr>
            <w:proofErr w:type="spellStart"/>
            <w:r w:rsidRPr="00FB1D84">
              <w:rPr>
                <w:lang w:val="en"/>
              </w:rPr>
              <w:t>C</w:t>
            </w:r>
            <w:r w:rsidRPr="00FB1D84">
              <w:rPr>
                <w:vertAlign w:val="subscript"/>
                <w:lang w:val="en"/>
              </w:rPr>
              <w:t>max</w:t>
            </w:r>
            <w:proofErr w:type="spellEnd"/>
            <w:r w:rsidRPr="00FB1D84">
              <w:rPr>
                <w:vertAlign w:val="subscript"/>
                <w:lang w:val="en"/>
              </w:rPr>
              <w:t xml:space="preserve"> </w:t>
            </w:r>
            <w:r w:rsidRPr="00FB1D84">
              <w:rPr>
                <w:lang w:val="en"/>
              </w:rPr>
              <w:t>(ng/mL)</w:t>
            </w:r>
          </w:p>
        </w:tc>
        <w:tc>
          <w:tcPr>
            <w:tcW w:w="1341" w:type="pct"/>
            <w:tcBorders>
              <w:top w:val="single" w:sz="8" w:space="0" w:color="auto"/>
              <w:left w:val="single" w:sz="4" w:space="0" w:color="auto"/>
              <w:bottom w:val="single" w:sz="4" w:space="0" w:color="auto"/>
              <w:right w:val="single" w:sz="4" w:space="0" w:color="auto"/>
            </w:tcBorders>
            <w:vAlign w:val="center"/>
            <w:hideMark/>
          </w:tcPr>
          <w:p w14:paraId="77A405A5" w14:textId="77777777" w:rsidR="00FB1D84" w:rsidRPr="00FB1D84" w:rsidRDefault="00FB1D84" w:rsidP="00FB1D84">
            <w:pPr>
              <w:pStyle w:val="BodyText"/>
              <w:jc w:val="center"/>
              <w:rPr>
                <w:lang w:val="en"/>
              </w:rPr>
            </w:pPr>
            <w:r w:rsidRPr="00FB1D84">
              <w:rPr>
                <w:lang w:val="en"/>
              </w:rPr>
              <w:t>1.60 (±0.95)</w:t>
            </w:r>
          </w:p>
        </w:tc>
        <w:tc>
          <w:tcPr>
            <w:tcW w:w="1354" w:type="pct"/>
            <w:tcBorders>
              <w:top w:val="single" w:sz="8" w:space="0" w:color="auto"/>
              <w:left w:val="single" w:sz="4" w:space="0" w:color="auto"/>
              <w:bottom w:val="single" w:sz="4" w:space="0" w:color="auto"/>
              <w:right w:val="single" w:sz="4" w:space="0" w:color="auto"/>
            </w:tcBorders>
            <w:vAlign w:val="center"/>
            <w:hideMark/>
          </w:tcPr>
          <w:p w14:paraId="6A7983F3" w14:textId="77777777" w:rsidR="00FB1D84" w:rsidRPr="00FB1D84" w:rsidRDefault="00FB1D84" w:rsidP="00FB1D84">
            <w:pPr>
              <w:pStyle w:val="BodyText"/>
              <w:jc w:val="center"/>
              <w:rPr>
                <w:lang w:val="en"/>
              </w:rPr>
            </w:pPr>
            <w:r w:rsidRPr="00FB1D84">
              <w:rPr>
                <w:lang w:val="en"/>
              </w:rPr>
              <w:t>4.42 (±1.49)</w:t>
            </w:r>
          </w:p>
        </w:tc>
      </w:tr>
      <w:tr w:rsidR="00FB1D84" w:rsidRPr="00FB1D84" w14:paraId="3996E2F0" w14:textId="77777777" w:rsidTr="00753714">
        <w:trPr>
          <w:jc w:val="center"/>
        </w:trPr>
        <w:tc>
          <w:tcPr>
            <w:tcW w:w="1041" w:type="pct"/>
            <w:vMerge/>
            <w:tcBorders>
              <w:top w:val="single" w:sz="8" w:space="0" w:color="auto"/>
              <w:left w:val="single" w:sz="4" w:space="0" w:color="auto"/>
              <w:bottom w:val="single" w:sz="4" w:space="0" w:color="auto"/>
              <w:right w:val="single" w:sz="4" w:space="0" w:color="auto"/>
            </w:tcBorders>
            <w:vAlign w:val="center"/>
            <w:hideMark/>
          </w:tcPr>
          <w:p w14:paraId="5A33484A" w14:textId="77777777" w:rsidR="00FB1D84" w:rsidRPr="00FB1D84" w:rsidRDefault="00FB1D84" w:rsidP="00FB1D84">
            <w:pPr>
              <w:pStyle w:val="BodyText"/>
              <w:jc w:val="center"/>
              <w:rPr>
                <w:lang w:val="en"/>
              </w:rPr>
            </w:pPr>
          </w:p>
        </w:tc>
        <w:tc>
          <w:tcPr>
            <w:tcW w:w="1265" w:type="pct"/>
            <w:tcBorders>
              <w:top w:val="single" w:sz="4" w:space="0" w:color="auto"/>
              <w:left w:val="single" w:sz="4" w:space="0" w:color="auto"/>
              <w:bottom w:val="single" w:sz="4" w:space="0" w:color="auto"/>
              <w:right w:val="single" w:sz="4" w:space="0" w:color="auto"/>
            </w:tcBorders>
            <w:vAlign w:val="center"/>
            <w:hideMark/>
          </w:tcPr>
          <w:p w14:paraId="7C6931BF" w14:textId="77777777" w:rsidR="00FB1D84" w:rsidRPr="00FB1D84" w:rsidRDefault="00FB1D84" w:rsidP="00FB1D84">
            <w:pPr>
              <w:pStyle w:val="BodyText"/>
              <w:jc w:val="center"/>
              <w:rPr>
                <w:lang w:val="en"/>
              </w:rPr>
            </w:pPr>
            <w:r w:rsidRPr="00FB1D84">
              <w:rPr>
                <w:lang w:val="en"/>
              </w:rPr>
              <w:t>AUC</w:t>
            </w:r>
            <w:r w:rsidRPr="00FB1D84">
              <w:rPr>
                <w:vertAlign w:val="subscript"/>
                <w:lang w:val="en"/>
              </w:rPr>
              <w:t xml:space="preserve">0-24 </w:t>
            </w:r>
            <w:r w:rsidRPr="00FB1D84">
              <w:rPr>
                <w:lang w:val="en"/>
              </w:rPr>
              <w:t>(ng</w:t>
            </w:r>
            <w:r w:rsidRPr="00FB1D84">
              <w:rPr>
                <w:lang w:val="en"/>
              </w:rPr>
              <w:sym w:font="Symbol" w:char="F0D7"/>
            </w:r>
            <w:r w:rsidRPr="00FB1D84">
              <w:rPr>
                <w:lang w:val="en"/>
              </w:rPr>
              <w:t>h/mL)</w:t>
            </w:r>
          </w:p>
        </w:tc>
        <w:tc>
          <w:tcPr>
            <w:tcW w:w="1341" w:type="pct"/>
            <w:tcBorders>
              <w:top w:val="single" w:sz="4" w:space="0" w:color="auto"/>
              <w:left w:val="single" w:sz="4" w:space="0" w:color="auto"/>
              <w:bottom w:val="single" w:sz="4" w:space="0" w:color="auto"/>
              <w:right w:val="single" w:sz="4" w:space="0" w:color="auto"/>
            </w:tcBorders>
            <w:vAlign w:val="center"/>
            <w:hideMark/>
          </w:tcPr>
          <w:p w14:paraId="6AA657AF" w14:textId="77777777" w:rsidR="00FB1D84" w:rsidRPr="00FB1D84" w:rsidRDefault="00FB1D84" w:rsidP="00FB1D84">
            <w:pPr>
              <w:pStyle w:val="BodyText"/>
              <w:jc w:val="center"/>
              <w:rPr>
                <w:lang w:val="en"/>
              </w:rPr>
            </w:pPr>
            <w:r w:rsidRPr="00FB1D84">
              <w:rPr>
                <w:lang w:val="en"/>
              </w:rPr>
              <w:t>24.82 (±14.31)</w:t>
            </w:r>
          </w:p>
        </w:tc>
        <w:tc>
          <w:tcPr>
            <w:tcW w:w="1354" w:type="pct"/>
            <w:tcBorders>
              <w:top w:val="single" w:sz="4" w:space="0" w:color="auto"/>
              <w:left w:val="single" w:sz="4" w:space="0" w:color="auto"/>
              <w:bottom w:val="single" w:sz="4" w:space="0" w:color="auto"/>
              <w:right w:val="single" w:sz="4" w:space="0" w:color="auto"/>
            </w:tcBorders>
            <w:vAlign w:val="center"/>
            <w:hideMark/>
          </w:tcPr>
          <w:p w14:paraId="0A7EB29D" w14:textId="77777777" w:rsidR="00FB1D84" w:rsidRPr="00FB1D84" w:rsidRDefault="00FB1D84" w:rsidP="00FB1D84">
            <w:pPr>
              <w:pStyle w:val="BodyText"/>
              <w:jc w:val="center"/>
              <w:rPr>
                <w:lang w:val="en"/>
              </w:rPr>
            </w:pPr>
            <w:r w:rsidRPr="00FB1D84">
              <w:rPr>
                <w:lang w:val="en"/>
              </w:rPr>
              <w:t>56.17 (±28.27)</w:t>
            </w:r>
          </w:p>
        </w:tc>
      </w:tr>
      <w:tr w:rsidR="00FB1D84" w:rsidRPr="00FB1D84" w14:paraId="2187191F" w14:textId="77777777" w:rsidTr="00753714">
        <w:trPr>
          <w:jc w:val="center"/>
        </w:trPr>
        <w:tc>
          <w:tcPr>
            <w:tcW w:w="1041" w:type="pct"/>
            <w:vMerge w:val="restart"/>
            <w:tcBorders>
              <w:top w:val="single" w:sz="4" w:space="0" w:color="auto"/>
              <w:left w:val="single" w:sz="4" w:space="0" w:color="auto"/>
              <w:bottom w:val="single" w:sz="4" w:space="0" w:color="auto"/>
              <w:right w:val="single" w:sz="4" w:space="0" w:color="auto"/>
            </w:tcBorders>
            <w:vAlign w:val="center"/>
            <w:hideMark/>
          </w:tcPr>
          <w:p w14:paraId="6C8CE9FA" w14:textId="77777777" w:rsidR="00FB1D84" w:rsidRPr="00FB1D84" w:rsidRDefault="00FB1D84" w:rsidP="00FB1D84">
            <w:pPr>
              <w:pStyle w:val="BodyText"/>
              <w:jc w:val="center"/>
              <w:rPr>
                <w:lang w:val="en"/>
              </w:rPr>
            </w:pPr>
            <w:r w:rsidRPr="00FB1D84">
              <w:rPr>
                <w:b/>
                <w:lang w:val="en"/>
              </w:rPr>
              <w:t>Testosterone</w:t>
            </w:r>
          </w:p>
        </w:tc>
        <w:tc>
          <w:tcPr>
            <w:tcW w:w="1265" w:type="pct"/>
            <w:tcBorders>
              <w:top w:val="single" w:sz="4" w:space="0" w:color="auto"/>
              <w:left w:val="single" w:sz="4" w:space="0" w:color="auto"/>
              <w:bottom w:val="single" w:sz="4" w:space="0" w:color="auto"/>
              <w:right w:val="single" w:sz="4" w:space="0" w:color="auto"/>
            </w:tcBorders>
            <w:vAlign w:val="center"/>
            <w:hideMark/>
          </w:tcPr>
          <w:p w14:paraId="74F8FF06" w14:textId="77777777" w:rsidR="00FB1D84" w:rsidRPr="00FB1D84" w:rsidRDefault="00FB1D84" w:rsidP="00FB1D84">
            <w:pPr>
              <w:pStyle w:val="BodyText"/>
              <w:jc w:val="center"/>
              <w:rPr>
                <w:lang w:val="en"/>
              </w:rPr>
            </w:pPr>
            <w:proofErr w:type="spellStart"/>
            <w:r w:rsidRPr="00FB1D84">
              <w:rPr>
                <w:lang w:val="en"/>
              </w:rPr>
              <w:t>C</w:t>
            </w:r>
            <w:r w:rsidRPr="00FB1D84">
              <w:rPr>
                <w:vertAlign w:val="subscript"/>
                <w:lang w:val="en"/>
              </w:rPr>
              <w:t>max</w:t>
            </w:r>
            <w:proofErr w:type="spellEnd"/>
            <w:r w:rsidRPr="00FB1D84">
              <w:rPr>
                <w:vertAlign w:val="subscript"/>
                <w:lang w:val="en"/>
              </w:rPr>
              <w:t xml:space="preserve"> </w:t>
            </w:r>
            <w:r w:rsidRPr="00FB1D84">
              <w:rPr>
                <w:lang w:val="en"/>
              </w:rPr>
              <w:t>(ng/mL)</w:t>
            </w:r>
          </w:p>
        </w:tc>
        <w:tc>
          <w:tcPr>
            <w:tcW w:w="1341" w:type="pct"/>
            <w:tcBorders>
              <w:top w:val="single" w:sz="4" w:space="0" w:color="auto"/>
              <w:left w:val="single" w:sz="4" w:space="0" w:color="auto"/>
              <w:bottom w:val="single" w:sz="4" w:space="0" w:color="auto"/>
              <w:right w:val="single" w:sz="4" w:space="0" w:color="auto"/>
            </w:tcBorders>
            <w:vAlign w:val="center"/>
            <w:hideMark/>
          </w:tcPr>
          <w:p w14:paraId="0F5C75E7" w14:textId="77777777" w:rsidR="00FB1D84" w:rsidRPr="00FB1D84" w:rsidRDefault="00FB1D84" w:rsidP="00FB1D84">
            <w:pPr>
              <w:pStyle w:val="BodyText"/>
              <w:jc w:val="center"/>
              <w:rPr>
                <w:lang w:val="en"/>
              </w:rPr>
            </w:pPr>
            <w:r w:rsidRPr="00FB1D84">
              <w:rPr>
                <w:lang w:val="en"/>
              </w:rPr>
              <w:t>0.12 (±0.04)</w:t>
            </w:r>
            <w:r w:rsidRPr="00FB1D84">
              <w:rPr>
                <w:vertAlign w:val="superscript"/>
                <w:lang w:val="en"/>
              </w:rPr>
              <w:t>1</w:t>
            </w:r>
          </w:p>
        </w:tc>
        <w:tc>
          <w:tcPr>
            <w:tcW w:w="1354" w:type="pct"/>
            <w:tcBorders>
              <w:top w:val="single" w:sz="4" w:space="0" w:color="auto"/>
              <w:left w:val="single" w:sz="4" w:space="0" w:color="auto"/>
              <w:bottom w:val="single" w:sz="4" w:space="0" w:color="auto"/>
              <w:right w:val="single" w:sz="4" w:space="0" w:color="auto"/>
            </w:tcBorders>
            <w:vAlign w:val="center"/>
            <w:hideMark/>
          </w:tcPr>
          <w:p w14:paraId="6923E7F9" w14:textId="77777777" w:rsidR="00FB1D84" w:rsidRPr="00FB1D84" w:rsidRDefault="00FB1D84" w:rsidP="00FB1D84">
            <w:pPr>
              <w:pStyle w:val="BodyText"/>
              <w:jc w:val="center"/>
              <w:rPr>
                <w:lang w:val="en"/>
              </w:rPr>
            </w:pPr>
            <w:r w:rsidRPr="00FB1D84">
              <w:rPr>
                <w:lang w:val="en"/>
              </w:rPr>
              <w:t>0.15 (±0.05)</w:t>
            </w:r>
          </w:p>
        </w:tc>
      </w:tr>
      <w:tr w:rsidR="00FB1D84" w:rsidRPr="00FB1D84" w14:paraId="4D15D098" w14:textId="77777777" w:rsidTr="00753714">
        <w:trPr>
          <w:jc w:val="center"/>
        </w:trPr>
        <w:tc>
          <w:tcPr>
            <w:tcW w:w="1041" w:type="pct"/>
            <w:vMerge/>
            <w:tcBorders>
              <w:top w:val="single" w:sz="4" w:space="0" w:color="auto"/>
              <w:left w:val="single" w:sz="4" w:space="0" w:color="auto"/>
              <w:bottom w:val="single" w:sz="4" w:space="0" w:color="auto"/>
              <w:right w:val="single" w:sz="4" w:space="0" w:color="auto"/>
            </w:tcBorders>
            <w:vAlign w:val="center"/>
            <w:hideMark/>
          </w:tcPr>
          <w:p w14:paraId="56DB6FAF" w14:textId="77777777" w:rsidR="00FB1D84" w:rsidRPr="00FB1D84" w:rsidRDefault="00FB1D84" w:rsidP="00FB1D84">
            <w:pPr>
              <w:pStyle w:val="BodyText"/>
              <w:jc w:val="center"/>
              <w:rPr>
                <w:lang w:val="en"/>
              </w:rPr>
            </w:pPr>
          </w:p>
        </w:tc>
        <w:tc>
          <w:tcPr>
            <w:tcW w:w="1265" w:type="pct"/>
            <w:tcBorders>
              <w:top w:val="single" w:sz="4" w:space="0" w:color="auto"/>
              <w:left w:val="single" w:sz="4" w:space="0" w:color="auto"/>
              <w:bottom w:val="single" w:sz="4" w:space="0" w:color="auto"/>
              <w:right w:val="single" w:sz="4" w:space="0" w:color="auto"/>
            </w:tcBorders>
            <w:vAlign w:val="center"/>
            <w:hideMark/>
          </w:tcPr>
          <w:p w14:paraId="3B5879F8" w14:textId="77777777" w:rsidR="00FB1D84" w:rsidRPr="00FB1D84" w:rsidRDefault="00FB1D84" w:rsidP="00FB1D84">
            <w:pPr>
              <w:pStyle w:val="BodyText"/>
              <w:jc w:val="center"/>
              <w:rPr>
                <w:lang w:val="en"/>
              </w:rPr>
            </w:pPr>
            <w:r w:rsidRPr="00FB1D84">
              <w:rPr>
                <w:lang w:val="en"/>
              </w:rPr>
              <w:t>AUC</w:t>
            </w:r>
            <w:r w:rsidRPr="00FB1D84">
              <w:rPr>
                <w:vertAlign w:val="subscript"/>
                <w:lang w:val="en"/>
              </w:rPr>
              <w:t xml:space="preserve">0-24 </w:t>
            </w:r>
            <w:r w:rsidRPr="00FB1D84">
              <w:rPr>
                <w:lang w:val="en"/>
              </w:rPr>
              <w:t>(ng</w:t>
            </w:r>
            <w:r w:rsidRPr="00FB1D84">
              <w:rPr>
                <w:lang w:val="en"/>
              </w:rPr>
              <w:sym w:font="Symbol" w:char="F0D7"/>
            </w:r>
            <w:r w:rsidRPr="00FB1D84">
              <w:rPr>
                <w:lang w:val="en"/>
              </w:rPr>
              <w:t>h/mL)</w:t>
            </w:r>
          </w:p>
        </w:tc>
        <w:tc>
          <w:tcPr>
            <w:tcW w:w="1341" w:type="pct"/>
            <w:tcBorders>
              <w:top w:val="single" w:sz="4" w:space="0" w:color="auto"/>
              <w:left w:val="single" w:sz="4" w:space="0" w:color="auto"/>
              <w:bottom w:val="single" w:sz="4" w:space="0" w:color="auto"/>
              <w:right w:val="single" w:sz="4" w:space="0" w:color="auto"/>
            </w:tcBorders>
            <w:vAlign w:val="center"/>
            <w:hideMark/>
          </w:tcPr>
          <w:p w14:paraId="4C4C006D" w14:textId="77777777" w:rsidR="00FB1D84" w:rsidRPr="00FB1D84" w:rsidRDefault="00FB1D84" w:rsidP="00FB1D84">
            <w:pPr>
              <w:pStyle w:val="BodyText"/>
              <w:jc w:val="center"/>
              <w:rPr>
                <w:lang w:val="en"/>
              </w:rPr>
            </w:pPr>
            <w:r w:rsidRPr="00FB1D84">
              <w:rPr>
                <w:lang w:val="en"/>
              </w:rPr>
              <w:t>2.58 (±0.94)</w:t>
            </w:r>
            <w:r w:rsidRPr="00FB1D84">
              <w:rPr>
                <w:vertAlign w:val="superscript"/>
                <w:lang w:val="en"/>
              </w:rPr>
              <w:t>1</w:t>
            </w:r>
          </w:p>
        </w:tc>
        <w:tc>
          <w:tcPr>
            <w:tcW w:w="1354" w:type="pct"/>
            <w:tcBorders>
              <w:top w:val="single" w:sz="4" w:space="0" w:color="auto"/>
              <w:left w:val="single" w:sz="4" w:space="0" w:color="auto"/>
              <w:bottom w:val="single" w:sz="4" w:space="0" w:color="auto"/>
              <w:right w:val="single" w:sz="4" w:space="0" w:color="auto"/>
            </w:tcBorders>
            <w:vAlign w:val="center"/>
            <w:hideMark/>
          </w:tcPr>
          <w:p w14:paraId="1AB92D91" w14:textId="77777777" w:rsidR="00FB1D84" w:rsidRPr="00FB1D84" w:rsidRDefault="00FB1D84" w:rsidP="00FB1D84">
            <w:pPr>
              <w:pStyle w:val="BodyText"/>
              <w:jc w:val="center"/>
              <w:rPr>
                <w:lang w:val="en"/>
              </w:rPr>
            </w:pPr>
            <w:r w:rsidRPr="00FB1D84">
              <w:rPr>
                <w:lang w:val="en"/>
              </w:rPr>
              <w:t>2.79 (±0.94)</w:t>
            </w:r>
          </w:p>
        </w:tc>
      </w:tr>
      <w:tr w:rsidR="00FB1D84" w:rsidRPr="00FB1D84" w14:paraId="1E9CE666" w14:textId="77777777" w:rsidTr="00753714">
        <w:trPr>
          <w:jc w:val="center"/>
        </w:trPr>
        <w:tc>
          <w:tcPr>
            <w:tcW w:w="1041" w:type="pct"/>
            <w:vMerge w:val="restart"/>
            <w:tcBorders>
              <w:top w:val="single" w:sz="4" w:space="0" w:color="auto"/>
              <w:left w:val="single" w:sz="4" w:space="0" w:color="auto"/>
              <w:bottom w:val="single" w:sz="8" w:space="0" w:color="auto"/>
              <w:right w:val="single" w:sz="4" w:space="0" w:color="auto"/>
            </w:tcBorders>
            <w:vAlign w:val="center"/>
            <w:hideMark/>
          </w:tcPr>
          <w:p w14:paraId="58F0248B" w14:textId="20A432BC" w:rsidR="00FB1D84" w:rsidRPr="00FB1D84" w:rsidRDefault="00F81701" w:rsidP="00FB1D84">
            <w:pPr>
              <w:pStyle w:val="BodyText"/>
              <w:jc w:val="center"/>
              <w:rPr>
                <w:lang w:val="en"/>
              </w:rPr>
            </w:pPr>
            <w:proofErr w:type="spellStart"/>
            <w:r>
              <w:rPr>
                <w:b/>
                <w:lang w:val="en"/>
              </w:rPr>
              <w:t>Oe</w:t>
            </w:r>
            <w:r w:rsidR="00FB1D84" w:rsidRPr="00FB1D84">
              <w:rPr>
                <w:b/>
                <w:lang w:val="en"/>
              </w:rPr>
              <w:t>stradiol</w:t>
            </w:r>
            <w:proofErr w:type="spellEnd"/>
          </w:p>
        </w:tc>
        <w:tc>
          <w:tcPr>
            <w:tcW w:w="1265" w:type="pct"/>
            <w:tcBorders>
              <w:top w:val="single" w:sz="4" w:space="0" w:color="auto"/>
              <w:left w:val="single" w:sz="4" w:space="0" w:color="auto"/>
              <w:bottom w:val="single" w:sz="4" w:space="0" w:color="auto"/>
              <w:right w:val="single" w:sz="4" w:space="0" w:color="auto"/>
            </w:tcBorders>
            <w:vAlign w:val="center"/>
            <w:hideMark/>
          </w:tcPr>
          <w:p w14:paraId="0FB6D3B9" w14:textId="77777777" w:rsidR="00FB1D84" w:rsidRPr="00FB1D84" w:rsidRDefault="00FB1D84" w:rsidP="00FB1D84">
            <w:pPr>
              <w:pStyle w:val="BodyText"/>
              <w:jc w:val="center"/>
              <w:rPr>
                <w:lang w:val="en"/>
              </w:rPr>
            </w:pPr>
            <w:proofErr w:type="spellStart"/>
            <w:r w:rsidRPr="00FB1D84">
              <w:rPr>
                <w:lang w:val="en"/>
              </w:rPr>
              <w:t>C</w:t>
            </w:r>
            <w:r w:rsidRPr="00FB1D84">
              <w:rPr>
                <w:vertAlign w:val="subscript"/>
                <w:lang w:val="en"/>
              </w:rPr>
              <w:t>max</w:t>
            </w:r>
            <w:proofErr w:type="spellEnd"/>
            <w:r w:rsidRPr="00FB1D84">
              <w:rPr>
                <w:vertAlign w:val="subscript"/>
                <w:lang w:val="en"/>
              </w:rPr>
              <w:t xml:space="preserve"> </w:t>
            </w:r>
            <w:r w:rsidRPr="00FB1D84">
              <w:rPr>
                <w:lang w:val="en"/>
              </w:rPr>
              <w:t>(</w:t>
            </w:r>
            <w:proofErr w:type="spellStart"/>
            <w:r w:rsidRPr="00FB1D84">
              <w:rPr>
                <w:lang w:val="en"/>
              </w:rPr>
              <w:t>pg</w:t>
            </w:r>
            <w:proofErr w:type="spellEnd"/>
            <w:r w:rsidRPr="00FB1D84">
              <w:rPr>
                <w:lang w:val="en"/>
              </w:rPr>
              <w:t>/mL)</w:t>
            </w:r>
          </w:p>
        </w:tc>
        <w:tc>
          <w:tcPr>
            <w:tcW w:w="1341" w:type="pct"/>
            <w:tcBorders>
              <w:top w:val="single" w:sz="4" w:space="0" w:color="auto"/>
              <w:left w:val="single" w:sz="4" w:space="0" w:color="auto"/>
              <w:bottom w:val="single" w:sz="4" w:space="0" w:color="auto"/>
              <w:right w:val="single" w:sz="4" w:space="0" w:color="auto"/>
            </w:tcBorders>
            <w:vAlign w:val="center"/>
            <w:hideMark/>
          </w:tcPr>
          <w:p w14:paraId="73E510E8" w14:textId="77777777" w:rsidR="00FB1D84" w:rsidRPr="00FB1D84" w:rsidRDefault="00FB1D84" w:rsidP="00FB1D84">
            <w:pPr>
              <w:pStyle w:val="BodyText"/>
              <w:jc w:val="center"/>
              <w:rPr>
                <w:lang w:val="en"/>
              </w:rPr>
            </w:pPr>
            <w:r w:rsidRPr="00FB1D84">
              <w:rPr>
                <w:lang w:val="en"/>
              </w:rPr>
              <w:t>3.33 (±1.31)</w:t>
            </w:r>
          </w:p>
        </w:tc>
        <w:tc>
          <w:tcPr>
            <w:tcW w:w="1354" w:type="pct"/>
            <w:tcBorders>
              <w:top w:val="single" w:sz="4" w:space="0" w:color="auto"/>
              <w:left w:val="single" w:sz="4" w:space="0" w:color="auto"/>
              <w:bottom w:val="single" w:sz="4" w:space="0" w:color="auto"/>
              <w:right w:val="single" w:sz="4" w:space="0" w:color="auto"/>
            </w:tcBorders>
            <w:vAlign w:val="center"/>
            <w:hideMark/>
          </w:tcPr>
          <w:p w14:paraId="35C69708" w14:textId="77777777" w:rsidR="00FB1D84" w:rsidRPr="00FB1D84" w:rsidRDefault="00FB1D84" w:rsidP="00FB1D84">
            <w:pPr>
              <w:pStyle w:val="BodyText"/>
              <w:jc w:val="center"/>
              <w:rPr>
                <w:lang w:val="en"/>
              </w:rPr>
            </w:pPr>
            <w:r w:rsidRPr="00FB1D84">
              <w:rPr>
                <w:lang w:val="en"/>
              </w:rPr>
              <w:t>5.04 (±2.68)</w:t>
            </w:r>
          </w:p>
        </w:tc>
      </w:tr>
      <w:tr w:rsidR="00FB1D84" w:rsidRPr="00FB1D84" w14:paraId="5A701083" w14:textId="77777777" w:rsidTr="00753714">
        <w:trPr>
          <w:jc w:val="center"/>
        </w:trPr>
        <w:tc>
          <w:tcPr>
            <w:tcW w:w="1041" w:type="pct"/>
            <w:vMerge/>
            <w:tcBorders>
              <w:top w:val="single" w:sz="4" w:space="0" w:color="auto"/>
              <w:left w:val="single" w:sz="4" w:space="0" w:color="auto"/>
              <w:bottom w:val="single" w:sz="8" w:space="0" w:color="auto"/>
              <w:right w:val="single" w:sz="4" w:space="0" w:color="auto"/>
            </w:tcBorders>
            <w:vAlign w:val="center"/>
            <w:hideMark/>
          </w:tcPr>
          <w:p w14:paraId="043F9E64" w14:textId="77777777" w:rsidR="00FB1D84" w:rsidRPr="00FB1D84" w:rsidRDefault="00FB1D84" w:rsidP="00FB1D84">
            <w:pPr>
              <w:pStyle w:val="BodyText"/>
              <w:jc w:val="center"/>
              <w:rPr>
                <w:lang w:val="en"/>
              </w:rPr>
            </w:pPr>
          </w:p>
        </w:tc>
        <w:tc>
          <w:tcPr>
            <w:tcW w:w="1265" w:type="pct"/>
            <w:tcBorders>
              <w:top w:val="single" w:sz="4" w:space="0" w:color="auto"/>
              <w:left w:val="single" w:sz="4" w:space="0" w:color="auto"/>
              <w:bottom w:val="single" w:sz="8" w:space="0" w:color="auto"/>
              <w:right w:val="single" w:sz="4" w:space="0" w:color="auto"/>
            </w:tcBorders>
            <w:vAlign w:val="center"/>
            <w:hideMark/>
          </w:tcPr>
          <w:p w14:paraId="17AC12CF" w14:textId="77777777" w:rsidR="00FB1D84" w:rsidRPr="00FB1D84" w:rsidRDefault="00FB1D84" w:rsidP="00FB1D84">
            <w:pPr>
              <w:pStyle w:val="BodyText"/>
              <w:jc w:val="center"/>
              <w:rPr>
                <w:lang w:val="en"/>
              </w:rPr>
            </w:pPr>
            <w:r w:rsidRPr="00FB1D84">
              <w:rPr>
                <w:lang w:val="en"/>
              </w:rPr>
              <w:t>AUC</w:t>
            </w:r>
            <w:r w:rsidRPr="00FB1D84">
              <w:rPr>
                <w:vertAlign w:val="subscript"/>
                <w:lang w:val="en"/>
              </w:rPr>
              <w:t xml:space="preserve">0-24 </w:t>
            </w:r>
            <w:r w:rsidRPr="00FB1D84">
              <w:rPr>
                <w:lang w:val="en"/>
              </w:rPr>
              <w:t>(</w:t>
            </w:r>
            <w:proofErr w:type="spellStart"/>
            <w:r w:rsidRPr="00FB1D84">
              <w:rPr>
                <w:lang w:val="en"/>
              </w:rPr>
              <w:t>pg</w:t>
            </w:r>
            <w:proofErr w:type="spellEnd"/>
            <w:r w:rsidRPr="00FB1D84">
              <w:rPr>
                <w:lang w:val="en"/>
              </w:rPr>
              <w:sym w:font="Symbol" w:char="F0D7"/>
            </w:r>
            <w:r w:rsidRPr="00FB1D84">
              <w:rPr>
                <w:lang w:val="en"/>
              </w:rPr>
              <w:t>h/mL)</w:t>
            </w:r>
          </w:p>
        </w:tc>
        <w:tc>
          <w:tcPr>
            <w:tcW w:w="1341" w:type="pct"/>
            <w:tcBorders>
              <w:top w:val="single" w:sz="4" w:space="0" w:color="auto"/>
              <w:left w:val="single" w:sz="4" w:space="0" w:color="auto"/>
              <w:bottom w:val="single" w:sz="8" w:space="0" w:color="auto"/>
              <w:right w:val="single" w:sz="4" w:space="0" w:color="auto"/>
            </w:tcBorders>
            <w:vAlign w:val="center"/>
            <w:hideMark/>
          </w:tcPr>
          <w:p w14:paraId="3F5A56AE" w14:textId="77777777" w:rsidR="00FB1D84" w:rsidRPr="00FB1D84" w:rsidRDefault="00FB1D84" w:rsidP="00FB1D84">
            <w:pPr>
              <w:pStyle w:val="BodyText"/>
              <w:jc w:val="center"/>
              <w:rPr>
                <w:lang w:val="en"/>
              </w:rPr>
            </w:pPr>
            <w:r w:rsidRPr="00FB1D84">
              <w:rPr>
                <w:lang w:val="en"/>
              </w:rPr>
              <w:t>66.49 (±20.70)</w:t>
            </w:r>
          </w:p>
        </w:tc>
        <w:tc>
          <w:tcPr>
            <w:tcW w:w="1354" w:type="pct"/>
            <w:tcBorders>
              <w:top w:val="single" w:sz="4" w:space="0" w:color="auto"/>
              <w:left w:val="single" w:sz="4" w:space="0" w:color="auto"/>
              <w:bottom w:val="single" w:sz="8" w:space="0" w:color="auto"/>
              <w:right w:val="single" w:sz="4" w:space="0" w:color="auto"/>
            </w:tcBorders>
            <w:vAlign w:val="center"/>
            <w:hideMark/>
          </w:tcPr>
          <w:p w14:paraId="07BC35FE" w14:textId="77777777" w:rsidR="00FB1D84" w:rsidRPr="00FB1D84" w:rsidRDefault="00FB1D84" w:rsidP="00FB1D84">
            <w:pPr>
              <w:pStyle w:val="BodyText"/>
              <w:jc w:val="center"/>
              <w:rPr>
                <w:b/>
                <w:bCs/>
                <w:lang w:val="en"/>
              </w:rPr>
            </w:pPr>
            <w:r w:rsidRPr="00FB1D84">
              <w:rPr>
                <w:bCs/>
                <w:lang w:val="en"/>
              </w:rPr>
              <w:t>96.93 (</w:t>
            </w:r>
            <w:r w:rsidRPr="00FB1D84">
              <w:rPr>
                <w:b/>
                <w:lang w:val="en"/>
              </w:rPr>
              <w:t>±</w:t>
            </w:r>
            <w:r w:rsidRPr="00FB1D84">
              <w:rPr>
                <w:bCs/>
                <w:lang w:val="en"/>
              </w:rPr>
              <w:t>52.06)</w:t>
            </w:r>
          </w:p>
        </w:tc>
      </w:tr>
    </w:tbl>
    <w:p w14:paraId="30158588" w14:textId="57EE857D" w:rsidR="00FB1D84" w:rsidRDefault="00F5435D" w:rsidP="004E340A">
      <w:pPr>
        <w:pStyle w:val="BodyText"/>
      </w:pPr>
      <w:r w:rsidRPr="00F5435D">
        <w:rPr>
          <w:vertAlign w:val="superscript"/>
        </w:rPr>
        <w:t>1</w:t>
      </w:r>
      <w:r w:rsidRPr="00F5435D">
        <w:t>: N=8</w:t>
      </w:r>
    </w:p>
    <w:p w14:paraId="441F6BBD" w14:textId="77777777" w:rsidR="00F5435D" w:rsidRDefault="00F5435D" w:rsidP="00F5435D">
      <w:pPr>
        <w:pStyle w:val="BodyText"/>
        <w:keepNext/>
      </w:pPr>
      <w:r>
        <w:rPr>
          <w:noProof/>
        </w:rPr>
        <w:lastRenderedPageBreak/>
        <w:drawing>
          <wp:inline distT="0" distB="0" distL="0" distR="0" wp14:anchorId="11D2EE07" wp14:editId="586F91EE">
            <wp:extent cx="5784850" cy="2453005"/>
            <wp:effectExtent l="0" t="0" r="6350" b="4445"/>
            <wp:docPr id="13" name="Picture 13" descr="Figure 1: Serum Concentrations of Prasterone (A), Testosterone (B) and Oestradiol (C) Measured Over a 24h Period on Day 7 Following Daily Administration of Placebo or INTRAROSA (mean ±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1: Serum Concentrations of Prasterone (A), Testosterone (B) and Oestradiol (C) Measured Over a 24h Period on Day 7 Following Daily Administration of Placebo or INTRAROSA (mean ± S.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84850" cy="2453005"/>
                    </a:xfrm>
                    <a:prstGeom prst="rect">
                      <a:avLst/>
                    </a:prstGeom>
                  </pic:spPr>
                </pic:pic>
              </a:graphicData>
            </a:graphic>
          </wp:inline>
        </w:drawing>
      </w:r>
    </w:p>
    <w:p w14:paraId="7483EAAB" w14:textId="05707C44" w:rsidR="00F5435D" w:rsidRPr="003D5AFB" w:rsidRDefault="00F5435D" w:rsidP="006A4A43">
      <w:pPr>
        <w:pStyle w:val="Caption"/>
        <w:ind w:left="1134" w:hanging="1134"/>
      </w:pPr>
      <w:bookmarkStart w:id="21" w:name="_Ref126830430"/>
      <w:r>
        <w:t xml:space="preserve">Figure </w:t>
      </w:r>
      <w:r>
        <w:fldChar w:fldCharType="begin"/>
      </w:r>
      <w:r>
        <w:instrText xml:space="preserve"> SEQ Figure \* ARABIC </w:instrText>
      </w:r>
      <w:r>
        <w:fldChar w:fldCharType="separate"/>
      </w:r>
      <w:r w:rsidR="007A2C94">
        <w:rPr>
          <w:noProof/>
        </w:rPr>
        <w:t>1</w:t>
      </w:r>
      <w:r>
        <w:fldChar w:fldCharType="end"/>
      </w:r>
      <w:bookmarkEnd w:id="21"/>
      <w:r>
        <w:t xml:space="preserve">: </w:t>
      </w:r>
      <w:r w:rsidR="006A4A43">
        <w:tab/>
      </w:r>
      <w:r>
        <w:t xml:space="preserve">Serum </w:t>
      </w:r>
      <w:r w:rsidR="006A4A43">
        <w:t>C</w:t>
      </w:r>
      <w:r>
        <w:t xml:space="preserve">oncentrations of </w:t>
      </w:r>
      <w:proofErr w:type="spellStart"/>
      <w:r w:rsidR="006A4A43">
        <w:t>P</w:t>
      </w:r>
      <w:r>
        <w:t>rasterone</w:t>
      </w:r>
      <w:proofErr w:type="spellEnd"/>
      <w:r>
        <w:t xml:space="preserve"> (A), </w:t>
      </w:r>
      <w:r w:rsidR="006A4A43">
        <w:t>T</w:t>
      </w:r>
      <w:r>
        <w:t xml:space="preserve">estosterone (B) and </w:t>
      </w:r>
      <w:r w:rsidR="006A4A43">
        <w:t>O</w:t>
      </w:r>
      <w:r>
        <w:t xml:space="preserve">estradiol (C) </w:t>
      </w:r>
      <w:r w:rsidR="006A4A43">
        <w:t>M</w:t>
      </w:r>
      <w:r>
        <w:t xml:space="preserve">easured </w:t>
      </w:r>
      <w:r w:rsidR="006A4A43">
        <w:t>O</w:t>
      </w:r>
      <w:r>
        <w:t xml:space="preserve">ver a 24h </w:t>
      </w:r>
      <w:r w:rsidR="006A4A43">
        <w:t>P</w:t>
      </w:r>
      <w:r>
        <w:t xml:space="preserve">eriod on Day 7 </w:t>
      </w:r>
      <w:r w:rsidR="006A4A43">
        <w:t>F</w:t>
      </w:r>
      <w:r>
        <w:t xml:space="preserve">ollowing </w:t>
      </w:r>
      <w:r w:rsidR="006A4A43">
        <w:t>D</w:t>
      </w:r>
      <w:r>
        <w:t xml:space="preserve">aily </w:t>
      </w:r>
      <w:r w:rsidR="006A4A43">
        <w:t>A</w:t>
      </w:r>
      <w:r>
        <w:t xml:space="preserve">dministration of </w:t>
      </w:r>
      <w:r w:rsidR="006A4A43">
        <w:t>P</w:t>
      </w:r>
      <w:r>
        <w:t xml:space="preserve">lacebo or INTRAROSA (mean </w:t>
      </w:r>
      <w:r>
        <w:rPr>
          <w:rFonts w:cs="Times New Roman"/>
        </w:rPr>
        <w:t>±</w:t>
      </w:r>
      <w:r>
        <w:t xml:space="preserve"> S.D.)</w:t>
      </w:r>
    </w:p>
    <w:p w14:paraId="39AC79FC" w14:textId="343318A7" w:rsidR="00962B1E" w:rsidRPr="003D5AFB" w:rsidRDefault="00962B1E" w:rsidP="008F60D3">
      <w:pPr>
        <w:pStyle w:val="Heading3"/>
      </w:pPr>
      <w:r w:rsidRPr="003D5AFB">
        <w:t>Distribution</w:t>
      </w:r>
    </w:p>
    <w:p w14:paraId="27459729" w14:textId="0E85940F" w:rsidR="004E340A" w:rsidRPr="003D5AFB" w:rsidRDefault="004E340A" w:rsidP="004E340A">
      <w:pPr>
        <w:pStyle w:val="BodyText"/>
      </w:pPr>
      <w:r w:rsidRPr="003D5AFB">
        <w:t xml:space="preserve">The distribution of intravaginal </w:t>
      </w:r>
      <w:r w:rsidR="00F5435D">
        <w:t xml:space="preserve">(exogenous) </w:t>
      </w:r>
      <w:proofErr w:type="spellStart"/>
      <w:r w:rsidRPr="003D5AFB">
        <w:t>prasterone</w:t>
      </w:r>
      <w:proofErr w:type="spellEnd"/>
      <w:r w:rsidRPr="003D5AFB">
        <w:t xml:space="preserve"> is</w:t>
      </w:r>
      <w:r w:rsidR="00F5435D">
        <w:t xml:space="preserve"> mainly local but some increase in systemic exposure is observed especially for the metabolites but within normal values. </w:t>
      </w:r>
      <w:r w:rsidRPr="003D5AFB">
        <w:t xml:space="preserve"> </w:t>
      </w:r>
    </w:p>
    <w:p w14:paraId="79FD61B8" w14:textId="28D15012" w:rsidR="00962B1E" w:rsidRPr="003D5AFB" w:rsidRDefault="00962B1E" w:rsidP="008F60D3">
      <w:pPr>
        <w:pStyle w:val="Heading3"/>
      </w:pPr>
      <w:r w:rsidRPr="003D5AFB">
        <w:t>Metabolism</w:t>
      </w:r>
    </w:p>
    <w:p w14:paraId="00F99530" w14:textId="67FA11B1" w:rsidR="004E340A" w:rsidRPr="003D5AFB" w:rsidRDefault="004E340A" w:rsidP="004E340A">
      <w:pPr>
        <w:pStyle w:val="BodyText"/>
      </w:pPr>
      <w:r w:rsidRPr="003D5AFB">
        <w:rPr>
          <w:lang w:val="en-CA"/>
        </w:rPr>
        <w:t xml:space="preserve">Exogenous </w:t>
      </w:r>
      <w:proofErr w:type="spellStart"/>
      <w:r w:rsidRPr="003D5AFB">
        <w:rPr>
          <w:lang w:val="en-CA"/>
        </w:rPr>
        <w:t>prasterone</w:t>
      </w:r>
      <w:proofErr w:type="spellEnd"/>
      <w:r w:rsidRPr="003D5AFB">
        <w:rPr>
          <w:lang w:val="en-CA"/>
        </w:rPr>
        <w:t xml:space="preserve"> is </w:t>
      </w:r>
      <w:r w:rsidR="00C93AF9" w:rsidRPr="003D5AFB">
        <w:rPr>
          <w:lang w:val="en-CA"/>
        </w:rPr>
        <w:t xml:space="preserve">metabolised </w:t>
      </w:r>
      <w:r w:rsidRPr="003D5AFB">
        <w:rPr>
          <w:lang w:val="en-CA"/>
        </w:rPr>
        <w:t xml:space="preserve">in the same manner as endogenous </w:t>
      </w:r>
      <w:proofErr w:type="spellStart"/>
      <w:r w:rsidRPr="003D5AFB">
        <w:rPr>
          <w:lang w:val="en-CA"/>
        </w:rPr>
        <w:t>prasterone</w:t>
      </w:r>
      <w:proofErr w:type="spellEnd"/>
      <w:r w:rsidRPr="003D5AFB">
        <w:rPr>
          <w:lang w:val="en-CA"/>
        </w:rPr>
        <w:t>.</w:t>
      </w:r>
      <w:r w:rsidR="00F5435D">
        <w:rPr>
          <w:lang w:val="en-CA"/>
        </w:rPr>
        <w:t xml:space="preserve"> Systemic metabolism has not been studied in this application. </w:t>
      </w:r>
    </w:p>
    <w:p w14:paraId="0A4D1EFC" w14:textId="76226A32" w:rsidR="00962B1E" w:rsidRPr="003D5AFB" w:rsidRDefault="00962B1E" w:rsidP="008F60D3">
      <w:pPr>
        <w:pStyle w:val="Heading3"/>
      </w:pPr>
      <w:r w:rsidRPr="003D5AFB">
        <w:t>Excretion</w:t>
      </w:r>
    </w:p>
    <w:p w14:paraId="2151070A" w14:textId="55A87382" w:rsidR="004E340A" w:rsidRPr="003D5AFB" w:rsidRDefault="00F5435D" w:rsidP="004E340A">
      <w:pPr>
        <w:pStyle w:val="BodyText"/>
      </w:pPr>
      <w:r>
        <w:rPr>
          <w:lang w:val="en-CA"/>
        </w:rPr>
        <w:t>Systemic excretion has not been studied specifically for this application.</w:t>
      </w:r>
      <w:r w:rsidRPr="003D5AFB">
        <w:t xml:space="preserve"> </w:t>
      </w:r>
    </w:p>
    <w:p w14:paraId="4D0FE06D" w14:textId="790D46A8" w:rsidR="00962B1E" w:rsidRPr="003D5AFB" w:rsidRDefault="00962B1E" w:rsidP="00910010">
      <w:pPr>
        <w:pStyle w:val="Heading2"/>
      </w:pPr>
      <w:bookmarkStart w:id="22" w:name="_Ref105767849"/>
      <w:r w:rsidRPr="003D5AFB">
        <w:t>Preclinical safety data</w:t>
      </w:r>
      <w:bookmarkEnd w:id="22"/>
    </w:p>
    <w:p w14:paraId="26FDE587" w14:textId="396A0DE0" w:rsidR="00962B1E" w:rsidRPr="003D5AFB" w:rsidRDefault="00962B1E" w:rsidP="008F60D3">
      <w:pPr>
        <w:pStyle w:val="Heading3"/>
      </w:pPr>
      <w:r w:rsidRPr="003D5AFB">
        <w:t>Genotoxicity</w:t>
      </w:r>
    </w:p>
    <w:p w14:paraId="34A30F76" w14:textId="3F549CF6" w:rsidR="004E340A" w:rsidRPr="003D5AFB" w:rsidRDefault="00F81701" w:rsidP="004E340A">
      <w:pPr>
        <w:pStyle w:val="BodyText"/>
      </w:pPr>
      <w:proofErr w:type="spellStart"/>
      <w:r>
        <w:t>Prasterone</w:t>
      </w:r>
      <w:proofErr w:type="spellEnd"/>
      <w:r>
        <w:t xml:space="preserve"> was not genotoxic in an </w:t>
      </w:r>
      <w:r>
        <w:rPr>
          <w:i/>
          <w:iCs/>
        </w:rPr>
        <w:t xml:space="preserve">in vitro </w:t>
      </w:r>
      <w:r>
        <w:t>bacterial mutagenicity assay (</w:t>
      </w:r>
      <w:proofErr w:type="gramStart"/>
      <w:r>
        <w:t>Ames</w:t>
      </w:r>
      <w:proofErr w:type="gramEnd"/>
      <w:r>
        <w:t xml:space="preserve"> test), an </w:t>
      </w:r>
      <w:r>
        <w:rPr>
          <w:i/>
          <w:iCs/>
        </w:rPr>
        <w:t xml:space="preserve">in vitro </w:t>
      </w:r>
      <w:r>
        <w:t xml:space="preserve">chromosomal aberration assay (performed in human lymphocytes) or </w:t>
      </w:r>
      <w:r>
        <w:rPr>
          <w:i/>
          <w:iCs/>
        </w:rPr>
        <w:t xml:space="preserve">in vitro </w:t>
      </w:r>
      <w:r>
        <w:t>in the mouse bone marrow micronucleus test</w:t>
      </w:r>
      <w:r w:rsidR="004E340A" w:rsidRPr="003D5AFB">
        <w:t>.</w:t>
      </w:r>
    </w:p>
    <w:p w14:paraId="3D806AB8" w14:textId="45678E2F" w:rsidR="00962B1E" w:rsidRPr="003D5AFB" w:rsidRDefault="00962B1E" w:rsidP="008F60D3">
      <w:pPr>
        <w:pStyle w:val="Heading3"/>
      </w:pPr>
      <w:r w:rsidRPr="003D5AFB">
        <w:t>Carcinogenicity</w:t>
      </w:r>
    </w:p>
    <w:p w14:paraId="30C677EB" w14:textId="4F20DEDE" w:rsidR="000010DA" w:rsidRPr="003D5AFB" w:rsidRDefault="004E340A" w:rsidP="004E340A">
      <w:pPr>
        <w:pStyle w:val="BodyText"/>
      </w:pPr>
      <w:r w:rsidRPr="003D5AFB">
        <w:t xml:space="preserve">Long-term studies in animals to determine carcinogenic potential have not been performed with </w:t>
      </w:r>
      <w:proofErr w:type="spellStart"/>
      <w:r w:rsidRPr="003D5AFB">
        <w:t>prasterone</w:t>
      </w:r>
      <w:proofErr w:type="spellEnd"/>
      <w:r w:rsidRPr="003D5AFB">
        <w:t xml:space="preserve">. </w:t>
      </w:r>
      <w:r w:rsidR="00F81701">
        <w:t>Oe</w:t>
      </w:r>
      <w:r w:rsidRPr="003D5AFB">
        <w:t xml:space="preserve">stradiol and testosterone, two metabolites of </w:t>
      </w:r>
      <w:proofErr w:type="spellStart"/>
      <w:r w:rsidRPr="003D5AFB">
        <w:t>prasterone</w:t>
      </w:r>
      <w:proofErr w:type="spellEnd"/>
      <w:r w:rsidRPr="003D5AFB">
        <w:t>, are carcinogenic in animals.</w:t>
      </w:r>
    </w:p>
    <w:p w14:paraId="2A4C39A5" w14:textId="77777777" w:rsidR="00962B1E" w:rsidRPr="003D5AFB" w:rsidRDefault="00962B1E" w:rsidP="007447D6">
      <w:pPr>
        <w:pStyle w:val="Heading1"/>
      </w:pPr>
      <w:bookmarkStart w:id="23" w:name="6.4_Special_precautions_for_storage"/>
      <w:bookmarkStart w:id="24" w:name="6.3_Shelf_life"/>
      <w:bookmarkStart w:id="25" w:name="6.2_Incompatibilities"/>
      <w:bookmarkStart w:id="26" w:name="6.1_List_of_excipients"/>
      <w:bookmarkStart w:id="27" w:name="6_Pharmaceutical_particulars"/>
      <w:bookmarkEnd w:id="23"/>
      <w:bookmarkEnd w:id="24"/>
      <w:bookmarkEnd w:id="25"/>
      <w:bookmarkEnd w:id="26"/>
      <w:bookmarkEnd w:id="27"/>
      <w:r w:rsidRPr="003D5AFB">
        <w:lastRenderedPageBreak/>
        <w:t>PHARMACEUTICAL PARTICULARS</w:t>
      </w:r>
    </w:p>
    <w:p w14:paraId="494C38BF" w14:textId="564144BF" w:rsidR="00962B1E" w:rsidRPr="003D5AFB" w:rsidRDefault="00962B1E" w:rsidP="00910010">
      <w:pPr>
        <w:pStyle w:val="Heading2"/>
      </w:pPr>
      <w:bookmarkStart w:id="28" w:name="_Ref69885210"/>
      <w:r w:rsidRPr="003D5AFB">
        <w:t>List of</w:t>
      </w:r>
      <w:r w:rsidRPr="003D5AFB">
        <w:rPr>
          <w:spacing w:val="1"/>
        </w:rPr>
        <w:t xml:space="preserve"> </w:t>
      </w:r>
      <w:r w:rsidRPr="003D5AFB">
        <w:t>excipients</w:t>
      </w:r>
      <w:bookmarkEnd w:id="28"/>
    </w:p>
    <w:p w14:paraId="20F73EFC" w14:textId="04D1E3FD" w:rsidR="00513E97" w:rsidRPr="003D5AFB" w:rsidRDefault="00513E97" w:rsidP="002930FE">
      <w:pPr>
        <w:pStyle w:val="BodyText"/>
      </w:pPr>
      <w:r w:rsidRPr="003D5AFB">
        <w:t>Hard Fat</w:t>
      </w:r>
    </w:p>
    <w:p w14:paraId="083CEF77" w14:textId="557F5DC8" w:rsidR="00962B1E" w:rsidRPr="003D5AFB" w:rsidRDefault="00962B1E" w:rsidP="00910010">
      <w:pPr>
        <w:pStyle w:val="Heading2"/>
      </w:pPr>
      <w:r w:rsidRPr="003D5AFB">
        <w:t>Incompatibilities</w:t>
      </w:r>
    </w:p>
    <w:p w14:paraId="123D9B6C" w14:textId="75C97D0E" w:rsidR="00C53B01" w:rsidRPr="003D5AFB" w:rsidRDefault="00513E97" w:rsidP="00513E97">
      <w:pPr>
        <w:pStyle w:val="BodyText"/>
      </w:pPr>
      <w:r w:rsidRPr="003D5AFB">
        <w:rPr>
          <w:rStyle w:val="markedcontent"/>
        </w:rPr>
        <w:t xml:space="preserve">Due to the local action of </w:t>
      </w:r>
      <w:r w:rsidR="008A7CD7" w:rsidRPr="003D5AFB">
        <w:rPr>
          <w:rStyle w:val="markedcontent"/>
        </w:rPr>
        <w:t>INTRAROSA</w:t>
      </w:r>
      <w:r w:rsidRPr="003D5AFB">
        <w:rPr>
          <w:rStyle w:val="markedcontent"/>
        </w:rPr>
        <w:t xml:space="preserve"> in the vagina, incompatibilities are not expected, s</w:t>
      </w:r>
      <w:r w:rsidR="00C53B01" w:rsidRPr="003D5AFB">
        <w:rPr>
          <w:rStyle w:val="markedcontent"/>
        </w:rPr>
        <w:t xml:space="preserve">ee Section </w:t>
      </w:r>
      <w:r w:rsidR="0059694A" w:rsidRPr="003D5AFB">
        <w:rPr>
          <w:rStyle w:val="markedcontent"/>
        </w:rPr>
        <w:fldChar w:fldCharType="begin"/>
      </w:r>
      <w:r w:rsidR="0059694A" w:rsidRPr="003D5AFB">
        <w:rPr>
          <w:rStyle w:val="markedcontent"/>
        </w:rPr>
        <w:instrText xml:space="preserve"> REF _Ref105768367 \r \h </w:instrText>
      </w:r>
      <w:r w:rsidR="003D5AFB">
        <w:rPr>
          <w:rStyle w:val="markedcontent"/>
        </w:rPr>
        <w:instrText xml:space="preserve"> \* MERGEFORMAT </w:instrText>
      </w:r>
      <w:r w:rsidR="0059694A" w:rsidRPr="003D5AFB">
        <w:rPr>
          <w:rStyle w:val="markedcontent"/>
        </w:rPr>
      </w:r>
      <w:r w:rsidR="0059694A" w:rsidRPr="003D5AFB">
        <w:rPr>
          <w:rStyle w:val="markedcontent"/>
        </w:rPr>
        <w:fldChar w:fldCharType="separate"/>
      </w:r>
      <w:r w:rsidR="007A2C94">
        <w:rPr>
          <w:rStyle w:val="markedcontent"/>
        </w:rPr>
        <w:t>4.5</w:t>
      </w:r>
      <w:r w:rsidR="0059694A" w:rsidRPr="003D5AFB">
        <w:rPr>
          <w:rStyle w:val="markedcontent"/>
        </w:rPr>
        <w:fldChar w:fldCharType="end"/>
      </w:r>
      <w:r w:rsidR="0059694A" w:rsidRPr="003D5AFB">
        <w:rPr>
          <w:rStyle w:val="markedcontent"/>
        </w:rPr>
        <w:t xml:space="preserve"> </w:t>
      </w:r>
      <w:r w:rsidR="0059694A" w:rsidRPr="003D5AFB">
        <w:rPr>
          <w:rStyle w:val="markedcontent"/>
        </w:rPr>
        <w:fldChar w:fldCharType="begin"/>
      </w:r>
      <w:r w:rsidR="0059694A" w:rsidRPr="003D5AFB">
        <w:rPr>
          <w:rStyle w:val="markedcontent"/>
        </w:rPr>
        <w:instrText xml:space="preserve"> REF _Ref105768367 \h </w:instrText>
      </w:r>
      <w:r w:rsidR="003D5AFB">
        <w:rPr>
          <w:rStyle w:val="markedcontent"/>
        </w:rPr>
        <w:instrText xml:space="preserve"> \* MERGEFORMAT </w:instrText>
      </w:r>
      <w:r w:rsidR="0059694A" w:rsidRPr="003D5AFB">
        <w:rPr>
          <w:rStyle w:val="markedcontent"/>
        </w:rPr>
      </w:r>
      <w:r w:rsidR="0059694A" w:rsidRPr="003D5AFB">
        <w:rPr>
          <w:rStyle w:val="markedcontent"/>
        </w:rPr>
        <w:fldChar w:fldCharType="separate"/>
      </w:r>
      <w:r w:rsidR="007A2C94" w:rsidRPr="003D5AFB">
        <w:t>Interactions with other medicines and other forms of</w:t>
      </w:r>
      <w:r w:rsidR="007A2C94" w:rsidRPr="003D5AFB">
        <w:rPr>
          <w:spacing w:val="1"/>
        </w:rPr>
        <w:t xml:space="preserve"> </w:t>
      </w:r>
      <w:r w:rsidR="007A2C94" w:rsidRPr="003D5AFB">
        <w:t>interactions</w:t>
      </w:r>
      <w:r w:rsidR="0059694A" w:rsidRPr="003D5AFB">
        <w:rPr>
          <w:rStyle w:val="markedcontent"/>
        </w:rPr>
        <w:fldChar w:fldCharType="end"/>
      </w:r>
      <w:r w:rsidR="0059694A" w:rsidRPr="003D5AFB">
        <w:rPr>
          <w:rStyle w:val="markedcontent"/>
        </w:rPr>
        <w:t>.</w:t>
      </w:r>
    </w:p>
    <w:p w14:paraId="4596FF73" w14:textId="443AD89E" w:rsidR="00962B1E" w:rsidRPr="003D5AFB" w:rsidRDefault="00962B1E" w:rsidP="00910010">
      <w:pPr>
        <w:pStyle w:val="Heading2"/>
      </w:pPr>
      <w:r w:rsidRPr="003D5AFB">
        <w:t>Shelf</w:t>
      </w:r>
      <w:r w:rsidRPr="003D5AFB">
        <w:rPr>
          <w:spacing w:val="1"/>
        </w:rPr>
        <w:t xml:space="preserve"> </w:t>
      </w:r>
      <w:r w:rsidRPr="003D5AFB">
        <w:t>life</w:t>
      </w:r>
    </w:p>
    <w:p w14:paraId="2094FD5E" w14:textId="713C8C1B" w:rsidR="00C53B01" w:rsidRPr="003D5AFB" w:rsidRDefault="00C53B01" w:rsidP="00CD5FDD">
      <w:pPr>
        <w:pStyle w:val="BodyText"/>
      </w:pPr>
      <w:r w:rsidRPr="003D5AFB">
        <w:rPr>
          <w:rStyle w:val="markedcontent"/>
        </w:rPr>
        <w:t>In Australia, information on the shelf life can be found on the public summary of the Australian Register of Therapeutic Goods (ARTG). The expiry date can be found on the packaging.</w:t>
      </w:r>
    </w:p>
    <w:p w14:paraId="48AE51D7" w14:textId="0BEEE70C" w:rsidR="00962B1E" w:rsidRPr="003D5AFB" w:rsidRDefault="00962B1E" w:rsidP="00910010">
      <w:pPr>
        <w:pStyle w:val="Heading2"/>
      </w:pPr>
      <w:r w:rsidRPr="003D5AFB">
        <w:t>Special precautions for</w:t>
      </w:r>
      <w:r w:rsidRPr="003D5AFB">
        <w:rPr>
          <w:spacing w:val="-4"/>
        </w:rPr>
        <w:t xml:space="preserve"> </w:t>
      </w:r>
      <w:r w:rsidRPr="003D5AFB">
        <w:t>storage</w:t>
      </w:r>
    </w:p>
    <w:p w14:paraId="6722692F" w14:textId="049F61E0" w:rsidR="00C53B01" w:rsidRPr="003D5AFB" w:rsidRDefault="00C53B01" w:rsidP="00CD5FDD">
      <w:pPr>
        <w:pStyle w:val="BodyText"/>
        <w:rPr>
          <w:rStyle w:val="markedcontent"/>
        </w:rPr>
      </w:pPr>
      <w:r w:rsidRPr="003D5AFB">
        <w:rPr>
          <w:rStyle w:val="markedcontent"/>
        </w:rPr>
        <w:t xml:space="preserve">Store below </w:t>
      </w:r>
      <w:r w:rsidR="006606F7" w:rsidRPr="003D5AFB">
        <w:rPr>
          <w:rStyle w:val="markedcontent"/>
        </w:rPr>
        <w:t>30</w:t>
      </w:r>
      <w:r w:rsidRPr="003D5AFB">
        <w:rPr>
          <w:rStyle w:val="markedcontent"/>
        </w:rPr>
        <w:t>°C</w:t>
      </w:r>
      <w:r w:rsidR="00513E97" w:rsidRPr="003D5AFB">
        <w:rPr>
          <w:rStyle w:val="markedcontent"/>
        </w:rPr>
        <w:t xml:space="preserve">. </w:t>
      </w:r>
      <w:r w:rsidR="00F5435D">
        <w:rPr>
          <w:rStyle w:val="markedcontent"/>
        </w:rPr>
        <w:t xml:space="preserve">Store in original container. </w:t>
      </w:r>
      <w:r w:rsidR="00513E97" w:rsidRPr="003D5AFB">
        <w:rPr>
          <w:rStyle w:val="markedcontent"/>
        </w:rPr>
        <w:t>Do not freeze.</w:t>
      </w:r>
      <w:r w:rsidR="00F5435D">
        <w:rPr>
          <w:rStyle w:val="markedcontent"/>
        </w:rPr>
        <w:t xml:space="preserve"> Protect from light. </w:t>
      </w:r>
    </w:p>
    <w:p w14:paraId="5E0B6CB6" w14:textId="7CA90463" w:rsidR="00962B1E" w:rsidRPr="003D5AFB" w:rsidRDefault="00962B1E" w:rsidP="00910010">
      <w:pPr>
        <w:pStyle w:val="Heading2"/>
      </w:pPr>
      <w:bookmarkStart w:id="29" w:name="_Ref90377463"/>
      <w:r w:rsidRPr="003D5AFB">
        <w:t>Nature and contents of</w:t>
      </w:r>
      <w:r w:rsidRPr="003D5AFB">
        <w:rPr>
          <w:spacing w:val="1"/>
        </w:rPr>
        <w:t xml:space="preserve"> </w:t>
      </w:r>
      <w:r w:rsidRPr="003D5AFB">
        <w:t>container</w:t>
      </w:r>
      <w:bookmarkEnd w:id="29"/>
    </w:p>
    <w:p w14:paraId="70238F53" w14:textId="4F6192A7" w:rsidR="000F0D88" w:rsidRDefault="008A7CD7" w:rsidP="00CD5FDD">
      <w:pPr>
        <w:pStyle w:val="BodyText"/>
        <w:rPr>
          <w:rStyle w:val="markedcontent"/>
        </w:rPr>
      </w:pPr>
      <w:r w:rsidRPr="003D5AFB">
        <w:rPr>
          <w:rStyle w:val="markedcontent"/>
        </w:rPr>
        <w:t>INTRAROSA</w:t>
      </w:r>
      <w:r w:rsidR="000F0D88" w:rsidRPr="003D5AFB">
        <w:rPr>
          <w:rStyle w:val="markedcontent"/>
        </w:rPr>
        <w:t xml:space="preserve"> is available in a small carton box containing 4 </w:t>
      </w:r>
      <w:r w:rsidR="00F5435D">
        <w:rPr>
          <w:rStyle w:val="markedcontent"/>
        </w:rPr>
        <w:t xml:space="preserve">PVC/LDPE </w:t>
      </w:r>
      <w:r w:rsidR="000F0D88" w:rsidRPr="003D5AFB">
        <w:rPr>
          <w:rStyle w:val="markedcontent"/>
        </w:rPr>
        <w:t>blister packs of 7</w:t>
      </w:r>
      <w:r w:rsidR="00753714">
        <w:rPr>
          <w:rStyle w:val="markedcontent"/>
        </w:rPr>
        <w:t> </w:t>
      </w:r>
      <w:r w:rsidR="000F0D88" w:rsidRPr="003D5AFB">
        <w:rPr>
          <w:rStyle w:val="markedcontent"/>
        </w:rPr>
        <w:t>pessaries each (28</w:t>
      </w:r>
      <w:r w:rsidR="004A6E98" w:rsidRPr="003D5AFB">
        <w:rPr>
          <w:rStyle w:val="markedcontent"/>
        </w:rPr>
        <w:t> </w:t>
      </w:r>
      <w:r w:rsidR="000F0D88" w:rsidRPr="003D5AFB">
        <w:rPr>
          <w:rStyle w:val="markedcontent"/>
        </w:rPr>
        <w:t>pessaries per box). The box containing the pessaries is packed inside a larger carton box with 6 plastic applicators and the patient medication information.</w:t>
      </w:r>
    </w:p>
    <w:p w14:paraId="6A3423D6" w14:textId="2FD4C2ED" w:rsidR="00544879" w:rsidRPr="003D5AFB" w:rsidRDefault="00544879" w:rsidP="002B5162">
      <w:pPr>
        <w:pStyle w:val="BodyText"/>
        <w:rPr>
          <w:rStyle w:val="markedcontent"/>
        </w:rPr>
      </w:pPr>
      <w:r>
        <w:rPr>
          <w:rStyle w:val="markedcontent"/>
        </w:rPr>
        <w:t xml:space="preserve">The applicator is made </w:t>
      </w:r>
      <w:r w:rsidRPr="00544879">
        <w:rPr>
          <w:rStyle w:val="markedcontent"/>
        </w:rPr>
        <w:t>of LDPE and 1% colourant (titanium dioxide).</w:t>
      </w:r>
    </w:p>
    <w:p w14:paraId="19882128" w14:textId="17A02008" w:rsidR="00962B1E" w:rsidRPr="003D5AFB" w:rsidRDefault="00962B1E" w:rsidP="00910010">
      <w:pPr>
        <w:pStyle w:val="Heading2"/>
      </w:pPr>
      <w:r w:rsidRPr="003D5AFB">
        <w:t>Special precautions for</w:t>
      </w:r>
      <w:r w:rsidRPr="003D5AFB">
        <w:rPr>
          <w:spacing w:val="-4"/>
        </w:rPr>
        <w:t xml:space="preserve"> </w:t>
      </w:r>
      <w:r w:rsidRPr="003D5AFB">
        <w:t>disposal</w:t>
      </w:r>
    </w:p>
    <w:p w14:paraId="74F97E5D" w14:textId="205DE287" w:rsidR="000F0D88" w:rsidRPr="003D5AFB" w:rsidRDefault="000F0D88" w:rsidP="00CD5FDD">
      <w:pPr>
        <w:pStyle w:val="BodyText"/>
      </w:pPr>
      <w:r w:rsidRPr="003D5AFB">
        <w:t>In Australia, any unused medicine or waste material should be disposed of in accordance with local requirements.</w:t>
      </w:r>
    </w:p>
    <w:p w14:paraId="667C439D" w14:textId="6395B58D" w:rsidR="00962B1E" w:rsidRPr="003D5AFB" w:rsidRDefault="00962B1E" w:rsidP="00910010">
      <w:pPr>
        <w:pStyle w:val="Heading2"/>
      </w:pPr>
      <w:r w:rsidRPr="003D5AFB">
        <w:t xml:space="preserve">Physicochemical properties </w:t>
      </w:r>
    </w:p>
    <w:p w14:paraId="25966A02" w14:textId="77777777" w:rsidR="000F0D88" w:rsidRPr="003D5AFB" w:rsidRDefault="000F0D88" w:rsidP="00CD5FDD">
      <w:pPr>
        <w:pStyle w:val="BodyText"/>
        <w:spacing w:before="26" w:after="200" w:line="277" w:lineRule="auto"/>
      </w:pPr>
      <w:r w:rsidRPr="003D5AFB">
        <w:t>Chemical name: 3β-hydroxyandrost-5-en-17-one, 5-androstene-3β -ol-17-one</w:t>
      </w:r>
    </w:p>
    <w:p w14:paraId="0162BF10" w14:textId="166D8786" w:rsidR="00C53B01" w:rsidRPr="003D5AFB" w:rsidRDefault="000F0D88" w:rsidP="00CD5FDD">
      <w:pPr>
        <w:pStyle w:val="BodyText"/>
      </w:pPr>
      <w:r w:rsidRPr="003D5AFB">
        <w:t>Molecular formula and molecular mass: C</w:t>
      </w:r>
      <w:r w:rsidRPr="003D5AFB">
        <w:rPr>
          <w:vertAlign w:val="subscript"/>
        </w:rPr>
        <w:t>19</w:t>
      </w:r>
      <w:r w:rsidRPr="003D5AFB">
        <w:t>H</w:t>
      </w:r>
      <w:r w:rsidRPr="003D5AFB">
        <w:rPr>
          <w:vertAlign w:val="subscript"/>
        </w:rPr>
        <w:t>28</w:t>
      </w:r>
      <w:r w:rsidRPr="003D5AFB">
        <w:t>O</w:t>
      </w:r>
      <w:r w:rsidRPr="003D5AFB">
        <w:rPr>
          <w:vertAlign w:val="subscript"/>
        </w:rPr>
        <w:t>2</w:t>
      </w:r>
      <w:r w:rsidRPr="003D5AFB">
        <w:t xml:space="preserve"> (288.43 g/mol)</w:t>
      </w:r>
    </w:p>
    <w:p w14:paraId="483ADCBD" w14:textId="275C9B16" w:rsidR="00962B1E" w:rsidRPr="003D5AFB" w:rsidRDefault="00962B1E" w:rsidP="008F60D3">
      <w:pPr>
        <w:pStyle w:val="Heading3"/>
        <w:rPr>
          <w:spacing w:val="23"/>
        </w:rPr>
      </w:pPr>
      <w:r w:rsidRPr="003D5AFB">
        <w:lastRenderedPageBreak/>
        <w:t>Chemical Structure</w:t>
      </w:r>
      <w:r w:rsidRPr="003D5AFB">
        <w:rPr>
          <w:spacing w:val="23"/>
        </w:rPr>
        <w:t xml:space="preserve"> </w:t>
      </w:r>
    </w:p>
    <w:p w14:paraId="68285D81" w14:textId="46479401" w:rsidR="00C53B01" w:rsidRPr="003D5AFB" w:rsidRDefault="000F0D88" w:rsidP="00C53B01">
      <w:pPr>
        <w:pStyle w:val="BodyText"/>
      </w:pPr>
      <w:r w:rsidRPr="003D5AFB">
        <w:rPr>
          <w:rFonts w:ascii="Cambria" w:hAnsi="Cambria" w:cstheme="minorHAnsi"/>
          <w:noProof/>
          <w:lang w:val="es-MX"/>
        </w:rPr>
        <w:drawing>
          <wp:inline distT="0" distB="0" distL="0" distR="0" wp14:anchorId="74027ED0" wp14:editId="1CB14FC9">
            <wp:extent cx="2808514" cy="1768191"/>
            <wp:effectExtent l="0" t="0" r="0" b="3810"/>
            <wp:docPr id="12" name="Image 12" descr="Diagram showing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Diagram showing Chemical Structure"/>
                    <pic:cNvPicPr/>
                  </pic:nvPicPr>
                  <pic:blipFill rotWithShape="1">
                    <a:blip r:embed="rId15"/>
                    <a:srcRect l="7506" t="5043" r="4662"/>
                    <a:stretch/>
                  </pic:blipFill>
                  <pic:spPr bwMode="auto">
                    <a:xfrm>
                      <a:off x="0" y="0"/>
                      <a:ext cx="2854949" cy="1797426"/>
                    </a:xfrm>
                    <a:prstGeom prst="rect">
                      <a:avLst/>
                    </a:prstGeom>
                    <a:ln>
                      <a:noFill/>
                    </a:ln>
                    <a:extLst>
                      <a:ext uri="{53640926-AAD7-44D8-BBD7-CCE9431645EC}">
                        <a14:shadowObscured xmlns:a14="http://schemas.microsoft.com/office/drawing/2010/main"/>
                      </a:ext>
                    </a:extLst>
                  </pic:spPr>
                </pic:pic>
              </a:graphicData>
            </a:graphic>
          </wp:inline>
        </w:drawing>
      </w:r>
    </w:p>
    <w:p w14:paraId="4305BC8F" w14:textId="77777777" w:rsidR="004A6E98" w:rsidRPr="003D5AFB" w:rsidRDefault="004A6E98" w:rsidP="00C53B01">
      <w:pPr>
        <w:pStyle w:val="BodyText"/>
      </w:pPr>
    </w:p>
    <w:p w14:paraId="330BF16D" w14:textId="467B3142" w:rsidR="00962B1E" w:rsidRPr="003D5AFB" w:rsidRDefault="00962B1E" w:rsidP="008F60D3">
      <w:pPr>
        <w:pStyle w:val="Heading3"/>
      </w:pPr>
      <w:r w:rsidRPr="003D5AFB">
        <w:t>CAS number</w:t>
      </w:r>
    </w:p>
    <w:p w14:paraId="7F1D96A7" w14:textId="78F095A3" w:rsidR="000A1356" w:rsidRPr="003D5AFB" w:rsidRDefault="000F0D88" w:rsidP="00CD5FDD">
      <w:pPr>
        <w:pStyle w:val="BodyText"/>
      </w:pPr>
      <w:r w:rsidRPr="003D5AFB">
        <w:t>53-43-0</w:t>
      </w:r>
    </w:p>
    <w:p w14:paraId="7E5A1ADB" w14:textId="7B14DE5B" w:rsidR="00962B1E" w:rsidRPr="003D5AFB" w:rsidRDefault="00962B1E" w:rsidP="007447D6">
      <w:pPr>
        <w:pStyle w:val="Heading1"/>
      </w:pPr>
      <w:r w:rsidRPr="003D5AFB">
        <w:t>MEDICINE SCHEDULE (POISONS STANDARD)</w:t>
      </w:r>
    </w:p>
    <w:p w14:paraId="341BD601" w14:textId="77777777" w:rsidR="0059694A" w:rsidRPr="003D5AFB" w:rsidRDefault="0059694A" w:rsidP="00CD5FDD">
      <w:pPr>
        <w:pStyle w:val="BodyText"/>
      </w:pPr>
      <w:r w:rsidRPr="003D5AFB">
        <w:t>Prescription Only Medicine (Schedule 4)</w:t>
      </w:r>
    </w:p>
    <w:p w14:paraId="65DCB792" w14:textId="2DE3A432" w:rsidR="00962B1E" w:rsidRPr="003D5AFB" w:rsidRDefault="00962B1E" w:rsidP="007447D6">
      <w:pPr>
        <w:pStyle w:val="Heading1"/>
      </w:pPr>
      <w:r w:rsidRPr="003D5AFB">
        <w:t>SPONSOR</w:t>
      </w:r>
    </w:p>
    <w:p w14:paraId="6CF066A1" w14:textId="22CB0E63" w:rsidR="00B32638" w:rsidRPr="003D5AFB" w:rsidRDefault="00B32638" w:rsidP="00CD5FDD">
      <w:pPr>
        <w:pStyle w:val="BodyText"/>
        <w:keepNext/>
      </w:pPr>
      <w:proofErr w:type="spellStart"/>
      <w:r w:rsidRPr="003D5AFB">
        <w:t>Theramex</w:t>
      </w:r>
      <w:proofErr w:type="spellEnd"/>
      <w:r w:rsidRPr="003D5AFB">
        <w:t xml:space="preserve"> Australia Pty Ltd</w:t>
      </w:r>
      <w:r w:rsidR="0090689E" w:rsidRPr="003D5AFB">
        <w:br/>
      </w:r>
      <w:r w:rsidRPr="003D5AFB">
        <w:t>Level 22, 60 Margaret Street,</w:t>
      </w:r>
      <w:r w:rsidR="0090689E" w:rsidRPr="003D5AFB">
        <w:br/>
      </w:r>
      <w:r w:rsidRPr="003D5AFB">
        <w:t>Sydney NSW 2000</w:t>
      </w:r>
    </w:p>
    <w:p w14:paraId="3C0F6BFC" w14:textId="77777777" w:rsidR="0059694A" w:rsidRPr="003D5AFB" w:rsidRDefault="0059694A" w:rsidP="00CD5FDD">
      <w:pPr>
        <w:pStyle w:val="BodyText"/>
      </w:pPr>
      <w:r w:rsidRPr="003D5AFB">
        <w:t>1800 THERAMEX or 1800 843 726</w:t>
      </w:r>
    </w:p>
    <w:p w14:paraId="2412BEF0" w14:textId="40A98D72" w:rsidR="00962B1E" w:rsidRPr="003D5AFB" w:rsidRDefault="00962B1E" w:rsidP="007447D6">
      <w:pPr>
        <w:pStyle w:val="Heading1"/>
      </w:pPr>
      <w:r w:rsidRPr="003D5AFB">
        <w:t>DATE OF FIRST APPROVAL</w:t>
      </w:r>
    </w:p>
    <w:p w14:paraId="43A41260" w14:textId="5FF103BC" w:rsidR="000F0D88" w:rsidRPr="003D5AFB" w:rsidRDefault="00B41220" w:rsidP="00CD5FDD">
      <w:pPr>
        <w:pStyle w:val="BodyText"/>
      </w:pPr>
      <w:r>
        <w:t>16 JUNE 2023</w:t>
      </w:r>
    </w:p>
    <w:p w14:paraId="2570FD5B" w14:textId="0AFE6F40" w:rsidR="00962B1E" w:rsidRPr="003D5AFB" w:rsidRDefault="00962B1E" w:rsidP="007447D6">
      <w:pPr>
        <w:pStyle w:val="Heading1"/>
      </w:pPr>
      <w:r w:rsidRPr="003D5AFB">
        <w:t>DATE OF REVISION</w:t>
      </w:r>
    </w:p>
    <w:p w14:paraId="726E9FFD" w14:textId="77777777" w:rsidR="00962B1E" w:rsidRPr="003D5AFB" w:rsidRDefault="00962B1E" w:rsidP="00910010">
      <w:pPr>
        <w:pStyle w:val="Heading2"/>
      </w:pPr>
      <w:r w:rsidRPr="003D5AFB">
        <w:t>Summary</w:t>
      </w:r>
      <w:r w:rsidRPr="003D5AFB">
        <w:rPr>
          <w:spacing w:val="2"/>
        </w:rPr>
        <w:t xml:space="preserve"> </w:t>
      </w:r>
      <w:r w:rsidRPr="003D5AFB">
        <w:t>table of</w:t>
      </w:r>
      <w:r w:rsidRPr="003D5AFB">
        <w:rPr>
          <w:spacing w:val="1"/>
        </w:rPr>
        <w:t xml:space="preserve"> </w:t>
      </w:r>
      <w:r w:rsidRPr="003D5AFB">
        <w:t>changes</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8066"/>
      </w:tblGrid>
      <w:tr w:rsidR="00962B1E" w:rsidRPr="0034010B" w14:paraId="6F751560" w14:textId="77777777" w:rsidTr="000010DA">
        <w:trPr>
          <w:trHeight w:hRule="exact" w:val="698"/>
        </w:trPr>
        <w:tc>
          <w:tcPr>
            <w:tcW w:w="763" w:type="pct"/>
            <w:shd w:val="clear" w:color="auto" w:fill="F2F2F2"/>
          </w:tcPr>
          <w:p w14:paraId="18FC948A" w14:textId="77777777" w:rsidR="00962B1E" w:rsidRPr="003D5AFB" w:rsidRDefault="00962B1E" w:rsidP="000010DA">
            <w:pPr>
              <w:pStyle w:val="TableParagraph"/>
              <w:spacing w:before="27"/>
              <w:ind w:left="97" w:right="333"/>
              <w:rPr>
                <w:rFonts w:ascii="Times New Roman" w:eastAsia="Times New Roman" w:hAnsi="Times New Roman" w:cs="Times New Roman"/>
                <w:sz w:val="24"/>
                <w:szCs w:val="24"/>
              </w:rPr>
            </w:pPr>
            <w:r w:rsidRPr="003D5AFB">
              <w:rPr>
                <w:rFonts w:ascii="Times New Roman"/>
                <w:b/>
                <w:spacing w:val="-1"/>
                <w:sz w:val="24"/>
              </w:rPr>
              <w:t>Section</w:t>
            </w:r>
            <w:r w:rsidRPr="003D5AFB">
              <w:rPr>
                <w:rFonts w:ascii="Times New Roman"/>
                <w:b/>
                <w:spacing w:val="24"/>
                <w:sz w:val="24"/>
              </w:rPr>
              <w:t xml:space="preserve"> </w:t>
            </w:r>
            <w:r w:rsidRPr="003D5AFB">
              <w:rPr>
                <w:rFonts w:ascii="Times New Roman"/>
                <w:b/>
                <w:spacing w:val="-1"/>
                <w:sz w:val="24"/>
              </w:rPr>
              <w:t>Changed</w:t>
            </w:r>
          </w:p>
        </w:tc>
        <w:tc>
          <w:tcPr>
            <w:tcW w:w="4237" w:type="pct"/>
            <w:shd w:val="clear" w:color="auto" w:fill="F2F2F2"/>
          </w:tcPr>
          <w:p w14:paraId="2CDB2DB4" w14:textId="77777777" w:rsidR="00962B1E" w:rsidRPr="0034010B" w:rsidRDefault="00962B1E" w:rsidP="000010DA">
            <w:pPr>
              <w:pStyle w:val="TableParagraph"/>
              <w:spacing w:before="166"/>
              <w:ind w:left="97"/>
              <w:rPr>
                <w:rFonts w:ascii="Times New Roman" w:eastAsia="Times New Roman" w:hAnsi="Times New Roman" w:cs="Times New Roman"/>
                <w:sz w:val="24"/>
                <w:szCs w:val="24"/>
              </w:rPr>
            </w:pPr>
            <w:r w:rsidRPr="003D5AFB">
              <w:rPr>
                <w:rFonts w:ascii="Times New Roman"/>
                <w:b/>
                <w:spacing w:val="-1"/>
                <w:sz w:val="24"/>
              </w:rPr>
              <w:t>Summary</w:t>
            </w:r>
            <w:r w:rsidRPr="003D5AFB">
              <w:rPr>
                <w:rFonts w:ascii="Times New Roman"/>
                <w:b/>
                <w:sz w:val="24"/>
              </w:rPr>
              <w:t xml:space="preserve"> of</w:t>
            </w:r>
            <w:r w:rsidRPr="003D5AFB">
              <w:rPr>
                <w:rFonts w:ascii="Times New Roman"/>
                <w:b/>
                <w:spacing w:val="1"/>
                <w:sz w:val="24"/>
              </w:rPr>
              <w:t xml:space="preserve"> </w:t>
            </w:r>
            <w:r w:rsidRPr="003D5AFB">
              <w:rPr>
                <w:rFonts w:ascii="Times New Roman"/>
                <w:b/>
                <w:spacing w:val="-1"/>
                <w:sz w:val="24"/>
              </w:rPr>
              <w:t>new</w:t>
            </w:r>
            <w:r w:rsidRPr="003D5AFB">
              <w:rPr>
                <w:rFonts w:ascii="Times New Roman"/>
                <w:b/>
                <w:spacing w:val="1"/>
                <w:sz w:val="24"/>
              </w:rPr>
              <w:t xml:space="preserve"> </w:t>
            </w:r>
            <w:r w:rsidRPr="003D5AFB">
              <w:rPr>
                <w:rFonts w:ascii="Times New Roman"/>
                <w:b/>
                <w:spacing w:val="-1"/>
                <w:sz w:val="24"/>
              </w:rPr>
              <w:t>information</w:t>
            </w:r>
          </w:p>
        </w:tc>
      </w:tr>
      <w:tr w:rsidR="00962B1E" w:rsidRPr="0034010B" w14:paraId="58BD82DA" w14:textId="77777777" w:rsidTr="000010DA">
        <w:trPr>
          <w:trHeight w:hRule="exact" w:val="698"/>
        </w:trPr>
        <w:tc>
          <w:tcPr>
            <w:tcW w:w="763" w:type="pct"/>
            <w:shd w:val="clear" w:color="auto" w:fill="F2F2F2"/>
          </w:tcPr>
          <w:p w14:paraId="79C1EC8C" w14:textId="77777777" w:rsidR="00962B1E" w:rsidRPr="0034010B" w:rsidRDefault="00962B1E" w:rsidP="000010DA">
            <w:pPr>
              <w:pStyle w:val="TableParagraph"/>
              <w:spacing w:before="27"/>
              <w:ind w:left="97" w:right="333"/>
              <w:rPr>
                <w:rFonts w:ascii="Times New Roman"/>
                <w:b/>
                <w:spacing w:val="-1"/>
                <w:sz w:val="24"/>
              </w:rPr>
            </w:pPr>
          </w:p>
        </w:tc>
        <w:tc>
          <w:tcPr>
            <w:tcW w:w="4237" w:type="pct"/>
            <w:shd w:val="clear" w:color="auto" w:fill="F2F2F2"/>
          </w:tcPr>
          <w:p w14:paraId="1F9CAD9F" w14:textId="77777777" w:rsidR="00962B1E" w:rsidRPr="0034010B" w:rsidRDefault="00962B1E" w:rsidP="000010DA">
            <w:pPr>
              <w:pStyle w:val="TableParagraph"/>
              <w:spacing w:before="166"/>
              <w:ind w:left="97"/>
              <w:rPr>
                <w:rFonts w:ascii="Times New Roman"/>
                <w:b/>
                <w:spacing w:val="-1"/>
                <w:sz w:val="24"/>
              </w:rPr>
            </w:pPr>
          </w:p>
        </w:tc>
      </w:tr>
      <w:tr w:rsidR="00962B1E" w:rsidRPr="0034010B" w14:paraId="270F828C" w14:textId="77777777" w:rsidTr="000010DA">
        <w:trPr>
          <w:trHeight w:hRule="exact" w:val="698"/>
        </w:trPr>
        <w:tc>
          <w:tcPr>
            <w:tcW w:w="763" w:type="pct"/>
            <w:shd w:val="clear" w:color="auto" w:fill="F2F2F2"/>
          </w:tcPr>
          <w:p w14:paraId="7951DA15" w14:textId="77777777" w:rsidR="00962B1E" w:rsidRPr="0034010B" w:rsidRDefault="00962B1E" w:rsidP="000010DA">
            <w:pPr>
              <w:pStyle w:val="TableParagraph"/>
              <w:spacing w:before="27"/>
              <w:ind w:left="97" w:right="333"/>
              <w:rPr>
                <w:rFonts w:ascii="Times New Roman"/>
                <w:b/>
                <w:spacing w:val="-1"/>
                <w:sz w:val="24"/>
              </w:rPr>
            </w:pPr>
          </w:p>
        </w:tc>
        <w:tc>
          <w:tcPr>
            <w:tcW w:w="4237" w:type="pct"/>
            <w:shd w:val="clear" w:color="auto" w:fill="F2F2F2"/>
          </w:tcPr>
          <w:p w14:paraId="54283F41" w14:textId="77777777" w:rsidR="00962B1E" w:rsidRPr="0034010B" w:rsidRDefault="00962B1E" w:rsidP="000010DA">
            <w:pPr>
              <w:pStyle w:val="TableParagraph"/>
              <w:spacing w:before="166"/>
              <w:ind w:left="97"/>
              <w:rPr>
                <w:rFonts w:ascii="Times New Roman"/>
                <w:b/>
                <w:spacing w:val="-1"/>
                <w:sz w:val="24"/>
              </w:rPr>
            </w:pPr>
          </w:p>
        </w:tc>
      </w:tr>
    </w:tbl>
    <w:p w14:paraId="7A2C03A1" w14:textId="77777777" w:rsidR="00962B1E" w:rsidRPr="0034010B" w:rsidRDefault="00962B1E" w:rsidP="00CC2516">
      <w:pPr>
        <w:pStyle w:val="BodyText"/>
      </w:pPr>
    </w:p>
    <w:sectPr w:rsidR="00962B1E" w:rsidRPr="0034010B" w:rsidSect="00C206C7">
      <w:headerReference w:type="default" r:id="rId16"/>
      <w:footerReference w:type="default" r:id="rId17"/>
      <w:pgSz w:w="11910" w:h="16840"/>
      <w:pgMar w:top="844" w:right="1191" w:bottom="902" w:left="1191" w:header="730"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B008" w14:textId="77777777" w:rsidR="005B5558" w:rsidRDefault="005B5558">
      <w:r>
        <w:separator/>
      </w:r>
    </w:p>
    <w:p w14:paraId="3066F58E" w14:textId="77777777" w:rsidR="005B5558" w:rsidRDefault="005B5558"/>
  </w:endnote>
  <w:endnote w:type="continuationSeparator" w:id="0">
    <w:p w14:paraId="52634C56" w14:textId="77777777" w:rsidR="005B5558" w:rsidRDefault="005B5558">
      <w:r>
        <w:continuationSeparator/>
      </w:r>
    </w:p>
    <w:p w14:paraId="46744FF1" w14:textId="77777777" w:rsidR="005B5558" w:rsidRDefault="005B5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7C5" w14:textId="0E7CC4D6" w:rsidR="000A1356" w:rsidRPr="00F02178" w:rsidRDefault="000A1356" w:rsidP="000A1356">
    <w:pPr>
      <w:pStyle w:val="Footer"/>
      <w:rPr>
        <w:rFonts w:ascii="Times New Roman" w:hAnsi="Times New Roman" w:cs="Times New Roman"/>
        <w:sz w:val="14"/>
        <w:szCs w:val="14"/>
        <w:lang w:val="en-U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173"/>
      <w:gridCol w:w="3173"/>
    </w:tblGrid>
    <w:tr w:rsidR="008E2AB7" w14:paraId="14BAB2B4" w14:textId="77777777" w:rsidTr="00863D42">
      <w:tc>
        <w:tcPr>
          <w:tcW w:w="3172" w:type="dxa"/>
        </w:tcPr>
        <w:p w14:paraId="5729D78F" w14:textId="77777777" w:rsidR="008E2AB7" w:rsidRDefault="008E2AB7" w:rsidP="008E2AB7">
          <w:pPr>
            <w:pStyle w:val="Footer"/>
            <w:rPr>
              <w:rFonts w:ascii="Times New Roman" w:hAnsi="Times New Roman" w:cs="Times New Roman"/>
              <w:lang w:val="en-US"/>
            </w:rPr>
          </w:pPr>
          <w:proofErr w:type="spellStart"/>
          <w:r>
            <w:rPr>
              <w:rFonts w:ascii="Times New Roman" w:hAnsi="Times New Roman" w:cs="Times New Roman"/>
              <w:lang w:val="en-US"/>
            </w:rPr>
            <w:t>Theramex</w:t>
          </w:r>
          <w:proofErr w:type="spellEnd"/>
          <w:r>
            <w:rPr>
              <w:rFonts w:ascii="Times New Roman" w:hAnsi="Times New Roman" w:cs="Times New Roman"/>
              <w:lang w:val="en-US"/>
            </w:rPr>
            <w:t xml:space="preserve"> Australia Pty Ltd</w:t>
          </w:r>
        </w:p>
      </w:tc>
      <w:tc>
        <w:tcPr>
          <w:tcW w:w="3173" w:type="dxa"/>
        </w:tcPr>
        <w:p w14:paraId="7B3F7272" w14:textId="5F9B25D7" w:rsidR="008E2AB7" w:rsidRDefault="008E2AB7" w:rsidP="00863D42">
          <w:pPr>
            <w:pStyle w:val="Footer"/>
            <w:jc w:val="center"/>
            <w:rPr>
              <w:rFonts w:ascii="Times New Roman" w:hAnsi="Times New Roman" w:cs="Times New Roman"/>
              <w:lang w:val="en-US"/>
            </w:rPr>
          </w:pPr>
          <w:r>
            <w:rPr>
              <w:rFonts w:ascii="Times New Roman" w:hAnsi="Times New Roman" w:cs="Times New Roman"/>
              <w:lang w:val="en-US"/>
            </w:rPr>
            <w:t xml:space="preserve">Version </w:t>
          </w:r>
          <w:r w:rsidR="00B41220">
            <w:rPr>
              <w:rFonts w:ascii="Times New Roman" w:hAnsi="Times New Roman" w:cs="Times New Roman"/>
              <w:lang w:val="en-US"/>
            </w:rPr>
            <w:t>1 - June 2023</w:t>
          </w:r>
        </w:p>
      </w:tc>
      <w:tc>
        <w:tcPr>
          <w:tcW w:w="3173" w:type="dxa"/>
        </w:tcPr>
        <w:p w14:paraId="4C167606" w14:textId="77777777" w:rsidR="008E2AB7" w:rsidRDefault="008E2AB7" w:rsidP="008E2AB7">
          <w:pPr>
            <w:pStyle w:val="Footer"/>
            <w:jc w:val="right"/>
            <w:rPr>
              <w:rFonts w:ascii="Times New Roman" w:hAnsi="Times New Roman" w:cs="Times New Roman"/>
              <w:lang w:val="en-US"/>
            </w:rPr>
          </w:pPr>
          <w:r w:rsidRPr="000A1356">
            <w:rPr>
              <w:rFonts w:ascii="Times New Roman" w:hAnsi="Times New Roman" w:cs="Times New Roman"/>
              <w:lang w:val="en-US"/>
            </w:rPr>
            <w:t xml:space="preserve">Page </w:t>
          </w:r>
          <w:r w:rsidRPr="000A1356">
            <w:rPr>
              <w:rFonts w:ascii="Times New Roman" w:hAnsi="Times New Roman" w:cs="Times New Roman"/>
              <w:b/>
              <w:bCs/>
              <w:lang w:val="en-US"/>
            </w:rPr>
            <w:fldChar w:fldCharType="begin"/>
          </w:r>
          <w:r w:rsidRPr="000A1356">
            <w:rPr>
              <w:rFonts w:ascii="Times New Roman" w:hAnsi="Times New Roman" w:cs="Times New Roman"/>
              <w:b/>
              <w:bCs/>
              <w:lang w:val="en-US"/>
            </w:rPr>
            <w:instrText xml:space="preserve"> PAGE  \* Arabic  \* MERGEFORMAT </w:instrText>
          </w:r>
          <w:r w:rsidRPr="000A1356">
            <w:rPr>
              <w:rFonts w:ascii="Times New Roman" w:hAnsi="Times New Roman" w:cs="Times New Roman"/>
              <w:b/>
              <w:bCs/>
              <w:lang w:val="en-US"/>
            </w:rPr>
            <w:fldChar w:fldCharType="separate"/>
          </w:r>
          <w:r w:rsidRPr="000A1356">
            <w:rPr>
              <w:rFonts w:ascii="Times New Roman" w:hAnsi="Times New Roman" w:cs="Times New Roman"/>
              <w:b/>
              <w:bCs/>
              <w:noProof/>
              <w:lang w:val="en-US"/>
            </w:rPr>
            <w:t>1</w:t>
          </w:r>
          <w:r w:rsidRPr="000A1356">
            <w:rPr>
              <w:rFonts w:ascii="Times New Roman" w:hAnsi="Times New Roman" w:cs="Times New Roman"/>
              <w:b/>
              <w:bCs/>
              <w:lang w:val="en-US"/>
            </w:rPr>
            <w:fldChar w:fldCharType="end"/>
          </w:r>
          <w:r w:rsidRPr="000A1356">
            <w:rPr>
              <w:rFonts w:ascii="Times New Roman" w:hAnsi="Times New Roman" w:cs="Times New Roman"/>
              <w:lang w:val="en-US"/>
            </w:rPr>
            <w:t xml:space="preserve"> of </w:t>
          </w:r>
          <w:r w:rsidRPr="000A1356">
            <w:rPr>
              <w:rFonts w:ascii="Times New Roman" w:hAnsi="Times New Roman" w:cs="Times New Roman"/>
              <w:b/>
              <w:bCs/>
              <w:lang w:val="en-US"/>
            </w:rPr>
            <w:fldChar w:fldCharType="begin"/>
          </w:r>
          <w:r w:rsidRPr="000A1356">
            <w:rPr>
              <w:rFonts w:ascii="Times New Roman" w:hAnsi="Times New Roman" w:cs="Times New Roman"/>
              <w:b/>
              <w:bCs/>
              <w:lang w:val="en-US"/>
            </w:rPr>
            <w:instrText xml:space="preserve"> NUMPAGES  \* Arabic  \* MERGEFORMAT </w:instrText>
          </w:r>
          <w:r w:rsidRPr="000A1356">
            <w:rPr>
              <w:rFonts w:ascii="Times New Roman" w:hAnsi="Times New Roman" w:cs="Times New Roman"/>
              <w:b/>
              <w:bCs/>
              <w:lang w:val="en-US"/>
            </w:rPr>
            <w:fldChar w:fldCharType="separate"/>
          </w:r>
          <w:r w:rsidRPr="000A1356">
            <w:rPr>
              <w:rFonts w:ascii="Times New Roman" w:hAnsi="Times New Roman" w:cs="Times New Roman"/>
              <w:b/>
              <w:bCs/>
              <w:noProof/>
              <w:lang w:val="en-US"/>
            </w:rPr>
            <w:t>2</w:t>
          </w:r>
          <w:r w:rsidRPr="000A1356">
            <w:rPr>
              <w:rFonts w:ascii="Times New Roman" w:hAnsi="Times New Roman" w:cs="Times New Roman"/>
              <w:b/>
              <w:bCs/>
              <w:lang w:val="en-US"/>
            </w:rPr>
            <w:fldChar w:fldCharType="end"/>
          </w:r>
        </w:p>
      </w:tc>
    </w:tr>
  </w:tbl>
  <w:p w14:paraId="6397F1F3" w14:textId="77777777" w:rsidR="008E2AB7" w:rsidRPr="002B0A30" w:rsidRDefault="008E2AB7" w:rsidP="008E2AB7">
    <w:pPr>
      <w:pStyle w:val="Footer"/>
      <w:rPr>
        <w:rFonts w:ascii="Times New Roman" w:hAnsi="Times New Roman" w:cs="Times New Roman"/>
        <w:sz w:val="6"/>
        <w:szCs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FDCD" w14:textId="77777777" w:rsidR="005B5558" w:rsidRDefault="005B5558">
      <w:r>
        <w:separator/>
      </w:r>
    </w:p>
    <w:p w14:paraId="18EF6CEE" w14:textId="77777777" w:rsidR="005B5558" w:rsidRDefault="005B5558"/>
  </w:footnote>
  <w:footnote w:type="continuationSeparator" w:id="0">
    <w:p w14:paraId="13C703AF" w14:textId="77777777" w:rsidR="005B5558" w:rsidRDefault="005B5558">
      <w:r>
        <w:continuationSeparator/>
      </w:r>
    </w:p>
    <w:p w14:paraId="54E4FD3B" w14:textId="77777777" w:rsidR="005B5558" w:rsidRDefault="005B5558"/>
  </w:footnote>
  <w:footnote w:id="1">
    <w:p w14:paraId="287C3E0B" w14:textId="77777777" w:rsidR="002D2653" w:rsidRDefault="002D2653" w:rsidP="002D2653">
      <w:pPr>
        <w:pStyle w:val="FootnoteText"/>
        <w:rPr>
          <w:rFonts w:ascii="Cambria" w:hAnsi="Cambria"/>
          <w:i/>
          <w:iCs/>
          <w:sz w:val="22"/>
          <w:szCs w:val="22"/>
          <w:lang w:val="en"/>
        </w:rPr>
      </w:pPr>
      <w:r>
        <w:rPr>
          <w:rStyle w:val="FootnoteReference"/>
          <w:rFonts w:ascii="Cambria" w:hAnsi="Cambria"/>
          <w:i/>
          <w:iCs/>
          <w:sz w:val="22"/>
          <w:szCs w:val="22"/>
          <w:vertAlign w:val="superscript"/>
        </w:rPr>
        <w:footnoteRef/>
      </w:r>
      <w:r>
        <w:rPr>
          <w:rFonts w:ascii="Cambria" w:hAnsi="Cambria"/>
          <w:i/>
          <w:iCs/>
          <w:sz w:val="22"/>
          <w:szCs w:val="22"/>
        </w:rPr>
        <w:t xml:space="preserve"> ASCUS (Atypical Squamous Cells of Undetermined Significance (ASCUS); LSIL (Low Grade Squamous Intraepithelial Lesion)</w:t>
      </w:r>
    </w:p>
  </w:footnote>
  <w:footnote w:id="2">
    <w:p w14:paraId="100D7A2B" w14:textId="77777777" w:rsidR="000C45B9" w:rsidRDefault="000C45B9" w:rsidP="000C45B9">
      <w:pPr>
        <w:pStyle w:val="FootnoteText"/>
        <w:rPr>
          <w:rFonts w:ascii="Cambria" w:hAnsi="Cambria" w:cs="Times New Roman"/>
          <w:i/>
          <w:iCs/>
          <w:sz w:val="22"/>
          <w:szCs w:val="22"/>
          <w:lang w:val="nl-NL" w:eastAsia="nl-NL"/>
        </w:rPr>
      </w:pPr>
      <w:r>
        <w:rPr>
          <w:rStyle w:val="FootnoteReference"/>
          <w:rFonts w:ascii="Cambria" w:hAnsi="Cambria"/>
          <w:i/>
          <w:iCs/>
          <w:sz w:val="22"/>
          <w:szCs w:val="22"/>
          <w:vertAlign w:val="superscript"/>
        </w:rPr>
        <w:footnoteRef/>
      </w:r>
      <w:r>
        <w:rPr>
          <w:rFonts w:ascii="Cambria" w:hAnsi="Cambria"/>
          <w:i/>
          <w:iCs/>
          <w:sz w:val="22"/>
          <w:szCs w:val="22"/>
        </w:rPr>
        <w:t xml:space="preserve"> Taken from baseline incidence rates in developed countries</w:t>
      </w:r>
    </w:p>
  </w:footnote>
  <w:footnote w:id="3">
    <w:p w14:paraId="4B472D16" w14:textId="77777777" w:rsidR="000C45B9" w:rsidRDefault="000C45B9" w:rsidP="000C45B9">
      <w:pPr>
        <w:pStyle w:val="FootnoteText"/>
        <w:rPr>
          <w:rFonts w:ascii="Cambria" w:hAnsi="Cambria"/>
          <w:sz w:val="22"/>
          <w:szCs w:val="22"/>
          <w:lang w:val="nl-NL" w:eastAsia="nl-NL"/>
        </w:rPr>
      </w:pPr>
      <w:r>
        <w:rPr>
          <w:rStyle w:val="FootnoteReference"/>
          <w:rFonts w:ascii="Cambria" w:hAnsi="Cambria"/>
          <w:sz w:val="22"/>
          <w:szCs w:val="22"/>
          <w:vertAlign w:val="superscript"/>
        </w:rPr>
        <w:footnoteRef/>
      </w:r>
      <w:r>
        <w:rPr>
          <w:rFonts w:ascii="Cambria" w:hAnsi="Cambria"/>
          <w:sz w:val="22"/>
          <w:szCs w:val="22"/>
        </w:rPr>
        <w:t xml:space="preserve"> </w:t>
      </w:r>
      <w:r>
        <w:rPr>
          <w:rFonts w:ascii="Cambria" w:hAnsi="Cambria"/>
          <w:i/>
          <w:iCs/>
          <w:sz w:val="22"/>
          <w:szCs w:val="22"/>
        </w:rPr>
        <w:t>WHI study in women with no uterus, which did not show an increase in risk of breast cancer</w:t>
      </w:r>
    </w:p>
  </w:footnote>
  <w:footnote w:id="4">
    <w:p w14:paraId="534E4787" w14:textId="77777777" w:rsidR="000C45B9" w:rsidRDefault="000C45B9" w:rsidP="000C45B9">
      <w:pPr>
        <w:pStyle w:val="FootnoteText"/>
        <w:rPr>
          <w:rFonts w:ascii="Cambria" w:hAnsi="Cambria"/>
          <w:sz w:val="22"/>
          <w:szCs w:val="22"/>
          <w:lang w:val="nl-NL" w:eastAsia="nl-NL"/>
        </w:rPr>
      </w:pPr>
      <w:r>
        <w:rPr>
          <w:rStyle w:val="FootnoteReference"/>
          <w:rFonts w:ascii="Cambria" w:hAnsi="Cambria"/>
          <w:sz w:val="22"/>
          <w:szCs w:val="22"/>
          <w:vertAlign w:val="superscript"/>
        </w:rPr>
        <w:footnoteRef/>
      </w:r>
      <w:r>
        <w:rPr>
          <w:rFonts w:ascii="Cambria" w:hAnsi="Cambria"/>
          <w:sz w:val="22"/>
          <w:szCs w:val="22"/>
        </w:rPr>
        <w:t xml:space="preserve"> </w:t>
      </w:r>
      <w:r>
        <w:rPr>
          <w:rFonts w:ascii="Cambria" w:hAnsi="Cambria"/>
          <w:i/>
          <w:iCs/>
          <w:sz w:val="22"/>
          <w:szCs w:val="22"/>
        </w:rPr>
        <w:t>Study in women with no uterus</w:t>
      </w:r>
    </w:p>
  </w:footnote>
  <w:footnote w:id="5">
    <w:p w14:paraId="177F6FFC" w14:textId="77777777" w:rsidR="00EA5D9A" w:rsidRDefault="00EA5D9A" w:rsidP="00EA5D9A">
      <w:pPr>
        <w:pStyle w:val="FootnoteText"/>
        <w:rPr>
          <w:rFonts w:ascii="Cambria" w:hAnsi="Cambria"/>
          <w:sz w:val="22"/>
          <w:szCs w:val="22"/>
          <w:lang w:val="en-CA"/>
        </w:rPr>
      </w:pPr>
      <w:r>
        <w:rPr>
          <w:rStyle w:val="FootnoteReference"/>
          <w:rFonts w:ascii="Cambria" w:hAnsi="Cambria"/>
          <w:sz w:val="22"/>
          <w:szCs w:val="22"/>
          <w:vertAlign w:val="superscript"/>
        </w:rPr>
        <w:footnoteRef/>
      </w:r>
      <w:r>
        <w:rPr>
          <w:rFonts w:ascii="Cambria" w:hAnsi="Cambria"/>
          <w:sz w:val="22"/>
          <w:szCs w:val="22"/>
        </w:rPr>
        <w:t xml:space="preserve"> </w:t>
      </w:r>
      <w:r>
        <w:rPr>
          <w:rFonts w:ascii="Cambria" w:hAnsi="Cambria"/>
          <w:i/>
          <w:iCs/>
          <w:sz w:val="22"/>
          <w:szCs w:val="22"/>
        </w:rPr>
        <w:t>No differentiation was made between ischaemic and haemorrhagic stroke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016"/>
      <w:gridCol w:w="502"/>
    </w:tblGrid>
    <w:tr w:rsidR="00D17959" w:rsidRPr="000B2145" w14:paraId="04AF68CA" w14:textId="77777777" w:rsidTr="00CE3FB6">
      <w:trPr>
        <w:gridAfter w:val="1"/>
        <w:wAfter w:w="497" w:type="dxa"/>
        <w:trHeight w:val="1012"/>
      </w:trPr>
      <w:tc>
        <w:tcPr>
          <w:tcW w:w="9016" w:type="dxa"/>
          <w:shd w:val="clear" w:color="auto" w:fill="E4F2E0"/>
        </w:tcPr>
        <w:p w14:paraId="1CE3CCB8" w14:textId="77777777" w:rsidR="00D17959" w:rsidRDefault="00D17959" w:rsidP="00F14653">
          <w:pPr>
            <w:pStyle w:val="Footer"/>
            <w:spacing w:before="40"/>
            <w:rPr>
              <w:b/>
              <w:sz w:val="18"/>
              <w:szCs w:val="18"/>
            </w:rPr>
          </w:pPr>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w:t>
          </w:r>
          <w:r>
            <w:rPr>
              <w:b/>
              <w:sz w:val="18"/>
              <w:szCs w:val="18"/>
            </w:rPr>
            <w:t>–</w:t>
          </w:r>
          <w:r w:rsidRPr="00482FFF">
            <w:rPr>
              <w:b/>
              <w:sz w:val="18"/>
              <w:szCs w:val="18"/>
            </w:rPr>
            <w:t xml:space="preserve"> </w:t>
          </w:r>
          <w:proofErr w:type="spellStart"/>
          <w:r w:rsidRPr="001523C7">
            <w:rPr>
              <w:b/>
              <w:sz w:val="18"/>
              <w:szCs w:val="18"/>
            </w:rPr>
            <w:t>Intrarosa</w:t>
          </w:r>
          <w:proofErr w:type="spellEnd"/>
          <w:r w:rsidRPr="001523C7">
            <w:rPr>
              <w:b/>
              <w:sz w:val="18"/>
              <w:szCs w:val="18"/>
            </w:rPr>
            <w:t xml:space="preserve"> </w:t>
          </w:r>
          <w:r>
            <w:rPr>
              <w:b/>
              <w:sz w:val="18"/>
              <w:szCs w:val="18"/>
            </w:rPr>
            <w:t>–</w:t>
          </w:r>
          <w:r w:rsidRPr="00482FFF">
            <w:rPr>
              <w:b/>
              <w:sz w:val="18"/>
              <w:szCs w:val="18"/>
            </w:rPr>
            <w:t xml:space="preserve"> </w:t>
          </w:r>
          <w:proofErr w:type="spellStart"/>
          <w:r w:rsidRPr="00693049">
            <w:rPr>
              <w:b/>
              <w:sz w:val="18"/>
              <w:szCs w:val="18"/>
            </w:rPr>
            <w:t>Prasterone</w:t>
          </w:r>
          <w:proofErr w:type="spellEnd"/>
          <w:r w:rsidRPr="00693049">
            <w:rPr>
              <w:b/>
              <w:sz w:val="18"/>
              <w:szCs w:val="18"/>
            </w:rPr>
            <w:t xml:space="preserve"> </w:t>
          </w:r>
          <w:r>
            <w:rPr>
              <w:b/>
              <w:sz w:val="18"/>
              <w:szCs w:val="18"/>
            </w:rPr>
            <w:t>–</w:t>
          </w:r>
          <w:r w:rsidRPr="00482FFF">
            <w:rPr>
              <w:b/>
              <w:sz w:val="18"/>
              <w:szCs w:val="18"/>
            </w:rPr>
            <w:t xml:space="preserve"> </w:t>
          </w:r>
          <w:proofErr w:type="spellStart"/>
          <w:r w:rsidRPr="003E27DE">
            <w:rPr>
              <w:b/>
              <w:sz w:val="18"/>
              <w:szCs w:val="18"/>
            </w:rPr>
            <w:t>Theramex</w:t>
          </w:r>
          <w:proofErr w:type="spellEnd"/>
          <w:r w:rsidRPr="003E27DE">
            <w:rPr>
              <w:b/>
              <w:sz w:val="18"/>
              <w:szCs w:val="18"/>
            </w:rPr>
            <w:t xml:space="preserve"> Australia Pty Ltd</w:t>
          </w:r>
          <w:r>
            <w:rPr>
              <w:b/>
              <w:sz w:val="18"/>
              <w:szCs w:val="18"/>
            </w:rPr>
            <w:t xml:space="preserve"> </w:t>
          </w:r>
          <w:r w:rsidRPr="00482FFF">
            <w:rPr>
              <w:b/>
              <w:sz w:val="18"/>
              <w:szCs w:val="18"/>
            </w:rPr>
            <w:t xml:space="preserve">- </w:t>
          </w:r>
          <w:r w:rsidRPr="009213DE">
            <w:rPr>
              <w:b/>
              <w:sz w:val="18"/>
              <w:szCs w:val="18"/>
            </w:rPr>
            <w:t>PM-2022-02509-1-5</w:t>
          </w:r>
          <w:r w:rsidRPr="00482FFF">
            <w:rPr>
              <w:b/>
              <w:sz w:val="18"/>
              <w:szCs w:val="18"/>
            </w:rPr>
            <w:t>-</w:t>
          </w:r>
          <w:r>
            <w:rPr>
              <w:b/>
              <w:sz w:val="18"/>
              <w:szCs w:val="18"/>
            </w:rPr>
            <w:t xml:space="preserve"> </w:t>
          </w:r>
        </w:p>
        <w:p w14:paraId="6A3169A9" w14:textId="77777777" w:rsidR="00D17959" w:rsidRPr="000E4791" w:rsidRDefault="00D17959" w:rsidP="00D17959">
          <w:pPr>
            <w:pStyle w:val="Footer"/>
            <w:rPr>
              <w:b/>
              <w:sz w:val="18"/>
              <w:szCs w:val="18"/>
            </w:rPr>
          </w:pPr>
          <w:r w:rsidRPr="00482FFF">
            <w:rPr>
              <w:b/>
              <w:sz w:val="18"/>
              <w:szCs w:val="18"/>
            </w:rPr>
            <w:t xml:space="preserve">FINAL </w:t>
          </w:r>
          <w:r w:rsidRPr="006247C4">
            <w:rPr>
              <w:b/>
              <w:sz w:val="18"/>
              <w:szCs w:val="18"/>
            </w:rPr>
            <w:t>2 November 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r w:rsidR="00C206C7" w:rsidRPr="00F02178" w14:paraId="180CBBD0" w14:textId="77777777" w:rsidTr="00D17959">
      <w:tblPrEx>
        <w:tblBorders>
          <w:top w:val="none" w:sz="0" w:space="0" w:color="auto"/>
          <w:left w:val="none" w:sz="0" w:space="0" w:color="auto"/>
          <w:right w:val="none" w:sz="0" w:space="0" w:color="auto"/>
          <w:insideH w:val="none" w:sz="0" w:space="0" w:color="auto"/>
          <w:insideV w:val="none" w:sz="0" w:space="0" w:color="auto"/>
        </w:tblBorders>
      </w:tblPrEx>
      <w:tc>
        <w:tcPr>
          <w:tcW w:w="9518" w:type="dxa"/>
          <w:gridSpan w:val="2"/>
        </w:tcPr>
        <w:p w14:paraId="750D8695" w14:textId="77777777" w:rsidR="00D17959" w:rsidRDefault="00D17959" w:rsidP="00C206C7">
          <w:pPr>
            <w:rPr>
              <w:rFonts w:ascii="Times New Roman" w:hAnsi="Times New Roman" w:cs="Times New Roman"/>
              <w:sz w:val="24"/>
              <w:szCs w:val="24"/>
            </w:rPr>
          </w:pPr>
        </w:p>
        <w:p w14:paraId="0990EE25" w14:textId="120C1851" w:rsidR="00C206C7" w:rsidRPr="00F02178" w:rsidRDefault="00C206C7" w:rsidP="00C206C7">
          <w:pPr>
            <w:rPr>
              <w:rFonts w:ascii="Times New Roman" w:hAnsi="Times New Roman" w:cs="Times New Roman"/>
              <w:sz w:val="24"/>
              <w:szCs w:val="24"/>
            </w:rPr>
          </w:pPr>
          <w:r w:rsidRPr="00F02178">
            <w:rPr>
              <w:rFonts w:ascii="Times New Roman" w:hAnsi="Times New Roman" w:cs="Times New Roman"/>
              <w:sz w:val="24"/>
              <w:szCs w:val="24"/>
            </w:rPr>
            <w:t>INTRAROSA</w:t>
          </w:r>
          <w:r w:rsidRPr="00F02178">
            <w:rPr>
              <w:rFonts w:ascii="Times New Roman" w:hAnsi="Times New Roman" w:cs="Times New Roman"/>
              <w:sz w:val="24"/>
              <w:szCs w:val="24"/>
              <w:vertAlign w:val="superscript"/>
            </w:rPr>
            <w:t>®</w:t>
          </w:r>
          <w:r w:rsidRPr="00F02178">
            <w:rPr>
              <w:rFonts w:ascii="Times New Roman" w:hAnsi="Times New Roman" w:cs="Times New Roman"/>
              <w:sz w:val="24"/>
              <w:szCs w:val="24"/>
            </w:rPr>
            <w:t xml:space="preserve"> </w:t>
          </w:r>
          <w:proofErr w:type="spellStart"/>
          <w:r w:rsidRPr="00F02178">
            <w:rPr>
              <w:rFonts w:ascii="Times New Roman" w:hAnsi="Times New Roman" w:cs="Times New Roman"/>
              <w:sz w:val="24"/>
              <w:szCs w:val="24"/>
            </w:rPr>
            <w:t>prasterone</w:t>
          </w:r>
          <w:proofErr w:type="spellEnd"/>
          <w:r w:rsidRPr="00F02178">
            <w:rPr>
              <w:rFonts w:ascii="Times New Roman" w:hAnsi="Times New Roman" w:cs="Times New Roman"/>
              <w:sz w:val="24"/>
              <w:szCs w:val="24"/>
            </w:rPr>
            <w:t xml:space="preserve"> 6.5 mg pessary</w:t>
          </w:r>
        </w:p>
      </w:tc>
    </w:tr>
  </w:tbl>
  <w:p w14:paraId="2CD709B3" w14:textId="79F74959" w:rsidR="000010DA" w:rsidRPr="00C206C7" w:rsidRDefault="000010DA" w:rsidP="00C206C7">
    <w:pPr>
      <w:pStyle w:val="Header"/>
      <w:tabs>
        <w:tab w:val="clear" w:pos="4513"/>
        <w:tab w:val="clear" w:pos="9026"/>
        <w:tab w:val="left" w:pos="1091"/>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1FA"/>
    <w:multiLevelType w:val="hybridMultilevel"/>
    <w:tmpl w:val="B8D2D6B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15:restartNumberingAfterBreak="0">
    <w:nsid w:val="0E3A081B"/>
    <w:multiLevelType w:val="hybridMultilevel"/>
    <w:tmpl w:val="0AC6AB90"/>
    <w:lvl w:ilvl="0" w:tplc="0C090001">
      <w:start w:val="1"/>
      <w:numFmt w:val="bullet"/>
      <w:lvlText w:val=""/>
      <w:lvlJc w:val="left"/>
      <w:pPr>
        <w:ind w:left="862" w:hanging="360"/>
      </w:pPr>
      <w:rPr>
        <w:rFonts w:ascii="Symbol" w:hAnsi="Symbol" w:hint="default"/>
      </w:rPr>
    </w:lvl>
    <w:lvl w:ilvl="1" w:tplc="4D0C3B88">
      <w:numFmt w:val="bullet"/>
      <w:lvlText w:val="-"/>
      <w:lvlJc w:val="left"/>
      <w:pPr>
        <w:ind w:left="1582" w:hanging="360"/>
      </w:pPr>
      <w:rPr>
        <w:rFonts w:ascii="Times New Roman" w:eastAsia="Times New Roman" w:hAnsi="Times New Roman" w:cs="Times New Roman"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BF12FD5"/>
    <w:multiLevelType w:val="multilevel"/>
    <w:tmpl w:val="67A0F52C"/>
    <w:lvl w:ilvl="0">
      <w:start w:val="5"/>
      <w:numFmt w:val="decimal"/>
      <w:lvlText w:val="%1"/>
      <w:lvlJc w:val="left"/>
      <w:pPr>
        <w:ind w:left="716" w:hanging="576"/>
      </w:pPr>
      <w:rPr>
        <w:rFonts w:hint="default"/>
      </w:rPr>
    </w:lvl>
    <w:lvl w:ilvl="1">
      <w:start w:val="2"/>
      <w:numFmt w:val="decimal"/>
      <w:lvlText w:val="%1.%2"/>
      <w:lvlJc w:val="left"/>
      <w:pPr>
        <w:ind w:left="716" w:hanging="576"/>
      </w:pPr>
      <w:rPr>
        <w:rFonts w:ascii="Times New Roman" w:eastAsia="Times New Roman" w:hAnsi="Times New Roman" w:hint="default"/>
        <w:b/>
        <w:bCs/>
        <w:sz w:val="24"/>
        <w:szCs w:val="24"/>
      </w:rPr>
    </w:lvl>
    <w:lvl w:ilvl="2">
      <w:start w:val="1"/>
      <w:numFmt w:val="bullet"/>
      <w:lvlText w:val=""/>
      <w:lvlJc w:val="left"/>
      <w:pPr>
        <w:ind w:left="639" w:hanging="221"/>
      </w:pPr>
      <w:rPr>
        <w:rFonts w:ascii="Symbol" w:eastAsia="Symbol" w:hAnsi="Symbol" w:hint="default"/>
        <w:sz w:val="22"/>
        <w:szCs w:val="22"/>
      </w:rPr>
    </w:lvl>
    <w:lvl w:ilvl="3">
      <w:start w:val="1"/>
      <w:numFmt w:val="bullet"/>
      <w:lvlText w:val="•"/>
      <w:lvlJc w:val="left"/>
      <w:pPr>
        <w:ind w:left="2624" w:hanging="221"/>
      </w:pPr>
      <w:rPr>
        <w:rFonts w:hint="default"/>
      </w:rPr>
    </w:lvl>
    <w:lvl w:ilvl="4">
      <w:start w:val="1"/>
      <w:numFmt w:val="bullet"/>
      <w:lvlText w:val="•"/>
      <w:lvlJc w:val="left"/>
      <w:pPr>
        <w:ind w:left="3579" w:hanging="221"/>
      </w:pPr>
      <w:rPr>
        <w:rFonts w:hint="default"/>
      </w:rPr>
    </w:lvl>
    <w:lvl w:ilvl="5">
      <w:start w:val="1"/>
      <w:numFmt w:val="bullet"/>
      <w:lvlText w:val="•"/>
      <w:lvlJc w:val="left"/>
      <w:pPr>
        <w:ind w:left="4533" w:hanging="221"/>
      </w:pPr>
      <w:rPr>
        <w:rFonts w:hint="default"/>
      </w:rPr>
    </w:lvl>
    <w:lvl w:ilvl="6">
      <w:start w:val="1"/>
      <w:numFmt w:val="bullet"/>
      <w:lvlText w:val="•"/>
      <w:lvlJc w:val="left"/>
      <w:pPr>
        <w:ind w:left="5488" w:hanging="221"/>
      </w:pPr>
      <w:rPr>
        <w:rFonts w:hint="default"/>
      </w:rPr>
    </w:lvl>
    <w:lvl w:ilvl="7">
      <w:start w:val="1"/>
      <w:numFmt w:val="bullet"/>
      <w:lvlText w:val="•"/>
      <w:lvlJc w:val="left"/>
      <w:pPr>
        <w:ind w:left="6442" w:hanging="221"/>
      </w:pPr>
      <w:rPr>
        <w:rFonts w:hint="default"/>
      </w:rPr>
    </w:lvl>
    <w:lvl w:ilvl="8">
      <w:start w:val="1"/>
      <w:numFmt w:val="bullet"/>
      <w:lvlText w:val="•"/>
      <w:lvlJc w:val="left"/>
      <w:pPr>
        <w:ind w:left="7397" w:hanging="221"/>
      </w:pPr>
      <w:rPr>
        <w:rFonts w:hint="default"/>
      </w:rPr>
    </w:lvl>
  </w:abstractNum>
  <w:abstractNum w:abstractNumId="3" w15:restartNumberingAfterBreak="0">
    <w:nsid w:val="1D7B2A55"/>
    <w:multiLevelType w:val="multilevel"/>
    <w:tmpl w:val="0FB28C2A"/>
    <w:lvl w:ilvl="0">
      <w:start w:val="1"/>
      <w:numFmt w:val="decimal"/>
      <w:pStyle w:val="Heading1"/>
      <w:lvlText w:val="%1"/>
      <w:lvlJc w:val="left"/>
      <w:pPr>
        <w:ind w:left="1272" w:hanging="433"/>
      </w:pPr>
      <w:rPr>
        <w:rFonts w:ascii="Times New Roman" w:eastAsia="Times New Roman" w:hAnsi="Times New Roman" w:hint="default"/>
        <w:b/>
        <w:bCs/>
        <w:w w:val="99"/>
        <w:sz w:val="32"/>
        <w:szCs w:val="32"/>
      </w:rPr>
    </w:lvl>
    <w:lvl w:ilvl="1">
      <w:start w:val="1"/>
      <w:numFmt w:val="decimal"/>
      <w:pStyle w:val="Heading2"/>
      <w:lvlText w:val="%1.%2"/>
      <w:lvlJc w:val="left"/>
      <w:pPr>
        <w:ind w:left="576" w:hanging="576"/>
      </w:pPr>
      <w:rPr>
        <w:rFonts w:ascii="Times New Roman" w:eastAsia="Times New Roman" w:hAnsi="Times New Roman" w:hint="default"/>
        <w:b/>
        <w:bCs/>
        <w:sz w:val="24"/>
        <w:szCs w:val="24"/>
      </w:rPr>
    </w:lvl>
    <w:lvl w:ilvl="2">
      <w:start w:val="1"/>
      <w:numFmt w:val="bullet"/>
      <w:lvlText w:val="•"/>
      <w:lvlJc w:val="left"/>
      <w:pPr>
        <w:ind w:left="2370" w:hanging="576"/>
      </w:pPr>
      <w:rPr>
        <w:rFonts w:hint="default"/>
      </w:rPr>
    </w:lvl>
    <w:lvl w:ilvl="3">
      <w:start w:val="1"/>
      <w:numFmt w:val="bullet"/>
      <w:lvlText w:val="•"/>
      <w:lvlJc w:val="left"/>
      <w:pPr>
        <w:ind w:left="3324" w:hanging="576"/>
      </w:pPr>
      <w:rPr>
        <w:rFonts w:hint="default"/>
      </w:rPr>
    </w:lvl>
    <w:lvl w:ilvl="4">
      <w:start w:val="1"/>
      <w:numFmt w:val="bullet"/>
      <w:lvlText w:val="•"/>
      <w:lvlJc w:val="left"/>
      <w:pPr>
        <w:ind w:left="4279" w:hanging="576"/>
      </w:pPr>
      <w:rPr>
        <w:rFonts w:hint="default"/>
      </w:rPr>
    </w:lvl>
    <w:lvl w:ilvl="5">
      <w:start w:val="1"/>
      <w:numFmt w:val="bullet"/>
      <w:lvlText w:val="•"/>
      <w:lvlJc w:val="left"/>
      <w:pPr>
        <w:ind w:left="5233" w:hanging="576"/>
      </w:pPr>
      <w:rPr>
        <w:rFonts w:hint="default"/>
      </w:rPr>
    </w:lvl>
    <w:lvl w:ilvl="6">
      <w:start w:val="1"/>
      <w:numFmt w:val="bullet"/>
      <w:lvlText w:val="•"/>
      <w:lvlJc w:val="left"/>
      <w:pPr>
        <w:ind w:left="6188" w:hanging="576"/>
      </w:pPr>
      <w:rPr>
        <w:rFonts w:hint="default"/>
      </w:rPr>
    </w:lvl>
    <w:lvl w:ilvl="7">
      <w:start w:val="1"/>
      <w:numFmt w:val="bullet"/>
      <w:lvlText w:val="•"/>
      <w:lvlJc w:val="left"/>
      <w:pPr>
        <w:ind w:left="7142" w:hanging="576"/>
      </w:pPr>
      <w:rPr>
        <w:rFonts w:hint="default"/>
      </w:rPr>
    </w:lvl>
    <w:lvl w:ilvl="8">
      <w:start w:val="1"/>
      <w:numFmt w:val="bullet"/>
      <w:lvlText w:val="•"/>
      <w:lvlJc w:val="left"/>
      <w:pPr>
        <w:ind w:left="8097" w:hanging="576"/>
      </w:pPr>
      <w:rPr>
        <w:rFonts w:hint="default"/>
      </w:rPr>
    </w:lvl>
  </w:abstractNum>
  <w:abstractNum w:abstractNumId="4" w15:restartNumberingAfterBreak="0">
    <w:nsid w:val="1F054860"/>
    <w:multiLevelType w:val="hybridMultilevel"/>
    <w:tmpl w:val="9E022AB2"/>
    <w:lvl w:ilvl="0" w:tplc="766A45FA">
      <w:start w:val="1"/>
      <w:numFmt w:val="bullet"/>
      <w:lvlText w:val=""/>
      <w:lvlJc w:val="left"/>
      <w:pPr>
        <w:ind w:left="706" w:hanging="288"/>
      </w:pPr>
      <w:rPr>
        <w:rFonts w:ascii="Symbol" w:eastAsia="Symbol" w:hAnsi="Symbol" w:hint="default"/>
        <w:sz w:val="22"/>
        <w:szCs w:val="22"/>
      </w:rPr>
    </w:lvl>
    <w:lvl w:ilvl="1" w:tplc="F3A4A1E4">
      <w:start w:val="1"/>
      <w:numFmt w:val="bullet"/>
      <w:lvlText w:val="•"/>
      <w:lvlJc w:val="left"/>
      <w:pPr>
        <w:ind w:left="1586" w:hanging="288"/>
      </w:pPr>
      <w:rPr>
        <w:rFonts w:hint="default"/>
      </w:rPr>
    </w:lvl>
    <w:lvl w:ilvl="2" w:tplc="4984BC12">
      <w:start w:val="1"/>
      <w:numFmt w:val="bullet"/>
      <w:lvlText w:val="•"/>
      <w:lvlJc w:val="left"/>
      <w:pPr>
        <w:ind w:left="2466" w:hanging="288"/>
      </w:pPr>
      <w:rPr>
        <w:rFonts w:hint="default"/>
      </w:rPr>
    </w:lvl>
    <w:lvl w:ilvl="3" w:tplc="8CC2932E">
      <w:start w:val="1"/>
      <w:numFmt w:val="bullet"/>
      <w:lvlText w:val="•"/>
      <w:lvlJc w:val="left"/>
      <w:pPr>
        <w:ind w:left="3346" w:hanging="288"/>
      </w:pPr>
      <w:rPr>
        <w:rFonts w:hint="default"/>
      </w:rPr>
    </w:lvl>
    <w:lvl w:ilvl="4" w:tplc="C4D480C8">
      <w:start w:val="1"/>
      <w:numFmt w:val="bullet"/>
      <w:lvlText w:val="•"/>
      <w:lvlJc w:val="left"/>
      <w:pPr>
        <w:ind w:left="4226" w:hanging="288"/>
      </w:pPr>
      <w:rPr>
        <w:rFonts w:hint="default"/>
      </w:rPr>
    </w:lvl>
    <w:lvl w:ilvl="5" w:tplc="09E4C172">
      <w:start w:val="1"/>
      <w:numFmt w:val="bullet"/>
      <w:lvlText w:val="•"/>
      <w:lvlJc w:val="left"/>
      <w:pPr>
        <w:ind w:left="5106" w:hanging="288"/>
      </w:pPr>
      <w:rPr>
        <w:rFonts w:hint="default"/>
      </w:rPr>
    </w:lvl>
    <w:lvl w:ilvl="6" w:tplc="B5E0EB98">
      <w:start w:val="1"/>
      <w:numFmt w:val="bullet"/>
      <w:lvlText w:val="•"/>
      <w:lvlJc w:val="left"/>
      <w:pPr>
        <w:ind w:left="5986" w:hanging="288"/>
      </w:pPr>
      <w:rPr>
        <w:rFonts w:hint="default"/>
      </w:rPr>
    </w:lvl>
    <w:lvl w:ilvl="7" w:tplc="AEFA3D20">
      <w:start w:val="1"/>
      <w:numFmt w:val="bullet"/>
      <w:lvlText w:val="•"/>
      <w:lvlJc w:val="left"/>
      <w:pPr>
        <w:ind w:left="6866" w:hanging="288"/>
      </w:pPr>
      <w:rPr>
        <w:rFonts w:hint="default"/>
      </w:rPr>
    </w:lvl>
    <w:lvl w:ilvl="8" w:tplc="685E44E8">
      <w:start w:val="1"/>
      <w:numFmt w:val="bullet"/>
      <w:lvlText w:val="•"/>
      <w:lvlJc w:val="left"/>
      <w:pPr>
        <w:ind w:left="7746" w:hanging="288"/>
      </w:pPr>
      <w:rPr>
        <w:rFonts w:hint="default"/>
      </w:rPr>
    </w:lvl>
  </w:abstractNum>
  <w:abstractNum w:abstractNumId="5" w15:restartNumberingAfterBreak="0">
    <w:nsid w:val="23800C23"/>
    <w:multiLevelType w:val="hybridMultilevel"/>
    <w:tmpl w:val="96B05478"/>
    <w:lvl w:ilvl="0" w:tplc="0C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28F172B4"/>
    <w:multiLevelType w:val="hybridMultilevel"/>
    <w:tmpl w:val="74181E2E"/>
    <w:lvl w:ilvl="0" w:tplc="2B00F300">
      <w:start w:val="1"/>
      <w:numFmt w:val="bullet"/>
      <w:lvlText w:val=""/>
      <w:lvlJc w:val="left"/>
      <w:pPr>
        <w:ind w:left="419" w:hanging="284"/>
      </w:pPr>
      <w:rPr>
        <w:rFonts w:ascii="Wingdings" w:eastAsia="Wingdings" w:hAnsi="Wingdings" w:hint="default"/>
        <w:w w:val="99"/>
        <w:sz w:val="20"/>
        <w:szCs w:val="20"/>
      </w:rPr>
    </w:lvl>
    <w:lvl w:ilvl="1" w:tplc="D86E70F8">
      <w:start w:val="1"/>
      <w:numFmt w:val="bullet"/>
      <w:lvlText w:val="•"/>
      <w:lvlJc w:val="left"/>
      <w:pPr>
        <w:ind w:left="610" w:hanging="284"/>
      </w:pPr>
      <w:rPr>
        <w:rFonts w:hint="default"/>
      </w:rPr>
    </w:lvl>
    <w:lvl w:ilvl="2" w:tplc="37205168">
      <w:start w:val="1"/>
      <w:numFmt w:val="bullet"/>
      <w:lvlText w:val="•"/>
      <w:lvlJc w:val="left"/>
      <w:pPr>
        <w:ind w:left="801" w:hanging="284"/>
      </w:pPr>
      <w:rPr>
        <w:rFonts w:hint="default"/>
      </w:rPr>
    </w:lvl>
    <w:lvl w:ilvl="3" w:tplc="8B36322E">
      <w:start w:val="1"/>
      <w:numFmt w:val="bullet"/>
      <w:lvlText w:val="•"/>
      <w:lvlJc w:val="left"/>
      <w:pPr>
        <w:ind w:left="992" w:hanging="284"/>
      </w:pPr>
      <w:rPr>
        <w:rFonts w:hint="default"/>
      </w:rPr>
    </w:lvl>
    <w:lvl w:ilvl="4" w:tplc="6E60B94C">
      <w:start w:val="1"/>
      <w:numFmt w:val="bullet"/>
      <w:lvlText w:val="•"/>
      <w:lvlJc w:val="left"/>
      <w:pPr>
        <w:ind w:left="1183" w:hanging="284"/>
      </w:pPr>
      <w:rPr>
        <w:rFonts w:hint="default"/>
      </w:rPr>
    </w:lvl>
    <w:lvl w:ilvl="5" w:tplc="1120572A">
      <w:start w:val="1"/>
      <w:numFmt w:val="bullet"/>
      <w:lvlText w:val="•"/>
      <w:lvlJc w:val="left"/>
      <w:pPr>
        <w:ind w:left="1374" w:hanging="284"/>
      </w:pPr>
      <w:rPr>
        <w:rFonts w:hint="default"/>
      </w:rPr>
    </w:lvl>
    <w:lvl w:ilvl="6" w:tplc="7D8E10DA">
      <w:start w:val="1"/>
      <w:numFmt w:val="bullet"/>
      <w:lvlText w:val="•"/>
      <w:lvlJc w:val="left"/>
      <w:pPr>
        <w:ind w:left="1566" w:hanging="284"/>
      </w:pPr>
      <w:rPr>
        <w:rFonts w:hint="default"/>
      </w:rPr>
    </w:lvl>
    <w:lvl w:ilvl="7" w:tplc="DBFE2846">
      <w:start w:val="1"/>
      <w:numFmt w:val="bullet"/>
      <w:lvlText w:val="•"/>
      <w:lvlJc w:val="left"/>
      <w:pPr>
        <w:ind w:left="1757" w:hanging="284"/>
      </w:pPr>
      <w:rPr>
        <w:rFonts w:hint="default"/>
      </w:rPr>
    </w:lvl>
    <w:lvl w:ilvl="8" w:tplc="8326BF60">
      <w:start w:val="1"/>
      <w:numFmt w:val="bullet"/>
      <w:lvlText w:val="•"/>
      <w:lvlJc w:val="left"/>
      <w:pPr>
        <w:ind w:left="1948" w:hanging="284"/>
      </w:pPr>
      <w:rPr>
        <w:rFonts w:hint="default"/>
      </w:rPr>
    </w:lvl>
  </w:abstractNum>
  <w:abstractNum w:abstractNumId="7" w15:restartNumberingAfterBreak="0">
    <w:nsid w:val="2DCE0156"/>
    <w:multiLevelType w:val="hybridMultilevel"/>
    <w:tmpl w:val="5640597C"/>
    <w:lvl w:ilvl="0" w:tplc="F154C35C">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61F1023"/>
    <w:multiLevelType w:val="hybridMultilevel"/>
    <w:tmpl w:val="A57E819A"/>
    <w:lvl w:ilvl="0" w:tplc="989878AA">
      <w:start w:val="1"/>
      <w:numFmt w:val="bullet"/>
      <w:lvlText w:val=""/>
      <w:lvlJc w:val="left"/>
      <w:pPr>
        <w:ind w:left="419" w:hanging="284"/>
      </w:pPr>
      <w:rPr>
        <w:rFonts w:ascii="Wingdings" w:eastAsia="Wingdings" w:hAnsi="Wingdings" w:hint="default"/>
        <w:w w:val="99"/>
        <w:sz w:val="20"/>
        <w:szCs w:val="20"/>
      </w:rPr>
    </w:lvl>
    <w:lvl w:ilvl="1" w:tplc="A65ED640">
      <w:start w:val="1"/>
      <w:numFmt w:val="bullet"/>
      <w:lvlText w:val="•"/>
      <w:lvlJc w:val="left"/>
      <w:pPr>
        <w:ind w:left="618" w:hanging="284"/>
      </w:pPr>
      <w:rPr>
        <w:rFonts w:hint="default"/>
      </w:rPr>
    </w:lvl>
    <w:lvl w:ilvl="2" w:tplc="F692F628">
      <w:start w:val="1"/>
      <w:numFmt w:val="bullet"/>
      <w:lvlText w:val="•"/>
      <w:lvlJc w:val="left"/>
      <w:pPr>
        <w:ind w:left="818" w:hanging="284"/>
      </w:pPr>
      <w:rPr>
        <w:rFonts w:hint="default"/>
      </w:rPr>
    </w:lvl>
    <w:lvl w:ilvl="3" w:tplc="FE1C3CDC">
      <w:start w:val="1"/>
      <w:numFmt w:val="bullet"/>
      <w:lvlText w:val="•"/>
      <w:lvlJc w:val="left"/>
      <w:pPr>
        <w:ind w:left="1018" w:hanging="284"/>
      </w:pPr>
      <w:rPr>
        <w:rFonts w:hint="default"/>
      </w:rPr>
    </w:lvl>
    <w:lvl w:ilvl="4" w:tplc="51524D76">
      <w:start w:val="1"/>
      <w:numFmt w:val="bullet"/>
      <w:lvlText w:val="•"/>
      <w:lvlJc w:val="left"/>
      <w:pPr>
        <w:ind w:left="1218" w:hanging="284"/>
      </w:pPr>
      <w:rPr>
        <w:rFonts w:hint="default"/>
      </w:rPr>
    </w:lvl>
    <w:lvl w:ilvl="5" w:tplc="FE164D5C">
      <w:start w:val="1"/>
      <w:numFmt w:val="bullet"/>
      <w:lvlText w:val="•"/>
      <w:lvlJc w:val="left"/>
      <w:pPr>
        <w:ind w:left="1418" w:hanging="284"/>
      </w:pPr>
      <w:rPr>
        <w:rFonts w:hint="default"/>
      </w:rPr>
    </w:lvl>
    <w:lvl w:ilvl="6" w:tplc="48F07414">
      <w:start w:val="1"/>
      <w:numFmt w:val="bullet"/>
      <w:lvlText w:val="•"/>
      <w:lvlJc w:val="left"/>
      <w:pPr>
        <w:ind w:left="1617" w:hanging="284"/>
      </w:pPr>
      <w:rPr>
        <w:rFonts w:hint="default"/>
      </w:rPr>
    </w:lvl>
    <w:lvl w:ilvl="7" w:tplc="92EE4DF0">
      <w:start w:val="1"/>
      <w:numFmt w:val="bullet"/>
      <w:lvlText w:val="•"/>
      <w:lvlJc w:val="left"/>
      <w:pPr>
        <w:ind w:left="1817" w:hanging="284"/>
      </w:pPr>
      <w:rPr>
        <w:rFonts w:hint="default"/>
      </w:rPr>
    </w:lvl>
    <w:lvl w:ilvl="8" w:tplc="4C2CB4E4">
      <w:start w:val="1"/>
      <w:numFmt w:val="bullet"/>
      <w:lvlText w:val="•"/>
      <w:lvlJc w:val="left"/>
      <w:pPr>
        <w:ind w:left="2017" w:hanging="284"/>
      </w:pPr>
      <w:rPr>
        <w:rFonts w:hint="default"/>
      </w:rPr>
    </w:lvl>
  </w:abstractNum>
  <w:abstractNum w:abstractNumId="9" w15:restartNumberingAfterBreak="0">
    <w:nsid w:val="3911744C"/>
    <w:multiLevelType w:val="hybridMultilevel"/>
    <w:tmpl w:val="BDA4E1C2"/>
    <w:lvl w:ilvl="0" w:tplc="0C090017">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0" w15:restartNumberingAfterBreak="0">
    <w:nsid w:val="39453DFC"/>
    <w:multiLevelType w:val="hybridMultilevel"/>
    <w:tmpl w:val="3D58C68A"/>
    <w:lvl w:ilvl="0" w:tplc="2B4698F6">
      <w:start w:val="1"/>
      <w:numFmt w:val="decimal"/>
      <w:lvlText w:val="%1)"/>
      <w:lvlJc w:val="left"/>
      <w:pPr>
        <w:ind w:left="1560" w:hanging="720"/>
      </w:pPr>
      <w:rPr>
        <w:rFonts w:ascii="Times New Roman" w:eastAsia="Times New Roman" w:hAnsi="Times New Roman" w:hint="default"/>
        <w:sz w:val="24"/>
        <w:szCs w:val="24"/>
      </w:rPr>
    </w:lvl>
    <w:lvl w:ilvl="1" w:tplc="8D6E3096">
      <w:start w:val="1"/>
      <w:numFmt w:val="bullet"/>
      <w:lvlText w:val="•"/>
      <w:lvlJc w:val="left"/>
      <w:pPr>
        <w:ind w:left="2404" w:hanging="720"/>
      </w:pPr>
      <w:rPr>
        <w:rFonts w:hint="default"/>
      </w:rPr>
    </w:lvl>
    <w:lvl w:ilvl="2" w:tplc="31807C68">
      <w:start w:val="1"/>
      <w:numFmt w:val="bullet"/>
      <w:lvlText w:val="•"/>
      <w:lvlJc w:val="left"/>
      <w:pPr>
        <w:ind w:left="3249" w:hanging="720"/>
      </w:pPr>
      <w:rPr>
        <w:rFonts w:hint="default"/>
      </w:rPr>
    </w:lvl>
    <w:lvl w:ilvl="3" w:tplc="41747EB8">
      <w:start w:val="1"/>
      <w:numFmt w:val="bullet"/>
      <w:lvlText w:val="•"/>
      <w:lvlJc w:val="left"/>
      <w:pPr>
        <w:ind w:left="4093" w:hanging="720"/>
      </w:pPr>
      <w:rPr>
        <w:rFonts w:hint="default"/>
      </w:rPr>
    </w:lvl>
    <w:lvl w:ilvl="4" w:tplc="CF0453EA">
      <w:start w:val="1"/>
      <w:numFmt w:val="bullet"/>
      <w:lvlText w:val="•"/>
      <w:lvlJc w:val="left"/>
      <w:pPr>
        <w:ind w:left="4938" w:hanging="720"/>
      </w:pPr>
      <w:rPr>
        <w:rFonts w:hint="default"/>
      </w:rPr>
    </w:lvl>
    <w:lvl w:ilvl="5" w:tplc="B2C499AE">
      <w:start w:val="1"/>
      <w:numFmt w:val="bullet"/>
      <w:lvlText w:val="•"/>
      <w:lvlJc w:val="left"/>
      <w:pPr>
        <w:ind w:left="5783" w:hanging="720"/>
      </w:pPr>
      <w:rPr>
        <w:rFonts w:hint="default"/>
      </w:rPr>
    </w:lvl>
    <w:lvl w:ilvl="6" w:tplc="40BCC5AE">
      <w:start w:val="1"/>
      <w:numFmt w:val="bullet"/>
      <w:lvlText w:val="•"/>
      <w:lvlJc w:val="left"/>
      <w:pPr>
        <w:ind w:left="6627" w:hanging="720"/>
      </w:pPr>
      <w:rPr>
        <w:rFonts w:hint="default"/>
      </w:rPr>
    </w:lvl>
    <w:lvl w:ilvl="7" w:tplc="38AEEF90">
      <w:start w:val="1"/>
      <w:numFmt w:val="bullet"/>
      <w:lvlText w:val="•"/>
      <w:lvlJc w:val="left"/>
      <w:pPr>
        <w:ind w:left="7472" w:hanging="720"/>
      </w:pPr>
      <w:rPr>
        <w:rFonts w:hint="default"/>
      </w:rPr>
    </w:lvl>
    <w:lvl w:ilvl="8" w:tplc="27E4C994">
      <w:start w:val="1"/>
      <w:numFmt w:val="bullet"/>
      <w:lvlText w:val="•"/>
      <w:lvlJc w:val="left"/>
      <w:pPr>
        <w:ind w:left="8317" w:hanging="720"/>
      </w:pPr>
      <w:rPr>
        <w:rFonts w:hint="default"/>
      </w:rPr>
    </w:lvl>
  </w:abstractNum>
  <w:abstractNum w:abstractNumId="11" w15:restartNumberingAfterBreak="0">
    <w:nsid w:val="3D9D6D05"/>
    <w:multiLevelType w:val="hybridMultilevel"/>
    <w:tmpl w:val="03CE55E2"/>
    <w:lvl w:ilvl="0" w:tplc="E33AD7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E671B4"/>
    <w:multiLevelType w:val="hybridMultilevel"/>
    <w:tmpl w:val="D5DCDB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02C07C8"/>
    <w:multiLevelType w:val="hybridMultilevel"/>
    <w:tmpl w:val="5B90F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27FC0"/>
    <w:multiLevelType w:val="hybridMultilevel"/>
    <w:tmpl w:val="88360C54"/>
    <w:lvl w:ilvl="0" w:tplc="3850CE56">
      <w:start w:val="1"/>
      <w:numFmt w:val="bullet"/>
      <w:lvlText w:val="•"/>
      <w:lvlJc w:val="left"/>
      <w:pPr>
        <w:ind w:left="459" w:hanging="284"/>
      </w:pPr>
      <w:rPr>
        <w:rFonts w:ascii="Times New Roman" w:eastAsia="Times New Roman" w:hAnsi="Times New Roman" w:hint="default"/>
        <w:w w:val="99"/>
        <w:sz w:val="20"/>
        <w:szCs w:val="20"/>
      </w:rPr>
    </w:lvl>
    <w:lvl w:ilvl="1" w:tplc="4B9063FA">
      <w:start w:val="1"/>
      <w:numFmt w:val="bullet"/>
      <w:lvlText w:val="•"/>
      <w:lvlJc w:val="left"/>
      <w:pPr>
        <w:ind w:left="904" w:hanging="284"/>
      </w:pPr>
      <w:rPr>
        <w:rFonts w:hint="default"/>
      </w:rPr>
    </w:lvl>
    <w:lvl w:ilvl="2" w:tplc="07CC5D10">
      <w:start w:val="1"/>
      <w:numFmt w:val="bullet"/>
      <w:lvlText w:val="•"/>
      <w:lvlJc w:val="left"/>
      <w:pPr>
        <w:ind w:left="1349" w:hanging="284"/>
      </w:pPr>
      <w:rPr>
        <w:rFonts w:hint="default"/>
      </w:rPr>
    </w:lvl>
    <w:lvl w:ilvl="3" w:tplc="82FEB68A">
      <w:start w:val="1"/>
      <w:numFmt w:val="bullet"/>
      <w:lvlText w:val="•"/>
      <w:lvlJc w:val="left"/>
      <w:pPr>
        <w:ind w:left="1793" w:hanging="284"/>
      </w:pPr>
      <w:rPr>
        <w:rFonts w:hint="default"/>
      </w:rPr>
    </w:lvl>
    <w:lvl w:ilvl="4" w:tplc="5D52A7E2">
      <w:start w:val="1"/>
      <w:numFmt w:val="bullet"/>
      <w:lvlText w:val="•"/>
      <w:lvlJc w:val="left"/>
      <w:pPr>
        <w:ind w:left="2238" w:hanging="284"/>
      </w:pPr>
      <w:rPr>
        <w:rFonts w:hint="default"/>
      </w:rPr>
    </w:lvl>
    <w:lvl w:ilvl="5" w:tplc="F68C1480">
      <w:start w:val="1"/>
      <w:numFmt w:val="bullet"/>
      <w:lvlText w:val="•"/>
      <w:lvlJc w:val="left"/>
      <w:pPr>
        <w:ind w:left="2682" w:hanging="284"/>
      </w:pPr>
      <w:rPr>
        <w:rFonts w:hint="default"/>
      </w:rPr>
    </w:lvl>
    <w:lvl w:ilvl="6" w:tplc="F7D6940A">
      <w:start w:val="1"/>
      <w:numFmt w:val="bullet"/>
      <w:lvlText w:val="•"/>
      <w:lvlJc w:val="left"/>
      <w:pPr>
        <w:ind w:left="3127" w:hanging="284"/>
      </w:pPr>
      <w:rPr>
        <w:rFonts w:hint="default"/>
      </w:rPr>
    </w:lvl>
    <w:lvl w:ilvl="7" w:tplc="DD9E957C">
      <w:start w:val="1"/>
      <w:numFmt w:val="bullet"/>
      <w:lvlText w:val="•"/>
      <w:lvlJc w:val="left"/>
      <w:pPr>
        <w:ind w:left="3572" w:hanging="284"/>
      </w:pPr>
      <w:rPr>
        <w:rFonts w:hint="default"/>
      </w:rPr>
    </w:lvl>
    <w:lvl w:ilvl="8" w:tplc="31469458">
      <w:start w:val="1"/>
      <w:numFmt w:val="bullet"/>
      <w:lvlText w:val="•"/>
      <w:lvlJc w:val="left"/>
      <w:pPr>
        <w:ind w:left="4016" w:hanging="284"/>
      </w:pPr>
      <w:rPr>
        <w:rFonts w:hint="default"/>
      </w:rPr>
    </w:lvl>
  </w:abstractNum>
  <w:abstractNum w:abstractNumId="15" w15:restartNumberingAfterBreak="0">
    <w:nsid w:val="42253BFB"/>
    <w:multiLevelType w:val="hybridMultilevel"/>
    <w:tmpl w:val="F274101A"/>
    <w:lvl w:ilvl="0" w:tplc="7E40C6C4">
      <w:start w:val="2"/>
      <w:numFmt w:val="decimal"/>
      <w:lvlText w:val="%1"/>
      <w:lvlJc w:val="left"/>
      <w:pPr>
        <w:ind w:left="499" w:hanging="360"/>
      </w:pPr>
      <w:rPr>
        <w:rFonts w:hint="default"/>
        <w:b/>
      </w:rPr>
    </w:lvl>
    <w:lvl w:ilvl="1" w:tplc="0C090019" w:tentative="1">
      <w:start w:val="1"/>
      <w:numFmt w:val="lowerLetter"/>
      <w:lvlText w:val="%2."/>
      <w:lvlJc w:val="left"/>
      <w:pPr>
        <w:ind w:left="1219" w:hanging="360"/>
      </w:pPr>
    </w:lvl>
    <w:lvl w:ilvl="2" w:tplc="0C09001B" w:tentative="1">
      <w:start w:val="1"/>
      <w:numFmt w:val="lowerRoman"/>
      <w:lvlText w:val="%3."/>
      <w:lvlJc w:val="right"/>
      <w:pPr>
        <w:ind w:left="1939" w:hanging="180"/>
      </w:pPr>
    </w:lvl>
    <w:lvl w:ilvl="3" w:tplc="0C09000F" w:tentative="1">
      <w:start w:val="1"/>
      <w:numFmt w:val="decimal"/>
      <w:lvlText w:val="%4."/>
      <w:lvlJc w:val="left"/>
      <w:pPr>
        <w:ind w:left="2659" w:hanging="360"/>
      </w:pPr>
    </w:lvl>
    <w:lvl w:ilvl="4" w:tplc="0C090019" w:tentative="1">
      <w:start w:val="1"/>
      <w:numFmt w:val="lowerLetter"/>
      <w:lvlText w:val="%5."/>
      <w:lvlJc w:val="left"/>
      <w:pPr>
        <w:ind w:left="3379" w:hanging="360"/>
      </w:pPr>
    </w:lvl>
    <w:lvl w:ilvl="5" w:tplc="0C09001B" w:tentative="1">
      <w:start w:val="1"/>
      <w:numFmt w:val="lowerRoman"/>
      <w:lvlText w:val="%6."/>
      <w:lvlJc w:val="right"/>
      <w:pPr>
        <w:ind w:left="4099" w:hanging="180"/>
      </w:pPr>
    </w:lvl>
    <w:lvl w:ilvl="6" w:tplc="0C09000F" w:tentative="1">
      <w:start w:val="1"/>
      <w:numFmt w:val="decimal"/>
      <w:lvlText w:val="%7."/>
      <w:lvlJc w:val="left"/>
      <w:pPr>
        <w:ind w:left="4819" w:hanging="360"/>
      </w:pPr>
    </w:lvl>
    <w:lvl w:ilvl="7" w:tplc="0C090019" w:tentative="1">
      <w:start w:val="1"/>
      <w:numFmt w:val="lowerLetter"/>
      <w:lvlText w:val="%8."/>
      <w:lvlJc w:val="left"/>
      <w:pPr>
        <w:ind w:left="5539" w:hanging="360"/>
      </w:pPr>
    </w:lvl>
    <w:lvl w:ilvl="8" w:tplc="0C09001B" w:tentative="1">
      <w:start w:val="1"/>
      <w:numFmt w:val="lowerRoman"/>
      <w:lvlText w:val="%9."/>
      <w:lvlJc w:val="right"/>
      <w:pPr>
        <w:ind w:left="6259" w:hanging="180"/>
      </w:pPr>
    </w:lvl>
  </w:abstractNum>
  <w:abstractNum w:abstractNumId="16" w15:restartNumberingAfterBreak="0">
    <w:nsid w:val="44455A6A"/>
    <w:multiLevelType w:val="hybridMultilevel"/>
    <w:tmpl w:val="9B188852"/>
    <w:lvl w:ilvl="0" w:tplc="262EFEF4">
      <w:start w:val="1"/>
      <w:numFmt w:val="decimal"/>
      <w:lvlText w:val="%1"/>
      <w:lvlJc w:val="left"/>
      <w:pPr>
        <w:ind w:left="859" w:hanging="360"/>
      </w:pPr>
      <w:rPr>
        <w:rFonts w:hint="default"/>
      </w:rPr>
    </w:lvl>
    <w:lvl w:ilvl="1" w:tplc="0C090019" w:tentative="1">
      <w:start w:val="1"/>
      <w:numFmt w:val="lowerLetter"/>
      <w:lvlText w:val="%2."/>
      <w:lvlJc w:val="left"/>
      <w:pPr>
        <w:ind w:left="1579" w:hanging="360"/>
      </w:pPr>
    </w:lvl>
    <w:lvl w:ilvl="2" w:tplc="0C09001B" w:tentative="1">
      <w:start w:val="1"/>
      <w:numFmt w:val="lowerRoman"/>
      <w:lvlText w:val="%3."/>
      <w:lvlJc w:val="right"/>
      <w:pPr>
        <w:ind w:left="2299" w:hanging="180"/>
      </w:pPr>
    </w:lvl>
    <w:lvl w:ilvl="3" w:tplc="0C09000F" w:tentative="1">
      <w:start w:val="1"/>
      <w:numFmt w:val="decimal"/>
      <w:lvlText w:val="%4."/>
      <w:lvlJc w:val="left"/>
      <w:pPr>
        <w:ind w:left="3019" w:hanging="360"/>
      </w:pPr>
    </w:lvl>
    <w:lvl w:ilvl="4" w:tplc="0C090019" w:tentative="1">
      <w:start w:val="1"/>
      <w:numFmt w:val="lowerLetter"/>
      <w:lvlText w:val="%5."/>
      <w:lvlJc w:val="left"/>
      <w:pPr>
        <w:ind w:left="3739" w:hanging="360"/>
      </w:pPr>
    </w:lvl>
    <w:lvl w:ilvl="5" w:tplc="0C09001B" w:tentative="1">
      <w:start w:val="1"/>
      <w:numFmt w:val="lowerRoman"/>
      <w:lvlText w:val="%6."/>
      <w:lvlJc w:val="right"/>
      <w:pPr>
        <w:ind w:left="4459" w:hanging="180"/>
      </w:pPr>
    </w:lvl>
    <w:lvl w:ilvl="6" w:tplc="0C09000F" w:tentative="1">
      <w:start w:val="1"/>
      <w:numFmt w:val="decimal"/>
      <w:lvlText w:val="%7."/>
      <w:lvlJc w:val="left"/>
      <w:pPr>
        <w:ind w:left="5179" w:hanging="360"/>
      </w:pPr>
    </w:lvl>
    <w:lvl w:ilvl="7" w:tplc="0C090019" w:tentative="1">
      <w:start w:val="1"/>
      <w:numFmt w:val="lowerLetter"/>
      <w:lvlText w:val="%8."/>
      <w:lvlJc w:val="left"/>
      <w:pPr>
        <w:ind w:left="5899" w:hanging="360"/>
      </w:pPr>
    </w:lvl>
    <w:lvl w:ilvl="8" w:tplc="0C09001B" w:tentative="1">
      <w:start w:val="1"/>
      <w:numFmt w:val="lowerRoman"/>
      <w:lvlText w:val="%9."/>
      <w:lvlJc w:val="right"/>
      <w:pPr>
        <w:ind w:left="6619" w:hanging="180"/>
      </w:pPr>
    </w:lvl>
  </w:abstractNum>
  <w:abstractNum w:abstractNumId="17" w15:restartNumberingAfterBreak="0">
    <w:nsid w:val="452550AA"/>
    <w:multiLevelType w:val="hybridMultilevel"/>
    <w:tmpl w:val="B40E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481D63"/>
    <w:multiLevelType w:val="hybridMultilevel"/>
    <w:tmpl w:val="0B901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E40C60"/>
    <w:multiLevelType w:val="hybridMultilevel"/>
    <w:tmpl w:val="D908C762"/>
    <w:lvl w:ilvl="0" w:tplc="7E3E9A6E">
      <w:start w:val="1"/>
      <w:numFmt w:val="bullet"/>
      <w:lvlText w:val="•"/>
      <w:lvlJc w:val="left"/>
      <w:pPr>
        <w:ind w:left="459" w:hanging="284"/>
      </w:pPr>
      <w:rPr>
        <w:rFonts w:ascii="Times New Roman" w:eastAsia="Times New Roman" w:hAnsi="Times New Roman" w:hint="default"/>
        <w:w w:val="99"/>
        <w:sz w:val="20"/>
        <w:szCs w:val="20"/>
      </w:rPr>
    </w:lvl>
    <w:lvl w:ilvl="1" w:tplc="01F8D9DA">
      <w:start w:val="1"/>
      <w:numFmt w:val="bullet"/>
      <w:lvlText w:val="•"/>
      <w:lvlJc w:val="left"/>
      <w:pPr>
        <w:ind w:left="904" w:hanging="284"/>
      </w:pPr>
      <w:rPr>
        <w:rFonts w:hint="default"/>
      </w:rPr>
    </w:lvl>
    <w:lvl w:ilvl="2" w:tplc="1688D868">
      <w:start w:val="1"/>
      <w:numFmt w:val="bullet"/>
      <w:lvlText w:val="•"/>
      <w:lvlJc w:val="left"/>
      <w:pPr>
        <w:ind w:left="1349" w:hanging="284"/>
      </w:pPr>
      <w:rPr>
        <w:rFonts w:hint="default"/>
      </w:rPr>
    </w:lvl>
    <w:lvl w:ilvl="3" w:tplc="D14278F8">
      <w:start w:val="1"/>
      <w:numFmt w:val="bullet"/>
      <w:lvlText w:val="•"/>
      <w:lvlJc w:val="left"/>
      <w:pPr>
        <w:ind w:left="1793" w:hanging="284"/>
      </w:pPr>
      <w:rPr>
        <w:rFonts w:hint="default"/>
      </w:rPr>
    </w:lvl>
    <w:lvl w:ilvl="4" w:tplc="36AE3F56">
      <w:start w:val="1"/>
      <w:numFmt w:val="bullet"/>
      <w:lvlText w:val="•"/>
      <w:lvlJc w:val="left"/>
      <w:pPr>
        <w:ind w:left="2238" w:hanging="284"/>
      </w:pPr>
      <w:rPr>
        <w:rFonts w:hint="default"/>
      </w:rPr>
    </w:lvl>
    <w:lvl w:ilvl="5" w:tplc="5C04823C">
      <w:start w:val="1"/>
      <w:numFmt w:val="bullet"/>
      <w:lvlText w:val="•"/>
      <w:lvlJc w:val="left"/>
      <w:pPr>
        <w:ind w:left="2682" w:hanging="284"/>
      </w:pPr>
      <w:rPr>
        <w:rFonts w:hint="default"/>
      </w:rPr>
    </w:lvl>
    <w:lvl w:ilvl="6" w:tplc="D62A9A78">
      <w:start w:val="1"/>
      <w:numFmt w:val="bullet"/>
      <w:lvlText w:val="•"/>
      <w:lvlJc w:val="left"/>
      <w:pPr>
        <w:ind w:left="3127" w:hanging="284"/>
      </w:pPr>
      <w:rPr>
        <w:rFonts w:hint="default"/>
      </w:rPr>
    </w:lvl>
    <w:lvl w:ilvl="7" w:tplc="749C0662">
      <w:start w:val="1"/>
      <w:numFmt w:val="bullet"/>
      <w:lvlText w:val="•"/>
      <w:lvlJc w:val="left"/>
      <w:pPr>
        <w:ind w:left="3572" w:hanging="284"/>
      </w:pPr>
      <w:rPr>
        <w:rFonts w:hint="default"/>
      </w:rPr>
    </w:lvl>
    <w:lvl w:ilvl="8" w:tplc="15E41590">
      <w:start w:val="1"/>
      <w:numFmt w:val="bullet"/>
      <w:lvlText w:val="•"/>
      <w:lvlJc w:val="left"/>
      <w:pPr>
        <w:ind w:left="4016" w:hanging="284"/>
      </w:pPr>
      <w:rPr>
        <w:rFonts w:hint="default"/>
      </w:rPr>
    </w:lvl>
  </w:abstractNum>
  <w:abstractNum w:abstractNumId="20" w15:restartNumberingAfterBreak="0">
    <w:nsid w:val="53E54613"/>
    <w:multiLevelType w:val="hybridMultilevel"/>
    <w:tmpl w:val="9EBC2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365282"/>
    <w:multiLevelType w:val="hybridMultilevel"/>
    <w:tmpl w:val="999EBFCE"/>
    <w:lvl w:ilvl="0" w:tplc="707E28EC">
      <w:start w:val="1"/>
      <w:numFmt w:val="decimal"/>
      <w:lvlText w:val="%1"/>
      <w:lvlJc w:val="left"/>
      <w:pPr>
        <w:ind w:left="72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F06174"/>
    <w:multiLevelType w:val="multilevel"/>
    <w:tmpl w:val="EB1C10BE"/>
    <w:lvl w:ilvl="0">
      <w:start w:val="4"/>
      <w:numFmt w:val="decimal"/>
      <w:lvlText w:val="%1"/>
      <w:lvlJc w:val="left"/>
      <w:pPr>
        <w:ind w:left="500" w:hanging="360"/>
      </w:pPr>
      <w:rPr>
        <w:rFonts w:hint="default"/>
      </w:rPr>
    </w:lvl>
    <w:lvl w:ilvl="1">
      <w:start w:val="8"/>
      <w:numFmt w:val="decimal"/>
      <w:lvlText w:val="%1.%2"/>
      <w:lvlJc w:val="left"/>
      <w:pPr>
        <w:ind w:left="500" w:hanging="360"/>
      </w:pPr>
      <w:rPr>
        <w:rFonts w:ascii="Times New Roman" w:eastAsia="Times New Roman" w:hAnsi="Times New Roman" w:hint="default"/>
        <w:sz w:val="24"/>
        <w:szCs w:val="24"/>
      </w:rPr>
    </w:lvl>
    <w:lvl w:ilvl="2">
      <w:start w:val="1"/>
      <w:numFmt w:val="bullet"/>
      <w:lvlText w:val=""/>
      <w:lvlJc w:val="left"/>
      <w:pPr>
        <w:ind w:left="1035" w:hanging="356"/>
      </w:pPr>
      <w:rPr>
        <w:rFonts w:ascii="Symbol" w:eastAsia="Symbol" w:hAnsi="Symbol" w:hint="default"/>
        <w:sz w:val="22"/>
        <w:szCs w:val="22"/>
      </w:rPr>
    </w:lvl>
    <w:lvl w:ilvl="3">
      <w:start w:val="1"/>
      <w:numFmt w:val="bullet"/>
      <w:lvlText w:val="•"/>
      <w:lvlJc w:val="left"/>
      <w:pPr>
        <w:ind w:left="2873" w:hanging="356"/>
      </w:pPr>
      <w:rPr>
        <w:rFonts w:hint="default"/>
      </w:rPr>
    </w:lvl>
    <w:lvl w:ilvl="4">
      <w:start w:val="1"/>
      <w:numFmt w:val="bullet"/>
      <w:lvlText w:val="•"/>
      <w:lvlJc w:val="left"/>
      <w:pPr>
        <w:ind w:left="3792" w:hanging="356"/>
      </w:pPr>
      <w:rPr>
        <w:rFonts w:hint="default"/>
      </w:rPr>
    </w:lvl>
    <w:lvl w:ilvl="5">
      <w:start w:val="1"/>
      <w:numFmt w:val="bullet"/>
      <w:lvlText w:val="•"/>
      <w:lvlJc w:val="left"/>
      <w:pPr>
        <w:ind w:left="4711" w:hanging="356"/>
      </w:pPr>
      <w:rPr>
        <w:rFonts w:hint="default"/>
      </w:rPr>
    </w:lvl>
    <w:lvl w:ilvl="6">
      <w:start w:val="1"/>
      <w:numFmt w:val="bullet"/>
      <w:lvlText w:val="•"/>
      <w:lvlJc w:val="left"/>
      <w:pPr>
        <w:ind w:left="5630" w:hanging="356"/>
      </w:pPr>
      <w:rPr>
        <w:rFonts w:hint="default"/>
      </w:rPr>
    </w:lvl>
    <w:lvl w:ilvl="7">
      <w:start w:val="1"/>
      <w:numFmt w:val="bullet"/>
      <w:lvlText w:val="•"/>
      <w:lvlJc w:val="left"/>
      <w:pPr>
        <w:ind w:left="6549" w:hanging="356"/>
      </w:pPr>
      <w:rPr>
        <w:rFonts w:hint="default"/>
      </w:rPr>
    </w:lvl>
    <w:lvl w:ilvl="8">
      <w:start w:val="1"/>
      <w:numFmt w:val="bullet"/>
      <w:lvlText w:val="•"/>
      <w:lvlJc w:val="left"/>
      <w:pPr>
        <w:ind w:left="7468" w:hanging="356"/>
      </w:pPr>
      <w:rPr>
        <w:rFonts w:hint="default"/>
      </w:rPr>
    </w:lvl>
  </w:abstractNum>
  <w:abstractNum w:abstractNumId="23" w15:restartNumberingAfterBreak="0">
    <w:nsid w:val="593A5F95"/>
    <w:multiLevelType w:val="multilevel"/>
    <w:tmpl w:val="624469E0"/>
    <w:lvl w:ilvl="0">
      <w:start w:val="1"/>
      <w:numFmt w:val="decimal"/>
      <w:lvlText w:val="%1"/>
      <w:lvlJc w:val="left"/>
      <w:pPr>
        <w:ind w:left="432" w:hanging="432"/>
      </w:pPr>
      <w:rPr>
        <w:rFonts w:hint="default"/>
        <w:b/>
        <w:bCs/>
        <w:w w:val="99"/>
        <w:sz w:val="32"/>
        <w:szCs w:val="32"/>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spacing w:val="-1"/>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A5A0193"/>
    <w:multiLevelType w:val="hybridMultilevel"/>
    <w:tmpl w:val="130E782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D1F4F"/>
    <w:multiLevelType w:val="hybridMultilevel"/>
    <w:tmpl w:val="EEB0876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5A9546E0"/>
    <w:multiLevelType w:val="hybridMultilevel"/>
    <w:tmpl w:val="954E47BE"/>
    <w:lvl w:ilvl="0" w:tplc="262EFEF4">
      <w:start w:val="1"/>
      <w:numFmt w:val="decimal"/>
      <w:lvlText w:val="%1"/>
      <w:lvlJc w:val="left"/>
      <w:pPr>
        <w:ind w:left="862" w:hanging="360"/>
      </w:pPr>
      <w:rPr>
        <w:rFonts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15:restartNumberingAfterBreak="0">
    <w:nsid w:val="6ACE296C"/>
    <w:multiLevelType w:val="hybridMultilevel"/>
    <w:tmpl w:val="8058537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75807A82"/>
    <w:multiLevelType w:val="hybridMultilevel"/>
    <w:tmpl w:val="4A621772"/>
    <w:lvl w:ilvl="0" w:tplc="B82E3E16">
      <w:start w:val="1"/>
      <w:numFmt w:val="decimal"/>
      <w:lvlText w:val="%1)"/>
      <w:lvlJc w:val="left"/>
      <w:pPr>
        <w:ind w:left="1600" w:hanging="360"/>
      </w:pPr>
      <w:rPr>
        <w:rFonts w:ascii="Times New Roman" w:eastAsia="Cambria" w:hAnsi="Times New Roman" w:cs="Times New Roman" w:hint="default"/>
        <w:spacing w:val="-1"/>
        <w:w w:val="99"/>
        <w:sz w:val="24"/>
        <w:szCs w:val="24"/>
      </w:rPr>
    </w:lvl>
    <w:lvl w:ilvl="1" w:tplc="E30860B4">
      <w:start w:val="1"/>
      <w:numFmt w:val="bullet"/>
      <w:lvlText w:val="•"/>
      <w:lvlJc w:val="left"/>
      <w:pPr>
        <w:ind w:left="2441" w:hanging="360"/>
      </w:pPr>
      <w:rPr>
        <w:rFonts w:hint="default"/>
      </w:rPr>
    </w:lvl>
    <w:lvl w:ilvl="2" w:tplc="59380CE2">
      <w:start w:val="1"/>
      <w:numFmt w:val="bullet"/>
      <w:lvlText w:val="•"/>
      <w:lvlJc w:val="left"/>
      <w:pPr>
        <w:ind w:left="3281" w:hanging="360"/>
      </w:pPr>
      <w:rPr>
        <w:rFonts w:hint="default"/>
      </w:rPr>
    </w:lvl>
    <w:lvl w:ilvl="3" w:tplc="BB984B90">
      <w:start w:val="1"/>
      <w:numFmt w:val="bullet"/>
      <w:lvlText w:val="•"/>
      <w:lvlJc w:val="left"/>
      <w:pPr>
        <w:ind w:left="4122" w:hanging="360"/>
      </w:pPr>
      <w:rPr>
        <w:rFonts w:hint="default"/>
      </w:rPr>
    </w:lvl>
    <w:lvl w:ilvl="4" w:tplc="38A2006E">
      <w:start w:val="1"/>
      <w:numFmt w:val="bullet"/>
      <w:lvlText w:val="•"/>
      <w:lvlJc w:val="left"/>
      <w:pPr>
        <w:ind w:left="4963" w:hanging="360"/>
      </w:pPr>
      <w:rPr>
        <w:rFonts w:hint="default"/>
      </w:rPr>
    </w:lvl>
    <w:lvl w:ilvl="5" w:tplc="D60C0E48">
      <w:start w:val="1"/>
      <w:numFmt w:val="bullet"/>
      <w:lvlText w:val="•"/>
      <w:lvlJc w:val="left"/>
      <w:pPr>
        <w:ind w:left="5803" w:hanging="360"/>
      </w:pPr>
      <w:rPr>
        <w:rFonts w:hint="default"/>
      </w:rPr>
    </w:lvl>
    <w:lvl w:ilvl="6" w:tplc="3714504E">
      <w:start w:val="1"/>
      <w:numFmt w:val="bullet"/>
      <w:lvlText w:val="•"/>
      <w:lvlJc w:val="left"/>
      <w:pPr>
        <w:ind w:left="6644" w:hanging="360"/>
      </w:pPr>
      <w:rPr>
        <w:rFonts w:hint="default"/>
      </w:rPr>
    </w:lvl>
    <w:lvl w:ilvl="7" w:tplc="556A1E9E">
      <w:start w:val="1"/>
      <w:numFmt w:val="bullet"/>
      <w:lvlText w:val="•"/>
      <w:lvlJc w:val="left"/>
      <w:pPr>
        <w:ind w:left="7484" w:hanging="360"/>
      </w:pPr>
      <w:rPr>
        <w:rFonts w:hint="default"/>
      </w:rPr>
    </w:lvl>
    <w:lvl w:ilvl="8" w:tplc="0B1C9EAA">
      <w:start w:val="1"/>
      <w:numFmt w:val="bullet"/>
      <w:lvlText w:val="•"/>
      <w:lvlJc w:val="left"/>
      <w:pPr>
        <w:ind w:left="8325" w:hanging="360"/>
      </w:pPr>
      <w:rPr>
        <w:rFonts w:hint="default"/>
      </w:rPr>
    </w:lvl>
  </w:abstractNum>
  <w:abstractNum w:abstractNumId="29" w15:restartNumberingAfterBreak="0">
    <w:nsid w:val="7A4F0BD4"/>
    <w:multiLevelType w:val="hybridMultilevel"/>
    <w:tmpl w:val="4CB63B2A"/>
    <w:lvl w:ilvl="0" w:tplc="158843F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7183315">
    <w:abstractNumId w:val="3"/>
  </w:num>
  <w:num w:numId="2" w16cid:durableId="151221998">
    <w:abstractNumId w:val="2"/>
  </w:num>
  <w:num w:numId="3" w16cid:durableId="1992979447">
    <w:abstractNumId w:val="14"/>
  </w:num>
  <w:num w:numId="4" w16cid:durableId="1196849598">
    <w:abstractNumId w:val="19"/>
  </w:num>
  <w:num w:numId="5" w16cid:durableId="2054645647">
    <w:abstractNumId w:val="22"/>
  </w:num>
  <w:num w:numId="6" w16cid:durableId="1473408091">
    <w:abstractNumId w:val="6"/>
  </w:num>
  <w:num w:numId="7" w16cid:durableId="603146312">
    <w:abstractNumId w:val="8"/>
  </w:num>
  <w:num w:numId="8" w16cid:durableId="169876348">
    <w:abstractNumId w:val="4"/>
  </w:num>
  <w:num w:numId="9" w16cid:durableId="261572911">
    <w:abstractNumId w:val="28"/>
  </w:num>
  <w:num w:numId="10" w16cid:durableId="1369914162">
    <w:abstractNumId w:val="10"/>
  </w:num>
  <w:num w:numId="11" w16cid:durableId="2036929256">
    <w:abstractNumId w:val="23"/>
  </w:num>
  <w:num w:numId="12" w16cid:durableId="92868808">
    <w:abstractNumId w:val="15"/>
  </w:num>
  <w:num w:numId="13" w16cid:durableId="123088775">
    <w:abstractNumId w:val="20"/>
  </w:num>
  <w:num w:numId="14" w16cid:durableId="93293663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7197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954856">
    <w:abstractNumId w:val="26"/>
  </w:num>
  <w:num w:numId="17" w16cid:durableId="98451242">
    <w:abstractNumId w:val="16"/>
  </w:num>
  <w:num w:numId="18" w16cid:durableId="1607080503">
    <w:abstractNumId w:val="21"/>
  </w:num>
  <w:num w:numId="19" w16cid:durableId="37823742">
    <w:abstractNumId w:val="21"/>
  </w:num>
  <w:num w:numId="20" w16cid:durableId="1264344939">
    <w:abstractNumId w:val="9"/>
  </w:num>
  <w:num w:numId="21" w16cid:durableId="1048648283">
    <w:abstractNumId w:val="3"/>
  </w:num>
  <w:num w:numId="22" w16cid:durableId="2095663048">
    <w:abstractNumId w:val="3"/>
  </w:num>
  <w:num w:numId="23" w16cid:durableId="711881816">
    <w:abstractNumId w:val="29"/>
  </w:num>
  <w:num w:numId="24" w16cid:durableId="1461923559">
    <w:abstractNumId w:val="3"/>
  </w:num>
  <w:num w:numId="25" w16cid:durableId="27881982">
    <w:abstractNumId w:val="11"/>
  </w:num>
  <w:num w:numId="26" w16cid:durableId="1633749808">
    <w:abstractNumId w:val="3"/>
  </w:num>
  <w:num w:numId="27" w16cid:durableId="205877465">
    <w:abstractNumId w:val="0"/>
  </w:num>
  <w:num w:numId="28" w16cid:durableId="1962957690">
    <w:abstractNumId w:val="27"/>
  </w:num>
  <w:num w:numId="29" w16cid:durableId="1677419701">
    <w:abstractNumId w:val="25"/>
  </w:num>
  <w:num w:numId="30" w16cid:durableId="1145585868">
    <w:abstractNumId w:val="12"/>
  </w:num>
  <w:num w:numId="31" w16cid:durableId="1722897157">
    <w:abstractNumId w:val="17"/>
  </w:num>
  <w:num w:numId="32" w16cid:durableId="577204395">
    <w:abstractNumId w:val="1"/>
  </w:num>
  <w:num w:numId="33" w16cid:durableId="1370836268">
    <w:abstractNumId w:val="18"/>
  </w:num>
  <w:num w:numId="34" w16cid:durableId="580725022">
    <w:abstractNumId w:val="24"/>
  </w:num>
  <w:num w:numId="35" w16cid:durableId="352613051">
    <w:abstractNumId w:val="5"/>
  </w:num>
  <w:num w:numId="36" w16cid:durableId="2130665103">
    <w:abstractNumId w:val="7"/>
  </w:num>
  <w:num w:numId="37" w16cid:durableId="19820895">
    <w:abstractNumId w:val="13"/>
  </w:num>
  <w:num w:numId="38" w16cid:durableId="1783918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22"/>
    <w:rsid w:val="000010DA"/>
    <w:rsid w:val="000016CB"/>
    <w:rsid w:val="00005188"/>
    <w:rsid w:val="00005B3C"/>
    <w:rsid w:val="00013312"/>
    <w:rsid w:val="000242A3"/>
    <w:rsid w:val="0002452C"/>
    <w:rsid w:val="00026A0E"/>
    <w:rsid w:val="000273A6"/>
    <w:rsid w:val="000315C2"/>
    <w:rsid w:val="0003305C"/>
    <w:rsid w:val="0003567F"/>
    <w:rsid w:val="00036F30"/>
    <w:rsid w:val="00041928"/>
    <w:rsid w:val="00044795"/>
    <w:rsid w:val="0005155F"/>
    <w:rsid w:val="000575C3"/>
    <w:rsid w:val="00061E6F"/>
    <w:rsid w:val="00065C23"/>
    <w:rsid w:val="00074A34"/>
    <w:rsid w:val="0008077B"/>
    <w:rsid w:val="00080E9C"/>
    <w:rsid w:val="00081A46"/>
    <w:rsid w:val="00084397"/>
    <w:rsid w:val="0009248D"/>
    <w:rsid w:val="00092E93"/>
    <w:rsid w:val="00093EBB"/>
    <w:rsid w:val="00095022"/>
    <w:rsid w:val="000A1356"/>
    <w:rsid w:val="000A20AC"/>
    <w:rsid w:val="000A3814"/>
    <w:rsid w:val="000B0CCF"/>
    <w:rsid w:val="000B7F33"/>
    <w:rsid w:val="000C1233"/>
    <w:rsid w:val="000C45B9"/>
    <w:rsid w:val="000C52F2"/>
    <w:rsid w:val="000C6214"/>
    <w:rsid w:val="000C7F8E"/>
    <w:rsid w:val="000D1825"/>
    <w:rsid w:val="000D2D90"/>
    <w:rsid w:val="000D30AA"/>
    <w:rsid w:val="000D6355"/>
    <w:rsid w:val="000E4C65"/>
    <w:rsid w:val="000E7D3F"/>
    <w:rsid w:val="000F0D88"/>
    <w:rsid w:val="000F0DBB"/>
    <w:rsid w:val="000F66DB"/>
    <w:rsid w:val="00102CFA"/>
    <w:rsid w:val="001032D8"/>
    <w:rsid w:val="001074EB"/>
    <w:rsid w:val="00111C93"/>
    <w:rsid w:val="001146F3"/>
    <w:rsid w:val="00116C41"/>
    <w:rsid w:val="00126E1A"/>
    <w:rsid w:val="001271A4"/>
    <w:rsid w:val="00127874"/>
    <w:rsid w:val="0013062A"/>
    <w:rsid w:val="00130D95"/>
    <w:rsid w:val="00131F34"/>
    <w:rsid w:val="00142799"/>
    <w:rsid w:val="00155412"/>
    <w:rsid w:val="00156359"/>
    <w:rsid w:val="00166189"/>
    <w:rsid w:val="00167EE5"/>
    <w:rsid w:val="001738B2"/>
    <w:rsid w:val="00176410"/>
    <w:rsid w:val="0018045E"/>
    <w:rsid w:val="00182D60"/>
    <w:rsid w:val="00183E0A"/>
    <w:rsid w:val="001856B1"/>
    <w:rsid w:val="00192462"/>
    <w:rsid w:val="00192773"/>
    <w:rsid w:val="001A4605"/>
    <w:rsid w:val="001A6593"/>
    <w:rsid w:val="001C20A4"/>
    <w:rsid w:val="001D2504"/>
    <w:rsid w:val="001D28F4"/>
    <w:rsid w:val="001D4AD2"/>
    <w:rsid w:val="001E40CD"/>
    <w:rsid w:val="001E7149"/>
    <w:rsid w:val="001F0F40"/>
    <w:rsid w:val="001F5B36"/>
    <w:rsid w:val="00200892"/>
    <w:rsid w:val="00203556"/>
    <w:rsid w:val="00207EAB"/>
    <w:rsid w:val="00212A9C"/>
    <w:rsid w:val="00213098"/>
    <w:rsid w:val="00214FF4"/>
    <w:rsid w:val="00231C02"/>
    <w:rsid w:val="002329D8"/>
    <w:rsid w:val="00233717"/>
    <w:rsid w:val="002358E7"/>
    <w:rsid w:val="00235B8A"/>
    <w:rsid w:val="002373BB"/>
    <w:rsid w:val="002416EF"/>
    <w:rsid w:val="00241DF6"/>
    <w:rsid w:val="00242461"/>
    <w:rsid w:val="0024340D"/>
    <w:rsid w:val="00253D57"/>
    <w:rsid w:val="00254540"/>
    <w:rsid w:val="0026327A"/>
    <w:rsid w:val="0027503D"/>
    <w:rsid w:val="0027524F"/>
    <w:rsid w:val="00277A33"/>
    <w:rsid w:val="002839C9"/>
    <w:rsid w:val="002840CD"/>
    <w:rsid w:val="00284F88"/>
    <w:rsid w:val="002930FE"/>
    <w:rsid w:val="002A12C8"/>
    <w:rsid w:val="002A3596"/>
    <w:rsid w:val="002A6F34"/>
    <w:rsid w:val="002B0067"/>
    <w:rsid w:val="002B0A30"/>
    <w:rsid w:val="002B429E"/>
    <w:rsid w:val="002B5162"/>
    <w:rsid w:val="002B521D"/>
    <w:rsid w:val="002C3B73"/>
    <w:rsid w:val="002C6FF0"/>
    <w:rsid w:val="002D0BCA"/>
    <w:rsid w:val="002D2653"/>
    <w:rsid w:val="002E6F59"/>
    <w:rsid w:val="002F1891"/>
    <w:rsid w:val="002F3C29"/>
    <w:rsid w:val="002F7849"/>
    <w:rsid w:val="00302819"/>
    <w:rsid w:val="00305729"/>
    <w:rsid w:val="00315A0B"/>
    <w:rsid w:val="0033585D"/>
    <w:rsid w:val="0034010B"/>
    <w:rsid w:val="00355AD6"/>
    <w:rsid w:val="00362DD4"/>
    <w:rsid w:val="003641C1"/>
    <w:rsid w:val="0036553A"/>
    <w:rsid w:val="00367CAF"/>
    <w:rsid w:val="00371505"/>
    <w:rsid w:val="0037150E"/>
    <w:rsid w:val="00376441"/>
    <w:rsid w:val="00376B5E"/>
    <w:rsid w:val="0038427A"/>
    <w:rsid w:val="003854D4"/>
    <w:rsid w:val="00397A5F"/>
    <w:rsid w:val="003A14FE"/>
    <w:rsid w:val="003A2836"/>
    <w:rsid w:val="003B0D62"/>
    <w:rsid w:val="003B6A82"/>
    <w:rsid w:val="003C0EDE"/>
    <w:rsid w:val="003C1E34"/>
    <w:rsid w:val="003C5E71"/>
    <w:rsid w:val="003D0102"/>
    <w:rsid w:val="003D1811"/>
    <w:rsid w:val="003D2F92"/>
    <w:rsid w:val="003D4926"/>
    <w:rsid w:val="003D5AFB"/>
    <w:rsid w:val="003D701C"/>
    <w:rsid w:val="003D799B"/>
    <w:rsid w:val="003E07F7"/>
    <w:rsid w:val="003F279E"/>
    <w:rsid w:val="003F3193"/>
    <w:rsid w:val="003F3B44"/>
    <w:rsid w:val="00405C70"/>
    <w:rsid w:val="004173A0"/>
    <w:rsid w:val="0041755A"/>
    <w:rsid w:val="004259AA"/>
    <w:rsid w:val="00431720"/>
    <w:rsid w:val="0043270E"/>
    <w:rsid w:val="00435635"/>
    <w:rsid w:val="00440D62"/>
    <w:rsid w:val="004423ED"/>
    <w:rsid w:val="00444E1C"/>
    <w:rsid w:val="00452B57"/>
    <w:rsid w:val="00452D85"/>
    <w:rsid w:val="004561F6"/>
    <w:rsid w:val="00461D8B"/>
    <w:rsid w:val="004634F1"/>
    <w:rsid w:val="00467D26"/>
    <w:rsid w:val="00470F45"/>
    <w:rsid w:val="0047369A"/>
    <w:rsid w:val="00473B6F"/>
    <w:rsid w:val="00484B1D"/>
    <w:rsid w:val="004901AC"/>
    <w:rsid w:val="00490D24"/>
    <w:rsid w:val="00490DC6"/>
    <w:rsid w:val="00494AE4"/>
    <w:rsid w:val="004A0BF9"/>
    <w:rsid w:val="004A0D87"/>
    <w:rsid w:val="004A6E98"/>
    <w:rsid w:val="004A6F22"/>
    <w:rsid w:val="004A7849"/>
    <w:rsid w:val="004A7B4C"/>
    <w:rsid w:val="004B18B9"/>
    <w:rsid w:val="004B7954"/>
    <w:rsid w:val="004C2C77"/>
    <w:rsid w:val="004C4DAC"/>
    <w:rsid w:val="004D0EB0"/>
    <w:rsid w:val="004E340A"/>
    <w:rsid w:val="004E49AD"/>
    <w:rsid w:val="004F5E5E"/>
    <w:rsid w:val="0050579A"/>
    <w:rsid w:val="00505C0E"/>
    <w:rsid w:val="005105D5"/>
    <w:rsid w:val="00513E97"/>
    <w:rsid w:val="00514094"/>
    <w:rsid w:val="005146BB"/>
    <w:rsid w:val="00521BE5"/>
    <w:rsid w:val="00527D46"/>
    <w:rsid w:val="00534836"/>
    <w:rsid w:val="00535582"/>
    <w:rsid w:val="00535729"/>
    <w:rsid w:val="00536858"/>
    <w:rsid w:val="00537422"/>
    <w:rsid w:val="0054316B"/>
    <w:rsid w:val="00543D49"/>
    <w:rsid w:val="00544879"/>
    <w:rsid w:val="00544F0F"/>
    <w:rsid w:val="00545EA0"/>
    <w:rsid w:val="0054668B"/>
    <w:rsid w:val="00550043"/>
    <w:rsid w:val="0056180F"/>
    <w:rsid w:val="005629B5"/>
    <w:rsid w:val="005664F5"/>
    <w:rsid w:val="00573054"/>
    <w:rsid w:val="00577FEA"/>
    <w:rsid w:val="0058029C"/>
    <w:rsid w:val="00584413"/>
    <w:rsid w:val="005921F8"/>
    <w:rsid w:val="00593EE3"/>
    <w:rsid w:val="0059694A"/>
    <w:rsid w:val="005A3150"/>
    <w:rsid w:val="005A32D3"/>
    <w:rsid w:val="005A391E"/>
    <w:rsid w:val="005B22E1"/>
    <w:rsid w:val="005B4EA0"/>
    <w:rsid w:val="005B5558"/>
    <w:rsid w:val="005C0A88"/>
    <w:rsid w:val="005D3515"/>
    <w:rsid w:val="005E397D"/>
    <w:rsid w:val="005E4084"/>
    <w:rsid w:val="005E453B"/>
    <w:rsid w:val="005E461C"/>
    <w:rsid w:val="0060501F"/>
    <w:rsid w:val="006057D2"/>
    <w:rsid w:val="00610A32"/>
    <w:rsid w:val="00621CD0"/>
    <w:rsid w:val="0062616A"/>
    <w:rsid w:val="00631153"/>
    <w:rsid w:val="00631280"/>
    <w:rsid w:val="00631BFA"/>
    <w:rsid w:val="0064231B"/>
    <w:rsid w:val="00645A61"/>
    <w:rsid w:val="006606F7"/>
    <w:rsid w:val="006711A9"/>
    <w:rsid w:val="006736F6"/>
    <w:rsid w:val="00677F47"/>
    <w:rsid w:val="00681D42"/>
    <w:rsid w:val="00686EAB"/>
    <w:rsid w:val="006904EB"/>
    <w:rsid w:val="006A4A43"/>
    <w:rsid w:val="006B186A"/>
    <w:rsid w:val="006B3799"/>
    <w:rsid w:val="006C4650"/>
    <w:rsid w:val="006D1121"/>
    <w:rsid w:val="006D65D0"/>
    <w:rsid w:val="006F0F91"/>
    <w:rsid w:val="006F57BD"/>
    <w:rsid w:val="006F651C"/>
    <w:rsid w:val="00714792"/>
    <w:rsid w:val="00714A60"/>
    <w:rsid w:val="00733E4D"/>
    <w:rsid w:val="00735B1F"/>
    <w:rsid w:val="007404A8"/>
    <w:rsid w:val="007447D6"/>
    <w:rsid w:val="007448A7"/>
    <w:rsid w:val="00753714"/>
    <w:rsid w:val="0076194D"/>
    <w:rsid w:val="0076509E"/>
    <w:rsid w:val="00776A60"/>
    <w:rsid w:val="0077763B"/>
    <w:rsid w:val="00781F2B"/>
    <w:rsid w:val="0078260E"/>
    <w:rsid w:val="00792234"/>
    <w:rsid w:val="007A2C94"/>
    <w:rsid w:val="007A73D7"/>
    <w:rsid w:val="007D0C1C"/>
    <w:rsid w:val="007D16BC"/>
    <w:rsid w:val="007D5646"/>
    <w:rsid w:val="007D67BA"/>
    <w:rsid w:val="007E4F89"/>
    <w:rsid w:val="00800B61"/>
    <w:rsid w:val="0080425F"/>
    <w:rsid w:val="00810DA7"/>
    <w:rsid w:val="00810E2F"/>
    <w:rsid w:val="008160EC"/>
    <w:rsid w:val="00822A39"/>
    <w:rsid w:val="0082331E"/>
    <w:rsid w:val="0084356A"/>
    <w:rsid w:val="0085298D"/>
    <w:rsid w:val="00863BFE"/>
    <w:rsid w:val="00863D42"/>
    <w:rsid w:val="00871773"/>
    <w:rsid w:val="00871F94"/>
    <w:rsid w:val="00874A27"/>
    <w:rsid w:val="00875457"/>
    <w:rsid w:val="00875C7E"/>
    <w:rsid w:val="0088243B"/>
    <w:rsid w:val="0088614E"/>
    <w:rsid w:val="00897685"/>
    <w:rsid w:val="008A4CDD"/>
    <w:rsid w:val="008A5AE6"/>
    <w:rsid w:val="008A5DF9"/>
    <w:rsid w:val="008A7CD7"/>
    <w:rsid w:val="008B5858"/>
    <w:rsid w:val="008C76E9"/>
    <w:rsid w:val="008D518A"/>
    <w:rsid w:val="008E1E48"/>
    <w:rsid w:val="008E2AB7"/>
    <w:rsid w:val="008E32E6"/>
    <w:rsid w:val="008E379A"/>
    <w:rsid w:val="008E3AD8"/>
    <w:rsid w:val="008F4F01"/>
    <w:rsid w:val="008F60D3"/>
    <w:rsid w:val="0090689E"/>
    <w:rsid w:val="00910010"/>
    <w:rsid w:val="009113E5"/>
    <w:rsid w:val="00916019"/>
    <w:rsid w:val="00922A4E"/>
    <w:rsid w:val="0092307C"/>
    <w:rsid w:val="0092366D"/>
    <w:rsid w:val="0093587A"/>
    <w:rsid w:val="00945623"/>
    <w:rsid w:val="00945965"/>
    <w:rsid w:val="00945FF1"/>
    <w:rsid w:val="0094695F"/>
    <w:rsid w:val="00952873"/>
    <w:rsid w:val="009538AF"/>
    <w:rsid w:val="00957D54"/>
    <w:rsid w:val="00962B1E"/>
    <w:rsid w:val="009746B8"/>
    <w:rsid w:val="00977BE8"/>
    <w:rsid w:val="00980F92"/>
    <w:rsid w:val="00981B7E"/>
    <w:rsid w:val="00982918"/>
    <w:rsid w:val="0098683A"/>
    <w:rsid w:val="00996CCD"/>
    <w:rsid w:val="009A08D6"/>
    <w:rsid w:val="009A2043"/>
    <w:rsid w:val="009A2195"/>
    <w:rsid w:val="009A7BAE"/>
    <w:rsid w:val="009B75AA"/>
    <w:rsid w:val="009C3D98"/>
    <w:rsid w:val="009D3C80"/>
    <w:rsid w:val="009D6B8B"/>
    <w:rsid w:val="009D72FD"/>
    <w:rsid w:val="009E0F3F"/>
    <w:rsid w:val="009E29B4"/>
    <w:rsid w:val="009E4373"/>
    <w:rsid w:val="009E7176"/>
    <w:rsid w:val="00A03BB1"/>
    <w:rsid w:val="00A12918"/>
    <w:rsid w:val="00A1473B"/>
    <w:rsid w:val="00A16680"/>
    <w:rsid w:val="00A227BE"/>
    <w:rsid w:val="00A272E3"/>
    <w:rsid w:val="00A27CC9"/>
    <w:rsid w:val="00A340F6"/>
    <w:rsid w:val="00A37B75"/>
    <w:rsid w:val="00A46B14"/>
    <w:rsid w:val="00A472EB"/>
    <w:rsid w:val="00A7636F"/>
    <w:rsid w:val="00A856B1"/>
    <w:rsid w:val="00AC07D3"/>
    <w:rsid w:val="00AD62F4"/>
    <w:rsid w:val="00AF29F6"/>
    <w:rsid w:val="00AF4209"/>
    <w:rsid w:val="00AF48AA"/>
    <w:rsid w:val="00AF73CC"/>
    <w:rsid w:val="00B01485"/>
    <w:rsid w:val="00B052AB"/>
    <w:rsid w:val="00B130B9"/>
    <w:rsid w:val="00B309C5"/>
    <w:rsid w:val="00B32638"/>
    <w:rsid w:val="00B33D0A"/>
    <w:rsid w:val="00B36F75"/>
    <w:rsid w:val="00B41220"/>
    <w:rsid w:val="00B4539B"/>
    <w:rsid w:val="00B55030"/>
    <w:rsid w:val="00B55692"/>
    <w:rsid w:val="00B57ECC"/>
    <w:rsid w:val="00B67C1E"/>
    <w:rsid w:val="00B72F6E"/>
    <w:rsid w:val="00B73BBD"/>
    <w:rsid w:val="00B82A8E"/>
    <w:rsid w:val="00B86262"/>
    <w:rsid w:val="00B923FA"/>
    <w:rsid w:val="00BA1B5C"/>
    <w:rsid w:val="00BB391F"/>
    <w:rsid w:val="00BB3D31"/>
    <w:rsid w:val="00BB4812"/>
    <w:rsid w:val="00BB5519"/>
    <w:rsid w:val="00BB72B5"/>
    <w:rsid w:val="00BC1333"/>
    <w:rsid w:val="00BC4411"/>
    <w:rsid w:val="00BD2127"/>
    <w:rsid w:val="00BD2E1D"/>
    <w:rsid w:val="00BD78EE"/>
    <w:rsid w:val="00BE2FD4"/>
    <w:rsid w:val="00BE3603"/>
    <w:rsid w:val="00BE4304"/>
    <w:rsid w:val="00BF7560"/>
    <w:rsid w:val="00C0066E"/>
    <w:rsid w:val="00C0430E"/>
    <w:rsid w:val="00C05A6D"/>
    <w:rsid w:val="00C13841"/>
    <w:rsid w:val="00C153AE"/>
    <w:rsid w:val="00C159D2"/>
    <w:rsid w:val="00C206C7"/>
    <w:rsid w:val="00C208F7"/>
    <w:rsid w:val="00C31C2E"/>
    <w:rsid w:val="00C360E2"/>
    <w:rsid w:val="00C378D5"/>
    <w:rsid w:val="00C42C1B"/>
    <w:rsid w:val="00C46211"/>
    <w:rsid w:val="00C53B01"/>
    <w:rsid w:val="00C56910"/>
    <w:rsid w:val="00C5693D"/>
    <w:rsid w:val="00C57AFD"/>
    <w:rsid w:val="00C60D9C"/>
    <w:rsid w:val="00C631ED"/>
    <w:rsid w:val="00C748E6"/>
    <w:rsid w:val="00C92A12"/>
    <w:rsid w:val="00C93AF9"/>
    <w:rsid w:val="00C9440A"/>
    <w:rsid w:val="00CB4371"/>
    <w:rsid w:val="00CC2516"/>
    <w:rsid w:val="00CD2E66"/>
    <w:rsid w:val="00CD5FDD"/>
    <w:rsid w:val="00CE3FB6"/>
    <w:rsid w:val="00CE44CC"/>
    <w:rsid w:val="00CE6B01"/>
    <w:rsid w:val="00CE6E1E"/>
    <w:rsid w:val="00CF4C52"/>
    <w:rsid w:val="00CF5865"/>
    <w:rsid w:val="00CF5880"/>
    <w:rsid w:val="00CF6900"/>
    <w:rsid w:val="00D02706"/>
    <w:rsid w:val="00D04042"/>
    <w:rsid w:val="00D06065"/>
    <w:rsid w:val="00D14C66"/>
    <w:rsid w:val="00D17959"/>
    <w:rsid w:val="00D21A30"/>
    <w:rsid w:val="00D43850"/>
    <w:rsid w:val="00D4676B"/>
    <w:rsid w:val="00D50582"/>
    <w:rsid w:val="00D5577F"/>
    <w:rsid w:val="00D57E8F"/>
    <w:rsid w:val="00D57EDF"/>
    <w:rsid w:val="00D60013"/>
    <w:rsid w:val="00D63F5A"/>
    <w:rsid w:val="00D646C5"/>
    <w:rsid w:val="00D6662D"/>
    <w:rsid w:val="00D7126F"/>
    <w:rsid w:val="00D85D21"/>
    <w:rsid w:val="00D9264B"/>
    <w:rsid w:val="00D94457"/>
    <w:rsid w:val="00D972E1"/>
    <w:rsid w:val="00D97BFA"/>
    <w:rsid w:val="00DA1129"/>
    <w:rsid w:val="00DA3159"/>
    <w:rsid w:val="00DB2C2B"/>
    <w:rsid w:val="00DB47DD"/>
    <w:rsid w:val="00DC1626"/>
    <w:rsid w:val="00DC26ED"/>
    <w:rsid w:val="00DC73EC"/>
    <w:rsid w:val="00DC7DB8"/>
    <w:rsid w:val="00DD0040"/>
    <w:rsid w:val="00DD7E83"/>
    <w:rsid w:val="00DE723A"/>
    <w:rsid w:val="00E04472"/>
    <w:rsid w:val="00E12B62"/>
    <w:rsid w:val="00E13989"/>
    <w:rsid w:val="00E21F10"/>
    <w:rsid w:val="00E644EA"/>
    <w:rsid w:val="00E64DFB"/>
    <w:rsid w:val="00E65D64"/>
    <w:rsid w:val="00E8136E"/>
    <w:rsid w:val="00E86218"/>
    <w:rsid w:val="00E86527"/>
    <w:rsid w:val="00E91DDA"/>
    <w:rsid w:val="00EA23B3"/>
    <w:rsid w:val="00EA54FB"/>
    <w:rsid w:val="00EA5D9A"/>
    <w:rsid w:val="00EB20C6"/>
    <w:rsid w:val="00EB7D1A"/>
    <w:rsid w:val="00EC3D7C"/>
    <w:rsid w:val="00EC6D97"/>
    <w:rsid w:val="00EC7007"/>
    <w:rsid w:val="00EC7533"/>
    <w:rsid w:val="00ED68CC"/>
    <w:rsid w:val="00ED7494"/>
    <w:rsid w:val="00EE3961"/>
    <w:rsid w:val="00EE5066"/>
    <w:rsid w:val="00EE6066"/>
    <w:rsid w:val="00EF235F"/>
    <w:rsid w:val="00EF4646"/>
    <w:rsid w:val="00EF64EC"/>
    <w:rsid w:val="00EF7D76"/>
    <w:rsid w:val="00F02178"/>
    <w:rsid w:val="00F029B6"/>
    <w:rsid w:val="00F03833"/>
    <w:rsid w:val="00F03D58"/>
    <w:rsid w:val="00F045FA"/>
    <w:rsid w:val="00F04D59"/>
    <w:rsid w:val="00F14653"/>
    <w:rsid w:val="00F1762E"/>
    <w:rsid w:val="00F21C84"/>
    <w:rsid w:val="00F25E32"/>
    <w:rsid w:val="00F26186"/>
    <w:rsid w:val="00F353EC"/>
    <w:rsid w:val="00F35B81"/>
    <w:rsid w:val="00F41066"/>
    <w:rsid w:val="00F426FD"/>
    <w:rsid w:val="00F51C2F"/>
    <w:rsid w:val="00F5435D"/>
    <w:rsid w:val="00F72D6D"/>
    <w:rsid w:val="00F73539"/>
    <w:rsid w:val="00F774D5"/>
    <w:rsid w:val="00F81701"/>
    <w:rsid w:val="00F82E2F"/>
    <w:rsid w:val="00FA0130"/>
    <w:rsid w:val="00FB1D84"/>
    <w:rsid w:val="00FB25F5"/>
    <w:rsid w:val="00FB5BEB"/>
    <w:rsid w:val="00FB6E87"/>
    <w:rsid w:val="00FC128C"/>
    <w:rsid w:val="00FC1CA3"/>
    <w:rsid w:val="00FC3E4D"/>
    <w:rsid w:val="00FC59D9"/>
    <w:rsid w:val="00FC7E93"/>
    <w:rsid w:val="00FD09F0"/>
    <w:rsid w:val="00FD0B24"/>
    <w:rsid w:val="00FE7BB3"/>
    <w:rsid w:val="00FF41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BBC7"/>
  <w15:docId w15:val="{A7987C6C-F549-4D1A-AD1C-7DD21248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next w:val="BodyText"/>
    <w:autoRedefine/>
    <w:uiPriority w:val="1"/>
    <w:qFormat/>
    <w:rsid w:val="007447D6"/>
    <w:pPr>
      <w:keepNext/>
      <w:widowControl/>
      <w:numPr>
        <w:numId w:val="1"/>
      </w:numPr>
      <w:tabs>
        <w:tab w:val="left" w:pos="573"/>
        <w:tab w:val="left" w:pos="851"/>
        <w:tab w:val="left" w:pos="1272"/>
      </w:tabs>
      <w:spacing w:line="276" w:lineRule="auto"/>
      <w:ind w:left="431" w:hanging="431"/>
      <w:outlineLvl w:val="0"/>
    </w:pPr>
    <w:rPr>
      <w:rFonts w:ascii="Times New Roman" w:eastAsia="Times New Roman" w:hAnsi="Times New Roman"/>
      <w:b/>
      <w:bCs/>
      <w:w w:val="95"/>
      <w:sz w:val="32"/>
      <w:szCs w:val="32"/>
    </w:rPr>
  </w:style>
  <w:style w:type="paragraph" w:styleId="Heading2">
    <w:name w:val="heading 2"/>
    <w:basedOn w:val="Normal"/>
    <w:link w:val="Heading2Char"/>
    <w:autoRedefine/>
    <w:uiPriority w:val="1"/>
    <w:qFormat/>
    <w:rsid w:val="00910010"/>
    <w:pPr>
      <w:keepNext/>
      <w:widowControl/>
      <w:numPr>
        <w:ilvl w:val="1"/>
        <w:numId w:val="1"/>
      </w:numPr>
      <w:tabs>
        <w:tab w:val="left" w:pos="716"/>
      </w:tabs>
      <w:spacing w:before="240" w:after="200" w:line="276" w:lineRule="auto"/>
      <w:ind w:left="431" w:hanging="431"/>
      <w:outlineLvl w:val="1"/>
    </w:pPr>
    <w:rPr>
      <w:rFonts w:ascii="Times New Roman" w:eastAsia="Times New Roman" w:hAnsi="Times New Roman"/>
      <w:b/>
      <w:bCs/>
      <w:spacing w:val="-1"/>
      <w:sz w:val="24"/>
      <w:szCs w:val="24"/>
      <w:lang w:val="nl-BE"/>
    </w:rPr>
  </w:style>
  <w:style w:type="paragraph" w:styleId="Heading3">
    <w:name w:val="heading 3"/>
    <w:basedOn w:val="BodyText"/>
    <w:link w:val="Heading3Char"/>
    <w:autoRedefine/>
    <w:uiPriority w:val="1"/>
    <w:qFormat/>
    <w:rsid w:val="008F60D3"/>
    <w:pPr>
      <w:keepNext/>
      <w:spacing w:before="200" w:after="0"/>
      <w:outlineLvl w:val="2"/>
    </w:pPr>
    <w:rPr>
      <w:b/>
    </w:rPr>
  </w:style>
  <w:style w:type="paragraph" w:styleId="Heading4">
    <w:name w:val="heading 4"/>
    <w:basedOn w:val="Normal"/>
    <w:next w:val="Normal"/>
    <w:link w:val="Heading4Char"/>
    <w:uiPriority w:val="9"/>
    <w:unhideWhenUsed/>
    <w:qFormat/>
    <w:rsid w:val="009A7BAE"/>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662D"/>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6662D"/>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6662D"/>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6662D"/>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662D"/>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748E6"/>
    <w:pPr>
      <w:widowControl/>
      <w:spacing w:before="60" w:after="120" w:line="276" w:lineRule="auto"/>
    </w:pPr>
    <w:rPr>
      <w:rFonts w:ascii="Times New Roman" w:eastAsia="Times New Roman" w:hAnsi="Times New Roman"/>
      <w:spacing w:val="-1"/>
      <w:sz w:val="24"/>
      <w:szCs w:val="24"/>
    </w:rPr>
  </w:style>
  <w:style w:type="paragraph" w:styleId="ListParagraph">
    <w:name w:val="List Paragraph"/>
    <w:basedOn w:val="BodyText"/>
    <w:uiPriority w:val="34"/>
    <w:qFormat/>
    <w:rsid w:val="00B309C5"/>
    <w:pPr>
      <w:numPr>
        <w:numId w:val="23"/>
      </w:numPr>
      <w:spacing w:before="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0D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B0D62"/>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376441"/>
    <w:rPr>
      <w:sz w:val="18"/>
      <w:szCs w:val="18"/>
    </w:rPr>
  </w:style>
  <w:style w:type="paragraph" w:styleId="CommentText">
    <w:name w:val="annotation text"/>
    <w:basedOn w:val="Normal"/>
    <w:link w:val="CommentTextChar"/>
    <w:uiPriority w:val="99"/>
    <w:unhideWhenUsed/>
    <w:rsid w:val="00376441"/>
  </w:style>
  <w:style w:type="character" w:customStyle="1" w:styleId="CommentTextChar">
    <w:name w:val="Comment Text Char"/>
    <w:basedOn w:val="DefaultParagraphFont"/>
    <w:link w:val="CommentText"/>
    <w:uiPriority w:val="99"/>
    <w:rsid w:val="00376441"/>
  </w:style>
  <w:style w:type="paragraph" w:styleId="CommentSubject">
    <w:name w:val="annotation subject"/>
    <w:basedOn w:val="CommentText"/>
    <w:next w:val="CommentText"/>
    <w:link w:val="CommentSubjectChar"/>
    <w:uiPriority w:val="99"/>
    <w:semiHidden/>
    <w:unhideWhenUsed/>
    <w:rsid w:val="00376441"/>
    <w:rPr>
      <w:b/>
      <w:bCs/>
    </w:rPr>
  </w:style>
  <w:style w:type="character" w:customStyle="1" w:styleId="CommentSubjectChar">
    <w:name w:val="Comment Subject Char"/>
    <w:basedOn w:val="CommentTextChar"/>
    <w:link w:val="CommentSubject"/>
    <w:uiPriority w:val="99"/>
    <w:semiHidden/>
    <w:rsid w:val="00376441"/>
    <w:rPr>
      <w:b/>
      <w:bCs/>
    </w:rPr>
  </w:style>
  <w:style w:type="paragraph" w:styleId="Header">
    <w:name w:val="header"/>
    <w:basedOn w:val="Normal"/>
    <w:link w:val="HeaderChar"/>
    <w:uiPriority w:val="99"/>
    <w:unhideWhenUsed/>
    <w:rsid w:val="00440D62"/>
    <w:pPr>
      <w:tabs>
        <w:tab w:val="center" w:pos="4513"/>
        <w:tab w:val="right" w:pos="9026"/>
      </w:tabs>
      <w:snapToGrid w:val="0"/>
    </w:pPr>
  </w:style>
  <w:style w:type="character" w:customStyle="1" w:styleId="HeaderChar">
    <w:name w:val="Header Char"/>
    <w:basedOn w:val="DefaultParagraphFont"/>
    <w:link w:val="Header"/>
    <w:uiPriority w:val="99"/>
    <w:rsid w:val="00440D62"/>
  </w:style>
  <w:style w:type="paragraph" w:styleId="Footer">
    <w:name w:val="footer"/>
    <w:basedOn w:val="Normal"/>
    <w:link w:val="FooterChar"/>
    <w:unhideWhenUsed/>
    <w:qFormat/>
    <w:rsid w:val="00440D62"/>
    <w:pPr>
      <w:tabs>
        <w:tab w:val="center" w:pos="4513"/>
        <w:tab w:val="right" w:pos="9026"/>
      </w:tabs>
      <w:snapToGrid w:val="0"/>
    </w:pPr>
  </w:style>
  <w:style w:type="character" w:customStyle="1" w:styleId="FooterChar">
    <w:name w:val="Footer Char"/>
    <w:basedOn w:val="DefaultParagraphFont"/>
    <w:link w:val="Footer"/>
    <w:rsid w:val="00440D62"/>
  </w:style>
  <w:style w:type="paragraph" w:customStyle="1" w:styleId="heading3underline">
    <w:name w:val="heading 3 underline"/>
    <w:basedOn w:val="BodyText"/>
    <w:link w:val="heading3underlineChar"/>
    <w:autoRedefine/>
    <w:uiPriority w:val="1"/>
    <w:rsid w:val="00FB6E87"/>
    <w:rPr>
      <w:u w:val="single" w:color="000000"/>
    </w:rPr>
  </w:style>
  <w:style w:type="paragraph" w:customStyle="1" w:styleId="Style1">
    <w:name w:val="Style1"/>
    <w:basedOn w:val="Heading2"/>
    <w:link w:val="Style1Char"/>
    <w:uiPriority w:val="1"/>
    <w:rsid w:val="00130D95"/>
    <w:pPr>
      <w:tabs>
        <w:tab w:val="left" w:pos="1579"/>
      </w:tabs>
      <w:spacing w:before="171"/>
      <w:ind w:firstLine="0"/>
    </w:pPr>
  </w:style>
  <w:style w:type="character" w:customStyle="1" w:styleId="BodyTextChar">
    <w:name w:val="Body Text Char"/>
    <w:basedOn w:val="DefaultParagraphFont"/>
    <w:link w:val="BodyText"/>
    <w:uiPriority w:val="1"/>
    <w:rsid w:val="00C748E6"/>
    <w:rPr>
      <w:rFonts w:ascii="Times New Roman" w:eastAsia="Times New Roman" w:hAnsi="Times New Roman"/>
      <w:spacing w:val="-1"/>
      <w:sz w:val="24"/>
      <w:szCs w:val="24"/>
      <w:lang w:val="en-AU"/>
    </w:rPr>
  </w:style>
  <w:style w:type="character" w:customStyle="1" w:styleId="heading3underlineChar">
    <w:name w:val="heading 3 underline Char"/>
    <w:basedOn w:val="BodyTextChar"/>
    <w:link w:val="heading3underline"/>
    <w:uiPriority w:val="1"/>
    <w:rsid w:val="00FB6E87"/>
    <w:rPr>
      <w:rFonts w:ascii="Times New Roman" w:eastAsia="Times New Roman" w:hAnsi="Times New Roman"/>
      <w:spacing w:val="-2"/>
      <w:sz w:val="24"/>
      <w:szCs w:val="24"/>
      <w:u w:val="single" w:color="000000"/>
      <w:lang w:val="en-AU"/>
    </w:rPr>
  </w:style>
  <w:style w:type="paragraph" w:customStyle="1" w:styleId="tabless">
    <w:name w:val="tabless"/>
    <w:basedOn w:val="Style1"/>
    <w:link w:val="tablessChar"/>
    <w:uiPriority w:val="1"/>
    <w:qFormat/>
    <w:rsid w:val="00130D95"/>
  </w:style>
  <w:style w:type="paragraph" w:customStyle="1" w:styleId="Style2">
    <w:name w:val="Style2"/>
    <w:link w:val="Style2Char"/>
    <w:uiPriority w:val="1"/>
    <w:qFormat/>
    <w:rsid w:val="00130D95"/>
    <w:pPr>
      <w:tabs>
        <w:tab w:val="left" w:pos="1579"/>
      </w:tabs>
      <w:spacing w:before="196" w:line="278" w:lineRule="auto"/>
      <w:ind w:left="1580" w:right="1068" w:hanging="1440"/>
    </w:pPr>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910010"/>
    <w:rPr>
      <w:rFonts w:ascii="Times New Roman" w:eastAsia="Times New Roman" w:hAnsi="Times New Roman"/>
      <w:b/>
      <w:bCs/>
      <w:spacing w:val="-1"/>
      <w:sz w:val="24"/>
      <w:szCs w:val="24"/>
      <w:lang w:val="nl-BE"/>
    </w:rPr>
  </w:style>
  <w:style w:type="character" w:customStyle="1" w:styleId="Style1Char">
    <w:name w:val="Style1 Char"/>
    <w:basedOn w:val="Heading2Char"/>
    <w:link w:val="Style1"/>
    <w:uiPriority w:val="1"/>
    <w:rsid w:val="00130D95"/>
    <w:rPr>
      <w:rFonts w:ascii="Times New Roman" w:eastAsia="Times New Roman" w:hAnsi="Times New Roman"/>
      <w:b/>
      <w:bCs/>
      <w:spacing w:val="-1"/>
      <w:sz w:val="24"/>
      <w:szCs w:val="24"/>
      <w:lang w:val="nl-BE"/>
    </w:rPr>
  </w:style>
  <w:style w:type="character" w:customStyle="1" w:styleId="tablessChar">
    <w:name w:val="tabless Char"/>
    <w:basedOn w:val="Style1Char"/>
    <w:link w:val="tabless"/>
    <w:uiPriority w:val="1"/>
    <w:rsid w:val="00130D95"/>
    <w:rPr>
      <w:rFonts w:ascii="Times New Roman" w:eastAsia="Times New Roman" w:hAnsi="Times New Roman"/>
      <w:b/>
      <w:bCs/>
      <w:spacing w:val="-1"/>
      <w:sz w:val="24"/>
      <w:szCs w:val="24"/>
      <w:lang w:val="nl-BE"/>
    </w:rPr>
  </w:style>
  <w:style w:type="paragraph" w:customStyle="1" w:styleId="Style3">
    <w:name w:val="Style3"/>
    <w:link w:val="Style3Char"/>
    <w:uiPriority w:val="1"/>
    <w:qFormat/>
    <w:rsid w:val="00130D95"/>
    <w:pPr>
      <w:tabs>
        <w:tab w:val="left" w:pos="1579"/>
      </w:tabs>
      <w:spacing w:before="169" w:line="277" w:lineRule="auto"/>
      <w:ind w:left="1579" w:right="1004" w:hanging="1440"/>
    </w:pPr>
    <w:rPr>
      <w:rFonts w:ascii="Times New Roman" w:eastAsia="Times New Roman" w:hAnsi="Times New Roman"/>
      <w:b/>
      <w:bCs/>
      <w:sz w:val="24"/>
      <w:szCs w:val="24"/>
    </w:rPr>
  </w:style>
  <w:style w:type="character" w:customStyle="1" w:styleId="Style2Char">
    <w:name w:val="Style2 Char"/>
    <w:basedOn w:val="DefaultParagraphFont"/>
    <w:link w:val="Style2"/>
    <w:uiPriority w:val="1"/>
    <w:rsid w:val="00130D95"/>
    <w:rPr>
      <w:rFonts w:ascii="Times New Roman" w:eastAsia="Times New Roman" w:hAnsi="Times New Roman"/>
      <w:b/>
      <w:bCs/>
      <w:sz w:val="24"/>
      <w:szCs w:val="24"/>
    </w:rPr>
  </w:style>
  <w:style w:type="paragraph" w:customStyle="1" w:styleId="Style4">
    <w:name w:val="Style4"/>
    <w:link w:val="Style4Char"/>
    <w:uiPriority w:val="1"/>
    <w:qFormat/>
    <w:rsid w:val="00130D95"/>
    <w:pPr>
      <w:tabs>
        <w:tab w:val="left" w:pos="1579"/>
      </w:tabs>
      <w:spacing w:before="204" w:line="277" w:lineRule="auto"/>
      <w:ind w:left="1580" w:right="404" w:hanging="1440"/>
    </w:pPr>
    <w:rPr>
      <w:rFonts w:ascii="Times New Roman" w:eastAsia="Times New Roman" w:hAnsi="Times New Roman"/>
      <w:b/>
      <w:bCs/>
      <w:sz w:val="24"/>
      <w:szCs w:val="24"/>
    </w:rPr>
  </w:style>
  <w:style w:type="character" w:customStyle="1" w:styleId="Style3Char">
    <w:name w:val="Style3 Char"/>
    <w:basedOn w:val="DefaultParagraphFont"/>
    <w:link w:val="Style3"/>
    <w:uiPriority w:val="1"/>
    <w:rsid w:val="00130D95"/>
    <w:rPr>
      <w:rFonts w:ascii="Times New Roman" w:eastAsia="Times New Roman" w:hAnsi="Times New Roman"/>
      <w:b/>
      <w:bCs/>
      <w:sz w:val="24"/>
      <w:szCs w:val="24"/>
    </w:rPr>
  </w:style>
  <w:style w:type="paragraph" w:customStyle="1" w:styleId="Style5">
    <w:name w:val="Style5"/>
    <w:link w:val="Style5Char"/>
    <w:uiPriority w:val="1"/>
    <w:qFormat/>
    <w:rsid w:val="00130D95"/>
    <w:pPr>
      <w:tabs>
        <w:tab w:val="left" w:pos="1579"/>
      </w:tabs>
    </w:pPr>
    <w:rPr>
      <w:rFonts w:ascii="Times New Roman" w:eastAsia="Times New Roman" w:hAnsi="Times New Roman"/>
      <w:b/>
      <w:bCs/>
      <w:sz w:val="24"/>
      <w:szCs w:val="24"/>
    </w:rPr>
  </w:style>
  <w:style w:type="character" w:customStyle="1" w:styleId="Style4Char">
    <w:name w:val="Style4 Char"/>
    <w:basedOn w:val="DefaultParagraphFont"/>
    <w:link w:val="Style4"/>
    <w:uiPriority w:val="1"/>
    <w:rsid w:val="00130D95"/>
    <w:rPr>
      <w:rFonts w:ascii="Times New Roman" w:eastAsia="Times New Roman" w:hAnsi="Times New Roman"/>
      <w:b/>
      <w:bCs/>
      <w:sz w:val="24"/>
      <w:szCs w:val="24"/>
    </w:rPr>
  </w:style>
  <w:style w:type="paragraph" w:customStyle="1" w:styleId="table11">
    <w:name w:val="table 11"/>
    <w:next w:val="E-mailSignature"/>
    <w:link w:val="table11Char"/>
    <w:uiPriority w:val="1"/>
    <w:qFormat/>
    <w:rsid w:val="00130D95"/>
    <w:pPr>
      <w:spacing w:before="207"/>
      <w:ind w:left="139"/>
      <w:jc w:val="both"/>
    </w:pPr>
    <w:rPr>
      <w:rFonts w:ascii="Times New Roman" w:eastAsia="Times New Roman" w:hAnsi="Times New Roman"/>
      <w:b/>
      <w:bCs/>
      <w:sz w:val="24"/>
      <w:szCs w:val="24"/>
    </w:rPr>
  </w:style>
  <w:style w:type="character" w:customStyle="1" w:styleId="Style5Char">
    <w:name w:val="Style5 Char"/>
    <w:basedOn w:val="DefaultParagraphFont"/>
    <w:link w:val="Style5"/>
    <w:uiPriority w:val="1"/>
    <w:rsid w:val="00130D95"/>
    <w:rPr>
      <w:rFonts w:ascii="Times New Roman" w:eastAsia="Times New Roman" w:hAnsi="Times New Roman"/>
      <w:b/>
      <w:bCs/>
      <w:sz w:val="24"/>
      <w:szCs w:val="24"/>
    </w:rPr>
  </w:style>
  <w:style w:type="paragraph" w:styleId="E-mailSignature">
    <w:name w:val="E-mail Signature"/>
    <w:basedOn w:val="Normal"/>
    <w:link w:val="E-mailSignatureChar"/>
    <w:uiPriority w:val="99"/>
    <w:semiHidden/>
    <w:unhideWhenUsed/>
    <w:rsid w:val="00130D95"/>
  </w:style>
  <w:style w:type="character" w:customStyle="1" w:styleId="E-mailSignatureChar">
    <w:name w:val="E-mail Signature Char"/>
    <w:basedOn w:val="DefaultParagraphFont"/>
    <w:link w:val="E-mailSignature"/>
    <w:uiPriority w:val="99"/>
    <w:semiHidden/>
    <w:rsid w:val="00130D95"/>
  </w:style>
  <w:style w:type="character" w:customStyle="1" w:styleId="table11Char">
    <w:name w:val="table 11 Char"/>
    <w:basedOn w:val="DefaultParagraphFont"/>
    <w:link w:val="table11"/>
    <w:uiPriority w:val="1"/>
    <w:rsid w:val="00130D95"/>
    <w:rPr>
      <w:rFonts w:ascii="Times New Roman" w:eastAsia="Times New Roman" w:hAnsi="Times New Roman"/>
      <w:b/>
      <w:bCs/>
      <w:sz w:val="24"/>
      <w:szCs w:val="24"/>
    </w:rPr>
  </w:style>
  <w:style w:type="paragraph" w:customStyle="1" w:styleId="Subheading4">
    <w:name w:val="Subheading 4"/>
    <w:basedOn w:val="Normal"/>
    <w:next w:val="BodyText"/>
    <w:link w:val="Subheading4Char"/>
    <w:uiPriority w:val="1"/>
    <w:qFormat/>
    <w:rsid w:val="00B309C5"/>
    <w:pPr>
      <w:keepNext/>
      <w:widowControl/>
      <w:spacing w:before="120" w:line="276" w:lineRule="auto"/>
      <w:ind w:left="142"/>
    </w:pPr>
    <w:rPr>
      <w:rFonts w:ascii="Times New Roman"/>
      <w:i/>
      <w:spacing w:val="-1"/>
      <w:sz w:val="24"/>
      <w:u w:val="single" w:color="000000"/>
    </w:rPr>
  </w:style>
  <w:style w:type="character" w:customStyle="1" w:styleId="Heading4Char">
    <w:name w:val="Heading 4 Char"/>
    <w:basedOn w:val="DefaultParagraphFont"/>
    <w:link w:val="Heading4"/>
    <w:uiPriority w:val="9"/>
    <w:rsid w:val="009A7BAE"/>
    <w:rPr>
      <w:rFonts w:asciiTheme="majorHAnsi" w:eastAsiaTheme="majorEastAsia" w:hAnsiTheme="majorHAnsi" w:cstheme="majorBidi"/>
      <w:i/>
      <w:iCs/>
      <w:color w:val="365F91" w:themeColor="accent1" w:themeShade="BF"/>
    </w:rPr>
  </w:style>
  <w:style w:type="paragraph" w:customStyle="1" w:styleId="Title1">
    <w:name w:val="Title1"/>
    <w:basedOn w:val="Heading1"/>
    <w:uiPriority w:val="1"/>
    <w:qFormat/>
    <w:rsid w:val="00B309C5"/>
    <w:pPr>
      <w:spacing w:before="120" w:after="240"/>
      <w:ind w:left="142" w:hanging="567"/>
    </w:pPr>
  </w:style>
  <w:style w:type="paragraph" w:styleId="Title">
    <w:name w:val="Title"/>
    <w:basedOn w:val="Normal"/>
    <w:next w:val="Normal"/>
    <w:link w:val="TitleChar"/>
    <w:uiPriority w:val="10"/>
    <w:qFormat/>
    <w:rsid w:val="00D6662D"/>
    <w:pPr>
      <w:spacing w:before="120" w:after="200" w:line="276" w:lineRule="auto"/>
      <w:contextualSpacing/>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uiPriority w:val="10"/>
    <w:rsid w:val="00D6662D"/>
    <w:rPr>
      <w:rFonts w:ascii="Times New Roman" w:eastAsiaTheme="majorEastAsia" w:hAnsi="Times New Roman" w:cstheme="majorBidi"/>
      <w:spacing w:val="-10"/>
      <w:kern w:val="28"/>
      <w:sz w:val="32"/>
      <w:szCs w:val="56"/>
    </w:rPr>
  </w:style>
  <w:style w:type="character" w:customStyle="1" w:styleId="Heading5Char">
    <w:name w:val="Heading 5 Char"/>
    <w:basedOn w:val="DefaultParagraphFont"/>
    <w:link w:val="Heading5"/>
    <w:uiPriority w:val="9"/>
    <w:semiHidden/>
    <w:rsid w:val="00D6662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6662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6662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666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662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0066E"/>
    <w:pPr>
      <w:widowControl/>
    </w:pPr>
  </w:style>
  <w:style w:type="character" w:customStyle="1" w:styleId="Heading3Char">
    <w:name w:val="Heading 3 Char"/>
    <w:basedOn w:val="BodyTextChar"/>
    <w:link w:val="Heading3"/>
    <w:uiPriority w:val="1"/>
    <w:rsid w:val="008F60D3"/>
    <w:rPr>
      <w:rFonts w:ascii="Times New Roman" w:eastAsia="Times New Roman" w:hAnsi="Times New Roman"/>
      <w:b/>
      <w:spacing w:val="-1"/>
      <w:sz w:val="24"/>
      <w:szCs w:val="24"/>
      <w:lang w:val="en-AU"/>
    </w:rPr>
  </w:style>
  <w:style w:type="paragraph" w:customStyle="1" w:styleId="subheading4BOLD">
    <w:name w:val="sub heading 4 BOLD"/>
    <w:basedOn w:val="Subheading4"/>
    <w:link w:val="subheading4BOLDChar"/>
    <w:uiPriority w:val="1"/>
    <w:qFormat/>
    <w:rsid w:val="00241DF6"/>
    <w:rPr>
      <w:b/>
      <w:u w:val="none"/>
    </w:rPr>
  </w:style>
  <w:style w:type="character" w:customStyle="1" w:styleId="subheading4BOLDChar">
    <w:name w:val="sub heading 4 BOLD Char"/>
    <w:basedOn w:val="DefaultParagraphFont"/>
    <w:link w:val="subheading4BOLD"/>
    <w:uiPriority w:val="1"/>
    <w:rsid w:val="00241DF6"/>
    <w:rPr>
      <w:rFonts w:ascii="Times New Roman"/>
      <w:b/>
      <w:i/>
      <w:spacing w:val="-1"/>
      <w:sz w:val="24"/>
      <w:u w:color="000000"/>
      <w:lang w:val="en-AU"/>
    </w:rPr>
  </w:style>
  <w:style w:type="character" w:customStyle="1" w:styleId="Subheading4Char">
    <w:name w:val="Subheading 4 Char"/>
    <w:basedOn w:val="DefaultParagraphFont"/>
    <w:link w:val="Subheading4"/>
    <w:uiPriority w:val="1"/>
    <w:rsid w:val="00B309C5"/>
    <w:rPr>
      <w:rFonts w:ascii="Times New Roman"/>
      <w:i/>
      <w:spacing w:val="-1"/>
      <w:sz w:val="24"/>
      <w:u w:val="single" w:color="000000"/>
    </w:rPr>
  </w:style>
  <w:style w:type="paragraph" w:customStyle="1" w:styleId="tablelegends">
    <w:name w:val="table legends"/>
    <w:basedOn w:val="BodyText"/>
    <w:next w:val="BodyText"/>
    <w:link w:val="tablelegendsChar"/>
    <w:uiPriority w:val="1"/>
    <w:qFormat/>
    <w:rsid w:val="003C5E71"/>
    <w:pPr>
      <w:keepNext/>
      <w:spacing w:line="240" w:lineRule="auto"/>
      <w:contextualSpacing/>
    </w:pPr>
    <w:rPr>
      <w:spacing w:val="-2"/>
      <w:sz w:val="18"/>
    </w:rPr>
  </w:style>
  <w:style w:type="character" w:customStyle="1" w:styleId="tablelegendsChar">
    <w:name w:val="table legends Char"/>
    <w:basedOn w:val="BodyTextChar"/>
    <w:link w:val="tablelegends"/>
    <w:uiPriority w:val="1"/>
    <w:rsid w:val="003C5E71"/>
    <w:rPr>
      <w:rFonts w:ascii="Times New Roman" w:eastAsia="Times New Roman" w:hAnsi="Times New Roman"/>
      <w:spacing w:val="-2"/>
      <w:sz w:val="18"/>
      <w:szCs w:val="24"/>
      <w:lang w:val="en-AU"/>
    </w:rPr>
  </w:style>
  <w:style w:type="paragraph" w:styleId="Caption">
    <w:name w:val="caption"/>
    <w:basedOn w:val="BodyText"/>
    <w:next w:val="BodyText"/>
    <w:uiPriority w:val="35"/>
    <w:unhideWhenUsed/>
    <w:qFormat/>
    <w:rsid w:val="00945FF1"/>
    <w:pPr>
      <w:keepNext/>
    </w:pPr>
    <w:rPr>
      <w:b/>
      <w:iCs/>
      <w:color w:val="000000" w:themeColor="text1"/>
      <w:szCs w:val="18"/>
    </w:rPr>
  </w:style>
  <w:style w:type="table" w:styleId="TableGrid">
    <w:name w:val="Table Grid"/>
    <w:basedOn w:val="TableNormal"/>
    <w:uiPriority w:val="59"/>
    <w:rsid w:val="0013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18"/>
    <w:rPr>
      <w:color w:val="0000FF" w:themeColor="hyperlink"/>
      <w:u w:val="single"/>
    </w:rPr>
  </w:style>
  <w:style w:type="character" w:styleId="UnresolvedMention">
    <w:name w:val="Unresolved Mention"/>
    <w:basedOn w:val="DefaultParagraphFont"/>
    <w:uiPriority w:val="99"/>
    <w:semiHidden/>
    <w:unhideWhenUsed/>
    <w:rsid w:val="00A12918"/>
    <w:rPr>
      <w:color w:val="605E5C"/>
      <w:shd w:val="clear" w:color="auto" w:fill="E1DFDD"/>
    </w:rPr>
  </w:style>
  <w:style w:type="character" w:styleId="PlaceholderText">
    <w:name w:val="Placeholder Text"/>
    <w:basedOn w:val="DefaultParagraphFont"/>
    <w:uiPriority w:val="99"/>
    <w:semiHidden/>
    <w:rsid w:val="00F04D59"/>
    <w:rPr>
      <w:color w:val="808080"/>
    </w:rPr>
  </w:style>
  <w:style w:type="character" w:customStyle="1" w:styleId="markedcontent">
    <w:name w:val="markedcontent"/>
    <w:basedOn w:val="DefaultParagraphFont"/>
    <w:rsid w:val="00543D49"/>
  </w:style>
  <w:style w:type="character" w:customStyle="1" w:styleId="C-BodyTextCar">
    <w:name w:val="C-Body Text Car"/>
    <w:basedOn w:val="DefaultParagraphFont"/>
    <w:link w:val="C-BodyText"/>
    <w:locked/>
    <w:rsid w:val="00470F45"/>
    <w:rPr>
      <w:rFonts w:ascii="Times New Roman" w:eastAsia="Times New Roman" w:hAnsi="Times New Roman" w:cs="Times New Roman"/>
      <w:sz w:val="24"/>
      <w:szCs w:val="20"/>
    </w:rPr>
  </w:style>
  <w:style w:type="paragraph" w:customStyle="1" w:styleId="C-BodyText">
    <w:name w:val="C-Body Text"/>
    <w:link w:val="C-BodyTextCar"/>
    <w:rsid w:val="00470F45"/>
    <w:pPr>
      <w:widowControl/>
      <w:spacing w:before="120" w:after="120" w:line="280" w:lineRule="atLeast"/>
      <w:ind w:firstLine="360"/>
      <w:jc w:val="both"/>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2D2653"/>
    <w:rPr>
      <w:sz w:val="20"/>
      <w:szCs w:val="20"/>
    </w:rPr>
  </w:style>
  <w:style w:type="character" w:customStyle="1" w:styleId="FootnoteTextChar">
    <w:name w:val="Footnote Text Char"/>
    <w:basedOn w:val="DefaultParagraphFont"/>
    <w:link w:val="FootnoteText"/>
    <w:semiHidden/>
    <w:rsid w:val="002D2653"/>
    <w:rPr>
      <w:sz w:val="20"/>
      <w:szCs w:val="20"/>
      <w:lang w:val="en-AU"/>
    </w:rPr>
  </w:style>
  <w:style w:type="character" w:styleId="FootnoteReference">
    <w:name w:val="footnote reference"/>
    <w:semiHidden/>
    <w:unhideWhenUsed/>
    <w:rsid w:val="002D26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673">
      <w:bodyDiv w:val="1"/>
      <w:marLeft w:val="0"/>
      <w:marRight w:val="0"/>
      <w:marTop w:val="0"/>
      <w:marBottom w:val="0"/>
      <w:divBdr>
        <w:top w:val="none" w:sz="0" w:space="0" w:color="auto"/>
        <w:left w:val="none" w:sz="0" w:space="0" w:color="auto"/>
        <w:bottom w:val="none" w:sz="0" w:space="0" w:color="auto"/>
        <w:right w:val="none" w:sz="0" w:space="0" w:color="auto"/>
      </w:divBdr>
    </w:div>
    <w:div w:id="177889019">
      <w:bodyDiv w:val="1"/>
      <w:marLeft w:val="0"/>
      <w:marRight w:val="0"/>
      <w:marTop w:val="0"/>
      <w:marBottom w:val="0"/>
      <w:divBdr>
        <w:top w:val="none" w:sz="0" w:space="0" w:color="auto"/>
        <w:left w:val="none" w:sz="0" w:space="0" w:color="auto"/>
        <w:bottom w:val="none" w:sz="0" w:space="0" w:color="auto"/>
        <w:right w:val="none" w:sz="0" w:space="0" w:color="auto"/>
      </w:divBdr>
    </w:div>
    <w:div w:id="217712221">
      <w:bodyDiv w:val="1"/>
      <w:marLeft w:val="0"/>
      <w:marRight w:val="0"/>
      <w:marTop w:val="0"/>
      <w:marBottom w:val="0"/>
      <w:divBdr>
        <w:top w:val="none" w:sz="0" w:space="0" w:color="auto"/>
        <w:left w:val="none" w:sz="0" w:space="0" w:color="auto"/>
        <w:bottom w:val="none" w:sz="0" w:space="0" w:color="auto"/>
        <w:right w:val="none" w:sz="0" w:space="0" w:color="auto"/>
      </w:divBdr>
    </w:div>
    <w:div w:id="233440018">
      <w:bodyDiv w:val="1"/>
      <w:marLeft w:val="0"/>
      <w:marRight w:val="0"/>
      <w:marTop w:val="0"/>
      <w:marBottom w:val="0"/>
      <w:divBdr>
        <w:top w:val="none" w:sz="0" w:space="0" w:color="auto"/>
        <w:left w:val="none" w:sz="0" w:space="0" w:color="auto"/>
        <w:bottom w:val="none" w:sz="0" w:space="0" w:color="auto"/>
        <w:right w:val="none" w:sz="0" w:space="0" w:color="auto"/>
      </w:divBdr>
    </w:div>
    <w:div w:id="303047827">
      <w:bodyDiv w:val="1"/>
      <w:marLeft w:val="0"/>
      <w:marRight w:val="0"/>
      <w:marTop w:val="0"/>
      <w:marBottom w:val="0"/>
      <w:divBdr>
        <w:top w:val="none" w:sz="0" w:space="0" w:color="auto"/>
        <w:left w:val="none" w:sz="0" w:space="0" w:color="auto"/>
        <w:bottom w:val="none" w:sz="0" w:space="0" w:color="auto"/>
        <w:right w:val="none" w:sz="0" w:space="0" w:color="auto"/>
      </w:divBdr>
    </w:div>
    <w:div w:id="494340187">
      <w:bodyDiv w:val="1"/>
      <w:marLeft w:val="0"/>
      <w:marRight w:val="0"/>
      <w:marTop w:val="0"/>
      <w:marBottom w:val="0"/>
      <w:divBdr>
        <w:top w:val="none" w:sz="0" w:space="0" w:color="auto"/>
        <w:left w:val="none" w:sz="0" w:space="0" w:color="auto"/>
        <w:bottom w:val="none" w:sz="0" w:space="0" w:color="auto"/>
        <w:right w:val="none" w:sz="0" w:space="0" w:color="auto"/>
      </w:divBdr>
    </w:div>
    <w:div w:id="569074257">
      <w:bodyDiv w:val="1"/>
      <w:marLeft w:val="0"/>
      <w:marRight w:val="0"/>
      <w:marTop w:val="0"/>
      <w:marBottom w:val="0"/>
      <w:divBdr>
        <w:top w:val="none" w:sz="0" w:space="0" w:color="auto"/>
        <w:left w:val="none" w:sz="0" w:space="0" w:color="auto"/>
        <w:bottom w:val="none" w:sz="0" w:space="0" w:color="auto"/>
        <w:right w:val="none" w:sz="0" w:space="0" w:color="auto"/>
      </w:divBdr>
    </w:div>
    <w:div w:id="576211188">
      <w:bodyDiv w:val="1"/>
      <w:marLeft w:val="0"/>
      <w:marRight w:val="0"/>
      <w:marTop w:val="0"/>
      <w:marBottom w:val="0"/>
      <w:divBdr>
        <w:top w:val="none" w:sz="0" w:space="0" w:color="auto"/>
        <w:left w:val="none" w:sz="0" w:space="0" w:color="auto"/>
        <w:bottom w:val="none" w:sz="0" w:space="0" w:color="auto"/>
        <w:right w:val="none" w:sz="0" w:space="0" w:color="auto"/>
      </w:divBdr>
    </w:div>
    <w:div w:id="578441147">
      <w:bodyDiv w:val="1"/>
      <w:marLeft w:val="0"/>
      <w:marRight w:val="0"/>
      <w:marTop w:val="0"/>
      <w:marBottom w:val="0"/>
      <w:divBdr>
        <w:top w:val="none" w:sz="0" w:space="0" w:color="auto"/>
        <w:left w:val="none" w:sz="0" w:space="0" w:color="auto"/>
        <w:bottom w:val="none" w:sz="0" w:space="0" w:color="auto"/>
        <w:right w:val="none" w:sz="0" w:space="0" w:color="auto"/>
      </w:divBdr>
    </w:div>
    <w:div w:id="642658128">
      <w:bodyDiv w:val="1"/>
      <w:marLeft w:val="0"/>
      <w:marRight w:val="0"/>
      <w:marTop w:val="0"/>
      <w:marBottom w:val="0"/>
      <w:divBdr>
        <w:top w:val="none" w:sz="0" w:space="0" w:color="auto"/>
        <w:left w:val="none" w:sz="0" w:space="0" w:color="auto"/>
        <w:bottom w:val="none" w:sz="0" w:space="0" w:color="auto"/>
        <w:right w:val="none" w:sz="0" w:space="0" w:color="auto"/>
      </w:divBdr>
    </w:div>
    <w:div w:id="650523057">
      <w:bodyDiv w:val="1"/>
      <w:marLeft w:val="0"/>
      <w:marRight w:val="0"/>
      <w:marTop w:val="0"/>
      <w:marBottom w:val="0"/>
      <w:divBdr>
        <w:top w:val="none" w:sz="0" w:space="0" w:color="auto"/>
        <w:left w:val="none" w:sz="0" w:space="0" w:color="auto"/>
        <w:bottom w:val="none" w:sz="0" w:space="0" w:color="auto"/>
        <w:right w:val="none" w:sz="0" w:space="0" w:color="auto"/>
      </w:divBdr>
    </w:div>
    <w:div w:id="824011709">
      <w:bodyDiv w:val="1"/>
      <w:marLeft w:val="0"/>
      <w:marRight w:val="0"/>
      <w:marTop w:val="0"/>
      <w:marBottom w:val="0"/>
      <w:divBdr>
        <w:top w:val="none" w:sz="0" w:space="0" w:color="auto"/>
        <w:left w:val="none" w:sz="0" w:space="0" w:color="auto"/>
        <w:bottom w:val="none" w:sz="0" w:space="0" w:color="auto"/>
        <w:right w:val="none" w:sz="0" w:space="0" w:color="auto"/>
      </w:divBdr>
    </w:div>
    <w:div w:id="833497166">
      <w:bodyDiv w:val="1"/>
      <w:marLeft w:val="0"/>
      <w:marRight w:val="0"/>
      <w:marTop w:val="0"/>
      <w:marBottom w:val="0"/>
      <w:divBdr>
        <w:top w:val="none" w:sz="0" w:space="0" w:color="auto"/>
        <w:left w:val="none" w:sz="0" w:space="0" w:color="auto"/>
        <w:bottom w:val="none" w:sz="0" w:space="0" w:color="auto"/>
        <w:right w:val="none" w:sz="0" w:space="0" w:color="auto"/>
      </w:divBdr>
    </w:div>
    <w:div w:id="849223043">
      <w:bodyDiv w:val="1"/>
      <w:marLeft w:val="0"/>
      <w:marRight w:val="0"/>
      <w:marTop w:val="0"/>
      <w:marBottom w:val="0"/>
      <w:divBdr>
        <w:top w:val="none" w:sz="0" w:space="0" w:color="auto"/>
        <w:left w:val="none" w:sz="0" w:space="0" w:color="auto"/>
        <w:bottom w:val="none" w:sz="0" w:space="0" w:color="auto"/>
        <w:right w:val="none" w:sz="0" w:space="0" w:color="auto"/>
      </w:divBdr>
    </w:div>
    <w:div w:id="873077919">
      <w:bodyDiv w:val="1"/>
      <w:marLeft w:val="0"/>
      <w:marRight w:val="0"/>
      <w:marTop w:val="0"/>
      <w:marBottom w:val="0"/>
      <w:divBdr>
        <w:top w:val="none" w:sz="0" w:space="0" w:color="auto"/>
        <w:left w:val="none" w:sz="0" w:space="0" w:color="auto"/>
        <w:bottom w:val="none" w:sz="0" w:space="0" w:color="auto"/>
        <w:right w:val="none" w:sz="0" w:space="0" w:color="auto"/>
      </w:divBdr>
    </w:div>
    <w:div w:id="949899420">
      <w:bodyDiv w:val="1"/>
      <w:marLeft w:val="0"/>
      <w:marRight w:val="0"/>
      <w:marTop w:val="0"/>
      <w:marBottom w:val="0"/>
      <w:divBdr>
        <w:top w:val="none" w:sz="0" w:space="0" w:color="auto"/>
        <w:left w:val="none" w:sz="0" w:space="0" w:color="auto"/>
        <w:bottom w:val="none" w:sz="0" w:space="0" w:color="auto"/>
        <w:right w:val="none" w:sz="0" w:space="0" w:color="auto"/>
      </w:divBdr>
    </w:div>
    <w:div w:id="956375051">
      <w:bodyDiv w:val="1"/>
      <w:marLeft w:val="0"/>
      <w:marRight w:val="0"/>
      <w:marTop w:val="0"/>
      <w:marBottom w:val="0"/>
      <w:divBdr>
        <w:top w:val="none" w:sz="0" w:space="0" w:color="auto"/>
        <w:left w:val="none" w:sz="0" w:space="0" w:color="auto"/>
        <w:bottom w:val="none" w:sz="0" w:space="0" w:color="auto"/>
        <w:right w:val="none" w:sz="0" w:space="0" w:color="auto"/>
      </w:divBdr>
    </w:div>
    <w:div w:id="1054038573">
      <w:bodyDiv w:val="1"/>
      <w:marLeft w:val="0"/>
      <w:marRight w:val="0"/>
      <w:marTop w:val="0"/>
      <w:marBottom w:val="0"/>
      <w:divBdr>
        <w:top w:val="none" w:sz="0" w:space="0" w:color="auto"/>
        <w:left w:val="none" w:sz="0" w:space="0" w:color="auto"/>
        <w:bottom w:val="none" w:sz="0" w:space="0" w:color="auto"/>
        <w:right w:val="none" w:sz="0" w:space="0" w:color="auto"/>
      </w:divBdr>
    </w:div>
    <w:div w:id="1083532738">
      <w:bodyDiv w:val="1"/>
      <w:marLeft w:val="0"/>
      <w:marRight w:val="0"/>
      <w:marTop w:val="0"/>
      <w:marBottom w:val="0"/>
      <w:divBdr>
        <w:top w:val="none" w:sz="0" w:space="0" w:color="auto"/>
        <w:left w:val="none" w:sz="0" w:space="0" w:color="auto"/>
        <w:bottom w:val="none" w:sz="0" w:space="0" w:color="auto"/>
        <w:right w:val="none" w:sz="0" w:space="0" w:color="auto"/>
      </w:divBdr>
    </w:div>
    <w:div w:id="1136684266">
      <w:bodyDiv w:val="1"/>
      <w:marLeft w:val="0"/>
      <w:marRight w:val="0"/>
      <w:marTop w:val="0"/>
      <w:marBottom w:val="0"/>
      <w:divBdr>
        <w:top w:val="none" w:sz="0" w:space="0" w:color="auto"/>
        <w:left w:val="none" w:sz="0" w:space="0" w:color="auto"/>
        <w:bottom w:val="none" w:sz="0" w:space="0" w:color="auto"/>
        <w:right w:val="none" w:sz="0" w:space="0" w:color="auto"/>
      </w:divBdr>
    </w:div>
    <w:div w:id="1142309860">
      <w:bodyDiv w:val="1"/>
      <w:marLeft w:val="0"/>
      <w:marRight w:val="0"/>
      <w:marTop w:val="0"/>
      <w:marBottom w:val="0"/>
      <w:divBdr>
        <w:top w:val="none" w:sz="0" w:space="0" w:color="auto"/>
        <w:left w:val="none" w:sz="0" w:space="0" w:color="auto"/>
        <w:bottom w:val="none" w:sz="0" w:space="0" w:color="auto"/>
        <w:right w:val="none" w:sz="0" w:space="0" w:color="auto"/>
      </w:divBdr>
    </w:div>
    <w:div w:id="1225221669">
      <w:bodyDiv w:val="1"/>
      <w:marLeft w:val="0"/>
      <w:marRight w:val="0"/>
      <w:marTop w:val="0"/>
      <w:marBottom w:val="0"/>
      <w:divBdr>
        <w:top w:val="none" w:sz="0" w:space="0" w:color="auto"/>
        <w:left w:val="none" w:sz="0" w:space="0" w:color="auto"/>
        <w:bottom w:val="none" w:sz="0" w:space="0" w:color="auto"/>
        <w:right w:val="none" w:sz="0" w:space="0" w:color="auto"/>
      </w:divBdr>
    </w:div>
    <w:div w:id="1270312923">
      <w:bodyDiv w:val="1"/>
      <w:marLeft w:val="0"/>
      <w:marRight w:val="0"/>
      <w:marTop w:val="0"/>
      <w:marBottom w:val="0"/>
      <w:divBdr>
        <w:top w:val="none" w:sz="0" w:space="0" w:color="auto"/>
        <w:left w:val="none" w:sz="0" w:space="0" w:color="auto"/>
        <w:bottom w:val="none" w:sz="0" w:space="0" w:color="auto"/>
        <w:right w:val="none" w:sz="0" w:space="0" w:color="auto"/>
      </w:divBdr>
    </w:div>
    <w:div w:id="1333484819">
      <w:bodyDiv w:val="1"/>
      <w:marLeft w:val="0"/>
      <w:marRight w:val="0"/>
      <w:marTop w:val="0"/>
      <w:marBottom w:val="0"/>
      <w:divBdr>
        <w:top w:val="none" w:sz="0" w:space="0" w:color="auto"/>
        <w:left w:val="none" w:sz="0" w:space="0" w:color="auto"/>
        <w:bottom w:val="none" w:sz="0" w:space="0" w:color="auto"/>
        <w:right w:val="none" w:sz="0" w:space="0" w:color="auto"/>
      </w:divBdr>
    </w:div>
    <w:div w:id="1344822592">
      <w:bodyDiv w:val="1"/>
      <w:marLeft w:val="0"/>
      <w:marRight w:val="0"/>
      <w:marTop w:val="0"/>
      <w:marBottom w:val="0"/>
      <w:divBdr>
        <w:top w:val="none" w:sz="0" w:space="0" w:color="auto"/>
        <w:left w:val="none" w:sz="0" w:space="0" w:color="auto"/>
        <w:bottom w:val="none" w:sz="0" w:space="0" w:color="auto"/>
        <w:right w:val="none" w:sz="0" w:space="0" w:color="auto"/>
      </w:divBdr>
    </w:div>
    <w:div w:id="1412654737">
      <w:bodyDiv w:val="1"/>
      <w:marLeft w:val="0"/>
      <w:marRight w:val="0"/>
      <w:marTop w:val="0"/>
      <w:marBottom w:val="0"/>
      <w:divBdr>
        <w:top w:val="none" w:sz="0" w:space="0" w:color="auto"/>
        <w:left w:val="none" w:sz="0" w:space="0" w:color="auto"/>
        <w:bottom w:val="none" w:sz="0" w:space="0" w:color="auto"/>
        <w:right w:val="none" w:sz="0" w:space="0" w:color="auto"/>
      </w:divBdr>
    </w:div>
    <w:div w:id="1442922186">
      <w:bodyDiv w:val="1"/>
      <w:marLeft w:val="0"/>
      <w:marRight w:val="0"/>
      <w:marTop w:val="0"/>
      <w:marBottom w:val="0"/>
      <w:divBdr>
        <w:top w:val="none" w:sz="0" w:space="0" w:color="auto"/>
        <w:left w:val="none" w:sz="0" w:space="0" w:color="auto"/>
        <w:bottom w:val="none" w:sz="0" w:space="0" w:color="auto"/>
        <w:right w:val="none" w:sz="0" w:space="0" w:color="auto"/>
      </w:divBdr>
    </w:div>
    <w:div w:id="1452088673">
      <w:bodyDiv w:val="1"/>
      <w:marLeft w:val="0"/>
      <w:marRight w:val="0"/>
      <w:marTop w:val="0"/>
      <w:marBottom w:val="0"/>
      <w:divBdr>
        <w:top w:val="none" w:sz="0" w:space="0" w:color="auto"/>
        <w:left w:val="none" w:sz="0" w:space="0" w:color="auto"/>
        <w:bottom w:val="none" w:sz="0" w:space="0" w:color="auto"/>
        <w:right w:val="none" w:sz="0" w:space="0" w:color="auto"/>
      </w:divBdr>
    </w:div>
    <w:div w:id="1530920992">
      <w:bodyDiv w:val="1"/>
      <w:marLeft w:val="0"/>
      <w:marRight w:val="0"/>
      <w:marTop w:val="0"/>
      <w:marBottom w:val="0"/>
      <w:divBdr>
        <w:top w:val="none" w:sz="0" w:space="0" w:color="auto"/>
        <w:left w:val="none" w:sz="0" w:space="0" w:color="auto"/>
        <w:bottom w:val="none" w:sz="0" w:space="0" w:color="auto"/>
        <w:right w:val="none" w:sz="0" w:space="0" w:color="auto"/>
      </w:divBdr>
    </w:div>
    <w:div w:id="1618371516">
      <w:bodyDiv w:val="1"/>
      <w:marLeft w:val="0"/>
      <w:marRight w:val="0"/>
      <w:marTop w:val="0"/>
      <w:marBottom w:val="0"/>
      <w:divBdr>
        <w:top w:val="none" w:sz="0" w:space="0" w:color="auto"/>
        <w:left w:val="none" w:sz="0" w:space="0" w:color="auto"/>
        <w:bottom w:val="none" w:sz="0" w:space="0" w:color="auto"/>
        <w:right w:val="none" w:sz="0" w:space="0" w:color="auto"/>
      </w:divBdr>
    </w:div>
    <w:div w:id="1780711097">
      <w:bodyDiv w:val="1"/>
      <w:marLeft w:val="0"/>
      <w:marRight w:val="0"/>
      <w:marTop w:val="0"/>
      <w:marBottom w:val="0"/>
      <w:divBdr>
        <w:top w:val="none" w:sz="0" w:space="0" w:color="auto"/>
        <w:left w:val="none" w:sz="0" w:space="0" w:color="auto"/>
        <w:bottom w:val="none" w:sz="0" w:space="0" w:color="auto"/>
        <w:right w:val="none" w:sz="0" w:space="0" w:color="auto"/>
      </w:divBdr>
    </w:div>
    <w:div w:id="1807889908">
      <w:bodyDiv w:val="1"/>
      <w:marLeft w:val="0"/>
      <w:marRight w:val="0"/>
      <w:marTop w:val="0"/>
      <w:marBottom w:val="0"/>
      <w:divBdr>
        <w:top w:val="none" w:sz="0" w:space="0" w:color="auto"/>
        <w:left w:val="none" w:sz="0" w:space="0" w:color="auto"/>
        <w:bottom w:val="none" w:sz="0" w:space="0" w:color="auto"/>
        <w:right w:val="none" w:sz="0" w:space="0" w:color="auto"/>
      </w:divBdr>
    </w:div>
    <w:div w:id="1840658431">
      <w:bodyDiv w:val="1"/>
      <w:marLeft w:val="0"/>
      <w:marRight w:val="0"/>
      <w:marTop w:val="0"/>
      <w:marBottom w:val="0"/>
      <w:divBdr>
        <w:top w:val="none" w:sz="0" w:space="0" w:color="auto"/>
        <w:left w:val="none" w:sz="0" w:space="0" w:color="auto"/>
        <w:bottom w:val="none" w:sz="0" w:space="0" w:color="auto"/>
        <w:right w:val="none" w:sz="0" w:space="0" w:color="auto"/>
      </w:divBdr>
    </w:div>
    <w:div w:id="1900705362">
      <w:bodyDiv w:val="1"/>
      <w:marLeft w:val="0"/>
      <w:marRight w:val="0"/>
      <w:marTop w:val="0"/>
      <w:marBottom w:val="0"/>
      <w:divBdr>
        <w:top w:val="none" w:sz="0" w:space="0" w:color="auto"/>
        <w:left w:val="none" w:sz="0" w:space="0" w:color="auto"/>
        <w:bottom w:val="none" w:sz="0" w:space="0" w:color="auto"/>
        <w:right w:val="none" w:sz="0" w:space="0" w:color="auto"/>
      </w:divBdr>
    </w:div>
    <w:div w:id="1960525630">
      <w:bodyDiv w:val="1"/>
      <w:marLeft w:val="0"/>
      <w:marRight w:val="0"/>
      <w:marTop w:val="0"/>
      <w:marBottom w:val="0"/>
      <w:divBdr>
        <w:top w:val="none" w:sz="0" w:space="0" w:color="auto"/>
        <w:left w:val="none" w:sz="0" w:space="0" w:color="auto"/>
        <w:bottom w:val="none" w:sz="0" w:space="0" w:color="auto"/>
        <w:right w:val="none" w:sz="0" w:space="0" w:color="auto"/>
      </w:divBdr>
    </w:div>
    <w:div w:id="2006783671">
      <w:bodyDiv w:val="1"/>
      <w:marLeft w:val="0"/>
      <w:marRight w:val="0"/>
      <w:marTop w:val="0"/>
      <w:marBottom w:val="0"/>
      <w:divBdr>
        <w:top w:val="none" w:sz="0" w:space="0" w:color="auto"/>
        <w:left w:val="none" w:sz="0" w:space="0" w:color="auto"/>
        <w:bottom w:val="none" w:sz="0" w:space="0" w:color="auto"/>
        <w:right w:val="none" w:sz="0" w:space="0" w:color="auto"/>
      </w:divBdr>
    </w:div>
    <w:div w:id="2047021192">
      <w:bodyDiv w:val="1"/>
      <w:marLeft w:val="0"/>
      <w:marRight w:val="0"/>
      <w:marTop w:val="0"/>
      <w:marBottom w:val="0"/>
      <w:divBdr>
        <w:top w:val="none" w:sz="0" w:space="0" w:color="auto"/>
        <w:left w:val="none" w:sz="0" w:space="0" w:color="auto"/>
        <w:bottom w:val="none" w:sz="0" w:space="0" w:color="auto"/>
        <w:right w:val="none" w:sz="0" w:space="0" w:color="auto"/>
      </w:divBdr>
    </w:div>
    <w:div w:id="211112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gov.au/reporting-probl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80BDE7FDAAB469145D6D0FB01F642" ma:contentTypeVersion="14" ma:contentTypeDescription="Create a new document." ma:contentTypeScope="" ma:versionID="05a5ea5c5559f4f39dc7bb073e267cb0">
  <xsd:schema xmlns:xsd="http://www.w3.org/2001/XMLSchema" xmlns:xs="http://www.w3.org/2001/XMLSchema" xmlns:p="http://schemas.microsoft.com/office/2006/metadata/properties" xmlns:ns2="f567eb71-20d0-4bf9-8493-e027599983cf" xmlns:ns3="245b8ee5-a89d-43b9-9f90-5f1aaa0608d1" targetNamespace="http://schemas.microsoft.com/office/2006/metadata/properties" ma:root="true" ma:fieldsID="d3aea741c5f0029787db8da2f2d31849" ns2:_="" ns3:_="">
    <xsd:import namespace="f567eb71-20d0-4bf9-8493-e027599983cf"/>
    <xsd:import namespace="245b8ee5-a89d-43b9-9f90-5f1aaa060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7eb71-20d0-4bf9-8493-e0275999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c4cf32-9602-4a2c-84fa-c8d00a543ae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b8ee5-a89d-43b9-9f90-5f1aaa0608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7b785d-422a-4a39-a656-688b4c6e80ee}" ma:internalName="TaxCatchAll" ma:showField="CatchAllData" ma:web="245b8ee5-a89d-43b9-9f90-5f1aaa0608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67eb71-20d0-4bf9-8493-e027599983cf">
      <Terms xmlns="http://schemas.microsoft.com/office/infopath/2007/PartnerControls"/>
    </lcf76f155ced4ddcb4097134ff3c332f>
    <TaxCatchAll xmlns="245b8ee5-a89d-43b9-9f90-5f1aaa0608d1" xsi:nil="true"/>
  </documentManagement>
</p:properties>
</file>

<file path=customXml/itemProps1.xml><?xml version="1.0" encoding="utf-8"?>
<ds:datastoreItem xmlns:ds="http://schemas.openxmlformats.org/officeDocument/2006/customXml" ds:itemID="{12D082B8-BF6E-4650-A998-53CA6CFEB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7eb71-20d0-4bf9-8493-e027599983cf"/>
    <ds:schemaRef ds:uri="245b8ee5-a89d-43b9-9f90-5f1aaa060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FA186-C4BC-49B0-AEFC-1DA3E3550048}">
  <ds:schemaRefs>
    <ds:schemaRef ds:uri="http://schemas.microsoft.com/sharepoint/v3/contenttype/forms"/>
  </ds:schemaRefs>
</ds:datastoreItem>
</file>

<file path=customXml/itemProps3.xml><?xml version="1.0" encoding="utf-8"?>
<ds:datastoreItem xmlns:ds="http://schemas.openxmlformats.org/officeDocument/2006/customXml" ds:itemID="{898CCE36-C899-4C8F-B0C9-2573DFAF5286}">
  <ds:schemaRefs>
    <ds:schemaRef ds:uri="http://schemas.openxmlformats.org/officeDocument/2006/bibliography"/>
  </ds:schemaRefs>
</ds:datastoreItem>
</file>

<file path=customXml/itemProps4.xml><?xml version="1.0" encoding="utf-8"?>
<ds:datastoreItem xmlns:ds="http://schemas.openxmlformats.org/officeDocument/2006/customXml" ds:itemID="{916452C9-4BF3-4277-AC12-44364740C2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67eb71-20d0-4bf9-8493-e027599983cf"/>
    <ds:schemaRef ds:uri="245b8ee5-a89d-43b9-9f90-5f1aaa0608d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5084</Words>
  <Characters>28727</Characters>
  <Application>Microsoft Office Word</Application>
  <DocSecurity>0</DocSecurity>
  <Lines>683</Lines>
  <Paragraphs>469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AusPAR Attachment 1: Product Information for Intrarosa</vt:lpstr>
      <vt:lpstr/>
    </vt:vector>
  </TitlesOfParts>
  <Company>Theramex Australia Pty Ltd </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Intrarosa</dc:title>
  <dc:subject>Prescription medicines</dc:subject>
  <dc:creator>Theramex Australia Pty Ltd </dc:creator>
  <cp:revision>14</cp:revision>
  <cp:lastPrinted>2023-08-16T06:03:00Z</cp:lastPrinted>
  <dcterms:created xsi:type="dcterms:W3CDTF">2023-11-05T22:18:00Z</dcterms:created>
  <dcterms:modified xsi:type="dcterms:W3CDTF">2023-11-05T22:29:00Z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LastSaved">
    <vt:filetime>2020-03-16T00:00:00Z</vt:filetime>
  </property>
  <property fmtid="{D5CDD505-2E9C-101B-9397-08002B2CF9AE}" pid="4" name="ContentTypeId">
    <vt:lpwstr>0x010100E1332C3C0FA3E74FAB42DF6E1888CD7B</vt:lpwstr>
  </property>
  <property fmtid="{D5CDD505-2E9C-101B-9397-08002B2CF9AE}" pid="5" name="Order">
    <vt:r8>24493200</vt:r8>
  </property>
  <property fmtid="{D5CDD505-2E9C-101B-9397-08002B2CF9AE}" pid="6" name="_dlc_DocIdItemGuid">
    <vt:lpwstr>aa40c653-1b8d-49d5-a4d1-e1e206ba007b</vt:lpwstr>
  </property>
  <property fmtid="{D5CDD505-2E9C-101B-9397-08002B2CF9AE}" pid="7" name="MediaServiceImageTags">
    <vt:lpwstr/>
  </property>
</Properties>
</file>