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FAC49C" w14:textId="77777777" w:rsidTr="002B29B2">
        <w:tc>
          <w:tcPr>
            <w:tcW w:w="8720" w:type="dxa"/>
          </w:tcPr>
          <w:p w14:paraId="0B4AF103" w14:textId="77777777" w:rsidR="00F02AEC" w:rsidRDefault="00522B11" w:rsidP="002B29B2">
            <w:pPr>
              <w:pStyle w:val="Title"/>
            </w:pPr>
            <w:r>
              <w:t>Notice of interim decisions to amend (or not amend) the current Poisons Standard</w:t>
            </w:r>
          </w:p>
          <w:p w14:paraId="0BAC9C74" w14:textId="69B97859" w:rsidR="00BC583D" w:rsidRPr="00215D48" w:rsidRDefault="00BC583D" w:rsidP="002B29B2">
            <w:pPr>
              <w:pStyle w:val="Title"/>
            </w:pPr>
          </w:p>
        </w:tc>
      </w:tr>
      <w:tr w:rsidR="00F02AEC" w:rsidRPr="00215D48" w14:paraId="708AC3B4" w14:textId="77777777" w:rsidTr="002B29B2">
        <w:trPr>
          <w:trHeight w:val="1916"/>
        </w:trPr>
        <w:tc>
          <w:tcPr>
            <w:tcW w:w="8720" w:type="dxa"/>
          </w:tcPr>
          <w:p w14:paraId="6A5596E5" w14:textId="4FD2CB31" w:rsidR="00F02AEC" w:rsidRPr="00215D48" w:rsidRDefault="00774C5F" w:rsidP="002B29B2">
            <w:pPr>
              <w:pStyle w:val="Subtitle"/>
              <w:ind w:left="0"/>
            </w:pPr>
            <w:r>
              <w:t>5 O</w:t>
            </w:r>
            <w:r w:rsidR="00522EC3">
              <w:t xml:space="preserve">ctober </w:t>
            </w:r>
            <w:r w:rsidR="00522B11">
              <w:t>20</w:t>
            </w:r>
            <w:r w:rsidR="00BC583D">
              <w:t>23</w:t>
            </w:r>
          </w:p>
        </w:tc>
      </w:tr>
      <w:tr w:rsidR="00F02AEC" w:rsidRPr="00215D48" w14:paraId="30616D62" w14:textId="77777777" w:rsidTr="002B29B2">
        <w:tc>
          <w:tcPr>
            <w:tcW w:w="8720" w:type="dxa"/>
          </w:tcPr>
          <w:p w14:paraId="1682BB8A" w14:textId="6F7CEE70" w:rsidR="00F02AEC" w:rsidRPr="00215D48" w:rsidRDefault="00F02AEC" w:rsidP="00F54CA9">
            <w:pPr>
              <w:pStyle w:val="Date"/>
            </w:pPr>
          </w:p>
        </w:tc>
      </w:tr>
    </w:tbl>
    <w:p w14:paraId="24AE10AF"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C2D95F" w14:textId="77777777" w:rsidR="00F02AEC" w:rsidRPr="0090744F" w:rsidRDefault="00F02AEC" w:rsidP="00BA0DFC">
      <w:pPr>
        <w:pStyle w:val="LegalSubheading"/>
        <w:rPr>
          <w:rFonts w:asciiTheme="minorHAnsi" w:hAnsiTheme="minorHAnsi" w:cstheme="minorHAnsi"/>
          <w:color w:val="auto"/>
        </w:rPr>
      </w:pPr>
      <w:r w:rsidRPr="0090744F">
        <w:rPr>
          <w:rFonts w:asciiTheme="minorHAnsi" w:hAnsiTheme="minorHAnsi" w:cstheme="minorHAnsi"/>
          <w:color w:val="auto"/>
        </w:rPr>
        <w:lastRenderedPageBreak/>
        <w:t>Copyright</w:t>
      </w:r>
    </w:p>
    <w:p w14:paraId="0219FC83" w14:textId="73960ECA" w:rsidR="00930D58" w:rsidRPr="0090744F" w:rsidRDefault="00F02AEC" w:rsidP="00FA49C3">
      <w:pPr>
        <w:pStyle w:val="LegalCopy"/>
        <w:rPr>
          <w:rFonts w:asciiTheme="minorHAnsi" w:hAnsiTheme="minorHAnsi" w:cstheme="minorHAnsi"/>
          <w:color w:val="auto"/>
        </w:rPr>
      </w:pPr>
      <w:r w:rsidRPr="0090744F">
        <w:rPr>
          <w:rFonts w:asciiTheme="minorHAnsi" w:hAnsiTheme="minorHAnsi" w:cstheme="minorHAnsi"/>
          <w:color w:val="auto"/>
        </w:rPr>
        <w:t>© Commonwealth of Australia 202</w:t>
      </w:r>
      <w:r w:rsidR="00522B11" w:rsidRPr="0090744F">
        <w:rPr>
          <w:rFonts w:asciiTheme="minorHAnsi" w:hAnsiTheme="minorHAnsi" w:cstheme="minorHAnsi"/>
          <w:color w:val="auto"/>
        </w:rPr>
        <w:t>3</w:t>
      </w:r>
      <w:r w:rsidRPr="0090744F">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0744F">
        <w:rPr>
          <w:rFonts w:asciiTheme="minorHAnsi" w:hAnsiTheme="minorHAnsi" w:cstheme="minorHAnsi"/>
          <w:i/>
          <w:color w:val="auto"/>
        </w:rPr>
        <w:t>Copyright Act 1968</w:t>
      </w:r>
      <w:r w:rsidRPr="0090744F">
        <w:rPr>
          <w:rFonts w:asciiTheme="minorHAnsi" w:hAnsiTheme="minorHAnsi" w:cstheme="minorHAnsi"/>
          <w:color w:val="auto"/>
        </w:rPr>
        <w:t xml:space="preserve"> or allowed by this copyright notice, all other rights are </w:t>
      </w:r>
      <w:proofErr w:type="gramStart"/>
      <w:r w:rsidRPr="0090744F">
        <w:rPr>
          <w:rFonts w:asciiTheme="minorHAnsi" w:hAnsiTheme="minorHAnsi" w:cstheme="minorHAnsi"/>
          <w:color w:val="auto"/>
        </w:rPr>
        <w:t>reserved</w:t>
      </w:r>
      <w:proofErr w:type="gramEnd"/>
      <w:r w:rsidRPr="0090744F">
        <w:rPr>
          <w:rFonts w:asciiTheme="minorHAnsi" w:hAnsiTheme="minorHAnsi" w:cstheme="minorHAnsi"/>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Pr="0090744F">
          <w:rPr>
            <w:rStyle w:val="Hyperlink"/>
            <w:rFonts w:asciiTheme="minorHAnsi" w:hAnsiTheme="minorHAnsi" w:cstheme="minorHAnsi"/>
            <w:color w:val="auto"/>
          </w:rPr>
          <w:t>tga.copyright@tga.gov.au</w:t>
        </w:r>
      </w:hyperlink>
      <w:r w:rsidRPr="0090744F">
        <w:rPr>
          <w:rFonts w:asciiTheme="minorHAnsi" w:hAnsiTheme="minorHAnsi" w:cstheme="minorHAnsi"/>
          <w:color w:val="auto"/>
        </w:rPr>
        <w:t>.</w:t>
      </w:r>
    </w:p>
    <w:p w14:paraId="39F8EFC1" w14:textId="0225CA68" w:rsidR="00175CD8" w:rsidRPr="0090744F" w:rsidRDefault="00175CD8" w:rsidP="00175CD8">
      <w:pPr>
        <w:rPr>
          <w:rFonts w:cstheme="minorHAnsi"/>
        </w:rPr>
      </w:pPr>
    </w:p>
    <w:p w14:paraId="73EF69EA" w14:textId="77777777" w:rsidR="0090744F" w:rsidRPr="0090744F" w:rsidRDefault="0090744F" w:rsidP="00472D41">
      <w:pPr>
        <w:spacing w:after="0"/>
        <w:rPr>
          <w:rFonts w:cstheme="minorHAnsi"/>
          <w:b/>
          <w:sz w:val="17"/>
          <w:szCs w:val="17"/>
        </w:rPr>
      </w:pPr>
      <w:r w:rsidRPr="0090744F">
        <w:rPr>
          <w:rFonts w:cstheme="minorHAnsi"/>
          <w:b/>
          <w:sz w:val="17"/>
          <w:szCs w:val="17"/>
        </w:rPr>
        <w:t>Confidentiality</w:t>
      </w:r>
    </w:p>
    <w:p w14:paraId="7ED2B179" w14:textId="6E04B651" w:rsidR="0090744F" w:rsidRPr="009311B1" w:rsidRDefault="0090744F" w:rsidP="00175CD8">
      <w:pPr>
        <w:rPr>
          <w:rFonts w:cstheme="minorHAnsi"/>
          <w:sz w:val="17"/>
          <w:szCs w:val="17"/>
        </w:rPr>
      </w:pPr>
      <w:r w:rsidRPr="0090744F">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1E128181" w14:textId="77777777" w:rsidR="00F02AEC" w:rsidRPr="00215D48" w:rsidRDefault="00F02AEC" w:rsidP="00035110">
          <w:pPr>
            <w:pStyle w:val="NonTOCheading2"/>
          </w:pPr>
          <w:r w:rsidRPr="00215D48">
            <w:t>Contents</w:t>
          </w:r>
        </w:p>
        <w:p w14:paraId="62A5AF2B" w14:textId="7FCD7EC2" w:rsidR="00522EC3" w:rsidRDefault="00F02AEC">
          <w:pPr>
            <w:pStyle w:val="TOC1"/>
            <w:rPr>
              <w:rFonts w:asciiTheme="minorHAnsi" w:eastAsiaTheme="minorEastAsia" w:hAnsiTheme="minorHAnsi" w:cstheme="minorBidi"/>
              <w:b w:val="0"/>
              <w:noProof/>
              <w:color w:val="auto"/>
              <w:sz w:val="22"/>
              <w:szCs w:val="22"/>
              <w:lang w:eastAsia="en-AU"/>
            </w:rPr>
          </w:pPr>
          <w:r w:rsidRPr="00D42530">
            <w:rPr>
              <w:color w:val="auto"/>
            </w:rPr>
            <w:fldChar w:fldCharType="begin"/>
          </w:r>
          <w:r w:rsidRPr="00D42530">
            <w:rPr>
              <w:color w:val="auto"/>
            </w:rPr>
            <w:instrText xml:space="preserve"> TOC \h \z \u \t "Heading 2,1,Heading 3,2,Heading 4,3" </w:instrText>
          </w:r>
          <w:r w:rsidRPr="00D42530">
            <w:rPr>
              <w:color w:val="auto"/>
            </w:rPr>
            <w:fldChar w:fldCharType="separate"/>
          </w:r>
          <w:hyperlink w:anchor="_Toc147325262" w:history="1">
            <w:r w:rsidR="00522EC3" w:rsidRPr="00EB736F">
              <w:rPr>
                <w:rStyle w:val="Hyperlink"/>
                <w:noProof/>
              </w:rPr>
              <w:t xml:space="preserve">Notice of interim decisions made under Regulation 42ZCZN of the </w:t>
            </w:r>
            <w:r w:rsidR="00522EC3" w:rsidRPr="00EB736F">
              <w:rPr>
                <w:rStyle w:val="Hyperlink"/>
                <w:i/>
                <w:iCs/>
                <w:noProof/>
              </w:rPr>
              <w:t>Therapeutic Goods Regulations 1990</w:t>
            </w:r>
            <w:r w:rsidR="00522EC3">
              <w:rPr>
                <w:noProof/>
                <w:webHidden/>
              </w:rPr>
              <w:tab/>
            </w:r>
            <w:r w:rsidR="00522EC3">
              <w:rPr>
                <w:noProof/>
                <w:webHidden/>
              </w:rPr>
              <w:fldChar w:fldCharType="begin"/>
            </w:r>
            <w:r w:rsidR="00522EC3">
              <w:rPr>
                <w:noProof/>
                <w:webHidden/>
              </w:rPr>
              <w:instrText xml:space="preserve"> PAGEREF _Toc147325262 \h </w:instrText>
            </w:r>
            <w:r w:rsidR="00522EC3">
              <w:rPr>
                <w:noProof/>
                <w:webHidden/>
              </w:rPr>
            </w:r>
            <w:r w:rsidR="00522EC3">
              <w:rPr>
                <w:noProof/>
                <w:webHidden/>
              </w:rPr>
              <w:fldChar w:fldCharType="separate"/>
            </w:r>
            <w:r w:rsidR="00522EC3">
              <w:rPr>
                <w:noProof/>
                <w:webHidden/>
              </w:rPr>
              <w:t>5</w:t>
            </w:r>
            <w:r w:rsidR="00522EC3">
              <w:rPr>
                <w:noProof/>
                <w:webHidden/>
              </w:rPr>
              <w:fldChar w:fldCharType="end"/>
            </w:r>
          </w:hyperlink>
        </w:p>
        <w:p w14:paraId="093E019B" w14:textId="08F6B5E7" w:rsidR="00522EC3" w:rsidRDefault="00A9115F">
          <w:pPr>
            <w:pStyle w:val="TOC3"/>
            <w:rPr>
              <w:rFonts w:asciiTheme="minorHAnsi" w:eastAsiaTheme="minorEastAsia" w:hAnsiTheme="minorHAnsi" w:cstheme="minorBidi"/>
              <w:b w:val="0"/>
              <w:noProof/>
              <w:color w:val="auto"/>
              <w:szCs w:val="22"/>
              <w:lang w:eastAsia="en-AU"/>
            </w:rPr>
          </w:pPr>
          <w:hyperlink w:anchor="_Toc147325263" w:history="1">
            <w:r w:rsidR="00522EC3" w:rsidRPr="00EB736F">
              <w:rPr>
                <w:rStyle w:val="Hyperlink"/>
                <w:noProof/>
              </w:rPr>
              <w:t>Defined terms</w:t>
            </w:r>
            <w:r w:rsidR="00522EC3">
              <w:rPr>
                <w:noProof/>
                <w:webHidden/>
              </w:rPr>
              <w:tab/>
            </w:r>
            <w:r w:rsidR="00522EC3">
              <w:rPr>
                <w:noProof/>
                <w:webHidden/>
              </w:rPr>
              <w:fldChar w:fldCharType="begin"/>
            </w:r>
            <w:r w:rsidR="00522EC3">
              <w:rPr>
                <w:noProof/>
                <w:webHidden/>
              </w:rPr>
              <w:instrText xml:space="preserve"> PAGEREF _Toc147325263 \h </w:instrText>
            </w:r>
            <w:r w:rsidR="00522EC3">
              <w:rPr>
                <w:noProof/>
                <w:webHidden/>
              </w:rPr>
            </w:r>
            <w:r w:rsidR="00522EC3">
              <w:rPr>
                <w:noProof/>
                <w:webHidden/>
              </w:rPr>
              <w:fldChar w:fldCharType="separate"/>
            </w:r>
            <w:r w:rsidR="00522EC3">
              <w:rPr>
                <w:noProof/>
                <w:webHidden/>
              </w:rPr>
              <w:t>5</w:t>
            </w:r>
            <w:r w:rsidR="00522EC3">
              <w:rPr>
                <w:noProof/>
                <w:webHidden/>
              </w:rPr>
              <w:fldChar w:fldCharType="end"/>
            </w:r>
          </w:hyperlink>
        </w:p>
        <w:p w14:paraId="2AD049E3" w14:textId="4A7E9F83" w:rsidR="00522EC3" w:rsidRDefault="00A9115F">
          <w:pPr>
            <w:pStyle w:val="TOC1"/>
            <w:rPr>
              <w:rFonts w:asciiTheme="minorHAnsi" w:eastAsiaTheme="minorEastAsia" w:hAnsiTheme="minorHAnsi" w:cstheme="minorBidi"/>
              <w:b w:val="0"/>
              <w:noProof/>
              <w:color w:val="auto"/>
              <w:sz w:val="22"/>
              <w:szCs w:val="22"/>
              <w:lang w:eastAsia="en-AU"/>
            </w:rPr>
          </w:pPr>
          <w:hyperlink w:anchor="_Toc147325264" w:history="1">
            <w:r w:rsidR="00522EC3" w:rsidRPr="00EB736F">
              <w:rPr>
                <w:rStyle w:val="Hyperlink"/>
                <w:noProof/>
              </w:rPr>
              <w:t>Interim decisions on proposed amendments referred to the Advisory Committee on Medicines Scheduling (ACMS #42, June 2023)</w:t>
            </w:r>
            <w:r w:rsidR="00522EC3">
              <w:rPr>
                <w:noProof/>
                <w:webHidden/>
              </w:rPr>
              <w:tab/>
            </w:r>
            <w:r w:rsidR="00522EC3">
              <w:rPr>
                <w:noProof/>
                <w:webHidden/>
              </w:rPr>
              <w:fldChar w:fldCharType="begin"/>
            </w:r>
            <w:r w:rsidR="00522EC3">
              <w:rPr>
                <w:noProof/>
                <w:webHidden/>
              </w:rPr>
              <w:instrText xml:space="preserve"> PAGEREF _Toc147325264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13AF543F" w14:textId="01718BFD" w:rsidR="00522EC3" w:rsidRDefault="00A9115F">
          <w:pPr>
            <w:pStyle w:val="TOC2"/>
            <w:rPr>
              <w:rFonts w:asciiTheme="minorHAnsi" w:eastAsiaTheme="minorEastAsia" w:hAnsiTheme="minorHAnsi" w:cstheme="minorBidi"/>
              <w:b w:val="0"/>
              <w:noProof/>
              <w:color w:val="auto"/>
              <w:sz w:val="22"/>
              <w:szCs w:val="22"/>
              <w:lang w:eastAsia="en-AU"/>
            </w:rPr>
          </w:pPr>
          <w:hyperlink w:anchor="_Toc147325265" w:history="1">
            <w:r w:rsidR="00522EC3" w:rsidRPr="00EB736F">
              <w:rPr>
                <w:rStyle w:val="Hyperlink"/>
                <w:noProof/>
              </w:rPr>
              <w:t>Interim decision in relation to bisacodyl</w:t>
            </w:r>
            <w:r w:rsidR="00522EC3">
              <w:rPr>
                <w:noProof/>
                <w:webHidden/>
              </w:rPr>
              <w:tab/>
            </w:r>
            <w:r w:rsidR="00522EC3">
              <w:rPr>
                <w:noProof/>
                <w:webHidden/>
              </w:rPr>
              <w:fldChar w:fldCharType="begin"/>
            </w:r>
            <w:r w:rsidR="00522EC3">
              <w:rPr>
                <w:noProof/>
                <w:webHidden/>
              </w:rPr>
              <w:instrText xml:space="preserve"> PAGEREF _Toc147325265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483FB301" w14:textId="2D52F35E" w:rsidR="00522EC3" w:rsidRDefault="00A9115F">
          <w:pPr>
            <w:pStyle w:val="TOC3"/>
            <w:rPr>
              <w:rFonts w:asciiTheme="minorHAnsi" w:eastAsiaTheme="minorEastAsia" w:hAnsiTheme="minorHAnsi" w:cstheme="minorBidi"/>
              <w:b w:val="0"/>
              <w:noProof/>
              <w:color w:val="auto"/>
              <w:szCs w:val="22"/>
              <w:lang w:eastAsia="en-AU"/>
            </w:rPr>
          </w:pPr>
          <w:hyperlink w:anchor="_Toc147325266"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_Toc147325266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4EC2F718" w14:textId="703D6584" w:rsidR="00522EC3" w:rsidRDefault="00A9115F">
          <w:pPr>
            <w:pStyle w:val="TOC3"/>
            <w:rPr>
              <w:rFonts w:asciiTheme="minorHAnsi" w:eastAsiaTheme="minorEastAsia" w:hAnsiTheme="minorHAnsi" w:cstheme="minorBidi"/>
              <w:b w:val="0"/>
              <w:noProof/>
              <w:color w:val="auto"/>
              <w:szCs w:val="22"/>
              <w:lang w:eastAsia="en-AU"/>
            </w:rPr>
          </w:pPr>
          <w:hyperlink w:anchor="_Toc147325267"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_Toc147325267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288E235F" w14:textId="1C408743" w:rsidR="00522EC3" w:rsidRDefault="00A9115F">
          <w:pPr>
            <w:pStyle w:val="TOC3"/>
            <w:rPr>
              <w:rFonts w:asciiTheme="minorHAnsi" w:eastAsiaTheme="minorEastAsia" w:hAnsiTheme="minorHAnsi" w:cstheme="minorBidi"/>
              <w:b w:val="0"/>
              <w:noProof/>
              <w:color w:val="auto"/>
              <w:szCs w:val="22"/>
              <w:lang w:eastAsia="en-AU"/>
            </w:rPr>
          </w:pPr>
          <w:hyperlink w:anchor="_Toc147325268"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_Toc147325268 \h </w:instrText>
            </w:r>
            <w:r w:rsidR="00522EC3">
              <w:rPr>
                <w:noProof/>
                <w:webHidden/>
              </w:rPr>
            </w:r>
            <w:r w:rsidR="00522EC3">
              <w:rPr>
                <w:noProof/>
                <w:webHidden/>
              </w:rPr>
              <w:fldChar w:fldCharType="separate"/>
            </w:r>
            <w:r w:rsidR="00522EC3">
              <w:rPr>
                <w:noProof/>
                <w:webHidden/>
              </w:rPr>
              <w:t>7</w:t>
            </w:r>
            <w:r w:rsidR="00522EC3">
              <w:rPr>
                <w:noProof/>
                <w:webHidden/>
              </w:rPr>
              <w:fldChar w:fldCharType="end"/>
            </w:r>
          </w:hyperlink>
        </w:p>
        <w:p w14:paraId="6FEFAA35" w14:textId="330F5B00" w:rsidR="00522EC3" w:rsidRDefault="00A9115F">
          <w:pPr>
            <w:pStyle w:val="TOC3"/>
            <w:rPr>
              <w:rFonts w:asciiTheme="minorHAnsi" w:eastAsiaTheme="minorEastAsia" w:hAnsiTheme="minorHAnsi" w:cstheme="minorBidi"/>
              <w:b w:val="0"/>
              <w:noProof/>
              <w:color w:val="auto"/>
              <w:szCs w:val="22"/>
              <w:lang w:eastAsia="en-AU"/>
            </w:rPr>
          </w:pPr>
          <w:hyperlink w:anchor="_Toc147325269"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_Toc147325269 \h </w:instrText>
            </w:r>
            <w:r w:rsidR="00522EC3">
              <w:rPr>
                <w:noProof/>
                <w:webHidden/>
              </w:rPr>
            </w:r>
            <w:r w:rsidR="00522EC3">
              <w:rPr>
                <w:noProof/>
                <w:webHidden/>
              </w:rPr>
              <w:fldChar w:fldCharType="separate"/>
            </w:r>
            <w:r w:rsidR="00522EC3">
              <w:rPr>
                <w:noProof/>
                <w:webHidden/>
              </w:rPr>
              <w:t>7</w:t>
            </w:r>
            <w:r w:rsidR="00522EC3">
              <w:rPr>
                <w:noProof/>
                <w:webHidden/>
              </w:rPr>
              <w:fldChar w:fldCharType="end"/>
            </w:r>
          </w:hyperlink>
        </w:p>
        <w:p w14:paraId="5861A405" w14:textId="6D5D9C4B" w:rsidR="00522EC3" w:rsidRDefault="00A9115F">
          <w:pPr>
            <w:pStyle w:val="TOC3"/>
            <w:rPr>
              <w:rFonts w:asciiTheme="minorHAnsi" w:eastAsiaTheme="minorEastAsia" w:hAnsiTheme="minorHAnsi" w:cstheme="minorBidi"/>
              <w:b w:val="0"/>
              <w:noProof/>
              <w:color w:val="auto"/>
              <w:szCs w:val="22"/>
              <w:lang w:eastAsia="en-AU"/>
            </w:rPr>
          </w:pPr>
          <w:hyperlink w:anchor="_Toc147325270"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_Toc147325270 \h </w:instrText>
            </w:r>
            <w:r w:rsidR="00522EC3">
              <w:rPr>
                <w:noProof/>
                <w:webHidden/>
              </w:rPr>
            </w:r>
            <w:r w:rsidR="00522EC3">
              <w:rPr>
                <w:noProof/>
                <w:webHidden/>
              </w:rPr>
              <w:fldChar w:fldCharType="separate"/>
            </w:r>
            <w:r w:rsidR="00522EC3">
              <w:rPr>
                <w:noProof/>
                <w:webHidden/>
              </w:rPr>
              <w:t>8</w:t>
            </w:r>
            <w:r w:rsidR="00522EC3">
              <w:rPr>
                <w:noProof/>
                <w:webHidden/>
              </w:rPr>
              <w:fldChar w:fldCharType="end"/>
            </w:r>
          </w:hyperlink>
        </w:p>
        <w:p w14:paraId="34DE3BE5" w14:textId="09683BAF" w:rsidR="00522EC3" w:rsidRDefault="00A9115F">
          <w:pPr>
            <w:pStyle w:val="TOC3"/>
            <w:rPr>
              <w:rFonts w:asciiTheme="minorHAnsi" w:eastAsiaTheme="minorEastAsia" w:hAnsiTheme="minorHAnsi" w:cstheme="minorBidi"/>
              <w:b w:val="0"/>
              <w:noProof/>
              <w:color w:val="auto"/>
              <w:szCs w:val="22"/>
              <w:lang w:eastAsia="en-AU"/>
            </w:rPr>
          </w:pPr>
          <w:hyperlink w:anchor="_Toc147325271"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_Toc147325271 \h </w:instrText>
            </w:r>
            <w:r w:rsidR="00522EC3">
              <w:rPr>
                <w:noProof/>
                <w:webHidden/>
              </w:rPr>
            </w:r>
            <w:r w:rsidR="00522EC3">
              <w:rPr>
                <w:noProof/>
                <w:webHidden/>
              </w:rPr>
              <w:fldChar w:fldCharType="separate"/>
            </w:r>
            <w:r w:rsidR="00522EC3">
              <w:rPr>
                <w:noProof/>
                <w:webHidden/>
              </w:rPr>
              <w:t>10</w:t>
            </w:r>
            <w:r w:rsidR="00522EC3">
              <w:rPr>
                <w:noProof/>
                <w:webHidden/>
              </w:rPr>
              <w:fldChar w:fldCharType="end"/>
            </w:r>
          </w:hyperlink>
        </w:p>
        <w:p w14:paraId="4CAC7F21" w14:textId="7ECB859E" w:rsidR="00522EC3" w:rsidRDefault="00A9115F">
          <w:pPr>
            <w:pStyle w:val="TOC2"/>
            <w:rPr>
              <w:rFonts w:asciiTheme="minorHAnsi" w:eastAsiaTheme="minorEastAsia" w:hAnsiTheme="minorHAnsi" w:cstheme="minorBidi"/>
              <w:b w:val="0"/>
              <w:noProof/>
              <w:color w:val="auto"/>
              <w:sz w:val="22"/>
              <w:szCs w:val="22"/>
              <w:lang w:eastAsia="en-AU"/>
            </w:rPr>
          </w:pPr>
          <w:hyperlink w:anchor="_Toc147325272" w:history="1">
            <w:r w:rsidR="00522EC3" w:rsidRPr="00EB736F">
              <w:rPr>
                <w:rStyle w:val="Hyperlink"/>
                <w:noProof/>
              </w:rPr>
              <w:t>Interim decision in relation to olopatadine</w:t>
            </w:r>
            <w:r w:rsidR="00522EC3">
              <w:rPr>
                <w:noProof/>
                <w:webHidden/>
              </w:rPr>
              <w:tab/>
            </w:r>
            <w:r w:rsidR="00522EC3">
              <w:rPr>
                <w:noProof/>
                <w:webHidden/>
              </w:rPr>
              <w:fldChar w:fldCharType="begin"/>
            </w:r>
            <w:r w:rsidR="00522EC3">
              <w:rPr>
                <w:noProof/>
                <w:webHidden/>
              </w:rPr>
              <w:instrText xml:space="preserve"> PAGEREF _Toc147325272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10960502" w14:textId="351FB824" w:rsidR="00522EC3" w:rsidRDefault="00A9115F">
          <w:pPr>
            <w:pStyle w:val="TOC3"/>
            <w:rPr>
              <w:rFonts w:asciiTheme="minorHAnsi" w:eastAsiaTheme="minorEastAsia" w:hAnsiTheme="minorHAnsi" w:cstheme="minorBidi"/>
              <w:b w:val="0"/>
              <w:noProof/>
              <w:color w:val="auto"/>
              <w:szCs w:val="22"/>
              <w:lang w:eastAsia="en-AU"/>
            </w:rPr>
          </w:pPr>
          <w:hyperlink w:anchor="_Toc147325273"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_Toc147325273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664AE668" w14:textId="0B9A5E33" w:rsidR="00522EC3" w:rsidRDefault="00A9115F">
          <w:pPr>
            <w:pStyle w:val="TOC3"/>
            <w:rPr>
              <w:rFonts w:asciiTheme="minorHAnsi" w:eastAsiaTheme="minorEastAsia" w:hAnsiTheme="minorHAnsi" w:cstheme="minorBidi"/>
              <w:b w:val="0"/>
              <w:noProof/>
              <w:color w:val="auto"/>
              <w:szCs w:val="22"/>
              <w:lang w:eastAsia="en-AU"/>
            </w:rPr>
          </w:pPr>
          <w:hyperlink w:anchor="_Toc147325274"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_Toc147325274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627604F6" w14:textId="44A386AB" w:rsidR="00522EC3" w:rsidRDefault="00A9115F">
          <w:pPr>
            <w:pStyle w:val="TOC3"/>
            <w:rPr>
              <w:rFonts w:asciiTheme="minorHAnsi" w:eastAsiaTheme="minorEastAsia" w:hAnsiTheme="minorHAnsi" w:cstheme="minorBidi"/>
              <w:b w:val="0"/>
              <w:noProof/>
              <w:color w:val="auto"/>
              <w:szCs w:val="22"/>
              <w:lang w:eastAsia="en-AU"/>
            </w:rPr>
          </w:pPr>
          <w:hyperlink w:anchor="_Toc147325275"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_Toc147325275 \h </w:instrText>
            </w:r>
            <w:r w:rsidR="00522EC3">
              <w:rPr>
                <w:noProof/>
                <w:webHidden/>
              </w:rPr>
            </w:r>
            <w:r w:rsidR="00522EC3">
              <w:rPr>
                <w:noProof/>
                <w:webHidden/>
              </w:rPr>
              <w:fldChar w:fldCharType="separate"/>
            </w:r>
            <w:r w:rsidR="00522EC3">
              <w:rPr>
                <w:noProof/>
                <w:webHidden/>
              </w:rPr>
              <w:t>12</w:t>
            </w:r>
            <w:r w:rsidR="00522EC3">
              <w:rPr>
                <w:noProof/>
                <w:webHidden/>
              </w:rPr>
              <w:fldChar w:fldCharType="end"/>
            </w:r>
          </w:hyperlink>
        </w:p>
        <w:p w14:paraId="64A941C2" w14:textId="14D9840E" w:rsidR="00522EC3" w:rsidRDefault="00A9115F">
          <w:pPr>
            <w:pStyle w:val="TOC3"/>
            <w:rPr>
              <w:rFonts w:asciiTheme="minorHAnsi" w:eastAsiaTheme="minorEastAsia" w:hAnsiTheme="minorHAnsi" w:cstheme="minorBidi"/>
              <w:b w:val="0"/>
              <w:noProof/>
              <w:color w:val="auto"/>
              <w:szCs w:val="22"/>
              <w:lang w:eastAsia="en-AU"/>
            </w:rPr>
          </w:pPr>
          <w:hyperlink w:anchor="_Toc147325276"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_Toc147325276 \h </w:instrText>
            </w:r>
            <w:r w:rsidR="00522EC3">
              <w:rPr>
                <w:noProof/>
                <w:webHidden/>
              </w:rPr>
            </w:r>
            <w:r w:rsidR="00522EC3">
              <w:rPr>
                <w:noProof/>
                <w:webHidden/>
              </w:rPr>
              <w:fldChar w:fldCharType="separate"/>
            </w:r>
            <w:r w:rsidR="00522EC3">
              <w:rPr>
                <w:noProof/>
                <w:webHidden/>
              </w:rPr>
              <w:t>12</w:t>
            </w:r>
            <w:r w:rsidR="00522EC3">
              <w:rPr>
                <w:noProof/>
                <w:webHidden/>
              </w:rPr>
              <w:fldChar w:fldCharType="end"/>
            </w:r>
          </w:hyperlink>
        </w:p>
        <w:p w14:paraId="4C4C9B00" w14:textId="49379620" w:rsidR="00522EC3" w:rsidRDefault="00A9115F">
          <w:pPr>
            <w:pStyle w:val="TOC3"/>
            <w:rPr>
              <w:rFonts w:asciiTheme="minorHAnsi" w:eastAsiaTheme="minorEastAsia" w:hAnsiTheme="minorHAnsi" w:cstheme="minorBidi"/>
              <w:b w:val="0"/>
              <w:noProof/>
              <w:color w:val="auto"/>
              <w:szCs w:val="22"/>
              <w:lang w:eastAsia="en-AU"/>
            </w:rPr>
          </w:pPr>
          <w:hyperlink w:anchor="_Toc147325277"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_Toc147325277 \h </w:instrText>
            </w:r>
            <w:r w:rsidR="00522EC3">
              <w:rPr>
                <w:noProof/>
                <w:webHidden/>
              </w:rPr>
            </w:r>
            <w:r w:rsidR="00522EC3">
              <w:rPr>
                <w:noProof/>
                <w:webHidden/>
              </w:rPr>
              <w:fldChar w:fldCharType="separate"/>
            </w:r>
            <w:r w:rsidR="00522EC3">
              <w:rPr>
                <w:noProof/>
                <w:webHidden/>
              </w:rPr>
              <w:t>13</w:t>
            </w:r>
            <w:r w:rsidR="00522EC3">
              <w:rPr>
                <w:noProof/>
                <w:webHidden/>
              </w:rPr>
              <w:fldChar w:fldCharType="end"/>
            </w:r>
          </w:hyperlink>
        </w:p>
        <w:p w14:paraId="31E31B94" w14:textId="28AE7BB7" w:rsidR="00522EC3" w:rsidRDefault="00A9115F">
          <w:pPr>
            <w:pStyle w:val="TOC3"/>
            <w:rPr>
              <w:rFonts w:asciiTheme="minorHAnsi" w:eastAsiaTheme="minorEastAsia" w:hAnsiTheme="minorHAnsi" w:cstheme="minorBidi"/>
              <w:b w:val="0"/>
              <w:noProof/>
              <w:color w:val="auto"/>
              <w:szCs w:val="22"/>
              <w:lang w:eastAsia="en-AU"/>
            </w:rPr>
          </w:pPr>
          <w:hyperlink w:anchor="_Toc147325278"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_Toc147325278 \h </w:instrText>
            </w:r>
            <w:r w:rsidR="00522EC3">
              <w:rPr>
                <w:noProof/>
                <w:webHidden/>
              </w:rPr>
            </w:r>
            <w:r w:rsidR="00522EC3">
              <w:rPr>
                <w:noProof/>
                <w:webHidden/>
              </w:rPr>
              <w:fldChar w:fldCharType="separate"/>
            </w:r>
            <w:r w:rsidR="00522EC3">
              <w:rPr>
                <w:noProof/>
                <w:webHidden/>
              </w:rPr>
              <w:t>14</w:t>
            </w:r>
            <w:r w:rsidR="00522EC3">
              <w:rPr>
                <w:noProof/>
                <w:webHidden/>
              </w:rPr>
              <w:fldChar w:fldCharType="end"/>
            </w:r>
          </w:hyperlink>
        </w:p>
        <w:p w14:paraId="70A5C8AA" w14:textId="141A9822" w:rsidR="00522EC3" w:rsidRDefault="00A9115F">
          <w:pPr>
            <w:pStyle w:val="TOC1"/>
            <w:rPr>
              <w:rFonts w:asciiTheme="minorHAnsi" w:eastAsiaTheme="minorEastAsia" w:hAnsiTheme="minorHAnsi" w:cstheme="minorBidi"/>
              <w:b w:val="0"/>
              <w:noProof/>
              <w:color w:val="auto"/>
              <w:sz w:val="22"/>
              <w:szCs w:val="22"/>
              <w:lang w:eastAsia="en-AU"/>
            </w:rPr>
          </w:pPr>
          <w:hyperlink w:anchor="_Toc147325279" w:history="1">
            <w:r w:rsidR="00522EC3" w:rsidRPr="00EB736F">
              <w:rPr>
                <w:rStyle w:val="Hyperlink"/>
                <w:noProof/>
              </w:rPr>
              <w:t>Interim decisions on proposed amendments referred to the Advisory Committees on Medicines and Chemicals Scheduling in joint session (ACMS-ACCS #34, JUNE 2023)</w:t>
            </w:r>
            <w:r w:rsidR="00522EC3">
              <w:rPr>
                <w:noProof/>
                <w:webHidden/>
              </w:rPr>
              <w:tab/>
            </w:r>
            <w:r w:rsidR="00522EC3">
              <w:rPr>
                <w:noProof/>
                <w:webHidden/>
              </w:rPr>
              <w:fldChar w:fldCharType="begin"/>
            </w:r>
            <w:r w:rsidR="00522EC3">
              <w:rPr>
                <w:noProof/>
                <w:webHidden/>
              </w:rPr>
              <w:instrText xml:space="preserve"> PAGEREF _Toc147325279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2310220A" w14:textId="5670ED06" w:rsidR="00522EC3" w:rsidRDefault="00A9115F">
          <w:pPr>
            <w:pStyle w:val="TOC2"/>
            <w:rPr>
              <w:rFonts w:asciiTheme="minorHAnsi" w:eastAsiaTheme="minorEastAsia" w:hAnsiTheme="minorHAnsi" w:cstheme="minorBidi"/>
              <w:b w:val="0"/>
              <w:noProof/>
              <w:color w:val="auto"/>
              <w:sz w:val="22"/>
              <w:szCs w:val="22"/>
              <w:lang w:eastAsia="en-AU"/>
            </w:rPr>
          </w:pPr>
          <w:hyperlink w:anchor="_Toc147325280" w:history="1">
            <w:r w:rsidR="00522EC3" w:rsidRPr="00EB736F">
              <w:rPr>
                <w:rStyle w:val="Hyperlink"/>
                <w:noProof/>
              </w:rPr>
              <w:t>Interim decision in relation to ibotenic acid</w:t>
            </w:r>
            <w:r w:rsidR="00522EC3">
              <w:rPr>
                <w:noProof/>
                <w:webHidden/>
              </w:rPr>
              <w:tab/>
            </w:r>
            <w:r w:rsidR="00522EC3">
              <w:rPr>
                <w:noProof/>
                <w:webHidden/>
              </w:rPr>
              <w:fldChar w:fldCharType="begin"/>
            </w:r>
            <w:r w:rsidR="00522EC3">
              <w:rPr>
                <w:noProof/>
                <w:webHidden/>
              </w:rPr>
              <w:instrText xml:space="preserve"> PAGEREF _Toc147325280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3CF68BE9" w14:textId="200AA517" w:rsidR="00522EC3" w:rsidRDefault="00A9115F">
          <w:pPr>
            <w:pStyle w:val="TOC3"/>
            <w:rPr>
              <w:rFonts w:asciiTheme="minorHAnsi" w:eastAsiaTheme="minorEastAsia" w:hAnsiTheme="minorHAnsi" w:cstheme="minorBidi"/>
              <w:b w:val="0"/>
              <w:noProof/>
              <w:color w:val="auto"/>
              <w:szCs w:val="22"/>
              <w:lang w:eastAsia="en-AU"/>
            </w:rPr>
          </w:pPr>
          <w:hyperlink w:anchor="_Toc147325281"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_Toc147325281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59623EE9" w14:textId="6DCDE179" w:rsidR="00522EC3" w:rsidRDefault="00A9115F">
          <w:pPr>
            <w:pStyle w:val="TOC3"/>
            <w:rPr>
              <w:rFonts w:asciiTheme="minorHAnsi" w:eastAsiaTheme="minorEastAsia" w:hAnsiTheme="minorHAnsi" w:cstheme="minorBidi"/>
              <w:b w:val="0"/>
              <w:noProof/>
              <w:color w:val="auto"/>
              <w:szCs w:val="22"/>
              <w:lang w:eastAsia="en-AU"/>
            </w:rPr>
          </w:pPr>
          <w:hyperlink w:anchor="_Toc147325282"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_Toc147325282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2914659C" w14:textId="0419C3B1" w:rsidR="00522EC3" w:rsidRDefault="00A9115F">
          <w:pPr>
            <w:pStyle w:val="TOC3"/>
            <w:rPr>
              <w:rFonts w:asciiTheme="minorHAnsi" w:eastAsiaTheme="minorEastAsia" w:hAnsiTheme="minorHAnsi" w:cstheme="minorBidi"/>
              <w:b w:val="0"/>
              <w:noProof/>
              <w:color w:val="auto"/>
              <w:szCs w:val="22"/>
              <w:lang w:eastAsia="en-AU"/>
            </w:rPr>
          </w:pPr>
          <w:hyperlink w:anchor="_Toc147325283"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_Toc147325283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0E8AD9E8" w14:textId="75DB0CD6" w:rsidR="00522EC3" w:rsidRDefault="00A9115F">
          <w:pPr>
            <w:pStyle w:val="TOC3"/>
            <w:rPr>
              <w:rFonts w:asciiTheme="minorHAnsi" w:eastAsiaTheme="minorEastAsia" w:hAnsiTheme="minorHAnsi" w:cstheme="minorBidi"/>
              <w:b w:val="0"/>
              <w:noProof/>
              <w:color w:val="auto"/>
              <w:szCs w:val="22"/>
              <w:lang w:eastAsia="en-AU"/>
            </w:rPr>
          </w:pPr>
          <w:hyperlink w:anchor="_Toc147325284"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_Toc147325284 \h </w:instrText>
            </w:r>
            <w:r w:rsidR="00522EC3">
              <w:rPr>
                <w:noProof/>
                <w:webHidden/>
              </w:rPr>
            </w:r>
            <w:r w:rsidR="00522EC3">
              <w:rPr>
                <w:noProof/>
                <w:webHidden/>
              </w:rPr>
              <w:fldChar w:fldCharType="separate"/>
            </w:r>
            <w:r w:rsidR="00522EC3">
              <w:rPr>
                <w:noProof/>
                <w:webHidden/>
              </w:rPr>
              <w:t>16</w:t>
            </w:r>
            <w:r w:rsidR="00522EC3">
              <w:rPr>
                <w:noProof/>
                <w:webHidden/>
              </w:rPr>
              <w:fldChar w:fldCharType="end"/>
            </w:r>
          </w:hyperlink>
        </w:p>
        <w:p w14:paraId="7FD650A6" w14:textId="3B52383F" w:rsidR="00522EC3" w:rsidRDefault="00A9115F">
          <w:pPr>
            <w:pStyle w:val="TOC3"/>
            <w:rPr>
              <w:rFonts w:asciiTheme="minorHAnsi" w:eastAsiaTheme="minorEastAsia" w:hAnsiTheme="minorHAnsi" w:cstheme="minorBidi"/>
              <w:b w:val="0"/>
              <w:noProof/>
              <w:color w:val="auto"/>
              <w:szCs w:val="22"/>
              <w:lang w:eastAsia="en-AU"/>
            </w:rPr>
          </w:pPr>
          <w:hyperlink w:anchor="_Toc147325285"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_Toc147325285 \h </w:instrText>
            </w:r>
            <w:r w:rsidR="00522EC3">
              <w:rPr>
                <w:noProof/>
                <w:webHidden/>
              </w:rPr>
            </w:r>
            <w:r w:rsidR="00522EC3">
              <w:rPr>
                <w:noProof/>
                <w:webHidden/>
              </w:rPr>
              <w:fldChar w:fldCharType="separate"/>
            </w:r>
            <w:r w:rsidR="00522EC3">
              <w:rPr>
                <w:noProof/>
                <w:webHidden/>
              </w:rPr>
              <w:t>17</w:t>
            </w:r>
            <w:r w:rsidR="00522EC3">
              <w:rPr>
                <w:noProof/>
                <w:webHidden/>
              </w:rPr>
              <w:fldChar w:fldCharType="end"/>
            </w:r>
          </w:hyperlink>
        </w:p>
        <w:p w14:paraId="5BE0F96C" w14:textId="22722674" w:rsidR="00522EC3" w:rsidRDefault="00A9115F">
          <w:pPr>
            <w:pStyle w:val="TOC3"/>
            <w:rPr>
              <w:rFonts w:asciiTheme="minorHAnsi" w:eastAsiaTheme="minorEastAsia" w:hAnsiTheme="minorHAnsi" w:cstheme="minorBidi"/>
              <w:b w:val="0"/>
              <w:noProof/>
              <w:color w:val="auto"/>
              <w:szCs w:val="22"/>
              <w:lang w:eastAsia="en-AU"/>
            </w:rPr>
          </w:pPr>
          <w:hyperlink w:anchor="_Toc147325286"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_Toc147325286 \h </w:instrText>
            </w:r>
            <w:r w:rsidR="00522EC3">
              <w:rPr>
                <w:noProof/>
                <w:webHidden/>
              </w:rPr>
            </w:r>
            <w:r w:rsidR="00522EC3">
              <w:rPr>
                <w:noProof/>
                <w:webHidden/>
              </w:rPr>
              <w:fldChar w:fldCharType="separate"/>
            </w:r>
            <w:r w:rsidR="00522EC3">
              <w:rPr>
                <w:noProof/>
                <w:webHidden/>
              </w:rPr>
              <w:t>18</w:t>
            </w:r>
            <w:r w:rsidR="00522EC3">
              <w:rPr>
                <w:noProof/>
                <w:webHidden/>
              </w:rPr>
              <w:fldChar w:fldCharType="end"/>
            </w:r>
          </w:hyperlink>
        </w:p>
        <w:p w14:paraId="60CD8DA8" w14:textId="4E21B6A1" w:rsidR="00522EC3" w:rsidRDefault="00A9115F">
          <w:pPr>
            <w:pStyle w:val="TOC2"/>
            <w:rPr>
              <w:rFonts w:asciiTheme="minorHAnsi" w:eastAsiaTheme="minorEastAsia" w:hAnsiTheme="minorHAnsi" w:cstheme="minorBidi"/>
              <w:b w:val="0"/>
              <w:noProof/>
              <w:color w:val="auto"/>
              <w:sz w:val="22"/>
              <w:szCs w:val="22"/>
              <w:lang w:eastAsia="en-AU"/>
            </w:rPr>
          </w:pPr>
          <w:hyperlink w:anchor="_Toc147325287" w:history="1">
            <w:r w:rsidR="00522EC3" w:rsidRPr="00EB736F">
              <w:rPr>
                <w:rStyle w:val="Hyperlink"/>
                <w:noProof/>
              </w:rPr>
              <w:t>Interim decision in relation to amygdalin and hydrocyanic acid</w:t>
            </w:r>
            <w:r w:rsidR="00522EC3">
              <w:rPr>
                <w:noProof/>
                <w:webHidden/>
              </w:rPr>
              <w:tab/>
            </w:r>
            <w:r w:rsidR="00522EC3">
              <w:rPr>
                <w:noProof/>
                <w:webHidden/>
              </w:rPr>
              <w:fldChar w:fldCharType="begin"/>
            </w:r>
            <w:r w:rsidR="00522EC3">
              <w:rPr>
                <w:noProof/>
                <w:webHidden/>
              </w:rPr>
              <w:instrText xml:space="preserve"> PAGEREF _Toc147325287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8C055AD" w14:textId="37AF354E" w:rsidR="00522EC3" w:rsidRDefault="00A9115F">
          <w:pPr>
            <w:pStyle w:val="TOC3"/>
            <w:rPr>
              <w:rFonts w:asciiTheme="minorHAnsi" w:eastAsiaTheme="minorEastAsia" w:hAnsiTheme="minorHAnsi" w:cstheme="minorBidi"/>
              <w:b w:val="0"/>
              <w:noProof/>
              <w:color w:val="auto"/>
              <w:szCs w:val="22"/>
              <w:lang w:eastAsia="en-AU"/>
            </w:rPr>
          </w:pPr>
          <w:hyperlink w:anchor="_Toc147325288"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_Toc147325288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15A39A0D" w14:textId="5FB46CD3" w:rsidR="00522EC3" w:rsidRDefault="00A9115F">
          <w:pPr>
            <w:pStyle w:val="TOC3"/>
            <w:rPr>
              <w:rFonts w:asciiTheme="minorHAnsi" w:eastAsiaTheme="minorEastAsia" w:hAnsiTheme="minorHAnsi" w:cstheme="minorBidi"/>
              <w:b w:val="0"/>
              <w:noProof/>
              <w:color w:val="auto"/>
              <w:szCs w:val="22"/>
              <w:lang w:eastAsia="en-AU"/>
            </w:rPr>
          </w:pPr>
          <w:hyperlink w:anchor="_Toc147325289"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_Toc147325289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059B426" w14:textId="27975FE3" w:rsidR="00522EC3" w:rsidRDefault="00A9115F">
          <w:pPr>
            <w:pStyle w:val="TOC3"/>
            <w:rPr>
              <w:rFonts w:asciiTheme="minorHAnsi" w:eastAsiaTheme="minorEastAsia" w:hAnsiTheme="minorHAnsi" w:cstheme="minorBidi"/>
              <w:b w:val="0"/>
              <w:noProof/>
              <w:color w:val="auto"/>
              <w:szCs w:val="22"/>
              <w:lang w:eastAsia="en-AU"/>
            </w:rPr>
          </w:pPr>
          <w:hyperlink w:anchor="_Toc147325290"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_Toc147325290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C60DDF6" w14:textId="75038AD3" w:rsidR="00522EC3" w:rsidRDefault="00A9115F">
          <w:pPr>
            <w:pStyle w:val="TOC3"/>
            <w:rPr>
              <w:rFonts w:asciiTheme="minorHAnsi" w:eastAsiaTheme="minorEastAsia" w:hAnsiTheme="minorHAnsi" w:cstheme="minorBidi"/>
              <w:b w:val="0"/>
              <w:noProof/>
              <w:color w:val="auto"/>
              <w:szCs w:val="22"/>
              <w:lang w:eastAsia="en-AU"/>
            </w:rPr>
          </w:pPr>
          <w:hyperlink w:anchor="_Toc147325291"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_Toc147325291 \h </w:instrText>
            </w:r>
            <w:r w:rsidR="00522EC3">
              <w:rPr>
                <w:noProof/>
                <w:webHidden/>
              </w:rPr>
            </w:r>
            <w:r w:rsidR="00522EC3">
              <w:rPr>
                <w:noProof/>
                <w:webHidden/>
              </w:rPr>
              <w:fldChar w:fldCharType="separate"/>
            </w:r>
            <w:r w:rsidR="00522EC3">
              <w:rPr>
                <w:noProof/>
                <w:webHidden/>
              </w:rPr>
              <w:t>20</w:t>
            </w:r>
            <w:r w:rsidR="00522EC3">
              <w:rPr>
                <w:noProof/>
                <w:webHidden/>
              </w:rPr>
              <w:fldChar w:fldCharType="end"/>
            </w:r>
          </w:hyperlink>
        </w:p>
        <w:p w14:paraId="3B2FFD23" w14:textId="0575C5DC" w:rsidR="00522EC3" w:rsidRDefault="00A9115F">
          <w:pPr>
            <w:pStyle w:val="TOC3"/>
            <w:rPr>
              <w:rFonts w:asciiTheme="minorHAnsi" w:eastAsiaTheme="minorEastAsia" w:hAnsiTheme="minorHAnsi" w:cstheme="minorBidi"/>
              <w:b w:val="0"/>
              <w:noProof/>
              <w:color w:val="auto"/>
              <w:szCs w:val="22"/>
              <w:lang w:eastAsia="en-AU"/>
            </w:rPr>
          </w:pPr>
          <w:hyperlink w:anchor="_Toc147325292"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_Toc147325292 \h </w:instrText>
            </w:r>
            <w:r w:rsidR="00522EC3">
              <w:rPr>
                <w:noProof/>
                <w:webHidden/>
              </w:rPr>
            </w:r>
            <w:r w:rsidR="00522EC3">
              <w:rPr>
                <w:noProof/>
                <w:webHidden/>
              </w:rPr>
              <w:fldChar w:fldCharType="separate"/>
            </w:r>
            <w:r w:rsidR="00522EC3">
              <w:rPr>
                <w:noProof/>
                <w:webHidden/>
              </w:rPr>
              <w:t>21</w:t>
            </w:r>
            <w:r w:rsidR="00522EC3">
              <w:rPr>
                <w:noProof/>
                <w:webHidden/>
              </w:rPr>
              <w:fldChar w:fldCharType="end"/>
            </w:r>
          </w:hyperlink>
        </w:p>
        <w:p w14:paraId="74F18401" w14:textId="3B0EE83B" w:rsidR="00F02AEC" w:rsidRPr="00D42530" w:rsidRDefault="00F02AEC" w:rsidP="00F401EF">
          <w:pPr>
            <w:rPr>
              <w:color w:val="auto"/>
            </w:rPr>
          </w:pPr>
          <w:r w:rsidRPr="00D42530">
            <w:rPr>
              <w:color w:val="auto"/>
            </w:rPr>
            <w:fldChar w:fldCharType="end"/>
          </w:r>
        </w:p>
      </w:sdtContent>
    </w:sdt>
    <w:p w14:paraId="706207E8" w14:textId="77777777" w:rsidR="00F02AEC" w:rsidRPr="00215D48" w:rsidRDefault="00F02AEC" w:rsidP="0055653F">
      <w:r w:rsidRPr="00215D48">
        <w:br w:type="page"/>
      </w:r>
    </w:p>
    <w:p w14:paraId="7BD63EB2" w14:textId="7DCFC458" w:rsidR="00F02AEC" w:rsidRDefault="00522B11" w:rsidP="0078745C">
      <w:pPr>
        <w:pStyle w:val="Heading2"/>
        <w:rPr>
          <w:i/>
          <w:iCs/>
        </w:rPr>
      </w:pPr>
      <w:bookmarkStart w:id="0" w:name="_Toc147325262"/>
      <w:r>
        <w:lastRenderedPageBreak/>
        <w:t xml:space="preserve">Notice of interim decisions made under Regulation 42ZCZN of the </w:t>
      </w:r>
      <w:r w:rsidRPr="00522B11">
        <w:rPr>
          <w:i/>
          <w:iCs/>
        </w:rPr>
        <w:t>Therapeutic Goods Regulations 1990</w:t>
      </w:r>
      <w:bookmarkEnd w:id="0"/>
    </w:p>
    <w:p w14:paraId="26AC5317" w14:textId="4FB40799" w:rsidR="00522B11" w:rsidRPr="00FE1D52" w:rsidRDefault="00522B11" w:rsidP="00522B11">
      <w:pPr>
        <w:rPr>
          <w:color w:val="auto"/>
          <w:szCs w:val="22"/>
        </w:rPr>
      </w:pPr>
      <w:r w:rsidRPr="00FE1D52">
        <w:rPr>
          <w:color w:val="auto"/>
          <w:szCs w:val="22"/>
        </w:rPr>
        <w:t xml:space="preserve">This web publication constitutes a notice for the purposes of regulation 42ZCZP of the </w:t>
      </w:r>
      <w:r w:rsidRPr="00FE1D52">
        <w:rPr>
          <w:i/>
          <w:iCs/>
          <w:color w:val="auto"/>
          <w:szCs w:val="22"/>
        </w:rPr>
        <w:t>Therapeutic Goods Regulations 1990</w:t>
      </w:r>
      <w:r w:rsidRPr="00FE1D52">
        <w:rPr>
          <w:color w:val="auto"/>
          <w:szCs w:val="22"/>
        </w:rPr>
        <w:t xml:space="preserve"> (the </w:t>
      </w:r>
      <w:r w:rsidRPr="00FE1D52">
        <w:rPr>
          <w:b/>
          <w:bCs/>
          <w:color w:val="auto"/>
          <w:szCs w:val="22"/>
        </w:rPr>
        <w:t>Regulations</w:t>
      </w:r>
      <w:r w:rsidRPr="00FE1D52">
        <w:rPr>
          <w:color w:val="auto"/>
          <w:szCs w:val="22"/>
        </w:rPr>
        <w:t>). In accordance with regulation 42ZCZP, this notice sets out:</w:t>
      </w:r>
    </w:p>
    <w:p w14:paraId="48944635" w14:textId="78C63CF3" w:rsidR="00522B11" w:rsidRPr="00D42530" w:rsidRDefault="00522B11" w:rsidP="00522B11">
      <w:pPr>
        <w:pStyle w:val="ListBullet"/>
        <w:rPr>
          <w:rFonts w:ascii="Calibri" w:hAnsi="Calibri" w:cs="Calibri"/>
          <w:color w:val="auto"/>
          <w:szCs w:val="22"/>
        </w:rPr>
      </w:pPr>
      <w:r w:rsidRPr="00D42530">
        <w:rPr>
          <w:rFonts w:ascii="Calibri" w:hAnsi="Calibri" w:cs="Calibri"/>
          <w:color w:val="auto"/>
          <w:szCs w:val="22"/>
        </w:rPr>
        <w:t>the interim decisions made by a delegate of the Secretary</w:t>
      </w:r>
      <w:r w:rsidR="009311B1">
        <w:rPr>
          <w:rFonts w:ascii="Calibri" w:hAnsi="Calibri" w:cs="Calibri"/>
          <w:color w:val="auto"/>
          <w:szCs w:val="22"/>
        </w:rPr>
        <w:t xml:space="preserve"> of Health and Aged Care (the </w:t>
      </w:r>
      <w:r w:rsidR="009311B1" w:rsidRPr="009311B1">
        <w:rPr>
          <w:rFonts w:ascii="Calibri" w:hAnsi="Calibri" w:cs="Calibri"/>
          <w:b/>
          <w:bCs/>
          <w:color w:val="auto"/>
          <w:szCs w:val="22"/>
        </w:rPr>
        <w:t>Delegate</w:t>
      </w:r>
      <w:r w:rsidR="009311B1">
        <w:rPr>
          <w:rFonts w:ascii="Calibri" w:hAnsi="Calibri" w:cs="Calibri"/>
          <w:color w:val="auto"/>
          <w:szCs w:val="22"/>
        </w:rPr>
        <w:t>)</w:t>
      </w:r>
      <w:r w:rsidRPr="00D42530">
        <w:rPr>
          <w:rFonts w:ascii="Calibri" w:hAnsi="Calibri" w:cs="Calibri"/>
          <w:color w:val="auto"/>
          <w:szCs w:val="22"/>
        </w:rPr>
        <w:t xml:space="preserve"> under regulation 42ZCZN in relation to </w:t>
      </w:r>
      <w:r w:rsidR="00FE1D52" w:rsidRPr="00D42530">
        <w:rPr>
          <w:rFonts w:ascii="Calibri" w:hAnsi="Calibri" w:cs="Calibri"/>
          <w:color w:val="auto"/>
          <w:szCs w:val="22"/>
        </w:rPr>
        <w:t>the</w:t>
      </w:r>
      <w:r w:rsidRPr="00D42530">
        <w:rPr>
          <w:rFonts w:ascii="Calibri" w:hAnsi="Calibri" w:cs="Calibri"/>
          <w:color w:val="auto"/>
          <w:szCs w:val="22"/>
        </w:rPr>
        <w:t xml:space="preserve"> proposed amendments</w:t>
      </w:r>
      <w:r w:rsidR="00FE1D52" w:rsidRPr="00D42530">
        <w:rPr>
          <w:rFonts w:ascii="Calibri" w:hAnsi="Calibri" w:cs="Calibri"/>
          <w:color w:val="auto"/>
          <w:szCs w:val="22"/>
        </w:rPr>
        <w:t xml:space="preserve"> </w:t>
      </w:r>
      <w:r w:rsidRPr="00D42530">
        <w:rPr>
          <w:rFonts w:ascii="Calibri" w:hAnsi="Calibri" w:cs="Calibri"/>
          <w:color w:val="auto"/>
          <w:szCs w:val="22"/>
        </w:rPr>
        <w:t>to the current Poisons Standard which were referred to an expert advisory committee</w:t>
      </w:r>
      <w:r w:rsidR="009421DD" w:rsidRPr="00D42530">
        <w:rPr>
          <w:rStyle w:val="FootnoteReference"/>
          <w:rFonts w:ascii="Calibri" w:hAnsi="Calibri" w:cs="Calibri"/>
          <w:color w:val="auto"/>
          <w:szCs w:val="22"/>
        </w:rPr>
        <w:footnoteReference w:id="1"/>
      </w:r>
      <w:r w:rsidRPr="00D42530">
        <w:rPr>
          <w:rFonts w:ascii="Calibri" w:hAnsi="Calibri" w:cs="Calibri"/>
          <w:color w:val="auto"/>
          <w:szCs w:val="22"/>
        </w:rPr>
        <w:t xml:space="preserve"> under subdivision 3D.2 of the Regulations in </w:t>
      </w:r>
      <w:r w:rsidR="00FE1D52" w:rsidRPr="00D42530">
        <w:rPr>
          <w:rFonts w:ascii="Calibri" w:hAnsi="Calibri" w:cs="Calibri"/>
          <w:color w:val="auto"/>
          <w:szCs w:val="22"/>
        </w:rPr>
        <w:t>June 2023</w:t>
      </w:r>
      <w:r w:rsidR="00FE4145">
        <w:rPr>
          <w:rFonts w:ascii="Calibri" w:hAnsi="Calibri" w:cs="Calibri"/>
          <w:color w:val="auto"/>
          <w:szCs w:val="22"/>
        </w:rPr>
        <w:t>.</w:t>
      </w:r>
    </w:p>
    <w:p w14:paraId="28BAC8D2" w14:textId="69B3FC25" w:rsidR="00522B11" w:rsidRPr="00D42530" w:rsidRDefault="00522B11" w:rsidP="00522B11">
      <w:pPr>
        <w:pStyle w:val="ListBullet"/>
        <w:rPr>
          <w:rFonts w:ascii="Calibri" w:hAnsi="Calibri" w:cs="Calibri"/>
          <w:color w:val="auto"/>
          <w:szCs w:val="22"/>
        </w:rPr>
      </w:pPr>
      <w:r w:rsidRPr="00D42530">
        <w:rPr>
          <w:rFonts w:ascii="Calibri" w:hAnsi="Calibri" w:cs="Calibri"/>
          <w:color w:val="auto"/>
          <w:szCs w:val="22"/>
        </w:rPr>
        <w:t>the proposed date of effect of the proposed amendme</w:t>
      </w:r>
      <w:r w:rsidR="00FE1D52" w:rsidRPr="00D42530">
        <w:rPr>
          <w:rFonts w:ascii="Calibri" w:hAnsi="Calibri" w:cs="Calibri"/>
          <w:color w:val="auto"/>
          <w:szCs w:val="22"/>
        </w:rPr>
        <w:t>nts</w:t>
      </w:r>
      <w:r w:rsidRPr="00D42530">
        <w:rPr>
          <w:rFonts w:ascii="Calibri" w:hAnsi="Calibri" w:cs="Calibri"/>
          <w:color w:val="auto"/>
          <w:szCs w:val="22"/>
        </w:rPr>
        <w:t xml:space="preserve"> (in circumstances where the interim decision proposes an amendment to the current Poisons Standard).</w:t>
      </w:r>
    </w:p>
    <w:p w14:paraId="28F69095" w14:textId="31CE3900" w:rsidR="00522B11" w:rsidRPr="00FE1D52" w:rsidRDefault="00522B11" w:rsidP="00522B11">
      <w:pPr>
        <w:rPr>
          <w:color w:val="auto"/>
          <w:szCs w:val="22"/>
        </w:rPr>
      </w:pPr>
      <w:r w:rsidRPr="00D42530">
        <w:rPr>
          <w:color w:val="auto"/>
          <w:szCs w:val="22"/>
        </w:rPr>
        <w:t>In accordance with regulation 42ZCZP, interested persons (including the applicant requesting the amendment) are invited to make submissions in relation to these interim decisions</w:t>
      </w:r>
      <w:r w:rsidR="00FE1D52" w:rsidRPr="00FE1D52">
        <w:rPr>
          <w:color w:val="auto"/>
          <w:szCs w:val="22"/>
        </w:rPr>
        <w:t xml:space="preserve"> </w:t>
      </w:r>
      <w:r w:rsidRPr="00FE1D52">
        <w:rPr>
          <w:color w:val="auto"/>
          <w:szCs w:val="22"/>
        </w:rPr>
        <w:t xml:space="preserve">on or before </w:t>
      </w:r>
      <w:r w:rsidR="00774C5F">
        <w:rPr>
          <w:b/>
          <w:color w:val="auto"/>
          <w:szCs w:val="22"/>
        </w:rPr>
        <w:t>2</w:t>
      </w:r>
      <w:r w:rsidR="00AA0EFB">
        <w:rPr>
          <w:b/>
          <w:color w:val="auto"/>
          <w:szCs w:val="22"/>
        </w:rPr>
        <w:t> </w:t>
      </w:r>
      <w:r w:rsidR="00522EC3">
        <w:rPr>
          <w:b/>
          <w:color w:val="auto"/>
          <w:szCs w:val="22"/>
        </w:rPr>
        <w:t>November</w:t>
      </w:r>
      <w:r w:rsidR="00AA0EFB">
        <w:rPr>
          <w:b/>
          <w:color w:val="auto"/>
          <w:szCs w:val="22"/>
        </w:rPr>
        <w:t> </w:t>
      </w:r>
      <w:r w:rsidRPr="00BE22ED">
        <w:rPr>
          <w:b/>
          <w:color w:val="auto"/>
          <w:szCs w:val="22"/>
        </w:rPr>
        <w:t>20</w:t>
      </w:r>
      <w:r w:rsidR="00BE22ED" w:rsidRPr="00BE22ED">
        <w:rPr>
          <w:b/>
          <w:color w:val="auto"/>
          <w:szCs w:val="22"/>
        </w:rPr>
        <w:t>23</w:t>
      </w:r>
      <w:r w:rsidRPr="00FE1D52">
        <w:rPr>
          <w:color w:val="auto"/>
          <w:szCs w:val="22"/>
        </w:rPr>
        <w:t>.</w:t>
      </w:r>
    </w:p>
    <w:p w14:paraId="495BF5E5" w14:textId="64413933" w:rsidR="00522B11" w:rsidRPr="00FE1D52" w:rsidRDefault="00522B11" w:rsidP="00522B11">
      <w:pPr>
        <w:rPr>
          <w:rFonts w:eastAsia="Times New Roman"/>
          <w:color w:val="auto"/>
          <w:szCs w:val="22"/>
          <w:lang w:val="en" w:eastAsia="en-AU"/>
        </w:rPr>
      </w:pPr>
      <w:r w:rsidRPr="00FE1D52">
        <w:rPr>
          <w:rFonts w:eastAsia="Times New Roman"/>
          <w:color w:val="auto"/>
          <w:szCs w:val="22"/>
          <w:lang w:val="en" w:eastAsia="en-AU"/>
        </w:rPr>
        <w:t xml:space="preserve">Submissions should be provided through our </w:t>
      </w:r>
      <w:hyperlink r:id="rId13" w:tgtFrame="_blank" w:history="1">
        <w:r w:rsidRPr="003B3F3B">
          <w:rPr>
            <w:rFonts w:eastAsia="Times New Roman"/>
            <w:color w:val="0000FF"/>
            <w:szCs w:val="22"/>
            <w:u w:val="single"/>
            <w:lang w:val="en" w:eastAsia="en-AU"/>
          </w:rPr>
          <w:t>consultation hub</w:t>
        </w:r>
      </w:hyperlink>
      <w:r w:rsidRPr="009421DD">
        <w:rPr>
          <w:rFonts w:eastAsia="Times New Roman"/>
          <w:color w:val="000000"/>
          <w:szCs w:val="22"/>
          <w:lang w:val="en" w:eastAsia="en-AU"/>
        </w:rPr>
        <w:t xml:space="preserve">. </w:t>
      </w:r>
      <w:r w:rsidRPr="00FE1D52">
        <w:rPr>
          <w:rFonts w:eastAsia="Times New Roman"/>
          <w:color w:val="auto"/>
          <w:szCs w:val="22"/>
          <w:lang w:val="en" w:eastAsia="en-AU"/>
        </w:rPr>
        <w:t>Submissions will be considered by the Delegate in making the final decision.</w:t>
      </w:r>
    </w:p>
    <w:p w14:paraId="67F51D7E" w14:textId="299656B5" w:rsidR="00522B11" w:rsidRPr="00FE1D52" w:rsidRDefault="000D3B93" w:rsidP="00522B11">
      <w:pPr>
        <w:rPr>
          <w:color w:val="auto"/>
          <w:szCs w:val="22"/>
        </w:rPr>
      </w:pPr>
      <w:r>
        <w:rPr>
          <w:color w:val="auto"/>
          <w:szCs w:val="22"/>
        </w:rPr>
        <w:t>I</w:t>
      </w:r>
      <w:r w:rsidR="00522B11" w:rsidRPr="00FE1D52">
        <w:rPr>
          <w:color w:val="auto"/>
          <w:szCs w:val="22"/>
        </w:rPr>
        <w:t xml:space="preserve">n accordance with </w:t>
      </w:r>
      <w:proofErr w:type="spellStart"/>
      <w:r w:rsidR="00522B11" w:rsidRPr="00FE1D52">
        <w:rPr>
          <w:color w:val="auto"/>
          <w:szCs w:val="22"/>
        </w:rPr>
        <w:t>subregulation</w:t>
      </w:r>
      <w:proofErr w:type="spellEnd"/>
      <w:r w:rsidR="00522B11" w:rsidRPr="00FE1D52">
        <w:rPr>
          <w:color w:val="auto"/>
          <w:szCs w:val="22"/>
        </w:rPr>
        <w:t xml:space="preserve"> 42</w:t>
      </w:r>
      <w:proofErr w:type="gramStart"/>
      <w:r w:rsidR="00522B11" w:rsidRPr="00FE1D52">
        <w:rPr>
          <w:color w:val="auto"/>
          <w:szCs w:val="22"/>
        </w:rPr>
        <w:t>ZCZQ(</w:t>
      </w:r>
      <w:proofErr w:type="gramEnd"/>
      <w:r w:rsidR="00522B11" w:rsidRPr="00FE1D52">
        <w:rPr>
          <w:color w:val="auto"/>
          <w:szCs w:val="22"/>
        </w:rPr>
        <w:t>4) of the Regulations, the Secretary must publish all relevant submissions received, unless the Secretary considers the information to be confidential information.</w:t>
      </w:r>
    </w:p>
    <w:p w14:paraId="51A104F0" w14:textId="77777777" w:rsidR="00522B11" w:rsidRPr="009421DD" w:rsidRDefault="00522B11" w:rsidP="007D565C">
      <w:pPr>
        <w:pStyle w:val="Heading4"/>
      </w:pPr>
      <w:bookmarkStart w:id="1" w:name="_Toc147325263"/>
      <w:r w:rsidRPr="009421DD">
        <w:t>Defined terms</w:t>
      </w:r>
      <w:bookmarkEnd w:id="1"/>
    </w:p>
    <w:p w14:paraId="2947561D" w14:textId="77777777" w:rsidR="00522B11" w:rsidRPr="007D565C" w:rsidRDefault="00522B11" w:rsidP="002852B5">
      <w:pPr>
        <w:pStyle w:val="ListBullet"/>
        <w:numPr>
          <w:ilvl w:val="0"/>
          <w:numId w:val="0"/>
        </w:numPr>
        <w:ind w:left="360" w:hanging="360"/>
        <w:rPr>
          <w:rFonts w:asciiTheme="minorHAnsi" w:hAnsiTheme="minorHAnsi" w:cstheme="minorHAnsi"/>
          <w:color w:val="auto"/>
          <w:szCs w:val="22"/>
        </w:rPr>
      </w:pPr>
      <w:r w:rsidRPr="007D565C">
        <w:rPr>
          <w:rFonts w:asciiTheme="minorHAnsi" w:hAnsiTheme="minorHAnsi" w:cstheme="minorHAnsi"/>
          <w:color w:val="auto"/>
          <w:szCs w:val="22"/>
        </w:rPr>
        <w:t>In this notice the following defined terms are used in addition to those above:</w:t>
      </w:r>
    </w:p>
    <w:p w14:paraId="30BF51BB" w14:textId="12176722"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r w:rsidRPr="00FB1FDE">
        <w:rPr>
          <w:rFonts w:asciiTheme="minorHAnsi" w:hAnsiTheme="minorHAnsi" w:cstheme="minorHAnsi"/>
          <w:i/>
          <w:iCs/>
          <w:color w:val="auto"/>
          <w:szCs w:val="22"/>
        </w:rPr>
        <w:t>Therapeutic Goods Act 1989</w:t>
      </w:r>
      <w:r w:rsidRPr="007D565C">
        <w:rPr>
          <w:rFonts w:asciiTheme="minorHAnsi" w:hAnsiTheme="minorHAnsi" w:cstheme="minorHAnsi"/>
          <w:color w:val="auto"/>
          <w:szCs w:val="22"/>
        </w:rPr>
        <w:t xml:space="preserve"> (</w:t>
      </w:r>
      <w:proofErr w:type="spellStart"/>
      <w:r w:rsidRPr="007D565C">
        <w:rPr>
          <w:rFonts w:asciiTheme="minorHAnsi" w:hAnsiTheme="minorHAnsi" w:cstheme="minorHAnsi"/>
          <w:color w:val="auto"/>
          <w:szCs w:val="22"/>
        </w:rPr>
        <w:t>Cth</w:t>
      </w:r>
      <w:proofErr w:type="spellEnd"/>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Act</w:t>
      </w:r>
      <w:r w:rsidRPr="007D565C">
        <w:rPr>
          <w:rFonts w:asciiTheme="minorHAnsi" w:hAnsiTheme="minorHAnsi" w:cstheme="minorHAnsi"/>
          <w:color w:val="auto"/>
          <w:szCs w:val="22"/>
        </w:rPr>
        <w:t>)</w:t>
      </w:r>
    </w:p>
    <w:p w14:paraId="36AF3971" w14:textId="43160E95"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hyperlink r:id="rId14" w:history="1">
        <w:r w:rsidRPr="00BE22ED">
          <w:rPr>
            <w:rStyle w:val="Hyperlink"/>
            <w:rFonts w:asciiTheme="minorHAnsi" w:hAnsiTheme="minorHAnsi" w:cstheme="minorHAnsi"/>
            <w:szCs w:val="22"/>
          </w:rPr>
          <w:t>Scheduling Policy Framework 2018</w:t>
        </w:r>
      </w:hyperlink>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SPF</w:t>
      </w:r>
      <w:r w:rsidRPr="007D565C">
        <w:rPr>
          <w:rFonts w:asciiTheme="minorHAnsi" w:hAnsiTheme="minorHAnsi" w:cstheme="minorHAnsi"/>
          <w:color w:val="auto"/>
          <w:szCs w:val="22"/>
        </w:rPr>
        <w:t>)</w:t>
      </w:r>
    </w:p>
    <w:p w14:paraId="33E94A8B" w14:textId="7F9EE04D" w:rsidR="00522B11" w:rsidRPr="00FB1FDE" w:rsidRDefault="00522B11" w:rsidP="00FB1FDE">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hyperlink r:id="rId15" w:history="1">
        <w:r w:rsidRPr="00BE22ED">
          <w:rPr>
            <w:rStyle w:val="Hyperlink"/>
            <w:rFonts w:asciiTheme="minorHAnsi" w:hAnsiTheme="minorHAnsi" w:cstheme="minorHAnsi"/>
            <w:szCs w:val="22"/>
          </w:rPr>
          <w:t>Scheduling handbook: Guidance for amending the Poisons Standard</w:t>
        </w:r>
      </w:hyperlink>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Handbook</w:t>
      </w:r>
      <w:r w:rsidRPr="007D565C">
        <w:rPr>
          <w:rFonts w:asciiTheme="minorHAnsi" w:hAnsiTheme="minorHAnsi" w:cstheme="minorHAnsi"/>
          <w:color w:val="auto"/>
          <w:szCs w:val="22"/>
        </w:rPr>
        <w:t>)</w:t>
      </w:r>
      <w:r w:rsidR="000D3B93">
        <w:rPr>
          <w:rFonts w:asciiTheme="minorHAnsi" w:hAnsiTheme="minorHAnsi" w:cstheme="minorHAnsi"/>
          <w:color w:val="auto"/>
          <w:szCs w:val="22"/>
        </w:rPr>
        <w:t>,</w:t>
      </w:r>
      <w:r w:rsidR="00FB1FDE">
        <w:rPr>
          <w:rFonts w:asciiTheme="minorHAnsi" w:hAnsiTheme="minorHAnsi" w:cstheme="minorHAnsi"/>
          <w:color w:val="auto"/>
          <w:szCs w:val="22"/>
        </w:rPr>
        <w:t xml:space="preserve"> </w:t>
      </w:r>
      <w:r w:rsidRPr="00FB1FDE">
        <w:rPr>
          <w:rFonts w:asciiTheme="minorHAnsi" w:hAnsiTheme="minorHAnsi" w:cstheme="minorHAnsi"/>
          <w:color w:val="auto"/>
          <w:szCs w:val="22"/>
        </w:rPr>
        <w:t>and</w:t>
      </w:r>
    </w:p>
    <w:p w14:paraId="17DD973B" w14:textId="57378A61"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Therapeutic Goods Administration (the </w:t>
      </w:r>
      <w:r w:rsidRPr="007D565C">
        <w:rPr>
          <w:rFonts w:asciiTheme="minorHAnsi" w:hAnsiTheme="minorHAnsi" w:cstheme="minorHAnsi"/>
          <w:b/>
          <w:bCs/>
          <w:color w:val="auto"/>
          <w:szCs w:val="22"/>
        </w:rPr>
        <w:t>TGA</w:t>
      </w:r>
      <w:r w:rsidRPr="007D565C">
        <w:rPr>
          <w:rFonts w:asciiTheme="minorHAnsi" w:hAnsiTheme="minorHAnsi" w:cstheme="minorHAnsi"/>
          <w:color w:val="auto"/>
          <w:szCs w:val="22"/>
        </w:rPr>
        <w:t>).</w:t>
      </w:r>
    </w:p>
    <w:p w14:paraId="777C96D0" w14:textId="04FFBFEC" w:rsidR="009421DD" w:rsidRPr="007D565C" w:rsidRDefault="00522B11" w:rsidP="00522B11">
      <w:pPr>
        <w:pStyle w:val="ListBullet"/>
        <w:numPr>
          <w:ilvl w:val="0"/>
          <w:numId w:val="0"/>
        </w:numPr>
        <w:ind w:left="360" w:hanging="360"/>
        <w:rPr>
          <w:rFonts w:asciiTheme="minorHAnsi" w:hAnsiTheme="minorHAnsi" w:cstheme="minorHAnsi"/>
          <w:color w:val="auto"/>
          <w:szCs w:val="22"/>
        </w:rPr>
      </w:pPr>
      <w:r w:rsidRPr="007D565C">
        <w:rPr>
          <w:rFonts w:asciiTheme="minorHAnsi" w:hAnsiTheme="minorHAnsi" w:cstheme="minorHAnsi"/>
          <w:color w:val="auto"/>
          <w:szCs w:val="22"/>
        </w:rPr>
        <w:t>Note: additional terms are also defined for individual decisions.</w:t>
      </w:r>
    </w:p>
    <w:p w14:paraId="318270C0" w14:textId="77777777" w:rsidR="009421DD" w:rsidRDefault="009421DD">
      <w:pPr>
        <w:rPr>
          <w:rFonts w:eastAsia="Cambria" w:cstheme="minorHAnsi"/>
          <w:color w:val="333F48"/>
        </w:rPr>
      </w:pPr>
      <w:r>
        <w:rPr>
          <w:rFonts w:cstheme="minorHAnsi"/>
        </w:rPr>
        <w:br w:type="page"/>
      </w:r>
    </w:p>
    <w:p w14:paraId="653036C3" w14:textId="386B908B" w:rsidR="00F02AEC" w:rsidRPr="00215D48" w:rsidRDefault="009421DD" w:rsidP="009421DD">
      <w:pPr>
        <w:pStyle w:val="Heading2"/>
      </w:pPr>
      <w:bookmarkStart w:id="2" w:name="_Toc147325264"/>
      <w:r>
        <w:lastRenderedPageBreak/>
        <w:t>Interim decision</w:t>
      </w:r>
      <w:r w:rsidR="005C0C0B">
        <w:t>s</w:t>
      </w:r>
      <w:r>
        <w:t xml:space="preserve"> on proposed amendments referred to the Advisory Committee on Medicines Scheduling (ACMS #</w:t>
      </w:r>
      <w:r w:rsidR="00CB7CDB">
        <w:t>42</w:t>
      </w:r>
      <w:r>
        <w:t xml:space="preserve">, </w:t>
      </w:r>
      <w:r w:rsidR="00E85A49">
        <w:t>June</w:t>
      </w:r>
      <w:r>
        <w:t xml:space="preserve"> 20</w:t>
      </w:r>
      <w:r w:rsidR="00E85A49">
        <w:t>23</w:t>
      </w:r>
      <w:r>
        <w:t>)</w:t>
      </w:r>
      <w:bookmarkEnd w:id="2"/>
    </w:p>
    <w:p w14:paraId="669C5E5E" w14:textId="4A629DD6" w:rsidR="00F02AEC" w:rsidRPr="00215D48" w:rsidRDefault="009421DD" w:rsidP="009421DD">
      <w:pPr>
        <w:pStyle w:val="Heading3"/>
      </w:pPr>
      <w:bookmarkStart w:id="3" w:name="_Toc147325265"/>
      <w:r>
        <w:t xml:space="preserve">Interim decision in relation to </w:t>
      </w:r>
      <w:r w:rsidR="005C0C0B">
        <w:t>bisacodyl</w:t>
      </w:r>
      <w:bookmarkEnd w:id="3"/>
    </w:p>
    <w:p w14:paraId="0CCA3074" w14:textId="22B5AF53" w:rsidR="009421DD" w:rsidRPr="002008D8" w:rsidRDefault="00BF6B60" w:rsidP="007D565C">
      <w:pPr>
        <w:pStyle w:val="Heading4"/>
      </w:pPr>
      <w:bookmarkStart w:id="4" w:name="_Toc147325266"/>
      <w:bookmarkStart w:id="5" w:name="_Toc323739592"/>
      <w:bookmarkStart w:id="6" w:name="_Toc356305219"/>
      <w:r w:rsidRPr="002008D8">
        <w:t>Proposal</w:t>
      </w:r>
      <w:bookmarkEnd w:id="4"/>
    </w:p>
    <w:p w14:paraId="29BB21A2" w14:textId="3ADBD09B" w:rsidR="00BF6B60" w:rsidRPr="00C72DAB" w:rsidRDefault="00BF6B60" w:rsidP="002008D8">
      <w:pPr>
        <w:spacing w:after="240"/>
      </w:pPr>
      <w:r w:rsidRPr="00C72DAB">
        <w:t xml:space="preserve">The applicant proposed </w:t>
      </w:r>
      <w:r w:rsidR="005C0C0B" w:rsidRPr="00FE26E1">
        <w:rPr>
          <w:rFonts w:ascii="Calibri" w:hAnsi="Calibri" w:cs="Calibri"/>
          <w:szCs w:val="22"/>
          <w:lang w:eastAsia="en-AU"/>
        </w:rPr>
        <w:t>the creation of a new Schedule 2 entry for bisacodyl for oral use</w:t>
      </w:r>
      <w:r w:rsidR="005C0C0B">
        <w:rPr>
          <w:rFonts w:ascii="Calibri" w:hAnsi="Calibri" w:cs="Calibri"/>
          <w:szCs w:val="22"/>
          <w:lang w:eastAsia="en-AU"/>
        </w:rPr>
        <w:t xml:space="preserve"> </w:t>
      </w:r>
      <w:r w:rsidR="005C0C0B" w:rsidRPr="00FE26E1">
        <w:rPr>
          <w:rFonts w:ascii="Calibri" w:hAnsi="Calibri" w:cs="Calibri"/>
          <w:szCs w:val="22"/>
          <w:lang w:eastAsia="en-AU"/>
        </w:rPr>
        <w:t>except in divided preparations in packs containing 20 tablets or less</w:t>
      </w:r>
      <w:r w:rsidR="005C0C0B">
        <w:rPr>
          <w:rFonts w:ascii="Calibri" w:hAnsi="Calibri" w:cs="Calibri"/>
          <w:szCs w:val="22"/>
          <w:lang w:eastAsia="en-AU"/>
        </w:rPr>
        <w:t xml:space="preserve"> (the </w:t>
      </w:r>
      <w:r w:rsidR="005C0C0B" w:rsidRPr="005D5C09">
        <w:rPr>
          <w:rFonts w:ascii="Calibri" w:hAnsi="Calibri" w:cs="Calibri"/>
          <w:b/>
          <w:bCs/>
          <w:szCs w:val="22"/>
          <w:lang w:eastAsia="en-AU"/>
        </w:rPr>
        <w:t>Proposal</w:t>
      </w:r>
      <w:r w:rsidR="005C0C0B">
        <w:rPr>
          <w:rFonts w:ascii="Calibri" w:hAnsi="Calibri" w:cs="Calibri"/>
          <w:szCs w:val="22"/>
          <w:lang w:eastAsia="en-AU"/>
        </w:rPr>
        <w:t>)</w:t>
      </w:r>
      <w:r w:rsidR="005C0C0B" w:rsidRPr="00FE26E1">
        <w:rPr>
          <w:rFonts w:ascii="Calibri" w:hAnsi="Calibri" w:cs="Calibri"/>
          <w:szCs w:val="22"/>
          <w:lang w:eastAsia="en-AU"/>
        </w:rPr>
        <w:t>. Bisacodyl is a laxative that is not currently scheduled. The proposed amendment would restrict all oral preparations of bisacodyl to pharmacy sale, except packs of 20 tablets or less which would still be available for purchase from supermarkets and convenience stores.</w:t>
      </w:r>
    </w:p>
    <w:p w14:paraId="2F13D846" w14:textId="64ADCCB2" w:rsidR="00BF6B60" w:rsidRDefault="002008D8" w:rsidP="007D565C">
      <w:pPr>
        <w:pStyle w:val="Heading4"/>
      </w:pPr>
      <w:bookmarkStart w:id="7" w:name="_Toc147325267"/>
      <w:r w:rsidRPr="002008D8">
        <w:t>Interim decision</w:t>
      </w:r>
      <w:bookmarkEnd w:id="7"/>
    </w:p>
    <w:p w14:paraId="07CC92C1" w14:textId="77777777" w:rsidR="005C0C0B" w:rsidRPr="00FE26E1" w:rsidRDefault="005C0C0B" w:rsidP="005C0C0B">
      <w:pPr>
        <w:rPr>
          <w:rFonts w:ascii="Calibri" w:hAnsi="Calibri" w:cs="Calibri"/>
        </w:rPr>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2"/>
      </w:r>
      <w:r w:rsidRPr="00FE26E1">
        <w:rPr>
          <w:rFonts w:ascii="Calibri" w:hAnsi="Calibri" w:cs="Calibri"/>
        </w:rPr>
        <w:t xml:space="preserve"> has made an interim decision to create a new entry for bisacodyl in Schedule 2 of the Poisons Standard as follows:</w:t>
      </w:r>
      <w:r>
        <w:rPr>
          <w:rStyle w:val="FootnoteReference"/>
          <w:rFonts w:ascii="Calibri" w:hAnsi="Calibri" w:cs="Calibri"/>
        </w:rPr>
        <w:footnoteReference w:id="3"/>
      </w:r>
    </w:p>
    <w:p w14:paraId="4E26A6D1" w14:textId="77777777" w:rsidR="005C0C0B" w:rsidRPr="00FE26E1" w:rsidRDefault="005C0C0B" w:rsidP="0039460E">
      <w:pPr>
        <w:ind w:left="426"/>
        <w:rPr>
          <w:rFonts w:ascii="Calibri" w:hAnsi="Calibri" w:cs="Calibri"/>
          <w:b/>
        </w:rPr>
      </w:pPr>
      <w:r w:rsidRPr="00FE26E1">
        <w:rPr>
          <w:rFonts w:ascii="Calibri" w:hAnsi="Calibri" w:cs="Calibri"/>
          <w:b/>
        </w:rPr>
        <w:t xml:space="preserve">Schedule 2 – New </w:t>
      </w:r>
      <w:r>
        <w:rPr>
          <w:rFonts w:ascii="Calibri" w:hAnsi="Calibri" w:cs="Calibri"/>
          <w:b/>
        </w:rPr>
        <w:t>e</w:t>
      </w:r>
      <w:r w:rsidRPr="00FE26E1">
        <w:rPr>
          <w:rFonts w:ascii="Calibri" w:hAnsi="Calibri" w:cs="Calibri"/>
          <w:b/>
        </w:rPr>
        <w:t>ntry</w:t>
      </w:r>
    </w:p>
    <w:p w14:paraId="3BDA7C50" w14:textId="77777777" w:rsidR="005C0C0B" w:rsidRPr="00941C29" w:rsidRDefault="005C0C0B" w:rsidP="0039460E">
      <w:pPr>
        <w:pStyle w:val="paragraph"/>
        <w:spacing w:after="0"/>
        <w:ind w:left="426" w:firstLine="285"/>
        <w:textAlignment w:val="baseline"/>
        <w:rPr>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BISACODYL:</w:t>
      </w:r>
    </w:p>
    <w:p w14:paraId="72D9EC0B" w14:textId="7B96F4DF" w:rsidR="005C0C0B" w:rsidRPr="00FE1D52" w:rsidRDefault="005C0C0B" w:rsidP="00957F1A">
      <w:pPr>
        <w:pStyle w:val="paragraph"/>
        <w:numPr>
          <w:ilvl w:val="0"/>
          <w:numId w:val="18"/>
        </w:numPr>
        <w:spacing w:before="240" w:beforeAutospacing="0" w:after="0" w:afterAutospacing="0"/>
        <w:ind w:left="1418"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rPr>
        <w:t xml:space="preserve">in divided preparations for oral use </w:t>
      </w:r>
      <w:r w:rsidRPr="00941C29">
        <w:rPr>
          <w:rStyle w:val="normaltextrun"/>
          <w:rFonts w:ascii="Calibri" w:hAnsi="Calibri" w:cs="Calibri"/>
          <w:b/>
          <w:bCs/>
          <w:color w:val="00B050"/>
          <w:sz w:val="22"/>
          <w:szCs w:val="22"/>
          <w:u w:val="single"/>
        </w:rPr>
        <w:t>except</w:t>
      </w:r>
      <w:r w:rsidRPr="00941C29">
        <w:rPr>
          <w:rStyle w:val="normaltextrun"/>
          <w:rFonts w:ascii="Calibri" w:hAnsi="Calibri" w:cs="Calibri"/>
          <w:color w:val="00B050"/>
          <w:sz w:val="22"/>
          <w:szCs w:val="22"/>
          <w:u w:val="single"/>
        </w:rPr>
        <w:t xml:space="preserve"> in packs containing 20 dosage units or less containing 5 mg or less of bisacodyl per dosage unit; or</w:t>
      </w:r>
      <w:r w:rsidRPr="00941C29">
        <w:rPr>
          <w:rStyle w:val="eop"/>
          <w:rFonts w:ascii="Calibri" w:hAnsi="Calibri" w:cs="Calibri"/>
          <w:color w:val="00B050"/>
          <w:sz w:val="22"/>
          <w:szCs w:val="22"/>
        </w:rPr>
        <w:t xml:space="preserve"> </w:t>
      </w:r>
    </w:p>
    <w:p w14:paraId="2D416353" w14:textId="77777777" w:rsidR="005C0C0B" w:rsidRPr="00941C29" w:rsidRDefault="005C0C0B" w:rsidP="00957F1A">
      <w:pPr>
        <w:pStyle w:val="paragraph"/>
        <w:numPr>
          <w:ilvl w:val="0"/>
          <w:numId w:val="18"/>
        </w:numPr>
        <w:spacing w:before="240" w:beforeAutospacing="0" w:after="0" w:afterAutospacing="0"/>
        <w:ind w:left="1418" w:hanging="357"/>
        <w:textAlignment w:val="baseline"/>
        <w:rPr>
          <w:rStyle w:val="normaltextrun"/>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 xml:space="preserve">in divided preparations for rectal use </w:t>
      </w:r>
      <w:r w:rsidRPr="00941C29">
        <w:rPr>
          <w:rStyle w:val="normaltextrun"/>
          <w:rFonts w:ascii="Calibri" w:hAnsi="Calibri" w:cs="Calibri"/>
          <w:b/>
          <w:bCs/>
          <w:color w:val="00B050"/>
          <w:sz w:val="22"/>
          <w:szCs w:val="22"/>
          <w:u w:val="single"/>
          <w:shd w:val="clear" w:color="auto" w:fill="FFFFFF"/>
        </w:rPr>
        <w:t>except:</w:t>
      </w:r>
    </w:p>
    <w:p w14:paraId="408C2E69" w14:textId="77777777" w:rsidR="005C0C0B" w:rsidRPr="00941C29" w:rsidRDefault="005C0C0B" w:rsidP="00957F1A">
      <w:pPr>
        <w:pStyle w:val="paragraph"/>
        <w:numPr>
          <w:ilvl w:val="1"/>
          <w:numId w:val="18"/>
        </w:numPr>
        <w:spacing w:before="240" w:beforeAutospacing="0" w:after="0" w:afterAutospacing="0"/>
        <w:ind w:left="1843"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in packs containing 12 dosage units or less suppositories containing 10 mg or less of bisacodyl per dosage unit; or</w:t>
      </w:r>
    </w:p>
    <w:p w14:paraId="7B268CFA" w14:textId="4D4F1196" w:rsidR="00E85A49" w:rsidRPr="00FE1D52" w:rsidRDefault="005C0C0B" w:rsidP="00957F1A">
      <w:pPr>
        <w:pStyle w:val="paragraph"/>
        <w:numPr>
          <w:ilvl w:val="1"/>
          <w:numId w:val="18"/>
        </w:numPr>
        <w:spacing w:before="240" w:beforeAutospacing="0" w:after="0" w:afterAutospacing="0"/>
        <w:ind w:left="1843" w:hanging="357"/>
        <w:textAlignment w:val="baseline"/>
        <w:rPr>
          <w:rFonts w:ascii="Calibri" w:hAnsi="Calibri" w:cs="Calibri"/>
          <w:sz w:val="22"/>
          <w:szCs w:val="22"/>
        </w:rPr>
      </w:pPr>
      <w:r w:rsidRPr="00941C29">
        <w:rPr>
          <w:rStyle w:val="normaltextrun"/>
          <w:rFonts w:ascii="Calibri" w:hAnsi="Calibri" w:cs="Calibri"/>
          <w:color w:val="00B050"/>
          <w:sz w:val="22"/>
          <w:szCs w:val="22"/>
          <w:u w:val="single"/>
        </w:rPr>
        <w:t xml:space="preserve">in packs containing 25 dosage units or less enemas </w:t>
      </w:r>
      <w:r w:rsidRPr="00941C29">
        <w:rPr>
          <w:rStyle w:val="normaltextrun"/>
          <w:rFonts w:ascii="Calibri" w:hAnsi="Calibri" w:cs="Calibri"/>
          <w:color w:val="00B050"/>
          <w:sz w:val="22"/>
          <w:szCs w:val="22"/>
          <w:u w:val="single"/>
          <w:shd w:val="clear" w:color="auto" w:fill="FFFFFF"/>
        </w:rPr>
        <w:t>containing 10 mg or less of bisacodyl per dosage unit</w:t>
      </w:r>
      <w:r w:rsidRPr="00941C29">
        <w:rPr>
          <w:rStyle w:val="normaltextrun"/>
          <w:rFonts w:ascii="Calibri" w:hAnsi="Calibri" w:cs="Calibri"/>
          <w:color w:val="00B050"/>
          <w:sz w:val="22"/>
          <w:szCs w:val="22"/>
          <w:u w:val="single"/>
        </w:rPr>
        <w:t>.</w:t>
      </w:r>
    </w:p>
    <w:p w14:paraId="2F3A856C" w14:textId="79819463" w:rsidR="005C0C0B" w:rsidRPr="00941C29" w:rsidRDefault="005C0C0B" w:rsidP="00957F1A">
      <w:pPr>
        <w:spacing w:before="240"/>
        <w:ind w:left="426"/>
        <w:rPr>
          <w:rFonts w:ascii="Calibri" w:hAnsi="Calibri" w:cs="Calibri"/>
          <w:b/>
          <w:szCs w:val="22"/>
        </w:rPr>
      </w:pPr>
      <w:r w:rsidRPr="00941C29">
        <w:rPr>
          <w:rFonts w:ascii="Calibri" w:hAnsi="Calibri" w:cs="Calibri"/>
          <w:b/>
          <w:szCs w:val="22"/>
        </w:rPr>
        <w:t xml:space="preserve">Index – New </w:t>
      </w:r>
      <w:r>
        <w:rPr>
          <w:rFonts w:ascii="Calibri" w:hAnsi="Calibri" w:cs="Calibri"/>
          <w:b/>
          <w:szCs w:val="22"/>
        </w:rPr>
        <w:t>e</w:t>
      </w:r>
      <w:r w:rsidRPr="00941C29">
        <w:rPr>
          <w:rFonts w:ascii="Calibri" w:hAnsi="Calibri" w:cs="Calibri"/>
          <w:b/>
          <w:szCs w:val="22"/>
        </w:rPr>
        <w:t>ntry</w:t>
      </w:r>
    </w:p>
    <w:p w14:paraId="43EAEC8E" w14:textId="137C42E1" w:rsidR="005C0C0B" w:rsidRPr="00FE1D52" w:rsidRDefault="005C0C0B" w:rsidP="00957F1A">
      <w:pPr>
        <w:ind w:left="709"/>
        <w:rPr>
          <w:rFonts w:ascii="Calibri" w:hAnsi="Calibri" w:cs="Calibri"/>
          <w:b/>
          <w:bCs/>
          <w:color w:val="00B050"/>
          <w:szCs w:val="22"/>
          <w:u w:val="single"/>
        </w:rPr>
      </w:pPr>
      <w:r w:rsidRPr="00791351">
        <w:rPr>
          <w:rFonts w:ascii="Calibri" w:hAnsi="Calibri" w:cs="Calibri"/>
          <w:b/>
          <w:bCs/>
          <w:color w:val="00B050"/>
          <w:szCs w:val="22"/>
          <w:u w:val="single"/>
        </w:rPr>
        <w:t>BISACODYL</w:t>
      </w:r>
      <w:r w:rsidR="00FE1D52">
        <w:rPr>
          <w:rFonts w:ascii="Calibri" w:hAnsi="Calibri" w:cs="Calibri"/>
          <w:b/>
          <w:bCs/>
          <w:color w:val="00B050"/>
          <w:szCs w:val="22"/>
          <w:u w:val="single"/>
        </w:rPr>
        <w:br/>
      </w:r>
      <w:r w:rsidRPr="00941C29">
        <w:rPr>
          <w:rFonts w:ascii="Calibri" w:hAnsi="Calibri" w:cs="Calibri"/>
          <w:color w:val="00B050"/>
          <w:szCs w:val="22"/>
          <w:u w:val="single"/>
        </w:rPr>
        <w:t>Schedule 2</w:t>
      </w:r>
    </w:p>
    <w:p w14:paraId="20C3ADB5" w14:textId="498F6DE5" w:rsidR="005C0C0B" w:rsidRPr="00FE1D52" w:rsidRDefault="005C0C0B" w:rsidP="00957F1A">
      <w:pPr>
        <w:spacing w:before="240"/>
        <w:rPr>
          <w:rFonts w:ascii="Calibri" w:hAnsi="Calibri" w:cs="Calibri"/>
        </w:rPr>
      </w:pPr>
      <w:r w:rsidRPr="00FE26E1">
        <w:rPr>
          <w:rFonts w:ascii="Calibri" w:hAnsi="Calibri" w:cs="Calibri"/>
        </w:rPr>
        <w:t xml:space="preserve">The Delegate’s interim </w:t>
      </w:r>
      <w:r w:rsidRPr="004719BF">
        <w:rPr>
          <w:rFonts w:ascii="Calibri" w:hAnsi="Calibri" w:cs="Calibri"/>
        </w:rPr>
        <w:t>decision differs from the applicant’s</w:t>
      </w:r>
      <w:r w:rsidRPr="00FE26E1">
        <w:rPr>
          <w:rFonts w:ascii="Calibri" w:hAnsi="Calibri" w:cs="Calibri"/>
        </w:rPr>
        <w:t xml:space="preserve"> proposal and the detailed reasons for the decision follow.</w:t>
      </w:r>
    </w:p>
    <w:p w14:paraId="0E096F04" w14:textId="77777777" w:rsidR="00205945" w:rsidRPr="005A34E2" w:rsidRDefault="00205945" w:rsidP="00FE1D52">
      <w:pPr>
        <w:pStyle w:val="Heading4"/>
      </w:pPr>
      <w:bookmarkStart w:id="8" w:name="_Toc147325268"/>
      <w:r w:rsidRPr="005A34E2">
        <w:lastRenderedPageBreak/>
        <w:t>Materials considered</w:t>
      </w:r>
      <w:bookmarkEnd w:id="8"/>
    </w:p>
    <w:p w14:paraId="27C3F12E" w14:textId="77777777" w:rsidR="005A34E2" w:rsidRPr="00FE1D52" w:rsidRDefault="00205945" w:rsidP="00FE1D52">
      <w:pPr>
        <w:keepNext/>
        <w:keepLines/>
        <w:rPr>
          <w:color w:val="auto"/>
        </w:rPr>
      </w:pPr>
      <w:r w:rsidRPr="00FE1D52">
        <w:rPr>
          <w:color w:val="auto"/>
        </w:rPr>
        <w:t>In making this interim decision, the Delegate considered the following material:</w:t>
      </w:r>
    </w:p>
    <w:p w14:paraId="26AA0000" w14:textId="19C895E4" w:rsidR="00205945" w:rsidRPr="005A34E2" w:rsidRDefault="00E1070A" w:rsidP="005A34E2">
      <w:pPr>
        <w:pStyle w:val="ListBullet"/>
        <w:rPr>
          <w:rFonts w:asciiTheme="minorHAnsi" w:hAnsiTheme="minorHAnsi" w:cstheme="minorHAnsi"/>
        </w:rPr>
      </w:pPr>
      <w:r>
        <w:rPr>
          <w:rFonts w:asciiTheme="minorHAnsi" w:hAnsiTheme="minorHAnsi" w:cstheme="minorHAnsi"/>
          <w:color w:val="auto"/>
        </w:rPr>
        <w:t>t</w:t>
      </w:r>
      <w:r w:rsidR="00205945" w:rsidRPr="00FE1D52">
        <w:rPr>
          <w:rFonts w:asciiTheme="minorHAnsi" w:hAnsiTheme="minorHAnsi" w:cstheme="minorHAnsi"/>
          <w:color w:val="auto"/>
        </w:rPr>
        <w:t>he</w:t>
      </w:r>
      <w:sdt>
        <w:sdtPr>
          <w:rPr>
            <w:rFonts w:asciiTheme="minorHAnsi" w:hAnsiTheme="minorHAnsi" w:cstheme="minorHAnsi"/>
          </w:rPr>
          <w:alias w:val="Hyperlink to TGA website"/>
          <w:tag w:val="Hyperlink to TGA website"/>
          <w:id w:val="41648376"/>
          <w:placeholder>
            <w:docPart w:val="1183EC4291A349A6B74A7747B5D0DB82"/>
          </w:placeholder>
        </w:sdtPr>
        <w:sdtEndPr>
          <w:rPr>
            <w:color w:val="0000FF"/>
            <w:u w:val="single"/>
          </w:rPr>
        </w:sdtEndPr>
        <w:sdtContent>
          <w:r w:rsidR="00205945" w:rsidRPr="005A34E2">
            <w:rPr>
              <w:rFonts w:asciiTheme="minorHAnsi" w:hAnsiTheme="minorHAnsi" w:cstheme="minorHAnsi"/>
            </w:rPr>
            <w:t xml:space="preserve"> </w:t>
          </w:r>
          <w:hyperlink r:id="rId16" w:history="1">
            <w:r w:rsidR="00205945" w:rsidRPr="005C0C0B">
              <w:rPr>
                <w:rStyle w:val="Hyperlink"/>
                <w:rFonts w:asciiTheme="minorHAnsi" w:hAnsiTheme="minorHAnsi" w:cstheme="minorHAnsi"/>
              </w:rPr>
              <w:t>application</w:t>
            </w:r>
          </w:hyperlink>
        </w:sdtContent>
      </w:sdt>
      <w:r w:rsidR="00205945" w:rsidRPr="005A34E2">
        <w:rPr>
          <w:rFonts w:asciiTheme="minorHAnsi" w:hAnsiTheme="minorHAnsi" w:cstheme="minorHAnsi"/>
        </w:rPr>
        <w:t xml:space="preserve"> </w:t>
      </w:r>
      <w:r w:rsidR="00205945" w:rsidRPr="00FE1D52">
        <w:rPr>
          <w:rFonts w:asciiTheme="minorHAnsi" w:hAnsiTheme="minorHAnsi" w:cstheme="minorHAnsi"/>
          <w:color w:val="auto"/>
        </w:rPr>
        <w:t xml:space="preserve">to amend the current Poisons Standard with respect to </w:t>
      </w:r>
      <w:sdt>
        <w:sdtPr>
          <w:rPr>
            <w:rFonts w:asciiTheme="minorHAnsi" w:hAnsiTheme="minorHAnsi" w:cstheme="minorHAnsi"/>
            <w:color w:val="auto"/>
          </w:rPr>
          <w:id w:val="-1679116484"/>
          <w:placeholder>
            <w:docPart w:val="F28F93E88E6143B7B83988DE753ACBA1"/>
          </w:placeholder>
        </w:sdtPr>
        <w:sdtEndPr/>
        <w:sdtContent>
          <w:r w:rsidR="005C0C0B" w:rsidRPr="00FE1D52">
            <w:rPr>
              <w:rFonts w:asciiTheme="minorHAnsi" w:hAnsiTheme="minorHAnsi" w:cstheme="minorHAnsi"/>
              <w:color w:val="auto"/>
            </w:rPr>
            <w:t xml:space="preserve">bisacodyl </w:t>
          </w:r>
        </w:sdtContent>
      </w:sdt>
      <w:r w:rsidR="00205945" w:rsidRPr="00FE1D52">
        <w:rPr>
          <w:rFonts w:asciiTheme="minorHAnsi" w:hAnsiTheme="minorHAnsi" w:cstheme="minorHAnsi"/>
          <w:color w:val="auto"/>
        </w:rPr>
        <w:t xml:space="preserve">(the </w:t>
      </w:r>
      <w:r w:rsidR="00205945" w:rsidRPr="00FE1D52">
        <w:rPr>
          <w:rFonts w:asciiTheme="minorHAnsi" w:hAnsiTheme="minorHAnsi" w:cstheme="minorHAnsi"/>
          <w:b/>
          <w:bCs/>
          <w:color w:val="auto"/>
        </w:rPr>
        <w:t>Application</w:t>
      </w:r>
      <w:r w:rsidR="00205945" w:rsidRPr="00FE1D52">
        <w:rPr>
          <w:rFonts w:asciiTheme="minorHAnsi" w:hAnsiTheme="minorHAnsi" w:cstheme="minorHAnsi"/>
          <w:color w:val="auto"/>
        </w:rPr>
        <w:t>)</w:t>
      </w:r>
      <w:r>
        <w:rPr>
          <w:rFonts w:asciiTheme="minorHAnsi" w:hAnsiTheme="minorHAnsi" w:cstheme="minorHAnsi"/>
          <w:color w:val="auto"/>
        </w:rPr>
        <w:t>.</w:t>
      </w:r>
    </w:p>
    <w:p w14:paraId="1AED123F" w14:textId="55C89861" w:rsidR="005A34E2" w:rsidRPr="00FE1D52" w:rsidRDefault="00E1070A" w:rsidP="00205945">
      <w:pPr>
        <w:numPr>
          <w:ilvl w:val="0"/>
          <w:numId w:val="1"/>
        </w:numPr>
        <w:spacing w:before="120" w:after="180" w:line="240" w:lineRule="atLeast"/>
        <w:rPr>
          <w:color w:val="auto"/>
        </w:rPr>
      </w:pPr>
      <w:r>
        <w:rPr>
          <w:rFonts w:ascii="Calibri" w:hAnsi="Calibri" w:cs="Calibri"/>
          <w:color w:val="auto"/>
        </w:rPr>
        <w:t>t</w:t>
      </w:r>
      <w:r w:rsidR="005C0C0B" w:rsidRPr="00FE1D52">
        <w:rPr>
          <w:rFonts w:ascii="Calibri" w:hAnsi="Calibri" w:cs="Calibri"/>
          <w:color w:val="auto"/>
        </w:rPr>
        <w:t xml:space="preserve">he 9 </w:t>
      </w:r>
      <w:hyperlink r:id="rId17" w:history="1">
        <w:r w:rsidR="005C0C0B" w:rsidRPr="00D63C6B">
          <w:rPr>
            <w:rStyle w:val="Hyperlink"/>
            <w:rFonts w:ascii="Calibri" w:hAnsi="Calibri" w:cs="Calibri"/>
          </w:rPr>
          <w:t>public submissions</w:t>
        </w:r>
      </w:hyperlink>
      <w:r w:rsidR="005C0C0B" w:rsidRPr="00FE26E1">
        <w:rPr>
          <w:rFonts w:ascii="Calibri" w:hAnsi="Calibri" w:cs="Calibri"/>
        </w:rPr>
        <w:t xml:space="preserve"> </w:t>
      </w:r>
      <w:r w:rsidR="005C0C0B" w:rsidRPr="00FE1D52">
        <w:rPr>
          <w:rFonts w:ascii="Calibri" w:hAnsi="Calibri" w:cs="Calibri"/>
          <w:color w:val="auto"/>
        </w:rPr>
        <w:t xml:space="preserve">received in response to the </w:t>
      </w:r>
      <w:hyperlink r:id="rId18" w:history="1">
        <w:r w:rsidR="005C0C0B" w:rsidRPr="00D63C6B">
          <w:rPr>
            <w:rStyle w:val="Hyperlink"/>
            <w:rFonts w:ascii="Calibri" w:hAnsi="Calibri" w:cs="Calibri"/>
          </w:rPr>
          <w:t>pre-meeting consultation</w:t>
        </w:r>
      </w:hyperlink>
      <w:r w:rsidR="005C0C0B" w:rsidRPr="00FE26E1">
        <w:rPr>
          <w:rFonts w:ascii="Calibri" w:hAnsi="Calibri" w:cs="Calibri"/>
        </w:rPr>
        <w:t xml:space="preserve"> </w:t>
      </w:r>
      <w:r w:rsidR="005C0C0B" w:rsidRPr="00FE1D52">
        <w:rPr>
          <w:rFonts w:ascii="Calibri" w:hAnsi="Calibri" w:cs="Calibri"/>
          <w:color w:val="auto"/>
        </w:rPr>
        <w:t xml:space="preserve">under regulation 42ZCZK of the Regulations (the </w:t>
      </w:r>
      <w:r w:rsidR="005C0C0B" w:rsidRPr="00FE1D52">
        <w:rPr>
          <w:rFonts w:ascii="Calibri" w:hAnsi="Calibri" w:cs="Calibri"/>
          <w:b/>
          <w:bCs/>
          <w:color w:val="auto"/>
        </w:rPr>
        <w:t>Submissions</w:t>
      </w:r>
      <w:r w:rsidR="005C0C0B" w:rsidRPr="00FE1D52">
        <w:rPr>
          <w:rFonts w:ascii="Calibri" w:hAnsi="Calibri" w:cs="Calibri"/>
          <w:color w:val="auto"/>
        </w:rPr>
        <w:t>)</w:t>
      </w:r>
      <w:r>
        <w:rPr>
          <w:rFonts w:ascii="Calibri" w:hAnsi="Calibri" w:cs="Calibri"/>
          <w:color w:val="auto"/>
        </w:rPr>
        <w:t>.</w:t>
      </w:r>
    </w:p>
    <w:p w14:paraId="34068499" w14:textId="49CD66EC" w:rsidR="00205945" w:rsidRPr="00FE1D52" w:rsidRDefault="00E1070A" w:rsidP="00205945">
      <w:pPr>
        <w:numPr>
          <w:ilvl w:val="0"/>
          <w:numId w:val="1"/>
        </w:numPr>
        <w:spacing w:before="120" w:after="180" w:line="240" w:lineRule="atLeast"/>
        <w:rPr>
          <w:color w:val="auto"/>
        </w:rPr>
      </w:pPr>
      <w:r>
        <w:rPr>
          <w:rFonts w:ascii="Calibri" w:hAnsi="Calibri" w:cs="Calibri"/>
          <w:color w:val="auto"/>
        </w:rPr>
        <w:t>t</w:t>
      </w:r>
      <w:r w:rsidR="005C0C0B" w:rsidRPr="00FE1D52">
        <w:rPr>
          <w:rFonts w:ascii="Calibri" w:hAnsi="Calibri" w:cs="Calibri"/>
          <w:color w:val="auto"/>
        </w:rPr>
        <w:t>he advice received from the 42</w:t>
      </w:r>
      <w:r w:rsidR="005C0C0B" w:rsidRPr="00FE1D52">
        <w:rPr>
          <w:rFonts w:ascii="Calibri" w:hAnsi="Calibri" w:cs="Calibri"/>
          <w:color w:val="auto"/>
          <w:vertAlign w:val="superscript"/>
        </w:rPr>
        <w:t>nd</w:t>
      </w:r>
      <w:r w:rsidR="005C0C0B" w:rsidRPr="00FE1D52">
        <w:rPr>
          <w:rFonts w:ascii="Calibri" w:hAnsi="Calibri" w:cs="Calibri"/>
          <w:color w:val="auto"/>
        </w:rPr>
        <w:t xml:space="preserve"> meeting of the Advisory Committee on Medicines Scheduling (the </w:t>
      </w:r>
      <w:r w:rsidR="005C0C0B" w:rsidRPr="00FE1D52">
        <w:rPr>
          <w:rFonts w:ascii="Calibri" w:hAnsi="Calibri" w:cs="Calibri"/>
          <w:b/>
          <w:bCs/>
          <w:color w:val="auto"/>
        </w:rPr>
        <w:t>Committee</w:t>
      </w:r>
      <w:r w:rsidR="00205945" w:rsidRPr="00FE1D52">
        <w:rPr>
          <w:color w:val="auto"/>
        </w:rPr>
        <w:t>)</w:t>
      </w:r>
      <w:r>
        <w:rPr>
          <w:color w:val="auto"/>
        </w:rPr>
        <w:t>.</w:t>
      </w:r>
    </w:p>
    <w:p w14:paraId="7919B499" w14:textId="5D62021B" w:rsidR="00205945" w:rsidRPr="00FE1D52" w:rsidRDefault="00E1070A" w:rsidP="00205945">
      <w:pPr>
        <w:numPr>
          <w:ilvl w:val="0"/>
          <w:numId w:val="1"/>
        </w:numPr>
        <w:spacing w:before="120" w:after="180" w:line="240" w:lineRule="atLeast"/>
        <w:rPr>
          <w:color w:val="auto"/>
        </w:rPr>
      </w:pPr>
      <w:r>
        <w:rPr>
          <w:color w:val="auto"/>
        </w:rPr>
        <w:t>s</w:t>
      </w:r>
      <w:r w:rsidR="00205945" w:rsidRPr="00FE1D52">
        <w:rPr>
          <w:color w:val="auto"/>
        </w:rPr>
        <w:t xml:space="preserve">ubsection 52E(1) of the </w:t>
      </w:r>
      <w:r w:rsidR="00205945" w:rsidRPr="00FE1D52">
        <w:rPr>
          <w:iCs/>
          <w:color w:val="auto"/>
        </w:rPr>
        <w:t>Act</w:t>
      </w:r>
      <w:r w:rsidR="00205945" w:rsidRPr="00FE1D52">
        <w:rPr>
          <w:i/>
          <w:color w:val="auto"/>
        </w:rPr>
        <w:t xml:space="preserve">, </w:t>
      </w:r>
      <w:r w:rsidR="00205945" w:rsidRPr="00FE1D52">
        <w:rPr>
          <w:color w:val="auto"/>
        </w:rPr>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r>
        <w:rPr>
          <w:color w:val="auto"/>
        </w:rPr>
        <w:t>.</w:t>
      </w:r>
    </w:p>
    <w:p w14:paraId="6DD7DC80" w14:textId="7B98B926" w:rsidR="005C0C0B" w:rsidRPr="00FE1D52" w:rsidRDefault="00E1070A" w:rsidP="005C0C0B">
      <w:pPr>
        <w:numPr>
          <w:ilvl w:val="0"/>
          <w:numId w:val="1"/>
        </w:numPr>
        <w:rPr>
          <w:rFonts w:ascii="Calibri" w:hAnsi="Calibri" w:cs="Calibri"/>
          <w:color w:val="auto"/>
        </w:rPr>
      </w:pPr>
      <w:r>
        <w:rPr>
          <w:rFonts w:ascii="Calibri" w:hAnsi="Calibri" w:cs="Calibri"/>
          <w:color w:val="auto"/>
        </w:rPr>
        <w:t>t</w:t>
      </w:r>
      <w:r w:rsidR="005C0C0B" w:rsidRPr="00FE1D52">
        <w:rPr>
          <w:rFonts w:ascii="Calibri" w:hAnsi="Calibri" w:cs="Calibri"/>
          <w:color w:val="auto"/>
        </w:rPr>
        <w:t xml:space="preserve">he </w:t>
      </w:r>
      <w:hyperlink r:id="rId19" w:history="1">
        <w:r w:rsidR="005C0C0B" w:rsidRPr="00FB1FDE">
          <w:rPr>
            <w:rStyle w:val="Hyperlink"/>
            <w:rFonts w:ascii="Calibri" w:hAnsi="Calibri" w:cs="Calibri"/>
          </w:rPr>
          <w:t>Therapeutic Guidelines</w:t>
        </w:r>
      </w:hyperlink>
    </w:p>
    <w:p w14:paraId="6A325BAC" w14:textId="04B26818" w:rsidR="00205945" w:rsidRPr="00FE1D52" w:rsidRDefault="00E1070A" w:rsidP="00205945">
      <w:pPr>
        <w:numPr>
          <w:ilvl w:val="0"/>
          <w:numId w:val="1"/>
        </w:numPr>
        <w:spacing w:before="120" w:after="180" w:line="240" w:lineRule="atLeast"/>
        <w:rPr>
          <w:color w:val="auto"/>
        </w:rPr>
      </w:pPr>
      <w:r>
        <w:rPr>
          <w:color w:val="auto"/>
        </w:rPr>
        <w:t>t</w:t>
      </w:r>
      <w:r w:rsidR="00205945" w:rsidRPr="00FE1D52">
        <w:rPr>
          <w:color w:val="auto"/>
        </w:rPr>
        <w:t>he SPF</w:t>
      </w:r>
      <w:r w:rsidR="000D3B93">
        <w:rPr>
          <w:color w:val="auto"/>
        </w:rPr>
        <w:t>,</w:t>
      </w:r>
      <w:r w:rsidR="00205945" w:rsidRPr="00FE1D52">
        <w:rPr>
          <w:color w:val="auto"/>
        </w:rPr>
        <w:t xml:space="preserve"> and</w:t>
      </w:r>
    </w:p>
    <w:p w14:paraId="6BD22DD2" w14:textId="5389EB95" w:rsidR="00205945" w:rsidRPr="00FE1D52" w:rsidRDefault="00E1070A" w:rsidP="009031DD">
      <w:pPr>
        <w:numPr>
          <w:ilvl w:val="0"/>
          <w:numId w:val="1"/>
        </w:numPr>
        <w:spacing w:before="120" w:after="180" w:line="240" w:lineRule="atLeast"/>
        <w:rPr>
          <w:color w:val="auto"/>
        </w:rPr>
      </w:pPr>
      <w:r>
        <w:rPr>
          <w:color w:val="auto"/>
        </w:rPr>
        <w:t>t</w:t>
      </w:r>
      <w:r w:rsidR="00205945" w:rsidRPr="00FE1D52">
        <w:rPr>
          <w:color w:val="auto"/>
        </w:rPr>
        <w:t>he</w:t>
      </w:r>
      <w:r w:rsidR="009031DD" w:rsidRPr="00FE1D52">
        <w:rPr>
          <w:color w:val="auto"/>
        </w:rPr>
        <w:t xml:space="preserve"> Handbook</w:t>
      </w:r>
      <w:r w:rsidR="00205945" w:rsidRPr="00FE1D52">
        <w:rPr>
          <w:color w:val="auto"/>
        </w:rPr>
        <w:t>.</w:t>
      </w:r>
    </w:p>
    <w:p w14:paraId="14187100" w14:textId="77777777" w:rsidR="009031DD" w:rsidRDefault="009031DD" w:rsidP="007D565C">
      <w:pPr>
        <w:pStyle w:val="Heading4"/>
      </w:pPr>
      <w:bookmarkStart w:id="9" w:name="_Toc147325269"/>
      <w:r w:rsidRPr="009031DD">
        <w:t>Summary of Committee advice to the Delegate</w:t>
      </w:r>
      <w:bookmarkEnd w:id="9"/>
    </w:p>
    <w:p w14:paraId="315D6FD9" w14:textId="635D817E" w:rsidR="005C0C0B" w:rsidRDefault="005C0C0B" w:rsidP="009031DD">
      <w:pPr>
        <w:rPr>
          <w:rFonts w:ascii="Calibri" w:hAnsi="Calibri" w:cs="Calibri"/>
          <w:color w:val="auto"/>
          <w:szCs w:val="22"/>
        </w:rPr>
      </w:pPr>
      <w:r w:rsidRPr="00FE1D52">
        <w:rPr>
          <w:rFonts w:ascii="Calibri" w:hAnsi="Calibri" w:cs="Calibri"/>
          <w:color w:val="auto"/>
        </w:rPr>
        <w:t>The Committee recommended that bisacodyl be entered in Schedule 2 in the Poisons Standar</w:t>
      </w:r>
      <w:r w:rsidR="00F325B6">
        <w:rPr>
          <w:rFonts w:ascii="Calibri" w:hAnsi="Calibri" w:cs="Calibri"/>
          <w:color w:val="auto"/>
        </w:rPr>
        <w:t>d in the manner set out in my interim decision</w:t>
      </w:r>
      <w:r w:rsidRPr="00FE1D52">
        <w:rPr>
          <w:rFonts w:ascii="Calibri" w:hAnsi="Calibri" w:cs="Calibri"/>
          <w:color w:val="auto"/>
        </w:rPr>
        <w:t xml:space="preserve">, with an implementation date of </w:t>
      </w:r>
      <w:r w:rsidRPr="00FE1D52">
        <w:rPr>
          <w:rFonts w:ascii="Calibri" w:hAnsi="Calibri" w:cs="Calibri"/>
          <w:b/>
          <w:color w:val="auto"/>
        </w:rPr>
        <w:t>1 October 2024</w:t>
      </w:r>
      <w:r w:rsidR="0086718D">
        <w:rPr>
          <w:rFonts w:ascii="Calibri" w:hAnsi="Calibri" w:cs="Calibri"/>
          <w:bCs/>
          <w:color w:val="auto"/>
        </w:rPr>
        <w:t>.</w:t>
      </w:r>
    </w:p>
    <w:p w14:paraId="14A3694A" w14:textId="552FE58D" w:rsidR="000D3B93" w:rsidRPr="00FE1D52" w:rsidRDefault="000D3B93" w:rsidP="009031DD">
      <w:pPr>
        <w:rPr>
          <w:rFonts w:ascii="Calibri" w:hAnsi="Calibri" w:cs="Calibri"/>
          <w:color w:val="auto"/>
          <w:szCs w:val="22"/>
        </w:rPr>
      </w:pPr>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0232E2B9" w14:textId="647E8E86" w:rsidR="00915A60" w:rsidRPr="00FE1D52" w:rsidRDefault="00915A60" w:rsidP="002852B5">
      <w:pPr>
        <w:numPr>
          <w:ilvl w:val="0"/>
          <w:numId w:val="10"/>
        </w:numPr>
        <w:spacing w:before="120" w:after="0" w:line="360" w:lineRule="auto"/>
        <w:ind w:left="426" w:firstLine="0"/>
        <w:rPr>
          <w:i/>
          <w:color w:val="auto"/>
        </w:rPr>
      </w:pPr>
      <w:r w:rsidRPr="00FE1D52">
        <w:rPr>
          <w:i/>
          <w:color w:val="auto"/>
        </w:rPr>
        <w:t>the risks and benefits of the use of a substance</w:t>
      </w:r>
    </w:p>
    <w:p w14:paraId="5F3ED52E" w14:textId="239F355C" w:rsidR="00915A60" w:rsidRPr="00FE1D52" w:rsidRDefault="00915A60" w:rsidP="002852B5">
      <w:pPr>
        <w:spacing w:after="0"/>
        <w:ind w:left="851"/>
        <w:rPr>
          <w:rFonts w:eastAsia="Times New Roman"/>
          <w:color w:val="auto"/>
        </w:rPr>
      </w:pPr>
      <w:r w:rsidRPr="00FE1D52">
        <w:rPr>
          <w:rFonts w:eastAsia="Times New Roman"/>
          <w:color w:val="auto"/>
        </w:rPr>
        <w:t>Risks:</w:t>
      </w:r>
    </w:p>
    <w:p w14:paraId="76247FEA" w14:textId="758EAA5D" w:rsidR="005C0C0B" w:rsidRPr="00FE1D52" w:rsidRDefault="00B33540" w:rsidP="00FE1D52">
      <w:pPr>
        <w:numPr>
          <w:ilvl w:val="1"/>
          <w:numId w:val="1"/>
        </w:numPr>
        <w:spacing w:before="240"/>
        <w:ind w:left="1276"/>
        <w:rPr>
          <w:rFonts w:ascii="Calibri" w:hAnsi="Calibri" w:cs="Calibri"/>
          <w:color w:val="auto"/>
        </w:rPr>
      </w:pPr>
      <w:r>
        <w:rPr>
          <w:rFonts w:ascii="Calibri" w:hAnsi="Calibri" w:cs="Calibri"/>
          <w:color w:val="auto"/>
        </w:rPr>
        <w:t>The r</w:t>
      </w:r>
      <w:r w:rsidR="005C0C0B" w:rsidRPr="00FE1D52">
        <w:rPr>
          <w:rFonts w:ascii="Calibri" w:hAnsi="Calibri" w:cs="Calibri"/>
          <w:color w:val="auto"/>
        </w:rPr>
        <w:t xml:space="preserve">isk </w:t>
      </w:r>
      <w:r>
        <w:rPr>
          <w:rFonts w:ascii="Calibri" w:hAnsi="Calibri" w:cs="Calibri"/>
          <w:color w:val="auto"/>
        </w:rPr>
        <w:t xml:space="preserve">of intentional or unintentional misuse of bisacodyl </w:t>
      </w:r>
      <w:r w:rsidR="005C0C0B" w:rsidRPr="00FE1D52">
        <w:rPr>
          <w:rFonts w:ascii="Calibri" w:hAnsi="Calibri" w:cs="Calibri"/>
          <w:color w:val="auto"/>
        </w:rPr>
        <w:t xml:space="preserve">is low for the general population but </w:t>
      </w:r>
      <w:r>
        <w:rPr>
          <w:rFonts w:ascii="Calibri" w:hAnsi="Calibri" w:cs="Calibri"/>
          <w:color w:val="auto"/>
        </w:rPr>
        <w:t>is likely to</w:t>
      </w:r>
      <w:r w:rsidR="005C0C0B" w:rsidRPr="00FE1D52">
        <w:rPr>
          <w:rFonts w:ascii="Calibri" w:hAnsi="Calibri" w:cs="Calibri"/>
          <w:color w:val="auto"/>
        </w:rPr>
        <w:t xml:space="preserve"> be higher in vulnerable populations, including older adults, those with eating disorders, children, and people with mental health conditions.</w:t>
      </w:r>
    </w:p>
    <w:p w14:paraId="37D2F157" w14:textId="65582658" w:rsidR="005C0C0B" w:rsidRPr="00FE1D52" w:rsidRDefault="00B33540" w:rsidP="005C0C0B">
      <w:pPr>
        <w:numPr>
          <w:ilvl w:val="1"/>
          <w:numId w:val="1"/>
        </w:numPr>
        <w:ind w:left="1276"/>
        <w:rPr>
          <w:rFonts w:ascii="Calibri" w:hAnsi="Calibri" w:cs="Calibri"/>
          <w:color w:val="auto"/>
        </w:rPr>
      </w:pPr>
      <w:r>
        <w:rPr>
          <w:rFonts w:ascii="Calibri" w:hAnsi="Calibri" w:cs="Calibri"/>
          <w:color w:val="auto"/>
        </w:rPr>
        <w:t xml:space="preserve">Unrestricted </w:t>
      </w:r>
      <w:r w:rsidR="005C0C0B" w:rsidRPr="00FE1D52">
        <w:rPr>
          <w:rFonts w:ascii="Calibri" w:hAnsi="Calibri" w:cs="Calibri"/>
          <w:color w:val="auto"/>
        </w:rPr>
        <w:t>availability</w:t>
      </w:r>
      <w:r>
        <w:rPr>
          <w:rFonts w:ascii="Calibri" w:hAnsi="Calibri" w:cs="Calibri"/>
          <w:color w:val="auto"/>
        </w:rPr>
        <w:t xml:space="preserve"> of bisacodyl</w:t>
      </w:r>
      <w:r w:rsidR="005C0C0B" w:rsidRPr="00FE1D52">
        <w:rPr>
          <w:rFonts w:ascii="Calibri" w:hAnsi="Calibri" w:cs="Calibri"/>
          <w:color w:val="auto"/>
        </w:rPr>
        <w:t xml:space="preserve"> </w:t>
      </w:r>
      <w:r>
        <w:rPr>
          <w:rFonts w:ascii="Calibri" w:hAnsi="Calibri" w:cs="Calibri"/>
          <w:color w:val="auto"/>
        </w:rPr>
        <w:t xml:space="preserve">can contribute to the risks to </w:t>
      </w:r>
      <w:r w:rsidR="005C0C0B" w:rsidRPr="00FE1D52">
        <w:rPr>
          <w:rFonts w:ascii="Calibri" w:hAnsi="Calibri" w:cs="Calibri"/>
          <w:color w:val="auto"/>
        </w:rPr>
        <w:t>vulnerable population groups.</w:t>
      </w:r>
    </w:p>
    <w:p w14:paraId="08853DF9" w14:textId="0379FC56"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Long</w:t>
      </w:r>
      <w:r w:rsidR="00B33540">
        <w:rPr>
          <w:rFonts w:ascii="Calibri" w:hAnsi="Calibri" w:cs="Calibri"/>
          <w:color w:val="auto"/>
        </w:rPr>
        <w:t>-</w:t>
      </w:r>
      <w:r w:rsidRPr="00FE1D52">
        <w:rPr>
          <w:rFonts w:ascii="Calibri" w:hAnsi="Calibri" w:cs="Calibri"/>
          <w:color w:val="auto"/>
        </w:rPr>
        <w:t xml:space="preserve">term use </w:t>
      </w:r>
      <w:r w:rsidR="00B33540">
        <w:rPr>
          <w:rFonts w:ascii="Calibri" w:hAnsi="Calibri" w:cs="Calibri"/>
          <w:color w:val="auto"/>
        </w:rPr>
        <w:t xml:space="preserve">of bisacodyl </w:t>
      </w:r>
      <w:r w:rsidRPr="00FE1D52">
        <w:rPr>
          <w:rFonts w:ascii="Calibri" w:hAnsi="Calibri" w:cs="Calibri"/>
          <w:color w:val="auto"/>
        </w:rPr>
        <w:t xml:space="preserve">should be managed in a setting with access to </w:t>
      </w:r>
      <w:r w:rsidR="00B33540">
        <w:rPr>
          <w:rFonts w:ascii="Calibri" w:hAnsi="Calibri" w:cs="Calibri"/>
          <w:color w:val="auto"/>
        </w:rPr>
        <w:t xml:space="preserve">a </w:t>
      </w:r>
      <w:r w:rsidRPr="00FE1D52">
        <w:rPr>
          <w:rFonts w:ascii="Calibri" w:hAnsi="Calibri" w:cs="Calibri"/>
          <w:color w:val="auto"/>
        </w:rPr>
        <w:t>health professional.</w:t>
      </w:r>
    </w:p>
    <w:p w14:paraId="7D845B30" w14:textId="5585F651" w:rsidR="00915A60" w:rsidRPr="00FE1D52" w:rsidRDefault="00915A60" w:rsidP="00A537E7">
      <w:pPr>
        <w:ind w:left="851"/>
        <w:rPr>
          <w:color w:val="auto"/>
        </w:rPr>
      </w:pPr>
      <w:r w:rsidRPr="00FE1D52">
        <w:rPr>
          <w:color w:val="auto"/>
        </w:rPr>
        <w:t>Benefits:</w:t>
      </w:r>
    </w:p>
    <w:p w14:paraId="59AB33C0" w14:textId="01C3F81B" w:rsidR="00915A60" w:rsidRPr="00B33540" w:rsidRDefault="00B33540" w:rsidP="00B33540">
      <w:pPr>
        <w:numPr>
          <w:ilvl w:val="1"/>
          <w:numId w:val="1"/>
        </w:numPr>
        <w:spacing w:before="120" w:after="180" w:line="240" w:lineRule="atLeast"/>
        <w:ind w:left="1276"/>
        <w:rPr>
          <w:rFonts w:ascii="Calibri" w:hAnsi="Calibri" w:cs="Calibri"/>
          <w:color w:val="auto"/>
        </w:rPr>
      </w:pPr>
      <w:r w:rsidRPr="00B33540">
        <w:rPr>
          <w:rFonts w:ascii="Calibri" w:hAnsi="Calibri" w:cs="Calibri"/>
          <w:color w:val="auto"/>
        </w:rPr>
        <w:t>Bisacodyl is a w</w:t>
      </w:r>
      <w:r w:rsidR="005C0C0B" w:rsidRPr="00B33540">
        <w:rPr>
          <w:rFonts w:ascii="Calibri" w:hAnsi="Calibri" w:cs="Calibri"/>
          <w:color w:val="auto"/>
        </w:rPr>
        <w:t>ell-tolerated and generally safe stimulant laxative medication for short-term use</w:t>
      </w:r>
      <w:r w:rsidRPr="00B33540">
        <w:rPr>
          <w:rFonts w:ascii="Calibri" w:hAnsi="Calibri" w:cs="Calibri"/>
          <w:color w:val="auto"/>
        </w:rPr>
        <w:t xml:space="preserve"> and can be used for </w:t>
      </w:r>
      <w:r w:rsidR="005C0C0B" w:rsidRPr="00B33540">
        <w:rPr>
          <w:rFonts w:ascii="Calibri" w:hAnsi="Calibri" w:cs="Calibri"/>
          <w:color w:val="auto"/>
        </w:rPr>
        <w:t>both episodic and chronic constipation.</w:t>
      </w:r>
    </w:p>
    <w:p w14:paraId="03131C52" w14:textId="5BAB9D23" w:rsidR="00915A60" w:rsidRPr="00A537E7" w:rsidRDefault="00915A60" w:rsidP="00457A23">
      <w:pPr>
        <w:numPr>
          <w:ilvl w:val="0"/>
          <w:numId w:val="10"/>
        </w:numPr>
        <w:spacing w:before="120" w:after="180" w:line="240" w:lineRule="atLeast"/>
        <w:ind w:left="426" w:firstLine="0"/>
        <w:rPr>
          <w:rFonts w:eastAsia="Times New Roman"/>
          <w:i/>
          <w:color w:val="auto"/>
        </w:rPr>
      </w:pPr>
      <w:r w:rsidRPr="00A537E7">
        <w:rPr>
          <w:rFonts w:eastAsia="Times New Roman"/>
          <w:i/>
          <w:color w:val="auto"/>
        </w:rPr>
        <w:t>the purposes for which a substance is to be used and the extent of use of a substance</w:t>
      </w:r>
    </w:p>
    <w:p w14:paraId="4267522A" w14:textId="7322E240"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Bisacodyl is a s</w:t>
      </w:r>
      <w:r w:rsidR="005C0C0B" w:rsidRPr="00FE1D52">
        <w:rPr>
          <w:rFonts w:ascii="Calibri" w:hAnsi="Calibri" w:cs="Calibri"/>
          <w:color w:val="auto"/>
        </w:rPr>
        <w:t xml:space="preserve">timulant laxative for short-term use for the relief of episodic or chronic constipation. </w:t>
      </w:r>
    </w:p>
    <w:p w14:paraId="10C7F578" w14:textId="05EA1848" w:rsidR="005C0C0B"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Clinical guidelines do not recommend the use of bisacodyl and other stimulant laxative medicines as first</w:t>
      </w:r>
      <w:r w:rsidR="002852B5">
        <w:rPr>
          <w:rFonts w:ascii="Calibri" w:hAnsi="Calibri" w:cs="Calibri"/>
          <w:color w:val="auto"/>
        </w:rPr>
        <w:t>-</w:t>
      </w:r>
      <w:r w:rsidRPr="00FE1D52">
        <w:rPr>
          <w:rFonts w:ascii="Calibri" w:hAnsi="Calibri" w:cs="Calibri"/>
          <w:color w:val="auto"/>
        </w:rPr>
        <w:t>line treatment for short-term constipation.</w:t>
      </w:r>
    </w:p>
    <w:p w14:paraId="1614D8DE" w14:textId="412D72F1" w:rsidR="005C0C0B" w:rsidRPr="00FE1D52" w:rsidRDefault="00B33540" w:rsidP="00CD559E">
      <w:pPr>
        <w:pStyle w:val="ListBullet2"/>
        <w:rPr>
          <w:color w:val="auto"/>
        </w:rPr>
      </w:pPr>
      <w:r>
        <w:rPr>
          <w:color w:val="auto"/>
        </w:rPr>
        <w:lastRenderedPageBreak/>
        <w:t>Bisacodyl products are</w:t>
      </w:r>
      <w:r w:rsidR="005C0C0B" w:rsidRPr="00FE1D52">
        <w:rPr>
          <w:color w:val="auto"/>
        </w:rPr>
        <w:t xml:space="preserve"> available in general sale outlet</w:t>
      </w:r>
      <w:r>
        <w:rPr>
          <w:color w:val="auto"/>
        </w:rPr>
        <w:t>s</w:t>
      </w:r>
      <w:r w:rsidR="005C0C0B" w:rsidRPr="00FE1D52">
        <w:rPr>
          <w:color w:val="auto"/>
        </w:rPr>
        <w:t xml:space="preserve"> (</w:t>
      </w:r>
      <w:proofErr w:type="gramStart"/>
      <w:r w:rsidR="005C0C0B" w:rsidRPr="00FE1D52">
        <w:rPr>
          <w:color w:val="auto"/>
        </w:rPr>
        <w:t>e.g.</w:t>
      </w:r>
      <w:proofErr w:type="gramEnd"/>
      <w:r w:rsidR="005C0C0B" w:rsidRPr="00FE1D52">
        <w:rPr>
          <w:color w:val="auto"/>
        </w:rPr>
        <w:t xml:space="preserve"> supermarkets and convenience stores), as well as in pharmacies, in pack sizes up to 200 tablets.</w:t>
      </w:r>
    </w:p>
    <w:p w14:paraId="0F3225D2" w14:textId="387792A2" w:rsidR="00915A60" w:rsidRPr="00FE1D52" w:rsidRDefault="00B5645C" w:rsidP="005C0C0B">
      <w:pPr>
        <w:numPr>
          <w:ilvl w:val="1"/>
          <w:numId w:val="1"/>
        </w:numPr>
        <w:spacing w:before="120" w:after="180" w:line="240" w:lineRule="atLeast"/>
        <w:ind w:left="1276"/>
        <w:rPr>
          <w:rFonts w:ascii="Calibri" w:hAnsi="Calibri" w:cs="Calibri"/>
          <w:color w:val="auto"/>
        </w:rPr>
      </w:pPr>
      <w:r>
        <w:rPr>
          <w:rFonts w:ascii="Calibri" w:hAnsi="Calibri" w:cs="Calibri"/>
          <w:color w:val="auto"/>
        </w:rPr>
        <w:t>For restricted indications,</w:t>
      </w:r>
      <w:r w:rsidR="002852B5">
        <w:rPr>
          <w:rFonts w:ascii="Calibri" w:hAnsi="Calibri" w:cs="Calibri"/>
          <w:color w:val="auto"/>
        </w:rPr>
        <w:t xml:space="preserve"> a</w:t>
      </w:r>
      <w:r>
        <w:rPr>
          <w:rFonts w:ascii="Calibri" w:hAnsi="Calibri" w:cs="Calibri"/>
          <w:color w:val="auto"/>
        </w:rPr>
        <w:t xml:space="preserve"> </w:t>
      </w:r>
      <w:r w:rsidR="005C0C0B" w:rsidRPr="00FE1D52">
        <w:rPr>
          <w:rFonts w:ascii="Calibri" w:hAnsi="Calibri" w:cs="Calibri"/>
          <w:color w:val="auto"/>
        </w:rPr>
        <w:t>Pharmaceutical Benefits Scheme (PBS) subsidy</w:t>
      </w:r>
      <w:r>
        <w:rPr>
          <w:rFonts w:ascii="Calibri" w:hAnsi="Calibri" w:cs="Calibri"/>
          <w:color w:val="auto"/>
        </w:rPr>
        <w:t xml:space="preserve"> is available</w:t>
      </w:r>
      <w:r w:rsidR="005C0C0B" w:rsidRPr="00FE1D52">
        <w:rPr>
          <w:rFonts w:ascii="Calibri" w:hAnsi="Calibri" w:cs="Calibri"/>
          <w:color w:val="auto"/>
        </w:rPr>
        <w:t xml:space="preserve"> for 200 tablets.</w:t>
      </w:r>
    </w:p>
    <w:p w14:paraId="11E1AD54" w14:textId="77777777" w:rsidR="00915A60" w:rsidRPr="00FE1D52" w:rsidRDefault="00915A60" w:rsidP="00915A60">
      <w:pPr>
        <w:numPr>
          <w:ilvl w:val="0"/>
          <w:numId w:val="10"/>
        </w:numPr>
        <w:spacing w:before="120" w:after="180" w:line="240" w:lineRule="atLeast"/>
        <w:ind w:left="426" w:firstLine="0"/>
        <w:rPr>
          <w:i/>
          <w:color w:val="auto"/>
        </w:rPr>
      </w:pPr>
      <w:r w:rsidRPr="00FE1D52">
        <w:rPr>
          <w:i/>
          <w:color w:val="auto"/>
        </w:rPr>
        <w:t>the toxicity of a substance</w:t>
      </w:r>
    </w:p>
    <w:p w14:paraId="1666DEBD" w14:textId="2F39B1DE"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Bisacodyl m</w:t>
      </w:r>
      <w:r w:rsidR="005C0C0B" w:rsidRPr="00FE1D52">
        <w:rPr>
          <w:rFonts w:ascii="Calibri" w:hAnsi="Calibri" w:cs="Calibri"/>
          <w:color w:val="auto"/>
        </w:rPr>
        <w:t xml:space="preserve">ay cause mild adverse effects of abdominal discomfort and pain, including colic and cramps, nausea, vomiting, diarrhoea, blood in stools, dehydration, </w:t>
      </w:r>
      <w:proofErr w:type="gramStart"/>
      <w:r w:rsidR="005C0C0B" w:rsidRPr="00FE1D52">
        <w:rPr>
          <w:rFonts w:ascii="Calibri" w:hAnsi="Calibri" w:cs="Calibri"/>
          <w:color w:val="auto"/>
        </w:rPr>
        <w:t>dizziness</w:t>
      </w:r>
      <w:proofErr w:type="gramEnd"/>
      <w:r w:rsidR="005C0C0B" w:rsidRPr="00FE1D52">
        <w:rPr>
          <w:rFonts w:ascii="Calibri" w:hAnsi="Calibri" w:cs="Calibri"/>
          <w:color w:val="auto"/>
        </w:rPr>
        <w:t xml:space="preserve"> and fainting.</w:t>
      </w:r>
    </w:p>
    <w:p w14:paraId="712D38E5" w14:textId="5E4111E3"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 xml:space="preserve">Prolonged overuse </w:t>
      </w:r>
      <w:r w:rsidR="00B33540">
        <w:rPr>
          <w:rFonts w:ascii="Calibri" w:hAnsi="Calibri" w:cs="Calibri"/>
          <w:color w:val="auto"/>
        </w:rPr>
        <w:t xml:space="preserve">of bisacodyl </w:t>
      </w:r>
      <w:r w:rsidRPr="00FE1D52">
        <w:rPr>
          <w:rFonts w:ascii="Calibri" w:hAnsi="Calibri" w:cs="Calibri"/>
          <w:color w:val="auto"/>
        </w:rPr>
        <w:t>can lead to diarrhoea</w:t>
      </w:r>
      <w:r w:rsidR="00B33540">
        <w:rPr>
          <w:rFonts w:ascii="Calibri" w:hAnsi="Calibri" w:cs="Calibri"/>
          <w:color w:val="auto"/>
        </w:rPr>
        <w:t>,</w:t>
      </w:r>
      <w:r w:rsidRPr="00FE1D52">
        <w:rPr>
          <w:rFonts w:ascii="Calibri" w:hAnsi="Calibri" w:cs="Calibri"/>
          <w:color w:val="auto"/>
        </w:rPr>
        <w:t xml:space="preserve"> with excessive loss of water and </w:t>
      </w:r>
      <w:r w:rsidR="00B3393E" w:rsidRPr="00FE1D52">
        <w:rPr>
          <w:rFonts w:ascii="Calibri" w:hAnsi="Calibri" w:cs="Calibri"/>
          <w:color w:val="auto"/>
        </w:rPr>
        <w:t>electrolytes</w:t>
      </w:r>
      <w:r w:rsidRPr="00FE1D52">
        <w:rPr>
          <w:rFonts w:ascii="Calibri" w:hAnsi="Calibri" w:cs="Calibri"/>
          <w:color w:val="auto"/>
        </w:rPr>
        <w:t xml:space="preserve">, particularly potassium, leading to hypokalaemia. </w:t>
      </w:r>
      <w:r w:rsidR="00B33540">
        <w:rPr>
          <w:rFonts w:ascii="Calibri" w:hAnsi="Calibri" w:cs="Calibri"/>
          <w:color w:val="auto"/>
        </w:rPr>
        <w:t>A</w:t>
      </w:r>
      <w:r w:rsidRPr="00FE1D52">
        <w:rPr>
          <w:rFonts w:ascii="Calibri" w:hAnsi="Calibri" w:cs="Calibri"/>
          <w:color w:val="auto"/>
        </w:rPr>
        <w:t>tonic non-functioning colon and reflux constipation</w:t>
      </w:r>
      <w:r w:rsidR="00B33540">
        <w:rPr>
          <w:rFonts w:ascii="Calibri" w:hAnsi="Calibri" w:cs="Calibri"/>
          <w:color w:val="auto"/>
        </w:rPr>
        <w:t xml:space="preserve"> may also develop</w:t>
      </w:r>
      <w:r w:rsidRPr="00FE1D52">
        <w:rPr>
          <w:rFonts w:ascii="Calibri" w:hAnsi="Calibri" w:cs="Calibri"/>
          <w:color w:val="auto"/>
        </w:rPr>
        <w:t>.</w:t>
      </w:r>
    </w:p>
    <w:p w14:paraId="6EECA4AC" w14:textId="77777777" w:rsidR="00915A60" w:rsidRPr="00FE1D52" w:rsidRDefault="00915A60" w:rsidP="00915A60">
      <w:pPr>
        <w:numPr>
          <w:ilvl w:val="0"/>
          <w:numId w:val="10"/>
        </w:numPr>
        <w:spacing w:before="120" w:after="180" w:line="240" w:lineRule="atLeast"/>
        <w:ind w:left="426" w:firstLine="0"/>
        <w:rPr>
          <w:rFonts w:eastAsia="Times New Roman"/>
          <w:i/>
          <w:color w:val="auto"/>
        </w:rPr>
      </w:pPr>
      <w:r w:rsidRPr="00FE1D52">
        <w:rPr>
          <w:rFonts w:eastAsia="Times New Roman"/>
          <w:i/>
          <w:color w:val="auto"/>
        </w:rPr>
        <w:t xml:space="preserve">the dosage, formulation, labelling, </w:t>
      </w:r>
      <w:proofErr w:type="gramStart"/>
      <w:r w:rsidRPr="00FE1D52">
        <w:rPr>
          <w:rFonts w:eastAsia="Times New Roman"/>
          <w:i/>
          <w:color w:val="auto"/>
        </w:rPr>
        <w:t>packaging</w:t>
      </w:r>
      <w:proofErr w:type="gramEnd"/>
      <w:r w:rsidRPr="00FE1D52">
        <w:rPr>
          <w:rFonts w:eastAsia="Times New Roman"/>
          <w:i/>
          <w:color w:val="auto"/>
        </w:rPr>
        <w:t xml:space="preserve"> and presentation of a substance</w:t>
      </w:r>
    </w:p>
    <w:p w14:paraId="5EBC0F23" w14:textId="0B6A5A27" w:rsidR="00915A60" w:rsidRPr="00FE1D52" w:rsidRDefault="009E1920" w:rsidP="00A537E7">
      <w:pPr>
        <w:numPr>
          <w:ilvl w:val="1"/>
          <w:numId w:val="1"/>
        </w:numPr>
        <w:spacing w:before="240"/>
        <w:ind w:left="1276"/>
        <w:rPr>
          <w:rFonts w:ascii="Calibri" w:hAnsi="Calibri" w:cs="Calibri"/>
          <w:color w:val="auto"/>
        </w:rPr>
      </w:pPr>
      <w:r>
        <w:rPr>
          <w:rFonts w:ascii="Calibri" w:hAnsi="Calibri" w:cs="Calibri"/>
          <w:color w:val="auto"/>
        </w:rPr>
        <w:t>B</w:t>
      </w:r>
      <w:r w:rsidR="00B33540">
        <w:rPr>
          <w:rFonts w:ascii="Calibri" w:hAnsi="Calibri" w:cs="Calibri"/>
          <w:color w:val="auto"/>
        </w:rPr>
        <w:t>isacodyl is a</w:t>
      </w:r>
      <w:r w:rsidR="005C0C0B" w:rsidRPr="00FE1D52">
        <w:rPr>
          <w:rFonts w:ascii="Calibri" w:hAnsi="Calibri" w:cs="Calibri"/>
          <w:color w:val="auto"/>
        </w:rPr>
        <w:t>vailable in various dosage forms in a wide range of pack sizes.</w:t>
      </w:r>
    </w:p>
    <w:p w14:paraId="6F9D95AB" w14:textId="77777777" w:rsidR="00915A60" w:rsidRPr="00FE1D52" w:rsidRDefault="00915A60" w:rsidP="00915A60">
      <w:pPr>
        <w:numPr>
          <w:ilvl w:val="0"/>
          <w:numId w:val="10"/>
        </w:numPr>
        <w:spacing w:before="120" w:after="180" w:line="240" w:lineRule="atLeast"/>
        <w:ind w:left="426" w:firstLine="0"/>
        <w:rPr>
          <w:i/>
          <w:color w:val="auto"/>
        </w:rPr>
      </w:pPr>
      <w:r w:rsidRPr="00FE1D52">
        <w:rPr>
          <w:i/>
          <w:color w:val="auto"/>
        </w:rPr>
        <w:t>the potential for abuse of a substance</w:t>
      </w:r>
    </w:p>
    <w:p w14:paraId="54A2CCAE" w14:textId="0A113122" w:rsidR="00915A60" w:rsidRPr="00FE1D52" w:rsidRDefault="00B33540" w:rsidP="00915A60">
      <w:pPr>
        <w:numPr>
          <w:ilvl w:val="1"/>
          <w:numId w:val="1"/>
        </w:numPr>
        <w:spacing w:before="120" w:after="180" w:line="240" w:lineRule="atLeast"/>
        <w:ind w:left="1276"/>
        <w:rPr>
          <w:color w:val="auto"/>
        </w:rPr>
      </w:pPr>
      <w:r>
        <w:rPr>
          <w:rFonts w:ascii="Calibri" w:hAnsi="Calibri" w:cs="Calibri"/>
          <w:color w:val="auto"/>
        </w:rPr>
        <w:t>The r</w:t>
      </w:r>
      <w:r w:rsidR="005C0C0B" w:rsidRPr="00FE1D52">
        <w:rPr>
          <w:rFonts w:ascii="Calibri" w:hAnsi="Calibri" w:cs="Calibri"/>
          <w:color w:val="auto"/>
        </w:rPr>
        <w:t>isk of abuse is low in the general population but there is</w:t>
      </w:r>
      <w:r w:rsidR="00B5645C">
        <w:rPr>
          <w:rFonts w:ascii="Calibri" w:hAnsi="Calibri" w:cs="Calibri"/>
          <w:color w:val="auto"/>
        </w:rPr>
        <w:t xml:space="preserve"> likely</w:t>
      </w:r>
      <w:r w:rsidR="005C0C0B" w:rsidRPr="00FE1D52">
        <w:rPr>
          <w:rFonts w:ascii="Calibri" w:hAnsi="Calibri" w:cs="Calibri"/>
          <w:color w:val="auto"/>
        </w:rPr>
        <w:t xml:space="preserve"> a high prevalence of misuse in vulnerable populations.</w:t>
      </w:r>
    </w:p>
    <w:p w14:paraId="3252E335" w14:textId="3AD655C1" w:rsidR="005C0C0B" w:rsidRPr="00FE1D52" w:rsidRDefault="005C0C0B" w:rsidP="005C0C0B">
      <w:pPr>
        <w:numPr>
          <w:ilvl w:val="1"/>
          <w:numId w:val="1"/>
        </w:numPr>
        <w:ind w:left="1276"/>
        <w:rPr>
          <w:rFonts w:ascii="Calibri" w:hAnsi="Calibri" w:cs="Calibri"/>
          <w:color w:val="auto"/>
        </w:rPr>
      </w:pPr>
      <w:r w:rsidRPr="00FE1D52">
        <w:rPr>
          <w:rFonts w:ascii="Calibri" w:hAnsi="Calibri" w:cs="Calibri"/>
          <w:color w:val="auto"/>
        </w:rPr>
        <w:t>There is no pharmacological basis for dependency</w:t>
      </w:r>
      <w:r w:rsidR="00B33540">
        <w:rPr>
          <w:rFonts w:ascii="Calibri" w:hAnsi="Calibri" w:cs="Calibri"/>
          <w:color w:val="auto"/>
        </w:rPr>
        <w:t xml:space="preserve"> of bisacodyl</w:t>
      </w:r>
      <w:r w:rsidRPr="00FE1D52">
        <w:rPr>
          <w:rFonts w:ascii="Calibri" w:hAnsi="Calibri" w:cs="Calibri"/>
          <w:color w:val="auto"/>
        </w:rPr>
        <w:t>.</w:t>
      </w:r>
    </w:p>
    <w:p w14:paraId="0493109F" w14:textId="77777777" w:rsidR="00915A60" w:rsidRPr="00FE1D52" w:rsidRDefault="00915A60" w:rsidP="00915A60">
      <w:pPr>
        <w:numPr>
          <w:ilvl w:val="0"/>
          <w:numId w:val="10"/>
        </w:numPr>
        <w:spacing w:before="120" w:after="180" w:line="240" w:lineRule="atLeast"/>
        <w:ind w:left="426" w:firstLine="0"/>
        <w:rPr>
          <w:rFonts w:eastAsia="Times New Roman"/>
          <w:i/>
          <w:color w:val="auto"/>
        </w:rPr>
      </w:pPr>
      <w:r w:rsidRPr="00FE1D52">
        <w:rPr>
          <w:rFonts w:eastAsia="Times New Roman"/>
          <w:i/>
          <w:color w:val="auto"/>
        </w:rPr>
        <w:t>any other matters that the Secretary considers necessary to protect public health</w:t>
      </w:r>
    </w:p>
    <w:p w14:paraId="43EF4634" w14:textId="4BA4A3A8"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The c</w:t>
      </w:r>
      <w:r w:rsidR="005C0C0B" w:rsidRPr="00FE1D52">
        <w:rPr>
          <w:rFonts w:ascii="Calibri" w:hAnsi="Calibri" w:cs="Calibri"/>
          <w:color w:val="auto"/>
        </w:rPr>
        <w:t xml:space="preserve">urrent unrestricted access to bisacodyl in Australia is inconsistent with </w:t>
      </w:r>
      <w:r>
        <w:rPr>
          <w:rFonts w:ascii="Calibri" w:hAnsi="Calibri" w:cs="Calibri"/>
          <w:color w:val="auto"/>
        </w:rPr>
        <w:t xml:space="preserve">the </w:t>
      </w:r>
      <w:r w:rsidR="005C0C0B" w:rsidRPr="00FE1D52">
        <w:rPr>
          <w:rFonts w:ascii="Calibri" w:hAnsi="Calibri" w:cs="Calibri"/>
          <w:color w:val="auto"/>
        </w:rPr>
        <w:t>recommended guidelines and regulations of other similar jurisdictions. The proposed changes would bring Australia in line with international regulations.</w:t>
      </w:r>
    </w:p>
    <w:p w14:paraId="7E700809" w14:textId="06273602"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The proposed changes may divert consumers who intentionally misuse bisacodyl to senna and other stimulant laxatives that are currently unscheduled and available in larger pack sizes in general sale for similar reasons</w:t>
      </w:r>
      <w:r w:rsidR="00B33540">
        <w:rPr>
          <w:rFonts w:ascii="Calibri" w:hAnsi="Calibri" w:cs="Calibri"/>
          <w:color w:val="auto"/>
        </w:rPr>
        <w:t>. O</w:t>
      </w:r>
      <w:r w:rsidRPr="00FE1D52">
        <w:rPr>
          <w:rFonts w:ascii="Calibri" w:hAnsi="Calibri" w:cs="Calibri"/>
          <w:color w:val="auto"/>
        </w:rPr>
        <w:t>ther stimulant laxatives should be considered for scheduling in the future.</w:t>
      </w:r>
    </w:p>
    <w:p w14:paraId="50377C43" w14:textId="77777777" w:rsidR="00915A60" w:rsidRPr="00FE1D52" w:rsidRDefault="00915A60" w:rsidP="007D565C">
      <w:pPr>
        <w:pStyle w:val="Heading4"/>
        <w:rPr>
          <w:color w:val="auto"/>
        </w:rPr>
      </w:pPr>
      <w:bookmarkStart w:id="10" w:name="_Toc147325270"/>
      <w:r w:rsidRPr="00FE1D52">
        <w:rPr>
          <w:color w:val="auto"/>
        </w:rPr>
        <w:t>Reasons for the interim decision (including findings on material questions of fact)</w:t>
      </w:r>
      <w:bookmarkEnd w:id="10"/>
    </w:p>
    <w:p w14:paraId="2A467D82" w14:textId="77777777" w:rsidR="005C0C0B" w:rsidRPr="00FE1D52" w:rsidRDefault="005C0C0B" w:rsidP="005C0C0B">
      <w:pPr>
        <w:rPr>
          <w:rFonts w:ascii="Calibri" w:hAnsi="Calibri" w:cs="Calibri"/>
          <w:bCs/>
          <w:color w:val="auto"/>
        </w:rPr>
      </w:pPr>
      <w:r w:rsidRPr="00FE1D52">
        <w:rPr>
          <w:rFonts w:ascii="Calibri" w:hAnsi="Calibri" w:cs="Calibri"/>
          <w:color w:val="auto"/>
        </w:rPr>
        <w:t xml:space="preserve">I have made an interim decision to amend the current Poisons Standard in relation to bisacodyl and create a new Schedule 2 entry for larger pack sizes containing divided preparations for oral and rectal use. The detailed reasons for my decision follow. </w:t>
      </w:r>
    </w:p>
    <w:p w14:paraId="6D49B8BE" w14:textId="2C592018" w:rsidR="005C0C0B" w:rsidRPr="00FE1D52" w:rsidRDefault="005C0C0B" w:rsidP="005C0C0B">
      <w:pPr>
        <w:rPr>
          <w:rStyle w:val="normaltextrun"/>
          <w:rFonts w:ascii="Calibri" w:hAnsi="Calibri" w:cs="Calibri"/>
          <w:color w:val="auto"/>
          <w:szCs w:val="22"/>
        </w:rPr>
      </w:pPr>
      <w:r w:rsidRPr="00FE1D52">
        <w:rPr>
          <w:rFonts w:ascii="Calibri" w:hAnsi="Calibri" w:cs="Calibri"/>
          <w:bCs/>
          <w:color w:val="auto"/>
        </w:rPr>
        <w:t>I agree with the Committee's findings on the relevant provisions of section 52E of the Act.</w:t>
      </w:r>
      <w:r w:rsidRPr="00FE1D52">
        <w:rPr>
          <w:rFonts w:ascii="Calibri" w:hAnsi="Calibri" w:cs="Calibri"/>
          <w:color w:val="auto"/>
          <w:szCs w:val="22"/>
        </w:rPr>
        <w:t xml:space="preserve"> In relation to s</w:t>
      </w:r>
      <w:r w:rsidR="007E1258">
        <w:rPr>
          <w:rFonts w:ascii="Calibri" w:hAnsi="Calibri" w:cs="Calibri"/>
          <w:color w:val="auto"/>
          <w:szCs w:val="22"/>
        </w:rPr>
        <w:t> </w:t>
      </w:r>
      <w:r w:rsidRPr="00FE1D52">
        <w:rPr>
          <w:rFonts w:ascii="Calibri" w:hAnsi="Calibri" w:cs="Calibri"/>
          <w:color w:val="auto"/>
          <w:szCs w:val="22"/>
        </w:rPr>
        <w:t xml:space="preserve">52E(1)(a) and (b) of the Act, I acknowledge the applicant’s concerns regarding the risk of </w:t>
      </w:r>
      <w:r w:rsidRPr="00FE1D52">
        <w:rPr>
          <w:rStyle w:val="normaltextrun"/>
          <w:rFonts w:ascii="Calibri" w:hAnsi="Calibri" w:cs="Calibri"/>
          <w:color w:val="auto"/>
          <w:szCs w:val="22"/>
        </w:rPr>
        <w:t>intentional or unintentional misuse of the substance. Bisacodyl is a stimulant laxative used for the relief of episodic and chronic constipation</w:t>
      </w:r>
      <w:r w:rsidRPr="00FE1D52">
        <w:rPr>
          <w:rStyle w:val="normaltextrun"/>
          <w:rFonts w:ascii="Calibri" w:hAnsi="Calibri" w:cs="Calibri"/>
          <w:color w:val="auto"/>
        </w:rPr>
        <w:t xml:space="preserve"> with a long history of use in Australia and a well-established risk profile. </w:t>
      </w:r>
      <w:r w:rsidRPr="00FE1D52">
        <w:rPr>
          <w:rStyle w:val="normaltextrun"/>
          <w:rFonts w:ascii="Calibri" w:hAnsi="Calibri" w:cs="Calibri"/>
          <w:color w:val="auto"/>
          <w:szCs w:val="22"/>
        </w:rPr>
        <w:t>The substance is currently unscheduled and is available in a wide range of pack sizes and various dosage forms, which has</w:t>
      </w:r>
      <w:r w:rsidR="009E1920">
        <w:rPr>
          <w:rStyle w:val="normaltextrun"/>
          <w:rFonts w:ascii="Calibri" w:hAnsi="Calibri" w:cs="Calibri"/>
          <w:color w:val="auto"/>
          <w:szCs w:val="22"/>
        </w:rPr>
        <w:t xml:space="preserve"> the</w:t>
      </w:r>
      <w:r w:rsidRPr="00FE1D52">
        <w:rPr>
          <w:rStyle w:val="normaltextrun"/>
          <w:rFonts w:ascii="Calibri" w:hAnsi="Calibri" w:cs="Calibri"/>
          <w:color w:val="auto"/>
          <w:szCs w:val="22"/>
        </w:rPr>
        <w:t xml:space="preserve"> potential to be misused by vulnerable population groups such as older adults, children</w:t>
      </w:r>
      <w:r w:rsidR="00B33540">
        <w:rPr>
          <w:rStyle w:val="normaltextrun"/>
          <w:rFonts w:ascii="Calibri" w:hAnsi="Calibri" w:cs="Calibri"/>
          <w:color w:val="auto"/>
          <w:szCs w:val="22"/>
        </w:rPr>
        <w:t>,</w:t>
      </w:r>
      <w:r w:rsidRPr="00FE1D52">
        <w:rPr>
          <w:rStyle w:val="normaltextrun"/>
          <w:rFonts w:ascii="Calibri" w:hAnsi="Calibri" w:cs="Calibri"/>
          <w:color w:val="auto"/>
          <w:szCs w:val="22"/>
        </w:rPr>
        <w:t xml:space="preserve"> and those with eating disorders or other mental health concerns.</w:t>
      </w:r>
    </w:p>
    <w:p w14:paraId="40414D08" w14:textId="5E6B5796" w:rsidR="005C0C0B" w:rsidRPr="00FE1D52" w:rsidRDefault="005C0C0B" w:rsidP="005C0C0B">
      <w:pPr>
        <w:rPr>
          <w:rStyle w:val="normaltextrun"/>
          <w:rFonts w:ascii="Calibri" w:eastAsia="Cambria" w:hAnsi="Calibri" w:cs="Calibri"/>
          <w:color w:val="auto"/>
        </w:rPr>
      </w:pPr>
      <w:r w:rsidRPr="00FE1D52">
        <w:rPr>
          <w:rStyle w:val="normaltextrun"/>
          <w:rFonts w:ascii="Calibri" w:hAnsi="Calibri" w:cs="Calibri"/>
          <w:color w:val="auto"/>
        </w:rPr>
        <w:t>I note that the Therapeutic Guidelines does not recommend the use of bisacodyl as</w:t>
      </w:r>
      <w:r w:rsidR="000D3B93">
        <w:rPr>
          <w:rStyle w:val="normaltextrun"/>
          <w:rFonts w:ascii="Calibri" w:hAnsi="Calibri" w:cs="Calibri"/>
          <w:color w:val="auto"/>
        </w:rPr>
        <w:t xml:space="preserve"> a</w:t>
      </w:r>
      <w:r w:rsidRPr="00FE1D52">
        <w:rPr>
          <w:rStyle w:val="normaltextrun"/>
          <w:rFonts w:ascii="Calibri" w:hAnsi="Calibri" w:cs="Calibri"/>
          <w:color w:val="auto"/>
        </w:rPr>
        <w:t xml:space="preserve"> first-line treatment for constipation. Further, long-term use of bisacodyl should be managed in a setting with access to a health professional. </w:t>
      </w:r>
      <w:r w:rsidRPr="00FE1D52">
        <w:rPr>
          <w:rFonts w:ascii="Calibri" w:hAnsi="Calibri" w:cs="Calibri"/>
          <w:color w:val="auto"/>
          <w:szCs w:val="22"/>
        </w:rPr>
        <w:t>In relation to s</w:t>
      </w:r>
      <w:r w:rsidR="007E1258">
        <w:rPr>
          <w:rFonts w:ascii="Calibri" w:hAnsi="Calibri" w:cs="Calibri"/>
          <w:color w:val="auto"/>
          <w:szCs w:val="22"/>
        </w:rPr>
        <w:t> </w:t>
      </w:r>
      <w:r w:rsidRPr="00FE1D52">
        <w:rPr>
          <w:rFonts w:ascii="Calibri" w:hAnsi="Calibri" w:cs="Calibri"/>
          <w:color w:val="auto"/>
          <w:szCs w:val="22"/>
        </w:rPr>
        <w:t>52E(1)(c) of the Act</w:t>
      </w:r>
      <w:r w:rsidRPr="00FE1D52">
        <w:rPr>
          <w:rStyle w:val="normaltextrun"/>
          <w:rFonts w:ascii="Calibri" w:hAnsi="Calibri" w:cs="Calibri"/>
          <w:color w:val="auto"/>
        </w:rPr>
        <w:t>, bisacodyl is generally well-</w:t>
      </w:r>
      <w:r w:rsidRPr="00FE1D52">
        <w:rPr>
          <w:rStyle w:val="normaltextrun"/>
          <w:rFonts w:ascii="Calibri" w:hAnsi="Calibri" w:cs="Calibri"/>
          <w:color w:val="auto"/>
        </w:rPr>
        <w:lastRenderedPageBreak/>
        <w:t>tolerated and may only cause mild adverse effects of abdominal discomfort and pain when used within the recommended dosage</w:t>
      </w:r>
      <w:r w:rsidR="000D3B93">
        <w:rPr>
          <w:rStyle w:val="normaltextrun"/>
          <w:rFonts w:ascii="Calibri" w:hAnsi="Calibri" w:cs="Calibri"/>
          <w:color w:val="auto"/>
        </w:rPr>
        <w:t>. However,</w:t>
      </w:r>
      <w:r w:rsidRPr="00FE1D52">
        <w:rPr>
          <w:rStyle w:val="normaltextrun"/>
          <w:rFonts w:ascii="Calibri" w:hAnsi="Calibri" w:cs="Calibri"/>
          <w:color w:val="auto"/>
        </w:rPr>
        <w:t xml:space="preserve"> prolonged overuse of bisacodyl can lead to diarrhoea with excessive loss of water and electrolytes, particularly potassium, leading to hypokalaemia. It may also lead to development of atonic non-functioning colon. Therefore, reflecting on the factors for pharmacy medicines of the SPF (Schedule 2, factor 1), I consider that access </w:t>
      </w:r>
      <w:r w:rsidR="00B33540">
        <w:rPr>
          <w:rStyle w:val="normaltextrun"/>
          <w:rFonts w:ascii="Calibri" w:hAnsi="Calibri" w:cs="Calibri"/>
          <w:color w:val="auto"/>
        </w:rPr>
        <w:t xml:space="preserve">to advice </w:t>
      </w:r>
      <w:r w:rsidRPr="00FE1D52">
        <w:rPr>
          <w:rStyle w:val="normaltextrun"/>
          <w:rFonts w:ascii="Calibri" w:hAnsi="Calibri" w:cs="Calibri"/>
          <w:color w:val="auto"/>
        </w:rPr>
        <w:t xml:space="preserve">from a pharmacist should be available to </w:t>
      </w:r>
      <w:r w:rsidRPr="00B33540">
        <w:rPr>
          <w:rStyle w:val="normaltextrun"/>
          <w:rFonts w:ascii="Calibri" w:hAnsi="Calibri" w:cs="Calibri"/>
          <w:color w:val="auto"/>
        </w:rPr>
        <w:t>maximise</w:t>
      </w:r>
      <w:r w:rsidRPr="00FE1D52">
        <w:rPr>
          <w:rStyle w:val="normaltextrun"/>
          <w:rFonts w:ascii="Calibri" w:hAnsi="Calibri" w:cs="Calibri"/>
          <w:color w:val="auto"/>
        </w:rPr>
        <w:t xml:space="preserve"> the safe use of the medicine.</w:t>
      </w:r>
    </w:p>
    <w:p w14:paraId="2434F710" w14:textId="06118DE8" w:rsidR="005C0C0B" w:rsidRPr="00FE1D52" w:rsidRDefault="000D3B93" w:rsidP="005C0C0B">
      <w:pPr>
        <w:rPr>
          <w:rStyle w:val="normaltextrun"/>
          <w:rFonts w:ascii="Calibri" w:eastAsia="Cambria" w:hAnsi="Calibri" w:cs="Calibri"/>
          <w:color w:val="auto"/>
          <w:szCs w:val="22"/>
        </w:rPr>
      </w:pPr>
      <w:r>
        <w:rPr>
          <w:rStyle w:val="normaltextrun"/>
          <w:rFonts w:ascii="Calibri" w:hAnsi="Calibri" w:cs="Calibri"/>
          <w:color w:val="auto"/>
          <w:szCs w:val="22"/>
        </w:rPr>
        <w:t xml:space="preserve">I </w:t>
      </w:r>
      <w:r w:rsidR="005C0C0B" w:rsidRPr="00FE1D52">
        <w:rPr>
          <w:rStyle w:val="normaltextrun"/>
          <w:rFonts w:ascii="Calibri" w:hAnsi="Calibri" w:cs="Calibri"/>
          <w:color w:val="auto"/>
          <w:szCs w:val="22"/>
        </w:rPr>
        <w:t>agree with the Committee</w:t>
      </w:r>
      <w:r w:rsidR="007E1258">
        <w:rPr>
          <w:rStyle w:val="normaltextrun"/>
          <w:rFonts w:ascii="Calibri" w:hAnsi="Calibri" w:cs="Calibri"/>
          <w:color w:val="auto"/>
          <w:szCs w:val="22"/>
        </w:rPr>
        <w:t>’s</w:t>
      </w:r>
      <w:r w:rsidR="005C0C0B" w:rsidRPr="00FE1D52">
        <w:rPr>
          <w:rStyle w:val="normaltextrun"/>
          <w:rFonts w:ascii="Calibri" w:hAnsi="Calibri" w:cs="Calibri"/>
          <w:color w:val="auto"/>
          <w:szCs w:val="22"/>
        </w:rPr>
        <w:t xml:space="preserve"> </w:t>
      </w:r>
      <w:r w:rsidR="00B33540">
        <w:rPr>
          <w:rStyle w:val="normaltextrun"/>
          <w:rFonts w:ascii="Calibri" w:hAnsi="Calibri" w:cs="Calibri"/>
          <w:color w:val="auto"/>
          <w:szCs w:val="22"/>
        </w:rPr>
        <w:t xml:space="preserve">advice </w:t>
      </w:r>
      <w:r w:rsidR="005C0C0B" w:rsidRPr="00FE1D52">
        <w:rPr>
          <w:rStyle w:val="normaltextrun"/>
          <w:rFonts w:ascii="Calibri" w:hAnsi="Calibri" w:cs="Calibri"/>
          <w:color w:val="auto"/>
          <w:szCs w:val="22"/>
        </w:rPr>
        <w:t xml:space="preserve">that the current unrestricted access to bisacodyl oral tablets is </w:t>
      </w:r>
      <w:r w:rsidR="00B33540">
        <w:rPr>
          <w:rStyle w:val="normaltextrun"/>
          <w:rFonts w:ascii="Calibri" w:hAnsi="Calibri" w:cs="Calibri"/>
          <w:color w:val="auto"/>
          <w:szCs w:val="22"/>
        </w:rPr>
        <w:t>unwarranted</w:t>
      </w:r>
      <w:r w:rsidR="005C0C0B" w:rsidRPr="00FE1D52">
        <w:rPr>
          <w:rStyle w:val="normaltextrun"/>
          <w:rFonts w:ascii="Calibri" w:hAnsi="Calibri" w:cs="Calibri"/>
          <w:color w:val="auto"/>
          <w:szCs w:val="22"/>
        </w:rPr>
        <w:t xml:space="preserve"> </w:t>
      </w:r>
      <w:r w:rsidR="00B33540">
        <w:rPr>
          <w:rStyle w:val="normaltextrun"/>
          <w:rFonts w:ascii="Calibri" w:hAnsi="Calibri" w:cs="Calibri"/>
          <w:color w:val="auto"/>
          <w:szCs w:val="22"/>
        </w:rPr>
        <w:t>for the treatment of</w:t>
      </w:r>
      <w:r w:rsidR="00B33540" w:rsidRPr="00FE1D52">
        <w:rPr>
          <w:rStyle w:val="normaltextrun"/>
          <w:rFonts w:ascii="Calibri" w:hAnsi="Calibri" w:cs="Calibri"/>
          <w:color w:val="auto"/>
          <w:szCs w:val="22"/>
        </w:rPr>
        <w:t xml:space="preserve"> </w:t>
      </w:r>
      <w:r w:rsidR="005C0C0B" w:rsidRPr="00FE1D52">
        <w:rPr>
          <w:rStyle w:val="normaltextrun"/>
          <w:rFonts w:ascii="Calibri" w:hAnsi="Calibri" w:cs="Calibri"/>
          <w:color w:val="auto"/>
          <w:szCs w:val="22"/>
        </w:rPr>
        <w:t xml:space="preserve">short-term constipation. Aligned with the Committee’s advice, I have decided to limit the pack size of bisacodyl oral tablets </w:t>
      </w:r>
      <w:r w:rsidR="009E1920">
        <w:rPr>
          <w:rStyle w:val="normaltextrun"/>
          <w:rFonts w:ascii="Calibri" w:hAnsi="Calibri" w:cs="Calibri"/>
          <w:color w:val="auto"/>
          <w:szCs w:val="22"/>
        </w:rPr>
        <w:t xml:space="preserve">available for general sale </w:t>
      </w:r>
      <w:r w:rsidR="005C0C0B" w:rsidRPr="00FE1D52">
        <w:rPr>
          <w:rStyle w:val="normaltextrun"/>
          <w:rFonts w:ascii="Calibri" w:hAnsi="Calibri" w:cs="Calibri"/>
          <w:color w:val="auto"/>
          <w:szCs w:val="22"/>
        </w:rPr>
        <w:t xml:space="preserve">to a maximum of 20 tablets, with each tablet containing 5 mg or less of bisacodyl. This provides consumers with up to 10 days of supply at a maximum daily dose of 10 mg, which is sufficient for </w:t>
      </w:r>
      <w:r w:rsidR="00B33540">
        <w:rPr>
          <w:rStyle w:val="normaltextrun"/>
          <w:rFonts w:ascii="Calibri" w:hAnsi="Calibri" w:cs="Calibri"/>
          <w:color w:val="auto"/>
          <w:szCs w:val="22"/>
        </w:rPr>
        <w:t xml:space="preserve">the treatment of </w:t>
      </w:r>
      <w:r w:rsidR="005C0C0B" w:rsidRPr="00FE1D52">
        <w:rPr>
          <w:rStyle w:val="normaltextrun"/>
          <w:rFonts w:ascii="Calibri" w:hAnsi="Calibri" w:cs="Calibri"/>
          <w:color w:val="auto"/>
          <w:szCs w:val="22"/>
        </w:rPr>
        <w:t>short-term constipation. Further, this arrangement enables consumers who wish to purchase larger pack size</w:t>
      </w:r>
      <w:r>
        <w:rPr>
          <w:rStyle w:val="normaltextrun"/>
          <w:rFonts w:ascii="Calibri" w:hAnsi="Calibri" w:cs="Calibri"/>
          <w:color w:val="auto"/>
          <w:szCs w:val="22"/>
        </w:rPr>
        <w:t>s</w:t>
      </w:r>
      <w:r w:rsidR="005C0C0B" w:rsidRPr="00FE1D52">
        <w:rPr>
          <w:rStyle w:val="normaltextrun"/>
          <w:rFonts w:ascii="Calibri" w:hAnsi="Calibri" w:cs="Calibri"/>
          <w:color w:val="auto"/>
          <w:szCs w:val="22"/>
        </w:rPr>
        <w:t xml:space="preserve"> of oral bisacodyl tablets to </w:t>
      </w:r>
      <w:r w:rsidR="00B33540">
        <w:rPr>
          <w:rStyle w:val="normaltextrun"/>
          <w:rFonts w:ascii="Calibri" w:hAnsi="Calibri" w:cs="Calibri"/>
          <w:color w:val="auto"/>
          <w:szCs w:val="22"/>
        </w:rPr>
        <w:t xml:space="preserve">seek advice from </w:t>
      </w:r>
      <w:r w:rsidR="005C0C0B" w:rsidRPr="00FE1D52">
        <w:rPr>
          <w:rStyle w:val="normaltextrun"/>
          <w:rFonts w:ascii="Calibri" w:hAnsi="Calibri" w:cs="Calibri"/>
          <w:color w:val="auto"/>
          <w:szCs w:val="22"/>
        </w:rPr>
        <w:t xml:space="preserve">a pharmacist </w:t>
      </w:r>
      <w:r w:rsidR="00B33540">
        <w:rPr>
          <w:rStyle w:val="normaltextrun"/>
          <w:rFonts w:ascii="Calibri" w:hAnsi="Calibri" w:cs="Calibri"/>
          <w:color w:val="auto"/>
          <w:szCs w:val="22"/>
        </w:rPr>
        <w:t>or</w:t>
      </w:r>
      <w:r w:rsidR="005C0C0B" w:rsidRPr="00FE1D52">
        <w:rPr>
          <w:rStyle w:val="normaltextrun"/>
          <w:rFonts w:ascii="Calibri" w:hAnsi="Calibri" w:cs="Calibri"/>
          <w:color w:val="auto"/>
          <w:szCs w:val="22"/>
        </w:rPr>
        <w:t xml:space="preserve"> trained pharmacy staff at the point of sale, support</w:t>
      </w:r>
      <w:r w:rsidR="00B33540">
        <w:rPr>
          <w:rStyle w:val="normaltextrun"/>
          <w:rFonts w:ascii="Calibri" w:hAnsi="Calibri" w:cs="Calibri"/>
          <w:color w:val="auto"/>
          <w:szCs w:val="22"/>
        </w:rPr>
        <w:t>ing</w:t>
      </w:r>
      <w:r w:rsidR="005C0C0B" w:rsidRPr="00FE1D52">
        <w:rPr>
          <w:rStyle w:val="normaltextrun"/>
          <w:rFonts w:ascii="Calibri" w:hAnsi="Calibri" w:cs="Calibri"/>
          <w:color w:val="auto"/>
          <w:szCs w:val="22"/>
        </w:rPr>
        <w:t xml:space="preserve"> consumers in selecting the appropriate medicine and promot</w:t>
      </w:r>
      <w:r w:rsidR="009E1920">
        <w:rPr>
          <w:rStyle w:val="normaltextrun"/>
          <w:rFonts w:ascii="Calibri" w:hAnsi="Calibri" w:cs="Calibri"/>
          <w:color w:val="auto"/>
          <w:szCs w:val="22"/>
        </w:rPr>
        <w:t>ing</w:t>
      </w:r>
      <w:r w:rsidR="005C0C0B" w:rsidRPr="00FE1D52">
        <w:rPr>
          <w:rStyle w:val="normaltextrun"/>
          <w:rFonts w:ascii="Calibri" w:hAnsi="Calibri" w:cs="Calibri"/>
          <w:color w:val="auto"/>
          <w:szCs w:val="22"/>
        </w:rPr>
        <w:t xml:space="preserve"> the safe use of bisacodyl.</w:t>
      </w:r>
    </w:p>
    <w:p w14:paraId="1EF6DB69" w14:textId="0BE29910" w:rsidR="005C0C0B" w:rsidRPr="00FE1D52" w:rsidRDefault="005C0C0B" w:rsidP="005C0C0B">
      <w:pPr>
        <w:rPr>
          <w:color w:val="auto"/>
        </w:rPr>
      </w:pPr>
      <w:r w:rsidRPr="00FE1D52">
        <w:rPr>
          <w:rStyle w:val="normaltextrun"/>
          <w:rFonts w:ascii="Calibri" w:hAnsi="Calibri" w:cs="Calibri"/>
          <w:color w:val="auto"/>
          <w:szCs w:val="22"/>
        </w:rPr>
        <w:t>Turning my mind to s</w:t>
      </w:r>
      <w:r w:rsidR="007E1258">
        <w:rPr>
          <w:rStyle w:val="normaltextrun"/>
          <w:rFonts w:ascii="Calibri" w:hAnsi="Calibri" w:cs="Calibri"/>
          <w:color w:val="auto"/>
          <w:szCs w:val="22"/>
        </w:rPr>
        <w:t> </w:t>
      </w:r>
      <w:r w:rsidRPr="00FE1D52">
        <w:rPr>
          <w:rStyle w:val="normaltextrun"/>
          <w:rFonts w:ascii="Calibri" w:hAnsi="Calibri" w:cs="Calibri"/>
          <w:color w:val="auto"/>
          <w:szCs w:val="22"/>
        </w:rPr>
        <w:t xml:space="preserve">52E (1)(d) of the Act, I </w:t>
      </w:r>
      <w:r w:rsidR="007E1258">
        <w:rPr>
          <w:rStyle w:val="normaltextrun"/>
          <w:rFonts w:ascii="Calibri" w:hAnsi="Calibri" w:cs="Calibri"/>
          <w:color w:val="auto"/>
          <w:szCs w:val="22"/>
        </w:rPr>
        <w:t xml:space="preserve">have </w:t>
      </w:r>
      <w:r w:rsidRPr="00FE1D52">
        <w:rPr>
          <w:rStyle w:val="normaltextrun"/>
          <w:rFonts w:ascii="Calibri" w:hAnsi="Calibri" w:cs="Calibri"/>
          <w:color w:val="auto"/>
          <w:szCs w:val="22"/>
        </w:rPr>
        <w:t xml:space="preserve">decided to include other dosage forms of bisacodyl, </w:t>
      </w:r>
      <w:r w:rsidRPr="00FE1D52">
        <w:rPr>
          <w:rFonts w:ascii="Calibri" w:hAnsi="Calibri" w:cs="Calibri"/>
          <w:color w:val="auto"/>
          <w:szCs w:val="22"/>
        </w:rPr>
        <w:t>suppositories and enemas,</w:t>
      </w:r>
      <w:r w:rsidRPr="00FE1D52">
        <w:rPr>
          <w:rStyle w:val="normaltextrun"/>
          <w:rFonts w:ascii="Calibri" w:hAnsi="Calibri" w:cs="Calibri"/>
          <w:color w:val="auto"/>
          <w:szCs w:val="22"/>
        </w:rPr>
        <w:t xml:space="preserve"> in this proposed Schedule 2 entry</w:t>
      </w:r>
      <w:r w:rsidR="00B3393E">
        <w:rPr>
          <w:rStyle w:val="normaltextrun"/>
          <w:rFonts w:ascii="Calibri" w:hAnsi="Calibri" w:cs="Calibri"/>
          <w:color w:val="auto"/>
          <w:szCs w:val="22"/>
        </w:rPr>
        <w:t xml:space="preserve">. </w:t>
      </w:r>
      <w:r w:rsidRPr="00FE1D52">
        <w:rPr>
          <w:rStyle w:val="normaltextrun"/>
          <w:rFonts w:ascii="Calibri" w:hAnsi="Calibri" w:cs="Calibri"/>
          <w:color w:val="auto"/>
          <w:szCs w:val="22"/>
        </w:rPr>
        <w:t>I</w:t>
      </w:r>
      <w:r w:rsidRPr="00FE1D52">
        <w:rPr>
          <w:rFonts w:ascii="Calibri" w:hAnsi="Calibri" w:cs="Calibri"/>
          <w:color w:val="auto"/>
          <w:szCs w:val="22"/>
        </w:rPr>
        <w:t xml:space="preserve"> recognise that despite the current access to bisacodyl being unrestricted, suppositories and enemas containing bisacodyl are currently only available from pharmacies. However, their exclusion from the Schedule 2 entry implies that there are no barriers preventing them from being marketed for general sale in large quantities in the future. While I recognise the risk of misuse of these dosage forms </w:t>
      </w:r>
      <w:r w:rsidR="00B33540">
        <w:rPr>
          <w:rFonts w:ascii="Calibri" w:hAnsi="Calibri" w:cs="Calibri"/>
          <w:color w:val="auto"/>
          <w:szCs w:val="22"/>
        </w:rPr>
        <w:t>i</w:t>
      </w:r>
      <w:r w:rsidR="009E1920">
        <w:rPr>
          <w:rFonts w:ascii="Calibri" w:hAnsi="Calibri" w:cs="Calibri"/>
          <w:color w:val="auto"/>
          <w:szCs w:val="22"/>
        </w:rPr>
        <w:t>s</w:t>
      </w:r>
      <w:r w:rsidR="00B33540" w:rsidRPr="00FE1D52">
        <w:rPr>
          <w:rFonts w:ascii="Calibri" w:hAnsi="Calibri" w:cs="Calibri"/>
          <w:color w:val="auto"/>
          <w:szCs w:val="22"/>
        </w:rPr>
        <w:t xml:space="preserve"> </w:t>
      </w:r>
      <w:r w:rsidRPr="00FE1D52">
        <w:rPr>
          <w:rFonts w:ascii="Calibri" w:hAnsi="Calibri" w:cs="Calibri"/>
          <w:color w:val="auto"/>
          <w:szCs w:val="22"/>
        </w:rPr>
        <w:t xml:space="preserve">relatively low, the restriction placed on oral preparations of bisacodyl may divert consumers who misuse bisacodyl to these preparations. After reviewing the relevant products on the market, I have decided to limit the pack size of bisacodyl available for general sale to a maximum of 12 for suppositories and 25 for enemas, with a maximum dosage unit of 10 mg or less bisacodyl. This decision </w:t>
      </w:r>
      <w:r w:rsidR="00B33540">
        <w:rPr>
          <w:rFonts w:ascii="Calibri" w:hAnsi="Calibri" w:cs="Calibri"/>
          <w:color w:val="auto"/>
          <w:szCs w:val="22"/>
        </w:rPr>
        <w:t xml:space="preserve">balances </w:t>
      </w:r>
      <w:r w:rsidRPr="00FE1D52">
        <w:rPr>
          <w:rFonts w:ascii="Calibri" w:hAnsi="Calibri" w:cs="Calibri"/>
          <w:color w:val="auto"/>
          <w:szCs w:val="22"/>
        </w:rPr>
        <w:t xml:space="preserve">the potential risk of misuse of these products </w:t>
      </w:r>
      <w:r w:rsidR="007E1258">
        <w:rPr>
          <w:rFonts w:ascii="Calibri" w:hAnsi="Calibri" w:cs="Calibri"/>
          <w:color w:val="auto"/>
          <w:szCs w:val="22"/>
        </w:rPr>
        <w:t>but</w:t>
      </w:r>
      <w:r w:rsidRPr="00FE1D52">
        <w:rPr>
          <w:rFonts w:ascii="Calibri" w:hAnsi="Calibri" w:cs="Calibri"/>
          <w:color w:val="auto"/>
          <w:szCs w:val="22"/>
        </w:rPr>
        <w:t xml:space="preserve"> minimis</w:t>
      </w:r>
      <w:r w:rsidR="007E1258">
        <w:rPr>
          <w:rFonts w:ascii="Calibri" w:hAnsi="Calibri" w:cs="Calibri"/>
          <w:color w:val="auto"/>
          <w:szCs w:val="22"/>
        </w:rPr>
        <w:t>es</w:t>
      </w:r>
      <w:r w:rsidRPr="00FE1D52">
        <w:rPr>
          <w:rFonts w:ascii="Calibri" w:hAnsi="Calibri" w:cs="Calibri"/>
          <w:color w:val="auto"/>
          <w:szCs w:val="22"/>
        </w:rPr>
        <w:t xml:space="preserve"> </w:t>
      </w:r>
      <w:r w:rsidR="00B33540">
        <w:rPr>
          <w:rFonts w:ascii="Calibri" w:hAnsi="Calibri" w:cs="Calibri"/>
          <w:color w:val="auto"/>
          <w:szCs w:val="22"/>
        </w:rPr>
        <w:t xml:space="preserve">the </w:t>
      </w:r>
      <w:r w:rsidR="009E1920">
        <w:rPr>
          <w:rFonts w:ascii="Calibri" w:hAnsi="Calibri" w:cs="Calibri"/>
          <w:color w:val="auto"/>
          <w:szCs w:val="22"/>
        </w:rPr>
        <w:t>impact</w:t>
      </w:r>
      <w:r w:rsidRPr="00FE1D52">
        <w:rPr>
          <w:rFonts w:ascii="Calibri" w:hAnsi="Calibri" w:cs="Calibri"/>
          <w:color w:val="auto"/>
          <w:szCs w:val="22"/>
        </w:rPr>
        <w:t xml:space="preserve"> to industry.</w:t>
      </w:r>
    </w:p>
    <w:p w14:paraId="4B6F70EC" w14:textId="77777777" w:rsidR="00FE4F6D" w:rsidRDefault="005C0C0B" w:rsidP="00FE4F6D">
      <w:pPr>
        <w:rPr>
          <w:rStyle w:val="normaltextrun"/>
          <w:rFonts w:ascii="Calibri" w:hAnsi="Calibri" w:cs="Calibri"/>
          <w:color w:val="auto"/>
          <w:szCs w:val="22"/>
        </w:rPr>
      </w:pPr>
      <w:r w:rsidRPr="00FE1D52">
        <w:rPr>
          <w:rStyle w:val="normaltextrun"/>
          <w:rFonts w:ascii="Calibri" w:hAnsi="Calibri" w:cs="Calibri"/>
          <w:color w:val="auto"/>
          <w:szCs w:val="22"/>
        </w:rPr>
        <w:t xml:space="preserve">In reaching my decision, I have taken into consideration the impact on consumers who use bisacodyl for the relief of chronic constipation. I am of the opinion that consumers with chronic constipation associated with serious diseases and conditions are typically managed by health professionals and many of these consumers access larger pack sizes of bisacodyl with </w:t>
      </w:r>
      <w:hyperlink r:id="rId20" w:history="1">
        <w:r w:rsidRPr="00FE4F6D">
          <w:rPr>
            <w:rStyle w:val="Hyperlink"/>
            <w:rFonts w:ascii="Calibri" w:hAnsi="Calibri" w:cs="Calibri"/>
            <w:szCs w:val="22"/>
          </w:rPr>
          <w:t>Pharmaceutical Scheme Benefits</w:t>
        </w:r>
      </w:hyperlink>
      <w:r w:rsidRPr="00FE1D52">
        <w:rPr>
          <w:rStyle w:val="normaltextrun"/>
          <w:rFonts w:ascii="Calibri" w:hAnsi="Calibri" w:cs="Calibri"/>
          <w:color w:val="auto"/>
          <w:szCs w:val="22"/>
        </w:rPr>
        <w:t xml:space="preserve"> (PBS) subsidisation. Therefore, their access to bisacodyl will remain unchanged and this amendment will cause minimal inconvenience to consumers.</w:t>
      </w:r>
    </w:p>
    <w:p w14:paraId="68FBBBA6" w14:textId="70D63EFA" w:rsidR="00FE4F6D" w:rsidRPr="00FE4F6D" w:rsidRDefault="005C0C0B" w:rsidP="00FE4F6D">
      <w:pPr>
        <w:rPr>
          <w:rStyle w:val="eop"/>
          <w:rFonts w:ascii="Calibri" w:eastAsia="Cambria" w:hAnsi="Calibri" w:cs="Calibri"/>
          <w:color w:val="auto"/>
          <w:szCs w:val="22"/>
        </w:rPr>
      </w:pPr>
      <w:r w:rsidRPr="005C0C0B">
        <w:rPr>
          <w:rStyle w:val="normaltextrun"/>
          <w:rFonts w:ascii="Calibri" w:hAnsi="Calibri" w:cs="Calibri"/>
          <w:szCs w:val="22"/>
        </w:rPr>
        <w:t xml:space="preserve">In </w:t>
      </w:r>
      <w:r w:rsidRPr="00FE1D52">
        <w:rPr>
          <w:rStyle w:val="normaltextrun"/>
          <w:rFonts w:ascii="Calibri" w:hAnsi="Calibri" w:cs="Calibri"/>
          <w:color w:val="auto"/>
          <w:szCs w:val="22"/>
        </w:rPr>
        <w:t xml:space="preserve">consideration </w:t>
      </w:r>
      <w:r w:rsidRPr="005C0C0B">
        <w:rPr>
          <w:rStyle w:val="normaltextrun"/>
          <w:rFonts w:ascii="Calibri" w:hAnsi="Calibri" w:cs="Calibri"/>
          <w:szCs w:val="22"/>
        </w:rPr>
        <w:t>of s</w:t>
      </w:r>
      <w:r w:rsidR="007E1258">
        <w:rPr>
          <w:rStyle w:val="normaltextrun"/>
          <w:rFonts w:ascii="Calibri" w:hAnsi="Calibri" w:cs="Calibri"/>
          <w:szCs w:val="22"/>
        </w:rPr>
        <w:t> </w:t>
      </w:r>
      <w:r w:rsidRPr="005C0C0B">
        <w:rPr>
          <w:rStyle w:val="normaltextrun"/>
          <w:rFonts w:ascii="Calibri" w:hAnsi="Calibri" w:cs="Calibri"/>
          <w:szCs w:val="22"/>
        </w:rPr>
        <w:t xml:space="preserve">52E (1)(e) and (f) of the Act, I have considered the </w:t>
      </w:r>
      <w:hyperlink r:id="rId21" w:history="1">
        <w:r w:rsidRPr="00FE4F6D">
          <w:rPr>
            <w:rStyle w:val="Hyperlink"/>
            <w:rFonts w:ascii="Calibri" w:hAnsi="Calibri" w:cs="Calibri"/>
            <w:szCs w:val="22"/>
          </w:rPr>
          <w:t>2018 South Australian Coronial Investigation recommendation</w:t>
        </w:r>
      </w:hyperlink>
      <w:r w:rsidRPr="005C0C0B">
        <w:rPr>
          <w:rStyle w:val="normaltextrun"/>
          <w:rFonts w:ascii="Calibri" w:hAnsi="Calibri" w:cs="Calibri"/>
          <w:szCs w:val="22"/>
        </w:rPr>
        <w:t xml:space="preserve"> that bisacodyl be listed as a pharmacist only medication (Schedule 3) to ensure the provision of professional advice for safe use at the point of sale. I have considered the SPF criteria for Schedule 2 and Schedule </w:t>
      </w:r>
      <w:proofErr w:type="gramStart"/>
      <w:r w:rsidRPr="005C0C0B">
        <w:rPr>
          <w:rStyle w:val="normaltextrun"/>
          <w:rFonts w:ascii="Calibri" w:hAnsi="Calibri" w:cs="Calibri"/>
          <w:szCs w:val="22"/>
        </w:rPr>
        <w:t>3, and</w:t>
      </w:r>
      <w:proofErr w:type="gramEnd"/>
      <w:r w:rsidRPr="005C0C0B">
        <w:rPr>
          <w:rStyle w:val="normaltextrun"/>
          <w:rFonts w:ascii="Calibri" w:hAnsi="Calibri" w:cs="Calibri"/>
          <w:szCs w:val="22"/>
        </w:rPr>
        <w:t xml:space="preserve"> note that while there is a high prevalence of misuse in </w:t>
      </w:r>
      <w:r w:rsidR="009E1920">
        <w:rPr>
          <w:rStyle w:val="normaltextrun"/>
          <w:rFonts w:ascii="Calibri" w:hAnsi="Calibri" w:cs="Calibri"/>
          <w:szCs w:val="22"/>
        </w:rPr>
        <w:t xml:space="preserve">specific </w:t>
      </w:r>
      <w:r w:rsidRPr="005C0C0B">
        <w:rPr>
          <w:rStyle w:val="normaltextrun"/>
          <w:rFonts w:ascii="Calibri" w:hAnsi="Calibri" w:cs="Calibri"/>
          <w:szCs w:val="22"/>
        </w:rPr>
        <w:t>population</w:t>
      </w:r>
      <w:r w:rsidR="009E1920">
        <w:rPr>
          <w:rStyle w:val="normaltextrun"/>
          <w:rFonts w:ascii="Calibri" w:hAnsi="Calibri" w:cs="Calibri"/>
          <w:szCs w:val="22"/>
        </w:rPr>
        <w:t xml:space="preserve"> groups</w:t>
      </w:r>
      <w:r w:rsidRPr="005C0C0B">
        <w:rPr>
          <w:rStyle w:val="normaltextrun"/>
          <w:rFonts w:ascii="Calibri" w:hAnsi="Calibri" w:cs="Calibri"/>
          <w:szCs w:val="22"/>
        </w:rPr>
        <w:t xml:space="preserve">, the risk of misuse in the general population is low. The TGA has only received </w:t>
      </w:r>
      <w:hyperlink r:id="rId22" w:history="1">
        <w:r w:rsidRPr="00FE4F6D">
          <w:rPr>
            <w:rStyle w:val="Hyperlink"/>
            <w:rFonts w:ascii="Calibri" w:hAnsi="Calibri" w:cs="Calibri"/>
            <w:szCs w:val="22"/>
          </w:rPr>
          <w:t>23 reports of adverse events</w:t>
        </w:r>
      </w:hyperlink>
      <w:r w:rsidR="007E1258">
        <w:rPr>
          <w:rStyle w:val="normaltextrun"/>
          <w:rFonts w:ascii="Calibri" w:hAnsi="Calibri" w:cs="Calibri"/>
          <w:szCs w:val="22"/>
        </w:rPr>
        <w:t xml:space="preserve"> </w:t>
      </w:r>
      <w:r w:rsidRPr="005C0C0B">
        <w:rPr>
          <w:rStyle w:val="normaltextrun"/>
          <w:rFonts w:ascii="Calibri" w:hAnsi="Calibri" w:cs="Calibri"/>
          <w:szCs w:val="22"/>
        </w:rPr>
        <w:t>related to bisacodyl-containing products from 2013 to 2023</w:t>
      </w:r>
      <w:r w:rsidR="007E1258">
        <w:rPr>
          <w:rStyle w:val="normaltextrun"/>
          <w:rFonts w:ascii="Calibri" w:hAnsi="Calibri" w:cs="Calibri"/>
          <w:szCs w:val="22"/>
        </w:rPr>
        <w:t>, mostly pertaining to abdominal pain, vomiting, and nausea</w:t>
      </w:r>
      <w:r w:rsidR="000D3B93">
        <w:rPr>
          <w:rStyle w:val="normaltextrun"/>
          <w:rFonts w:ascii="Calibri" w:hAnsi="Calibri" w:cs="Calibri"/>
          <w:szCs w:val="22"/>
        </w:rPr>
        <w:t>.</w:t>
      </w:r>
      <w:r w:rsidR="000D3B93" w:rsidRPr="005C0C0B">
        <w:rPr>
          <w:rStyle w:val="normaltextrun"/>
          <w:rFonts w:ascii="Calibri" w:hAnsi="Calibri" w:cs="Calibri"/>
          <w:szCs w:val="22"/>
        </w:rPr>
        <w:t xml:space="preserve"> </w:t>
      </w:r>
      <w:r w:rsidR="000D3B93">
        <w:rPr>
          <w:rStyle w:val="normaltextrun"/>
          <w:rFonts w:ascii="Calibri" w:hAnsi="Calibri" w:cs="Calibri"/>
          <w:szCs w:val="22"/>
        </w:rPr>
        <w:t>T</w:t>
      </w:r>
      <w:r w:rsidRPr="005C0C0B">
        <w:rPr>
          <w:rStyle w:val="normaltextrun"/>
          <w:rFonts w:ascii="Calibri" w:hAnsi="Calibri" w:cs="Calibri"/>
          <w:szCs w:val="22"/>
        </w:rPr>
        <w:t xml:space="preserve">here is also no pharmacological basis for dependency for </w:t>
      </w:r>
      <w:r w:rsidR="000D3B93">
        <w:rPr>
          <w:rStyle w:val="normaltextrun"/>
          <w:rFonts w:ascii="Calibri" w:hAnsi="Calibri" w:cs="Calibri"/>
          <w:szCs w:val="22"/>
        </w:rPr>
        <w:t>bisacodyl</w:t>
      </w:r>
      <w:r w:rsidRPr="005C0C0B">
        <w:rPr>
          <w:rStyle w:val="normaltextrun"/>
          <w:rFonts w:ascii="Calibri" w:hAnsi="Calibri" w:cs="Calibri"/>
          <w:szCs w:val="22"/>
        </w:rPr>
        <w:t>.</w:t>
      </w:r>
      <w:r w:rsidR="00E85A49">
        <w:rPr>
          <w:rStyle w:val="normaltextrun"/>
          <w:rFonts w:ascii="Calibri" w:hAnsi="Calibri" w:cs="Calibri"/>
          <w:szCs w:val="22"/>
        </w:rPr>
        <w:t xml:space="preserve"> </w:t>
      </w:r>
      <w:r w:rsidRPr="005C0C0B">
        <w:rPr>
          <w:rStyle w:val="normaltextrun"/>
          <w:rFonts w:ascii="Calibri" w:hAnsi="Calibri" w:cs="Calibri"/>
          <w:szCs w:val="22"/>
        </w:rPr>
        <w:t xml:space="preserve">Therefore, I am of the view that bisacodyl best aligns with the scheduling factors for Schedule 2 as set out in the SPF, in particular Schedule 2 factor 3 </w:t>
      </w:r>
      <w:r w:rsidR="00FE4145">
        <w:rPr>
          <w:rStyle w:val="normaltextrun"/>
          <w:rFonts w:ascii="Calibri" w:hAnsi="Calibri" w:cs="Calibri"/>
          <w:szCs w:val="22"/>
        </w:rPr>
        <w:t>‘</w:t>
      </w:r>
      <w:r w:rsidRPr="005C0C0B">
        <w:rPr>
          <w:rStyle w:val="normaltextrun"/>
          <w:rFonts w:ascii="Calibri" w:hAnsi="Calibri" w:cs="Calibri"/>
          <w:szCs w:val="22"/>
        </w:rPr>
        <w:t>the use of the medicine is very unlikely to produce dependency and the medicine is very unlikely to be misused abused or illicitly used</w:t>
      </w:r>
      <w:r w:rsidR="00FE4145">
        <w:rPr>
          <w:rStyle w:val="normaltextrun"/>
          <w:rFonts w:ascii="Calibri" w:hAnsi="Calibri" w:cs="Calibri"/>
          <w:szCs w:val="22"/>
        </w:rPr>
        <w:t>’</w:t>
      </w:r>
      <w:r w:rsidRPr="005C0C0B">
        <w:rPr>
          <w:rStyle w:val="normaltextrun"/>
          <w:rFonts w:ascii="Calibri" w:hAnsi="Calibri" w:cs="Calibri"/>
          <w:szCs w:val="22"/>
        </w:rPr>
        <w:t>.</w:t>
      </w:r>
    </w:p>
    <w:p w14:paraId="7128F44E" w14:textId="4EA95A65" w:rsidR="005C0C0B" w:rsidRPr="00E85A49" w:rsidRDefault="005C0C0B" w:rsidP="00E85A49">
      <w:pPr>
        <w:pStyle w:val="paragraph"/>
        <w:spacing w:before="0" w:beforeAutospacing="0" w:after="0" w:afterAutospacing="0"/>
        <w:textAlignment w:val="baseline"/>
        <w:rPr>
          <w:rFonts w:ascii="Calibri" w:hAnsi="Calibri" w:cs="Calibri"/>
          <w:sz w:val="22"/>
          <w:szCs w:val="22"/>
        </w:rPr>
      </w:pPr>
      <w:r w:rsidRPr="00E85A49">
        <w:rPr>
          <w:rStyle w:val="normaltextrun"/>
          <w:rFonts w:ascii="Calibri" w:hAnsi="Calibri" w:cs="Calibri"/>
          <w:sz w:val="22"/>
          <w:szCs w:val="22"/>
        </w:rPr>
        <w:t>I also note the regulat</w:t>
      </w:r>
      <w:r w:rsidR="00B33540">
        <w:rPr>
          <w:rStyle w:val="normaltextrun"/>
          <w:rFonts w:ascii="Calibri" w:hAnsi="Calibri" w:cs="Calibri"/>
          <w:sz w:val="22"/>
          <w:szCs w:val="22"/>
        </w:rPr>
        <w:t>ory changes</w:t>
      </w:r>
      <w:r w:rsidRPr="00E85A49">
        <w:rPr>
          <w:rStyle w:val="normaltextrun"/>
          <w:rFonts w:ascii="Calibri" w:hAnsi="Calibri" w:cs="Calibri"/>
          <w:sz w:val="22"/>
          <w:szCs w:val="22"/>
        </w:rPr>
        <w:t xml:space="preserve"> of bisacodyl internationally, especially the UK and New Zealand</w:t>
      </w:r>
      <w:r w:rsidR="007E1258">
        <w:rPr>
          <w:rStyle w:val="normaltextrun"/>
          <w:rFonts w:ascii="Calibri" w:hAnsi="Calibri" w:cs="Calibri"/>
          <w:sz w:val="22"/>
          <w:szCs w:val="22"/>
        </w:rPr>
        <w:t>,</w:t>
      </w:r>
      <w:r w:rsidRPr="00E85A49">
        <w:rPr>
          <w:rStyle w:val="normaltextrun"/>
          <w:rFonts w:ascii="Calibri" w:hAnsi="Calibri" w:cs="Calibri"/>
          <w:sz w:val="22"/>
          <w:szCs w:val="22"/>
        </w:rPr>
        <w:t xml:space="preserve"> </w:t>
      </w:r>
      <w:r w:rsidR="00B33540">
        <w:rPr>
          <w:rStyle w:val="normaltextrun"/>
          <w:rFonts w:ascii="Calibri" w:hAnsi="Calibri" w:cs="Calibri"/>
          <w:sz w:val="22"/>
          <w:szCs w:val="22"/>
        </w:rPr>
        <w:t xml:space="preserve">which </w:t>
      </w:r>
      <w:r w:rsidRPr="00E85A49">
        <w:rPr>
          <w:rStyle w:val="normaltextrun"/>
          <w:rFonts w:ascii="Calibri" w:hAnsi="Calibri" w:cs="Calibri"/>
          <w:sz w:val="22"/>
          <w:szCs w:val="22"/>
        </w:rPr>
        <w:t>have tightened control</w:t>
      </w:r>
      <w:r w:rsidR="00B33540">
        <w:rPr>
          <w:rStyle w:val="normaltextrun"/>
          <w:rFonts w:ascii="Calibri" w:hAnsi="Calibri" w:cs="Calibri"/>
          <w:sz w:val="22"/>
          <w:szCs w:val="22"/>
        </w:rPr>
        <w:t>s</w:t>
      </w:r>
      <w:r w:rsidRPr="00E85A49">
        <w:rPr>
          <w:rStyle w:val="normaltextrun"/>
          <w:rFonts w:ascii="Calibri" w:hAnsi="Calibri" w:cs="Calibri"/>
          <w:sz w:val="22"/>
          <w:szCs w:val="22"/>
        </w:rPr>
        <w:t xml:space="preserve"> over bisacodyl </w:t>
      </w:r>
      <w:r w:rsidR="00B33540">
        <w:rPr>
          <w:rStyle w:val="normaltextrun"/>
          <w:rFonts w:ascii="Calibri" w:hAnsi="Calibri" w:cs="Calibri"/>
          <w:sz w:val="22"/>
          <w:szCs w:val="22"/>
        </w:rPr>
        <w:t xml:space="preserve">in </w:t>
      </w:r>
      <w:r w:rsidRPr="00E85A49">
        <w:rPr>
          <w:rStyle w:val="normaltextrun"/>
          <w:rFonts w:ascii="Calibri" w:hAnsi="Calibri" w:cs="Calibri"/>
          <w:sz w:val="22"/>
          <w:szCs w:val="22"/>
        </w:rPr>
        <w:t>recent years. Stimulant laxatives and their accessibility have been the subject of recent reviews</w:t>
      </w:r>
      <w:r w:rsidRPr="00E85A49">
        <w:rPr>
          <w:rStyle w:val="normaltextrun"/>
          <w:rFonts w:ascii="Calibri" w:hAnsi="Calibri" w:cs="Calibri"/>
          <w:sz w:val="22"/>
          <w:szCs w:val="22"/>
          <w:shd w:val="clear" w:color="auto" w:fill="FFFFFF"/>
        </w:rPr>
        <w:t xml:space="preserve"> in the UK in 2020 (</w:t>
      </w:r>
      <w:hyperlink r:id="rId23" w:history="1">
        <w:r w:rsidRPr="00FE4F6D">
          <w:rPr>
            <w:rStyle w:val="Hyperlink"/>
            <w:rFonts w:ascii="Calibri" w:hAnsi="Calibri" w:cs="Calibri"/>
            <w:sz w:val="22"/>
            <w:szCs w:val="22"/>
            <w:shd w:val="clear" w:color="auto" w:fill="FFFFFF"/>
          </w:rPr>
          <w:t>MHRA</w:t>
        </w:r>
      </w:hyperlink>
      <w:r w:rsidRPr="00E85A49">
        <w:rPr>
          <w:rStyle w:val="normaltextrun"/>
          <w:rFonts w:ascii="Calibri" w:hAnsi="Calibri" w:cs="Calibri"/>
          <w:sz w:val="22"/>
          <w:szCs w:val="22"/>
          <w:shd w:val="clear" w:color="auto" w:fill="FFFFFF"/>
        </w:rPr>
        <w:t>), and New Zealand in 2021 (</w:t>
      </w:r>
      <w:proofErr w:type="spellStart"/>
      <w:r>
        <w:fldChar w:fldCharType="begin"/>
      </w:r>
      <w:r>
        <w:instrText>HYPERLINK "https://www.medsafe.govt.nz/consultations/Outcome-stimulant-laxatives-warning-statements.asp"</w:instrText>
      </w:r>
      <w:r>
        <w:fldChar w:fldCharType="separate"/>
      </w:r>
      <w:r w:rsidRPr="00FE4F6D">
        <w:rPr>
          <w:rStyle w:val="Hyperlink"/>
          <w:rFonts w:ascii="Calibri" w:hAnsi="Calibri" w:cs="Calibri"/>
          <w:sz w:val="22"/>
          <w:szCs w:val="22"/>
          <w:shd w:val="clear" w:color="auto" w:fill="FFFFFF"/>
        </w:rPr>
        <w:t>Medsafe</w:t>
      </w:r>
      <w:proofErr w:type="spellEnd"/>
      <w:r>
        <w:rPr>
          <w:rStyle w:val="Hyperlink"/>
          <w:rFonts w:ascii="Calibri" w:hAnsi="Calibri" w:cs="Calibri"/>
          <w:sz w:val="22"/>
          <w:szCs w:val="22"/>
          <w:shd w:val="clear" w:color="auto" w:fill="FFFFFF"/>
        </w:rPr>
        <w:fldChar w:fldCharType="end"/>
      </w:r>
      <w:r w:rsidRPr="00E85A49">
        <w:rPr>
          <w:rStyle w:val="normaltextrun"/>
          <w:rFonts w:ascii="Calibri" w:hAnsi="Calibri" w:cs="Calibri"/>
          <w:sz w:val="22"/>
          <w:szCs w:val="22"/>
          <w:shd w:val="clear" w:color="auto" w:fill="FFFFFF"/>
        </w:rPr>
        <w:t xml:space="preserve">), both of which recommended tighter control of these substances than the current </w:t>
      </w:r>
      <w:r w:rsidRPr="00E85A49">
        <w:rPr>
          <w:rStyle w:val="normaltextrun"/>
          <w:rFonts w:ascii="Calibri" w:hAnsi="Calibri" w:cs="Calibri"/>
          <w:sz w:val="22"/>
          <w:szCs w:val="22"/>
          <w:shd w:val="clear" w:color="auto" w:fill="FFFFFF"/>
        </w:rPr>
        <w:lastRenderedPageBreak/>
        <w:t xml:space="preserve">unrestricted access in Australia. </w:t>
      </w:r>
      <w:r w:rsidRPr="00E85A49">
        <w:rPr>
          <w:rFonts w:ascii="Calibri" w:hAnsi="Calibri" w:cs="Calibri"/>
          <w:bCs/>
          <w:sz w:val="22"/>
          <w:szCs w:val="22"/>
        </w:rPr>
        <w:t xml:space="preserve">As such, the decision will bring Australia’s regulation of bisacodyl in line with these </w:t>
      </w:r>
      <w:r w:rsidR="00B33540">
        <w:rPr>
          <w:rFonts w:ascii="Calibri" w:hAnsi="Calibri" w:cs="Calibri"/>
          <w:bCs/>
          <w:sz w:val="22"/>
          <w:szCs w:val="22"/>
        </w:rPr>
        <w:t>jurisdictions</w:t>
      </w:r>
      <w:r w:rsidRPr="00E85A49">
        <w:rPr>
          <w:rFonts w:ascii="Calibri" w:hAnsi="Calibri" w:cs="Calibri"/>
          <w:bCs/>
          <w:sz w:val="22"/>
          <w:szCs w:val="22"/>
        </w:rPr>
        <w:t>.</w:t>
      </w:r>
    </w:p>
    <w:p w14:paraId="4B31512B" w14:textId="094EF037" w:rsidR="005C0C0B" w:rsidRPr="00E85A49" w:rsidRDefault="005C0C0B" w:rsidP="005C0C0B">
      <w:pPr>
        <w:pStyle w:val="ListBullet"/>
        <w:numPr>
          <w:ilvl w:val="0"/>
          <w:numId w:val="0"/>
        </w:numPr>
        <w:rPr>
          <w:rFonts w:ascii="Calibri" w:hAnsi="Calibri" w:cs="Calibri"/>
          <w:color w:val="auto"/>
          <w:szCs w:val="22"/>
        </w:rPr>
      </w:pPr>
      <w:r w:rsidRPr="00E85A49">
        <w:rPr>
          <w:rFonts w:ascii="Calibri" w:hAnsi="Calibri" w:cs="Calibri"/>
          <w:color w:val="auto"/>
          <w:szCs w:val="22"/>
        </w:rPr>
        <w:t xml:space="preserve">I have considered all 9 public submissions received during the pre-meeting consultation period. The 4 written responses received were fully supportive of the Proposal. </w:t>
      </w:r>
      <w:r w:rsidRPr="00E85A49">
        <w:rPr>
          <w:rFonts w:ascii="Calibri" w:hAnsi="Calibri" w:cs="Calibri"/>
          <w:color w:val="auto"/>
          <w:szCs w:val="22"/>
          <w:lang w:val="en"/>
        </w:rPr>
        <w:t>Of the submissions received without a written component, 2 were supportive and 3 were opposed to the Proposal.</w:t>
      </w:r>
    </w:p>
    <w:p w14:paraId="3E03A9C6" w14:textId="246B0893" w:rsidR="005C0C0B" w:rsidRPr="005C0C0B" w:rsidRDefault="005C0C0B" w:rsidP="005C0C0B">
      <w:pPr>
        <w:spacing w:after="240"/>
        <w:rPr>
          <w:rStyle w:val="normaltextrun"/>
          <w:rFonts w:ascii="Calibri" w:hAnsi="Calibri" w:cs="Calibri"/>
          <w:szCs w:val="22"/>
        </w:rPr>
      </w:pPr>
      <w:r w:rsidRPr="005C0C0B">
        <w:rPr>
          <w:rFonts w:ascii="Calibri" w:hAnsi="Calibri" w:cs="Calibri"/>
          <w:bCs/>
          <w:szCs w:val="22"/>
        </w:rPr>
        <w:t xml:space="preserve">I have considered the concerns expressed by the Committee and from the Submissions that </w:t>
      </w:r>
      <w:r w:rsidRPr="005C0C0B">
        <w:rPr>
          <w:rStyle w:val="normaltextrun"/>
          <w:rFonts w:ascii="Calibri" w:hAnsi="Calibri" w:cs="Calibri"/>
          <w:szCs w:val="22"/>
        </w:rPr>
        <w:t xml:space="preserve">consumers who misuse bisacodyl </w:t>
      </w:r>
      <w:r w:rsidR="000D3B93">
        <w:rPr>
          <w:rStyle w:val="normaltextrun"/>
          <w:rFonts w:ascii="Calibri" w:hAnsi="Calibri" w:cs="Calibri"/>
          <w:szCs w:val="22"/>
        </w:rPr>
        <w:t>may seek to misuse</w:t>
      </w:r>
      <w:r w:rsidRPr="005C0C0B">
        <w:rPr>
          <w:rStyle w:val="normaltextrun"/>
          <w:rFonts w:ascii="Calibri" w:hAnsi="Calibri" w:cs="Calibri"/>
          <w:szCs w:val="22"/>
        </w:rPr>
        <w:t xml:space="preserve"> other unscheduled stimulant laxatives such as senna</w:t>
      </w:r>
      <w:r w:rsidR="000D3B93">
        <w:rPr>
          <w:rStyle w:val="normaltextrun"/>
          <w:rFonts w:ascii="Calibri" w:hAnsi="Calibri" w:cs="Calibri"/>
          <w:szCs w:val="22"/>
        </w:rPr>
        <w:t xml:space="preserve"> following implementation of this decision</w:t>
      </w:r>
      <w:r w:rsidRPr="005C0C0B">
        <w:rPr>
          <w:rStyle w:val="normaltextrun"/>
          <w:rFonts w:ascii="Calibri" w:hAnsi="Calibri" w:cs="Calibri"/>
          <w:szCs w:val="22"/>
        </w:rPr>
        <w:t xml:space="preserve">. I acknowledge that these substances may present potential risks to public health, similar </w:t>
      </w:r>
      <w:r w:rsidR="000D3B93">
        <w:rPr>
          <w:rStyle w:val="normaltextrun"/>
          <w:rFonts w:ascii="Calibri" w:hAnsi="Calibri" w:cs="Calibri"/>
          <w:szCs w:val="22"/>
        </w:rPr>
        <w:t xml:space="preserve">to </w:t>
      </w:r>
      <w:r w:rsidRPr="005C0C0B">
        <w:rPr>
          <w:rStyle w:val="normaltextrun"/>
          <w:rFonts w:ascii="Calibri" w:hAnsi="Calibri" w:cs="Calibri"/>
          <w:szCs w:val="22"/>
        </w:rPr>
        <w:t xml:space="preserve">bisacodyl, and their scheduling should be considered. However, at present there is insufficient evidence before me in relation to these substances. The scheduling of these substances </w:t>
      </w:r>
      <w:r w:rsidR="000D3B93">
        <w:rPr>
          <w:rStyle w:val="normaltextrun"/>
          <w:rFonts w:ascii="Calibri" w:hAnsi="Calibri" w:cs="Calibri"/>
          <w:szCs w:val="22"/>
        </w:rPr>
        <w:t>may</w:t>
      </w:r>
      <w:r w:rsidR="000D3B93" w:rsidRPr="005C0C0B">
        <w:rPr>
          <w:rStyle w:val="normaltextrun"/>
          <w:rFonts w:ascii="Calibri" w:hAnsi="Calibri" w:cs="Calibri"/>
          <w:szCs w:val="22"/>
        </w:rPr>
        <w:t xml:space="preserve"> </w:t>
      </w:r>
      <w:r w:rsidRPr="005C0C0B">
        <w:rPr>
          <w:rStyle w:val="normaltextrun"/>
          <w:rFonts w:ascii="Calibri" w:hAnsi="Calibri" w:cs="Calibri"/>
          <w:szCs w:val="22"/>
        </w:rPr>
        <w:t xml:space="preserve">be </w:t>
      </w:r>
      <w:r w:rsidR="000D3B93">
        <w:rPr>
          <w:rStyle w:val="normaltextrun"/>
          <w:rFonts w:ascii="Calibri" w:hAnsi="Calibri" w:cs="Calibri"/>
          <w:szCs w:val="22"/>
        </w:rPr>
        <w:t>considered if further</w:t>
      </w:r>
      <w:r w:rsidRPr="005C0C0B">
        <w:rPr>
          <w:rStyle w:val="normaltextrun"/>
          <w:rFonts w:ascii="Calibri" w:hAnsi="Calibri" w:cs="Calibri"/>
          <w:szCs w:val="22"/>
        </w:rPr>
        <w:t xml:space="preserve"> evidence and information</w:t>
      </w:r>
      <w:r w:rsidR="000D3B93">
        <w:rPr>
          <w:rStyle w:val="normaltextrun"/>
          <w:rFonts w:ascii="Calibri" w:hAnsi="Calibri" w:cs="Calibri"/>
          <w:szCs w:val="22"/>
        </w:rPr>
        <w:t xml:space="preserve"> becomes available</w:t>
      </w:r>
      <w:r w:rsidRPr="005C0C0B">
        <w:rPr>
          <w:rStyle w:val="normaltextrun"/>
          <w:rFonts w:ascii="Calibri" w:hAnsi="Calibri" w:cs="Calibri"/>
          <w:szCs w:val="22"/>
        </w:rPr>
        <w:t>.</w:t>
      </w:r>
    </w:p>
    <w:p w14:paraId="2D94F1E3" w14:textId="01A0D037" w:rsidR="005C0C0B" w:rsidRPr="005C0C0B" w:rsidRDefault="005C0C0B" w:rsidP="005C0C0B">
      <w:pPr>
        <w:pStyle w:val="ListBullet"/>
        <w:numPr>
          <w:ilvl w:val="0"/>
          <w:numId w:val="0"/>
        </w:numPr>
        <w:rPr>
          <w:rFonts w:ascii="Calibri" w:hAnsi="Calibri" w:cs="Calibri"/>
          <w:color w:val="auto"/>
          <w:szCs w:val="22"/>
        </w:rPr>
      </w:pPr>
      <w:r w:rsidRPr="005C0C0B">
        <w:rPr>
          <w:rFonts w:ascii="Calibri" w:hAnsi="Calibri" w:cs="Calibri"/>
          <w:color w:val="auto"/>
          <w:szCs w:val="22"/>
        </w:rPr>
        <w:t xml:space="preserve">After consideration of the information provided in the application, the public submissions, advice provided by the Committee and the SPF factors, I have made an interim decision to create a new Schedule 2 entry for bisacodyl, with an implementation date of </w:t>
      </w:r>
      <w:r w:rsidR="000D3B93" w:rsidRPr="005C0C0B">
        <w:rPr>
          <w:rFonts w:ascii="Calibri" w:hAnsi="Calibri" w:cs="Calibri"/>
          <w:color w:val="auto"/>
          <w:szCs w:val="22"/>
        </w:rPr>
        <w:t>1</w:t>
      </w:r>
      <w:r w:rsidR="000D3B93">
        <w:rPr>
          <w:rFonts w:ascii="Calibri" w:hAnsi="Calibri" w:cs="Calibri"/>
          <w:color w:val="auto"/>
          <w:szCs w:val="22"/>
        </w:rPr>
        <w:t> </w:t>
      </w:r>
      <w:r w:rsidRPr="005C0C0B">
        <w:rPr>
          <w:rFonts w:ascii="Calibri" w:hAnsi="Calibri" w:cs="Calibri"/>
          <w:color w:val="auto"/>
          <w:szCs w:val="22"/>
        </w:rPr>
        <w:t>October</w:t>
      </w:r>
      <w:r w:rsidR="00776008">
        <w:rPr>
          <w:rFonts w:ascii="Calibri" w:hAnsi="Calibri" w:cs="Calibri"/>
          <w:color w:val="auto"/>
          <w:szCs w:val="22"/>
        </w:rPr>
        <w:t> </w:t>
      </w:r>
      <w:r w:rsidRPr="005C0C0B">
        <w:rPr>
          <w:rFonts w:ascii="Calibri" w:hAnsi="Calibri" w:cs="Calibri"/>
          <w:color w:val="auto"/>
          <w:szCs w:val="22"/>
        </w:rPr>
        <w:t>2024 to allow industry sufficient time to implement packaging changes in response to the decision.</w:t>
      </w:r>
    </w:p>
    <w:p w14:paraId="3F02A039" w14:textId="77777777" w:rsidR="00915A60" w:rsidRPr="005C0C0B" w:rsidRDefault="00915A60" w:rsidP="007D565C">
      <w:pPr>
        <w:pStyle w:val="Heading4"/>
      </w:pPr>
      <w:bookmarkStart w:id="11" w:name="_Toc147325271"/>
      <w:r w:rsidRPr="005C0C0B">
        <w:t>Implementation date</w:t>
      </w:r>
      <w:bookmarkEnd w:id="11"/>
    </w:p>
    <w:p w14:paraId="1E042CA4" w14:textId="6B70B695" w:rsidR="005C0C0B" w:rsidRPr="00DE2FCD" w:rsidRDefault="005C0C0B" w:rsidP="00DE2FCD">
      <w:pPr>
        <w:rPr>
          <w:b/>
          <w:bCs/>
        </w:rPr>
      </w:pPr>
      <w:r w:rsidRPr="00DE2FCD">
        <w:rPr>
          <w:b/>
          <w:bCs/>
        </w:rPr>
        <w:t>1 October 2024</w:t>
      </w:r>
    </w:p>
    <w:p w14:paraId="5E195A5A" w14:textId="4EA100AC" w:rsidR="0018409C" w:rsidRDefault="0018409C">
      <w:pPr>
        <w:rPr>
          <w:rFonts w:ascii="Calibri" w:eastAsia="Cambria" w:hAnsi="Calibri" w:cs="Calibri"/>
          <w:b/>
        </w:rPr>
      </w:pPr>
      <w:r>
        <w:rPr>
          <w:rFonts w:ascii="Calibri" w:hAnsi="Calibri" w:cs="Calibri"/>
          <w:b/>
          <w:color w:val="auto"/>
        </w:rPr>
        <w:br w:type="page"/>
      </w:r>
    </w:p>
    <w:p w14:paraId="09DACC8F" w14:textId="7AC0ED8C" w:rsidR="0018409C" w:rsidRPr="00215D48" w:rsidRDefault="0018409C" w:rsidP="0018409C">
      <w:pPr>
        <w:pStyle w:val="Heading3"/>
      </w:pPr>
      <w:bookmarkStart w:id="12" w:name="_Toc147325272"/>
      <w:r>
        <w:lastRenderedPageBreak/>
        <w:t xml:space="preserve">Interim decision in relation to </w:t>
      </w:r>
      <w:r w:rsidR="007D565C">
        <w:t>olopatadine</w:t>
      </w:r>
      <w:bookmarkEnd w:id="12"/>
    </w:p>
    <w:p w14:paraId="6E2615FE" w14:textId="77777777" w:rsidR="0018409C" w:rsidRPr="002008D8" w:rsidRDefault="0018409C" w:rsidP="007D565C">
      <w:pPr>
        <w:pStyle w:val="Heading4"/>
      </w:pPr>
      <w:bookmarkStart w:id="13" w:name="_Toc147325273"/>
      <w:r w:rsidRPr="002008D8">
        <w:t>Proposal</w:t>
      </w:r>
      <w:bookmarkEnd w:id="13"/>
    </w:p>
    <w:p w14:paraId="6791ECDE" w14:textId="4556E12F" w:rsidR="0018409C" w:rsidRDefault="0018409C" w:rsidP="0018409C">
      <w:r>
        <w:t>The applicant proposed the creation of a new Schedule 2 entry for olopatadine when combined with mometasone in aqueous nasal sprays with limitations on dose per actuation and maximum recommended daily dose, for the short-term treatment of allergy conditions in patients aged 12 and over</w:t>
      </w:r>
      <w:r w:rsidR="001C429A">
        <w:t xml:space="preserve"> (the </w:t>
      </w:r>
      <w:r w:rsidR="001C429A">
        <w:rPr>
          <w:b/>
          <w:bCs/>
        </w:rPr>
        <w:t>Proposal</w:t>
      </w:r>
      <w:r w:rsidR="001C429A" w:rsidRPr="001C429A">
        <w:t>)</w:t>
      </w:r>
      <w:r>
        <w:t>. Olopatadine is an antihistamine that is currently available by prescription only (Schedule 4).</w:t>
      </w:r>
    </w:p>
    <w:p w14:paraId="6438F3A9" w14:textId="77777777" w:rsidR="0018409C" w:rsidRPr="007D565C" w:rsidRDefault="0018409C" w:rsidP="007D565C">
      <w:pPr>
        <w:pStyle w:val="Heading4"/>
      </w:pPr>
      <w:bookmarkStart w:id="14" w:name="_Toc147325274"/>
      <w:bookmarkStart w:id="15" w:name="_Hlk142472265"/>
      <w:r w:rsidRPr="007D565C">
        <w:t>Interim decision</w:t>
      </w:r>
      <w:bookmarkEnd w:id="14"/>
    </w:p>
    <w:p w14:paraId="77E893A0" w14:textId="19E81EAA" w:rsidR="0018409C" w:rsidRPr="009C1D31" w:rsidRDefault="0018409C" w:rsidP="0018409C">
      <w:r>
        <w:t xml:space="preserve">A Delegate </w:t>
      </w:r>
      <w:r w:rsidRPr="00FE26E1">
        <w:rPr>
          <w:rFonts w:ascii="Calibri" w:hAnsi="Calibri" w:cs="Calibri"/>
        </w:rPr>
        <w:t>of the Secretary</w:t>
      </w:r>
      <w:r>
        <w:rPr>
          <w:rStyle w:val="FootnoteReference"/>
        </w:rPr>
        <w:footnoteReference w:id="4"/>
      </w:r>
      <w:r>
        <w:t xml:space="preserve"> has made an interim decision to amend the current Poisons Standard in relation to </w:t>
      </w:r>
      <w:r w:rsidR="00FE4145">
        <w:t xml:space="preserve">olopatadine </w:t>
      </w:r>
      <w:r>
        <w:t>as follows:</w:t>
      </w:r>
      <w:r>
        <w:rPr>
          <w:rStyle w:val="FootnoteReference"/>
        </w:rPr>
        <w:footnoteReference w:id="5"/>
      </w:r>
    </w:p>
    <w:p w14:paraId="30745D48" w14:textId="62FBA9A4" w:rsidR="0018409C" w:rsidRDefault="0018409C" w:rsidP="0018409C">
      <w:pPr>
        <w:pStyle w:val="paragraph"/>
        <w:spacing w:before="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4 – Amend Entry</w:t>
      </w:r>
    </w:p>
    <w:p w14:paraId="6BA7DC3B"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7B2B6C3E" w14:textId="616D5A10" w:rsidR="0018409C" w:rsidRDefault="0018409C" w:rsidP="0018409C">
      <w:pPr>
        <w:pStyle w:val="paragraph"/>
        <w:spacing w:before="0" w:beforeAutospacing="0" w:after="0" w:afterAutospacing="0"/>
        <w:ind w:left="420" w:firstLine="285"/>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sz w:val="22"/>
          <w:szCs w:val="22"/>
          <w:shd w:val="clear" w:color="auto" w:fill="FFFFFF"/>
        </w:rPr>
        <w:t>OLOPATADINE</w:t>
      </w:r>
      <w:r w:rsidRPr="0018409C">
        <w:rPr>
          <w:rStyle w:val="normaltextrun"/>
          <w:rFonts w:asciiTheme="minorHAnsi" w:hAnsiTheme="minorHAnsi" w:cstheme="minorHAnsi"/>
          <w:color w:val="00B050"/>
          <w:sz w:val="22"/>
          <w:szCs w:val="22"/>
          <w:u w:val="single"/>
          <w:shd w:val="clear" w:color="auto" w:fill="FFFFFF"/>
        </w:rPr>
        <w:t xml:space="preserve"> </w:t>
      </w:r>
      <w:r w:rsidRPr="00FE1D52">
        <w:rPr>
          <w:rStyle w:val="normaltextrun"/>
          <w:rFonts w:asciiTheme="minorHAnsi" w:hAnsiTheme="minorHAnsi" w:cstheme="minorHAnsi"/>
          <w:b/>
          <w:bCs/>
          <w:color w:val="00B050"/>
          <w:sz w:val="22"/>
          <w:szCs w:val="22"/>
          <w:u w:val="single"/>
          <w:shd w:val="clear" w:color="auto" w:fill="FFFFFF"/>
        </w:rPr>
        <w:t>except</w:t>
      </w:r>
      <w:r w:rsidRPr="0018409C">
        <w:rPr>
          <w:rStyle w:val="normaltextrun"/>
          <w:rFonts w:asciiTheme="minorHAnsi" w:hAnsiTheme="minorHAnsi" w:cstheme="minorHAnsi"/>
          <w:color w:val="00B050"/>
          <w:sz w:val="22"/>
          <w:szCs w:val="22"/>
          <w:u w:val="single"/>
          <w:shd w:val="clear" w:color="auto" w:fill="FFFFFF"/>
        </w:rPr>
        <w:t> when included in Schedule 2.</w:t>
      </w:r>
    </w:p>
    <w:p w14:paraId="3B24F4CD" w14:textId="77777777" w:rsidR="00BC583D" w:rsidRPr="0018409C" w:rsidRDefault="00BC583D" w:rsidP="0018409C">
      <w:pPr>
        <w:pStyle w:val="paragraph"/>
        <w:spacing w:before="0" w:beforeAutospacing="0" w:after="0" w:afterAutospacing="0"/>
        <w:ind w:left="420" w:firstLine="285"/>
        <w:textAlignment w:val="baseline"/>
        <w:rPr>
          <w:rFonts w:asciiTheme="minorHAnsi" w:hAnsiTheme="minorHAnsi" w:cstheme="minorHAnsi"/>
          <w:sz w:val="18"/>
          <w:szCs w:val="18"/>
        </w:rPr>
      </w:pPr>
    </w:p>
    <w:p w14:paraId="4BE4859A" w14:textId="21B045BD" w:rsidR="0018409C" w:rsidRDefault="0018409C" w:rsidP="0018409C">
      <w:pPr>
        <w:pStyle w:val="paragraph"/>
        <w:spacing w:before="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2 – New Entry</w:t>
      </w:r>
    </w:p>
    <w:p w14:paraId="02701B56"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65DA9460" w14:textId="4E00D136" w:rsidR="00BC583D" w:rsidRDefault="0018409C" w:rsidP="00BC583D">
      <w:pPr>
        <w:pStyle w:val="paragraph"/>
        <w:spacing w:before="0" w:beforeAutospacing="0" w:after="0" w:afterAutospacing="0"/>
        <w:ind w:left="720"/>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color w:val="00B050"/>
          <w:sz w:val="22"/>
          <w:szCs w:val="22"/>
          <w:u w:val="single"/>
          <w:shd w:val="clear" w:color="auto" w:fill="FFFFFF"/>
        </w:rPr>
        <w:t>OLOPATADINE in preparations for nasal use delivering 600 micrograms or less of olopatadine per dose when the maximum recommended daily dose is no greater than 4</w:t>
      </w:r>
      <w:r w:rsidR="00FE4145">
        <w:rPr>
          <w:rStyle w:val="normaltextrun"/>
          <w:rFonts w:asciiTheme="minorHAnsi" w:hAnsiTheme="minorHAnsi" w:cstheme="minorHAnsi"/>
          <w:color w:val="00B050"/>
          <w:sz w:val="22"/>
          <w:szCs w:val="22"/>
          <w:u w:val="single"/>
          <w:shd w:val="clear" w:color="auto" w:fill="FFFFFF"/>
        </w:rPr>
        <w:t>,</w:t>
      </w:r>
      <w:r w:rsidRPr="0018409C">
        <w:rPr>
          <w:rStyle w:val="normaltextrun"/>
          <w:rFonts w:asciiTheme="minorHAnsi" w:hAnsiTheme="minorHAnsi" w:cstheme="minorHAnsi"/>
          <w:color w:val="00B050"/>
          <w:sz w:val="22"/>
          <w:szCs w:val="22"/>
          <w:u w:val="single"/>
          <w:shd w:val="clear" w:color="auto" w:fill="FFFFFF"/>
        </w:rPr>
        <w:t xml:space="preserve">800 micrograms for the treatment of allergic rhinitis for up to </w:t>
      </w:r>
      <w:r w:rsidR="00B33540">
        <w:rPr>
          <w:rStyle w:val="normaltextrun"/>
          <w:rFonts w:asciiTheme="minorHAnsi" w:hAnsiTheme="minorHAnsi" w:cstheme="minorHAnsi"/>
          <w:color w:val="00B050"/>
          <w:sz w:val="22"/>
          <w:szCs w:val="22"/>
          <w:u w:val="single"/>
          <w:shd w:val="clear" w:color="auto" w:fill="FFFFFF"/>
        </w:rPr>
        <w:t>6</w:t>
      </w:r>
      <w:r w:rsidR="00B33540" w:rsidRPr="0018409C">
        <w:rPr>
          <w:rStyle w:val="normaltextrun"/>
          <w:rFonts w:asciiTheme="minorHAnsi" w:hAnsiTheme="minorHAnsi" w:cstheme="minorHAnsi"/>
          <w:color w:val="00B050"/>
          <w:sz w:val="22"/>
          <w:szCs w:val="22"/>
          <w:u w:val="single"/>
          <w:shd w:val="clear" w:color="auto" w:fill="FFFFFF"/>
        </w:rPr>
        <w:t xml:space="preserve"> </w:t>
      </w:r>
      <w:r w:rsidRPr="0018409C">
        <w:rPr>
          <w:rStyle w:val="normaltextrun"/>
          <w:rFonts w:asciiTheme="minorHAnsi" w:hAnsiTheme="minorHAnsi" w:cstheme="minorHAnsi"/>
          <w:color w:val="00B050"/>
          <w:sz w:val="22"/>
          <w:szCs w:val="22"/>
          <w:u w:val="single"/>
          <w:shd w:val="clear" w:color="auto" w:fill="FFFFFF"/>
        </w:rPr>
        <w:t>months in adults and children 12 years of age and over.</w:t>
      </w:r>
    </w:p>
    <w:p w14:paraId="7D9CE7DF" w14:textId="77777777" w:rsidR="00BC583D" w:rsidRPr="00BC583D" w:rsidRDefault="00BC583D" w:rsidP="00BC583D">
      <w:pPr>
        <w:pStyle w:val="paragraph"/>
        <w:spacing w:before="0" w:beforeAutospacing="0" w:after="0" w:afterAutospacing="0"/>
        <w:ind w:left="720"/>
        <w:textAlignment w:val="baseline"/>
        <w:rPr>
          <w:rFonts w:asciiTheme="minorHAnsi" w:eastAsia="Cambria" w:hAnsiTheme="minorHAnsi" w:cstheme="minorHAnsi"/>
          <w:color w:val="00B050"/>
          <w:szCs w:val="22"/>
        </w:rPr>
      </w:pPr>
    </w:p>
    <w:p w14:paraId="545F728D" w14:textId="077859F7" w:rsidR="0018409C" w:rsidRDefault="0018409C" w:rsidP="0018409C">
      <w:pPr>
        <w:pStyle w:val="paragraph"/>
        <w:spacing w:before="0" w:beforeAutospacing="0" w:after="0" w:afterAutospacing="0"/>
        <w:ind w:left="420"/>
        <w:textAlignment w:val="baseline"/>
        <w:rPr>
          <w:rStyle w:val="eop"/>
          <w:rFonts w:asciiTheme="minorHAnsi" w:eastAsia="Cambria" w:hAnsiTheme="minorHAnsi" w:cstheme="minorHAnsi"/>
          <w:b/>
          <w:bCs/>
          <w:sz w:val="22"/>
          <w:szCs w:val="22"/>
        </w:rPr>
      </w:pPr>
      <w:r w:rsidRPr="0018409C">
        <w:rPr>
          <w:rStyle w:val="normaltextrun"/>
          <w:rFonts w:asciiTheme="minorHAnsi" w:hAnsiTheme="minorHAnsi" w:cstheme="minorHAnsi"/>
          <w:b/>
          <w:bCs/>
          <w:sz w:val="22"/>
          <w:szCs w:val="22"/>
        </w:rPr>
        <w:t>Index – Amend Entry</w:t>
      </w:r>
    </w:p>
    <w:p w14:paraId="7A208C14"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6CBA7A30" w14:textId="7ADA0231" w:rsidR="0018409C" w:rsidRPr="007A6634" w:rsidRDefault="0018409C" w:rsidP="0018409C">
      <w:pPr>
        <w:pStyle w:val="paragraph"/>
        <w:spacing w:before="0" w:beforeAutospacing="0" w:after="0" w:afterAutospacing="0"/>
        <w:ind w:left="720"/>
        <w:textAlignment w:val="baseline"/>
        <w:rPr>
          <w:rFonts w:asciiTheme="minorHAnsi" w:hAnsiTheme="minorHAnsi" w:cstheme="minorHAnsi"/>
          <w:b/>
          <w:bCs/>
          <w:sz w:val="18"/>
          <w:szCs w:val="18"/>
        </w:rPr>
      </w:pPr>
      <w:r w:rsidRPr="007A6634">
        <w:rPr>
          <w:rStyle w:val="normaltextrun"/>
          <w:rFonts w:asciiTheme="minorHAnsi" w:hAnsiTheme="minorHAnsi" w:cstheme="minorHAnsi"/>
          <w:b/>
          <w:bCs/>
          <w:sz w:val="22"/>
          <w:szCs w:val="22"/>
        </w:rPr>
        <w:t>OLOPATADINE</w:t>
      </w:r>
    </w:p>
    <w:p w14:paraId="48EE8404" w14:textId="2C447F62" w:rsidR="0018409C" w:rsidRDefault="0018409C" w:rsidP="0018409C">
      <w:pPr>
        <w:pStyle w:val="paragraph"/>
        <w:spacing w:before="0" w:beforeAutospacing="0" w:after="0" w:afterAutospacing="0"/>
        <w:ind w:left="720"/>
        <w:textAlignment w:val="baseline"/>
        <w:rPr>
          <w:rStyle w:val="normaltextrun"/>
          <w:rFonts w:asciiTheme="minorHAnsi" w:hAnsiTheme="minorHAnsi" w:cstheme="minorHAnsi"/>
          <w:color w:val="00B050"/>
          <w:sz w:val="22"/>
          <w:szCs w:val="22"/>
          <w:u w:val="single"/>
        </w:rPr>
      </w:pPr>
      <w:r w:rsidRPr="0018409C">
        <w:rPr>
          <w:rStyle w:val="normaltextrun"/>
          <w:rFonts w:asciiTheme="minorHAnsi" w:hAnsiTheme="minorHAnsi" w:cstheme="minorHAnsi"/>
          <w:sz w:val="22"/>
          <w:szCs w:val="22"/>
        </w:rPr>
        <w:t>Schedule 4</w:t>
      </w:r>
      <w:r w:rsidRPr="0018409C">
        <w:rPr>
          <w:rStyle w:val="scxw160020770"/>
          <w:rFonts w:asciiTheme="minorHAnsi" w:hAnsiTheme="minorHAnsi" w:cstheme="minorHAnsi"/>
          <w:sz w:val="22"/>
          <w:szCs w:val="22"/>
        </w:rPr>
        <w:t> </w:t>
      </w:r>
      <w:r w:rsidRPr="0018409C">
        <w:rPr>
          <w:rFonts w:asciiTheme="minorHAnsi" w:hAnsiTheme="minorHAnsi" w:cstheme="minorHAnsi"/>
          <w:sz w:val="22"/>
          <w:szCs w:val="22"/>
        </w:rPr>
        <w:br/>
      </w:r>
      <w:r w:rsidRPr="0018409C">
        <w:rPr>
          <w:rStyle w:val="normaltextrun"/>
          <w:rFonts w:asciiTheme="minorHAnsi" w:hAnsiTheme="minorHAnsi" w:cstheme="minorHAnsi"/>
          <w:color w:val="00B050"/>
          <w:sz w:val="22"/>
          <w:szCs w:val="22"/>
          <w:u w:val="single"/>
        </w:rPr>
        <w:t>Schedule 2</w:t>
      </w:r>
    </w:p>
    <w:p w14:paraId="5AD7ADB7" w14:textId="1F301A87" w:rsidR="007A6634" w:rsidRDefault="007A6634" w:rsidP="0018409C">
      <w:pPr>
        <w:pStyle w:val="paragraph"/>
        <w:spacing w:before="0" w:beforeAutospacing="0" w:after="0" w:afterAutospacing="0"/>
        <w:ind w:left="720"/>
        <w:textAlignment w:val="baseline"/>
        <w:rPr>
          <w:rStyle w:val="normaltextrun"/>
          <w:rFonts w:asciiTheme="minorHAnsi" w:hAnsiTheme="minorHAnsi" w:cstheme="minorHAnsi"/>
          <w:color w:val="00B050"/>
          <w:sz w:val="22"/>
          <w:szCs w:val="22"/>
          <w:u w:val="single"/>
        </w:rPr>
      </w:pPr>
    </w:p>
    <w:p w14:paraId="137666BE" w14:textId="3109A00B" w:rsidR="007A6634" w:rsidRDefault="007A6634" w:rsidP="007A6634">
      <w:pPr>
        <w:ind w:left="720"/>
        <w:rPr>
          <w:lang w:eastAsia="en-AU"/>
        </w:rPr>
      </w:pPr>
      <w:r w:rsidRPr="007A6634">
        <w:rPr>
          <w:b/>
          <w:bCs/>
          <w:lang w:eastAsia="en-AU"/>
        </w:rPr>
        <w:t>ANTIHISTAMINES</w:t>
      </w:r>
      <w:r w:rsidRPr="007A6634">
        <w:rPr>
          <w:b/>
          <w:bCs/>
          <w:lang w:eastAsia="en-AU"/>
        </w:rPr>
        <w:br/>
      </w:r>
      <w:r w:rsidRPr="007A6634">
        <w:rPr>
          <w:lang w:eastAsia="en-AU"/>
        </w:rPr>
        <w:t xml:space="preserve">cross reference: ASTEMIZOLE, AZELASTINE, BILASTINE, DESLORATADINE, FEXOFENADINE, LORATADINE, </w:t>
      </w:r>
      <w:r>
        <w:rPr>
          <w:rStyle w:val="normaltextrun"/>
          <w:rFonts w:cstheme="minorHAnsi"/>
          <w:color w:val="00B050"/>
          <w:szCs w:val="22"/>
          <w:u w:val="single"/>
          <w:shd w:val="clear" w:color="auto" w:fill="FFFFFF"/>
        </w:rPr>
        <w:t xml:space="preserve">OLOPATADINE, </w:t>
      </w:r>
      <w:r w:rsidRPr="007A6634">
        <w:rPr>
          <w:lang w:eastAsia="en-AU"/>
        </w:rPr>
        <w:t>TERFENADINE, CETIRIZINE</w:t>
      </w:r>
      <w:r>
        <w:rPr>
          <w:lang w:eastAsia="en-AU"/>
        </w:rPr>
        <w:br/>
      </w:r>
      <w:r w:rsidRPr="007A6634">
        <w:rPr>
          <w:lang w:eastAsia="en-AU"/>
        </w:rPr>
        <w:t>Schedule 4</w:t>
      </w:r>
      <w:r w:rsidRPr="007A6634">
        <w:rPr>
          <w:lang w:eastAsia="en-AU"/>
        </w:rPr>
        <w:br/>
        <w:t>Appendix F, clause 4</w:t>
      </w:r>
    </w:p>
    <w:tbl>
      <w:tblPr>
        <w:tblStyle w:val="TGABlack2023"/>
        <w:tblW w:w="9209" w:type="dxa"/>
        <w:tblLook w:val="04A0" w:firstRow="1" w:lastRow="0" w:firstColumn="1" w:lastColumn="0" w:noHBand="0" w:noVBand="1"/>
      </w:tblPr>
      <w:tblGrid>
        <w:gridCol w:w="754"/>
        <w:gridCol w:w="3802"/>
        <w:gridCol w:w="4653"/>
      </w:tblGrid>
      <w:tr w:rsidR="00423964" w14:paraId="19BBBABD" w14:textId="77777777" w:rsidTr="00292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2F5496" w:themeFill="accent1" w:themeFillShade="BF"/>
          </w:tcPr>
          <w:p w14:paraId="55EA5495" w14:textId="43B93CA3" w:rsidR="00423964" w:rsidRPr="00423964" w:rsidRDefault="00423964" w:rsidP="007A6634">
            <w:pPr>
              <w:rPr>
                <w:rStyle w:val="normaltextrun"/>
                <w:rFonts w:asciiTheme="minorHAnsi" w:hAnsiTheme="minorHAnsi" w:cstheme="minorHAnsi"/>
                <w:color w:val="FFFFFF" w:themeColor="background1"/>
              </w:rPr>
            </w:pPr>
            <w:r w:rsidRPr="00423964">
              <w:rPr>
                <w:rStyle w:val="normaltextrun"/>
                <w:rFonts w:asciiTheme="minorHAnsi" w:hAnsiTheme="minorHAnsi" w:cstheme="minorHAnsi"/>
                <w:color w:val="FFFFFF" w:themeColor="background1"/>
                <w:sz w:val="20"/>
                <w:szCs w:val="20"/>
              </w:rPr>
              <w:t xml:space="preserve">Appendix F, clause 4 – </w:t>
            </w:r>
            <w:r w:rsidRPr="00423964">
              <w:rPr>
                <w:rStyle w:val="normaltextrun"/>
                <w:rFonts w:asciiTheme="minorHAnsi" w:hAnsiTheme="minorHAnsi" w:cstheme="minorHAnsi"/>
                <w:b w:val="0"/>
                <w:bCs/>
                <w:color w:val="FFFFFF" w:themeColor="background1"/>
                <w:sz w:val="20"/>
                <w:szCs w:val="20"/>
              </w:rPr>
              <w:t>Poisons that must be labelled with warning statements and safety directions</w:t>
            </w:r>
          </w:p>
        </w:tc>
      </w:tr>
      <w:tr w:rsidR="00423964" w14:paraId="434BAC31" w14:textId="77777777" w:rsidTr="00423964">
        <w:tc>
          <w:tcPr>
            <w:cnfStyle w:val="001000000000" w:firstRow="0" w:lastRow="0" w:firstColumn="1" w:lastColumn="0" w:oddVBand="0" w:evenVBand="0" w:oddHBand="0" w:evenHBand="0" w:firstRowFirstColumn="0" w:firstRowLastColumn="0" w:lastRowFirstColumn="0" w:lastRowLastColumn="0"/>
            <w:tcW w:w="754" w:type="dxa"/>
          </w:tcPr>
          <w:p w14:paraId="3D81160C" w14:textId="6F72470E" w:rsidR="00423964" w:rsidRPr="00423964" w:rsidRDefault="00423964" w:rsidP="007A6634">
            <w:pPr>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Item</w:t>
            </w:r>
          </w:p>
        </w:tc>
        <w:tc>
          <w:tcPr>
            <w:tcW w:w="3802" w:type="dxa"/>
          </w:tcPr>
          <w:p w14:paraId="1C3793CB" w14:textId="73305841"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Poison</w:t>
            </w:r>
          </w:p>
        </w:tc>
        <w:tc>
          <w:tcPr>
            <w:tcW w:w="4653" w:type="dxa"/>
          </w:tcPr>
          <w:p w14:paraId="1B2D8686" w14:textId="63E6DC9D"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Warning statement item number</w:t>
            </w:r>
          </w:p>
        </w:tc>
      </w:tr>
      <w:tr w:rsidR="00423964" w14:paraId="0ADC3A85" w14:textId="77777777" w:rsidTr="00423964">
        <w:tc>
          <w:tcPr>
            <w:cnfStyle w:val="001000000000" w:firstRow="0" w:lastRow="0" w:firstColumn="1" w:lastColumn="0" w:oddVBand="0" w:evenVBand="0" w:oddHBand="0" w:evenHBand="0" w:firstRowFirstColumn="0" w:firstRowLastColumn="0" w:lastRowFirstColumn="0" w:lastRowLastColumn="0"/>
            <w:tcW w:w="754" w:type="dxa"/>
          </w:tcPr>
          <w:p w14:paraId="4919A386" w14:textId="3EEA93A3" w:rsidR="00423964" w:rsidRPr="00423964" w:rsidRDefault="00423964" w:rsidP="007A6634">
            <w:pPr>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23</w:t>
            </w:r>
          </w:p>
        </w:tc>
        <w:tc>
          <w:tcPr>
            <w:tcW w:w="3802" w:type="dxa"/>
          </w:tcPr>
          <w:p w14:paraId="4C85D20D" w14:textId="77777777"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Antihistamines not separately specified in this Appendix </w:t>
            </w:r>
            <w:r w:rsidRPr="00423964">
              <w:rPr>
                <w:rStyle w:val="normaltextrun"/>
                <w:rFonts w:asciiTheme="minorHAnsi" w:hAnsiTheme="minorHAnsi" w:cstheme="minorHAnsi"/>
                <w:b/>
                <w:bCs/>
                <w:sz w:val="20"/>
                <w:szCs w:val="20"/>
              </w:rPr>
              <w:t xml:space="preserve">except </w:t>
            </w:r>
            <w:r w:rsidRPr="00423964">
              <w:rPr>
                <w:rStyle w:val="normaltextrun"/>
                <w:rFonts w:asciiTheme="minorHAnsi" w:hAnsiTheme="minorHAnsi" w:cstheme="minorHAnsi"/>
                <w:sz w:val="20"/>
                <w:szCs w:val="20"/>
              </w:rPr>
              <w:t xml:space="preserve">the following: </w:t>
            </w:r>
          </w:p>
          <w:p w14:paraId="6C422F60" w14:textId="77777777" w:rsidR="00423964" w:rsidRPr="00423964" w:rsidRDefault="00423964" w:rsidP="001C429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dermal, ocular, parenteral and paediatric preparations;</w:t>
            </w:r>
          </w:p>
          <w:p w14:paraId="77A32FB5" w14:textId="2AC804A4" w:rsidR="00423964" w:rsidRPr="00423964" w:rsidRDefault="00423964" w:rsidP="001C429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oral preparations of </w:t>
            </w:r>
            <w:proofErr w:type="spellStart"/>
            <w:r w:rsidRPr="00423964">
              <w:rPr>
                <w:rStyle w:val="normaltextrun"/>
                <w:rFonts w:asciiTheme="minorHAnsi" w:hAnsiTheme="minorHAnsi" w:cstheme="minorHAnsi"/>
                <w:sz w:val="20"/>
                <w:szCs w:val="20"/>
              </w:rPr>
              <w:t>astemizole</w:t>
            </w:r>
            <w:proofErr w:type="spellEnd"/>
            <w:r w:rsidRPr="00423964">
              <w:rPr>
                <w:rStyle w:val="normaltextrun"/>
                <w:rFonts w:asciiTheme="minorHAnsi" w:hAnsiTheme="minorHAnsi" w:cstheme="minorHAnsi"/>
                <w:sz w:val="20"/>
                <w:szCs w:val="20"/>
              </w:rPr>
              <w:t xml:space="preserve">, azelastine, </w:t>
            </w:r>
            <w:proofErr w:type="spellStart"/>
            <w:r w:rsidRPr="00423964">
              <w:rPr>
                <w:rStyle w:val="normaltextrun"/>
                <w:rFonts w:asciiTheme="minorHAnsi" w:hAnsiTheme="minorHAnsi" w:cstheme="minorHAnsi"/>
                <w:sz w:val="20"/>
                <w:szCs w:val="20"/>
              </w:rPr>
              <w:t>bilastine</w:t>
            </w:r>
            <w:proofErr w:type="spellEnd"/>
            <w:r w:rsidRPr="00423964">
              <w:rPr>
                <w:rStyle w:val="normaltextrun"/>
                <w:rFonts w:asciiTheme="minorHAnsi" w:hAnsiTheme="minorHAnsi" w:cstheme="minorHAnsi"/>
                <w:sz w:val="20"/>
                <w:szCs w:val="20"/>
              </w:rPr>
              <w:t>, desloratadine, fexofenadine, loratadine</w:t>
            </w:r>
            <w:r w:rsidRPr="00423964">
              <w:rPr>
                <w:rStyle w:val="normaltextrun"/>
                <w:rFonts w:asciiTheme="minorHAnsi" w:hAnsiTheme="minorHAnsi" w:cstheme="minorHAnsi"/>
                <w:color w:val="00B050"/>
                <w:sz w:val="20"/>
                <w:szCs w:val="20"/>
              </w:rPr>
              <w:t xml:space="preserve">, </w:t>
            </w:r>
            <w:r w:rsidRPr="00853CB5">
              <w:rPr>
                <w:rStyle w:val="normaltextrun"/>
                <w:rFonts w:asciiTheme="minorHAnsi" w:hAnsiTheme="minorHAnsi" w:cstheme="minorHAnsi"/>
                <w:color w:val="00B050"/>
                <w:sz w:val="20"/>
                <w:szCs w:val="20"/>
                <w:u w:val="single"/>
              </w:rPr>
              <w:t>olopatadine</w:t>
            </w:r>
            <w:r w:rsidRPr="00423964">
              <w:rPr>
                <w:rStyle w:val="normaltextrun"/>
                <w:rFonts w:asciiTheme="minorHAnsi" w:hAnsiTheme="minorHAnsi" w:cstheme="minorHAnsi"/>
                <w:sz w:val="20"/>
                <w:szCs w:val="20"/>
              </w:rPr>
              <w:t xml:space="preserve">, </w:t>
            </w:r>
            <w:proofErr w:type="spellStart"/>
            <w:r w:rsidRPr="00423964">
              <w:rPr>
                <w:rStyle w:val="normaltextrun"/>
                <w:rFonts w:asciiTheme="minorHAnsi" w:hAnsiTheme="minorHAnsi" w:cstheme="minorHAnsi"/>
                <w:sz w:val="20"/>
                <w:szCs w:val="20"/>
              </w:rPr>
              <w:t>ternadine</w:t>
            </w:r>
            <w:proofErr w:type="spellEnd"/>
            <w:r w:rsidRPr="00423964">
              <w:rPr>
                <w:rStyle w:val="normaltextrun"/>
                <w:rFonts w:asciiTheme="minorHAnsi" w:hAnsiTheme="minorHAnsi" w:cstheme="minorHAnsi"/>
                <w:sz w:val="20"/>
                <w:szCs w:val="20"/>
              </w:rPr>
              <w:t xml:space="preserve"> or cetirizine</w:t>
            </w:r>
          </w:p>
        </w:tc>
        <w:tc>
          <w:tcPr>
            <w:tcW w:w="4653" w:type="dxa"/>
          </w:tcPr>
          <w:p w14:paraId="79537218" w14:textId="57E33D7D"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39</w:t>
            </w:r>
            <w:r>
              <w:rPr>
                <w:rStyle w:val="normaltextrun"/>
                <w:rFonts w:asciiTheme="minorHAnsi" w:hAnsiTheme="minorHAnsi" w:cstheme="minorHAnsi"/>
                <w:sz w:val="20"/>
                <w:szCs w:val="20"/>
              </w:rPr>
              <w:t xml:space="preserve"> – This medication may cause drowsiness. If affected, do not drive a vehicle, or operate machinery. Avoid alcohol.</w:t>
            </w:r>
          </w:p>
          <w:p w14:paraId="7756BA02" w14:textId="77777777"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Or </w:t>
            </w:r>
          </w:p>
          <w:p w14:paraId="7565FA8F" w14:textId="242FC69D"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40</w:t>
            </w:r>
            <w:r>
              <w:rPr>
                <w:rStyle w:val="normaltextrun"/>
                <w:rFonts w:asciiTheme="minorHAnsi" w:hAnsiTheme="minorHAnsi" w:cstheme="minorHAnsi"/>
                <w:sz w:val="20"/>
                <w:szCs w:val="20"/>
              </w:rPr>
              <w:t xml:space="preserve"> – This medication may cause drowsiness and may increase the effects of alcohol. I effected do not drive a motor vehicle or operate machinery. </w:t>
            </w:r>
          </w:p>
          <w:p w14:paraId="4A6A1F66" w14:textId="7D8F16AE"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p>
        </w:tc>
      </w:tr>
    </w:tbl>
    <w:p w14:paraId="594D82E9" w14:textId="77777777" w:rsidR="001C429A" w:rsidRPr="007A6634" w:rsidRDefault="001C429A" w:rsidP="007A6634">
      <w:pPr>
        <w:ind w:left="720"/>
        <w:rPr>
          <w:rStyle w:val="normaltextrun"/>
          <w:lang w:eastAsia="en-AU"/>
        </w:rPr>
      </w:pPr>
    </w:p>
    <w:p w14:paraId="014B5B9C" w14:textId="77777777" w:rsidR="0018409C" w:rsidRPr="007D565C" w:rsidRDefault="0018409C" w:rsidP="007D565C">
      <w:pPr>
        <w:pStyle w:val="Heading4"/>
      </w:pPr>
      <w:bookmarkStart w:id="16" w:name="_Toc147325275"/>
      <w:bookmarkEnd w:id="15"/>
      <w:r w:rsidRPr="007D565C">
        <w:t>Materials considered</w:t>
      </w:r>
      <w:bookmarkEnd w:id="16"/>
    </w:p>
    <w:p w14:paraId="43060E18" w14:textId="77777777" w:rsidR="0018409C" w:rsidRPr="0018409C" w:rsidRDefault="0018409C" w:rsidP="007D565C">
      <w:r w:rsidRPr="0018409C">
        <w:t>In making this interim decision, the Delegate considered the following material:</w:t>
      </w:r>
    </w:p>
    <w:p w14:paraId="5A577ED1" w14:textId="058CB918"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the</w:t>
      </w:r>
      <w:sdt>
        <w:sdtPr>
          <w:rPr>
            <w:rFonts w:asciiTheme="minorHAnsi" w:hAnsiTheme="minorHAnsi" w:cstheme="minorHAnsi"/>
          </w:rPr>
          <w:alias w:val="Hyperlink to TGA website"/>
          <w:tag w:val="Hyperlink to TGA website"/>
          <w:id w:val="-435598380"/>
          <w:placeholder>
            <w:docPart w:val="722A8C1725E24F9A951C970BB96C7831"/>
          </w:placeholder>
        </w:sdtPr>
        <w:sdtEndPr>
          <w:rPr>
            <w:color w:val="0000FF"/>
            <w:u w:val="single"/>
          </w:rPr>
        </w:sdtEndPr>
        <w:sdtContent>
          <w:r w:rsidRPr="0018409C">
            <w:rPr>
              <w:rFonts w:asciiTheme="minorHAnsi" w:hAnsiTheme="minorHAnsi" w:cstheme="minorHAnsi"/>
            </w:rPr>
            <w:t xml:space="preserve"> </w:t>
          </w:r>
          <w:hyperlink r:id="rId24" w:history="1">
            <w:r w:rsidRPr="0018409C">
              <w:rPr>
                <w:rStyle w:val="Hyperlink"/>
                <w:rFonts w:asciiTheme="minorHAnsi" w:hAnsiTheme="minorHAnsi" w:cstheme="minorHAnsi"/>
              </w:rPr>
              <w:t>application</w:t>
            </w:r>
          </w:hyperlink>
        </w:sdtContent>
      </w:sdt>
      <w:r w:rsidRPr="0018409C">
        <w:rPr>
          <w:rFonts w:asciiTheme="minorHAnsi" w:hAnsiTheme="minorHAnsi" w:cstheme="minorHAnsi"/>
        </w:rPr>
        <w:t xml:space="preserve"> </w:t>
      </w:r>
      <w:r w:rsidRPr="0018409C">
        <w:rPr>
          <w:rFonts w:asciiTheme="minorHAnsi" w:hAnsiTheme="minorHAnsi" w:cstheme="minorHAnsi"/>
          <w:color w:val="000000" w:themeColor="text1"/>
        </w:rPr>
        <w:t xml:space="preserve">to amend the current Poisons Standard with respect to </w:t>
      </w:r>
      <w:r w:rsidR="002718EB">
        <w:rPr>
          <w:rFonts w:asciiTheme="minorHAnsi" w:hAnsiTheme="minorHAnsi" w:cstheme="minorHAnsi"/>
          <w:color w:val="000000" w:themeColor="text1"/>
        </w:rPr>
        <w:t>olopatadine</w:t>
      </w:r>
      <w:r w:rsidRPr="0018409C">
        <w:rPr>
          <w:rFonts w:asciiTheme="minorHAnsi" w:hAnsiTheme="minorHAnsi" w:cstheme="minorHAnsi"/>
          <w:color w:val="000000" w:themeColor="text1"/>
        </w:rPr>
        <w:t xml:space="preserve"> (the </w:t>
      </w:r>
      <w:r w:rsidRPr="0018409C">
        <w:rPr>
          <w:rFonts w:asciiTheme="minorHAnsi" w:hAnsiTheme="minorHAnsi" w:cstheme="minorHAnsi"/>
          <w:b/>
          <w:bCs/>
          <w:color w:val="000000" w:themeColor="text1"/>
        </w:rPr>
        <w:t>Application</w:t>
      </w:r>
      <w:r w:rsidRPr="0018409C">
        <w:rPr>
          <w:rFonts w:asciiTheme="minorHAnsi" w:hAnsiTheme="minorHAnsi" w:cstheme="minorHAnsi"/>
          <w:color w:val="000000" w:themeColor="text1"/>
        </w:rPr>
        <w:t>)</w:t>
      </w:r>
      <w:r w:rsidR="00E1070A">
        <w:rPr>
          <w:rFonts w:asciiTheme="minorHAnsi" w:hAnsiTheme="minorHAnsi" w:cstheme="minorHAnsi"/>
          <w:color w:val="000000" w:themeColor="text1"/>
        </w:rPr>
        <w:t>.</w:t>
      </w:r>
    </w:p>
    <w:p w14:paraId="69A903E5" w14:textId="6A5D54D4"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auto"/>
        </w:rPr>
        <w:t>t</w:t>
      </w:r>
      <w:sdt>
        <w:sdtPr>
          <w:rPr>
            <w:rFonts w:asciiTheme="minorHAnsi" w:hAnsiTheme="minorHAnsi" w:cstheme="minorHAnsi"/>
            <w:color w:val="auto"/>
          </w:rPr>
          <w:id w:val="1751007165"/>
          <w:placeholder>
            <w:docPart w:val="A1C1DA5CF4F249AF91DD1AC1A71A2E75"/>
          </w:placeholder>
        </w:sdtPr>
        <w:sdtEndPr/>
        <w:sdtContent>
          <w:r w:rsidRPr="0018409C">
            <w:rPr>
              <w:rFonts w:asciiTheme="minorHAnsi" w:hAnsiTheme="minorHAnsi" w:cstheme="minorHAnsi"/>
              <w:color w:val="auto"/>
            </w:rPr>
            <w:t xml:space="preserve">he 8 </w:t>
          </w:r>
          <w:hyperlink r:id="rId25" w:history="1">
            <w:r w:rsidRPr="0018409C">
              <w:rPr>
                <w:rStyle w:val="Hyperlink"/>
                <w:rFonts w:asciiTheme="minorHAnsi" w:hAnsiTheme="minorHAnsi" w:cstheme="minorHAnsi"/>
              </w:rPr>
              <w:t>public submissions</w:t>
            </w:r>
          </w:hyperlink>
          <w:r>
            <w:rPr>
              <w:rFonts w:asciiTheme="minorHAnsi" w:hAnsiTheme="minorHAnsi" w:cstheme="minorHAnsi"/>
            </w:rPr>
            <w:t xml:space="preserve"> </w:t>
          </w:r>
          <w:r w:rsidRPr="0018409C">
            <w:rPr>
              <w:rFonts w:asciiTheme="minorHAnsi" w:hAnsiTheme="minorHAnsi" w:cstheme="minorHAnsi"/>
              <w:color w:val="auto"/>
            </w:rPr>
            <w:t xml:space="preserve">received in response to the </w:t>
          </w:r>
          <w:r w:rsidRPr="0018409C">
            <w:rPr>
              <w:rFonts w:asciiTheme="minorHAnsi" w:hAnsiTheme="minorHAnsi" w:cstheme="minorHAnsi"/>
              <w:color w:val="0000FF"/>
              <w:u w:val="single"/>
            </w:rPr>
            <w:t xml:space="preserve">pre-meeting </w:t>
          </w:r>
          <w:hyperlink r:id="rId26" w:history="1">
            <w:r w:rsidRPr="0018409C">
              <w:rPr>
                <w:rStyle w:val="Hyperlink"/>
                <w:rFonts w:asciiTheme="minorHAnsi" w:hAnsiTheme="minorHAnsi" w:cstheme="minorHAnsi"/>
              </w:rPr>
              <w:t>consultation</w:t>
            </w:r>
          </w:hyperlink>
          <w:r w:rsidRPr="0018409C">
            <w:rPr>
              <w:rFonts w:asciiTheme="minorHAnsi" w:hAnsiTheme="minorHAnsi" w:cstheme="minorHAnsi"/>
            </w:rPr>
            <w:t xml:space="preserve"> </w:t>
          </w:r>
          <w:r w:rsidRPr="0018409C">
            <w:rPr>
              <w:rFonts w:asciiTheme="minorHAnsi" w:hAnsiTheme="minorHAnsi" w:cstheme="minorHAnsi"/>
              <w:color w:val="auto"/>
            </w:rPr>
            <w:t>under regulation 42ZCZK of the Regulations</w:t>
          </w:r>
        </w:sdtContent>
      </w:sdt>
      <w:r w:rsidRPr="0018409C">
        <w:rPr>
          <w:rFonts w:asciiTheme="minorHAnsi" w:hAnsiTheme="minorHAnsi" w:cstheme="minorHAnsi"/>
          <w:color w:val="auto"/>
        </w:rPr>
        <w:t xml:space="preserve"> (the </w:t>
      </w:r>
      <w:r w:rsidRPr="0018409C">
        <w:rPr>
          <w:rFonts w:asciiTheme="minorHAnsi" w:hAnsiTheme="minorHAnsi" w:cstheme="minorHAnsi"/>
          <w:b/>
          <w:bCs/>
          <w:color w:val="auto"/>
        </w:rPr>
        <w:t>Submissions)</w:t>
      </w:r>
      <w:r w:rsidR="00E1070A">
        <w:rPr>
          <w:rFonts w:asciiTheme="minorHAnsi" w:hAnsiTheme="minorHAnsi" w:cstheme="minorHAnsi"/>
          <w:b/>
          <w:bCs/>
          <w:color w:val="auto"/>
        </w:rPr>
        <w:t>.</w:t>
      </w:r>
    </w:p>
    <w:p w14:paraId="14075E95" w14:textId="5BE3D5B1"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rPr>
        <w:t>t</w:t>
      </w:r>
      <w:sdt>
        <w:sdtPr>
          <w:rPr>
            <w:rFonts w:asciiTheme="minorHAnsi" w:hAnsiTheme="minorHAnsi" w:cstheme="minorHAnsi"/>
            <w:color w:val="auto"/>
          </w:rPr>
          <w:id w:val="2119794154"/>
          <w:placeholder>
            <w:docPart w:val="C3296D9741D64DF88FB2F51F57566474"/>
          </w:placeholder>
        </w:sdtPr>
        <w:sdtEndPr>
          <w:rPr>
            <w:highlight w:val="yellow"/>
          </w:rPr>
        </w:sdtEndPr>
        <w:sdtContent>
          <w:proofErr w:type="gramStart"/>
          <w:r w:rsidRPr="0018409C">
            <w:rPr>
              <w:rFonts w:asciiTheme="minorHAnsi" w:hAnsiTheme="minorHAnsi" w:cstheme="minorHAnsi"/>
              <w:color w:val="auto"/>
            </w:rPr>
            <w:t>he</w:t>
          </w:r>
          <w:proofErr w:type="gramEnd"/>
          <w:r w:rsidRPr="0018409C">
            <w:rPr>
              <w:rFonts w:asciiTheme="minorHAnsi" w:hAnsiTheme="minorHAnsi" w:cstheme="minorHAnsi"/>
              <w:color w:val="auto"/>
            </w:rPr>
            <w:t xml:space="preserve"> advice received from the 42</w:t>
          </w:r>
          <w:r w:rsidRPr="0018409C">
            <w:rPr>
              <w:rFonts w:asciiTheme="minorHAnsi" w:hAnsiTheme="minorHAnsi" w:cstheme="minorHAnsi"/>
              <w:color w:val="auto"/>
              <w:vertAlign w:val="superscript"/>
            </w:rPr>
            <w:t>nd</w:t>
          </w:r>
          <w:r w:rsidRPr="0018409C">
            <w:rPr>
              <w:rFonts w:asciiTheme="minorHAnsi" w:hAnsiTheme="minorHAnsi" w:cstheme="minorHAnsi"/>
              <w:color w:val="auto"/>
            </w:rPr>
            <w:t xml:space="preserve"> meeting of the Advisory Committees on Medicines Scheduling</w:t>
          </w:r>
        </w:sdtContent>
      </w:sdt>
      <w:r w:rsidRPr="0018409C">
        <w:rPr>
          <w:rFonts w:asciiTheme="minorHAnsi" w:hAnsiTheme="minorHAnsi" w:cstheme="minorHAnsi"/>
        </w:rPr>
        <w:t xml:space="preserve"> </w:t>
      </w:r>
      <w:r w:rsidRPr="0018409C">
        <w:rPr>
          <w:rFonts w:asciiTheme="minorHAnsi" w:hAnsiTheme="minorHAnsi" w:cstheme="minorHAnsi"/>
          <w:color w:val="auto"/>
        </w:rPr>
        <w:t xml:space="preserve">(the </w:t>
      </w:r>
      <w:r w:rsidRPr="0018409C">
        <w:rPr>
          <w:rFonts w:asciiTheme="minorHAnsi" w:hAnsiTheme="minorHAnsi" w:cstheme="minorHAnsi"/>
          <w:b/>
          <w:bCs/>
          <w:color w:val="auto"/>
        </w:rPr>
        <w:t>Committee</w:t>
      </w:r>
      <w:r w:rsidRPr="0018409C">
        <w:rPr>
          <w:rFonts w:asciiTheme="minorHAnsi" w:hAnsiTheme="minorHAnsi" w:cstheme="minorHAnsi"/>
          <w:color w:val="auto"/>
        </w:rPr>
        <w:t>)</w:t>
      </w:r>
      <w:r w:rsidR="00E1070A">
        <w:rPr>
          <w:rFonts w:asciiTheme="minorHAnsi" w:hAnsiTheme="minorHAnsi" w:cstheme="minorHAnsi"/>
          <w:color w:val="auto"/>
        </w:rPr>
        <w:t>.</w:t>
      </w:r>
    </w:p>
    <w:p w14:paraId="79C42D4D"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7" w:history="1">
        <w:r w:rsidRPr="0018409C">
          <w:rPr>
            <w:rStyle w:val="Hyperlink"/>
            <w:rFonts w:asciiTheme="minorHAnsi" w:hAnsiTheme="minorHAnsi" w:cstheme="minorHAnsi"/>
          </w:rPr>
          <w:t>Therapeutic Guidelines</w:t>
        </w:r>
      </w:hyperlink>
    </w:p>
    <w:p w14:paraId="760AE57F"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8" w:history="1">
        <w:r w:rsidRPr="0018409C">
          <w:rPr>
            <w:rStyle w:val="Hyperlink"/>
            <w:rFonts w:asciiTheme="minorHAnsi" w:hAnsiTheme="minorHAnsi" w:cstheme="minorHAnsi"/>
          </w:rPr>
          <w:t>Database of Adverse Event Notifications</w:t>
        </w:r>
      </w:hyperlink>
    </w:p>
    <w:p w14:paraId="1B13232A"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9" w:history="1">
        <w:r w:rsidRPr="0018409C">
          <w:rPr>
            <w:rStyle w:val="Hyperlink"/>
            <w:rFonts w:asciiTheme="minorHAnsi" w:hAnsiTheme="minorHAnsi" w:cstheme="minorHAnsi"/>
          </w:rPr>
          <w:t>Quality Care Pharmacy Program (QCPP)</w:t>
        </w:r>
      </w:hyperlink>
    </w:p>
    <w:p w14:paraId="4838B6A2" w14:textId="71EE6B81" w:rsidR="0018409C" w:rsidRPr="0018409C" w:rsidRDefault="0018409C" w:rsidP="0018409C">
      <w:pPr>
        <w:pStyle w:val="ListBullet"/>
        <w:rPr>
          <w:rFonts w:asciiTheme="minorHAnsi" w:hAnsiTheme="minorHAnsi" w:cstheme="minorHAnsi"/>
          <w:color w:val="auto"/>
        </w:rPr>
      </w:pPr>
      <w:r w:rsidRPr="0018409C">
        <w:rPr>
          <w:rFonts w:asciiTheme="minorHAnsi" w:hAnsiTheme="minorHAnsi" w:cstheme="minorHAnsi"/>
          <w:color w:val="auto"/>
        </w:rPr>
        <w:t>subsection 52</w:t>
      </w:r>
      <w:proofErr w:type="gramStart"/>
      <w:r w:rsidRPr="0018409C">
        <w:rPr>
          <w:rFonts w:asciiTheme="minorHAnsi" w:hAnsiTheme="minorHAnsi" w:cstheme="minorHAnsi"/>
          <w:color w:val="auto"/>
        </w:rPr>
        <w:t>E(</w:t>
      </w:r>
      <w:proofErr w:type="gramEnd"/>
      <w:r w:rsidRPr="0018409C">
        <w:rPr>
          <w:rFonts w:asciiTheme="minorHAnsi" w:hAnsiTheme="minorHAnsi" w:cstheme="minorHAnsi"/>
          <w:color w:val="auto"/>
        </w:rPr>
        <w:t xml:space="preserve">1) of the </w:t>
      </w:r>
      <w:r w:rsidRPr="0018409C">
        <w:rPr>
          <w:rFonts w:asciiTheme="minorHAnsi" w:hAnsiTheme="minorHAnsi" w:cstheme="minorHAnsi"/>
          <w:iCs/>
          <w:color w:val="auto"/>
        </w:rPr>
        <w:t>Act</w:t>
      </w:r>
      <w:r w:rsidRPr="0018409C">
        <w:rPr>
          <w:rFonts w:asciiTheme="minorHAnsi" w:hAnsiTheme="minorHAnsi" w:cstheme="minorHAnsi"/>
          <w:i/>
          <w:color w:val="auto"/>
        </w:rPr>
        <w:t xml:space="preserve">, </w:t>
      </w:r>
      <w:r w:rsidRPr="0018409C">
        <w:rPr>
          <w:rFonts w:asciiTheme="minorHAnsi" w:hAnsiTheme="minorHAnsi" w:cstheme="minorHAnsi"/>
          <w:color w:val="auto"/>
        </w:rPr>
        <w:t xml:space="preserve">in particular (a) risks and benefits of the use of a substance; (b) the purposes for which a substance is to be used and the extent of use of a substance; (c) the toxicity of a substance; </w:t>
      </w:r>
      <w:r w:rsidR="00853CB5">
        <w:rPr>
          <w:rFonts w:asciiTheme="minorHAnsi" w:hAnsiTheme="minorHAnsi" w:cstheme="minorHAnsi"/>
          <w:color w:val="auto"/>
        </w:rPr>
        <w:t xml:space="preserve">and </w:t>
      </w:r>
      <w:r w:rsidRPr="0018409C">
        <w:rPr>
          <w:rFonts w:asciiTheme="minorHAnsi" w:hAnsiTheme="minorHAnsi" w:cstheme="minorHAnsi"/>
          <w:color w:val="auto"/>
        </w:rPr>
        <w:t>(d) the dosage, formulation, labelling, packaging and presentation of a substance</w:t>
      </w:r>
      <w:r w:rsidR="00E1070A">
        <w:rPr>
          <w:rFonts w:asciiTheme="minorHAnsi" w:hAnsiTheme="minorHAnsi" w:cstheme="minorHAnsi"/>
          <w:color w:val="auto"/>
        </w:rPr>
        <w:t>.</w:t>
      </w:r>
    </w:p>
    <w:p w14:paraId="42C33D6B" w14:textId="77777777" w:rsidR="0018409C" w:rsidRPr="0018409C" w:rsidRDefault="0018409C" w:rsidP="0018409C">
      <w:pPr>
        <w:pStyle w:val="ListBullet"/>
        <w:rPr>
          <w:rFonts w:asciiTheme="minorHAnsi" w:hAnsiTheme="minorHAnsi" w:cstheme="minorHAnsi"/>
          <w:color w:val="auto"/>
        </w:rPr>
      </w:pPr>
      <w:r w:rsidRPr="0018409C">
        <w:rPr>
          <w:rFonts w:asciiTheme="minorHAnsi" w:hAnsiTheme="minorHAnsi" w:cstheme="minorHAnsi"/>
          <w:color w:val="auto"/>
        </w:rPr>
        <w:t>the SPF, and</w:t>
      </w:r>
    </w:p>
    <w:p w14:paraId="4ECB6AB4" w14:textId="56D31D1E" w:rsidR="0018409C" w:rsidRPr="00896D6E" w:rsidRDefault="0018409C" w:rsidP="00896D6E">
      <w:pPr>
        <w:pStyle w:val="ListBullet"/>
        <w:rPr>
          <w:rStyle w:val="normaltextrun"/>
          <w:rFonts w:asciiTheme="minorHAnsi" w:hAnsiTheme="minorHAnsi" w:cstheme="minorHAnsi"/>
          <w:color w:val="auto"/>
        </w:rPr>
      </w:pPr>
      <w:r w:rsidRPr="0018409C">
        <w:rPr>
          <w:rFonts w:asciiTheme="minorHAnsi" w:hAnsiTheme="minorHAnsi" w:cstheme="minorHAnsi"/>
          <w:color w:val="auto"/>
        </w:rPr>
        <w:t>the Handbook.</w:t>
      </w:r>
    </w:p>
    <w:p w14:paraId="6CC9699C" w14:textId="77777777" w:rsidR="0018409C" w:rsidRPr="007D565C" w:rsidRDefault="0018409C" w:rsidP="007D565C">
      <w:pPr>
        <w:pStyle w:val="Heading4"/>
      </w:pPr>
      <w:bookmarkStart w:id="17" w:name="_Toc147325276"/>
      <w:r w:rsidRPr="007D565C">
        <w:t>Summary of Committee advice to the Delegate</w:t>
      </w:r>
      <w:bookmarkEnd w:id="17"/>
    </w:p>
    <w:p w14:paraId="4C9CE6C0" w14:textId="33105321" w:rsidR="00FE7D1E" w:rsidRDefault="00FE7D1E" w:rsidP="00CD559E">
      <w:pPr>
        <w:rPr>
          <w:color w:val="auto"/>
        </w:rPr>
      </w:pPr>
      <w:r w:rsidRPr="00FE7D1E">
        <w:rPr>
          <w:color w:val="auto"/>
        </w:rPr>
        <w:t xml:space="preserve">The Committee recommended that </w:t>
      </w:r>
      <w:r>
        <w:rPr>
          <w:color w:val="auto"/>
        </w:rPr>
        <w:t>the scheduling for</w:t>
      </w:r>
      <w:r w:rsidRPr="00FE7D1E">
        <w:rPr>
          <w:color w:val="auto"/>
        </w:rPr>
        <w:t xml:space="preserve"> </w:t>
      </w:r>
      <w:r>
        <w:rPr>
          <w:color w:val="auto"/>
        </w:rPr>
        <w:t>olopatadine</w:t>
      </w:r>
      <w:r w:rsidRPr="00FE7D1E">
        <w:rPr>
          <w:color w:val="auto"/>
        </w:rPr>
        <w:t xml:space="preserve"> </w:t>
      </w:r>
      <w:r>
        <w:rPr>
          <w:color w:val="auto"/>
        </w:rPr>
        <w:t xml:space="preserve">be amended in the Poisons Standard to </w:t>
      </w:r>
      <w:r>
        <w:t xml:space="preserve">create a new Schedule 2 entry which will </w:t>
      </w:r>
      <w:r w:rsidRPr="00B11477">
        <w:t>allow supply of olopatadine as a ‘Pharmacy Only’ medicine</w:t>
      </w:r>
      <w:r w:rsidRPr="00FE7D1E">
        <w:t xml:space="preserve"> in aqueous nasal sprays with </w:t>
      </w:r>
      <w:r>
        <w:t xml:space="preserve">a dose </w:t>
      </w:r>
      <w:r w:rsidRPr="00FE7D1E">
        <w:t>limit</w:t>
      </w:r>
      <w:r>
        <w:t xml:space="preserve"> of </w:t>
      </w:r>
      <w:r w:rsidRPr="00FE7D1E">
        <w:t>600 micrograms per actuation and maximum recommended daily dose</w:t>
      </w:r>
      <w:r>
        <w:t xml:space="preserve"> of </w:t>
      </w:r>
      <w:r w:rsidRPr="00FE7D1E">
        <w:t>4</w:t>
      </w:r>
      <w:r w:rsidR="00FE4145">
        <w:t>,</w:t>
      </w:r>
      <w:r w:rsidRPr="00FE7D1E">
        <w:t xml:space="preserve">800 micrograms, for the short-term treatment of </w:t>
      </w:r>
      <w:r>
        <w:t>allergic rhinitis</w:t>
      </w:r>
      <w:r w:rsidRPr="00FE7D1E">
        <w:t xml:space="preserve"> in patients aged 12 and over</w:t>
      </w:r>
      <w:r>
        <w:t xml:space="preserve"> </w:t>
      </w:r>
      <w:r>
        <w:rPr>
          <w:color w:val="auto"/>
        </w:rPr>
        <w:t>in the manner set out in my interim decision.</w:t>
      </w:r>
      <w:r w:rsidR="005916C0">
        <w:rPr>
          <w:color w:val="auto"/>
        </w:rPr>
        <w:t xml:space="preserve"> The Committee recommended an </w:t>
      </w:r>
      <w:r w:rsidR="005916C0" w:rsidRPr="005916C0">
        <w:rPr>
          <w:color w:val="auto"/>
        </w:rPr>
        <w:t xml:space="preserve">implementation date of </w:t>
      </w:r>
      <w:r w:rsidR="005916C0" w:rsidRPr="0086718D">
        <w:rPr>
          <w:b/>
          <w:bCs/>
          <w:color w:val="auto"/>
        </w:rPr>
        <w:t>1</w:t>
      </w:r>
      <w:r w:rsidR="0086718D">
        <w:rPr>
          <w:b/>
          <w:bCs/>
          <w:color w:val="auto"/>
        </w:rPr>
        <w:t> </w:t>
      </w:r>
      <w:r w:rsidR="005916C0" w:rsidRPr="0086718D">
        <w:rPr>
          <w:b/>
          <w:bCs/>
          <w:color w:val="auto"/>
        </w:rPr>
        <w:t>February</w:t>
      </w:r>
      <w:r w:rsidR="0086718D">
        <w:rPr>
          <w:b/>
          <w:bCs/>
          <w:color w:val="auto"/>
        </w:rPr>
        <w:t> </w:t>
      </w:r>
      <w:r w:rsidR="005916C0" w:rsidRPr="0086718D">
        <w:rPr>
          <w:b/>
          <w:bCs/>
          <w:color w:val="auto"/>
        </w:rPr>
        <w:t>2024</w:t>
      </w:r>
      <w:r w:rsidR="0086718D">
        <w:rPr>
          <w:color w:val="auto"/>
        </w:rPr>
        <w:t>.</w:t>
      </w:r>
    </w:p>
    <w:p w14:paraId="66F9E1EA" w14:textId="6D096E9B" w:rsidR="00CD559E" w:rsidRPr="00BC42F1" w:rsidRDefault="000D3B93" w:rsidP="00CD559E">
      <w:pPr>
        <w:rPr>
          <w:color w:val="auto"/>
        </w:rPr>
      </w:pPr>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264F4904" w14:textId="274EF0C3" w:rsidR="0018409C" w:rsidRPr="00BC42F1" w:rsidRDefault="0018409C" w:rsidP="00CD559E">
      <w:pPr>
        <w:pStyle w:val="ListParagraph"/>
        <w:numPr>
          <w:ilvl w:val="0"/>
          <w:numId w:val="20"/>
        </w:numPr>
        <w:rPr>
          <w:color w:val="auto"/>
        </w:rPr>
      </w:pPr>
      <w:r w:rsidRPr="00BC42F1">
        <w:rPr>
          <w:i/>
          <w:iCs/>
          <w:color w:val="auto"/>
        </w:rPr>
        <w:t>the risks and benefits of the use of a substance</w:t>
      </w:r>
    </w:p>
    <w:p w14:paraId="4AB0E795" w14:textId="1160709A" w:rsidR="0018409C" w:rsidRPr="00BC42F1" w:rsidRDefault="0018409C" w:rsidP="00CD559E">
      <w:pPr>
        <w:ind w:left="851"/>
        <w:rPr>
          <w:color w:val="auto"/>
        </w:rPr>
      </w:pPr>
      <w:r w:rsidRPr="00BC42F1">
        <w:rPr>
          <w:color w:val="auto"/>
        </w:rPr>
        <w:t>Risks:</w:t>
      </w:r>
    </w:p>
    <w:p w14:paraId="7FB123C1" w14:textId="1BB3968C" w:rsidR="0018409C" w:rsidRPr="00BC42F1" w:rsidRDefault="00B33540" w:rsidP="00CD559E">
      <w:pPr>
        <w:pStyle w:val="ListBullet2"/>
        <w:rPr>
          <w:color w:val="auto"/>
        </w:rPr>
      </w:pPr>
      <w:r>
        <w:rPr>
          <w:color w:val="auto"/>
        </w:rPr>
        <w:t>The r</w:t>
      </w:r>
      <w:r w:rsidR="0018409C" w:rsidRPr="00BC42F1">
        <w:rPr>
          <w:color w:val="auto"/>
        </w:rPr>
        <w:t xml:space="preserve">isk profile </w:t>
      </w:r>
      <w:r>
        <w:rPr>
          <w:color w:val="auto"/>
        </w:rPr>
        <w:t xml:space="preserve">for olopatadine </w:t>
      </w:r>
      <w:r w:rsidR="0018409C" w:rsidRPr="00BC42F1">
        <w:rPr>
          <w:color w:val="auto"/>
        </w:rPr>
        <w:t xml:space="preserve">is well defined and can be mitigated by packaging and labelling. </w:t>
      </w:r>
    </w:p>
    <w:p w14:paraId="57F3CFFF" w14:textId="3BCC7447" w:rsidR="0018409C" w:rsidRPr="00BC42F1" w:rsidRDefault="0018409C" w:rsidP="00CD559E">
      <w:pPr>
        <w:pStyle w:val="ListBullet2"/>
        <w:rPr>
          <w:color w:val="auto"/>
        </w:rPr>
      </w:pPr>
      <w:r w:rsidRPr="00BC42F1">
        <w:rPr>
          <w:color w:val="auto"/>
        </w:rPr>
        <w:t>Adverse events include dizziness, dysgeusia, epistaxis, headache, nasal discomfort, oropharyngeal pain, and somnolence.</w:t>
      </w:r>
    </w:p>
    <w:p w14:paraId="3F7F5562" w14:textId="2D958CD7" w:rsidR="0018409C" w:rsidRPr="00BC42F1" w:rsidRDefault="0018409C" w:rsidP="00CD559E">
      <w:pPr>
        <w:ind w:left="851"/>
        <w:rPr>
          <w:color w:val="auto"/>
        </w:rPr>
      </w:pPr>
      <w:r w:rsidRPr="00BC42F1">
        <w:rPr>
          <w:color w:val="auto"/>
        </w:rPr>
        <w:t>Benefits:</w:t>
      </w:r>
    </w:p>
    <w:p w14:paraId="53547588" w14:textId="373128D2" w:rsidR="0018409C" w:rsidRPr="00BC42F1" w:rsidRDefault="00B33540" w:rsidP="00CD559E">
      <w:pPr>
        <w:pStyle w:val="ListBullet2"/>
        <w:rPr>
          <w:color w:val="auto"/>
        </w:rPr>
      </w:pPr>
      <w:r>
        <w:rPr>
          <w:color w:val="auto"/>
        </w:rPr>
        <w:t>Olopatadine is used for the t</w:t>
      </w:r>
      <w:r w:rsidR="0018409C" w:rsidRPr="00BC42F1">
        <w:rPr>
          <w:color w:val="auto"/>
        </w:rPr>
        <w:t>reatment for allergic rhinitis.</w:t>
      </w:r>
    </w:p>
    <w:p w14:paraId="687BEBB7" w14:textId="77777777" w:rsidR="00E1070A" w:rsidRDefault="00E1070A">
      <w:pPr>
        <w:rPr>
          <w:i/>
          <w:iCs/>
        </w:rPr>
      </w:pPr>
      <w:r>
        <w:rPr>
          <w:i/>
          <w:iCs/>
        </w:rPr>
        <w:br w:type="page"/>
      </w:r>
    </w:p>
    <w:p w14:paraId="6A2DBD71" w14:textId="5BE3B5AE" w:rsidR="0018409C" w:rsidRPr="00234217" w:rsidRDefault="0018409C" w:rsidP="00CD559E">
      <w:pPr>
        <w:pStyle w:val="ListParagraph"/>
        <w:numPr>
          <w:ilvl w:val="0"/>
          <w:numId w:val="20"/>
        </w:numPr>
      </w:pPr>
      <w:r w:rsidRPr="00CD559E">
        <w:rPr>
          <w:i/>
          <w:iCs/>
        </w:rPr>
        <w:lastRenderedPageBreak/>
        <w:t>the purposes for which a substance is to be used and the extent of use of a substance</w:t>
      </w:r>
    </w:p>
    <w:p w14:paraId="0A1F7B98" w14:textId="5D48E95F" w:rsidR="0018409C" w:rsidRPr="00234217" w:rsidRDefault="00B33540" w:rsidP="00CD559E">
      <w:pPr>
        <w:pStyle w:val="ListBullet2"/>
      </w:pPr>
      <w:r>
        <w:t>Olopatadine has a d</w:t>
      </w:r>
      <w:r w:rsidR="0018409C" w:rsidRPr="00234217">
        <w:t>efined use in allergic rhinitis to treat symptoms, including rhinorrhoea, nasal congestion, sneezing, and nasal itching.</w:t>
      </w:r>
    </w:p>
    <w:p w14:paraId="74D52426" w14:textId="0F00D022" w:rsidR="0018409C" w:rsidRPr="00234217" w:rsidRDefault="0018409C" w:rsidP="00CD559E">
      <w:pPr>
        <w:pStyle w:val="ListParagraph"/>
        <w:numPr>
          <w:ilvl w:val="0"/>
          <w:numId w:val="20"/>
        </w:numPr>
      </w:pPr>
      <w:r w:rsidRPr="00CD559E">
        <w:rPr>
          <w:i/>
          <w:iCs/>
        </w:rPr>
        <w:t>the toxicity of a substance</w:t>
      </w:r>
    </w:p>
    <w:p w14:paraId="2FD8ACE8" w14:textId="512DD679" w:rsidR="0018409C" w:rsidRPr="00234217" w:rsidRDefault="00B33540" w:rsidP="00CD559E">
      <w:pPr>
        <w:pStyle w:val="ListBullet2"/>
      </w:pPr>
      <w:r>
        <w:t>The t</w:t>
      </w:r>
      <w:r w:rsidR="0018409C" w:rsidRPr="00234217">
        <w:t xml:space="preserve">oxicity </w:t>
      </w:r>
      <w:r>
        <w:t xml:space="preserve">of olopatadine </w:t>
      </w:r>
      <w:r w:rsidR="0018409C" w:rsidRPr="00234217">
        <w:t xml:space="preserve">is similar to other </w:t>
      </w:r>
      <w:r>
        <w:t>over-the-counter</w:t>
      </w:r>
      <w:r w:rsidR="0018409C" w:rsidRPr="00234217">
        <w:t xml:space="preserve"> products used to treat allergic rhinitis.</w:t>
      </w:r>
    </w:p>
    <w:p w14:paraId="6890ED12" w14:textId="3CA651FE" w:rsidR="0018409C" w:rsidRPr="00234217" w:rsidRDefault="00B33540" w:rsidP="00CD559E">
      <w:pPr>
        <w:pStyle w:val="ListBullet2"/>
      </w:pPr>
      <w:r>
        <w:t>Olopatadine has l</w:t>
      </w:r>
      <w:r w:rsidR="0018409C" w:rsidRPr="00234217">
        <w:t xml:space="preserve">ow toxicity when </w:t>
      </w:r>
      <w:r w:rsidR="00853CB5">
        <w:t>administered</w:t>
      </w:r>
      <w:r w:rsidR="0018409C" w:rsidRPr="00234217">
        <w:t xml:space="preserve"> correctly, but somnolence is common. </w:t>
      </w:r>
    </w:p>
    <w:p w14:paraId="1AE3B5B7" w14:textId="6B4D4945" w:rsidR="0018409C" w:rsidRPr="00BC42F1" w:rsidRDefault="0018409C" w:rsidP="00CD559E">
      <w:pPr>
        <w:pStyle w:val="ListParagraph"/>
        <w:numPr>
          <w:ilvl w:val="0"/>
          <w:numId w:val="20"/>
        </w:numPr>
        <w:rPr>
          <w:color w:val="auto"/>
        </w:rPr>
      </w:pPr>
      <w:r w:rsidRPr="00BC42F1">
        <w:rPr>
          <w:i/>
          <w:iCs/>
          <w:color w:val="auto"/>
        </w:rPr>
        <w:t xml:space="preserve">the dosage, formulation, labelling, </w:t>
      </w:r>
      <w:proofErr w:type="gramStart"/>
      <w:r w:rsidRPr="00BC42F1">
        <w:rPr>
          <w:i/>
          <w:iCs/>
          <w:color w:val="auto"/>
        </w:rPr>
        <w:t>packaging</w:t>
      </w:r>
      <w:proofErr w:type="gramEnd"/>
      <w:r w:rsidRPr="00BC42F1">
        <w:rPr>
          <w:i/>
          <w:iCs/>
          <w:color w:val="auto"/>
        </w:rPr>
        <w:t xml:space="preserve"> and presentation of a substance</w:t>
      </w:r>
    </w:p>
    <w:p w14:paraId="2CBEEFB8" w14:textId="2571D103" w:rsidR="0018409C" w:rsidRPr="00BC42F1" w:rsidRDefault="0018409C" w:rsidP="00CD559E">
      <w:pPr>
        <w:pStyle w:val="ListBullet2"/>
        <w:rPr>
          <w:color w:val="auto"/>
        </w:rPr>
      </w:pPr>
      <w:r w:rsidRPr="00BC42F1">
        <w:rPr>
          <w:color w:val="auto"/>
        </w:rPr>
        <w:t xml:space="preserve">Nasal spray formulation has low systemic absorption that is favourable for interactions and adverse events. </w:t>
      </w:r>
    </w:p>
    <w:p w14:paraId="5FC28AB2" w14:textId="6031B075" w:rsidR="0018409C" w:rsidRPr="00BC42F1" w:rsidRDefault="0018409C" w:rsidP="00CD559E">
      <w:pPr>
        <w:pStyle w:val="ListBullet2"/>
        <w:rPr>
          <w:color w:val="auto"/>
        </w:rPr>
      </w:pPr>
      <w:r w:rsidRPr="00BC42F1">
        <w:rPr>
          <w:color w:val="auto"/>
        </w:rPr>
        <w:t>Dosage of 600 mcg per spray, recommend 2 sprays per nostril, 240 sprays in container (60 days).</w:t>
      </w:r>
    </w:p>
    <w:p w14:paraId="454FC055" w14:textId="39F9FC6C" w:rsidR="0018409C" w:rsidRPr="00BC42F1" w:rsidRDefault="0018409C" w:rsidP="00CD559E">
      <w:pPr>
        <w:pStyle w:val="ListParagraph"/>
        <w:numPr>
          <w:ilvl w:val="0"/>
          <w:numId w:val="20"/>
        </w:numPr>
        <w:rPr>
          <w:color w:val="auto"/>
        </w:rPr>
      </w:pPr>
      <w:r w:rsidRPr="00BC42F1">
        <w:rPr>
          <w:i/>
          <w:iCs/>
          <w:color w:val="auto"/>
        </w:rPr>
        <w:t>the potential for abuse of a substance</w:t>
      </w:r>
    </w:p>
    <w:p w14:paraId="497DA064" w14:textId="6A9C7661" w:rsidR="0018409C" w:rsidRPr="00BC42F1" w:rsidRDefault="0018409C" w:rsidP="00CD559E">
      <w:pPr>
        <w:pStyle w:val="ListBullet2"/>
        <w:rPr>
          <w:i/>
          <w:iCs/>
          <w:color w:val="auto"/>
        </w:rPr>
      </w:pPr>
      <w:r w:rsidRPr="00BC42F1">
        <w:rPr>
          <w:i/>
          <w:iCs/>
          <w:color w:val="auto"/>
        </w:rPr>
        <w:t>Nil</w:t>
      </w:r>
    </w:p>
    <w:p w14:paraId="737EEE99" w14:textId="1DB11F17" w:rsidR="0018409C" w:rsidRPr="00BC42F1" w:rsidRDefault="0018409C" w:rsidP="00CD559E">
      <w:pPr>
        <w:pStyle w:val="ListParagraph"/>
        <w:numPr>
          <w:ilvl w:val="0"/>
          <w:numId w:val="20"/>
        </w:numPr>
        <w:rPr>
          <w:color w:val="auto"/>
        </w:rPr>
      </w:pPr>
      <w:r w:rsidRPr="00BC42F1">
        <w:rPr>
          <w:i/>
          <w:iCs/>
          <w:color w:val="auto"/>
        </w:rPr>
        <w:t xml:space="preserve">any other matters that the Secretary considers necessary to protect public health </w:t>
      </w:r>
    </w:p>
    <w:p w14:paraId="3F8ECCC1" w14:textId="02F62F40" w:rsidR="0018409C" w:rsidRPr="00BC42F1" w:rsidRDefault="0018409C" w:rsidP="00FE1D52">
      <w:pPr>
        <w:pStyle w:val="ListBullet2"/>
        <w:rPr>
          <w:color w:val="auto"/>
        </w:rPr>
      </w:pPr>
      <w:r w:rsidRPr="00BC42F1">
        <w:rPr>
          <w:i/>
          <w:iCs/>
          <w:color w:val="auto"/>
        </w:rPr>
        <w:t>Nil</w:t>
      </w:r>
    </w:p>
    <w:p w14:paraId="6451DDD4" w14:textId="77777777" w:rsidR="0018409C" w:rsidRPr="007D565C" w:rsidRDefault="0018409C" w:rsidP="007D565C">
      <w:pPr>
        <w:pStyle w:val="Heading4"/>
      </w:pPr>
      <w:bookmarkStart w:id="18" w:name="_Toc147325277"/>
      <w:r w:rsidRPr="007D565C">
        <w:t>Reasons for the interim decision (including findings on material questions of fact)</w:t>
      </w:r>
      <w:bookmarkEnd w:id="18"/>
    </w:p>
    <w:p w14:paraId="35DB5977" w14:textId="7DF3259E" w:rsidR="0018409C" w:rsidRDefault="0018409C" w:rsidP="0018409C">
      <w:r w:rsidRPr="00B11477">
        <w:t xml:space="preserve">I have made an interim decision to amend the </w:t>
      </w:r>
      <w:r w:rsidR="00CD559E" w:rsidRPr="005C0C0B">
        <w:rPr>
          <w:rFonts w:ascii="Calibri" w:hAnsi="Calibri" w:cs="Calibri"/>
        </w:rPr>
        <w:t xml:space="preserve">current Poisons Standard in relation to </w:t>
      </w:r>
      <w:r w:rsidRPr="00B11477">
        <w:t xml:space="preserve">olopatadine to </w:t>
      </w:r>
      <w:r w:rsidR="00CD559E">
        <w:t xml:space="preserve">create a new Schedule 2 entry </w:t>
      </w:r>
      <w:r w:rsidR="000D3B93">
        <w:t>which will</w:t>
      </w:r>
      <w:r w:rsidR="00CD559E">
        <w:t xml:space="preserve"> </w:t>
      </w:r>
      <w:r w:rsidRPr="00B11477">
        <w:t>allow supply of olopatadine as a ‘Pharmacy Only’ medicine</w:t>
      </w:r>
      <w:r w:rsidR="00824157">
        <w:t xml:space="preserve"> </w:t>
      </w:r>
      <w:r w:rsidR="00DE2FCD">
        <w:t>in</w:t>
      </w:r>
      <w:r w:rsidR="00824157">
        <w:t xml:space="preserve"> certain formulations</w:t>
      </w:r>
      <w:r w:rsidRPr="00B11477">
        <w:t>. The detailed reasons for my decision follow.</w:t>
      </w:r>
    </w:p>
    <w:p w14:paraId="249566AA" w14:textId="4FC5D4F5" w:rsidR="00CA6F16" w:rsidRDefault="00CD559E" w:rsidP="00CA6F16">
      <w:r w:rsidRPr="00B11477">
        <w:rPr>
          <w:bCs/>
        </w:rPr>
        <w:t xml:space="preserve">I </w:t>
      </w:r>
      <w:sdt>
        <w:sdtPr>
          <w:rPr>
            <w:bCs/>
            <w:highlight w:val="yellow"/>
          </w:rPr>
          <w:id w:val="-1196223360"/>
          <w:placeholder>
            <w:docPart w:val="C1274694CD6246C8B956E5908D2555CB"/>
          </w:placeholder>
        </w:sdtPr>
        <w:sdtEndPr/>
        <w:sdtContent>
          <w:r w:rsidRPr="00B11477">
            <w:rPr>
              <w:bCs/>
            </w:rPr>
            <w:t>agree</w:t>
          </w:r>
        </w:sdtContent>
      </w:sdt>
      <w:r w:rsidRPr="00B11477">
        <w:rPr>
          <w:bCs/>
        </w:rPr>
        <w:t xml:space="preserve"> with the Committee's findings on the relevant provisions of section 52E of the</w:t>
      </w:r>
      <w:r w:rsidR="00A537E7">
        <w:rPr>
          <w:bCs/>
        </w:rPr>
        <w:t xml:space="preserve"> </w:t>
      </w:r>
      <w:r w:rsidRPr="00B11477">
        <w:rPr>
          <w:bCs/>
        </w:rPr>
        <w:t>Act.</w:t>
      </w:r>
      <w:r w:rsidR="00DE2FCD">
        <w:rPr>
          <w:bCs/>
        </w:rPr>
        <w:t xml:space="preserve"> </w:t>
      </w:r>
      <w:r w:rsidR="00CA6F16" w:rsidRPr="00B11477">
        <w:t xml:space="preserve">I have considered all 8 public submissions </w:t>
      </w:r>
      <w:r w:rsidR="004145C6" w:rsidRPr="00B11477">
        <w:t xml:space="preserve">received during the pre-meeting consultation period </w:t>
      </w:r>
      <w:r w:rsidR="00CA6F16" w:rsidRPr="00B11477">
        <w:t xml:space="preserve">with </w:t>
      </w:r>
      <w:r w:rsidR="000D3B93" w:rsidRPr="00B11477">
        <w:t>3</w:t>
      </w:r>
      <w:r w:rsidR="000D3B93">
        <w:t> </w:t>
      </w:r>
      <w:r w:rsidR="00CA6F16" w:rsidRPr="00B11477">
        <w:t xml:space="preserve">supportive, 3 partially supportive, and 2 opposing the </w:t>
      </w:r>
      <w:r w:rsidR="00776008">
        <w:t>P</w:t>
      </w:r>
      <w:r w:rsidR="00CA6F16" w:rsidRPr="00B11477">
        <w:t>roposal. Of the 3 written public submissions, all responses were supportive of down</w:t>
      </w:r>
      <w:r w:rsidR="00CA6F16">
        <w:t>-</w:t>
      </w:r>
      <w:r w:rsidR="00CA6F16" w:rsidRPr="00B11477">
        <w:t>scheduling</w:t>
      </w:r>
      <w:r w:rsidR="00CA6F16">
        <w:t>,</w:t>
      </w:r>
      <w:r w:rsidR="00CA6F16" w:rsidRPr="00B11477">
        <w:t xml:space="preserve"> but supported its availability as a ‘Pharmacist Only’ medicine</w:t>
      </w:r>
      <w:r w:rsidR="00CA6F16">
        <w:t xml:space="preserve"> (Schedule 3)</w:t>
      </w:r>
      <w:r w:rsidR="00CA6F16" w:rsidRPr="00B11477">
        <w:t xml:space="preserve"> instead of a ‘Pharmacy Only’ medicine</w:t>
      </w:r>
      <w:r w:rsidR="00CA6F16">
        <w:t xml:space="preserve"> (Schedule 2)</w:t>
      </w:r>
      <w:r w:rsidR="00CA6F16" w:rsidRPr="00B11477">
        <w:t>.</w:t>
      </w:r>
    </w:p>
    <w:p w14:paraId="2508AD9C" w14:textId="34BC04C0" w:rsidR="0018409C" w:rsidRPr="00DE2FCD" w:rsidRDefault="0018409C" w:rsidP="0018409C">
      <w:pPr>
        <w:rPr>
          <w:bCs/>
        </w:rPr>
      </w:pPr>
      <w:r w:rsidRPr="00B11477">
        <w:t xml:space="preserve">In </w:t>
      </w:r>
      <w:r w:rsidR="00CA6F16">
        <w:t>relation to</w:t>
      </w:r>
      <w:r w:rsidRPr="00B11477">
        <w:t xml:space="preserve"> </w:t>
      </w:r>
      <w:r>
        <w:t>s</w:t>
      </w:r>
      <w:r w:rsidR="00776008">
        <w:t> </w:t>
      </w:r>
      <w:r w:rsidRPr="00B11477">
        <w:t>52E</w:t>
      </w:r>
      <w:r>
        <w:t>(1)(</w:t>
      </w:r>
      <w:r w:rsidRPr="00B11477">
        <w:t>a)</w:t>
      </w:r>
      <w:r>
        <w:t xml:space="preserve"> and (</w:t>
      </w:r>
      <w:r w:rsidRPr="00B11477">
        <w:t>d) of the Act, olopatadine in nasal preparations has</w:t>
      </w:r>
      <w:r w:rsidR="00853CB5">
        <w:t xml:space="preserve"> </w:t>
      </w:r>
      <w:r w:rsidRPr="00B11477">
        <w:t xml:space="preserve">a </w:t>
      </w:r>
      <w:r>
        <w:t>favourable</w:t>
      </w:r>
      <w:r w:rsidRPr="00B11477">
        <w:t xml:space="preserve"> safety profile despite its re</w:t>
      </w:r>
      <w:r w:rsidR="000D3B93">
        <w:t>cent</w:t>
      </w:r>
      <w:r w:rsidRPr="00B11477">
        <w:t xml:space="preserve"> use in Australia. I acknowledge </w:t>
      </w:r>
      <w:r>
        <w:t xml:space="preserve">the main </w:t>
      </w:r>
      <w:r w:rsidRPr="00B11477">
        <w:t>concerns raised by public submissions and the Committee regarding</w:t>
      </w:r>
      <w:r>
        <w:t xml:space="preserve"> </w:t>
      </w:r>
      <w:r w:rsidR="000D3B93">
        <w:t xml:space="preserve">limited </w:t>
      </w:r>
      <w:r w:rsidRPr="00B11477">
        <w:t xml:space="preserve">safety information </w:t>
      </w:r>
      <w:r>
        <w:t xml:space="preserve">being </w:t>
      </w:r>
      <w:r w:rsidR="000D3B93">
        <w:t>available</w:t>
      </w:r>
      <w:r>
        <w:t xml:space="preserve"> </w:t>
      </w:r>
      <w:r w:rsidRPr="00B11477">
        <w:t xml:space="preserve">since it was first registered as a </w:t>
      </w:r>
      <w:r>
        <w:t xml:space="preserve">‘Prescription Only’ </w:t>
      </w:r>
      <w:r w:rsidRPr="00B11477">
        <w:t>nasal formulation in 2019. However,</w:t>
      </w:r>
      <w:r>
        <w:t xml:space="preserve"> having reviewed the </w:t>
      </w:r>
      <w:hyperlink r:id="rId30" w:history="1">
        <w:r w:rsidRPr="00853CB5">
          <w:rPr>
            <w:rStyle w:val="Hyperlink"/>
            <w:rFonts w:asciiTheme="minorHAnsi" w:hAnsiTheme="minorHAnsi"/>
          </w:rPr>
          <w:t>Database of Adverse Event Notifications</w:t>
        </w:r>
      </w:hyperlink>
      <w:r w:rsidRPr="00B11477">
        <w:t xml:space="preserve"> (DAEN)</w:t>
      </w:r>
      <w:r w:rsidR="00DE2FCD">
        <w:t>,</w:t>
      </w:r>
      <w:r w:rsidRPr="00B11477">
        <w:t xml:space="preserve"> I note </w:t>
      </w:r>
      <w:r>
        <w:t>post</w:t>
      </w:r>
      <w:r w:rsidR="00DE2FCD">
        <w:t>-</w:t>
      </w:r>
      <w:r>
        <w:t>marketing reports of</w:t>
      </w:r>
      <w:r w:rsidRPr="00B11477">
        <w:t xml:space="preserve"> </w:t>
      </w:r>
      <w:r>
        <w:t>adverse events for</w:t>
      </w:r>
      <w:r w:rsidRPr="00B11477">
        <w:t xml:space="preserve"> olopatadine in combination with mometasone</w:t>
      </w:r>
      <w:r>
        <w:t xml:space="preserve"> as a nasal preparation</w:t>
      </w:r>
      <w:r w:rsidRPr="00B11477">
        <w:t xml:space="preserve"> have</w:t>
      </w:r>
      <w:r>
        <w:t>,</w:t>
      </w:r>
      <w:r w:rsidRPr="00B11477">
        <w:t xml:space="preserve"> </w:t>
      </w:r>
      <w:r>
        <w:t xml:space="preserve">to date, </w:t>
      </w:r>
      <w:r w:rsidRPr="00B11477">
        <w:t xml:space="preserve">been </w:t>
      </w:r>
      <w:r>
        <w:t>minimal</w:t>
      </w:r>
      <w:r w:rsidRPr="00B11477">
        <w:t>.</w:t>
      </w:r>
    </w:p>
    <w:p w14:paraId="58F8F40A" w14:textId="5BADAFE1" w:rsidR="0018409C" w:rsidRDefault="0018409C" w:rsidP="0018409C">
      <w:r w:rsidRPr="00B11477">
        <w:t>While I recognise somnolence as a common adverse effect associated with olopatadine</w:t>
      </w:r>
      <w:r>
        <w:t>, consistent with the Committee</w:t>
      </w:r>
      <w:r w:rsidR="00776008">
        <w:t>’s</w:t>
      </w:r>
      <w:r w:rsidR="000D3B93">
        <w:t xml:space="preserve"> advice</w:t>
      </w:r>
      <w:r w:rsidR="00534DF7">
        <w:t>,</w:t>
      </w:r>
      <w:r w:rsidRPr="00B11477">
        <w:t xml:space="preserve"> I am confident </w:t>
      </w:r>
      <w:r w:rsidR="000D3B93">
        <w:t xml:space="preserve">that </w:t>
      </w:r>
      <w:r w:rsidRPr="00B11477">
        <w:t>this can be managed by</w:t>
      </w:r>
      <w:r w:rsidR="00B33540">
        <w:t xml:space="preserve"> appropriate</w:t>
      </w:r>
      <w:r w:rsidRPr="00B11477">
        <w:t xml:space="preserve"> warnings on the label. </w:t>
      </w:r>
      <w:r>
        <w:t>Pursuant to s</w:t>
      </w:r>
      <w:r w:rsidR="00776008">
        <w:t> </w:t>
      </w:r>
      <w:r>
        <w:t>52E(1)(c) of the Act,</w:t>
      </w:r>
      <w:r w:rsidRPr="00B11477">
        <w:t xml:space="preserve"> olopatadine presents a similar safety profile to other over</w:t>
      </w:r>
      <w:r w:rsidR="00534DF7">
        <w:t>-</w:t>
      </w:r>
      <w:r w:rsidRPr="00B11477">
        <w:t>the</w:t>
      </w:r>
      <w:r w:rsidR="00534DF7">
        <w:t>-</w:t>
      </w:r>
      <w:r w:rsidRPr="00B11477">
        <w:t xml:space="preserve">counter substances used to treat the same conditions and </w:t>
      </w:r>
      <w:r>
        <w:t>offers</w:t>
      </w:r>
      <w:r w:rsidRPr="00B11477">
        <w:t xml:space="preserve"> low systemic absorption</w:t>
      </w:r>
      <w:r>
        <w:t xml:space="preserve"> as a nasal formulation</w:t>
      </w:r>
      <w:r w:rsidRPr="00B11477">
        <w:t>.</w:t>
      </w:r>
    </w:p>
    <w:p w14:paraId="4703DBA7" w14:textId="5C0D27D4" w:rsidR="0018409C" w:rsidRPr="00B11477" w:rsidRDefault="0018409C" w:rsidP="0018409C">
      <w:r>
        <w:t xml:space="preserve">Turning to </w:t>
      </w:r>
      <w:r w:rsidR="00DE2FCD">
        <w:t>s</w:t>
      </w:r>
      <w:r w:rsidR="00776008">
        <w:t> </w:t>
      </w:r>
      <w:r>
        <w:t xml:space="preserve">52E(b) of the Act, </w:t>
      </w:r>
      <w:r w:rsidRPr="00B11477">
        <w:t xml:space="preserve">olopatadine and mometasone as a combination nasal preparation </w:t>
      </w:r>
      <w:r w:rsidR="000D3B93">
        <w:t>is</w:t>
      </w:r>
      <w:r w:rsidR="000D3B93" w:rsidRPr="00B11477">
        <w:t xml:space="preserve"> </w:t>
      </w:r>
      <w:r w:rsidRPr="00B11477">
        <w:t>used for</w:t>
      </w:r>
      <w:r>
        <w:t xml:space="preserve"> common conditions such as</w:t>
      </w:r>
      <w:r w:rsidRPr="00B11477">
        <w:t xml:space="preserve"> allergic rhinitis and </w:t>
      </w:r>
      <w:proofErr w:type="spellStart"/>
      <w:r w:rsidRPr="00B11477">
        <w:t>rhinoconjunctivitis</w:t>
      </w:r>
      <w:proofErr w:type="spellEnd"/>
      <w:r w:rsidRPr="00B11477">
        <w:t>.</w:t>
      </w:r>
      <w:r>
        <w:t xml:space="preserve"> However,</w:t>
      </w:r>
      <w:r w:rsidRPr="00B11477">
        <w:t xml:space="preserve"> </w:t>
      </w:r>
      <w:r>
        <w:t>I note m</w:t>
      </w:r>
      <w:r w:rsidRPr="00B11477">
        <w:t>ometasone nasal sprays</w:t>
      </w:r>
      <w:r>
        <w:t xml:space="preserve"> and other</w:t>
      </w:r>
      <w:r w:rsidRPr="00B11477">
        <w:t xml:space="preserve"> </w:t>
      </w:r>
      <w:r>
        <w:t>‘Pharmacy Only’ (Schedule 2) entries</w:t>
      </w:r>
      <w:r w:rsidR="009E1920">
        <w:t xml:space="preserve"> in the Poisons Standard</w:t>
      </w:r>
      <w:r w:rsidRPr="00B11477">
        <w:t xml:space="preserve"> </w:t>
      </w:r>
      <w:r>
        <w:t>are</w:t>
      </w:r>
      <w:r w:rsidRPr="00B11477">
        <w:t xml:space="preserve"> </w:t>
      </w:r>
      <w:r>
        <w:t>limited to</w:t>
      </w:r>
      <w:r w:rsidR="009E1920">
        <w:t xml:space="preserve"> the treatment of</w:t>
      </w:r>
      <w:r w:rsidRPr="00B11477">
        <w:t xml:space="preserve"> allergic rhinitis</w:t>
      </w:r>
      <w:r w:rsidR="00702A4C">
        <w:t xml:space="preserve">, reserving the treatment of </w:t>
      </w:r>
      <w:proofErr w:type="spellStart"/>
      <w:r w:rsidR="00702A4C">
        <w:t>rhinoconjunctivitis</w:t>
      </w:r>
      <w:proofErr w:type="spellEnd"/>
      <w:r w:rsidR="00702A4C">
        <w:t xml:space="preserve"> to </w:t>
      </w:r>
      <w:r w:rsidR="00702A4C">
        <w:lastRenderedPageBreak/>
        <w:t>‘Prescription Only’ (Schedule 4)</w:t>
      </w:r>
      <w:r w:rsidR="00ED2DD9">
        <w:t xml:space="preserve"> medicine</w:t>
      </w:r>
      <w:r>
        <w:t>. T</w:t>
      </w:r>
      <w:r w:rsidRPr="00B11477">
        <w:t xml:space="preserve">he longstanding availability of over-the-counter products for allergic rhinitis </w:t>
      </w:r>
      <w:r w:rsidR="000D3B93">
        <w:t>indicates</w:t>
      </w:r>
      <w:r w:rsidRPr="00B11477">
        <w:t xml:space="preserve"> that patients can successfully identify </w:t>
      </w:r>
      <w:r w:rsidR="000D3B93">
        <w:t xml:space="preserve">their </w:t>
      </w:r>
      <w:r w:rsidRPr="00B11477">
        <w:t xml:space="preserve">symptoms. </w:t>
      </w:r>
      <w:r w:rsidR="000D3B93">
        <w:t xml:space="preserve">Therefore, </w:t>
      </w:r>
      <w:r>
        <w:t>it</w:t>
      </w:r>
      <w:r w:rsidR="000D3B93">
        <w:t xml:space="preserve"> is </w:t>
      </w:r>
      <w:r>
        <w:t>appropriate to limit the entry to allergic rhinitis</w:t>
      </w:r>
      <w:r w:rsidR="00DE2FCD">
        <w:t xml:space="preserve"> only, and not include </w:t>
      </w:r>
      <w:proofErr w:type="spellStart"/>
      <w:r w:rsidR="00DE2FCD" w:rsidRPr="00B11477">
        <w:t>rhinoconjunctivitis</w:t>
      </w:r>
      <w:proofErr w:type="spellEnd"/>
      <w:r w:rsidR="00DE2FCD">
        <w:t xml:space="preserve"> as proposed</w:t>
      </w:r>
      <w:r>
        <w:t xml:space="preserve">. </w:t>
      </w:r>
      <w:r w:rsidR="00134180">
        <w:t>In addition, w</w:t>
      </w:r>
      <w:r w:rsidRPr="00B11477">
        <w:t>hile I am confident many patients can recognise the symptoms of allergic rhinitis</w:t>
      </w:r>
      <w:r w:rsidR="00B4347B">
        <w:t xml:space="preserve"> and use it appropriately</w:t>
      </w:r>
      <w:r w:rsidRPr="00B11477">
        <w:t xml:space="preserve">, </w:t>
      </w:r>
      <w:r w:rsidR="00B4347B">
        <w:t>it is important there is</w:t>
      </w:r>
      <w:r w:rsidR="00B4347B" w:rsidRPr="00B11477">
        <w:t xml:space="preserve"> opportunity</w:t>
      </w:r>
      <w:r w:rsidRPr="00B11477">
        <w:t xml:space="preserve"> for </w:t>
      </w:r>
      <w:r w:rsidR="003F409A">
        <w:t xml:space="preserve">certain </w:t>
      </w:r>
      <w:r w:rsidR="00B4347B">
        <w:t xml:space="preserve">patients to be </w:t>
      </w:r>
      <w:r w:rsidR="003F409A">
        <w:t xml:space="preserve">screened, </w:t>
      </w:r>
      <w:proofErr w:type="gramStart"/>
      <w:r w:rsidR="00B4347B">
        <w:t>assessed</w:t>
      </w:r>
      <w:proofErr w:type="gramEnd"/>
      <w:r w:rsidR="00B4347B">
        <w:t xml:space="preserve"> and counselled</w:t>
      </w:r>
      <w:r w:rsidR="00FB16DE">
        <w:t xml:space="preserve"> </w:t>
      </w:r>
      <w:r w:rsidRPr="00B11477">
        <w:t xml:space="preserve">before </w:t>
      </w:r>
      <w:r w:rsidR="00B4347B">
        <w:t>using</w:t>
      </w:r>
      <w:r w:rsidR="00B4347B" w:rsidRPr="00B11477">
        <w:t xml:space="preserve"> </w:t>
      </w:r>
      <w:r w:rsidRPr="00B11477">
        <w:t xml:space="preserve">an olopatadine and mometasone nasal formulation to ensure it is suitable and used safely. </w:t>
      </w:r>
      <w:r>
        <w:t>In considering the potential</w:t>
      </w:r>
      <w:r w:rsidRPr="00B11477">
        <w:t xml:space="preserve"> need for a physical</w:t>
      </w:r>
      <w:r>
        <w:t xml:space="preserve"> nasal</w:t>
      </w:r>
      <w:r w:rsidRPr="00B11477">
        <w:t xml:space="preserve"> examination, </w:t>
      </w:r>
      <w:r>
        <w:t>I note t</w:t>
      </w:r>
      <w:r w:rsidR="00DB1A44">
        <w:t xml:space="preserve">hat </w:t>
      </w:r>
      <w:r w:rsidRPr="00B11477">
        <w:t>additional</w:t>
      </w:r>
      <w:r>
        <w:t xml:space="preserve"> </w:t>
      </w:r>
      <w:hyperlink r:id="rId31" w:history="1">
        <w:r w:rsidRPr="00853CB5">
          <w:rPr>
            <w:rStyle w:val="Hyperlink"/>
            <w:rFonts w:asciiTheme="minorHAnsi" w:hAnsiTheme="minorHAnsi"/>
          </w:rPr>
          <w:t>Schedule 2 training</w:t>
        </w:r>
      </w:hyperlink>
      <w:r w:rsidRPr="00B11477">
        <w:t xml:space="preserve"> </w:t>
      </w:r>
      <w:r w:rsidR="00DB1A44">
        <w:t xml:space="preserve">is mandatory for </w:t>
      </w:r>
      <w:r w:rsidRPr="00B11477">
        <w:t xml:space="preserve">pharmacy assistants </w:t>
      </w:r>
      <w:r>
        <w:t>to identify when t</w:t>
      </w:r>
      <w:r w:rsidR="00B54651">
        <w:t>he patient should</w:t>
      </w:r>
      <w:r>
        <w:t xml:space="preserve"> </w:t>
      </w:r>
      <w:r w:rsidRPr="00B11477">
        <w:t xml:space="preserve">consult a pharmacist </w:t>
      </w:r>
      <w:r>
        <w:t>who can then</w:t>
      </w:r>
      <w:r w:rsidRPr="00B11477">
        <w:t xml:space="preserve"> </w:t>
      </w:r>
      <w:r>
        <w:t xml:space="preserve">appropriately </w:t>
      </w:r>
      <w:r w:rsidRPr="00B11477">
        <w:t>refer the patient to a medical practitioner</w:t>
      </w:r>
      <w:r w:rsidR="00DB1A44">
        <w:t xml:space="preserve"> if required</w:t>
      </w:r>
      <w:r w:rsidRPr="00B11477">
        <w:t>.</w:t>
      </w:r>
    </w:p>
    <w:p w14:paraId="7A0E5FFE" w14:textId="77997B1B" w:rsidR="0018409C" w:rsidRPr="00FE1D52" w:rsidRDefault="00DB1A44" w:rsidP="0018409C">
      <w:pPr>
        <w:rPr>
          <w:color w:val="auto"/>
        </w:rPr>
      </w:pPr>
      <w:r>
        <w:t>I have considered the</w:t>
      </w:r>
      <w:r w:rsidR="0018409C">
        <w:t xml:space="preserve"> </w:t>
      </w:r>
      <w:r>
        <w:t xml:space="preserve">Therapeutic Guidelines for the </w:t>
      </w:r>
      <w:r w:rsidR="0018409C">
        <w:t xml:space="preserve">treatment </w:t>
      </w:r>
      <w:r>
        <w:t>of</w:t>
      </w:r>
      <w:r w:rsidR="0018409C">
        <w:t xml:space="preserve"> allergic rhinitis</w:t>
      </w:r>
      <w:r>
        <w:t>.</w:t>
      </w:r>
      <w:r w:rsidR="0018409C">
        <w:t xml:space="preserve"> </w:t>
      </w:r>
      <w:r>
        <w:t>I</w:t>
      </w:r>
      <w:r w:rsidR="0018409C" w:rsidRPr="00B11477">
        <w:t xml:space="preserve">ntranasal antihistamine </w:t>
      </w:r>
      <w:r>
        <w:t>use in combination with</w:t>
      </w:r>
      <w:r w:rsidR="0018409C" w:rsidRPr="00B11477">
        <w:t xml:space="preserve"> an intranasal corticosteroid is an appropriate first-line treatment for allergic rhinitis if a patient presents with moderate symptoms</w:t>
      </w:r>
      <w:r w:rsidR="00FB16DE">
        <w:t xml:space="preserve">. </w:t>
      </w:r>
      <w:r w:rsidR="0018409C">
        <w:t xml:space="preserve">As </w:t>
      </w:r>
      <w:r w:rsidR="00B33540">
        <w:t xml:space="preserve">combination </w:t>
      </w:r>
      <w:r w:rsidR="0018409C">
        <w:t>therapy is</w:t>
      </w:r>
      <w:r w:rsidR="00B33540">
        <w:t xml:space="preserve"> considered a</w:t>
      </w:r>
      <w:r w:rsidR="0018409C">
        <w:t xml:space="preserve"> second-line treatment for mild symptoms, I acknowledge the </w:t>
      </w:r>
      <w:r w:rsidR="00DE2FCD">
        <w:t>concern</w:t>
      </w:r>
      <w:r w:rsidR="0018409C">
        <w:t xml:space="preserve"> </w:t>
      </w:r>
      <w:r w:rsidR="00DE2FCD">
        <w:t>regarding</w:t>
      </w:r>
      <w:r w:rsidR="0018409C" w:rsidRPr="00B11477">
        <w:t xml:space="preserve"> </w:t>
      </w:r>
      <w:r w:rsidR="00DE2FCD">
        <w:t>consumers</w:t>
      </w:r>
      <w:r w:rsidR="0018409C" w:rsidRPr="00B11477">
        <w:t xml:space="preserve"> resorting to </w:t>
      </w:r>
      <w:r w:rsidR="00B33540">
        <w:t>combination</w:t>
      </w:r>
      <w:r w:rsidR="00B33540" w:rsidRPr="00B11477">
        <w:t xml:space="preserve"> </w:t>
      </w:r>
      <w:r w:rsidR="0018409C" w:rsidRPr="00B11477">
        <w:t>therapy as their primary treatment option</w:t>
      </w:r>
      <w:r w:rsidR="0018409C">
        <w:t xml:space="preserve">. </w:t>
      </w:r>
      <w:r w:rsidRPr="00FE1D52">
        <w:rPr>
          <w:color w:val="auto"/>
        </w:rPr>
        <w:t>However, i</w:t>
      </w:r>
      <w:r w:rsidR="0018409C" w:rsidRPr="00FE1D52">
        <w:rPr>
          <w:color w:val="auto"/>
        </w:rPr>
        <w:t>t is not unusual for</w:t>
      </w:r>
      <w:r w:rsidRPr="00FE1D52">
        <w:rPr>
          <w:color w:val="auto"/>
        </w:rPr>
        <w:t xml:space="preserve"> both a</w:t>
      </w:r>
      <w:r w:rsidR="0018409C" w:rsidRPr="00FE1D52">
        <w:rPr>
          <w:color w:val="auto"/>
        </w:rPr>
        <w:t xml:space="preserve"> first- and second-line treatment </w:t>
      </w:r>
      <w:r w:rsidR="00FE4145">
        <w:rPr>
          <w:color w:val="auto"/>
        </w:rPr>
        <w:t xml:space="preserve">options </w:t>
      </w:r>
      <w:r w:rsidR="0018409C" w:rsidRPr="00FE1D52">
        <w:rPr>
          <w:color w:val="auto"/>
        </w:rPr>
        <w:t xml:space="preserve">to be </w:t>
      </w:r>
      <w:r w:rsidR="00FE4145">
        <w:rPr>
          <w:color w:val="auto"/>
        </w:rPr>
        <w:t xml:space="preserve">available </w:t>
      </w:r>
      <w:r w:rsidR="0018409C" w:rsidRPr="00FE1D52">
        <w:rPr>
          <w:color w:val="auto"/>
        </w:rPr>
        <w:t>in a pharmacy.</w:t>
      </w:r>
    </w:p>
    <w:p w14:paraId="14859AAC" w14:textId="1BFB7911" w:rsidR="0018409C" w:rsidRPr="00FE1D52" w:rsidRDefault="00B33540" w:rsidP="0018409C">
      <w:pPr>
        <w:rPr>
          <w:color w:val="auto"/>
        </w:rPr>
      </w:pPr>
      <w:r>
        <w:rPr>
          <w:color w:val="auto"/>
        </w:rPr>
        <w:t>T</w:t>
      </w:r>
      <w:r w:rsidR="00DB1A44" w:rsidRPr="00FE1D52">
        <w:rPr>
          <w:color w:val="auto"/>
        </w:rPr>
        <w:t>urning my mind to the SPF, I consider that o</w:t>
      </w:r>
      <w:r w:rsidR="0018409C" w:rsidRPr="00FE1D52">
        <w:rPr>
          <w:color w:val="auto"/>
        </w:rPr>
        <w:t xml:space="preserve">lopatadine as </w:t>
      </w:r>
      <w:r w:rsidR="000D3B93">
        <w:rPr>
          <w:color w:val="auto"/>
        </w:rPr>
        <w:t xml:space="preserve">a </w:t>
      </w:r>
      <w:r w:rsidR="0018409C" w:rsidRPr="00FE1D52">
        <w:rPr>
          <w:color w:val="auto"/>
        </w:rPr>
        <w:t xml:space="preserve">monotherapy, </w:t>
      </w:r>
      <w:r w:rsidR="000D3B93">
        <w:rPr>
          <w:color w:val="auto"/>
        </w:rPr>
        <w:t>or</w:t>
      </w:r>
      <w:r w:rsidR="0018409C" w:rsidRPr="00FE1D52">
        <w:rPr>
          <w:color w:val="auto"/>
        </w:rPr>
        <w:t xml:space="preserve"> in combination with corticosteroids, </w:t>
      </w:r>
      <w:r w:rsidR="000D3B93">
        <w:rPr>
          <w:color w:val="auto"/>
        </w:rPr>
        <w:t xml:space="preserve">both </w:t>
      </w:r>
      <w:r w:rsidR="0018409C" w:rsidRPr="00FE1D52">
        <w:rPr>
          <w:color w:val="auto"/>
        </w:rPr>
        <w:t xml:space="preserve">align with </w:t>
      </w:r>
      <w:r w:rsidR="000D3B93">
        <w:rPr>
          <w:color w:val="auto"/>
        </w:rPr>
        <w:t xml:space="preserve">the </w:t>
      </w:r>
      <w:r w:rsidR="0018409C" w:rsidRPr="00FE1D52">
        <w:rPr>
          <w:color w:val="auto"/>
        </w:rPr>
        <w:t>factors for Schedule 2. The quality use of the medicine c</w:t>
      </w:r>
      <w:r w:rsidR="00DB1A44" w:rsidRPr="00FE1D52">
        <w:rPr>
          <w:color w:val="auto"/>
        </w:rPr>
        <w:t>an</w:t>
      </w:r>
      <w:r w:rsidR="0018409C" w:rsidRPr="00FE1D52">
        <w:rPr>
          <w:color w:val="auto"/>
        </w:rPr>
        <w:t xml:space="preserve"> be achieved through</w:t>
      </w:r>
      <w:r>
        <w:rPr>
          <w:color w:val="auto"/>
        </w:rPr>
        <w:t xml:space="preserve"> appropriate</w:t>
      </w:r>
      <w:r w:rsidR="0018409C" w:rsidRPr="00FE1D52">
        <w:rPr>
          <w:color w:val="auto"/>
        </w:rPr>
        <w:t xml:space="preserve"> labelling</w:t>
      </w:r>
      <w:r w:rsidR="00FB16DE">
        <w:rPr>
          <w:color w:val="auto"/>
        </w:rPr>
        <w:t>, and</w:t>
      </w:r>
      <w:r w:rsidR="000D3B93">
        <w:rPr>
          <w:color w:val="auto"/>
        </w:rPr>
        <w:t xml:space="preserve"> </w:t>
      </w:r>
      <w:r w:rsidR="00FB16DE">
        <w:rPr>
          <w:color w:val="auto"/>
        </w:rPr>
        <w:t>a</w:t>
      </w:r>
      <w:r w:rsidR="0018409C" w:rsidRPr="00FE1D52">
        <w:rPr>
          <w:color w:val="auto"/>
        </w:rPr>
        <w:t>ccess to advice from a pharmacist would maximise the safe use of the medicine. I agree with the Committee</w:t>
      </w:r>
      <w:r w:rsidR="00FB16DE">
        <w:rPr>
          <w:color w:val="auto"/>
        </w:rPr>
        <w:t>’s</w:t>
      </w:r>
      <w:r w:rsidR="0018409C" w:rsidRPr="00FE1D52">
        <w:rPr>
          <w:color w:val="auto"/>
        </w:rPr>
        <w:t xml:space="preserve"> </w:t>
      </w:r>
      <w:r w:rsidR="000D3B93">
        <w:rPr>
          <w:color w:val="auto"/>
        </w:rPr>
        <w:t xml:space="preserve">advice </w:t>
      </w:r>
      <w:r w:rsidR="0018409C" w:rsidRPr="00FE1D52">
        <w:rPr>
          <w:color w:val="auto"/>
        </w:rPr>
        <w:t xml:space="preserve">to list olopatadine </w:t>
      </w:r>
      <w:r w:rsidR="000D3B93">
        <w:rPr>
          <w:color w:val="auto"/>
        </w:rPr>
        <w:t>separately</w:t>
      </w:r>
      <w:r w:rsidR="0018409C" w:rsidRPr="00FE1D52">
        <w:rPr>
          <w:color w:val="auto"/>
        </w:rPr>
        <w:t xml:space="preserve">, rather than </w:t>
      </w:r>
      <w:r>
        <w:rPr>
          <w:color w:val="auto"/>
        </w:rPr>
        <w:t xml:space="preserve">define the entry </w:t>
      </w:r>
      <w:r w:rsidR="0018409C" w:rsidRPr="00FE1D52">
        <w:rPr>
          <w:color w:val="auto"/>
        </w:rPr>
        <w:t>in combination with mometasone</w:t>
      </w:r>
      <w:r w:rsidR="000D3B93">
        <w:rPr>
          <w:color w:val="auto"/>
        </w:rPr>
        <w:t>. This will</w:t>
      </w:r>
      <w:r>
        <w:rPr>
          <w:color w:val="auto"/>
        </w:rPr>
        <w:t xml:space="preserve"> provide the flexibility</w:t>
      </w:r>
      <w:r w:rsidR="0018409C" w:rsidRPr="00FE1D52">
        <w:rPr>
          <w:color w:val="auto"/>
        </w:rPr>
        <w:t xml:space="preserve"> </w:t>
      </w:r>
      <w:r w:rsidR="0018409C" w:rsidRPr="00B33540">
        <w:rPr>
          <w:color w:val="auto"/>
        </w:rPr>
        <w:t>to</w:t>
      </w:r>
      <w:r>
        <w:rPr>
          <w:color w:val="auto"/>
        </w:rPr>
        <w:t xml:space="preserve"> not restrict</w:t>
      </w:r>
      <w:r w:rsidR="0018409C" w:rsidRPr="000D3B93">
        <w:rPr>
          <w:color w:val="auto"/>
        </w:rPr>
        <w:t xml:space="preserve"> other olopatadine-corticosteroid combinations</w:t>
      </w:r>
      <w:r w:rsidR="00FB16DE">
        <w:rPr>
          <w:color w:val="auto"/>
        </w:rPr>
        <w:t>, whereby the efficacy and safety of these combinations can be</w:t>
      </w:r>
      <w:r w:rsidR="0018409C" w:rsidRPr="000D3B93">
        <w:rPr>
          <w:color w:val="auto"/>
        </w:rPr>
        <w:t xml:space="preserve"> assessed through the product registration process.</w:t>
      </w:r>
    </w:p>
    <w:p w14:paraId="648B74A6" w14:textId="090BA897" w:rsidR="0018409C" w:rsidRPr="00FE1D52" w:rsidRDefault="0018409C" w:rsidP="0018409C">
      <w:pPr>
        <w:rPr>
          <w:color w:val="auto"/>
        </w:rPr>
      </w:pPr>
      <w:r w:rsidRPr="00FE1D52">
        <w:rPr>
          <w:color w:val="auto"/>
        </w:rPr>
        <w:t xml:space="preserve">Due to the favourable risk profile, patient screening in a pharmacy setting, and the general ability for consumers to identify and manage risks associated with the use of olopatadine nasal preparations without direct pharmacist oversight, I am satisfied </w:t>
      </w:r>
      <w:r w:rsidR="00DB1A44" w:rsidRPr="00FE1D52">
        <w:rPr>
          <w:color w:val="auto"/>
        </w:rPr>
        <w:t xml:space="preserve">that </w:t>
      </w:r>
      <w:r w:rsidRPr="00FE1D52">
        <w:rPr>
          <w:color w:val="auto"/>
        </w:rPr>
        <w:t xml:space="preserve">Schedule 2 is appropriate </w:t>
      </w:r>
      <w:r w:rsidR="000D3B93">
        <w:rPr>
          <w:color w:val="auto"/>
        </w:rPr>
        <w:t>in addition to</w:t>
      </w:r>
      <w:r w:rsidRPr="00FE1D52">
        <w:rPr>
          <w:color w:val="auto"/>
        </w:rPr>
        <w:t xml:space="preserve"> relevant warnings on the label</w:t>
      </w:r>
      <w:r w:rsidR="00B33540">
        <w:rPr>
          <w:color w:val="auto"/>
        </w:rPr>
        <w:t xml:space="preserve"> (Appendix F)</w:t>
      </w:r>
      <w:r w:rsidRPr="00FE1D52">
        <w:rPr>
          <w:color w:val="auto"/>
        </w:rPr>
        <w:t>.</w:t>
      </w:r>
    </w:p>
    <w:p w14:paraId="5506FF09" w14:textId="73A85DC1" w:rsidR="0018409C" w:rsidRPr="00FE1D52" w:rsidRDefault="0018409C" w:rsidP="0018409C">
      <w:pPr>
        <w:rPr>
          <w:color w:val="auto"/>
        </w:rPr>
      </w:pPr>
      <w:r w:rsidRPr="00FE1D52">
        <w:rPr>
          <w:color w:val="auto"/>
        </w:rPr>
        <w:t>Consistent with the Therapeutic Guidelines and the Committee’s recommendation</w:t>
      </w:r>
      <w:r w:rsidR="00DB1A44" w:rsidRPr="00FE1D52">
        <w:rPr>
          <w:color w:val="auto"/>
        </w:rPr>
        <w:t>,</w:t>
      </w:r>
      <w:r w:rsidRPr="00FE1D52">
        <w:rPr>
          <w:color w:val="auto"/>
        </w:rPr>
        <w:t xml:space="preserve"> I support </w:t>
      </w:r>
      <w:r w:rsidR="00DB1A44" w:rsidRPr="00FE1D52">
        <w:rPr>
          <w:color w:val="auto"/>
        </w:rPr>
        <w:t xml:space="preserve">the </w:t>
      </w:r>
      <w:r w:rsidR="00093BAD">
        <w:rPr>
          <w:color w:val="auto"/>
        </w:rPr>
        <w:t xml:space="preserve">proposed </w:t>
      </w:r>
      <w:r w:rsidR="00DB1A44" w:rsidRPr="00FE1D52">
        <w:rPr>
          <w:color w:val="auto"/>
        </w:rPr>
        <w:t xml:space="preserve">requirement </w:t>
      </w:r>
      <w:r w:rsidR="00093BAD">
        <w:rPr>
          <w:color w:val="auto"/>
        </w:rPr>
        <w:t xml:space="preserve">that </w:t>
      </w:r>
      <w:r w:rsidR="00DB1A44" w:rsidRPr="00FE1D52">
        <w:rPr>
          <w:color w:val="auto"/>
        </w:rPr>
        <w:t xml:space="preserve">use </w:t>
      </w:r>
      <w:r w:rsidR="00093BAD">
        <w:rPr>
          <w:color w:val="auto"/>
        </w:rPr>
        <w:t xml:space="preserve">of olopatadine is restricted to persons </w:t>
      </w:r>
      <w:r w:rsidR="00DB1A44" w:rsidRPr="00FE1D52">
        <w:rPr>
          <w:color w:val="auto"/>
        </w:rPr>
        <w:t>‘</w:t>
      </w:r>
      <w:r w:rsidRPr="00FE1D52">
        <w:rPr>
          <w:color w:val="auto"/>
        </w:rPr>
        <w:t>12 years and over</w:t>
      </w:r>
      <w:r w:rsidR="00DB1A44" w:rsidRPr="00FE1D52">
        <w:rPr>
          <w:color w:val="auto"/>
        </w:rPr>
        <w:t>’</w:t>
      </w:r>
      <w:r w:rsidRPr="00FE1D52">
        <w:rPr>
          <w:color w:val="auto"/>
        </w:rPr>
        <w:t>. As olopatadine fits under the ‘antihistamine’ drug class, I agree with the Committee</w:t>
      </w:r>
      <w:r w:rsidR="00FB16DE">
        <w:rPr>
          <w:color w:val="auto"/>
        </w:rPr>
        <w:t>’s</w:t>
      </w:r>
      <w:r w:rsidRPr="00FE1D52">
        <w:rPr>
          <w:color w:val="auto"/>
        </w:rPr>
        <w:t xml:space="preserve"> proposal to </w:t>
      </w:r>
      <w:r w:rsidR="00093BAD">
        <w:rPr>
          <w:color w:val="auto"/>
        </w:rPr>
        <w:t xml:space="preserve">include a </w:t>
      </w:r>
      <w:r w:rsidRPr="00FE1D52">
        <w:rPr>
          <w:color w:val="auto"/>
        </w:rPr>
        <w:t>cross reference the substance under antihistamines.</w:t>
      </w:r>
    </w:p>
    <w:p w14:paraId="3B94DEED" w14:textId="3B854DE6" w:rsidR="0018409C" w:rsidRPr="00FE1D52" w:rsidRDefault="0018409C" w:rsidP="00DE2FCD">
      <w:pPr>
        <w:rPr>
          <w:color w:val="auto"/>
        </w:rPr>
      </w:pPr>
      <w:r w:rsidRPr="00FE1D52">
        <w:rPr>
          <w:color w:val="auto"/>
        </w:rPr>
        <w:t>I propose the implementation date</w:t>
      </w:r>
      <w:r w:rsidR="00DB1A44" w:rsidRPr="00FE1D52">
        <w:rPr>
          <w:color w:val="auto"/>
        </w:rPr>
        <w:t xml:space="preserve"> of 1</w:t>
      </w:r>
      <w:r w:rsidR="00FB16DE">
        <w:rPr>
          <w:color w:val="auto"/>
        </w:rPr>
        <w:t> </w:t>
      </w:r>
      <w:r w:rsidR="00DB1A44" w:rsidRPr="00FE1D52">
        <w:rPr>
          <w:color w:val="auto"/>
        </w:rPr>
        <w:t>February</w:t>
      </w:r>
      <w:r w:rsidR="00FB16DE">
        <w:rPr>
          <w:color w:val="auto"/>
        </w:rPr>
        <w:t> </w:t>
      </w:r>
      <w:r w:rsidR="00DB1A44" w:rsidRPr="00FE1D52">
        <w:rPr>
          <w:color w:val="auto"/>
        </w:rPr>
        <w:t>2024</w:t>
      </w:r>
      <w:r w:rsidRPr="00FE1D52">
        <w:rPr>
          <w:color w:val="auto"/>
        </w:rPr>
        <w:t xml:space="preserve"> </w:t>
      </w:r>
      <w:r w:rsidR="00E765A2" w:rsidRPr="00FE1D52">
        <w:rPr>
          <w:color w:val="auto"/>
        </w:rPr>
        <w:t xml:space="preserve">to </w:t>
      </w:r>
      <w:r w:rsidR="007A6634" w:rsidRPr="00FE1D52">
        <w:rPr>
          <w:color w:val="auto"/>
        </w:rPr>
        <w:t>prevent</w:t>
      </w:r>
      <w:r w:rsidRPr="00FE1D52">
        <w:rPr>
          <w:color w:val="auto"/>
        </w:rPr>
        <w:t xml:space="preserve"> unnecessar</w:t>
      </w:r>
      <w:r w:rsidR="007A6634" w:rsidRPr="00FE1D52">
        <w:rPr>
          <w:color w:val="auto"/>
        </w:rPr>
        <w:t>y</w:t>
      </w:r>
      <w:r w:rsidRPr="00FE1D52">
        <w:rPr>
          <w:color w:val="auto"/>
        </w:rPr>
        <w:t xml:space="preserve"> delay </w:t>
      </w:r>
      <w:r w:rsidR="007A6634" w:rsidRPr="00FE1D52">
        <w:rPr>
          <w:color w:val="auto"/>
        </w:rPr>
        <w:t xml:space="preserve">to </w:t>
      </w:r>
      <w:r w:rsidRPr="00FE1D52">
        <w:rPr>
          <w:color w:val="auto"/>
        </w:rPr>
        <w:t>industry.</w:t>
      </w:r>
    </w:p>
    <w:p w14:paraId="76419010" w14:textId="77777777" w:rsidR="00DE2FCD" w:rsidRDefault="0018409C" w:rsidP="00DE2FCD">
      <w:pPr>
        <w:pStyle w:val="Heading4"/>
      </w:pPr>
      <w:bookmarkStart w:id="19" w:name="_Toc147325278"/>
      <w:r w:rsidRPr="00365ADE">
        <w:t>Implementation date:</w:t>
      </w:r>
      <w:bookmarkEnd w:id="19"/>
      <w:r w:rsidRPr="00365ADE">
        <w:t xml:space="preserve"> </w:t>
      </w:r>
    </w:p>
    <w:p w14:paraId="4D828137" w14:textId="0D1B199F" w:rsidR="0018409C" w:rsidRPr="00DE2FCD" w:rsidRDefault="0018409C" w:rsidP="00DE2FCD">
      <w:pPr>
        <w:rPr>
          <w:rStyle w:val="normaltextrun"/>
          <w:b/>
          <w:bCs/>
        </w:rPr>
      </w:pPr>
      <w:r w:rsidRPr="00DE2FCD">
        <w:rPr>
          <w:b/>
          <w:bCs/>
        </w:rPr>
        <w:t>1 February 2024</w:t>
      </w:r>
    </w:p>
    <w:bookmarkEnd w:id="5"/>
    <w:bookmarkEnd w:id="6"/>
    <w:p w14:paraId="53C52882" w14:textId="77777777" w:rsidR="000D3B93" w:rsidRDefault="000D3B93">
      <w:pPr>
        <w:rPr>
          <w:rFonts w:ascii="Arial" w:eastAsia="Times New Roman" w:hAnsi="Arial" w:cs="Times New Roman"/>
          <w:b/>
          <w:bCs/>
          <w:color w:val="001871"/>
          <w:sz w:val="38"/>
          <w:szCs w:val="38"/>
        </w:rPr>
      </w:pPr>
      <w:r>
        <w:br w:type="page"/>
      </w:r>
    </w:p>
    <w:p w14:paraId="41673D1D" w14:textId="6048612F" w:rsidR="005A34E2" w:rsidRDefault="005A34E2" w:rsidP="005A34E2">
      <w:pPr>
        <w:pStyle w:val="Heading2"/>
      </w:pPr>
      <w:bookmarkStart w:id="20" w:name="_Toc147325279"/>
      <w:r>
        <w:lastRenderedPageBreak/>
        <w:t>Interim decision</w:t>
      </w:r>
      <w:r w:rsidRPr="00BC583D">
        <w:t>s</w:t>
      </w:r>
      <w:r>
        <w:t xml:space="preserve"> on proposed amendments referred to the Advisory Committees on Medicines and Chemicals Scheduling</w:t>
      </w:r>
      <w:r w:rsidR="00CF3718">
        <w:t xml:space="preserve"> in joint session</w:t>
      </w:r>
      <w:r>
        <w:t xml:space="preserve"> (</w:t>
      </w:r>
      <w:r w:rsidR="00CF3718">
        <w:t>ACMS-</w:t>
      </w:r>
      <w:r>
        <w:t>ACCS #</w:t>
      </w:r>
      <w:r w:rsidR="00BC583D">
        <w:t>34</w:t>
      </w:r>
      <w:r>
        <w:t xml:space="preserve">, </w:t>
      </w:r>
      <w:r w:rsidR="00BC583D">
        <w:t>JUNE</w:t>
      </w:r>
      <w:r>
        <w:t xml:space="preserve"> 20</w:t>
      </w:r>
      <w:r w:rsidR="00BC583D">
        <w:t>23</w:t>
      </w:r>
      <w:r>
        <w:t>)</w:t>
      </w:r>
      <w:bookmarkEnd w:id="20"/>
    </w:p>
    <w:p w14:paraId="380FD261" w14:textId="77777777" w:rsidR="00B0638F" w:rsidRDefault="00B0638F" w:rsidP="00B0638F">
      <w:pPr>
        <w:pStyle w:val="Heading3"/>
      </w:pPr>
      <w:bookmarkStart w:id="21" w:name="_Toc139900068"/>
      <w:bookmarkStart w:id="22" w:name="_Toc147325280"/>
      <w:r>
        <w:t xml:space="preserve">Interim decision in relation to </w:t>
      </w:r>
      <w:bookmarkEnd w:id="21"/>
      <w:r>
        <w:t>ibotenic acid</w:t>
      </w:r>
      <w:bookmarkEnd w:id="22"/>
    </w:p>
    <w:p w14:paraId="52069AA5" w14:textId="77777777" w:rsidR="00B0638F" w:rsidRDefault="00B0638F" w:rsidP="00B0638F">
      <w:pPr>
        <w:pStyle w:val="Heading4"/>
      </w:pPr>
      <w:bookmarkStart w:id="23" w:name="_Toc147325281"/>
      <w:r>
        <w:t>Proposal</w:t>
      </w:r>
      <w:bookmarkEnd w:id="23"/>
    </w:p>
    <w:p w14:paraId="626789C0" w14:textId="77777777" w:rsidR="00B0638F" w:rsidRDefault="00B0638F" w:rsidP="00B0638F">
      <w:pPr>
        <w:spacing w:after="240"/>
      </w:pPr>
      <w:r>
        <w:t xml:space="preserve">The applicant proposed the creation of a new Schedule 4 entry for ibotenic acid for therapeutic use and a new Schedule 7 entry to capture all other use of the substance (the </w:t>
      </w:r>
      <w:r w:rsidRPr="00844EAA">
        <w:rPr>
          <w:b/>
          <w:bCs/>
        </w:rPr>
        <w:t>Proposal</w:t>
      </w:r>
      <w:r>
        <w:t>). Ibotenic acid is not currently listed in the Poisons Standard.</w:t>
      </w:r>
    </w:p>
    <w:p w14:paraId="391C7479" w14:textId="77777777" w:rsidR="00B0638F" w:rsidRDefault="00B0638F" w:rsidP="00B0638F">
      <w:pPr>
        <w:pStyle w:val="Heading4"/>
      </w:pPr>
      <w:bookmarkStart w:id="24" w:name="_Toc147325282"/>
      <w:r>
        <w:t>Interim decision</w:t>
      </w:r>
      <w:bookmarkEnd w:id="24"/>
    </w:p>
    <w:p w14:paraId="13AD2B1D" w14:textId="797E7E41" w:rsidR="00B0638F" w:rsidRDefault="00B0638F" w:rsidP="00B0638F">
      <w:pPr>
        <w:spacing w:before="120"/>
      </w:pPr>
      <w:r>
        <w:t>A Delegate of the Secretary</w:t>
      </w:r>
      <w:r>
        <w:rPr>
          <w:rStyle w:val="FootnoteReference"/>
        </w:rPr>
        <w:footnoteReference w:id="6"/>
      </w:r>
      <w:r>
        <w:t xml:space="preserve"> has made an interim decision to amend the current Poisons Standard in relation to ibotenic acid as follows:</w:t>
      </w:r>
      <w:r>
        <w:rPr>
          <w:rStyle w:val="FootnoteReference"/>
        </w:rPr>
        <w:footnoteReference w:id="7"/>
      </w:r>
    </w:p>
    <w:p w14:paraId="755BB340" w14:textId="77777777" w:rsidR="00B0638F" w:rsidRPr="008F3AA5" w:rsidRDefault="00B0638F" w:rsidP="00B0638F">
      <w:pPr>
        <w:keepNext/>
        <w:spacing w:before="120" w:after="180" w:line="240" w:lineRule="atLeast"/>
        <w:ind w:left="426"/>
        <w:rPr>
          <w:b/>
          <w:bCs/>
          <w:color w:val="000000" w:themeColor="text1"/>
        </w:rPr>
      </w:pPr>
      <w:r w:rsidRPr="008F3AA5">
        <w:rPr>
          <w:b/>
          <w:bCs/>
          <w:color w:val="000000" w:themeColor="text1"/>
        </w:rPr>
        <w:t>Schedule 9 – New entry</w:t>
      </w:r>
    </w:p>
    <w:p w14:paraId="59F89589" w14:textId="77777777" w:rsidR="00B0638F" w:rsidRDefault="00B0638F" w:rsidP="00B0638F">
      <w:pPr>
        <w:shd w:val="clear" w:color="auto" w:fill="FFFFFF"/>
        <w:ind w:left="709"/>
        <w:rPr>
          <w:color w:val="00B050"/>
          <w:u w:val="single"/>
          <w:lang w:eastAsia="en-AU"/>
        </w:rPr>
      </w:pPr>
      <w:r>
        <w:rPr>
          <w:color w:val="00B050"/>
          <w:u w:val="single"/>
          <w:lang w:eastAsia="en-AU"/>
        </w:rPr>
        <w:t>IBOTENIC ACID</w:t>
      </w:r>
    </w:p>
    <w:p w14:paraId="308D8934" w14:textId="77777777" w:rsidR="00B0638F" w:rsidRPr="008F3AA5" w:rsidRDefault="00B0638F" w:rsidP="00B0638F">
      <w:pPr>
        <w:spacing w:after="0" w:line="240" w:lineRule="atLeast"/>
        <w:ind w:left="426"/>
        <w:rPr>
          <w:b/>
          <w:bCs/>
          <w:color w:val="000000" w:themeColor="text1"/>
        </w:rPr>
      </w:pPr>
      <w:r w:rsidRPr="008F3AA5">
        <w:rPr>
          <w:b/>
          <w:bCs/>
          <w:color w:val="000000" w:themeColor="text1"/>
        </w:rPr>
        <w:t>Index – New Entry</w:t>
      </w:r>
    </w:p>
    <w:p w14:paraId="40D560F7" w14:textId="77777777" w:rsidR="00B0638F" w:rsidRPr="00472D41" w:rsidRDefault="00B0638F" w:rsidP="00B0638F">
      <w:pPr>
        <w:spacing w:before="240" w:after="0" w:line="240" w:lineRule="atLeast"/>
        <w:ind w:left="709"/>
        <w:rPr>
          <w:b/>
          <w:bCs/>
          <w:color w:val="00B050"/>
          <w:u w:val="single"/>
        </w:rPr>
      </w:pPr>
      <w:r w:rsidRPr="00472D41">
        <w:rPr>
          <w:b/>
          <w:bCs/>
          <w:color w:val="00B050"/>
          <w:u w:val="single"/>
        </w:rPr>
        <w:t>IBOTENIC ACID</w:t>
      </w:r>
    </w:p>
    <w:p w14:paraId="54F5ABBC" w14:textId="70FE8A09" w:rsidR="00B0638F" w:rsidRDefault="00B0638F" w:rsidP="00B0638F">
      <w:pPr>
        <w:spacing w:line="240" w:lineRule="atLeast"/>
        <w:ind w:left="709"/>
        <w:rPr>
          <w:color w:val="00B050"/>
          <w:u w:val="single"/>
        </w:rPr>
      </w:pPr>
      <w:r>
        <w:rPr>
          <w:color w:val="00B050"/>
          <w:u w:val="single"/>
        </w:rPr>
        <w:t>cross reference: MUSCIMOL</w:t>
      </w:r>
      <w:r>
        <w:rPr>
          <w:color w:val="00B050"/>
          <w:u w:val="single"/>
        </w:rPr>
        <w:br/>
        <w:t>Schedule 9</w:t>
      </w:r>
    </w:p>
    <w:p w14:paraId="6FCA3A7D" w14:textId="77777777" w:rsidR="00B0638F" w:rsidRPr="00844EAA" w:rsidRDefault="00B0638F" w:rsidP="00472D41">
      <w:pPr>
        <w:spacing w:before="240"/>
        <w:rPr>
          <w:rFonts w:ascii="Calibri" w:hAnsi="Calibri" w:cs="Calibri"/>
          <w:color w:val="auto"/>
        </w:rPr>
      </w:pPr>
      <w:r w:rsidRPr="00FE26E1">
        <w:rPr>
          <w:rFonts w:ascii="Calibri" w:hAnsi="Calibri" w:cs="Calibri"/>
        </w:rPr>
        <w:t xml:space="preserve">The Delegate’s interim </w:t>
      </w:r>
      <w:r w:rsidRPr="004719BF">
        <w:rPr>
          <w:rFonts w:ascii="Calibri" w:hAnsi="Calibri" w:cs="Calibri"/>
        </w:rPr>
        <w:t>decision differs from the applicant’s</w:t>
      </w:r>
      <w:r w:rsidRPr="00FE26E1">
        <w:rPr>
          <w:rFonts w:ascii="Calibri" w:hAnsi="Calibri" w:cs="Calibri"/>
        </w:rPr>
        <w:t xml:space="preserve"> proposal and the detailed reasons for the decision follow.</w:t>
      </w:r>
    </w:p>
    <w:p w14:paraId="3C32BC88" w14:textId="77777777" w:rsidR="00B0638F" w:rsidRDefault="00B0638F" w:rsidP="00B0638F">
      <w:pPr>
        <w:pStyle w:val="Heading4"/>
      </w:pPr>
      <w:bookmarkStart w:id="25" w:name="_Toc147325283"/>
      <w:r>
        <w:t>Materials considered</w:t>
      </w:r>
      <w:bookmarkEnd w:id="25"/>
    </w:p>
    <w:p w14:paraId="01776F46" w14:textId="77777777" w:rsidR="00B0638F" w:rsidRDefault="00B0638F" w:rsidP="00B0638F">
      <w:r>
        <w:t>In making this interim decision, the Delegate considered the following material:</w:t>
      </w:r>
    </w:p>
    <w:p w14:paraId="5DF476F1" w14:textId="5AEA0117" w:rsidR="00B0638F" w:rsidRDefault="00E1070A" w:rsidP="00B0638F">
      <w:pPr>
        <w:pStyle w:val="ListBullet"/>
        <w:numPr>
          <w:ilvl w:val="0"/>
          <w:numId w:val="22"/>
        </w:numPr>
        <w:rPr>
          <w:rFonts w:ascii="Calibri" w:hAnsi="Calibri" w:cs="Calibri"/>
        </w:rPr>
      </w:pPr>
      <w:r>
        <w:rPr>
          <w:rFonts w:ascii="Calibri" w:hAnsi="Calibri" w:cs="Calibri"/>
          <w:color w:val="171717" w:themeColor="background2" w:themeShade="1A"/>
        </w:rPr>
        <w:t>t</w:t>
      </w:r>
      <w:r w:rsidR="00B0638F" w:rsidRPr="00844EAA">
        <w:rPr>
          <w:rFonts w:ascii="Calibri" w:hAnsi="Calibri" w:cs="Calibri"/>
          <w:color w:val="171717" w:themeColor="background2" w:themeShade="1A"/>
        </w:rPr>
        <w:t>he</w:t>
      </w:r>
      <w:sdt>
        <w:sdtPr>
          <w:rPr>
            <w:rFonts w:ascii="Calibri" w:hAnsi="Calibri" w:cs="Calibri"/>
            <w:color w:val="0000FF"/>
            <w:u w:val="single"/>
          </w:rPr>
          <w:alias w:val="Hyperlink to TGA website"/>
          <w:tag w:val="Hyperlink to TGA website"/>
          <w:id w:val="508958157"/>
        </w:sdtPr>
        <w:sdtEndPr/>
        <w:sdtContent>
          <w:hyperlink r:id="rId32" w:history="1">
            <w:r w:rsidR="00B0638F">
              <w:rPr>
                <w:rStyle w:val="Hyperlink"/>
                <w:rFonts w:ascii="Calibri" w:hAnsi="Calibri" w:cs="Calibri"/>
              </w:rPr>
              <w:t xml:space="preserve"> application</w:t>
            </w:r>
          </w:hyperlink>
        </w:sdtContent>
      </w:sdt>
      <w:r w:rsidR="00B0638F">
        <w:rPr>
          <w:rFonts w:ascii="Calibri" w:hAnsi="Calibri" w:cs="Calibri"/>
        </w:rPr>
        <w:t xml:space="preserve"> </w:t>
      </w:r>
      <w:r w:rsidR="00B0638F" w:rsidRPr="00844EAA">
        <w:rPr>
          <w:rFonts w:ascii="Calibri" w:hAnsi="Calibri" w:cs="Calibri"/>
          <w:color w:val="171717" w:themeColor="background2" w:themeShade="1A"/>
        </w:rPr>
        <w:t xml:space="preserve">to amend the current Poisons Standard with respect to </w:t>
      </w:r>
      <w:sdt>
        <w:sdtPr>
          <w:rPr>
            <w:rFonts w:ascii="Calibri" w:hAnsi="Calibri" w:cs="Calibri"/>
            <w:color w:val="171717" w:themeColor="background2" w:themeShade="1A"/>
          </w:rPr>
          <w:id w:val="-1765681631"/>
        </w:sdtPr>
        <w:sdtEndPr/>
        <w:sdtContent>
          <w:r w:rsidR="00B0638F" w:rsidRPr="00844EAA">
            <w:rPr>
              <w:rFonts w:ascii="Calibri" w:hAnsi="Calibri" w:cs="Calibri"/>
              <w:color w:val="171717" w:themeColor="background2" w:themeShade="1A"/>
            </w:rPr>
            <w:t>ibotenic acid</w:t>
          </w:r>
        </w:sdtContent>
      </w:sdt>
      <w:r w:rsidR="00B0638F" w:rsidRPr="00844EAA">
        <w:rPr>
          <w:rFonts w:ascii="Calibri" w:hAnsi="Calibri" w:cs="Calibri"/>
          <w:color w:val="171717" w:themeColor="background2" w:themeShade="1A"/>
        </w:rPr>
        <w:t xml:space="preserve"> (the </w:t>
      </w:r>
      <w:r w:rsidR="00B0638F" w:rsidRPr="00844EAA">
        <w:rPr>
          <w:rFonts w:ascii="Calibri" w:hAnsi="Calibri" w:cs="Calibri"/>
          <w:b/>
          <w:bCs/>
          <w:color w:val="171717" w:themeColor="background2" w:themeShade="1A"/>
        </w:rPr>
        <w:t>Application</w:t>
      </w:r>
      <w:r w:rsidR="00B0638F" w:rsidRPr="00844EAA">
        <w:rPr>
          <w:rFonts w:ascii="Calibri" w:hAnsi="Calibri" w:cs="Calibri"/>
          <w:color w:val="171717" w:themeColor="background2" w:themeShade="1A"/>
        </w:rPr>
        <w:t>)</w:t>
      </w:r>
      <w:r w:rsidRPr="0055689D">
        <w:rPr>
          <w:rFonts w:ascii="Calibri" w:hAnsi="Calibri" w:cs="Calibri"/>
          <w:b/>
          <w:bCs/>
          <w:color w:val="171717" w:themeColor="background2" w:themeShade="1A"/>
        </w:rPr>
        <w:t>.</w:t>
      </w:r>
    </w:p>
    <w:p w14:paraId="0683E355" w14:textId="0239A92C" w:rsidR="00B0638F" w:rsidRDefault="00E1070A" w:rsidP="00B0638F">
      <w:pPr>
        <w:numPr>
          <w:ilvl w:val="0"/>
          <w:numId w:val="22"/>
        </w:numPr>
        <w:spacing w:before="120" w:after="180" w:line="240" w:lineRule="atLeast"/>
        <w:rPr>
          <w:rFonts w:ascii="Calibri" w:eastAsia="Times New Roman" w:hAnsi="Calibri" w:cs="Calibri"/>
        </w:rPr>
      </w:pPr>
      <w:r>
        <w:rPr>
          <w:rFonts w:eastAsia="Times New Roman"/>
        </w:rPr>
        <w:t>t</w:t>
      </w:r>
      <w:sdt>
        <w:sdtPr>
          <w:rPr>
            <w:rFonts w:eastAsia="Times New Roman"/>
          </w:rPr>
          <w:id w:val="157816969"/>
        </w:sdtPr>
        <w:sdtEndPr/>
        <w:sdtContent>
          <w:r w:rsidR="00B0638F">
            <w:rPr>
              <w:rFonts w:eastAsia="Times New Roman"/>
            </w:rPr>
            <w:t xml:space="preserve">he 8 </w:t>
          </w:r>
          <w:hyperlink r:id="rId33" w:history="1">
            <w:r w:rsidR="002718EB" w:rsidRPr="0018409C">
              <w:rPr>
                <w:rStyle w:val="Hyperlink"/>
                <w:rFonts w:asciiTheme="minorHAnsi" w:hAnsiTheme="minorHAnsi" w:cstheme="minorHAnsi"/>
              </w:rPr>
              <w:t>public submissions</w:t>
            </w:r>
          </w:hyperlink>
          <w:r w:rsidR="002718EB">
            <w:rPr>
              <w:rFonts w:cstheme="minorHAnsi"/>
            </w:rPr>
            <w:t xml:space="preserve"> </w:t>
          </w:r>
          <w:r w:rsidR="002718EB" w:rsidRPr="0018409C">
            <w:rPr>
              <w:rFonts w:cstheme="minorHAnsi"/>
              <w:color w:val="auto"/>
            </w:rPr>
            <w:t xml:space="preserve">received in response to the </w:t>
          </w:r>
          <w:r w:rsidR="002718EB" w:rsidRPr="0018409C">
            <w:rPr>
              <w:rFonts w:cstheme="minorHAnsi"/>
              <w:color w:val="0000FF"/>
              <w:u w:val="single"/>
            </w:rPr>
            <w:t xml:space="preserve">pre-meeting </w:t>
          </w:r>
          <w:hyperlink r:id="rId34" w:history="1">
            <w:r w:rsidR="002718EB" w:rsidRPr="0018409C">
              <w:rPr>
                <w:rStyle w:val="Hyperlink"/>
                <w:rFonts w:asciiTheme="minorHAnsi" w:hAnsiTheme="minorHAnsi" w:cstheme="minorHAnsi"/>
              </w:rPr>
              <w:t>consultation</w:t>
            </w:r>
          </w:hyperlink>
          <w:r w:rsidR="002718EB">
            <w:rPr>
              <w:rStyle w:val="Hyperlink"/>
              <w:rFonts w:asciiTheme="minorHAnsi" w:hAnsiTheme="minorHAnsi" w:cstheme="minorHAnsi"/>
            </w:rPr>
            <w:t xml:space="preserve"> </w:t>
          </w:r>
          <w:r w:rsidR="00B0638F">
            <w:rPr>
              <w:rFonts w:eastAsia="Times New Roman"/>
            </w:rPr>
            <w:t>under regulation 42ZCZK of the Regulations</w:t>
          </w:r>
        </w:sdtContent>
      </w:sdt>
      <w:r w:rsidR="00B0638F">
        <w:rPr>
          <w:rFonts w:eastAsia="Times New Roman"/>
        </w:rPr>
        <w:t xml:space="preserve"> (the </w:t>
      </w:r>
      <w:r w:rsidR="00B0638F">
        <w:rPr>
          <w:rFonts w:eastAsia="Times New Roman"/>
          <w:b/>
          <w:bCs/>
        </w:rPr>
        <w:t>Submissions</w:t>
      </w:r>
      <w:r w:rsidR="00B0638F" w:rsidRPr="00BF3545">
        <w:rPr>
          <w:rFonts w:eastAsia="Times New Roman"/>
        </w:rPr>
        <w:t>)</w:t>
      </w:r>
      <w:r>
        <w:rPr>
          <w:rFonts w:eastAsia="Times New Roman"/>
        </w:rPr>
        <w:t>.</w:t>
      </w:r>
    </w:p>
    <w:p w14:paraId="0CB4E26A" w14:textId="3625F5C0" w:rsidR="00B0638F" w:rsidRDefault="00E1070A" w:rsidP="00B0638F">
      <w:pPr>
        <w:numPr>
          <w:ilvl w:val="0"/>
          <w:numId w:val="22"/>
        </w:numPr>
        <w:spacing w:before="120" w:after="180" w:line="240" w:lineRule="atLeast"/>
        <w:rPr>
          <w:rFonts w:eastAsia="Times New Roman"/>
        </w:rPr>
      </w:pPr>
      <w:r>
        <w:rPr>
          <w:rFonts w:eastAsia="Times New Roman"/>
        </w:rPr>
        <w:t>t</w:t>
      </w:r>
      <w:sdt>
        <w:sdtPr>
          <w:rPr>
            <w:rFonts w:eastAsia="Times New Roman"/>
            <w:highlight w:val="yellow"/>
          </w:rPr>
          <w:id w:val="2079474925"/>
        </w:sdtPr>
        <w:sdtEndPr/>
        <w:sdtContent>
          <w:proofErr w:type="gramStart"/>
          <w:r w:rsidR="00B0638F">
            <w:rPr>
              <w:rFonts w:eastAsia="Times New Roman"/>
            </w:rPr>
            <w:t>he</w:t>
          </w:r>
          <w:proofErr w:type="gramEnd"/>
          <w:r w:rsidR="00B0638F">
            <w:rPr>
              <w:rFonts w:eastAsia="Times New Roman"/>
            </w:rPr>
            <w:t xml:space="preserve"> advice received from the 34</w:t>
          </w:r>
          <w:r w:rsidR="00B0638F" w:rsidRPr="00844EAA">
            <w:rPr>
              <w:rFonts w:eastAsia="Times New Roman"/>
              <w:vertAlign w:val="superscript"/>
            </w:rPr>
            <w:t>th</w:t>
          </w:r>
          <w:r w:rsidR="00B0638F">
            <w:rPr>
              <w:rFonts w:eastAsia="Times New Roman"/>
            </w:rPr>
            <w:t xml:space="preserve"> meeting of the Advisory Committee on Medicines and Chemicals Scheduling in joint session</w:t>
          </w:r>
        </w:sdtContent>
      </w:sdt>
      <w:r w:rsidR="00B0638F">
        <w:rPr>
          <w:rFonts w:eastAsia="Times New Roman"/>
        </w:rPr>
        <w:t xml:space="preserve"> (the </w:t>
      </w:r>
      <w:r w:rsidR="00B0638F">
        <w:rPr>
          <w:rFonts w:eastAsia="Times New Roman"/>
          <w:b/>
          <w:bCs/>
        </w:rPr>
        <w:t>Committee</w:t>
      </w:r>
      <w:r w:rsidR="00B0638F">
        <w:rPr>
          <w:rFonts w:eastAsia="Times New Roman"/>
        </w:rPr>
        <w:t>)</w:t>
      </w:r>
      <w:r>
        <w:rPr>
          <w:rFonts w:eastAsia="Times New Roman"/>
        </w:rPr>
        <w:t>.</w:t>
      </w:r>
    </w:p>
    <w:p w14:paraId="125EA845" w14:textId="72B09F12" w:rsidR="00B0638F" w:rsidRDefault="00E1070A" w:rsidP="00B0638F">
      <w:pPr>
        <w:numPr>
          <w:ilvl w:val="0"/>
          <w:numId w:val="22"/>
        </w:numPr>
        <w:spacing w:before="120" w:after="180" w:line="240" w:lineRule="atLeast"/>
        <w:rPr>
          <w:rFonts w:eastAsia="Times New Roman"/>
        </w:rPr>
      </w:pPr>
      <w:r>
        <w:rPr>
          <w:rFonts w:eastAsia="Times New Roman"/>
        </w:rPr>
        <w:t>s</w:t>
      </w:r>
      <w:r w:rsidR="00B0638F">
        <w:rPr>
          <w:rFonts w:eastAsia="Times New Roman"/>
        </w:rPr>
        <w:t>ubsection 52E(1) of the Act</w:t>
      </w:r>
      <w:r w:rsidR="00B0638F">
        <w:rPr>
          <w:rFonts w:eastAsia="Times New Roman"/>
          <w:i/>
          <w:iCs/>
        </w:rPr>
        <w:t xml:space="preserve">, </w:t>
      </w:r>
      <w:r w:rsidR="00B0638F">
        <w:rPr>
          <w:rFonts w:eastAsia="Times New Roman"/>
        </w:rPr>
        <w:t xml:space="preserve">in particular (a) risks and benefits of the use of a substance; (b) the purposes for which a substance is to be used and the extent of use of a substance; (c) the toxicity </w:t>
      </w:r>
      <w:r w:rsidR="00B0638F">
        <w:rPr>
          <w:rFonts w:eastAsia="Times New Roman"/>
        </w:rPr>
        <w:lastRenderedPageBreak/>
        <w:t>of a substance; (e) the potential for abuse of a substance; and (f) any other matters that the Secretary considers necessary to protect public health</w:t>
      </w:r>
      <w:r>
        <w:rPr>
          <w:rFonts w:eastAsia="Times New Roman"/>
        </w:rPr>
        <w:t>.</w:t>
      </w:r>
    </w:p>
    <w:p w14:paraId="546A158A" w14:textId="4E5E956F" w:rsidR="00B0638F" w:rsidRDefault="00E1070A" w:rsidP="00B0638F">
      <w:pPr>
        <w:numPr>
          <w:ilvl w:val="0"/>
          <w:numId w:val="22"/>
        </w:numPr>
        <w:spacing w:before="120" w:after="180" w:line="240" w:lineRule="atLeast"/>
        <w:rPr>
          <w:rFonts w:eastAsia="Times New Roman"/>
        </w:rPr>
      </w:pPr>
      <w:r>
        <w:rPr>
          <w:rFonts w:eastAsia="Times New Roman"/>
        </w:rPr>
        <w:t>t</w:t>
      </w:r>
      <w:r w:rsidR="00B0638F">
        <w:rPr>
          <w:rFonts w:eastAsia="Times New Roman"/>
        </w:rPr>
        <w:t>he SPF</w:t>
      </w:r>
      <w:r w:rsidR="000D3B93">
        <w:rPr>
          <w:rFonts w:eastAsia="Times New Roman"/>
        </w:rPr>
        <w:t>,</w:t>
      </w:r>
      <w:r w:rsidR="00B0638F">
        <w:rPr>
          <w:rFonts w:eastAsia="Times New Roman"/>
        </w:rPr>
        <w:t xml:space="preserve"> and</w:t>
      </w:r>
    </w:p>
    <w:p w14:paraId="04C92B00" w14:textId="529246FF" w:rsidR="00B0638F" w:rsidRDefault="00E1070A" w:rsidP="00B0638F">
      <w:pPr>
        <w:numPr>
          <w:ilvl w:val="0"/>
          <w:numId w:val="22"/>
        </w:numPr>
        <w:spacing w:before="120" w:after="180" w:line="240" w:lineRule="atLeast"/>
        <w:rPr>
          <w:rFonts w:eastAsia="Times New Roman"/>
        </w:rPr>
      </w:pPr>
      <w:r>
        <w:rPr>
          <w:rFonts w:eastAsia="Times New Roman"/>
        </w:rPr>
        <w:t>t</w:t>
      </w:r>
      <w:r w:rsidR="00B0638F">
        <w:rPr>
          <w:rFonts w:eastAsia="Times New Roman"/>
        </w:rPr>
        <w:t>he Handbook.</w:t>
      </w:r>
    </w:p>
    <w:p w14:paraId="348346A3" w14:textId="77777777" w:rsidR="00B0638F" w:rsidRDefault="00B0638F" w:rsidP="00B0638F">
      <w:pPr>
        <w:pStyle w:val="Heading4"/>
      </w:pPr>
      <w:bookmarkStart w:id="26" w:name="_Toc147325284"/>
      <w:r>
        <w:t>Summary of Committee advice to the Delegate</w:t>
      </w:r>
      <w:bookmarkEnd w:id="26"/>
    </w:p>
    <w:p w14:paraId="2B39B86D" w14:textId="77777777" w:rsidR="00B0638F" w:rsidRDefault="00B0638F" w:rsidP="00B0638F">
      <w:r>
        <w:t xml:space="preserve">The Committee recommended that </w:t>
      </w:r>
      <w:r w:rsidRPr="00EC6C0F">
        <w:t>ibotenic acid be entered in Schedule 9 of the Poisons Standard as follows:</w:t>
      </w:r>
      <w:r>
        <w:t xml:space="preserve"> </w:t>
      </w:r>
    </w:p>
    <w:p w14:paraId="606505F0" w14:textId="77777777" w:rsidR="00B0638F" w:rsidRPr="008F3AA5" w:rsidRDefault="00B0638F" w:rsidP="00B0638F">
      <w:pPr>
        <w:spacing w:before="120" w:after="180" w:line="240" w:lineRule="atLeast"/>
        <w:ind w:left="426"/>
        <w:rPr>
          <w:b/>
          <w:bCs/>
          <w:color w:val="000000" w:themeColor="text1"/>
        </w:rPr>
      </w:pPr>
      <w:r w:rsidRPr="008F3AA5">
        <w:rPr>
          <w:b/>
          <w:bCs/>
          <w:color w:val="000000" w:themeColor="text1"/>
        </w:rPr>
        <w:t>Schedule 9 – New entry</w:t>
      </w:r>
    </w:p>
    <w:p w14:paraId="1EA1A7F3" w14:textId="77777777" w:rsidR="00B0638F" w:rsidRDefault="00B0638F" w:rsidP="00B0638F">
      <w:pPr>
        <w:shd w:val="clear" w:color="auto" w:fill="FFFFFF"/>
        <w:ind w:left="709"/>
        <w:rPr>
          <w:color w:val="00B050"/>
          <w:u w:val="single"/>
          <w:lang w:eastAsia="en-AU"/>
        </w:rPr>
      </w:pPr>
      <w:r>
        <w:rPr>
          <w:color w:val="00B050"/>
          <w:u w:val="single"/>
          <w:lang w:eastAsia="en-AU"/>
        </w:rPr>
        <w:t>IBOTENIC ACID</w:t>
      </w:r>
    </w:p>
    <w:p w14:paraId="3AB4CE00" w14:textId="77777777" w:rsidR="00B0638F" w:rsidRPr="008F3AA5" w:rsidRDefault="00B0638F" w:rsidP="00B0638F">
      <w:pPr>
        <w:spacing w:before="120" w:after="180" w:line="240" w:lineRule="atLeast"/>
        <w:ind w:left="426"/>
        <w:rPr>
          <w:b/>
          <w:bCs/>
          <w:color w:val="000000" w:themeColor="text1"/>
        </w:rPr>
      </w:pPr>
      <w:r w:rsidRPr="008F3AA5">
        <w:rPr>
          <w:b/>
          <w:bCs/>
          <w:color w:val="000000" w:themeColor="text1"/>
        </w:rPr>
        <w:t>Index – New Entry</w:t>
      </w:r>
    </w:p>
    <w:p w14:paraId="454F9CBB" w14:textId="198C5D4D" w:rsidR="00B0638F" w:rsidRDefault="008659ED" w:rsidP="00B0638F">
      <w:pPr>
        <w:spacing w:before="120" w:after="180" w:line="240" w:lineRule="atLeast"/>
        <w:ind w:left="709"/>
        <w:rPr>
          <w:strike/>
          <w:color w:val="00B050"/>
          <w:u w:val="single"/>
        </w:rPr>
      </w:pPr>
      <w:r w:rsidRPr="00472D41">
        <w:rPr>
          <w:b/>
          <w:bCs/>
          <w:color w:val="00B050"/>
          <w:u w:val="single"/>
        </w:rPr>
        <w:t>I</w:t>
      </w:r>
      <w:r w:rsidR="00B0638F" w:rsidRPr="00472D41">
        <w:rPr>
          <w:b/>
          <w:bCs/>
          <w:color w:val="00B050"/>
          <w:u w:val="single"/>
        </w:rPr>
        <w:t>BOTENIC ACID</w:t>
      </w:r>
      <w:r>
        <w:rPr>
          <w:color w:val="00B050"/>
          <w:u w:val="single"/>
        </w:rPr>
        <w:br/>
      </w:r>
      <w:r w:rsidRPr="00A537E7">
        <w:rPr>
          <w:color w:val="00B050"/>
          <w:u w:val="single"/>
        </w:rPr>
        <w:t>Schedule 9</w:t>
      </w:r>
    </w:p>
    <w:p w14:paraId="1A3C9DC2" w14:textId="6C53E892" w:rsidR="00B0638F" w:rsidRDefault="00B0638F" w:rsidP="00B0638F">
      <w:r>
        <w:t xml:space="preserve">The Committee also recommended an implementation date of </w:t>
      </w:r>
      <w:sdt>
        <w:sdtPr>
          <w:rPr>
            <w:b/>
            <w:bCs/>
          </w:rPr>
          <w:id w:val="2040161405"/>
        </w:sdtPr>
        <w:sdtEndPr/>
        <w:sdtContent>
          <w:r>
            <w:rPr>
              <w:b/>
              <w:bCs/>
            </w:rPr>
            <w:t>1 February 2024</w:t>
          </w:r>
        </w:sdtContent>
      </w:sdt>
      <w:r>
        <w:t>.</w:t>
      </w:r>
    </w:p>
    <w:p w14:paraId="2B4CBF18" w14:textId="11222F7A" w:rsidR="00B0638F" w:rsidRDefault="000D3B93" w:rsidP="00B0638F">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3A4BD722" w14:textId="77777777" w:rsidR="00B0638F" w:rsidRDefault="00B0638F" w:rsidP="00B0638F">
      <w:pPr>
        <w:numPr>
          <w:ilvl w:val="0"/>
          <w:numId w:val="23"/>
        </w:numPr>
        <w:spacing w:after="0" w:line="360" w:lineRule="auto"/>
        <w:rPr>
          <w:rFonts w:eastAsia="Times New Roman"/>
          <w:i/>
          <w:iCs/>
        </w:rPr>
      </w:pPr>
      <w:r>
        <w:rPr>
          <w:rFonts w:eastAsia="Times New Roman"/>
          <w:i/>
          <w:iCs/>
        </w:rPr>
        <w:t>the risks and benefits of the use of a substance</w:t>
      </w:r>
    </w:p>
    <w:p w14:paraId="0A88FDE9" w14:textId="77777777" w:rsidR="00B0638F" w:rsidRDefault="00B0638F" w:rsidP="00A537E7">
      <w:pPr>
        <w:spacing w:before="240"/>
        <w:ind w:left="851"/>
        <w:contextualSpacing/>
      </w:pPr>
      <w:r>
        <w:t>Risks:</w:t>
      </w:r>
    </w:p>
    <w:p w14:paraId="369FB3A7" w14:textId="0819E8DF" w:rsidR="00B0638F" w:rsidRDefault="00B33540" w:rsidP="00B0638F">
      <w:pPr>
        <w:numPr>
          <w:ilvl w:val="1"/>
          <w:numId w:val="22"/>
        </w:numPr>
        <w:spacing w:before="120" w:after="180" w:line="240" w:lineRule="atLeast"/>
        <w:ind w:left="1276"/>
      </w:pPr>
      <w:r>
        <w:t xml:space="preserve">Ibotenic acid </w:t>
      </w:r>
      <w:r w:rsidR="000D3B93">
        <w:t>is a p</w:t>
      </w:r>
      <w:r w:rsidR="00B0638F">
        <w:t>sychedelic neurotoxin.</w:t>
      </w:r>
    </w:p>
    <w:p w14:paraId="27BBDC32" w14:textId="677E567C" w:rsidR="00B0638F" w:rsidRDefault="00B0638F" w:rsidP="00B0638F">
      <w:pPr>
        <w:numPr>
          <w:ilvl w:val="1"/>
          <w:numId w:val="22"/>
        </w:numPr>
        <w:spacing w:before="120" w:after="180" w:line="240" w:lineRule="atLeast"/>
        <w:ind w:left="1276"/>
      </w:pPr>
      <w:r>
        <w:t xml:space="preserve">Ingestion </w:t>
      </w:r>
      <w:r w:rsidR="00B33540">
        <w:t xml:space="preserve">of ibotenic acid </w:t>
      </w:r>
      <w:r>
        <w:t xml:space="preserve">can cause multiple adverse effects including altered sensory perception, loss of balance, muscular twitching (often mistaken for convulsions), visual distortions or hallucinations, euphoria, disorientation, agitation, occasional seizures, motor depression, ataxia, </w:t>
      </w:r>
      <w:r w:rsidR="000D3B93">
        <w:t xml:space="preserve">and </w:t>
      </w:r>
      <w:r>
        <w:t>changes in mood, perception, and feelings.</w:t>
      </w:r>
    </w:p>
    <w:p w14:paraId="6CFB2B6D" w14:textId="19FB54A7" w:rsidR="00B0638F" w:rsidRDefault="00B33540" w:rsidP="00B0638F">
      <w:pPr>
        <w:numPr>
          <w:ilvl w:val="1"/>
          <w:numId w:val="22"/>
        </w:numPr>
        <w:spacing w:before="120" w:after="180" w:line="240" w:lineRule="atLeast"/>
        <w:ind w:left="1276"/>
      </w:pPr>
      <w:r>
        <w:t>The l</w:t>
      </w:r>
      <w:r w:rsidR="00B0638F">
        <w:t xml:space="preserve">ong-term effects </w:t>
      </w:r>
      <w:r>
        <w:t xml:space="preserve">of use of ibotenic acid </w:t>
      </w:r>
      <w:r w:rsidR="00B0638F">
        <w:t>are poorly understood</w:t>
      </w:r>
      <w:r>
        <w:t>.</w:t>
      </w:r>
    </w:p>
    <w:p w14:paraId="7ABDD673" w14:textId="77777777" w:rsidR="00B0638F" w:rsidRDefault="00B0638F" w:rsidP="00A537E7">
      <w:pPr>
        <w:spacing w:before="240"/>
        <w:ind w:left="851"/>
        <w:contextualSpacing/>
      </w:pPr>
      <w:r>
        <w:t>Benefits:</w:t>
      </w:r>
    </w:p>
    <w:p w14:paraId="234854EE" w14:textId="74C8B9C5" w:rsidR="00B0638F" w:rsidRDefault="00B33540" w:rsidP="00B0638F">
      <w:pPr>
        <w:numPr>
          <w:ilvl w:val="1"/>
          <w:numId w:val="22"/>
        </w:numPr>
        <w:spacing w:before="120" w:after="180" w:line="240" w:lineRule="atLeast"/>
        <w:ind w:left="1276"/>
      </w:pPr>
      <w:r>
        <w:t>There are no benefits; ibotenic acid has no established therapeutic use.</w:t>
      </w:r>
    </w:p>
    <w:p w14:paraId="28EEFD23" w14:textId="77777777" w:rsidR="00B0638F" w:rsidRDefault="00B0638F" w:rsidP="00B0638F">
      <w:pPr>
        <w:numPr>
          <w:ilvl w:val="0"/>
          <w:numId w:val="23"/>
        </w:numPr>
        <w:spacing w:after="0" w:line="240" w:lineRule="atLeast"/>
        <w:ind w:left="426" w:firstLine="0"/>
        <w:contextualSpacing/>
        <w:rPr>
          <w:i/>
          <w:iCs/>
        </w:rPr>
      </w:pPr>
      <w:r>
        <w:rPr>
          <w:i/>
          <w:iCs/>
        </w:rPr>
        <w:t>the purposes for which a substance is to be used and the extent of use of a substance</w:t>
      </w:r>
    </w:p>
    <w:p w14:paraId="761A489E" w14:textId="0599E3CA" w:rsidR="00B0638F" w:rsidRDefault="000D3B93" w:rsidP="00B0638F">
      <w:pPr>
        <w:numPr>
          <w:ilvl w:val="1"/>
          <w:numId w:val="22"/>
        </w:numPr>
        <w:spacing w:before="120" w:after="180" w:line="240" w:lineRule="atLeast"/>
        <w:ind w:left="1276"/>
      </w:pPr>
      <w:r>
        <w:t>There are n</w:t>
      </w:r>
      <w:r w:rsidR="00B0638F">
        <w:t xml:space="preserve">o registered medicinal, cosmetic, or therapeutic uses </w:t>
      </w:r>
      <w:r w:rsidR="00B33540">
        <w:t xml:space="preserve">for ibotenic acid </w:t>
      </w:r>
      <w:r w:rsidR="00B0638F">
        <w:t>in Australia or most international databases.</w:t>
      </w:r>
    </w:p>
    <w:p w14:paraId="6960DEE4" w14:textId="4E08CB9C" w:rsidR="00B0638F" w:rsidRDefault="00B33540" w:rsidP="00B0638F">
      <w:pPr>
        <w:numPr>
          <w:ilvl w:val="1"/>
          <w:numId w:val="22"/>
        </w:numPr>
        <w:spacing w:before="120" w:after="180" w:line="240" w:lineRule="atLeast"/>
        <w:ind w:left="1276"/>
      </w:pPr>
      <w:r>
        <w:t>Ibotenic acid is u</w:t>
      </w:r>
      <w:r w:rsidR="00B0638F">
        <w:t>sed in animal research as a brain lesioning agent (neurotoxic effects) to understand and model Alzheimer’s disease and neurodegeneration.</w:t>
      </w:r>
    </w:p>
    <w:p w14:paraId="4453B6A8" w14:textId="1A30AB30" w:rsidR="00B0638F" w:rsidRDefault="00B33540" w:rsidP="00B0638F">
      <w:pPr>
        <w:numPr>
          <w:ilvl w:val="1"/>
          <w:numId w:val="22"/>
        </w:numPr>
        <w:spacing w:before="120" w:after="180" w:line="240" w:lineRule="atLeast"/>
        <w:ind w:left="1276"/>
      </w:pPr>
      <w:r>
        <w:t>There is a h</w:t>
      </w:r>
      <w:r w:rsidR="00B0638F">
        <w:t xml:space="preserve">istory of use </w:t>
      </w:r>
      <w:r w:rsidR="000D3B93">
        <w:t xml:space="preserve">of </w:t>
      </w:r>
      <w:r w:rsidR="00B0638F">
        <w:t>crude mushroom extracts containing the substance in some cultures.</w:t>
      </w:r>
    </w:p>
    <w:p w14:paraId="5A931F19" w14:textId="77777777" w:rsidR="00B0638F" w:rsidRDefault="00B0638F" w:rsidP="00B0638F">
      <w:pPr>
        <w:numPr>
          <w:ilvl w:val="0"/>
          <w:numId w:val="23"/>
        </w:numPr>
        <w:spacing w:after="0" w:line="240" w:lineRule="atLeast"/>
        <w:ind w:left="426" w:firstLine="0"/>
        <w:contextualSpacing/>
        <w:rPr>
          <w:i/>
          <w:iCs/>
        </w:rPr>
      </w:pPr>
      <w:r>
        <w:rPr>
          <w:i/>
          <w:iCs/>
        </w:rPr>
        <w:t>the toxicity of a substance</w:t>
      </w:r>
    </w:p>
    <w:sdt>
      <w:sdtPr>
        <w:id w:val="-1977673636"/>
      </w:sdtPr>
      <w:sdtEndPr/>
      <w:sdtContent>
        <w:p w14:paraId="47C84962" w14:textId="48E542DD" w:rsidR="00B0638F" w:rsidRDefault="006F6BF3" w:rsidP="00B0638F">
          <w:pPr>
            <w:numPr>
              <w:ilvl w:val="1"/>
              <w:numId w:val="22"/>
            </w:numPr>
            <w:spacing w:before="120" w:after="180" w:line="240" w:lineRule="atLeast"/>
            <w:ind w:left="1276"/>
          </w:pPr>
          <w:r>
            <w:t>I</w:t>
          </w:r>
          <w:r w:rsidR="00B33540">
            <w:t xml:space="preserve">botenic acid </w:t>
          </w:r>
          <w:r w:rsidR="000D3B93">
            <w:t>is h</w:t>
          </w:r>
          <w:r w:rsidR="00B0638F">
            <w:t>ighly neurotoxic</w:t>
          </w:r>
          <w:r w:rsidR="00E1070A">
            <w:t>.</w:t>
          </w:r>
        </w:p>
        <w:p w14:paraId="69B40C57" w14:textId="77777777" w:rsidR="00B0638F" w:rsidRDefault="00B0638F" w:rsidP="00B0638F">
          <w:pPr>
            <w:numPr>
              <w:ilvl w:val="1"/>
              <w:numId w:val="22"/>
            </w:numPr>
            <w:spacing w:before="120" w:after="180" w:line="240" w:lineRule="atLeast"/>
            <w:ind w:left="1276"/>
          </w:pPr>
          <w:r>
            <w:t>Acute oral toxicity in rat (LD50) is 129 mg/kg, in mouse 38 mg/kg.</w:t>
          </w:r>
        </w:p>
        <w:p w14:paraId="3B4A5A58" w14:textId="2E4BB72C" w:rsidR="00B0638F" w:rsidRDefault="00B0638F" w:rsidP="00B0638F">
          <w:pPr>
            <w:numPr>
              <w:ilvl w:val="1"/>
              <w:numId w:val="22"/>
            </w:numPr>
            <w:spacing w:before="120" w:after="180" w:line="240" w:lineRule="atLeast"/>
            <w:ind w:left="1276"/>
          </w:pPr>
          <w:r>
            <w:t>GHS hazard classification: category 3 – Acute oral toxicity; H301 Toxic if swallowed</w:t>
          </w:r>
          <w:r w:rsidR="00E1070A">
            <w:t>.</w:t>
          </w:r>
        </w:p>
        <w:p w14:paraId="2E78BBA9" w14:textId="2B5671BC" w:rsidR="00B0638F" w:rsidRDefault="00B0638F" w:rsidP="00B0638F">
          <w:pPr>
            <w:numPr>
              <w:ilvl w:val="1"/>
              <w:numId w:val="22"/>
            </w:numPr>
            <w:spacing w:before="120" w:after="180" w:line="240" w:lineRule="atLeast"/>
            <w:ind w:left="1276"/>
          </w:pPr>
          <w:r>
            <w:t>European Chemicals Agency (ECHA) – classified as Level 3 Acute toxicity substance</w:t>
          </w:r>
          <w:r w:rsidR="00FD62DC">
            <w:t>.</w:t>
          </w:r>
        </w:p>
      </w:sdtContent>
    </w:sdt>
    <w:p w14:paraId="68C40621" w14:textId="20CCCAAA" w:rsidR="00B0638F" w:rsidRDefault="00B0638F" w:rsidP="00B0638F">
      <w:pPr>
        <w:keepNext/>
        <w:numPr>
          <w:ilvl w:val="0"/>
          <w:numId w:val="23"/>
        </w:numPr>
        <w:spacing w:after="0" w:line="240" w:lineRule="atLeast"/>
        <w:ind w:left="425" w:firstLine="0"/>
        <w:contextualSpacing/>
        <w:rPr>
          <w:i/>
          <w:iCs/>
        </w:rPr>
      </w:pPr>
      <w:r>
        <w:rPr>
          <w:i/>
          <w:iCs/>
        </w:rPr>
        <w:lastRenderedPageBreak/>
        <w:t>the dosage, formulation, labelling, packaging, and presentation of a substance</w:t>
      </w:r>
    </w:p>
    <w:p w14:paraId="0A46FE3E" w14:textId="4FF19DB6" w:rsidR="00B0638F" w:rsidRDefault="00A9115F" w:rsidP="00B0638F">
      <w:pPr>
        <w:numPr>
          <w:ilvl w:val="1"/>
          <w:numId w:val="22"/>
        </w:numPr>
        <w:spacing w:before="120" w:after="180" w:line="240" w:lineRule="atLeast"/>
        <w:ind w:left="1276"/>
      </w:pPr>
      <w:sdt>
        <w:sdtPr>
          <w:id w:val="-550994389"/>
        </w:sdtPr>
        <w:sdtEndPr>
          <w:rPr>
            <w:i/>
            <w:iCs/>
          </w:rPr>
        </w:sdtEndPr>
        <w:sdtContent>
          <w:sdt>
            <w:sdtPr>
              <w:rPr>
                <w:i/>
                <w:iCs/>
              </w:rPr>
              <w:id w:val="-1743790479"/>
            </w:sdtPr>
            <w:sdtEndPr/>
            <w:sdtContent>
              <w:r w:rsidR="00B0638F" w:rsidRPr="00BF3545">
                <w:t>Nil</w:t>
              </w:r>
            </w:sdtContent>
          </w:sdt>
        </w:sdtContent>
      </w:sdt>
    </w:p>
    <w:p w14:paraId="60943CF4" w14:textId="77777777" w:rsidR="00B0638F" w:rsidRDefault="00B0638F" w:rsidP="00B0638F">
      <w:pPr>
        <w:numPr>
          <w:ilvl w:val="0"/>
          <w:numId w:val="23"/>
        </w:numPr>
        <w:spacing w:after="0" w:line="240" w:lineRule="atLeast"/>
        <w:ind w:left="426" w:firstLine="0"/>
        <w:contextualSpacing/>
        <w:rPr>
          <w:i/>
          <w:iCs/>
        </w:rPr>
      </w:pPr>
      <w:r>
        <w:rPr>
          <w:i/>
          <w:iCs/>
        </w:rPr>
        <w:t>the potential for abuse of a substance</w:t>
      </w:r>
    </w:p>
    <w:p w14:paraId="5E970F26" w14:textId="4DD7BEB3" w:rsidR="00B0638F" w:rsidRDefault="00A9115F" w:rsidP="00B0638F">
      <w:pPr>
        <w:numPr>
          <w:ilvl w:val="1"/>
          <w:numId w:val="22"/>
        </w:numPr>
        <w:spacing w:before="120" w:after="180" w:line="240" w:lineRule="atLeast"/>
        <w:ind w:left="1276"/>
      </w:pPr>
      <w:sdt>
        <w:sdtPr>
          <w:id w:val="200148498"/>
        </w:sdtPr>
        <w:sdtEndPr/>
        <w:sdtContent>
          <w:r w:rsidR="00B33540">
            <w:t xml:space="preserve">There is a </w:t>
          </w:r>
          <w:r w:rsidR="00B0638F">
            <w:t xml:space="preserve">high risk for abuse, misuse, or illicit use </w:t>
          </w:r>
          <w:r w:rsidR="00B33540">
            <w:t xml:space="preserve">of ibotenic acid </w:t>
          </w:r>
          <w:r w:rsidR="00B0638F">
            <w:t xml:space="preserve">similar to muscimol which is currently </w:t>
          </w:r>
          <w:r w:rsidR="00B33540">
            <w:t xml:space="preserve">listed in </w:t>
          </w:r>
          <w:r w:rsidR="00B0638F">
            <w:t>Schedule 9</w:t>
          </w:r>
          <w:r w:rsidR="00B33540">
            <w:t>.</w:t>
          </w:r>
        </w:sdtContent>
      </w:sdt>
    </w:p>
    <w:p w14:paraId="642D1C8A" w14:textId="77777777" w:rsidR="00B0638F" w:rsidRDefault="00B0638F" w:rsidP="00B0638F">
      <w:pPr>
        <w:numPr>
          <w:ilvl w:val="0"/>
          <w:numId w:val="23"/>
        </w:numPr>
        <w:spacing w:line="240" w:lineRule="atLeast"/>
        <w:ind w:left="426" w:firstLine="0"/>
        <w:rPr>
          <w:i/>
          <w:iCs/>
        </w:rPr>
      </w:pPr>
      <w:r>
        <w:rPr>
          <w:i/>
          <w:iCs/>
        </w:rPr>
        <w:t>any other matters that the Secretary considers necessary to protect public health</w:t>
      </w:r>
    </w:p>
    <w:p w14:paraId="4B0257CD" w14:textId="538BBBE4" w:rsidR="00B0638F" w:rsidRDefault="00A9115F" w:rsidP="00B0638F">
      <w:pPr>
        <w:numPr>
          <w:ilvl w:val="1"/>
          <w:numId w:val="22"/>
        </w:numPr>
        <w:spacing w:before="120" w:after="180" w:line="240" w:lineRule="atLeast"/>
        <w:ind w:left="1276"/>
      </w:pPr>
      <w:sdt>
        <w:sdtPr>
          <w:id w:val="-485098266"/>
        </w:sdtPr>
        <w:sdtEndPr/>
        <w:sdtContent>
          <w:r w:rsidR="000D3B93">
            <w:t>Ibotenic acid is metabolised to muscimol which is a Schedule 9 poison.</w:t>
          </w:r>
        </w:sdtContent>
      </w:sdt>
    </w:p>
    <w:p w14:paraId="33EF1DBA" w14:textId="21E7345E" w:rsidR="00B0638F" w:rsidRDefault="00B33540" w:rsidP="00B0638F">
      <w:pPr>
        <w:numPr>
          <w:ilvl w:val="1"/>
          <w:numId w:val="22"/>
        </w:numPr>
        <w:spacing w:before="120" w:after="180" w:line="240" w:lineRule="atLeast"/>
        <w:ind w:left="1276"/>
      </w:pPr>
      <w:r>
        <w:t>While ibotenic acid is l</w:t>
      </w:r>
      <w:r w:rsidR="00B0638F">
        <w:t>isted as available for use as an excipient in medical devices</w:t>
      </w:r>
      <w:r>
        <w:t xml:space="preserve"> on </w:t>
      </w:r>
      <w:r w:rsidR="00567FF0">
        <w:t>the TGA Ingredients Database</w:t>
      </w:r>
      <w:r>
        <w:t>, c</w:t>
      </w:r>
      <w:r w:rsidR="00B0638F">
        <w:t xml:space="preserve">urrently </w:t>
      </w:r>
      <w:r>
        <w:t xml:space="preserve">there are </w:t>
      </w:r>
      <w:r w:rsidR="00B0638F">
        <w:t>no registered devices containing ibotenic acid.</w:t>
      </w:r>
    </w:p>
    <w:p w14:paraId="775442A2" w14:textId="77777777" w:rsidR="00B0638F" w:rsidRDefault="00B0638F" w:rsidP="00080730">
      <w:pPr>
        <w:pStyle w:val="Heading4"/>
      </w:pPr>
      <w:bookmarkStart w:id="27" w:name="_Toc147325285"/>
      <w:r>
        <w:t>Reasons for the interim decision (including findings on material questions of fact)</w:t>
      </w:r>
      <w:bookmarkEnd w:id="27"/>
    </w:p>
    <w:p w14:paraId="768D276D" w14:textId="6C2F1794" w:rsidR="00B0638F" w:rsidRPr="00B0638F" w:rsidRDefault="00B0638F" w:rsidP="00B0638F">
      <w:pPr>
        <w:keepNext/>
        <w:keepLines/>
      </w:pPr>
      <w:r w:rsidRPr="005C0C0B">
        <w:rPr>
          <w:rFonts w:ascii="Calibri" w:hAnsi="Calibri" w:cs="Calibri"/>
        </w:rPr>
        <w:t xml:space="preserve">I have made an interim decision to amend the current Poisons Standard in relation to </w:t>
      </w:r>
      <w:r>
        <w:rPr>
          <w:rFonts w:ascii="Calibri" w:hAnsi="Calibri" w:cs="Calibri"/>
        </w:rPr>
        <w:t>ibotenic acid</w:t>
      </w:r>
      <w:r w:rsidRPr="005C0C0B">
        <w:rPr>
          <w:rFonts w:ascii="Calibri" w:hAnsi="Calibri" w:cs="Calibri"/>
        </w:rPr>
        <w:t xml:space="preserve"> and create a new </w:t>
      </w:r>
      <w:r>
        <w:rPr>
          <w:rFonts w:ascii="Calibri" w:hAnsi="Calibri" w:cs="Calibri"/>
        </w:rPr>
        <w:t xml:space="preserve">entry in </w:t>
      </w:r>
      <w:r w:rsidRPr="005C0C0B">
        <w:rPr>
          <w:rFonts w:ascii="Calibri" w:hAnsi="Calibri" w:cs="Calibri"/>
        </w:rPr>
        <w:t xml:space="preserve">Schedule </w:t>
      </w:r>
      <w:r>
        <w:rPr>
          <w:rFonts w:ascii="Calibri" w:hAnsi="Calibri" w:cs="Calibri"/>
        </w:rPr>
        <w:t>9</w:t>
      </w:r>
      <w:r w:rsidRPr="005C0C0B">
        <w:rPr>
          <w:rFonts w:ascii="Calibri" w:hAnsi="Calibri" w:cs="Calibri"/>
        </w:rPr>
        <w:t xml:space="preserve">. </w:t>
      </w:r>
      <w:r>
        <w:t xml:space="preserve">While I agree with the applicant that the substance should be scheduled, my interim decision is not to create the Schedule 4 and Schedule 7 entries as proposed. </w:t>
      </w:r>
      <w:r w:rsidRPr="005C0C0B">
        <w:rPr>
          <w:rFonts w:ascii="Calibri" w:hAnsi="Calibri" w:cs="Calibri"/>
        </w:rPr>
        <w:t>The detailed reasons for my decision follow.</w:t>
      </w:r>
    </w:p>
    <w:p w14:paraId="202E7410" w14:textId="6D2A563E" w:rsidR="00B0638F" w:rsidRDefault="00B0638F" w:rsidP="00B0638F">
      <w:r>
        <w:t>The key rationale for this decision is that ibotenic acid is a pro-drug for muscimo</w:t>
      </w:r>
      <w:r w:rsidR="006C3AA9">
        <w:t xml:space="preserve">l, which is also a psychedelic neurotoxin. </w:t>
      </w:r>
      <w:r w:rsidR="00E1070A" w:rsidRPr="00E1070A">
        <w:t xml:space="preserve">Ibotenic acid and muscimol are isoxazole derivatives that resemble the neurotransmitters glutamate and </w:t>
      </w:r>
      <w:r w:rsidR="00E1070A" w:rsidRPr="00FE26B0">
        <w:t xml:space="preserve">gamma-aminobutyric acid </w:t>
      </w:r>
      <w:r w:rsidR="00E1070A">
        <w:t>(</w:t>
      </w:r>
      <w:r w:rsidR="00E1070A" w:rsidRPr="00E1070A">
        <w:t>GABA</w:t>
      </w:r>
      <w:r w:rsidR="00E1070A">
        <w:t>)</w:t>
      </w:r>
      <w:r w:rsidR="00E1070A" w:rsidRPr="00E1070A">
        <w:t>, respectively</w:t>
      </w:r>
      <w:r w:rsidR="00E1070A">
        <w:t xml:space="preserve">. </w:t>
      </w:r>
      <w:r>
        <w:t>Following ingestion, approximately 10-20% of ibotenic acid is metabolised into muscimol</w:t>
      </w:r>
      <w:r w:rsidR="006C3AA9">
        <w:t>.</w:t>
      </w:r>
      <w:r>
        <w:t xml:space="preserve"> Muscimol is currently included in the Poisons Standard in Schedule 9</w:t>
      </w:r>
      <w:r w:rsidR="000D3B93">
        <w:t>.</w:t>
      </w:r>
      <w:r>
        <w:t xml:space="preserve"> As both substances are constituents of the </w:t>
      </w:r>
      <w:r w:rsidR="00472D41" w:rsidRPr="000B7696">
        <w:rPr>
          <w:i/>
          <w:iCs/>
        </w:rPr>
        <w:t>Amanita</w:t>
      </w:r>
      <w:r w:rsidR="00472D41">
        <w:rPr>
          <w:i/>
          <w:iCs/>
        </w:rPr>
        <w:t xml:space="preserve"> </w:t>
      </w:r>
      <w:r w:rsidR="008F3CC0">
        <w:rPr>
          <w:i/>
          <w:iCs/>
        </w:rPr>
        <w:t>m</w:t>
      </w:r>
      <w:r w:rsidR="008F3CC0" w:rsidRPr="000B7696">
        <w:rPr>
          <w:i/>
          <w:iCs/>
        </w:rPr>
        <w:t xml:space="preserve">uscaria </w:t>
      </w:r>
      <w:r w:rsidRPr="000B7696">
        <w:rPr>
          <w:i/>
          <w:iCs/>
        </w:rPr>
        <w:t>spp</w:t>
      </w:r>
      <w:r w:rsidR="00547405">
        <w:rPr>
          <w:i/>
          <w:iCs/>
        </w:rPr>
        <w:t>.</w:t>
      </w:r>
      <w:r>
        <w:t xml:space="preserve"> and produce </w:t>
      </w:r>
      <w:r w:rsidR="00FD62DC">
        <w:t xml:space="preserve">similar </w:t>
      </w:r>
      <w:r w:rsidR="00B33540">
        <w:t xml:space="preserve">adverse </w:t>
      </w:r>
      <w:r>
        <w:t xml:space="preserve">effects, I consider that they require the same scheduling restrictions to access and should also be cross referenced in the index of the Poisons Standard. I am </w:t>
      </w:r>
      <w:r w:rsidR="000D3B93">
        <w:t xml:space="preserve">also </w:t>
      </w:r>
      <w:r>
        <w:t xml:space="preserve">of the opinion that the considerations of </w:t>
      </w:r>
      <w:r w:rsidR="000D3B93">
        <w:t>s </w:t>
      </w:r>
      <w:r>
        <w:t>52</w:t>
      </w:r>
      <w:proofErr w:type="gramStart"/>
      <w:r>
        <w:t>E(</w:t>
      </w:r>
      <w:proofErr w:type="gramEnd"/>
      <w:r>
        <w:t>1) of the Act, and the SPF factors, strongly align with the scheduling of this substance in Schedule 9.</w:t>
      </w:r>
    </w:p>
    <w:p w14:paraId="4E460F06" w14:textId="02047298" w:rsidR="00B0638F" w:rsidRDefault="00B0638F" w:rsidP="00B0638F">
      <w:r>
        <w:rPr>
          <w:rFonts w:ascii="Calibri" w:hAnsi="Calibri" w:cs="Calibri"/>
          <w:bCs/>
        </w:rPr>
        <w:t>My decision is in alignment</w:t>
      </w:r>
      <w:r>
        <w:t xml:space="preserve"> with the Committee's findings on the relevant provisions of section 52E of the Act. It is also in agreement with the concerns of the applicant regarding the necessity for ibotenic acid to be scheduled to prevent accidental poisoning and to protect public health. At the forefront of my decision is the potential for abuse of the substance as set out in s</w:t>
      </w:r>
      <w:r w:rsidR="00BA4DC1">
        <w:t> </w:t>
      </w:r>
      <w:r>
        <w:t>52E(1)(e) and Schedule 9 factor 2 in the SPF. I agree with the Committee</w:t>
      </w:r>
      <w:r w:rsidR="000D3B93">
        <w:t>’s advice</w:t>
      </w:r>
      <w:r>
        <w:t xml:space="preserve"> that Schedule 9 is the most appropriate schedule for this substance due to the high propensity for abuse and misuse</w:t>
      </w:r>
      <w:r w:rsidR="00993257">
        <w:t>,</w:t>
      </w:r>
      <w:r>
        <w:t xml:space="preserve"> and risk of dependency of the substance. The </w:t>
      </w:r>
      <w:r w:rsidR="000D3B93">
        <w:t>tendency</w:t>
      </w:r>
      <w:r>
        <w:t xml:space="preserve"> for this substance to be misused stems from the hallucinogenic and euphoric effects following ingestion. In addition to these effects and with respect to s</w:t>
      </w:r>
      <w:r w:rsidR="00BA4DC1">
        <w:t> </w:t>
      </w:r>
      <w:r>
        <w:t>52E(1)(a), there are significant risks of adverse effects including, altered sensory perception, loss of balance, muscular twitching, visual distortions, seizures, motor depression</w:t>
      </w:r>
      <w:r w:rsidR="000D3B93">
        <w:t>,</w:t>
      </w:r>
      <w:r>
        <w:t xml:space="preserve"> and changes in mood, </w:t>
      </w:r>
      <w:proofErr w:type="gramStart"/>
      <w:r>
        <w:t>perceptions</w:t>
      </w:r>
      <w:proofErr w:type="gramEnd"/>
      <w:r>
        <w:t xml:space="preserve"> and feelings. These effects are consistent with the effects experienced following ingestion of muscimol.</w:t>
      </w:r>
    </w:p>
    <w:p w14:paraId="70BB3C88" w14:textId="6371D3E2" w:rsidR="00B0638F" w:rsidRDefault="00B0638F" w:rsidP="00B0638F">
      <w:r>
        <w:t>In regard to s</w:t>
      </w:r>
      <w:r w:rsidR="00BA4DC1">
        <w:t> </w:t>
      </w:r>
      <w:r>
        <w:t xml:space="preserve">52E(1)(c), I acknowledge the applicant’s reasoning regarding the toxicity profile of ibotenic acid meeting Schedule 6 factors, with the acute oral toxicity in rat being </w:t>
      </w:r>
      <w:r w:rsidR="000D3B93">
        <w:t>129 </w:t>
      </w:r>
      <w:r>
        <w:t xml:space="preserve">mg/kg. However, in using the cascading principle, the highly neurotoxic nature and high risk for abuse and misuse make any schedule </w:t>
      </w:r>
      <w:r w:rsidR="000D3B93">
        <w:t>other than</w:t>
      </w:r>
      <w:r>
        <w:t xml:space="preserve"> </w:t>
      </w:r>
      <w:r w:rsidR="00BA4DC1">
        <w:t>S</w:t>
      </w:r>
      <w:r>
        <w:t>chedule 9 inappropriate for ibotenic acid. In alignment with s</w:t>
      </w:r>
      <w:r w:rsidR="00BA4DC1">
        <w:t> </w:t>
      </w:r>
      <w:r>
        <w:t>52E(1)(b) and SPF factor 2 for Schedule 9, I note that despite the long history of use of ibotenic acid</w:t>
      </w:r>
      <w:r w:rsidR="00476422">
        <w:t xml:space="preserve"> via </w:t>
      </w:r>
      <w:r w:rsidR="005E346E" w:rsidRPr="00743336">
        <w:rPr>
          <w:i/>
          <w:iCs/>
        </w:rPr>
        <w:t>A</w:t>
      </w:r>
      <w:r w:rsidR="00C063D5" w:rsidRPr="00743336">
        <w:rPr>
          <w:i/>
          <w:iCs/>
        </w:rPr>
        <w:t>manita muscaria spp.</w:t>
      </w:r>
      <w:r w:rsidR="00C063D5">
        <w:t xml:space="preserve"> intake</w:t>
      </w:r>
      <w:r>
        <w:t xml:space="preserve"> in indigenous ceremonies as mentioned by the applicant, the available evidence in scientific literature pertaining to the therapeutic use of ibotenic acid is largely </w:t>
      </w:r>
      <w:r>
        <w:lastRenderedPageBreak/>
        <w:t xml:space="preserve">contradictory and inconclusive. I note that there have been two studies involving ibotenic acid listed on the </w:t>
      </w:r>
      <w:hyperlink r:id="rId35" w:history="1">
        <w:r w:rsidRPr="00AC69E3">
          <w:rPr>
            <w:rStyle w:val="Hyperlink"/>
            <w:rFonts w:asciiTheme="minorHAnsi" w:hAnsiTheme="minorHAnsi"/>
          </w:rPr>
          <w:t>Australian New Zealand Clinical Trial database</w:t>
        </w:r>
      </w:hyperlink>
      <w:r>
        <w:t>. The first study was withdrawn due to significant adverse events early on in the trial and the second study was withdrawn before it was due to commence. There are also no other uses relating to therapeutics</w:t>
      </w:r>
      <w:r w:rsidR="000D3B93">
        <w:t xml:space="preserve"> </w:t>
      </w:r>
      <w:r>
        <w:t xml:space="preserve">in Australia or in the international </w:t>
      </w:r>
      <w:r w:rsidR="0022442A">
        <w:t>pharmaceutical</w:t>
      </w:r>
      <w:r w:rsidR="00EE04DE">
        <w:t xml:space="preserve"> domain</w:t>
      </w:r>
      <w:r>
        <w:t xml:space="preserve">. As such, there is currently no established therapeutic value of ibotenic </w:t>
      </w:r>
      <w:proofErr w:type="gramStart"/>
      <w:r>
        <w:t>acid</w:t>
      </w:r>
      <w:proofErr w:type="gramEnd"/>
      <w:r>
        <w:t xml:space="preserve"> and it does not meet the scheduling factors in the SPF for Schedule 4 substances as proposed.</w:t>
      </w:r>
    </w:p>
    <w:p w14:paraId="5A0E2810" w14:textId="20DA7832" w:rsidR="00B0638F" w:rsidRDefault="00B0638F" w:rsidP="00B0638F">
      <w:r>
        <w:t>With respect to s</w:t>
      </w:r>
      <w:r w:rsidR="00BA4DC1">
        <w:t> </w:t>
      </w:r>
      <w:r>
        <w:t xml:space="preserve">52E(1)(f), I note that the Schedule 9 entry for ibotenic acid is in line with the </w:t>
      </w:r>
      <w:hyperlink r:id="rId36" w:history="1">
        <w:r w:rsidRPr="00AC69E3">
          <w:rPr>
            <w:rStyle w:val="Hyperlink"/>
            <w:rFonts w:asciiTheme="minorHAnsi" w:hAnsiTheme="minorHAnsi"/>
          </w:rPr>
          <w:t>Food Standards code</w:t>
        </w:r>
      </w:hyperlink>
      <w:r>
        <w:t xml:space="preserve"> under</w:t>
      </w:r>
      <w:r w:rsidR="000856A8">
        <w:t xml:space="preserve"> Schedule</w:t>
      </w:r>
      <w:r>
        <w:t xml:space="preserve"> 23 which sets out that </w:t>
      </w:r>
      <w:r>
        <w:rPr>
          <w:i/>
          <w:iCs/>
        </w:rPr>
        <w:t xml:space="preserve">Amanita muscaria spp. </w:t>
      </w:r>
      <w:r>
        <w:t>of mushrooms are prohibited for use</w:t>
      </w:r>
      <w:r w:rsidR="000D3B93">
        <w:t xml:space="preserve"> as a food</w:t>
      </w:r>
      <w:r>
        <w:t>.</w:t>
      </w:r>
      <w:r w:rsidR="006C3AA9">
        <w:t xml:space="preserve"> I also note the applicant’s reference to</w:t>
      </w:r>
      <w:r w:rsidR="001B39A3">
        <w:t xml:space="preserve"> the</w:t>
      </w:r>
      <w:r w:rsidR="006C3AA9">
        <w:t xml:space="preserve"> </w:t>
      </w:r>
      <w:hyperlink r:id="rId37" w:history="1">
        <w:r w:rsidR="00567FF0">
          <w:rPr>
            <w:rStyle w:val="Hyperlink"/>
            <w:rFonts w:asciiTheme="minorHAnsi" w:hAnsiTheme="minorHAnsi"/>
          </w:rPr>
          <w:t>TGA Ingredients Database</w:t>
        </w:r>
      </w:hyperlink>
      <w:r w:rsidR="006C3AA9">
        <w:t xml:space="preserve"> which stipulates that ibotenic acid is approved for use as an excipient in medical devices</w:t>
      </w:r>
      <w:r w:rsidR="00FE4145">
        <w:t>. H</w:t>
      </w:r>
      <w:r w:rsidR="006C3AA9">
        <w:t>owever</w:t>
      </w:r>
      <w:r w:rsidR="00FE4145">
        <w:t>,</w:t>
      </w:r>
      <w:r w:rsidR="006C3AA9">
        <w:t xml:space="preserve"> there are currently no registered products approved for use by the TGA which contain ibotenic acid.</w:t>
      </w:r>
      <w:r>
        <w:t xml:space="preserve"> I am aware that ibotenic acid is currently used in animal research to study Alzheimer’s disease</w:t>
      </w:r>
      <w:r w:rsidR="00FE4145">
        <w:t xml:space="preserve">. A </w:t>
      </w:r>
      <w:r>
        <w:t>Schedule 9 entry will not preclude ibotenic acid from being used in a research setting.</w:t>
      </w:r>
    </w:p>
    <w:p w14:paraId="6C23D4FD" w14:textId="6605CE1D" w:rsidR="00B0638F" w:rsidRDefault="00B0638F" w:rsidP="00B0638F">
      <w:r>
        <w:t xml:space="preserve">I have considered the 3 written public submissions received during the pre-meeting consultation period. One written response received was in partial support with 2 in opposition of the </w:t>
      </w:r>
      <w:r w:rsidR="00BA4DC1">
        <w:t>P</w:t>
      </w:r>
      <w:r>
        <w:t xml:space="preserve">roposal. </w:t>
      </w:r>
      <w:r w:rsidR="00BA4DC1">
        <w:t xml:space="preserve">The written submissions raised concerns regarding the high risk to public health as the substance is a neurotoxin and a high risk for accidental poisoning, which in turn makes the proposed entries inappropriate for ibotenic acid. </w:t>
      </w:r>
      <w:r>
        <w:t>Interested parties were also given the choice to select from options to indicate their support or opposition to the proposed amendment without providing a written component. Five responses were received, with 3 supportive, 1 partially supportive and 1 opposed. These respondents did not provide reasons for their support or opposition and as a result, the extent of my consideration is limited to noting that the submissions were generally in support of scheduling ibotenic acid.</w:t>
      </w:r>
    </w:p>
    <w:p w14:paraId="35AECC52" w14:textId="26C05FA9" w:rsidR="00B0638F" w:rsidRDefault="00B0638F" w:rsidP="00B0638F">
      <w:r>
        <w:t>The proposed Appendix E and F entries which stipulate labelling requirements are not required as these appendices do not apply to Schedule 9 substances.</w:t>
      </w:r>
    </w:p>
    <w:p w14:paraId="0DE13A89" w14:textId="6FDC9C87" w:rsidR="00B0638F" w:rsidRDefault="00B0638F" w:rsidP="00B0638F">
      <w:r>
        <w:t>I have included in my interim decision a</w:t>
      </w:r>
      <w:r w:rsidR="0051116D">
        <w:t>n</w:t>
      </w:r>
      <w:r>
        <w:t xml:space="preserve"> implementation date of 1 February 2024, as there is currently no therapeutic use of the substance that would be impacted by this decision.</w:t>
      </w:r>
    </w:p>
    <w:p w14:paraId="148F5DF5" w14:textId="77777777" w:rsidR="00B0638F" w:rsidRDefault="00B0638F" w:rsidP="00080730">
      <w:pPr>
        <w:pStyle w:val="Heading4"/>
      </w:pPr>
      <w:bookmarkStart w:id="28" w:name="_Toc147325286"/>
      <w:r>
        <w:t>Implementation date</w:t>
      </w:r>
      <w:bookmarkEnd w:id="28"/>
    </w:p>
    <w:p w14:paraId="2E6F1506" w14:textId="7BBEC555" w:rsidR="00A919A4" w:rsidRDefault="00B0638F" w:rsidP="00B0638F">
      <w:pPr>
        <w:rPr>
          <w:b/>
          <w:bCs/>
        </w:rPr>
      </w:pPr>
      <w:r>
        <w:rPr>
          <w:b/>
          <w:bCs/>
        </w:rPr>
        <w:t>1 February 2024</w:t>
      </w:r>
    </w:p>
    <w:p w14:paraId="72A15063" w14:textId="77777777" w:rsidR="000D3B93" w:rsidRDefault="000D3B93">
      <w:pPr>
        <w:rPr>
          <w:rFonts w:ascii="Arial" w:eastAsia="Times New Roman" w:hAnsi="Arial" w:cs="Times New Roman"/>
          <w:b/>
          <w:bCs/>
          <w:color w:val="001871"/>
          <w:sz w:val="32"/>
          <w:szCs w:val="32"/>
        </w:rPr>
      </w:pPr>
      <w:bookmarkStart w:id="29" w:name="_Toc96521429"/>
      <w:r>
        <w:br w:type="page"/>
      </w:r>
    </w:p>
    <w:p w14:paraId="582B5905" w14:textId="0D64E491" w:rsidR="00A919A4" w:rsidRDefault="00A919A4" w:rsidP="00A919A4">
      <w:pPr>
        <w:pStyle w:val="Heading3"/>
      </w:pPr>
      <w:bookmarkStart w:id="30" w:name="_Toc147325287"/>
      <w:r w:rsidRPr="00CE46AC">
        <w:lastRenderedPageBreak/>
        <w:t xml:space="preserve">Interim decision in relation to </w:t>
      </w:r>
      <w:bookmarkEnd w:id="29"/>
      <w:r>
        <w:t xml:space="preserve">amygdalin </w:t>
      </w:r>
      <w:r w:rsidR="00B30B31">
        <w:t>and</w:t>
      </w:r>
      <w:r>
        <w:t xml:space="preserve"> hydrocyanic acid</w:t>
      </w:r>
      <w:bookmarkEnd w:id="30"/>
    </w:p>
    <w:p w14:paraId="1202EB49" w14:textId="77777777" w:rsidR="00A919A4" w:rsidRPr="00C72DAB" w:rsidRDefault="00A919A4" w:rsidP="00A919A4">
      <w:pPr>
        <w:pStyle w:val="Heading4"/>
        <w:rPr>
          <w:rFonts w:ascii="Arial" w:hAnsi="Arial"/>
          <w:sz w:val="26"/>
        </w:rPr>
      </w:pPr>
      <w:bookmarkStart w:id="31" w:name="_Toc147325288"/>
      <w:bookmarkStart w:id="32" w:name="_Toc60738371"/>
      <w:bookmarkStart w:id="33" w:name="_Toc96521436"/>
      <w:r w:rsidRPr="00C72DAB">
        <w:t>Proposal</w:t>
      </w:r>
      <w:bookmarkEnd w:id="31"/>
    </w:p>
    <w:p w14:paraId="15091A87" w14:textId="3C2B99F7" w:rsidR="00A919A4" w:rsidRDefault="00A919A4" w:rsidP="00A919A4">
      <w:r w:rsidRPr="00C72DAB">
        <w:t xml:space="preserve">The applicant proposed </w:t>
      </w:r>
      <w:r w:rsidR="00BB2E75">
        <w:t>an exemption</w:t>
      </w:r>
      <w:r w:rsidR="00BB2E75" w:rsidRPr="00915227">
        <w:t xml:space="preserve"> </w:t>
      </w:r>
      <w:r>
        <w:t>for</w:t>
      </w:r>
      <w:r w:rsidRPr="00915227">
        <w:t xml:space="preserve"> </w:t>
      </w:r>
      <w:r>
        <w:t>the</w:t>
      </w:r>
      <w:r w:rsidRPr="00915227">
        <w:t xml:space="preserve"> Schedule </w:t>
      </w:r>
      <w:r>
        <w:t>10 and Schedule 4</w:t>
      </w:r>
      <w:r w:rsidRPr="00915227">
        <w:t xml:space="preserve"> entr</w:t>
      </w:r>
      <w:r>
        <w:t>ies</w:t>
      </w:r>
      <w:r w:rsidRPr="00915227">
        <w:t xml:space="preserve"> for </w:t>
      </w:r>
      <w:r>
        <w:t>amygdalin and hydrocyanic acid, respectively, when in ARTG listed preparations containing Wild Cherry Bark (</w:t>
      </w:r>
      <w:r w:rsidRPr="003246F7">
        <w:rPr>
          <w:i/>
          <w:iCs/>
        </w:rPr>
        <w:t>Prunus serotina</w:t>
      </w:r>
      <w:r>
        <w:t xml:space="preserve">) (the </w:t>
      </w:r>
      <w:r w:rsidRPr="00000446">
        <w:rPr>
          <w:b/>
          <w:bCs/>
        </w:rPr>
        <w:t>Proposal</w:t>
      </w:r>
      <w:r>
        <w:t xml:space="preserve">). Amygdalin and hydrocyanic acid are naturally occurring constituents of Wild Cherry Bark which is used in traditional medicine as an oral treatment for various self-limiting conditions, including cough suppression. Amygdalin is currently </w:t>
      </w:r>
      <w:r w:rsidR="000D3B93">
        <w:t xml:space="preserve">listed </w:t>
      </w:r>
      <w:r>
        <w:t xml:space="preserve">in the Poisons Standard as a </w:t>
      </w:r>
      <w:r>
        <w:rPr>
          <w:rStyle w:val="normaltextrun"/>
          <w:color w:val="000000"/>
          <w:szCs w:val="22"/>
          <w:shd w:val="clear" w:color="auto" w:fill="FFFFFF"/>
        </w:rPr>
        <w:t>Schedule 10</w:t>
      </w:r>
      <w:r>
        <w:rPr>
          <w:rStyle w:val="eop"/>
          <w:color w:val="000000"/>
          <w:szCs w:val="22"/>
          <w:shd w:val="clear" w:color="auto" w:fill="FFFFFF"/>
        </w:rPr>
        <w:t xml:space="preserve"> substance for therapeutic use. Hydrocyanic acid </w:t>
      </w:r>
      <w:r>
        <w:t xml:space="preserve">is currently </w:t>
      </w:r>
      <w:r w:rsidR="000D3B93">
        <w:t xml:space="preserve">listed </w:t>
      </w:r>
      <w:r>
        <w:t xml:space="preserve">in the Poisons Standard as a </w:t>
      </w:r>
      <w:r>
        <w:rPr>
          <w:rStyle w:val="normaltextrun"/>
          <w:color w:val="000000"/>
          <w:szCs w:val="22"/>
          <w:shd w:val="clear" w:color="auto" w:fill="FFFFFF"/>
        </w:rPr>
        <w:t>Schedule 7</w:t>
      </w:r>
      <w:r>
        <w:rPr>
          <w:rStyle w:val="eop"/>
          <w:color w:val="000000"/>
          <w:szCs w:val="22"/>
          <w:shd w:val="clear" w:color="auto" w:fill="FFFFFF"/>
        </w:rPr>
        <w:t> substance except when used as a therapeutic (Schedule 4).</w:t>
      </w:r>
    </w:p>
    <w:p w14:paraId="194B59B4" w14:textId="77777777" w:rsidR="00A919A4" w:rsidRPr="00C72DAB" w:rsidRDefault="00A919A4" w:rsidP="00A919A4">
      <w:pPr>
        <w:pStyle w:val="Heading4"/>
      </w:pPr>
      <w:bookmarkStart w:id="34" w:name="_Toc147325289"/>
      <w:r w:rsidRPr="00C72DAB">
        <w:t>Interim decision</w:t>
      </w:r>
      <w:bookmarkEnd w:id="34"/>
    </w:p>
    <w:p w14:paraId="7ABD0BC1" w14:textId="78EA8F7C" w:rsidR="00A919A4" w:rsidRDefault="00A919A4" w:rsidP="00A919A4">
      <w:r>
        <w:t>A</w:t>
      </w:r>
      <w:r w:rsidRPr="00C72DAB">
        <w:t xml:space="preserve"> Delegate of the Secretary</w:t>
      </w:r>
      <w:r>
        <w:rPr>
          <w:rStyle w:val="FootnoteReference"/>
        </w:rPr>
        <w:footnoteReference w:id="8"/>
      </w:r>
      <w:r w:rsidRPr="00C72DAB">
        <w:t xml:space="preserve"> has</w:t>
      </w:r>
      <w:r>
        <w:t xml:space="preserve"> </w:t>
      </w:r>
      <w:r w:rsidRPr="00C72DAB">
        <w:t xml:space="preserve">made an interim decision </w:t>
      </w:r>
      <w:r w:rsidRPr="001C7248">
        <w:t xml:space="preserve">not to amend the current Poisons Standard in relation to </w:t>
      </w:r>
      <w:r>
        <w:t>amygdalin and hydrocyanic acid.</w:t>
      </w:r>
    </w:p>
    <w:p w14:paraId="4178E240" w14:textId="77777777" w:rsidR="00A919A4" w:rsidRPr="00C72DAB" w:rsidRDefault="00A919A4" w:rsidP="00A919A4">
      <w:pPr>
        <w:rPr>
          <w:b/>
        </w:rPr>
      </w:pPr>
      <w:r>
        <w:t>The Delegate’s interim decision differs from the applicant’s proposal and t</w:t>
      </w:r>
      <w:r w:rsidRPr="00C72DAB">
        <w:t xml:space="preserve">he detailed reasons for </w:t>
      </w:r>
      <w:r>
        <w:t xml:space="preserve">the </w:t>
      </w:r>
      <w:r w:rsidRPr="00C72DAB">
        <w:t>decision follow.</w:t>
      </w:r>
    </w:p>
    <w:p w14:paraId="558C83E5" w14:textId="77777777" w:rsidR="00A919A4" w:rsidRPr="00C72DAB" w:rsidRDefault="00A919A4" w:rsidP="00A919A4">
      <w:pPr>
        <w:pStyle w:val="Heading4"/>
      </w:pPr>
      <w:bookmarkStart w:id="35" w:name="_Toc147325290"/>
      <w:r w:rsidRPr="00C72DAB">
        <w:t>Materials considered</w:t>
      </w:r>
      <w:bookmarkEnd w:id="35"/>
    </w:p>
    <w:p w14:paraId="0AACCF72" w14:textId="77777777" w:rsidR="00A919A4" w:rsidRPr="00C72DAB" w:rsidRDefault="00A919A4" w:rsidP="00A919A4">
      <w:r w:rsidRPr="00C72DAB">
        <w:t>In making this interim decision, the Delegate considered the following material:</w:t>
      </w:r>
    </w:p>
    <w:p w14:paraId="229F076E" w14:textId="1320EB42" w:rsidR="00A919A4" w:rsidRPr="00C72DAB" w:rsidRDefault="00E1070A" w:rsidP="00A919A4">
      <w:pPr>
        <w:numPr>
          <w:ilvl w:val="0"/>
          <w:numId w:val="1"/>
        </w:numPr>
        <w:spacing w:before="120" w:after="180" w:line="240" w:lineRule="atLeast"/>
      </w:pPr>
      <w:r>
        <w:t>t</w:t>
      </w:r>
      <w:r w:rsidR="00A919A4" w:rsidRPr="00C72DAB">
        <w:t>he</w:t>
      </w:r>
      <w:sdt>
        <w:sdtPr>
          <w:rPr>
            <w:rFonts w:ascii="Calibri" w:hAnsi="Calibri" w:cs="Calibri"/>
            <w:color w:val="0000FF"/>
            <w:u w:val="single"/>
          </w:rPr>
          <w:alias w:val="Hyperlink to TGA website"/>
          <w:tag w:val="Hyperlink to TGA website"/>
          <w:id w:val="-1438526662"/>
        </w:sdtPr>
        <w:sdtEndPr/>
        <w:sdtContent>
          <w:hyperlink r:id="rId38" w:history="1">
            <w:r w:rsidR="002718EB">
              <w:rPr>
                <w:rStyle w:val="Hyperlink"/>
                <w:rFonts w:ascii="Calibri" w:hAnsi="Calibri" w:cs="Calibri"/>
              </w:rPr>
              <w:t xml:space="preserve"> application</w:t>
            </w:r>
          </w:hyperlink>
        </w:sdtContent>
      </w:sdt>
      <w:r w:rsidR="00A919A4" w:rsidRPr="00C72DAB">
        <w:t xml:space="preserve"> to amend the current Poisons Standard with respect to </w:t>
      </w:r>
      <w:r w:rsidR="00A919A4">
        <w:t>amygdalin and hydrocyanic acid</w:t>
      </w:r>
      <w:r w:rsidR="002718EB">
        <w:t xml:space="preserve"> (the </w:t>
      </w:r>
      <w:r w:rsidR="002718EB">
        <w:rPr>
          <w:b/>
          <w:bCs/>
        </w:rPr>
        <w:t>Application</w:t>
      </w:r>
      <w:r w:rsidR="002718EB">
        <w:t>)</w:t>
      </w:r>
      <w:r w:rsidR="00FE4145">
        <w:t>.</w:t>
      </w:r>
    </w:p>
    <w:p w14:paraId="49ECD795" w14:textId="2A646DC7" w:rsidR="00A919A4" w:rsidRPr="00C72DAB" w:rsidRDefault="00E1070A" w:rsidP="00A919A4">
      <w:pPr>
        <w:numPr>
          <w:ilvl w:val="0"/>
          <w:numId w:val="1"/>
        </w:numPr>
        <w:spacing w:before="120" w:after="180" w:line="240" w:lineRule="atLeast"/>
      </w:pPr>
      <w:r>
        <w:t>t</w:t>
      </w:r>
      <w:r w:rsidR="00A919A4" w:rsidRPr="00C72DAB">
        <w:t xml:space="preserve">he </w:t>
      </w:r>
      <w:r w:rsidR="00A919A4">
        <w:t>36</w:t>
      </w:r>
      <w:r w:rsidR="00A919A4" w:rsidRPr="00C72DAB">
        <w:t xml:space="preserve"> </w:t>
      </w:r>
      <w:hyperlink r:id="rId39" w:history="1">
        <w:r w:rsidR="002718EB" w:rsidRPr="0018409C">
          <w:rPr>
            <w:rStyle w:val="Hyperlink"/>
            <w:rFonts w:asciiTheme="minorHAnsi" w:hAnsiTheme="minorHAnsi" w:cstheme="minorHAnsi"/>
          </w:rPr>
          <w:t>public submissions</w:t>
        </w:r>
      </w:hyperlink>
      <w:r w:rsidR="002718EB">
        <w:rPr>
          <w:rFonts w:cstheme="minorHAnsi"/>
        </w:rPr>
        <w:t xml:space="preserve"> </w:t>
      </w:r>
      <w:r w:rsidR="002718EB" w:rsidRPr="0018409C">
        <w:rPr>
          <w:rFonts w:cstheme="minorHAnsi"/>
          <w:color w:val="auto"/>
        </w:rPr>
        <w:t xml:space="preserve">received in response to the </w:t>
      </w:r>
      <w:r w:rsidR="002718EB" w:rsidRPr="0018409C">
        <w:rPr>
          <w:rFonts w:cstheme="minorHAnsi"/>
          <w:color w:val="0000FF"/>
          <w:u w:val="single"/>
        </w:rPr>
        <w:t xml:space="preserve">pre-meeting </w:t>
      </w:r>
      <w:hyperlink r:id="rId40" w:history="1">
        <w:r w:rsidR="002718EB" w:rsidRPr="0018409C">
          <w:rPr>
            <w:rStyle w:val="Hyperlink"/>
            <w:rFonts w:asciiTheme="minorHAnsi" w:hAnsiTheme="minorHAnsi" w:cstheme="minorHAnsi"/>
          </w:rPr>
          <w:t>consultation</w:t>
        </w:r>
      </w:hyperlink>
      <w:r w:rsidR="002718EB">
        <w:rPr>
          <w:rStyle w:val="Hyperlink"/>
          <w:rFonts w:asciiTheme="minorHAnsi" w:hAnsiTheme="minorHAnsi" w:cstheme="minorHAnsi"/>
        </w:rPr>
        <w:t xml:space="preserve"> </w:t>
      </w:r>
      <w:r w:rsidR="00A919A4" w:rsidRPr="00C72DAB">
        <w:t>under regulation 42ZCZK of the Regulations</w:t>
      </w:r>
      <w:r w:rsidR="00A919A4">
        <w:t xml:space="preserve"> (the </w:t>
      </w:r>
      <w:r w:rsidR="00A919A4" w:rsidRPr="00000446">
        <w:rPr>
          <w:b/>
          <w:bCs/>
        </w:rPr>
        <w:t>Submissions</w:t>
      </w:r>
      <w:r w:rsidR="00A919A4">
        <w:t>)</w:t>
      </w:r>
      <w:r w:rsidR="00FE4145">
        <w:t>.</w:t>
      </w:r>
    </w:p>
    <w:p w14:paraId="1E175A0E" w14:textId="31C8034A" w:rsidR="00A919A4" w:rsidRPr="00C72DAB" w:rsidRDefault="00E1070A" w:rsidP="00A919A4">
      <w:pPr>
        <w:numPr>
          <w:ilvl w:val="0"/>
          <w:numId w:val="1"/>
        </w:numPr>
        <w:spacing w:before="120" w:after="180" w:line="240" w:lineRule="atLeast"/>
      </w:pPr>
      <w:r>
        <w:t>t</w:t>
      </w:r>
      <w:r w:rsidR="00A919A4" w:rsidRPr="00C72DAB">
        <w:t xml:space="preserve">he advice received from the </w:t>
      </w:r>
      <w:r w:rsidR="00A919A4">
        <w:t>34</w:t>
      </w:r>
      <w:r w:rsidR="00A919A4" w:rsidRPr="0015716A">
        <w:rPr>
          <w:vertAlign w:val="superscript"/>
        </w:rPr>
        <w:t>th</w:t>
      </w:r>
      <w:r w:rsidR="00A919A4">
        <w:t xml:space="preserve"> </w:t>
      </w:r>
      <w:r w:rsidR="00A919A4" w:rsidRPr="00C72DAB">
        <w:t xml:space="preserve">meeting </w:t>
      </w:r>
      <w:r w:rsidR="00A919A4" w:rsidRPr="00FB6887">
        <w:t>of the Advisory Committee on Medicines and Chemicals Scheduling in joint session</w:t>
      </w:r>
      <w:r w:rsidR="00A919A4" w:rsidRPr="00C72DAB">
        <w:t xml:space="preserve"> (</w:t>
      </w:r>
      <w:r w:rsidR="00A919A4">
        <w:t xml:space="preserve">the </w:t>
      </w:r>
      <w:r w:rsidR="00A919A4">
        <w:rPr>
          <w:b/>
          <w:bCs/>
        </w:rPr>
        <w:t>Committee</w:t>
      </w:r>
      <w:r w:rsidR="00A919A4" w:rsidRPr="00C72DAB">
        <w:t>)</w:t>
      </w:r>
      <w:r w:rsidR="00FE4145">
        <w:t>.</w:t>
      </w:r>
    </w:p>
    <w:p w14:paraId="00E68649" w14:textId="26525A15" w:rsidR="00A919A4" w:rsidRDefault="00E1070A" w:rsidP="00A919A4">
      <w:pPr>
        <w:numPr>
          <w:ilvl w:val="0"/>
          <w:numId w:val="1"/>
        </w:numPr>
        <w:spacing w:before="120" w:after="180" w:line="240" w:lineRule="atLeast"/>
      </w:pPr>
      <w:r>
        <w:t>s</w:t>
      </w:r>
      <w:r w:rsidR="00A919A4" w:rsidRPr="00C72DAB">
        <w:t xml:space="preserve">ubsection 52E(1) of </w:t>
      </w:r>
      <w:r w:rsidR="00A919A4">
        <w:rPr>
          <w:iCs/>
        </w:rPr>
        <w:t xml:space="preserve">the </w:t>
      </w:r>
      <w:r w:rsidR="00A919A4" w:rsidRPr="00260E0F">
        <w:rPr>
          <w:iCs/>
        </w:rPr>
        <w:t>Act</w:t>
      </w:r>
      <w:r w:rsidR="00A919A4" w:rsidRPr="00B57044">
        <w:rPr>
          <w:i/>
        </w:rPr>
        <w:t xml:space="preserve">, </w:t>
      </w:r>
      <w:r w:rsidR="00A919A4"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00A919A4" w:rsidRPr="00C72DAB">
        <w:t xml:space="preserve"> any other matters that the Secretary considers necessary to protect public health</w:t>
      </w:r>
      <w:r w:rsidR="00FE4145">
        <w:t>.</w:t>
      </w:r>
    </w:p>
    <w:p w14:paraId="58F23322" w14:textId="3E9CEDA7" w:rsidR="00DB6B41" w:rsidRPr="00DB6B41" w:rsidRDefault="00E1070A" w:rsidP="00DB6B41">
      <w:pPr>
        <w:pStyle w:val="ListBullet"/>
        <w:rPr>
          <w:rFonts w:asciiTheme="minorHAnsi" w:eastAsiaTheme="minorHAnsi" w:hAnsiTheme="minorHAnsi" w:cstheme="minorBidi"/>
          <w:color w:val="0D0D0D" w:themeColor="text1" w:themeTint="F2"/>
        </w:rPr>
      </w:pPr>
      <w:r w:rsidRPr="00BF3545">
        <w:rPr>
          <w:rFonts w:asciiTheme="minorHAnsi" w:hAnsiTheme="minorHAnsi" w:cstheme="minorHAnsi"/>
          <w:color w:val="000000" w:themeColor="text1"/>
        </w:rPr>
        <w:t>t</w:t>
      </w:r>
      <w:r w:rsidR="00DB6B41" w:rsidRPr="00BF3545">
        <w:rPr>
          <w:rFonts w:asciiTheme="minorHAnsi" w:hAnsiTheme="minorHAnsi" w:cstheme="minorHAnsi"/>
          <w:color w:val="000000" w:themeColor="text1"/>
        </w:rPr>
        <w:t xml:space="preserve">he </w:t>
      </w:r>
      <w:r w:rsidR="00DB6B41" w:rsidRPr="00BF3545">
        <w:rPr>
          <w:rFonts w:asciiTheme="minorHAnsi" w:eastAsiaTheme="minorHAnsi" w:hAnsiTheme="minorHAnsi" w:cstheme="minorHAnsi"/>
          <w:color w:val="000000" w:themeColor="text1"/>
        </w:rPr>
        <w:t>Delegate’s</w:t>
      </w:r>
      <w:r w:rsidR="00DB6B41" w:rsidRPr="00BF3545">
        <w:rPr>
          <w:rFonts w:asciiTheme="minorHAnsi" w:eastAsiaTheme="minorHAnsi" w:hAnsiTheme="minorHAnsi" w:cstheme="minorBidi"/>
          <w:color w:val="000000" w:themeColor="text1"/>
        </w:rPr>
        <w:t xml:space="preserve"> </w:t>
      </w:r>
      <w:hyperlink r:id="rId41" w:history="1">
        <w:r w:rsidR="00DB6B41" w:rsidRPr="00DB6B41">
          <w:rPr>
            <w:rStyle w:val="Hyperlink"/>
            <w:rFonts w:asciiTheme="minorHAnsi" w:eastAsiaTheme="minorHAnsi" w:hAnsiTheme="minorHAnsi" w:cstheme="minorBidi"/>
          </w:rPr>
          <w:t>final decision</w:t>
        </w:r>
      </w:hyperlink>
      <w:r w:rsidR="00DB6B41" w:rsidRPr="00DB6B41">
        <w:rPr>
          <w:rFonts w:asciiTheme="minorHAnsi" w:eastAsiaTheme="minorHAnsi" w:hAnsiTheme="minorHAnsi" w:cstheme="minorBidi"/>
          <w:color w:val="0D0D0D" w:themeColor="text1" w:themeTint="F2"/>
        </w:rPr>
        <w:t xml:space="preserve"> to not </w:t>
      </w:r>
      <w:r w:rsidR="00DB6B41" w:rsidRPr="00DB6B41">
        <w:rPr>
          <w:rFonts w:asciiTheme="minorHAnsi" w:eastAsiaTheme="minorHAnsi" w:hAnsiTheme="minorHAnsi" w:cstheme="minorHAnsi"/>
          <w:color w:val="000000" w:themeColor="text1"/>
        </w:rPr>
        <w:t xml:space="preserve">amend the Poisons Standard in relation to amygdalin and hydrocyanic acid on </w:t>
      </w:r>
      <w:r w:rsidR="00DB6B41">
        <w:rPr>
          <w:rFonts w:asciiTheme="minorHAnsi" w:eastAsiaTheme="minorHAnsi" w:hAnsiTheme="minorHAnsi" w:cstheme="minorHAnsi"/>
          <w:color w:val="000000" w:themeColor="text1"/>
        </w:rPr>
        <w:t>20 December</w:t>
      </w:r>
      <w:r w:rsidR="00DB6B41" w:rsidRPr="00DB6B41">
        <w:rPr>
          <w:rFonts w:asciiTheme="minorHAnsi" w:eastAsiaTheme="minorHAnsi" w:hAnsiTheme="minorHAnsi" w:cstheme="minorHAnsi"/>
          <w:color w:val="000000" w:themeColor="text1"/>
        </w:rPr>
        <w:t xml:space="preserve"> 2021 and the materials considered in making that decision</w:t>
      </w:r>
      <w:r w:rsidR="00DB6B41" w:rsidRPr="00DB6B41">
        <w:rPr>
          <w:rFonts w:asciiTheme="minorHAnsi" w:hAnsiTheme="minorHAnsi" w:cstheme="minorHAnsi"/>
          <w:color w:val="000000" w:themeColor="text1"/>
        </w:rPr>
        <w:t xml:space="preserve"> (the </w:t>
      </w:r>
      <w:r w:rsidR="00DB6B41" w:rsidRPr="00DB6B41">
        <w:rPr>
          <w:rFonts w:asciiTheme="minorHAnsi" w:hAnsiTheme="minorHAnsi" w:cstheme="minorHAnsi"/>
          <w:b/>
          <w:bCs/>
          <w:color w:val="000000" w:themeColor="text1"/>
        </w:rPr>
        <w:t>2021 final decision</w:t>
      </w:r>
      <w:r w:rsidR="00DB6B41" w:rsidRPr="00DB6B41">
        <w:rPr>
          <w:rFonts w:asciiTheme="minorHAnsi" w:hAnsiTheme="minorHAnsi" w:cstheme="minorHAnsi"/>
          <w:color w:val="000000" w:themeColor="text1"/>
        </w:rPr>
        <w:t>)</w:t>
      </w:r>
      <w:r w:rsidR="00FE4145">
        <w:rPr>
          <w:rFonts w:asciiTheme="minorHAnsi" w:hAnsiTheme="minorHAnsi" w:cstheme="minorHAnsi"/>
          <w:color w:val="000000" w:themeColor="text1"/>
        </w:rPr>
        <w:t>.</w:t>
      </w:r>
    </w:p>
    <w:p w14:paraId="26BA3EAA" w14:textId="346BC944" w:rsidR="00A919A4" w:rsidRPr="00C72DAB" w:rsidRDefault="00A919A4" w:rsidP="00A919A4">
      <w:pPr>
        <w:numPr>
          <w:ilvl w:val="0"/>
          <w:numId w:val="1"/>
        </w:numPr>
        <w:spacing w:before="120" w:after="180" w:line="240" w:lineRule="atLeast"/>
      </w:pPr>
      <w:r>
        <w:t xml:space="preserve">the </w:t>
      </w:r>
      <w:r w:rsidRPr="00260E0F">
        <w:t>SPF</w:t>
      </w:r>
      <w:r w:rsidR="000D3B93">
        <w:t>,</w:t>
      </w:r>
      <w:r w:rsidRPr="00C72DAB">
        <w:t xml:space="preserve"> and</w:t>
      </w:r>
    </w:p>
    <w:p w14:paraId="5202D6AD" w14:textId="3C019F92" w:rsidR="00A919A4" w:rsidRPr="00C72DAB" w:rsidRDefault="00FE4145" w:rsidP="00A919A4">
      <w:pPr>
        <w:numPr>
          <w:ilvl w:val="0"/>
          <w:numId w:val="1"/>
        </w:numPr>
        <w:spacing w:before="120" w:after="180" w:line="240" w:lineRule="atLeast"/>
      </w:pPr>
      <w:r>
        <w:t>t</w:t>
      </w:r>
      <w:r w:rsidR="00A919A4" w:rsidRPr="00C72DAB">
        <w:t>he</w:t>
      </w:r>
      <w:r w:rsidR="00260E0F">
        <w:t xml:space="preserve"> Handbook</w:t>
      </w:r>
      <w:r w:rsidR="00A919A4" w:rsidRPr="00C72DAB">
        <w:t>.</w:t>
      </w:r>
    </w:p>
    <w:p w14:paraId="51F284CC" w14:textId="77777777" w:rsidR="00A919A4" w:rsidRPr="00C72DAB" w:rsidRDefault="00A919A4" w:rsidP="00A919A4">
      <w:pPr>
        <w:pStyle w:val="Heading4"/>
      </w:pPr>
      <w:bookmarkStart w:id="36" w:name="_Toc147325291"/>
      <w:r w:rsidRPr="00C72DAB">
        <w:lastRenderedPageBreak/>
        <w:t xml:space="preserve">Summary of </w:t>
      </w:r>
      <w:r>
        <w:t>Committee</w:t>
      </w:r>
      <w:r w:rsidRPr="00C72DAB">
        <w:t xml:space="preserve"> advice to the </w:t>
      </w:r>
      <w:r>
        <w:t>D</w:t>
      </w:r>
      <w:r w:rsidRPr="00C72DAB">
        <w:t>elegate</w:t>
      </w:r>
      <w:bookmarkEnd w:id="36"/>
    </w:p>
    <w:p w14:paraId="5FDD7574" w14:textId="5957EB2F" w:rsidR="00A919A4" w:rsidRDefault="00A919A4" w:rsidP="00A919A4">
      <w:r w:rsidRPr="00C72DAB">
        <w:t xml:space="preserve">The Committee </w:t>
      </w:r>
      <w:r w:rsidRPr="00FB6887">
        <w:t>recommended that the current Poisons Standard entr</w:t>
      </w:r>
      <w:r w:rsidR="00120525">
        <w:t>ies</w:t>
      </w:r>
      <w:r w:rsidRPr="00FB6887">
        <w:t xml:space="preserve"> for amygdalin and hydrocyanic acid remain appropriate.</w:t>
      </w:r>
    </w:p>
    <w:p w14:paraId="00B9004B" w14:textId="4A841A4B" w:rsidR="00A919A4" w:rsidRPr="00E41B78" w:rsidRDefault="000D3B93" w:rsidP="00260E0F">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544CDD8A" w14:textId="77777777" w:rsidR="00A919A4" w:rsidRPr="00C72DAB" w:rsidRDefault="00A919A4" w:rsidP="00A919A4">
      <w:pPr>
        <w:numPr>
          <w:ilvl w:val="0"/>
          <w:numId w:val="26"/>
        </w:numPr>
        <w:spacing w:before="120" w:after="180" w:line="360" w:lineRule="auto"/>
        <w:ind w:left="426" w:firstLine="0"/>
        <w:contextualSpacing/>
        <w:rPr>
          <w:i/>
        </w:rPr>
      </w:pPr>
      <w:r w:rsidRPr="00C72DAB">
        <w:rPr>
          <w:i/>
        </w:rPr>
        <w:t>the risks and benefits of the use of a substance</w:t>
      </w:r>
    </w:p>
    <w:p w14:paraId="23DBDBFD" w14:textId="77777777" w:rsidR="00A919A4" w:rsidRPr="00FB6887" w:rsidRDefault="00A919A4" w:rsidP="00A919A4">
      <w:pPr>
        <w:ind w:left="851"/>
        <w:contextualSpacing/>
        <w:rPr>
          <w:rFonts w:eastAsia="Times New Roman"/>
        </w:rPr>
      </w:pPr>
      <w:r w:rsidRPr="00C72DAB">
        <w:rPr>
          <w:rFonts w:eastAsia="Times New Roman"/>
        </w:rPr>
        <w:t>Risks:</w:t>
      </w:r>
    </w:p>
    <w:p w14:paraId="44934A95" w14:textId="01F22064" w:rsidR="00A919A4" w:rsidRDefault="00A919A4" w:rsidP="00260E0F">
      <w:pPr>
        <w:pStyle w:val="ListBullet2"/>
        <w:ind w:hanging="425"/>
      </w:pPr>
      <w:r w:rsidRPr="00FE6C8E">
        <w:t xml:space="preserve">Wild Cherry Bark contains both </w:t>
      </w:r>
      <w:r w:rsidR="00A92A8E" w:rsidRPr="00FE6C8E">
        <w:t xml:space="preserve">amygdalin </w:t>
      </w:r>
      <w:r w:rsidRPr="00FE6C8E">
        <w:t>and hydrocyanic acid</w:t>
      </w:r>
      <w:r w:rsidR="008B4BD8">
        <w:t xml:space="preserve"> as </w:t>
      </w:r>
      <w:r w:rsidR="00D86C39">
        <w:t>natural constituents</w:t>
      </w:r>
      <w:r w:rsidRPr="00FE6C8E">
        <w:t>. Hydrocyanic acid</w:t>
      </w:r>
      <w:r w:rsidR="00753450">
        <w:t xml:space="preserve"> (a solution of hydrogen cyanide in water)</w:t>
      </w:r>
      <w:r w:rsidRPr="00FE6C8E">
        <w:t xml:space="preserve"> is highly toxic, with significant variability </w:t>
      </w:r>
      <w:r w:rsidR="00B33540">
        <w:t xml:space="preserve">of </w:t>
      </w:r>
      <w:r w:rsidRPr="00FE6C8E">
        <w:t>the toxic dose</w:t>
      </w:r>
      <w:r w:rsidR="00B33540">
        <w:t xml:space="preserve"> between individual persons</w:t>
      </w:r>
      <w:r w:rsidRPr="00FE6C8E">
        <w:t>.</w:t>
      </w:r>
      <w:r w:rsidR="000D3B93">
        <w:t xml:space="preserve"> When a</w:t>
      </w:r>
      <w:r w:rsidRPr="00FE6C8E">
        <w:t xml:space="preserve">mygdalin </w:t>
      </w:r>
      <w:r w:rsidR="000D3B93">
        <w:t xml:space="preserve">is </w:t>
      </w:r>
      <w:proofErr w:type="gramStart"/>
      <w:r w:rsidR="000D3B93">
        <w:t>metabolised</w:t>
      </w:r>
      <w:proofErr w:type="gramEnd"/>
      <w:r w:rsidR="000D3B93">
        <w:t xml:space="preserve"> it is </w:t>
      </w:r>
      <w:r w:rsidR="000D3B93" w:rsidRPr="00FE6C8E">
        <w:t>convert</w:t>
      </w:r>
      <w:r w:rsidR="000D3B93">
        <w:t>ed</w:t>
      </w:r>
      <w:r w:rsidR="000D3B93" w:rsidRPr="00FE6C8E">
        <w:t xml:space="preserve"> </w:t>
      </w:r>
      <w:r w:rsidRPr="00FE6C8E">
        <w:t xml:space="preserve">to </w:t>
      </w:r>
      <w:r w:rsidR="000D3B93">
        <w:t>hydrocyanic acid</w:t>
      </w:r>
      <w:r w:rsidRPr="00FE6C8E">
        <w:t>.</w:t>
      </w:r>
    </w:p>
    <w:p w14:paraId="61A10F84" w14:textId="0427C047" w:rsidR="00A919A4" w:rsidRDefault="00A919A4" w:rsidP="00260E0F">
      <w:pPr>
        <w:pStyle w:val="ListBullet2"/>
        <w:ind w:hanging="425"/>
      </w:pPr>
      <w:r>
        <w:t>There is a relative degree of uncertainty relating to processing of Wild Cherry Bark and the accumulative exposure from dietary and therapeutic sources.</w:t>
      </w:r>
      <w:r w:rsidR="00EF4851">
        <w:t xml:space="preserve"> Health risks</w:t>
      </w:r>
      <w:r w:rsidR="00363C06">
        <w:t xml:space="preserve"> </w:t>
      </w:r>
      <w:r w:rsidR="00EF4851">
        <w:t xml:space="preserve">are amplified </w:t>
      </w:r>
      <w:r w:rsidR="00E851C6">
        <w:t>in</w:t>
      </w:r>
      <w:r w:rsidR="00EF4851">
        <w:t xml:space="preserve"> </w:t>
      </w:r>
      <w:r w:rsidR="00A92A8E">
        <w:t xml:space="preserve">compounded </w:t>
      </w:r>
      <w:r w:rsidR="00E851C6">
        <w:t>substances.</w:t>
      </w:r>
    </w:p>
    <w:p w14:paraId="7ADD2F8A" w14:textId="4647C432" w:rsidR="00A919A4" w:rsidRDefault="00A919A4" w:rsidP="00260E0F">
      <w:pPr>
        <w:pStyle w:val="ListBullet2"/>
        <w:ind w:hanging="425"/>
      </w:pPr>
      <w:r>
        <w:t xml:space="preserve">Increased access </w:t>
      </w:r>
      <w:r w:rsidR="00753450">
        <w:t xml:space="preserve">to products containing amygdalin </w:t>
      </w:r>
      <w:r>
        <w:t>may promote the inappropriate use of amygdalin for the treatment of conditions such as cancer and COVID-19.</w:t>
      </w:r>
    </w:p>
    <w:p w14:paraId="1275B340" w14:textId="1F2EB7A3" w:rsidR="00A919A4" w:rsidRDefault="00A919A4" w:rsidP="00260E0F">
      <w:pPr>
        <w:pStyle w:val="ListBullet2"/>
        <w:ind w:hanging="425"/>
      </w:pPr>
      <w:r>
        <w:t xml:space="preserve">Increased access </w:t>
      </w:r>
      <w:r w:rsidR="00753450">
        <w:t xml:space="preserve">to Wild Cherry Bark </w:t>
      </w:r>
      <w:r>
        <w:t>has the potential to dissuade consumers from seeking medical attention for conditions.</w:t>
      </w:r>
    </w:p>
    <w:p w14:paraId="486A6A4D" w14:textId="4594D7C8" w:rsidR="00A919A4" w:rsidRDefault="00A919A4" w:rsidP="00260E0F">
      <w:pPr>
        <w:pStyle w:val="ListBullet2"/>
        <w:ind w:hanging="425"/>
      </w:pPr>
      <w:r>
        <w:t xml:space="preserve">Ingestion </w:t>
      </w:r>
      <w:r w:rsidR="00753450">
        <w:t>of Wild Cherry Bark</w:t>
      </w:r>
      <w:r w:rsidR="00276BC1">
        <w:t xml:space="preserve"> poses greater risks of</w:t>
      </w:r>
      <w:r w:rsidR="007761CA">
        <w:t xml:space="preserve"> toxicity in</w:t>
      </w:r>
      <w:r w:rsidR="00A92A8E" w:rsidRPr="00A92A8E">
        <w:t xml:space="preserve"> </w:t>
      </w:r>
      <w:r w:rsidR="00A92A8E">
        <w:t>children</w:t>
      </w:r>
      <w:r w:rsidR="00120525">
        <w:t>.</w:t>
      </w:r>
    </w:p>
    <w:p w14:paraId="7A26E8D9" w14:textId="33D2F8BC" w:rsidR="00F77DE7" w:rsidRPr="00F77DE7" w:rsidRDefault="00F77DE7" w:rsidP="00F77DE7">
      <w:pPr>
        <w:pStyle w:val="ListBullet2"/>
        <w:rPr>
          <w:sz w:val="24"/>
        </w:rPr>
      </w:pPr>
      <w:r>
        <w:rPr>
          <w:rFonts w:eastAsia="Times New Roman"/>
          <w:color w:val="000000"/>
          <w:szCs w:val="22"/>
          <w:lang w:eastAsia="en-AU"/>
        </w:rPr>
        <w:t>The d</w:t>
      </w:r>
      <w:r w:rsidRPr="00C25D07">
        <w:rPr>
          <w:rFonts w:eastAsia="Times New Roman"/>
          <w:color w:val="000000"/>
          <w:szCs w:val="22"/>
          <w:lang w:eastAsia="en-AU"/>
        </w:rPr>
        <w:t xml:space="preserve">ifficulty </w:t>
      </w:r>
      <w:r w:rsidRPr="00C25D07">
        <w:rPr>
          <w:lang w:eastAsia="en-AU"/>
        </w:rPr>
        <w:t xml:space="preserve">determining </w:t>
      </w:r>
      <w:r>
        <w:rPr>
          <w:lang w:eastAsia="en-AU"/>
        </w:rPr>
        <w:t>a reasonable daily intake of amygdalin and hydrocyanic acid</w:t>
      </w:r>
      <w:r w:rsidRPr="00C25D07">
        <w:rPr>
          <w:lang w:eastAsia="en-AU"/>
        </w:rPr>
        <w:t>, given potential dietary and therapeutic consumption</w:t>
      </w:r>
      <w:r>
        <w:rPr>
          <w:lang w:eastAsia="en-AU"/>
        </w:rPr>
        <w:t>.</w:t>
      </w:r>
    </w:p>
    <w:p w14:paraId="13CC4BCA" w14:textId="64DEF87E" w:rsidR="00894EDF" w:rsidRPr="002718EB" w:rsidRDefault="00A92A8E" w:rsidP="00894EDF">
      <w:pPr>
        <w:pStyle w:val="ListBullet2"/>
        <w:ind w:hanging="425"/>
        <w:rPr>
          <w:sz w:val="24"/>
          <w:szCs w:val="22"/>
        </w:rPr>
      </w:pPr>
      <w:r>
        <w:t xml:space="preserve">Quality control </w:t>
      </w:r>
      <w:r w:rsidR="00CB3F3E">
        <w:t>would be difficult to reliably achieve</w:t>
      </w:r>
      <w:r w:rsidR="003713FD">
        <w:t xml:space="preserve"> </w:t>
      </w:r>
      <w:r w:rsidR="00894EDF">
        <w:t>due to the high variability of amygdalin and hydrocyanic acid content in Wild Cherry Bark.</w:t>
      </w:r>
    </w:p>
    <w:p w14:paraId="357CF3D3" w14:textId="77777777" w:rsidR="00A919A4" w:rsidRPr="00C72DAB" w:rsidRDefault="00A919A4" w:rsidP="00A919A4">
      <w:pPr>
        <w:ind w:left="851"/>
        <w:contextualSpacing/>
      </w:pPr>
      <w:r w:rsidRPr="00C72DAB">
        <w:t>Benefits:</w:t>
      </w:r>
    </w:p>
    <w:p w14:paraId="15A2B60E" w14:textId="09B9FA4C" w:rsidR="00A919A4" w:rsidRDefault="00753450" w:rsidP="00260E0F">
      <w:pPr>
        <w:pStyle w:val="ListBullet2"/>
        <w:ind w:hanging="425"/>
      </w:pPr>
      <w:r>
        <w:t>Wild Cherry Bark is g</w:t>
      </w:r>
      <w:r w:rsidR="00A919A4">
        <w:t>enerally used as a complementary therapy for various self-limiting conditions.</w:t>
      </w:r>
    </w:p>
    <w:p w14:paraId="1E2EE6BE" w14:textId="3EC3F872" w:rsidR="00A919A4" w:rsidRPr="00C72DAB" w:rsidRDefault="00753450" w:rsidP="00260E0F">
      <w:pPr>
        <w:pStyle w:val="ListBullet2"/>
        <w:ind w:hanging="425"/>
      </w:pPr>
      <w:r>
        <w:t>There is a l</w:t>
      </w:r>
      <w:r w:rsidR="00A919A4">
        <w:t xml:space="preserve">imited evidence base, </w:t>
      </w:r>
      <w:r>
        <w:t xml:space="preserve">which is </w:t>
      </w:r>
      <w:r w:rsidR="00A919A4">
        <w:t xml:space="preserve">mainly </w:t>
      </w:r>
      <w:r>
        <w:t>with</w:t>
      </w:r>
      <w:r w:rsidR="00A919A4">
        <w:t>in the Traditional Medicines paradigm.</w:t>
      </w:r>
    </w:p>
    <w:p w14:paraId="0856CE95" w14:textId="77777777" w:rsidR="00A919A4" w:rsidRPr="00FE6C8E"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the purposes for which a substance is to be used and the extent of use of a substance</w:t>
      </w:r>
    </w:p>
    <w:p w14:paraId="053FEF84" w14:textId="7F1F0826" w:rsidR="00A919A4" w:rsidRPr="00C72DAB" w:rsidRDefault="000D3B93" w:rsidP="00260E0F">
      <w:pPr>
        <w:pStyle w:val="ListBullet2"/>
        <w:ind w:hanging="425"/>
      </w:pPr>
      <w:r>
        <w:t>Wild Cherry Bark is m</w:t>
      </w:r>
      <w:r w:rsidR="00A919A4" w:rsidRPr="00FB6887">
        <w:t>ainly used in oral dosage forms for cough suppression</w:t>
      </w:r>
      <w:r w:rsidR="00A919A4">
        <w:t>.</w:t>
      </w:r>
    </w:p>
    <w:p w14:paraId="00D45613" w14:textId="77777777" w:rsidR="00A919A4" w:rsidRDefault="00A919A4" w:rsidP="00A919A4">
      <w:pPr>
        <w:numPr>
          <w:ilvl w:val="0"/>
          <w:numId w:val="26"/>
        </w:numPr>
        <w:spacing w:before="120" w:after="180" w:line="240" w:lineRule="atLeast"/>
        <w:ind w:left="426" w:firstLine="0"/>
        <w:contextualSpacing/>
        <w:rPr>
          <w:i/>
        </w:rPr>
      </w:pPr>
      <w:r w:rsidRPr="00C72DAB">
        <w:rPr>
          <w:i/>
        </w:rPr>
        <w:t>the toxicity of a substance</w:t>
      </w:r>
    </w:p>
    <w:p w14:paraId="6CF6D670" w14:textId="77777777" w:rsidR="00A919A4" w:rsidRDefault="00A919A4" w:rsidP="00260E0F">
      <w:pPr>
        <w:pStyle w:val="ListBullet2"/>
        <w:ind w:hanging="425"/>
      </w:pPr>
      <w:r>
        <w:t>Hydrocyanic acid arrests cellular respiration and is highly toxic at low doses.</w:t>
      </w:r>
    </w:p>
    <w:p w14:paraId="7970FF62" w14:textId="77777777" w:rsidR="00A92A8E" w:rsidRDefault="00A92A8E" w:rsidP="00260E0F">
      <w:pPr>
        <w:pStyle w:val="ListBullet2"/>
        <w:ind w:hanging="425"/>
      </w:pPr>
      <w:r w:rsidRPr="00FE6C8E">
        <w:t>Wild cherry bark with an amygdalin content of 5 mg, can potentially yield 11 mg of hydrocyanic acid.</w:t>
      </w:r>
    </w:p>
    <w:p w14:paraId="548D8817" w14:textId="4FA0AAF4" w:rsidR="00A919A4" w:rsidRDefault="00A919A4" w:rsidP="00260E0F">
      <w:pPr>
        <w:pStyle w:val="ListBullet2"/>
        <w:ind w:hanging="425"/>
      </w:pPr>
      <w:r>
        <w:t xml:space="preserve">A wide range of expert committees have concluded that an oral intake of 5-20 mg/day amygdalin in a 60 kg adult is likely to be </w:t>
      </w:r>
      <w:r w:rsidR="009D14E3">
        <w:t>low risk</w:t>
      </w:r>
      <w:r>
        <w:t>.</w:t>
      </w:r>
    </w:p>
    <w:p w14:paraId="33C9F418" w14:textId="40FCCF09" w:rsidR="00A919A4" w:rsidRDefault="00A919A4" w:rsidP="00260E0F">
      <w:pPr>
        <w:pStyle w:val="ListBullet2"/>
        <w:ind w:hanging="425"/>
      </w:pPr>
      <w:r>
        <w:t xml:space="preserve">Issues were noted in the application relating to the calculation of total hydrocyanic acid concentration in Wild Cherry Bark. </w:t>
      </w:r>
      <w:r w:rsidR="00753450">
        <w:t xml:space="preserve">The Committee was </w:t>
      </w:r>
      <w:r>
        <w:t>unclear whether th</w:t>
      </w:r>
      <w:r w:rsidR="00753450">
        <w:t xml:space="preserve">e </w:t>
      </w:r>
      <w:r w:rsidR="00753450">
        <w:lastRenderedPageBreak/>
        <w:t xml:space="preserve">calculation was </w:t>
      </w:r>
      <w:r>
        <w:t xml:space="preserve">inclusive of endogenous hydrocyanic acid as well as </w:t>
      </w:r>
      <w:r w:rsidR="00753450">
        <w:t xml:space="preserve">its production from the metabolism of </w:t>
      </w:r>
      <w:r>
        <w:t>amygdalin.</w:t>
      </w:r>
    </w:p>
    <w:p w14:paraId="30E7302C" w14:textId="77777777" w:rsidR="00A919A4"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 xml:space="preserve">the dosage, formulation, labelling, </w:t>
      </w:r>
      <w:proofErr w:type="gramStart"/>
      <w:r w:rsidRPr="00C72DAB">
        <w:rPr>
          <w:rFonts w:eastAsia="Times New Roman"/>
          <w:i/>
        </w:rPr>
        <w:t>packaging</w:t>
      </w:r>
      <w:proofErr w:type="gramEnd"/>
      <w:r w:rsidRPr="00C72DAB">
        <w:rPr>
          <w:rFonts w:eastAsia="Times New Roman"/>
          <w:i/>
        </w:rPr>
        <w:t xml:space="preserve"> and presentation of a substance</w:t>
      </w:r>
    </w:p>
    <w:p w14:paraId="302FDAC8" w14:textId="30827E45" w:rsidR="00A919A4" w:rsidRDefault="00A919A4" w:rsidP="00260E0F">
      <w:pPr>
        <w:pStyle w:val="ListBullet2"/>
        <w:ind w:hanging="425"/>
      </w:pPr>
      <w:r w:rsidRPr="0008378B">
        <w:t xml:space="preserve">Wild Cherry Bark can be made into </w:t>
      </w:r>
      <w:r w:rsidR="000D3B93">
        <w:t>several</w:t>
      </w:r>
      <w:r w:rsidR="000D3B93" w:rsidRPr="0008378B">
        <w:t xml:space="preserve"> </w:t>
      </w:r>
      <w:r w:rsidRPr="0008378B">
        <w:t>oral dose forms</w:t>
      </w:r>
      <w:r>
        <w:t>.</w:t>
      </w:r>
    </w:p>
    <w:p w14:paraId="22B7C0D2" w14:textId="17FD3A44" w:rsidR="00A919A4" w:rsidRDefault="00A919A4" w:rsidP="00DB6B41">
      <w:pPr>
        <w:pStyle w:val="ListBullet2"/>
        <w:spacing w:after="0"/>
        <w:ind w:hanging="425"/>
      </w:pPr>
      <w:r w:rsidRPr="0008378B">
        <w:t xml:space="preserve">Labelling recommendations </w:t>
      </w:r>
      <w:r w:rsidR="00F77DE7">
        <w:t xml:space="preserve">outlined </w:t>
      </w:r>
      <w:r>
        <w:t>by the applicant</w:t>
      </w:r>
      <w:r w:rsidR="00B20873">
        <w:t xml:space="preserve"> for Wild Cherry Bark products</w:t>
      </w:r>
      <w:r>
        <w:t xml:space="preserve"> include</w:t>
      </w:r>
      <w:r w:rsidRPr="0008378B">
        <w:t>:</w:t>
      </w:r>
    </w:p>
    <w:p w14:paraId="7E6D09A8" w14:textId="3F48058E" w:rsidR="00A919A4" w:rsidRDefault="000D3B93" w:rsidP="00260E0F">
      <w:pPr>
        <w:pStyle w:val="ListParagraph"/>
        <w:numPr>
          <w:ilvl w:val="0"/>
          <w:numId w:val="27"/>
        </w:numPr>
        <w:autoSpaceDE w:val="0"/>
        <w:autoSpaceDN w:val="0"/>
        <w:adjustRightInd w:val="0"/>
        <w:spacing w:after="0" w:line="240" w:lineRule="auto"/>
        <w:ind w:left="1701"/>
        <w:rPr>
          <w:rFonts w:cs="Cambria"/>
        </w:rPr>
      </w:pPr>
      <w:r>
        <w:rPr>
          <w:rFonts w:cs="Cambria"/>
        </w:rPr>
        <w:t>f</w:t>
      </w:r>
      <w:r w:rsidR="00A919A4">
        <w:rPr>
          <w:rFonts w:cs="Cambria"/>
        </w:rPr>
        <w:t>or adult use</w:t>
      </w:r>
    </w:p>
    <w:p w14:paraId="38187C46" w14:textId="6AD9931A" w:rsidR="00A919A4" w:rsidRDefault="000D3B93" w:rsidP="00260E0F">
      <w:pPr>
        <w:pStyle w:val="ListParagraph"/>
        <w:numPr>
          <w:ilvl w:val="0"/>
          <w:numId w:val="27"/>
        </w:numPr>
        <w:autoSpaceDE w:val="0"/>
        <w:autoSpaceDN w:val="0"/>
        <w:adjustRightInd w:val="0"/>
        <w:spacing w:after="0" w:line="240" w:lineRule="auto"/>
        <w:ind w:left="1701"/>
        <w:rPr>
          <w:rFonts w:cs="Cambria"/>
        </w:rPr>
      </w:pPr>
      <w:r>
        <w:rPr>
          <w:rFonts w:cs="Cambria"/>
        </w:rPr>
        <w:t>n</w:t>
      </w:r>
      <w:r w:rsidR="00A919A4">
        <w:rPr>
          <w:rFonts w:cs="Cambria"/>
        </w:rPr>
        <w:t>ot for use in pregnancy</w:t>
      </w:r>
      <w:r>
        <w:rPr>
          <w:rFonts w:cs="Cambria"/>
        </w:rPr>
        <w:t>,</w:t>
      </w:r>
      <w:r w:rsidR="00A919A4">
        <w:rPr>
          <w:rFonts w:cs="Cambria"/>
        </w:rPr>
        <w:t xml:space="preserve"> and</w:t>
      </w:r>
    </w:p>
    <w:p w14:paraId="2502E014" w14:textId="71175EBE" w:rsidR="00DB6B41" w:rsidRPr="008A1A04" w:rsidRDefault="000D3B93" w:rsidP="008A1A04">
      <w:pPr>
        <w:pStyle w:val="ListParagraph"/>
        <w:numPr>
          <w:ilvl w:val="0"/>
          <w:numId w:val="27"/>
        </w:numPr>
        <w:autoSpaceDE w:val="0"/>
        <w:autoSpaceDN w:val="0"/>
        <w:adjustRightInd w:val="0"/>
        <w:spacing w:line="240" w:lineRule="auto"/>
        <w:ind w:left="1701"/>
        <w:rPr>
          <w:rFonts w:cs="Cambria"/>
        </w:rPr>
      </w:pPr>
      <w:r>
        <w:rPr>
          <w:rFonts w:cs="Cambria"/>
        </w:rPr>
        <w:t>i</w:t>
      </w:r>
      <w:r w:rsidR="00A919A4" w:rsidRPr="0008378B">
        <w:rPr>
          <w:rFonts w:cs="Cambria"/>
        </w:rPr>
        <w:t>f symptoms persist, seek professional advice</w:t>
      </w:r>
      <w:r w:rsidR="00E1070A">
        <w:rPr>
          <w:rFonts w:cs="Cambria"/>
        </w:rPr>
        <w:t>.</w:t>
      </w:r>
    </w:p>
    <w:p w14:paraId="2792BBD6" w14:textId="77777777" w:rsidR="00A919A4" w:rsidRPr="0008378B" w:rsidRDefault="00A919A4" w:rsidP="00A919A4">
      <w:pPr>
        <w:numPr>
          <w:ilvl w:val="0"/>
          <w:numId w:val="26"/>
        </w:numPr>
        <w:spacing w:before="120" w:after="180" w:line="240" w:lineRule="atLeast"/>
        <w:ind w:left="426" w:firstLine="0"/>
        <w:contextualSpacing/>
        <w:rPr>
          <w:rFonts w:eastAsia="Times New Roman"/>
          <w:i/>
        </w:rPr>
      </w:pPr>
      <w:r w:rsidRPr="0008378B">
        <w:rPr>
          <w:i/>
        </w:rPr>
        <w:t>the potential for abuse of a substance</w:t>
      </w:r>
    </w:p>
    <w:p w14:paraId="433CC155" w14:textId="4A8EB1D2" w:rsidR="00A919A4" w:rsidRDefault="000D3B93" w:rsidP="00260E0F">
      <w:pPr>
        <w:pStyle w:val="ListBullet2"/>
        <w:ind w:hanging="425"/>
      </w:pPr>
      <w:r>
        <w:t xml:space="preserve">There is </w:t>
      </w:r>
      <w:r w:rsidR="00B20873">
        <w:t>evidence</w:t>
      </w:r>
      <w:r w:rsidR="00F77DE7">
        <w:t xml:space="preserve"> </w:t>
      </w:r>
      <w:r w:rsidR="00A919A4">
        <w:t>of amygdalin</w:t>
      </w:r>
      <w:r w:rsidR="009B78BD">
        <w:t xml:space="preserve">-containing products </w:t>
      </w:r>
      <w:r w:rsidR="00F77DE7">
        <w:t xml:space="preserve">being </w:t>
      </w:r>
      <w:r w:rsidR="0071728B">
        <w:t xml:space="preserve">misused </w:t>
      </w:r>
      <w:r w:rsidR="00A919A4">
        <w:t xml:space="preserve">for use as an unapproved treatment for cancer. </w:t>
      </w:r>
      <w:r>
        <w:t>The r</w:t>
      </w:r>
      <w:r w:rsidR="00A919A4">
        <w:t xml:space="preserve">isk of </w:t>
      </w:r>
      <w:r w:rsidR="00F77DE7">
        <w:t xml:space="preserve">diversion </w:t>
      </w:r>
      <w:r w:rsidR="00A919A4">
        <w:t xml:space="preserve">to cancer therapy </w:t>
      </w:r>
      <w:r w:rsidR="00416D53">
        <w:t>is</w:t>
      </w:r>
      <w:r w:rsidR="00A919A4">
        <w:t xml:space="preserve"> low due to limits on dosage. There is no evidence that amygdalin can treat or prevent cancer.</w:t>
      </w:r>
    </w:p>
    <w:p w14:paraId="0CD1A363" w14:textId="7D0F333F" w:rsidR="00A919A4" w:rsidRDefault="00A919A4" w:rsidP="00260E0F">
      <w:pPr>
        <w:pStyle w:val="ListBullet2"/>
        <w:ind w:hanging="425"/>
      </w:pPr>
      <w:r>
        <w:t xml:space="preserve">The bioavailability of hydrocyanic acid </w:t>
      </w:r>
      <w:r w:rsidR="00F77DE7">
        <w:t xml:space="preserve">and </w:t>
      </w:r>
      <w:r>
        <w:t>amygdalin present in Wild Cherry Bark can vary considerably.</w:t>
      </w:r>
      <w:r w:rsidR="004B38A4">
        <w:t xml:space="preserve"> This </w:t>
      </w:r>
      <w:r w:rsidR="007619BC">
        <w:t xml:space="preserve">compounds the risk of exposure to toxic levels </w:t>
      </w:r>
      <w:r w:rsidR="00E93730">
        <w:t>to consumers (which also has high variability).</w:t>
      </w:r>
    </w:p>
    <w:p w14:paraId="6175C7B5" w14:textId="77777777" w:rsidR="00A919A4"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any other matters that the Secretary considers necessary to protect public health</w:t>
      </w:r>
    </w:p>
    <w:p w14:paraId="7E7B542D" w14:textId="4A31A500" w:rsidR="00A919A4" w:rsidRDefault="00E93730" w:rsidP="00260E0F">
      <w:pPr>
        <w:pStyle w:val="ListBullet2"/>
        <w:ind w:hanging="425"/>
      </w:pPr>
      <w:r>
        <w:t xml:space="preserve">No </w:t>
      </w:r>
      <w:r w:rsidR="00A919A4">
        <w:t>lab</w:t>
      </w:r>
      <w:r w:rsidR="000D3B93">
        <w:t>oratorie</w:t>
      </w:r>
      <w:r w:rsidR="00A919A4">
        <w:t>s</w:t>
      </w:r>
      <w:r w:rsidR="00F77DE7">
        <w:t xml:space="preserve"> </w:t>
      </w:r>
      <w:r w:rsidR="00A919A4">
        <w:t xml:space="preserve">in Australia </w:t>
      </w:r>
      <w:r>
        <w:t>currently</w:t>
      </w:r>
      <w:r w:rsidR="00A919A4">
        <w:t xml:space="preserve"> test for </w:t>
      </w:r>
      <w:r w:rsidR="00A919A4" w:rsidRPr="00B93A41">
        <w:t>hydrocyanic acid</w:t>
      </w:r>
      <w:r w:rsidR="00A919A4">
        <w:t xml:space="preserve"> </w:t>
      </w:r>
      <w:r w:rsidR="00F77DE7">
        <w:t>due to</w:t>
      </w:r>
      <w:r w:rsidR="00A919A4">
        <w:t xml:space="preserve"> </w:t>
      </w:r>
      <w:r w:rsidR="00416D53">
        <w:t xml:space="preserve">safety. </w:t>
      </w:r>
      <w:r w:rsidR="00A919A4">
        <w:t>Current testing lacks the sensitivity to detect near 0% concentrations of these substances.</w:t>
      </w:r>
    </w:p>
    <w:p w14:paraId="5C5931FD" w14:textId="4BA98224" w:rsidR="00A919A4" w:rsidRDefault="00A919A4" w:rsidP="00260E0F">
      <w:pPr>
        <w:pStyle w:val="ListBullet2"/>
        <w:ind w:hanging="425"/>
      </w:pPr>
      <w:r>
        <w:t xml:space="preserve">Unscheduled products </w:t>
      </w:r>
      <w:r w:rsidR="00093BAD">
        <w:t xml:space="preserve">containing Wild Cherry Bark </w:t>
      </w:r>
      <w:r>
        <w:t>would have no controls on packaging and labelling through State and Territory legislation.</w:t>
      </w:r>
    </w:p>
    <w:p w14:paraId="64DFA9A0" w14:textId="0A5CCA11" w:rsidR="00A919A4" w:rsidRPr="00C72DAB" w:rsidRDefault="000D3B93" w:rsidP="00260E0F">
      <w:pPr>
        <w:pStyle w:val="ListBullet2"/>
        <w:ind w:hanging="425"/>
      </w:pPr>
      <w:r>
        <w:t>H</w:t>
      </w:r>
      <w:r w:rsidR="00A919A4" w:rsidRPr="00B93A41">
        <w:t>ydrocyanic acid</w:t>
      </w:r>
      <w:r w:rsidR="00A919A4">
        <w:t xml:space="preserve"> fumes </w:t>
      </w:r>
      <w:r>
        <w:t xml:space="preserve">can occur </w:t>
      </w:r>
      <w:r w:rsidR="00A919A4">
        <w:t>when brewed in tea preparations</w:t>
      </w:r>
      <w:r>
        <w:t xml:space="preserve"> due to the low boiling point of </w:t>
      </w:r>
      <w:r w:rsidRPr="00B93A41">
        <w:t>hydrocyanic acid</w:t>
      </w:r>
      <w:r>
        <w:t xml:space="preserve"> (26-35</w:t>
      </w:r>
      <w:r w:rsidR="00E1070A">
        <w:t xml:space="preserve"> </w:t>
      </w:r>
      <w:proofErr w:type="spellStart"/>
      <w:r w:rsidRPr="00E524C8">
        <w:rPr>
          <w:vertAlign w:val="superscript"/>
        </w:rPr>
        <w:t>o</w:t>
      </w:r>
      <w:r>
        <w:t>C</w:t>
      </w:r>
      <w:proofErr w:type="spellEnd"/>
      <w:r>
        <w:t>)</w:t>
      </w:r>
      <w:r w:rsidR="00A919A4">
        <w:t>.</w:t>
      </w:r>
    </w:p>
    <w:p w14:paraId="737B3C7C" w14:textId="77777777" w:rsidR="00A919A4" w:rsidRDefault="00A919A4" w:rsidP="00A919A4">
      <w:pPr>
        <w:pStyle w:val="Heading4"/>
      </w:pPr>
      <w:bookmarkStart w:id="37" w:name="_Toc147325292"/>
      <w:r w:rsidRPr="00C72DAB">
        <w:t>Reasons for the interim decision (including findings on material questions of fact)</w:t>
      </w:r>
      <w:bookmarkEnd w:id="37"/>
    </w:p>
    <w:p w14:paraId="73340304" w14:textId="77300B8B" w:rsidR="00993E5B" w:rsidRDefault="00A919A4" w:rsidP="00A919A4">
      <w:r w:rsidRPr="00D03D66">
        <w:t xml:space="preserve">I have made an interim decision </w:t>
      </w:r>
      <w:r>
        <w:t>to not</w:t>
      </w:r>
      <w:r w:rsidRPr="00D03D66">
        <w:t xml:space="preserve"> amend the current Poisons Standard in relation to amygdalin and hydrocyanic acid.</w:t>
      </w:r>
      <w:r w:rsidR="00B36AD8">
        <w:t xml:space="preserve"> Both amygdalin and hydrocyanic acid scheduling have been considered over recent years</w:t>
      </w:r>
      <w:r w:rsidR="00E25201">
        <w:t xml:space="preserve"> in preparations</w:t>
      </w:r>
      <w:r w:rsidR="00B36AD8">
        <w:t xml:space="preserve"> </w:t>
      </w:r>
      <w:r w:rsidR="004F2C54">
        <w:t xml:space="preserve">for </w:t>
      </w:r>
      <w:r w:rsidR="00E25201">
        <w:t>human therapeutic use</w:t>
      </w:r>
      <w:r w:rsidR="00B36AD8">
        <w:t xml:space="preserve">. </w:t>
      </w:r>
      <w:r w:rsidR="00416D53">
        <w:t>I have made this decision</w:t>
      </w:r>
      <w:r w:rsidR="005E2D6E">
        <w:t xml:space="preserve"> given the lack of </w:t>
      </w:r>
      <w:r w:rsidR="006102B3">
        <w:t>new information addressing</w:t>
      </w:r>
      <w:r w:rsidR="00416D53">
        <w:t xml:space="preserve"> t</w:t>
      </w:r>
      <w:r>
        <w:t>he risks to public health from the toxicity of these substances</w:t>
      </w:r>
      <w:r w:rsidR="006102B3">
        <w:t>, which</w:t>
      </w:r>
      <w:r>
        <w:t xml:space="preserve"> outweigh the potential benefits when used in </w:t>
      </w:r>
      <w:r w:rsidR="00CC00C3">
        <w:t>t</w:t>
      </w:r>
      <w:r>
        <w:t xml:space="preserve">raditional </w:t>
      </w:r>
      <w:r w:rsidR="00CC00C3">
        <w:t>m</w:t>
      </w:r>
      <w:r>
        <w:t>edicines.</w:t>
      </w:r>
      <w:r w:rsidR="00245C47">
        <w:t xml:space="preserve"> </w:t>
      </w:r>
    </w:p>
    <w:p w14:paraId="59CC4753" w14:textId="572341FE" w:rsidR="00A919A4" w:rsidRPr="00D03D66" w:rsidRDefault="00A919A4" w:rsidP="00A919A4">
      <w:r w:rsidRPr="00D03D66">
        <w:t>The detailed reasons for my decision are as follows</w:t>
      </w:r>
      <w:r w:rsidR="000D3B93">
        <w:t>.</w:t>
      </w:r>
    </w:p>
    <w:p w14:paraId="0CD912BF" w14:textId="36B0205D" w:rsidR="00A919A4" w:rsidRDefault="00A919A4" w:rsidP="00A919A4">
      <w:r w:rsidRPr="00D03D66">
        <w:t xml:space="preserve">The Proposal would allow for preparations containing </w:t>
      </w:r>
      <w:r>
        <w:t>Wild Cherry Bark</w:t>
      </w:r>
      <w:r w:rsidRPr="00D03D66">
        <w:t xml:space="preserve"> </w:t>
      </w:r>
      <w:r w:rsidR="009E1920">
        <w:t xml:space="preserve">(which </w:t>
      </w:r>
      <w:r w:rsidRPr="00D03D66">
        <w:t>naturally contain</w:t>
      </w:r>
      <w:r w:rsidR="00416D53">
        <w:t>s</w:t>
      </w:r>
      <w:r w:rsidRPr="00D03D66">
        <w:t xml:space="preserve"> amygdalin and</w:t>
      </w:r>
      <w:r w:rsidR="000034D5" w:rsidRPr="00D03D66">
        <w:t xml:space="preserve"> </w:t>
      </w:r>
      <w:r w:rsidRPr="00D03D66">
        <w:t>hydrocyanic acid</w:t>
      </w:r>
      <w:r w:rsidR="009E1920">
        <w:t>)</w:t>
      </w:r>
      <w:r w:rsidR="00452723">
        <w:t xml:space="preserve"> to </w:t>
      </w:r>
      <w:r w:rsidRPr="00D03D66">
        <w:t>be exempt from current access restrictions</w:t>
      </w:r>
      <w:r w:rsidR="00416D53">
        <w:t xml:space="preserve"> when listed on the ARTG and </w:t>
      </w:r>
      <w:r w:rsidR="00452723">
        <w:t>labelled to exclude use in children or pregnant females</w:t>
      </w:r>
      <w:r w:rsidRPr="00D03D66">
        <w:t>.</w:t>
      </w:r>
      <w:r>
        <w:t xml:space="preserve"> </w:t>
      </w:r>
      <w:r w:rsidRPr="00D03D66">
        <w:t>I agree with the Committee's findings on the relevant provisions of section 52E of the Act</w:t>
      </w:r>
      <w:r>
        <w:t>, that it is not appropriate to down-schedule amygdalin and hydrocyanic acid from Schedule 10 and Schedule 4, respectively, to be unscheduled</w:t>
      </w:r>
      <w:r w:rsidR="00FE4145">
        <w:t xml:space="preserve">. Making </w:t>
      </w:r>
      <w:r w:rsidR="00452723">
        <w:t>such</w:t>
      </w:r>
      <w:r w:rsidR="00910B85">
        <w:t xml:space="preserve"> Wild Cherry Bark preparations</w:t>
      </w:r>
      <w:r w:rsidR="00FE4145">
        <w:t xml:space="preserve"> available for general sale would </w:t>
      </w:r>
      <w:r w:rsidR="00910B85">
        <w:t xml:space="preserve">not meet the </w:t>
      </w:r>
      <w:r w:rsidR="00452723">
        <w:t>explanation</w:t>
      </w:r>
      <w:r w:rsidR="00910B85">
        <w:t xml:space="preserve"> of ‘</w:t>
      </w:r>
      <w:r w:rsidR="00452723">
        <w:t xml:space="preserve">with </w:t>
      </w:r>
      <w:r w:rsidR="00910B85">
        <w:t>reasonable safety’ as outlined in the Handbook.</w:t>
      </w:r>
    </w:p>
    <w:p w14:paraId="7EB0E9D2" w14:textId="3EF881F5" w:rsidR="00A919A4" w:rsidRDefault="00A919A4" w:rsidP="00A919A4">
      <w:r w:rsidRPr="005972DB">
        <w:t xml:space="preserve">I have considered the </w:t>
      </w:r>
      <w:r w:rsidRPr="00D03D66">
        <w:t>21</w:t>
      </w:r>
      <w:r w:rsidRPr="005972DB">
        <w:t xml:space="preserve"> written public submissions received during the pre-meeting consultation period. </w:t>
      </w:r>
      <w:r w:rsidRPr="00D03D66">
        <w:t>12</w:t>
      </w:r>
      <w:r w:rsidRPr="005972DB">
        <w:t xml:space="preserve"> written responses received were fully supportive of the </w:t>
      </w:r>
      <w:r>
        <w:t>P</w:t>
      </w:r>
      <w:r w:rsidRPr="005972DB">
        <w:t xml:space="preserve">roposal, </w:t>
      </w:r>
      <w:r w:rsidRPr="00D03D66">
        <w:t>4</w:t>
      </w:r>
      <w:r w:rsidRPr="005972DB">
        <w:t xml:space="preserve"> partially supportive and </w:t>
      </w:r>
      <w:r w:rsidRPr="00D03D66">
        <w:t>5</w:t>
      </w:r>
      <w:r w:rsidRPr="005972DB">
        <w:t xml:space="preserve"> opposed. </w:t>
      </w:r>
      <w:r w:rsidRPr="00D03D66">
        <w:t xml:space="preserve">Interested parties were also given the choice to select from options to indicate their support or opposition to the proposed amendment without providing a written component. </w:t>
      </w:r>
      <w:r w:rsidR="00FE4145" w:rsidRPr="00D03D66">
        <w:lastRenderedPageBreak/>
        <w:t>36</w:t>
      </w:r>
      <w:r w:rsidR="00FE4145">
        <w:t> </w:t>
      </w:r>
      <w:r w:rsidRPr="00D03D66">
        <w:t xml:space="preserve">responses were received, with 22 supportive, 4 partially supportive and 10 opposed. </w:t>
      </w:r>
      <w:r w:rsidRPr="005972DB">
        <w:t xml:space="preserve">These respondents did not provide reasons for their support or opposition and as a result, the extent of my consideration is limited to noting that the submissions were generally </w:t>
      </w:r>
      <w:r w:rsidRPr="00E524C8">
        <w:t>in favour of</w:t>
      </w:r>
      <w:r w:rsidRPr="005972DB">
        <w:t xml:space="preserve"> the </w:t>
      </w:r>
      <w:r>
        <w:t>P</w:t>
      </w:r>
      <w:r w:rsidRPr="005972DB">
        <w:t>roposal.</w:t>
      </w:r>
    </w:p>
    <w:p w14:paraId="64072595" w14:textId="62FF2C6B" w:rsidR="00A919A4" w:rsidRPr="00A919A4" w:rsidRDefault="00A919A4" w:rsidP="00A919A4">
      <w:pPr>
        <w:pStyle w:val="ListBullet"/>
        <w:numPr>
          <w:ilvl w:val="0"/>
          <w:numId w:val="0"/>
        </w:numPr>
        <w:rPr>
          <w:rFonts w:asciiTheme="minorHAnsi" w:eastAsiaTheme="minorHAnsi" w:hAnsiTheme="minorHAnsi" w:cstheme="minorBidi"/>
          <w:b/>
          <w:bCs/>
          <w:i/>
          <w:iCs/>
          <w:color w:val="0D0D0D" w:themeColor="text1" w:themeTint="F2"/>
        </w:rPr>
      </w:pPr>
      <w:r w:rsidRPr="00A919A4">
        <w:rPr>
          <w:rFonts w:asciiTheme="minorHAnsi" w:eastAsiaTheme="minorHAnsi" w:hAnsiTheme="minorHAnsi" w:cstheme="minorBidi"/>
          <w:b/>
          <w:bCs/>
          <w:i/>
          <w:iCs/>
          <w:color w:val="0D0D0D" w:themeColor="text1" w:themeTint="F2"/>
        </w:rPr>
        <w:t>History of misuse of amygdalin</w:t>
      </w:r>
    </w:p>
    <w:p w14:paraId="0139AE8F" w14:textId="3A6E720E" w:rsidR="00A919A4" w:rsidRDefault="00A919A4" w:rsidP="00A919A4">
      <w:r>
        <w:t xml:space="preserve">As outlined in the 2021 final decision, </w:t>
      </w:r>
      <w:r w:rsidR="000D3B93">
        <w:t>a</w:t>
      </w:r>
      <w:r w:rsidRPr="00D03D66">
        <w:t>mygdalin has</w:t>
      </w:r>
      <w:r>
        <w:t>, in the past,</w:t>
      </w:r>
      <w:r w:rsidRPr="00D03D66">
        <w:t xml:space="preserve"> been inappropriately promoted and used as an alternative cancer treatment, with </w:t>
      </w:r>
      <w:r>
        <w:t xml:space="preserve">unproven </w:t>
      </w:r>
      <w:r w:rsidRPr="00D03D66">
        <w:t xml:space="preserve">claims for use in treating or preventing cancer. </w:t>
      </w:r>
      <w:r w:rsidR="001A399D">
        <w:t>I</w:t>
      </w:r>
      <w:r w:rsidR="001A399D" w:rsidRPr="00D03D66">
        <w:t xml:space="preserve"> </w:t>
      </w:r>
      <w:r w:rsidR="001A399D">
        <w:t>have again considered the</w:t>
      </w:r>
      <w:r w:rsidR="001A399D" w:rsidRPr="00D03D66">
        <w:t xml:space="preserve"> independent </w:t>
      </w:r>
      <w:hyperlink r:id="rId42" w:history="1">
        <w:r w:rsidR="001A399D" w:rsidRPr="009311B1">
          <w:rPr>
            <w:color w:val="1C3AD2"/>
            <w:u w:val="single"/>
          </w:rPr>
          <w:t>scheduling evaluation report</w:t>
        </w:r>
      </w:hyperlink>
      <w:r w:rsidR="001A399D" w:rsidRPr="00682225">
        <w:rPr>
          <w:vertAlign w:val="superscript"/>
        </w:rPr>
        <w:t xml:space="preserve"> </w:t>
      </w:r>
      <w:r w:rsidR="001A399D" w:rsidRPr="00D03D66">
        <w:t xml:space="preserve">published </w:t>
      </w:r>
      <w:r w:rsidR="00920792">
        <w:t xml:space="preserve">in </w:t>
      </w:r>
      <w:r w:rsidR="001A399D" w:rsidRPr="00D03D66">
        <w:t>October</w:t>
      </w:r>
      <w:r w:rsidR="00920792">
        <w:t> </w:t>
      </w:r>
      <w:r w:rsidR="001A399D" w:rsidRPr="00D03D66">
        <w:t>2020 document</w:t>
      </w:r>
      <w:r w:rsidR="001A399D">
        <w:t>ing</w:t>
      </w:r>
      <w:r w:rsidR="001A399D" w:rsidRPr="00D03D66">
        <w:t xml:space="preserve"> 5</w:t>
      </w:r>
      <w:r w:rsidR="001A399D">
        <w:t> </w:t>
      </w:r>
      <w:r w:rsidR="001A399D" w:rsidRPr="00D03D66">
        <w:t>case reports of amygdalin toxicity in adults with daily oral amygdalin</w:t>
      </w:r>
      <w:r w:rsidR="001A399D">
        <w:t xml:space="preserve"> (also known as </w:t>
      </w:r>
      <w:r w:rsidR="001A399D" w:rsidRPr="00D03D66">
        <w:t>laetrile</w:t>
      </w:r>
      <w:r w:rsidR="001A399D">
        <w:t>)</w:t>
      </w:r>
      <w:r w:rsidR="001A399D" w:rsidRPr="00D03D66">
        <w:t xml:space="preserve"> doses ranging from approximately 420 mg to 1.5 g </w:t>
      </w:r>
      <w:r w:rsidR="001A399D">
        <w:t>used in</w:t>
      </w:r>
      <w:r w:rsidR="001A399D" w:rsidRPr="00D03D66">
        <w:t xml:space="preserve"> the treatment of cancer. </w:t>
      </w:r>
      <w:r w:rsidR="00920792">
        <w:t xml:space="preserve">In relation to </w:t>
      </w:r>
      <w:r w:rsidR="00920792" w:rsidRPr="00D03D66">
        <w:t xml:space="preserve">the SPF criteria pertinent to </w:t>
      </w:r>
      <w:r w:rsidR="00920792">
        <w:t>s 52E(1)(e) of the Act</w:t>
      </w:r>
      <w:r w:rsidR="00920792" w:rsidRPr="00D03D66">
        <w:t>, the</w:t>
      </w:r>
      <w:r w:rsidR="00920792">
        <w:t xml:space="preserve"> risk of misuse or diversion of </w:t>
      </w:r>
      <w:r w:rsidR="00920792" w:rsidRPr="0095024E">
        <w:t>amygdalin aligns</w:t>
      </w:r>
      <w:r w:rsidR="00920792">
        <w:t xml:space="preserve"> with the SPF factors for </w:t>
      </w:r>
      <w:r w:rsidR="00920792" w:rsidRPr="00D03D66">
        <w:t>Schedule 10.</w:t>
      </w:r>
      <w:r w:rsidR="00920792">
        <w:t xml:space="preserve"> </w:t>
      </w:r>
      <w:r w:rsidRPr="00D03D66">
        <w:t xml:space="preserve">I note multiple </w:t>
      </w:r>
      <w:r>
        <w:t>Submissions</w:t>
      </w:r>
      <w:r w:rsidRPr="00D03D66">
        <w:t xml:space="preserve"> </w:t>
      </w:r>
      <w:r>
        <w:t xml:space="preserve">stating that </w:t>
      </w:r>
      <w:r w:rsidRPr="00D03D66">
        <w:t>the likelihood of intentional misuse of</w:t>
      </w:r>
      <w:r w:rsidR="000034D5" w:rsidRPr="00D03D66">
        <w:t xml:space="preserve"> </w:t>
      </w:r>
      <w:r w:rsidR="00081F52">
        <w:t>preparations</w:t>
      </w:r>
      <w:r w:rsidR="00081F52" w:rsidRPr="00D03D66">
        <w:t xml:space="preserve"> </w:t>
      </w:r>
      <w:r w:rsidRPr="00D03D66">
        <w:t xml:space="preserve">containing </w:t>
      </w:r>
      <w:r>
        <w:t>Wild Cherry Bark is</w:t>
      </w:r>
      <w:r w:rsidRPr="00D03D66">
        <w:t xml:space="preserve"> unlikely given the low concentration of amygdalin. I also note </w:t>
      </w:r>
      <w:r>
        <w:t>the S</w:t>
      </w:r>
      <w:r w:rsidRPr="00D03D66">
        <w:t xml:space="preserve">ubmissions in support of the </w:t>
      </w:r>
      <w:r>
        <w:t>P</w:t>
      </w:r>
      <w:r w:rsidRPr="00D03D66">
        <w:t>roposal</w:t>
      </w:r>
      <w:r w:rsidR="00920792">
        <w:t xml:space="preserve"> that</w:t>
      </w:r>
      <w:r w:rsidRPr="00D03D66">
        <w:t xml:space="preserve"> recommend restricting availability to registered herbalists </w:t>
      </w:r>
      <w:r w:rsidR="00920792">
        <w:t>to</w:t>
      </w:r>
      <w:r w:rsidRPr="00D03D66">
        <w:t xml:space="preserve"> ameliorate risks associated with misuse and diversion of </w:t>
      </w:r>
      <w:r w:rsidR="00093BAD">
        <w:t>Wild Cherry Bark preparations</w:t>
      </w:r>
      <w:r w:rsidRPr="00D03D66">
        <w:t xml:space="preserve">. </w:t>
      </w:r>
      <w:r w:rsidR="00920792">
        <w:t>In making this decision, I note that</w:t>
      </w:r>
      <w:r>
        <w:t xml:space="preserve"> </w:t>
      </w:r>
      <w:r w:rsidR="000D3B93">
        <w:t xml:space="preserve">the Application provided </w:t>
      </w:r>
      <w:r w:rsidRPr="00D03D66">
        <w:t xml:space="preserve">no evidence that the risk of misuse or diversion of amygdalin </w:t>
      </w:r>
      <w:r w:rsidR="009E1920">
        <w:t>for</w:t>
      </w:r>
      <w:r w:rsidRPr="00D03D66">
        <w:t xml:space="preserve"> cancer treatment </w:t>
      </w:r>
      <w:r>
        <w:t>i</w:t>
      </w:r>
      <w:r w:rsidRPr="00D03D66">
        <w:t xml:space="preserve">s reduced in </w:t>
      </w:r>
      <w:r>
        <w:t xml:space="preserve">Wild Cherry Bark </w:t>
      </w:r>
      <w:r w:rsidRPr="00D03D66">
        <w:t>preparations.</w:t>
      </w:r>
      <w:r w:rsidR="006507B0">
        <w:t xml:space="preserve"> I am of the opinion that</w:t>
      </w:r>
      <w:r w:rsidR="00920792">
        <w:t>,</w:t>
      </w:r>
      <w:r w:rsidR="006507B0">
        <w:t xml:space="preserve"> while the risk of inappropriate use and misuse may be low in these preparations, </w:t>
      </w:r>
      <w:r w:rsidR="00920792">
        <w:t xml:space="preserve">no evidence has been provided that the risk is </w:t>
      </w:r>
      <w:r w:rsidR="006507B0">
        <w:t>negligible.</w:t>
      </w:r>
      <w:r w:rsidR="004B16F8">
        <w:t xml:space="preserve"> </w:t>
      </w:r>
      <w:r w:rsidR="00416E4C">
        <w:t>I also note</w:t>
      </w:r>
      <w:r w:rsidR="00A920EE">
        <w:t xml:space="preserve"> the </w:t>
      </w:r>
      <w:r w:rsidR="009B3661">
        <w:t>public submissions received in support of the Proposal</w:t>
      </w:r>
      <w:r w:rsidR="00A920EE">
        <w:t xml:space="preserve"> which proposed </w:t>
      </w:r>
      <w:r w:rsidR="00B338C3">
        <w:t>restricti</w:t>
      </w:r>
      <w:r w:rsidR="00A920EE">
        <w:t>ons on</w:t>
      </w:r>
      <w:r w:rsidR="00B338C3">
        <w:t xml:space="preserve"> </w:t>
      </w:r>
      <w:r w:rsidR="00A920EE">
        <w:t xml:space="preserve">dispensing </w:t>
      </w:r>
      <w:r w:rsidR="005C6A7D">
        <w:t>to registered herbalists</w:t>
      </w:r>
      <w:r w:rsidR="00A920EE">
        <w:t xml:space="preserve"> to reduce risks to the public. Such a proposal</w:t>
      </w:r>
      <w:r w:rsidR="005C6A7D">
        <w:t xml:space="preserve"> is inconsistent with</w:t>
      </w:r>
      <w:r w:rsidR="00AC5586">
        <w:t xml:space="preserve"> the</w:t>
      </w:r>
      <w:r w:rsidR="005C6A7D">
        <w:t xml:space="preserve"> </w:t>
      </w:r>
      <w:r w:rsidR="000E264F">
        <w:t xml:space="preserve">proposal to </w:t>
      </w:r>
      <w:proofErr w:type="spellStart"/>
      <w:r w:rsidR="00AC5586">
        <w:t>unschedule</w:t>
      </w:r>
      <w:proofErr w:type="spellEnd"/>
      <w:r w:rsidR="00AC5586">
        <w:t xml:space="preserve"> </w:t>
      </w:r>
      <w:r w:rsidR="000E264F">
        <w:t>these substances in</w:t>
      </w:r>
      <w:r w:rsidR="00AC5586">
        <w:t xml:space="preserve"> </w:t>
      </w:r>
      <w:r w:rsidR="001A399D">
        <w:t>Wild Cherry Bark</w:t>
      </w:r>
      <w:r w:rsidR="00CC00C3">
        <w:t xml:space="preserve"> preparations</w:t>
      </w:r>
      <w:r w:rsidR="006507B0">
        <w:t xml:space="preserve">. Unscheduled access to Wild Cherry Bark preparations provides </w:t>
      </w:r>
      <w:r w:rsidR="001A399D">
        <w:t xml:space="preserve">access without oversight of </w:t>
      </w:r>
      <w:r w:rsidR="00DB3519">
        <w:t>any healthcare</w:t>
      </w:r>
      <w:r w:rsidR="001A399D">
        <w:t xml:space="preserve"> professional</w:t>
      </w:r>
      <w:r w:rsidR="00920792">
        <w:t>. As such, i</w:t>
      </w:r>
      <w:r w:rsidR="006507B0">
        <w:t xml:space="preserve">f oversight is </w:t>
      </w:r>
      <w:r w:rsidR="00A920EE">
        <w:t xml:space="preserve">considered necessary </w:t>
      </w:r>
      <w:r w:rsidR="006507B0">
        <w:t xml:space="preserve">to prevent </w:t>
      </w:r>
      <w:r w:rsidR="00920792">
        <w:t xml:space="preserve">potential </w:t>
      </w:r>
      <w:r w:rsidR="006507B0">
        <w:t>misuse, then general sale is not appropriate</w:t>
      </w:r>
      <w:r w:rsidR="001A399D">
        <w:t xml:space="preserve">. </w:t>
      </w:r>
    </w:p>
    <w:p w14:paraId="1CEA46DE" w14:textId="77777777" w:rsidR="00A919A4" w:rsidRPr="00000446" w:rsidRDefault="00A919A4" w:rsidP="00A919A4">
      <w:pPr>
        <w:rPr>
          <w:b/>
          <w:bCs/>
          <w:i/>
          <w:iCs/>
        </w:rPr>
      </w:pPr>
      <w:r>
        <w:rPr>
          <w:b/>
          <w:bCs/>
          <w:i/>
          <w:iCs/>
        </w:rPr>
        <w:t>Considerations of therapeutic use and toxic dose</w:t>
      </w:r>
    </w:p>
    <w:p w14:paraId="62AD7EDA" w14:textId="6E3E18BF" w:rsidR="00A919A4" w:rsidRDefault="00A919A4" w:rsidP="00A919A4">
      <w:r>
        <w:t>In weighing the considerations of s</w:t>
      </w:r>
      <w:r w:rsidR="009E78AE">
        <w:t> </w:t>
      </w:r>
      <w:r w:rsidRPr="00D03D66">
        <w:t>52E(1)(a)</w:t>
      </w:r>
      <w:r>
        <w:t>, (b), (c)</w:t>
      </w:r>
      <w:r w:rsidRPr="00D03D66">
        <w:t>,</w:t>
      </w:r>
      <w:r>
        <w:t xml:space="preserve"> and (d),</w:t>
      </w:r>
      <w:r w:rsidRPr="00D03D66">
        <w:t xml:space="preserve"> I am of the view that the</w:t>
      </w:r>
      <w:r w:rsidR="002337CF">
        <w:t xml:space="preserve"> </w:t>
      </w:r>
      <w:r>
        <w:t>therapeutic</w:t>
      </w:r>
      <w:r w:rsidRPr="00D03D66">
        <w:t xml:space="preserve"> benefits </w:t>
      </w:r>
      <w:r w:rsidR="00C051B6">
        <w:t>outlined in the</w:t>
      </w:r>
      <w:r w:rsidRPr="00D03D66">
        <w:t xml:space="preserve"> Proposal do not outweigh the potential risk</w:t>
      </w:r>
      <w:r w:rsidR="000D3B93">
        <w:t>s</w:t>
      </w:r>
      <w:r>
        <w:t xml:space="preserve"> of toxicity from </w:t>
      </w:r>
      <w:r w:rsidR="000D3B93">
        <w:t>both</w:t>
      </w:r>
      <w:r w:rsidR="002337CF">
        <w:t xml:space="preserve"> </w:t>
      </w:r>
      <w:r>
        <w:t>amygdalin and hydrocyanic acid in Wild Cherry Bark when used in</w:t>
      </w:r>
      <w:r w:rsidR="00CC00C3">
        <w:t xml:space="preserve"> t</w:t>
      </w:r>
      <w:r>
        <w:t xml:space="preserve">raditional </w:t>
      </w:r>
      <w:r w:rsidR="00CC00C3">
        <w:t>m</w:t>
      </w:r>
      <w:r>
        <w:t>edicine</w:t>
      </w:r>
      <w:r w:rsidRPr="00D03D66">
        <w:t>.</w:t>
      </w:r>
    </w:p>
    <w:p w14:paraId="34E84C1F" w14:textId="766F1212" w:rsidR="00A919A4" w:rsidRDefault="00A919A4" w:rsidP="00CC00C3">
      <w:r>
        <w:t xml:space="preserve">I have considered responses received from various peak bodies, such as Complementary Medicines Australia, Torrens University Australia and the </w:t>
      </w:r>
      <w:r w:rsidRPr="00C17C24">
        <w:t>Australian Traditional Medicine Society</w:t>
      </w:r>
      <w:r>
        <w:t xml:space="preserve"> highlighting the historic use of Wild Cherry Bark as a </w:t>
      </w:r>
      <w:r w:rsidR="00CC00C3">
        <w:t>t</w:t>
      </w:r>
      <w:r>
        <w:t xml:space="preserve">raditional </w:t>
      </w:r>
      <w:r w:rsidR="00CC00C3">
        <w:t>m</w:t>
      </w:r>
      <w:r>
        <w:t xml:space="preserve">edicine for its antitussive properties with no </w:t>
      </w:r>
      <w:r w:rsidR="00FD6B11">
        <w:t xml:space="preserve">reports of </w:t>
      </w:r>
      <w:r>
        <w:t xml:space="preserve">adverse </w:t>
      </w:r>
      <w:r w:rsidR="002337CF">
        <w:t>events</w:t>
      </w:r>
      <w:r>
        <w:t xml:space="preserve">. </w:t>
      </w:r>
      <w:r w:rsidR="00FD6B11">
        <w:t>Reflecting on these s</w:t>
      </w:r>
      <w:r w:rsidR="00490657">
        <w:t>ubmissions</w:t>
      </w:r>
      <w:r w:rsidR="00FD6B11">
        <w:t xml:space="preserve">, I am of the opinion that the </w:t>
      </w:r>
      <w:r w:rsidR="00490657">
        <w:t xml:space="preserve">lack of </w:t>
      </w:r>
      <w:r w:rsidR="00FD6B11">
        <w:t xml:space="preserve">adverse </w:t>
      </w:r>
      <w:r w:rsidR="00FD6B11" w:rsidRPr="00FD6B11">
        <w:t xml:space="preserve">events reported in Australia for medicines containing </w:t>
      </w:r>
      <w:r w:rsidR="00FD6B11">
        <w:t>W</w:t>
      </w:r>
      <w:r w:rsidR="00FD6B11" w:rsidRPr="00FD6B11">
        <w:t xml:space="preserve">ild </w:t>
      </w:r>
      <w:r w:rsidR="00FD6B11">
        <w:t>C</w:t>
      </w:r>
      <w:r w:rsidR="00FD6B11" w:rsidRPr="00FD6B11">
        <w:t xml:space="preserve">herry </w:t>
      </w:r>
      <w:r w:rsidR="00FD6B11">
        <w:t>B</w:t>
      </w:r>
      <w:r w:rsidR="00FD6B11" w:rsidRPr="00FD6B11">
        <w:t>ark</w:t>
      </w:r>
      <w:r w:rsidR="00FD6B11">
        <w:t xml:space="preserve"> is due to the Schedule 10 listing of amygdalin in the Poisons Standard and the requirement of 0% amygdalin content in the Permissible Ingredients Determination</w:t>
      </w:r>
      <w:r w:rsidR="00490657">
        <w:t xml:space="preserve">, ensuring that there are no medicines containing Wild Cherry Bark in Australia. In addition, </w:t>
      </w:r>
      <w:r>
        <w:t xml:space="preserve">outside of the </w:t>
      </w:r>
      <w:r w:rsidR="00CC00C3">
        <w:t>t</w:t>
      </w:r>
      <w:r>
        <w:t xml:space="preserve">raditional </w:t>
      </w:r>
      <w:r w:rsidR="000D3B93">
        <w:t>m</w:t>
      </w:r>
      <w:r>
        <w:t xml:space="preserve">edicine paradigm, the Application has not provided </w:t>
      </w:r>
      <w:r w:rsidRPr="00D03D66">
        <w:t xml:space="preserve">substantial </w:t>
      </w:r>
      <w:r>
        <w:t>evidence of established therapeutic value or</w:t>
      </w:r>
      <w:r w:rsidRPr="00D03D66">
        <w:t xml:space="preserve"> efficacy</w:t>
      </w:r>
      <w:r>
        <w:t xml:space="preserve"> </w:t>
      </w:r>
      <w:r w:rsidR="00093BAD">
        <w:t xml:space="preserve">from </w:t>
      </w:r>
      <w:r w:rsidRPr="00D03D66">
        <w:t>scientific evidence</w:t>
      </w:r>
      <w:r w:rsidR="00093BAD">
        <w:t xml:space="preserve">. I </w:t>
      </w:r>
      <w:r>
        <w:t xml:space="preserve">also note that the use of </w:t>
      </w:r>
      <w:r w:rsidR="00093BAD">
        <w:t>Wild Cherry Bark</w:t>
      </w:r>
      <w:r>
        <w:t xml:space="preserve"> in </w:t>
      </w:r>
      <w:r w:rsidR="000D3B93">
        <w:t>t</w:t>
      </w:r>
      <w:r>
        <w:t xml:space="preserve">raditional </w:t>
      </w:r>
      <w:r w:rsidR="000D3B93">
        <w:t>m</w:t>
      </w:r>
      <w:r>
        <w:t xml:space="preserve">edicines is primarily </w:t>
      </w:r>
      <w:r w:rsidR="00093BAD">
        <w:t>for</w:t>
      </w:r>
      <w:r>
        <w:t xml:space="preserve"> the treatment of self-limiting conditions.</w:t>
      </w:r>
    </w:p>
    <w:p w14:paraId="2933E902" w14:textId="6484F85E" w:rsidR="00C037BD" w:rsidRDefault="00A919A4" w:rsidP="00A919A4">
      <w:r>
        <w:t xml:space="preserve">In relation to the risk of toxicity from </w:t>
      </w:r>
      <w:r w:rsidRPr="00D03D66">
        <w:t xml:space="preserve">amygdalin and </w:t>
      </w:r>
      <w:r w:rsidRPr="00B93A41">
        <w:t>hydrocyanic acid</w:t>
      </w:r>
      <w:r>
        <w:t xml:space="preserve"> in Wild Cherry Bark, and the proposed limits of a maximum recommended daily dose of 5 mg for amygdalin and 0.3 mg hydrocyanic acid, i</w:t>
      </w:r>
      <w:r w:rsidRPr="00D03D66">
        <w:t xml:space="preserve">nsufficient evidence was provided </w:t>
      </w:r>
      <w:r>
        <w:t xml:space="preserve">in </w:t>
      </w:r>
      <w:r w:rsidRPr="00D03D66">
        <w:t xml:space="preserve">the </w:t>
      </w:r>
      <w:r>
        <w:t>A</w:t>
      </w:r>
      <w:r w:rsidRPr="00D03D66">
        <w:t>pplica</w:t>
      </w:r>
      <w:r>
        <w:t>tion</w:t>
      </w:r>
      <w:r w:rsidRPr="00D03D66">
        <w:t xml:space="preserve"> to assure </w:t>
      </w:r>
      <w:r>
        <w:t xml:space="preserve">me </w:t>
      </w:r>
      <w:r w:rsidRPr="00D03D66">
        <w:t>that the</w:t>
      </w:r>
      <w:r>
        <w:t xml:space="preserve">se limits </w:t>
      </w:r>
      <w:r w:rsidRPr="00D03D66">
        <w:t>would not produce toxicity</w:t>
      </w:r>
      <w:r w:rsidR="00093BAD">
        <w:t xml:space="preserve"> following exposure</w:t>
      </w:r>
      <w:r w:rsidRPr="00D03D66">
        <w:t>.</w:t>
      </w:r>
      <w:r>
        <w:t xml:space="preserve"> I note the Submissions from multiple peak bodies, including </w:t>
      </w:r>
      <w:r w:rsidR="00093BAD">
        <w:t xml:space="preserve">the </w:t>
      </w:r>
      <w:r w:rsidRPr="00E3160C">
        <w:t>Naturopaths and Herbalists Association of Australia</w:t>
      </w:r>
      <w:r>
        <w:t>, stating that there is insufficient evidence of health risks when the amygdalin dose is below 5 mg</w:t>
      </w:r>
      <w:r w:rsidR="00093BAD">
        <w:t>. However</w:t>
      </w:r>
      <w:r>
        <w:t>,</w:t>
      </w:r>
      <w:r w:rsidR="002337CF">
        <w:t xml:space="preserve"> </w:t>
      </w:r>
      <w:r w:rsidR="00063FD7">
        <w:rPr>
          <w:rStyle w:val="normaltextrun"/>
          <w:color w:val="000000"/>
          <w:shd w:val="clear" w:color="auto" w:fill="FFFFFF"/>
        </w:rPr>
        <w:t xml:space="preserve">I </w:t>
      </w:r>
      <w:proofErr w:type="gramStart"/>
      <w:r w:rsidR="00063FD7">
        <w:rPr>
          <w:rStyle w:val="normaltextrun"/>
          <w:color w:val="000000"/>
          <w:shd w:val="clear" w:color="auto" w:fill="FFFFFF"/>
        </w:rPr>
        <w:t>am in agreement</w:t>
      </w:r>
      <w:proofErr w:type="gramEnd"/>
      <w:r w:rsidR="00063FD7">
        <w:rPr>
          <w:rStyle w:val="normaltextrun"/>
          <w:color w:val="000000"/>
          <w:shd w:val="clear" w:color="auto" w:fill="FFFFFF"/>
        </w:rPr>
        <w:t xml:space="preserve"> with the Committee’s advice that the bioavailability of hydrocyanic acid and amygdalin present in Wild </w:t>
      </w:r>
      <w:r w:rsidR="00063FD7">
        <w:rPr>
          <w:rStyle w:val="normaltextrun"/>
          <w:color w:val="000000"/>
          <w:shd w:val="clear" w:color="auto" w:fill="FFFFFF"/>
        </w:rPr>
        <w:lastRenderedPageBreak/>
        <w:t xml:space="preserve">Cherry Bark can vary considerably, and that this variability increases the risk of consumer exposure to toxic levels. </w:t>
      </w:r>
      <w:r w:rsidR="00123C37">
        <w:t>F</w:t>
      </w:r>
      <w:r w:rsidR="00047B28">
        <w:t xml:space="preserve">urthermore, </w:t>
      </w:r>
      <w:r w:rsidR="008D2072">
        <w:t>amygdalin levels</w:t>
      </w:r>
      <w:r w:rsidR="00340182">
        <w:t xml:space="preserve"> </w:t>
      </w:r>
      <w:r w:rsidR="00123C37">
        <w:t xml:space="preserve">can </w:t>
      </w:r>
      <w:r w:rsidR="00340182">
        <w:t xml:space="preserve">vary substantially in </w:t>
      </w:r>
      <w:r w:rsidR="00123C37">
        <w:t xml:space="preserve">Wild Cherry Bark, giving rise to greater </w:t>
      </w:r>
      <w:r w:rsidR="00D50E17">
        <w:t>hydrocyanic acid levels through</w:t>
      </w:r>
      <w:r w:rsidR="008D2072">
        <w:t xml:space="preserve"> amygdalin hydrolysis</w:t>
      </w:r>
      <w:r w:rsidR="00BA3140">
        <w:t>. It is</w:t>
      </w:r>
      <w:r w:rsidR="00D747B7">
        <w:t xml:space="preserve"> als</w:t>
      </w:r>
      <w:r w:rsidR="0058279F">
        <w:t>o</w:t>
      </w:r>
      <w:r w:rsidR="00BA3140">
        <w:t xml:space="preserve"> important to note that Wild</w:t>
      </w:r>
      <w:r w:rsidR="00743336">
        <w:t> </w:t>
      </w:r>
      <w:r w:rsidR="00BA3140">
        <w:t>Che</w:t>
      </w:r>
      <w:r w:rsidR="00983468">
        <w:t>r</w:t>
      </w:r>
      <w:r w:rsidR="00BA3140">
        <w:t>ry Bark contains both amygdalin (</w:t>
      </w:r>
      <w:r w:rsidR="001651C8">
        <w:t>62-242 mg/kg</w:t>
      </w:r>
      <w:r w:rsidR="00D747B7">
        <w:t xml:space="preserve"> dried bark</w:t>
      </w:r>
      <w:r w:rsidR="001651C8">
        <w:t xml:space="preserve">) and hydrocyanic </w:t>
      </w:r>
      <w:r w:rsidR="00491890">
        <w:t>acid (100-520</w:t>
      </w:r>
      <w:r w:rsidR="00743336">
        <w:t xml:space="preserve"> </w:t>
      </w:r>
      <w:r w:rsidR="00491890">
        <w:t>mg/</w:t>
      </w:r>
      <w:r w:rsidR="00D747B7">
        <w:t>kg dried bark</w:t>
      </w:r>
      <w:r w:rsidR="00491890">
        <w:t>)</w:t>
      </w:r>
      <w:r w:rsidR="00046BFA">
        <w:t xml:space="preserve"> (Data </w:t>
      </w:r>
      <w:r w:rsidR="00C0317B">
        <w:t xml:space="preserve">provided by the Applicant and </w:t>
      </w:r>
      <w:r w:rsidR="00046BFA">
        <w:t xml:space="preserve">noted in the </w:t>
      </w:r>
      <w:r w:rsidR="00C0317B">
        <w:t>A</w:t>
      </w:r>
      <w:r w:rsidR="00046BFA">
        <w:t>pplication</w:t>
      </w:r>
      <w:r w:rsidR="00C0317B">
        <w:t>).</w:t>
      </w:r>
      <w:r w:rsidR="00770DB3">
        <w:t xml:space="preserve"> </w:t>
      </w:r>
    </w:p>
    <w:p w14:paraId="4EBD1807" w14:textId="2FAC4CDF" w:rsidR="00A919A4" w:rsidRPr="00743336" w:rsidRDefault="00770DB3" w:rsidP="00A919A4">
      <w:r>
        <w:t>T</w:t>
      </w:r>
      <w:r w:rsidR="00F30AA5">
        <w:t xml:space="preserve">aking the contribution of both endogenous levels of </w:t>
      </w:r>
      <w:r w:rsidR="008060E1">
        <w:t xml:space="preserve">hydrocyanic acid and that </w:t>
      </w:r>
      <w:r w:rsidR="00886A86">
        <w:t xml:space="preserve">from the hydrolysis of amygdalin, </w:t>
      </w:r>
      <w:r>
        <w:t>consumption of ap</w:t>
      </w:r>
      <w:r w:rsidR="00644877">
        <w:t>proximately 21 g of</w:t>
      </w:r>
      <w:r w:rsidR="00D50E17">
        <w:t xml:space="preserve"> Wild Cherry Bark with a</w:t>
      </w:r>
      <w:r w:rsidR="00A919A4" w:rsidRPr="00D03D66">
        <w:t>n amygdalin content of 5</w:t>
      </w:r>
      <w:r w:rsidR="00743336">
        <w:t> </w:t>
      </w:r>
      <w:r w:rsidR="00A919A4" w:rsidRPr="00D03D66">
        <w:t>mg</w:t>
      </w:r>
      <w:r w:rsidR="00644877">
        <w:t xml:space="preserve"> could release </w:t>
      </w:r>
      <w:r w:rsidR="0000186F">
        <w:t>approximately 0.3 mg of hydrocyanic acid</w:t>
      </w:r>
      <w:r w:rsidR="00762ED1">
        <w:t xml:space="preserve"> </w:t>
      </w:r>
      <w:r w:rsidR="00FE14F6">
        <w:t>via hydrolysis</w:t>
      </w:r>
      <w:r w:rsidR="00743336">
        <w:t>,</w:t>
      </w:r>
      <w:r w:rsidR="00FE14F6">
        <w:t xml:space="preserve"> together with 10.</w:t>
      </w:r>
      <w:r w:rsidR="000D25B8">
        <w:t xml:space="preserve">7 mg of hydrocyanic acid </w:t>
      </w:r>
      <w:r w:rsidR="00C037BD">
        <w:t xml:space="preserve">that is </w:t>
      </w:r>
      <w:r w:rsidR="000D25B8">
        <w:t xml:space="preserve">already present in the bark. This could </w:t>
      </w:r>
      <w:r w:rsidR="00A919A4" w:rsidRPr="00D03D66">
        <w:t>potentially yield</w:t>
      </w:r>
      <w:r w:rsidR="000D25B8">
        <w:t xml:space="preserve"> up</w:t>
      </w:r>
      <w:r w:rsidR="00A919A4" w:rsidRPr="00D03D66">
        <w:t xml:space="preserve"> 11 mg of hydrocyanic acid</w:t>
      </w:r>
      <w:r w:rsidR="00A33A8A">
        <w:t xml:space="preserve">. </w:t>
      </w:r>
      <w:r w:rsidR="000D6AD7">
        <w:t>The</w:t>
      </w:r>
      <w:r w:rsidR="00A919A4">
        <w:t xml:space="preserve"> Application did not factor endogenous levels of </w:t>
      </w:r>
      <w:r w:rsidR="00A919A4" w:rsidRPr="00B93A41">
        <w:t>hydrocyanic acid</w:t>
      </w:r>
      <w:r w:rsidR="00A919A4">
        <w:t xml:space="preserve"> into their calculations for total </w:t>
      </w:r>
      <w:r w:rsidR="00A919A4" w:rsidRPr="00B93A41">
        <w:t>hydrocyanic acid</w:t>
      </w:r>
      <w:r w:rsidR="00A919A4">
        <w:t xml:space="preserve"> within Wild Cherry Bark, significantly increasing the risk of cyanide poisoning from these preparations. </w:t>
      </w:r>
      <w:r w:rsidR="00534FA2">
        <w:t>As a result, t</w:t>
      </w:r>
      <w:r w:rsidR="00306561">
        <w:t>he calculations provided in the Application</w:t>
      </w:r>
      <w:r w:rsidR="00A33A8A">
        <w:t xml:space="preserve"> do not assure me that </w:t>
      </w:r>
      <w:r w:rsidR="00E26DD1">
        <w:t xml:space="preserve">the proposed </w:t>
      </w:r>
      <w:r w:rsidR="00E26DD1" w:rsidRPr="00306561">
        <w:t>recommended daily doses</w:t>
      </w:r>
      <w:r w:rsidR="00E26DD1">
        <w:t xml:space="preserve"> would correlate to a safe </w:t>
      </w:r>
      <w:r w:rsidR="00306561" w:rsidRPr="00306561">
        <w:t>total hydrocyanic acid level</w:t>
      </w:r>
      <w:r w:rsidR="00FE4145">
        <w:t>. T</w:t>
      </w:r>
      <w:r w:rsidR="00A33A8A">
        <w:t>herefore</w:t>
      </w:r>
      <w:r w:rsidR="00FE4145">
        <w:t>,</w:t>
      </w:r>
      <w:r w:rsidR="00A33A8A">
        <w:t xml:space="preserve"> </w:t>
      </w:r>
      <w:r w:rsidR="00E26DD1">
        <w:t xml:space="preserve">I am </w:t>
      </w:r>
      <w:r w:rsidR="00A919A4">
        <w:t xml:space="preserve">not satisfied that the risks of toxicity are sufficiently mitigated to </w:t>
      </w:r>
      <w:r w:rsidR="00093BAD">
        <w:t>justify changing the schedule entries for amygdalin and hydrocyanic acid</w:t>
      </w:r>
      <w:r w:rsidR="00A919A4">
        <w:t>.</w:t>
      </w:r>
    </w:p>
    <w:p w14:paraId="474FAB6B" w14:textId="6E49FE36" w:rsidR="00A919A4" w:rsidRDefault="00C21B58" w:rsidP="00A919A4">
      <w:r>
        <w:t>On consideration of</w:t>
      </w:r>
      <w:r w:rsidR="00A919A4" w:rsidRPr="00D03D66">
        <w:t xml:space="preserve"> the SPF factors, I am of the view that the risk profile of these substances is consistent with Schedule 4, factor 5 </w:t>
      </w:r>
      <w:r w:rsidR="000D3B93">
        <w:t xml:space="preserve">(for therapeutic use of hydrocyanic acid) </w:t>
      </w:r>
      <w:r w:rsidR="00A919A4" w:rsidRPr="00D03D66">
        <w:t xml:space="preserve">and Schedule 10 factors </w:t>
      </w:r>
      <w:r w:rsidR="000D3B93">
        <w:t xml:space="preserve">(for amygdalin) </w:t>
      </w:r>
      <w:r w:rsidR="00A919A4" w:rsidRPr="00D03D66">
        <w:t>of the SPF</w:t>
      </w:r>
      <w:r w:rsidR="000D3B93">
        <w:t>. This is because</w:t>
      </w:r>
      <w:r w:rsidR="00A919A4" w:rsidRPr="00D03D66">
        <w:t xml:space="preserve"> the margin of safety between the therapeutic and toxic dose of the substance is such that it requires medical</w:t>
      </w:r>
      <w:r w:rsidR="00A919A4">
        <w:t xml:space="preserve"> </w:t>
      </w:r>
      <w:r w:rsidR="00A919A4" w:rsidRPr="00D03D66">
        <w:t>intervention</w:t>
      </w:r>
      <w:r w:rsidR="00A919A4">
        <w:t xml:space="preserve"> </w:t>
      </w:r>
      <w:r w:rsidR="00A919A4" w:rsidRPr="00247158">
        <w:t>to minimise the risk of using the substance</w:t>
      </w:r>
      <w:r w:rsidR="00A919A4" w:rsidRPr="00D03D66">
        <w:t>.</w:t>
      </w:r>
    </w:p>
    <w:p w14:paraId="567010C5" w14:textId="344C2C48" w:rsidR="00A919A4" w:rsidRDefault="00A919A4" w:rsidP="00A919A4">
      <w:r>
        <w:t xml:space="preserve">In making this decision, I have also considered the implications of </w:t>
      </w:r>
      <w:r w:rsidR="00790CDB">
        <w:t xml:space="preserve">implementing </w:t>
      </w:r>
      <w:r w:rsidR="001F1A72">
        <w:t xml:space="preserve">a concentration cut-off for </w:t>
      </w:r>
      <w:r w:rsidR="00E26DD1">
        <w:t xml:space="preserve">amygdalin and hydrocyanic acid </w:t>
      </w:r>
      <w:r w:rsidR="009B12BB">
        <w:t>in Wild Cherry Bark</w:t>
      </w:r>
      <w:r w:rsidR="00E26DD1">
        <w:t xml:space="preserve"> preparations</w:t>
      </w:r>
      <w:r w:rsidR="009B12BB">
        <w:t>,</w:t>
      </w:r>
      <w:r w:rsidR="00E26DD1">
        <w:t xml:space="preserve"> and the impact this will have on </w:t>
      </w:r>
      <w:r>
        <w:t>quality control</w:t>
      </w:r>
      <w:r w:rsidR="00E26DD1">
        <w:t xml:space="preserve"> </w:t>
      </w:r>
      <w:r w:rsidR="002337CF">
        <w:t xml:space="preserve">of </w:t>
      </w:r>
      <w:r w:rsidR="00E26DD1">
        <w:t>any products</w:t>
      </w:r>
      <w:r>
        <w:t>. As emphasised above, the</w:t>
      </w:r>
      <w:r w:rsidR="00871434">
        <w:t xml:space="preserve"> </w:t>
      </w:r>
      <w:r>
        <w:t xml:space="preserve">potential for high variability of amygdalin and </w:t>
      </w:r>
      <w:r w:rsidRPr="00B93A41">
        <w:t>hydrocyanic acid</w:t>
      </w:r>
      <w:r>
        <w:t xml:space="preserve"> levels in Wild Cherry Bark </w:t>
      </w:r>
      <w:r w:rsidR="009B12BB">
        <w:t xml:space="preserve">would </w:t>
      </w:r>
      <w:r>
        <w:t xml:space="preserve">require stringent and sensitive methods for the testing of amygdalin and hydrocyanic </w:t>
      </w:r>
      <w:r w:rsidR="00093BAD">
        <w:t xml:space="preserve">acid </w:t>
      </w:r>
      <w:r>
        <w:t xml:space="preserve">content. </w:t>
      </w:r>
      <w:r w:rsidR="00472EEB">
        <w:rPr>
          <w:rStyle w:val="normaltextrun"/>
          <w:color w:val="000000"/>
          <w:shd w:val="clear" w:color="auto" w:fill="FFFFFF"/>
        </w:rPr>
        <w:t xml:space="preserve">I </w:t>
      </w:r>
      <w:proofErr w:type="gramStart"/>
      <w:r w:rsidR="00472EEB">
        <w:rPr>
          <w:rStyle w:val="normaltextrun"/>
          <w:color w:val="000000"/>
          <w:shd w:val="clear" w:color="auto" w:fill="FFFFFF"/>
        </w:rPr>
        <w:t>am in agreement</w:t>
      </w:r>
      <w:proofErr w:type="gramEnd"/>
      <w:r w:rsidR="00472EEB">
        <w:rPr>
          <w:rStyle w:val="normaltextrun"/>
          <w:color w:val="000000"/>
          <w:shd w:val="clear" w:color="auto" w:fill="FFFFFF"/>
        </w:rPr>
        <w:t xml:space="preserve"> with the Committee’s advice that Wild Cherry Bark product quality control would be difficult to reliably achieve due to the high variability of amygdalin and hydrocyanic acid content in Wild Cherry Bark. In making my decision, </w:t>
      </w:r>
      <w:r w:rsidR="00472EEB">
        <w:rPr>
          <w:color w:val="171717" w:themeColor="background2" w:themeShade="1A"/>
        </w:rPr>
        <w:t>i</w:t>
      </w:r>
      <w:r>
        <w:rPr>
          <w:color w:val="171717" w:themeColor="background2" w:themeShade="1A"/>
        </w:rPr>
        <w:t xml:space="preserve">nvestigation into the current testing practices for detection of hydrocyanic acid has revealed that there is a current </w:t>
      </w:r>
      <w:r>
        <w:t xml:space="preserve">lack of available </w:t>
      </w:r>
      <w:r w:rsidRPr="00B93A41">
        <w:t>hydrocyanic acid</w:t>
      </w:r>
      <w:r w:rsidRPr="00D03D66">
        <w:t xml:space="preserve"> testing nationally</w:t>
      </w:r>
      <w:r>
        <w:t>,</w:t>
      </w:r>
      <w:r w:rsidRPr="00D03D66">
        <w:t xml:space="preserve"> </w:t>
      </w:r>
      <w:r>
        <w:t xml:space="preserve">and where available, the </w:t>
      </w:r>
      <w:r w:rsidR="002337CF">
        <w:t>techniques carry considerable health risk to those conducting the testing</w:t>
      </w:r>
      <w:r>
        <w:t>, while not being adequately robust or sensitive in their detection.</w:t>
      </w:r>
      <w:r w:rsidR="00263B1E">
        <w:t xml:space="preserve"> </w:t>
      </w:r>
      <w:r w:rsidR="00472EEB">
        <w:t>Therefore, I am of the opinion that industry is not capable</w:t>
      </w:r>
      <w:r w:rsidR="007A07FB">
        <w:t xml:space="preserve"> at this time to undertake</w:t>
      </w:r>
      <w:r w:rsidR="00B0292E">
        <w:t xml:space="preserve"> reproducible testing of </w:t>
      </w:r>
      <w:r w:rsidR="00472EEB">
        <w:t>amygdalin and hydrocyanic acid content in Wild Cherry Bark preparations if a concentration cut-off were implemented in the Poisons Standard.</w:t>
      </w:r>
    </w:p>
    <w:p w14:paraId="24403ACC" w14:textId="692508D5" w:rsidR="00A919A4" w:rsidRPr="00000446" w:rsidRDefault="000D3B93" w:rsidP="00A919A4">
      <w:pPr>
        <w:rPr>
          <w:b/>
          <w:bCs/>
          <w:i/>
          <w:iCs/>
        </w:rPr>
      </w:pPr>
      <w:r>
        <w:rPr>
          <w:b/>
          <w:bCs/>
          <w:i/>
          <w:iCs/>
        </w:rPr>
        <w:t>T</w:t>
      </w:r>
      <w:r w:rsidR="00A919A4">
        <w:rPr>
          <w:b/>
          <w:bCs/>
          <w:i/>
          <w:iCs/>
        </w:rPr>
        <w:t>he food-therapeutic interface</w:t>
      </w:r>
    </w:p>
    <w:p w14:paraId="4F1C66CC" w14:textId="4AFBF38A" w:rsidR="00A919A4" w:rsidRDefault="00A919A4" w:rsidP="00A919A4">
      <w:r>
        <w:t>In relation to s</w:t>
      </w:r>
      <w:r w:rsidR="00E26DD1">
        <w:t> </w:t>
      </w:r>
      <w:r>
        <w:t xml:space="preserve">52E(1)(f) of the Act, I acknowledge the Submission from </w:t>
      </w:r>
      <w:r w:rsidR="00472EEB">
        <w:t xml:space="preserve">Complementary </w:t>
      </w:r>
      <w:r>
        <w:t>M</w:t>
      </w:r>
      <w:r w:rsidR="00472EEB">
        <w:t xml:space="preserve">edicines </w:t>
      </w:r>
      <w:r>
        <w:t>A</w:t>
      </w:r>
      <w:r w:rsidR="00472EEB">
        <w:t>ustralia</w:t>
      </w:r>
      <w:r>
        <w:t xml:space="preserve"> regarding </w:t>
      </w:r>
      <w:r w:rsidR="00E26DD1">
        <w:t>the</w:t>
      </w:r>
      <w:r>
        <w:t xml:space="preserve"> need for a </w:t>
      </w:r>
      <w:r w:rsidR="002337CF" w:rsidRPr="00FE2C20">
        <w:t>reasonable limit for amygdalin</w:t>
      </w:r>
      <w:r w:rsidR="002337CF">
        <w:t xml:space="preserve">, </w:t>
      </w:r>
      <w:r>
        <w:t xml:space="preserve">given that </w:t>
      </w:r>
      <w:r w:rsidRPr="00FE2C20">
        <w:t>the current</w:t>
      </w:r>
      <w:r w:rsidR="005D26AD">
        <w:t xml:space="preserve"> Schedule 10 entry</w:t>
      </w:r>
      <w:r w:rsidR="00C93D58">
        <w:t xml:space="preserve"> </w:t>
      </w:r>
      <w:r w:rsidR="009A05A5">
        <w:t>prohibits</w:t>
      </w:r>
      <w:r w:rsidR="00C93D58">
        <w:t xml:space="preserve"> </w:t>
      </w:r>
      <w:r w:rsidR="00E26DD1">
        <w:t>all Wild Cherry Bark preparations</w:t>
      </w:r>
      <w:r w:rsidR="00DB262C">
        <w:t xml:space="preserve"> containing amygdalin</w:t>
      </w:r>
      <w:r>
        <w:t xml:space="preserve">, </w:t>
      </w:r>
      <w:r w:rsidR="00E26DD1">
        <w:t xml:space="preserve">and </w:t>
      </w:r>
      <w:r w:rsidRPr="00FE2C20">
        <w:t xml:space="preserve">does not adequately consider the presence of amygdalin in </w:t>
      </w:r>
      <w:r w:rsidR="00796B90">
        <w:t>some</w:t>
      </w:r>
      <w:r w:rsidR="002337CF" w:rsidRPr="00FE2C20">
        <w:t xml:space="preserve"> </w:t>
      </w:r>
      <w:r w:rsidRPr="00FE2C20">
        <w:t>plant foods and medicines</w:t>
      </w:r>
      <w:r>
        <w:t>.</w:t>
      </w:r>
    </w:p>
    <w:p w14:paraId="63DEC8D1" w14:textId="292346C0" w:rsidR="005D5C97" w:rsidRDefault="00A919A4" w:rsidP="00A919A4">
      <w:r>
        <w:t xml:space="preserve">While I acknowledge from the Submissions </w:t>
      </w:r>
      <w:r w:rsidRPr="00D03D66">
        <w:t xml:space="preserve">that a concentration cut-off for amygdalin or hydrocyanic acid could be established based on </w:t>
      </w:r>
      <w:r>
        <w:t>food</w:t>
      </w:r>
      <w:r w:rsidRPr="00D03D66">
        <w:t xml:space="preserve"> limits set by the Australian New Zealand Food Standards (FSANZ)</w:t>
      </w:r>
      <w:r>
        <w:t>, I emphasise that the calculations for determining a ‘safe dose’ are different for calculating a permissible level in food v</w:t>
      </w:r>
      <w:r w:rsidR="000D3B93">
        <w:t>ersus</w:t>
      </w:r>
      <w:r>
        <w:t xml:space="preserve"> </w:t>
      </w:r>
      <w:r w:rsidR="00A03C11">
        <w:t xml:space="preserve">for </w:t>
      </w:r>
      <w:r>
        <w:t xml:space="preserve">a therapeutic use. </w:t>
      </w:r>
      <w:r w:rsidR="00093BAD">
        <w:t>T</w:t>
      </w:r>
      <w:r w:rsidRPr="00D03D66">
        <w:t>he FSANZ food limits (</w:t>
      </w:r>
      <w:r w:rsidR="000D3B93">
        <w:t>which</w:t>
      </w:r>
      <w:r w:rsidR="00040B09" w:rsidRPr="00D03D66">
        <w:t xml:space="preserve"> </w:t>
      </w:r>
      <w:r w:rsidRPr="00D03D66">
        <w:t>consider</w:t>
      </w:r>
      <w:r w:rsidR="000D3B93">
        <w:t>s</w:t>
      </w:r>
      <w:r w:rsidRPr="00D03D66">
        <w:t xml:space="preserve"> 5</w:t>
      </w:r>
      <w:r w:rsidR="00743336">
        <w:t> </w:t>
      </w:r>
      <w:r w:rsidRPr="00D03D66">
        <w:t xml:space="preserve">mg/kg </w:t>
      </w:r>
      <w:r>
        <w:t xml:space="preserve">amygdalin as </w:t>
      </w:r>
      <w:r w:rsidRPr="00D03D66">
        <w:t>safe) are based on the Acute Reference Dose (</w:t>
      </w:r>
      <w:proofErr w:type="spellStart"/>
      <w:r w:rsidRPr="00D03D66">
        <w:t>ARfD</w:t>
      </w:r>
      <w:proofErr w:type="spellEnd"/>
      <w:r w:rsidRPr="00D03D66">
        <w:t>) f</w:t>
      </w:r>
      <w:r w:rsidR="00DD0DD1">
        <w:t xml:space="preserve">ollowing </w:t>
      </w:r>
      <w:r w:rsidR="00660179">
        <w:t xml:space="preserve">ingestion </w:t>
      </w:r>
      <w:r w:rsidR="008C3A79">
        <w:t xml:space="preserve">over a short period of time </w:t>
      </w:r>
      <w:proofErr w:type="gramStart"/>
      <w:r w:rsidR="008C3A79">
        <w:t>e.g.</w:t>
      </w:r>
      <w:proofErr w:type="gramEnd"/>
      <w:r w:rsidR="008C3A79">
        <w:t xml:space="preserve"> during one meal or one day</w:t>
      </w:r>
      <w:r>
        <w:t xml:space="preserve">. </w:t>
      </w:r>
      <w:r w:rsidR="00093BAD">
        <w:t xml:space="preserve">Conversely, therapeutics are </w:t>
      </w:r>
      <w:r w:rsidR="00093BAD" w:rsidRPr="00D03D66">
        <w:t>consumed at a high dose, daily</w:t>
      </w:r>
      <w:r w:rsidR="00093BAD">
        <w:t>,</w:t>
      </w:r>
      <w:r w:rsidR="00093BAD" w:rsidRPr="00D03D66">
        <w:t xml:space="preserve"> or at regular intervals during the day, </w:t>
      </w:r>
      <w:r w:rsidR="00093BAD">
        <w:t xml:space="preserve">and </w:t>
      </w:r>
      <w:r w:rsidR="00093BAD" w:rsidRPr="00D03D66">
        <w:t>consistently over a long period of time.</w:t>
      </w:r>
      <w:r w:rsidR="00093BAD">
        <w:t xml:space="preserve"> </w:t>
      </w:r>
      <w:r w:rsidR="00A03C11">
        <w:t>As such</w:t>
      </w:r>
      <w:r w:rsidR="004061B0">
        <w:t xml:space="preserve">, </w:t>
      </w:r>
      <w:r w:rsidR="004A0DAA">
        <w:t>adopting a similar</w:t>
      </w:r>
      <w:r w:rsidR="00E16C86">
        <w:t xml:space="preserve"> permissible</w:t>
      </w:r>
      <w:r w:rsidR="004A0DAA">
        <w:t xml:space="preserve"> </w:t>
      </w:r>
      <w:r w:rsidR="00E16C86">
        <w:t>concentration</w:t>
      </w:r>
      <w:r w:rsidR="00CA296D">
        <w:t xml:space="preserve"> based on the FSANZ food limit</w:t>
      </w:r>
      <w:r w:rsidR="00E16C86">
        <w:t xml:space="preserve"> </w:t>
      </w:r>
      <w:r w:rsidR="00A03C11">
        <w:t>is not</w:t>
      </w:r>
      <w:r w:rsidR="004061B0">
        <w:t xml:space="preserve"> </w:t>
      </w:r>
      <w:r w:rsidR="00040B09">
        <w:t>equival</w:t>
      </w:r>
      <w:r w:rsidR="00A03C11">
        <w:t>ent to</w:t>
      </w:r>
      <w:r w:rsidR="00040B09">
        <w:t xml:space="preserve"> </w:t>
      </w:r>
      <w:r w:rsidR="00040B09">
        <w:lastRenderedPageBreak/>
        <w:t xml:space="preserve">the risk </w:t>
      </w:r>
      <w:r>
        <w:t xml:space="preserve">of </w:t>
      </w:r>
      <w:r w:rsidR="003F519F">
        <w:t xml:space="preserve">toxicity </w:t>
      </w:r>
      <w:r w:rsidR="00F77C86">
        <w:t>for</w:t>
      </w:r>
      <w:r w:rsidR="003F519F">
        <w:t xml:space="preserve"> </w:t>
      </w:r>
      <w:r w:rsidR="00547CC0">
        <w:t xml:space="preserve">these substances </w:t>
      </w:r>
      <w:r w:rsidR="00A03C11">
        <w:t xml:space="preserve">when in </w:t>
      </w:r>
      <w:r w:rsidR="00BF6CFD">
        <w:t>therapeutic preparations.</w:t>
      </w:r>
      <w:r w:rsidR="00A03C11">
        <w:t xml:space="preserve"> Further, a</w:t>
      </w:r>
      <w:r w:rsidR="00472EEB">
        <w:t xml:space="preserve"> concern when assessing the risk of toxicity of the Proposal is </w:t>
      </w:r>
      <w:r w:rsidR="00472EEB" w:rsidRPr="00D03D66">
        <w:t xml:space="preserve">the </w:t>
      </w:r>
      <w:r w:rsidR="0050725D">
        <w:t>consumption of</w:t>
      </w:r>
      <w:r w:rsidR="00F35EBF">
        <w:t xml:space="preserve"> </w:t>
      </w:r>
      <w:r w:rsidR="00281D3C">
        <w:t>a</w:t>
      </w:r>
      <w:r w:rsidR="00940383">
        <w:t>mygdalin</w:t>
      </w:r>
      <w:r w:rsidR="0050725D">
        <w:t xml:space="preserve">-containing </w:t>
      </w:r>
      <w:r>
        <w:t>food</w:t>
      </w:r>
      <w:r w:rsidR="00BF548B">
        <w:t>s</w:t>
      </w:r>
      <w:r w:rsidR="00460340">
        <w:t xml:space="preserve"> </w:t>
      </w:r>
      <w:proofErr w:type="gramStart"/>
      <w:r w:rsidR="00460340">
        <w:t>e.g.</w:t>
      </w:r>
      <w:proofErr w:type="gramEnd"/>
      <w:r w:rsidR="00460340">
        <w:t xml:space="preserve"> </w:t>
      </w:r>
      <w:r w:rsidR="005931F7">
        <w:t>stone fruit kernels</w:t>
      </w:r>
      <w:r w:rsidR="00EB3752">
        <w:t xml:space="preserve"> and some </w:t>
      </w:r>
      <w:r w:rsidR="00D54DC3">
        <w:t>seeds</w:t>
      </w:r>
      <w:r w:rsidR="00EB0141">
        <w:t>,</w:t>
      </w:r>
      <w:r>
        <w:t xml:space="preserve"> </w:t>
      </w:r>
      <w:r w:rsidRPr="009311B1">
        <w:t>in addition to</w:t>
      </w:r>
      <w:r>
        <w:t xml:space="preserve"> the </w:t>
      </w:r>
      <w:r w:rsidRPr="00D03D66">
        <w:t>regular</w:t>
      </w:r>
      <w:r w:rsidR="00E20626">
        <w:t>,</w:t>
      </w:r>
      <w:r w:rsidRPr="00D03D66">
        <w:t xml:space="preserve"> and possibly chronic</w:t>
      </w:r>
      <w:r w:rsidR="00E20626">
        <w:t>,</w:t>
      </w:r>
      <w:r w:rsidRPr="00D03D66">
        <w:t xml:space="preserve"> ingestion</w:t>
      </w:r>
      <w:r>
        <w:t xml:space="preserve"> of amygdalin and hydrocyanic acid from treatments containing Wild Cherry Bark. </w:t>
      </w:r>
      <w:r w:rsidR="005D5C97" w:rsidRPr="00D03D66">
        <w:t xml:space="preserve">I agree with the Committee’s advice that there is insufficient evidence that combined consumption of </w:t>
      </w:r>
      <w:r w:rsidR="005D5C97" w:rsidRPr="00B93A41">
        <w:t>hydrocyanic acid</w:t>
      </w:r>
      <w:r w:rsidR="005D5C97" w:rsidRPr="00D03D66">
        <w:t xml:space="preserve"> from dietary and therapeutic sources will not result in a toxic dose in adults (</w:t>
      </w:r>
      <w:proofErr w:type="gramStart"/>
      <w:r w:rsidR="00EB0141">
        <w:t>e.g.</w:t>
      </w:r>
      <w:proofErr w:type="gramEnd"/>
      <w:r w:rsidR="00EB0141">
        <w:t xml:space="preserve"> </w:t>
      </w:r>
      <w:r w:rsidR="001245B0">
        <w:t>0.5</w:t>
      </w:r>
      <w:r w:rsidR="0068083A">
        <w:t xml:space="preserve"> to 3.5</w:t>
      </w:r>
      <w:r w:rsidR="00743336">
        <w:t> </w:t>
      </w:r>
      <w:r w:rsidR="001245B0">
        <w:t>mg/kg body weight</w:t>
      </w:r>
      <w:r w:rsidR="00A01CCE">
        <w:t xml:space="preserve">– purported </w:t>
      </w:r>
      <w:r w:rsidR="005D5C97" w:rsidRPr="00D03D66">
        <w:t>lethal dose) or children</w:t>
      </w:r>
      <w:r w:rsidR="00FF7DC4">
        <w:t>.</w:t>
      </w:r>
    </w:p>
    <w:p w14:paraId="5C4DBAB1" w14:textId="1F227F61" w:rsidR="00A919A4" w:rsidRPr="00000446" w:rsidRDefault="00A03C11" w:rsidP="00A919A4">
      <w:r>
        <w:t>In relation to</w:t>
      </w:r>
      <w:r w:rsidRPr="0037418D">
        <w:t xml:space="preserve"> s</w:t>
      </w:r>
      <w:r>
        <w:t> </w:t>
      </w:r>
      <w:r w:rsidRPr="0037418D">
        <w:t>52</w:t>
      </w:r>
      <w:proofErr w:type="gramStart"/>
      <w:r w:rsidRPr="0037418D">
        <w:t>E(</w:t>
      </w:r>
      <w:proofErr w:type="gramEnd"/>
      <w:r w:rsidRPr="0037418D">
        <w:t>1) (a) of the Act</w:t>
      </w:r>
      <w:r>
        <w:t>, I agree with the Committee</w:t>
      </w:r>
      <w:r w:rsidRPr="0037418D">
        <w:t xml:space="preserve"> that</w:t>
      </w:r>
      <w:r>
        <w:t xml:space="preserve"> the h</w:t>
      </w:r>
      <w:r w:rsidRPr="0037418D">
        <w:t>ealth risks are amplified in compounded substances. I would like to clarify that this refers to compounding regarding the risks posed by these substances being significantly amplified when consumed as a both a therapeutic and when consumed from dietary sources.</w:t>
      </w:r>
    </w:p>
    <w:p w14:paraId="7AD40D50" w14:textId="78B2C0DC" w:rsidR="00A919A4" w:rsidRPr="00B0638F" w:rsidRDefault="00A919A4" w:rsidP="00B0638F">
      <w:pPr>
        <w:rPr>
          <w:b/>
          <w:bCs/>
        </w:rPr>
        <w:sectPr w:rsidR="00A919A4" w:rsidRPr="00B0638F" w:rsidSect="00AE7C6A">
          <w:headerReference w:type="default" r:id="rId43"/>
          <w:footerReference w:type="default" r:id="rId44"/>
          <w:pgSz w:w="11906" w:h="16838" w:code="9"/>
          <w:pgMar w:top="1134" w:right="1418" w:bottom="1361" w:left="1418" w:header="573" w:footer="567" w:gutter="0"/>
          <w:cols w:space="708"/>
          <w:docGrid w:linePitch="360"/>
        </w:sectPr>
      </w:pPr>
      <w:r>
        <w:t>In summary,</w:t>
      </w:r>
      <w:r w:rsidR="001E7A04">
        <w:t xml:space="preserve"> </w:t>
      </w:r>
      <w:r w:rsidR="00363DF2">
        <w:t xml:space="preserve">the </w:t>
      </w:r>
      <w:r w:rsidR="001E7A04">
        <w:t>scheduling of</w:t>
      </w:r>
      <w:r w:rsidR="00435252">
        <w:t xml:space="preserve"> </w:t>
      </w:r>
      <w:r w:rsidR="001E7A04">
        <w:t>both amygdalin and hydrocyanic acid ha</w:t>
      </w:r>
      <w:r w:rsidR="004A7B37">
        <w:t>ve</w:t>
      </w:r>
      <w:r w:rsidR="001E7A04">
        <w:t xml:space="preserve"> been considered</w:t>
      </w:r>
      <w:r w:rsidR="00D73A74">
        <w:t xml:space="preserve"> </w:t>
      </w:r>
      <w:r w:rsidR="00C36488">
        <w:t>in recent years</w:t>
      </w:r>
      <w:r w:rsidR="006C7540">
        <w:t xml:space="preserve"> in preparations for human therapeutic use</w:t>
      </w:r>
      <w:r w:rsidR="00C36488">
        <w:t xml:space="preserve">. </w:t>
      </w:r>
      <w:r w:rsidR="0020428F">
        <w:t>Since the last scheduling consideration, i</w:t>
      </w:r>
      <w:r>
        <w:t>nsufficient new evidence has been provided establish</w:t>
      </w:r>
      <w:r w:rsidR="005D5C97">
        <w:t>ing that</w:t>
      </w:r>
      <w:r w:rsidR="000D3B93">
        <w:t xml:space="preserve"> </w:t>
      </w:r>
      <w:r>
        <w:t>the therapeutic benefits</w:t>
      </w:r>
      <w:r w:rsidR="00D43F80">
        <w:t xml:space="preserve"> </w:t>
      </w:r>
      <w:r w:rsidR="005D5C97">
        <w:t xml:space="preserve">of Wild Cherry Bark preparations </w:t>
      </w:r>
      <w:r>
        <w:t>outweigh the risks of down-scheduling amygdalin and hydrocyanic acid. As such, the proposed amendments to the Poisons Standard regarding amygdalin and hydrocyanic acid are inconsistent with the SPF and pose an unfavourable balance of the risks and benefits to the public.</w:t>
      </w:r>
      <w:r w:rsidR="003404C8">
        <w:t xml:space="preserve"> </w:t>
      </w:r>
      <w:r>
        <w:t xml:space="preserve">I have </w:t>
      </w:r>
      <w:r w:rsidR="005D5C97">
        <w:t xml:space="preserve">therefore </w:t>
      </w:r>
      <w:r>
        <w:t>decided not to amend the existing scheduling of either amygdalin or hydrocyanic aci</w:t>
      </w:r>
      <w:r w:rsidR="005D5C97">
        <w:t>d</w:t>
      </w:r>
      <w:r>
        <w:t>.</w:t>
      </w:r>
      <w:bookmarkEnd w:id="32"/>
      <w:bookmarkEnd w:id="33"/>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D42530">
              <w:rPr>
                <w:color w:val="auto"/>
              </w:rPr>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D42530" w:rsidRDefault="00F02AEC" w:rsidP="00EB5622">
            <w:pPr>
              <w:pStyle w:val="Address"/>
              <w:jc w:val="center"/>
              <w:rPr>
                <w:color w:val="auto"/>
              </w:rPr>
            </w:pPr>
            <w:r w:rsidRPr="00D42530">
              <w:rPr>
                <w:color w:val="auto"/>
              </w:rPr>
              <w:t>PO Box 100 Woden ACT 2606 Australia</w:t>
            </w:r>
          </w:p>
          <w:p w14:paraId="066495A2" w14:textId="13DAFC0D" w:rsidR="00F02AEC" w:rsidRDefault="00F02AEC">
            <w:pPr>
              <w:pStyle w:val="Address"/>
              <w:jc w:val="center"/>
              <w:rPr>
                <w:sz w:val="22"/>
                <w:szCs w:val="22"/>
              </w:rPr>
            </w:pPr>
            <w:r w:rsidRPr="00D42530">
              <w:rPr>
                <w:color w:val="auto"/>
              </w:rPr>
              <w:t xml:space="preserve">Email: </w:t>
            </w:r>
            <w:hyperlink r:id="rId45" w:history="1">
              <w:r w:rsidRPr="00215D48">
                <w:rPr>
                  <w:rStyle w:val="Hyperlink"/>
                </w:rPr>
                <w:t>info@tga.gov.au</w:t>
              </w:r>
            </w:hyperlink>
            <w:r w:rsidRPr="00215D48">
              <w:t xml:space="preserve">  </w:t>
            </w:r>
            <w:r w:rsidRPr="00D42530">
              <w:rPr>
                <w:color w:val="auto"/>
              </w:rPr>
              <w:t>Phone: 1800 020 653 Fax: 02 6203 1605</w:t>
            </w:r>
          </w:p>
          <w:p w14:paraId="5BCD25E4" w14:textId="77777777" w:rsidR="00F02AEC" w:rsidRPr="00215D48" w:rsidRDefault="00A9115F">
            <w:pPr>
              <w:pStyle w:val="Address"/>
              <w:jc w:val="center"/>
              <w:rPr>
                <w:rStyle w:val="Hyperlink"/>
                <w:b/>
                <w:color w:val="auto"/>
                <w:sz w:val="22"/>
              </w:rPr>
            </w:pPr>
            <w:hyperlink r:id="rId46"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2216A7" w:rsidRDefault="00A9115F"/>
    <w:sectPr w:rsidR="002216A7" w:rsidSect="00AE7C6A">
      <w:headerReference w:type="first" r:id="rId47"/>
      <w:footerReference w:type="first" r:id="rId4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2657" w14:textId="77777777" w:rsidR="008A63FF" w:rsidRDefault="008A63FF" w:rsidP="00F02AEC">
      <w:pPr>
        <w:spacing w:after="0" w:line="240" w:lineRule="auto"/>
      </w:pPr>
      <w:r>
        <w:separator/>
      </w:r>
    </w:p>
  </w:endnote>
  <w:endnote w:type="continuationSeparator" w:id="0">
    <w:p w14:paraId="7E10C959" w14:textId="77777777" w:rsidR="008A63FF" w:rsidRDefault="008A63FF"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9115F">
                <w:fldChar w:fldCharType="begin"/>
              </w:r>
              <w:r w:rsidR="00A9115F">
                <w:instrText xml:space="preserve"> NUMPAGES  </w:instrText>
              </w:r>
              <w:r w:rsidR="00A9115F">
                <w:fldChar w:fldCharType="separate"/>
              </w:r>
              <w:r>
                <w:rPr>
                  <w:noProof/>
                </w:rPr>
                <w:t>2</w:t>
              </w:r>
              <w:r w:rsidR="00A9115F">
                <w:rPr>
                  <w:noProof/>
                </w:rPr>
                <w:fldChar w:fldCharType="end"/>
              </w:r>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90744F" w14:paraId="1054AAE5" w14:textId="77777777" w:rsidTr="00030D34">
      <w:trPr>
        <w:trHeight w:val="423"/>
      </w:trPr>
      <w:tc>
        <w:tcPr>
          <w:tcW w:w="7338" w:type="dxa"/>
          <w:tcBorders>
            <w:top w:val="single" w:sz="4" w:space="0" w:color="auto"/>
          </w:tcBorders>
        </w:tcPr>
        <w:p w14:paraId="4B9D0562" w14:textId="3018D43E" w:rsidR="00F02AEC" w:rsidRPr="0090744F" w:rsidRDefault="00BC42F1" w:rsidP="0090744F">
          <w:pPr>
            <w:pStyle w:val="Footer"/>
            <w:ind w:left="-105"/>
            <w:rPr>
              <w:rFonts w:asciiTheme="minorHAnsi" w:hAnsiTheme="minorHAnsi" w:cstheme="minorHAnsi"/>
            </w:rPr>
          </w:pPr>
          <w:r w:rsidRPr="00BC42F1">
            <w:rPr>
              <w:rFonts w:asciiTheme="minorHAnsi" w:hAnsiTheme="minorHAnsi" w:cstheme="minorHAnsi"/>
            </w:rPr>
            <w:t>Notice of interim decisions to amend (or not amend) the current Poisons Standard</w:t>
          </w:r>
          <w:r>
            <w:rPr>
              <w:rFonts w:asciiTheme="minorHAnsi" w:hAnsiTheme="minorHAnsi" w:cstheme="minorHAnsi"/>
            </w:rPr>
            <w:t xml:space="preserve"> (June 2023)</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EndPr/>
          <w:sdtContent>
            <w:p w14:paraId="61E459C4" w14:textId="77777777" w:rsidR="00F02AEC" w:rsidRPr="0090744F" w:rsidRDefault="00F02AEC" w:rsidP="0090744F">
              <w:pPr>
                <w:pStyle w:val="Footer"/>
                <w:ind w:right="-102"/>
                <w:jc w:val="right"/>
                <w:rPr>
                  <w:rFonts w:asciiTheme="minorHAnsi" w:hAnsiTheme="minorHAnsi" w:cstheme="minorHAnsi"/>
                </w:rPr>
              </w:pPr>
              <w:r w:rsidRPr="0090744F">
                <w:rPr>
                  <w:rFonts w:asciiTheme="minorHAnsi" w:hAnsiTheme="minorHAnsi" w:cstheme="minorHAnsi"/>
                </w:rPr>
                <w:t xml:space="preserve">Page </w:t>
              </w:r>
              <w:r w:rsidRPr="0090744F">
                <w:rPr>
                  <w:rFonts w:asciiTheme="minorHAnsi" w:hAnsiTheme="minorHAnsi" w:cstheme="minorHAnsi"/>
                </w:rPr>
                <w:fldChar w:fldCharType="begin"/>
              </w:r>
              <w:r w:rsidRPr="0090744F">
                <w:rPr>
                  <w:rFonts w:asciiTheme="minorHAnsi" w:hAnsiTheme="minorHAnsi" w:cstheme="minorHAnsi"/>
                </w:rPr>
                <w:instrText xml:space="preserve"> PAGE </w:instrText>
              </w:r>
              <w:r w:rsidRPr="0090744F">
                <w:rPr>
                  <w:rFonts w:asciiTheme="minorHAnsi" w:hAnsiTheme="minorHAnsi" w:cstheme="minorHAnsi"/>
                </w:rPr>
                <w:fldChar w:fldCharType="separate"/>
              </w:r>
              <w:r w:rsidRPr="0090744F">
                <w:rPr>
                  <w:rFonts w:asciiTheme="minorHAnsi" w:hAnsiTheme="minorHAnsi" w:cstheme="minorHAnsi"/>
                  <w:noProof/>
                </w:rPr>
                <w:t>6</w:t>
              </w:r>
              <w:r w:rsidRPr="0090744F">
                <w:rPr>
                  <w:rFonts w:asciiTheme="minorHAnsi" w:hAnsiTheme="minorHAnsi" w:cstheme="minorHAnsi"/>
                  <w:noProof/>
                </w:rPr>
                <w:fldChar w:fldCharType="end"/>
              </w:r>
              <w:r w:rsidRPr="0090744F">
                <w:rPr>
                  <w:rFonts w:asciiTheme="minorHAnsi" w:hAnsiTheme="minorHAnsi" w:cstheme="minorHAnsi"/>
                </w:rPr>
                <w:t xml:space="preserve"> of </w:t>
              </w:r>
              <w:r w:rsidR="001A5C54" w:rsidRPr="0090744F">
                <w:rPr>
                  <w:rFonts w:asciiTheme="minorHAnsi" w:hAnsiTheme="minorHAnsi" w:cstheme="minorHAnsi"/>
                </w:rPr>
                <w:fldChar w:fldCharType="begin"/>
              </w:r>
              <w:r w:rsidR="001A5C54" w:rsidRPr="0090744F">
                <w:rPr>
                  <w:rFonts w:asciiTheme="minorHAnsi" w:hAnsiTheme="minorHAnsi" w:cstheme="minorHAnsi"/>
                </w:rPr>
                <w:instrText xml:space="preserve"> NUMPAGES  </w:instrText>
              </w:r>
              <w:r w:rsidR="001A5C54" w:rsidRPr="0090744F">
                <w:rPr>
                  <w:rFonts w:asciiTheme="minorHAnsi" w:hAnsiTheme="minorHAnsi" w:cstheme="minorHAnsi"/>
                </w:rPr>
                <w:fldChar w:fldCharType="separate"/>
              </w:r>
              <w:r w:rsidRPr="0090744F">
                <w:rPr>
                  <w:rFonts w:asciiTheme="minorHAnsi" w:hAnsiTheme="minorHAnsi" w:cstheme="minorHAnsi"/>
                  <w:noProof/>
                </w:rPr>
                <w:t>7</w:t>
              </w:r>
              <w:r w:rsidR="001A5C54" w:rsidRPr="0090744F">
                <w:rPr>
                  <w:rFonts w:asciiTheme="minorHAnsi" w:hAnsiTheme="minorHAnsi" w:cstheme="minorHAnsi"/>
                  <w:noProof/>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A77452" w:rsidRPr="008E3C43" w:rsidRDefault="00A9115F"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A51E" w14:textId="77777777" w:rsidR="008A63FF" w:rsidRDefault="008A63FF" w:rsidP="00F02AEC">
      <w:pPr>
        <w:spacing w:after="0" w:line="240" w:lineRule="auto"/>
      </w:pPr>
      <w:r>
        <w:separator/>
      </w:r>
    </w:p>
  </w:footnote>
  <w:footnote w:type="continuationSeparator" w:id="0">
    <w:p w14:paraId="7BF3DF4C" w14:textId="77777777" w:rsidR="008A63FF" w:rsidRDefault="008A63FF" w:rsidP="00F02AEC">
      <w:pPr>
        <w:spacing w:after="0" w:line="240" w:lineRule="auto"/>
      </w:pPr>
      <w:r>
        <w:continuationSeparator/>
      </w:r>
    </w:p>
  </w:footnote>
  <w:footnote w:id="1">
    <w:p w14:paraId="76CD5AF3" w14:textId="08E269FC" w:rsidR="009421DD" w:rsidRPr="00BE22ED" w:rsidRDefault="009421DD">
      <w:pPr>
        <w:pStyle w:val="FootnoteText"/>
        <w:rPr>
          <w:rFonts w:asciiTheme="minorHAnsi" w:hAnsiTheme="minorHAnsi" w:cstheme="minorHAnsi"/>
          <w:sz w:val="18"/>
          <w:szCs w:val="18"/>
        </w:rPr>
      </w:pPr>
      <w:r w:rsidRPr="00BE22ED">
        <w:rPr>
          <w:rStyle w:val="FootnoteReference"/>
          <w:rFonts w:asciiTheme="minorHAnsi" w:hAnsiTheme="minorHAnsi" w:cstheme="minorHAnsi"/>
          <w:color w:val="0D0D0D" w:themeColor="text1" w:themeTint="F2"/>
          <w:sz w:val="18"/>
          <w:szCs w:val="18"/>
        </w:rPr>
        <w:footnoteRef/>
      </w:r>
      <w:r w:rsidRPr="00BE22ED">
        <w:rPr>
          <w:rFonts w:asciiTheme="minorHAnsi" w:hAnsiTheme="minorHAnsi" w:cstheme="minorHAnsi"/>
          <w:color w:val="0D0D0D" w:themeColor="text1" w:themeTint="F2"/>
          <w:sz w:val="18"/>
          <w:szCs w:val="18"/>
        </w:rPr>
        <w:t xml:space="preserve"> Established under sections 52B and 52C of the </w:t>
      </w:r>
      <w:r w:rsidRPr="00BE22ED">
        <w:rPr>
          <w:rFonts w:asciiTheme="minorHAnsi" w:hAnsiTheme="minorHAnsi" w:cstheme="minorHAnsi"/>
          <w:i/>
          <w:iCs/>
          <w:color w:val="0D0D0D" w:themeColor="text1" w:themeTint="F2"/>
          <w:sz w:val="18"/>
          <w:szCs w:val="18"/>
        </w:rPr>
        <w:t>Therapeutic Goods Act 1989</w:t>
      </w:r>
      <w:r w:rsidRPr="00BE22ED">
        <w:rPr>
          <w:rFonts w:asciiTheme="minorHAnsi" w:hAnsiTheme="minorHAnsi" w:cstheme="minorHAnsi"/>
          <w:color w:val="0D0D0D" w:themeColor="text1" w:themeTint="F2"/>
          <w:sz w:val="18"/>
          <w:szCs w:val="18"/>
        </w:rPr>
        <w:t xml:space="preserve"> (</w:t>
      </w:r>
      <w:proofErr w:type="spellStart"/>
      <w:r w:rsidRPr="00BE22ED">
        <w:rPr>
          <w:rFonts w:asciiTheme="minorHAnsi" w:hAnsiTheme="minorHAnsi" w:cstheme="minorHAnsi"/>
          <w:color w:val="0D0D0D" w:themeColor="text1" w:themeTint="F2"/>
          <w:sz w:val="18"/>
          <w:szCs w:val="18"/>
        </w:rPr>
        <w:t>Cth</w:t>
      </w:r>
      <w:proofErr w:type="spellEnd"/>
      <w:r w:rsidRPr="00BE22ED">
        <w:rPr>
          <w:rFonts w:asciiTheme="minorHAnsi" w:hAnsiTheme="minorHAnsi" w:cstheme="minorHAnsi"/>
          <w:color w:val="0D0D0D" w:themeColor="text1" w:themeTint="F2"/>
          <w:sz w:val="18"/>
          <w:szCs w:val="18"/>
        </w:rPr>
        <w:t>).</w:t>
      </w:r>
    </w:p>
  </w:footnote>
  <w:footnote w:id="2">
    <w:p w14:paraId="5196C934" w14:textId="59B9AB45" w:rsidR="005C0C0B" w:rsidRPr="003B3F3B" w:rsidRDefault="005C0C0B" w:rsidP="005C0C0B">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sidR="00E1070A">
        <w:rPr>
          <w:rFonts w:asciiTheme="minorHAnsi" w:hAnsiTheme="minorHAnsi" w:cstheme="minorHAnsi"/>
          <w:color w:val="000000" w:themeColor="text1"/>
          <w:sz w:val="18"/>
          <w:szCs w:val="18"/>
        </w:rPr>
        <w:t>.</w:t>
      </w:r>
    </w:p>
  </w:footnote>
  <w:footnote w:id="3">
    <w:p w14:paraId="20B1A683" w14:textId="77777777" w:rsidR="005C0C0B" w:rsidRPr="00BC42F1" w:rsidRDefault="005C0C0B" w:rsidP="005C0C0B">
      <w:pPr>
        <w:pStyle w:val="FootnoteText"/>
        <w:rPr>
          <w:rFonts w:ascii="Calibri" w:hAnsi="Calibri" w:cs="Calibri"/>
          <w:sz w:val="17"/>
          <w:szCs w:val="17"/>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27A11EDE" w14:textId="5FD9F059" w:rsidR="0018409C" w:rsidRPr="003B3F3B" w:rsidRDefault="0018409C" w:rsidP="0018409C">
      <w:pPr>
        <w:pStyle w:val="FootnoteText"/>
        <w:rPr>
          <w:rFonts w:asciiTheme="minorHAnsi" w:hAnsiTheme="minorHAnsi" w:cstheme="minorHAnsi"/>
          <w:sz w:val="18"/>
          <w:szCs w:val="18"/>
        </w:rPr>
      </w:pPr>
      <w:r w:rsidRPr="003B3F3B">
        <w:rPr>
          <w:rStyle w:val="FootnoteReference"/>
          <w:rFonts w:asciiTheme="minorHAnsi" w:hAnsiTheme="minorHAnsi" w:cstheme="minorHAnsi"/>
          <w:color w:val="auto"/>
          <w:sz w:val="18"/>
          <w:szCs w:val="18"/>
        </w:rPr>
        <w:footnoteRef/>
      </w:r>
      <w:r w:rsidRPr="003B3F3B">
        <w:rPr>
          <w:rFonts w:asciiTheme="minorHAnsi" w:hAnsiTheme="minorHAnsi" w:cstheme="minorHAnsi"/>
          <w:color w:val="auto"/>
          <w:sz w:val="18"/>
          <w:szCs w:val="18"/>
        </w:rPr>
        <w:t xml:space="preserve"> Pursuant to regulation 42ZCZN of the Regulations</w:t>
      </w:r>
      <w:r w:rsidR="00E1070A">
        <w:rPr>
          <w:rFonts w:asciiTheme="minorHAnsi" w:hAnsiTheme="minorHAnsi" w:cstheme="minorHAnsi"/>
          <w:color w:val="auto"/>
          <w:sz w:val="18"/>
          <w:szCs w:val="18"/>
        </w:rPr>
        <w:t>.</w:t>
      </w:r>
    </w:p>
  </w:footnote>
  <w:footnote w:id="5">
    <w:p w14:paraId="6B29E89D" w14:textId="16ABF332" w:rsidR="0018409C" w:rsidRPr="00BC42F1" w:rsidRDefault="0018409C" w:rsidP="0018409C">
      <w:pPr>
        <w:pStyle w:val="FootnoteText"/>
        <w:rPr>
          <w:sz w:val="17"/>
          <w:szCs w:val="17"/>
        </w:rPr>
      </w:pPr>
      <w:r w:rsidRPr="003B3F3B">
        <w:rPr>
          <w:rStyle w:val="FootnoteReference"/>
          <w:rFonts w:asciiTheme="minorHAnsi" w:hAnsiTheme="minorHAnsi" w:cstheme="minorHAnsi"/>
          <w:color w:val="auto"/>
          <w:sz w:val="18"/>
          <w:szCs w:val="18"/>
        </w:rPr>
        <w:footnoteRef/>
      </w:r>
      <w:r w:rsidRPr="003B3F3B">
        <w:rPr>
          <w:rFonts w:asciiTheme="minorHAnsi" w:hAnsiTheme="minorHAnsi" w:cstheme="minorHAnsi"/>
          <w:color w:val="auto"/>
          <w:sz w:val="18"/>
          <w:szCs w:val="18"/>
        </w:rPr>
        <w:t xml:space="preserve"> Proposed additions are shown in green underlined font, proposed deletions are shown in red strikethrough font, and text without this formatting represents the current text in the Poisons Standard.</w:t>
      </w:r>
    </w:p>
  </w:footnote>
  <w:footnote w:id="6">
    <w:p w14:paraId="32B6F3F5" w14:textId="6D5A00F0" w:rsidR="00B0638F" w:rsidRPr="00A537E7" w:rsidRDefault="00B0638F" w:rsidP="00B0638F">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sidR="00FE4145">
        <w:rPr>
          <w:rFonts w:asciiTheme="minorHAnsi" w:hAnsiTheme="minorHAnsi" w:cstheme="minorHAnsi"/>
          <w:color w:val="0D0D0D" w:themeColor="text1" w:themeTint="F2"/>
          <w:sz w:val="18"/>
          <w:szCs w:val="18"/>
        </w:rPr>
        <w:t>.</w:t>
      </w:r>
    </w:p>
  </w:footnote>
  <w:footnote w:id="7">
    <w:p w14:paraId="2FB9D30D" w14:textId="77777777" w:rsidR="00B0638F" w:rsidRDefault="00B0638F" w:rsidP="00B0638F">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360D548F" w14:textId="0A0CCC2D" w:rsidR="00A919A4" w:rsidRPr="003B3F3B" w:rsidRDefault="00A919A4" w:rsidP="00A919A4">
      <w:pPr>
        <w:pStyle w:val="FootnoteText"/>
        <w:rPr>
          <w:rFonts w:asciiTheme="minorHAnsi" w:hAnsiTheme="minorHAnsi" w:cstheme="minorHAnsi"/>
          <w:sz w:val="18"/>
          <w:szCs w:val="18"/>
        </w:rPr>
      </w:pPr>
      <w:r w:rsidRPr="003B3F3B">
        <w:rPr>
          <w:rStyle w:val="FootnoteReference"/>
          <w:rFonts w:asciiTheme="minorHAnsi" w:hAnsiTheme="minorHAnsi" w:cstheme="minorHAnsi"/>
          <w:sz w:val="18"/>
          <w:szCs w:val="18"/>
        </w:rPr>
        <w:footnoteRef/>
      </w:r>
      <w:r w:rsidRPr="003B3F3B">
        <w:rPr>
          <w:rFonts w:asciiTheme="minorHAnsi" w:hAnsiTheme="minorHAnsi" w:cstheme="minorHAnsi"/>
          <w:sz w:val="18"/>
          <w:szCs w:val="18"/>
        </w:rPr>
        <w:t xml:space="preserve"> </w:t>
      </w:r>
      <w:r w:rsidRPr="003B3F3B">
        <w:rPr>
          <w:rFonts w:asciiTheme="minorHAnsi" w:hAnsiTheme="minorHAnsi" w:cstheme="minorHAnsi"/>
          <w:color w:val="0D0D0D" w:themeColor="text1" w:themeTint="F2"/>
          <w:sz w:val="18"/>
          <w:szCs w:val="18"/>
        </w:rPr>
        <w:t>Pursuant to regulation 42ZCZN of the Regulations</w:t>
      </w:r>
      <w:r w:rsidR="00FE4145">
        <w:rPr>
          <w:rFonts w:asciiTheme="minorHAnsi" w:hAnsiTheme="minorHAnsi" w:cstheme="minorHAnsi"/>
          <w:color w:val="0D0D0D" w:themeColor="text1" w:themeTint="F2"/>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61312"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90744F" w:rsidRDefault="00F02AEC" w:rsidP="00C3408D">
    <w:pPr>
      <w:pStyle w:val="Header"/>
      <w:rPr>
        <w:rFonts w:asciiTheme="minorHAnsi" w:hAnsiTheme="minorHAnsi" w:cstheme="minorHAnsi"/>
      </w:rPr>
    </w:pPr>
    <w:r w:rsidRPr="0090744F">
      <w:rPr>
        <w:rFonts w:asciiTheme="minorHAnsi" w:hAnsiTheme="minorHAnsi" w:cstheme="minorHAnsi"/>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A77452" w:rsidRPr="00FE501F" w:rsidRDefault="00A9115F"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3CA6B7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D35EB3"/>
    <w:multiLevelType w:val="hybridMultilevel"/>
    <w:tmpl w:val="4574D3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9014E264"/>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C621A92"/>
    <w:multiLevelType w:val="hybridMultilevel"/>
    <w:tmpl w:val="0EF642AA"/>
    <w:lvl w:ilvl="0" w:tplc="F38CFC06">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1CFC2889"/>
    <w:multiLevelType w:val="hybridMultilevel"/>
    <w:tmpl w:val="B0183AC6"/>
    <w:lvl w:ilvl="0" w:tplc="39640E08">
      <w:start w:val="4"/>
      <w:numFmt w:val="bullet"/>
      <w:lvlText w:val="-"/>
      <w:lvlJc w:val="left"/>
      <w:pPr>
        <w:ind w:left="720" w:hanging="360"/>
      </w:pPr>
      <w:rPr>
        <w:rFonts w:ascii="Calibri" w:eastAsia="Cambria"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4B3618"/>
    <w:multiLevelType w:val="hybridMultilevel"/>
    <w:tmpl w:val="EE5A8BB4"/>
    <w:lvl w:ilvl="0" w:tplc="F8EC3166">
      <w:start w:val="1"/>
      <w:numFmt w:val="lowerLetter"/>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712B86"/>
    <w:multiLevelType w:val="hybridMultilevel"/>
    <w:tmpl w:val="F1607CB4"/>
    <w:lvl w:ilvl="0" w:tplc="39640E08">
      <w:start w:val="4"/>
      <w:numFmt w:val="bullet"/>
      <w:lvlText w:val="-"/>
      <w:lvlJc w:val="left"/>
      <w:pPr>
        <w:ind w:left="720" w:hanging="360"/>
      </w:pPr>
      <w:rPr>
        <w:rFonts w:ascii="Calibri" w:eastAsia="Cambria"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7E1440"/>
    <w:multiLevelType w:val="hybridMultilevel"/>
    <w:tmpl w:val="F9F6E1A8"/>
    <w:lvl w:ilvl="0" w:tplc="0C090011">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8" w15:restartNumberingAfterBreak="0">
    <w:nsid w:val="7B1D6719"/>
    <w:multiLevelType w:val="hybridMultilevel"/>
    <w:tmpl w:val="43CA02F6"/>
    <w:lvl w:ilvl="0" w:tplc="9828DFC0">
      <w:start w:val="1"/>
      <w:numFmt w:val="lowerLetter"/>
      <w:lvlText w:val="%1)"/>
      <w:lvlJc w:val="left"/>
      <w:pPr>
        <w:ind w:left="1425" w:hanging="360"/>
      </w:pPr>
      <w:rPr>
        <w:color w:val="00B050"/>
      </w:rPr>
    </w:lvl>
    <w:lvl w:ilvl="1" w:tplc="0BB46144">
      <w:start w:val="1"/>
      <w:numFmt w:val="lowerRoman"/>
      <w:lvlText w:val="(%2)"/>
      <w:lvlJc w:val="left"/>
      <w:pPr>
        <w:ind w:left="2145" w:hanging="360"/>
      </w:pPr>
      <w:rPr>
        <w:rFonts w:hint="default"/>
        <w:color w:val="00B050"/>
      </w:r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19"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111BA6"/>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4681334">
    <w:abstractNumId w:val="5"/>
  </w:num>
  <w:num w:numId="2" w16cid:durableId="223176242">
    <w:abstractNumId w:val="2"/>
  </w:num>
  <w:num w:numId="3" w16cid:durableId="259801783">
    <w:abstractNumId w:val="4"/>
  </w:num>
  <w:num w:numId="4" w16cid:durableId="1205559131">
    <w:abstractNumId w:val="13"/>
  </w:num>
  <w:num w:numId="5" w16cid:durableId="1534884455">
    <w:abstractNumId w:val="8"/>
  </w:num>
  <w:num w:numId="6" w16cid:durableId="868762516">
    <w:abstractNumId w:val="12"/>
  </w:num>
  <w:num w:numId="7" w16cid:durableId="1597404199">
    <w:abstractNumId w:val="2"/>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1267081456">
    <w:abstractNumId w:val="14"/>
  </w:num>
  <w:num w:numId="9" w16cid:durableId="1813447951">
    <w:abstractNumId w:val="10"/>
  </w:num>
  <w:num w:numId="10" w16cid:durableId="1562058223">
    <w:abstractNumId w:val="3"/>
  </w:num>
  <w:num w:numId="11" w16cid:durableId="2061972259">
    <w:abstractNumId w:val="3"/>
  </w:num>
  <w:num w:numId="12" w16cid:durableId="1316908357">
    <w:abstractNumId w:val="19"/>
  </w:num>
  <w:num w:numId="13" w16cid:durableId="1836997063">
    <w:abstractNumId w:val="21"/>
  </w:num>
  <w:num w:numId="14" w16cid:durableId="1167524439">
    <w:abstractNumId w:val="20"/>
  </w:num>
  <w:num w:numId="15" w16cid:durableId="126515866">
    <w:abstractNumId w:val="15"/>
  </w:num>
  <w:num w:numId="16" w16cid:durableId="1607425753">
    <w:abstractNumId w:val="9"/>
  </w:num>
  <w:num w:numId="17" w16cid:durableId="1558080367">
    <w:abstractNumId w:val="1"/>
  </w:num>
  <w:num w:numId="18" w16cid:durableId="81072998">
    <w:abstractNumId w:val="18"/>
  </w:num>
  <w:num w:numId="19" w16cid:durableId="1683049957">
    <w:abstractNumId w:val="7"/>
  </w:num>
  <w:num w:numId="20" w16cid:durableId="1722318437">
    <w:abstractNumId w:val="11"/>
  </w:num>
  <w:num w:numId="21" w16cid:durableId="1085761601">
    <w:abstractNumId w:val="16"/>
  </w:num>
  <w:num w:numId="22" w16cid:durableId="132658729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4196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207571">
    <w:abstractNumId w:val="0"/>
  </w:num>
  <w:num w:numId="25" w16cid:durableId="374279308">
    <w:abstractNumId w:val="6"/>
  </w:num>
  <w:num w:numId="26" w16cid:durableId="184752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0076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186F"/>
    <w:rsid w:val="000034D5"/>
    <w:rsid w:val="00025E42"/>
    <w:rsid w:val="00040B09"/>
    <w:rsid w:val="00046BFA"/>
    <w:rsid w:val="00047B28"/>
    <w:rsid w:val="000565D8"/>
    <w:rsid w:val="0006135C"/>
    <w:rsid w:val="00063FD7"/>
    <w:rsid w:val="00065713"/>
    <w:rsid w:val="00080730"/>
    <w:rsid w:val="00081F52"/>
    <w:rsid w:val="000856A8"/>
    <w:rsid w:val="00093BAD"/>
    <w:rsid w:val="00094B81"/>
    <w:rsid w:val="00096006"/>
    <w:rsid w:val="000D25B8"/>
    <w:rsid w:val="000D3B93"/>
    <w:rsid w:val="000D6AD7"/>
    <w:rsid w:val="000E264F"/>
    <w:rsid w:val="000F60A2"/>
    <w:rsid w:val="00105DE3"/>
    <w:rsid w:val="00120525"/>
    <w:rsid w:val="00123C37"/>
    <w:rsid w:val="001245B0"/>
    <w:rsid w:val="0012473C"/>
    <w:rsid w:val="0012506B"/>
    <w:rsid w:val="00134180"/>
    <w:rsid w:val="00142945"/>
    <w:rsid w:val="00145ADD"/>
    <w:rsid w:val="001651C8"/>
    <w:rsid w:val="001678E3"/>
    <w:rsid w:val="00175CD8"/>
    <w:rsid w:val="00183305"/>
    <w:rsid w:val="0018409C"/>
    <w:rsid w:val="0019497A"/>
    <w:rsid w:val="001A399D"/>
    <w:rsid w:val="001A5C54"/>
    <w:rsid w:val="001B39A3"/>
    <w:rsid w:val="001C429A"/>
    <w:rsid w:val="001E7A04"/>
    <w:rsid w:val="001F1A72"/>
    <w:rsid w:val="002008D8"/>
    <w:rsid w:val="0020428F"/>
    <w:rsid w:val="00205945"/>
    <w:rsid w:val="0020605C"/>
    <w:rsid w:val="00222B54"/>
    <w:rsid w:val="00222C44"/>
    <w:rsid w:val="0022442A"/>
    <w:rsid w:val="002337CF"/>
    <w:rsid w:val="00237C71"/>
    <w:rsid w:val="00245C47"/>
    <w:rsid w:val="002544A7"/>
    <w:rsid w:val="00260E0F"/>
    <w:rsid w:val="00262A02"/>
    <w:rsid w:val="00263B1E"/>
    <w:rsid w:val="002662C3"/>
    <w:rsid w:val="002718EB"/>
    <w:rsid w:val="00276BC1"/>
    <w:rsid w:val="00281D3C"/>
    <w:rsid w:val="002852B5"/>
    <w:rsid w:val="002A3CA5"/>
    <w:rsid w:val="002A6AAF"/>
    <w:rsid w:val="002B7E3D"/>
    <w:rsid w:val="002D30F1"/>
    <w:rsid w:val="002E5CB7"/>
    <w:rsid w:val="003008D8"/>
    <w:rsid w:val="00306561"/>
    <w:rsid w:val="00335D8E"/>
    <w:rsid w:val="00340182"/>
    <w:rsid w:val="003404C8"/>
    <w:rsid w:val="00353267"/>
    <w:rsid w:val="0035444D"/>
    <w:rsid w:val="003637FF"/>
    <w:rsid w:val="00363C06"/>
    <w:rsid w:val="00363DF2"/>
    <w:rsid w:val="003713FD"/>
    <w:rsid w:val="0037418D"/>
    <w:rsid w:val="0039460E"/>
    <w:rsid w:val="003A66F1"/>
    <w:rsid w:val="003B2C34"/>
    <w:rsid w:val="003B3F3B"/>
    <w:rsid w:val="003C2DC4"/>
    <w:rsid w:val="003F409A"/>
    <w:rsid w:val="003F519F"/>
    <w:rsid w:val="004034E2"/>
    <w:rsid w:val="004061B0"/>
    <w:rsid w:val="004145C6"/>
    <w:rsid w:val="00416D53"/>
    <w:rsid w:val="00416E4C"/>
    <w:rsid w:val="00423964"/>
    <w:rsid w:val="004246B8"/>
    <w:rsid w:val="00430407"/>
    <w:rsid w:val="00435252"/>
    <w:rsid w:val="00445A66"/>
    <w:rsid w:val="00452723"/>
    <w:rsid w:val="00460340"/>
    <w:rsid w:val="00472D41"/>
    <w:rsid w:val="00472EEB"/>
    <w:rsid w:val="00476422"/>
    <w:rsid w:val="00490657"/>
    <w:rsid w:val="00491890"/>
    <w:rsid w:val="00492A56"/>
    <w:rsid w:val="004A0DAA"/>
    <w:rsid w:val="004A7B37"/>
    <w:rsid w:val="004B16F8"/>
    <w:rsid w:val="004B38A4"/>
    <w:rsid w:val="004C30D8"/>
    <w:rsid w:val="004C427A"/>
    <w:rsid w:val="004D1BB1"/>
    <w:rsid w:val="004D1EBD"/>
    <w:rsid w:val="004E33BD"/>
    <w:rsid w:val="004E66D9"/>
    <w:rsid w:val="004F2C54"/>
    <w:rsid w:val="005049E4"/>
    <w:rsid w:val="0050725D"/>
    <w:rsid w:val="0051116D"/>
    <w:rsid w:val="00512397"/>
    <w:rsid w:val="00522B11"/>
    <w:rsid w:val="00522EC3"/>
    <w:rsid w:val="00525A2D"/>
    <w:rsid w:val="00534DF7"/>
    <w:rsid w:val="00534FA2"/>
    <w:rsid w:val="005350F9"/>
    <w:rsid w:val="00547405"/>
    <w:rsid w:val="00547CC0"/>
    <w:rsid w:val="0055689D"/>
    <w:rsid w:val="00567FF0"/>
    <w:rsid w:val="00571739"/>
    <w:rsid w:val="00571C00"/>
    <w:rsid w:val="00574D09"/>
    <w:rsid w:val="0058279F"/>
    <w:rsid w:val="0058575E"/>
    <w:rsid w:val="005916C0"/>
    <w:rsid w:val="005931F7"/>
    <w:rsid w:val="005A06AE"/>
    <w:rsid w:val="005A34E2"/>
    <w:rsid w:val="005C0BF9"/>
    <w:rsid w:val="005C0C0B"/>
    <w:rsid w:val="005C6A7D"/>
    <w:rsid w:val="005D26AD"/>
    <w:rsid w:val="005D5C97"/>
    <w:rsid w:val="005E2D6E"/>
    <w:rsid w:val="005E346E"/>
    <w:rsid w:val="005E631F"/>
    <w:rsid w:val="006102B3"/>
    <w:rsid w:val="0062371D"/>
    <w:rsid w:val="006303D3"/>
    <w:rsid w:val="00642CF9"/>
    <w:rsid w:val="00644877"/>
    <w:rsid w:val="006507B0"/>
    <w:rsid w:val="00660179"/>
    <w:rsid w:val="00677F1F"/>
    <w:rsid w:val="0068083A"/>
    <w:rsid w:val="006A1F0B"/>
    <w:rsid w:val="006A6D4D"/>
    <w:rsid w:val="006B263D"/>
    <w:rsid w:val="006C3AA9"/>
    <w:rsid w:val="006C55C3"/>
    <w:rsid w:val="006C5999"/>
    <w:rsid w:val="006C7540"/>
    <w:rsid w:val="006E63B5"/>
    <w:rsid w:val="006F6BF3"/>
    <w:rsid w:val="00700630"/>
    <w:rsid w:val="00702A4C"/>
    <w:rsid w:val="0071255C"/>
    <w:rsid w:val="007144E9"/>
    <w:rsid w:val="00715F1B"/>
    <w:rsid w:val="0071728B"/>
    <w:rsid w:val="0072335C"/>
    <w:rsid w:val="00743336"/>
    <w:rsid w:val="007449B0"/>
    <w:rsid w:val="00744C12"/>
    <w:rsid w:val="00746990"/>
    <w:rsid w:val="00753450"/>
    <w:rsid w:val="00755D1D"/>
    <w:rsid w:val="007619BC"/>
    <w:rsid w:val="00762ED1"/>
    <w:rsid w:val="00763B67"/>
    <w:rsid w:val="00770DB3"/>
    <w:rsid w:val="00774C5F"/>
    <w:rsid w:val="00776008"/>
    <w:rsid w:val="007761CA"/>
    <w:rsid w:val="0078164E"/>
    <w:rsid w:val="00790CDB"/>
    <w:rsid w:val="00796B90"/>
    <w:rsid w:val="007A07FB"/>
    <w:rsid w:val="007A6634"/>
    <w:rsid w:val="007D565C"/>
    <w:rsid w:val="007E1258"/>
    <w:rsid w:val="007E6BE4"/>
    <w:rsid w:val="007F0A77"/>
    <w:rsid w:val="007F4C70"/>
    <w:rsid w:val="007F4EAA"/>
    <w:rsid w:val="00802512"/>
    <w:rsid w:val="008060E1"/>
    <w:rsid w:val="0081366D"/>
    <w:rsid w:val="008171FB"/>
    <w:rsid w:val="00824157"/>
    <w:rsid w:val="008329DB"/>
    <w:rsid w:val="008524E7"/>
    <w:rsid w:val="00853CB5"/>
    <w:rsid w:val="008659ED"/>
    <w:rsid w:val="0086718D"/>
    <w:rsid w:val="00871434"/>
    <w:rsid w:val="00886A86"/>
    <w:rsid w:val="00894EDF"/>
    <w:rsid w:val="00896D6E"/>
    <w:rsid w:val="008A1A04"/>
    <w:rsid w:val="008A63FF"/>
    <w:rsid w:val="008B4BD8"/>
    <w:rsid w:val="008C3A79"/>
    <w:rsid w:val="008D2072"/>
    <w:rsid w:val="008E76C2"/>
    <w:rsid w:val="008F3CC0"/>
    <w:rsid w:val="009031DD"/>
    <w:rsid w:val="0090744F"/>
    <w:rsid w:val="00910B85"/>
    <w:rsid w:val="00915A60"/>
    <w:rsid w:val="00920792"/>
    <w:rsid w:val="0092422F"/>
    <w:rsid w:val="00930D58"/>
    <w:rsid w:val="009311B1"/>
    <w:rsid w:val="00940383"/>
    <w:rsid w:val="009421DD"/>
    <w:rsid w:val="0095024E"/>
    <w:rsid w:val="00957F1A"/>
    <w:rsid w:val="0097369F"/>
    <w:rsid w:val="00983468"/>
    <w:rsid w:val="00993257"/>
    <w:rsid w:val="00993E5B"/>
    <w:rsid w:val="0099506C"/>
    <w:rsid w:val="009A05A5"/>
    <w:rsid w:val="009A6687"/>
    <w:rsid w:val="009B12BB"/>
    <w:rsid w:val="009B3661"/>
    <w:rsid w:val="009B78BD"/>
    <w:rsid w:val="009D14E3"/>
    <w:rsid w:val="009D5BA7"/>
    <w:rsid w:val="009E1920"/>
    <w:rsid w:val="009E37E6"/>
    <w:rsid w:val="009E4C29"/>
    <w:rsid w:val="009E782A"/>
    <w:rsid w:val="009E786F"/>
    <w:rsid w:val="009E78AE"/>
    <w:rsid w:val="00A01CCE"/>
    <w:rsid w:val="00A03C11"/>
    <w:rsid w:val="00A047FB"/>
    <w:rsid w:val="00A33A8A"/>
    <w:rsid w:val="00A406F9"/>
    <w:rsid w:val="00A42C20"/>
    <w:rsid w:val="00A537E7"/>
    <w:rsid w:val="00A539D5"/>
    <w:rsid w:val="00A54EA8"/>
    <w:rsid w:val="00A8333D"/>
    <w:rsid w:val="00A8711B"/>
    <w:rsid w:val="00A9115F"/>
    <w:rsid w:val="00A919A4"/>
    <w:rsid w:val="00A920EE"/>
    <w:rsid w:val="00A92A8E"/>
    <w:rsid w:val="00AA0EFB"/>
    <w:rsid w:val="00AB4CF4"/>
    <w:rsid w:val="00AB7CBF"/>
    <w:rsid w:val="00AC5586"/>
    <w:rsid w:val="00AC69E3"/>
    <w:rsid w:val="00AD28C6"/>
    <w:rsid w:val="00AD4E44"/>
    <w:rsid w:val="00AE1339"/>
    <w:rsid w:val="00B0292E"/>
    <w:rsid w:val="00B0638F"/>
    <w:rsid w:val="00B20873"/>
    <w:rsid w:val="00B21632"/>
    <w:rsid w:val="00B302FD"/>
    <w:rsid w:val="00B30B31"/>
    <w:rsid w:val="00B33540"/>
    <w:rsid w:val="00B338C3"/>
    <w:rsid w:val="00B3393E"/>
    <w:rsid w:val="00B36AD8"/>
    <w:rsid w:val="00B4347B"/>
    <w:rsid w:val="00B46BC0"/>
    <w:rsid w:val="00B54651"/>
    <w:rsid w:val="00B5645C"/>
    <w:rsid w:val="00BA3140"/>
    <w:rsid w:val="00BA4DC1"/>
    <w:rsid w:val="00BB2E75"/>
    <w:rsid w:val="00BC42F1"/>
    <w:rsid w:val="00BC583D"/>
    <w:rsid w:val="00BE22ED"/>
    <w:rsid w:val="00BF1368"/>
    <w:rsid w:val="00BF3545"/>
    <w:rsid w:val="00BF548B"/>
    <w:rsid w:val="00BF6B60"/>
    <w:rsid w:val="00BF6CFD"/>
    <w:rsid w:val="00BF74B7"/>
    <w:rsid w:val="00C0317B"/>
    <w:rsid w:val="00C037BD"/>
    <w:rsid w:val="00C051B6"/>
    <w:rsid w:val="00C063D5"/>
    <w:rsid w:val="00C14F49"/>
    <w:rsid w:val="00C21B58"/>
    <w:rsid w:val="00C36488"/>
    <w:rsid w:val="00C400B6"/>
    <w:rsid w:val="00C56A5C"/>
    <w:rsid w:val="00C93D58"/>
    <w:rsid w:val="00C964AB"/>
    <w:rsid w:val="00CA0DAE"/>
    <w:rsid w:val="00CA296D"/>
    <w:rsid w:val="00CA5B4B"/>
    <w:rsid w:val="00CA6F16"/>
    <w:rsid w:val="00CB0550"/>
    <w:rsid w:val="00CB3F3E"/>
    <w:rsid w:val="00CB7CDB"/>
    <w:rsid w:val="00CC00C3"/>
    <w:rsid w:val="00CC57E4"/>
    <w:rsid w:val="00CD0EDA"/>
    <w:rsid w:val="00CD28AA"/>
    <w:rsid w:val="00CD559E"/>
    <w:rsid w:val="00CF2B0E"/>
    <w:rsid w:val="00CF3718"/>
    <w:rsid w:val="00D078BE"/>
    <w:rsid w:val="00D10AA2"/>
    <w:rsid w:val="00D11FDD"/>
    <w:rsid w:val="00D13F8A"/>
    <w:rsid w:val="00D42530"/>
    <w:rsid w:val="00D43F80"/>
    <w:rsid w:val="00D50E17"/>
    <w:rsid w:val="00D54DC3"/>
    <w:rsid w:val="00D66721"/>
    <w:rsid w:val="00D70273"/>
    <w:rsid w:val="00D73A74"/>
    <w:rsid w:val="00D73CF5"/>
    <w:rsid w:val="00D747B7"/>
    <w:rsid w:val="00D86C39"/>
    <w:rsid w:val="00D87E8B"/>
    <w:rsid w:val="00D918D5"/>
    <w:rsid w:val="00D97679"/>
    <w:rsid w:val="00DA42E4"/>
    <w:rsid w:val="00DB1A44"/>
    <w:rsid w:val="00DB262C"/>
    <w:rsid w:val="00DB3519"/>
    <w:rsid w:val="00DB65D6"/>
    <w:rsid w:val="00DB6B41"/>
    <w:rsid w:val="00DD0DD1"/>
    <w:rsid w:val="00DE02BB"/>
    <w:rsid w:val="00DE2FCD"/>
    <w:rsid w:val="00E1070A"/>
    <w:rsid w:val="00E16C86"/>
    <w:rsid w:val="00E20626"/>
    <w:rsid w:val="00E25201"/>
    <w:rsid w:val="00E267B9"/>
    <w:rsid w:val="00E26DD1"/>
    <w:rsid w:val="00E307C2"/>
    <w:rsid w:val="00E44480"/>
    <w:rsid w:val="00E456FF"/>
    <w:rsid w:val="00E53D3F"/>
    <w:rsid w:val="00E661CB"/>
    <w:rsid w:val="00E765A2"/>
    <w:rsid w:val="00E851C6"/>
    <w:rsid w:val="00E85A49"/>
    <w:rsid w:val="00E93730"/>
    <w:rsid w:val="00EB0141"/>
    <w:rsid w:val="00EB3752"/>
    <w:rsid w:val="00EB7513"/>
    <w:rsid w:val="00ED2DD9"/>
    <w:rsid w:val="00ED3150"/>
    <w:rsid w:val="00ED5528"/>
    <w:rsid w:val="00EE04DE"/>
    <w:rsid w:val="00EF4851"/>
    <w:rsid w:val="00F02AEC"/>
    <w:rsid w:val="00F15E6F"/>
    <w:rsid w:val="00F30AA5"/>
    <w:rsid w:val="00F325B6"/>
    <w:rsid w:val="00F35EBF"/>
    <w:rsid w:val="00F41879"/>
    <w:rsid w:val="00F515BD"/>
    <w:rsid w:val="00F619C8"/>
    <w:rsid w:val="00F77C86"/>
    <w:rsid w:val="00F77DE7"/>
    <w:rsid w:val="00F8026B"/>
    <w:rsid w:val="00F9602D"/>
    <w:rsid w:val="00F96E28"/>
    <w:rsid w:val="00FA40A8"/>
    <w:rsid w:val="00FA49C3"/>
    <w:rsid w:val="00FB16DE"/>
    <w:rsid w:val="00FB1FDE"/>
    <w:rsid w:val="00FB2762"/>
    <w:rsid w:val="00FC020B"/>
    <w:rsid w:val="00FC6608"/>
    <w:rsid w:val="00FD62DC"/>
    <w:rsid w:val="00FD6B11"/>
    <w:rsid w:val="00FD7CF8"/>
    <w:rsid w:val="00FE14F6"/>
    <w:rsid w:val="00FE1D52"/>
    <w:rsid w:val="00FE4145"/>
    <w:rsid w:val="00FE4430"/>
    <w:rsid w:val="00FE4F6D"/>
    <w:rsid w:val="00FE7D1E"/>
    <w:rsid w:val="00FF3254"/>
    <w:rsid w:val="00FF7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1E"/>
    <w:rPr>
      <w:color w:val="0D0D0D" w:themeColor="text1" w:themeTint="F2"/>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7D565C"/>
    <w:pPr>
      <w:keepNext/>
      <w:keepLines/>
      <w:spacing w:before="360" w:line="360" w:lineRule="auto"/>
      <w:outlineLvl w:val="3"/>
    </w:pPr>
    <w:rPr>
      <w:rFonts w:ascii="Calibri" w:eastAsia="Cambria" w:hAnsi="Calibri" w:cs="Times New Roman"/>
      <w:b/>
      <w:bCs/>
      <w:i/>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7D565C"/>
    <w:rPr>
      <w:rFonts w:ascii="Calibri" w:eastAsia="Cambria" w:hAnsi="Calibri" w:cs="Times New Roman"/>
      <w:b/>
      <w:bCs/>
      <w:i/>
      <w:color w:val="0D0D0D" w:themeColor="text1" w:themeTint="F2"/>
      <w:sz w:val="22"/>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CD559E"/>
    <w:pPr>
      <w:numPr>
        <w:ilvl w:val="1"/>
        <w:numId w:val="1"/>
      </w:numPr>
      <w:spacing w:before="120" w:after="180" w:line="240" w:lineRule="atLeast"/>
      <w:ind w:left="1276"/>
    </w:pPr>
    <w:rPr>
      <w:rFonts w:eastAsia="Cambria" w:cstheme="minorHAnsi"/>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character" w:styleId="FollowedHyperlink">
    <w:name w:val="FollowedHyperlink"/>
    <w:basedOn w:val="DefaultParagraphFont"/>
    <w:uiPriority w:val="99"/>
    <w:semiHidden/>
    <w:unhideWhenUsed/>
    <w:rsid w:val="0018409C"/>
    <w:rPr>
      <w:color w:val="954F72" w:themeColor="followedHyperlink"/>
      <w:u w:val="single"/>
    </w:rPr>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A60"/>
    <w:rPr>
      <w:color w:val="808080"/>
    </w:rPr>
  </w:style>
  <w:style w:type="paragraph" w:customStyle="1" w:styleId="paragraph">
    <w:name w:val="paragraph"/>
    <w:basedOn w:val="Normal"/>
    <w:rsid w:val="005C0C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C0C0B"/>
  </w:style>
  <w:style w:type="character" w:customStyle="1" w:styleId="eop">
    <w:name w:val="eop"/>
    <w:basedOn w:val="DefaultParagraphFont"/>
    <w:rsid w:val="005C0C0B"/>
  </w:style>
  <w:style w:type="character" w:styleId="UnresolvedMention">
    <w:name w:val="Unresolved Mention"/>
    <w:basedOn w:val="DefaultParagraphFont"/>
    <w:uiPriority w:val="99"/>
    <w:semiHidden/>
    <w:unhideWhenUsed/>
    <w:rsid w:val="005C0C0B"/>
    <w:rPr>
      <w:color w:val="605E5C"/>
      <w:shd w:val="clear" w:color="auto" w:fill="E1DFDD"/>
    </w:rPr>
  </w:style>
  <w:style w:type="character" w:customStyle="1" w:styleId="scxw160020770">
    <w:name w:val="scxw160020770"/>
    <w:basedOn w:val="DefaultParagraphFont"/>
    <w:rsid w:val="0018409C"/>
  </w:style>
  <w:style w:type="paragraph" w:customStyle="1" w:styleId="Default">
    <w:name w:val="Default"/>
    <w:rsid w:val="0018409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D559E"/>
    <w:pPr>
      <w:ind w:left="720"/>
      <w:contextualSpacing/>
    </w:pPr>
  </w:style>
  <w:style w:type="paragraph" w:styleId="CommentSubject">
    <w:name w:val="annotation subject"/>
    <w:basedOn w:val="CommentText"/>
    <w:next w:val="CommentText"/>
    <w:link w:val="CommentSubjectChar"/>
    <w:uiPriority w:val="99"/>
    <w:semiHidden/>
    <w:unhideWhenUsed/>
    <w:rsid w:val="00DE2FCD"/>
    <w:pPr>
      <w:spacing w:before="0" w:after="12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DE2FCD"/>
    <w:rPr>
      <w:rFonts w:ascii="Cambria" w:eastAsia="Cambria" w:hAnsi="Cambria" w:cs="Times New Roman"/>
      <w:b/>
      <w:bCs/>
      <w:color w:val="0D0D0D" w:themeColor="text1" w:themeTint="F2"/>
    </w:rPr>
  </w:style>
  <w:style w:type="paragraph" w:styleId="Revision">
    <w:name w:val="Revision"/>
    <w:hidden/>
    <w:uiPriority w:val="99"/>
    <w:semiHidden/>
    <w:rsid w:val="00DB1A44"/>
    <w:pPr>
      <w:spacing w:after="0" w:line="240" w:lineRule="auto"/>
    </w:pPr>
    <w:rPr>
      <w:color w:val="0D0D0D" w:themeColor="text1" w:themeTint="F2"/>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A919A4"/>
    <w:rPr>
      <w:color w:val="0D0D0D" w:themeColor="text1" w:themeTint="F2"/>
      <w:sz w:val="22"/>
    </w:rPr>
  </w:style>
  <w:style w:type="paragraph" w:styleId="NormalWeb">
    <w:name w:val="Normal (Web)"/>
    <w:basedOn w:val="Normal"/>
    <w:uiPriority w:val="99"/>
    <w:semiHidden/>
    <w:unhideWhenUsed/>
    <w:rsid w:val="00B3393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7234">
      <w:bodyDiv w:val="1"/>
      <w:marLeft w:val="0"/>
      <w:marRight w:val="0"/>
      <w:marTop w:val="0"/>
      <w:marBottom w:val="0"/>
      <w:divBdr>
        <w:top w:val="none" w:sz="0" w:space="0" w:color="auto"/>
        <w:left w:val="none" w:sz="0" w:space="0" w:color="auto"/>
        <w:bottom w:val="none" w:sz="0" w:space="0" w:color="auto"/>
        <w:right w:val="none" w:sz="0" w:space="0" w:color="auto"/>
      </w:divBdr>
    </w:div>
    <w:div w:id="1437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june-2023" TargetMode="External"/><Relationship Id="rId18" Type="http://schemas.openxmlformats.org/officeDocument/2006/relationships/hyperlink" Target="https://www.tga.gov.au/resources/consultation/consultation-proposed-amendments-poisons-standard-acms-and-joint-acms-accs-meetings-june-2023" TargetMode="External"/><Relationship Id="rId26" Type="http://schemas.openxmlformats.org/officeDocument/2006/relationships/hyperlink" Target="https://consultations.tga.gov.au/tga/scheduling-pre-meeting-june-2023/user_uploads/june-pre-meeting-public-notice-acms--42-acms-accs--34-1.pdf" TargetMode="External"/><Relationship Id="rId39" Type="http://schemas.openxmlformats.org/officeDocument/2006/relationships/hyperlink" Target="https://consultations.tga.gov.au/tga/scheduling-pre-meeting-june-2023/user_uploads/june-pre-meeting-public-notice-acms--42-acms-accs--34-1.pdf" TargetMode="External"/><Relationship Id="rId3" Type="http://schemas.openxmlformats.org/officeDocument/2006/relationships/styles" Target="styles.xml"/><Relationship Id="rId21" Type="http://schemas.openxmlformats.org/officeDocument/2006/relationships/hyperlink" Target="https://www.courts.sa.gov.au/download/2018-findings/?ind=1631086011638&amp;filename=LA%20BELLA%20Claudia.pdf&amp;wpdmdl=13813&amp;refresh=64d06b01b893b1691380481" TargetMode="External"/><Relationship Id="rId34" Type="http://schemas.openxmlformats.org/officeDocument/2006/relationships/hyperlink" Target="https://consultations.tga.gov.au/tga/scheduling-pre-meeting-june-2023/user_uploads/june-pre-meeting-public-notice-acms--42-acms-accs--34-1.pdf" TargetMode="External"/><Relationship Id="rId42" Type="http://schemas.openxmlformats.org/officeDocument/2006/relationships/hyperlink" Target="https://www.tga.gov.au/sites/default/files/evaluation-report-amygdalin-hydrocyanic-acid.pdf"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consultations.tga.gov.au/tga/scheduling-pre-meeting-june-2023/" TargetMode="External"/><Relationship Id="rId25" Type="http://schemas.openxmlformats.org/officeDocument/2006/relationships/hyperlink" Target="https://consultations.tga.gov.au/tga/scheduling-pre-meeting-june-2023/user_uploads/june-pre-meeting-public-notice-acms--42-acms-accs--34-1.pdf" TargetMode="External"/><Relationship Id="rId33" Type="http://schemas.openxmlformats.org/officeDocument/2006/relationships/hyperlink" Target="https://consultations.tga.gov.au/tga/scheduling-pre-meeting-june-2023/user_uploads/june-pre-meeting-public-notice-acms--42-acms-accs--34-1.pdf" TargetMode="External"/><Relationship Id="rId38" Type="http://schemas.openxmlformats.org/officeDocument/2006/relationships/hyperlink" Target="https://www.tga.gov.au/resources/consultation/consultation-proposed-amendments-poisons-standard-acms-and-joint-acms-accs-meetings-june-2023"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consultations.tga.gov.au/tga/scheduling-pre-meeting-june-2023/user_uploads/june-pre-meeting-public-notice-acms--42-acms-accs--34-1.pdf" TargetMode="External"/><Relationship Id="rId20" Type="http://schemas.openxmlformats.org/officeDocument/2006/relationships/hyperlink" Target="https://www.pbs.gov.au/pbs/search?term=bisacodyl" TargetMode="External"/><Relationship Id="rId29" Type="http://schemas.openxmlformats.org/officeDocument/2006/relationships/hyperlink" Target="https://www.guild.org.au/training/pharmacy-and-dispensary-assistant/s2s3-training" TargetMode="External"/><Relationship Id="rId41" Type="http://schemas.openxmlformats.org/officeDocument/2006/relationships/hyperlink" Target="https://www.tga.gov.au/resources/publication/scheduling-decisions-final/notice-final-decisions-amend-or-not-amend-current-poisons-standard-acms-34-joint-acms-accs-28-accs-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scheduling-pre-meeting-june-2023/user_uploads/june-pre-meeting-public-notice-acms--42-acms-accs--34-1.pdf" TargetMode="External"/><Relationship Id="rId32" Type="http://schemas.openxmlformats.org/officeDocument/2006/relationships/hyperlink" Target="https://www.tga.gov.au/resources/consultation/consultation-proposed-amendments-poisons-standard-acms-and-joint-acms-accs-meetings-june-2023" TargetMode="External"/><Relationship Id="rId37" Type="http://schemas.openxmlformats.org/officeDocument/2006/relationships/hyperlink" Target="https://www.ebs.tga.gov.au/" TargetMode="External"/><Relationship Id="rId40" Type="http://schemas.openxmlformats.org/officeDocument/2006/relationships/hyperlink" Target="https://consultations.tga.gov.au/tga/scheduling-pre-meeting-june-2023/user_uploads/june-pre-meeting-public-notice-acms--42-acms-accs--34-1.pdf" TargetMode="External"/><Relationship Id="rId45"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resources/resource/guidance/scheduling-handbook-guidance-amending-poisons-standard" TargetMode="External"/><Relationship Id="rId23" Type="http://schemas.openxmlformats.org/officeDocument/2006/relationships/hyperlink" Target="https://www.gov.uk/drug-safety-update/stimulant-laxatives-bisacodyl-senna-and-sennosides-sodium-picosulfate-available-over-the-counter-new-measures-to-support-safe-use" TargetMode="External"/><Relationship Id="rId28" Type="http://schemas.openxmlformats.org/officeDocument/2006/relationships/hyperlink" Target="https://daen.tga.gov.au/medicines-terms-condition" TargetMode="External"/><Relationship Id="rId36" Type="http://schemas.openxmlformats.org/officeDocument/2006/relationships/hyperlink" Target="https://www.legislation.gov.au/Details/F2017C00319"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tgldcdp.tg.org.au/etgAccess" TargetMode="External"/><Relationship Id="rId31" Type="http://schemas.openxmlformats.org/officeDocument/2006/relationships/hyperlink" Target="https://www.guild.org.au/training/pharmacy-and-dispensary-assistant/s2s3-trainin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ahmac-scheduling-policy-framework-medicines-and-chemicals.pdf" TargetMode="External"/><Relationship Id="rId22" Type="http://schemas.openxmlformats.org/officeDocument/2006/relationships/hyperlink" Target="https://apps.tga.gov.au/Prod/daen/daen-entry.aspx" TargetMode="External"/><Relationship Id="rId27" Type="http://schemas.openxmlformats.org/officeDocument/2006/relationships/hyperlink" Target="https://www.tg.org.au/" TargetMode="External"/><Relationship Id="rId30" Type="http://schemas.openxmlformats.org/officeDocument/2006/relationships/hyperlink" Target="https://daen.tga.gov.au/medicines-terms-condition" TargetMode="External"/><Relationship Id="rId35" Type="http://schemas.openxmlformats.org/officeDocument/2006/relationships/hyperlink" Target="https://www.anzctr.org.au/" TargetMode="External"/><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3EC4291A349A6B74A7747B5D0DB82"/>
        <w:category>
          <w:name w:val="General"/>
          <w:gallery w:val="placeholder"/>
        </w:category>
        <w:types>
          <w:type w:val="bbPlcHdr"/>
        </w:types>
        <w:behaviors>
          <w:behavior w:val="content"/>
        </w:behaviors>
        <w:guid w:val="{8006CC64-37D2-41DE-88BC-2DF137DCBFBE}"/>
      </w:docPartPr>
      <w:docPartBody>
        <w:p w:rsidR="00847102" w:rsidRDefault="004002D6" w:rsidP="004002D6">
          <w:pPr>
            <w:pStyle w:val="1183EC4291A349A6B74A7747B5D0DB82"/>
          </w:pPr>
          <w:r w:rsidRPr="0077627B">
            <w:rPr>
              <w:rStyle w:val="PlaceholderText"/>
            </w:rPr>
            <w:t>Click or tap here to enter text.</w:t>
          </w:r>
        </w:p>
      </w:docPartBody>
    </w:docPart>
    <w:docPart>
      <w:docPartPr>
        <w:name w:val="F28F93E88E6143B7B83988DE753ACBA1"/>
        <w:category>
          <w:name w:val="General"/>
          <w:gallery w:val="placeholder"/>
        </w:category>
        <w:types>
          <w:type w:val="bbPlcHdr"/>
        </w:types>
        <w:behaviors>
          <w:behavior w:val="content"/>
        </w:behaviors>
        <w:guid w:val="{BACE7D11-3E19-45E7-9CA6-7B8CC814F0F8}"/>
      </w:docPartPr>
      <w:docPartBody>
        <w:p w:rsidR="00847102" w:rsidRDefault="004002D6" w:rsidP="004002D6">
          <w:pPr>
            <w:pStyle w:val="F28F93E88E6143B7B83988DE753ACBA1"/>
          </w:pPr>
          <w:r w:rsidRPr="0077627B">
            <w:rPr>
              <w:rStyle w:val="PlaceholderText"/>
            </w:rPr>
            <w:t>Click or tap here to enter text.</w:t>
          </w:r>
        </w:p>
      </w:docPartBody>
    </w:docPart>
    <w:docPart>
      <w:docPartPr>
        <w:name w:val="722A8C1725E24F9A951C970BB96C7831"/>
        <w:category>
          <w:name w:val="General"/>
          <w:gallery w:val="placeholder"/>
        </w:category>
        <w:types>
          <w:type w:val="bbPlcHdr"/>
        </w:types>
        <w:behaviors>
          <w:behavior w:val="content"/>
        </w:behaviors>
        <w:guid w:val="{2449D7F9-F555-4905-94FA-B7406A324CDB}"/>
      </w:docPartPr>
      <w:docPartBody>
        <w:p w:rsidR="00260E69" w:rsidRDefault="00753D44" w:rsidP="00753D44">
          <w:pPr>
            <w:pStyle w:val="722A8C1725E24F9A951C970BB96C7831"/>
          </w:pPr>
          <w:r w:rsidRPr="0077627B">
            <w:rPr>
              <w:rStyle w:val="PlaceholderText"/>
            </w:rPr>
            <w:t>Click or tap here to enter text.</w:t>
          </w:r>
        </w:p>
      </w:docPartBody>
    </w:docPart>
    <w:docPart>
      <w:docPartPr>
        <w:name w:val="A1C1DA5CF4F249AF91DD1AC1A71A2E75"/>
        <w:category>
          <w:name w:val="General"/>
          <w:gallery w:val="placeholder"/>
        </w:category>
        <w:types>
          <w:type w:val="bbPlcHdr"/>
        </w:types>
        <w:behaviors>
          <w:behavior w:val="content"/>
        </w:behaviors>
        <w:guid w:val="{E11994C5-01A7-4B20-8B7F-40E5D3101FF2}"/>
      </w:docPartPr>
      <w:docPartBody>
        <w:p w:rsidR="00260E69" w:rsidRDefault="00753D44" w:rsidP="00753D44">
          <w:pPr>
            <w:pStyle w:val="A1C1DA5CF4F249AF91DD1AC1A71A2E75"/>
          </w:pPr>
          <w:r w:rsidRPr="00B210A9">
            <w:rPr>
              <w:rStyle w:val="PlaceholderText"/>
            </w:rPr>
            <w:t>Click or tap here to enter text.</w:t>
          </w:r>
        </w:p>
      </w:docPartBody>
    </w:docPart>
    <w:docPart>
      <w:docPartPr>
        <w:name w:val="C3296D9741D64DF88FB2F51F57566474"/>
        <w:category>
          <w:name w:val="General"/>
          <w:gallery w:val="placeholder"/>
        </w:category>
        <w:types>
          <w:type w:val="bbPlcHdr"/>
        </w:types>
        <w:behaviors>
          <w:behavior w:val="content"/>
        </w:behaviors>
        <w:guid w:val="{5195FC36-224F-4BCB-BE36-95EAE3ECFD28}"/>
      </w:docPartPr>
      <w:docPartBody>
        <w:p w:rsidR="00260E69" w:rsidRDefault="00753D44" w:rsidP="00753D44">
          <w:pPr>
            <w:pStyle w:val="C3296D9741D64DF88FB2F51F57566474"/>
          </w:pPr>
          <w:r w:rsidRPr="0077627B">
            <w:rPr>
              <w:rStyle w:val="PlaceholderText"/>
            </w:rPr>
            <w:t>Click or tap here to enter text.</w:t>
          </w:r>
        </w:p>
      </w:docPartBody>
    </w:docPart>
    <w:docPart>
      <w:docPartPr>
        <w:name w:val="C1274694CD6246C8B956E5908D2555CB"/>
        <w:category>
          <w:name w:val="General"/>
          <w:gallery w:val="placeholder"/>
        </w:category>
        <w:types>
          <w:type w:val="bbPlcHdr"/>
        </w:types>
        <w:behaviors>
          <w:behavior w:val="content"/>
        </w:behaviors>
        <w:guid w:val="{210DA917-667B-49AC-90FB-6B97022C5433}"/>
      </w:docPartPr>
      <w:docPartBody>
        <w:p w:rsidR="00260E69" w:rsidRDefault="00753D44" w:rsidP="00753D44">
          <w:pPr>
            <w:pStyle w:val="C1274694CD6246C8B956E5908D2555C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106DF"/>
    <w:rsid w:val="0002190B"/>
    <w:rsid w:val="00046081"/>
    <w:rsid w:val="00051B88"/>
    <w:rsid w:val="00160AEC"/>
    <w:rsid w:val="00161AE5"/>
    <w:rsid w:val="002400D6"/>
    <w:rsid w:val="00250E45"/>
    <w:rsid w:val="00257250"/>
    <w:rsid w:val="00260E69"/>
    <w:rsid w:val="002A6E9B"/>
    <w:rsid w:val="004002D6"/>
    <w:rsid w:val="00442389"/>
    <w:rsid w:val="00454939"/>
    <w:rsid w:val="00493DEB"/>
    <w:rsid w:val="00497F4C"/>
    <w:rsid w:val="004E7169"/>
    <w:rsid w:val="00653DEA"/>
    <w:rsid w:val="006A7D54"/>
    <w:rsid w:val="00737B24"/>
    <w:rsid w:val="00753D44"/>
    <w:rsid w:val="00791A1A"/>
    <w:rsid w:val="0084315C"/>
    <w:rsid w:val="00847102"/>
    <w:rsid w:val="00871BA7"/>
    <w:rsid w:val="00893BC3"/>
    <w:rsid w:val="008D7609"/>
    <w:rsid w:val="008E497A"/>
    <w:rsid w:val="00933E60"/>
    <w:rsid w:val="009A1978"/>
    <w:rsid w:val="009A4E6C"/>
    <w:rsid w:val="009B28D1"/>
    <w:rsid w:val="00A04A4F"/>
    <w:rsid w:val="00A163F1"/>
    <w:rsid w:val="00A454DE"/>
    <w:rsid w:val="00A45758"/>
    <w:rsid w:val="00AD0B89"/>
    <w:rsid w:val="00AF66F5"/>
    <w:rsid w:val="00B70366"/>
    <w:rsid w:val="00B84134"/>
    <w:rsid w:val="00C6315A"/>
    <w:rsid w:val="00D0132A"/>
    <w:rsid w:val="00D03A1B"/>
    <w:rsid w:val="00D21A5F"/>
    <w:rsid w:val="00D675BD"/>
    <w:rsid w:val="00E1155C"/>
    <w:rsid w:val="00E2101A"/>
    <w:rsid w:val="00E457BC"/>
    <w:rsid w:val="00F11641"/>
    <w:rsid w:val="00F55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D44"/>
    <w:rPr>
      <w:color w:val="808080"/>
    </w:rPr>
  </w:style>
  <w:style w:type="paragraph" w:customStyle="1" w:styleId="1183EC4291A349A6B74A7747B5D0DB82">
    <w:name w:val="1183EC4291A349A6B74A7747B5D0DB82"/>
    <w:rsid w:val="004002D6"/>
  </w:style>
  <w:style w:type="paragraph" w:customStyle="1" w:styleId="F28F93E88E6143B7B83988DE753ACBA1">
    <w:name w:val="F28F93E88E6143B7B83988DE753ACBA1"/>
    <w:rsid w:val="004002D6"/>
  </w:style>
  <w:style w:type="paragraph" w:customStyle="1" w:styleId="722A8C1725E24F9A951C970BB96C7831">
    <w:name w:val="722A8C1725E24F9A951C970BB96C7831"/>
    <w:rsid w:val="00753D44"/>
  </w:style>
  <w:style w:type="paragraph" w:customStyle="1" w:styleId="A1C1DA5CF4F249AF91DD1AC1A71A2E75">
    <w:name w:val="A1C1DA5CF4F249AF91DD1AC1A71A2E75"/>
    <w:rsid w:val="00753D44"/>
  </w:style>
  <w:style w:type="paragraph" w:customStyle="1" w:styleId="C3296D9741D64DF88FB2F51F57566474">
    <w:name w:val="C3296D9741D64DF88FB2F51F57566474"/>
    <w:rsid w:val="00753D44"/>
  </w:style>
  <w:style w:type="paragraph" w:customStyle="1" w:styleId="C1274694CD6246C8B956E5908D2555CB">
    <w:name w:val="C1274694CD6246C8B956E5908D2555CB"/>
    <w:rsid w:val="00753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TotalTime>
  <Pages>25</Pages>
  <Words>9528</Words>
  <Characters>51452</Characters>
  <Application>Microsoft Office Word</Application>
  <DocSecurity>0</DocSecurity>
  <Lines>756</Lines>
  <Paragraphs>248</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60732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interim decisions</dc:subject>
  <dc:creator>Therapeutic Goods Administration</dc:creator>
  <cp:keywords/>
  <dc:description/>
  <cp:lastModifiedBy>LACK, Janet</cp:lastModifiedBy>
  <cp:revision>3</cp:revision>
  <dcterms:created xsi:type="dcterms:W3CDTF">2023-10-05T03:34:00Z</dcterms:created>
  <dcterms:modified xsi:type="dcterms:W3CDTF">2023-10-05T03:44:00Z</dcterms:modified>
</cp:coreProperties>
</file>