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3226" w14:textId="39545749" w:rsidR="00343332" w:rsidRPr="00AF2BF6" w:rsidRDefault="00DA557B" w:rsidP="00343332">
      <w:pPr>
        <w:tabs>
          <w:tab w:val="left" w:pos="284"/>
        </w:tabs>
        <w:spacing w:after="480"/>
        <w:rPr>
          <w:rFonts w:asciiTheme="majorHAnsi" w:hAnsiTheme="majorHAnsi"/>
          <w:color w:val="000000" w:themeColor="text1"/>
          <w:lang w:val="en-AU"/>
        </w:rPr>
      </w:pPr>
      <w:r w:rsidRPr="00AF2BF6">
        <w:rPr>
          <w:noProof/>
          <w:lang w:val="en-AU"/>
        </w:rPr>
        <mc:AlternateContent>
          <mc:Choice Requires="wps">
            <w:drawing>
              <wp:inline distT="0" distB="0" distL="0" distR="0" wp14:anchorId="40BB64D6" wp14:editId="471986C7">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01885" w14:textId="77777777" w:rsidR="007D0242" w:rsidRPr="00BE2A26" w:rsidRDefault="007D0242" w:rsidP="00343332">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0BB64D6"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6D01885" w14:textId="77777777" w:rsidR="007D0242" w:rsidRPr="00BE2A26" w:rsidRDefault="007D0242" w:rsidP="00343332">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343332" w:rsidRPr="00AF2BF6">
        <w:rPr>
          <w:rFonts w:asciiTheme="majorHAnsi" w:hAnsiTheme="majorHAnsi"/>
          <w:color w:val="000000" w:themeColor="text1"/>
          <w:lang w:val="en-AU"/>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343332" w:rsidRPr="00AF2BF6">
          <w:rPr>
            <w:rStyle w:val="Hyperlink"/>
            <w:rFonts w:asciiTheme="majorHAnsi" w:hAnsiTheme="majorHAnsi"/>
            <w:color w:val="000000" w:themeColor="text1"/>
            <w:lang w:val="en-AU"/>
          </w:rPr>
          <w:t>www.tga.gov.au/reporting-problems</w:t>
        </w:r>
      </w:hyperlink>
      <w:r w:rsidR="00343332" w:rsidRPr="00AF2BF6">
        <w:rPr>
          <w:rFonts w:asciiTheme="majorHAnsi" w:hAnsiTheme="majorHAnsi"/>
          <w:color w:val="000000" w:themeColor="text1"/>
          <w:lang w:val="en-AU"/>
        </w:rPr>
        <w:t>.</w:t>
      </w:r>
    </w:p>
    <w:p w14:paraId="2871834F" w14:textId="25D440F4" w:rsidR="00CF2301" w:rsidRPr="00AF2BF6" w:rsidRDefault="00CF2301" w:rsidP="001D7DE1">
      <w:pPr>
        <w:pStyle w:val="Heading1"/>
        <w:numPr>
          <w:ilvl w:val="0"/>
          <w:numId w:val="0"/>
        </w:numPr>
      </w:pPr>
      <w:r w:rsidRPr="00AF2BF6">
        <w:t xml:space="preserve">Australian PI – </w:t>
      </w:r>
      <w:r w:rsidR="00933EAB" w:rsidRPr="00AF2BF6">
        <w:t>tibsovo</w:t>
      </w:r>
      <w:r w:rsidRPr="00AF2BF6">
        <w:rPr>
          <w:vertAlign w:val="superscript"/>
        </w:rPr>
        <w:t>®</w:t>
      </w:r>
      <w:r w:rsidRPr="00AF2BF6">
        <w:t xml:space="preserve"> (</w:t>
      </w:r>
      <w:r w:rsidR="00723F61" w:rsidRPr="00AF2BF6">
        <w:t>ivosidenib)</w:t>
      </w:r>
    </w:p>
    <w:p w14:paraId="15A9E04D" w14:textId="0375E9FF" w:rsidR="00F50D3D" w:rsidRPr="00AF2BF6" w:rsidRDefault="00C56D2F" w:rsidP="001D7DE1">
      <w:pPr>
        <w:pStyle w:val="Heading1"/>
      </w:pPr>
      <w:r w:rsidRPr="00AF2BF6">
        <w:t>NAME OF THE MEDICIN</w:t>
      </w:r>
      <w:r w:rsidR="00D902F9" w:rsidRPr="00AF2BF6">
        <w:t>E</w:t>
      </w:r>
    </w:p>
    <w:p w14:paraId="15A9E04F" w14:textId="44913A0C" w:rsidR="00F50D3D" w:rsidRPr="00AF2BF6" w:rsidRDefault="00CB46CD" w:rsidP="00F50C55">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TIBSOVO</w:t>
      </w:r>
    </w:p>
    <w:p w14:paraId="15A9E052" w14:textId="77777777" w:rsidR="00F50D3D" w:rsidRPr="00AF2BF6" w:rsidRDefault="00C56D2F" w:rsidP="00621FF9">
      <w:pPr>
        <w:pStyle w:val="Heading1"/>
      </w:pPr>
      <w:r w:rsidRPr="00AF2BF6">
        <w:t>QUALITATIVE AND QUANTITATIVE COMPOSITION</w:t>
      </w:r>
    </w:p>
    <w:p w14:paraId="1888C734" w14:textId="77777777" w:rsidR="00B266D5" w:rsidRPr="00AF2BF6" w:rsidRDefault="00C56D2F" w:rsidP="00B266D5">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Each film-coated tablet contains 250 mg of ivosidenib. </w:t>
      </w:r>
    </w:p>
    <w:p w14:paraId="5AC6C8B2" w14:textId="6120E7B3" w:rsidR="004A1E4E" w:rsidRPr="00AF2BF6" w:rsidRDefault="004A1E4E" w:rsidP="004A1E4E">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Excipient with known effect: contains lactose. For the full list of excipients, see </w:t>
      </w:r>
      <w:r w:rsidRPr="00AF2BF6">
        <w:rPr>
          <w:rFonts w:asciiTheme="minorHAnsi" w:eastAsiaTheme="minorHAnsi" w:hAnsiTheme="minorHAnsi" w:cs="Arial"/>
          <w:bCs/>
          <w:i/>
          <w:iCs/>
          <w:color w:val="000000" w:themeColor="text1"/>
          <w:lang w:val="en-AU"/>
        </w:rPr>
        <w:t>section 6.</w:t>
      </w:r>
      <w:r w:rsidR="0027374F" w:rsidRPr="00AF2BF6">
        <w:rPr>
          <w:rFonts w:asciiTheme="minorHAnsi" w:eastAsiaTheme="minorHAnsi" w:hAnsiTheme="minorHAnsi" w:cs="Arial"/>
          <w:bCs/>
          <w:i/>
          <w:iCs/>
          <w:color w:val="000000" w:themeColor="text1"/>
          <w:lang w:val="en-AU"/>
        </w:rPr>
        <w:t>1 - List of excipients</w:t>
      </w:r>
      <w:r w:rsidR="0027374F" w:rsidRPr="00AF2BF6">
        <w:rPr>
          <w:rFonts w:asciiTheme="minorHAnsi" w:eastAsiaTheme="minorHAnsi" w:hAnsiTheme="minorHAnsi" w:cs="Arial"/>
          <w:bCs/>
          <w:color w:val="000000" w:themeColor="text1"/>
          <w:lang w:val="en-AU"/>
        </w:rPr>
        <w:t>.</w:t>
      </w:r>
    </w:p>
    <w:p w14:paraId="15A9E057" w14:textId="77777777" w:rsidR="00F50D3D" w:rsidRPr="00AF2BF6" w:rsidRDefault="00C56D2F" w:rsidP="00621FF9">
      <w:pPr>
        <w:pStyle w:val="Heading1"/>
      </w:pPr>
      <w:r w:rsidRPr="00AF2BF6">
        <w:t>PHARMACEUTICAL FORM</w:t>
      </w:r>
    </w:p>
    <w:p w14:paraId="15A9E05B" w14:textId="77777777" w:rsidR="00F50D3D" w:rsidRPr="00AF2BF6" w:rsidRDefault="00C56D2F" w:rsidP="00AB084A">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Blue, oval shaped, film-coated tablets approximately 18 mm in length, debossed with ‘IVO’ on one side and ‘250’ on the other side.</w:t>
      </w:r>
    </w:p>
    <w:p w14:paraId="15A9E05E" w14:textId="77777777" w:rsidR="00F50D3D" w:rsidRPr="00AF2BF6" w:rsidRDefault="00C56D2F" w:rsidP="00621FF9">
      <w:pPr>
        <w:pStyle w:val="Heading1"/>
      </w:pPr>
      <w:r w:rsidRPr="00AF2BF6">
        <w:t>CLINICAL PARTICULARS</w:t>
      </w:r>
    </w:p>
    <w:p w14:paraId="15A9E060" w14:textId="77777777" w:rsidR="00F50D3D" w:rsidRPr="00AF2BF6" w:rsidRDefault="00C56D2F" w:rsidP="00621FF9">
      <w:pPr>
        <w:pStyle w:val="Heading2"/>
        <w:numPr>
          <w:ilvl w:val="1"/>
          <w:numId w:val="6"/>
        </w:numPr>
      </w:pPr>
      <w:r w:rsidRPr="00AF2BF6">
        <w:t>Therapeutic indications</w:t>
      </w:r>
    </w:p>
    <w:p w14:paraId="15A9E065" w14:textId="13AAFD77" w:rsidR="00F50D3D" w:rsidRPr="00AF2BF6" w:rsidRDefault="00CB46CD" w:rsidP="008E4643">
      <w:pPr>
        <w:widowControl/>
        <w:autoSpaceDE/>
        <w:autoSpaceDN/>
        <w:spacing w:after="200" w:line="276" w:lineRule="auto"/>
        <w:rPr>
          <w:lang w:val="en-AU"/>
        </w:rPr>
      </w:pPr>
      <w:r w:rsidRPr="00AF2BF6">
        <w:rPr>
          <w:rFonts w:asciiTheme="minorHAnsi" w:eastAsiaTheme="minorHAnsi" w:hAnsiTheme="minorHAnsi" w:cs="Arial"/>
          <w:bCs/>
          <w:color w:val="000000" w:themeColor="text1"/>
          <w:lang w:val="en-AU"/>
        </w:rPr>
        <w:t xml:space="preserve">TIBSOVO </w:t>
      </w:r>
      <w:r w:rsidR="00C56D2F" w:rsidRPr="00AF2BF6">
        <w:rPr>
          <w:rFonts w:asciiTheme="minorHAnsi" w:eastAsiaTheme="minorHAnsi" w:hAnsiTheme="minorHAnsi" w:cs="Arial"/>
          <w:bCs/>
          <w:color w:val="000000" w:themeColor="text1"/>
          <w:lang w:val="en-AU"/>
        </w:rPr>
        <w:t>is indicated for the treatment of adult patients with locally advanced or metastatic cholangiocarcinoma with an</w:t>
      </w:r>
      <w:r w:rsidR="001E0A89">
        <w:rPr>
          <w:rFonts w:asciiTheme="minorHAnsi" w:eastAsiaTheme="minorHAnsi" w:hAnsiTheme="minorHAnsi" w:cs="Arial"/>
          <w:bCs/>
          <w:color w:val="000000" w:themeColor="text1"/>
          <w:lang w:val="en-AU"/>
        </w:rPr>
        <w:t xml:space="preserve"> isocitrate dehydrogenase-1</w:t>
      </w:r>
      <w:r w:rsidR="00C56D2F" w:rsidRPr="00AF2BF6">
        <w:rPr>
          <w:rFonts w:asciiTheme="minorHAnsi" w:eastAsiaTheme="minorHAnsi" w:hAnsiTheme="minorHAnsi" w:cs="Arial"/>
          <w:bCs/>
          <w:color w:val="000000" w:themeColor="text1"/>
          <w:lang w:val="en-AU"/>
        </w:rPr>
        <w:t xml:space="preserve"> </w:t>
      </w:r>
      <w:r w:rsidR="001E0A89">
        <w:rPr>
          <w:rFonts w:asciiTheme="minorHAnsi" w:eastAsiaTheme="minorHAnsi" w:hAnsiTheme="minorHAnsi" w:cs="Arial"/>
          <w:bCs/>
          <w:color w:val="000000" w:themeColor="text1"/>
          <w:lang w:val="en-AU"/>
        </w:rPr>
        <w:t>(</w:t>
      </w:r>
      <w:r w:rsidR="00C56D2F" w:rsidRPr="00AF2BF6">
        <w:rPr>
          <w:rFonts w:asciiTheme="minorHAnsi" w:eastAsiaTheme="minorHAnsi" w:hAnsiTheme="minorHAnsi" w:cs="Arial"/>
          <w:bCs/>
          <w:color w:val="000000" w:themeColor="text1"/>
          <w:lang w:val="en-AU"/>
        </w:rPr>
        <w:t>IDH1</w:t>
      </w:r>
      <w:r w:rsidR="001E0A89">
        <w:rPr>
          <w:rFonts w:asciiTheme="minorHAnsi" w:eastAsiaTheme="minorHAnsi" w:hAnsiTheme="minorHAnsi" w:cs="Arial"/>
          <w:bCs/>
          <w:color w:val="000000" w:themeColor="text1"/>
          <w:lang w:val="en-AU"/>
        </w:rPr>
        <w:t>) R132</w:t>
      </w:r>
      <w:r w:rsidR="00C56D2F" w:rsidRPr="00AF2BF6">
        <w:rPr>
          <w:rFonts w:asciiTheme="minorHAnsi" w:eastAsiaTheme="minorHAnsi" w:hAnsiTheme="minorHAnsi" w:cs="Arial"/>
          <w:bCs/>
          <w:color w:val="000000" w:themeColor="text1"/>
          <w:lang w:val="en-AU"/>
        </w:rPr>
        <w:t xml:space="preserve"> mutation</w:t>
      </w:r>
      <w:r w:rsidR="00B33016">
        <w:rPr>
          <w:rFonts w:asciiTheme="minorHAnsi" w:eastAsiaTheme="minorHAnsi" w:hAnsiTheme="minorHAnsi" w:cs="Arial"/>
          <w:bCs/>
          <w:color w:val="000000" w:themeColor="text1"/>
          <w:lang w:val="en-AU"/>
        </w:rPr>
        <w:t xml:space="preserve"> </w:t>
      </w:r>
      <w:r w:rsidR="00C40A6B">
        <w:rPr>
          <w:rFonts w:asciiTheme="minorHAnsi" w:eastAsiaTheme="minorHAnsi" w:hAnsiTheme="minorHAnsi" w:cs="Arial"/>
          <w:bCs/>
          <w:color w:val="000000" w:themeColor="text1"/>
          <w:lang w:val="en-AU"/>
        </w:rPr>
        <w:t>after</w:t>
      </w:r>
      <w:r w:rsidR="00C56D2F" w:rsidRPr="00AF2BF6">
        <w:rPr>
          <w:rFonts w:asciiTheme="minorHAnsi" w:eastAsiaTheme="minorHAnsi" w:hAnsiTheme="minorHAnsi" w:cs="Arial"/>
          <w:bCs/>
          <w:color w:val="000000" w:themeColor="text1"/>
          <w:lang w:val="en-AU"/>
        </w:rPr>
        <w:t xml:space="preserve"> at least one prior line of systemic therapy.</w:t>
      </w:r>
    </w:p>
    <w:p w14:paraId="15A9E066" w14:textId="21CA6B6A" w:rsidR="00F50D3D" w:rsidRPr="00AF2BF6" w:rsidRDefault="00C40A6B" w:rsidP="00621FF9">
      <w:pPr>
        <w:pStyle w:val="Heading2"/>
        <w:numPr>
          <w:ilvl w:val="1"/>
          <w:numId w:val="6"/>
        </w:numPr>
      </w:pPr>
      <w:r>
        <w:t>Dose</w:t>
      </w:r>
      <w:r w:rsidR="00C56D2F" w:rsidRPr="00AF2BF6">
        <w:t xml:space="preserve"> and method of administration</w:t>
      </w:r>
    </w:p>
    <w:p w14:paraId="15A9E06A" w14:textId="6D878949" w:rsidR="00F50D3D" w:rsidRPr="00AF2BF6" w:rsidRDefault="00C56D2F" w:rsidP="00E7511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Treatment should be initiated by a physician experienced in the use of anti-cancer therapies.</w:t>
      </w:r>
      <w:r w:rsidR="005D0769"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Before taking </w:t>
      </w:r>
      <w:r w:rsidR="00CB46CD" w:rsidRPr="00AF2BF6">
        <w:rPr>
          <w:rFonts w:asciiTheme="minorHAnsi" w:eastAsiaTheme="minorHAnsi" w:hAnsiTheme="minorHAnsi" w:cs="Arial"/>
          <w:bCs/>
          <w:color w:val="000000" w:themeColor="text1"/>
          <w:lang w:val="en-AU"/>
        </w:rPr>
        <w:t xml:space="preserve">TIBSOVO </w:t>
      </w:r>
      <w:r w:rsidRPr="00AF2BF6">
        <w:rPr>
          <w:rFonts w:asciiTheme="minorHAnsi" w:eastAsiaTheme="minorHAnsi" w:hAnsiTheme="minorHAnsi" w:cs="Arial"/>
          <w:bCs/>
          <w:color w:val="000000" w:themeColor="text1"/>
          <w:lang w:val="en-AU"/>
        </w:rPr>
        <w:t>, patients must have confirmation of an IDH1 mutation using an appropriate diagnostic test</w:t>
      </w:r>
      <w:r w:rsidR="00C40A6B">
        <w:rPr>
          <w:rFonts w:asciiTheme="minorHAnsi" w:eastAsiaTheme="minorHAnsi" w:hAnsiTheme="minorHAnsi" w:cs="Arial"/>
          <w:bCs/>
          <w:color w:val="000000" w:themeColor="text1"/>
          <w:lang w:val="en-AU"/>
        </w:rPr>
        <w:t>, and an electrocardiogram (ECG) to assess heart rate-corrected QT (QTc) interval</w:t>
      </w:r>
      <w:r w:rsidRPr="00AF2BF6">
        <w:rPr>
          <w:rFonts w:asciiTheme="minorHAnsi" w:eastAsiaTheme="minorHAnsi" w:hAnsiTheme="minorHAnsi" w:cs="Arial"/>
          <w:bCs/>
          <w:color w:val="000000" w:themeColor="text1"/>
          <w:lang w:val="en-AU"/>
        </w:rPr>
        <w:t>.</w:t>
      </w:r>
    </w:p>
    <w:p w14:paraId="15A9E06C" w14:textId="03AAB62D" w:rsidR="00F50D3D" w:rsidRPr="00AF2BF6" w:rsidRDefault="00C40A6B" w:rsidP="00450D1E">
      <w:pPr>
        <w:pStyle w:val="Heading4"/>
      </w:pPr>
      <w:r>
        <w:t>Dose</w:t>
      </w:r>
    </w:p>
    <w:p w14:paraId="15A9E06E" w14:textId="64817626" w:rsidR="00F50D3D" w:rsidRDefault="00C56D2F" w:rsidP="00E7511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The recommended dose </w:t>
      </w:r>
      <w:r w:rsidR="00C40A6B">
        <w:rPr>
          <w:rFonts w:asciiTheme="minorHAnsi" w:eastAsiaTheme="minorHAnsi" w:hAnsiTheme="minorHAnsi" w:cs="Arial"/>
          <w:bCs/>
          <w:color w:val="000000" w:themeColor="text1"/>
          <w:lang w:val="en-AU"/>
        </w:rPr>
        <w:t xml:space="preserve">of </w:t>
      </w:r>
      <w:r w:rsidRPr="00AF2BF6">
        <w:rPr>
          <w:rFonts w:asciiTheme="minorHAnsi" w:eastAsiaTheme="minorHAnsi" w:hAnsiTheme="minorHAnsi" w:cs="Arial"/>
          <w:bCs/>
          <w:color w:val="000000" w:themeColor="text1"/>
          <w:lang w:val="en-AU"/>
        </w:rPr>
        <w:t xml:space="preserve">ivosidenib </w:t>
      </w:r>
      <w:r w:rsidR="00C40A6B" w:rsidRPr="00AF2BF6">
        <w:rPr>
          <w:rFonts w:asciiTheme="minorHAnsi" w:eastAsiaTheme="minorHAnsi" w:hAnsiTheme="minorHAnsi" w:cs="Arial"/>
          <w:bCs/>
          <w:color w:val="000000" w:themeColor="text1"/>
          <w:lang w:val="en-AU"/>
        </w:rPr>
        <w:t xml:space="preserve">is 500 mg </w:t>
      </w:r>
      <w:r w:rsidRPr="00AF2BF6">
        <w:rPr>
          <w:rFonts w:asciiTheme="minorHAnsi" w:eastAsiaTheme="minorHAnsi" w:hAnsiTheme="minorHAnsi" w:cs="Arial"/>
          <w:bCs/>
          <w:color w:val="000000" w:themeColor="text1"/>
          <w:lang w:val="en-AU"/>
        </w:rPr>
        <w:t>orally once daily</w:t>
      </w:r>
      <w:r w:rsidR="00C40A6B">
        <w:rPr>
          <w:rFonts w:asciiTheme="minorHAnsi" w:eastAsiaTheme="minorHAnsi" w:hAnsiTheme="minorHAnsi" w:cs="Arial"/>
          <w:bCs/>
          <w:color w:val="000000" w:themeColor="text1"/>
          <w:lang w:val="en-AU"/>
        </w:rPr>
        <w:t xml:space="preserve"> until disease progression or unacceptable toxicity</w:t>
      </w:r>
      <w:r w:rsidRPr="00AF2BF6">
        <w:rPr>
          <w:rFonts w:asciiTheme="minorHAnsi" w:eastAsiaTheme="minorHAnsi" w:hAnsiTheme="minorHAnsi" w:cs="Arial"/>
          <w:bCs/>
          <w:color w:val="000000" w:themeColor="text1"/>
          <w:lang w:val="en-AU"/>
        </w:rPr>
        <w:t>.</w:t>
      </w:r>
    </w:p>
    <w:p w14:paraId="4C4C9A71" w14:textId="725B1415" w:rsidR="00A00A8C" w:rsidRPr="00AF2BF6" w:rsidRDefault="00A00A8C" w:rsidP="00450D1E">
      <w:pPr>
        <w:pStyle w:val="Heading4"/>
      </w:pPr>
      <w:r w:rsidRPr="00AF2BF6">
        <w:t>Method of administration</w:t>
      </w:r>
    </w:p>
    <w:p w14:paraId="31CDC1DC" w14:textId="71686FC8" w:rsidR="00A00A8C" w:rsidRPr="00AF2BF6" w:rsidRDefault="00A00A8C" w:rsidP="00A00A8C">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TIBSOVO </w:t>
      </w:r>
      <w:r w:rsidR="00C40A6B">
        <w:rPr>
          <w:rFonts w:asciiTheme="minorHAnsi" w:eastAsiaTheme="minorHAnsi" w:hAnsiTheme="minorHAnsi" w:cs="Arial"/>
          <w:bCs/>
          <w:color w:val="000000" w:themeColor="text1"/>
          <w:lang w:val="en-AU"/>
        </w:rPr>
        <w:t xml:space="preserve">should be </w:t>
      </w:r>
      <w:r w:rsidRPr="00AF2BF6">
        <w:rPr>
          <w:rFonts w:asciiTheme="minorHAnsi" w:eastAsiaTheme="minorHAnsi" w:hAnsiTheme="minorHAnsi" w:cs="Arial"/>
          <w:bCs/>
          <w:color w:val="000000" w:themeColor="text1"/>
          <w:lang w:val="en-AU"/>
        </w:rPr>
        <w:t>taken</w:t>
      </w:r>
      <w:r w:rsidR="00C40A6B">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at about the same time each day</w:t>
      </w:r>
      <w:r w:rsidR="00C40A6B">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with or without food</w:t>
      </w:r>
      <w:r w:rsidR="00C40A6B">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but </w:t>
      </w:r>
      <w:r w:rsidRPr="000A2429">
        <w:rPr>
          <w:rFonts w:asciiTheme="minorHAnsi" w:eastAsiaTheme="minorHAnsi" w:hAnsiTheme="minorHAnsi" w:cs="Arial"/>
          <w:bCs/>
          <w:color w:val="000000" w:themeColor="text1"/>
          <w:u w:val="single"/>
          <w:lang w:val="en-AU"/>
        </w:rPr>
        <w:t>not</w:t>
      </w:r>
      <w:r w:rsidRPr="00AF2BF6">
        <w:rPr>
          <w:rFonts w:asciiTheme="minorHAnsi" w:eastAsiaTheme="minorHAnsi" w:hAnsiTheme="minorHAnsi" w:cs="Arial"/>
          <w:bCs/>
          <w:color w:val="000000" w:themeColor="text1"/>
          <w:lang w:val="en-AU"/>
        </w:rPr>
        <w:t xml:space="preserve"> with </w:t>
      </w:r>
      <w:r w:rsidR="00C40A6B">
        <w:rPr>
          <w:rFonts w:asciiTheme="minorHAnsi" w:eastAsiaTheme="minorHAnsi" w:hAnsiTheme="minorHAnsi" w:cs="Arial"/>
          <w:bCs/>
          <w:color w:val="000000" w:themeColor="text1"/>
          <w:lang w:val="en-AU"/>
        </w:rPr>
        <w:t xml:space="preserve">a </w:t>
      </w:r>
      <w:r w:rsidRPr="00AF2BF6">
        <w:rPr>
          <w:rFonts w:asciiTheme="minorHAnsi" w:eastAsiaTheme="minorHAnsi" w:hAnsiTheme="minorHAnsi" w:cs="Arial"/>
          <w:bCs/>
          <w:color w:val="000000" w:themeColor="text1"/>
          <w:lang w:val="en-AU"/>
        </w:rPr>
        <w:t xml:space="preserve">high fat meal (see </w:t>
      </w:r>
      <w:r w:rsidRPr="00AF2BF6">
        <w:rPr>
          <w:rFonts w:asciiTheme="minorHAnsi" w:eastAsiaTheme="minorHAnsi" w:hAnsiTheme="minorHAnsi" w:cs="Arial"/>
          <w:bCs/>
          <w:i/>
          <w:iCs/>
          <w:color w:val="000000" w:themeColor="text1"/>
          <w:lang w:val="en-AU"/>
        </w:rPr>
        <w:t>section 4.5 - I</w:t>
      </w:r>
      <w:r w:rsidRPr="00AF2BF6">
        <w:rPr>
          <w:rFonts w:asciiTheme="minorHAnsi" w:eastAsiaTheme="minorHAnsi" w:hAnsiTheme="minorHAnsi" w:cstheme="minorHAnsi"/>
          <w:bCs/>
          <w:i/>
          <w:iCs/>
          <w:color w:val="000000" w:themeColor="text1"/>
          <w:lang w:val="en-AU"/>
        </w:rPr>
        <w:t>nteractions with other medicines and other forms of interactions</w:t>
      </w:r>
      <w:r w:rsidRPr="00AF2BF6">
        <w:rPr>
          <w:rFonts w:asciiTheme="minorHAnsi" w:eastAsiaTheme="minorHAnsi" w:hAnsiTheme="minorHAnsi" w:cstheme="minorHAnsi"/>
          <w:bCs/>
          <w:color w:val="000000" w:themeColor="text1"/>
          <w:lang w:val="en-AU"/>
        </w:rPr>
        <w:t xml:space="preserve"> and</w:t>
      </w:r>
      <w:r w:rsidRPr="00AF2BF6">
        <w:rPr>
          <w:rFonts w:asciiTheme="minorHAnsi" w:eastAsiaTheme="minorHAnsi" w:hAnsiTheme="minorHAnsi" w:cstheme="minorHAnsi"/>
          <w:bCs/>
          <w:i/>
          <w:iCs/>
          <w:color w:val="000000" w:themeColor="text1"/>
          <w:lang w:val="en-AU"/>
        </w:rPr>
        <w:t xml:space="preserve"> 5.2</w:t>
      </w:r>
      <w:r w:rsidRPr="00AF2BF6">
        <w:rPr>
          <w:rFonts w:asciiTheme="minorHAnsi" w:hAnsiTheme="minorHAnsi" w:cstheme="minorHAnsi"/>
          <w:i/>
          <w:iCs/>
          <w:color w:val="000000"/>
          <w:lang w:val="en-AU"/>
        </w:rPr>
        <w:t xml:space="preserve"> - </w:t>
      </w:r>
      <w:r w:rsidRPr="00AF2BF6">
        <w:rPr>
          <w:rFonts w:asciiTheme="minorHAnsi" w:hAnsiTheme="minorHAnsi" w:cstheme="minorHAnsi"/>
          <w:i/>
          <w:iCs/>
          <w:lang w:val="en-AU"/>
        </w:rPr>
        <w:t>Pharmacokinetic properties</w:t>
      </w:r>
      <w:r w:rsidRPr="00AF2BF6">
        <w:rPr>
          <w:rFonts w:asciiTheme="minorHAnsi" w:eastAsiaTheme="minorHAnsi" w:hAnsiTheme="minorHAnsi" w:cstheme="minorHAnsi"/>
          <w:bCs/>
          <w:color w:val="000000" w:themeColor="text1"/>
          <w:lang w:val="en-AU"/>
        </w:rPr>
        <w:t>).</w:t>
      </w:r>
      <w:r w:rsidRPr="00AF2BF6">
        <w:rPr>
          <w:rFonts w:asciiTheme="minorHAnsi" w:eastAsiaTheme="minorHAnsi" w:hAnsiTheme="minorHAnsi" w:cs="Arial"/>
          <w:bCs/>
          <w:color w:val="000000" w:themeColor="text1"/>
          <w:lang w:val="en-AU"/>
        </w:rPr>
        <w:t xml:space="preserve"> </w:t>
      </w:r>
      <w:r w:rsidR="00C40A6B">
        <w:rPr>
          <w:rFonts w:asciiTheme="minorHAnsi" w:eastAsiaTheme="minorHAnsi" w:hAnsiTheme="minorHAnsi" w:cs="Arial"/>
          <w:bCs/>
          <w:color w:val="000000" w:themeColor="text1"/>
          <w:lang w:val="en-AU"/>
        </w:rPr>
        <w:t>Do not split, crush or chew the tablets</w:t>
      </w:r>
      <w:r w:rsidRPr="00AF2BF6">
        <w:rPr>
          <w:rFonts w:asciiTheme="minorHAnsi" w:eastAsiaTheme="minorHAnsi" w:hAnsiTheme="minorHAnsi" w:cs="Arial"/>
          <w:bCs/>
          <w:color w:val="000000" w:themeColor="text1"/>
          <w:lang w:val="en-AU"/>
        </w:rPr>
        <w:t>.</w:t>
      </w:r>
    </w:p>
    <w:p w14:paraId="15A9E078" w14:textId="02BEB697" w:rsidR="00F50D3D" w:rsidRPr="00AF2BF6" w:rsidRDefault="00C40A6B" w:rsidP="00E7511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Two doses should not be taken within 12 hours. </w:t>
      </w:r>
      <w:r w:rsidR="00C56D2F" w:rsidRPr="00AF2BF6">
        <w:rPr>
          <w:rFonts w:asciiTheme="minorHAnsi" w:eastAsiaTheme="minorHAnsi" w:hAnsiTheme="minorHAnsi" w:cs="Arial"/>
          <w:bCs/>
          <w:color w:val="000000" w:themeColor="text1"/>
          <w:lang w:val="en-AU"/>
        </w:rPr>
        <w:t>If a dose</w:t>
      </w:r>
      <w:r>
        <w:rPr>
          <w:rFonts w:asciiTheme="minorHAnsi" w:eastAsiaTheme="minorHAnsi" w:hAnsiTheme="minorHAnsi" w:cs="Arial"/>
          <w:bCs/>
          <w:color w:val="000000" w:themeColor="text1"/>
          <w:lang w:val="en-AU"/>
        </w:rPr>
        <w:t xml:space="preserve"> of TIBSOVO</w:t>
      </w:r>
      <w:r w:rsidR="00C56D2F" w:rsidRPr="00AF2BF6">
        <w:rPr>
          <w:rFonts w:asciiTheme="minorHAnsi" w:eastAsiaTheme="minorHAnsi" w:hAnsiTheme="minorHAnsi" w:cs="Arial"/>
          <w:bCs/>
          <w:color w:val="000000" w:themeColor="text1"/>
          <w:lang w:val="en-AU"/>
        </w:rPr>
        <w:t xml:space="preserve"> is missed or not taken at the usual time, </w:t>
      </w:r>
      <w:r>
        <w:rPr>
          <w:rFonts w:asciiTheme="minorHAnsi" w:eastAsiaTheme="minorHAnsi" w:hAnsiTheme="minorHAnsi" w:cs="Arial"/>
          <w:bCs/>
          <w:color w:val="000000" w:themeColor="text1"/>
          <w:lang w:val="en-AU"/>
        </w:rPr>
        <w:t>administer the dose</w:t>
      </w:r>
      <w:r w:rsidR="00C56D2F" w:rsidRPr="00AF2BF6">
        <w:rPr>
          <w:rFonts w:asciiTheme="minorHAnsi" w:eastAsiaTheme="minorHAnsi" w:hAnsiTheme="minorHAnsi" w:cs="Arial"/>
          <w:bCs/>
          <w:color w:val="000000" w:themeColor="text1"/>
          <w:lang w:val="en-AU"/>
        </w:rPr>
        <w:t xml:space="preserve"> as soon as possible within</w:t>
      </w:r>
      <w:r>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 xml:space="preserve">12 hours after </w:t>
      </w:r>
      <w:r>
        <w:rPr>
          <w:rFonts w:asciiTheme="minorHAnsi" w:eastAsiaTheme="minorHAnsi" w:hAnsiTheme="minorHAnsi" w:cs="Arial"/>
          <w:bCs/>
          <w:color w:val="000000" w:themeColor="text1"/>
          <w:lang w:val="en-AU"/>
        </w:rPr>
        <w:t>it was</w:t>
      </w:r>
      <w:r w:rsidRPr="00AF2BF6">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 xml:space="preserve">missed. </w:t>
      </w:r>
      <w:r>
        <w:rPr>
          <w:rFonts w:asciiTheme="minorHAnsi" w:eastAsiaTheme="minorHAnsi" w:hAnsiTheme="minorHAnsi" w:cs="Arial"/>
          <w:bCs/>
          <w:color w:val="000000" w:themeColor="text1"/>
          <w:lang w:val="en-AU"/>
        </w:rPr>
        <w:t xml:space="preserve">Administer the following </w:t>
      </w:r>
      <w:r>
        <w:rPr>
          <w:rFonts w:asciiTheme="minorHAnsi" w:eastAsiaTheme="minorHAnsi" w:hAnsiTheme="minorHAnsi" w:cs="Arial"/>
          <w:bCs/>
          <w:color w:val="000000" w:themeColor="text1"/>
          <w:lang w:val="en-AU"/>
        </w:rPr>
        <w:lastRenderedPageBreak/>
        <w:t xml:space="preserve">day’s dose at the usual time. </w:t>
      </w:r>
      <w:r w:rsidRPr="00C40A6B">
        <w:rPr>
          <w:rFonts w:asciiTheme="minorHAnsi" w:eastAsiaTheme="minorHAnsi" w:hAnsiTheme="minorHAnsi" w:cs="Arial"/>
          <w:bCs/>
          <w:color w:val="000000" w:themeColor="text1"/>
          <w:lang w:val="en-AU"/>
        </w:rPr>
        <w:t xml:space="preserve">If 12 hours or longer have elapsed since a dose was missed, do not </w:t>
      </w:r>
      <w:r>
        <w:rPr>
          <w:rFonts w:asciiTheme="minorHAnsi" w:eastAsiaTheme="minorHAnsi" w:hAnsiTheme="minorHAnsi" w:cs="Arial"/>
          <w:bCs/>
          <w:color w:val="000000" w:themeColor="text1"/>
          <w:lang w:val="en-AU"/>
        </w:rPr>
        <w:t>administer</w:t>
      </w:r>
      <w:r w:rsidRPr="00C40A6B">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the dose</w:t>
      </w:r>
      <w:r w:rsidRPr="00C40A6B">
        <w:rPr>
          <w:rFonts w:asciiTheme="minorHAnsi" w:eastAsiaTheme="minorHAnsi" w:hAnsiTheme="minorHAnsi" w:cs="Arial"/>
          <w:bCs/>
          <w:color w:val="000000" w:themeColor="text1"/>
          <w:lang w:val="en-AU"/>
        </w:rPr>
        <w:t>; wait until the next scheduled dose is due</w:t>
      </w:r>
      <w:r>
        <w:rPr>
          <w:rFonts w:asciiTheme="minorHAnsi" w:eastAsiaTheme="minorHAnsi" w:hAnsiTheme="minorHAnsi" w:cs="Arial"/>
          <w:bCs/>
          <w:color w:val="000000" w:themeColor="text1"/>
          <w:lang w:val="en-AU"/>
        </w:rPr>
        <w:t xml:space="preserve">. </w:t>
      </w:r>
      <w:r w:rsidR="00C56D2F" w:rsidRPr="00AF2BF6" w:rsidDel="00C40A6B">
        <w:rPr>
          <w:rFonts w:asciiTheme="minorHAnsi" w:eastAsiaTheme="minorHAnsi" w:hAnsiTheme="minorHAnsi" w:cs="Arial"/>
          <w:bCs/>
          <w:color w:val="000000" w:themeColor="text1"/>
          <w:lang w:val="en-AU"/>
        </w:rPr>
        <w:t xml:space="preserve">If a dose </w:t>
      </w:r>
      <w:r>
        <w:rPr>
          <w:rFonts w:asciiTheme="minorHAnsi" w:eastAsiaTheme="minorHAnsi" w:hAnsiTheme="minorHAnsi" w:cs="Arial"/>
          <w:bCs/>
          <w:color w:val="000000" w:themeColor="text1"/>
          <w:lang w:val="en-AU"/>
        </w:rPr>
        <w:t xml:space="preserve">of TIBSOVO </w:t>
      </w:r>
      <w:r w:rsidR="00C56D2F" w:rsidRPr="00AF2BF6" w:rsidDel="00C40A6B">
        <w:rPr>
          <w:rFonts w:asciiTheme="minorHAnsi" w:eastAsiaTheme="minorHAnsi" w:hAnsiTheme="minorHAnsi" w:cs="Arial"/>
          <w:bCs/>
          <w:color w:val="000000" w:themeColor="text1"/>
          <w:lang w:val="en-AU"/>
        </w:rPr>
        <w:t xml:space="preserve">is vomited, </w:t>
      </w:r>
      <w:r>
        <w:rPr>
          <w:rFonts w:asciiTheme="minorHAnsi" w:eastAsiaTheme="minorHAnsi" w:hAnsiTheme="minorHAnsi" w:cs="Arial"/>
          <w:bCs/>
          <w:color w:val="000000" w:themeColor="text1"/>
          <w:lang w:val="en-AU"/>
        </w:rPr>
        <w:t xml:space="preserve">do not administer </w:t>
      </w:r>
      <w:r w:rsidR="00C56D2F" w:rsidRPr="00AF2BF6" w:rsidDel="00C40A6B">
        <w:rPr>
          <w:rFonts w:asciiTheme="minorHAnsi" w:eastAsiaTheme="minorHAnsi" w:hAnsiTheme="minorHAnsi" w:cs="Arial"/>
          <w:bCs/>
          <w:color w:val="000000" w:themeColor="text1"/>
          <w:lang w:val="en-AU"/>
        </w:rPr>
        <w:t>replacement tablets</w:t>
      </w:r>
      <w:r>
        <w:rPr>
          <w:rFonts w:asciiTheme="minorHAnsi" w:eastAsiaTheme="minorHAnsi" w:hAnsiTheme="minorHAnsi" w:cs="Arial"/>
          <w:bCs/>
          <w:color w:val="000000" w:themeColor="text1"/>
          <w:lang w:val="en-AU"/>
        </w:rPr>
        <w:t>; wait until the next scheduled dose is due</w:t>
      </w:r>
      <w:r w:rsidR="00C56D2F" w:rsidRPr="00AF2BF6" w:rsidDel="00C40A6B">
        <w:rPr>
          <w:rFonts w:asciiTheme="minorHAnsi" w:eastAsiaTheme="minorHAnsi" w:hAnsiTheme="minorHAnsi" w:cs="Arial"/>
          <w:bCs/>
          <w:color w:val="000000" w:themeColor="text1"/>
          <w:lang w:val="en-AU"/>
        </w:rPr>
        <w:t>.</w:t>
      </w:r>
    </w:p>
    <w:p w14:paraId="15A9E07A" w14:textId="77777777" w:rsidR="00F50D3D" w:rsidRPr="00AF2BF6" w:rsidRDefault="00C56D2F" w:rsidP="00450D1E">
      <w:pPr>
        <w:pStyle w:val="Heading4"/>
      </w:pPr>
      <w:r w:rsidRPr="00AF2BF6">
        <w:t>Monitoring</w:t>
      </w:r>
    </w:p>
    <w:p w14:paraId="15A9E07F" w14:textId="3B31E4B5" w:rsidR="00F50D3D" w:rsidRPr="00AF2BF6" w:rsidRDefault="00C40A6B" w:rsidP="00E7511F">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Perform an ECG at baseline</w:t>
      </w:r>
      <w:r w:rsidR="00C56D2F" w:rsidRPr="00AF2BF6">
        <w:rPr>
          <w:rFonts w:asciiTheme="minorHAnsi" w:eastAsiaTheme="minorHAnsi" w:hAnsiTheme="minorHAnsi" w:cs="Arial"/>
          <w:bCs/>
          <w:color w:val="000000" w:themeColor="text1"/>
          <w:lang w:val="en-AU"/>
        </w:rPr>
        <w:t xml:space="preserve">, at least weekly during the first 3 weeks of therapy and at least monthly thereafter. </w:t>
      </w:r>
      <w:r w:rsidRPr="00C40A6B">
        <w:rPr>
          <w:rFonts w:asciiTheme="minorHAnsi" w:eastAsiaTheme="minorHAnsi" w:hAnsiTheme="minorHAnsi" w:cs="Arial"/>
          <w:bCs/>
          <w:color w:val="000000" w:themeColor="text1"/>
          <w:lang w:val="en-AU"/>
        </w:rPr>
        <w:t xml:space="preserve">Monitor electrolytes at baseline and throughout treatment as clinically indicated. </w:t>
      </w:r>
      <w:r w:rsidR="00B45C62">
        <w:rPr>
          <w:rFonts w:asciiTheme="minorHAnsi" w:eastAsiaTheme="minorHAnsi" w:hAnsiTheme="minorHAnsi" w:cs="Arial"/>
          <w:bCs/>
          <w:color w:val="000000" w:themeColor="text1"/>
          <w:lang w:val="en-AU"/>
        </w:rPr>
        <w:t xml:space="preserve">Patients at higher risk of QT prolongation, including due to concomitant medications, may require more frequent monitoring. </w:t>
      </w:r>
      <w:r w:rsidRPr="00C40A6B">
        <w:rPr>
          <w:rFonts w:asciiTheme="minorHAnsi" w:eastAsiaTheme="minorHAnsi" w:hAnsiTheme="minorHAnsi" w:cs="Arial"/>
          <w:bCs/>
          <w:color w:val="000000" w:themeColor="text1"/>
          <w:lang w:val="en-AU"/>
        </w:rPr>
        <w:t xml:space="preserve">Promptly manage </w:t>
      </w:r>
      <w:r w:rsidR="00C56D2F" w:rsidRPr="00AF2BF6">
        <w:rPr>
          <w:rFonts w:asciiTheme="minorHAnsi" w:eastAsiaTheme="minorHAnsi" w:hAnsiTheme="minorHAnsi" w:cs="Arial"/>
          <w:bCs/>
          <w:color w:val="000000" w:themeColor="text1"/>
          <w:lang w:val="en-AU"/>
        </w:rPr>
        <w:t>abnormalities (see</w:t>
      </w:r>
      <w:r w:rsidR="00C17B0F">
        <w:rPr>
          <w:rFonts w:asciiTheme="minorHAnsi" w:eastAsiaTheme="minorHAnsi" w:hAnsiTheme="minorHAnsi" w:cs="Arial"/>
          <w:bCs/>
          <w:color w:val="000000" w:themeColor="text1"/>
          <w:lang w:val="en-AU"/>
        </w:rPr>
        <w:t xml:space="preserve"> Table 1</w:t>
      </w:r>
      <w:r w:rsidR="00C56D2F" w:rsidRPr="00AF2BF6">
        <w:rPr>
          <w:rFonts w:asciiTheme="minorHAnsi" w:eastAsiaTheme="minorHAnsi" w:hAnsiTheme="minorHAnsi" w:cs="Arial"/>
          <w:bCs/>
          <w:color w:val="000000" w:themeColor="text1"/>
          <w:lang w:val="en-AU"/>
        </w:rPr>
        <w:t xml:space="preserve"> and </w:t>
      </w:r>
      <w:r w:rsidR="00F20E2C" w:rsidRPr="00AF2BF6">
        <w:rPr>
          <w:rFonts w:asciiTheme="minorHAnsi" w:eastAsiaTheme="minorHAnsi" w:hAnsiTheme="minorHAnsi" w:cs="Arial"/>
          <w:bCs/>
          <w:i/>
          <w:iCs/>
          <w:color w:val="000000" w:themeColor="text1"/>
          <w:lang w:val="en-AU"/>
        </w:rPr>
        <w:t>section 4.</w:t>
      </w:r>
      <w:r w:rsidR="00CC4ED3" w:rsidRPr="00AF2BF6">
        <w:rPr>
          <w:rFonts w:asciiTheme="minorHAnsi" w:eastAsiaTheme="minorHAnsi" w:hAnsiTheme="minorHAnsi" w:cs="Arial"/>
          <w:bCs/>
          <w:i/>
          <w:iCs/>
          <w:color w:val="000000" w:themeColor="text1"/>
          <w:lang w:val="en-AU"/>
        </w:rPr>
        <w:t>4 - Special warnings and precautions for use</w:t>
      </w:r>
      <w:r w:rsidR="00C56D2F" w:rsidRPr="00AF2BF6">
        <w:rPr>
          <w:rFonts w:asciiTheme="minorHAnsi" w:eastAsiaTheme="minorHAnsi" w:hAnsiTheme="minorHAnsi" w:cs="Arial"/>
          <w:bCs/>
          <w:color w:val="000000" w:themeColor="text1"/>
          <w:lang w:val="en-AU"/>
        </w:rPr>
        <w:t>).</w:t>
      </w:r>
    </w:p>
    <w:p w14:paraId="15A9E084" w14:textId="77777777" w:rsidR="00F50D3D" w:rsidRPr="00AF2BF6" w:rsidRDefault="00C56D2F" w:rsidP="00450D1E">
      <w:pPr>
        <w:pStyle w:val="Heading4"/>
      </w:pPr>
      <w:r w:rsidRPr="00AF2BF6">
        <w:t>Dose modification for concomitant administration of strong CYP3A4 inhibitors</w:t>
      </w:r>
    </w:p>
    <w:p w14:paraId="15A9E087" w14:textId="30488CD0" w:rsidR="00F50D3D" w:rsidRPr="00AF2BF6" w:rsidRDefault="00C56D2F" w:rsidP="00E7511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If use of strong CYP3A4 inhibitors </w:t>
      </w:r>
      <w:r w:rsidR="00B45C62">
        <w:rPr>
          <w:rFonts w:asciiTheme="minorHAnsi" w:eastAsiaTheme="minorHAnsi" w:hAnsiTheme="minorHAnsi" w:cs="Arial"/>
          <w:bCs/>
          <w:color w:val="000000" w:themeColor="text1"/>
          <w:lang w:val="en-AU"/>
        </w:rPr>
        <w:t>is unavoidable</w:t>
      </w:r>
      <w:r w:rsidRPr="00AF2BF6">
        <w:rPr>
          <w:rFonts w:asciiTheme="minorHAnsi" w:eastAsiaTheme="minorHAnsi" w:hAnsiTheme="minorHAnsi" w:cs="Arial"/>
          <w:bCs/>
          <w:color w:val="000000" w:themeColor="text1"/>
          <w:lang w:val="en-AU"/>
        </w:rPr>
        <w:t xml:space="preserve">, </w:t>
      </w:r>
      <w:r w:rsidR="00B45C62">
        <w:rPr>
          <w:rFonts w:asciiTheme="minorHAnsi" w:eastAsiaTheme="minorHAnsi" w:hAnsiTheme="minorHAnsi" w:cs="Arial"/>
          <w:bCs/>
          <w:color w:val="000000" w:themeColor="text1"/>
          <w:lang w:val="en-AU"/>
        </w:rPr>
        <w:t xml:space="preserve">reduce </w:t>
      </w:r>
      <w:r w:rsidRPr="00AF2BF6">
        <w:rPr>
          <w:rFonts w:asciiTheme="minorHAnsi" w:eastAsiaTheme="minorHAnsi" w:hAnsiTheme="minorHAnsi" w:cs="Arial"/>
          <w:bCs/>
          <w:color w:val="000000" w:themeColor="text1"/>
          <w:lang w:val="en-AU"/>
        </w:rPr>
        <w:t xml:space="preserve">the </w:t>
      </w:r>
      <w:r w:rsidR="00B45C62">
        <w:rPr>
          <w:rFonts w:asciiTheme="minorHAnsi" w:eastAsiaTheme="minorHAnsi" w:hAnsiTheme="minorHAnsi" w:cs="Arial"/>
          <w:bCs/>
          <w:color w:val="000000" w:themeColor="text1"/>
          <w:lang w:val="en-AU"/>
        </w:rPr>
        <w:t>ivosidenib</w:t>
      </w:r>
      <w:r w:rsidR="00B45C62"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dose to 250 mg once daily. If the strong CYP3A4 inhibitor is discontinued, increase the</w:t>
      </w:r>
      <w:r w:rsidR="00B45C62">
        <w:rPr>
          <w:rFonts w:asciiTheme="minorHAnsi" w:eastAsiaTheme="minorHAnsi" w:hAnsiTheme="minorHAnsi" w:cs="Arial"/>
          <w:bCs/>
          <w:color w:val="000000" w:themeColor="text1"/>
          <w:lang w:val="en-AU"/>
        </w:rPr>
        <w:t xml:space="preserve"> ivosidenib</w:t>
      </w:r>
      <w:r w:rsidRPr="00AF2BF6">
        <w:rPr>
          <w:rFonts w:asciiTheme="minorHAnsi" w:eastAsiaTheme="minorHAnsi" w:hAnsiTheme="minorHAnsi" w:cs="Arial"/>
          <w:bCs/>
          <w:color w:val="000000" w:themeColor="text1"/>
          <w:lang w:val="en-AU"/>
        </w:rPr>
        <w:t xml:space="preserve"> dose to 500 mg after at least 5 half-lives of the</w:t>
      </w:r>
      <w:r w:rsidR="00B45C62">
        <w:rPr>
          <w:rFonts w:asciiTheme="minorHAnsi" w:eastAsiaTheme="minorHAnsi" w:hAnsiTheme="minorHAnsi" w:cs="Arial"/>
          <w:bCs/>
          <w:color w:val="000000" w:themeColor="text1"/>
          <w:lang w:val="en-AU"/>
        </w:rPr>
        <w:t xml:space="preserve"> strong</w:t>
      </w:r>
      <w:r w:rsidRPr="00AF2BF6">
        <w:rPr>
          <w:rFonts w:asciiTheme="minorHAnsi" w:eastAsiaTheme="minorHAnsi" w:hAnsiTheme="minorHAnsi" w:cs="Arial"/>
          <w:bCs/>
          <w:color w:val="000000" w:themeColor="text1"/>
          <w:lang w:val="en-AU"/>
        </w:rPr>
        <w:t xml:space="preserve"> CYP3A4 inhibitor</w:t>
      </w:r>
      <w:r w:rsidR="00712C8B"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(see above and </w:t>
      </w:r>
      <w:r w:rsidR="00414D0D" w:rsidRPr="00AF2BF6">
        <w:rPr>
          <w:rFonts w:asciiTheme="minorHAnsi" w:eastAsiaTheme="minorHAnsi" w:hAnsiTheme="minorHAnsi" w:cs="Arial"/>
          <w:bCs/>
          <w:i/>
          <w:iCs/>
          <w:color w:val="000000" w:themeColor="text1"/>
          <w:lang w:val="en-AU"/>
        </w:rPr>
        <w:t>section</w:t>
      </w:r>
      <w:r w:rsidR="00C77D15" w:rsidRPr="00AF2BF6">
        <w:rPr>
          <w:rFonts w:asciiTheme="minorHAnsi" w:eastAsiaTheme="minorHAnsi" w:hAnsiTheme="minorHAnsi" w:cs="Arial"/>
          <w:bCs/>
          <w:i/>
          <w:iCs/>
          <w:color w:val="000000" w:themeColor="text1"/>
          <w:lang w:val="en-AU"/>
        </w:rPr>
        <w:t>s</w:t>
      </w:r>
      <w:r w:rsidR="00414D0D" w:rsidRPr="00AF2BF6">
        <w:rPr>
          <w:rFonts w:asciiTheme="minorHAnsi" w:eastAsiaTheme="minorHAnsi" w:hAnsiTheme="minorHAnsi" w:cs="Arial"/>
          <w:bCs/>
          <w:i/>
          <w:iCs/>
          <w:color w:val="000000" w:themeColor="text1"/>
          <w:lang w:val="en-AU"/>
        </w:rPr>
        <w:t xml:space="preserve"> 4.4</w:t>
      </w:r>
      <w:r w:rsidR="002E6F2F" w:rsidRPr="00AF2BF6">
        <w:rPr>
          <w:rFonts w:asciiTheme="minorHAnsi" w:eastAsiaTheme="minorHAnsi" w:hAnsiTheme="minorHAnsi" w:cs="Arial"/>
          <w:bCs/>
          <w:i/>
          <w:iCs/>
          <w:color w:val="000000" w:themeColor="text1"/>
          <w:lang w:val="en-AU"/>
        </w:rPr>
        <w:t xml:space="preserve"> - Special warnings and precautions for use</w:t>
      </w:r>
      <w:r w:rsidR="00414D0D" w:rsidRPr="00AF2BF6">
        <w:rPr>
          <w:rFonts w:asciiTheme="minorHAnsi" w:eastAsiaTheme="minorHAnsi" w:hAnsiTheme="minorHAnsi" w:cs="Arial"/>
          <w:bCs/>
          <w:color w:val="000000" w:themeColor="text1"/>
          <w:lang w:val="en-AU"/>
        </w:rPr>
        <w:t xml:space="preserve"> and </w:t>
      </w:r>
      <w:r w:rsidRPr="00AF2BF6">
        <w:rPr>
          <w:rFonts w:asciiTheme="minorHAnsi" w:eastAsiaTheme="minorHAnsi" w:hAnsiTheme="minorHAnsi" w:cs="Arial"/>
          <w:bCs/>
          <w:i/>
          <w:iCs/>
          <w:color w:val="000000" w:themeColor="text1"/>
          <w:lang w:val="en-AU"/>
        </w:rPr>
        <w:t>4.5</w:t>
      </w:r>
      <w:r w:rsidR="002E6F2F" w:rsidRPr="00AF2BF6">
        <w:rPr>
          <w:rFonts w:asciiTheme="minorHAnsi" w:eastAsiaTheme="minorHAnsi" w:hAnsiTheme="minorHAnsi" w:cs="Arial"/>
          <w:bCs/>
          <w:i/>
          <w:iCs/>
          <w:color w:val="000000" w:themeColor="text1"/>
          <w:lang w:val="en-AU"/>
        </w:rPr>
        <w:t>- Interactions with other medicines and other forms of interactions</w:t>
      </w:r>
      <w:r w:rsidRPr="00AF2BF6">
        <w:rPr>
          <w:rFonts w:asciiTheme="minorHAnsi" w:eastAsiaTheme="minorHAnsi" w:hAnsiTheme="minorHAnsi" w:cs="Arial"/>
          <w:bCs/>
          <w:color w:val="000000" w:themeColor="text1"/>
          <w:lang w:val="en-AU"/>
        </w:rPr>
        <w:t>).</w:t>
      </w:r>
    </w:p>
    <w:p w14:paraId="15A9E089" w14:textId="6A4EC321" w:rsidR="00F50D3D" w:rsidRDefault="00C56D2F" w:rsidP="00450D1E">
      <w:pPr>
        <w:pStyle w:val="Heading4"/>
      </w:pPr>
      <w:r w:rsidRPr="00AF2BF6">
        <w:t>Dose modifications for adverse reactions</w:t>
      </w:r>
    </w:p>
    <w:p w14:paraId="12BC0C75" w14:textId="1A84F14B" w:rsidR="00B45C62" w:rsidRPr="002E1B51" w:rsidRDefault="00B45C62" w:rsidP="002E1B51">
      <w:pPr>
        <w:widowControl/>
        <w:autoSpaceDE/>
        <w:autoSpaceDN/>
        <w:spacing w:after="200" w:line="276" w:lineRule="auto"/>
        <w:rPr>
          <w:rFonts w:asciiTheme="minorHAnsi" w:eastAsiaTheme="minorHAnsi" w:hAnsiTheme="minorHAnsi" w:cs="Arial"/>
          <w:color w:val="000000" w:themeColor="text1"/>
        </w:rPr>
      </w:pPr>
      <w:r w:rsidRPr="002E1B51">
        <w:rPr>
          <w:rFonts w:asciiTheme="minorHAnsi" w:eastAsiaTheme="minorHAnsi" w:hAnsiTheme="minorHAnsi" w:cs="Arial"/>
          <w:bCs/>
          <w:color w:val="000000" w:themeColor="text1"/>
          <w:lang w:val="en-AU"/>
        </w:rPr>
        <w:t xml:space="preserve">Guidelines for management in case of adverse reactions are </w:t>
      </w:r>
      <w:r w:rsidRPr="00D44C4A">
        <w:rPr>
          <w:rFonts w:asciiTheme="minorHAnsi" w:eastAsiaTheme="minorHAnsi" w:hAnsiTheme="minorHAnsi" w:cs="Arial"/>
          <w:bCs/>
          <w:color w:val="000000" w:themeColor="text1"/>
          <w:lang w:val="en-AU"/>
        </w:rPr>
        <w:t>summarised in</w:t>
      </w:r>
      <w:r w:rsidR="00C17B0F">
        <w:rPr>
          <w:rFonts w:asciiTheme="minorHAnsi" w:eastAsiaTheme="minorHAnsi" w:hAnsiTheme="minorHAnsi" w:cs="Arial"/>
          <w:bCs/>
          <w:color w:val="000000" w:themeColor="text1"/>
          <w:lang w:val="en-AU"/>
        </w:rPr>
        <w:t xml:space="preserve"> Table 1</w:t>
      </w:r>
      <w:r w:rsidRPr="00D44C4A">
        <w:rPr>
          <w:rFonts w:asciiTheme="minorHAnsi" w:eastAsiaTheme="minorHAnsi" w:hAnsiTheme="minorHAnsi" w:cs="Arial"/>
          <w:bCs/>
          <w:color w:val="000000" w:themeColor="text1"/>
          <w:lang w:val="en-AU"/>
        </w:rPr>
        <w:t>. See</w:t>
      </w:r>
      <w:r w:rsidRPr="002E1B51">
        <w:rPr>
          <w:rFonts w:asciiTheme="minorHAnsi" w:eastAsiaTheme="minorHAnsi" w:hAnsiTheme="minorHAnsi" w:cs="Arial"/>
          <w:bCs/>
          <w:color w:val="000000" w:themeColor="text1"/>
          <w:lang w:val="en-AU"/>
        </w:rPr>
        <w:t xml:space="preserve"> also </w:t>
      </w:r>
      <w:r w:rsidRPr="002E1B51">
        <w:rPr>
          <w:rFonts w:asciiTheme="minorHAnsi" w:eastAsiaTheme="minorHAnsi" w:hAnsiTheme="minorHAnsi" w:cs="Arial"/>
          <w:bCs/>
          <w:i/>
          <w:iCs/>
          <w:color w:val="000000" w:themeColor="text1"/>
          <w:lang w:val="en-AU"/>
        </w:rPr>
        <w:t xml:space="preserve">sections 4.4 - Special warnings and precautions for use, 4.5 - Interactions with other medicines and other forms of interactions </w:t>
      </w:r>
      <w:r w:rsidRPr="002E1B51">
        <w:rPr>
          <w:rFonts w:asciiTheme="minorHAnsi" w:eastAsiaTheme="minorHAnsi" w:hAnsiTheme="minorHAnsi" w:cs="Arial"/>
          <w:bCs/>
          <w:color w:val="000000" w:themeColor="text1"/>
          <w:lang w:val="en-AU"/>
        </w:rPr>
        <w:t>and</w:t>
      </w:r>
      <w:r w:rsidRPr="002E1B51">
        <w:rPr>
          <w:rFonts w:asciiTheme="minorHAnsi" w:eastAsiaTheme="minorHAnsi" w:hAnsiTheme="minorHAnsi" w:cs="Arial"/>
          <w:bCs/>
          <w:i/>
          <w:iCs/>
          <w:color w:val="000000" w:themeColor="text1"/>
          <w:lang w:val="en-AU"/>
        </w:rPr>
        <w:t xml:space="preserve"> 4.8 - Adverse effects (Undesirable effects).</w:t>
      </w:r>
    </w:p>
    <w:p w14:paraId="15A9E08B" w14:textId="3067C564" w:rsidR="00F50D3D" w:rsidRDefault="00D000AF" w:rsidP="002E3C7C">
      <w:pPr>
        <w:widowControl/>
        <w:autoSpaceDE/>
        <w:autoSpaceDN/>
        <w:spacing w:after="200" w:line="276" w:lineRule="auto"/>
        <w:rPr>
          <w:rFonts w:asciiTheme="minorHAnsi" w:eastAsiaTheme="minorHAnsi" w:hAnsiTheme="minorHAnsi" w:cs="Arial"/>
          <w:b/>
          <w:color w:val="000000" w:themeColor="text1"/>
          <w:lang w:val="en-AU"/>
        </w:rPr>
      </w:pPr>
      <w:bookmarkStart w:id="0" w:name="_Ref101211274"/>
      <w:r w:rsidRPr="00AF2BF6">
        <w:rPr>
          <w:rFonts w:asciiTheme="minorHAnsi" w:eastAsiaTheme="minorHAnsi" w:hAnsiTheme="minorHAnsi" w:cs="Arial"/>
          <w:b/>
          <w:color w:val="000000" w:themeColor="text1"/>
          <w:lang w:val="en-AU"/>
        </w:rPr>
        <w:t xml:space="preserve">Table </w:t>
      </w:r>
      <w:r w:rsidRPr="00AF2BF6">
        <w:rPr>
          <w:rFonts w:asciiTheme="minorHAnsi" w:eastAsiaTheme="minorHAnsi" w:hAnsiTheme="minorHAnsi" w:cs="Arial"/>
          <w:b/>
          <w:color w:val="000000" w:themeColor="text1"/>
          <w:lang w:val="en-AU"/>
        </w:rPr>
        <w:fldChar w:fldCharType="begin"/>
      </w:r>
      <w:r w:rsidRPr="00AF2BF6">
        <w:rPr>
          <w:rFonts w:asciiTheme="minorHAnsi" w:eastAsiaTheme="minorHAnsi" w:hAnsiTheme="minorHAnsi" w:cs="Arial"/>
          <w:b/>
          <w:color w:val="000000" w:themeColor="text1"/>
          <w:lang w:val="en-AU"/>
        </w:rPr>
        <w:instrText xml:space="preserve"> SEQ Table \* ARABIC </w:instrText>
      </w:r>
      <w:r w:rsidRPr="00AF2BF6">
        <w:rPr>
          <w:rFonts w:asciiTheme="minorHAnsi" w:eastAsiaTheme="minorHAnsi" w:hAnsiTheme="minorHAnsi" w:cs="Arial"/>
          <w:b/>
          <w:color w:val="000000" w:themeColor="text1"/>
          <w:lang w:val="en-AU"/>
        </w:rPr>
        <w:fldChar w:fldCharType="separate"/>
      </w:r>
      <w:r w:rsidR="00C17B0F">
        <w:rPr>
          <w:rFonts w:asciiTheme="minorHAnsi" w:eastAsiaTheme="minorHAnsi" w:hAnsiTheme="minorHAnsi" w:cs="Arial"/>
          <w:b/>
          <w:noProof/>
          <w:color w:val="000000" w:themeColor="text1"/>
          <w:lang w:val="en-AU"/>
        </w:rPr>
        <w:t>1</w:t>
      </w:r>
      <w:r w:rsidRPr="00AF2BF6">
        <w:rPr>
          <w:rFonts w:asciiTheme="minorHAnsi" w:eastAsiaTheme="minorHAnsi" w:hAnsiTheme="minorHAnsi" w:cs="Arial"/>
          <w:b/>
          <w:color w:val="000000" w:themeColor="text1"/>
          <w:lang w:val="en-AU"/>
        </w:rPr>
        <w:fldChar w:fldCharType="end"/>
      </w:r>
      <w:bookmarkEnd w:id="0"/>
      <w:r w:rsidR="00C723E6" w:rsidRPr="00AF2BF6">
        <w:rPr>
          <w:rFonts w:asciiTheme="minorHAnsi" w:eastAsiaTheme="minorHAnsi" w:hAnsiTheme="minorHAnsi" w:cs="Arial"/>
          <w:b/>
          <w:color w:val="000000" w:themeColor="text1"/>
          <w:lang w:val="en-AU"/>
        </w:rPr>
        <w:t xml:space="preserve"> - </w:t>
      </w:r>
      <w:r w:rsidR="00C56D2F" w:rsidRPr="00AF2BF6">
        <w:rPr>
          <w:rFonts w:asciiTheme="minorHAnsi" w:eastAsiaTheme="minorHAnsi" w:hAnsiTheme="minorHAnsi" w:cs="Arial"/>
          <w:b/>
          <w:color w:val="000000" w:themeColor="text1"/>
          <w:lang w:val="en-AU"/>
        </w:rPr>
        <w:t>Recommended dose modifications for adverse reactions</w:t>
      </w:r>
    </w:p>
    <w:tbl>
      <w:tblPr>
        <w:tblStyle w:val="TableGrid"/>
        <w:tblW w:w="0" w:type="auto"/>
        <w:tblLook w:val="04A0" w:firstRow="1" w:lastRow="0" w:firstColumn="1" w:lastColumn="0" w:noHBand="0" w:noVBand="1"/>
      </w:tblPr>
      <w:tblGrid>
        <w:gridCol w:w="4814"/>
        <w:gridCol w:w="4815"/>
      </w:tblGrid>
      <w:tr w:rsidR="005324DD" w14:paraId="68C831A8" w14:textId="77777777" w:rsidTr="005324DD">
        <w:trPr>
          <w:tblHeader/>
        </w:trPr>
        <w:tc>
          <w:tcPr>
            <w:tcW w:w="4814" w:type="dxa"/>
          </w:tcPr>
          <w:p w14:paraId="0A5253EB" w14:textId="16DF46B0"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b/>
                <w:lang w:val="en-AU"/>
              </w:rPr>
              <w:t>Adverse reaction</w:t>
            </w:r>
          </w:p>
        </w:tc>
        <w:tc>
          <w:tcPr>
            <w:tcW w:w="4815" w:type="dxa"/>
          </w:tcPr>
          <w:p w14:paraId="136A1C31" w14:textId="0EA77E58"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b/>
                <w:lang w:val="en-AU"/>
              </w:rPr>
              <w:t>Recommended action</w:t>
            </w:r>
          </w:p>
        </w:tc>
      </w:tr>
      <w:tr w:rsidR="005324DD" w14:paraId="396F48C8" w14:textId="77777777" w:rsidTr="005324DD">
        <w:tc>
          <w:tcPr>
            <w:tcW w:w="4814" w:type="dxa"/>
          </w:tcPr>
          <w:p w14:paraId="6325DA2A" w14:textId="4C384C9C"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b/>
                <w:bCs/>
                <w:i/>
                <w:iCs/>
                <w:lang w:val="en-AU"/>
              </w:rPr>
              <w:t>QTc interval &gt;480 to 500 msec</w:t>
            </w:r>
            <w:r>
              <w:rPr>
                <w:rFonts w:asciiTheme="minorHAnsi" w:hAnsiTheme="minorHAnsi" w:cstheme="minorHAnsi"/>
                <w:b/>
                <w:bCs/>
                <w:i/>
                <w:iCs/>
                <w:lang w:val="en-AU"/>
              </w:rPr>
              <w:t xml:space="preserve"> </w:t>
            </w:r>
            <w:r w:rsidRPr="002E1B51">
              <w:rPr>
                <w:rFonts w:asciiTheme="minorHAnsi" w:hAnsiTheme="minorHAnsi" w:cstheme="minorHAnsi"/>
                <w:b/>
                <w:bCs/>
                <w:i/>
                <w:iCs/>
                <w:lang w:val="en-AU"/>
              </w:rPr>
              <w:t>(Grade 2</w:t>
            </w:r>
            <w:r w:rsidRPr="002E1B51">
              <w:rPr>
                <w:rFonts w:asciiTheme="minorHAnsi" w:eastAsiaTheme="minorHAnsi" w:hAnsiTheme="minorHAnsi" w:cstheme="minorHAnsi"/>
                <w:b/>
                <w:bCs/>
                <w:i/>
                <w:iCs/>
                <w:color w:val="000000" w:themeColor="text1"/>
                <w:lang w:val="en-AU"/>
              </w:rPr>
              <w:t>)</w:t>
            </w:r>
          </w:p>
        </w:tc>
        <w:tc>
          <w:tcPr>
            <w:tcW w:w="4815" w:type="dxa"/>
          </w:tcPr>
          <w:p w14:paraId="26DFD0AB" w14:textId="77777777" w:rsidR="005324DD" w:rsidRPr="00AD5854" w:rsidRDefault="005324DD" w:rsidP="005324DD">
            <w:pPr>
              <w:pStyle w:val="TableParagraph"/>
              <w:widowControl/>
              <w:numPr>
                <w:ilvl w:val="0"/>
                <w:numId w:val="3"/>
              </w:numPr>
              <w:tabs>
                <w:tab w:val="left" w:pos="424"/>
                <w:tab w:val="left" w:pos="425"/>
              </w:tabs>
              <w:ind w:right="174"/>
              <w:rPr>
                <w:rFonts w:asciiTheme="minorHAnsi" w:hAnsiTheme="minorHAnsi" w:cstheme="minorHAnsi"/>
                <w:i/>
                <w:lang w:val="en-AU"/>
              </w:rPr>
            </w:pPr>
            <w:r>
              <w:rPr>
                <w:rFonts w:asciiTheme="minorHAnsi" w:hAnsiTheme="minorHAnsi" w:cstheme="minorHAnsi"/>
                <w:lang w:val="en-AU"/>
              </w:rPr>
              <w:t>Review concomitant medicines and check electrolytes.</w:t>
            </w:r>
          </w:p>
          <w:p w14:paraId="7354FB59" w14:textId="77777777" w:rsidR="005324DD" w:rsidRPr="00AD5854" w:rsidRDefault="005324DD" w:rsidP="005324DD">
            <w:pPr>
              <w:pStyle w:val="TableParagraph"/>
              <w:widowControl/>
              <w:numPr>
                <w:ilvl w:val="0"/>
                <w:numId w:val="3"/>
              </w:numPr>
              <w:tabs>
                <w:tab w:val="left" w:pos="423"/>
                <w:tab w:val="left" w:pos="425"/>
              </w:tabs>
              <w:spacing w:line="252" w:lineRule="exact"/>
              <w:ind w:right="210"/>
              <w:rPr>
                <w:rFonts w:asciiTheme="minorHAnsi" w:hAnsiTheme="minorHAnsi" w:cstheme="minorHAnsi"/>
                <w:lang w:val="en-AU"/>
              </w:rPr>
            </w:pPr>
            <w:r w:rsidRPr="00AD5854">
              <w:rPr>
                <w:rFonts w:asciiTheme="minorHAnsi" w:hAnsiTheme="minorHAnsi" w:cstheme="minorHAnsi"/>
                <w:lang w:val="en-AU"/>
              </w:rPr>
              <w:t>Interrupt ivosidenib</w:t>
            </w:r>
            <w:r>
              <w:rPr>
                <w:rFonts w:asciiTheme="minorHAnsi" w:hAnsiTheme="minorHAnsi" w:cstheme="minorHAnsi"/>
                <w:lang w:val="en-AU"/>
              </w:rPr>
              <w:t xml:space="preserve"> treatment</w:t>
            </w:r>
            <w:r w:rsidRPr="00373F89">
              <w:rPr>
                <w:rFonts w:asciiTheme="minorHAnsi" w:hAnsiTheme="minorHAnsi" w:cstheme="minorHAnsi"/>
                <w:lang w:val="en-AU"/>
              </w:rPr>
              <w:t xml:space="preserve"> until QTc interval returns</w:t>
            </w:r>
            <w:r w:rsidRPr="008C510B">
              <w:rPr>
                <w:rFonts w:asciiTheme="minorHAnsi" w:hAnsiTheme="minorHAnsi" w:cstheme="minorHAnsi"/>
                <w:spacing w:val="-5"/>
                <w:lang w:val="en-AU"/>
              </w:rPr>
              <w:t xml:space="preserve"> </w:t>
            </w:r>
            <w:r w:rsidRPr="000D0AB3">
              <w:rPr>
                <w:rFonts w:asciiTheme="minorHAnsi" w:hAnsiTheme="minorHAnsi" w:cstheme="minorHAnsi"/>
                <w:lang w:val="en-AU"/>
              </w:rPr>
              <w:t>to</w:t>
            </w:r>
            <w:r w:rsidRPr="00373F89">
              <w:rPr>
                <w:rFonts w:asciiTheme="minorHAnsi" w:hAnsiTheme="minorHAnsi" w:cstheme="minorHAnsi"/>
                <w:lang w:val="en-AU"/>
              </w:rPr>
              <w:t xml:space="preserve"> </w:t>
            </w:r>
            <w:r w:rsidRPr="008C510B">
              <w:rPr>
                <w:rFonts w:asciiTheme="minorHAnsi" w:hAnsiTheme="minorHAnsi" w:cstheme="minorHAnsi"/>
                <w:lang w:val="en-AU"/>
              </w:rPr>
              <w:t>≤</w:t>
            </w:r>
            <w:r w:rsidRPr="00AD5854">
              <w:rPr>
                <w:rFonts w:asciiTheme="minorHAnsi" w:hAnsiTheme="minorHAnsi" w:cstheme="minorHAnsi"/>
                <w:lang w:val="en-AU"/>
              </w:rPr>
              <w:t>480 msec, then</w:t>
            </w:r>
            <w:r>
              <w:rPr>
                <w:rFonts w:asciiTheme="minorHAnsi" w:hAnsiTheme="minorHAnsi" w:cstheme="minorHAnsi"/>
                <w:lang w:val="en-AU"/>
              </w:rPr>
              <w:t xml:space="preserve"> r</w:t>
            </w:r>
            <w:r w:rsidRPr="00373F89">
              <w:rPr>
                <w:rFonts w:asciiTheme="minorHAnsi" w:hAnsiTheme="minorHAnsi" w:cstheme="minorHAnsi"/>
                <w:lang w:val="en-AU"/>
              </w:rPr>
              <w:t xml:space="preserve">esume </w:t>
            </w:r>
            <w:r w:rsidRPr="00AD5854">
              <w:rPr>
                <w:rFonts w:asciiTheme="minorHAnsi" w:hAnsiTheme="minorHAnsi" w:cstheme="minorHAnsi"/>
                <w:lang w:val="en-AU"/>
              </w:rPr>
              <w:t>at 500 mg daily.</w:t>
            </w:r>
          </w:p>
          <w:p w14:paraId="3E2F58D2" w14:textId="1E3B6D43"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lang w:val="en-AU"/>
              </w:rPr>
              <w:t>Monitor ECGs at least weekly for 2 weeks following return of QTc interval to ≤480</w:t>
            </w:r>
            <w:r w:rsidRPr="00AF2BF6">
              <w:rPr>
                <w:rFonts w:asciiTheme="minorHAnsi" w:hAnsiTheme="minorHAnsi" w:cstheme="minorHAnsi"/>
                <w:spacing w:val="-15"/>
                <w:lang w:val="en-AU"/>
              </w:rPr>
              <w:t xml:space="preserve"> </w:t>
            </w:r>
            <w:r w:rsidRPr="00AF2BF6">
              <w:rPr>
                <w:rFonts w:asciiTheme="minorHAnsi" w:hAnsiTheme="minorHAnsi" w:cstheme="minorHAnsi"/>
                <w:lang w:val="en-AU"/>
              </w:rPr>
              <w:t>msec.</w:t>
            </w:r>
          </w:p>
        </w:tc>
      </w:tr>
      <w:tr w:rsidR="005324DD" w14:paraId="5118D2AB" w14:textId="77777777" w:rsidTr="005324DD">
        <w:tc>
          <w:tcPr>
            <w:tcW w:w="4814" w:type="dxa"/>
          </w:tcPr>
          <w:p w14:paraId="7D47E7FC" w14:textId="68DB546A"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b/>
                <w:bCs/>
                <w:i/>
                <w:iCs/>
                <w:lang w:val="en-AU"/>
              </w:rPr>
              <w:t>QTc interval ˃500 msec (Grade 3)</w:t>
            </w:r>
          </w:p>
        </w:tc>
        <w:tc>
          <w:tcPr>
            <w:tcW w:w="4815" w:type="dxa"/>
          </w:tcPr>
          <w:p w14:paraId="414265BC" w14:textId="77777777" w:rsidR="005324DD" w:rsidRDefault="005324DD" w:rsidP="005324DD">
            <w:pPr>
              <w:pStyle w:val="TableParagraph"/>
              <w:widowControl/>
              <w:numPr>
                <w:ilvl w:val="0"/>
                <w:numId w:val="2"/>
              </w:numPr>
              <w:tabs>
                <w:tab w:val="left" w:pos="423"/>
                <w:tab w:val="left" w:pos="425"/>
              </w:tabs>
              <w:ind w:left="467" w:right="210" w:hanging="361"/>
              <w:rPr>
                <w:rFonts w:asciiTheme="minorHAnsi" w:hAnsiTheme="minorHAnsi" w:cstheme="minorHAnsi"/>
                <w:lang w:val="en-AU"/>
              </w:rPr>
            </w:pPr>
            <w:r>
              <w:rPr>
                <w:rFonts w:asciiTheme="minorHAnsi" w:hAnsiTheme="minorHAnsi" w:cstheme="minorHAnsi"/>
                <w:lang w:val="en-AU"/>
              </w:rPr>
              <w:t>Review concomitant medicines and check electrolytes.</w:t>
            </w:r>
          </w:p>
          <w:p w14:paraId="2B45C779" w14:textId="77777777" w:rsidR="005324DD" w:rsidRPr="008A5E2F" w:rsidRDefault="005324DD" w:rsidP="005324DD">
            <w:pPr>
              <w:pStyle w:val="TableParagraph"/>
              <w:widowControl/>
              <w:numPr>
                <w:ilvl w:val="0"/>
                <w:numId w:val="2"/>
              </w:numPr>
              <w:tabs>
                <w:tab w:val="left" w:pos="423"/>
                <w:tab w:val="left" w:pos="425"/>
              </w:tabs>
              <w:ind w:left="467" w:right="210" w:hanging="361"/>
              <w:rPr>
                <w:rFonts w:asciiTheme="minorHAnsi" w:hAnsiTheme="minorHAnsi" w:cstheme="minorHAnsi"/>
                <w:lang w:val="en-AU"/>
              </w:rPr>
            </w:pPr>
            <w:r w:rsidRPr="008A5E2F">
              <w:rPr>
                <w:rFonts w:asciiTheme="minorHAnsi" w:hAnsiTheme="minorHAnsi" w:cstheme="minorHAnsi"/>
                <w:lang w:val="en-AU"/>
              </w:rPr>
              <w:t xml:space="preserve">Interrupt ivosidenib treatment until QTc interval returns to within 30 msec of baseline or ≤480 msec, then </w:t>
            </w:r>
            <w:r>
              <w:rPr>
                <w:rFonts w:asciiTheme="minorHAnsi" w:hAnsiTheme="minorHAnsi" w:cstheme="minorHAnsi"/>
                <w:lang w:val="en-AU"/>
              </w:rPr>
              <w:t>r</w:t>
            </w:r>
            <w:r w:rsidRPr="008A5E2F">
              <w:rPr>
                <w:rFonts w:asciiTheme="minorHAnsi" w:hAnsiTheme="minorHAnsi" w:cstheme="minorHAnsi"/>
                <w:lang w:val="en-AU"/>
              </w:rPr>
              <w:t>esume treatment at 250 mg daily.</w:t>
            </w:r>
          </w:p>
          <w:p w14:paraId="2F022F32" w14:textId="77777777" w:rsidR="005324DD" w:rsidRPr="00AF2BF6" w:rsidRDefault="005324DD" w:rsidP="005324DD">
            <w:pPr>
              <w:pStyle w:val="TableParagraph"/>
              <w:widowControl/>
              <w:numPr>
                <w:ilvl w:val="0"/>
                <w:numId w:val="2"/>
              </w:numPr>
              <w:tabs>
                <w:tab w:val="left" w:pos="424"/>
                <w:tab w:val="left" w:pos="425"/>
              </w:tabs>
              <w:ind w:right="203"/>
              <w:rPr>
                <w:rFonts w:asciiTheme="minorHAnsi" w:hAnsiTheme="minorHAnsi" w:cstheme="minorHAnsi"/>
                <w:lang w:val="en-AU"/>
              </w:rPr>
            </w:pPr>
            <w:r w:rsidRPr="00AF2BF6">
              <w:rPr>
                <w:rFonts w:asciiTheme="minorHAnsi" w:hAnsiTheme="minorHAnsi" w:cstheme="minorHAnsi"/>
                <w:lang w:val="en-AU"/>
              </w:rPr>
              <w:t>Monitor ECGs at least weekly for 2 weeks following return of QTc interval to within 30 msec of baseline or ≤480 msec.</w:t>
            </w:r>
          </w:p>
          <w:p w14:paraId="4A9BABC0" w14:textId="01D95A86"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B45C62">
              <w:rPr>
                <w:rFonts w:asciiTheme="minorHAnsi" w:hAnsiTheme="minorHAnsi" w:cstheme="minorHAnsi"/>
                <w:lang w:val="en-AU"/>
              </w:rPr>
              <w:lastRenderedPageBreak/>
              <w:t>Dose re-escalation to 500 mg daily can be considered i</w:t>
            </w:r>
            <w:r w:rsidRPr="00AF2BF6">
              <w:rPr>
                <w:rFonts w:asciiTheme="minorHAnsi" w:hAnsiTheme="minorHAnsi" w:cstheme="minorHAnsi"/>
                <w:lang w:val="en-AU"/>
              </w:rPr>
              <w:t>f alternative aetiology for QTc interval prolongation is identified.</w:t>
            </w:r>
          </w:p>
        </w:tc>
      </w:tr>
      <w:tr w:rsidR="005324DD" w14:paraId="5EE7E2E4" w14:textId="77777777" w:rsidTr="005324DD">
        <w:tc>
          <w:tcPr>
            <w:tcW w:w="4814" w:type="dxa"/>
          </w:tcPr>
          <w:p w14:paraId="4056D5DE" w14:textId="0A72737E"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b/>
                <w:bCs/>
                <w:i/>
                <w:iCs/>
                <w:lang w:val="en-AU"/>
              </w:rPr>
              <w:lastRenderedPageBreak/>
              <w:t>QTc interval prolongation with signs/symptoms of life-threatening ventricular arrhythmia</w:t>
            </w:r>
            <w:r>
              <w:rPr>
                <w:rFonts w:asciiTheme="minorHAnsi" w:hAnsiTheme="minorHAnsi" w:cstheme="minorHAnsi"/>
                <w:b/>
                <w:bCs/>
                <w:i/>
                <w:iCs/>
                <w:lang w:val="en-AU"/>
              </w:rPr>
              <w:t xml:space="preserve"> </w:t>
            </w:r>
            <w:r w:rsidRPr="008A5E2F">
              <w:rPr>
                <w:rFonts w:asciiTheme="minorHAnsi" w:hAnsiTheme="minorHAnsi" w:cstheme="minorHAnsi"/>
                <w:b/>
                <w:bCs/>
                <w:i/>
                <w:iCs/>
                <w:lang w:val="en-AU"/>
              </w:rPr>
              <w:t>(Grade 4)</w:t>
            </w:r>
          </w:p>
        </w:tc>
        <w:tc>
          <w:tcPr>
            <w:tcW w:w="4815" w:type="dxa"/>
          </w:tcPr>
          <w:p w14:paraId="5E578721" w14:textId="63C54DB7"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lang w:val="en-AU"/>
              </w:rPr>
              <w:t>Permanently discontinue</w:t>
            </w:r>
            <w:r w:rsidRPr="00AF2BF6">
              <w:rPr>
                <w:rFonts w:asciiTheme="minorHAnsi" w:hAnsiTheme="minorHAnsi" w:cstheme="minorHAnsi"/>
                <w:spacing w:val="-3"/>
                <w:lang w:val="en-AU"/>
              </w:rPr>
              <w:t xml:space="preserve"> </w:t>
            </w:r>
            <w:r>
              <w:rPr>
                <w:rFonts w:asciiTheme="minorHAnsi" w:hAnsiTheme="minorHAnsi" w:cstheme="minorHAnsi"/>
                <w:lang w:val="en-AU"/>
              </w:rPr>
              <w:t>ivosidenib</w:t>
            </w:r>
            <w:r w:rsidRPr="00AF2BF6">
              <w:rPr>
                <w:rFonts w:asciiTheme="minorHAnsi" w:hAnsiTheme="minorHAnsi" w:cstheme="minorHAnsi"/>
                <w:lang w:val="en-AU"/>
              </w:rPr>
              <w:t>.</w:t>
            </w:r>
          </w:p>
        </w:tc>
      </w:tr>
      <w:tr w:rsidR="005324DD" w14:paraId="16EB6231" w14:textId="77777777" w:rsidTr="005324DD">
        <w:tc>
          <w:tcPr>
            <w:tcW w:w="4814" w:type="dxa"/>
          </w:tcPr>
          <w:p w14:paraId="211DC49E" w14:textId="23434502"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Pr>
                <w:rFonts w:asciiTheme="minorHAnsi" w:hAnsiTheme="minorHAnsi" w:cstheme="minorHAnsi"/>
                <w:b/>
                <w:bCs/>
                <w:i/>
                <w:iCs/>
                <w:lang w:val="en-AU"/>
              </w:rPr>
              <w:t>Guillain-Barré syndrome</w:t>
            </w:r>
          </w:p>
        </w:tc>
        <w:tc>
          <w:tcPr>
            <w:tcW w:w="4815" w:type="dxa"/>
          </w:tcPr>
          <w:p w14:paraId="0E0CAA3B" w14:textId="66BB189E"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lang w:val="en-AU"/>
              </w:rPr>
              <w:t>Permanently discontinue</w:t>
            </w:r>
            <w:r w:rsidRPr="00AF2BF6">
              <w:rPr>
                <w:rFonts w:asciiTheme="minorHAnsi" w:hAnsiTheme="minorHAnsi" w:cstheme="minorHAnsi"/>
                <w:spacing w:val="-3"/>
                <w:lang w:val="en-AU"/>
              </w:rPr>
              <w:t xml:space="preserve"> </w:t>
            </w:r>
            <w:r>
              <w:rPr>
                <w:rFonts w:asciiTheme="minorHAnsi" w:hAnsiTheme="minorHAnsi" w:cstheme="minorHAnsi"/>
                <w:lang w:val="en-AU"/>
              </w:rPr>
              <w:t>ivosidenib</w:t>
            </w:r>
            <w:r w:rsidRPr="00AF2BF6">
              <w:rPr>
                <w:rFonts w:asciiTheme="minorHAnsi" w:hAnsiTheme="minorHAnsi" w:cstheme="minorHAnsi"/>
                <w:lang w:val="en-AU"/>
              </w:rPr>
              <w:t>.</w:t>
            </w:r>
          </w:p>
        </w:tc>
      </w:tr>
      <w:tr w:rsidR="005324DD" w14:paraId="16A2BF62" w14:textId="77777777" w:rsidTr="005324DD">
        <w:tc>
          <w:tcPr>
            <w:tcW w:w="4814" w:type="dxa"/>
          </w:tcPr>
          <w:p w14:paraId="05AB819A" w14:textId="32AC5CC3"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b/>
                <w:bCs/>
                <w:i/>
                <w:iCs/>
                <w:lang w:val="en-AU"/>
              </w:rPr>
              <w:t>Other Grade 3 or higher adverse reactions</w:t>
            </w:r>
          </w:p>
        </w:tc>
        <w:tc>
          <w:tcPr>
            <w:tcW w:w="4815" w:type="dxa"/>
          </w:tcPr>
          <w:p w14:paraId="196F65E1" w14:textId="77777777" w:rsidR="005324DD" w:rsidRPr="00AF2BF6" w:rsidRDefault="005324DD" w:rsidP="005324DD">
            <w:pPr>
              <w:pStyle w:val="TableParagraph"/>
              <w:widowControl/>
              <w:numPr>
                <w:ilvl w:val="0"/>
                <w:numId w:val="1"/>
              </w:numPr>
              <w:tabs>
                <w:tab w:val="left" w:pos="424"/>
                <w:tab w:val="left" w:pos="425"/>
              </w:tabs>
              <w:spacing w:line="261" w:lineRule="exact"/>
              <w:ind w:hanging="318"/>
              <w:rPr>
                <w:rFonts w:asciiTheme="minorHAnsi" w:hAnsiTheme="minorHAnsi" w:cstheme="minorHAnsi"/>
                <w:lang w:val="en-AU"/>
              </w:rPr>
            </w:pPr>
            <w:r w:rsidRPr="00AF2BF6">
              <w:rPr>
                <w:rFonts w:asciiTheme="minorHAnsi" w:hAnsiTheme="minorHAnsi" w:cstheme="minorHAnsi"/>
                <w:lang w:val="en-AU"/>
              </w:rPr>
              <w:t>Interrupt ivosidenib</w:t>
            </w:r>
            <w:r>
              <w:rPr>
                <w:rFonts w:asciiTheme="minorHAnsi" w:hAnsiTheme="minorHAnsi" w:cstheme="minorHAnsi"/>
                <w:lang w:val="en-AU"/>
              </w:rPr>
              <w:t xml:space="preserve"> treatment</w:t>
            </w:r>
            <w:r w:rsidRPr="00AF2BF6">
              <w:rPr>
                <w:rFonts w:asciiTheme="minorHAnsi" w:hAnsiTheme="minorHAnsi" w:cstheme="minorHAnsi"/>
                <w:lang w:val="en-AU"/>
              </w:rPr>
              <w:t xml:space="preserve"> until toxicity resolves to Grade 1 or lower, or baseline, then resume at 500 mg daily (Grade 3 toxicity) or 250 mg daily (Grade 4 toxicity).</w:t>
            </w:r>
          </w:p>
          <w:p w14:paraId="61A435B0" w14:textId="77777777" w:rsidR="005324DD" w:rsidRPr="00AF2BF6" w:rsidRDefault="005324DD" w:rsidP="005324DD">
            <w:pPr>
              <w:pStyle w:val="TableParagraph"/>
              <w:widowControl/>
              <w:numPr>
                <w:ilvl w:val="0"/>
                <w:numId w:val="1"/>
              </w:numPr>
              <w:tabs>
                <w:tab w:val="left" w:pos="424"/>
                <w:tab w:val="left" w:pos="425"/>
              </w:tabs>
              <w:spacing w:line="261" w:lineRule="exact"/>
              <w:ind w:hanging="318"/>
              <w:rPr>
                <w:rFonts w:asciiTheme="minorHAnsi" w:hAnsiTheme="minorHAnsi" w:cstheme="minorHAnsi"/>
                <w:lang w:val="en-AU"/>
              </w:rPr>
            </w:pPr>
            <w:r w:rsidRPr="00AF2BF6">
              <w:rPr>
                <w:rFonts w:asciiTheme="minorHAnsi" w:hAnsiTheme="minorHAnsi" w:cstheme="minorHAnsi"/>
                <w:lang w:val="en-AU"/>
              </w:rPr>
              <w:t>If Grade 3 toxicity recurs (a second time), reduce ivosidenib dose to 250 mg daily until the toxicity resolves, then resume 500 mg daily.</w:t>
            </w:r>
          </w:p>
          <w:p w14:paraId="1F979E5B" w14:textId="73AC8FAE" w:rsidR="005324DD" w:rsidRDefault="005324DD" w:rsidP="005324DD">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lang w:val="en-AU"/>
              </w:rPr>
              <w:t>If Grade 3 toxicity recurs (a third time), or Grade 4 toxicity recurs, discontinue ivosidenib.</w:t>
            </w:r>
          </w:p>
        </w:tc>
      </w:tr>
    </w:tbl>
    <w:p w14:paraId="180C58C9" w14:textId="607AF8F1" w:rsidR="005324DD" w:rsidRDefault="005324DD" w:rsidP="002E3C7C">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hAnsiTheme="minorHAnsi" w:cstheme="minorHAnsi"/>
          <w:sz w:val="20"/>
          <w:lang w:val="en-AU"/>
        </w:rPr>
        <w:t xml:space="preserve">Grade 1 </w:t>
      </w:r>
      <w:r>
        <w:rPr>
          <w:rFonts w:asciiTheme="minorHAnsi" w:hAnsiTheme="minorHAnsi" w:cstheme="minorHAnsi"/>
          <w:sz w:val="20"/>
          <w:lang w:val="en-AU"/>
        </w:rPr>
        <w:t>=</w:t>
      </w:r>
      <w:r w:rsidRPr="00AF2BF6">
        <w:rPr>
          <w:rFonts w:asciiTheme="minorHAnsi" w:hAnsiTheme="minorHAnsi" w:cstheme="minorHAnsi"/>
          <w:sz w:val="20"/>
          <w:lang w:val="en-AU"/>
        </w:rPr>
        <w:t xml:space="preserve"> mild, Grade 2 </w:t>
      </w:r>
      <w:r>
        <w:rPr>
          <w:rFonts w:asciiTheme="minorHAnsi" w:hAnsiTheme="minorHAnsi" w:cstheme="minorHAnsi"/>
          <w:sz w:val="20"/>
          <w:lang w:val="en-AU"/>
        </w:rPr>
        <w:t>=</w:t>
      </w:r>
      <w:r w:rsidRPr="00AF2BF6">
        <w:rPr>
          <w:rFonts w:asciiTheme="minorHAnsi" w:hAnsiTheme="minorHAnsi" w:cstheme="minorHAnsi"/>
          <w:sz w:val="20"/>
          <w:lang w:val="en-AU"/>
        </w:rPr>
        <w:t xml:space="preserve"> moderate, Grade 3 </w:t>
      </w:r>
      <w:r>
        <w:rPr>
          <w:rFonts w:asciiTheme="minorHAnsi" w:hAnsiTheme="minorHAnsi" w:cstheme="minorHAnsi"/>
          <w:sz w:val="20"/>
          <w:lang w:val="en-AU"/>
        </w:rPr>
        <w:t>=</w:t>
      </w:r>
      <w:r w:rsidRPr="00AF2BF6">
        <w:rPr>
          <w:rFonts w:asciiTheme="minorHAnsi" w:hAnsiTheme="minorHAnsi" w:cstheme="minorHAnsi"/>
          <w:sz w:val="20"/>
          <w:lang w:val="en-AU"/>
        </w:rPr>
        <w:t xml:space="preserve"> severe, Grade 4 </w:t>
      </w:r>
      <w:r>
        <w:rPr>
          <w:rFonts w:asciiTheme="minorHAnsi" w:hAnsiTheme="minorHAnsi" w:cstheme="minorHAnsi"/>
          <w:sz w:val="20"/>
          <w:lang w:val="en-AU"/>
        </w:rPr>
        <w:t>=</w:t>
      </w:r>
      <w:r w:rsidRPr="00AF2BF6">
        <w:rPr>
          <w:rFonts w:asciiTheme="minorHAnsi" w:hAnsiTheme="minorHAnsi" w:cstheme="minorHAnsi"/>
          <w:sz w:val="20"/>
          <w:lang w:val="en-AU"/>
        </w:rPr>
        <w:t xml:space="preserve"> life-threatening.</w:t>
      </w:r>
    </w:p>
    <w:p w14:paraId="15A9E0BB" w14:textId="22E26225" w:rsidR="00F50D3D" w:rsidRPr="00AF2BF6" w:rsidRDefault="00C56D2F" w:rsidP="005D0769">
      <w:pPr>
        <w:pStyle w:val="Heading3"/>
        <w:spacing w:before="120" w:after="120"/>
        <w:rPr>
          <w:b/>
          <w:bCs/>
          <w:szCs w:val="22"/>
        </w:rPr>
      </w:pPr>
      <w:r w:rsidRPr="00AF2BF6">
        <w:rPr>
          <w:b/>
          <w:bCs/>
          <w:szCs w:val="22"/>
        </w:rPr>
        <w:t>Special populations</w:t>
      </w:r>
    </w:p>
    <w:p w14:paraId="15A9E0C1" w14:textId="77777777" w:rsidR="00F50D3D" w:rsidRPr="00AF2BF6" w:rsidRDefault="00C56D2F" w:rsidP="00450D1E">
      <w:pPr>
        <w:pStyle w:val="Heading4"/>
      </w:pPr>
      <w:r w:rsidRPr="00AF2BF6">
        <w:t>Renal impairment</w:t>
      </w:r>
    </w:p>
    <w:p w14:paraId="15A9E0C3" w14:textId="70FE7479" w:rsidR="00F50D3D" w:rsidRPr="00AF2BF6" w:rsidRDefault="00C56D2F" w:rsidP="00DB31B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No dose adjustment is required in patients with mild (eGFR ≥60 to ˂90 mL/min/1.73 m</w:t>
      </w:r>
      <w:r w:rsidR="0084513D" w:rsidRPr="00AF2BF6">
        <w:rPr>
          <w:rFonts w:asciiTheme="minorHAnsi" w:eastAsiaTheme="minorHAnsi" w:hAnsiTheme="minorHAnsi" w:cs="Arial"/>
          <w:bCs/>
          <w:color w:val="000000" w:themeColor="text1"/>
          <w:vertAlign w:val="superscript"/>
          <w:lang w:val="en-AU"/>
        </w:rPr>
        <w:t>2</w:t>
      </w:r>
      <w:r w:rsidRPr="00AF2BF6">
        <w:rPr>
          <w:rFonts w:asciiTheme="minorHAnsi" w:eastAsiaTheme="minorHAnsi" w:hAnsiTheme="minorHAnsi" w:cs="Arial"/>
          <w:bCs/>
          <w:color w:val="000000" w:themeColor="text1"/>
          <w:lang w:val="en-AU"/>
        </w:rPr>
        <w:t>) or moderate (eGFR ≥30 to ˂60 mL/min/1.73 m</w:t>
      </w:r>
      <w:r w:rsidRPr="00AF2BF6">
        <w:rPr>
          <w:rFonts w:asciiTheme="minorHAnsi" w:eastAsiaTheme="minorHAnsi" w:hAnsiTheme="minorHAnsi" w:cs="Arial"/>
          <w:bCs/>
          <w:color w:val="000000" w:themeColor="text1"/>
          <w:vertAlign w:val="superscript"/>
          <w:lang w:val="en-AU"/>
        </w:rPr>
        <w:t>2</w:t>
      </w:r>
      <w:r w:rsidRPr="00AF2BF6">
        <w:rPr>
          <w:rFonts w:asciiTheme="minorHAnsi" w:eastAsiaTheme="minorHAnsi" w:hAnsiTheme="minorHAnsi" w:cs="Arial"/>
          <w:bCs/>
          <w:color w:val="000000" w:themeColor="text1"/>
          <w:lang w:val="en-AU"/>
        </w:rPr>
        <w:t>) renal impairment. A recommended dose has not been determined for patients with severe renal impairment (eGFR ˂30 mL/min/1.73 m</w:t>
      </w:r>
      <w:r w:rsidR="0084513D" w:rsidRPr="00AF2BF6">
        <w:rPr>
          <w:rFonts w:asciiTheme="minorHAnsi" w:eastAsiaTheme="minorHAnsi" w:hAnsiTheme="minorHAnsi" w:cs="Arial"/>
          <w:bCs/>
          <w:color w:val="000000" w:themeColor="text1"/>
          <w:vertAlign w:val="superscript"/>
          <w:lang w:val="en-AU"/>
        </w:rPr>
        <w:t>2</w:t>
      </w:r>
      <w:r w:rsidRPr="00AF2BF6">
        <w:rPr>
          <w:rFonts w:asciiTheme="minorHAnsi" w:eastAsiaTheme="minorHAnsi" w:hAnsiTheme="minorHAnsi" w:cs="Arial"/>
          <w:bCs/>
          <w:color w:val="000000" w:themeColor="text1"/>
          <w:lang w:val="en-AU"/>
        </w:rPr>
        <w:t xml:space="preserve">). </w:t>
      </w:r>
      <w:r w:rsidR="000D0AB3">
        <w:rPr>
          <w:rFonts w:asciiTheme="minorHAnsi" w:eastAsiaTheme="minorHAnsi" w:hAnsiTheme="minorHAnsi" w:cs="Arial"/>
          <w:bCs/>
          <w:color w:val="000000" w:themeColor="text1"/>
          <w:lang w:val="en-AU"/>
        </w:rPr>
        <w:t>S</w:t>
      </w:r>
      <w:r w:rsidRPr="00AF2BF6">
        <w:rPr>
          <w:rFonts w:asciiTheme="minorHAnsi" w:eastAsiaTheme="minorHAnsi" w:hAnsiTheme="minorHAnsi" w:cs="Arial"/>
          <w:bCs/>
          <w:color w:val="000000" w:themeColor="text1"/>
          <w:lang w:val="en-AU"/>
        </w:rPr>
        <w:t xml:space="preserve">ee </w:t>
      </w:r>
      <w:r w:rsidRPr="00AF2BF6">
        <w:rPr>
          <w:rFonts w:asciiTheme="minorHAnsi" w:eastAsiaTheme="minorHAnsi" w:hAnsiTheme="minorHAnsi" w:cs="Arial"/>
          <w:bCs/>
          <w:i/>
          <w:iCs/>
          <w:color w:val="000000" w:themeColor="text1"/>
          <w:lang w:val="en-AU"/>
        </w:rPr>
        <w:t>sections 4.4</w:t>
      </w:r>
      <w:r w:rsidR="002E6F2F" w:rsidRPr="00AF2BF6">
        <w:rPr>
          <w:rFonts w:asciiTheme="minorHAnsi" w:eastAsiaTheme="minorHAnsi" w:hAnsiTheme="minorHAnsi" w:cs="Arial"/>
          <w:bCs/>
          <w:i/>
          <w:iCs/>
          <w:color w:val="000000" w:themeColor="text1"/>
          <w:lang w:val="en-AU"/>
        </w:rPr>
        <w:t xml:space="preserve"> - Special warnings and precautions for use</w:t>
      </w:r>
      <w:r w:rsidRPr="00AF2BF6">
        <w:rPr>
          <w:rFonts w:asciiTheme="minorHAnsi" w:eastAsiaTheme="minorHAnsi" w:hAnsiTheme="minorHAnsi" w:cs="Arial"/>
          <w:bCs/>
          <w:color w:val="000000" w:themeColor="text1"/>
          <w:lang w:val="en-AU"/>
        </w:rPr>
        <w:t xml:space="preserve"> and </w:t>
      </w:r>
      <w:r w:rsidRPr="00AF2BF6">
        <w:rPr>
          <w:rFonts w:asciiTheme="minorHAnsi" w:eastAsiaTheme="minorHAnsi" w:hAnsiTheme="minorHAnsi" w:cs="Arial"/>
          <w:bCs/>
          <w:i/>
          <w:iCs/>
          <w:color w:val="000000" w:themeColor="text1"/>
          <w:lang w:val="en-AU"/>
        </w:rPr>
        <w:t>5.2</w:t>
      </w:r>
      <w:r w:rsidR="003028CF" w:rsidRPr="00AF2BF6">
        <w:rPr>
          <w:rFonts w:asciiTheme="minorHAnsi" w:hAnsiTheme="minorHAnsi" w:cstheme="minorHAnsi"/>
          <w:i/>
          <w:iCs/>
          <w:color w:val="000000"/>
          <w:lang w:val="en-AU"/>
        </w:rPr>
        <w:t xml:space="preserve"> - </w:t>
      </w:r>
      <w:r w:rsidR="003028CF" w:rsidRPr="00AF2BF6">
        <w:rPr>
          <w:rFonts w:asciiTheme="minorHAnsi" w:hAnsiTheme="minorHAnsi" w:cstheme="minorHAnsi"/>
          <w:i/>
          <w:iCs/>
          <w:lang w:val="en-AU"/>
        </w:rPr>
        <w:t>Pharmacokinetic properties</w:t>
      </w:r>
      <w:r w:rsidRPr="00AF2BF6">
        <w:rPr>
          <w:rFonts w:asciiTheme="minorHAnsi" w:eastAsiaTheme="minorHAnsi" w:hAnsiTheme="minorHAnsi" w:cs="Arial"/>
          <w:bCs/>
          <w:color w:val="000000" w:themeColor="text1"/>
          <w:lang w:val="en-AU"/>
        </w:rPr>
        <w:t>.</w:t>
      </w:r>
    </w:p>
    <w:p w14:paraId="15A9E0C5" w14:textId="77777777" w:rsidR="00F50D3D" w:rsidRPr="00AF2BF6" w:rsidRDefault="00C56D2F" w:rsidP="00450D1E">
      <w:pPr>
        <w:pStyle w:val="Heading4"/>
      </w:pPr>
      <w:r w:rsidRPr="00AF2BF6">
        <w:t>Hepatic impairment</w:t>
      </w:r>
    </w:p>
    <w:p w14:paraId="15A9E0C7" w14:textId="6F9043EE" w:rsidR="00F50D3D" w:rsidRPr="00AF2BF6" w:rsidRDefault="00C56D2F" w:rsidP="00DB31B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No dose adjustment is required in patients with mild or moderate hepatic impairment (Child Pugh class A or B). </w:t>
      </w:r>
      <w:r w:rsidR="00E21529">
        <w:rPr>
          <w:rFonts w:asciiTheme="minorHAnsi" w:eastAsiaTheme="minorHAnsi" w:hAnsiTheme="minorHAnsi" w:cs="Arial"/>
          <w:bCs/>
          <w:color w:val="000000" w:themeColor="text1"/>
          <w:lang w:val="en-AU"/>
        </w:rPr>
        <w:t>N</w:t>
      </w:r>
      <w:r w:rsidR="00F555E7">
        <w:rPr>
          <w:rFonts w:asciiTheme="minorHAnsi" w:eastAsiaTheme="minorHAnsi" w:hAnsiTheme="minorHAnsi" w:cs="Arial"/>
          <w:bCs/>
          <w:color w:val="000000" w:themeColor="text1"/>
          <w:lang w:val="en-AU"/>
        </w:rPr>
        <w:t>o studies have been conducted in</w:t>
      </w:r>
      <w:r w:rsidR="00E21529">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patients with severe hepatic impairment (Child Pugh class C)</w:t>
      </w:r>
      <w:r w:rsidR="00E21529" w:rsidRPr="00E21529">
        <w:rPr>
          <w:rFonts w:asciiTheme="minorHAnsi" w:eastAsiaTheme="minorHAnsi" w:hAnsiTheme="minorHAnsi" w:cs="Arial"/>
          <w:bCs/>
          <w:color w:val="000000" w:themeColor="text1"/>
          <w:lang w:val="en-AU"/>
        </w:rPr>
        <w:t xml:space="preserve"> </w:t>
      </w:r>
      <w:r w:rsidR="00E21529">
        <w:rPr>
          <w:rFonts w:asciiTheme="minorHAnsi" w:eastAsiaTheme="minorHAnsi" w:hAnsiTheme="minorHAnsi" w:cs="Arial"/>
          <w:bCs/>
          <w:color w:val="000000" w:themeColor="text1"/>
          <w:lang w:val="en-AU"/>
        </w:rPr>
        <w:t>and a</w:t>
      </w:r>
      <w:r w:rsidR="00E21529" w:rsidRPr="00AF2BF6">
        <w:rPr>
          <w:rFonts w:asciiTheme="minorHAnsi" w:eastAsiaTheme="minorHAnsi" w:hAnsiTheme="minorHAnsi" w:cs="Arial"/>
          <w:bCs/>
          <w:color w:val="000000" w:themeColor="text1"/>
          <w:lang w:val="en-AU"/>
        </w:rPr>
        <w:t xml:space="preserve"> recommended dose has not been determined </w:t>
      </w:r>
      <w:r w:rsidR="00E21529">
        <w:rPr>
          <w:rFonts w:asciiTheme="minorHAnsi" w:eastAsiaTheme="minorHAnsi" w:hAnsiTheme="minorHAnsi" w:cs="Arial"/>
          <w:bCs/>
          <w:color w:val="000000" w:themeColor="text1"/>
          <w:lang w:val="en-AU"/>
        </w:rPr>
        <w:t>in this population.</w:t>
      </w:r>
      <w:r w:rsidRPr="00AF2BF6">
        <w:rPr>
          <w:rFonts w:asciiTheme="minorHAnsi" w:eastAsiaTheme="minorHAnsi" w:hAnsiTheme="minorHAnsi" w:cs="Arial"/>
          <w:bCs/>
          <w:color w:val="000000" w:themeColor="text1"/>
          <w:lang w:val="en-AU"/>
        </w:rPr>
        <w:t xml:space="preserve"> </w:t>
      </w:r>
      <w:r w:rsidR="000D0AB3">
        <w:rPr>
          <w:rFonts w:asciiTheme="minorHAnsi" w:eastAsiaTheme="minorHAnsi" w:hAnsiTheme="minorHAnsi" w:cs="Arial"/>
          <w:bCs/>
          <w:color w:val="000000" w:themeColor="text1"/>
          <w:lang w:val="en-AU"/>
        </w:rPr>
        <w:t>S</w:t>
      </w:r>
      <w:r w:rsidRPr="00AF2BF6">
        <w:rPr>
          <w:rFonts w:asciiTheme="minorHAnsi" w:eastAsiaTheme="minorHAnsi" w:hAnsiTheme="minorHAnsi" w:cs="Arial"/>
          <w:bCs/>
          <w:color w:val="000000" w:themeColor="text1"/>
          <w:lang w:val="en-AU"/>
        </w:rPr>
        <w:t xml:space="preserve">ee </w:t>
      </w:r>
      <w:r w:rsidRPr="00AF2BF6">
        <w:rPr>
          <w:rFonts w:asciiTheme="minorHAnsi" w:eastAsiaTheme="minorHAnsi" w:hAnsiTheme="minorHAnsi" w:cs="Arial"/>
          <w:bCs/>
          <w:i/>
          <w:iCs/>
          <w:color w:val="000000" w:themeColor="text1"/>
          <w:lang w:val="en-AU"/>
        </w:rPr>
        <w:t>sections 4.4</w:t>
      </w:r>
      <w:r w:rsidR="002E6F2F" w:rsidRPr="00AF2BF6">
        <w:rPr>
          <w:rFonts w:asciiTheme="minorHAnsi" w:eastAsiaTheme="minorHAnsi" w:hAnsiTheme="minorHAnsi" w:cs="Arial"/>
          <w:bCs/>
          <w:i/>
          <w:iCs/>
          <w:color w:val="000000" w:themeColor="text1"/>
          <w:lang w:val="en-AU"/>
        </w:rPr>
        <w:t xml:space="preserve"> - Special warnings and precautions for use</w:t>
      </w:r>
      <w:r w:rsidRPr="00AF2BF6">
        <w:rPr>
          <w:rFonts w:asciiTheme="minorHAnsi" w:eastAsiaTheme="minorHAnsi" w:hAnsiTheme="minorHAnsi" w:cs="Arial"/>
          <w:bCs/>
          <w:color w:val="000000" w:themeColor="text1"/>
          <w:lang w:val="en-AU"/>
        </w:rPr>
        <w:t xml:space="preserve"> and </w:t>
      </w:r>
      <w:r w:rsidRPr="00AF2BF6">
        <w:rPr>
          <w:rFonts w:asciiTheme="minorHAnsi" w:eastAsiaTheme="minorHAnsi" w:hAnsiTheme="minorHAnsi" w:cs="Arial"/>
          <w:bCs/>
          <w:i/>
          <w:iCs/>
          <w:color w:val="000000" w:themeColor="text1"/>
          <w:lang w:val="en-AU"/>
        </w:rPr>
        <w:t>5.2</w:t>
      </w:r>
      <w:r w:rsidR="003028CF" w:rsidRPr="00AF2BF6">
        <w:rPr>
          <w:rFonts w:asciiTheme="minorHAnsi" w:hAnsiTheme="minorHAnsi" w:cstheme="minorHAnsi"/>
          <w:i/>
          <w:iCs/>
          <w:color w:val="000000"/>
          <w:lang w:val="en-AU"/>
        </w:rPr>
        <w:t xml:space="preserve"> - </w:t>
      </w:r>
      <w:r w:rsidR="003028CF" w:rsidRPr="00AF2BF6">
        <w:rPr>
          <w:rFonts w:asciiTheme="minorHAnsi" w:hAnsiTheme="minorHAnsi" w:cstheme="minorHAnsi"/>
          <w:i/>
          <w:iCs/>
          <w:lang w:val="en-AU"/>
        </w:rPr>
        <w:t>Pharmacokinetic properties</w:t>
      </w:r>
      <w:r w:rsidRPr="00AF2BF6">
        <w:rPr>
          <w:rFonts w:asciiTheme="minorHAnsi" w:eastAsiaTheme="minorHAnsi" w:hAnsiTheme="minorHAnsi" w:cs="Arial"/>
          <w:bCs/>
          <w:color w:val="000000" w:themeColor="text1"/>
          <w:lang w:val="en-AU"/>
        </w:rPr>
        <w:t>.</w:t>
      </w:r>
    </w:p>
    <w:p w14:paraId="7D9D1C42" w14:textId="4C5FA35E" w:rsidR="00942741" w:rsidRPr="00AF2BF6" w:rsidRDefault="00942741" w:rsidP="00450D1E">
      <w:pPr>
        <w:pStyle w:val="Heading4"/>
      </w:pPr>
      <w:r w:rsidRPr="00AF2BF6">
        <w:t>Elderly</w:t>
      </w:r>
      <w:r>
        <w:t xml:space="preserve"> </w:t>
      </w:r>
      <w:r w:rsidR="00BB6EBD">
        <w:t>population</w:t>
      </w:r>
    </w:p>
    <w:p w14:paraId="0F51FA4E" w14:textId="77777777" w:rsidR="00942741" w:rsidRPr="00AF2BF6" w:rsidRDefault="00942741" w:rsidP="0094274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No dose adjustment is required in elderly patients (≥65 years old</w:t>
      </w:r>
      <w:r>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see </w:t>
      </w:r>
      <w:r w:rsidRPr="00AF2BF6">
        <w:rPr>
          <w:rFonts w:asciiTheme="minorHAnsi" w:eastAsiaTheme="minorHAnsi" w:hAnsiTheme="minorHAnsi" w:cs="Arial"/>
          <w:bCs/>
          <w:i/>
          <w:iCs/>
          <w:color w:val="000000" w:themeColor="text1"/>
          <w:lang w:val="en-AU"/>
        </w:rPr>
        <w:t>sections 4.8</w:t>
      </w:r>
      <w:r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i/>
          <w:iCs/>
          <w:color w:val="000000" w:themeColor="text1"/>
          <w:lang w:val="en-AU"/>
        </w:rPr>
        <w:t xml:space="preserve"> - Adverse effects (Undesirable effects)</w:t>
      </w:r>
      <w:r w:rsidRPr="00AF2BF6">
        <w:rPr>
          <w:rFonts w:asciiTheme="minorHAnsi" w:eastAsiaTheme="minorHAnsi" w:hAnsiTheme="minorHAnsi" w:cs="Arial"/>
          <w:bCs/>
          <w:color w:val="000000" w:themeColor="text1"/>
          <w:lang w:val="en-AU"/>
        </w:rPr>
        <w:t xml:space="preserve"> and </w:t>
      </w:r>
      <w:r w:rsidRPr="00AF2BF6">
        <w:rPr>
          <w:rFonts w:asciiTheme="minorHAnsi" w:eastAsiaTheme="minorHAnsi" w:hAnsiTheme="minorHAnsi" w:cs="Arial"/>
          <w:bCs/>
          <w:i/>
          <w:iCs/>
          <w:color w:val="000000" w:themeColor="text1"/>
          <w:lang w:val="en-AU"/>
        </w:rPr>
        <w:t>5.2</w:t>
      </w:r>
      <w:r w:rsidRPr="00AF2BF6">
        <w:rPr>
          <w:rFonts w:asciiTheme="minorHAnsi" w:hAnsiTheme="minorHAnsi" w:cstheme="minorHAnsi"/>
          <w:i/>
          <w:iCs/>
          <w:color w:val="000000"/>
          <w:lang w:val="en-AU"/>
        </w:rPr>
        <w:t xml:space="preserve"> - </w:t>
      </w:r>
      <w:r w:rsidRPr="00AF2BF6">
        <w:rPr>
          <w:rFonts w:asciiTheme="minorHAnsi" w:hAnsiTheme="minorHAnsi" w:cstheme="minorHAnsi"/>
          <w:i/>
          <w:iCs/>
          <w:lang w:val="en-AU"/>
        </w:rPr>
        <w:t>Pharmacokinetic properties</w:t>
      </w:r>
      <w:r w:rsidRPr="00AF2BF6">
        <w:rPr>
          <w:rFonts w:asciiTheme="minorHAnsi" w:eastAsiaTheme="minorHAnsi" w:hAnsiTheme="minorHAnsi" w:cs="Arial"/>
          <w:bCs/>
          <w:color w:val="000000" w:themeColor="text1"/>
          <w:lang w:val="en-AU"/>
        </w:rPr>
        <w:t>).</w:t>
      </w:r>
    </w:p>
    <w:p w14:paraId="15A9E0C9" w14:textId="77777777" w:rsidR="00F50D3D" w:rsidRPr="00AF2BF6" w:rsidRDefault="00C56D2F" w:rsidP="00450D1E">
      <w:pPr>
        <w:pStyle w:val="Heading4"/>
      </w:pPr>
      <w:r w:rsidRPr="00AF2BF6">
        <w:t>Paediatric population</w:t>
      </w:r>
    </w:p>
    <w:p w14:paraId="15A9E0CB" w14:textId="58760912" w:rsidR="00F50D3D" w:rsidRPr="00AF2BF6" w:rsidRDefault="00C56D2F" w:rsidP="00DB31B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No data are available.</w:t>
      </w:r>
      <w:r w:rsidR="00BB6EBD">
        <w:rPr>
          <w:rFonts w:asciiTheme="minorHAnsi" w:eastAsiaTheme="minorHAnsi" w:hAnsiTheme="minorHAnsi" w:cs="Arial"/>
          <w:bCs/>
          <w:color w:val="000000" w:themeColor="text1"/>
          <w:lang w:val="en-AU"/>
        </w:rPr>
        <w:t xml:space="preserve"> S</w:t>
      </w:r>
      <w:r w:rsidR="00BB6EBD" w:rsidRPr="00AF2BF6">
        <w:rPr>
          <w:rFonts w:asciiTheme="minorHAnsi" w:eastAsiaTheme="minorHAnsi" w:hAnsiTheme="minorHAnsi" w:cs="Arial"/>
          <w:bCs/>
          <w:color w:val="000000" w:themeColor="text1"/>
          <w:lang w:val="en-AU"/>
        </w:rPr>
        <w:t xml:space="preserve">ee </w:t>
      </w:r>
      <w:r w:rsidR="00BB6EBD" w:rsidRPr="00AF2BF6">
        <w:rPr>
          <w:rFonts w:asciiTheme="minorHAnsi" w:eastAsiaTheme="minorHAnsi" w:hAnsiTheme="minorHAnsi" w:cs="Arial"/>
          <w:bCs/>
          <w:i/>
          <w:iCs/>
          <w:color w:val="000000" w:themeColor="text1"/>
          <w:lang w:val="en-AU"/>
        </w:rPr>
        <w:t>section 4.4 - Special warnings and precautions for use</w:t>
      </w:r>
      <w:r w:rsidR="00BB6EBD">
        <w:rPr>
          <w:rFonts w:asciiTheme="minorHAnsi" w:eastAsiaTheme="minorHAnsi" w:hAnsiTheme="minorHAnsi" w:cs="Arial"/>
          <w:bCs/>
          <w:i/>
          <w:iCs/>
          <w:color w:val="000000" w:themeColor="text1"/>
          <w:lang w:val="en-AU"/>
        </w:rPr>
        <w:t>.</w:t>
      </w:r>
    </w:p>
    <w:p w14:paraId="15A9E0D6" w14:textId="77777777" w:rsidR="00F50D3D" w:rsidRPr="00AF2BF6" w:rsidRDefault="00C56D2F" w:rsidP="00621FF9">
      <w:pPr>
        <w:pStyle w:val="Heading2"/>
        <w:numPr>
          <w:ilvl w:val="1"/>
          <w:numId w:val="6"/>
        </w:numPr>
      </w:pPr>
      <w:r w:rsidRPr="00AF2BF6">
        <w:lastRenderedPageBreak/>
        <w:t>Contraindications</w:t>
      </w:r>
    </w:p>
    <w:p w14:paraId="2216659D" w14:textId="3B64DE0E" w:rsidR="0027374F" w:rsidRPr="00AF2BF6" w:rsidRDefault="00C56D2F" w:rsidP="0027374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Hypersensitivity to the active substance or to any of the excipients listed in </w:t>
      </w:r>
      <w:r w:rsidRPr="00AF2BF6">
        <w:rPr>
          <w:rFonts w:asciiTheme="minorHAnsi" w:eastAsiaTheme="minorHAnsi" w:hAnsiTheme="minorHAnsi" w:cs="Arial"/>
          <w:bCs/>
          <w:i/>
          <w:iCs/>
          <w:color w:val="000000" w:themeColor="text1"/>
          <w:lang w:val="en-AU"/>
        </w:rPr>
        <w:t>section 6.</w:t>
      </w:r>
      <w:r w:rsidR="0027374F" w:rsidRPr="00AF2BF6">
        <w:rPr>
          <w:rFonts w:asciiTheme="minorHAnsi" w:eastAsiaTheme="minorHAnsi" w:hAnsiTheme="minorHAnsi" w:cs="Arial"/>
          <w:bCs/>
          <w:i/>
          <w:iCs/>
          <w:color w:val="000000" w:themeColor="text1"/>
          <w:lang w:val="en-AU"/>
        </w:rPr>
        <w:t>1 - List of excipients</w:t>
      </w:r>
      <w:r w:rsidRPr="00AF2BF6">
        <w:rPr>
          <w:rFonts w:asciiTheme="minorHAnsi" w:eastAsiaTheme="minorHAnsi" w:hAnsiTheme="minorHAnsi" w:cs="Arial"/>
          <w:bCs/>
          <w:color w:val="000000" w:themeColor="text1"/>
          <w:lang w:val="en-AU"/>
        </w:rPr>
        <w:t>.</w:t>
      </w:r>
    </w:p>
    <w:p w14:paraId="15A9E0D9" w14:textId="77777777" w:rsidR="00F50D3D" w:rsidRPr="00AF2BF6" w:rsidRDefault="00C56D2F" w:rsidP="00621FF9">
      <w:pPr>
        <w:pStyle w:val="Heading2"/>
        <w:numPr>
          <w:ilvl w:val="1"/>
          <w:numId w:val="6"/>
        </w:numPr>
      </w:pPr>
      <w:r w:rsidRPr="00AF2BF6">
        <w:t>Special warnings and precautions for use</w:t>
      </w:r>
    </w:p>
    <w:p w14:paraId="15A9E0E4" w14:textId="6A593D47" w:rsidR="00F50D3D" w:rsidRPr="00AF2BF6" w:rsidRDefault="00C56D2F" w:rsidP="00450D1E">
      <w:pPr>
        <w:pStyle w:val="Heading4"/>
      </w:pPr>
      <w:bookmarkStart w:id="1" w:name="_Ref124510136"/>
      <w:r w:rsidRPr="00AF2BF6">
        <w:t>QTc interval prolongation</w:t>
      </w:r>
      <w:bookmarkEnd w:id="1"/>
      <w:r w:rsidR="00373F89">
        <w:t xml:space="preserve"> </w:t>
      </w:r>
    </w:p>
    <w:p w14:paraId="15A9E0E7" w14:textId="1E19D11D" w:rsidR="00F50D3D" w:rsidRPr="00AF2BF6" w:rsidRDefault="008C510B" w:rsidP="0027374F">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 xml:space="preserve">Ivosidenib causes </w:t>
      </w:r>
      <w:r w:rsidR="00C56D2F" w:rsidRPr="00AF2BF6">
        <w:rPr>
          <w:rFonts w:asciiTheme="minorHAnsi" w:eastAsiaTheme="minorHAnsi" w:hAnsiTheme="minorHAnsi" w:cs="Arial"/>
          <w:bCs/>
          <w:color w:val="000000" w:themeColor="text1"/>
          <w:lang w:val="en-AU"/>
        </w:rPr>
        <w:t xml:space="preserve">prolongation </w:t>
      </w:r>
      <w:r>
        <w:rPr>
          <w:rFonts w:asciiTheme="minorHAnsi" w:eastAsiaTheme="minorHAnsi" w:hAnsiTheme="minorHAnsi" w:cs="Arial"/>
          <w:bCs/>
          <w:color w:val="000000" w:themeColor="text1"/>
          <w:lang w:val="en-AU"/>
        </w:rPr>
        <w:t xml:space="preserve">of the </w:t>
      </w:r>
      <w:r w:rsidRPr="00AF2BF6">
        <w:rPr>
          <w:rFonts w:asciiTheme="minorHAnsi" w:eastAsiaTheme="minorHAnsi" w:hAnsiTheme="minorHAnsi" w:cs="Arial"/>
          <w:bCs/>
          <w:color w:val="000000" w:themeColor="text1"/>
          <w:lang w:val="en-AU"/>
        </w:rPr>
        <w:t>QTc interval</w:t>
      </w:r>
      <w:r w:rsidR="000D0AB3">
        <w:rPr>
          <w:rFonts w:asciiTheme="minorHAnsi" w:eastAsiaTheme="minorHAnsi" w:hAnsiTheme="minorHAnsi" w:cs="Arial"/>
          <w:bCs/>
          <w:color w:val="000000" w:themeColor="text1"/>
          <w:lang w:val="en-AU"/>
        </w:rPr>
        <w:t xml:space="preserve">, </w:t>
      </w:r>
      <w:r w:rsidRPr="008C510B">
        <w:rPr>
          <w:rFonts w:asciiTheme="minorHAnsi" w:eastAsiaTheme="minorHAnsi" w:hAnsiTheme="minorHAnsi" w:cs="Arial"/>
          <w:bCs/>
          <w:color w:val="000000" w:themeColor="text1"/>
          <w:lang w:val="en-AU"/>
        </w:rPr>
        <w:t xml:space="preserve">and ventricular arrhythmias </w:t>
      </w:r>
      <w:r w:rsidR="00C56D2F" w:rsidRPr="00AF2BF6">
        <w:rPr>
          <w:rFonts w:asciiTheme="minorHAnsi" w:eastAsiaTheme="minorHAnsi" w:hAnsiTheme="minorHAnsi" w:cs="Arial"/>
          <w:bCs/>
          <w:color w:val="000000" w:themeColor="text1"/>
          <w:lang w:val="en-AU"/>
        </w:rPr>
        <w:t>ha</w:t>
      </w:r>
      <w:r>
        <w:rPr>
          <w:rFonts w:asciiTheme="minorHAnsi" w:eastAsiaTheme="minorHAnsi" w:hAnsiTheme="minorHAnsi" w:cs="Arial"/>
          <w:bCs/>
          <w:color w:val="000000" w:themeColor="text1"/>
          <w:lang w:val="en-AU"/>
        </w:rPr>
        <w:t>ve</w:t>
      </w:r>
      <w:r w:rsidR="00C56D2F" w:rsidRPr="00AF2BF6">
        <w:rPr>
          <w:rFonts w:asciiTheme="minorHAnsi" w:eastAsiaTheme="minorHAnsi" w:hAnsiTheme="minorHAnsi" w:cs="Arial"/>
          <w:bCs/>
          <w:color w:val="000000" w:themeColor="text1"/>
          <w:lang w:val="en-AU"/>
        </w:rPr>
        <w:t xml:space="preserve"> been reported following treatment with ivosidenib </w:t>
      </w:r>
      <w:r w:rsidR="000D0AB3">
        <w:rPr>
          <w:rFonts w:asciiTheme="minorHAnsi" w:eastAsiaTheme="minorHAnsi" w:hAnsiTheme="minorHAnsi" w:cs="Arial"/>
          <w:bCs/>
          <w:color w:val="000000" w:themeColor="text1"/>
          <w:lang w:val="en-AU"/>
        </w:rPr>
        <w:t xml:space="preserve">in patients with haematological malignancies </w:t>
      </w:r>
      <w:r w:rsidR="00C56D2F" w:rsidRPr="00AF2BF6">
        <w:rPr>
          <w:rFonts w:asciiTheme="minorHAnsi" w:eastAsiaTheme="minorHAnsi" w:hAnsiTheme="minorHAnsi" w:cs="Arial"/>
          <w:bCs/>
          <w:color w:val="000000" w:themeColor="text1"/>
          <w:lang w:val="en-AU"/>
        </w:rPr>
        <w:t xml:space="preserve">(see </w:t>
      </w:r>
      <w:r w:rsidR="00C56D2F" w:rsidRPr="00AF2BF6">
        <w:rPr>
          <w:rFonts w:asciiTheme="minorHAnsi" w:eastAsiaTheme="minorHAnsi" w:hAnsiTheme="minorHAnsi" w:cs="Arial"/>
          <w:bCs/>
          <w:i/>
          <w:iCs/>
          <w:color w:val="000000" w:themeColor="text1"/>
          <w:lang w:val="en-AU"/>
        </w:rPr>
        <w:t>section</w:t>
      </w:r>
      <w:r>
        <w:rPr>
          <w:rFonts w:asciiTheme="minorHAnsi" w:eastAsiaTheme="minorHAnsi" w:hAnsiTheme="minorHAnsi" w:cs="Arial"/>
          <w:bCs/>
          <w:i/>
          <w:iCs/>
          <w:color w:val="000000" w:themeColor="text1"/>
          <w:lang w:val="en-AU"/>
        </w:rPr>
        <w:t xml:space="preserve">s </w:t>
      </w:r>
      <w:r w:rsidRPr="008C510B">
        <w:rPr>
          <w:rFonts w:asciiTheme="minorHAnsi" w:eastAsiaTheme="minorHAnsi" w:hAnsiTheme="minorHAnsi" w:cs="Arial"/>
          <w:bCs/>
          <w:i/>
          <w:iCs/>
          <w:color w:val="000000" w:themeColor="text1"/>
          <w:lang w:val="en-AU"/>
        </w:rPr>
        <w:t>5.1 - Pharmacodynamic properties and</w:t>
      </w:r>
      <w:r w:rsidR="00C56D2F" w:rsidRPr="00AF2BF6">
        <w:rPr>
          <w:rFonts w:asciiTheme="minorHAnsi" w:eastAsiaTheme="minorHAnsi" w:hAnsiTheme="minorHAnsi" w:cs="Arial"/>
          <w:bCs/>
          <w:i/>
          <w:iCs/>
          <w:color w:val="000000" w:themeColor="text1"/>
          <w:lang w:val="en-AU"/>
        </w:rPr>
        <w:t xml:space="preserve"> 4.8</w:t>
      </w:r>
      <w:r w:rsidR="00CB46CD" w:rsidRPr="00AF2BF6">
        <w:rPr>
          <w:rFonts w:asciiTheme="minorHAnsi" w:eastAsiaTheme="minorHAnsi" w:hAnsiTheme="minorHAnsi" w:cs="Arial"/>
          <w:bCs/>
          <w:i/>
          <w:iCs/>
          <w:color w:val="000000" w:themeColor="text1"/>
          <w:lang w:val="en-AU"/>
        </w:rPr>
        <w:t xml:space="preserve"> - Adverse effects (Undesirable effects)</w:t>
      </w:r>
      <w:r w:rsidR="00C56D2F" w:rsidRPr="00AF2BF6">
        <w:rPr>
          <w:rFonts w:asciiTheme="minorHAnsi" w:eastAsiaTheme="minorHAnsi" w:hAnsiTheme="minorHAnsi" w:cs="Arial"/>
          <w:bCs/>
          <w:color w:val="000000" w:themeColor="text1"/>
          <w:lang w:val="en-AU"/>
        </w:rPr>
        <w:t xml:space="preserve">). </w:t>
      </w:r>
      <w:r w:rsidR="000D0AB3">
        <w:rPr>
          <w:rFonts w:asciiTheme="minorHAnsi" w:eastAsiaTheme="minorHAnsi" w:hAnsiTheme="minorHAnsi" w:cs="Arial"/>
          <w:bCs/>
          <w:color w:val="000000" w:themeColor="text1"/>
          <w:lang w:val="en-AU"/>
        </w:rPr>
        <w:t>Perform a</w:t>
      </w:r>
      <w:r w:rsidR="00C56D2F" w:rsidRPr="00AF2BF6">
        <w:rPr>
          <w:rFonts w:asciiTheme="minorHAnsi" w:eastAsiaTheme="minorHAnsi" w:hAnsiTheme="minorHAnsi" w:cs="Arial"/>
          <w:bCs/>
          <w:color w:val="000000" w:themeColor="text1"/>
          <w:lang w:val="en-AU"/>
        </w:rPr>
        <w:t>n ECG  prior to treatment initiation, at least weekly during the first 3 weeks of therapy and at least monthly thereafter</w:t>
      </w:r>
      <w:r w:rsidR="000D0AB3">
        <w:rPr>
          <w:rFonts w:asciiTheme="minorHAnsi" w:eastAsiaTheme="minorHAnsi" w:hAnsiTheme="minorHAnsi" w:cs="Arial"/>
          <w:bCs/>
          <w:color w:val="000000" w:themeColor="text1"/>
          <w:lang w:val="en-AU"/>
        </w:rPr>
        <w:t>,</w:t>
      </w:r>
      <w:r>
        <w:rPr>
          <w:rFonts w:asciiTheme="minorHAnsi" w:eastAsiaTheme="minorHAnsi" w:hAnsiTheme="minorHAnsi" w:cs="Arial"/>
          <w:bCs/>
          <w:color w:val="000000" w:themeColor="text1"/>
          <w:lang w:val="en-AU"/>
        </w:rPr>
        <w:t xml:space="preserve"> and </w:t>
      </w:r>
      <w:r w:rsidR="000D0AB3">
        <w:rPr>
          <w:rFonts w:asciiTheme="minorHAnsi" w:eastAsiaTheme="minorHAnsi" w:hAnsiTheme="minorHAnsi" w:cs="Arial"/>
          <w:bCs/>
          <w:color w:val="000000" w:themeColor="text1"/>
          <w:lang w:val="en-AU"/>
        </w:rPr>
        <w:t xml:space="preserve">monitor </w:t>
      </w:r>
      <w:r>
        <w:rPr>
          <w:rFonts w:asciiTheme="minorHAnsi" w:eastAsiaTheme="minorHAnsi" w:hAnsiTheme="minorHAnsi" w:cs="Arial"/>
          <w:bCs/>
          <w:color w:val="000000" w:themeColor="text1"/>
          <w:lang w:val="en-AU"/>
        </w:rPr>
        <w:t>electrolytes</w:t>
      </w:r>
      <w:r w:rsidR="00C56D2F" w:rsidRPr="00AF2BF6">
        <w:rPr>
          <w:rFonts w:asciiTheme="minorHAnsi" w:eastAsiaTheme="minorHAnsi" w:hAnsiTheme="minorHAnsi" w:cs="Arial"/>
          <w:bCs/>
          <w:color w:val="000000" w:themeColor="text1"/>
          <w:lang w:val="en-AU"/>
        </w:rPr>
        <w:t xml:space="preserve">. </w:t>
      </w:r>
      <w:r w:rsidR="000D0AB3">
        <w:rPr>
          <w:rFonts w:asciiTheme="minorHAnsi" w:eastAsiaTheme="minorHAnsi" w:hAnsiTheme="minorHAnsi" w:cs="Arial"/>
          <w:bCs/>
          <w:color w:val="000000" w:themeColor="text1"/>
          <w:lang w:val="en-AU"/>
        </w:rPr>
        <w:t>Manage a</w:t>
      </w:r>
      <w:r w:rsidR="00C56D2F" w:rsidRPr="00AF2BF6">
        <w:rPr>
          <w:rFonts w:asciiTheme="minorHAnsi" w:eastAsiaTheme="minorHAnsi" w:hAnsiTheme="minorHAnsi" w:cs="Arial"/>
          <w:bCs/>
          <w:color w:val="000000" w:themeColor="text1"/>
          <w:lang w:val="en-AU"/>
        </w:rPr>
        <w:t>ny abnormalities promptly</w:t>
      </w:r>
      <w:r w:rsidR="0039647A" w:rsidRPr="00AF2BF6">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 xml:space="preserve">(see </w:t>
      </w:r>
      <w:r w:rsidR="00C56D2F" w:rsidRPr="00AF2BF6">
        <w:rPr>
          <w:rFonts w:asciiTheme="minorHAnsi" w:eastAsiaTheme="minorHAnsi" w:hAnsiTheme="minorHAnsi" w:cs="Arial"/>
          <w:bCs/>
          <w:i/>
          <w:iCs/>
          <w:color w:val="000000" w:themeColor="text1"/>
          <w:lang w:val="en-AU"/>
        </w:rPr>
        <w:t>section 4.2</w:t>
      </w:r>
      <w:r w:rsidR="00AB11D4" w:rsidRPr="00AF2BF6">
        <w:rPr>
          <w:rFonts w:asciiTheme="minorHAnsi" w:eastAsiaTheme="minorHAnsi" w:hAnsiTheme="minorHAnsi" w:cs="Arial"/>
          <w:bCs/>
          <w:i/>
          <w:iCs/>
          <w:color w:val="000000" w:themeColor="text1"/>
          <w:lang w:val="en-AU"/>
        </w:rPr>
        <w:t xml:space="preserve"> -</w:t>
      </w:r>
      <w:r w:rsidR="00860C53" w:rsidRPr="00AF2BF6">
        <w:rPr>
          <w:rFonts w:asciiTheme="minorHAnsi" w:eastAsiaTheme="minorHAnsi" w:hAnsiTheme="minorHAnsi" w:cs="Arial"/>
          <w:bCs/>
          <w:i/>
          <w:iCs/>
          <w:color w:val="000000" w:themeColor="text1"/>
          <w:lang w:val="en-AU"/>
        </w:rPr>
        <w:t xml:space="preserve"> </w:t>
      </w:r>
      <w:r>
        <w:rPr>
          <w:rFonts w:asciiTheme="minorHAnsi" w:eastAsiaTheme="minorHAnsi" w:hAnsiTheme="minorHAnsi" w:cs="Arial"/>
          <w:bCs/>
          <w:i/>
          <w:iCs/>
          <w:color w:val="000000" w:themeColor="text1"/>
          <w:lang w:val="en-AU"/>
        </w:rPr>
        <w:t>Dose</w:t>
      </w:r>
      <w:r w:rsidR="00860C53" w:rsidRPr="00AF2BF6">
        <w:rPr>
          <w:rFonts w:asciiTheme="minorHAnsi" w:eastAsiaTheme="minorHAnsi" w:hAnsiTheme="minorHAnsi" w:cs="Arial"/>
          <w:bCs/>
          <w:i/>
          <w:iCs/>
          <w:color w:val="000000" w:themeColor="text1"/>
          <w:lang w:val="en-AU"/>
        </w:rPr>
        <w:t xml:space="preserve"> and method of administration</w:t>
      </w:r>
      <w:r w:rsidR="00C56D2F" w:rsidRPr="00AF2BF6">
        <w:rPr>
          <w:rFonts w:asciiTheme="minorHAnsi" w:eastAsiaTheme="minorHAnsi" w:hAnsiTheme="minorHAnsi" w:cs="Arial"/>
          <w:bCs/>
          <w:color w:val="000000" w:themeColor="text1"/>
          <w:lang w:val="en-AU"/>
        </w:rPr>
        <w:t>).</w:t>
      </w:r>
    </w:p>
    <w:p w14:paraId="15A9E0E8" w14:textId="13FC9719" w:rsidR="00F50D3D" w:rsidRPr="00AF2BF6" w:rsidRDefault="000D0AB3" w:rsidP="0027374F">
      <w:pPr>
        <w:widowControl/>
        <w:autoSpaceDE/>
        <w:autoSpaceDN/>
        <w:spacing w:after="200" w:line="276" w:lineRule="auto"/>
        <w:rPr>
          <w:rFonts w:asciiTheme="minorHAnsi" w:eastAsiaTheme="minorHAnsi" w:hAnsiTheme="minorHAnsi" w:cs="Arial"/>
          <w:bCs/>
          <w:color w:val="000000" w:themeColor="text1"/>
          <w:lang w:val="en-AU"/>
        </w:rPr>
      </w:pPr>
      <w:bookmarkStart w:id="2" w:name="_Hlk120021137"/>
      <w:r>
        <w:rPr>
          <w:rFonts w:asciiTheme="minorHAnsi" w:eastAsiaTheme="minorHAnsi" w:hAnsiTheme="minorHAnsi" w:cs="Arial"/>
          <w:bCs/>
          <w:color w:val="000000" w:themeColor="text1"/>
          <w:lang w:val="en-AU"/>
        </w:rPr>
        <w:t>Avoid c</w:t>
      </w:r>
      <w:r w:rsidR="00C56D2F" w:rsidRPr="00AF2BF6">
        <w:rPr>
          <w:rFonts w:asciiTheme="minorHAnsi" w:eastAsiaTheme="minorHAnsi" w:hAnsiTheme="minorHAnsi" w:cs="Arial"/>
          <w:bCs/>
          <w:color w:val="000000" w:themeColor="text1"/>
          <w:lang w:val="en-AU"/>
        </w:rPr>
        <w:t>oncomitant administration of medicin</w:t>
      </w:r>
      <w:r w:rsidR="002D7C11" w:rsidRPr="00AF2BF6">
        <w:rPr>
          <w:rFonts w:asciiTheme="minorHAnsi" w:eastAsiaTheme="minorHAnsi" w:hAnsiTheme="minorHAnsi" w:cs="Arial"/>
          <w:bCs/>
          <w:color w:val="000000" w:themeColor="text1"/>
          <w:lang w:val="en-AU"/>
        </w:rPr>
        <w:t>es</w:t>
      </w:r>
      <w:r w:rsidR="00C56D2F" w:rsidRPr="00AF2BF6">
        <w:rPr>
          <w:rFonts w:asciiTheme="minorHAnsi" w:eastAsiaTheme="minorHAnsi" w:hAnsiTheme="minorHAnsi" w:cs="Arial"/>
          <w:bCs/>
          <w:color w:val="000000" w:themeColor="text1"/>
          <w:lang w:val="en-AU"/>
        </w:rPr>
        <w:t xml:space="preserve"> known to prolong the QTc interval</w:t>
      </w:r>
      <w:r w:rsidR="00567C80">
        <w:rPr>
          <w:rFonts w:asciiTheme="minorHAnsi" w:eastAsiaTheme="minorHAnsi" w:hAnsiTheme="minorHAnsi" w:cs="Arial"/>
          <w:bCs/>
          <w:color w:val="000000" w:themeColor="text1"/>
          <w:lang w:val="en-AU"/>
        </w:rPr>
        <w:t xml:space="preserve"> </w:t>
      </w:r>
      <w:r w:rsidR="00567C80" w:rsidRPr="00B0167A">
        <w:rPr>
          <w:rFonts w:asciiTheme="minorHAnsi" w:eastAsiaTheme="minorHAnsi" w:hAnsiTheme="minorHAnsi" w:cs="Arial"/>
          <w:bCs/>
          <w:color w:val="000000" w:themeColor="text1"/>
          <w:lang w:val="en-AU"/>
        </w:rPr>
        <w:t>(e.g. anti-arrhythmics, fluoroquinolones, 5-HT3 receptor antagonists, triazole antifungals)</w:t>
      </w:r>
      <w:r w:rsidR="00C56D2F" w:rsidRPr="00AF2BF6">
        <w:rPr>
          <w:rFonts w:asciiTheme="minorHAnsi" w:eastAsiaTheme="minorHAnsi" w:hAnsiTheme="minorHAnsi" w:cs="Arial"/>
          <w:bCs/>
          <w:color w:val="000000" w:themeColor="text1"/>
          <w:lang w:val="en-AU"/>
        </w:rPr>
        <w:t>, or moderate or strong CYP3A4 inhibitors</w:t>
      </w:r>
      <w:r>
        <w:rPr>
          <w:rFonts w:asciiTheme="minorHAnsi" w:eastAsiaTheme="minorHAnsi" w:hAnsiTheme="minorHAnsi" w:cs="Arial"/>
          <w:bCs/>
          <w:color w:val="000000" w:themeColor="text1"/>
          <w:lang w:val="en-AU"/>
        </w:rPr>
        <w:t>, as these</w:t>
      </w:r>
      <w:r w:rsidR="00C56D2F" w:rsidRPr="00AF2BF6">
        <w:rPr>
          <w:rFonts w:asciiTheme="minorHAnsi" w:eastAsiaTheme="minorHAnsi" w:hAnsiTheme="minorHAnsi" w:cs="Arial"/>
          <w:bCs/>
          <w:color w:val="000000" w:themeColor="text1"/>
          <w:lang w:val="en-AU"/>
        </w:rPr>
        <w:t xml:space="preserve"> may increase the risk of QTc interval prolongation</w:t>
      </w:r>
      <w:r>
        <w:rPr>
          <w:rFonts w:asciiTheme="minorHAnsi" w:eastAsiaTheme="minorHAnsi" w:hAnsiTheme="minorHAnsi" w:cs="Arial"/>
          <w:bCs/>
          <w:color w:val="000000" w:themeColor="text1"/>
          <w:lang w:val="en-AU"/>
        </w:rPr>
        <w:t xml:space="preserve"> (see </w:t>
      </w:r>
      <w:r>
        <w:rPr>
          <w:rFonts w:asciiTheme="minorHAnsi" w:eastAsiaTheme="minorHAnsi" w:hAnsiTheme="minorHAnsi" w:cs="Arial"/>
          <w:bCs/>
          <w:i/>
          <w:iCs/>
          <w:color w:val="000000" w:themeColor="text1"/>
          <w:lang w:val="en-AU"/>
        </w:rPr>
        <w:t xml:space="preserve">section </w:t>
      </w:r>
      <w:r w:rsidRPr="00AF2BF6">
        <w:rPr>
          <w:rFonts w:asciiTheme="minorHAnsi" w:eastAsiaTheme="minorHAnsi" w:hAnsiTheme="minorHAnsi" w:cs="Arial"/>
          <w:bCs/>
          <w:i/>
          <w:iCs/>
          <w:color w:val="000000" w:themeColor="text1"/>
          <w:lang w:val="en-AU"/>
        </w:rPr>
        <w:t>4.5</w:t>
      </w:r>
      <w:r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i/>
          <w:iCs/>
          <w:color w:val="000000" w:themeColor="text1"/>
          <w:lang w:val="en-AU"/>
        </w:rPr>
        <w:t>- Interactions with other medicines and other forms of interactions</w:t>
      </w:r>
      <w:r w:rsidRPr="00AF2BF6">
        <w:rPr>
          <w:rFonts w:asciiTheme="minorHAnsi" w:eastAsiaTheme="minorHAnsi" w:hAnsiTheme="minorHAnsi" w:cs="Arial"/>
          <w:bCs/>
          <w:color w:val="000000" w:themeColor="text1"/>
          <w:lang w:val="en-AU"/>
        </w:rPr>
        <w:t>).</w:t>
      </w:r>
      <w:r>
        <w:rPr>
          <w:rFonts w:asciiTheme="minorHAnsi" w:eastAsiaTheme="minorHAnsi" w:hAnsiTheme="minorHAnsi" w:cs="Arial"/>
          <w:bCs/>
          <w:color w:val="000000" w:themeColor="text1"/>
          <w:lang w:val="en-AU"/>
        </w:rPr>
        <w:t xml:space="preserve"> </w:t>
      </w:r>
      <w:r w:rsidRPr="000D0AB3">
        <w:rPr>
          <w:rFonts w:asciiTheme="minorHAnsi" w:eastAsiaTheme="minorHAnsi" w:hAnsiTheme="minorHAnsi" w:cs="Arial"/>
          <w:bCs/>
          <w:color w:val="000000" w:themeColor="text1"/>
          <w:lang w:val="en-AU"/>
        </w:rPr>
        <w:t xml:space="preserve">If concomitant use is unavoidable, or for patients with other risk factors (such as congenital long QTc syndrome, congestive heart failure or electrolyte abnormalities), monitor closely, with more frequent ECGs </w:t>
      </w:r>
      <w:r>
        <w:rPr>
          <w:rFonts w:asciiTheme="minorHAnsi" w:eastAsiaTheme="minorHAnsi" w:hAnsiTheme="minorHAnsi" w:cs="Arial"/>
          <w:bCs/>
          <w:color w:val="000000" w:themeColor="text1"/>
          <w:lang w:val="en-AU"/>
        </w:rPr>
        <w:t xml:space="preserve">and regular monitoring of electrolytes </w:t>
      </w:r>
      <w:r w:rsidRPr="000D0AB3">
        <w:rPr>
          <w:rFonts w:asciiTheme="minorHAnsi" w:eastAsiaTheme="minorHAnsi" w:hAnsiTheme="minorHAnsi" w:cs="Arial"/>
          <w:bCs/>
          <w:color w:val="000000" w:themeColor="text1"/>
          <w:lang w:val="en-AU"/>
        </w:rPr>
        <w:t xml:space="preserve">as required. Adjust dosing </w:t>
      </w:r>
      <w:r w:rsidR="00C56D2F" w:rsidRPr="00AF2BF6">
        <w:rPr>
          <w:rFonts w:asciiTheme="minorHAnsi" w:eastAsiaTheme="minorHAnsi" w:hAnsiTheme="minorHAnsi" w:cs="Arial"/>
          <w:bCs/>
          <w:color w:val="000000" w:themeColor="text1"/>
          <w:lang w:val="en-AU"/>
        </w:rPr>
        <w:t xml:space="preserve">if </w:t>
      </w:r>
      <w:r>
        <w:rPr>
          <w:rFonts w:asciiTheme="minorHAnsi" w:eastAsiaTheme="minorHAnsi" w:hAnsiTheme="minorHAnsi" w:cs="Arial"/>
          <w:bCs/>
          <w:color w:val="000000" w:themeColor="text1"/>
          <w:lang w:val="en-AU"/>
        </w:rPr>
        <w:t xml:space="preserve">concomitant </w:t>
      </w:r>
      <w:r w:rsidR="00C56D2F" w:rsidRPr="00AF2BF6">
        <w:rPr>
          <w:rFonts w:asciiTheme="minorHAnsi" w:eastAsiaTheme="minorHAnsi" w:hAnsiTheme="minorHAnsi" w:cs="Arial"/>
          <w:bCs/>
          <w:color w:val="000000" w:themeColor="text1"/>
          <w:lang w:val="en-AU"/>
        </w:rPr>
        <w:t>use of</w:t>
      </w:r>
      <w:r>
        <w:rPr>
          <w:rFonts w:asciiTheme="minorHAnsi" w:eastAsiaTheme="minorHAnsi" w:hAnsiTheme="minorHAnsi" w:cs="Arial"/>
          <w:bCs/>
          <w:color w:val="000000" w:themeColor="text1"/>
          <w:lang w:val="en-AU"/>
        </w:rPr>
        <w:t xml:space="preserve"> a</w:t>
      </w:r>
      <w:r w:rsidR="00C56D2F" w:rsidRPr="00AF2BF6">
        <w:rPr>
          <w:rFonts w:asciiTheme="minorHAnsi" w:eastAsiaTheme="minorHAnsi" w:hAnsiTheme="minorHAnsi" w:cs="Arial"/>
          <w:bCs/>
          <w:color w:val="000000" w:themeColor="text1"/>
          <w:lang w:val="en-AU"/>
        </w:rPr>
        <w:t xml:space="preserve"> strong CYP3A4 inhibitor </w:t>
      </w:r>
      <w:r>
        <w:rPr>
          <w:rFonts w:asciiTheme="minorHAnsi" w:eastAsiaTheme="minorHAnsi" w:hAnsiTheme="minorHAnsi" w:cs="Arial"/>
          <w:bCs/>
          <w:color w:val="000000" w:themeColor="text1"/>
          <w:lang w:val="en-AU"/>
        </w:rPr>
        <w:t>is unavoidable</w:t>
      </w:r>
      <w:r w:rsidR="00C56D2F" w:rsidRPr="00AF2BF6">
        <w:rPr>
          <w:rFonts w:asciiTheme="minorHAnsi" w:eastAsiaTheme="minorHAnsi" w:hAnsiTheme="minorHAnsi" w:cs="Arial"/>
          <w:bCs/>
          <w:color w:val="000000" w:themeColor="text1"/>
          <w:lang w:val="en-AU"/>
        </w:rPr>
        <w:t xml:space="preserve"> </w:t>
      </w:r>
      <w:bookmarkEnd w:id="2"/>
      <w:r w:rsidR="00C56D2F" w:rsidRPr="00AF2BF6">
        <w:rPr>
          <w:rFonts w:asciiTheme="minorHAnsi" w:eastAsiaTheme="minorHAnsi" w:hAnsiTheme="minorHAnsi" w:cs="Arial"/>
          <w:bCs/>
          <w:color w:val="000000" w:themeColor="text1"/>
          <w:lang w:val="en-AU"/>
        </w:rPr>
        <w:t xml:space="preserve">(see </w:t>
      </w:r>
      <w:r w:rsidR="00C56D2F" w:rsidRPr="00AF2BF6">
        <w:rPr>
          <w:rFonts w:asciiTheme="minorHAnsi" w:eastAsiaTheme="minorHAnsi" w:hAnsiTheme="minorHAnsi" w:cs="Arial"/>
          <w:bCs/>
          <w:i/>
          <w:iCs/>
          <w:color w:val="000000" w:themeColor="text1"/>
          <w:lang w:val="en-AU"/>
        </w:rPr>
        <w:t>section 4.2</w:t>
      </w:r>
      <w:r w:rsidR="00AB11D4" w:rsidRPr="00AF2BF6">
        <w:rPr>
          <w:rFonts w:asciiTheme="minorHAnsi" w:eastAsiaTheme="minorHAnsi" w:hAnsiTheme="minorHAnsi" w:cs="Arial"/>
          <w:bCs/>
          <w:i/>
          <w:iCs/>
          <w:color w:val="000000" w:themeColor="text1"/>
          <w:lang w:val="en-AU"/>
        </w:rPr>
        <w:t xml:space="preserve"> -</w:t>
      </w:r>
      <w:r w:rsidR="00860C53" w:rsidRPr="00AF2BF6">
        <w:rPr>
          <w:rFonts w:asciiTheme="minorHAnsi" w:eastAsiaTheme="minorHAnsi" w:hAnsiTheme="minorHAnsi" w:cs="Arial"/>
          <w:bCs/>
          <w:i/>
          <w:iCs/>
          <w:color w:val="000000" w:themeColor="text1"/>
          <w:lang w:val="en-AU"/>
        </w:rPr>
        <w:t xml:space="preserve"> </w:t>
      </w:r>
      <w:r w:rsidR="008C510B">
        <w:rPr>
          <w:rFonts w:asciiTheme="minorHAnsi" w:eastAsiaTheme="minorHAnsi" w:hAnsiTheme="minorHAnsi" w:cs="Arial"/>
          <w:bCs/>
          <w:i/>
          <w:iCs/>
          <w:color w:val="000000" w:themeColor="text1"/>
          <w:lang w:val="en-AU"/>
        </w:rPr>
        <w:t>Dose</w:t>
      </w:r>
      <w:r w:rsidR="00860C53" w:rsidRPr="00AF2BF6">
        <w:rPr>
          <w:rFonts w:asciiTheme="minorHAnsi" w:eastAsiaTheme="minorHAnsi" w:hAnsiTheme="minorHAnsi" w:cs="Arial"/>
          <w:bCs/>
          <w:i/>
          <w:iCs/>
          <w:color w:val="000000" w:themeColor="text1"/>
          <w:lang w:val="en-AU"/>
        </w:rPr>
        <w:t xml:space="preserve"> and method of administration</w:t>
      </w:r>
      <w:r w:rsidR="00C56D2F" w:rsidRPr="00AF2BF6">
        <w:rPr>
          <w:rFonts w:asciiTheme="minorHAnsi" w:eastAsiaTheme="minorHAnsi" w:hAnsiTheme="minorHAnsi" w:cs="Arial"/>
          <w:bCs/>
          <w:color w:val="000000" w:themeColor="text1"/>
          <w:lang w:val="en-AU"/>
        </w:rPr>
        <w:t>).</w:t>
      </w:r>
    </w:p>
    <w:p w14:paraId="15A9E0EB" w14:textId="1050E647" w:rsidR="00F50D3D" w:rsidRPr="00AF2BF6" w:rsidRDefault="000D0AB3" w:rsidP="0027374F">
      <w:pPr>
        <w:widowControl/>
        <w:autoSpaceDE/>
        <w:autoSpaceDN/>
        <w:spacing w:after="200" w:line="276" w:lineRule="auto"/>
        <w:rPr>
          <w:rFonts w:asciiTheme="minorHAnsi" w:eastAsiaTheme="minorHAnsi" w:hAnsiTheme="minorHAnsi" w:cs="Arial"/>
          <w:bCs/>
          <w:color w:val="000000" w:themeColor="text1"/>
          <w:lang w:val="en-AU"/>
        </w:rPr>
      </w:pPr>
      <w:r w:rsidRPr="000D0AB3">
        <w:rPr>
          <w:rFonts w:asciiTheme="minorHAnsi" w:eastAsiaTheme="minorHAnsi" w:hAnsiTheme="minorHAnsi" w:cs="Arial"/>
          <w:bCs/>
          <w:color w:val="000000" w:themeColor="text1"/>
          <w:lang w:val="en-AU"/>
        </w:rPr>
        <w:t xml:space="preserve">Interrupt </w:t>
      </w:r>
      <w:r>
        <w:rPr>
          <w:rFonts w:asciiTheme="minorHAnsi" w:eastAsiaTheme="minorHAnsi" w:hAnsiTheme="minorHAnsi" w:cs="Arial"/>
          <w:bCs/>
          <w:color w:val="000000" w:themeColor="text1"/>
          <w:lang w:val="en-AU"/>
        </w:rPr>
        <w:t>TIBSOVO for QTc interval over 480 msec, and p</w:t>
      </w:r>
      <w:r w:rsidRPr="000D0AB3">
        <w:rPr>
          <w:rFonts w:asciiTheme="minorHAnsi" w:eastAsiaTheme="minorHAnsi" w:hAnsiTheme="minorHAnsi" w:cs="Arial"/>
          <w:bCs/>
          <w:color w:val="000000" w:themeColor="text1"/>
          <w:lang w:val="en-AU"/>
        </w:rPr>
        <w:t xml:space="preserve">ermanently discontinue TIBSOVO </w:t>
      </w:r>
      <w:r>
        <w:rPr>
          <w:rFonts w:asciiTheme="minorHAnsi" w:eastAsiaTheme="minorHAnsi" w:hAnsiTheme="minorHAnsi" w:cs="Arial"/>
          <w:bCs/>
          <w:color w:val="000000" w:themeColor="text1"/>
          <w:lang w:val="en-AU"/>
        </w:rPr>
        <w:t>in</w:t>
      </w:r>
      <w:r w:rsidRPr="000D0AB3">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 xml:space="preserve">patients </w:t>
      </w:r>
      <w:r>
        <w:rPr>
          <w:rFonts w:asciiTheme="minorHAnsi" w:eastAsiaTheme="minorHAnsi" w:hAnsiTheme="minorHAnsi" w:cs="Arial"/>
          <w:bCs/>
          <w:color w:val="000000" w:themeColor="text1"/>
          <w:lang w:val="en-AU"/>
        </w:rPr>
        <w:t>with</w:t>
      </w:r>
      <w:r w:rsidR="00C56D2F" w:rsidRPr="00AF2BF6">
        <w:rPr>
          <w:rFonts w:asciiTheme="minorHAnsi" w:eastAsiaTheme="minorHAnsi" w:hAnsiTheme="minorHAnsi" w:cs="Arial"/>
          <w:bCs/>
          <w:color w:val="000000" w:themeColor="text1"/>
          <w:lang w:val="en-AU"/>
        </w:rPr>
        <w:t xml:space="preserve"> QTc interval prolongation </w:t>
      </w:r>
      <w:r>
        <w:rPr>
          <w:rFonts w:asciiTheme="minorHAnsi" w:eastAsiaTheme="minorHAnsi" w:hAnsiTheme="minorHAnsi" w:cs="Arial"/>
          <w:bCs/>
          <w:color w:val="000000" w:themeColor="text1"/>
          <w:lang w:val="en-AU"/>
        </w:rPr>
        <w:t>and</w:t>
      </w:r>
      <w:r w:rsidRPr="00AF2BF6">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 xml:space="preserve">signs or symptoms of life-threatening arrhythmia (see </w:t>
      </w:r>
      <w:r w:rsidR="00C56D2F" w:rsidRPr="00AF2BF6">
        <w:rPr>
          <w:rFonts w:asciiTheme="minorHAnsi" w:eastAsiaTheme="minorHAnsi" w:hAnsiTheme="minorHAnsi" w:cs="Arial"/>
          <w:bCs/>
          <w:i/>
          <w:iCs/>
          <w:color w:val="000000" w:themeColor="text1"/>
          <w:lang w:val="en-AU"/>
        </w:rPr>
        <w:t>section 4.2</w:t>
      </w:r>
      <w:r w:rsidR="00860C53" w:rsidRPr="00AF2BF6">
        <w:rPr>
          <w:rFonts w:asciiTheme="minorHAnsi" w:eastAsiaTheme="minorHAnsi" w:hAnsiTheme="minorHAnsi" w:cs="Arial"/>
          <w:bCs/>
          <w:i/>
          <w:iCs/>
          <w:color w:val="000000" w:themeColor="text1"/>
          <w:lang w:val="en-AU"/>
        </w:rPr>
        <w:t xml:space="preserve"> - </w:t>
      </w:r>
      <w:r w:rsidR="008C510B">
        <w:rPr>
          <w:rFonts w:asciiTheme="minorHAnsi" w:eastAsiaTheme="minorHAnsi" w:hAnsiTheme="minorHAnsi" w:cs="Arial"/>
          <w:bCs/>
          <w:i/>
          <w:iCs/>
          <w:color w:val="000000" w:themeColor="text1"/>
          <w:lang w:val="en-AU"/>
        </w:rPr>
        <w:t>Dose</w:t>
      </w:r>
      <w:r w:rsidR="00860C53" w:rsidRPr="00AF2BF6">
        <w:rPr>
          <w:rFonts w:asciiTheme="minorHAnsi" w:eastAsiaTheme="minorHAnsi" w:hAnsiTheme="minorHAnsi" w:cs="Arial"/>
          <w:bCs/>
          <w:i/>
          <w:iCs/>
          <w:color w:val="000000" w:themeColor="text1"/>
          <w:lang w:val="en-AU"/>
        </w:rPr>
        <w:t xml:space="preserve"> and method of administration</w:t>
      </w:r>
      <w:r w:rsidR="00C56D2F" w:rsidRPr="00AF2BF6">
        <w:rPr>
          <w:rFonts w:asciiTheme="minorHAnsi" w:eastAsiaTheme="minorHAnsi" w:hAnsiTheme="minorHAnsi" w:cs="Arial"/>
          <w:bCs/>
          <w:color w:val="000000" w:themeColor="text1"/>
          <w:lang w:val="en-AU"/>
        </w:rPr>
        <w:t>).</w:t>
      </w:r>
    </w:p>
    <w:p w14:paraId="30EEAB27" w14:textId="77777777" w:rsidR="00025445" w:rsidRPr="00C5514F" w:rsidRDefault="00025445" w:rsidP="00450D1E">
      <w:pPr>
        <w:pStyle w:val="Heading4"/>
      </w:pPr>
      <w:r w:rsidRPr="00025445">
        <w:t xml:space="preserve">Guillain-Barré syndrome </w:t>
      </w:r>
    </w:p>
    <w:p w14:paraId="4C7CB041" w14:textId="1DF50CFB" w:rsidR="00BB6EBD" w:rsidRDefault="00BB6EBD" w:rsidP="00BB6EBD">
      <w:pPr>
        <w:widowControl/>
        <w:autoSpaceDE/>
        <w:autoSpaceDN/>
        <w:spacing w:after="200" w:line="276" w:lineRule="auto"/>
        <w:rPr>
          <w:rFonts w:asciiTheme="minorHAnsi" w:eastAsiaTheme="minorHAnsi" w:hAnsiTheme="minorHAnsi" w:cs="Arial"/>
          <w:bCs/>
          <w:color w:val="000000" w:themeColor="text1"/>
          <w:lang w:val="en-AU"/>
        </w:rPr>
      </w:pPr>
      <w:r w:rsidRPr="002E1B51">
        <w:rPr>
          <w:rFonts w:asciiTheme="minorHAnsi" w:eastAsiaTheme="minorHAnsi" w:hAnsiTheme="minorHAnsi" w:cs="Arial"/>
          <w:bCs/>
          <w:color w:val="000000" w:themeColor="text1"/>
          <w:lang w:val="en-AU"/>
        </w:rPr>
        <w:t>Two cases of Guillain-Barré syndrome (</w:t>
      </w:r>
      <w:r w:rsidR="00025445">
        <w:rPr>
          <w:rFonts w:asciiTheme="minorHAnsi" w:eastAsiaTheme="minorHAnsi" w:hAnsiTheme="minorHAnsi" w:cs="Arial"/>
          <w:bCs/>
          <w:color w:val="000000" w:themeColor="text1"/>
          <w:lang w:val="en-AU"/>
        </w:rPr>
        <w:t>&lt;</w:t>
      </w:r>
      <w:r w:rsidRPr="002E1B51">
        <w:rPr>
          <w:rFonts w:asciiTheme="minorHAnsi" w:eastAsiaTheme="minorHAnsi" w:hAnsiTheme="minorHAnsi" w:cs="Arial"/>
          <w:bCs/>
          <w:color w:val="000000" w:themeColor="text1"/>
          <w:lang w:val="en-AU"/>
        </w:rPr>
        <w:t xml:space="preserve">1%) occurred in </w:t>
      </w:r>
      <w:r w:rsidR="00025445">
        <w:rPr>
          <w:rFonts w:asciiTheme="minorHAnsi" w:eastAsiaTheme="minorHAnsi" w:hAnsiTheme="minorHAnsi" w:cs="Arial"/>
          <w:bCs/>
          <w:color w:val="000000" w:themeColor="text1"/>
          <w:lang w:val="en-AU"/>
        </w:rPr>
        <w:t>patients with</w:t>
      </w:r>
      <w:r w:rsidRPr="00B50396">
        <w:rPr>
          <w:rFonts w:asciiTheme="minorHAnsi" w:eastAsiaTheme="minorHAnsi" w:hAnsiTheme="minorHAnsi" w:cs="Arial"/>
          <w:bCs/>
          <w:color w:val="000000" w:themeColor="text1"/>
          <w:lang w:val="en-AU"/>
        </w:rPr>
        <w:t xml:space="preserve"> haematological malignancies</w:t>
      </w:r>
      <w:r w:rsidR="00025445">
        <w:rPr>
          <w:rFonts w:asciiTheme="minorHAnsi" w:eastAsiaTheme="minorHAnsi" w:hAnsiTheme="minorHAnsi" w:cs="Arial"/>
          <w:bCs/>
          <w:color w:val="000000" w:themeColor="text1"/>
          <w:lang w:val="en-AU"/>
        </w:rPr>
        <w:t xml:space="preserve"> receiving ivosidenib</w:t>
      </w:r>
      <w:r w:rsidRPr="002E1B51">
        <w:rPr>
          <w:rFonts w:asciiTheme="minorHAnsi" w:eastAsiaTheme="minorHAnsi" w:hAnsiTheme="minorHAnsi" w:cs="Arial"/>
          <w:bCs/>
          <w:color w:val="000000" w:themeColor="text1"/>
          <w:lang w:val="en-AU"/>
        </w:rPr>
        <w:t xml:space="preserve">. </w:t>
      </w:r>
      <w:r w:rsidR="00025445">
        <w:rPr>
          <w:rFonts w:asciiTheme="minorHAnsi" w:eastAsiaTheme="minorHAnsi" w:hAnsiTheme="minorHAnsi" w:cs="Arial"/>
          <w:bCs/>
          <w:color w:val="000000" w:themeColor="text1"/>
          <w:lang w:val="en-AU"/>
        </w:rPr>
        <w:t>A causal mechanism is not known, and preclinical studies did not identify the CNS as a</w:t>
      </w:r>
      <w:r w:rsidR="00025445" w:rsidRPr="00025445">
        <w:rPr>
          <w:rFonts w:asciiTheme="minorHAnsi" w:eastAsiaTheme="minorHAnsi" w:hAnsiTheme="minorHAnsi" w:cs="Arial"/>
          <w:bCs/>
          <w:color w:val="000000" w:themeColor="text1"/>
          <w:lang w:val="en-AU"/>
        </w:rPr>
        <w:t xml:space="preserve"> target organ for ivosidenib toxicity</w:t>
      </w:r>
      <w:r w:rsidR="00025445">
        <w:rPr>
          <w:rFonts w:asciiTheme="minorHAnsi" w:eastAsiaTheme="minorHAnsi" w:hAnsiTheme="minorHAnsi" w:cs="Arial"/>
          <w:bCs/>
          <w:color w:val="000000" w:themeColor="text1"/>
          <w:lang w:val="en-AU"/>
        </w:rPr>
        <w:t>.</w:t>
      </w:r>
      <w:r w:rsidR="00025445" w:rsidRPr="00025445">
        <w:rPr>
          <w:rFonts w:asciiTheme="minorHAnsi" w:eastAsiaTheme="minorHAnsi" w:hAnsiTheme="minorHAnsi" w:cs="Arial"/>
          <w:bCs/>
          <w:color w:val="000000" w:themeColor="text1"/>
          <w:lang w:val="en-AU"/>
        </w:rPr>
        <w:t xml:space="preserve"> </w:t>
      </w:r>
      <w:r w:rsidRPr="002E1B51">
        <w:rPr>
          <w:rFonts w:asciiTheme="minorHAnsi" w:eastAsiaTheme="minorHAnsi" w:hAnsiTheme="minorHAnsi" w:cs="Arial"/>
          <w:bCs/>
          <w:color w:val="000000" w:themeColor="text1"/>
          <w:lang w:val="en-AU"/>
        </w:rPr>
        <w:t xml:space="preserve">No cases </w:t>
      </w:r>
      <w:r w:rsidR="00025445" w:rsidRPr="008A5E2F">
        <w:rPr>
          <w:rFonts w:asciiTheme="minorHAnsi" w:eastAsiaTheme="minorHAnsi" w:hAnsiTheme="minorHAnsi" w:cs="Arial"/>
          <w:bCs/>
          <w:color w:val="000000" w:themeColor="text1"/>
          <w:lang w:val="en-AU"/>
        </w:rPr>
        <w:t xml:space="preserve">of Guillain-Barré syndrome </w:t>
      </w:r>
      <w:r w:rsidRPr="002E1B51">
        <w:rPr>
          <w:rFonts w:asciiTheme="minorHAnsi" w:eastAsiaTheme="minorHAnsi" w:hAnsiTheme="minorHAnsi" w:cs="Arial"/>
          <w:bCs/>
          <w:color w:val="000000" w:themeColor="text1"/>
          <w:lang w:val="en-AU"/>
        </w:rPr>
        <w:t>have been reported in patients with solid tumours</w:t>
      </w:r>
      <w:r w:rsidR="00C7653E">
        <w:rPr>
          <w:rFonts w:asciiTheme="minorHAnsi" w:eastAsiaTheme="minorHAnsi" w:hAnsiTheme="minorHAnsi" w:cs="Arial"/>
          <w:bCs/>
          <w:color w:val="000000" w:themeColor="text1"/>
          <w:lang w:val="en-AU"/>
        </w:rPr>
        <w:t>, though peripheral neuropathy is common</w:t>
      </w:r>
      <w:r w:rsidR="00025445">
        <w:rPr>
          <w:rFonts w:asciiTheme="minorHAnsi" w:eastAsiaTheme="minorHAnsi" w:hAnsiTheme="minorHAnsi" w:cs="Arial"/>
          <w:bCs/>
          <w:color w:val="000000" w:themeColor="text1"/>
          <w:lang w:val="en-AU"/>
        </w:rPr>
        <w:t xml:space="preserve"> (s</w:t>
      </w:r>
      <w:r w:rsidR="00AD5854">
        <w:rPr>
          <w:rFonts w:asciiTheme="minorHAnsi" w:eastAsiaTheme="minorHAnsi" w:hAnsiTheme="minorHAnsi" w:cs="Arial"/>
          <w:bCs/>
          <w:color w:val="000000" w:themeColor="text1"/>
          <w:lang w:val="en-AU"/>
        </w:rPr>
        <w:t xml:space="preserve">ee </w:t>
      </w:r>
      <w:r w:rsidR="00AD5854" w:rsidRPr="00AF2BF6">
        <w:rPr>
          <w:rFonts w:asciiTheme="minorHAnsi" w:eastAsiaTheme="minorHAnsi" w:hAnsiTheme="minorHAnsi" w:cs="Arial"/>
          <w:bCs/>
          <w:i/>
          <w:iCs/>
          <w:color w:val="000000" w:themeColor="text1"/>
          <w:lang w:val="en-AU"/>
        </w:rPr>
        <w:t>4.8 - Adverse effects (Undesirable effects)</w:t>
      </w:r>
      <w:r w:rsidR="00AD5854" w:rsidRPr="00AF2BF6">
        <w:rPr>
          <w:rFonts w:asciiTheme="minorHAnsi" w:eastAsiaTheme="minorHAnsi" w:hAnsiTheme="minorHAnsi" w:cs="Arial"/>
          <w:bCs/>
          <w:color w:val="000000" w:themeColor="text1"/>
          <w:lang w:val="en-AU"/>
        </w:rPr>
        <w:t xml:space="preserve">). </w:t>
      </w:r>
      <w:r w:rsidR="00AD5854">
        <w:rPr>
          <w:rFonts w:asciiTheme="minorHAnsi" w:eastAsiaTheme="minorHAnsi" w:hAnsiTheme="minorHAnsi" w:cs="Arial"/>
          <w:bCs/>
          <w:color w:val="000000" w:themeColor="text1"/>
          <w:lang w:val="en-AU"/>
        </w:rPr>
        <w:t xml:space="preserve"> </w:t>
      </w:r>
    </w:p>
    <w:p w14:paraId="5D1F9195" w14:textId="65FC9927" w:rsidR="00BB6EBD" w:rsidRPr="002E1B51" w:rsidRDefault="00025445" w:rsidP="002E1B51">
      <w:pPr>
        <w:widowControl/>
        <w:autoSpaceDE/>
        <w:autoSpaceDN/>
        <w:spacing w:after="200" w:line="276" w:lineRule="auto"/>
        <w:rPr>
          <w:rFonts w:asciiTheme="minorHAnsi" w:eastAsiaTheme="minorHAnsi" w:hAnsiTheme="minorHAnsi" w:cs="Arial"/>
          <w:color w:val="000000" w:themeColor="text1"/>
        </w:rPr>
      </w:pPr>
      <w:r w:rsidRPr="00025445">
        <w:rPr>
          <w:rFonts w:asciiTheme="minorHAnsi" w:eastAsiaTheme="minorHAnsi" w:hAnsiTheme="minorHAnsi" w:cs="Arial"/>
          <w:bCs/>
          <w:color w:val="000000" w:themeColor="text1"/>
          <w:lang w:val="en-AU"/>
        </w:rPr>
        <w:t>Monitor patients taking TIBSOVO for onset of new signs or symptoms of motor and/or sensory</w:t>
      </w:r>
      <w:r>
        <w:rPr>
          <w:rFonts w:asciiTheme="minorHAnsi" w:eastAsiaTheme="minorHAnsi" w:hAnsiTheme="minorHAnsi" w:cs="Arial"/>
          <w:bCs/>
          <w:color w:val="000000" w:themeColor="text1"/>
          <w:lang w:val="en-AU"/>
        </w:rPr>
        <w:t xml:space="preserve"> </w:t>
      </w:r>
      <w:r w:rsidRPr="00025445">
        <w:rPr>
          <w:rFonts w:asciiTheme="minorHAnsi" w:eastAsiaTheme="minorHAnsi" w:hAnsiTheme="minorHAnsi" w:cs="Arial"/>
          <w:bCs/>
          <w:color w:val="000000" w:themeColor="text1"/>
          <w:lang w:val="en-AU"/>
        </w:rPr>
        <w:t>neuropathy such as unilateral or bilateral weakness, sensory alterations, par</w:t>
      </w:r>
      <w:r>
        <w:rPr>
          <w:rFonts w:asciiTheme="minorHAnsi" w:eastAsiaTheme="minorHAnsi" w:hAnsiTheme="minorHAnsi" w:cs="Arial"/>
          <w:bCs/>
          <w:color w:val="000000" w:themeColor="text1"/>
          <w:lang w:val="en-AU"/>
        </w:rPr>
        <w:t>a</w:t>
      </w:r>
      <w:r w:rsidRPr="00025445">
        <w:rPr>
          <w:rFonts w:asciiTheme="minorHAnsi" w:eastAsiaTheme="minorHAnsi" w:hAnsiTheme="minorHAnsi" w:cs="Arial"/>
          <w:bCs/>
          <w:color w:val="000000" w:themeColor="text1"/>
          <w:lang w:val="en-AU"/>
        </w:rPr>
        <w:t>esthesias, or difficulty</w:t>
      </w:r>
      <w:r>
        <w:rPr>
          <w:rFonts w:asciiTheme="minorHAnsi" w:eastAsiaTheme="minorHAnsi" w:hAnsiTheme="minorHAnsi" w:cs="Arial"/>
          <w:bCs/>
          <w:color w:val="000000" w:themeColor="text1"/>
          <w:lang w:val="en-AU"/>
        </w:rPr>
        <w:t xml:space="preserve"> </w:t>
      </w:r>
      <w:r w:rsidRPr="00025445">
        <w:rPr>
          <w:rFonts w:asciiTheme="minorHAnsi" w:eastAsiaTheme="minorHAnsi" w:hAnsiTheme="minorHAnsi" w:cs="Arial"/>
          <w:bCs/>
          <w:color w:val="000000" w:themeColor="text1"/>
          <w:lang w:val="en-AU"/>
        </w:rPr>
        <w:t>breathing. Permanently discontinue TIBSOVO in patients who are diagnosed with Guillain-Barré syndrome</w:t>
      </w:r>
      <w:r>
        <w:rPr>
          <w:rFonts w:asciiTheme="minorHAnsi" w:eastAsiaTheme="minorHAnsi" w:hAnsiTheme="minorHAnsi" w:cs="Arial"/>
          <w:bCs/>
          <w:color w:val="000000" w:themeColor="text1"/>
          <w:lang w:val="en-AU"/>
        </w:rPr>
        <w:t>.</w:t>
      </w:r>
    </w:p>
    <w:p w14:paraId="15A9E0ED" w14:textId="0A9EDAC8" w:rsidR="00F50D3D" w:rsidRPr="00AF2BF6" w:rsidRDefault="00942741" w:rsidP="00347B63">
      <w:pPr>
        <w:pStyle w:val="Heading4"/>
        <w:pageBreakBefore/>
      </w:pPr>
      <w:r>
        <w:lastRenderedPageBreak/>
        <w:t>Use in</w:t>
      </w:r>
      <w:r w:rsidRPr="00AF2BF6">
        <w:t xml:space="preserve"> </w:t>
      </w:r>
      <w:r w:rsidR="00C56D2F" w:rsidRPr="00AF2BF6">
        <w:t>renal impairment</w:t>
      </w:r>
    </w:p>
    <w:p w14:paraId="4118F096" w14:textId="44586CCF" w:rsidR="00AB11D4" w:rsidRPr="00AF2BF6" w:rsidRDefault="00C56D2F" w:rsidP="0027374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The safety and efficacy of ivosidenib have not been established in patients with severe renal impairment (eGFR ˂30 mL/min/1.73 m</w:t>
      </w:r>
      <w:r w:rsidR="0084513D" w:rsidRPr="00AF2BF6">
        <w:rPr>
          <w:rFonts w:asciiTheme="minorHAnsi" w:eastAsiaTheme="minorHAnsi" w:hAnsiTheme="minorHAnsi" w:cs="Arial"/>
          <w:bCs/>
          <w:color w:val="000000" w:themeColor="text1"/>
          <w:vertAlign w:val="superscript"/>
          <w:lang w:val="en-AU"/>
        </w:rPr>
        <w:t>2</w:t>
      </w:r>
      <w:r w:rsidRPr="00AF2BF6">
        <w:rPr>
          <w:rFonts w:asciiTheme="minorHAnsi" w:eastAsiaTheme="minorHAnsi" w:hAnsiTheme="minorHAnsi" w:cs="Arial"/>
          <w:bCs/>
          <w:color w:val="000000" w:themeColor="text1"/>
          <w:lang w:val="en-AU"/>
        </w:rPr>
        <w:t>)</w:t>
      </w:r>
      <w:r w:rsidR="00BB6EBD">
        <w:rPr>
          <w:rFonts w:asciiTheme="minorHAnsi" w:eastAsiaTheme="minorHAnsi" w:hAnsiTheme="minorHAnsi" w:cs="Arial"/>
          <w:bCs/>
          <w:color w:val="000000" w:themeColor="text1"/>
          <w:lang w:val="en-AU"/>
        </w:rPr>
        <w:t>, including those requiring dialysis</w:t>
      </w:r>
      <w:r w:rsidRPr="00AF2BF6">
        <w:rPr>
          <w:rFonts w:asciiTheme="minorHAnsi" w:eastAsiaTheme="minorHAnsi" w:hAnsiTheme="minorHAnsi" w:cs="Arial"/>
          <w:bCs/>
          <w:color w:val="000000" w:themeColor="text1"/>
          <w:lang w:val="en-AU"/>
        </w:rPr>
        <w:t xml:space="preserve">. </w:t>
      </w:r>
      <w:r w:rsidR="00BB6EBD">
        <w:rPr>
          <w:rFonts w:asciiTheme="minorHAnsi" w:eastAsiaTheme="minorHAnsi" w:hAnsiTheme="minorHAnsi" w:cs="Arial"/>
          <w:bCs/>
          <w:color w:val="000000" w:themeColor="text1"/>
          <w:lang w:val="en-AU"/>
        </w:rPr>
        <w:t xml:space="preserve">Use </w:t>
      </w:r>
      <w:r w:rsidR="00CB46CD" w:rsidRPr="00AF2BF6">
        <w:rPr>
          <w:rFonts w:asciiTheme="minorHAnsi" w:eastAsiaTheme="minorHAnsi" w:hAnsiTheme="minorHAnsi" w:cs="Arial"/>
          <w:bCs/>
          <w:color w:val="000000" w:themeColor="text1"/>
          <w:lang w:val="en-AU"/>
        </w:rPr>
        <w:t xml:space="preserve">TIBSOVO </w:t>
      </w:r>
      <w:r w:rsidRPr="00AF2BF6">
        <w:rPr>
          <w:rFonts w:asciiTheme="minorHAnsi" w:eastAsiaTheme="minorHAnsi" w:hAnsiTheme="minorHAnsi" w:cs="Arial"/>
          <w:bCs/>
          <w:color w:val="000000" w:themeColor="text1"/>
          <w:lang w:val="en-AU"/>
        </w:rPr>
        <w:t xml:space="preserve"> with caution and </w:t>
      </w:r>
      <w:r w:rsidR="00BB6EBD">
        <w:rPr>
          <w:rFonts w:asciiTheme="minorHAnsi" w:eastAsiaTheme="minorHAnsi" w:hAnsiTheme="minorHAnsi" w:cs="Arial"/>
          <w:bCs/>
          <w:color w:val="000000" w:themeColor="text1"/>
          <w:lang w:val="en-AU"/>
        </w:rPr>
        <w:t xml:space="preserve">monitor closely in </w:t>
      </w:r>
      <w:r w:rsidRPr="00AF2BF6">
        <w:rPr>
          <w:rFonts w:asciiTheme="minorHAnsi" w:eastAsiaTheme="minorHAnsi" w:hAnsiTheme="minorHAnsi" w:cs="Arial"/>
          <w:bCs/>
          <w:color w:val="000000" w:themeColor="text1"/>
          <w:lang w:val="en-AU"/>
        </w:rPr>
        <w:t xml:space="preserve">this population (see </w:t>
      </w:r>
      <w:r w:rsidRPr="00AF2BF6">
        <w:rPr>
          <w:rFonts w:asciiTheme="minorHAnsi" w:eastAsiaTheme="minorHAnsi" w:hAnsiTheme="minorHAnsi" w:cs="Arial"/>
          <w:bCs/>
          <w:i/>
          <w:iCs/>
          <w:color w:val="000000" w:themeColor="text1"/>
          <w:lang w:val="en-AU"/>
        </w:rPr>
        <w:t>sections 4.2</w:t>
      </w:r>
      <w:r w:rsidR="00860C53" w:rsidRPr="00AF2BF6">
        <w:rPr>
          <w:rFonts w:asciiTheme="minorHAnsi" w:eastAsiaTheme="minorHAnsi" w:hAnsiTheme="minorHAnsi" w:cs="Arial"/>
          <w:bCs/>
          <w:i/>
          <w:iCs/>
          <w:color w:val="000000" w:themeColor="text1"/>
          <w:lang w:val="en-AU"/>
        </w:rPr>
        <w:t xml:space="preserve"> - </w:t>
      </w:r>
      <w:r w:rsidR="008C510B">
        <w:rPr>
          <w:rFonts w:asciiTheme="minorHAnsi" w:eastAsiaTheme="minorHAnsi" w:hAnsiTheme="minorHAnsi" w:cs="Arial"/>
          <w:bCs/>
          <w:i/>
          <w:iCs/>
          <w:color w:val="000000" w:themeColor="text1"/>
          <w:lang w:val="en-AU"/>
        </w:rPr>
        <w:t>Dose</w:t>
      </w:r>
      <w:r w:rsidR="00860C53" w:rsidRPr="00AF2BF6">
        <w:rPr>
          <w:rFonts w:asciiTheme="minorHAnsi" w:eastAsiaTheme="minorHAnsi" w:hAnsiTheme="minorHAnsi" w:cs="Arial"/>
          <w:bCs/>
          <w:i/>
          <w:iCs/>
          <w:color w:val="000000" w:themeColor="text1"/>
          <w:lang w:val="en-AU"/>
        </w:rPr>
        <w:t xml:space="preserve"> and method of administration</w:t>
      </w:r>
      <w:r w:rsidR="00CB46CD"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and </w:t>
      </w:r>
      <w:r w:rsidRPr="00AF2BF6">
        <w:rPr>
          <w:rFonts w:asciiTheme="minorHAnsi" w:eastAsiaTheme="minorHAnsi" w:hAnsiTheme="minorHAnsi" w:cs="Arial"/>
          <w:bCs/>
          <w:i/>
          <w:iCs/>
          <w:color w:val="000000" w:themeColor="text1"/>
          <w:lang w:val="en-AU"/>
        </w:rPr>
        <w:t>5.2</w:t>
      </w:r>
      <w:r w:rsidR="003028CF" w:rsidRPr="00AF2BF6">
        <w:rPr>
          <w:rFonts w:asciiTheme="minorHAnsi" w:hAnsiTheme="minorHAnsi" w:cstheme="minorHAnsi"/>
          <w:i/>
          <w:iCs/>
          <w:color w:val="000000"/>
          <w:lang w:val="en-AU"/>
        </w:rPr>
        <w:t xml:space="preserve"> - </w:t>
      </w:r>
      <w:r w:rsidR="003028CF" w:rsidRPr="00AF2BF6">
        <w:rPr>
          <w:rFonts w:asciiTheme="minorHAnsi" w:hAnsiTheme="minorHAnsi" w:cstheme="minorHAnsi"/>
          <w:i/>
          <w:iCs/>
          <w:lang w:val="en-AU"/>
        </w:rPr>
        <w:t>Pharmacokinetic properties</w:t>
      </w:r>
      <w:r w:rsidRPr="00AF2BF6">
        <w:rPr>
          <w:rFonts w:asciiTheme="minorHAnsi" w:eastAsiaTheme="minorHAnsi" w:hAnsiTheme="minorHAnsi" w:cs="Arial"/>
          <w:bCs/>
          <w:color w:val="000000" w:themeColor="text1"/>
          <w:lang w:val="en-AU"/>
        </w:rPr>
        <w:t>).</w:t>
      </w:r>
    </w:p>
    <w:p w14:paraId="15A9E0F0" w14:textId="0F532648" w:rsidR="00F50D3D" w:rsidRPr="00AF2BF6" w:rsidRDefault="00942741" w:rsidP="00450D1E">
      <w:pPr>
        <w:pStyle w:val="Heading4"/>
      </w:pPr>
      <w:r>
        <w:t>Use in</w:t>
      </w:r>
      <w:r w:rsidRPr="00AF2BF6">
        <w:t xml:space="preserve"> </w:t>
      </w:r>
      <w:r w:rsidR="00C56D2F" w:rsidRPr="00AF2BF6">
        <w:t>hepatic impairment</w:t>
      </w:r>
    </w:p>
    <w:p w14:paraId="15A9E0F1" w14:textId="53436364" w:rsidR="00F50D3D" w:rsidRPr="00AF2BF6" w:rsidRDefault="00C56D2F" w:rsidP="0027374F">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The safety and efficacy of ivosidenib have not been established in patients with severe hepatic impairment (Child Pugh class C). </w:t>
      </w:r>
      <w:r w:rsidR="00BB6EBD">
        <w:rPr>
          <w:rFonts w:asciiTheme="minorHAnsi" w:eastAsiaTheme="minorHAnsi" w:hAnsiTheme="minorHAnsi" w:cs="Arial"/>
          <w:bCs/>
          <w:color w:val="000000" w:themeColor="text1"/>
          <w:lang w:val="en-AU"/>
        </w:rPr>
        <w:t xml:space="preserve">Use </w:t>
      </w:r>
      <w:r w:rsidR="00CB46CD" w:rsidRPr="00AF2BF6">
        <w:rPr>
          <w:rFonts w:asciiTheme="minorHAnsi" w:eastAsiaTheme="minorHAnsi" w:hAnsiTheme="minorHAnsi" w:cs="Arial"/>
          <w:bCs/>
          <w:color w:val="000000" w:themeColor="text1"/>
          <w:lang w:val="en-AU"/>
        </w:rPr>
        <w:t xml:space="preserve">TIBSOVO </w:t>
      </w:r>
      <w:r w:rsidRPr="00AF2BF6">
        <w:rPr>
          <w:rFonts w:asciiTheme="minorHAnsi" w:eastAsiaTheme="minorHAnsi" w:hAnsiTheme="minorHAnsi" w:cs="Arial"/>
          <w:bCs/>
          <w:color w:val="000000" w:themeColor="text1"/>
          <w:lang w:val="en-AU"/>
        </w:rPr>
        <w:t>with caution and</w:t>
      </w:r>
      <w:r w:rsidR="00BB6EBD">
        <w:rPr>
          <w:rFonts w:asciiTheme="minorHAnsi" w:eastAsiaTheme="minorHAnsi" w:hAnsiTheme="minorHAnsi" w:cs="Arial"/>
          <w:bCs/>
          <w:color w:val="000000" w:themeColor="text1"/>
          <w:lang w:val="en-AU"/>
        </w:rPr>
        <w:t xml:space="preserve"> monitor closely in</w:t>
      </w:r>
      <w:r w:rsidRPr="00AF2BF6">
        <w:rPr>
          <w:rFonts w:asciiTheme="minorHAnsi" w:eastAsiaTheme="minorHAnsi" w:hAnsiTheme="minorHAnsi" w:cs="Arial"/>
          <w:bCs/>
          <w:color w:val="000000" w:themeColor="text1"/>
          <w:lang w:val="en-AU"/>
        </w:rPr>
        <w:t xml:space="preserve"> this population (see </w:t>
      </w:r>
      <w:r w:rsidRPr="00AF2BF6">
        <w:rPr>
          <w:rFonts w:asciiTheme="minorHAnsi" w:eastAsiaTheme="minorHAnsi" w:hAnsiTheme="minorHAnsi" w:cs="Arial"/>
          <w:bCs/>
          <w:i/>
          <w:iCs/>
          <w:color w:val="000000" w:themeColor="text1"/>
          <w:lang w:val="en-AU"/>
        </w:rPr>
        <w:t>sections 4.2</w:t>
      </w:r>
      <w:r w:rsidR="00860C53" w:rsidRPr="00AF2BF6">
        <w:rPr>
          <w:rFonts w:asciiTheme="minorHAnsi" w:eastAsiaTheme="minorHAnsi" w:hAnsiTheme="minorHAnsi" w:cs="Arial"/>
          <w:bCs/>
          <w:i/>
          <w:iCs/>
          <w:color w:val="000000" w:themeColor="text1"/>
          <w:lang w:val="en-AU"/>
        </w:rPr>
        <w:t xml:space="preserve"> - </w:t>
      </w:r>
      <w:r w:rsidR="008C510B">
        <w:rPr>
          <w:rFonts w:asciiTheme="minorHAnsi" w:eastAsiaTheme="minorHAnsi" w:hAnsiTheme="minorHAnsi" w:cs="Arial"/>
          <w:bCs/>
          <w:i/>
          <w:iCs/>
          <w:color w:val="000000" w:themeColor="text1"/>
          <w:lang w:val="en-AU"/>
        </w:rPr>
        <w:t>Dose</w:t>
      </w:r>
      <w:r w:rsidR="00860C53" w:rsidRPr="00AF2BF6">
        <w:rPr>
          <w:rFonts w:asciiTheme="minorHAnsi" w:eastAsiaTheme="minorHAnsi" w:hAnsiTheme="minorHAnsi" w:cs="Arial"/>
          <w:bCs/>
          <w:i/>
          <w:iCs/>
          <w:color w:val="000000" w:themeColor="text1"/>
          <w:lang w:val="en-AU"/>
        </w:rPr>
        <w:t xml:space="preserve"> and method of administration</w:t>
      </w:r>
      <w:r w:rsidR="00CB46CD"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and </w:t>
      </w:r>
      <w:r w:rsidRPr="00AF2BF6">
        <w:rPr>
          <w:rFonts w:asciiTheme="minorHAnsi" w:eastAsiaTheme="minorHAnsi" w:hAnsiTheme="minorHAnsi" w:cs="Arial"/>
          <w:bCs/>
          <w:i/>
          <w:iCs/>
          <w:color w:val="000000" w:themeColor="text1"/>
          <w:lang w:val="en-AU"/>
        </w:rPr>
        <w:t>5.2</w:t>
      </w:r>
      <w:r w:rsidR="003028CF" w:rsidRPr="00AF2BF6">
        <w:rPr>
          <w:rFonts w:asciiTheme="minorHAnsi" w:hAnsiTheme="minorHAnsi" w:cstheme="minorHAnsi"/>
          <w:i/>
          <w:iCs/>
          <w:color w:val="000000"/>
          <w:lang w:val="en-AU"/>
        </w:rPr>
        <w:t xml:space="preserve"> - </w:t>
      </w:r>
      <w:r w:rsidR="003028CF" w:rsidRPr="00AF2BF6">
        <w:rPr>
          <w:rFonts w:asciiTheme="minorHAnsi" w:hAnsiTheme="minorHAnsi" w:cstheme="minorHAnsi"/>
          <w:i/>
          <w:iCs/>
          <w:lang w:val="en-AU"/>
        </w:rPr>
        <w:t>Pharmacokinetic properties</w:t>
      </w:r>
      <w:r w:rsidRPr="00AF2BF6">
        <w:rPr>
          <w:rFonts w:asciiTheme="minorHAnsi" w:eastAsiaTheme="minorHAnsi" w:hAnsiTheme="minorHAnsi" w:cs="Arial"/>
          <w:bCs/>
          <w:color w:val="000000" w:themeColor="text1"/>
          <w:lang w:val="en-AU"/>
        </w:rPr>
        <w:t>).</w:t>
      </w:r>
    </w:p>
    <w:p w14:paraId="4D87AB9B" w14:textId="1CF1E5C4" w:rsidR="00942741" w:rsidRDefault="00942741" w:rsidP="00450D1E">
      <w:pPr>
        <w:pStyle w:val="Heading4"/>
      </w:pPr>
      <w:r w:rsidRPr="006F774C">
        <w:t>Use in the elderly</w:t>
      </w:r>
    </w:p>
    <w:p w14:paraId="07085118" w14:textId="799E281B" w:rsidR="00942741" w:rsidRPr="002E1B51" w:rsidRDefault="006F774C" w:rsidP="002E1B51">
      <w:pPr>
        <w:widowControl/>
        <w:autoSpaceDE/>
        <w:autoSpaceDN/>
        <w:spacing w:after="200" w:line="276" w:lineRule="auto"/>
        <w:rPr>
          <w:rFonts w:asciiTheme="minorHAnsi" w:eastAsiaTheme="minorHAnsi" w:hAnsiTheme="minorHAnsi" w:cs="Arial"/>
          <w:color w:val="000000" w:themeColor="text1"/>
        </w:rPr>
      </w:pPr>
      <w:r w:rsidRPr="002E1B51">
        <w:rPr>
          <w:rFonts w:asciiTheme="minorHAnsi" w:eastAsiaTheme="minorHAnsi" w:hAnsiTheme="minorHAnsi" w:cs="Arial"/>
          <w:bCs/>
          <w:color w:val="000000" w:themeColor="text1"/>
          <w:lang w:val="en-AU"/>
        </w:rPr>
        <w:t xml:space="preserve">No overall differences in effectiveness or safety were observed </w:t>
      </w:r>
      <w:r>
        <w:rPr>
          <w:rFonts w:asciiTheme="minorHAnsi" w:eastAsiaTheme="minorHAnsi" w:hAnsiTheme="minorHAnsi" w:cs="Arial"/>
          <w:bCs/>
          <w:color w:val="000000" w:themeColor="text1"/>
          <w:lang w:val="en-AU"/>
        </w:rPr>
        <w:t>in</w:t>
      </w:r>
      <w:r w:rsidRPr="002E1B51">
        <w:rPr>
          <w:rFonts w:asciiTheme="minorHAnsi" w:eastAsiaTheme="minorHAnsi" w:hAnsiTheme="minorHAnsi" w:cs="Arial"/>
          <w:bCs/>
          <w:color w:val="000000" w:themeColor="text1"/>
          <w:lang w:val="en-AU"/>
        </w:rPr>
        <w:t xml:space="preserve"> patients </w:t>
      </w:r>
      <w:r w:rsidRPr="00AF2BF6">
        <w:rPr>
          <w:rFonts w:asciiTheme="minorHAnsi" w:eastAsiaTheme="minorHAnsi" w:hAnsiTheme="minorHAnsi" w:cs="Arial"/>
          <w:bCs/>
          <w:color w:val="000000" w:themeColor="text1"/>
          <w:lang w:val="en-AU"/>
        </w:rPr>
        <w:t>≥</w:t>
      </w:r>
      <w:r w:rsidRPr="002E1B51">
        <w:rPr>
          <w:rFonts w:asciiTheme="minorHAnsi" w:eastAsiaTheme="minorHAnsi" w:hAnsiTheme="minorHAnsi" w:cs="Arial"/>
          <w:bCs/>
          <w:color w:val="000000" w:themeColor="text1"/>
          <w:lang w:val="en-AU"/>
        </w:rPr>
        <w:t>65</w:t>
      </w:r>
      <w:r>
        <w:rPr>
          <w:rFonts w:asciiTheme="minorHAnsi" w:eastAsiaTheme="minorHAnsi" w:hAnsiTheme="minorHAnsi" w:cs="Arial"/>
          <w:bCs/>
          <w:color w:val="000000" w:themeColor="text1"/>
          <w:lang w:val="en-AU"/>
        </w:rPr>
        <w:t xml:space="preserve"> </w:t>
      </w:r>
      <w:r w:rsidRPr="002E1B51">
        <w:rPr>
          <w:rFonts w:asciiTheme="minorHAnsi" w:eastAsiaTheme="minorHAnsi" w:hAnsiTheme="minorHAnsi" w:cs="Arial"/>
          <w:bCs/>
          <w:color w:val="000000" w:themeColor="text1"/>
          <w:lang w:val="en-AU"/>
        </w:rPr>
        <w:t xml:space="preserve">years </w:t>
      </w:r>
      <w:r>
        <w:rPr>
          <w:rFonts w:asciiTheme="minorHAnsi" w:eastAsiaTheme="minorHAnsi" w:hAnsiTheme="minorHAnsi" w:cs="Arial"/>
          <w:bCs/>
          <w:color w:val="000000" w:themeColor="text1"/>
          <w:lang w:val="en-AU"/>
        </w:rPr>
        <w:t xml:space="preserve">of age (see </w:t>
      </w:r>
      <w:r w:rsidRPr="00AF2BF6">
        <w:rPr>
          <w:rFonts w:asciiTheme="minorHAnsi" w:eastAsiaTheme="minorHAnsi" w:hAnsiTheme="minorHAnsi" w:cs="Arial"/>
          <w:bCs/>
          <w:i/>
          <w:iCs/>
          <w:color w:val="000000" w:themeColor="text1"/>
          <w:lang w:val="en-AU"/>
        </w:rPr>
        <w:t>4.8 - Adverse effects (Undesirable effects)</w:t>
      </w:r>
      <w:r w:rsidRPr="00AF2BF6">
        <w:rPr>
          <w:rFonts w:asciiTheme="minorHAnsi" w:eastAsiaTheme="minorHAnsi" w:hAnsiTheme="minorHAnsi" w:cs="Arial"/>
          <w:bCs/>
          <w:color w:val="000000" w:themeColor="text1"/>
          <w:lang w:val="en-AU"/>
        </w:rPr>
        <w:t>)</w:t>
      </w:r>
      <w:r w:rsidRPr="002E1B51">
        <w:rPr>
          <w:rFonts w:asciiTheme="minorHAnsi" w:eastAsiaTheme="minorHAnsi" w:hAnsiTheme="minorHAnsi" w:cs="Arial"/>
          <w:bCs/>
          <w:color w:val="000000" w:themeColor="text1"/>
          <w:lang w:val="en-AU"/>
        </w:rPr>
        <w:t>.</w:t>
      </w:r>
    </w:p>
    <w:p w14:paraId="30BF42D2" w14:textId="4DCA85AF" w:rsidR="00942741" w:rsidRDefault="00942741" w:rsidP="00450D1E">
      <w:pPr>
        <w:pStyle w:val="Heading4"/>
      </w:pPr>
      <w:r>
        <w:t>Paediatric use</w:t>
      </w:r>
    </w:p>
    <w:p w14:paraId="4C8AF1E7" w14:textId="21E636F4" w:rsidR="00BB6EBD" w:rsidRPr="002E1B51" w:rsidRDefault="00942741" w:rsidP="002E1B5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The safety and efficacy of TIBSOVO (ivosidenib) in children and adolescents ˂18 years old have not been established.</w:t>
      </w:r>
      <w:r w:rsidR="006F774C">
        <w:rPr>
          <w:rFonts w:asciiTheme="minorHAnsi" w:eastAsiaTheme="minorHAnsi" w:hAnsiTheme="minorHAnsi" w:cs="Arial"/>
          <w:bCs/>
          <w:color w:val="000000" w:themeColor="text1"/>
          <w:lang w:val="en-AU"/>
        </w:rPr>
        <w:t xml:space="preserve"> No data are available.</w:t>
      </w:r>
    </w:p>
    <w:p w14:paraId="2029F9B3" w14:textId="6EBB0FF3" w:rsidR="00942741" w:rsidRPr="000B21D5" w:rsidRDefault="00942741" w:rsidP="00450D1E">
      <w:pPr>
        <w:pStyle w:val="Heading4"/>
      </w:pPr>
      <w:r w:rsidRPr="000B21D5">
        <w:t>Effects on laboratory tests</w:t>
      </w:r>
    </w:p>
    <w:p w14:paraId="195FD16B" w14:textId="0A45297E" w:rsidR="00942741" w:rsidRPr="002E1B51" w:rsidRDefault="006F774C" w:rsidP="002E1B51">
      <w:pPr>
        <w:widowControl/>
        <w:autoSpaceDE/>
        <w:autoSpaceDN/>
        <w:spacing w:after="200" w:line="276" w:lineRule="auto"/>
        <w:rPr>
          <w:rFonts w:asciiTheme="minorHAnsi" w:eastAsiaTheme="minorHAnsi" w:hAnsiTheme="minorHAnsi" w:cs="Arial"/>
          <w:color w:val="000000" w:themeColor="text1"/>
        </w:rPr>
      </w:pPr>
      <w:r w:rsidRPr="000B21D5">
        <w:rPr>
          <w:rFonts w:asciiTheme="minorHAnsi" w:eastAsiaTheme="minorHAnsi" w:hAnsiTheme="minorHAnsi" w:cs="Arial"/>
          <w:bCs/>
          <w:color w:val="000000" w:themeColor="text1"/>
          <w:lang w:val="en-AU"/>
        </w:rPr>
        <w:t>See</w:t>
      </w:r>
      <w:r w:rsidR="00937B24">
        <w:rPr>
          <w:rFonts w:asciiTheme="minorHAnsi" w:eastAsiaTheme="minorHAnsi" w:hAnsiTheme="minorHAnsi" w:cs="Arial"/>
          <w:bCs/>
          <w:color w:val="000000" w:themeColor="text1"/>
          <w:lang w:val="en-AU"/>
        </w:rPr>
        <w:t xml:space="preserve"> Table 4</w:t>
      </w:r>
      <w:r w:rsidRPr="008305F4">
        <w:rPr>
          <w:rFonts w:asciiTheme="minorHAnsi" w:eastAsiaTheme="minorHAnsi" w:hAnsiTheme="minorHAnsi" w:cs="Arial"/>
          <w:bCs/>
          <w:color w:val="0000FF"/>
          <w:lang w:val="en-AU"/>
        </w:rPr>
        <w:t xml:space="preserve"> </w:t>
      </w:r>
      <w:r w:rsidR="00576081" w:rsidRPr="000B21D5">
        <w:rPr>
          <w:rFonts w:asciiTheme="minorHAnsi" w:eastAsiaTheme="minorHAnsi" w:hAnsiTheme="minorHAnsi" w:cs="Arial"/>
          <w:bCs/>
          <w:color w:val="000000" w:themeColor="text1"/>
          <w:lang w:val="en-AU"/>
        </w:rPr>
        <w:t xml:space="preserve">in </w:t>
      </w:r>
      <w:r w:rsidRPr="000B21D5">
        <w:rPr>
          <w:rFonts w:asciiTheme="minorHAnsi" w:eastAsiaTheme="minorHAnsi" w:hAnsiTheme="minorHAnsi" w:cs="Arial"/>
          <w:bCs/>
          <w:i/>
          <w:iCs/>
          <w:color w:val="000000" w:themeColor="text1"/>
          <w:lang w:val="en-AU"/>
        </w:rPr>
        <w:t>section</w:t>
      </w:r>
      <w:r w:rsidRPr="000B21D5">
        <w:rPr>
          <w:rFonts w:asciiTheme="minorHAnsi" w:eastAsiaTheme="minorHAnsi" w:hAnsiTheme="minorHAnsi" w:cs="Arial"/>
          <w:bCs/>
          <w:color w:val="000000" w:themeColor="text1"/>
          <w:lang w:val="en-AU"/>
        </w:rPr>
        <w:t xml:space="preserve"> </w:t>
      </w:r>
      <w:r w:rsidRPr="000B21D5">
        <w:rPr>
          <w:rFonts w:asciiTheme="minorHAnsi" w:eastAsiaTheme="minorHAnsi" w:hAnsiTheme="minorHAnsi" w:cs="Arial"/>
          <w:bCs/>
          <w:i/>
          <w:iCs/>
          <w:color w:val="000000" w:themeColor="text1"/>
          <w:lang w:val="en-AU"/>
        </w:rPr>
        <w:t>4.8 - Adverse effects (Undesirable effects)</w:t>
      </w:r>
      <w:r w:rsidRPr="000B21D5">
        <w:rPr>
          <w:rFonts w:asciiTheme="minorHAnsi" w:eastAsiaTheme="minorHAnsi" w:hAnsiTheme="minorHAnsi" w:cs="Arial"/>
          <w:bCs/>
          <w:color w:val="000000" w:themeColor="text1"/>
          <w:lang w:val="en-AU"/>
        </w:rPr>
        <w:t>)</w:t>
      </w:r>
      <w:r w:rsidR="00353057" w:rsidRPr="000B21D5">
        <w:rPr>
          <w:rFonts w:asciiTheme="minorHAnsi" w:eastAsiaTheme="minorHAnsi" w:hAnsiTheme="minorHAnsi" w:cs="Arial"/>
          <w:bCs/>
          <w:color w:val="000000" w:themeColor="text1"/>
          <w:lang w:val="en-AU"/>
        </w:rPr>
        <w:t>.</w:t>
      </w:r>
      <w:r w:rsidRPr="002E1B51">
        <w:rPr>
          <w:rFonts w:asciiTheme="minorHAnsi" w:eastAsiaTheme="minorHAnsi" w:hAnsiTheme="minorHAnsi" w:cs="Arial"/>
          <w:bCs/>
          <w:color w:val="000000" w:themeColor="text1"/>
          <w:lang w:val="en-AU"/>
        </w:rPr>
        <w:t xml:space="preserve"> </w:t>
      </w:r>
    </w:p>
    <w:p w14:paraId="15A9E0F3" w14:textId="1DBEB1C3" w:rsidR="00F50D3D" w:rsidRPr="00AF2BF6" w:rsidRDefault="00647ECA" w:rsidP="00450D1E">
      <w:pPr>
        <w:pStyle w:val="Heading4"/>
      </w:pPr>
      <w:r>
        <w:t>Reproductive toxicity</w:t>
      </w:r>
    </w:p>
    <w:p w14:paraId="15A9E101" w14:textId="2F61F1CF" w:rsidR="00F50D3D" w:rsidRPr="00AF2BF6" w:rsidRDefault="00647ECA" w:rsidP="0027374F">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TIBSOVO may cause fetal harm if administered during</w:t>
      </w:r>
      <w:r w:rsidR="00C56D2F" w:rsidRPr="00AF2BF6">
        <w:rPr>
          <w:rFonts w:asciiTheme="minorHAnsi" w:eastAsiaTheme="minorHAnsi" w:hAnsiTheme="minorHAnsi" w:cs="Arial"/>
          <w:bCs/>
          <w:color w:val="000000" w:themeColor="text1"/>
          <w:lang w:val="en-AU"/>
        </w:rPr>
        <w:t xml:space="preserve"> pregnancy</w:t>
      </w:r>
      <w:r>
        <w:rPr>
          <w:rFonts w:asciiTheme="minorHAnsi" w:eastAsiaTheme="minorHAnsi" w:hAnsiTheme="minorHAnsi" w:cs="Arial"/>
          <w:bCs/>
          <w:color w:val="000000" w:themeColor="text1"/>
          <w:lang w:val="en-AU"/>
        </w:rPr>
        <w:t>.</w:t>
      </w:r>
      <w:r w:rsidR="00C56D2F"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Verify pregnancy status</w:t>
      </w:r>
      <w:r w:rsidRPr="00AF2BF6">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prior to starting treatment</w:t>
      </w:r>
      <w:r>
        <w:rPr>
          <w:rFonts w:asciiTheme="minorHAnsi" w:eastAsiaTheme="minorHAnsi" w:hAnsiTheme="minorHAnsi" w:cs="Arial"/>
          <w:bCs/>
          <w:color w:val="000000" w:themeColor="text1"/>
          <w:lang w:val="en-AU"/>
        </w:rPr>
        <w:t>, and advi</w:t>
      </w:r>
      <w:r w:rsidR="0030701B">
        <w:rPr>
          <w:rFonts w:asciiTheme="minorHAnsi" w:eastAsiaTheme="minorHAnsi" w:hAnsiTheme="minorHAnsi" w:cs="Arial"/>
          <w:bCs/>
          <w:color w:val="000000" w:themeColor="text1"/>
          <w:lang w:val="en-AU"/>
        </w:rPr>
        <w:t>s</w:t>
      </w:r>
      <w:r>
        <w:rPr>
          <w:rFonts w:asciiTheme="minorHAnsi" w:eastAsiaTheme="minorHAnsi" w:hAnsiTheme="minorHAnsi" w:cs="Arial"/>
          <w:bCs/>
          <w:color w:val="000000" w:themeColor="text1"/>
          <w:lang w:val="en-AU"/>
        </w:rPr>
        <w:t>e</w:t>
      </w:r>
      <w:r w:rsidR="0030701B">
        <w:rPr>
          <w:rFonts w:asciiTheme="minorHAnsi" w:eastAsiaTheme="minorHAnsi" w:hAnsiTheme="minorHAnsi" w:cs="Arial"/>
          <w:bCs/>
          <w:color w:val="000000" w:themeColor="text1"/>
          <w:lang w:val="en-AU"/>
        </w:rPr>
        <w:t xml:space="preserve"> the use of barrier contraception as </w:t>
      </w:r>
      <w:r>
        <w:rPr>
          <w:rFonts w:asciiTheme="minorHAnsi" w:eastAsiaTheme="minorHAnsi" w:hAnsiTheme="minorHAnsi" w:cs="Arial"/>
          <w:bCs/>
          <w:color w:val="000000" w:themeColor="text1"/>
          <w:lang w:val="en-AU"/>
        </w:rPr>
        <w:t>i</w:t>
      </w:r>
      <w:r w:rsidR="00C56D2F" w:rsidRPr="00AF2BF6">
        <w:rPr>
          <w:rFonts w:asciiTheme="minorHAnsi" w:eastAsiaTheme="minorHAnsi" w:hAnsiTheme="minorHAnsi" w:cs="Arial"/>
          <w:bCs/>
          <w:color w:val="000000" w:themeColor="text1"/>
          <w:lang w:val="en-AU"/>
        </w:rPr>
        <w:t xml:space="preserve">vosidenib may decrease systemic concentrations of hormonal contraceptives (see </w:t>
      </w:r>
      <w:r w:rsidR="00C56D2F" w:rsidRPr="00AF2BF6">
        <w:rPr>
          <w:rFonts w:asciiTheme="minorHAnsi" w:eastAsiaTheme="minorHAnsi" w:hAnsiTheme="minorHAnsi" w:cs="Arial"/>
          <w:bCs/>
          <w:i/>
          <w:iCs/>
          <w:color w:val="000000" w:themeColor="text1"/>
          <w:lang w:val="en-AU"/>
        </w:rPr>
        <w:t>sections 4.5</w:t>
      </w:r>
      <w:r w:rsidR="00860C53" w:rsidRPr="00AF2BF6">
        <w:rPr>
          <w:rFonts w:asciiTheme="minorHAnsi" w:eastAsiaTheme="minorHAnsi" w:hAnsiTheme="minorHAnsi" w:cs="Arial"/>
          <w:bCs/>
          <w:color w:val="000000" w:themeColor="text1"/>
          <w:lang w:val="en-AU"/>
        </w:rPr>
        <w:t xml:space="preserve"> </w:t>
      </w:r>
      <w:r w:rsidR="00860C53" w:rsidRPr="00AF2BF6">
        <w:rPr>
          <w:rFonts w:asciiTheme="minorHAnsi" w:eastAsiaTheme="minorHAnsi" w:hAnsiTheme="minorHAnsi" w:cs="Arial"/>
          <w:bCs/>
          <w:i/>
          <w:iCs/>
          <w:color w:val="000000" w:themeColor="text1"/>
          <w:lang w:val="en-AU"/>
        </w:rPr>
        <w:t>- Interactions with other medicines and other forms of interactions</w:t>
      </w:r>
      <w:r w:rsidR="00C56D2F" w:rsidRPr="00AF2BF6">
        <w:rPr>
          <w:rFonts w:asciiTheme="minorHAnsi" w:eastAsiaTheme="minorHAnsi" w:hAnsiTheme="minorHAnsi" w:cs="Arial"/>
          <w:bCs/>
          <w:color w:val="000000" w:themeColor="text1"/>
          <w:lang w:val="en-AU"/>
        </w:rPr>
        <w:t xml:space="preserve"> and </w:t>
      </w:r>
      <w:r w:rsidR="00C56D2F" w:rsidRPr="00AF2BF6">
        <w:rPr>
          <w:rFonts w:asciiTheme="minorHAnsi" w:eastAsiaTheme="minorHAnsi" w:hAnsiTheme="minorHAnsi" w:cs="Arial"/>
          <w:bCs/>
          <w:i/>
          <w:iCs/>
          <w:color w:val="000000" w:themeColor="text1"/>
          <w:lang w:val="en-AU"/>
        </w:rPr>
        <w:t>4.6</w:t>
      </w:r>
      <w:r w:rsidR="00860C53" w:rsidRPr="00AF2BF6">
        <w:rPr>
          <w:rFonts w:asciiTheme="minorHAnsi" w:eastAsiaTheme="minorHAnsi" w:hAnsiTheme="minorHAnsi" w:cs="Arial"/>
          <w:bCs/>
          <w:color w:val="000000" w:themeColor="text1"/>
          <w:lang w:val="en-AU"/>
        </w:rPr>
        <w:t xml:space="preserve"> -</w:t>
      </w:r>
      <w:r w:rsidR="00860C53" w:rsidRPr="00AF2BF6">
        <w:rPr>
          <w:rFonts w:asciiTheme="minorHAnsi" w:hAnsiTheme="minorHAnsi" w:cstheme="minorHAnsi"/>
          <w:i/>
          <w:iCs/>
          <w:lang w:val="en-AU"/>
        </w:rPr>
        <w:t xml:space="preserve"> Fertility, pregnancy and lactation</w:t>
      </w:r>
      <w:r w:rsidR="00C56D2F" w:rsidRPr="00AF2BF6">
        <w:rPr>
          <w:rFonts w:asciiTheme="minorHAnsi" w:eastAsiaTheme="minorHAnsi" w:hAnsiTheme="minorHAnsi" w:cs="Arial"/>
          <w:bCs/>
          <w:color w:val="000000" w:themeColor="text1"/>
          <w:lang w:val="en-AU"/>
        </w:rPr>
        <w:t>).</w:t>
      </w:r>
    </w:p>
    <w:p w14:paraId="7D0A9AE0" w14:textId="77777777" w:rsidR="00C5514F" w:rsidRDefault="00C5514F" w:rsidP="00450D1E">
      <w:pPr>
        <w:pStyle w:val="Heading4"/>
      </w:pPr>
      <w:bookmarkStart w:id="3" w:name="_Hlk120021461"/>
      <w:r>
        <w:t>Interactions</w:t>
      </w:r>
    </w:p>
    <w:p w14:paraId="1AE4721F" w14:textId="4E724526" w:rsidR="00C5514F" w:rsidRPr="007D449A" w:rsidRDefault="00C5514F" w:rsidP="00C5514F">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 xml:space="preserve">Clinically significant interactions are predicted </w:t>
      </w:r>
      <w:r w:rsidR="00433995">
        <w:rPr>
          <w:rFonts w:asciiTheme="minorHAnsi" w:eastAsiaTheme="minorHAnsi" w:hAnsiTheme="minorHAnsi" w:cs="Arial"/>
          <w:bCs/>
          <w:color w:val="000000" w:themeColor="text1"/>
          <w:lang w:val="en-AU"/>
        </w:rPr>
        <w:t>with</w:t>
      </w:r>
      <w:r>
        <w:rPr>
          <w:rFonts w:asciiTheme="minorHAnsi" w:eastAsiaTheme="minorHAnsi" w:hAnsiTheme="minorHAnsi" w:cs="Arial"/>
          <w:bCs/>
          <w:color w:val="000000" w:themeColor="text1"/>
          <w:lang w:val="en-AU"/>
        </w:rPr>
        <w:t xml:space="preserve"> ivosidenib. Give advice regarding potential for food interactions and review concomitant medications (</w:t>
      </w:r>
      <w:r w:rsidRPr="00803AA1">
        <w:rPr>
          <w:rFonts w:asciiTheme="minorHAnsi" w:eastAsiaTheme="minorHAnsi" w:hAnsiTheme="minorHAnsi" w:cs="Arial"/>
          <w:bCs/>
          <w:color w:val="000000" w:themeColor="text1"/>
          <w:lang w:val="en-AU"/>
        </w:rPr>
        <w:t>see</w:t>
      </w:r>
      <w:r w:rsidR="0030701B">
        <w:rPr>
          <w:rFonts w:asciiTheme="minorHAnsi" w:eastAsiaTheme="minorHAnsi" w:hAnsiTheme="minorHAnsi" w:cs="Arial"/>
          <w:bCs/>
          <w:color w:val="000000" w:themeColor="text1"/>
          <w:lang w:val="en-AU"/>
        </w:rPr>
        <w:t xml:space="preserve"> </w:t>
      </w:r>
      <w:r w:rsidR="0030701B">
        <w:rPr>
          <w:rFonts w:asciiTheme="minorHAnsi" w:eastAsiaTheme="minorHAnsi" w:hAnsiTheme="minorHAnsi" w:cs="Arial"/>
          <w:bCs/>
          <w:i/>
          <w:iCs/>
          <w:color w:val="000000" w:themeColor="text1"/>
          <w:lang w:val="en-AU"/>
        </w:rPr>
        <w:t>QT interval prolongation</w:t>
      </w:r>
      <w:r w:rsidR="0030701B">
        <w:rPr>
          <w:rFonts w:asciiTheme="minorHAnsi" w:eastAsiaTheme="minorHAnsi" w:hAnsiTheme="minorHAnsi" w:cs="Arial"/>
          <w:bCs/>
          <w:color w:val="000000" w:themeColor="text1"/>
          <w:lang w:val="en-AU"/>
        </w:rPr>
        <w:t xml:space="preserve"> and </w:t>
      </w:r>
      <w:r w:rsidR="0030701B">
        <w:rPr>
          <w:rFonts w:asciiTheme="minorHAnsi" w:eastAsiaTheme="minorHAnsi" w:hAnsiTheme="minorHAnsi" w:cs="Arial"/>
          <w:bCs/>
          <w:i/>
          <w:iCs/>
          <w:color w:val="000000" w:themeColor="text1"/>
          <w:lang w:val="en-AU"/>
        </w:rPr>
        <w:t>Reproductive toxicity,</w:t>
      </w:r>
      <w:r w:rsidR="0030701B">
        <w:rPr>
          <w:rFonts w:asciiTheme="minorHAnsi" w:eastAsiaTheme="minorHAnsi" w:hAnsiTheme="minorHAnsi" w:cs="Arial"/>
          <w:bCs/>
          <w:color w:val="000000" w:themeColor="text1"/>
          <w:lang w:val="en-AU"/>
        </w:rPr>
        <w:t xml:space="preserve"> </w:t>
      </w:r>
      <w:r w:rsidR="00803AA1" w:rsidRPr="00803AA1">
        <w:rPr>
          <w:rFonts w:asciiTheme="minorHAnsi" w:eastAsiaTheme="minorHAnsi" w:hAnsiTheme="minorHAnsi" w:cs="Arial"/>
          <w:bCs/>
          <w:color w:val="000000" w:themeColor="text1"/>
          <w:lang w:val="en-AU"/>
        </w:rPr>
        <w:t xml:space="preserve"> above</w:t>
      </w:r>
      <w:r w:rsidR="00803AA1">
        <w:rPr>
          <w:rFonts w:asciiTheme="minorHAnsi" w:eastAsiaTheme="minorHAnsi" w:hAnsiTheme="minorHAnsi" w:cs="Arial"/>
          <w:bCs/>
          <w:color w:val="000000" w:themeColor="text1"/>
          <w:lang w:val="en-AU"/>
        </w:rPr>
        <w:t>, and</w:t>
      </w:r>
      <w:r w:rsidRPr="007D449A">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i/>
          <w:iCs/>
          <w:color w:val="000000" w:themeColor="text1"/>
          <w:lang w:val="en-AU"/>
        </w:rPr>
        <w:t>section</w:t>
      </w:r>
      <w:r>
        <w:rPr>
          <w:rFonts w:asciiTheme="minorHAnsi" w:eastAsiaTheme="minorHAnsi" w:hAnsiTheme="minorHAnsi" w:cs="Arial"/>
          <w:bCs/>
          <w:i/>
          <w:iCs/>
          <w:color w:val="000000" w:themeColor="text1"/>
          <w:lang w:val="en-AU"/>
        </w:rPr>
        <w:t>s</w:t>
      </w:r>
      <w:r w:rsidRPr="00AF2BF6">
        <w:rPr>
          <w:rFonts w:asciiTheme="minorHAnsi" w:eastAsiaTheme="minorHAnsi" w:hAnsiTheme="minorHAnsi" w:cs="Arial"/>
          <w:bCs/>
          <w:i/>
          <w:iCs/>
          <w:color w:val="000000" w:themeColor="text1"/>
          <w:lang w:val="en-AU"/>
        </w:rPr>
        <w:t xml:space="preserve"> 4.5</w:t>
      </w:r>
      <w:r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i/>
          <w:iCs/>
          <w:color w:val="000000" w:themeColor="text1"/>
          <w:lang w:val="en-AU"/>
        </w:rPr>
        <w:t>- Interactions with other medicines and other forms of interactions</w:t>
      </w:r>
      <w:r>
        <w:rPr>
          <w:rFonts w:asciiTheme="minorHAnsi" w:eastAsiaTheme="minorHAnsi" w:hAnsiTheme="minorHAnsi" w:cs="Arial"/>
          <w:bCs/>
          <w:i/>
          <w:iCs/>
          <w:color w:val="000000" w:themeColor="text1"/>
          <w:lang w:val="en-AU"/>
        </w:rPr>
        <w:t xml:space="preserve"> </w:t>
      </w:r>
      <w:r>
        <w:rPr>
          <w:rFonts w:asciiTheme="minorHAnsi" w:eastAsiaTheme="minorHAnsi" w:hAnsiTheme="minorHAnsi" w:cs="Arial"/>
          <w:bCs/>
          <w:color w:val="000000" w:themeColor="text1"/>
          <w:lang w:val="en-AU"/>
        </w:rPr>
        <w:t>and</w:t>
      </w:r>
      <w:r>
        <w:rPr>
          <w:rFonts w:asciiTheme="minorHAnsi" w:eastAsiaTheme="minorHAnsi" w:hAnsiTheme="minorHAnsi" w:cs="Arial"/>
          <w:bCs/>
          <w:i/>
          <w:iCs/>
          <w:color w:val="000000" w:themeColor="text1"/>
          <w:lang w:val="en-AU"/>
        </w:rPr>
        <w:t xml:space="preserve"> </w:t>
      </w:r>
      <w:r w:rsidRPr="00624771">
        <w:rPr>
          <w:rFonts w:asciiTheme="minorHAnsi" w:eastAsiaTheme="minorHAnsi" w:hAnsiTheme="minorHAnsi" w:cs="Arial"/>
          <w:bCs/>
          <w:i/>
          <w:iCs/>
          <w:color w:val="000000" w:themeColor="text1"/>
          <w:lang w:val="en-AU"/>
        </w:rPr>
        <w:t>5.2</w:t>
      </w:r>
      <w:r>
        <w:rPr>
          <w:rFonts w:asciiTheme="minorHAnsi" w:eastAsiaTheme="minorHAnsi" w:hAnsiTheme="minorHAnsi" w:cs="Arial"/>
          <w:bCs/>
          <w:i/>
          <w:iCs/>
          <w:color w:val="000000" w:themeColor="text1"/>
          <w:lang w:val="en-AU"/>
        </w:rPr>
        <w:t xml:space="preserve"> -</w:t>
      </w:r>
      <w:r w:rsidRPr="00624771">
        <w:rPr>
          <w:rFonts w:asciiTheme="minorHAnsi" w:eastAsiaTheme="minorHAnsi" w:hAnsiTheme="minorHAnsi" w:cs="Arial"/>
          <w:bCs/>
          <w:i/>
          <w:iCs/>
          <w:color w:val="000000" w:themeColor="text1"/>
          <w:lang w:val="en-AU"/>
        </w:rPr>
        <w:t xml:space="preserve"> Pharmacokinetic properties</w:t>
      </w:r>
      <w:r w:rsidRPr="007D449A">
        <w:rPr>
          <w:rFonts w:asciiTheme="minorHAnsi" w:eastAsiaTheme="minorHAnsi" w:hAnsiTheme="minorHAnsi" w:cs="Arial"/>
          <w:bCs/>
          <w:color w:val="000000" w:themeColor="text1"/>
          <w:lang w:val="en-AU"/>
        </w:rPr>
        <w:t xml:space="preserve">). </w:t>
      </w:r>
    </w:p>
    <w:p w14:paraId="15A9E103" w14:textId="0C865904" w:rsidR="00F50D3D" w:rsidRPr="00AF2BF6" w:rsidRDefault="00C56D2F" w:rsidP="00621FF9">
      <w:pPr>
        <w:pStyle w:val="Heading2"/>
        <w:numPr>
          <w:ilvl w:val="1"/>
          <w:numId w:val="6"/>
        </w:numPr>
      </w:pPr>
      <w:r w:rsidRPr="00AF2BF6">
        <w:t>Interaction with other medicin</w:t>
      </w:r>
      <w:r w:rsidR="00A238D3" w:rsidRPr="00AF2BF6">
        <w:t>es</w:t>
      </w:r>
      <w:r w:rsidRPr="00AF2BF6">
        <w:t xml:space="preserve"> and other forms of interaction</w:t>
      </w:r>
    </w:p>
    <w:bookmarkEnd w:id="3"/>
    <w:p w14:paraId="3EF39EEA" w14:textId="06D7E3E5" w:rsidR="00CF6550" w:rsidRDefault="00CF6550" w:rsidP="000025A2">
      <w:pPr>
        <w:pStyle w:val="Heading3"/>
        <w:spacing w:before="120" w:after="120"/>
        <w:rPr>
          <w:b/>
          <w:bCs/>
          <w:szCs w:val="22"/>
        </w:rPr>
      </w:pPr>
      <w:r>
        <w:rPr>
          <w:b/>
          <w:bCs/>
          <w:szCs w:val="22"/>
        </w:rPr>
        <w:t>Summary</w:t>
      </w:r>
      <w:r w:rsidR="00353057">
        <w:rPr>
          <w:b/>
          <w:bCs/>
          <w:szCs w:val="22"/>
        </w:rPr>
        <w:t xml:space="preserve"> of interactions</w:t>
      </w:r>
    </w:p>
    <w:p w14:paraId="5DFE00D1" w14:textId="31265BE8" w:rsidR="00353057" w:rsidRDefault="00353057" w:rsidP="00353057">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 xml:space="preserve">Co-administration of ivosidenib with </w:t>
      </w:r>
      <w:r w:rsidR="00803AA1">
        <w:rPr>
          <w:rFonts w:asciiTheme="minorHAnsi" w:eastAsiaTheme="minorHAnsi" w:hAnsiTheme="minorHAnsi" w:cs="Arial"/>
          <w:bCs/>
          <w:color w:val="000000" w:themeColor="text1"/>
          <w:lang w:val="en-AU"/>
        </w:rPr>
        <w:t>certain medicines and foods</w:t>
      </w:r>
      <w:r>
        <w:rPr>
          <w:rFonts w:asciiTheme="minorHAnsi" w:eastAsiaTheme="minorHAnsi" w:hAnsiTheme="minorHAnsi" w:cs="Arial"/>
          <w:bCs/>
          <w:color w:val="000000" w:themeColor="text1"/>
          <w:lang w:val="en-AU"/>
        </w:rPr>
        <w:t xml:space="preserve"> </w:t>
      </w:r>
      <w:r w:rsidR="00970A3F">
        <w:rPr>
          <w:rFonts w:asciiTheme="minorHAnsi" w:eastAsiaTheme="minorHAnsi" w:hAnsiTheme="minorHAnsi" w:cs="Arial"/>
          <w:bCs/>
          <w:color w:val="000000" w:themeColor="text1"/>
          <w:lang w:val="en-AU"/>
        </w:rPr>
        <w:t>is likely to</w:t>
      </w:r>
      <w:r>
        <w:rPr>
          <w:rFonts w:asciiTheme="minorHAnsi" w:eastAsiaTheme="minorHAnsi" w:hAnsiTheme="minorHAnsi" w:cs="Arial"/>
          <w:bCs/>
          <w:color w:val="000000" w:themeColor="text1"/>
          <w:lang w:val="en-AU"/>
        </w:rPr>
        <w:t xml:space="preserve"> lead to clinically significant </w:t>
      </w:r>
      <w:r w:rsidR="00970A3F">
        <w:rPr>
          <w:rFonts w:asciiTheme="minorHAnsi" w:eastAsiaTheme="minorHAnsi" w:hAnsiTheme="minorHAnsi" w:cs="Arial"/>
          <w:bCs/>
          <w:color w:val="000000" w:themeColor="text1"/>
          <w:lang w:val="en-AU"/>
        </w:rPr>
        <w:t>interactions</w:t>
      </w:r>
      <w:r w:rsidRPr="00D44C4A">
        <w:rPr>
          <w:rFonts w:asciiTheme="minorHAnsi" w:eastAsiaTheme="minorHAnsi" w:hAnsiTheme="minorHAnsi" w:cs="Arial"/>
          <w:bCs/>
          <w:color w:val="000000" w:themeColor="text1"/>
          <w:lang w:val="en-AU"/>
        </w:rPr>
        <w:t>.</w:t>
      </w:r>
      <w:r>
        <w:rPr>
          <w:rFonts w:asciiTheme="minorHAnsi" w:eastAsiaTheme="minorHAnsi" w:hAnsiTheme="minorHAnsi" w:cs="Arial"/>
          <w:bCs/>
          <w:color w:val="000000" w:themeColor="text1"/>
          <w:lang w:val="en-AU"/>
        </w:rPr>
        <w:t xml:space="preserve"> Categories of substances that interact (or may interact) with ivosidenib are summarised in</w:t>
      </w:r>
      <w:r w:rsidR="00D44C4A">
        <w:rPr>
          <w:rFonts w:asciiTheme="minorHAnsi" w:eastAsiaTheme="minorHAnsi" w:hAnsiTheme="minorHAnsi" w:cs="Arial"/>
          <w:bCs/>
          <w:color w:val="000000" w:themeColor="text1"/>
          <w:lang w:val="en-AU"/>
        </w:rPr>
        <w:t xml:space="preserve"> </w:t>
      </w:r>
      <w:r w:rsidR="00937B24">
        <w:rPr>
          <w:rFonts w:asciiTheme="minorHAnsi" w:eastAsiaTheme="minorHAnsi" w:hAnsiTheme="minorHAnsi" w:cs="Arial"/>
          <w:bCs/>
          <w:color w:val="000000" w:themeColor="text1"/>
          <w:lang w:val="en-AU"/>
        </w:rPr>
        <w:t>Table 2</w:t>
      </w:r>
      <w:r>
        <w:rPr>
          <w:rFonts w:asciiTheme="minorHAnsi" w:eastAsiaTheme="minorHAnsi" w:hAnsiTheme="minorHAnsi" w:cs="Arial"/>
          <w:bCs/>
          <w:color w:val="000000" w:themeColor="text1"/>
          <w:lang w:val="en-AU"/>
        </w:rPr>
        <w:t>, though the included examples are not an exhaustive list.</w:t>
      </w:r>
    </w:p>
    <w:p w14:paraId="08679A03" w14:textId="77777777" w:rsidR="00347B63" w:rsidRDefault="00347B63" w:rsidP="00D44C4A">
      <w:pPr>
        <w:widowControl/>
        <w:autoSpaceDE/>
        <w:autoSpaceDN/>
        <w:spacing w:after="200" w:line="276" w:lineRule="auto"/>
        <w:rPr>
          <w:rFonts w:asciiTheme="minorHAnsi" w:eastAsiaTheme="minorHAnsi" w:hAnsiTheme="minorHAnsi" w:cs="Arial"/>
          <w:b/>
          <w:color w:val="000000" w:themeColor="text1"/>
          <w:lang w:val="en-AU"/>
        </w:rPr>
      </w:pPr>
      <w:bookmarkStart w:id="4" w:name="_Ref124887072"/>
    </w:p>
    <w:p w14:paraId="44BF5594" w14:textId="5AB26207" w:rsidR="00353057" w:rsidRPr="00353057" w:rsidRDefault="00D44C4A" w:rsidP="00D44C4A">
      <w:pPr>
        <w:widowControl/>
        <w:autoSpaceDE/>
        <w:autoSpaceDN/>
        <w:spacing w:after="200" w:line="276" w:lineRule="auto"/>
        <w:rPr>
          <w:rFonts w:asciiTheme="minorHAnsi" w:eastAsiaTheme="minorHAnsi" w:hAnsiTheme="minorHAnsi" w:cs="Arial"/>
          <w:b/>
          <w:color w:val="000000" w:themeColor="text1"/>
          <w:lang w:val="en-AU"/>
        </w:rPr>
      </w:pPr>
      <w:r w:rsidRPr="00D44C4A">
        <w:rPr>
          <w:rFonts w:asciiTheme="minorHAnsi" w:eastAsiaTheme="minorHAnsi" w:hAnsiTheme="minorHAnsi" w:cs="Arial"/>
          <w:b/>
          <w:color w:val="000000" w:themeColor="text1"/>
          <w:lang w:val="en-AU"/>
        </w:rPr>
        <w:lastRenderedPageBreak/>
        <w:t xml:space="preserve">Table </w:t>
      </w:r>
      <w:r w:rsidRPr="00D44C4A">
        <w:rPr>
          <w:rFonts w:asciiTheme="minorHAnsi" w:eastAsiaTheme="minorHAnsi" w:hAnsiTheme="minorHAnsi" w:cs="Arial"/>
          <w:b/>
          <w:color w:val="000000" w:themeColor="text1"/>
          <w:lang w:val="en-AU"/>
        </w:rPr>
        <w:fldChar w:fldCharType="begin"/>
      </w:r>
      <w:r w:rsidRPr="00D44C4A">
        <w:rPr>
          <w:rFonts w:asciiTheme="minorHAnsi" w:eastAsiaTheme="minorHAnsi" w:hAnsiTheme="minorHAnsi" w:cs="Arial"/>
          <w:b/>
          <w:color w:val="000000" w:themeColor="text1"/>
          <w:lang w:val="en-AU"/>
        </w:rPr>
        <w:instrText xml:space="preserve"> SEQ Table \* ARABIC </w:instrText>
      </w:r>
      <w:r w:rsidRPr="00D44C4A">
        <w:rPr>
          <w:rFonts w:asciiTheme="minorHAnsi" w:eastAsiaTheme="minorHAnsi" w:hAnsiTheme="minorHAnsi" w:cs="Arial"/>
          <w:b/>
          <w:color w:val="000000" w:themeColor="text1"/>
          <w:lang w:val="en-AU"/>
        </w:rPr>
        <w:fldChar w:fldCharType="separate"/>
      </w:r>
      <w:r w:rsidR="00C17B0F">
        <w:rPr>
          <w:rFonts w:asciiTheme="minorHAnsi" w:eastAsiaTheme="minorHAnsi" w:hAnsiTheme="minorHAnsi" w:cs="Arial"/>
          <w:b/>
          <w:noProof/>
          <w:color w:val="000000" w:themeColor="text1"/>
          <w:lang w:val="en-AU"/>
        </w:rPr>
        <w:t>2</w:t>
      </w:r>
      <w:r w:rsidRPr="00D44C4A">
        <w:rPr>
          <w:rFonts w:asciiTheme="minorHAnsi" w:eastAsiaTheme="minorHAnsi" w:hAnsiTheme="minorHAnsi" w:cs="Arial"/>
          <w:b/>
          <w:color w:val="000000" w:themeColor="text1"/>
          <w:lang w:val="en-AU"/>
        </w:rPr>
        <w:fldChar w:fldCharType="end"/>
      </w:r>
      <w:bookmarkEnd w:id="4"/>
      <w:r w:rsidRPr="00353057">
        <w:rPr>
          <w:rFonts w:asciiTheme="minorHAnsi" w:eastAsiaTheme="minorHAnsi" w:hAnsiTheme="minorHAnsi" w:cs="Arial"/>
          <w:b/>
          <w:color w:val="000000" w:themeColor="text1"/>
          <w:lang w:val="en-AU"/>
        </w:rPr>
        <w:t xml:space="preserve"> </w:t>
      </w:r>
      <w:r>
        <w:rPr>
          <w:rFonts w:asciiTheme="minorHAnsi" w:eastAsiaTheme="minorHAnsi" w:hAnsiTheme="minorHAnsi" w:cs="Arial"/>
          <w:b/>
          <w:color w:val="000000" w:themeColor="text1"/>
          <w:lang w:val="en-AU"/>
        </w:rPr>
        <w:t>-</w:t>
      </w:r>
      <w:r w:rsidR="00353057" w:rsidRPr="00353057">
        <w:rPr>
          <w:rFonts w:asciiTheme="minorHAnsi" w:eastAsiaTheme="minorHAnsi" w:hAnsiTheme="minorHAnsi" w:cs="Arial"/>
          <w:b/>
          <w:color w:val="000000" w:themeColor="text1"/>
          <w:lang w:val="en-AU"/>
        </w:rPr>
        <w:t xml:space="preserve">Summary of substances </w:t>
      </w:r>
      <w:r w:rsidR="00353057">
        <w:rPr>
          <w:rFonts w:asciiTheme="minorHAnsi" w:eastAsiaTheme="minorHAnsi" w:hAnsiTheme="minorHAnsi" w:cs="Arial"/>
          <w:b/>
          <w:color w:val="000000" w:themeColor="text1"/>
          <w:lang w:val="en-AU"/>
        </w:rPr>
        <w:t>with clinically relevant</w:t>
      </w:r>
      <w:r w:rsidR="00353057" w:rsidRPr="00353057">
        <w:rPr>
          <w:rFonts w:asciiTheme="minorHAnsi" w:eastAsiaTheme="minorHAnsi" w:hAnsiTheme="minorHAnsi" w:cs="Arial"/>
          <w:b/>
          <w:color w:val="000000" w:themeColor="text1"/>
          <w:lang w:val="en-AU"/>
        </w:rPr>
        <w:t xml:space="preserve"> </w:t>
      </w:r>
      <w:r w:rsidR="00353057">
        <w:rPr>
          <w:rFonts w:asciiTheme="minorHAnsi" w:eastAsiaTheme="minorHAnsi" w:hAnsiTheme="minorHAnsi" w:cs="Arial"/>
          <w:b/>
          <w:color w:val="000000" w:themeColor="text1"/>
          <w:lang w:val="en-AU"/>
        </w:rPr>
        <w:t xml:space="preserve">ivosidenib </w:t>
      </w:r>
      <w:r w:rsidR="00353057" w:rsidRPr="00353057">
        <w:rPr>
          <w:rFonts w:asciiTheme="minorHAnsi" w:eastAsiaTheme="minorHAnsi" w:hAnsiTheme="minorHAnsi" w:cs="Arial"/>
          <w:b/>
          <w:color w:val="000000" w:themeColor="text1"/>
          <w:lang w:val="en-AU"/>
        </w:rPr>
        <w:t>interact</w:t>
      </w:r>
      <w:r w:rsidR="00353057">
        <w:rPr>
          <w:rFonts w:asciiTheme="minorHAnsi" w:eastAsiaTheme="minorHAnsi" w:hAnsiTheme="minorHAnsi" w:cs="Arial"/>
          <w:b/>
          <w:color w:val="000000" w:themeColor="text1"/>
          <w:lang w:val="en-AU"/>
        </w:rPr>
        <w:t>ions</w:t>
      </w:r>
      <w:r w:rsidR="00353057" w:rsidRPr="00353057">
        <w:rPr>
          <w:rFonts w:asciiTheme="minorHAnsi" w:eastAsiaTheme="minorHAnsi" w:hAnsiTheme="minorHAnsi" w:cs="Arial"/>
          <w:b/>
          <w:color w:val="000000" w:themeColor="text1"/>
          <w:lang w:val="en-AU"/>
        </w:rPr>
        <w:t xml:space="preserve"> </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542"/>
        <w:gridCol w:w="3544"/>
        <w:gridCol w:w="3402"/>
      </w:tblGrid>
      <w:tr w:rsidR="003107D0" w:rsidRPr="00353057" w14:paraId="4ACD0005" w14:textId="77777777" w:rsidTr="00976909">
        <w:trPr>
          <w:tblHeader/>
        </w:trPr>
        <w:tc>
          <w:tcPr>
            <w:tcW w:w="2542" w:type="dxa"/>
            <w:tcBorders>
              <w:top w:val="single" w:sz="4" w:space="0" w:color="000000"/>
              <w:left w:val="single" w:sz="4" w:space="0" w:color="000000"/>
              <w:bottom w:val="single" w:sz="4" w:space="0" w:color="000000"/>
              <w:right w:val="single" w:sz="4" w:space="0" w:color="000000"/>
            </w:tcBorders>
          </w:tcPr>
          <w:p w14:paraId="59A7C8F5" w14:textId="77777777" w:rsidR="003107D0" w:rsidRPr="002E1B51" w:rsidRDefault="003107D0" w:rsidP="001B0F0C">
            <w:pPr>
              <w:keepNext/>
              <w:spacing w:before="20" w:after="20" w:line="247" w:lineRule="auto"/>
              <w:rPr>
                <w:rFonts w:asciiTheme="minorHAnsi" w:hAnsiTheme="minorHAnsi" w:cstheme="minorHAnsi"/>
                <w:b/>
                <w:sz w:val="20"/>
                <w:szCs w:val="20"/>
                <w:lang w:val="en-AU"/>
              </w:rPr>
            </w:pPr>
            <w:r w:rsidRPr="002E1B51">
              <w:rPr>
                <w:rFonts w:asciiTheme="minorHAnsi" w:hAnsiTheme="minorHAnsi" w:cstheme="minorHAnsi"/>
                <w:b/>
                <w:sz w:val="20"/>
                <w:szCs w:val="20"/>
                <w:lang w:val="en-AU"/>
              </w:rPr>
              <w:t>Category</w:t>
            </w:r>
          </w:p>
        </w:tc>
        <w:tc>
          <w:tcPr>
            <w:tcW w:w="3544" w:type="dxa"/>
            <w:tcBorders>
              <w:top w:val="single" w:sz="4" w:space="0" w:color="000000"/>
              <w:left w:val="single" w:sz="4" w:space="0" w:color="000000"/>
              <w:bottom w:val="single" w:sz="4" w:space="0" w:color="000000"/>
              <w:right w:val="single" w:sz="4" w:space="0" w:color="000000"/>
            </w:tcBorders>
          </w:tcPr>
          <w:p w14:paraId="14D546DC" w14:textId="77777777" w:rsidR="003107D0" w:rsidRPr="002E1B51" w:rsidRDefault="003107D0" w:rsidP="001B0F0C">
            <w:pPr>
              <w:keepNext/>
              <w:tabs>
                <w:tab w:val="left" w:pos="425"/>
              </w:tabs>
              <w:spacing w:before="20" w:after="20" w:line="252" w:lineRule="exact"/>
              <w:jc w:val="both"/>
              <w:rPr>
                <w:rFonts w:asciiTheme="minorHAnsi" w:hAnsiTheme="minorHAnsi" w:cstheme="minorHAnsi"/>
                <w:b/>
                <w:sz w:val="20"/>
                <w:szCs w:val="20"/>
                <w:lang w:val="en-AU"/>
              </w:rPr>
            </w:pPr>
            <w:r w:rsidRPr="002E1B51">
              <w:rPr>
                <w:rFonts w:asciiTheme="minorHAnsi" w:hAnsiTheme="minorHAnsi" w:cstheme="minorHAnsi"/>
                <w:b/>
                <w:sz w:val="20"/>
                <w:szCs w:val="20"/>
                <w:lang w:val="en-AU"/>
              </w:rPr>
              <w:t>Some examples</w:t>
            </w:r>
          </w:p>
        </w:tc>
        <w:tc>
          <w:tcPr>
            <w:tcW w:w="3402" w:type="dxa"/>
            <w:tcBorders>
              <w:top w:val="single" w:sz="4" w:space="0" w:color="000000"/>
              <w:left w:val="single" w:sz="4" w:space="0" w:color="000000"/>
              <w:bottom w:val="single" w:sz="4" w:space="0" w:color="000000"/>
              <w:right w:val="single" w:sz="4" w:space="0" w:color="000000"/>
            </w:tcBorders>
          </w:tcPr>
          <w:p w14:paraId="550C0FF5" w14:textId="77777777" w:rsidR="003107D0" w:rsidRPr="002E1B51" w:rsidRDefault="003107D0" w:rsidP="001B0F0C">
            <w:pPr>
              <w:keepNext/>
              <w:tabs>
                <w:tab w:val="left" w:pos="425"/>
              </w:tabs>
              <w:spacing w:before="20" w:after="20" w:line="252" w:lineRule="exact"/>
              <w:jc w:val="both"/>
              <w:rPr>
                <w:rFonts w:asciiTheme="minorHAnsi" w:hAnsiTheme="minorHAnsi" w:cstheme="minorHAnsi"/>
                <w:b/>
                <w:sz w:val="20"/>
                <w:szCs w:val="20"/>
                <w:lang w:val="en-AU"/>
              </w:rPr>
            </w:pPr>
            <w:r w:rsidRPr="002E1B51">
              <w:rPr>
                <w:rFonts w:asciiTheme="minorHAnsi" w:hAnsiTheme="minorHAnsi" w:cstheme="minorHAnsi"/>
                <w:b/>
                <w:sz w:val="20"/>
                <w:szCs w:val="20"/>
                <w:lang w:val="en-AU"/>
              </w:rPr>
              <w:t>Expected/possible outcome</w:t>
            </w:r>
          </w:p>
        </w:tc>
      </w:tr>
      <w:tr w:rsidR="003107D0" w:rsidRPr="00353057" w14:paraId="0335723A" w14:textId="77777777" w:rsidTr="00976909">
        <w:trPr>
          <w:tblHeader/>
        </w:trPr>
        <w:tc>
          <w:tcPr>
            <w:tcW w:w="2542" w:type="dxa"/>
          </w:tcPr>
          <w:p w14:paraId="3586ADBD" w14:textId="56AC20A8" w:rsidR="003107D0" w:rsidRPr="002E1B51" w:rsidRDefault="003107D0" w:rsidP="001B0F0C">
            <w:pPr>
              <w:keepNext/>
              <w:spacing w:before="20" w:after="20" w:line="247" w:lineRule="auto"/>
              <w:rPr>
                <w:rFonts w:asciiTheme="minorHAnsi" w:hAnsiTheme="minorHAnsi" w:cstheme="minorHAnsi"/>
                <w:sz w:val="20"/>
                <w:szCs w:val="20"/>
                <w:lang w:val="en-AU"/>
              </w:rPr>
            </w:pPr>
            <w:r w:rsidRPr="002E1B51">
              <w:rPr>
                <w:rFonts w:asciiTheme="minorHAnsi" w:hAnsiTheme="minorHAnsi" w:cstheme="minorHAnsi"/>
                <w:i/>
                <w:iCs/>
                <w:sz w:val="20"/>
                <w:szCs w:val="20"/>
                <w:lang w:val="en-AU"/>
              </w:rPr>
              <w:t>Strong CYP3A4 inducers</w:t>
            </w:r>
            <w:r>
              <w:rPr>
                <w:rFonts w:asciiTheme="minorHAnsi" w:hAnsiTheme="minorHAnsi" w:cstheme="minorHAnsi"/>
                <w:i/>
                <w:iCs/>
                <w:sz w:val="20"/>
                <w:szCs w:val="20"/>
                <w:lang w:val="en-AU"/>
              </w:rPr>
              <w:t xml:space="preserve"> </w:t>
            </w:r>
            <w:r w:rsidRPr="002E1B51">
              <w:rPr>
                <w:rFonts w:asciiTheme="minorHAnsi" w:hAnsiTheme="minorHAnsi" w:cstheme="minorHAnsi"/>
                <w:sz w:val="20"/>
                <w:szCs w:val="20"/>
                <w:vertAlign w:val="superscript"/>
                <w:lang w:val="en-AU"/>
              </w:rPr>
              <w:fldChar w:fldCharType="begin"/>
            </w:r>
            <w:r w:rsidRPr="002E1B51">
              <w:rPr>
                <w:rFonts w:asciiTheme="minorHAnsi" w:hAnsiTheme="minorHAnsi" w:cstheme="minorHAnsi"/>
                <w:sz w:val="20"/>
                <w:szCs w:val="20"/>
                <w:vertAlign w:val="superscript"/>
                <w:lang w:val="en-AU"/>
              </w:rPr>
              <w:instrText xml:space="preserve"> REF _Ref124508670 \n \h  \* MERGEFORMAT </w:instrText>
            </w:r>
            <w:r w:rsidRPr="002E1B51">
              <w:rPr>
                <w:rFonts w:asciiTheme="minorHAnsi" w:hAnsiTheme="minorHAnsi" w:cstheme="minorHAnsi"/>
                <w:sz w:val="20"/>
                <w:szCs w:val="20"/>
                <w:vertAlign w:val="superscript"/>
                <w:lang w:val="en-AU"/>
              </w:rPr>
            </w:r>
            <w:r w:rsidRPr="002E1B51">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2</w:t>
            </w:r>
            <w:r w:rsidRPr="002E1B51">
              <w:rPr>
                <w:rFonts w:asciiTheme="minorHAnsi" w:hAnsiTheme="minorHAnsi" w:cstheme="minorHAnsi"/>
                <w:sz w:val="20"/>
                <w:szCs w:val="20"/>
                <w:vertAlign w:val="superscript"/>
                <w:lang w:val="en-AU"/>
              </w:rPr>
              <w:fldChar w:fldCharType="end"/>
            </w:r>
          </w:p>
        </w:tc>
        <w:tc>
          <w:tcPr>
            <w:tcW w:w="3544" w:type="dxa"/>
          </w:tcPr>
          <w:p w14:paraId="0AC3F10C"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2E1B51">
              <w:rPr>
                <w:rFonts w:asciiTheme="minorHAnsi" w:eastAsiaTheme="minorHAnsi" w:hAnsiTheme="minorHAnsi" w:cs="Arial"/>
                <w:bCs/>
                <w:color w:val="000000" w:themeColor="text1"/>
                <w:sz w:val="20"/>
                <w:szCs w:val="20"/>
                <w:lang w:val="en-AU"/>
              </w:rPr>
              <w:t>carbamazepine, phenobarbital, phenytoin, rifampicin, and St. John’s wort (</w:t>
            </w:r>
            <w:r w:rsidRPr="002E1B51">
              <w:rPr>
                <w:rFonts w:asciiTheme="minorHAnsi" w:eastAsiaTheme="minorHAnsi" w:hAnsiTheme="minorHAnsi" w:cs="Arial"/>
                <w:bCs/>
                <w:i/>
                <w:iCs/>
                <w:color w:val="000000" w:themeColor="text1"/>
                <w:sz w:val="20"/>
                <w:szCs w:val="20"/>
                <w:lang w:val="en-AU"/>
              </w:rPr>
              <w:t>Hypericum perforatum</w:t>
            </w:r>
            <w:r w:rsidRPr="002E1B51">
              <w:rPr>
                <w:rFonts w:asciiTheme="minorHAnsi" w:eastAsiaTheme="minorHAnsi" w:hAnsiTheme="minorHAnsi" w:cs="Arial"/>
                <w:bCs/>
                <w:color w:val="000000" w:themeColor="text1"/>
                <w:sz w:val="20"/>
                <w:szCs w:val="20"/>
                <w:lang w:val="en-AU"/>
              </w:rPr>
              <w:t>)</w:t>
            </w:r>
          </w:p>
        </w:tc>
        <w:tc>
          <w:tcPr>
            <w:tcW w:w="3402" w:type="dxa"/>
          </w:tcPr>
          <w:p w14:paraId="1A03147B"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ivosidenib exposure</w:t>
            </w:r>
          </w:p>
        </w:tc>
      </w:tr>
      <w:tr w:rsidR="003107D0" w:rsidRPr="00353057" w14:paraId="1B411FE1" w14:textId="77777777" w:rsidTr="00976909">
        <w:trPr>
          <w:tblHeader/>
        </w:trPr>
        <w:tc>
          <w:tcPr>
            <w:tcW w:w="2542" w:type="dxa"/>
          </w:tcPr>
          <w:p w14:paraId="346BCFBF" w14:textId="1C7118A7" w:rsidR="003107D0" w:rsidRPr="002E1B51" w:rsidRDefault="003107D0" w:rsidP="001B0F0C">
            <w:pPr>
              <w:keepNext/>
              <w:spacing w:before="20" w:after="20" w:line="247" w:lineRule="auto"/>
              <w:rPr>
                <w:rFonts w:asciiTheme="minorHAnsi" w:hAnsiTheme="minorHAnsi" w:cstheme="minorHAnsi"/>
                <w:i/>
                <w:iCs/>
                <w:sz w:val="20"/>
                <w:szCs w:val="20"/>
                <w:lang w:val="en-AU"/>
              </w:rPr>
            </w:pPr>
            <w:r w:rsidRPr="002E1B51">
              <w:rPr>
                <w:rFonts w:asciiTheme="minorHAnsi" w:hAnsiTheme="minorHAnsi" w:cstheme="minorHAnsi"/>
                <w:i/>
                <w:iCs/>
                <w:sz w:val="20"/>
                <w:szCs w:val="20"/>
                <w:lang w:val="en-AU"/>
              </w:rPr>
              <w:t>Moderate CYP3A4 inhibitors</w:t>
            </w:r>
            <w:r>
              <w:rPr>
                <w:rFonts w:asciiTheme="minorHAnsi" w:hAnsiTheme="minorHAnsi" w:cstheme="minorHAnsi"/>
                <w:i/>
                <w:iCs/>
                <w:sz w:val="20"/>
                <w:szCs w:val="20"/>
                <w:lang w:val="en-AU"/>
              </w:rPr>
              <w:t xml:space="preserve"> </w:t>
            </w:r>
            <w:r w:rsidRPr="008A5E2F">
              <w:rPr>
                <w:rFonts w:asciiTheme="minorHAnsi" w:hAnsiTheme="minorHAnsi" w:cstheme="minorHAnsi"/>
                <w:sz w:val="20"/>
                <w:szCs w:val="20"/>
                <w:vertAlign w:val="superscript"/>
                <w:lang w:val="en-AU"/>
              </w:rPr>
              <w:fldChar w:fldCharType="begin"/>
            </w:r>
            <w:r w:rsidRPr="008A5E2F">
              <w:rPr>
                <w:rFonts w:asciiTheme="minorHAnsi" w:hAnsiTheme="minorHAnsi" w:cstheme="minorHAnsi"/>
                <w:sz w:val="20"/>
                <w:szCs w:val="20"/>
                <w:vertAlign w:val="superscript"/>
                <w:lang w:val="en-AU"/>
              </w:rPr>
              <w:instrText xml:space="preserve"> REF _Ref124501422 \n \h </w:instrText>
            </w:r>
            <w:r w:rsidRPr="008A5E2F">
              <w:rPr>
                <w:rFonts w:asciiTheme="minorHAnsi" w:hAnsiTheme="minorHAnsi" w:cstheme="minorHAnsi"/>
                <w:sz w:val="20"/>
                <w:szCs w:val="20"/>
                <w:vertAlign w:val="superscript"/>
                <w:lang w:val="en-AU"/>
              </w:rPr>
            </w:r>
            <w:r w:rsidRPr="008A5E2F">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1</w:t>
            </w:r>
            <w:r w:rsidRPr="008A5E2F">
              <w:rPr>
                <w:rFonts w:asciiTheme="minorHAnsi" w:hAnsiTheme="minorHAnsi" w:cstheme="minorHAnsi"/>
                <w:sz w:val="20"/>
                <w:szCs w:val="20"/>
                <w:vertAlign w:val="superscript"/>
                <w:lang w:val="en-AU"/>
              </w:rPr>
              <w:fldChar w:fldCharType="end"/>
            </w:r>
          </w:p>
        </w:tc>
        <w:tc>
          <w:tcPr>
            <w:tcW w:w="3544" w:type="dxa"/>
          </w:tcPr>
          <w:p w14:paraId="270DA077"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2E1B51">
              <w:rPr>
                <w:rFonts w:asciiTheme="minorHAnsi" w:hAnsiTheme="minorHAnsi" w:cstheme="minorHAnsi"/>
                <w:sz w:val="20"/>
                <w:szCs w:val="20"/>
                <w:lang w:val="en-AU"/>
              </w:rPr>
              <w:t>aprepitant, ciclosporin, diltiazem, erythromycin, fluconazole, grapefruit and grapefruit juice, isavuconazole, verapamil</w:t>
            </w:r>
          </w:p>
        </w:tc>
        <w:tc>
          <w:tcPr>
            <w:tcW w:w="3402" w:type="dxa"/>
          </w:tcPr>
          <w:p w14:paraId="50D1CA0C"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Pr>
                <w:rFonts w:asciiTheme="minorHAnsi" w:hAnsiTheme="minorHAnsi" w:cstheme="minorHAnsi"/>
                <w:sz w:val="20"/>
                <w:szCs w:val="20"/>
                <w:lang w:val="en-AU"/>
              </w:rPr>
              <w:t>i</w:t>
            </w:r>
            <w:r w:rsidRPr="002E1B51">
              <w:rPr>
                <w:rFonts w:asciiTheme="minorHAnsi" w:hAnsiTheme="minorHAnsi" w:cstheme="minorHAnsi"/>
                <w:sz w:val="20"/>
                <w:szCs w:val="20"/>
                <w:lang w:val="en-AU"/>
              </w:rPr>
              <w:t>ncreased ivosidenib exposure</w:t>
            </w:r>
          </w:p>
        </w:tc>
      </w:tr>
      <w:tr w:rsidR="003107D0" w:rsidRPr="00353057" w14:paraId="21225DF0" w14:textId="77777777" w:rsidTr="00976909">
        <w:trPr>
          <w:tblHeader/>
        </w:trPr>
        <w:tc>
          <w:tcPr>
            <w:tcW w:w="2542" w:type="dxa"/>
          </w:tcPr>
          <w:p w14:paraId="2C70B555" w14:textId="1CD8FB90" w:rsidR="003107D0" w:rsidRPr="002E1B51" w:rsidRDefault="003107D0" w:rsidP="001B0F0C">
            <w:pPr>
              <w:keepNext/>
              <w:spacing w:before="20" w:after="20" w:line="247" w:lineRule="auto"/>
              <w:rPr>
                <w:rFonts w:asciiTheme="minorHAnsi" w:hAnsiTheme="minorHAnsi" w:cstheme="minorHAnsi"/>
                <w:i/>
                <w:iCs/>
                <w:sz w:val="20"/>
                <w:szCs w:val="20"/>
                <w:lang w:val="en-AU"/>
              </w:rPr>
            </w:pPr>
            <w:r w:rsidRPr="002E1B51">
              <w:rPr>
                <w:rFonts w:asciiTheme="minorHAnsi" w:hAnsiTheme="minorHAnsi" w:cstheme="minorHAnsi"/>
                <w:i/>
                <w:iCs/>
                <w:sz w:val="20"/>
                <w:szCs w:val="20"/>
                <w:lang w:val="en-AU"/>
              </w:rPr>
              <w:t>Strong CYP3A4 inhibitors</w:t>
            </w:r>
            <w:r>
              <w:rPr>
                <w:rFonts w:asciiTheme="minorHAnsi" w:hAnsiTheme="minorHAnsi" w:cstheme="minorHAnsi"/>
                <w:i/>
                <w:iCs/>
                <w:sz w:val="20"/>
                <w:szCs w:val="20"/>
                <w:lang w:val="en-AU"/>
              </w:rPr>
              <w:t xml:space="preserve"> </w:t>
            </w:r>
            <w:r w:rsidRPr="008A5E2F">
              <w:rPr>
                <w:rFonts w:asciiTheme="minorHAnsi" w:hAnsiTheme="minorHAnsi" w:cstheme="minorHAnsi"/>
                <w:sz w:val="20"/>
                <w:szCs w:val="20"/>
                <w:vertAlign w:val="superscript"/>
                <w:lang w:val="en-AU"/>
              </w:rPr>
              <w:fldChar w:fldCharType="begin"/>
            </w:r>
            <w:r w:rsidRPr="008A5E2F">
              <w:rPr>
                <w:rFonts w:asciiTheme="minorHAnsi" w:hAnsiTheme="minorHAnsi" w:cstheme="minorHAnsi"/>
                <w:sz w:val="20"/>
                <w:szCs w:val="20"/>
                <w:vertAlign w:val="superscript"/>
                <w:lang w:val="en-AU"/>
              </w:rPr>
              <w:instrText xml:space="preserve"> REF _Ref124501422 \n \h </w:instrText>
            </w:r>
            <w:r w:rsidRPr="008A5E2F">
              <w:rPr>
                <w:rFonts w:asciiTheme="minorHAnsi" w:hAnsiTheme="minorHAnsi" w:cstheme="minorHAnsi"/>
                <w:sz w:val="20"/>
                <w:szCs w:val="20"/>
                <w:vertAlign w:val="superscript"/>
                <w:lang w:val="en-AU"/>
              </w:rPr>
            </w:r>
            <w:r w:rsidRPr="008A5E2F">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1</w:t>
            </w:r>
            <w:r w:rsidRPr="008A5E2F">
              <w:rPr>
                <w:rFonts w:asciiTheme="minorHAnsi" w:hAnsiTheme="minorHAnsi" w:cstheme="minorHAnsi"/>
                <w:sz w:val="20"/>
                <w:szCs w:val="20"/>
                <w:vertAlign w:val="superscript"/>
                <w:lang w:val="en-AU"/>
              </w:rPr>
              <w:fldChar w:fldCharType="end"/>
            </w:r>
            <w:r>
              <w:rPr>
                <w:rFonts w:asciiTheme="minorHAnsi" w:hAnsiTheme="minorHAnsi" w:cstheme="minorHAnsi"/>
                <w:sz w:val="20"/>
                <w:szCs w:val="20"/>
                <w:vertAlign w:val="superscript"/>
                <w:lang w:val="en-AU"/>
              </w:rPr>
              <w:t xml:space="preserve">, </w:t>
            </w:r>
            <w:r w:rsidRPr="008A5E2F">
              <w:rPr>
                <w:rFonts w:asciiTheme="minorHAnsi" w:hAnsiTheme="minorHAnsi" w:cstheme="minorHAnsi"/>
                <w:sz w:val="20"/>
                <w:szCs w:val="20"/>
                <w:vertAlign w:val="superscript"/>
                <w:lang w:val="en-AU"/>
              </w:rPr>
              <w:fldChar w:fldCharType="begin"/>
            </w:r>
            <w:r w:rsidRPr="008A5E2F">
              <w:rPr>
                <w:rFonts w:asciiTheme="minorHAnsi" w:hAnsiTheme="minorHAnsi" w:cstheme="minorHAnsi"/>
                <w:sz w:val="20"/>
                <w:szCs w:val="20"/>
                <w:vertAlign w:val="superscript"/>
                <w:lang w:val="en-AU"/>
              </w:rPr>
              <w:instrText xml:space="preserve"> REF _Ref124501490 \n \h </w:instrText>
            </w:r>
            <w:r>
              <w:rPr>
                <w:rFonts w:asciiTheme="minorHAnsi" w:hAnsiTheme="minorHAnsi" w:cstheme="minorHAnsi"/>
                <w:sz w:val="20"/>
                <w:szCs w:val="20"/>
                <w:vertAlign w:val="superscript"/>
                <w:lang w:val="en-AU"/>
              </w:rPr>
              <w:instrText xml:space="preserve"> \* MERGEFORMAT </w:instrText>
            </w:r>
            <w:r w:rsidRPr="008A5E2F">
              <w:rPr>
                <w:rFonts w:asciiTheme="minorHAnsi" w:hAnsiTheme="minorHAnsi" w:cstheme="minorHAnsi"/>
                <w:sz w:val="20"/>
                <w:szCs w:val="20"/>
                <w:vertAlign w:val="superscript"/>
                <w:lang w:val="en-AU"/>
              </w:rPr>
            </w:r>
            <w:r w:rsidRPr="008A5E2F">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3</w:t>
            </w:r>
            <w:r w:rsidRPr="008A5E2F">
              <w:rPr>
                <w:rFonts w:asciiTheme="minorHAnsi" w:hAnsiTheme="minorHAnsi" w:cstheme="minorHAnsi"/>
                <w:sz w:val="20"/>
                <w:szCs w:val="20"/>
                <w:vertAlign w:val="superscript"/>
                <w:lang w:val="en-AU"/>
              </w:rPr>
              <w:fldChar w:fldCharType="end"/>
            </w:r>
          </w:p>
        </w:tc>
        <w:tc>
          <w:tcPr>
            <w:tcW w:w="3544" w:type="dxa"/>
          </w:tcPr>
          <w:p w14:paraId="7AE9595D"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fr-FR"/>
              </w:rPr>
            </w:pPr>
            <w:r w:rsidRPr="002E1B51">
              <w:rPr>
                <w:rFonts w:asciiTheme="minorHAnsi" w:eastAsiaTheme="minorHAnsi" w:hAnsiTheme="minorHAnsi" w:cs="Arial"/>
                <w:bCs/>
                <w:color w:val="000000" w:themeColor="text1"/>
                <w:sz w:val="20"/>
                <w:szCs w:val="20"/>
                <w:lang w:val="fr-FR"/>
              </w:rPr>
              <w:t>clarithromycin, itraconazole, ketoconazole, posaconazole, ritonavir, voriconazole</w:t>
            </w:r>
          </w:p>
        </w:tc>
        <w:tc>
          <w:tcPr>
            <w:tcW w:w="3402" w:type="dxa"/>
          </w:tcPr>
          <w:p w14:paraId="65163CAB"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Pr>
                <w:rFonts w:asciiTheme="minorHAnsi" w:hAnsiTheme="minorHAnsi" w:cstheme="minorHAnsi"/>
                <w:sz w:val="20"/>
                <w:szCs w:val="20"/>
                <w:lang w:val="en-AU"/>
              </w:rPr>
              <w:t xml:space="preserve">greatly </w:t>
            </w:r>
            <w:r w:rsidRPr="00353057">
              <w:rPr>
                <w:rFonts w:asciiTheme="minorHAnsi" w:hAnsiTheme="minorHAnsi" w:cstheme="minorHAnsi"/>
                <w:sz w:val="20"/>
                <w:szCs w:val="20"/>
                <w:lang w:val="en-AU"/>
              </w:rPr>
              <w:t>i</w:t>
            </w:r>
            <w:r w:rsidRPr="002E1B51">
              <w:rPr>
                <w:rFonts w:asciiTheme="minorHAnsi" w:hAnsiTheme="minorHAnsi" w:cstheme="minorHAnsi"/>
                <w:sz w:val="20"/>
                <w:szCs w:val="20"/>
                <w:lang w:val="en-AU"/>
              </w:rPr>
              <w:t>ncreased ivosidenib exposure</w:t>
            </w:r>
          </w:p>
        </w:tc>
      </w:tr>
      <w:tr w:rsidR="003107D0" w:rsidRPr="00353057" w14:paraId="0A429C9E" w14:textId="77777777" w:rsidTr="00976909">
        <w:trPr>
          <w:tblHeader/>
        </w:trPr>
        <w:tc>
          <w:tcPr>
            <w:tcW w:w="2542" w:type="dxa"/>
          </w:tcPr>
          <w:p w14:paraId="3E7A96A8" w14:textId="77777777" w:rsidR="003107D0" w:rsidRPr="002E1B51" w:rsidRDefault="003107D0" w:rsidP="001B0F0C">
            <w:pPr>
              <w:keepNext/>
              <w:spacing w:before="20" w:after="20" w:line="247" w:lineRule="auto"/>
              <w:rPr>
                <w:rFonts w:asciiTheme="minorHAnsi" w:hAnsiTheme="minorHAnsi" w:cstheme="minorHAnsi"/>
                <w:i/>
                <w:iCs/>
                <w:sz w:val="20"/>
                <w:szCs w:val="20"/>
                <w:lang w:val="en-AU"/>
              </w:rPr>
            </w:pPr>
            <w:r w:rsidRPr="002E1B51">
              <w:rPr>
                <w:rFonts w:asciiTheme="minorHAnsi" w:eastAsiaTheme="minorHAnsi" w:hAnsiTheme="minorHAnsi" w:cs="Arial"/>
                <w:i/>
                <w:iCs/>
                <w:color w:val="000000" w:themeColor="text1"/>
                <w:sz w:val="20"/>
                <w:szCs w:val="20"/>
                <w:lang w:val="en-AU"/>
              </w:rPr>
              <w:t xml:space="preserve">CYP3A4 substrates with a narrow therapeutic index </w:t>
            </w:r>
          </w:p>
        </w:tc>
        <w:tc>
          <w:tcPr>
            <w:tcW w:w="3544" w:type="dxa"/>
          </w:tcPr>
          <w:p w14:paraId="7FF27608"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fr-FR"/>
              </w:rPr>
            </w:pPr>
            <w:r w:rsidRPr="002E1B51">
              <w:rPr>
                <w:rFonts w:asciiTheme="minorHAnsi" w:eastAsiaTheme="minorHAnsi" w:hAnsiTheme="minorHAnsi" w:cs="Arial"/>
                <w:bCs/>
                <w:color w:val="000000" w:themeColor="text1"/>
                <w:sz w:val="20"/>
                <w:szCs w:val="20"/>
                <w:lang w:val="fr-FR"/>
              </w:rPr>
              <w:t>alfentanil, ciclosporin, everolimus, fentanyl, pimozide, quinidine, sirolimus, tacrolimus</w:t>
            </w:r>
          </w:p>
        </w:tc>
        <w:tc>
          <w:tcPr>
            <w:tcW w:w="3402" w:type="dxa"/>
          </w:tcPr>
          <w:p w14:paraId="13A70A4B"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CYP3A4 substrate exposure</w:t>
            </w:r>
          </w:p>
        </w:tc>
      </w:tr>
      <w:tr w:rsidR="003107D0" w:rsidRPr="00353057" w14:paraId="40459371" w14:textId="77777777" w:rsidTr="00976909">
        <w:trPr>
          <w:tblHeader/>
        </w:trPr>
        <w:tc>
          <w:tcPr>
            <w:tcW w:w="2542" w:type="dxa"/>
          </w:tcPr>
          <w:p w14:paraId="387F03CF" w14:textId="2950BB01" w:rsidR="003107D0" w:rsidRPr="002E1B5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2E1B51">
              <w:rPr>
                <w:rFonts w:asciiTheme="minorHAnsi" w:eastAsiaTheme="minorHAnsi" w:hAnsiTheme="minorHAnsi" w:cs="Arial"/>
                <w:i/>
                <w:iCs/>
                <w:color w:val="000000" w:themeColor="text1"/>
                <w:sz w:val="20"/>
                <w:szCs w:val="20"/>
                <w:lang w:val="en-AU"/>
              </w:rPr>
              <w:t>CYP3A4 substrates with significant clinical consequences of inefficacy</w:t>
            </w:r>
            <w:r>
              <w:rPr>
                <w:rFonts w:asciiTheme="minorHAnsi" w:eastAsiaTheme="minorHAnsi" w:hAnsiTheme="minorHAnsi" w:cs="Arial"/>
                <w:i/>
                <w:iCs/>
                <w:color w:val="000000" w:themeColor="text1"/>
                <w:sz w:val="20"/>
                <w:szCs w:val="20"/>
                <w:lang w:val="en-AU"/>
              </w:rPr>
              <w:t xml:space="preserve"> </w:t>
            </w:r>
            <w:r w:rsidRPr="008A5E2F">
              <w:rPr>
                <w:rFonts w:asciiTheme="minorHAnsi" w:hAnsiTheme="minorHAnsi" w:cstheme="minorHAnsi"/>
                <w:sz w:val="20"/>
                <w:szCs w:val="20"/>
                <w:vertAlign w:val="superscript"/>
                <w:lang w:val="en-AU"/>
              </w:rPr>
              <w:fldChar w:fldCharType="begin"/>
            </w:r>
            <w:r w:rsidRPr="008A5E2F">
              <w:rPr>
                <w:rFonts w:asciiTheme="minorHAnsi" w:hAnsiTheme="minorHAnsi" w:cstheme="minorHAnsi"/>
                <w:sz w:val="20"/>
                <w:szCs w:val="20"/>
                <w:vertAlign w:val="superscript"/>
                <w:lang w:val="en-AU"/>
              </w:rPr>
              <w:instrText xml:space="preserve"> REF _Ref124503971 \n \h </w:instrText>
            </w:r>
            <w:r>
              <w:rPr>
                <w:rFonts w:asciiTheme="minorHAnsi" w:hAnsiTheme="minorHAnsi" w:cstheme="minorHAnsi"/>
                <w:sz w:val="20"/>
                <w:szCs w:val="20"/>
                <w:vertAlign w:val="superscript"/>
                <w:lang w:val="en-AU"/>
              </w:rPr>
              <w:instrText xml:space="preserve"> \* MERGEFORMAT </w:instrText>
            </w:r>
            <w:r w:rsidRPr="008A5E2F">
              <w:rPr>
                <w:rFonts w:asciiTheme="minorHAnsi" w:hAnsiTheme="minorHAnsi" w:cstheme="minorHAnsi"/>
                <w:sz w:val="20"/>
                <w:szCs w:val="20"/>
                <w:vertAlign w:val="superscript"/>
                <w:lang w:val="en-AU"/>
              </w:rPr>
            </w:r>
            <w:r w:rsidRPr="008A5E2F">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4</w:t>
            </w:r>
            <w:r w:rsidRPr="008A5E2F">
              <w:rPr>
                <w:rFonts w:asciiTheme="minorHAnsi" w:hAnsiTheme="minorHAnsi" w:cstheme="minorHAnsi"/>
                <w:sz w:val="20"/>
                <w:szCs w:val="20"/>
                <w:vertAlign w:val="superscript"/>
                <w:lang w:val="en-AU"/>
              </w:rPr>
              <w:fldChar w:fldCharType="end"/>
            </w:r>
          </w:p>
        </w:tc>
        <w:tc>
          <w:tcPr>
            <w:tcW w:w="3544" w:type="dxa"/>
          </w:tcPr>
          <w:p w14:paraId="7BC1EEB1" w14:textId="7AB830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fr-FR"/>
              </w:rPr>
            </w:pPr>
            <w:r w:rsidRPr="002E1B51">
              <w:rPr>
                <w:rFonts w:asciiTheme="minorHAnsi" w:eastAsiaTheme="minorHAnsi" w:hAnsiTheme="minorHAnsi" w:cs="Arial"/>
                <w:bCs/>
                <w:color w:val="000000" w:themeColor="text1"/>
                <w:sz w:val="20"/>
                <w:szCs w:val="20"/>
                <w:lang w:val="fr-FR"/>
              </w:rPr>
              <w:t xml:space="preserve">itraconazole, ketoconazole, </w:t>
            </w:r>
            <w:r w:rsidR="0074524C">
              <w:rPr>
                <w:rFonts w:asciiTheme="minorHAnsi" w:eastAsiaTheme="minorHAnsi" w:hAnsiTheme="minorHAnsi" w:cs="Arial"/>
                <w:bCs/>
                <w:color w:val="000000" w:themeColor="text1"/>
                <w:sz w:val="20"/>
                <w:szCs w:val="20"/>
                <w:lang w:val="fr-FR"/>
              </w:rPr>
              <w:t xml:space="preserve">, </w:t>
            </w:r>
            <w:r w:rsidRPr="002E1B51">
              <w:rPr>
                <w:rFonts w:asciiTheme="minorHAnsi" w:eastAsiaTheme="minorHAnsi" w:hAnsiTheme="minorHAnsi" w:cs="Arial"/>
                <w:bCs/>
                <w:color w:val="000000" w:themeColor="text1"/>
                <w:sz w:val="20"/>
                <w:szCs w:val="20"/>
                <w:lang w:val="fr-FR"/>
              </w:rPr>
              <w:t>voriconazole, hormonal contraceptives</w:t>
            </w:r>
          </w:p>
        </w:tc>
        <w:tc>
          <w:tcPr>
            <w:tcW w:w="3402" w:type="dxa"/>
          </w:tcPr>
          <w:p w14:paraId="59EEFBFA"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substrate exposure</w:t>
            </w:r>
          </w:p>
        </w:tc>
      </w:tr>
      <w:tr w:rsidR="003107D0" w:rsidRPr="00353057" w14:paraId="06ECA017" w14:textId="77777777" w:rsidTr="00976909">
        <w:trPr>
          <w:tblHeader/>
        </w:trPr>
        <w:tc>
          <w:tcPr>
            <w:tcW w:w="2542" w:type="dxa"/>
          </w:tcPr>
          <w:p w14:paraId="483625ED" w14:textId="77777777" w:rsidR="003107D0" w:rsidRPr="002E1B5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2E1B51">
              <w:rPr>
                <w:rFonts w:asciiTheme="minorHAnsi" w:eastAsiaTheme="minorHAnsi" w:hAnsiTheme="minorHAnsi" w:cs="Arial"/>
                <w:i/>
                <w:iCs/>
                <w:color w:val="000000" w:themeColor="text1"/>
                <w:sz w:val="20"/>
                <w:szCs w:val="20"/>
                <w:lang w:val="en-AU"/>
              </w:rPr>
              <w:t>CYP2B6 substrates with a narrow therapeutic index</w:t>
            </w:r>
          </w:p>
        </w:tc>
        <w:tc>
          <w:tcPr>
            <w:tcW w:w="3544" w:type="dxa"/>
          </w:tcPr>
          <w:p w14:paraId="6059C0B3" w14:textId="77777777" w:rsidR="003107D0" w:rsidRPr="002E1B51" w:rsidRDefault="003107D0" w:rsidP="001B0F0C">
            <w:pPr>
              <w:keepNext/>
              <w:tabs>
                <w:tab w:val="left" w:pos="424"/>
                <w:tab w:val="left" w:pos="425"/>
              </w:tabs>
              <w:spacing w:before="20" w:after="20" w:line="261" w:lineRule="exact"/>
              <w:rPr>
                <w:rFonts w:asciiTheme="minorHAnsi" w:eastAsiaTheme="minorHAnsi" w:hAnsiTheme="minorHAnsi" w:cs="Arial"/>
                <w:bCs/>
                <w:color w:val="000000" w:themeColor="text1"/>
                <w:sz w:val="20"/>
                <w:szCs w:val="20"/>
                <w:lang w:val="en-AU"/>
              </w:rPr>
            </w:pPr>
            <w:r w:rsidRPr="002E1B51">
              <w:rPr>
                <w:rFonts w:asciiTheme="minorHAnsi" w:eastAsiaTheme="minorHAnsi" w:hAnsiTheme="minorHAnsi" w:cs="Arial"/>
                <w:bCs/>
                <w:color w:val="000000" w:themeColor="text1"/>
                <w:sz w:val="20"/>
                <w:szCs w:val="20"/>
                <w:lang w:val="en-AU"/>
              </w:rPr>
              <w:t>cyclophosphamide, ifosfamide, methadone</w:t>
            </w:r>
          </w:p>
        </w:tc>
        <w:tc>
          <w:tcPr>
            <w:tcW w:w="3402" w:type="dxa"/>
          </w:tcPr>
          <w:p w14:paraId="6E42776E"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CYP2B6 substrate exposure</w:t>
            </w:r>
          </w:p>
        </w:tc>
      </w:tr>
      <w:tr w:rsidR="003107D0" w:rsidRPr="00353057" w14:paraId="7950F089" w14:textId="77777777" w:rsidTr="00976909">
        <w:trPr>
          <w:tblHeader/>
        </w:trPr>
        <w:tc>
          <w:tcPr>
            <w:tcW w:w="2542" w:type="dxa"/>
          </w:tcPr>
          <w:p w14:paraId="3EC63FD6" w14:textId="77777777" w:rsidR="003107D0" w:rsidRPr="002E1B5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2E1B51">
              <w:rPr>
                <w:rFonts w:asciiTheme="minorHAnsi" w:eastAsiaTheme="minorHAnsi" w:hAnsiTheme="minorHAnsi" w:cs="Arial"/>
                <w:i/>
                <w:iCs/>
                <w:color w:val="000000" w:themeColor="text1"/>
                <w:sz w:val="20"/>
                <w:szCs w:val="20"/>
                <w:lang w:val="en-AU"/>
              </w:rPr>
              <w:t>CYP2C8 substrates with a narrow therapeutic index</w:t>
            </w:r>
          </w:p>
        </w:tc>
        <w:tc>
          <w:tcPr>
            <w:tcW w:w="3544" w:type="dxa"/>
          </w:tcPr>
          <w:p w14:paraId="568BD865"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2E1B51">
              <w:rPr>
                <w:rFonts w:asciiTheme="minorHAnsi" w:eastAsiaTheme="minorHAnsi" w:hAnsiTheme="minorHAnsi" w:cs="Arial"/>
                <w:bCs/>
                <w:color w:val="000000" w:themeColor="text1"/>
                <w:sz w:val="20"/>
                <w:szCs w:val="20"/>
                <w:lang w:val="en-AU"/>
              </w:rPr>
              <w:t>paclitaxel, pioglitazone, repaglinide</w:t>
            </w:r>
          </w:p>
        </w:tc>
        <w:tc>
          <w:tcPr>
            <w:tcW w:w="3402" w:type="dxa"/>
          </w:tcPr>
          <w:p w14:paraId="4DF98ADC"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CYP2C8 substrate exposure</w:t>
            </w:r>
          </w:p>
        </w:tc>
      </w:tr>
      <w:tr w:rsidR="003107D0" w:rsidRPr="00353057" w14:paraId="30A102ED" w14:textId="77777777" w:rsidTr="00976909">
        <w:trPr>
          <w:tblHeader/>
        </w:trPr>
        <w:tc>
          <w:tcPr>
            <w:tcW w:w="2542" w:type="dxa"/>
          </w:tcPr>
          <w:p w14:paraId="3128B713" w14:textId="77777777" w:rsidR="003107D0" w:rsidRPr="002E1B51" w:rsidRDefault="003107D0" w:rsidP="001B0F0C">
            <w:pPr>
              <w:keepNext/>
              <w:spacing w:before="20" w:after="20" w:line="247" w:lineRule="auto"/>
              <w:rPr>
                <w:rFonts w:asciiTheme="minorHAnsi" w:hAnsiTheme="minorHAnsi" w:cstheme="minorHAnsi"/>
                <w:i/>
                <w:iCs/>
                <w:sz w:val="20"/>
                <w:szCs w:val="20"/>
                <w:lang w:val="en-AU"/>
              </w:rPr>
            </w:pPr>
            <w:r w:rsidRPr="002E1B51">
              <w:rPr>
                <w:rFonts w:asciiTheme="minorHAnsi" w:eastAsiaTheme="minorHAnsi" w:hAnsiTheme="minorHAnsi" w:cs="Arial"/>
                <w:i/>
                <w:iCs/>
                <w:color w:val="000000" w:themeColor="text1"/>
                <w:sz w:val="20"/>
                <w:szCs w:val="20"/>
                <w:lang w:val="en-AU"/>
              </w:rPr>
              <w:t>CYP2C9 substrates with a narrow therapeutic index</w:t>
            </w:r>
          </w:p>
        </w:tc>
        <w:tc>
          <w:tcPr>
            <w:tcW w:w="3544" w:type="dxa"/>
          </w:tcPr>
          <w:p w14:paraId="02041EC3"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2E1B51">
              <w:rPr>
                <w:rFonts w:asciiTheme="minorHAnsi" w:eastAsiaTheme="minorHAnsi" w:hAnsiTheme="minorHAnsi" w:cs="Arial"/>
                <w:bCs/>
                <w:color w:val="000000" w:themeColor="text1"/>
                <w:sz w:val="20"/>
                <w:szCs w:val="20"/>
                <w:lang w:val="en-AU"/>
              </w:rPr>
              <w:t>phenytoin, warfarin</w:t>
            </w:r>
          </w:p>
        </w:tc>
        <w:tc>
          <w:tcPr>
            <w:tcW w:w="3402" w:type="dxa"/>
          </w:tcPr>
          <w:p w14:paraId="731CBD8F"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CYP2C9 substrate exposure</w:t>
            </w:r>
          </w:p>
        </w:tc>
      </w:tr>
      <w:tr w:rsidR="003107D0" w:rsidRPr="00353057" w14:paraId="3B69EF29" w14:textId="77777777" w:rsidTr="00976909">
        <w:trPr>
          <w:tblHeader/>
        </w:trPr>
        <w:tc>
          <w:tcPr>
            <w:tcW w:w="2542" w:type="dxa"/>
          </w:tcPr>
          <w:p w14:paraId="2BF9FEC3" w14:textId="77777777" w:rsidR="003107D0" w:rsidRPr="002E1B51" w:rsidRDefault="003107D0" w:rsidP="001B0F0C">
            <w:pPr>
              <w:keepNext/>
              <w:spacing w:before="20" w:after="20" w:line="247" w:lineRule="auto"/>
              <w:rPr>
                <w:rFonts w:asciiTheme="minorHAnsi" w:hAnsiTheme="minorHAnsi" w:cstheme="minorHAnsi"/>
                <w:i/>
                <w:iCs/>
                <w:sz w:val="20"/>
                <w:szCs w:val="20"/>
                <w:lang w:val="en-AU"/>
              </w:rPr>
            </w:pPr>
            <w:r w:rsidRPr="002E1B51">
              <w:rPr>
                <w:rFonts w:asciiTheme="minorHAnsi" w:eastAsiaTheme="minorHAnsi" w:hAnsiTheme="minorHAnsi" w:cs="Arial"/>
                <w:i/>
                <w:iCs/>
                <w:color w:val="000000" w:themeColor="text1"/>
                <w:sz w:val="20"/>
                <w:szCs w:val="20"/>
                <w:lang w:val="en-AU"/>
              </w:rPr>
              <w:t>CYP2C19 substrates</w:t>
            </w:r>
          </w:p>
        </w:tc>
        <w:tc>
          <w:tcPr>
            <w:tcW w:w="3544" w:type="dxa"/>
          </w:tcPr>
          <w:p w14:paraId="30AF4F50" w14:textId="1F09388B" w:rsidR="003107D0" w:rsidRPr="002E1B51" w:rsidRDefault="0070230C" w:rsidP="001B0F0C">
            <w:pPr>
              <w:keepNext/>
              <w:tabs>
                <w:tab w:val="left" w:pos="424"/>
                <w:tab w:val="left" w:pos="425"/>
              </w:tabs>
              <w:spacing w:before="20" w:after="20" w:line="261" w:lineRule="exact"/>
              <w:rPr>
                <w:rFonts w:asciiTheme="minorHAnsi" w:hAnsiTheme="minorHAnsi" w:cstheme="minorHAnsi"/>
                <w:sz w:val="20"/>
                <w:szCs w:val="20"/>
                <w:lang w:val="en-AU"/>
              </w:rPr>
            </w:pPr>
            <w:r>
              <w:rPr>
                <w:rFonts w:asciiTheme="minorHAnsi" w:hAnsiTheme="minorHAnsi" w:cstheme="minorHAnsi"/>
                <w:sz w:val="20"/>
                <w:szCs w:val="20"/>
                <w:lang w:val="en-AU"/>
              </w:rPr>
              <w:t>o</w:t>
            </w:r>
            <w:r w:rsidR="003107D0" w:rsidRPr="002E1B51">
              <w:rPr>
                <w:rFonts w:asciiTheme="minorHAnsi" w:hAnsiTheme="minorHAnsi" w:cstheme="minorHAnsi"/>
                <w:sz w:val="20"/>
                <w:szCs w:val="20"/>
                <w:lang w:val="en-AU"/>
              </w:rPr>
              <w:t>meprazole</w:t>
            </w:r>
            <w:r w:rsidR="005D2EFA">
              <w:rPr>
                <w:rFonts w:asciiTheme="minorHAnsi" w:hAnsiTheme="minorHAnsi" w:cstheme="minorHAnsi"/>
                <w:sz w:val="20"/>
                <w:szCs w:val="20"/>
                <w:lang w:val="en-AU"/>
              </w:rPr>
              <w:t xml:space="preserve">, </w:t>
            </w:r>
            <w:r w:rsidR="005D2EFA" w:rsidRPr="50DC8091">
              <w:rPr>
                <w:rFonts w:asciiTheme="minorHAnsi" w:hAnsiTheme="minorHAnsi" w:cstheme="minorBidi"/>
                <w:sz w:val="20"/>
                <w:szCs w:val="20"/>
                <w:lang w:val="en-AU"/>
              </w:rPr>
              <w:t>v</w:t>
            </w:r>
            <w:r w:rsidR="005D2EFA" w:rsidRPr="50DC8091">
              <w:rPr>
                <w:rFonts w:asciiTheme="minorHAnsi" w:eastAsiaTheme="minorEastAsia" w:hAnsiTheme="minorHAnsi" w:cs="Arial"/>
                <w:color w:val="000000" w:themeColor="text1"/>
                <w:sz w:val="20"/>
                <w:szCs w:val="20"/>
                <w:lang w:val="fr-FR"/>
              </w:rPr>
              <w:t>oriconazole</w:t>
            </w:r>
          </w:p>
        </w:tc>
        <w:tc>
          <w:tcPr>
            <w:tcW w:w="3402" w:type="dxa"/>
          </w:tcPr>
          <w:p w14:paraId="50828D0C"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CYP2C19 substrate exposure</w:t>
            </w:r>
          </w:p>
        </w:tc>
      </w:tr>
      <w:tr w:rsidR="003107D0" w:rsidRPr="00353057" w14:paraId="06443E02" w14:textId="77777777" w:rsidTr="00976909">
        <w:trPr>
          <w:tblHeader/>
        </w:trPr>
        <w:tc>
          <w:tcPr>
            <w:tcW w:w="2542" w:type="dxa"/>
          </w:tcPr>
          <w:p w14:paraId="6A08BDA7" w14:textId="77777777" w:rsidR="003107D0" w:rsidRPr="002E1B51" w:rsidRDefault="003107D0" w:rsidP="001B0F0C">
            <w:pPr>
              <w:keepNext/>
              <w:spacing w:before="20" w:after="20" w:line="247" w:lineRule="auto"/>
              <w:rPr>
                <w:rFonts w:asciiTheme="minorHAnsi" w:hAnsiTheme="minorHAnsi" w:cstheme="minorHAnsi"/>
                <w:i/>
                <w:iCs/>
                <w:sz w:val="20"/>
                <w:szCs w:val="20"/>
                <w:lang w:val="en-AU"/>
              </w:rPr>
            </w:pPr>
            <w:r w:rsidRPr="002E1B51">
              <w:rPr>
                <w:rFonts w:asciiTheme="minorHAnsi" w:eastAsiaTheme="minorHAnsi" w:hAnsiTheme="minorHAnsi" w:cs="Arial"/>
                <w:i/>
                <w:iCs/>
                <w:color w:val="000000" w:themeColor="text1"/>
                <w:sz w:val="20"/>
                <w:szCs w:val="20"/>
                <w:lang w:val="en-AU"/>
              </w:rPr>
              <w:t>UGT substrates</w:t>
            </w:r>
          </w:p>
        </w:tc>
        <w:tc>
          <w:tcPr>
            <w:tcW w:w="3544" w:type="dxa"/>
          </w:tcPr>
          <w:p w14:paraId="6C608DA0" w14:textId="137C92DE"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2E1B51">
              <w:rPr>
                <w:rFonts w:asciiTheme="minorHAnsi" w:eastAsiaTheme="minorHAnsi" w:hAnsiTheme="minorHAnsi" w:cs="Arial"/>
                <w:bCs/>
                <w:color w:val="000000" w:themeColor="text1"/>
                <w:sz w:val="20"/>
                <w:szCs w:val="20"/>
                <w:lang w:val="en-AU"/>
              </w:rPr>
              <w:t>lamotrigine, raltegravir</w:t>
            </w:r>
            <w:r w:rsidR="0011120D">
              <w:rPr>
                <w:rFonts w:asciiTheme="minorHAnsi" w:eastAsiaTheme="minorHAnsi" w:hAnsiTheme="minorHAnsi" w:cs="Arial"/>
                <w:bCs/>
                <w:color w:val="000000" w:themeColor="text1"/>
                <w:sz w:val="20"/>
                <w:szCs w:val="20"/>
                <w:lang w:val="en-AU"/>
              </w:rPr>
              <w:t xml:space="preserve">, </w:t>
            </w:r>
            <w:r w:rsidR="0011120D" w:rsidRPr="5F72F8E8">
              <w:rPr>
                <w:rFonts w:asciiTheme="minorHAnsi" w:eastAsiaTheme="minorEastAsia" w:hAnsiTheme="minorHAnsi" w:cs="Arial"/>
                <w:color w:val="000000" w:themeColor="text1"/>
                <w:sz w:val="20"/>
                <w:szCs w:val="20"/>
                <w:lang w:val="fr-FR"/>
              </w:rPr>
              <w:t>posaconazole</w:t>
            </w:r>
          </w:p>
        </w:tc>
        <w:tc>
          <w:tcPr>
            <w:tcW w:w="3402" w:type="dxa"/>
          </w:tcPr>
          <w:p w14:paraId="4F262AC9"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d</w:t>
            </w:r>
            <w:r w:rsidRPr="002E1B51">
              <w:rPr>
                <w:rFonts w:asciiTheme="minorHAnsi" w:hAnsiTheme="minorHAnsi" w:cstheme="minorHAnsi"/>
                <w:sz w:val="20"/>
                <w:szCs w:val="20"/>
                <w:lang w:val="en-AU"/>
              </w:rPr>
              <w:t>ecreased UGT substrate exposure</w:t>
            </w:r>
          </w:p>
        </w:tc>
      </w:tr>
      <w:tr w:rsidR="003107D0" w:rsidRPr="00353057" w14:paraId="319A4CE2" w14:textId="77777777" w:rsidTr="00976909">
        <w:trPr>
          <w:tblHeader/>
        </w:trPr>
        <w:tc>
          <w:tcPr>
            <w:tcW w:w="2542" w:type="dxa"/>
          </w:tcPr>
          <w:p w14:paraId="030B962B" w14:textId="6BD7F437" w:rsidR="003107D0" w:rsidRPr="002E1B5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2E1B51">
              <w:rPr>
                <w:rFonts w:asciiTheme="minorHAnsi" w:hAnsiTheme="minorHAnsi" w:cstheme="minorHAnsi"/>
                <w:i/>
                <w:iCs/>
                <w:sz w:val="20"/>
                <w:szCs w:val="20"/>
                <w:lang w:val="en-AU"/>
              </w:rPr>
              <w:t>Sensitive P-gp substrates</w:t>
            </w:r>
            <w:r>
              <w:rPr>
                <w:rFonts w:asciiTheme="minorHAnsi" w:hAnsiTheme="minorHAnsi" w:cstheme="minorHAnsi"/>
                <w:i/>
                <w:iCs/>
                <w:sz w:val="20"/>
                <w:szCs w:val="20"/>
                <w:lang w:val="en-AU"/>
              </w:rPr>
              <w:t xml:space="preserve"> </w:t>
            </w:r>
            <w:r w:rsidRPr="008A5E2F">
              <w:rPr>
                <w:rFonts w:asciiTheme="minorHAnsi" w:hAnsiTheme="minorHAnsi" w:cstheme="minorHAnsi"/>
                <w:sz w:val="20"/>
                <w:szCs w:val="20"/>
                <w:vertAlign w:val="superscript"/>
                <w:lang w:val="en-AU"/>
              </w:rPr>
              <w:fldChar w:fldCharType="begin"/>
            </w:r>
            <w:r w:rsidRPr="008A5E2F">
              <w:rPr>
                <w:rFonts w:asciiTheme="minorHAnsi" w:hAnsiTheme="minorHAnsi" w:cstheme="minorHAnsi"/>
                <w:sz w:val="20"/>
                <w:szCs w:val="20"/>
                <w:vertAlign w:val="superscript"/>
                <w:lang w:val="en-AU"/>
              </w:rPr>
              <w:instrText xml:space="preserve"> REF _Ref124503892 \n \h </w:instrText>
            </w:r>
            <w:r>
              <w:rPr>
                <w:rFonts w:asciiTheme="minorHAnsi" w:hAnsiTheme="minorHAnsi" w:cstheme="minorHAnsi"/>
                <w:sz w:val="20"/>
                <w:szCs w:val="20"/>
                <w:vertAlign w:val="superscript"/>
                <w:lang w:val="en-AU"/>
              </w:rPr>
              <w:instrText xml:space="preserve"> \* MERGEFORMAT </w:instrText>
            </w:r>
            <w:r w:rsidRPr="008A5E2F">
              <w:rPr>
                <w:rFonts w:asciiTheme="minorHAnsi" w:hAnsiTheme="minorHAnsi" w:cstheme="minorHAnsi"/>
                <w:sz w:val="20"/>
                <w:szCs w:val="20"/>
                <w:vertAlign w:val="superscript"/>
                <w:lang w:val="en-AU"/>
              </w:rPr>
            </w:r>
            <w:r w:rsidRPr="008A5E2F">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5</w:t>
            </w:r>
            <w:r w:rsidRPr="008A5E2F">
              <w:rPr>
                <w:rFonts w:asciiTheme="minorHAnsi" w:hAnsiTheme="minorHAnsi" w:cstheme="minorHAnsi"/>
                <w:sz w:val="20"/>
                <w:szCs w:val="20"/>
                <w:vertAlign w:val="superscript"/>
                <w:lang w:val="en-AU"/>
              </w:rPr>
              <w:fldChar w:fldCharType="end"/>
            </w:r>
          </w:p>
        </w:tc>
        <w:tc>
          <w:tcPr>
            <w:tcW w:w="3544" w:type="dxa"/>
          </w:tcPr>
          <w:p w14:paraId="6E8C8F03"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2E1B51">
              <w:rPr>
                <w:rFonts w:asciiTheme="minorHAnsi" w:hAnsiTheme="minorHAnsi" w:cstheme="minorHAnsi"/>
                <w:sz w:val="20"/>
                <w:szCs w:val="20"/>
                <w:lang w:val="en-AU"/>
              </w:rPr>
              <w:t>dabigatran</w:t>
            </w:r>
          </w:p>
        </w:tc>
        <w:tc>
          <w:tcPr>
            <w:tcW w:w="3402" w:type="dxa"/>
          </w:tcPr>
          <w:p w14:paraId="21576A6B"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a</w:t>
            </w:r>
            <w:r w:rsidRPr="002E1B51">
              <w:rPr>
                <w:rFonts w:asciiTheme="minorHAnsi" w:hAnsiTheme="minorHAnsi" w:cstheme="minorHAnsi"/>
                <w:sz w:val="20"/>
                <w:szCs w:val="20"/>
                <w:lang w:val="en-AU"/>
              </w:rPr>
              <w:t>ltered P-gp substrate exposure</w:t>
            </w:r>
          </w:p>
        </w:tc>
      </w:tr>
      <w:tr w:rsidR="003107D0" w:rsidRPr="00353057" w14:paraId="03DA3A19" w14:textId="77777777" w:rsidTr="00976909">
        <w:trPr>
          <w:tblHeader/>
        </w:trPr>
        <w:tc>
          <w:tcPr>
            <w:tcW w:w="2542" w:type="dxa"/>
          </w:tcPr>
          <w:p w14:paraId="078454EB" w14:textId="77777777" w:rsidR="003107D0" w:rsidRPr="002E1B5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2E1B51">
              <w:rPr>
                <w:rFonts w:asciiTheme="minorHAnsi" w:eastAsiaTheme="minorHAnsi" w:hAnsiTheme="minorHAnsi" w:cs="Arial"/>
                <w:i/>
                <w:iCs/>
                <w:color w:val="000000" w:themeColor="text1"/>
                <w:sz w:val="20"/>
                <w:szCs w:val="20"/>
                <w:lang w:val="en-AU"/>
              </w:rPr>
              <w:t>OAT3 substrates</w:t>
            </w:r>
          </w:p>
        </w:tc>
        <w:tc>
          <w:tcPr>
            <w:tcW w:w="3544" w:type="dxa"/>
          </w:tcPr>
          <w:p w14:paraId="7ABA748A" w14:textId="77777777" w:rsidR="003107D0" w:rsidRPr="002E1B51" w:rsidRDefault="003107D0" w:rsidP="001B0F0C">
            <w:pPr>
              <w:keepNext/>
              <w:tabs>
                <w:tab w:val="left" w:pos="424"/>
                <w:tab w:val="left" w:pos="425"/>
              </w:tabs>
              <w:spacing w:before="20" w:after="20" w:line="261" w:lineRule="exact"/>
              <w:rPr>
                <w:rFonts w:asciiTheme="minorHAnsi" w:eastAsiaTheme="minorHAnsi" w:hAnsiTheme="minorHAnsi" w:cs="Arial"/>
                <w:bCs/>
                <w:color w:val="000000" w:themeColor="text1"/>
                <w:sz w:val="20"/>
                <w:szCs w:val="20"/>
                <w:lang w:val="en-AU"/>
              </w:rPr>
            </w:pPr>
            <w:r w:rsidRPr="002E1B51">
              <w:rPr>
                <w:rFonts w:asciiTheme="minorHAnsi" w:eastAsiaTheme="minorHAnsi" w:hAnsiTheme="minorHAnsi" w:cs="Arial"/>
                <w:bCs/>
                <w:color w:val="000000" w:themeColor="text1"/>
                <w:sz w:val="20"/>
                <w:szCs w:val="20"/>
                <w:lang w:val="en-AU"/>
              </w:rPr>
              <w:t>benzylpenicillin, furosemide</w:t>
            </w:r>
          </w:p>
        </w:tc>
        <w:tc>
          <w:tcPr>
            <w:tcW w:w="3402" w:type="dxa"/>
          </w:tcPr>
          <w:p w14:paraId="5E15C2AC" w14:textId="77777777" w:rsidR="003107D0" w:rsidRPr="002E1B51"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Pr>
                <w:rFonts w:asciiTheme="minorHAnsi" w:hAnsiTheme="minorHAnsi" w:cstheme="minorHAnsi"/>
                <w:sz w:val="20"/>
                <w:szCs w:val="20"/>
                <w:lang w:val="en-AU"/>
              </w:rPr>
              <w:t>i</w:t>
            </w:r>
            <w:r w:rsidRPr="002E1B51">
              <w:rPr>
                <w:rFonts w:asciiTheme="minorHAnsi" w:hAnsiTheme="minorHAnsi" w:cstheme="minorHAnsi"/>
                <w:sz w:val="20"/>
                <w:szCs w:val="20"/>
                <w:lang w:val="en-AU"/>
              </w:rPr>
              <w:t>ncreased OAT3 substrate exposure</w:t>
            </w:r>
          </w:p>
        </w:tc>
      </w:tr>
      <w:tr w:rsidR="003107D0" w:rsidRPr="00803AA1" w14:paraId="6E25D4D9" w14:textId="77777777" w:rsidTr="00976909">
        <w:trPr>
          <w:tblHeader/>
        </w:trPr>
        <w:tc>
          <w:tcPr>
            <w:tcW w:w="2542" w:type="dxa"/>
          </w:tcPr>
          <w:p w14:paraId="7A64182C" w14:textId="3FDD4064" w:rsidR="003107D0" w:rsidRPr="00803AA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FA4C3E">
              <w:rPr>
                <w:rFonts w:asciiTheme="minorHAnsi" w:hAnsiTheme="minorHAnsi" w:cstheme="minorHAnsi"/>
                <w:i/>
                <w:iCs/>
                <w:sz w:val="20"/>
                <w:szCs w:val="20"/>
                <w:lang w:val="en-AU"/>
              </w:rPr>
              <w:t>Medicines that prolong the QT interval</w:t>
            </w:r>
            <w:r>
              <w:rPr>
                <w:rFonts w:asciiTheme="minorHAnsi" w:hAnsiTheme="minorHAnsi" w:cstheme="minorHAnsi"/>
                <w:i/>
                <w:iCs/>
                <w:sz w:val="20"/>
                <w:szCs w:val="20"/>
                <w:lang w:val="en-AU"/>
              </w:rPr>
              <w:t xml:space="preserve"> </w:t>
            </w:r>
            <w:r w:rsidRPr="008A5E2F">
              <w:rPr>
                <w:rFonts w:asciiTheme="minorHAnsi" w:hAnsiTheme="minorHAnsi" w:cstheme="minorHAnsi"/>
                <w:sz w:val="20"/>
                <w:szCs w:val="20"/>
                <w:vertAlign w:val="superscript"/>
                <w:lang w:val="en-AU"/>
              </w:rPr>
              <w:fldChar w:fldCharType="begin"/>
            </w:r>
            <w:r w:rsidRPr="008A5E2F">
              <w:rPr>
                <w:rFonts w:asciiTheme="minorHAnsi" w:hAnsiTheme="minorHAnsi" w:cstheme="minorHAnsi"/>
                <w:sz w:val="20"/>
                <w:szCs w:val="20"/>
                <w:vertAlign w:val="superscript"/>
                <w:lang w:val="en-AU"/>
              </w:rPr>
              <w:instrText xml:space="preserve"> REF _Ref124501422 \n \h </w:instrText>
            </w:r>
            <w:r w:rsidRPr="008A5E2F">
              <w:rPr>
                <w:rFonts w:asciiTheme="minorHAnsi" w:hAnsiTheme="minorHAnsi" w:cstheme="minorHAnsi"/>
                <w:sz w:val="20"/>
                <w:szCs w:val="20"/>
                <w:vertAlign w:val="superscript"/>
                <w:lang w:val="en-AU"/>
              </w:rPr>
            </w:r>
            <w:r w:rsidRPr="008A5E2F">
              <w:rPr>
                <w:rFonts w:asciiTheme="minorHAnsi" w:hAnsiTheme="minorHAnsi" w:cstheme="minorHAnsi"/>
                <w:sz w:val="20"/>
                <w:szCs w:val="20"/>
                <w:vertAlign w:val="superscript"/>
                <w:lang w:val="en-AU"/>
              </w:rPr>
              <w:fldChar w:fldCharType="separate"/>
            </w:r>
            <w:r w:rsidR="00C17B0F">
              <w:rPr>
                <w:rFonts w:asciiTheme="minorHAnsi" w:hAnsiTheme="minorHAnsi" w:cstheme="minorHAnsi"/>
                <w:sz w:val="20"/>
                <w:szCs w:val="20"/>
                <w:vertAlign w:val="superscript"/>
                <w:lang w:val="en-AU"/>
              </w:rPr>
              <w:t>1</w:t>
            </w:r>
            <w:r w:rsidRPr="008A5E2F">
              <w:rPr>
                <w:rFonts w:asciiTheme="minorHAnsi" w:hAnsiTheme="minorHAnsi" w:cstheme="minorHAnsi"/>
                <w:sz w:val="20"/>
                <w:szCs w:val="20"/>
                <w:vertAlign w:val="superscript"/>
                <w:lang w:val="en-AU"/>
              </w:rPr>
              <w:fldChar w:fldCharType="end"/>
            </w:r>
          </w:p>
        </w:tc>
        <w:tc>
          <w:tcPr>
            <w:tcW w:w="3544" w:type="dxa"/>
          </w:tcPr>
          <w:p w14:paraId="6D004BD7" w14:textId="77777777" w:rsidR="003107D0" w:rsidRPr="00803AA1" w:rsidRDefault="003107D0" w:rsidP="001B0F0C">
            <w:pPr>
              <w:keepNext/>
              <w:tabs>
                <w:tab w:val="left" w:pos="424"/>
                <w:tab w:val="left" w:pos="425"/>
              </w:tabs>
              <w:spacing w:before="20" w:after="20" w:line="261" w:lineRule="exact"/>
              <w:rPr>
                <w:rFonts w:asciiTheme="minorHAnsi" w:eastAsiaTheme="minorHAnsi" w:hAnsiTheme="minorHAnsi" w:cs="Arial"/>
                <w:bCs/>
                <w:color w:val="000000" w:themeColor="text1"/>
                <w:sz w:val="20"/>
                <w:szCs w:val="20"/>
                <w:lang w:val="en-AU"/>
              </w:rPr>
            </w:pPr>
            <w:r w:rsidRPr="00FA4C3E">
              <w:rPr>
                <w:rFonts w:asciiTheme="minorHAnsi" w:eastAsiaTheme="minorHAnsi" w:hAnsiTheme="minorHAnsi" w:cs="Arial"/>
                <w:bCs/>
                <w:color w:val="000000" w:themeColor="text1"/>
                <w:sz w:val="20"/>
                <w:szCs w:val="20"/>
                <w:lang w:val="en-AU"/>
              </w:rPr>
              <w:t>anti-arrhythmics, fluoroquinolones, 5-HT3 receptor antagonists, triazole antifungals</w:t>
            </w:r>
          </w:p>
        </w:tc>
        <w:tc>
          <w:tcPr>
            <w:tcW w:w="3402" w:type="dxa"/>
          </w:tcPr>
          <w:p w14:paraId="3F6A5AAF" w14:textId="77777777" w:rsidR="003107D0"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sidRPr="00353057">
              <w:rPr>
                <w:rFonts w:asciiTheme="minorHAnsi" w:hAnsiTheme="minorHAnsi" w:cstheme="minorHAnsi"/>
                <w:sz w:val="20"/>
                <w:szCs w:val="20"/>
                <w:lang w:val="en-AU"/>
              </w:rPr>
              <w:t>a</w:t>
            </w:r>
            <w:r w:rsidRPr="00FA4C3E">
              <w:rPr>
                <w:rFonts w:asciiTheme="minorHAnsi" w:hAnsiTheme="minorHAnsi" w:cstheme="minorHAnsi"/>
                <w:sz w:val="20"/>
                <w:szCs w:val="20"/>
                <w:lang w:val="en-AU"/>
              </w:rPr>
              <w:t>dditive or synergistic effect on QT prolongation</w:t>
            </w:r>
          </w:p>
        </w:tc>
      </w:tr>
      <w:tr w:rsidR="003107D0" w:rsidRPr="00803AA1" w14:paraId="67456E3F" w14:textId="77777777" w:rsidTr="00976909">
        <w:trPr>
          <w:tblHeader/>
        </w:trPr>
        <w:tc>
          <w:tcPr>
            <w:tcW w:w="2542" w:type="dxa"/>
          </w:tcPr>
          <w:p w14:paraId="3C636A8A" w14:textId="77777777" w:rsidR="003107D0" w:rsidRPr="00803AA1" w:rsidRDefault="003107D0" w:rsidP="001B0F0C">
            <w:pPr>
              <w:keepNext/>
              <w:spacing w:before="20" w:after="20" w:line="247" w:lineRule="auto"/>
              <w:rPr>
                <w:rFonts w:asciiTheme="minorHAnsi" w:eastAsiaTheme="minorHAnsi" w:hAnsiTheme="minorHAnsi" w:cs="Arial"/>
                <w:i/>
                <w:iCs/>
                <w:color w:val="000000" w:themeColor="text1"/>
                <w:sz w:val="20"/>
                <w:szCs w:val="20"/>
                <w:lang w:val="en-AU"/>
              </w:rPr>
            </w:pPr>
            <w:r w:rsidRPr="008C4110">
              <w:rPr>
                <w:rFonts w:asciiTheme="minorHAnsi" w:hAnsiTheme="minorHAnsi" w:cstheme="minorHAnsi"/>
                <w:i/>
                <w:iCs/>
                <w:sz w:val="20"/>
                <w:szCs w:val="20"/>
                <w:lang w:val="en-AU"/>
              </w:rPr>
              <w:t>High-fat food at time of ivosidenib dose</w:t>
            </w:r>
          </w:p>
        </w:tc>
        <w:tc>
          <w:tcPr>
            <w:tcW w:w="3544" w:type="dxa"/>
          </w:tcPr>
          <w:p w14:paraId="4CFB0494" w14:textId="4A97E258" w:rsidR="003107D0" w:rsidRPr="00803AA1" w:rsidRDefault="00341048" w:rsidP="001B0F0C">
            <w:pPr>
              <w:keepNext/>
              <w:tabs>
                <w:tab w:val="left" w:pos="424"/>
                <w:tab w:val="left" w:pos="425"/>
              </w:tabs>
              <w:spacing w:before="20" w:after="20" w:line="261" w:lineRule="exact"/>
              <w:rPr>
                <w:rFonts w:asciiTheme="minorHAnsi" w:eastAsiaTheme="minorHAnsi" w:hAnsiTheme="minorHAnsi" w:cs="Arial"/>
                <w:bCs/>
                <w:color w:val="000000" w:themeColor="text1"/>
                <w:sz w:val="20"/>
                <w:szCs w:val="20"/>
                <w:lang w:val="en-AU"/>
              </w:rPr>
            </w:pPr>
            <w:r>
              <w:rPr>
                <w:rFonts w:asciiTheme="minorHAnsi" w:hAnsiTheme="minorHAnsi" w:cstheme="minorHAnsi"/>
                <w:sz w:val="20"/>
                <w:szCs w:val="20"/>
                <w:lang w:val="en-AU"/>
              </w:rPr>
              <w:t>b</w:t>
            </w:r>
            <w:r w:rsidR="003107D0" w:rsidRPr="008C4110">
              <w:rPr>
                <w:rFonts w:asciiTheme="minorHAnsi" w:hAnsiTheme="minorHAnsi" w:cstheme="minorHAnsi"/>
                <w:sz w:val="20"/>
                <w:szCs w:val="20"/>
                <w:lang w:val="en-AU"/>
              </w:rPr>
              <w:t>acon</w:t>
            </w:r>
            <w:r w:rsidR="00386121" w:rsidRPr="50DC8091">
              <w:rPr>
                <w:rFonts w:asciiTheme="minorHAnsi" w:hAnsiTheme="minorHAnsi" w:cstheme="minorBidi"/>
                <w:sz w:val="20"/>
                <w:szCs w:val="20"/>
                <w:lang w:val="en-AU"/>
              </w:rPr>
              <w:t>, butter, milk</w:t>
            </w:r>
            <w:r w:rsidR="003107D0" w:rsidRPr="008C4110">
              <w:rPr>
                <w:rFonts w:asciiTheme="minorHAnsi" w:hAnsiTheme="minorHAnsi" w:cstheme="minorHAnsi"/>
                <w:sz w:val="20"/>
                <w:szCs w:val="20"/>
                <w:lang w:val="en-AU"/>
              </w:rPr>
              <w:t xml:space="preserve"> and eggs</w:t>
            </w:r>
            <w:r w:rsidR="008C17BC">
              <w:rPr>
                <w:rFonts w:asciiTheme="minorHAnsi" w:hAnsiTheme="minorHAnsi" w:cstheme="minorHAnsi"/>
                <w:sz w:val="20"/>
                <w:szCs w:val="20"/>
                <w:lang w:val="en-AU"/>
              </w:rPr>
              <w:t xml:space="preserve"> </w:t>
            </w:r>
            <w:r w:rsidR="008C17BC" w:rsidRPr="50DC8091">
              <w:rPr>
                <w:rFonts w:asciiTheme="minorHAnsi" w:hAnsiTheme="minorHAnsi" w:cstheme="minorBidi"/>
                <w:sz w:val="20"/>
                <w:szCs w:val="20"/>
                <w:lang w:val="en-AU"/>
              </w:rPr>
              <w:t>(about 1,000 calories and 58 g of fat)</w:t>
            </w:r>
            <w:r w:rsidR="008C17BC" w:rsidRPr="00702DD1">
              <w:rPr>
                <w:rFonts w:asciiTheme="minorHAnsi" w:hAnsiTheme="minorHAnsi" w:cstheme="minorBidi"/>
                <w:sz w:val="20"/>
                <w:szCs w:val="20"/>
                <w:vertAlign w:val="superscript"/>
                <w:lang w:val="en-AU"/>
              </w:rPr>
              <w:t>6</w:t>
            </w:r>
          </w:p>
        </w:tc>
        <w:tc>
          <w:tcPr>
            <w:tcW w:w="3402" w:type="dxa"/>
          </w:tcPr>
          <w:p w14:paraId="54EB7070" w14:textId="77777777" w:rsidR="003107D0" w:rsidRDefault="003107D0" w:rsidP="001B0F0C">
            <w:pPr>
              <w:keepNext/>
              <w:tabs>
                <w:tab w:val="left" w:pos="424"/>
                <w:tab w:val="left" w:pos="425"/>
              </w:tabs>
              <w:spacing w:before="20" w:after="20" w:line="261" w:lineRule="exact"/>
              <w:rPr>
                <w:rFonts w:asciiTheme="minorHAnsi" w:hAnsiTheme="minorHAnsi" w:cstheme="minorHAnsi"/>
                <w:sz w:val="20"/>
                <w:szCs w:val="20"/>
                <w:lang w:val="en-AU"/>
              </w:rPr>
            </w:pPr>
            <w:r>
              <w:rPr>
                <w:rFonts w:asciiTheme="minorHAnsi" w:hAnsiTheme="minorHAnsi" w:cstheme="minorHAnsi"/>
                <w:sz w:val="20"/>
                <w:szCs w:val="20"/>
                <w:lang w:val="en-AU"/>
              </w:rPr>
              <w:t>i</w:t>
            </w:r>
            <w:r w:rsidRPr="008C4110">
              <w:rPr>
                <w:rFonts w:asciiTheme="minorHAnsi" w:hAnsiTheme="minorHAnsi" w:cstheme="minorHAnsi"/>
                <w:sz w:val="20"/>
                <w:szCs w:val="20"/>
                <w:lang w:val="en-AU"/>
              </w:rPr>
              <w:t xml:space="preserve">ncreased ivosidenib exposure </w:t>
            </w:r>
          </w:p>
        </w:tc>
      </w:tr>
      <w:tr w:rsidR="003107D0" w:rsidRPr="00803AA1" w14:paraId="1CE06066" w14:textId="77777777" w:rsidTr="00976909">
        <w:trPr>
          <w:tblHeader/>
        </w:trPr>
        <w:tc>
          <w:tcPr>
            <w:tcW w:w="9488" w:type="dxa"/>
            <w:gridSpan w:val="3"/>
          </w:tcPr>
          <w:p w14:paraId="6DA366DD" w14:textId="20682103" w:rsidR="003107D0" w:rsidRPr="00433995" w:rsidRDefault="003107D0" w:rsidP="001B0F0C">
            <w:pPr>
              <w:spacing w:before="20" w:after="20"/>
              <w:rPr>
                <w:rFonts w:asciiTheme="minorHAnsi" w:eastAsiaTheme="minorHAnsi" w:hAnsiTheme="minorHAnsi"/>
                <w:sz w:val="20"/>
                <w:szCs w:val="20"/>
              </w:rPr>
            </w:pPr>
            <w:r w:rsidRPr="002E1B51">
              <w:rPr>
                <w:rFonts w:asciiTheme="minorHAnsi" w:hAnsiTheme="minorHAnsi"/>
                <w:sz w:val="20"/>
                <w:szCs w:val="20"/>
              </w:rPr>
              <w:t xml:space="preserve">OAT3 = </w:t>
            </w:r>
            <w:r w:rsidRPr="00433995">
              <w:rPr>
                <w:rFonts w:asciiTheme="minorHAnsi" w:hAnsiTheme="minorHAnsi"/>
                <w:sz w:val="20"/>
                <w:szCs w:val="20"/>
              </w:rPr>
              <w:t>organic anion transporter 3</w:t>
            </w:r>
            <w:r w:rsidRPr="002E1B51">
              <w:rPr>
                <w:rFonts w:asciiTheme="minorHAnsi" w:hAnsiTheme="minorHAnsi"/>
                <w:sz w:val="20"/>
                <w:szCs w:val="20"/>
              </w:rPr>
              <w:t xml:space="preserve">. P-gp = P glycoprotein. UGT = </w:t>
            </w:r>
            <w:r w:rsidRPr="002E1B51">
              <w:rPr>
                <w:rFonts w:asciiTheme="minorHAnsi" w:eastAsiaTheme="minorHAnsi" w:hAnsiTheme="minorHAnsi"/>
                <w:sz w:val="20"/>
                <w:szCs w:val="20"/>
              </w:rPr>
              <w:t>uridine diphosphate glucuronosyltransferases.</w:t>
            </w:r>
          </w:p>
          <w:p w14:paraId="30AE0F6B" w14:textId="77777777" w:rsidR="003107D0" w:rsidRPr="00433995" w:rsidRDefault="003107D0" w:rsidP="001B0F0C">
            <w:pPr>
              <w:pStyle w:val="ListParagraph"/>
              <w:numPr>
                <w:ilvl w:val="0"/>
                <w:numId w:val="13"/>
              </w:numPr>
              <w:spacing w:before="20" w:after="20"/>
              <w:ind w:left="284" w:hanging="284"/>
              <w:rPr>
                <w:rFonts w:asciiTheme="minorHAnsi" w:eastAsiaTheme="minorHAnsi" w:hAnsiTheme="minorHAnsi"/>
                <w:sz w:val="20"/>
                <w:szCs w:val="20"/>
              </w:rPr>
            </w:pPr>
            <w:bookmarkStart w:id="5" w:name="_Ref124501422"/>
            <w:r w:rsidRPr="002E1B51">
              <w:rPr>
                <w:rFonts w:asciiTheme="minorHAnsi" w:eastAsiaTheme="minorHAnsi" w:hAnsiTheme="minorHAnsi" w:cs="Arial"/>
                <w:bCs/>
                <w:color w:val="000000" w:themeColor="text1"/>
                <w:sz w:val="20"/>
                <w:szCs w:val="20"/>
                <w:lang w:val="en-AU"/>
              </w:rPr>
              <w:t xml:space="preserve">See </w:t>
            </w:r>
            <w:r w:rsidRPr="002E1B51">
              <w:rPr>
                <w:rFonts w:asciiTheme="minorHAnsi" w:eastAsiaTheme="minorHAnsi" w:hAnsiTheme="minorHAnsi" w:cs="Arial"/>
                <w:bCs/>
                <w:i/>
                <w:iCs/>
                <w:color w:val="000000" w:themeColor="text1"/>
                <w:sz w:val="20"/>
                <w:szCs w:val="20"/>
                <w:lang w:val="en-AU"/>
              </w:rPr>
              <w:t>section 4.4 - Special warnings and precautions for use</w:t>
            </w:r>
            <w:bookmarkEnd w:id="5"/>
            <w:r w:rsidRPr="002E1B51">
              <w:rPr>
                <w:rFonts w:asciiTheme="minorHAnsi" w:eastAsiaTheme="minorHAnsi" w:hAnsiTheme="minorHAnsi" w:cs="Arial"/>
                <w:bCs/>
                <w:i/>
                <w:iCs/>
                <w:color w:val="000000" w:themeColor="text1"/>
                <w:sz w:val="20"/>
                <w:szCs w:val="20"/>
                <w:lang w:val="en-AU"/>
              </w:rPr>
              <w:t xml:space="preserve"> </w:t>
            </w:r>
            <w:r w:rsidRPr="002E1B51">
              <w:rPr>
                <w:rFonts w:asciiTheme="minorHAnsi" w:eastAsiaTheme="minorHAnsi" w:hAnsiTheme="minorHAnsi" w:cs="Arial"/>
                <w:bCs/>
                <w:color w:val="000000" w:themeColor="text1"/>
                <w:sz w:val="20"/>
                <w:szCs w:val="20"/>
                <w:lang w:val="en-AU"/>
              </w:rPr>
              <w:t>regarding QTc interval prolongation</w:t>
            </w:r>
            <w:r w:rsidRPr="002E1B51">
              <w:rPr>
                <w:rFonts w:asciiTheme="minorHAnsi" w:eastAsiaTheme="minorHAnsi" w:hAnsiTheme="minorHAnsi" w:cs="Arial"/>
                <w:bCs/>
                <w:i/>
                <w:iCs/>
                <w:color w:val="000000" w:themeColor="text1"/>
                <w:sz w:val="20"/>
                <w:szCs w:val="20"/>
                <w:lang w:val="en-AU"/>
              </w:rPr>
              <w:t>.</w:t>
            </w:r>
            <w:r w:rsidRPr="00433995">
              <w:rPr>
                <w:rFonts w:asciiTheme="minorHAnsi" w:eastAsiaTheme="minorHAnsi" w:hAnsiTheme="minorHAnsi"/>
                <w:sz w:val="20"/>
                <w:szCs w:val="20"/>
              </w:rPr>
              <w:t xml:space="preserve"> </w:t>
            </w:r>
          </w:p>
          <w:p w14:paraId="20923B56" w14:textId="77777777" w:rsidR="003107D0" w:rsidRPr="00433995" w:rsidRDefault="003107D0" w:rsidP="001B0F0C">
            <w:pPr>
              <w:pStyle w:val="ListParagraph"/>
              <w:numPr>
                <w:ilvl w:val="0"/>
                <w:numId w:val="13"/>
              </w:numPr>
              <w:spacing w:before="20" w:after="20"/>
              <w:ind w:left="284" w:hanging="284"/>
              <w:rPr>
                <w:rFonts w:asciiTheme="minorHAnsi" w:eastAsiaTheme="minorHAnsi" w:hAnsiTheme="minorHAnsi"/>
                <w:sz w:val="20"/>
                <w:szCs w:val="20"/>
              </w:rPr>
            </w:pPr>
            <w:bookmarkStart w:id="6" w:name="_Ref124508670"/>
            <w:r w:rsidRPr="002E1B51">
              <w:rPr>
                <w:rFonts w:asciiTheme="minorHAnsi" w:eastAsiaTheme="minorHAnsi" w:hAnsiTheme="minorHAnsi" w:cs="Arial"/>
                <w:bCs/>
                <w:color w:val="000000" w:themeColor="text1"/>
                <w:sz w:val="20"/>
                <w:szCs w:val="20"/>
                <w:lang w:val="en-AU"/>
              </w:rPr>
              <w:t>Avoid co-administration of strong CYP3A4 inducers due to risk of decreased ivosidenib efficacy.</w:t>
            </w:r>
            <w:bookmarkEnd w:id="6"/>
          </w:p>
          <w:p w14:paraId="24FB2650" w14:textId="77777777" w:rsidR="003107D0" w:rsidRPr="002E1B51" w:rsidRDefault="003107D0" w:rsidP="001B0F0C">
            <w:pPr>
              <w:pStyle w:val="ListParagraph"/>
              <w:numPr>
                <w:ilvl w:val="0"/>
                <w:numId w:val="13"/>
              </w:numPr>
              <w:spacing w:before="20" w:after="20"/>
              <w:ind w:left="284" w:hanging="284"/>
              <w:rPr>
                <w:rFonts w:asciiTheme="minorHAnsi" w:eastAsiaTheme="minorHAnsi" w:hAnsiTheme="minorHAnsi"/>
                <w:sz w:val="20"/>
                <w:szCs w:val="20"/>
              </w:rPr>
            </w:pPr>
            <w:bookmarkStart w:id="7" w:name="_Ref124501490"/>
            <w:r w:rsidRPr="00433995">
              <w:rPr>
                <w:rFonts w:asciiTheme="minorHAnsi" w:eastAsiaTheme="minorHAnsi" w:hAnsiTheme="minorHAnsi"/>
                <w:sz w:val="20"/>
                <w:szCs w:val="20"/>
              </w:rPr>
              <w:t xml:space="preserve">See </w:t>
            </w:r>
            <w:r w:rsidRPr="002E1B51">
              <w:rPr>
                <w:rFonts w:asciiTheme="minorHAnsi" w:eastAsiaTheme="minorHAnsi" w:hAnsiTheme="minorHAnsi" w:cs="Arial"/>
                <w:bCs/>
                <w:i/>
                <w:iCs/>
                <w:color w:val="000000" w:themeColor="text1"/>
                <w:sz w:val="20"/>
                <w:szCs w:val="20"/>
                <w:lang w:val="en-AU"/>
              </w:rPr>
              <w:t>section 4.2 - Dose and method of administration.</w:t>
            </w:r>
          </w:p>
          <w:p w14:paraId="51F99D42" w14:textId="77777777" w:rsidR="003107D0" w:rsidRPr="002E1B51" w:rsidRDefault="003107D0" w:rsidP="001B0F0C">
            <w:pPr>
              <w:pStyle w:val="ListParagraph"/>
              <w:numPr>
                <w:ilvl w:val="0"/>
                <w:numId w:val="13"/>
              </w:numPr>
              <w:spacing w:before="20" w:after="20"/>
              <w:ind w:left="284" w:hanging="284"/>
              <w:rPr>
                <w:rFonts w:asciiTheme="minorHAnsi" w:eastAsiaTheme="minorHAnsi" w:hAnsiTheme="minorHAnsi"/>
                <w:sz w:val="20"/>
                <w:szCs w:val="20"/>
              </w:rPr>
            </w:pPr>
            <w:bookmarkStart w:id="8" w:name="_Ref124503971"/>
            <w:r w:rsidRPr="002E1B51">
              <w:rPr>
                <w:rFonts w:asciiTheme="minorHAnsi" w:eastAsiaTheme="minorHAnsi" w:hAnsiTheme="minorHAnsi" w:cs="Arial"/>
                <w:bCs/>
                <w:color w:val="000000" w:themeColor="text1"/>
                <w:sz w:val="20"/>
                <w:szCs w:val="20"/>
                <w:lang w:val="en-AU"/>
              </w:rPr>
              <w:t>In patients receiving ivosidenib, do not rely on efficacy of antifungals that are CYP3A4 substrates or efficacy of hormonal contraceptives.</w:t>
            </w:r>
            <w:bookmarkEnd w:id="8"/>
            <w:r w:rsidRPr="002E1B51">
              <w:rPr>
                <w:rFonts w:asciiTheme="minorHAnsi" w:eastAsiaTheme="minorHAnsi" w:hAnsiTheme="minorHAnsi" w:cs="Arial"/>
                <w:bCs/>
                <w:color w:val="000000" w:themeColor="text1"/>
                <w:sz w:val="20"/>
                <w:szCs w:val="20"/>
                <w:lang w:val="en-AU"/>
              </w:rPr>
              <w:t xml:space="preserve"> See also </w:t>
            </w:r>
            <w:r w:rsidRPr="00D65CED">
              <w:rPr>
                <w:rFonts w:asciiTheme="minorHAnsi" w:eastAsiaTheme="minorHAnsi" w:hAnsiTheme="minorHAnsi" w:cs="Arial"/>
                <w:bCs/>
                <w:i/>
                <w:iCs/>
                <w:color w:val="000000" w:themeColor="text1"/>
                <w:sz w:val="20"/>
                <w:szCs w:val="20"/>
                <w:lang w:val="en-AU"/>
              </w:rPr>
              <w:t>section</w:t>
            </w:r>
            <w:r w:rsidRPr="002E1B51">
              <w:rPr>
                <w:rFonts w:asciiTheme="minorHAnsi" w:eastAsiaTheme="minorHAnsi" w:hAnsiTheme="minorHAnsi" w:cs="Arial"/>
                <w:bCs/>
                <w:color w:val="000000" w:themeColor="text1"/>
                <w:sz w:val="20"/>
                <w:szCs w:val="20"/>
                <w:lang w:val="en-AU"/>
              </w:rPr>
              <w:t xml:space="preserve"> </w:t>
            </w:r>
            <w:r w:rsidRPr="002E1B51">
              <w:rPr>
                <w:rFonts w:asciiTheme="minorHAnsi" w:eastAsiaTheme="minorHAnsi" w:hAnsiTheme="minorHAnsi" w:cs="Arial"/>
                <w:bCs/>
                <w:i/>
                <w:iCs/>
                <w:color w:val="000000" w:themeColor="text1"/>
                <w:sz w:val="20"/>
                <w:szCs w:val="20"/>
                <w:lang w:val="en-AU"/>
              </w:rPr>
              <w:t>4.6 - Fertility, pregnancy and lactation.</w:t>
            </w:r>
          </w:p>
          <w:p w14:paraId="40D1630C" w14:textId="77777777" w:rsidR="003107D0" w:rsidRPr="00702DD1" w:rsidRDefault="003107D0" w:rsidP="001B0F0C">
            <w:pPr>
              <w:pStyle w:val="ListParagraph"/>
              <w:numPr>
                <w:ilvl w:val="0"/>
                <w:numId w:val="13"/>
              </w:numPr>
              <w:spacing w:before="20" w:after="20"/>
              <w:ind w:left="284" w:hanging="284"/>
              <w:rPr>
                <w:rFonts w:asciiTheme="minorHAnsi" w:hAnsiTheme="minorHAnsi" w:cstheme="minorHAnsi"/>
                <w:sz w:val="20"/>
                <w:szCs w:val="20"/>
                <w:lang w:val="en-AU"/>
              </w:rPr>
            </w:pPr>
            <w:bookmarkStart w:id="9" w:name="_Ref124503892"/>
            <w:r w:rsidRPr="002E1B51">
              <w:rPr>
                <w:rFonts w:asciiTheme="minorHAnsi" w:eastAsiaTheme="minorHAnsi" w:hAnsiTheme="minorHAnsi" w:cs="Arial"/>
                <w:bCs/>
                <w:color w:val="000000" w:themeColor="text1"/>
                <w:sz w:val="20"/>
                <w:szCs w:val="20"/>
                <w:lang w:val="en-AU"/>
              </w:rPr>
              <w:t xml:space="preserve">Avoid co-administration of dabigatran with ivosidenib </w:t>
            </w:r>
            <w:bookmarkEnd w:id="9"/>
            <w:r w:rsidRPr="002E1B51">
              <w:rPr>
                <w:rFonts w:asciiTheme="minorHAnsi" w:eastAsiaTheme="minorHAnsi" w:hAnsiTheme="minorHAnsi" w:cs="Arial"/>
                <w:bCs/>
                <w:color w:val="000000" w:themeColor="text1"/>
                <w:sz w:val="20"/>
                <w:szCs w:val="20"/>
                <w:lang w:val="en-AU"/>
              </w:rPr>
              <w:t>due to risk of dabigatran toxicity.</w:t>
            </w:r>
            <w:bookmarkEnd w:id="7"/>
          </w:p>
          <w:p w14:paraId="7012D0C7" w14:textId="0B1C5F54" w:rsidR="00702DD1" w:rsidRDefault="00702DD1" w:rsidP="001B0F0C">
            <w:pPr>
              <w:pStyle w:val="ListParagraph"/>
              <w:numPr>
                <w:ilvl w:val="0"/>
                <w:numId w:val="13"/>
              </w:numPr>
              <w:spacing w:before="20" w:after="20"/>
              <w:ind w:left="284" w:hanging="284"/>
              <w:rPr>
                <w:rFonts w:asciiTheme="minorHAnsi" w:hAnsiTheme="minorHAnsi" w:cstheme="minorHAnsi"/>
                <w:sz w:val="20"/>
                <w:szCs w:val="20"/>
                <w:lang w:val="en-AU"/>
              </w:rPr>
            </w:pPr>
            <w:r w:rsidRPr="716261A9">
              <w:rPr>
                <w:rFonts w:ascii="Calibri" w:eastAsia="Calibri" w:hAnsi="Calibri" w:cs="Calibri"/>
                <w:color w:val="000000" w:themeColor="text1"/>
                <w:sz w:val="20"/>
                <w:szCs w:val="20"/>
                <w:lang w:val="en-AU"/>
              </w:rPr>
              <w:t xml:space="preserve">See </w:t>
            </w:r>
            <w:r w:rsidRPr="00D65CED">
              <w:rPr>
                <w:rFonts w:ascii="Calibri" w:eastAsia="Calibri" w:hAnsi="Calibri" w:cs="Calibri"/>
                <w:i/>
                <w:iCs/>
                <w:color w:val="000000" w:themeColor="text1"/>
                <w:sz w:val="20"/>
                <w:szCs w:val="20"/>
                <w:lang w:val="en-AU"/>
              </w:rPr>
              <w:t>section 5.2</w:t>
            </w:r>
            <w:r w:rsidRPr="716261A9">
              <w:rPr>
                <w:rFonts w:ascii="Calibri" w:eastAsia="Calibri" w:hAnsi="Calibri" w:cs="Calibri"/>
                <w:color w:val="000000" w:themeColor="text1"/>
                <w:sz w:val="20"/>
                <w:szCs w:val="20"/>
                <w:lang w:val="en-AU"/>
              </w:rPr>
              <w:t xml:space="preserve"> – </w:t>
            </w:r>
            <w:r w:rsidRPr="00702DD1">
              <w:rPr>
                <w:rFonts w:ascii="Calibri" w:eastAsia="Calibri" w:hAnsi="Calibri" w:cs="Calibri"/>
                <w:i/>
                <w:iCs/>
                <w:color w:val="000000" w:themeColor="text1"/>
                <w:sz w:val="20"/>
                <w:szCs w:val="20"/>
                <w:lang w:val="en-AU"/>
              </w:rPr>
              <w:t>Pharmacokinetic properties</w:t>
            </w:r>
          </w:p>
        </w:tc>
      </w:tr>
    </w:tbl>
    <w:p w14:paraId="213AA69D" w14:textId="77777777" w:rsidR="00353057" w:rsidRPr="002E1B51" w:rsidRDefault="00353057" w:rsidP="002E1B51">
      <w:pPr>
        <w:rPr>
          <w:rFonts w:asciiTheme="minorHAnsi" w:hAnsiTheme="minorHAnsi"/>
        </w:rPr>
      </w:pPr>
    </w:p>
    <w:p w14:paraId="15A9E105" w14:textId="7CC4A387" w:rsidR="00F50D3D" w:rsidRPr="00AF2BF6" w:rsidRDefault="00C56D2F" w:rsidP="000025A2">
      <w:pPr>
        <w:pStyle w:val="Heading3"/>
        <w:spacing w:before="120" w:after="120"/>
        <w:rPr>
          <w:b/>
          <w:bCs/>
          <w:szCs w:val="22"/>
        </w:rPr>
      </w:pPr>
      <w:r w:rsidRPr="00AF2BF6">
        <w:rPr>
          <w:b/>
          <w:bCs/>
          <w:szCs w:val="22"/>
        </w:rPr>
        <w:t>Effect of other medicin</w:t>
      </w:r>
      <w:r w:rsidR="00A238D3" w:rsidRPr="00AF2BF6">
        <w:rPr>
          <w:b/>
          <w:bCs/>
          <w:szCs w:val="22"/>
        </w:rPr>
        <w:t>es</w:t>
      </w:r>
      <w:r w:rsidRPr="00AF2BF6">
        <w:rPr>
          <w:b/>
          <w:bCs/>
          <w:szCs w:val="22"/>
        </w:rPr>
        <w:t xml:space="preserve"> on ivosidenib</w:t>
      </w:r>
    </w:p>
    <w:p w14:paraId="15A9E107" w14:textId="77777777" w:rsidR="00F50D3D" w:rsidRPr="00AF2BF6" w:rsidRDefault="00C56D2F" w:rsidP="00450D1E">
      <w:pPr>
        <w:pStyle w:val="Heading4"/>
      </w:pPr>
      <w:r w:rsidRPr="00AF2BF6">
        <w:t>Strong CYP3A4 inducers</w:t>
      </w:r>
    </w:p>
    <w:p w14:paraId="15A9E109" w14:textId="42985BAD" w:rsidR="00F50D3D" w:rsidRPr="00AF2BF6" w:rsidRDefault="00C56D2F" w:rsidP="00860C5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Ivosidenib is a CYP3A4 substrate. </w:t>
      </w:r>
      <w:r w:rsidR="00353057" w:rsidRPr="00353057">
        <w:rPr>
          <w:rFonts w:asciiTheme="minorHAnsi" w:eastAsiaTheme="minorHAnsi" w:hAnsiTheme="minorHAnsi" w:cs="Arial"/>
          <w:bCs/>
          <w:color w:val="000000" w:themeColor="text1"/>
          <w:lang w:val="en-AU"/>
        </w:rPr>
        <w:t>Physiologically-based pharmacokinetic (PBPK) modelling predict</w:t>
      </w:r>
      <w:r w:rsidR="00353057">
        <w:rPr>
          <w:rFonts w:asciiTheme="minorHAnsi" w:eastAsiaTheme="minorHAnsi" w:hAnsiTheme="minorHAnsi" w:cs="Arial"/>
          <w:bCs/>
          <w:color w:val="000000" w:themeColor="text1"/>
          <w:lang w:val="en-AU"/>
        </w:rPr>
        <w:t>ed</w:t>
      </w:r>
      <w:r w:rsidR="00353057" w:rsidRPr="00353057">
        <w:rPr>
          <w:rFonts w:asciiTheme="minorHAnsi" w:eastAsiaTheme="minorHAnsi" w:hAnsiTheme="minorHAnsi" w:cs="Arial"/>
          <w:bCs/>
          <w:color w:val="000000" w:themeColor="text1"/>
          <w:lang w:val="en-AU"/>
        </w:rPr>
        <w:t xml:space="preserve"> a 33% decrease in ivosidenib steady-state AUC (AUCss) when given at the recommended dose in the presence of </w:t>
      </w:r>
      <w:r w:rsidR="00353057" w:rsidRPr="00353057">
        <w:rPr>
          <w:rFonts w:asciiTheme="minorHAnsi" w:eastAsiaTheme="minorHAnsi" w:hAnsiTheme="minorHAnsi" w:cs="Arial"/>
          <w:bCs/>
          <w:color w:val="000000" w:themeColor="text1"/>
          <w:lang w:val="en-AU"/>
        </w:rPr>
        <w:lastRenderedPageBreak/>
        <w:t>co-administered 600 mg rifampin once daily for 15 days. Avoid co-administration of strong CYP3A4 inducers (</w:t>
      </w:r>
      <w:r w:rsidR="00353057" w:rsidRPr="008A5A75">
        <w:rPr>
          <w:rFonts w:asciiTheme="minorHAnsi" w:eastAsiaTheme="minorHAnsi" w:hAnsiTheme="minorHAnsi" w:cs="Arial"/>
          <w:bCs/>
          <w:color w:val="000000" w:themeColor="text1"/>
          <w:lang w:val="en-AU"/>
        </w:rPr>
        <w:t xml:space="preserve">see </w:t>
      </w:r>
      <w:r w:rsidR="00937B24">
        <w:rPr>
          <w:rFonts w:asciiTheme="minorHAnsi" w:eastAsiaTheme="minorHAnsi" w:hAnsiTheme="minorHAnsi" w:cs="Arial"/>
          <w:bCs/>
          <w:color w:val="000000" w:themeColor="text1"/>
          <w:lang w:val="en-AU"/>
        </w:rPr>
        <w:t>Table 2</w:t>
      </w:r>
      <w:r w:rsidR="00353057" w:rsidRPr="008A5A75">
        <w:rPr>
          <w:rFonts w:asciiTheme="minorHAnsi" w:eastAsiaTheme="minorHAnsi" w:hAnsiTheme="minorHAnsi" w:cs="Arial"/>
          <w:bCs/>
          <w:color w:val="000000" w:themeColor="text1"/>
          <w:lang w:val="en-AU"/>
        </w:rPr>
        <w:t>).</w:t>
      </w:r>
    </w:p>
    <w:p w14:paraId="15A9E10B" w14:textId="77777777" w:rsidR="00F50D3D" w:rsidRPr="00AF2BF6" w:rsidRDefault="00C56D2F" w:rsidP="00450D1E">
      <w:pPr>
        <w:pStyle w:val="Heading4"/>
      </w:pPr>
      <w:bookmarkStart w:id="10" w:name="_Ref124510189"/>
      <w:bookmarkStart w:id="11" w:name="_Hlk120021509"/>
      <w:r w:rsidRPr="00AF2BF6">
        <w:t>Moderate or strong CYP3A4 inhibitors</w:t>
      </w:r>
      <w:bookmarkEnd w:id="10"/>
    </w:p>
    <w:p w14:paraId="15A9E10D" w14:textId="2EA447E4" w:rsidR="00F50D3D" w:rsidRPr="00AF2BF6" w:rsidRDefault="00C56D2F" w:rsidP="000E6A93">
      <w:pPr>
        <w:widowControl/>
        <w:autoSpaceDE/>
        <w:autoSpaceDN/>
        <w:spacing w:after="6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Co</w:t>
      </w:r>
      <w:r w:rsidR="00353057">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administration of </w:t>
      </w:r>
      <w:r w:rsidR="00FF464A" w:rsidRPr="50DC8091">
        <w:rPr>
          <w:rFonts w:asciiTheme="minorHAnsi" w:eastAsiaTheme="minorEastAsia" w:hAnsiTheme="minorHAnsi" w:cs="Arial"/>
          <w:color w:val="000000" w:themeColor="text1"/>
          <w:lang w:val="en-AU"/>
        </w:rPr>
        <w:t xml:space="preserve">a single dose of 250 mg </w:t>
      </w:r>
      <w:r w:rsidR="00353057">
        <w:rPr>
          <w:rFonts w:asciiTheme="minorHAnsi" w:eastAsiaTheme="minorHAnsi" w:hAnsiTheme="minorHAnsi" w:cs="Arial"/>
          <w:bCs/>
          <w:color w:val="000000" w:themeColor="text1"/>
          <w:lang w:val="en-AU"/>
        </w:rPr>
        <w:t>ivosidenib with a</w:t>
      </w:r>
      <w:r w:rsidRPr="00AF2BF6">
        <w:rPr>
          <w:rFonts w:asciiTheme="minorHAnsi" w:eastAsiaTheme="minorHAnsi" w:hAnsiTheme="minorHAnsi" w:cs="Arial"/>
          <w:bCs/>
          <w:color w:val="000000" w:themeColor="text1"/>
          <w:lang w:val="en-AU"/>
        </w:rPr>
        <w:t xml:space="preserve"> strong CYP3A4 inhibitor</w:t>
      </w:r>
      <w:r w:rsidR="00353057">
        <w:rPr>
          <w:rFonts w:asciiTheme="minorHAnsi" w:eastAsiaTheme="minorHAnsi" w:hAnsiTheme="minorHAnsi" w:cs="Arial"/>
          <w:bCs/>
          <w:color w:val="000000" w:themeColor="text1"/>
          <w:lang w:val="en-AU"/>
        </w:rPr>
        <w:t xml:space="preserve"> (</w:t>
      </w:r>
      <w:r w:rsidR="00353057" w:rsidRPr="00AF2BF6">
        <w:rPr>
          <w:rFonts w:asciiTheme="minorHAnsi" w:eastAsiaTheme="minorHAnsi" w:hAnsiTheme="minorHAnsi" w:cs="Arial"/>
          <w:bCs/>
          <w:color w:val="000000" w:themeColor="text1"/>
          <w:lang w:val="en-AU"/>
        </w:rPr>
        <w:t>200 mg itraconazole daily for 18 days</w:t>
      </w:r>
      <w:r w:rsidR="00353057">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increase</w:t>
      </w:r>
      <w:r w:rsidR="00353057">
        <w:rPr>
          <w:rFonts w:asciiTheme="minorHAnsi" w:eastAsiaTheme="minorHAnsi" w:hAnsiTheme="minorHAnsi" w:cs="Arial"/>
          <w:bCs/>
          <w:color w:val="000000" w:themeColor="text1"/>
          <w:lang w:val="en-AU"/>
        </w:rPr>
        <w:t>d</w:t>
      </w:r>
      <w:r w:rsidRPr="00AF2BF6">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the</w:t>
      </w:r>
      <w:r w:rsidRPr="00AF2BF6">
        <w:rPr>
          <w:rFonts w:asciiTheme="minorHAnsi" w:eastAsiaTheme="minorHAnsi" w:hAnsiTheme="minorHAnsi" w:cs="Arial"/>
          <w:bCs/>
          <w:color w:val="000000" w:themeColor="text1"/>
          <w:lang w:val="en-AU"/>
        </w:rPr>
        <w:t xml:space="preserve"> ivosidenib</w:t>
      </w:r>
      <w:r w:rsidR="00353057" w:rsidRPr="00353057">
        <w:rPr>
          <w:rFonts w:asciiTheme="minorHAnsi" w:eastAsiaTheme="minorHAnsi" w:hAnsiTheme="minorHAnsi" w:cs="Arial"/>
          <w:bCs/>
          <w:color w:val="000000" w:themeColor="text1"/>
          <w:lang w:val="en-AU"/>
        </w:rPr>
        <w:t xml:space="preserve"> </w:t>
      </w:r>
      <w:r w:rsidR="00353057" w:rsidRPr="00AF2BF6">
        <w:rPr>
          <w:rFonts w:asciiTheme="minorHAnsi" w:eastAsiaTheme="minorHAnsi" w:hAnsiTheme="minorHAnsi" w:cs="Arial"/>
          <w:bCs/>
          <w:color w:val="000000" w:themeColor="text1"/>
          <w:lang w:val="en-AU"/>
        </w:rPr>
        <w:t xml:space="preserve">AUC by </w:t>
      </w:r>
      <w:r w:rsidR="00353057">
        <w:rPr>
          <w:rFonts w:asciiTheme="minorHAnsi" w:eastAsiaTheme="minorHAnsi" w:hAnsiTheme="minorHAnsi" w:cs="Arial"/>
          <w:bCs/>
          <w:color w:val="000000" w:themeColor="text1"/>
          <w:lang w:val="en-AU"/>
        </w:rPr>
        <w:t>2.7-fold</w:t>
      </w:r>
      <w:r w:rsidR="00353057" w:rsidRPr="00AF2BF6">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w:t>
      </w:r>
      <w:r w:rsidR="00353057" w:rsidRPr="00AF2BF6">
        <w:rPr>
          <w:rFonts w:asciiTheme="minorHAnsi" w:eastAsiaTheme="minorHAnsi" w:hAnsiTheme="minorHAnsi" w:cs="Arial"/>
          <w:bCs/>
          <w:color w:val="000000" w:themeColor="text1"/>
          <w:lang w:val="en-AU"/>
        </w:rPr>
        <w:t>with no change in C</w:t>
      </w:r>
      <w:r w:rsidR="00353057" w:rsidRPr="00AF2BF6">
        <w:rPr>
          <w:rFonts w:asciiTheme="minorHAnsi" w:eastAsiaTheme="minorHAnsi" w:hAnsiTheme="minorHAnsi" w:cs="Arial"/>
          <w:bCs/>
          <w:color w:val="000000" w:themeColor="text1"/>
          <w:vertAlign w:val="subscript"/>
          <w:lang w:val="en-AU"/>
        </w:rPr>
        <w:t>max</w:t>
      </w:r>
      <w:r w:rsidR="00353057">
        <w:rPr>
          <w:rFonts w:asciiTheme="minorHAnsi" w:eastAsiaTheme="minorHAnsi" w:hAnsiTheme="minorHAnsi" w:cs="Arial"/>
          <w:bCs/>
          <w:color w:val="000000" w:themeColor="text1"/>
          <w:lang w:val="en-AU"/>
        </w:rPr>
        <w:t>) in healthy volunteers</w:t>
      </w:r>
      <w:r w:rsidRPr="00AF2BF6">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PBPK modelling predicted an increase in ivosidenib AUCss in the presence of a co-administered strong (ketoconazole: 3.2-fold) or moderate (fluconazole: 1.9-fold)</w:t>
      </w:r>
      <w:r w:rsidR="00353057" w:rsidRPr="002102F8">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CYP3A4 inhibitor.</w:t>
      </w:r>
      <w:r w:rsidR="00E3324B">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 xml:space="preserve">Avoid co-administration of </w:t>
      </w:r>
      <w:r w:rsidRPr="00AF2BF6">
        <w:rPr>
          <w:rFonts w:asciiTheme="minorHAnsi" w:eastAsiaTheme="minorHAnsi" w:hAnsiTheme="minorHAnsi" w:cs="Arial"/>
          <w:bCs/>
          <w:color w:val="000000" w:themeColor="text1"/>
          <w:lang w:val="en-AU"/>
        </w:rPr>
        <w:t xml:space="preserve">moderate or strong CYP3A4 inhibitors </w:t>
      </w:r>
      <w:r w:rsidR="00353057">
        <w:rPr>
          <w:rFonts w:asciiTheme="minorHAnsi" w:eastAsiaTheme="minorHAnsi" w:hAnsiTheme="minorHAnsi" w:cs="Arial"/>
          <w:bCs/>
          <w:color w:val="000000" w:themeColor="text1"/>
          <w:lang w:val="en-AU"/>
        </w:rPr>
        <w:t>(see</w:t>
      </w:r>
      <w:r w:rsidR="00937B24">
        <w:rPr>
          <w:rFonts w:asciiTheme="minorHAnsi" w:eastAsiaTheme="minorHAnsi" w:hAnsiTheme="minorHAnsi" w:cs="Arial"/>
          <w:bCs/>
          <w:color w:val="000000" w:themeColor="text1"/>
          <w:lang w:val="en-AU"/>
        </w:rPr>
        <w:t xml:space="preserve"> Table 2</w:t>
      </w:r>
      <w:r w:rsidR="00353057">
        <w:rPr>
          <w:rFonts w:asciiTheme="minorHAnsi" w:eastAsiaTheme="minorHAnsi" w:hAnsiTheme="minorHAnsi" w:cs="Arial"/>
          <w:bCs/>
          <w:color w:val="000000" w:themeColor="text1"/>
          <w:lang w:val="en-AU"/>
        </w:rPr>
        <w:t>): consider alternative therapies</w:t>
      </w:r>
      <w:r w:rsidRPr="00AF2BF6">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If co-administration is unavoidable,</w:t>
      </w:r>
      <w:r w:rsidRPr="00AF2BF6">
        <w:rPr>
          <w:rFonts w:asciiTheme="minorHAnsi" w:eastAsiaTheme="minorHAnsi" w:hAnsiTheme="minorHAnsi" w:cs="Arial"/>
          <w:bCs/>
          <w:color w:val="000000" w:themeColor="text1"/>
          <w:lang w:val="en-AU"/>
        </w:rPr>
        <w:t xml:space="preserve"> treat with caution and monitored </w:t>
      </w:r>
      <w:r w:rsidR="00353057" w:rsidRPr="00AF2BF6">
        <w:rPr>
          <w:rFonts w:asciiTheme="minorHAnsi" w:eastAsiaTheme="minorHAnsi" w:hAnsiTheme="minorHAnsi" w:cs="Arial"/>
          <w:bCs/>
          <w:color w:val="000000" w:themeColor="text1"/>
          <w:lang w:val="en-AU"/>
        </w:rPr>
        <w:t xml:space="preserve">closely </w:t>
      </w:r>
      <w:r w:rsidRPr="00AF2BF6">
        <w:rPr>
          <w:rFonts w:asciiTheme="minorHAnsi" w:eastAsiaTheme="minorHAnsi" w:hAnsiTheme="minorHAnsi" w:cs="Arial"/>
          <w:bCs/>
          <w:color w:val="000000" w:themeColor="text1"/>
          <w:lang w:val="en-AU"/>
        </w:rPr>
        <w:t>for QTc interval prolongation</w:t>
      </w:r>
      <w:r w:rsidR="00353057">
        <w:rPr>
          <w:rFonts w:asciiTheme="minorHAnsi" w:eastAsiaTheme="minorHAnsi" w:hAnsiTheme="minorHAnsi" w:cs="Arial"/>
          <w:bCs/>
          <w:color w:val="000000" w:themeColor="text1"/>
          <w:lang w:val="en-AU"/>
        </w:rPr>
        <w:t xml:space="preserve"> </w:t>
      </w:r>
      <w:r w:rsidR="00353057" w:rsidRPr="00353057">
        <w:rPr>
          <w:rFonts w:asciiTheme="minorHAnsi" w:eastAsiaTheme="minorHAnsi" w:hAnsiTheme="minorHAnsi" w:cs="Arial"/>
          <w:bCs/>
          <w:color w:val="000000" w:themeColor="text1"/>
          <w:lang w:val="en-AU"/>
        </w:rPr>
        <w:t xml:space="preserve">(see </w:t>
      </w:r>
      <w:r w:rsidR="00353057" w:rsidRPr="002E1B51">
        <w:rPr>
          <w:rFonts w:asciiTheme="minorHAnsi" w:eastAsiaTheme="minorHAnsi" w:hAnsiTheme="minorHAnsi" w:cs="Arial"/>
          <w:bCs/>
          <w:i/>
          <w:iCs/>
          <w:color w:val="000000" w:themeColor="text1"/>
          <w:lang w:val="en-AU"/>
        </w:rPr>
        <w:t>section 4.4 - Special warnings and precautions for use</w:t>
      </w:r>
      <w:r w:rsidR="00353057" w:rsidRPr="00353057">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If </w:t>
      </w:r>
      <w:r w:rsidR="00353057">
        <w:rPr>
          <w:rFonts w:asciiTheme="minorHAnsi" w:eastAsiaTheme="minorHAnsi" w:hAnsiTheme="minorHAnsi" w:cs="Arial"/>
          <w:bCs/>
          <w:color w:val="000000" w:themeColor="text1"/>
          <w:lang w:val="en-AU"/>
        </w:rPr>
        <w:t>co-administration</w:t>
      </w:r>
      <w:r w:rsidR="00353057"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of </w:t>
      </w:r>
      <w:r w:rsidR="00353057">
        <w:rPr>
          <w:rFonts w:asciiTheme="minorHAnsi" w:eastAsiaTheme="minorHAnsi" w:hAnsiTheme="minorHAnsi" w:cs="Arial"/>
          <w:bCs/>
          <w:color w:val="000000" w:themeColor="text1"/>
          <w:lang w:val="en-AU"/>
        </w:rPr>
        <w:t xml:space="preserve">a </w:t>
      </w:r>
      <w:r w:rsidRPr="00AF2BF6">
        <w:rPr>
          <w:rFonts w:asciiTheme="minorHAnsi" w:eastAsiaTheme="minorHAnsi" w:hAnsiTheme="minorHAnsi" w:cs="Arial"/>
          <w:bCs/>
          <w:color w:val="000000" w:themeColor="text1"/>
          <w:lang w:val="en-AU"/>
        </w:rPr>
        <w:t xml:space="preserve">strong CYP3A4 inhibitor </w:t>
      </w:r>
      <w:r w:rsidR="00353057">
        <w:rPr>
          <w:rFonts w:asciiTheme="minorHAnsi" w:eastAsiaTheme="minorHAnsi" w:hAnsiTheme="minorHAnsi" w:cs="Arial"/>
          <w:bCs/>
          <w:color w:val="000000" w:themeColor="text1"/>
          <w:lang w:val="en-AU"/>
        </w:rPr>
        <w:t>is</w:t>
      </w:r>
      <w:r w:rsidRPr="00AF2BF6">
        <w:rPr>
          <w:rFonts w:asciiTheme="minorHAnsi" w:eastAsiaTheme="minorHAnsi" w:hAnsiTheme="minorHAnsi" w:cs="Arial"/>
          <w:bCs/>
          <w:color w:val="000000" w:themeColor="text1"/>
          <w:lang w:val="en-AU"/>
        </w:rPr>
        <w:t xml:space="preserve"> </w:t>
      </w:r>
      <w:r w:rsidR="00353057">
        <w:rPr>
          <w:rFonts w:asciiTheme="minorHAnsi" w:eastAsiaTheme="minorHAnsi" w:hAnsiTheme="minorHAnsi" w:cs="Arial"/>
          <w:bCs/>
          <w:color w:val="000000" w:themeColor="text1"/>
          <w:lang w:val="en-AU"/>
        </w:rPr>
        <w:t>un</w:t>
      </w:r>
      <w:r w:rsidRPr="00AF2BF6">
        <w:rPr>
          <w:rFonts w:asciiTheme="minorHAnsi" w:eastAsiaTheme="minorHAnsi" w:hAnsiTheme="minorHAnsi" w:cs="Arial"/>
          <w:bCs/>
          <w:color w:val="000000" w:themeColor="text1"/>
          <w:lang w:val="en-AU"/>
        </w:rPr>
        <w:t>avoid</w:t>
      </w:r>
      <w:r w:rsidR="00353057">
        <w:rPr>
          <w:rFonts w:asciiTheme="minorHAnsi" w:eastAsiaTheme="minorHAnsi" w:hAnsiTheme="minorHAnsi" w:cs="Arial"/>
          <w:bCs/>
          <w:color w:val="000000" w:themeColor="text1"/>
          <w:lang w:val="en-AU"/>
        </w:rPr>
        <w:t>able</w:t>
      </w:r>
      <w:r w:rsidRPr="00AF2BF6">
        <w:rPr>
          <w:rFonts w:asciiTheme="minorHAnsi" w:eastAsiaTheme="minorHAnsi" w:hAnsiTheme="minorHAnsi" w:cs="Arial"/>
          <w:bCs/>
          <w:color w:val="000000" w:themeColor="text1"/>
          <w:lang w:val="en-AU"/>
        </w:rPr>
        <w:t xml:space="preserve">, reduce </w:t>
      </w:r>
      <w:r w:rsidR="00353057">
        <w:rPr>
          <w:rFonts w:asciiTheme="minorHAnsi" w:eastAsiaTheme="minorHAnsi" w:hAnsiTheme="minorHAnsi" w:cs="Arial"/>
          <w:bCs/>
          <w:color w:val="000000" w:themeColor="text1"/>
          <w:lang w:val="en-AU"/>
        </w:rPr>
        <w:t>the ivosidenib dose</w:t>
      </w:r>
      <w:r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i/>
          <w:iCs/>
          <w:color w:val="000000" w:themeColor="text1"/>
          <w:lang w:val="en-AU"/>
        </w:rPr>
        <w:t>see section 4.2</w:t>
      </w:r>
      <w:r w:rsidR="00860C53" w:rsidRPr="00AF2BF6">
        <w:rPr>
          <w:rFonts w:asciiTheme="minorHAnsi" w:eastAsiaTheme="minorHAnsi" w:hAnsiTheme="minorHAnsi" w:cs="Arial"/>
          <w:bCs/>
          <w:i/>
          <w:iCs/>
          <w:color w:val="000000" w:themeColor="text1"/>
          <w:lang w:val="en-AU"/>
        </w:rPr>
        <w:t xml:space="preserve"> - </w:t>
      </w:r>
      <w:r w:rsidR="008C510B">
        <w:rPr>
          <w:rFonts w:asciiTheme="minorHAnsi" w:eastAsiaTheme="minorHAnsi" w:hAnsiTheme="minorHAnsi" w:cs="Arial"/>
          <w:bCs/>
          <w:i/>
          <w:iCs/>
          <w:color w:val="000000" w:themeColor="text1"/>
          <w:lang w:val="en-AU"/>
        </w:rPr>
        <w:t>Dose</w:t>
      </w:r>
      <w:r w:rsidR="00860C53" w:rsidRPr="00AF2BF6">
        <w:rPr>
          <w:rFonts w:asciiTheme="minorHAnsi" w:eastAsiaTheme="minorHAnsi" w:hAnsiTheme="minorHAnsi" w:cs="Arial"/>
          <w:bCs/>
          <w:i/>
          <w:iCs/>
          <w:color w:val="000000" w:themeColor="text1"/>
          <w:lang w:val="en-AU"/>
        </w:rPr>
        <w:t xml:space="preserve"> and method of administration</w:t>
      </w:r>
      <w:r w:rsidRPr="00AF2BF6">
        <w:rPr>
          <w:rFonts w:asciiTheme="minorHAnsi" w:eastAsiaTheme="minorHAnsi" w:hAnsiTheme="minorHAnsi" w:cs="Arial"/>
          <w:bCs/>
          <w:color w:val="000000" w:themeColor="text1"/>
          <w:lang w:val="en-AU"/>
        </w:rPr>
        <w:t>).</w:t>
      </w:r>
    </w:p>
    <w:bookmarkEnd w:id="11"/>
    <w:p w14:paraId="15A9E116" w14:textId="77777777" w:rsidR="00F50D3D" w:rsidRPr="00AF2BF6" w:rsidRDefault="00C56D2F" w:rsidP="00450D1E">
      <w:pPr>
        <w:pStyle w:val="Heading4"/>
      </w:pPr>
      <w:r w:rsidRPr="00AF2BF6">
        <w:t>Interactions with transporters</w:t>
      </w:r>
    </w:p>
    <w:p w14:paraId="15A9E118" w14:textId="77777777" w:rsidR="00F50D3D" w:rsidRPr="00AF2BF6" w:rsidRDefault="00C56D2F" w:rsidP="00860C5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Ivosidenib is a P-glycoprotein (P-gp) substrate. However, data from study in healthy subjects suggest that the potential for clinically relevant interactions with ivosidenib and P-gp inhibitors is low.</w:t>
      </w:r>
    </w:p>
    <w:p w14:paraId="15A9E11A" w14:textId="088412C8" w:rsidR="00F50D3D" w:rsidRPr="00AF2BF6" w:rsidRDefault="00C56D2F" w:rsidP="000025A2">
      <w:pPr>
        <w:pStyle w:val="Heading3"/>
        <w:spacing w:before="120" w:after="120"/>
        <w:rPr>
          <w:b/>
          <w:bCs/>
          <w:szCs w:val="22"/>
        </w:rPr>
      </w:pPr>
      <w:r w:rsidRPr="00AF2BF6">
        <w:rPr>
          <w:b/>
          <w:bCs/>
          <w:szCs w:val="22"/>
        </w:rPr>
        <w:t>Effect of ivosidenib on other medicin</w:t>
      </w:r>
      <w:r w:rsidR="00203204" w:rsidRPr="00AF2BF6">
        <w:rPr>
          <w:b/>
          <w:bCs/>
          <w:szCs w:val="22"/>
        </w:rPr>
        <w:t>es</w:t>
      </w:r>
    </w:p>
    <w:p w14:paraId="15A9E11F" w14:textId="77777777" w:rsidR="00F50D3D" w:rsidRPr="00AF2BF6" w:rsidRDefault="00C56D2F" w:rsidP="00450D1E">
      <w:pPr>
        <w:pStyle w:val="Heading4"/>
      </w:pPr>
      <w:r w:rsidRPr="00AF2BF6">
        <w:t>Enzyme induction</w:t>
      </w:r>
    </w:p>
    <w:p w14:paraId="15A9E123" w14:textId="22AA6546" w:rsidR="00F50D3D" w:rsidRPr="00AF2BF6" w:rsidRDefault="00C56D2F" w:rsidP="00CB46CD">
      <w:pPr>
        <w:widowControl/>
        <w:autoSpaceDE/>
        <w:autoSpaceDN/>
        <w:spacing w:after="60" w:line="276" w:lineRule="auto"/>
        <w:rPr>
          <w:lang w:val="en-AU"/>
        </w:rPr>
      </w:pPr>
      <w:r w:rsidRPr="00AF2BF6">
        <w:rPr>
          <w:rFonts w:asciiTheme="minorHAnsi" w:eastAsiaTheme="minorHAnsi" w:hAnsiTheme="minorHAnsi" w:cs="Arial"/>
          <w:bCs/>
          <w:color w:val="000000" w:themeColor="text1"/>
          <w:lang w:val="en-AU"/>
        </w:rPr>
        <w:t>Ivosidenib induces CYP3A4</w:t>
      </w:r>
      <w:r w:rsidR="009D242F">
        <w:rPr>
          <w:rFonts w:asciiTheme="minorHAnsi" w:eastAsiaTheme="minorHAnsi" w:hAnsiTheme="minorHAnsi" w:cs="Arial"/>
          <w:bCs/>
          <w:color w:val="000000" w:themeColor="text1"/>
          <w:lang w:val="en-AU"/>
        </w:rPr>
        <w:t xml:space="preserve"> (</w:t>
      </w:r>
      <w:r w:rsidR="009D242F" w:rsidRPr="00AF2BF6">
        <w:rPr>
          <w:rFonts w:asciiTheme="minorHAnsi" w:eastAsiaTheme="minorHAnsi" w:hAnsiTheme="minorHAnsi" w:cs="Arial"/>
          <w:color w:val="000000" w:themeColor="text1"/>
          <w:lang w:val="en-AU"/>
        </w:rPr>
        <w:t>including its own metabolism)</w:t>
      </w:r>
      <w:r w:rsidRPr="00AF2BF6">
        <w:rPr>
          <w:rFonts w:asciiTheme="minorHAnsi" w:eastAsiaTheme="minorHAnsi" w:hAnsiTheme="minorHAnsi" w:cs="Arial"/>
          <w:bCs/>
          <w:color w:val="000000" w:themeColor="text1"/>
          <w:lang w:val="en-AU"/>
        </w:rPr>
        <w:t>, CYP2B6, CYP2C8, CYP2C9 and may induce CYP2C19</w:t>
      </w:r>
      <w:r w:rsidR="00C5514F">
        <w:rPr>
          <w:rFonts w:asciiTheme="minorHAnsi" w:eastAsiaTheme="minorHAnsi" w:hAnsiTheme="minorHAnsi" w:cs="Arial"/>
          <w:bCs/>
          <w:color w:val="000000" w:themeColor="text1"/>
          <w:lang w:val="en-AU"/>
        </w:rPr>
        <w:t xml:space="preserve"> and UGT</w:t>
      </w:r>
      <w:r w:rsidR="00970A3F">
        <w:rPr>
          <w:rFonts w:asciiTheme="minorHAnsi" w:eastAsiaTheme="minorHAnsi" w:hAnsiTheme="minorHAnsi" w:cs="Arial"/>
          <w:bCs/>
          <w:color w:val="000000" w:themeColor="text1"/>
          <w:lang w:val="en-AU"/>
        </w:rPr>
        <w:t xml:space="preserve"> (see </w:t>
      </w:r>
      <w:r w:rsidR="00970A3F" w:rsidRPr="002E1B51">
        <w:rPr>
          <w:rFonts w:asciiTheme="minorHAnsi" w:eastAsiaTheme="minorHAnsi" w:hAnsiTheme="minorHAnsi" w:cs="Arial"/>
          <w:bCs/>
          <w:i/>
          <w:iCs/>
          <w:color w:val="000000" w:themeColor="text1"/>
          <w:lang w:val="en-AU"/>
        </w:rPr>
        <w:t xml:space="preserve">section </w:t>
      </w:r>
      <w:r w:rsidR="00970A3F" w:rsidRPr="00AF2BF6">
        <w:rPr>
          <w:rFonts w:asciiTheme="minorHAnsi" w:eastAsiaTheme="minorHAnsi" w:hAnsiTheme="minorHAnsi" w:cs="Arial"/>
          <w:bCs/>
          <w:i/>
          <w:iCs/>
          <w:color w:val="000000" w:themeColor="text1"/>
          <w:lang w:val="en-AU"/>
        </w:rPr>
        <w:t>5.2</w:t>
      </w:r>
      <w:r w:rsidR="00970A3F" w:rsidRPr="00AF2BF6">
        <w:rPr>
          <w:rFonts w:asciiTheme="minorHAnsi" w:hAnsiTheme="minorHAnsi" w:cstheme="minorHAnsi"/>
          <w:i/>
          <w:iCs/>
          <w:color w:val="000000"/>
          <w:lang w:val="en-AU"/>
        </w:rPr>
        <w:t xml:space="preserve"> - </w:t>
      </w:r>
      <w:r w:rsidR="00970A3F" w:rsidRPr="00AF2BF6">
        <w:rPr>
          <w:rFonts w:asciiTheme="minorHAnsi" w:hAnsiTheme="minorHAnsi" w:cstheme="minorHAnsi"/>
          <w:i/>
          <w:iCs/>
          <w:lang w:val="en-AU"/>
        </w:rPr>
        <w:t>Pharmacokinetic properties</w:t>
      </w:r>
      <w:r w:rsidR="00970A3F">
        <w:rPr>
          <w:rFonts w:asciiTheme="minorHAnsi" w:hAnsiTheme="minorHAnsi" w:cstheme="minorHAnsi"/>
          <w:i/>
          <w:iCs/>
          <w:lang w:val="en-AU"/>
        </w:rPr>
        <w:t>)</w:t>
      </w:r>
      <w:r w:rsidRPr="00AF2BF6">
        <w:rPr>
          <w:rFonts w:asciiTheme="minorHAnsi" w:eastAsiaTheme="minorHAnsi" w:hAnsiTheme="minorHAnsi" w:cs="Arial"/>
          <w:bCs/>
          <w:color w:val="000000" w:themeColor="text1"/>
          <w:lang w:val="en-AU"/>
        </w:rPr>
        <w:t>. Therefore, it may decrease systemic exposure to substrates of these enzymes.</w:t>
      </w:r>
      <w:r w:rsidR="00CA08E4">
        <w:rPr>
          <w:rFonts w:asciiTheme="minorHAnsi" w:eastAsiaTheme="minorHAnsi" w:hAnsiTheme="minorHAnsi" w:cs="Arial"/>
          <w:bCs/>
          <w:color w:val="000000" w:themeColor="text1"/>
          <w:lang w:val="en-AU"/>
        </w:rPr>
        <w:t xml:space="preserve"> </w:t>
      </w:r>
      <w:r w:rsidR="00C5514F" w:rsidRPr="00C5514F">
        <w:rPr>
          <w:rFonts w:asciiTheme="minorHAnsi" w:eastAsiaTheme="minorHAnsi" w:hAnsiTheme="minorHAnsi" w:cs="Arial"/>
          <w:bCs/>
          <w:color w:val="000000" w:themeColor="text1"/>
          <w:lang w:val="en-AU"/>
        </w:rPr>
        <w:t>This is of particular relevance for substrates with a narrow therapeutic index or with significant clinical consequence of inefficacy (such as hormonal contraceptives and antifungals</w:t>
      </w:r>
      <w:r w:rsidR="00970A3F">
        <w:rPr>
          <w:rFonts w:asciiTheme="minorHAnsi" w:eastAsiaTheme="minorHAnsi" w:hAnsiTheme="minorHAnsi" w:cs="Arial"/>
          <w:bCs/>
          <w:color w:val="000000" w:themeColor="text1"/>
          <w:lang w:val="en-AU"/>
        </w:rPr>
        <w:t xml:space="preserve">: </w:t>
      </w:r>
      <w:r w:rsidR="00970A3F" w:rsidRPr="00576081">
        <w:rPr>
          <w:rFonts w:asciiTheme="minorHAnsi" w:eastAsiaTheme="minorHAnsi" w:hAnsiTheme="minorHAnsi" w:cs="Arial"/>
          <w:bCs/>
          <w:color w:val="000000" w:themeColor="text1"/>
          <w:lang w:val="en-AU"/>
        </w:rPr>
        <w:t>see</w:t>
      </w:r>
      <w:r w:rsidR="00937B24">
        <w:rPr>
          <w:rFonts w:asciiTheme="minorHAnsi" w:eastAsiaTheme="minorHAnsi" w:hAnsiTheme="minorHAnsi" w:cs="Arial"/>
          <w:bCs/>
          <w:color w:val="000000" w:themeColor="text1"/>
          <w:lang w:val="en-AU"/>
        </w:rPr>
        <w:t xml:space="preserve"> Table 2</w:t>
      </w:r>
      <w:r w:rsidR="00C5514F" w:rsidRPr="00576081">
        <w:rPr>
          <w:rFonts w:asciiTheme="minorHAnsi" w:eastAsiaTheme="minorHAnsi" w:hAnsiTheme="minorHAnsi" w:cs="Arial"/>
          <w:bCs/>
          <w:color w:val="000000" w:themeColor="text1"/>
          <w:lang w:val="en-AU"/>
        </w:rPr>
        <w:t>).</w:t>
      </w:r>
      <w:r w:rsidR="00C5514F" w:rsidRPr="00C5514F">
        <w:rPr>
          <w:rFonts w:asciiTheme="minorHAnsi" w:eastAsiaTheme="minorHAnsi" w:hAnsiTheme="minorHAnsi" w:cs="Arial"/>
          <w:bCs/>
          <w:color w:val="000000" w:themeColor="text1"/>
          <w:lang w:val="en-AU"/>
        </w:rPr>
        <w:t xml:space="preserve"> </w:t>
      </w:r>
      <w:r w:rsidR="00C5514F">
        <w:rPr>
          <w:rFonts w:asciiTheme="minorHAnsi" w:eastAsiaTheme="minorHAnsi" w:hAnsiTheme="minorHAnsi" w:cs="Arial"/>
          <w:bCs/>
          <w:color w:val="000000" w:themeColor="text1"/>
          <w:lang w:val="en-AU"/>
        </w:rPr>
        <w:t>Consider s</w:t>
      </w:r>
      <w:r w:rsidR="00CA08E4">
        <w:rPr>
          <w:rFonts w:asciiTheme="minorHAnsi" w:eastAsiaTheme="minorHAnsi" w:hAnsiTheme="minorHAnsi" w:cs="Arial"/>
          <w:bCs/>
          <w:color w:val="000000" w:themeColor="text1"/>
          <w:lang w:val="en-AU"/>
        </w:rPr>
        <w:t xml:space="preserve">uitable </w:t>
      </w:r>
      <w:r w:rsidR="007E1FC4">
        <w:rPr>
          <w:rFonts w:asciiTheme="minorHAnsi" w:eastAsiaTheme="minorHAnsi" w:hAnsiTheme="minorHAnsi" w:cs="Arial"/>
          <w:bCs/>
          <w:color w:val="000000" w:themeColor="text1"/>
          <w:lang w:val="en-AU"/>
        </w:rPr>
        <w:t>alternatives</w:t>
      </w:r>
      <w:r w:rsidR="003F713A">
        <w:rPr>
          <w:rFonts w:asciiTheme="minorHAnsi" w:eastAsiaTheme="minorHAnsi" w:hAnsiTheme="minorHAnsi" w:cs="Arial"/>
          <w:bCs/>
          <w:color w:val="000000" w:themeColor="text1"/>
          <w:lang w:val="en-AU"/>
        </w:rPr>
        <w:t>,</w:t>
      </w:r>
      <w:r w:rsidR="00970A3F">
        <w:rPr>
          <w:rFonts w:asciiTheme="minorHAnsi" w:eastAsiaTheme="minorHAnsi" w:hAnsiTheme="minorHAnsi" w:cs="Arial"/>
          <w:bCs/>
          <w:color w:val="000000" w:themeColor="text1"/>
          <w:lang w:val="en-AU"/>
        </w:rPr>
        <w:t xml:space="preserve"> recommend barrier contraception</w:t>
      </w:r>
      <w:r w:rsidR="00E3324B">
        <w:rPr>
          <w:rFonts w:asciiTheme="minorHAnsi" w:eastAsiaTheme="minorHAnsi" w:hAnsiTheme="minorHAnsi" w:cs="Arial"/>
          <w:bCs/>
          <w:color w:val="000000" w:themeColor="text1"/>
          <w:lang w:val="en-AU"/>
        </w:rPr>
        <w:t xml:space="preserve"> </w:t>
      </w:r>
      <w:r w:rsidR="00E3324B" w:rsidRPr="00AF2BF6">
        <w:rPr>
          <w:rFonts w:asciiTheme="minorHAnsi" w:eastAsiaTheme="minorHAnsi" w:hAnsiTheme="minorHAnsi" w:cs="Arial"/>
          <w:bCs/>
          <w:color w:val="000000" w:themeColor="text1"/>
          <w:lang w:val="en-AU"/>
        </w:rPr>
        <w:t xml:space="preserve">(see </w:t>
      </w:r>
      <w:r w:rsidR="00E3324B" w:rsidRPr="00AF2BF6">
        <w:rPr>
          <w:rFonts w:asciiTheme="minorHAnsi" w:eastAsiaTheme="minorHAnsi" w:hAnsiTheme="minorHAnsi" w:cs="Arial"/>
          <w:bCs/>
          <w:i/>
          <w:iCs/>
          <w:color w:val="000000" w:themeColor="text1"/>
          <w:lang w:val="en-AU"/>
        </w:rPr>
        <w:t>section</w:t>
      </w:r>
      <w:r w:rsidR="00E3324B">
        <w:rPr>
          <w:rFonts w:asciiTheme="minorHAnsi" w:eastAsiaTheme="minorHAnsi" w:hAnsiTheme="minorHAnsi" w:cs="Arial"/>
          <w:bCs/>
          <w:color w:val="000000" w:themeColor="text1"/>
          <w:lang w:val="en-AU"/>
        </w:rPr>
        <w:t xml:space="preserve"> </w:t>
      </w:r>
      <w:r w:rsidR="00E3324B" w:rsidRPr="00CC2130">
        <w:rPr>
          <w:rFonts w:asciiTheme="minorHAnsi" w:eastAsiaTheme="minorHAnsi" w:hAnsiTheme="minorHAnsi" w:cs="Arial"/>
          <w:bCs/>
          <w:i/>
          <w:iCs/>
          <w:color w:val="000000" w:themeColor="text1"/>
          <w:lang w:val="en-AU"/>
        </w:rPr>
        <w:t xml:space="preserve">4.6 </w:t>
      </w:r>
      <w:r w:rsidR="00E3324B">
        <w:rPr>
          <w:rFonts w:asciiTheme="minorHAnsi" w:eastAsiaTheme="minorHAnsi" w:hAnsiTheme="minorHAnsi" w:cs="Arial"/>
          <w:bCs/>
          <w:i/>
          <w:iCs/>
          <w:color w:val="000000" w:themeColor="text1"/>
          <w:lang w:val="en-AU"/>
        </w:rPr>
        <w:t>-</w:t>
      </w:r>
      <w:r w:rsidR="00E3324B" w:rsidRPr="00CC2130">
        <w:rPr>
          <w:rFonts w:asciiTheme="minorHAnsi" w:eastAsiaTheme="minorHAnsi" w:hAnsiTheme="minorHAnsi" w:cs="Arial"/>
          <w:bCs/>
          <w:i/>
          <w:iCs/>
          <w:color w:val="000000" w:themeColor="text1"/>
          <w:lang w:val="en-AU"/>
        </w:rPr>
        <w:t xml:space="preserve"> Fertility, pregnancy and lactation</w:t>
      </w:r>
      <w:r w:rsidR="00E3324B" w:rsidRPr="00AF2BF6">
        <w:rPr>
          <w:lang w:val="en-AU"/>
        </w:rPr>
        <w:t>)</w:t>
      </w:r>
      <w:r w:rsidR="00970A3F">
        <w:rPr>
          <w:rFonts w:asciiTheme="minorHAnsi" w:eastAsiaTheme="minorHAnsi" w:hAnsiTheme="minorHAnsi" w:cs="Arial"/>
          <w:bCs/>
          <w:color w:val="000000" w:themeColor="text1"/>
          <w:lang w:val="en-AU"/>
        </w:rPr>
        <w:t>,</w:t>
      </w:r>
      <w:r w:rsidR="007E1FC4">
        <w:rPr>
          <w:rFonts w:asciiTheme="minorHAnsi" w:eastAsiaTheme="minorHAnsi" w:hAnsiTheme="minorHAnsi" w:cs="Arial"/>
          <w:bCs/>
          <w:color w:val="000000" w:themeColor="text1"/>
          <w:lang w:val="en-AU"/>
        </w:rPr>
        <w:t xml:space="preserve"> </w:t>
      </w:r>
      <w:r w:rsidR="003F713A">
        <w:rPr>
          <w:rFonts w:asciiTheme="minorHAnsi" w:eastAsiaTheme="minorHAnsi" w:hAnsiTheme="minorHAnsi" w:cs="Arial"/>
          <w:bCs/>
          <w:color w:val="000000" w:themeColor="text1"/>
          <w:lang w:val="en-AU"/>
        </w:rPr>
        <w:t>and if concomitant use can’t be avoided,</w:t>
      </w:r>
      <w:r w:rsidRPr="00AF2BF6">
        <w:rPr>
          <w:rFonts w:asciiTheme="minorHAnsi" w:eastAsiaTheme="minorHAnsi" w:hAnsiTheme="minorHAnsi" w:cs="Arial"/>
          <w:bCs/>
          <w:color w:val="000000" w:themeColor="text1"/>
          <w:lang w:val="en-AU"/>
        </w:rPr>
        <w:t xml:space="preserve"> monitor for loss of substrate efficacy</w:t>
      </w:r>
      <w:r w:rsidRPr="00AF2BF6">
        <w:rPr>
          <w:lang w:val="en-AU"/>
        </w:rPr>
        <w:t>.</w:t>
      </w:r>
    </w:p>
    <w:p w14:paraId="15A9E130" w14:textId="0A0BA0BD" w:rsidR="00F50D3D" w:rsidRDefault="00C56D2F" w:rsidP="00450D1E">
      <w:pPr>
        <w:pStyle w:val="Heading4"/>
      </w:pPr>
      <w:r w:rsidRPr="00AF2BF6">
        <w:t>Interactions with transporters</w:t>
      </w:r>
    </w:p>
    <w:p w14:paraId="15A9E133" w14:textId="6574B9BA" w:rsidR="00F50D3D" w:rsidRDefault="00353057" w:rsidP="00860C5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Ivosidenib inhibits P-gp</w:t>
      </w:r>
      <w:r w:rsidR="0058146E">
        <w:rPr>
          <w:rFonts w:asciiTheme="minorHAnsi" w:eastAsiaTheme="minorHAnsi" w:hAnsiTheme="minorHAnsi" w:cs="Arial"/>
          <w:bCs/>
          <w:color w:val="000000" w:themeColor="text1"/>
          <w:lang w:val="en-AU"/>
        </w:rPr>
        <w:t xml:space="preserve"> and</w:t>
      </w:r>
      <w:r w:rsidR="00970A3F">
        <w:rPr>
          <w:rFonts w:asciiTheme="minorHAnsi" w:eastAsiaTheme="minorHAnsi" w:hAnsiTheme="minorHAnsi" w:cs="Arial"/>
          <w:bCs/>
          <w:color w:val="000000" w:themeColor="text1"/>
          <w:lang w:val="en-AU"/>
        </w:rPr>
        <w:t xml:space="preserve"> OAT3,</w:t>
      </w:r>
      <w:r w:rsidRPr="00AF2BF6">
        <w:rPr>
          <w:rFonts w:asciiTheme="minorHAnsi" w:eastAsiaTheme="minorHAnsi" w:hAnsiTheme="minorHAnsi" w:cs="Arial"/>
          <w:bCs/>
          <w:color w:val="000000" w:themeColor="text1"/>
          <w:lang w:val="en-AU"/>
        </w:rPr>
        <w:t xml:space="preserve"> and has the potential to induce P-gp. Therefore, it may alter systemic exposure to active substances that are predominantly transported by P-gp</w:t>
      </w:r>
      <w:r w:rsidR="00970A3F">
        <w:rPr>
          <w:rFonts w:asciiTheme="minorHAnsi" w:eastAsiaTheme="minorHAnsi" w:hAnsiTheme="minorHAnsi" w:cs="Arial"/>
          <w:bCs/>
          <w:color w:val="000000" w:themeColor="text1"/>
          <w:lang w:val="en-AU"/>
        </w:rPr>
        <w:t>, and may increase systemic exposure to OAT3 substrates</w:t>
      </w:r>
      <w:r w:rsidRPr="00AF2BF6">
        <w:rPr>
          <w:rFonts w:asciiTheme="minorHAnsi" w:eastAsiaTheme="minorHAnsi" w:hAnsiTheme="minorHAnsi" w:cs="Arial"/>
          <w:bCs/>
          <w:color w:val="000000" w:themeColor="text1"/>
          <w:lang w:val="en-AU"/>
        </w:rPr>
        <w:t xml:space="preserve"> (</w:t>
      </w:r>
      <w:r w:rsidR="00970A3F" w:rsidRPr="00852B31">
        <w:rPr>
          <w:rFonts w:asciiTheme="minorHAnsi" w:eastAsiaTheme="minorHAnsi" w:hAnsiTheme="minorHAnsi" w:cs="Arial"/>
          <w:bCs/>
          <w:color w:val="000000" w:themeColor="text1"/>
          <w:lang w:val="en-AU"/>
        </w:rPr>
        <w:t>see</w:t>
      </w:r>
      <w:r w:rsidR="00937B24">
        <w:rPr>
          <w:rFonts w:asciiTheme="minorHAnsi" w:eastAsiaTheme="minorHAnsi" w:hAnsiTheme="minorHAnsi" w:cs="Arial"/>
          <w:bCs/>
          <w:color w:val="000000" w:themeColor="text1"/>
          <w:lang w:val="en-AU"/>
        </w:rPr>
        <w:t xml:space="preserve"> Table 2</w:t>
      </w:r>
      <w:r w:rsidRPr="008A5A75">
        <w:rPr>
          <w:rFonts w:asciiTheme="minorHAnsi" w:eastAsiaTheme="minorHAnsi" w:hAnsiTheme="minorHAnsi" w:cs="Arial"/>
          <w:bCs/>
          <w:color w:val="000000" w:themeColor="text1"/>
          <w:lang w:val="en-AU"/>
        </w:rPr>
        <w:t>).</w:t>
      </w:r>
      <w:r>
        <w:rPr>
          <w:rFonts w:asciiTheme="minorHAnsi" w:eastAsiaTheme="minorHAnsi" w:hAnsiTheme="minorHAnsi" w:cs="Arial"/>
          <w:bCs/>
          <w:color w:val="000000" w:themeColor="text1"/>
          <w:lang w:val="en-AU"/>
        </w:rPr>
        <w:t xml:space="preserve"> </w:t>
      </w:r>
      <w:r w:rsidR="00970A3F">
        <w:rPr>
          <w:rFonts w:asciiTheme="minorHAnsi" w:eastAsiaTheme="minorHAnsi" w:hAnsiTheme="minorHAnsi" w:cs="Arial"/>
          <w:bCs/>
          <w:color w:val="000000" w:themeColor="text1"/>
          <w:lang w:val="en-AU"/>
        </w:rPr>
        <w:t>Consider suitable alternatives, and if concomitant use can’t be avoided, monitor for loss of substrate efficacy or P-gp substrate toxicity.</w:t>
      </w:r>
      <w:r w:rsidR="00E3324B">
        <w:rPr>
          <w:rFonts w:asciiTheme="minorHAnsi" w:eastAsiaTheme="minorHAnsi" w:hAnsiTheme="minorHAnsi" w:cs="Arial"/>
          <w:bCs/>
          <w:color w:val="000000" w:themeColor="text1"/>
          <w:lang w:val="en-AU"/>
        </w:rPr>
        <w:t xml:space="preserve"> Avoid co-administration of dabigatran due to risk of dabigatran toxicity (haemorrhage). </w:t>
      </w:r>
    </w:p>
    <w:p w14:paraId="0111A8FF" w14:textId="06806FFB" w:rsidR="00353057" w:rsidRPr="002E1B51" w:rsidRDefault="00353057" w:rsidP="002E1B51">
      <w:pPr>
        <w:pStyle w:val="Heading3"/>
        <w:spacing w:before="120" w:after="120"/>
        <w:rPr>
          <w:b/>
          <w:bCs/>
        </w:rPr>
      </w:pPr>
      <w:r w:rsidRPr="002E1B51">
        <w:rPr>
          <w:b/>
          <w:bCs/>
          <w:szCs w:val="22"/>
        </w:rPr>
        <w:t xml:space="preserve">Other interactions </w:t>
      </w:r>
    </w:p>
    <w:p w14:paraId="7E16AE5B" w14:textId="77777777" w:rsidR="00353057" w:rsidRPr="00AF2BF6" w:rsidRDefault="00353057" w:rsidP="00450D1E">
      <w:pPr>
        <w:pStyle w:val="Heading4"/>
      </w:pPr>
      <w:r w:rsidRPr="00AF2BF6">
        <w:t>Medicines known to prolong the QTc interval</w:t>
      </w:r>
    </w:p>
    <w:p w14:paraId="08549919" w14:textId="5798738B" w:rsidR="00353057" w:rsidRPr="00AF2BF6" w:rsidRDefault="00353057" w:rsidP="00860C53">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C</w:t>
      </w:r>
      <w:r w:rsidR="00970A3F">
        <w:rPr>
          <w:rFonts w:asciiTheme="minorHAnsi" w:eastAsiaTheme="minorHAnsi" w:hAnsiTheme="minorHAnsi" w:cs="Arial"/>
          <w:bCs/>
          <w:color w:val="000000" w:themeColor="text1"/>
          <w:lang w:val="en-AU"/>
        </w:rPr>
        <w:t>o-</w:t>
      </w:r>
      <w:r w:rsidRPr="00AF2BF6">
        <w:rPr>
          <w:rFonts w:asciiTheme="minorHAnsi" w:eastAsiaTheme="minorHAnsi" w:hAnsiTheme="minorHAnsi" w:cs="Arial"/>
          <w:bCs/>
          <w:color w:val="000000" w:themeColor="text1"/>
          <w:lang w:val="en-AU"/>
        </w:rPr>
        <w:t xml:space="preserve">administration of </w:t>
      </w:r>
      <w:r w:rsidR="00970A3F">
        <w:rPr>
          <w:rFonts w:asciiTheme="minorHAnsi" w:eastAsiaTheme="minorHAnsi" w:hAnsiTheme="minorHAnsi" w:cs="Arial"/>
          <w:bCs/>
          <w:color w:val="000000" w:themeColor="text1"/>
          <w:lang w:val="en-AU"/>
        </w:rPr>
        <w:t xml:space="preserve">other </w:t>
      </w:r>
      <w:r w:rsidRPr="00AF2BF6">
        <w:rPr>
          <w:rFonts w:asciiTheme="minorHAnsi" w:eastAsiaTheme="minorHAnsi" w:hAnsiTheme="minorHAnsi" w:cs="Arial"/>
          <w:bCs/>
          <w:color w:val="000000" w:themeColor="text1"/>
          <w:lang w:val="en-AU"/>
        </w:rPr>
        <w:t xml:space="preserve">medicines known to prolong the QTc </w:t>
      </w:r>
      <w:r w:rsidRPr="005B58C5">
        <w:rPr>
          <w:rFonts w:asciiTheme="minorHAnsi" w:eastAsiaTheme="minorHAnsi" w:hAnsiTheme="minorHAnsi" w:cs="Arial"/>
          <w:bCs/>
          <w:color w:val="000000" w:themeColor="text1"/>
          <w:lang w:val="en-AU"/>
        </w:rPr>
        <w:t>interval (</w:t>
      </w:r>
      <w:r w:rsidR="00970A3F" w:rsidRPr="005B58C5">
        <w:rPr>
          <w:rFonts w:asciiTheme="minorHAnsi" w:eastAsiaTheme="minorHAnsi" w:hAnsiTheme="minorHAnsi" w:cs="Arial"/>
          <w:bCs/>
          <w:color w:val="000000" w:themeColor="text1"/>
          <w:lang w:val="en-AU"/>
        </w:rPr>
        <w:t>see</w:t>
      </w:r>
      <w:r w:rsidR="00937B24">
        <w:rPr>
          <w:rFonts w:asciiTheme="minorHAnsi" w:eastAsiaTheme="minorHAnsi" w:hAnsiTheme="minorHAnsi" w:cs="Arial"/>
          <w:bCs/>
          <w:color w:val="000000" w:themeColor="text1"/>
          <w:lang w:val="en-AU"/>
        </w:rPr>
        <w:t xml:space="preserve"> Table 2</w:t>
      </w:r>
      <w:r w:rsidRPr="005B58C5">
        <w:rPr>
          <w:rFonts w:asciiTheme="minorHAnsi" w:eastAsiaTheme="minorHAnsi" w:hAnsiTheme="minorHAnsi" w:cs="Arial"/>
          <w:bCs/>
          <w:color w:val="000000" w:themeColor="text1"/>
          <w:lang w:val="en-AU"/>
        </w:rPr>
        <w:t>) may increase the risk of QTc interval prolongation.</w:t>
      </w:r>
      <w:r w:rsidR="00E3324B" w:rsidRPr="005B58C5">
        <w:rPr>
          <w:rFonts w:asciiTheme="minorHAnsi" w:eastAsiaTheme="minorHAnsi" w:hAnsiTheme="minorHAnsi" w:cs="Arial"/>
          <w:bCs/>
          <w:color w:val="000000" w:themeColor="text1"/>
          <w:lang w:val="en-AU"/>
        </w:rPr>
        <w:t xml:space="preserve"> Avoid co-administration of medicines known to prolong the QTc interval (see</w:t>
      </w:r>
      <w:r w:rsidR="005B58C5" w:rsidRPr="005B58C5">
        <w:rPr>
          <w:rFonts w:asciiTheme="minorHAnsi" w:eastAsiaTheme="minorHAnsi" w:hAnsiTheme="minorHAnsi" w:cs="Arial"/>
          <w:bCs/>
          <w:color w:val="000000" w:themeColor="text1"/>
          <w:lang w:val="en-AU"/>
        </w:rPr>
        <w:t xml:space="preserve"> </w:t>
      </w:r>
      <w:r w:rsidR="00937B24">
        <w:rPr>
          <w:rFonts w:asciiTheme="minorHAnsi" w:eastAsiaTheme="minorHAnsi" w:hAnsiTheme="minorHAnsi" w:cs="Arial"/>
          <w:bCs/>
          <w:color w:val="000000" w:themeColor="text1"/>
          <w:lang w:val="en-AU"/>
        </w:rPr>
        <w:t>Table 2</w:t>
      </w:r>
      <w:r w:rsidR="00E3324B" w:rsidRPr="005B58C5">
        <w:rPr>
          <w:rFonts w:asciiTheme="minorHAnsi" w:eastAsiaTheme="minorHAnsi" w:hAnsiTheme="minorHAnsi" w:cs="Arial"/>
          <w:bCs/>
          <w:color w:val="000000" w:themeColor="text1"/>
          <w:lang w:val="en-AU"/>
        </w:rPr>
        <w:t>): consider alternative therapies. If co-administration is unavoidable</w:t>
      </w:r>
      <w:r w:rsidR="00E3324B">
        <w:rPr>
          <w:rFonts w:asciiTheme="minorHAnsi" w:eastAsiaTheme="minorHAnsi" w:hAnsiTheme="minorHAnsi" w:cs="Arial"/>
          <w:bCs/>
          <w:color w:val="000000" w:themeColor="text1"/>
          <w:lang w:val="en-AU"/>
        </w:rPr>
        <w:t>,</w:t>
      </w:r>
      <w:r w:rsidR="00E3324B" w:rsidRPr="00AF2BF6">
        <w:rPr>
          <w:rFonts w:asciiTheme="minorHAnsi" w:eastAsiaTheme="minorHAnsi" w:hAnsiTheme="minorHAnsi" w:cs="Arial"/>
          <w:bCs/>
          <w:color w:val="000000" w:themeColor="text1"/>
          <w:lang w:val="en-AU"/>
        </w:rPr>
        <w:t xml:space="preserve"> treat with caution and monitored closely for QTc interval prolongation</w:t>
      </w:r>
      <w:r w:rsidR="00E3324B">
        <w:rPr>
          <w:rFonts w:asciiTheme="minorHAnsi" w:eastAsiaTheme="minorHAnsi" w:hAnsiTheme="minorHAnsi" w:cs="Arial"/>
          <w:bCs/>
          <w:color w:val="000000" w:themeColor="text1"/>
          <w:lang w:val="en-AU"/>
        </w:rPr>
        <w:t xml:space="preserve"> </w:t>
      </w:r>
      <w:r w:rsidR="00E3324B" w:rsidRPr="00353057">
        <w:rPr>
          <w:rFonts w:asciiTheme="minorHAnsi" w:eastAsiaTheme="minorHAnsi" w:hAnsiTheme="minorHAnsi" w:cs="Arial"/>
          <w:bCs/>
          <w:color w:val="000000" w:themeColor="text1"/>
          <w:lang w:val="en-AU"/>
        </w:rPr>
        <w:t xml:space="preserve">(see </w:t>
      </w:r>
      <w:r w:rsidR="00E3324B" w:rsidRPr="008A5E2F">
        <w:rPr>
          <w:rFonts w:asciiTheme="minorHAnsi" w:eastAsiaTheme="minorHAnsi" w:hAnsiTheme="minorHAnsi" w:cs="Arial"/>
          <w:bCs/>
          <w:i/>
          <w:iCs/>
          <w:color w:val="000000" w:themeColor="text1"/>
          <w:lang w:val="en-AU"/>
        </w:rPr>
        <w:t>section 4.4 - Special warnings and precautions for use</w:t>
      </w:r>
      <w:r w:rsidR="00E3324B" w:rsidRPr="00353057">
        <w:rPr>
          <w:rFonts w:asciiTheme="minorHAnsi" w:eastAsiaTheme="minorHAnsi" w:hAnsiTheme="minorHAnsi" w:cs="Arial"/>
          <w:bCs/>
          <w:color w:val="000000" w:themeColor="text1"/>
          <w:lang w:val="en-AU"/>
        </w:rPr>
        <w:t>)</w:t>
      </w:r>
      <w:r w:rsidR="00E3324B" w:rsidRPr="00AF2BF6">
        <w:rPr>
          <w:rFonts w:asciiTheme="minorHAnsi" w:eastAsiaTheme="minorHAnsi" w:hAnsiTheme="minorHAnsi" w:cs="Arial"/>
          <w:bCs/>
          <w:color w:val="000000" w:themeColor="text1"/>
          <w:lang w:val="en-AU"/>
        </w:rPr>
        <w:t>.</w:t>
      </w:r>
    </w:p>
    <w:p w14:paraId="15A9E135" w14:textId="1CC66EFE" w:rsidR="00F50D3D" w:rsidRPr="00AF2BF6" w:rsidRDefault="00C56D2F" w:rsidP="00450D1E">
      <w:pPr>
        <w:pStyle w:val="Heading4"/>
      </w:pPr>
      <w:r w:rsidRPr="00AF2BF6">
        <w:lastRenderedPageBreak/>
        <w:t>Food interaction</w:t>
      </w:r>
      <w:r w:rsidR="00970A3F">
        <w:t>s</w:t>
      </w:r>
    </w:p>
    <w:p w14:paraId="15A9E137" w14:textId="5D2764F8" w:rsidR="00F50D3D" w:rsidRDefault="00970A3F" w:rsidP="00860C53">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A</w:t>
      </w:r>
      <w:r w:rsidR="00C56D2F" w:rsidRPr="00AF2BF6">
        <w:rPr>
          <w:rFonts w:asciiTheme="minorHAnsi" w:eastAsiaTheme="minorHAnsi" w:hAnsiTheme="minorHAnsi" w:cs="Arial"/>
          <w:bCs/>
          <w:color w:val="000000" w:themeColor="text1"/>
          <w:lang w:val="en-AU"/>
        </w:rPr>
        <w:t>dminist</w:t>
      </w:r>
      <w:r>
        <w:rPr>
          <w:rFonts w:asciiTheme="minorHAnsi" w:eastAsiaTheme="minorHAnsi" w:hAnsiTheme="minorHAnsi" w:cs="Arial"/>
          <w:bCs/>
          <w:color w:val="000000" w:themeColor="text1"/>
          <w:lang w:val="en-AU"/>
        </w:rPr>
        <w:t>ration of ivosidenib</w:t>
      </w:r>
      <w:r w:rsidR="00C56D2F" w:rsidRPr="00AF2BF6">
        <w:rPr>
          <w:rFonts w:asciiTheme="minorHAnsi" w:eastAsiaTheme="minorHAnsi" w:hAnsiTheme="minorHAnsi" w:cs="Arial"/>
          <w:bCs/>
          <w:color w:val="000000" w:themeColor="text1"/>
          <w:lang w:val="en-AU"/>
        </w:rPr>
        <w:t xml:space="preserve"> with </w:t>
      </w:r>
      <w:r>
        <w:rPr>
          <w:rFonts w:asciiTheme="minorHAnsi" w:eastAsiaTheme="minorHAnsi" w:hAnsiTheme="minorHAnsi" w:cs="Arial"/>
          <w:bCs/>
          <w:color w:val="000000" w:themeColor="text1"/>
          <w:lang w:val="en-AU"/>
        </w:rPr>
        <w:t xml:space="preserve">a </w:t>
      </w:r>
      <w:r w:rsidR="00C56D2F" w:rsidRPr="00AF2BF6">
        <w:rPr>
          <w:rFonts w:asciiTheme="minorHAnsi" w:eastAsiaTheme="minorHAnsi" w:hAnsiTheme="minorHAnsi" w:cs="Arial"/>
          <w:bCs/>
          <w:color w:val="000000" w:themeColor="text1"/>
          <w:lang w:val="en-AU"/>
        </w:rPr>
        <w:t xml:space="preserve">high fat meal </w:t>
      </w:r>
      <w:r w:rsidR="00E3324B">
        <w:rPr>
          <w:rFonts w:asciiTheme="minorHAnsi" w:eastAsiaTheme="minorHAnsi" w:hAnsiTheme="minorHAnsi" w:cs="Arial"/>
          <w:bCs/>
          <w:color w:val="000000" w:themeColor="text1"/>
          <w:lang w:val="en-AU"/>
        </w:rPr>
        <w:t xml:space="preserve">should be avoided, as it </w:t>
      </w:r>
      <w:r>
        <w:rPr>
          <w:rFonts w:asciiTheme="minorHAnsi" w:eastAsiaTheme="minorHAnsi" w:hAnsiTheme="minorHAnsi" w:cs="Arial"/>
          <w:bCs/>
          <w:color w:val="000000" w:themeColor="text1"/>
          <w:lang w:val="en-AU"/>
        </w:rPr>
        <w:t>has</w:t>
      </w:r>
      <w:r w:rsidR="00C56D2F" w:rsidRPr="00AF2BF6">
        <w:rPr>
          <w:rFonts w:asciiTheme="minorHAnsi" w:eastAsiaTheme="minorHAnsi" w:hAnsiTheme="minorHAnsi" w:cs="Arial"/>
          <w:bCs/>
          <w:color w:val="000000" w:themeColor="text1"/>
          <w:lang w:val="en-AU"/>
        </w:rPr>
        <w:t xml:space="preserve"> a significant effect on the absorption of ivosidenib</w:t>
      </w:r>
      <w:r>
        <w:rPr>
          <w:rFonts w:asciiTheme="minorHAnsi" w:eastAsiaTheme="minorHAnsi" w:hAnsiTheme="minorHAnsi" w:cs="Arial"/>
          <w:bCs/>
          <w:color w:val="000000" w:themeColor="text1"/>
          <w:lang w:val="en-AU"/>
        </w:rPr>
        <w:t xml:space="preserve"> and leads to increased exposure</w:t>
      </w:r>
      <w:r w:rsidR="00C56D2F" w:rsidRPr="00AF2BF6">
        <w:rPr>
          <w:rFonts w:asciiTheme="minorHAnsi" w:eastAsiaTheme="minorHAnsi" w:hAnsiTheme="minorHAnsi" w:cs="Arial"/>
          <w:bCs/>
          <w:color w:val="000000" w:themeColor="text1"/>
          <w:lang w:val="en-AU"/>
        </w:rPr>
        <w:t xml:space="preserve"> (see </w:t>
      </w:r>
      <w:r w:rsidR="00C56D2F" w:rsidRPr="00AF2BF6">
        <w:rPr>
          <w:rFonts w:asciiTheme="minorHAnsi" w:eastAsiaTheme="minorHAnsi" w:hAnsiTheme="minorHAnsi" w:cs="Arial"/>
          <w:bCs/>
          <w:i/>
          <w:iCs/>
          <w:color w:val="000000" w:themeColor="text1"/>
          <w:lang w:val="en-AU"/>
        </w:rPr>
        <w:t>section</w:t>
      </w:r>
      <w:r>
        <w:rPr>
          <w:rFonts w:asciiTheme="minorHAnsi" w:eastAsiaTheme="minorHAnsi" w:hAnsiTheme="minorHAnsi" w:cs="Arial"/>
          <w:bCs/>
          <w:i/>
          <w:iCs/>
          <w:color w:val="000000" w:themeColor="text1"/>
          <w:lang w:val="en-AU"/>
        </w:rPr>
        <w:t>s</w:t>
      </w:r>
      <w:r w:rsidR="00C56D2F" w:rsidRPr="00AF2BF6">
        <w:rPr>
          <w:rFonts w:asciiTheme="minorHAnsi" w:eastAsiaTheme="minorHAnsi" w:hAnsiTheme="minorHAnsi" w:cs="Arial"/>
          <w:bCs/>
          <w:i/>
          <w:iCs/>
          <w:color w:val="000000" w:themeColor="text1"/>
          <w:lang w:val="en-AU"/>
        </w:rPr>
        <w:t xml:space="preserve"> </w:t>
      </w:r>
      <w:r>
        <w:rPr>
          <w:rFonts w:asciiTheme="minorHAnsi" w:eastAsiaTheme="minorHAnsi" w:hAnsiTheme="minorHAnsi" w:cs="Arial"/>
          <w:bCs/>
          <w:i/>
          <w:iCs/>
          <w:color w:val="000000" w:themeColor="text1"/>
          <w:lang w:val="en-AU"/>
        </w:rPr>
        <w:t xml:space="preserve">4.2 Dose and method of administration </w:t>
      </w:r>
      <w:r w:rsidRPr="002E1B51">
        <w:rPr>
          <w:rFonts w:asciiTheme="minorHAnsi" w:eastAsiaTheme="minorHAnsi" w:hAnsiTheme="minorHAnsi" w:cs="Arial"/>
          <w:bCs/>
          <w:color w:val="000000" w:themeColor="text1"/>
          <w:lang w:val="en-AU"/>
        </w:rPr>
        <w:t xml:space="preserve">and </w:t>
      </w:r>
      <w:r w:rsidR="00C56D2F" w:rsidRPr="00AF2BF6">
        <w:rPr>
          <w:rFonts w:asciiTheme="minorHAnsi" w:eastAsiaTheme="minorHAnsi" w:hAnsiTheme="minorHAnsi" w:cs="Arial"/>
          <w:bCs/>
          <w:i/>
          <w:iCs/>
          <w:color w:val="000000" w:themeColor="text1"/>
          <w:lang w:val="en-AU"/>
        </w:rPr>
        <w:t>5.2</w:t>
      </w:r>
      <w:r w:rsidR="003028CF" w:rsidRPr="00AF2BF6">
        <w:rPr>
          <w:rFonts w:asciiTheme="minorHAnsi" w:eastAsiaTheme="minorHAnsi" w:hAnsiTheme="minorHAnsi" w:cs="Arial"/>
          <w:bCs/>
          <w:i/>
          <w:iCs/>
          <w:color w:val="000000" w:themeColor="text1"/>
          <w:lang w:val="en-AU"/>
        </w:rPr>
        <w:t xml:space="preserve"> - Pharmacokinetic properties</w:t>
      </w:r>
      <w:r w:rsidR="00C56D2F" w:rsidRPr="00AF2BF6">
        <w:rPr>
          <w:rFonts w:asciiTheme="minorHAnsi" w:eastAsiaTheme="minorHAnsi" w:hAnsiTheme="minorHAnsi" w:cs="Arial"/>
          <w:bCs/>
          <w:color w:val="000000" w:themeColor="text1"/>
          <w:lang w:val="en-AU"/>
        </w:rPr>
        <w:t>).</w:t>
      </w:r>
    </w:p>
    <w:p w14:paraId="7006F03D" w14:textId="07410664" w:rsidR="00803AA1" w:rsidRPr="00AF2BF6" w:rsidRDefault="00803AA1" w:rsidP="00860C53">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 xml:space="preserve">Grapefruit and grapefruit juice moderately inhibit CYP3A4 (see </w:t>
      </w:r>
      <w:r w:rsidRPr="002E1B51">
        <w:rPr>
          <w:rFonts w:asciiTheme="minorHAnsi" w:eastAsiaTheme="minorHAnsi" w:hAnsiTheme="minorHAnsi" w:cs="Arial"/>
          <w:bCs/>
          <w:i/>
          <w:iCs/>
          <w:color w:val="000000" w:themeColor="text1"/>
          <w:lang w:val="en-AU"/>
        </w:rPr>
        <w:fldChar w:fldCharType="begin"/>
      </w:r>
      <w:r w:rsidRPr="002E1B51">
        <w:rPr>
          <w:rFonts w:asciiTheme="minorHAnsi" w:eastAsiaTheme="minorHAnsi" w:hAnsiTheme="minorHAnsi" w:cs="Arial"/>
          <w:bCs/>
          <w:i/>
          <w:iCs/>
          <w:color w:val="000000" w:themeColor="text1"/>
          <w:lang w:val="en-AU"/>
        </w:rPr>
        <w:instrText xml:space="preserve"> REF _Ref124510189 \h  \* MERGEFORMAT </w:instrText>
      </w:r>
      <w:r w:rsidRPr="002E1B51">
        <w:rPr>
          <w:rFonts w:asciiTheme="minorHAnsi" w:eastAsiaTheme="minorHAnsi" w:hAnsiTheme="minorHAnsi" w:cs="Arial"/>
          <w:bCs/>
          <w:i/>
          <w:iCs/>
          <w:color w:val="000000" w:themeColor="text1"/>
          <w:lang w:val="en-AU"/>
        </w:rPr>
      </w:r>
      <w:r w:rsidRPr="002E1B51">
        <w:rPr>
          <w:rFonts w:asciiTheme="minorHAnsi" w:eastAsiaTheme="minorHAnsi" w:hAnsiTheme="minorHAnsi" w:cs="Arial"/>
          <w:bCs/>
          <w:i/>
          <w:iCs/>
          <w:color w:val="000000" w:themeColor="text1"/>
          <w:lang w:val="en-AU"/>
        </w:rPr>
        <w:fldChar w:fldCharType="separate"/>
      </w:r>
      <w:r w:rsidR="00C17B0F" w:rsidRPr="00C17B0F">
        <w:rPr>
          <w:rFonts w:asciiTheme="minorHAnsi" w:hAnsiTheme="minorHAnsi"/>
          <w:i/>
          <w:iCs/>
        </w:rPr>
        <w:t>Moderate or strong CYP3A4 inhibitors</w:t>
      </w:r>
      <w:r w:rsidRPr="002E1B51">
        <w:rPr>
          <w:rFonts w:asciiTheme="minorHAnsi" w:eastAsiaTheme="minorHAnsi" w:hAnsiTheme="minorHAnsi" w:cs="Arial"/>
          <w:bCs/>
          <w:i/>
          <w:iCs/>
          <w:color w:val="000000" w:themeColor="text1"/>
          <w:lang w:val="en-AU"/>
        </w:rPr>
        <w:fldChar w:fldCharType="end"/>
      </w:r>
      <w:r>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fldChar w:fldCharType="begin"/>
      </w:r>
      <w:r>
        <w:rPr>
          <w:rFonts w:asciiTheme="minorHAnsi" w:eastAsiaTheme="minorHAnsi" w:hAnsiTheme="minorHAnsi" w:cs="Arial"/>
          <w:bCs/>
          <w:color w:val="000000" w:themeColor="text1"/>
          <w:lang w:val="en-AU"/>
        </w:rPr>
        <w:instrText xml:space="preserve"> REF _Ref124510189 \p \h </w:instrText>
      </w:r>
      <w:r>
        <w:rPr>
          <w:rFonts w:asciiTheme="minorHAnsi" w:eastAsiaTheme="minorHAnsi" w:hAnsiTheme="minorHAnsi" w:cs="Arial"/>
          <w:bCs/>
          <w:color w:val="000000" w:themeColor="text1"/>
          <w:lang w:val="en-AU"/>
        </w:rPr>
      </w:r>
      <w:r>
        <w:rPr>
          <w:rFonts w:asciiTheme="minorHAnsi" w:eastAsiaTheme="minorHAnsi" w:hAnsiTheme="minorHAnsi" w:cs="Arial"/>
          <w:bCs/>
          <w:color w:val="000000" w:themeColor="text1"/>
          <w:lang w:val="en-AU"/>
        </w:rPr>
        <w:fldChar w:fldCharType="separate"/>
      </w:r>
      <w:r w:rsidR="00C17B0F">
        <w:rPr>
          <w:rFonts w:asciiTheme="minorHAnsi" w:eastAsiaTheme="minorHAnsi" w:hAnsiTheme="minorHAnsi" w:cs="Arial"/>
          <w:bCs/>
          <w:color w:val="000000" w:themeColor="text1"/>
          <w:lang w:val="en-AU"/>
        </w:rPr>
        <w:t>above</w:t>
      </w:r>
      <w:r>
        <w:rPr>
          <w:rFonts w:asciiTheme="minorHAnsi" w:eastAsiaTheme="minorHAnsi" w:hAnsiTheme="minorHAnsi" w:cs="Arial"/>
          <w:bCs/>
          <w:color w:val="000000" w:themeColor="text1"/>
          <w:lang w:val="en-AU"/>
        </w:rPr>
        <w:fldChar w:fldCharType="end"/>
      </w:r>
      <w:r>
        <w:rPr>
          <w:rFonts w:asciiTheme="minorHAnsi" w:eastAsiaTheme="minorHAnsi" w:hAnsiTheme="minorHAnsi" w:cs="Arial"/>
          <w:bCs/>
          <w:color w:val="000000" w:themeColor="text1"/>
          <w:lang w:val="en-AU"/>
        </w:rPr>
        <w:t>).</w:t>
      </w:r>
    </w:p>
    <w:p w14:paraId="15A9E139" w14:textId="77777777" w:rsidR="00F50D3D" w:rsidRPr="00AF2BF6" w:rsidRDefault="00C56D2F" w:rsidP="00621FF9">
      <w:pPr>
        <w:pStyle w:val="Heading2"/>
        <w:numPr>
          <w:ilvl w:val="1"/>
          <w:numId w:val="6"/>
        </w:numPr>
      </w:pPr>
      <w:r w:rsidRPr="00AF2BF6">
        <w:t>Fertility, pregnancy and lactation</w:t>
      </w:r>
    </w:p>
    <w:p w14:paraId="45068492" w14:textId="4B596438" w:rsidR="007B4EE0" w:rsidRPr="00AF2BF6" w:rsidRDefault="007B4EE0" w:rsidP="007B4EE0">
      <w:pPr>
        <w:pStyle w:val="Heading3"/>
        <w:widowControl/>
        <w:autoSpaceDE/>
        <w:autoSpaceDN/>
        <w:spacing w:before="120" w:after="120" w:line="276" w:lineRule="auto"/>
        <w:ind w:left="227"/>
        <w:rPr>
          <w:b/>
          <w:bCs/>
          <w:color w:val="auto"/>
          <w:szCs w:val="22"/>
          <w:lang w:val="en-AU"/>
        </w:rPr>
      </w:pPr>
      <w:r w:rsidRPr="00AF2BF6">
        <w:rPr>
          <w:b/>
          <w:bCs/>
          <w:color w:val="auto"/>
          <w:szCs w:val="22"/>
          <w:lang w:val="en-AU"/>
        </w:rPr>
        <w:t xml:space="preserve">Effects on </w:t>
      </w:r>
      <w:r w:rsidR="00365F7D">
        <w:rPr>
          <w:b/>
          <w:bCs/>
          <w:color w:val="auto"/>
          <w:szCs w:val="22"/>
          <w:lang w:val="en-AU"/>
        </w:rPr>
        <w:t>f</w:t>
      </w:r>
      <w:r w:rsidRPr="00AF2BF6">
        <w:rPr>
          <w:b/>
          <w:bCs/>
          <w:color w:val="auto"/>
          <w:szCs w:val="22"/>
          <w:lang w:val="en-AU"/>
        </w:rPr>
        <w:t>ertility</w:t>
      </w:r>
    </w:p>
    <w:p w14:paraId="02693B4A" w14:textId="3E901DBE" w:rsidR="00A77F5E" w:rsidRPr="00AF2BF6" w:rsidRDefault="007B4EE0" w:rsidP="007B4EE0">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There are no human data on the effect of ivosidenib on fertility. No </w:t>
      </w:r>
      <w:r w:rsidR="00365F7D">
        <w:rPr>
          <w:rFonts w:asciiTheme="minorHAnsi" w:eastAsiaTheme="minorHAnsi" w:hAnsiTheme="minorHAnsi" w:cs="Arial"/>
          <w:bCs/>
          <w:color w:val="000000" w:themeColor="text1"/>
          <w:lang w:val="en-AU"/>
        </w:rPr>
        <w:t xml:space="preserve">specific </w:t>
      </w:r>
      <w:r w:rsidRPr="00AF2BF6">
        <w:rPr>
          <w:rFonts w:asciiTheme="minorHAnsi" w:eastAsiaTheme="minorHAnsi" w:hAnsiTheme="minorHAnsi" w:cs="Arial"/>
          <w:bCs/>
          <w:color w:val="000000" w:themeColor="text1"/>
          <w:lang w:val="en-AU"/>
        </w:rPr>
        <w:t xml:space="preserve">fertility studies have been conducted </w:t>
      </w:r>
      <w:r w:rsidR="00365F7D">
        <w:rPr>
          <w:rFonts w:asciiTheme="minorHAnsi" w:eastAsiaTheme="minorHAnsi" w:hAnsiTheme="minorHAnsi" w:cs="Arial"/>
          <w:bCs/>
          <w:color w:val="000000" w:themeColor="text1"/>
          <w:lang w:val="en-AU"/>
        </w:rPr>
        <w:t>in animals, but</w:t>
      </w:r>
      <w:r w:rsidRPr="00AF2BF6">
        <w:rPr>
          <w:rFonts w:asciiTheme="minorHAnsi" w:eastAsiaTheme="minorHAnsi" w:hAnsiTheme="minorHAnsi" w:cs="Arial"/>
          <w:bCs/>
          <w:color w:val="000000" w:themeColor="text1"/>
          <w:lang w:val="en-AU"/>
        </w:rPr>
        <w:t xml:space="preserve"> </w:t>
      </w:r>
      <w:r w:rsidR="00365F7D">
        <w:rPr>
          <w:rFonts w:asciiTheme="minorHAnsi" w:eastAsiaTheme="minorHAnsi" w:hAnsiTheme="minorHAnsi" w:cs="Arial"/>
          <w:bCs/>
          <w:color w:val="000000" w:themeColor="text1"/>
          <w:lang w:val="en-AU"/>
        </w:rPr>
        <w:t>u</w:t>
      </w:r>
      <w:r w:rsidRPr="00AF2BF6">
        <w:rPr>
          <w:rFonts w:asciiTheme="minorHAnsi" w:eastAsiaTheme="minorHAnsi" w:hAnsiTheme="minorHAnsi" w:cs="Arial"/>
          <w:bCs/>
          <w:color w:val="000000" w:themeColor="text1"/>
          <w:lang w:val="en-AU"/>
        </w:rPr>
        <w:t>ndesirable effects on reproductive organs were observed in a 28-day repeat-dose toxicity study</w:t>
      </w:r>
      <w:r w:rsidR="00AC4270">
        <w:rPr>
          <w:rFonts w:asciiTheme="minorHAnsi" w:eastAsiaTheme="minorHAnsi" w:hAnsiTheme="minorHAnsi" w:cs="Arial"/>
          <w:bCs/>
          <w:color w:val="000000" w:themeColor="text1"/>
          <w:lang w:val="en-AU"/>
        </w:rPr>
        <w:t xml:space="preserve"> in rats</w:t>
      </w:r>
      <w:r w:rsidRPr="00AF2BF6">
        <w:rPr>
          <w:rFonts w:asciiTheme="minorHAnsi" w:eastAsiaTheme="minorHAnsi" w:hAnsiTheme="minorHAnsi" w:cs="Arial"/>
          <w:bCs/>
          <w:color w:val="000000" w:themeColor="text1"/>
          <w:lang w:val="en-AU"/>
        </w:rPr>
        <w:t xml:space="preserve">. </w:t>
      </w:r>
      <w:r w:rsidR="006B2587" w:rsidRPr="00085F94">
        <w:rPr>
          <w:rFonts w:asciiTheme="minorHAnsi" w:eastAsiaTheme="minorHAnsi" w:hAnsiTheme="minorHAnsi" w:cs="Arial"/>
          <w:bCs/>
          <w:color w:val="000000" w:themeColor="text1"/>
          <w:lang w:val="en-AU"/>
        </w:rPr>
        <w:t xml:space="preserve">Uterine atrophy was observed in females at non-tolerated dose levels approximately 1.7-fold the clinical exposure (based on AUC) and was reversible after a 14 days recovery period. Testicular degeneration was observed in males at non-tolerated dose levels approximately 1.2-fold the clinical exposure (based on AUC) and reversibility of this finding has not been assessed. </w:t>
      </w:r>
      <w:r w:rsidRPr="00AF2BF6">
        <w:rPr>
          <w:rFonts w:asciiTheme="minorHAnsi" w:eastAsiaTheme="minorHAnsi" w:hAnsiTheme="minorHAnsi" w:cs="Arial"/>
          <w:bCs/>
          <w:color w:val="000000" w:themeColor="text1"/>
          <w:lang w:val="en-AU"/>
        </w:rPr>
        <w:t>The clinical relevance of these effects is unknown.</w:t>
      </w:r>
    </w:p>
    <w:p w14:paraId="15A9E143" w14:textId="39D1D7F8" w:rsidR="00F50D3D" w:rsidRDefault="008634A3" w:rsidP="007B4EE0">
      <w:pPr>
        <w:pStyle w:val="Heading3"/>
        <w:widowControl/>
        <w:autoSpaceDE/>
        <w:autoSpaceDN/>
        <w:spacing w:before="120" w:after="120" w:line="276" w:lineRule="auto"/>
        <w:ind w:left="227"/>
        <w:rPr>
          <w:b/>
          <w:bCs/>
          <w:color w:val="auto"/>
          <w:szCs w:val="22"/>
          <w:lang w:val="en-AU"/>
        </w:rPr>
      </w:pPr>
      <w:r w:rsidRPr="00AF2BF6">
        <w:rPr>
          <w:b/>
          <w:bCs/>
          <w:color w:val="auto"/>
          <w:szCs w:val="22"/>
          <w:lang w:val="en-AU"/>
        </w:rPr>
        <w:t xml:space="preserve">Use in </w:t>
      </w:r>
      <w:r w:rsidR="00365F7D">
        <w:rPr>
          <w:b/>
          <w:bCs/>
          <w:color w:val="auto"/>
          <w:szCs w:val="22"/>
          <w:lang w:val="en-AU"/>
        </w:rPr>
        <w:t>p</w:t>
      </w:r>
      <w:r w:rsidR="00C56D2F" w:rsidRPr="00AF2BF6">
        <w:rPr>
          <w:b/>
          <w:bCs/>
          <w:color w:val="auto"/>
          <w:szCs w:val="22"/>
          <w:lang w:val="en-AU"/>
        </w:rPr>
        <w:t>regnancy</w:t>
      </w:r>
    </w:p>
    <w:p w14:paraId="1E71B352" w14:textId="77777777" w:rsidR="00131252" w:rsidRPr="00085F94" w:rsidRDefault="00131252" w:rsidP="00450D1E">
      <w:pPr>
        <w:pStyle w:val="Heading4"/>
      </w:pPr>
      <w:r w:rsidRPr="00085F94">
        <w:t>Pregnancy Category D</w:t>
      </w:r>
    </w:p>
    <w:p w14:paraId="15A9E145" w14:textId="1C7ED4EE" w:rsidR="00F50D3D" w:rsidRPr="00AF2BF6" w:rsidRDefault="00365F7D" w:rsidP="00365F7D">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There are no human data, but based on animal data, TIBSOVO may cause fetal harm if administered during pregnancy</w:t>
      </w:r>
      <w:r w:rsidR="00C56D2F"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R</w:t>
      </w:r>
      <w:r w:rsidR="00C56D2F" w:rsidRPr="00AF2BF6">
        <w:rPr>
          <w:rFonts w:asciiTheme="minorHAnsi" w:eastAsiaTheme="minorHAnsi" w:hAnsiTheme="minorHAnsi" w:cs="Arial"/>
          <w:bCs/>
          <w:color w:val="000000" w:themeColor="text1"/>
          <w:lang w:val="en-AU"/>
        </w:rPr>
        <w:t>eproductive toxicity</w:t>
      </w:r>
      <w:r>
        <w:rPr>
          <w:rFonts w:asciiTheme="minorHAnsi" w:eastAsiaTheme="minorHAnsi" w:hAnsiTheme="minorHAnsi" w:cs="Arial"/>
          <w:bCs/>
          <w:color w:val="000000" w:themeColor="text1"/>
          <w:lang w:val="en-AU"/>
        </w:rPr>
        <w:t xml:space="preserve"> (</w:t>
      </w:r>
      <w:r w:rsidRPr="00365F7D">
        <w:rPr>
          <w:rFonts w:asciiTheme="minorHAnsi" w:eastAsiaTheme="minorHAnsi" w:hAnsiTheme="minorHAnsi" w:cs="Arial"/>
          <w:bCs/>
          <w:color w:val="000000" w:themeColor="text1"/>
          <w:lang w:val="en-AU"/>
        </w:rPr>
        <w:t xml:space="preserve">embryo-fetal mortality and </w:t>
      </w:r>
      <w:r>
        <w:rPr>
          <w:rFonts w:asciiTheme="minorHAnsi" w:eastAsiaTheme="minorHAnsi" w:hAnsiTheme="minorHAnsi" w:cs="Arial"/>
          <w:bCs/>
          <w:color w:val="000000" w:themeColor="text1"/>
          <w:lang w:val="en-AU"/>
        </w:rPr>
        <w:t xml:space="preserve">growth </w:t>
      </w:r>
      <w:r w:rsidRPr="00365F7D">
        <w:rPr>
          <w:rFonts w:asciiTheme="minorHAnsi" w:eastAsiaTheme="minorHAnsi" w:hAnsiTheme="minorHAnsi" w:cs="Arial"/>
          <w:bCs/>
          <w:color w:val="000000" w:themeColor="text1"/>
          <w:lang w:val="en-AU"/>
        </w:rPr>
        <w:t>alteration</w:t>
      </w:r>
      <w:r>
        <w:rPr>
          <w:rFonts w:asciiTheme="minorHAnsi" w:eastAsiaTheme="minorHAnsi" w:hAnsiTheme="minorHAnsi" w:cs="Arial"/>
          <w:bCs/>
          <w:color w:val="000000" w:themeColor="text1"/>
          <w:lang w:val="en-AU"/>
        </w:rPr>
        <w:t xml:space="preserve">) was seen in animal studies, </w:t>
      </w:r>
      <w:r w:rsidRPr="00365F7D">
        <w:rPr>
          <w:rFonts w:asciiTheme="minorHAnsi" w:eastAsiaTheme="minorHAnsi" w:hAnsiTheme="minorHAnsi" w:cs="Arial"/>
          <w:bCs/>
          <w:color w:val="000000" w:themeColor="text1"/>
          <w:lang w:val="en-AU"/>
        </w:rPr>
        <w:t xml:space="preserve">starting at </w:t>
      </w:r>
      <w:r>
        <w:rPr>
          <w:rFonts w:asciiTheme="minorHAnsi" w:eastAsiaTheme="minorHAnsi" w:hAnsiTheme="minorHAnsi" w:cs="Arial"/>
          <w:bCs/>
          <w:color w:val="000000" w:themeColor="text1"/>
          <w:lang w:val="en-AU"/>
        </w:rPr>
        <w:t>2-fold</w:t>
      </w:r>
      <w:r w:rsidRPr="00365F7D">
        <w:rPr>
          <w:rFonts w:asciiTheme="minorHAnsi" w:eastAsiaTheme="minorHAnsi" w:hAnsiTheme="minorHAnsi" w:cs="Arial"/>
          <w:bCs/>
          <w:color w:val="000000" w:themeColor="text1"/>
          <w:lang w:val="en-AU"/>
        </w:rPr>
        <w:t xml:space="preserve"> the steady</w:t>
      </w:r>
      <w:r>
        <w:rPr>
          <w:rFonts w:asciiTheme="minorHAnsi" w:eastAsiaTheme="minorHAnsi" w:hAnsiTheme="minorHAnsi" w:cs="Arial"/>
          <w:bCs/>
          <w:color w:val="000000" w:themeColor="text1"/>
          <w:lang w:val="en-AU"/>
        </w:rPr>
        <w:t>-</w:t>
      </w:r>
      <w:r w:rsidRPr="00365F7D">
        <w:rPr>
          <w:rFonts w:asciiTheme="minorHAnsi" w:eastAsiaTheme="minorHAnsi" w:hAnsiTheme="minorHAnsi" w:cs="Arial"/>
          <w:bCs/>
          <w:color w:val="000000" w:themeColor="text1"/>
          <w:lang w:val="en-AU"/>
        </w:rPr>
        <w:t xml:space="preserve">state clinical exposure </w:t>
      </w:r>
      <w:r>
        <w:rPr>
          <w:rFonts w:asciiTheme="minorHAnsi" w:eastAsiaTheme="minorHAnsi" w:hAnsiTheme="minorHAnsi" w:cs="Arial"/>
          <w:bCs/>
          <w:color w:val="000000" w:themeColor="text1"/>
          <w:lang w:val="en-AU"/>
        </w:rPr>
        <w:t>(</w:t>
      </w:r>
      <w:r w:rsidRPr="00365F7D">
        <w:rPr>
          <w:rFonts w:asciiTheme="minorHAnsi" w:eastAsiaTheme="minorHAnsi" w:hAnsiTheme="minorHAnsi" w:cs="Arial"/>
          <w:bCs/>
          <w:color w:val="000000" w:themeColor="text1"/>
          <w:lang w:val="en-AU"/>
        </w:rPr>
        <w:t>based on AUC</w:t>
      </w:r>
      <w:r>
        <w:rPr>
          <w:rFonts w:asciiTheme="minorHAnsi" w:eastAsiaTheme="minorHAnsi" w:hAnsiTheme="minorHAnsi" w:cs="Arial"/>
          <w:bCs/>
          <w:color w:val="000000" w:themeColor="text1"/>
          <w:lang w:val="en-AU"/>
        </w:rPr>
        <w:t>)</w:t>
      </w:r>
      <w:r w:rsidRPr="00365F7D">
        <w:rPr>
          <w:rFonts w:asciiTheme="minorHAnsi" w:eastAsiaTheme="minorHAnsi" w:hAnsiTheme="minorHAnsi" w:cs="Arial"/>
          <w:bCs/>
          <w:color w:val="000000" w:themeColor="text1"/>
          <w:lang w:val="en-AU"/>
        </w:rPr>
        <w:t xml:space="preserve"> at the recommended</w:t>
      </w:r>
      <w:r>
        <w:rPr>
          <w:rFonts w:asciiTheme="minorHAnsi" w:eastAsiaTheme="minorHAnsi" w:hAnsiTheme="minorHAnsi" w:cs="Arial"/>
          <w:bCs/>
          <w:color w:val="000000" w:themeColor="text1"/>
          <w:lang w:val="en-AU"/>
        </w:rPr>
        <w:t xml:space="preserve"> </w:t>
      </w:r>
      <w:r w:rsidRPr="00365F7D">
        <w:rPr>
          <w:rFonts w:asciiTheme="minorHAnsi" w:eastAsiaTheme="minorHAnsi" w:hAnsiTheme="minorHAnsi" w:cs="Arial"/>
          <w:bCs/>
          <w:color w:val="000000" w:themeColor="text1"/>
          <w:lang w:val="en-AU"/>
        </w:rPr>
        <w:t>human dose</w:t>
      </w:r>
      <w:r w:rsidR="00C56D2F" w:rsidRPr="00AF2BF6">
        <w:rPr>
          <w:rFonts w:asciiTheme="minorHAnsi" w:eastAsiaTheme="minorHAnsi" w:hAnsiTheme="minorHAnsi" w:cs="Arial"/>
          <w:bCs/>
          <w:color w:val="000000" w:themeColor="text1"/>
          <w:lang w:val="en-AU"/>
        </w:rPr>
        <w:t xml:space="preserve"> (see </w:t>
      </w:r>
      <w:r w:rsidR="00CB46CD" w:rsidRPr="00AF2BF6">
        <w:rPr>
          <w:rFonts w:asciiTheme="minorHAnsi" w:eastAsiaTheme="minorHAnsi" w:hAnsiTheme="minorHAnsi" w:cs="Arial"/>
          <w:bCs/>
          <w:i/>
          <w:iCs/>
          <w:color w:val="000000" w:themeColor="text1"/>
          <w:lang w:val="en-AU"/>
        </w:rPr>
        <w:t>Preclinical data</w:t>
      </w:r>
      <w:r w:rsidR="003832C5">
        <w:rPr>
          <w:rFonts w:asciiTheme="minorHAnsi" w:eastAsiaTheme="minorHAnsi" w:hAnsiTheme="minorHAnsi" w:cs="Arial"/>
          <w:bCs/>
          <w:i/>
          <w:iCs/>
          <w:color w:val="000000" w:themeColor="text1"/>
          <w:lang w:val="en-AU"/>
        </w:rPr>
        <w:t xml:space="preserve"> </w:t>
      </w:r>
      <w:r w:rsidR="003832C5" w:rsidRPr="00C0188F">
        <w:rPr>
          <w:rFonts w:asciiTheme="minorHAnsi" w:eastAsiaTheme="minorHAnsi" w:hAnsiTheme="minorHAnsi" w:cs="Arial"/>
          <w:bCs/>
          <w:color w:val="000000" w:themeColor="text1"/>
          <w:lang w:val="en-AU"/>
        </w:rPr>
        <w:t>below</w:t>
      </w:r>
      <w:r w:rsidR="00C56D2F" w:rsidRPr="00AF2BF6">
        <w:rPr>
          <w:rFonts w:asciiTheme="minorHAnsi" w:eastAsiaTheme="minorHAnsi" w:hAnsiTheme="minorHAnsi" w:cs="Arial"/>
          <w:bCs/>
          <w:color w:val="000000" w:themeColor="text1"/>
          <w:lang w:val="en-AU"/>
        </w:rPr>
        <w:t>).</w:t>
      </w:r>
    </w:p>
    <w:p w14:paraId="0BF599FD" w14:textId="793D701B" w:rsidR="0065150E" w:rsidRDefault="00365F7D" w:rsidP="00B9065A">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Advise patients of the risk to the fetus if TIBSOVO</w:t>
      </w:r>
      <w:r w:rsidR="00C56D2F" w:rsidRPr="00AF2BF6">
        <w:rPr>
          <w:rFonts w:asciiTheme="minorHAnsi" w:eastAsiaTheme="minorHAnsi" w:hAnsiTheme="minorHAnsi" w:cs="Arial"/>
          <w:bCs/>
          <w:color w:val="000000" w:themeColor="text1"/>
          <w:lang w:val="en-AU"/>
        </w:rPr>
        <w:t xml:space="preserve"> is used during pregnancy.</w:t>
      </w:r>
      <w:r w:rsidR="0030701B">
        <w:rPr>
          <w:rFonts w:asciiTheme="minorHAnsi" w:eastAsiaTheme="minorHAnsi" w:hAnsiTheme="minorHAnsi" w:cs="Arial"/>
          <w:bCs/>
          <w:color w:val="000000" w:themeColor="text1"/>
          <w:lang w:val="en-AU"/>
        </w:rPr>
        <w:t xml:space="preserve"> Assess </w:t>
      </w:r>
      <w:r w:rsidR="00B9065A" w:rsidRPr="00AF2BF6">
        <w:rPr>
          <w:rFonts w:asciiTheme="minorHAnsi" w:eastAsiaTheme="minorHAnsi" w:hAnsiTheme="minorHAnsi" w:cs="Arial"/>
          <w:bCs/>
          <w:color w:val="000000" w:themeColor="text1"/>
          <w:lang w:val="en-AU"/>
        </w:rPr>
        <w:t xml:space="preserve">pregnancy </w:t>
      </w:r>
      <w:r w:rsidR="0030701B">
        <w:rPr>
          <w:rFonts w:asciiTheme="minorHAnsi" w:eastAsiaTheme="minorHAnsi" w:hAnsiTheme="minorHAnsi" w:cs="Arial"/>
          <w:bCs/>
          <w:color w:val="000000" w:themeColor="text1"/>
          <w:lang w:val="en-AU"/>
        </w:rPr>
        <w:t>status</w:t>
      </w:r>
      <w:r w:rsidR="0030701B" w:rsidRPr="00AF2BF6">
        <w:rPr>
          <w:rFonts w:asciiTheme="minorHAnsi" w:eastAsiaTheme="minorHAnsi" w:hAnsiTheme="minorHAnsi" w:cs="Arial"/>
          <w:bCs/>
          <w:color w:val="000000" w:themeColor="text1"/>
          <w:lang w:val="en-AU"/>
        </w:rPr>
        <w:t xml:space="preserve"> </w:t>
      </w:r>
      <w:r w:rsidR="00B9065A" w:rsidRPr="00AF2BF6">
        <w:rPr>
          <w:rFonts w:asciiTheme="minorHAnsi" w:eastAsiaTheme="minorHAnsi" w:hAnsiTheme="minorHAnsi" w:cs="Arial"/>
          <w:bCs/>
          <w:color w:val="000000" w:themeColor="text1"/>
          <w:lang w:val="en-AU"/>
        </w:rPr>
        <w:t xml:space="preserve">prior to starting treatment with </w:t>
      </w:r>
      <w:r w:rsidR="00CB46CD" w:rsidRPr="00AF2BF6">
        <w:rPr>
          <w:rFonts w:asciiTheme="minorHAnsi" w:eastAsiaTheme="minorHAnsi" w:hAnsiTheme="minorHAnsi" w:cs="Arial"/>
          <w:bCs/>
          <w:color w:val="000000" w:themeColor="text1"/>
          <w:lang w:val="en-AU"/>
        </w:rPr>
        <w:t>TIBSOVO</w:t>
      </w:r>
      <w:r w:rsidR="0030701B">
        <w:rPr>
          <w:rFonts w:asciiTheme="minorHAnsi" w:eastAsiaTheme="minorHAnsi" w:hAnsiTheme="minorHAnsi" w:cs="Arial"/>
          <w:bCs/>
          <w:color w:val="000000" w:themeColor="text1"/>
          <w:lang w:val="en-AU"/>
        </w:rPr>
        <w:t xml:space="preserve">. Advise patients to </w:t>
      </w:r>
      <w:r w:rsidR="00B9065A" w:rsidRPr="00AF2BF6">
        <w:rPr>
          <w:rFonts w:asciiTheme="minorHAnsi" w:eastAsiaTheme="minorHAnsi" w:hAnsiTheme="minorHAnsi" w:cs="Arial"/>
          <w:bCs/>
          <w:color w:val="000000" w:themeColor="text1"/>
          <w:lang w:val="en-AU"/>
        </w:rPr>
        <w:t xml:space="preserve">use effective contraception during treatment with </w:t>
      </w:r>
      <w:r w:rsidR="00CB46CD" w:rsidRPr="00AF2BF6">
        <w:rPr>
          <w:rFonts w:asciiTheme="minorHAnsi" w:eastAsiaTheme="minorHAnsi" w:hAnsiTheme="minorHAnsi" w:cs="Arial"/>
          <w:bCs/>
          <w:color w:val="000000" w:themeColor="text1"/>
          <w:lang w:val="en-AU"/>
        </w:rPr>
        <w:t>TIBSOVO</w:t>
      </w:r>
      <w:r w:rsidR="00B9065A" w:rsidRPr="00AF2BF6">
        <w:rPr>
          <w:rFonts w:asciiTheme="minorHAnsi" w:eastAsiaTheme="minorHAnsi" w:hAnsiTheme="minorHAnsi" w:cs="Arial"/>
          <w:bCs/>
          <w:color w:val="000000" w:themeColor="text1"/>
          <w:lang w:val="en-AU"/>
        </w:rPr>
        <w:t xml:space="preserve"> and for at least 1 month after the last dose.</w:t>
      </w:r>
    </w:p>
    <w:p w14:paraId="538AA78A" w14:textId="7DA9DC92" w:rsidR="00B9065A" w:rsidRDefault="0030701B" w:rsidP="00B9065A">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As i</w:t>
      </w:r>
      <w:r w:rsidR="00B9065A" w:rsidRPr="00AF2BF6">
        <w:rPr>
          <w:rFonts w:asciiTheme="minorHAnsi" w:eastAsiaTheme="minorHAnsi" w:hAnsiTheme="minorHAnsi" w:cs="Arial"/>
          <w:bCs/>
          <w:color w:val="000000" w:themeColor="text1"/>
          <w:lang w:val="en-AU"/>
        </w:rPr>
        <w:t>vosidenib may decrease systemic concentrations of hormonal contraceptives</w:t>
      </w:r>
      <w:r>
        <w:rPr>
          <w:rFonts w:asciiTheme="minorHAnsi" w:eastAsiaTheme="minorHAnsi" w:hAnsiTheme="minorHAnsi" w:cs="Arial"/>
          <w:bCs/>
          <w:color w:val="000000" w:themeColor="text1"/>
          <w:lang w:val="en-AU"/>
        </w:rPr>
        <w:t>,</w:t>
      </w:r>
      <w:r w:rsidR="00B9065A" w:rsidRPr="00AF2BF6">
        <w:rPr>
          <w:rFonts w:asciiTheme="minorHAnsi" w:eastAsiaTheme="minorHAnsi" w:hAnsiTheme="minorHAnsi" w:cs="Arial"/>
          <w:bCs/>
          <w:color w:val="000000" w:themeColor="text1"/>
          <w:lang w:val="en-AU"/>
        </w:rPr>
        <w:t xml:space="preserve"> concomitant use of an alternative contraceptive method such as barrier contraceptives is recommended (see </w:t>
      </w:r>
      <w:r w:rsidR="00B9065A" w:rsidRPr="00AF2BF6">
        <w:rPr>
          <w:rFonts w:asciiTheme="minorHAnsi" w:eastAsiaTheme="minorHAnsi" w:hAnsiTheme="minorHAnsi" w:cs="Arial"/>
          <w:bCs/>
          <w:i/>
          <w:iCs/>
          <w:color w:val="000000" w:themeColor="text1"/>
          <w:lang w:val="en-AU"/>
        </w:rPr>
        <w:t>sections 4.4 - Special warnings and precautions for use</w:t>
      </w:r>
      <w:r w:rsidR="00B9065A" w:rsidRPr="00AF2BF6">
        <w:rPr>
          <w:rFonts w:asciiTheme="minorHAnsi" w:eastAsiaTheme="minorHAnsi" w:hAnsiTheme="minorHAnsi" w:cs="Arial"/>
          <w:bCs/>
          <w:color w:val="000000" w:themeColor="text1"/>
          <w:lang w:val="en-AU"/>
        </w:rPr>
        <w:t xml:space="preserve"> and </w:t>
      </w:r>
      <w:r w:rsidR="00B9065A" w:rsidRPr="00AF2BF6">
        <w:rPr>
          <w:rFonts w:asciiTheme="minorHAnsi" w:eastAsiaTheme="minorHAnsi" w:hAnsiTheme="minorHAnsi" w:cs="Arial"/>
          <w:bCs/>
          <w:i/>
          <w:iCs/>
          <w:color w:val="000000" w:themeColor="text1"/>
          <w:lang w:val="en-AU"/>
        </w:rPr>
        <w:t>4.5- Interactions with other medicines and other forms of interactions</w:t>
      </w:r>
      <w:r w:rsidR="00B9065A" w:rsidRPr="00AF2BF6">
        <w:rPr>
          <w:rFonts w:asciiTheme="minorHAnsi" w:eastAsiaTheme="minorHAnsi" w:hAnsiTheme="minorHAnsi" w:cs="Arial"/>
          <w:bCs/>
          <w:color w:val="000000" w:themeColor="text1"/>
          <w:lang w:val="en-AU"/>
        </w:rPr>
        <w:t>).</w:t>
      </w:r>
    </w:p>
    <w:p w14:paraId="6A70BB2D" w14:textId="35EFD67A" w:rsidR="00FF2029" w:rsidRDefault="00FF2029" w:rsidP="00450D1E">
      <w:pPr>
        <w:pStyle w:val="Heading4"/>
      </w:pPr>
      <w:r>
        <w:t>Preclinical data</w:t>
      </w:r>
    </w:p>
    <w:p w14:paraId="66D9899E" w14:textId="08FBB900" w:rsidR="00FF2029" w:rsidRPr="002E642A" w:rsidRDefault="002E642A" w:rsidP="00B9065A">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In embryofetal development studies in rats, lower fetal body weights</w:t>
      </w:r>
      <w:r w:rsidR="006E1032">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delayed skeletal ossification </w:t>
      </w:r>
      <w:r w:rsidR="00DE34F3" w:rsidRPr="00085F94">
        <w:rPr>
          <w:rFonts w:asciiTheme="minorHAnsi" w:eastAsiaTheme="minorHAnsi" w:hAnsiTheme="minorHAnsi" w:cs="Arial"/>
          <w:bCs/>
          <w:color w:val="000000" w:themeColor="text1"/>
          <w:lang w:val="en-AU"/>
        </w:rPr>
        <w:t>and development variation of major blood vessels</w:t>
      </w:r>
      <w:r w:rsidR="00DE34F3" w:rsidRPr="00AF2BF6">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occurred in the absence of maternal toxicity</w:t>
      </w:r>
      <w:r w:rsidR="003613E9">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In rabbits, maternal toxicity, spontaneous abortions, decreased fetal body weights, increased post implantation loss, delayed skeletal ossification and visceral development variation (small spleen) were observed. In rats and rabbits, the no adverse effect levels for embryofetal development were 0.4-fold and 1.4-fold the clinical exposure (based on AUC), respectively.</w:t>
      </w:r>
      <w:r>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Animal studies indicate that ivosidenib crosses the placenta and is found in fetal plasma. It is not known whether ivosidenib or its metabolites are excreted in milk.</w:t>
      </w:r>
    </w:p>
    <w:p w14:paraId="15A9E149" w14:textId="7EFB9E3A" w:rsidR="00F50D3D" w:rsidRPr="00AF2BF6" w:rsidRDefault="008138C4" w:rsidP="007B4EE0">
      <w:pPr>
        <w:pStyle w:val="Heading3"/>
        <w:widowControl/>
        <w:autoSpaceDE/>
        <w:autoSpaceDN/>
        <w:spacing w:before="120" w:after="120" w:line="276" w:lineRule="auto"/>
        <w:ind w:left="227"/>
        <w:rPr>
          <w:b/>
          <w:bCs/>
          <w:color w:val="auto"/>
          <w:szCs w:val="22"/>
          <w:lang w:val="en-AU"/>
        </w:rPr>
      </w:pPr>
      <w:r w:rsidRPr="00AF2BF6">
        <w:rPr>
          <w:b/>
          <w:bCs/>
          <w:color w:val="auto"/>
          <w:szCs w:val="22"/>
          <w:lang w:val="en-AU"/>
        </w:rPr>
        <w:lastRenderedPageBreak/>
        <w:t>Use in lactation</w:t>
      </w:r>
    </w:p>
    <w:p w14:paraId="15A9E14D" w14:textId="2B4D1338" w:rsidR="00F50D3D" w:rsidRPr="00AF2BF6" w:rsidRDefault="0030701B" w:rsidP="00615991">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There are no data on</w:t>
      </w:r>
      <w:r w:rsidR="00C56D2F"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 xml:space="preserve">the presence of </w:t>
      </w:r>
      <w:r w:rsidR="00C56D2F" w:rsidRPr="00AF2BF6">
        <w:rPr>
          <w:rFonts w:asciiTheme="minorHAnsi" w:eastAsiaTheme="minorHAnsi" w:hAnsiTheme="minorHAnsi" w:cs="Arial"/>
          <w:bCs/>
          <w:color w:val="000000" w:themeColor="text1"/>
          <w:lang w:val="en-AU"/>
        </w:rPr>
        <w:t xml:space="preserve">ivosidenib </w:t>
      </w:r>
      <w:r>
        <w:rPr>
          <w:rFonts w:asciiTheme="minorHAnsi" w:eastAsiaTheme="minorHAnsi" w:hAnsiTheme="minorHAnsi" w:cs="Arial"/>
          <w:bCs/>
          <w:color w:val="000000" w:themeColor="text1"/>
          <w:lang w:val="en-AU"/>
        </w:rPr>
        <w:t>or</w:t>
      </w:r>
      <w:r w:rsidRPr="00AF2BF6">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its metabolites in human milk</w:t>
      </w:r>
      <w:r>
        <w:rPr>
          <w:rFonts w:asciiTheme="minorHAnsi" w:eastAsiaTheme="minorHAnsi" w:hAnsiTheme="minorHAnsi" w:cs="Arial"/>
          <w:bCs/>
          <w:color w:val="000000" w:themeColor="text1"/>
          <w:lang w:val="en-AU"/>
        </w:rPr>
        <w:t>, the effects on a breastfed child, or the effects on milk production</w:t>
      </w:r>
      <w:r w:rsidR="00C56D2F"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Due to the potential</w:t>
      </w:r>
      <w:r w:rsidR="00C56D2F" w:rsidRPr="00AF2BF6">
        <w:rPr>
          <w:rFonts w:asciiTheme="minorHAnsi" w:eastAsiaTheme="minorHAnsi" w:hAnsiTheme="minorHAnsi" w:cs="Arial"/>
          <w:bCs/>
          <w:color w:val="000000" w:themeColor="text1"/>
          <w:lang w:val="en-AU"/>
        </w:rPr>
        <w:t xml:space="preserve"> risk to </w:t>
      </w:r>
      <w:r>
        <w:rPr>
          <w:rFonts w:asciiTheme="minorHAnsi" w:eastAsiaTheme="minorHAnsi" w:hAnsiTheme="minorHAnsi" w:cs="Arial"/>
          <w:bCs/>
          <w:color w:val="000000" w:themeColor="text1"/>
          <w:lang w:val="en-AU"/>
        </w:rPr>
        <w:t>a breastfed child, breast</w:t>
      </w:r>
      <w:r w:rsidR="00C56D2F" w:rsidRPr="00AF2BF6">
        <w:rPr>
          <w:rFonts w:asciiTheme="minorHAnsi" w:eastAsiaTheme="minorHAnsi" w:hAnsiTheme="minorHAnsi" w:cs="Arial"/>
          <w:bCs/>
          <w:color w:val="000000" w:themeColor="text1"/>
          <w:lang w:val="en-AU"/>
        </w:rPr>
        <w:t xml:space="preserve">feeding should be discontinued during treatment with </w:t>
      </w:r>
      <w:r w:rsidR="00CB46CD" w:rsidRPr="00AF2BF6">
        <w:rPr>
          <w:rFonts w:asciiTheme="minorHAnsi" w:eastAsiaTheme="minorHAnsi" w:hAnsiTheme="minorHAnsi" w:cs="Arial"/>
          <w:bCs/>
          <w:color w:val="000000" w:themeColor="text1"/>
          <w:lang w:val="en-AU"/>
        </w:rPr>
        <w:t>ivosidenib</w:t>
      </w:r>
      <w:r w:rsidR="00C56D2F" w:rsidRPr="00AF2BF6">
        <w:rPr>
          <w:rFonts w:asciiTheme="minorHAnsi" w:eastAsiaTheme="minorHAnsi" w:hAnsiTheme="minorHAnsi" w:cs="Arial"/>
          <w:bCs/>
          <w:color w:val="000000" w:themeColor="text1"/>
          <w:lang w:val="en-AU"/>
        </w:rPr>
        <w:t xml:space="preserve"> and for at least 1 month after the last dose.</w:t>
      </w:r>
    </w:p>
    <w:p w14:paraId="15A9E153" w14:textId="77777777" w:rsidR="00F50D3D" w:rsidRPr="00AF2BF6" w:rsidRDefault="00C56D2F" w:rsidP="00621FF9">
      <w:pPr>
        <w:pStyle w:val="Heading2"/>
        <w:numPr>
          <w:ilvl w:val="1"/>
          <w:numId w:val="6"/>
        </w:numPr>
      </w:pPr>
      <w:r w:rsidRPr="00AF2BF6">
        <w:t>Effects on ability to drive and use machines</w:t>
      </w:r>
    </w:p>
    <w:p w14:paraId="15A9E155" w14:textId="1D18E694" w:rsidR="00F50D3D" w:rsidRPr="00AF2BF6" w:rsidRDefault="00C56D2F" w:rsidP="0061599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Ivosidenib has no or negligible influence on the ability to drive and use machines. Fatigue and dizziness have been reported in some patients taking ivosidenib (see </w:t>
      </w:r>
      <w:r w:rsidRPr="00AF2BF6">
        <w:rPr>
          <w:rFonts w:asciiTheme="minorHAnsi" w:eastAsiaTheme="minorHAnsi" w:hAnsiTheme="minorHAnsi" w:cs="Arial"/>
          <w:bCs/>
          <w:i/>
          <w:iCs/>
          <w:color w:val="000000" w:themeColor="text1"/>
          <w:lang w:val="en-AU"/>
        </w:rPr>
        <w:t>section 4.8</w:t>
      </w:r>
      <w:r w:rsidR="00CB46CD" w:rsidRPr="00AF2BF6">
        <w:rPr>
          <w:rFonts w:asciiTheme="minorHAnsi" w:eastAsiaTheme="minorHAnsi" w:hAnsiTheme="minorHAnsi" w:cs="Arial"/>
          <w:bCs/>
          <w:i/>
          <w:iCs/>
          <w:color w:val="000000" w:themeColor="text1"/>
          <w:lang w:val="en-AU"/>
        </w:rPr>
        <w:t xml:space="preserve"> - Adverse effects (Undesirable effects)</w:t>
      </w:r>
      <w:r w:rsidRPr="00AF2BF6">
        <w:rPr>
          <w:rFonts w:asciiTheme="minorHAnsi" w:eastAsiaTheme="minorHAnsi" w:hAnsiTheme="minorHAnsi" w:cs="Arial"/>
          <w:bCs/>
          <w:color w:val="000000" w:themeColor="text1"/>
          <w:lang w:val="en-AU"/>
        </w:rPr>
        <w:t>) and should be considered when assessing a patient’s ability to drive or operate machines.</w:t>
      </w:r>
    </w:p>
    <w:p w14:paraId="15A9E157" w14:textId="76182C6C" w:rsidR="00F50D3D" w:rsidRPr="00AF2BF6" w:rsidRDefault="00615991" w:rsidP="00621FF9">
      <w:pPr>
        <w:pStyle w:val="Heading2"/>
        <w:numPr>
          <w:ilvl w:val="1"/>
          <w:numId w:val="6"/>
        </w:numPr>
      </w:pPr>
      <w:r w:rsidRPr="00AF2BF6">
        <w:t>Adverse effects (</w:t>
      </w:r>
      <w:r w:rsidR="00C56D2F" w:rsidRPr="00AF2BF6">
        <w:t>Undesirable effects</w:t>
      </w:r>
      <w:r w:rsidRPr="00AF2BF6">
        <w:t>)</w:t>
      </w:r>
    </w:p>
    <w:p w14:paraId="7E4A525C" w14:textId="77777777" w:rsidR="003D48EB" w:rsidRPr="00AF2BF6" w:rsidRDefault="003D48EB" w:rsidP="003D48EB">
      <w:pPr>
        <w:pStyle w:val="Heading3"/>
        <w:spacing w:before="120" w:after="120"/>
        <w:rPr>
          <w:b/>
          <w:bCs/>
          <w:szCs w:val="22"/>
        </w:rPr>
      </w:pPr>
      <w:r w:rsidRPr="00AF2BF6">
        <w:rPr>
          <w:b/>
          <w:bCs/>
          <w:szCs w:val="22"/>
        </w:rPr>
        <w:t>Previously treated, locally advanced or metastatic cholangiocarcinoma</w:t>
      </w:r>
    </w:p>
    <w:p w14:paraId="15A9E15B" w14:textId="77777777" w:rsidR="00F50D3D" w:rsidRPr="00AF2BF6" w:rsidRDefault="00C56D2F" w:rsidP="00450D1E">
      <w:pPr>
        <w:pStyle w:val="Heading4"/>
      </w:pPr>
      <w:r w:rsidRPr="00AF2BF6">
        <w:t>Summary of the safety profile</w:t>
      </w:r>
    </w:p>
    <w:p w14:paraId="15A9E15D" w14:textId="1B02E8DF" w:rsidR="00F50D3D" w:rsidRPr="00AF2BF6" w:rsidRDefault="00C56D2F" w:rsidP="0030701B">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The safety profile of </w:t>
      </w:r>
      <w:r w:rsidR="00CB46CD" w:rsidRPr="00AF2BF6">
        <w:rPr>
          <w:rFonts w:asciiTheme="minorHAnsi" w:eastAsiaTheme="minorHAnsi" w:hAnsiTheme="minorHAnsi" w:cs="Arial"/>
          <w:bCs/>
          <w:color w:val="000000" w:themeColor="text1"/>
          <w:lang w:val="en-AU"/>
        </w:rPr>
        <w:t xml:space="preserve">TIBSOVO </w:t>
      </w:r>
      <w:r w:rsidRPr="00AF2BF6">
        <w:rPr>
          <w:rFonts w:asciiTheme="minorHAnsi" w:eastAsiaTheme="minorHAnsi" w:hAnsiTheme="minorHAnsi" w:cs="Arial"/>
          <w:bCs/>
          <w:color w:val="000000" w:themeColor="text1"/>
          <w:lang w:val="en-AU"/>
        </w:rPr>
        <w:t xml:space="preserve">was studied in </w:t>
      </w:r>
      <w:r w:rsidR="00C21387" w:rsidRPr="00AF2BF6">
        <w:rPr>
          <w:rFonts w:asciiTheme="minorHAnsi" w:eastAsiaTheme="minorHAnsi" w:hAnsiTheme="minorHAnsi" w:cs="Arial"/>
          <w:bCs/>
          <w:color w:val="000000" w:themeColor="text1"/>
          <w:lang w:val="en-AU"/>
        </w:rPr>
        <w:t>123</w:t>
      </w:r>
      <w:r w:rsidRPr="00AF2BF6">
        <w:rPr>
          <w:rFonts w:asciiTheme="minorHAnsi" w:eastAsiaTheme="minorHAnsi" w:hAnsiTheme="minorHAnsi" w:cs="Arial"/>
          <w:bCs/>
          <w:color w:val="000000" w:themeColor="text1"/>
          <w:lang w:val="en-AU"/>
        </w:rPr>
        <w:t xml:space="preserve"> patients with </w:t>
      </w:r>
      <w:r w:rsidR="00441C61" w:rsidRPr="00AF2BF6">
        <w:rPr>
          <w:rFonts w:asciiTheme="minorHAnsi" w:eastAsiaTheme="minorHAnsi" w:hAnsiTheme="minorHAnsi" w:cs="Arial"/>
          <w:bCs/>
          <w:color w:val="000000" w:themeColor="text1"/>
          <w:lang w:val="en-AU"/>
        </w:rPr>
        <w:t>previously treated, locally advanced or metastatic cholangiocarcinoma</w:t>
      </w:r>
      <w:r w:rsidR="0030701B">
        <w:rPr>
          <w:rFonts w:asciiTheme="minorHAnsi" w:eastAsiaTheme="minorHAnsi" w:hAnsiTheme="minorHAnsi" w:cs="Arial"/>
          <w:bCs/>
          <w:color w:val="000000" w:themeColor="text1"/>
          <w:lang w:val="en-AU"/>
        </w:rPr>
        <w:t xml:space="preserve"> in</w:t>
      </w:r>
      <w:r w:rsidRPr="00AF2BF6">
        <w:rPr>
          <w:rFonts w:asciiTheme="minorHAnsi" w:eastAsiaTheme="minorHAnsi" w:hAnsiTheme="minorHAnsi" w:cs="Arial"/>
          <w:bCs/>
          <w:color w:val="000000" w:themeColor="text1"/>
          <w:lang w:val="en-AU"/>
        </w:rPr>
        <w:t xml:space="preserve"> Study AG120-C-</w:t>
      </w:r>
      <w:r w:rsidR="00EC22CE" w:rsidRPr="00AF2BF6">
        <w:rPr>
          <w:rFonts w:asciiTheme="minorHAnsi" w:eastAsiaTheme="minorHAnsi" w:hAnsiTheme="minorHAnsi" w:cs="Arial"/>
          <w:bCs/>
          <w:color w:val="000000" w:themeColor="text1"/>
          <w:lang w:val="en-AU"/>
        </w:rPr>
        <w:t>005</w:t>
      </w:r>
      <w:r w:rsidRPr="00AF2BF6">
        <w:rPr>
          <w:rFonts w:asciiTheme="minorHAnsi" w:eastAsiaTheme="minorHAnsi" w:hAnsiTheme="minorHAnsi" w:cs="Arial"/>
          <w:bCs/>
          <w:color w:val="000000" w:themeColor="text1"/>
          <w:lang w:val="en-AU"/>
        </w:rPr>
        <w:t xml:space="preserve">. </w:t>
      </w:r>
      <w:r w:rsidR="0030701B" w:rsidRPr="0030701B">
        <w:rPr>
          <w:rFonts w:asciiTheme="minorHAnsi" w:eastAsiaTheme="minorHAnsi" w:hAnsiTheme="minorHAnsi" w:cs="Arial"/>
          <w:bCs/>
          <w:color w:val="000000" w:themeColor="text1"/>
          <w:lang w:val="en-AU"/>
        </w:rPr>
        <w:t>Patients</w:t>
      </w:r>
      <w:r w:rsidR="0030701B">
        <w:rPr>
          <w:rFonts w:asciiTheme="minorHAnsi" w:eastAsiaTheme="minorHAnsi" w:hAnsiTheme="minorHAnsi" w:cs="Arial"/>
          <w:bCs/>
          <w:color w:val="000000" w:themeColor="text1"/>
          <w:lang w:val="en-AU"/>
        </w:rPr>
        <w:t xml:space="preserve"> </w:t>
      </w:r>
      <w:r w:rsidR="0030701B" w:rsidRPr="0030701B">
        <w:rPr>
          <w:rFonts w:asciiTheme="minorHAnsi" w:eastAsiaTheme="minorHAnsi" w:hAnsiTheme="minorHAnsi" w:cs="Arial"/>
          <w:bCs/>
          <w:color w:val="000000" w:themeColor="text1"/>
          <w:lang w:val="en-AU"/>
        </w:rPr>
        <w:t>received at least one dose of either TIBSOVO 500 mg daily (</w:t>
      </w:r>
      <w:r w:rsidR="00282830">
        <w:rPr>
          <w:rFonts w:asciiTheme="minorHAnsi" w:eastAsiaTheme="minorHAnsi" w:hAnsiTheme="minorHAnsi" w:cs="Arial"/>
          <w:bCs/>
          <w:color w:val="000000" w:themeColor="text1"/>
          <w:lang w:val="en-AU"/>
        </w:rPr>
        <w:t>n</w:t>
      </w:r>
      <w:r w:rsidR="0030701B" w:rsidRPr="0030701B">
        <w:rPr>
          <w:rFonts w:asciiTheme="minorHAnsi" w:eastAsiaTheme="minorHAnsi" w:hAnsiTheme="minorHAnsi" w:cs="Arial"/>
          <w:bCs/>
          <w:color w:val="000000" w:themeColor="text1"/>
          <w:lang w:val="en-AU"/>
        </w:rPr>
        <w:t>=123) or placebo (</w:t>
      </w:r>
      <w:r w:rsidR="00282830">
        <w:rPr>
          <w:rFonts w:asciiTheme="minorHAnsi" w:eastAsiaTheme="minorHAnsi" w:hAnsiTheme="minorHAnsi" w:cs="Arial"/>
          <w:bCs/>
          <w:color w:val="000000" w:themeColor="text1"/>
          <w:lang w:val="en-AU"/>
        </w:rPr>
        <w:t>n</w:t>
      </w:r>
      <w:r w:rsidR="0030701B" w:rsidRPr="0030701B">
        <w:rPr>
          <w:rFonts w:asciiTheme="minorHAnsi" w:eastAsiaTheme="minorHAnsi" w:hAnsiTheme="minorHAnsi" w:cs="Arial"/>
          <w:bCs/>
          <w:color w:val="000000" w:themeColor="text1"/>
          <w:lang w:val="en-AU"/>
        </w:rPr>
        <w:t xml:space="preserve">=59). </w:t>
      </w:r>
      <w:r w:rsidRPr="00AF2BF6">
        <w:rPr>
          <w:rFonts w:asciiTheme="minorHAnsi" w:eastAsiaTheme="minorHAnsi" w:hAnsiTheme="minorHAnsi" w:cs="Arial"/>
          <w:bCs/>
          <w:color w:val="000000" w:themeColor="text1"/>
          <w:lang w:val="en-AU"/>
        </w:rPr>
        <w:t xml:space="preserve">The median </w:t>
      </w:r>
      <w:r w:rsidR="0030701B">
        <w:rPr>
          <w:rFonts w:asciiTheme="minorHAnsi" w:eastAsiaTheme="minorHAnsi" w:hAnsiTheme="minorHAnsi" w:cs="Arial"/>
          <w:bCs/>
          <w:color w:val="000000" w:themeColor="text1"/>
          <w:lang w:val="en-AU"/>
        </w:rPr>
        <w:t xml:space="preserve">(range) and mean (standard deviation, SD) </w:t>
      </w:r>
      <w:r w:rsidRPr="00AF2BF6">
        <w:rPr>
          <w:rFonts w:asciiTheme="minorHAnsi" w:eastAsiaTheme="minorHAnsi" w:hAnsiTheme="minorHAnsi" w:cs="Arial"/>
          <w:bCs/>
          <w:color w:val="000000" w:themeColor="text1"/>
          <w:lang w:val="en-AU"/>
        </w:rPr>
        <w:t xml:space="preserve">duration of treatment with </w:t>
      </w:r>
      <w:r w:rsidR="00CB46CD" w:rsidRPr="00AF2BF6">
        <w:rPr>
          <w:rFonts w:asciiTheme="minorHAnsi" w:eastAsiaTheme="minorHAnsi" w:hAnsiTheme="minorHAnsi" w:cs="Arial"/>
          <w:bCs/>
          <w:color w:val="000000" w:themeColor="text1"/>
          <w:lang w:val="en-AU"/>
        </w:rPr>
        <w:t>TIBSOVO</w:t>
      </w:r>
      <w:r w:rsidRPr="00AF2BF6">
        <w:rPr>
          <w:rFonts w:asciiTheme="minorHAnsi" w:eastAsiaTheme="minorHAnsi" w:hAnsiTheme="minorHAnsi" w:cs="Arial"/>
          <w:bCs/>
          <w:color w:val="000000" w:themeColor="text1"/>
          <w:lang w:val="en-AU"/>
        </w:rPr>
        <w:t xml:space="preserve"> </w:t>
      </w:r>
      <w:r w:rsidR="0030701B">
        <w:rPr>
          <w:rFonts w:asciiTheme="minorHAnsi" w:eastAsiaTheme="minorHAnsi" w:hAnsiTheme="minorHAnsi" w:cs="Arial"/>
          <w:bCs/>
          <w:color w:val="000000" w:themeColor="text1"/>
          <w:lang w:val="en-AU"/>
        </w:rPr>
        <w:t>were</w:t>
      </w:r>
      <w:r w:rsidR="0030701B" w:rsidRPr="00AF2BF6">
        <w:rPr>
          <w:rFonts w:asciiTheme="minorHAnsi" w:eastAsiaTheme="minorHAnsi" w:hAnsiTheme="minorHAnsi" w:cs="Arial"/>
          <w:bCs/>
          <w:color w:val="000000" w:themeColor="text1"/>
          <w:lang w:val="en-AU"/>
        </w:rPr>
        <w:t xml:space="preserve"> </w:t>
      </w:r>
      <w:r w:rsidR="00EC22CE" w:rsidRPr="00AF2BF6">
        <w:rPr>
          <w:rFonts w:asciiTheme="minorHAnsi" w:eastAsiaTheme="minorHAnsi" w:hAnsiTheme="minorHAnsi" w:cs="Arial"/>
          <w:bCs/>
          <w:color w:val="000000" w:themeColor="text1"/>
          <w:lang w:val="en-AU"/>
        </w:rPr>
        <w:t>2.8</w:t>
      </w:r>
      <w:r w:rsidRPr="00AF2BF6">
        <w:rPr>
          <w:rFonts w:asciiTheme="minorHAnsi" w:eastAsiaTheme="minorHAnsi" w:hAnsiTheme="minorHAnsi" w:cs="Arial"/>
          <w:bCs/>
          <w:color w:val="000000" w:themeColor="text1"/>
          <w:lang w:val="en-AU"/>
        </w:rPr>
        <w:t xml:space="preserve"> (0.1 to </w:t>
      </w:r>
      <w:r w:rsidR="00EC22CE" w:rsidRPr="00AF2BF6">
        <w:rPr>
          <w:rFonts w:asciiTheme="minorHAnsi" w:eastAsiaTheme="minorHAnsi" w:hAnsiTheme="minorHAnsi" w:cs="Arial"/>
          <w:bCs/>
          <w:color w:val="000000" w:themeColor="text1"/>
          <w:lang w:val="en-AU"/>
        </w:rPr>
        <w:t>45.1</w:t>
      </w:r>
      <w:r w:rsidR="0030701B">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months</w:t>
      </w:r>
      <w:r w:rsidR="0030701B">
        <w:rPr>
          <w:rFonts w:asciiTheme="minorHAnsi" w:eastAsiaTheme="minorHAnsi" w:hAnsiTheme="minorHAnsi" w:cs="Arial"/>
          <w:bCs/>
          <w:color w:val="000000" w:themeColor="text1"/>
          <w:lang w:val="en-AU"/>
        </w:rPr>
        <w:t xml:space="preserve"> and </w:t>
      </w:r>
      <w:r w:rsidR="00FE613D" w:rsidRPr="00AF2BF6">
        <w:rPr>
          <w:rFonts w:asciiTheme="minorHAnsi" w:eastAsiaTheme="minorHAnsi" w:hAnsiTheme="minorHAnsi" w:cs="Arial"/>
          <w:bCs/>
          <w:color w:val="000000" w:themeColor="text1"/>
          <w:lang w:val="en-AU"/>
        </w:rPr>
        <w:t>6.7 (8.2) months</w:t>
      </w:r>
      <w:r w:rsidR="0030701B">
        <w:rPr>
          <w:rFonts w:asciiTheme="minorHAnsi" w:eastAsiaTheme="minorHAnsi" w:hAnsiTheme="minorHAnsi" w:cs="Arial"/>
          <w:bCs/>
          <w:color w:val="000000" w:themeColor="text1"/>
          <w:lang w:val="en-AU"/>
        </w:rPr>
        <w:t>, respectively</w:t>
      </w:r>
      <w:r w:rsidRPr="00AF2BF6">
        <w:rPr>
          <w:rFonts w:asciiTheme="minorHAnsi" w:eastAsiaTheme="minorHAnsi" w:hAnsiTheme="minorHAnsi" w:cs="Arial"/>
          <w:bCs/>
          <w:color w:val="000000" w:themeColor="text1"/>
          <w:lang w:val="en-AU"/>
        </w:rPr>
        <w:t>.</w:t>
      </w:r>
    </w:p>
    <w:p w14:paraId="15A9E15F" w14:textId="4C5FDB77" w:rsidR="00F50D3D" w:rsidRPr="00AF2BF6" w:rsidRDefault="00C56D2F" w:rsidP="00732364">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The most common adverse </w:t>
      </w:r>
      <w:r w:rsidR="00282830">
        <w:rPr>
          <w:rFonts w:asciiTheme="minorHAnsi" w:eastAsiaTheme="minorHAnsi" w:hAnsiTheme="minorHAnsi" w:cs="Arial"/>
          <w:bCs/>
          <w:color w:val="000000" w:themeColor="text1"/>
          <w:lang w:val="en-AU"/>
        </w:rPr>
        <w:t>events</w:t>
      </w:r>
      <w:r w:rsidR="00282830" w:rsidRPr="00AF2BF6">
        <w:rPr>
          <w:rFonts w:asciiTheme="minorHAnsi" w:eastAsiaTheme="minorHAnsi" w:hAnsiTheme="minorHAnsi" w:cs="Arial"/>
          <w:bCs/>
          <w:color w:val="000000" w:themeColor="text1"/>
          <w:lang w:val="en-AU"/>
        </w:rPr>
        <w:t xml:space="preserve"> </w:t>
      </w:r>
      <w:r w:rsidR="00282830">
        <w:rPr>
          <w:rFonts w:asciiTheme="minorHAnsi" w:eastAsiaTheme="minorHAnsi" w:hAnsiTheme="minorHAnsi" w:cs="Arial"/>
          <w:bCs/>
          <w:color w:val="000000" w:themeColor="text1"/>
          <w:lang w:val="en-AU"/>
        </w:rPr>
        <w:t xml:space="preserve">and laboratory abnormalities in patients who received TIBSOVO in Study </w:t>
      </w:r>
      <w:r w:rsidR="00282830" w:rsidRPr="00AF2BF6">
        <w:rPr>
          <w:rFonts w:asciiTheme="minorHAnsi" w:eastAsiaTheme="minorHAnsi" w:hAnsiTheme="minorHAnsi" w:cs="Arial"/>
          <w:bCs/>
          <w:color w:val="000000" w:themeColor="text1"/>
          <w:lang w:val="en-AU"/>
        </w:rPr>
        <w:t>AG120-C-005</w:t>
      </w:r>
      <w:r w:rsidR="00282830">
        <w:rPr>
          <w:rFonts w:asciiTheme="minorHAnsi" w:eastAsiaTheme="minorHAnsi" w:hAnsiTheme="minorHAnsi" w:cs="Arial"/>
          <w:bCs/>
          <w:color w:val="000000" w:themeColor="text1"/>
          <w:lang w:val="en-AU"/>
        </w:rPr>
        <w:t xml:space="preserve"> are presented in</w:t>
      </w:r>
      <w:r w:rsidR="00937B24">
        <w:rPr>
          <w:rFonts w:asciiTheme="minorHAnsi" w:eastAsiaTheme="minorHAnsi" w:hAnsiTheme="minorHAnsi" w:cs="Arial"/>
          <w:bCs/>
          <w:color w:val="000000" w:themeColor="text1"/>
          <w:lang w:val="en-AU"/>
        </w:rPr>
        <w:t xml:space="preserve"> Table 3</w:t>
      </w:r>
      <w:r w:rsidR="004E6699">
        <w:rPr>
          <w:rFonts w:asciiTheme="minorHAnsi" w:eastAsiaTheme="minorHAnsi" w:hAnsiTheme="minorHAnsi" w:cs="Arial"/>
          <w:bCs/>
          <w:color w:val="000000" w:themeColor="text1"/>
          <w:lang w:val="en-AU"/>
        </w:rPr>
        <w:t xml:space="preserve"> </w:t>
      </w:r>
      <w:r w:rsidR="00282830" w:rsidRPr="004E6699">
        <w:rPr>
          <w:rFonts w:asciiTheme="minorHAnsi" w:eastAsiaTheme="minorHAnsi" w:hAnsiTheme="minorHAnsi" w:cs="Arial"/>
          <w:bCs/>
          <w:color w:val="000000" w:themeColor="text1"/>
          <w:lang w:val="en-AU"/>
        </w:rPr>
        <w:t>and</w:t>
      </w:r>
      <w:r w:rsidR="00937B24">
        <w:rPr>
          <w:rFonts w:asciiTheme="minorHAnsi" w:eastAsiaTheme="minorHAnsi" w:hAnsiTheme="minorHAnsi" w:cs="Arial"/>
          <w:bCs/>
          <w:color w:val="000000" w:themeColor="text1"/>
          <w:lang w:val="en-AU"/>
        </w:rPr>
        <w:t xml:space="preserve"> Table 4</w:t>
      </w:r>
      <w:r w:rsidR="00282830" w:rsidRPr="004E6699">
        <w:rPr>
          <w:rFonts w:asciiTheme="minorHAnsi" w:eastAsiaTheme="minorHAnsi" w:hAnsiTheme="minorHAnsi" w:cs="Arial"/>
          <w:bCs/>
          <w:color w:val="000000" w:themeColor="text1"/>
          <w:lang w:val="en-AU"/>
        </w:rPr>
        <w:t xml:space="preserve"> below.</w:t>
      </w:r>
    </w:p>
    <w:p w14:paraId="73626C43" w14:textId="49B24ECB" w:rsidR="00450D1E" w:rsidRPr="00450D1E" w:rsidRDefault="00450D1E" w:rsidP="00450D1E">
      <w:pPr>
        <w:widowControl/>
        <w:autoSpaceDE/>
        <w:autoSpaceDN/>
        <w:spacing w:after="200" w:line="276" w:lineRule="auto"/>
        <w:rPr>
          <w:rFonts w:asciiTheme="minorHAnsi" w:eastAsiaTheme="minorEastAsia" w:hAnsiTheme="minorHAnsi" w:cs="Arial"/>
          <w:color w:val="000000" w:themeColor="text1"/>
          <w:lang w:val="en-AU"/>
        </w:rPr>
      </w:pPr>
      <w:r w:rsidRPr="00450D1E">
        <w:rPr>
          <w:rFonts w:asciiTheme="minorHAnsi" w:eastAsiaTheme="minorEastAsia" w:hAnsiTheme="minorHAnsi" w:cs="Arial"/>
          <w:color w:val="000000" w:themeColor="text1"/>
          <w:lang w:val="en-AU"/>
        </w:rPr>
        <w:t xml:space="preserve">Serious adverse </w:t>
      </w:r>
      <w:r w:rsidR="008B08F8">
        <w:rPr>
          <w:rFonts w:asciiTheme="minorHAnsi" w:eastAsiaTheme="minorEastAsia" w:hAnsiTheme="minorHAnsi" w:cs="Arial"/>
          <w:color w:val="000000" w:themeColor="text1"/>
          <w:lang w:val="en-AU"/>
        </w:rPr>
        <w:t>events</w:t>
      </w:r>
      <w:r w:rsidRPr="00450D1E">
        <w:rPr>
          <w:rFonts w:asciiTheme="minorHAnsi" w:eastAsiaTheme="minorEastAsia" w:hAnsiTheme="minorHAnsi" w:cs="Arial"/>
          <w:color w:val="000000" w:themeColor="text1"/>
          <w:lang w:val="en-AU"/>
        </w:rPr>
        <w:t xml:space="preserve"> occurred in 3</w:t>
      </w:r>
      <w:r w:rsidR="004B02D2">
        <w:rPr>
          <w:rFonts w:asciiTheme="minorHAnsi" w:eastAsiaTheme="minorEastAsia" w:hAnsiTheme="minorHAnsi" w:cs="Arial"/>
          <w:color w:val="000000" w:themeColor="text1"/>
          <w:lang w:val="en-AU"/>
        </w:rPr>
        <w:t>5</w:t>
      </w:r>
      <w:r w:rsidRPr="00450D1E">
        <w:rPr>
          <w:rFonts w:asciiTheme="minorHAnsi" w:eastAsiaTheme="minorEastAsia" w:hAnsiTheme="minorHAnsi" w:cs="Arial"/>
          <w:color w:val="000000" w:themeColor="text1"/>
          <w:lang w:val="en-AU"/>
        </w:rPr>
        <w:t>% of patients receiving TIBSOVO. Serious adverse</w:t>
      </w:r>
      <w:r>
        <w:rPr>
          <w:rFonts w:asciiTheme="minorHAnsi" w:eastAsiaTheme="minorEastAsia" w:hAnsiTheme="minorHAnsi" w:cs="Arial"/>
          <w:color w:val="000000" w:themeColor="text1"/>
          <w:lang w:val="en-AU"/>
        </w:rPr>
        <w:t xml:space="preserve"> </w:t>
      </w:r>
      <w:r w:rsidR="008B08F8">
        <w:rPr>
          <w:rFonts w:asciiTheme="minorHAnsi" w:eastAsiaTheme="minorEastAsia" w:hAnsiTheme="minorHAnsi" w:cs="Arial"/>
          <w:color w:val="000000" w:themeColor="text1"/>
          <w:lang w:val="en-AU"/>
        </w:rPr>
        <w:t>events</w:t>
      </w:r>
      <w:r w:rsidRPr="00450D1E">
        <w:rPr>
          <w:rFonts w:asciiTheme="minorHAnsi" w:eastAsiaTheme="minorEastAsia" w:hAnsiTheme="minorHAnsi" w:cs="Arial"/>
          <w:color w:val="000000" w:themeColor="text1"/>
          <w:lang w:val="en-AU"/>
        </w:rPr>
        <w:t xml:space="preserve"> </w:t>
      </w:r>
      <w:r>
        <w:rPr>
          <w:rFonts w:asciiTheme="minorHAnsi" w:eastAsiaTheme="minorEastAsia" w:hAnsiTheme="minorHAnsi" w:cs="Arial"/>
          <w:color w:val="000000" w:themeColor="text1"/>
          <w:lang w:val="en-AU"/>
        </w:rPr>
        <w:t xml:space="preserve">that occurred </w:t>
      </w:r>
      <w:r w:rsidRPr="00450D1E">
        <w:rPr>
          <w:rFonts w:asciiTheme="minorHAnsi" w:eastAsiaTheme="minorEastAsia" w:hAnsiTheme="minorHAnsi" w:cs="Arial"/>
          <w:color w:val="000000" w:themeColor="text1"/>
          <w:lang w:val="en-AU"/>
        </w:rPr>
        <w:t>in ≥2% of patients in the TIBSOVO arm were pneumonia, ascites, hyperbilirubin</w:t>
      </w:r>
      <w:r>
        <w:rPr>
          <w:rFonts w:asciiTheme="minorHAnsi" w:eastAsiaTheme="minorEastAsia" w:hAnsiTheme="minorHAnsi" w:cs="Arial"/>
          <w:color w:val="000000" w:themeColor="text1"/>
          <w:lang w:val="en-AU"/>
        </w:rPr>
        <w:t>a</w:t>
      </w:r>
      <w:r w:rsidRPr="00450D1E">
        <w:rPr>
          <w:rFonts w:asciiTheme="minorHAnsi" w:eastAsiaTheme="minorEastAsia" w:hAnsiTheme="minorHAnsi" w:cs="Arial"/>
          <w:color w:val="000000" w:themeColor="text1"/>
          <w:lang w:val="en-AU"/>
        </w:rPr>
        <w:t>emia,</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 xml:space="preserve">and jaundice cholestatic. Fatal adverse </w:t>
      </w:r>
      <w:r w:rsidR="008B08F8">
        <w:rPr>
          <w:rFonts w:asciiTheme="minorHAnsi" w:eastAsiaTheme="minorEastAsia" w:hAnsiTheme="minorHAnsi" w:cs="Arial"/>
          <w:color w:val="000000" w:themeColor="text1"/>
          <w:lang w:val="en-AU"/>
        </w:rPr>
        <w:t>events</w:t>
      </w:r>
      <w:r w:rsidRPr="00450D1E">
        <w:rPr>
          <w:rFonts w:asciiTheme="minorHAnsi" w:eastAsiaTheme="minorEastAsia" w:hAnsiTheme="minorHAnsi" w:cs="Arial"/>
          <w:color w:val="000000" w:themeColor="text1"/>
          <w:lang w:val="en-AU"/>
        </w:rPr>
        <w:t xml:space="preserve"> occurred in 4.9% of patients receiving</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TIBSOVO, including sepsis (1.6%) and pneumonia, intestinal obstruction, pulmonary embolism,</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and hepatic encephalopathy (each 0.8%)</w:t>
      </w:r>
      <w:r>
        <w:rPr>
          <w:rFonts w:asciiTheme="minorHAnsi" w:eastAsiaTheme="minorEastAsia" w:hAnsiTheme="minorHAnsi" w:cs="Arial"/>
          <w:color w:val="000000" w:themeColor="text1"/>
          <w:lang w:val="en-AU"/>
        </w:rPr>
        <w:t>.</w:t>
      </w:r>
    </w:p>
    <w:p w14:paraId="33163ECB" w14:textId="58859B6F" w:rsidR="00450D1E" w:rsidRPr="00450D1E" w:rsidRDefault="00450D1E" w:rsidP="00450D1E">
      <w:pPr>
        <w:widowControl/>
        <w:autoSpaceDE/>
        <w:autoSpaceDN/>
        <w:spacing w:after="200" w:line="276" w:lineRule="auto"/>
        <w:rPr>
          <w:rFonts w:asciiTheme="minorHAnsi" w:eastAsiaTheme="minorEastAsia" w:hAnsiTheme="minorHAnsi" w:cs="Arial"/>
          <w:color w:val="000000" w:themeColor="text1"/>
          <w:lang w:val="en-AU"/>
        </w:rPr>
      </w:pPr>
      <w:r w:rsidRPr="00450D1E">
        <w:rPr>
          <w:rFonts w:asciiTheme="minorHAnsi" w:eastAsiaTheme="minorEastAsia" w:hAnsiTheme="minorHAnsi" w:cs="Arial"/>
          <w:color w:val="000000" w:themeColor="text1"/>
          <w:lang w:val="en-AU"/>
        </w:rPr>
        <w:t xml:space="preserve">TIBSOVO was permanently discontinued in 7% of patients. The most common adverse </w:t>
      </w:r>
      <w:r w:rsidR="008B08F8">
        <w:rPr>
          <w:rFonts w:asciiTheme="minorHAnsi" w:eastAsiaTheme="minorEastAsia" w:hAnsiTheme="minorHAnsi" w:cs="Arial"/>
          <w:color w:val="000000" w:themeColor="text1"/>
          <w:lang w:val="en-AU"/>
        </w:rPr>
        <w:t>event</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leading to permanent discontinuation was acute kidney injury (1.6%).</w:t>
      </w:r>
    </w:p>
    <w:p w14:paraId="502EBAE0" w14:textId="305FD520" w:rsidR="00450D1E" w:rsidRPr="00450D1E" w:rsidRDefault="00450D1E" w:rsidP="00450D1E">
      <w:pPr>
        <w:widowControl/>
        <w:autoSpaceDE/>
        <w:autoSpaceDN/>
        <w:spacing w:after="200" w:line="276" w:lineRule="auto"/>
        <w:rPr>
          <w:rFonts w:asciiTheme="minorHAnsi" w:eastAsiaTheme="minorEastAsia" w:hAnsiTheme="minorHAnsi" w:cs="Arial"/>
          <w:color w:val="000000" w:themeColor="text1"/>
          <w:lang w:val="en-AU"/>
        </w:rPr>
      </w:pPr>
      <w:r w:rsidRPr="00450D1E">
        <w:rPr>
          <w:rFonts w:asciiTheme="minorHAnsi" w:eastAsiaTheme="minorEastAsia" w:hAnsiTheme="minorHAnsi" w:cs="Arial"/>
          <w:color w:val="000000" w:themeColor="text1"/>
          <w:lang w:val="en-AU"/>
        </w:rPr>
        <w:t xml:space="preserve">Dose interruptions due to adverse </w:t>
      </w:r>
      <w:r w:rsidR="008B08F8">
        <w:rPr>
          <w:rFonts w:asciiTheme="minorHAnsi" w:eastAsiaTheme="minorEastAsia" w:hAnsiTheme="minorHAnsi" w:cs="Arial"/>
          <w:color w:val="000000" w:themeColor="text1"/>
          <w:lang w:val="en-AU"/>
        </w:rPr>
        <w:t>events</w:t>
      </w:r>
      <w:r w:rsidRPr="00450D1E">
        <w:rPr>
          <w:rFonts w:asciiTheme="minorHAnsi" w:eastAsiaTheme="minorEastAsia" w:hAnsiTheme="minorHAnsi" w:cs="Arial"/>
          <w:color w:val="000000" w:themeColor="text1"/>
          <w:lang w:val="en-AU"/>
        </w:rPr>
        <w:t xml:space="preserve"> occurred in </w:t>
      </w:r>
      <w:r w:rsidR="004B02D2">
        <w:rPr>
          <w:rFonts w:asciiTheme="minorHAnsi" w:eastAsiaTheme="minorEastAsia" w:hAnsiTheme="minorHAnsi" w:cs="Arial"/>
          <w:color w:val="000000" w:themeColor="text1"/>
          <w:lang w:val="en-AU"/>
        </w:rPr>
        <w:t>30</w:t>
      </w:r>
      <w:r w:rsidRPr="00450D1E">
        <w:rPr>
          <w:rFonts w:asciiTheme="minorHAnsi" w:eastAsiaTheme="minorEastAsia" w:hAnsiTheme="minorHAnsi" w:cs="Arial"/>
          <w:color w:val="000000" w:themeColor="text1"/>
          <w:lang w:val="en-AU"/>
        </w:rPr>
        <w:t>% of patients treated with TIBSOVO.</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 xml:space="preserve">The most common (&gt;2%) adverse </w:t>
      </w:r>
      <w:r w:rsidR="008B08F8">
        <w:rPr>
          <w:rFonts w:asciiTheme="minorHAnsi" w:eastAsiaTheme="minorEastAsia" w:hAnsiTheme="minorHAnsi" w:cs="Arial"/>
          <w:color w:val="000000" w:themeColor="text1"/>
          <w:lang w:val="en-AU"/>
        </w:rPr>
        <w:t>events</w:t>
      </w:r>
      <w:r w:rsidRPr="00450D1E">
        <w:rPr>
          <w:rFonts w:asciiTheme="minorHAnsi" w:eastAsiaTheme="minorEastAsia" w:hAnsiTheme="minorHAnsi" w:cs="Arial"/>
          <w:color w:val="000000" w:themeColor="text1"/>
          <w:lang w:val="en-AU"/>
        </w:rPr>
        <w:t xml:space="preserve"> leading to dose interruption were</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hyperbilirubin</w:t>
      </w:r>
      <w:r>
        <w:rPr>
          <w:rFonts w:asciiTheme="minorHAnsi" w:eastAsiaTheme="minorEastAsia" w:hAnsiTheme="minorHAnsi" w:cs="Arial"/>
          <w:color w:val="000000" w:themeColor="text1"/>
          <w:lang w:val="en-AU"/>
        </w:rPr>
        <w:t>a</w:t>
      </w:r>
      <w:r w:rsidRPr="00450D1E">
        <w:rPr>
          <w:rFonts w:asciiTheme="minorHAnsi" w:eastAsiaTheme="minorEastAsia" w:hAnsiTheme="minorHAnsi" w:cs="Arial"/>
          <w:color w:val="000000" w:themeColor="text1"/>
          <w:lang w:val="en-AU"/>
        </w:rPr>
        <w:t>emia, alanine aminotransferase increased, aspartate aminotransferase increased,</w:t>
      </w:r>
      <w:r>
        <w:rPr>
          <w:rFonts w:asciiTheme="minorHAnsi" w:eastAsiaTheme="minorEastAsia" w:hAnsiTheme="minorHAnsi" w:cs="Arial"/>
          <w:color w:val="000000" w:themeColor="text1"/>
          <w:lang w:val="en-AU"/>
        </w:rPr>
        <w:t xml:space="preserve"> </w:t>
      </w:r>
      <w:r w:rsidRPr="00450D1E">
        <w:rPr>
          <w:rFonts w:asciiTheme="minorHAnsi" w:eastAsiaTheme="minorEastAsia" w:hAnsiTheme="minorHAnsi" w:cs="Arial"/>
          <w:color w:val="000000" w:themeColor="text1"/>
          <w:lang w:val="en-AU"/>
        </w:rPr>
        <w:t>ascites, and fatigue.</w:t>
      </w:r>
    </w:p>
    <w:p w14:paraId="514291B8" w14:textId="08A0BFD5" w:rsidR="00016368" w:rsidRDefault="00450D1E" w:rsidP="00450D1E">
      <w:pPr>
        <w:widowControl/>
        <w:autoSpaceDE/>
        <w:autoSpaceDN/>
        <w:spacing w:after="200" w:line="276" w:lineRule="auto"/>
        <w:rPr>
          <w:rFonts w:asciiTheme="minorHAnsi" w:eastAsiaTheme="minorEastAsia" w:hAnsiTheme="minorHAnsi" w:cs="Arial"/>
          <w:color w:val="000000" w:themeColor="text1"/>
          <w:lang w:val="en-AU"/>
        </w:rPr>
      </w:pPr>
      <w:r w:rsidRPr="00450D1E">
        <w:rPr>
          <w:rFonts w:asciiTheme="minorHAnsi" w:eastAsiaTheme="minorEastAsia" w:hAnsiTheme="minorHAnsi" w:cs="Arial"/>
          <w:color w:val="000000" w:themeColor="text1"/>
          <w:lang w:val="en-AU"/>
        </w:rPr>
        <w:t xml:space="preserve">Dose reductions of TIBSOVO due to an adverse </w:t>
      </w:r>
      <w:r w:rsidR="008B08F8">
        <w:rPr>
          <w:rFonts w:asciiTheme="minorHAnsi" w:eastAsiaTheme="minorEastAsia" w:hAnsiTheme="minorHAnsi" w:cs="Arial"/>
          <w:color w:val="000000" w:themeColor="text1"/>
          <w:lang w:val="en-AU"/>
        </w:rPr>
        <w:t>event</w:t>
      </w:r>
      <w:r w:rsidRPr="00450D1E">
        <w:rPr>
          <w:rFonts w:asciiTheme="minorHAnsi" w:eastAsiaTheme="minorEastAsia" w:hAnsiTheme="minorHAnsi" w:cs="Arial"/>
          <w:color w:val="000000" w:themeColor="text1"/>
          <w:lang w:val="en-AU"/>
        </w:rPr>
        <w:t xml:space="preserve"> occurred in 4% of patients. Adverse</w:t>
      </w:r>
      <w:r w:rsidRPr="00450D1E">
        <w:t xml:space="preserve"> </w:t>
      </w:r>
      <w:r w:rsidR="008B08F8">
        <w:rPr>
          <w:rFonts w:asciiTheme="minorHAnsi" w:eastAsiaTheme="minorEastAsia" w:hAnsiTheme="minorHAnsi" w:cs="Arial"/>
          <w:color w:val="000000" w:themeColor="text1"/>
          <w:lang w:val="en-AU"/>
        </w:rPr>
        <w:t>events</w:t>
      </w:r>
      <w:r w:rsidRPr="00450D1E">
        <w:rPr>
          <w:rFonts w:asciiTheme="minorHAnsi" w:eastAsiaTheme="minorEastAsia" w:hAnsiTheme="minorHAnsi" w:cs="Arial"/>
          <w:color w:val="000000" w:themeColor="text1"/>
          <w:lang w:val="en-AU"/>
        </w:rPr>
        <w:t xml:space="preserve"> leading to dose reduction were electrocardiogram QT prolonged (3.3%) and neuropathy</w:t>
      </w:r>
      <w:r w:rsidRPr="00450D1E">
        <w:rPr>
          <w:rFonts w:ascii="TimesNewRomanPSMT" w:eastAsiaTheme="minorHAnsi" w:hAnsi="TimesNewRomanPSMT" w:cs="TimesNewRomanPSMT"/>
          <w:sz w:val="24"/>
          <w:szCs w:val="24"/>
          <w:lang w:val="en-AU"/>
        </w:rPr>
        <w:t xml:space="preserve"> </w:t>
      </w:r>
      <w:r w:rsidRPr="00450D1E">
        <w:rPr>
          <w:rFonts w:asciiTheme="minorHAnsi" w:eastAsiaTheme="minorEastAsia" w:hAnsiTheme="minorHAnsi" w:cs="Arial"/>
          <w:color w:val="000000" w:themeColor="text1"/>
          <w:lang w:val="en-AU"/>
        </w:rPr>
        <w:t>peripheral (0.8%).</w:t>
      </w:r>
    </w:p>
    <w:p w14:paraId="19EBF9EA" w14:textId="77777777" w:rsidR="00016368" w:rsidRDefault="00016368">
      <w:pPr>
        <w:rPr>
          <w:rFonts w:asciiTheme="minorHAnsi" w:eastAsiaTheme="minorEastAsia" w:hAnsiTheme="minorHAnsi" w:cs="Arial"/>
          <w:color w:val="000000" w:themeColor="text1"/>
          <w:lang w:val="en-AU"/>
        </w:rPr>
      </w:pPr>
      <w:r>
        <w:rPr>
          <w:rFonts w:asciiTheme="minorHAnsi" w:eastAsiaTheme="minorEastAsia" w:hAnsiTheme="minorHAnsi" w:cs="Arial"/>
          <w:color w:val="000000" w:themeColor="text1"/>
          <w:lang w:val="en-AU"/>
        </w:rPr>
        <w:br w:type="page"/>
      </w:r>
    </w:p>
    <w:p w14:paraId="15A9E1B6" w14:textId="42FF9681" w:rsidR="00F50D3D" w:rsidRDefault="00331BE6" w:rsidP="00331BE6">
      <w:pPr>
        <w:pStyle w:val="Caption"/>
        <w:rPr>
          <w:rFonts w:asciiTheme="minorHAnsi" w:eastAsiaTheme="minorHAnsi" w:hAnsiTheme="minorHAnsi" w:cs="Arial"/>
          <w:b/>
          <w:i w:val="0"/>
          <w:iCs w:val="0"/>
          <w:color w:val="000000" w:themeColor="text1"/>
          <w:sz w:val="22"/>
          <w:szCs w:val="22"/>
          <w:lang w:val="en-AU"/>
        </w:rPr>
      </w:pPr>
      <w:bookmarkStart w:id="12" w:name="_Ref124889426"/>
      <w:bookmarkStart w:id="13" w:name="_Ref101218459"/>
      <w:r w:rsidRPr="00331BE6">
        <w:rPr>
          <w:rFonts w:asciiTheme="minorHAnsi" w:eastAsiaTheme="minorHAnsi" w:hAnsiTheme="minorHAnsi" w:cs="Arial"/>
          <w:b/>
          <w:i w:val="0"/>
          <w:iCs w:val="0"/>
          <w:color w:val="000000" w:themeColor="text1"/>
          <w:sz w:val="22"/>
          <w:szCs w:val="22"/>
          <w:lang w:val="en-AU"/>
        </w:rPr>
        <w:lastRenderedPageBreak/>
        <w:t xml:space="preserve">Table </w:t>
      </w:r>
      <w:r w:rsidRPr="00331BE6">
        <w:rPr>
          <w:rFonts w:asciiTheme="minorHAnsi" w:eastAsiaTheme="minorHAnsi" w:hAnsiTheme="minorHAnsi" w:cs="Arial"/>
          <w:b/>
          <w:i w:val="0"/>
          <w:iCs w:val="0"/>
          <w:color w:val="000000" w:themeColor="text1"/>
          <w:sz w:val="22"/>
          <w:szCs w:val="22"/>
          <w:lang w:val="en-AU"/>
        </w:rPr>
        <w:fldChar w:fldCharType="begin"/>
      </w:r>
      <w:r w:rsidRPr="00331BE6">
        <w:rPr>
          <w:rFonts w:asciiTheme="minorHAnsi" w:eastAsiaTheme="minorHAnsi" w:hAnsiTheme="minorHAnsi" w:cs="Arial"/>
          <w:b/>
          <w:i w:val="0"/>
          <w:iCs w:val="0"/>
          <w:color w:val="000000" w:themeColor="text1"/>
          <w:sz w:val="22"/>
          <w:szCs w:val="22"/>
          <w:lang w:val="en-AU"/>
        </w:rPr>
        <w:instrText xml:space="preserve"> SEQ Table \* ARABIC </w:instrText>
      </w:r>
      <w:r w:rsidRPr="00331BE6">
        <w:rPr>
          <w:rFonts w:asciiTheme="minorHAnsi" w:eastAsiaTheme="minorHAnsi" w:hAnsiTheme="minorHAnsi" w:cs="Arial"/>
          <w:b/>
          <w:i w:val="0"/>
          <w:iCs w:val="0"/>
          <w:color w:val="000000" w:themeColor="text1"/>
          <w:sz w:val="22"/>
          <w:szCs w:val="22"/>
          <w:lang w:val="en-AU"/>
        </w:rPr>
        <w:fldChar w:fldCharType="separate"/>
      </w:r>
      <w:r w:rsidR="00C17B0F">
        <w:rPr>
          <w:rFonts w:asciiTheme="minorHAnsi" w:eastAsiaTheme="minorHAnsi" w:hAnsiTheme="minorHAnsi" w:cs="Arial"/>
          <w:b/>
          <w:i w:val="0"/>
          <w:iCs w:val="0"/>
          <w:noProof/>
          <w:color w:val="000000" w:themeColor="text1"/>
          <w:sz w:val="22"/>
          <w:szCs w:val="22"/>
          <w:lang w:val="en-AU"/>
        </w:rPr>
        <w:t>3</w:t>
      </w:r>
      <w:r w:rsidRPr="00331BE6">
        <w:rPr>
          <w:rFonts w:asciiTheme="minorHAnsi" w:eastAsiaTheme="minorHAnsi" w:hAnsiTheme="minorHAnsi" w:cs="Arial"/>
          <w:b/>
          <w:i w:val="0"/>
          <w:iCs w:val="0"/>
          <w:color w:val="000000" w:themeColor="text1"/>
          <w:sz w:val="22"/>
          <w:szCs w:val="22"/>
          <w:lang w:val="en-AU"/>
        </w:rPr>
        <w:fldChar w:fldCharType="end"/>
      </w:r>
      <w:bookmarkEnd w:id="12"/>
      <w:r w:rsidR="00B244DB" w:rsidRPr="00AF2BF6">
        <w:rPr>
          <w:rFonts w:asciiTheme="minorHAnsi" w:eastAsiaTheme="minorHAnsi" w:hAnsiTheme="minorHAnsi" w:cs="Arial"/>
          <w:b/>
          <w:i w:val="0"/>
          <w:iCs w:val="0"/>
          <w:color w:val="000000" w:themeColor="text1"/>
          <w:sz w:val="22"/>
          <w:szCs w:val="22"/>
          <w:lang w:val="en-AU"/>
        </w:rPr>
        <w:t xml:space="preserve"> - </w:t>
      </w:r>
      <w:bookmarkEnd w:id="13"/>
      <w:r w:rsidR="00C56D2F" w:rsidRPr="00AF2BF6">
        <w:rPr>
          <w:rFonts w:asciiTheme="minorHAnsi" w:eastAsiaTheme="minorHAnsi" w:hAnsiTheme="minorHAnsi" w:cs="Arial"/>
          <w:b/>
          <w:i w:val="0"/>
          <w:iCs w:val="0"/>
          <w:color w:val="000000" w:themeColor="text1"/>
          <w:sz w:val="22"/>
          <w:szCs w:val="22"/>
          <w:lang w:val="en-AU"/>
        </w:rPr>
        <w:t xml:space="preserve">Adverse </w:t>
      </w:r>
      <w:r w:rsidR="008B08F8">
        <w:rPr>
          <w:rFonts w:asciiTheme="minorHAnsi" w:eastAsiaTheme="minorHAnsi" w:hAnsiTheme="minorHAnsi" w:cs="Arial"/>
          <w:b/>
          <w:i w:val="0"/>
          <w:iCs w:val="0"/>
          <w:color w:val="000000" w:themeColor="text1"/>
          <w:sz w:val="22"/>
          <w:szCs w:val="22"/>
          <w:lang w:val="en-AU"/>
        </w:rPr>
        <w:t>events</w:t>
      </w:r>
      <w:r w:rsidR="008B08F8" w:rsidRPr="00AF2BF6">
        <w:rPr>
          <w:rFonts w:asciiTheme="minorHAnsi" w:eastAsiaTheme="minorHAnsi" w:hAnsiTheme="minorHAnsi" w:cs="Arial"/>
          <w:b/>
          <w:i w:val="0"/>
          <w:iCs w:val="0"/>
          <w:color w:val="000000" w:themeColor="text1"/>
          <w:sz w:val="22"/>
          <w:szCs w:val="22"/>
          <w:lang w:val="en-AU"/>
        </w:rPr>
        <w:t xml:space="preserve"> </w:t>
      </w:r>
      <w:r w:rsidR="00C56D2F" w:rsidRPr="00AF2BF6">
        <w:rPr>
          <w:rFonts w:asciiTheme="minorHAnsi" w:eastAsiaTheme="minorHAnsi" w:hAnsiTheme="minorHAnsi" w:cs="Arial"/>
          <w:b/>
          <w:i w:val="0"/>
          <w:iCs w:val="0"/>
          <w:color w:val="000000" w:themeColor="text1"/>
          <w:sz w:val="22"/>
          <w:szCs w:val="22"/>
          <w:lang w:val="en-AU"/>
        </w:rPr>
        <w:t xml:space="preserve">reported in </w:t>
      </w:r>
      <w:r w:rsidR="00282830">
        <w:rPr>
          <w:rFonts w:asciiTheme="minorHAnsi" w:eastAsiaTheme="minorHAnsi" w:hAnsiTheme="minorHAnsi" w:cs="Arial"/>
          <w:b/>
          <w:i w:val="0"/>
          <w:iCs w:val="0"/>
          <w:color w:val="000000" w:themeColor="text1"/>
          <w:sz w:val="22"/>
          <w:szCs w:val="22"/>
          <w:lang w:val="en-AU"/>
        </w:rPr>
        <w:t xml:space="preserve">at least 10% of </w:t>
      </w:r>
      <w:r w:rsidR="00C56D2F" w:rsidRPr="00AF2BF6">
        <w:rPr>
          <w:rFonts w:asciiTheme="minorHAnsi" w:eastAsiaTheme="minorHAnsi" w:hAnsiTheme="minorHAnsi" w:cs="Arial"/>
          <w:b/>
          <w:i w:val="0"/>
          <w:iCs w:val="0"/>
          <w:color w:val="000000" w:themeColor="text1"/>
          <w:sz w:val="22"/>
          <w:szCs w:val="22"/>
          <w:lang w:val="en-AU"/>
        </w:rPr>
        <w:t xml:space="preserve">patients with </w:t>
      </w:r>
      <w:r w:rsidR="00282830">
        <w:rPr>
          <w:rFonts w:asciiTheme="minorHAnsi" w:eastAsiaTheme="minorHAnsi" w:hAnsiTheme="minorHAnsi" w:cs="Arial"/>
          <w:b/>
          <w:i w:val="0"/>
          <w:iCs w:val="0"/>
          <w:color w:val="000000" w:themeColor="text1"/>
          <w:sz w:val="22"/>
          <w:szCs w:val="22"/>
          <w:lang w:val="en-AU"/>
        </w:rPr>
        <w:t>l</w:t>
      </w:r>
      <w:r w:rsidR="00C56D2F" w:rsidRPr="00AF2BF6">
        <w:rPr>
          <w:rFonts w:asciiTheme="minorHAnsi" w:eastAsiaTheme="minorHAnsi" w:hAnsiTheme="minorHAnsi" w:cs="Arial"/>
          <w:b/>
          <w:i w:val="0"/>
          <w:iCs w:val="0"/>
          <w:color w:val="000000" w:themeColor="text1"/>
          <w:sz w:val="22"/>
          <w:szCs w:val="22"/>
          <w:lang w:val="en-AU"/>
        </w:rPr>
        <w:t xml:space="preserve">ocally </w:t>
      </w:r>
      <w:r w:rsidR="00282830">
        <w:rPr>
          <w:rFonts w:asciiTheme="minorHAnsi" w:eastAsiaTheme="minorHAnsi" w:hAnsiTheme="minorHAnsi" w:cs="Arial"/>
          <w:b/>
          <w:i w:val="0"/>
          <w:iCs w:val="0"/>
          <w:color w:val="000000" w:themeColor="text1"/>
          <w:sz w:val="22"/>
          <w:szCs w:val="22"/>
          <w:lang w:val="en-AU"/>
        </w:rPr>
        <w:t>a</w:t>
      </w:r>
      <w:r w:rsidR="00C56D2F" w:rsidRPr="00AF2BF6">
        <w:rPr>
          <w:rFonts w:asciiTheme="minorHAnsi" w:eastAsiaTheme="minorHAnsi" w:hAnsiTheme="minorHAnsi" w:cs="Arial"/>
          <w:b/>
          <w:i w:val="0"/>
          <w:iCs w:val="0"/>
          <w:color w:val="000000" w:themeColor="text1"/>
          <w:sz w:val="22"/>
          <w:szCs w:val="22"/>
          <w:lang w:val="en-AU"/>
        </w:rPr>
        <w:t xml:space="preserve">dvanced or </w:t>
      </w:r>
      <w:r w:rsidR="00282830">
        <w:rPr>
          <w:rFonts w:asciiTheme="minorHAnsi" w:eastAsiaTheme="minorHAnsi" w:hAnsiTheme="minorHAnsi" w:cs="Arial"/>
          <w:b/>
          <w:i w:val="0"/>
          <w:iCs w:val="0"/>
          <w:color w:val="000000" w:themeColor="text1"/>
          <w:sz w:val="22"/>
          <w:szCs w:val="22"/>
          <w:lang w:val="en-AU"/>
        </w:rPr>
        <w:t>m</w:t>
      </w:r>
      <w:r w:rsidR="00C56D2F" w:rsidRPr="00AF2BF6">
        <w:rPr>
          <w:rFonts w:asciiTheme="minorHAnsi" w:eastAsiaTheme="minorHAnsi" w:hAnsiTheme="minorHAnsi" w:cs="Arial"/>
          <w:b/>
          <w:i w:val="0"/>
          <w:iCs w:val="0"/>
          <w:color w:val="000000" w:themeColor="text1"/>
          <w:sz w:val="22"/>
          <w:szCs w:val="22"/>
          <w:lang w:val="en-AU"/>
        </w:rPr>
        <w:t xml:space="preserve">etastatic </w:t>
      </w:r>
      <w:r w:rsidR="00282830">
        <w:rPr>
          <w:rFonts w:asciiTheme="minorHAnsi" w:eastAsiaTheme="minorHAnsi" w:hAnsiTheme="minorHAnsi" w:cs="Arial"/>
          <w:b/>
          <w:i w:val="0"/>
          <w:iCs w:val="0"/>
          <w:color w:val="000000" w:themeColor="text1"/>
          <w:sz w:val="22"/>
          <w:szCs w:val="22"/>
          <w:lang w:val="en-AU"/>
        </w:rPr>
        <w:t>c</w:t>
      </w:r>
      <w:r w:rsidR="00C56D2F" w:rsidRPr="00AF2BF6">
        <w:rPr>
          <w:rFonts w:asciiTheme="minorHAnsi" w:eastAsiaTheme="minorHAnsi" w:hAnsiTheme="minorHAnsi" w:cs="Arial"/>
          <w:b/>
          <w:i w:val="0"/>
          <w:iCs w:val="0"/>
          <w:color w:val="000000" w:themeColor="text1"/>
          <w:sz w:val="22"/>
          <w:szCs w:val="22"/>
          <w:lang w:val="en-AU"/>
        </w:rPr>
        <w:t xml:space="preserve">holangiocarcinoma </w:t>
      </w:r>
      <w:r w:rsidR="00282830">
        <w:rPr>
          <w:rFonts w:asciiTheme="minorHAnsi" w:eastAsiaTheme="minorHAnsi" w:hAnsiTheme="minorHAnsi" w:cs="Arial"/>
          <w:b/>
          <w:i w:val="0"/>
          <w:iCs w:val="0"/>
          <w:color w:val="000000" w:themeColor="text1"/>
          <w:sz w:val="22"/>
          <w:szCs w:val="22"/>
          <w:lang w:val="en-AU"/>
        </w:rPr>
        <w:t>receiving</w:t>
      </w:r>
      <w:r w:rsidR="00C56D2F" w:rsidRPr="00AF2BF6">
        <w:rPr>
          <w:rFonts w:asciiTheme="minorHAnsi" w:eastAsiaTheme="minorHAnsi" w:hAnsiTheme="minorHAnsi" w:cs="Arial"/>
          <w:b/>
          <w:i w:val="0"/>
          <w:iCs w:val="0"/>
          <w:color w:val="000000" w:themeColor="text1"/>
          <w:sz w:val="22"/>
          <w:szCs w:val="22"/>
          <w:lang w:val="en-AU"/>
        </w:rPr>
        <w:t xml:space="preserve"> ivosidenib in clinical Study AG120-C-005</w:t>
      </w:r>
    </w:p>
    <w:tbl>
      <w:tblPr>
        <w:tblW w:w="952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3232"/>
        <w:gridCol w:w="10"/>
        <w:gridCol w:w="1565"/>
        <w:gridCol w:w="11"/>
        <w:gridCol w:w="1661"/>
        <w:gridCol w:w="10"/>
        <w:gridCol w:w="1479"/>
        <w:gridCol w:w="11"/>
        <w:gridCol w:w="1527"/>
        <w:gridCol w:w="11"/>
      </w:tblGrid>
      <w:tr w:rsidR="004D2FBC" w:rsidRPr="00677D4B" w14:paraId="7B6B5E63" w14:textId="77777777" w:rsidTr="004D2FBC">
        <w:trPr>
          <w:gridBefore w:val="1"/>
          <w:wBefore w:w="9" w:type="dxa"/>
          <w:tblHeader/>
        </w:trPr>
        <w:tc>
          <w:tcPr>
            <w:tcW w:w="3242" w:type="dxa"/>
            <w:gridSpan w:val="2"/>
            <w:tcBorders>
              <w:top w:val="single" w:sz="4" w:space="0" w:color="000000"/>
              <w:left w:val="single" w:sz="4" w:space="0" w:color="000000"/>
              <w:bottom w:val="single" w:sz="4" w:space="0" w:color="000000"/>
              <w:right w:val="single" w:sz="4" w:space="0" w:color="000000"/>
            </w:tcBorders>
            <w:vAlign w:val="center"/>
          </w:tcPr>
          <w:p w14:paraId="62A3E021" w14:textId="77777777" w:rsidR="004D2FBC" w:rsidRPr="004D2FBC" w:rsidRDefault="004D2FBC" w:rsidP="004D2FBC">
            <w:pPr>
              <w:pStyle w:val="TableParagraph"/>
              <w:spacing w:before="40" w:after="40"/>
              <w:ind w:left="0"/>
              <w:rPr>
                <w:rFonts w:asciiTheme="minorHAnsi" w:hAnsiTheme="minorHAnsi" w:cstheme="minorHAnsi"/>
                <w:b/>
                <w:bCs/>
              </w:rPr>
            </w:pPr>
            <w:r w:rsidRPr="004D2FBC">
              <w:rPr>
                <w:rFonts w:asciiTheme="minorHAnsi" w:hAnsiTheme="minorHAnsi" w:cstheme="minorHAnsi"/>
                <w:b/>
                <w:bCs/>
              </w:rPr>
              <w:t>Body System / Adverse Event</w:t>
            </w:r>
          </w:p>
        </w:tc>
        <w:tc>
          <w:tcPr>
            <w:tcW w:w="3247" w:type="dxa"/>
            <w:gridSpan w:val="4"/>
            <w:tcBorders>
              <w:top w:val="single" w:sz="4" w:space="0" w:color="000000"/>
              <w:left w:val="single" w:sz="4" w:space="0" w:color="000000"/>
              <w:bottom w:val="single" w:sz="4" w:space="0" w:color="000000"/>
              <w:right w:val="single" w:sz="4" w:space="0" w:color="000000"/>
            </w:tcBorders>
          </w:tcPr>
          <w:p w14:paraId="43DA32CC" w14:textId="77777777" w:rsidR="004D2FBC" w:rsidRPr="004D2FBC" w:rsidRDefault="004D2FBC" w:rsidP="004D2FBC">
            <w:pPr>
              <w:pStyle w:val="TableParagraph"/>
              <w:spacing w:before="40" w:after="40"/>
              <w:ind w:left="0"/>
              <w:jc w:val="center"/>
              <w:rPr>
                <w:rFonts w:asciiTheme="minorHAnsi" w:hAnsiTheme="minorHAnsi" w:cstheme="minorHAnsi"/>
                <w:b/>
              </w:rPr>
            </w:pPr>
            <w:r w:rsidRPr="004D2FBC">
              <w:rPr>
                <w:rFonts w:asciiTheme="minorHAnsi" w:hAnsiTheme="minorHAnsi" w:cstheme="minorHAnsi"/>
                <w:b/>
              </w:rPr>
              <w:t>TIBSOVO (500 mg daily)</w:t>
            </w:r>
          </w:p>
          <w:p w14:paraId="24DB89AA" w14:textId="77777777" w:rsidR="004D2FBC" w:rsidRPr="004D2FBC" w:rsidRDefault="004D2FBC" w:rsidP="004D2FBC">
            <w:pPr>
              <w:pStyle w:val="TableParagraph"/>
              <w:spacing w:before="40" w:after="40"/>
              <w:ind w:left="0"/>
              <w:jc w:val="center"/>
              <w:rPr>
                <w:rFonts w:asciiTheme="minorHAnsi" w:hAnsiTheme="minorHAnsi" w:cstheme="minorHAnsi"/>
                <w:b/>
              </w:rPr>
            </w:pPr>
            <w:r w:rsidRPr="004D2FBC">
              <w:rPr>
                <w:rFonts w:asciiTheme="minorHAnsi" w:hAnsiTheme="minorHAnsi" w:cstheme="minorHAnsi"/>
                <w:b/>
              </w:rPr>
              <w:t>N=123</w:t>
            </w:r>
          </w:p>
          <w:p w14:paraId="153CF229" w14:textId="77777777" w:rsidR="004D2FBC" w:rsidRPr="00677D4B" w:rsidRDefault="004D2FBC" w:rsidP="004D2FBC">
            <w:pPr>
              <w:pStyle w:val="TableParagraph"/>
              <w:spacing w:before="40" w:after="40"/>
              <w:ind w:left="0"/>
              <w:jc w:val="center"/>
              <w:rPr>
                <w:rFonts w:asciiTheme="minorHAnsi" w:hAnsiTheme="minorHAnsi" w:cstheme="minorHAnsi"/>
                <w:b/>
              </w:rPr>
            </w:pPr>
            <w:r w:rsidRPr="004D2FBC">
              <w:rPr>
                <w:rFonts w:asciiTheme="minorHAnsi" w:hAnsiTheme="minorHAnsi" w:cstheme="minorHAnsi"/>
                <w:b/>
              </w:rPr>
              <w:t xml:space="preserve">All Grades              Grade ≥ 3 </w:t>
            </w:r>
            <w:r w:rsidRPr="004D2FBC">
              <w:rPr>
                <w:rFonts w:asciiTheme="minorHAnsi" w:hAnsiTheme="minorHAnsi" w:cstheme="minorHAnsi"/>
                <w:b/>
              </w:rPr>
              <w:br/>
              <w:t xml:space="preserve">   n (%)                        n (%)</w:t>
            </w:r>
          </w:p>
        </w:tc>
        <w:tc>
          <w:tcPr>
            <w:tcW w:w="3028" w:type="dxa"/>
            <w:gridSpan w:val="4"/>
            <w:tcBorders>
              <w:top w:val="single" w:sz="4" w:space="0" w:color="000000"/>
              <w:left w:val="single" w:sz="4" w:space="0" w:color="000000"/>
              <w:bottom w:val="single" w:sz="4" w:space="0" w:color="000000"/>
              <w:right w:val="single" w:sz="4" w:space="0" w:color="000000"/>
            </w:tcBorders>
          </w:tcPr>
          <w:p w14:paraId="5E22D999" w14:textId="77777777" w:rsidR="004D2FBC" w:rsidRPr="004D2FBC" w:rsidRDefault="004D2FBC" w:rsidP="004D2FBC">
            <w:pPr>
              <w:pStyle w:val="TableParagraph"/>
              <w:spacing w:before="40" w:after="40"/>
              <w:ind w:left="0"/>
              <w:jc w:val="center"/>
              <w:rPr>
                <w:rFonts w:asciiTheme="minorHAnsi" w:hAnsiTheme="minorHAnsi" w:cstheme="minorHAnsi"/>
                <w:b/>
              </w:rPr>
            </w:pPr>
            <w:r w:rsidRPr="004D2FBC">
              <w:rPr>
                <w:rFonts w:asciiTheme="minorHAnsi" w:hAnsiTheme="minorHAnsi" w:cstheme="minorHAnsi"/>
                <w:b/>
              </w:rPr>
              <w:t>Placebo</w:t>
            </w:r>
          </w:p>
          <w:p w14:paraId="7A02A017" w14:textId="77777777" w:rsidR="004D2FBC" w:rsidRPr="004D2FBC" w:rsidRDefault="004D2FBC" w:rsidP="004D2FBC">
            <w:pPr>
              <w:pStyle w:val="TableParagraph"/>
              <w:spacing w:before="40" w:after="40"/>
              <w:ind w:left="0"/>
              <w:jc w:val="center"/>
              <w:rPr>
                <w:rFonts w:asciiTheme="minorHAnsi" w:hAnsiTheme="minorHAnsi" w:cstheme="minorHAnsi"/>
                <w:b/>
              </w:rPr>
            </w:pPr>
            <w:r w:rsidRPr="004D2FBC">
              <w:rPr>
                <w:rFonts w:asciiTheme="minorHAnsi" w:hAnsiTheme="minorHAnsi" w:cstheme="minorHAnsi"/>
                <w:b/>
              </w:rPr>
              <w:t>N=59</w:t>
            </w:r>
          </w:p>
          <w:p w14:paraId="51C48692" w14:textId="0F02B9E3" w:rsidR="004D2FBC" w:rsidRPr="00677D4B" w:rsidRDefault="004D2FBC" w:rsidP="004D2FBC">
            <w:pPr>
              <w:pStyle w:val="TableParagraph"/>
              <w:spacing w:before="40" w:after="40"/>
              <w:ind w:left="0"/>
              <w:jc w:val="center"/>
              <w:rPr>
                <w:rFonts w:asciiTheme="minorHAnsi" w:hAnsiTheme="minorHAnsi" w:cstheme="minorHAnsi"/>
                <w:b/>
              </w:rPr>
            </w:pPr>
            <w:r w:rsidRPr="004D2FBC">
              <w:rPr>
                <w:rFonts w:asciiTheme="minorHAnsi" w:hAnsiTheme="minorHAnsi" w:cstheme="minorHAnsi"/>
                <w:b/>
              </w:rPr>
              <w:t xml:space="preserve">All Grades            Grade ≥ 3 </w:t>
            </w:r>
            <w:r w:rsidRPr="004D2FBC">
              <w:rPr>
                <w:rFonts w:asciiTheme="minorHAnsi" w:hAnsiTheme="minorHAnsi" w:cstheme="minorHAnsi"/>
                <w:b/>
              </w:rPr>
              <w:br/>
              <w:t xml:space="preserve">    n (%)                      n (%)</w:t>
            </w:r>
          </w:p>
        </w:tc>
      </w:tr>
      <w:tr w:rsidR="00741A38" w:rsidRPr="00677D4B" w14:paraId="6710AD0B" w14:textId="77777777" w:rsidTr="005C7260">
        <w:trPr>
          <w:gridBefore w:val="1"/>
          <w:wBefore w:w="9" w:type="dxa"/>
          <w:tblHeader/>
        </w:trPr>
        <w:tc>
          <w:tcPr>
            <w:tcW w:w="9517" w:type="dxa"/>
            <w:gridSpan w:val="10"/>
          </w:tcPr>
          <w:p w14:paraId="15684453" w14:textId="77777777" w:rsidR="009F5DE1" w:rsidRPr="00677D4B" w:rsidRDefault="009F5DE1" w:rsidP="00215D9E">
            <w:pPr>
              <w:pStyle w:val="TableParagraph"/>
              <w:spacing w:before="40" w:after="40" w:line="253" w:lineRule="exact"/>
              <w:rPr>
                <w:rFonts w:asciiTheme="minorHAnsi" w:hAnsiTheme="minorHAnsi" w:cstheme="minorHAnsi"/>
                <w:b/>
              </w:rPr>
            </w:pPr>
            <w:r w:rsidRPr="00677D4B">
              <w:rPr>
                <w:rFonts w:asciiTheme="minorHAnsi" w:hAnsiTheme="minorHAnsi" w:cstheme="minorHAnsi"/>
                <w:b/>
              </w:rPr>
              <w:t>General disorders and administration site conditions</w:t>
            </w:r>
          </w:p>
        </w:tc>
      </w:tr>
      <w:tr w:rsidR="00741A38" w:rsidRPr="00677D4B" w14:paraId="327DAC94" w14:textId="77777777" w:rsidTr="005C7260">
        <w:trPr>
          <w:gridBefore w:val="1"/>
          <w:wBefore w:w="9" w:type="dxa"/>
          <w:tblHeader/>
        </w:trPr>
        <w:tc>
          <w:tcPr>
            <w:tcW w:w="3242" w:type="dxa"/>
            <w:gridSpan w:val="2"/>
          </w:tcPr>
          <w:p w14:paraId="34956122" w14:textId="77777777"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Fatigue</w:t>
            </w:r>
            <w:r w:rsidRPr="00677D4B">
              <w:rPr>
                <w:rFonts w:asciiTheme="minorHAnsi" w:hAnsiTheme="minorHAnsi" w:cstheme="minorHAnsi"/>
                <w:vertAlign w:val="superscript"/>
              </w:rPr>
              <w:t>1</w:t>
            </w:r>
          </w:p>
        </w:tc>
        <w:tc>
          <w:tcPr>
            <w:tcW w:w="1576" w:type="dxa"/>
            <w:gridSpan w:val="2"/>
          </w:tcPr>
          <w:p w14:paraId="61BC2F1D" w14:textId="77777777" w:rsidR="009F5DE1" w:rsidRPr="00677D4B" w:rsidRDefault="009F5DE1" w:rsidP="00215D9E">
            <w:pPr>
              <w:pStyle w:val="TableParagraph"/>
              <w:spacing w:before="40" w:after="40"/>
              <w:ind w:left="440"/>
              <w:rPr>
                <w:rFonts w:asciiTheme="minorHAnsi" w:hAnsiTheme="minorHAnsi" w:cstheme="minorHAnsi"/>
              </w:rPr>
            </w:pPr>
            <w:r w:rsidRPr="00677D4B">
              <w:rPr>
                <w:rFonts w:asciiTheme="minorHAnsi" w:hAnsiTheme="minorHAnsi" w:cstheme="minorHAnsi"/>
              </w:rPr>
              <w:t>53 (43)</w:t>
            </w:r>
          </w:p>
        </w:tc>
        <w:tc>
          <w:tcPr>
            <w:tcW w:w="1671" w:type="dxa"/>
            <w:gridSpan w:val="2"/>
          </w:tcPr>
          <w:p w14:paraId="0B685C9B" w14:textId="77777777" w:rsidR="009F5DE1" w:rsidRPr="00677D4B" w:rsidRDefault="009F5DE1" w:rsidP="00215D9E">
            <w:pPr>
              <w:pStyle w:val="TableParagraph"/>
              <w:spacing w:before="40" w:after="40"/>
              <w:ind w:left="527" w:right="499"/>
              <w:jc w:val="center"/>
              <w:rPr>
                <w:rFonts w:asciiTheme="minorHAnsi" w:hAnsiTheme="minorHAnsi" w:cstheme="minorHAnsi"/>
              </w:rPr>
            </w:pPr>
            <w:r w:rsidRPr="00677D4B">
              <w:rPr>
                <w:rFonts w:asciiTheme="minorHAnsi" w:hAnsiTheme="minorHAnsi" w:cstheme="minorHAnsi"/>
              </w:rPr>
              <w:t>4 (3)</w:t>
            </w:r>
          </w:p>
        </w:tc>
        <w:tc>
          <w:tcPr>
            <w:tcW w:w="1490" w:type="dxa"/>
            <w:gridSpan w:val="2"/>
          </w:tcPr>
          <w:p w14:paraId="3DB55D75" w14:textId="77777777" w:rsidR="009F5DE1" w:rsidRPr="00677D4B" w:rsidRDefault="009F5DE1" w:rsidP="00215D9E">
            <w:pPr>
              <w:pStyle w:val="TableParagraph"/>
              <w:spacing w:before="40" w:after="40"/>
              <w:ind w:left="369" w:right="343"/>
              <w:jc w:val="center"/>
              <w:rPr>
                <w:rFonts w:asciiTheme="minorHAnsi" w:hAnsiTheme="minorHAnsi" w:cstheme="minorHAnsi"/>
              </w:rPr>
            </w:pPr>
            <w:r w:rsidRPr="00677D4B">
              <w:rPr>
                <w:rFonts w:asciiTheme="minorHAnsi" w:hAnsiTheme="minorHAnsi" w:cstheme="minorHAnsi"/>
              </w:rPr>
              <w:t>18 (31)</w:t>
            </w:r>
          </w:p>
        </w:tc>
        <w:tc>
          <w:tcPr>
            <w:tcW w:w="1538" w:type="dxa"/>
            <w:gridSpan w:val="2"/>
          </w:tcPr>
          <w:p w14:paraId="71CF1F5A" w14:textId="77777777" w:rsidR="009F5DE1" w:rsidRPr="00677D4B" w:rsidRDefault="009F5DE1" w:rsidP="00215D9E">
            <w:pPr>
              <w:pStyle w:val="TableParagraph"/>
              <w:spacing w:before="40" w:after="40"/>
              <w:ind w:left="497" w:right="481"/>
              <w:jc w:val="center"/>
              <w:rPr>
                <w:rFonts w:asciiTheme="minorHAnsi" w:hAnsiTheme="minorHAnsi" w:cstheme="minorHAnsi"/>
              </w:rPr>
            </w:pPr>
            <w:r w:rsidRPr="00677D4B">
              <w:rPr>
                <w:rFonts w:asciiTheme="minorHAnsi" w:hAnsiTheme="minorHAnsi" w:cstheme="minorHAnsi"/>
              </w:rPr>
              <w:t>3 (5)</w:t>
            </w:r>
          </w:p>
        </w:tc>
      </w:tr>
      <w:tr w:rsidR="00741A38" w:rsidRPr="00677D4B" w14:paraId="6908B491" w14:textId="77777777" w:rsidTr="005C7260">
        <w:trPr>
          <w:gridBefore w:val="1"/>
          <w:wBefore w:w="9" w:type="dxa"/>
          <w:tblHeader/>
        </w:trPr>
        <w:tc>
          <w:tcPr>
            <w:tcW w:w="9517" w:type="dxa"/>
            <w:gridSpan w:val="10"/>
          </w:tcPr>
          <w:p w14:paraId="47235E9C" w14:textId="77777777" w:rsidR="009F5DE1" w:rsidRPr="00677D4B" w:rsidRDefault="009F5DE1" w:rsidP="00215D9E">
            <w:pPr>
              <w:pStyle w:val="TableParagraph"/>
              <w:spacing w:before="40" w:after="40" w:line="254" w:lineRule="exact"/>
              <w:rPr>
                <w:rFonts w:asciiTheme="minorHAnsi" w:hAnsiTheme="minorHAnsi" w:cstheme="minorHAnsi"/>
                <w:b/>
              </w:rPr>
            </w:pPr>
            <w:r w:rsidRPr="00677D4B">
              <w:rPr>
                <w:rFonts w:asciiTheme="minorHAnsi" w:hAnsiTheme="minorHAnsi" w:cstheme="minorHAnsi"/>
                <w:b/>
              </w:rPr>
              <w:t>Gastrointestinal disorders</w:t>
            </w:r>
          </w:p>
        </w:tc>
      </w:tr>
      <w:tr w:rsidR="00741A38" w:rsidRPr="00677D4B" w14:paraId="397DF094" w14:textId="77777777" w:rsidTr="005C7260">
        <w:trPr>
          <w:gridBefore w:val="1"/>
          <w:wBefore w:w="9" w:type="dxa"/>
          <w:tblHeader/>
        </w:trPr>
        <w:tc>
          <w:tcPr>
            <w:tcW w:w="3242" w:type="dxa"/>
            <w:gridSpan w:val="2"/>
          </w:tcPr>
          <w:p w14:paraId="73ED5248" w14:textId="77777777"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Nausea</w:t>
            </w:r>
          </w:p>
        </w:tc>
        <w:tc>
          <w:tcPr>
            <w:tcW w:w="1576" w:type="dxa"/>
            <w:gridSpan w:val="2"/>
          </w:tcPr>
          <w:p w14:paraId="727A84D8" w14:textId="06E7DD76" w:rsidR="009F5DE1" w:rsidRPr="00677D4B" w:rsidRDefault="009F5DE1" w:rsidP="00215D9E">
            <w:pPr>
              <w:pStyle w:val="TableParagraph"/>
              <w:spacing w:before="40" w:after="40"/>
              <w:ind w:left="436"/>
              <w:rPr>
                <w:rFonts w:asciiTheme="minorHAnsi" w:hAnsiTheme="minorHAnsi" w:cstheme="minorHAnsi"/>
              </w:rPr>
            </w:pPr>
            <w:r w:rsidRPr="00677D4B">
              <w:rPr>
                <w:rFonts w:asciiTheme="minorHAnsi" w:hAnsiTheme="minorHAnsi" w:cstheme="minorHAnsi"/>
              </w:rPr>
              <w:t>5</w:t>
            </w:r>
            <w:r w:rsidR="001F3729">
              <w:rPr>
                <w:rFonts w:asciiTheme="minorHAnsi" w:hAnsiTheme="minorHAnsi" w:cstheme="minorHAnsi"/>
              </w:rPr>
              <w:t>2</w:t>
            </w:r>
            <w:r w:rsidRPr="00677D4B">
              <w:rPr>
                <w:rFonts w:asciiTheme="minorHAnsi" w:hAnsiTheme="minorHAnsi" w:cstheme="minorHAnsi"/>
              </w:rPr>
              <w:t xml:space="preserve"> (4</w:t>
            </w:r>
            <w:r w:rsidR="001F3729">
              <w:rPr>
                <w:rFonts w:asciiTheme="minorHAnsi" w:hAnsiTheme="minorHAnsi" w:cstheme="minorHAnsi"/>
              </w:rPr>
              <w:t>2</w:t>
            </w:r>
            <w:r w:rsidRPr="00677D4B">
              <w:rPr>
                <w:rFonts w:asciiTheme="minorHAnsi" w:hAnsiTheme="minorHAnsi" w:cstheme="minorHAnsi"/>
              </w:rPr>
              <w:t>)</w:t>
            </w:r>
          </w:p>
        </w:tc>
        <w:tc>
          <w:tcPr>
            <w:tcW w:w="1671" w:type="dxa"/>
            <w:gridSpan w:val="2"/>
          </w:tcPr>
          <w:p w14:paraId="614759DD" w14:textId="77777777" w:rsidR="009F5DE1" w:rsidRPr="00677D4B" w:rsidRDefault="009F5DE1" w:rsidP="00215D9E">
            <w:pPr>
              <w:pStyle w:val="TableParagraph"/>
              <w:spacing w:before="40" w:after="40"/>
              <w:ind w:left="523" w:right="514"/>
              <w:jc w:val="center"/>
              <w:rPr>
                <w:rFonts w:asciiTheme="minorHAnsi" w:hAnsiTheme="minorHAnsi" w:cstheme="minorHAnsi"/>
              </w:rPr>
            </w:pPr>
            <w:r w:rsidRPr="00677D4B">
              <w:rPr>
                <w:rFonts w:asciiTheme="minorHAnsi" w:hAnsiTheme="minorHAnsi" w:cstheme="minorHAnsi"/>
              </w:rPr>
              <w:t>3 (2)</w:t>
            </w:r>
          </w:p>
        </w:tc>
        <w:tc>
          <w:tcPr>
            <w:tcW w:w="1490" w:type="dxa"/>
            <w:gridSpan w:val="2"/>
          </w:tcPr>
          <w:p w14:paraId="094F55D2" w14:textId="77777777" w:rsidR="009F5DE1" w:rsidRPr="00677D4B" w:rsidRDefault="009F5DE1" w:rsidP="00215D9E">
            <w:pPr>
              <w:pStyle w:val="TableParagraph"/>
              <w:spacing w:before="40" w:after="40"/>
              <w:ind w:left="356" w:right="357"/>
              <w:jc w:val="center"/>
              <w:rPr>
                <w:rFonts w:asciiTheme="minorHAnsi" w:hAnsiTheme="minorHAnsi" w:cstheme="minorHAnsi"/>
              </w:rPr>
            </w:pPr>
            <w:r w:rsidRPr="00677D4B">
              <w:rPr>
                <w:rFonts w:asciiTheme="minorHAnsi" w:hAnsiTheme="minorHAnsi" w:cstheme="minorHAnsi"/>
              </w:rPr>
              <w:t>17 (29)</w:t>
            </w:r>
          </w:p>
        </w:tc>
        <w:tc>
          <w:tcPr>
            <w:tcW w:w="1538" w:type="dxa"/>
            <w:gridSpan w:val="2"/>
          </w:tcPr>
          <w:p w14:paraId="439C074C" w14:textId="77777777" w:rsidR="009F5DE1" w:rsidRPr="00677D4B" w:rsidRDefault="009F5DE1" w:rsidP="00215D9E">
            <w:pPr>
              <w:pStyle w:val="TableParagraph"/>
              <w:spacing w:before="40" w:after="40"/>
              <w:ind w:left="492" w:right="485"/>
              <w:jc w:val="center"/>
              <w:rPr>
                <w:rFonts w:asciiTheme="minorHAnsi" w:hAnsiTheme="minorHAnsi" w:cstheme="minorHAnsi"/>
              </w:rPr>
            </w:pPr>
            <w:r w:rsidRPr="00677D4B">
              <w:rPr>
                <w:rFonts w:asciiTheme="minorHAnsi" w:hAnsiTheme="minorHAnsi" w:cstheme="minorHAnsi"/>
              </w:rPr>
              <w:t>1 (2)</w:t>
            </w:r>
          </w:p>
        </w:tc>
      </w:tr>
      <w:tr w:rsidR="00741A38" w:rsidRPr="00677D4B" w14:paraId="7696FD83" w14:textId="77777777" w:rsidTr="005C7260">
        <w:trPr>
          <w:gridBefore w:val="1"/>
          <w:wBefore w:w="9" w:type="dxa"/>
          <w:tblHeader/>
        </w:trPr>
        <w:tc>
          <w:tcPr>
            <w:tcW w:w="3242" w:type="dxa"/>
            <w:gridSpan w:val="2"/>
          </w:tcPr>
          <w:p w14:paraId="08EF14C0" w14:textId="5EF6E011"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Diarrh</w:t>
            </w:r>
            <w:r w:rsidR="008C0CE3">
              <w:rPr>
                <w:rFonts w:asciiTheme="minorHAnsi" w:hAnsiTheme="minorHAnsi" w:cstheme="minorHAnsi"/>
              </w:rPr>
              <w:t>o</w:t>
            </w:r>
            <w:r w:rsidRPr="00677D4B">
              <w:rPr>
                <w:rFonts w:asciiTheme="minorHAnsi" w:hAnsiTheme="minorHAnsi" w:cstheme="minorHAnsi"/>
              </w:rPr>
              <w:t>ea</w:t>
            </w:r>
          </w:p>
        </w:tc>
        <w:tc>
          <w:tcPr>
            <w:tcW w:w="1576" w:type="dxa"/>
            <w:gridSpan w:val="2"/>
          </w:tcPr>
          <w:p w14:paraId="56FBBCA0" w14:textId="77777777" w:rsidR="009F5DE1" w:rsidRPr="00677D4B" w:rsidRDefault="009F5DE1" w:rsidP="00215D9E">
            <w:pPr>
              <w:pStyle w:val="TableParagraph"/>
              <w:spacing w:before="40" w:after="40"/>
              <w:ind w:left="436"/>
              <w:rPr>
                <w:rFonts w:asciiTheme="minorHAnsi" w:hAnsiTheme="minorHAnsi" w:cstheme="minorHAnsi"/>
              </w:rPr>
            </w:pPr>
            <w:r w:rsidRPr="00677D4B">
              <w:rPr>
                <w:rFonts w:asciiTheme="minorHAnsi" w:hAnsiTheme="minorHAnsi" w:cstheme="minorHAnsi"/>
              </w:rPr>
              <w:t>43 (35)</w:t>
            </w:r>
          </w:p>
        </w:tc>
        <w:tc>
          <w:tcPr>
            <w:tcW w:w="1671" w:type="dxa"/>
            <w:gridSpan w:val="2"/>
          </w:tcPr>
          <w:p w14:paraId="12802CC8" w14:textId="77777777" w:rsidR="009F5DE1" w:rsidRPr="00677D4B" w:rsidRDefault="009F5DE1" w:rsidP="00215D9E">
            <w:pPr>
              <w:pStyle w:val="TableParagraph"/>
              <w:spacing w:before="40" w:after="40"/>
              <w:ind w:left="11"/>
              <w:jc w:val="center"/>
              <w:rPr>
                <w:rFonts w:asciiTheme="minorHAnsi" w:hAnsiTheme="minorHAnsi" w:cstheme="minorHAnsi"/>
              </w:rPr>
            </w:pPr>
            <w:r w:rsidRPr="00677D4B">
              <w:rPr>
                <w:rFonts w:asciiTheme="minorHAnsi" w:hAnsiTheme="minorHAnsi" w:cstheme="minorHAnsi"/>
              </w:rPr>
              <w:t>0</w:t>
            </w:r>
          </w:p>
        </w:tc>
        <w:tc>
          <w:tcPr>
            <w:tcW w:w="1490" w:type="dxa"/>
            <w:gridSpan w:val="2"/>
          </w:tcPr>
          <w:p w14:paraId="5A42A249" w14:textId="77777777" w:rsidR="009F5DE1" w:rsidRPr="00677D4B" w:rsidRDefault="009F5DE1" w:rsidP="00215D9E">
            <w:pPr>
              <w:pStyle w:val="TableParagraph"/>
              <w:spacing w:before="40" w:after="40"/>
              <w:ind w:left="356" w:right="357"/>
              <w:jc w:val="center"/>
              <w:rPr>
                <w:rFonts w:asciiTheme="minorHAnsi" w:hAnsiTheme="minorHAnsi" w:cstheme="minorHAnsi"/>
              </w:rPr>
            </w:pPr>
            <w:r w:rsidRPr="00677D4B">
              <w:rPr>
                <w:rFonts w:asciiTheme="minorHAnsi" w:hAnsiTheme="minorHAnsi" w:cstheme="minorHAnsi"/>
              </w:rPr>
              <w:t>10 (17)</w:t>
            </w:r>
          </w:p>
        </w:tc>
        <w:tc>
          <w:tcPr>
            <w:tcW w:w="1538" w:type="dxa"/>
            <w:gridSpan w:val="2"/>
          </w:tcPr>
          <w:p w14:paraId="4958BC1C" w14:textId="77777777" w:rsidR="009F5DE1" w:rsidRPr="00677D4B" w:rsidRDefault="009F5DE1" w:rsidP="00215D9E">
            <w:pPr>
              <w:pStyle w:val="TableParagraph"/>
              <w:spacing w:before="40" w:after="40"/>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10E3D96E" w14:textId="77777777" w:rsidTr="005C7260">
        <w:trPr>
          <w:gridBefore w:val="1"/>
          <w:wBefore w:w="9" w:type="dxa"/>
          <w:tblHeader/>
        </w:trPr>
        <w:tc>
          <w:tcPr>
            <w:tcW w:w="3242" w:type="dxa"/>
            <w:gridSpan w:val="2"/>
          </w:tcPr>
          <w:p w14:paraId="579AA473" w14:textId="77777777" w:rsidR="009F5DE1" w:rsidRPr="00677D4B" w:rsidRDefault="009F5DE1" w:rsidP="00215D9E">
            <w:pPr>
              <w:pStyle w:val="TableParagraph"/>
              <w:spacing w:before="40" w:after="40" w:line="253" w:lineRule="exact"/>
              <w:rPr>
                <w:rFonts w:asciiTheme="minorHAnsi" w:hAnsiTheme="minorHAnsi" w:cstheme="minorHAnsi"/>
              </w:rPr>
            </w:pPr>
            <w:r w:rsidRPr="00677D4B">
              <w:rPr>
                <w:rFonts w:asciiTheme="minorHAnsi" w:hAnsiTheme="minorHAnsi" w:cstheme="minorHAnsi"/>
              </w:rPr>
              <w:t>Abdominal pain</w:t>
            </w:r>
            <w:r w:rsidRPr="00677D4B">
              <w:rPr>
                <w:rFonts w:asciiTheme="minorHAnsi" w:hAnsiTheme="minorHAnsi" w:cstheme="minorHAnsi"/>
                <w:vertAlign w:val="superscript"/>
              </w:rPr>
              <w:t>2</w:t>
            </w:r>
          </w:p>
        </w:tc>
        <w:tc>
          <w:tcPr>
            <w:tcW w:w="1576" w:type="dxa"/>
            <w:gridSpan w:val="2"/>
          </w:tcPr>
          <w:p w14:paraId="62A3A1D2" w14:textId="77777777" w:rsidR="009F5DE1" w:rsidRPr="00677D4B" w:rsidRDefault="009F5DE1" w:rsidP="00215D9E">
            <w:pPr>
              <w:pStyle w:val="TableParagraph"/>
              <w:spacing w:before="40" w:after="40" w:line="253" w:lineRule="exact"/>
              <w:ind w:left="436"/>
              <w:rPr>
                <w:rFonts w:asciiTheme="minorHAnsi" w:hAnsiTheme="minorHAnsi" w:cstheme="minorHAnsi"/>
              </w:rPr>
            </w:pPr>
            <w:r w:rsidRPr="00677D4B">
              <w:rPr>
                <w:rFonts w:asciiTheme="minorHAnsi" w:hAnsiTheme="minorHAnsi" w:cstheme="minorHAnsi"/>
              </w:rPr>
              <w:t>43 (35)</w:t>
            </w:r>
          </w:p>
        </w:tc>
        <w:tc>
          <w:tcPr>
            <w:tcW w:w="1671" w:type="dxa"/>
            <w:gridSpan w:val="2"/>
          </w:tcPr>
          <w:p w14:paraId="3A83F185" w14:textId="77777777" w:rsidR="009F5DE1" w:rsidRPr="00677D4B" w:rsidRDefault="009F5DE1" w:rsidP="00215D9E">
            <w:pPr>
              <w:pStyle w:val="TableParagraph"/>
              <w:spacing w:before="40" w:after="40" w:line="253" w:lineRule="exact"/>
              <w:ind w:left="523" w:right="514"/>
              <w:jc w:val="center"/>
              <w:rPr>
                <w:rFonts w:asciiTheme="minorHAnsi" w:hAnsiTheme="minorHAnsi" w:cstheme="minorHAnsi"/>
              </w:rPr>
            </w:pPr>
            <w:r w:rsidRPr="00677D4B">
              <w:rPr>
                <w:rFonts w:asciiTheme="minorHAnsi" w:hAnsiTheme="minorHAnsi" w:cstheme="minorHAnsi"/>
              </w:rPr>
              <w:t>3 (2)</w:t>
            </w:r>
          </w:p>
        </w:tc>
        <w:tc>
          <w:tcPr>
            <w:tcW w:w="1490" w:type="dxa"/>
            <w:gridSpan w:val="2"/>
          </w:tcPr>
          <w:p w14:paraId="72D55B4C" w14:textId="77777777" w:rsidR="009F5DE1" w:rsidRPr="00677D4B" w:rsidRDefault="009F5DE1" w:rsidP="00215D9E">
            <w:pPr>
              <w:pStyle w:val="TableParagraph"/>
              <w:spacing w:before="40" w:after="40" w:line="253" w:lineRule="exact"/>
              <w:ind w:left="356" w:right="357"/>
              <w:jc w:val="center"/>
              <w:rPr>
                <w:rFonts w:asciiTheme="minorHAnsi" w:hAnsiTheme="minorHAnsi" w:cstheme="minorHAnsi"/>
              </w:rPr>
            </w:pPr>
            <w:r w:rsidRPr="00677D4B">
              <w:rPr>
                <w:rFonts w:asciiTheme="minorHAnsi" w:hAnsiTheme="minorHAnsi" w:cstheme="minorHAnsi"/>
              </w:rPr>
              <w:t>13 (22)</w:t>
            </w:r>
          </w:p>
        </w:tc>
        <w:tc>
          <w:tcPr>
            <w:tcW w:w="1538" w:type="dxa"/>
            <w:gridSpan w:val="2"/>
          </w:tcPr>
          <w:p w14:paraId="7E1C6698" w14:textId="77777777" w:rsidR="009F5DE1" w:rsidRPr="00677D4B" w:rsidRDefault="009F5DE1" w:rsidP="00215D9E">
            <w:pPr>
              <w:pStyle w:val="TableParagraph"/>
              <w:spacing w:before="40" w:after="40" w:line="253" w:lineRule="exact"/>
              <w:ind w:left="492" w:right="485"/>
              <w:jc w:val="center"/>
              <w:rPr>
                <w:rFonts w:asciiTheme="minorHAnsi" w:hAnsiTheme="minorHAnsi" w:cstheme="minorHAnsi"/>
              </w:rPr>
            </w:pPr>
            <w:r w:rsidRPr="00677D4B">
              <w:rPr>
                <w:rFonts w:asciiTheme="minorHAnsi" w:hAnsiTheme="minorHAnsi" w:cstheme="minorHAnsi"/>
              </w:rPr>
              <w:t>2 (3)</w:t>
            </w:r>
          </w:p>
        </w:tc>
      </w:tr>
      <w:tr w:rsidR="00741A38" w:rsidRPr="00677D4B" w14:paraId="69CDAA62" w14:textId="77777777" w:rsidTr="005C7260">
        <w:trPr>
          <w:gridBefore w:val="1"/>
          <w:wBefore w:w="9" w:type="dxa"/>
          <w:tblHeader/>
        </w:trPr>
        <w:tc>
          <w:tcPr>
            <w:tcW w:w="3242" w:type="dxa"/>
            <w:gridSpan w:val="2"/>
          </w:tcPr>
          <w:p w14:paraId="5D48D615" w14:textId="77777777"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Ascites</w:t>
            </w:r>
          </w:p>
        </w:tc>
        <w:tc>
          <w:tcPr>
            <w:tcW w:w="1576" w:type="dxa"/>
            <w:gridSpan w:val="2"/>
          </w:tcPr>
          <w:p w14:paraId="4E49C87B" w14:textId="77777777" w:rsidR="009F5DE1" w:rsidRPr="00677D4B" w:rsidRDefault="009F5DE1" w:rsidP="00215D9E">
            <w:pPr>
              <w:pStyle w:val="TableParagraph"/>
              <w:spacing w:before="40" w:after="40"/>
              <w:ind w:left="436"/>
              <w:rPr>
                <w:rFonts w:asciiTheme="minorHAnsi" w:hAnsiTheme="minorHAnsi" w:cstheme="minorHAnsi"/>
              </w:rPr>
            </w:pPr>
            <w:r w:rsidRPr="00677D4B">
              <w:rPr>
                <w:rFonts w:asciiTheme="minorHAnsi" w:hAnsiTheme="minorHAnsi" w:cstheme="minorHAnsi"/>
              </w:rPr>
              <w:t>28 (23)</w:t>
            </w:r>
          </w:p>
        </w:tc>
        <w:tc>
          <w:tcPr>
            <w:tcW w:w="1671" w:type="dxa"/>
            <w:gridSpan w:val="2"/>
          </w:tcPr>
          <w:p w14:paraId="7F9D0340" w14:textId="77777777" w:rsidR="009F5DE1" w:rsidRPr="00677D4B" w:rsidRDefault="009F5DE1" w:rsidP="00215D9E">
            <w:pPr>
              <w:pStyle w:val="TableParagraph"/>
              <w:spacing w:before="40" w:after="40"/>
              <w:ind w:left="527" w:right="514"/>
              <w:jc w:val="center"/>
              <w:rPr>
                <w:rFonts w:asciiTheme="minorHAnsi" w:hAnsiTheme="minorHAnsi" w:cstheme="minorHAnsi"/>
              </w:rPr>
            </w:pPr>
            <w:r w:rsidRPr="00677D4B">
              <w:rPr>
                <w:rFonts w:asciiTheme="minorHAnsi" w:hAnsiTheme="minorHAnsi" w:cstheme="minorHAnsi"/>
              </w:rPr>
              <w:t>11 (9)</w:t>
            </w:r>
          </w:p>
        </w:tc>
        <w:tc>
          <w:tcPr>
            <w:tcW w:w="1490" w:type="dxa"/>
            <w:gridSpan w:val="2"/>
          </w:tcPr>
          <w:p w14:paraId="4592B605" w14:textId="77777777" w:rsidR="009F5DE1" w:rsidRPr="00677D4B" w:rsidRDefault="009F5DE1" w:rsidP="00215D9E">
            <w:pPr>
              <w:pStyle w:val="TableParagraph"/>
              <w:spacing w:before="40" w:after="40"/>
              <w:ind w:left="359" w:right="357"/>
              <w:jc w:val="center"/>
              <w:rPr>
                <w:rFonts w:asciiTheme="minorHAnsi" w:hAnsiTheme="minorHAnsi" w:cstheme="minorHAnsi"/>
              </w:rPr>
            </w:pPr>
            <w:r w:rsidRPr="00677D4B">
              <w:rPr>
                <w:rFonts w:asciiTheme="minorHAnsi" w:hAnsiTheme="minorHAnsi" w:cstheme="minorHAnsi"/>
              </w:rPr>
              <w:t>9 (15)</w:t>
            </w:r>
          </w:p>
        </w:tc>
        <w:tc>
          <w:tcPr>
            <w:tcW w:w="1538" w:type="dxa"/>
            <w:gridSpan w:val="2"/>
          </w:tcPr>
          <w:p w14:paraId="285DBCC1" w14:textId="77777777" w:rsidR="009F5DE1" w:rsidRPr="00677D4B" w:rsidRDefault="009F5DE1" w:rsidP="00215D9E">
            <w:pPr>
              <w:pStyle w:val="TableParagraph"/>
              <w:spacing w:before="40" w:after="40"/>
              <w:ind w:left="492" w:right="485"/>
              <w:jc w:val="center"/>
              <w:rPr>
                <w:rFonts w:asciiTheme="minorHAnsi" w:hAnsiTheme="minorHAnsi" w:cstheme="minorHAnsi"/>
              </w:rPr>
            </w:pPr>
            <w:r w:rsidRPr="00677D4B">
              <w:rPr>
                <w:rFonts w:asciiTheme="minorHAnsi" w:hAnsiTheme="minorHAnsi" w:cstheme="minorHAnsi"/>
              </w:rPr>
              <w:t>4 (7)</w:t>
            </w:r>
          </w:p>
        </w:tc>
      </w:tr>
      <w:tr w:rsidR="00741A38" w:rsidRPr="00677D4B" w14:paraId="7023CB3B" w14:textId="77777777" w:rsidTr="005C7260">
        <w:trPr>
          <w:gridBefore w:val="1"/>
          <w:wBefore w:w="9" w:type="dxa"/>
          <w:tblHeader/>
        </w:trPr>
        <w:tc>
          <w:tcPr>
            <w:tcW w:w="3242" w:type="dxa"/>
            <w:gridSpan w:val="2"/>
          </w:tcPr>
          <w:p w14:paraId="510CE858" w14:textId="77777777" w:rsidR="009F5DE1" w:rsidRPr="00677D4B" w:rsidRDefault="009F5DE1" w:rsidP="00215D9E">
            <w:pPr>
              <w:pStyle w:val="TableParagraph"/>
              <w:spacing w:before="40" w:after="40" w:line="253" w:lineRule="exact"/>
              <w:rPr>
                <w:rFonts w:asciiTheme="minorHAnsi" w:hAnsiTheme="minorHAnsi" w:cstheme="minorHAnsi"/>
              </w:rPr>
            </w:pPr>
            <w:r w:rsidRPr="00677D4B">
              <w:rPr>
                <w:rFonts w:asciiTheme="minorHAnsi" w:hAnsiTheme="minorHAnsi" w:cstheme="minorHAnsi"/>
              </w:rPr>
              <w:t>Vomiting</w:t>
            </w:r>
            <w:r w:rsidRPr="00677D4B">
              <w:rPr>
                <w:rFonts w:asciiTheme="minorHAnsi" w:hAnsiTheme="minorHAnsi" w:cstheme="minorHAnsi"/>
                <w:vertAlign w:val="superscript"/>
              </w:rPr>
              <w:t>3</w:t>
            </w:r>
          </w:p>
        </w:tc>
        <w:tc>
          <w:tcPr>
            <w:tcW w:w="1576" w:type="dxa"/>
            <w:gridSpan w:val="2"/>
          </w:tcPr>
          <w:p w14:paraId="773A5FAB" w14:textId="77777777" w:rsidR="009F5DE1" w:rsidRPr="00677D4B" w:rsidRDefault="009F5DE1" w:rsidP="00215D9E">
            <w:pPr>
              <w:pStyle w:val="TableParagraph"/>
              <w:spacing w:before="40" w:after="40" w:line="253" w:lineRule="exact"/>
              <w:ind w:left="436"/>
              <w:rPr>
                <w:rFonts w:asciiTheme="minorHAnsi" w:hAnsiTheme="minorHAnsi" w:cstheme="minorHAnsi"/>
              </w:rPr>
            </w:pPr>
            <w:r w:rsidRPr="00677D4B">
              <w:rPr>
                <w:rFonts w:asciiTheme="minorHAnsi" w:hAnsiTheme="minorHAnsi" w:cstheme="minorHAnsi"/>
              </w:rPr>
              <w:t>28 (23)</w:t>
            </w:r>
          </w:p>
        </w:tc>
        <w:tc>
          <w:tcPr>
            <w:tcW w:w="1671" w:type="dxa"/>
            <w:gridSpan w:val="2"/>
          </w:tcPr>
          <w:p w14:paraId="15750BF3" w14:textId="77777777" w:rsidR="009F5DE1" w:rsidRPr="00677D4B" w:rsidRDefault="009F5DE1" w:rsidP="00215D9E">
            <w:pPr>
              <w:pStyle w:val="TableParagraph"/>
              <w:spacing w:before="40" w:after="40" w:line="253" w:lineRule="exact"/>
              <w:ind w:left="523" w:right="514"/>
              <w:jc w:val="center"/>
              <w:rPr>
                <w:rFonts w:asciiTheme="minorHAnsi" w:hAnsiTheme="minorHAnsi" w:cstheme="minorHAnsi"/>
              </w:rPr>
            </w:pPr>
            <w:r w:rsidRPr="00677D4B">
              <w:rPr>
                <w:rFonts w:asciiTheme="minorHAnsi" w:hAnsiTheme="minorHAnsi" w:cstheme="minorHAnsi"/>
              </w:rPr>
              <w:t>3 (2)</w:t>
            </w:r>
          </w:p>
        </w:tc>
        <w:tc>
          <w:tcPr>
            <w:tcW w:w="1490" w:type="dxa"/>
            <w:gridSpan w:val="2"/>
          </w:tcPr>
          <w:p w14:paraId="46582140" w14:textId="77777777" w:rsidR="009F5DE1" w:rsidRPr="00677D4B" w:rsidRDefault="009F5DE1" w:rsidP="00215D9E">
            <w:pPr>
              <w:pStyle w:val="TableParagraph"/>
              <w:spacing w:before="40" w:after="40" w:line="253" w:lineRule="exact"/>
              <w:ind w:left="356" w:right="357"/>
              <w:jc w:val="center"/>
              <w:rPr>
                <w:rFonts w:asciiTheme="minorHAnsi" w:hAnsiTheme="minorHAnsi" w:cstheme="minorHAnsi"/>
              </w:rPr>
            </w:pPr>
            <w:r w:rsidRPr="00677D4B">
              <w:rPr>
                <w:rFonts w:asciiTheme="minorHAnsi" w:hAnsiTheme="minorHAnsi" w:cstheme="minorHAnsi"/>
              </w:rPr>
              <w:t>12 (20)</w:t>
            </w:r>
          </w:p>
        </w:tc>
        <w:tc>
          <w:tcPr>
            <w:tcW w:w="1538" w:type="dxa"/>
            <w:gridSpan w:val="2"/>
          </w:tcPr>
          <w:p w14:paraId="3E006207" w14:textId="77777777" w:rsidR="009F5DE1" w:rsidRPr="00677D4B" w:rsidRDefault="009F5DE1" w:rsidP="00215D9E">
            <w:pPr>
              <w:pStyle w:val="TableParagraph"/>
              <w:spacing w:before="40" w:after="40" w:line="253" w:lineRule="exact"/>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1BB03724" w14:textId="77777777" w:rsidTr="005C7260">
        <w:trPr>
          <w:gridBefore w:val="1"/>
          <w:wBefore w:w="9" w:type="dxa"/>
          <w:tblHeader/>
        </w:trPr>
        <w:tc>
          <w:tcPr>
            <w:tcW w:w="9517" w:type="dxa"/>
            <w:gridSpan w:val="10"/>
          </w:tcPr>
          <w:p w14:paraId="11525F8A" w14:textId="77777777" w:rsidR="009F5DE1" w:rsidRPr="00677D4B" w:rsidRDefault="009F5DE1" w:rsidP="00215D9E">
            <w:pPr>
              <w:pStyle w:val="TableParagraph"/>
              <w:spacing w:before="40" w:after="40"/>
              <w:rPr>
                <w:rFonts w:asciiTheme="minorHAnsi" w:hAnsiTheme="minorHAnsi" w:cstheme="minorHAnsi"/>
                <w:b/>
              </w:rPr>
            </w:pPr>
            <w:r w:rsidRPr="00677D4B">
              <w:rPr>
                <w:rFonts w:asciiTheme="minorHAnsi" w:hAnsiTheme="minorHAnsi" w:cstheme="minorHAnsi"/>
                <w:b/>
              </w:rPr>
              <w:t>Respiratory, thoracic, and mediastinal disorders</w:t>
            </w:r>
          </w:p>
        </w:tc>
      </w:tr>
      <w:tr w:rsidR="00741A38" w:rsidRPr="00677D4B" w14:paraId="0422B664" w14:textId="77777777" w:rsidTr="005C7260">
        <w:trPr>
          <w:gridBefore w:val="1"/>
          <w:wBefore w:w="9" w:type="dxa"/>
          <w:tblHeader/>
        </w:trPr>
        <w:tc>
          <w:tcPr>
            <w:tcW w:w="3242" w:type="dxa"/>
            <w:gridSpan w:val="2"/>
          </w:tcPr>
          <w:p w14:paraId="3631FE11" w14:textId="77777777" w:rsidR="009F5DE1" w:rsidRPr="00677D4B" w:rsidRDefault="009F5DE1" w:rsidP="00215D9E">
            <w:pPr>
              <w:pStyle w:val="TableParagraph"/>
              <w:spacing w:before="40" w:after="40" w:line="253" w:lineRule="exact"/>
              <w:rPr>
                <w:rFonts w:asciiTheme="minorHAnsi" w:hAnsiTheme="minorHAnsi" w:cstheme="minorHAnsi"/>
              </w:rPr>
            </w:pPr>
            <w:r w:rsidRPr="00677D4B">
              <w:rPr>
                <w:rFonts w:asciiTheme="minorHAnsi" w:hAnsiTheme="minorHAnsi" w:cstheme="minorHAnsi"/>
              </w:rPr>
              <w:t>Cough</w:t>
            </w:r>
            <w:r w:rsidRPr="00677D4B">
              <w:rPr>
                <w:rFonts w:asciiTheme="minorHAnsi" w:hAnsiTheme="minorHAnsi" w:cstheme="minorHAnsi"/>
                <w:vertAlign w:val="superscript"/>
              </w:rPr>
              <w:t>4</w:t>
            </w:r>
          </w:p>
        </w:tc>
        <w:tc>
          <w:tcPr>
            <w:tcW w:w="1576" w:type="dxa"/>
            <w:gridSpan w:val="2"/>
          </w:tcPr>
          <w:p w14:paraId="36ECB05D" w14:textId="77777777" w:rsidR="009F5DE1" w:rsidRPr="00677D4B" w:rsidRDefault="009F5DE1" w:rsidP="00215D9E">
            <w:pPr>
              <w:pStyle w:val="TableParagraph"/>
              <w:spacing w:before="40" w:after="40" w:line="253" w:lineRule="exact"/>
              <w:ind w:left="436"/>
              <w:rPr>
                <w:rFonts w:asciiTheme="minorHAnsi" w:hAnsiTheme="minorHAnsi" w:cstheme="minorHAnsi"/>
              </w:rPr>
            </w:pPr>
            <w:r w:rsidRPr="00677D4B">
              <w:rPr>
                <w:rFonts w:asciiTheme="minorHAnsi" w:hAnsiTheme="minorHAnsi" w:cstheme="minorHAnsi"/>
              </w:rPr>
              <w:t>33 (27)</w:t>
            </w:r>
          </w:p>
        </w:tc>
        <w:tc>
          <w:tcPr>
            <w:tcW w:w="1671" w:type="dxa"/>
            <w:gridSpan w:val="2"/>
          </w:tcPr>
          <w:p w14:paraId="31369FA0" w14:textId="77777777" w:rsidR="009F5DE1" w:rsidRPr="00677D4B" w:rsidRDefault="009F5DE1" w:rsidP="00215D9E">
            <w:pPr>
              <w:pStyle w:val="TableParagraph"/>
              <w:spacing w:before="40" w:after="40" w:line="253" w:lineRule="exact"/>
              <w:ind w:left="11"/>
              <w:jc w:val="center"/>
              <w:rPr>
                <w:rFonts w:asciiTheme="minorHAnsi" w:hAnsiTheme="minorHAnsi" w:cstheme="minorHAnsi"/>
              </w:rPr>
            </w:pPr>
            <w:r w:rsidRPr="00677D4B">
              <w:rPr>
                <w:rFonts w:asciiTheme="minorHAnsi" w:hAnsiTheme="minorHAnsi" w:cstheme="minorHAnsi"/>
              </w:rPr>
              <w:t>0</w:t>
            </w:r>
          </w:p>
        </w:tc>
        <w:tc>
          <w:tcPr>
            <w:tcW w:w="1490" w:type="dxa"/>
            <w:gridSpan w:val="2"/>
          </w:tcPr>
          <w:p w14:paraId="17968DAD" w14:textId="77777777" w:rsidR="009F5DE1" w:rsidRPr="00677D4B" w:rsidRDefault="009F5DE1" w:rsidP="00215D9E">
            <w:pPr>
              <w:pStyle w:val="TableParagraph"/>
              <w:spacing w:before="40" w:after="40" w:line="253" w:lineRule="exact"/>
              <w:ind w:left="356" w:right="357"/>
              <w:jc w:val="center"/>
              <w:rPr>
                <w:rFonts w:asciiTheme="minorHAnsi" w:hAnsiTheme="minorHAnsi" w:cstheme="minorHAnsi"/>
              </w:rPr>
            </w:pPr>
            <w:r w:rsidRPr="00677D4B">
              <w:rPr>
                <w:rFonts w:asciiTheme="minorHAnsi" w:hAnsiTheme="minorHAnsi" w:cstheme="minorHAnsi"/>
              </w:rPr>
              <w:t>5 (9)</w:t>
            </w:r>
          </w:p>
        </w:tc>
        <w:tc>
          <w:tcPr>
            <w:tcW w:w="1538" w:type="dxa"/>
            <w:gridSpan w:val="2"/>
          </w:tcPr>
          <w:p w14:paraId="05C5E371" w14:textId="77777777" w:rsidR="009F5DE1" w:rsidRPr="00677D4B" w:rsidRDefault="009F5DE1" w:rsidP="00215D9E">
            <w:pPr>
              <w:pStyle w:val="TableParagraph"/>
              <w:spacing w:before="40" w:after="40" w:line="253" w:lineRule="exact"/>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3A2685C2" w14:textId="77777777" w:rsidTr="005C7260">
        <w:trPr>
          <w:gridBefore w:val="1"/>
          <w:wBefore w:w="9" w:type="dxa"/>
          <w:tblHeader/>
        </w:trPr>
        <w:tc>
          <w:tcPr>
            <w:tcW w:w="9517" w:type="dxa"/>
            <w:gridSpan w:val="10"/>
          </w:tcPr>
          <w:p w14:paraId="5AAD4D48" w14:textId="77777777" w:rsidR="009F5DE1" w:rsidRPr="00677D4B" w:rsidRDefault="009F5DE1" w:rsidP="00215D9E">
            <w:pPr>
              <w:pStyle w:val="TableParagraph"/>
              <w:spacing w:before="40" w:after="40" w:line="257" w:lineRule="exact"/>
              <w:rPr>
                <w:rFonts w:asciiTheme="minorHAnsi" w:hAnsiTheme="minorHAnsi" w:cstheme="minorHAnsi"/>
                <w:b/>
              </w:rPr>
            </w:pPr>
            <w:r w:rsidRPr="00677D4B">
              <w:rPr>
                <w:rFonts w:asciiTheme="minorHAnsi" w:hAnsiTheme="minorHAnsi" w:cstheme="minorHAnsi"/>
                <w:b/>
              </w:rPr>
              <w:t>Metabolism and nutrition disorders</w:t>
            </w:r>
          </w:p>
        </w:tc>
      </w:tr>
      <w:tr w:rsidR="00741A38" w:rsidRPr="00677D4B" w14:paraId="30ED885A" w14:textId="77777777" w:rsidTr="005C7260">
        <w:trPr>
          <w:gridBefore w:val="1"/>
          <w:wBefore w:w="9" w:type="dxa"/>
          <w:tblHeader/>
        </w:trPr>
        <w:tc>
          <w:tcPr>
            <w:tcW w:w="3242" w:type="dxa"/>
            <w:gridSpan w:val="2"/>
          </w:tcPr>
          <w:p w14:paraId="0BFCB347" w14:textId="77777777"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Decreased appetite</w:t>
            </w:r>
          </w:p>
        </w:tc>
        <w:tc>
          <w:tcPr>
            <w:tcW w:w="1576" w:type="dxa"/>
            <w:gridSpan w:val="2"/>
          </w:tcPr>
          <w:p w14:paraId="78766336" w14:textId="77777777" w:rsidR="009F5DE1" w:rsidRPr="00677D4B" w:rsidRDefault="009F5DE1" w:rsidP="00215D9E">
            <w:pPr>
              <w:pStyle w:val="TableParagraph"/>
              <w:spacing w:before="40" w:after="40"/>
              <w:ind w:left="436"/>
              <w:rPr>
                <w:rFonts w:asciiTheme="minorHAnsi" w:hAnsiTheme="minorHAnsi" w:cstheme="minorHAnsi"/>
              </w:rPr>
            </w:pPr>
            <w:r w:rsidRPr="00677D4B">
              <w:rPr>
                <w:rFonts w:asciiTheme="minorHAnsi" w:hAnsiTheme="minorHAnsi" w:cstheme="minorHAnsi"/>
              </w:rPr>
              <w:t>30 (24)</w:t>
            </w:r>
          </w:p>
        </w:tc>
        <w:tc>
          <w:tcPr>
            <w:tcW w:w="1671" w:type="dxa"/>
            <w:gridSpan w:val="2"/>
          </w:tcPr>
          <w:p w14:paraId="70C90633" w14:textId="77777777" w:rsidR="009F5DE1" w:rsidRPr="00677D4B" w:rsidRDefault="009F5DE1" w:rsidP="00215D9E">
            <w:pPr>
              <w:pStyle w:val="TableParagraph"/>
              <w:spacing w:before="40" w:after="40"/>
              <w:ind w:left="523" w:right="514"/>
              <w:jc w:val="center"/>
              <w:rPr>
                <w:rFonts w:asciiTheme="minorHAnsi" w:hAnsiTheme="minorHAnsi" w:cstheme="minorHAnsi"/>
              </w:rPr>
            </w:pPr>
            <w:r w:rsidRPr="00677D4B">
              <w:rPr>
                <w:rFonts w:asciiTheme="minorHAnsi" w:hAnsiTheme="minorHAnsi" w:cstheme="minorHAnsi"/>
              </w:rPr>
              <w:t>2 (2)</w:t>
            </w:r>
          </w:p>
        </w:tc>
        <w:tc>
          <w:tcPr>
            <w:tcW w:w="1490" w:type="dxa"/>
            <w:gridSpan w:val="2"/>
          </w:tcPr>
          <w:p w14:paraId="6AFFCED5" w14:textId="77777777" w:rsidR="009F5DE1" w:rsidRPr="00677D4B" w:rsidRDefault="009F5DE1" w:rsidP="00215D9E">
            <w:pPr>
              <w:pStyle w:val="TableParagraph"/>
              <w:spacing w:before="40" w:after="40"/>
              <w:ind w:left="356" w:right="357"/>
              <w:jc w:val="center"/>
              <w:rPr>
                <w:rFonts w:asciiTheme="minorHAnsi" w:hAnsiTheme="minorHAnsi" w:cstheme="minorHAnsi"/>
              </w:rPr>
            </w:pPr>
            <w:r w:rsidRPr="00677D4B">
              <w:rPr>
                <w:rFonts w:asciiTheme="minorHAnsi" w:hAnsiTheme="minorHAnsi" w:cstheme="minorHAnsi"/>
              </w:rPr>
              <w:t>11 (19)</w:t>
            </w:r>
          </w:p>
        </w:tc>
        <w:tc>
          <w:tcPr>
            <w:tcW w:w="1538" w:type="dxa"/>
            <w:gridSpan w:val="2"/>
          </w:tcPr>
          <w:p w14:paraId="72AEA867" w14:textId="77777777" w:rsidR="009F5DE1" w:rsidRPr="00677D4B" w:rsidRDefault="009F5DE1" w:rsidP="00215D9E">
            <w:pPr>
              <w:pStyle w:val="TableParagraph"/>
              <w:spacing w:before="40" w:after="40"/>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1CF0F8D9" w14:textId="77777777" w:rsidTr="005C7260">
        <w:trPr>
          <w:gridBefore w:val="1"/>
          <w:wBefore w:w="9" w:type="dxa"/>
          <w:tblHeader/>
        </w:trPr>
        <w:tc>
          <w:tcPr>
            <w:tcW w:w="9517" w:type="dxa"/>
            <w:gridSpan w:val="10"/>
          </w:tcPr>
          <w:p w14:paraId="00B8708D" w14:textId="77777777" w:rsidR="009F5DE1" w:rsidRPr="00677D4B" w:rsidRDefault="009F5DE1" w:rsidP="00215D9E">
            <w:pPr>
              <w:pStyle w:val="TableParagraph"/>
              <w:spacing w:before="40" w:after="40" w:line="253" w:lineRule="exact"/>
              <w:rPr>
                <w:rFonts w:asciiTheme="minorHAnsi" w:hAnsiTheme="minorHAnsi" w:cstheme="minorHAnsi"/>
                <w:b/>
              </w:rPr>
            </w:pPr>
            <w:r w:rsidRPr="00677D4B">
              <w:rPr>
                <w:rFonts w:asciiTheme="minorHAnsi" w:hAnsiTheme="minorHAnsi" w:cstheme="minorHAnsi"/>
                <w:b/>
              </w:rPr>
              <w:t>Blood and lymphatic system disorders</w:t>
            </w:r>
          </w:p>
        </w:tc>
      </w:tr>
      <w:tr w:rsidR="00741A38" w:rsidRPr="00677D4B" w14:paraId="558F88B9" w14:textId="77777777" w:rsidTr="005C7260">
        <w:trPr>
          <w:gridBefore w:val="1"/>
          <w:wBefore w:w="9" w:type="dxa"/>
          <w:tblHeader/>
        </w:trPr>
        <w:tc>
          <w:tcPr>
            <w:tcW w:w="3242" w:type="dxa"/>
            <w:gridSpan w:val="2"/>
          </w:tcPr>
          <w:p w14:paraId="447B5A74" w14:textId="1C7D56A3" w:rsidR="009F5DE1" w:rsidRPr="00677D4B" w:rsidRDefault="009F5DE1" w:rsidP="00215D9E">
            <w:pPr>
              <w:pStyle w:val="TableParagraph"/>
              <w:spacing w:before="40" w:after="40" w:line="259" w:lineRule="exact"/>
              <w:rPr>
                <w:rFonts w:asciiTheme="minorHAnsi" w:hAnsiTheme="minorHAnsi" w:cstheme="minorHAnsi"/>
              </w:rPr>
            </w:pPr>
            <w:r w:rsidRPr="00677D4B">
              <w:rPr>
                <w:rFonts w:asciiTheme="minorHAnsi" w:hAnsiTheme="minorHAnsi" w:cstheme="minorHAnsi"/>
              </w:rPr>
              <w:t>An</w:t>
            </w:r>
            <w:r w:rsidR="008C0CE3">
              <w:rPr>
                <w:rFonts w:asciiTheme="minorHAnsi" w:hAnsiTheme="minorHAnsi" w:cstheme="minorHAnsi"/>
              </w:rPr>
              <w:t>a</w:t>
            </w:r>
            <w:r w:rsidRPr="00677D4B">
              <w:rPr>
                <w:rFonts w:asciiTheme="minorHAnsi" w:hAnsiTheme="minorHAnsi" w:cstheme="minorHAnsi"/>
              </w:rPr>
              <w:t>emia</w:t>
            </w:r>
          </w:p>
        </w:tc>
        <w:tc>
          <w:tcPr>
            <w:tcW w:w="1576" w:type="dxa"/>
            <w:gridSpan w:val="2"/>
          </w:tcPr>
          <w:p w14:paraId="4B49FA6B" w14:textId="16A99463" w:rsidR="009F5DE1" w:rsidRPr="00677D4B" w:rsidRDefault="009F5DE1" w:rsidP="00215D9E">
            <w:pPr>
              <w:pStyle w:val="TableParagraph"/>
              <w:spacing w:before="40" w:after="40" w:line="259" w:lineRule="exact"/>
              <w:ind w:left="436"/>
              <w:rPr>
                <w:rFonts w:asciiTheme="minorHAnsi" w:hAnsiTheme="minorHAnsi" w:cstheme="minorHAnsi"/>
              </w:rPr>
            </w:pPr>
            <w:r w:rsidRPr="00677D4B">
              <w:rPr>
                <w:rFonts w:asciiTheme="minorHAnsi" w:hAnsiTheme="minorHAnsi" w:cstheme="minorHAnsi"/>
              </w:rPr>
              <w:t>2</w:t>
            </w:r>
            <w:r w:rsidR="00D93528">
              <w:rPr>
                <w:rFonts w:asciiTheme="minorHAnsi" w:hAnsiTheme="minorHAnsi" w:cstheme="minorHAnsi"/>
              </w:rPr>
              <w:t>3</w:t>
            </w:r>
            <w:r w:rsidRPr="00677D4B">
              <w:rPr>
                <w:rFonts w:asciiTheme="minorHAnsi" w:hAnsiTheme="minorHAnsi" w:cstheme="minorHAnsi"/>
              </w:rPr>
              <w:t xml:space="preserve"> (1</w:t>
            </w:r>
            <w:r w:rsidR="00D93528">
              <w:rPr>
                <w:rFonts w:asciiTheme="minorHAnsi" w:hAnsiTheme="minorHAnsi" w:cstheme="minorHAnsi"/>
              </w:rPr>
              <w:t>9</w:t>
            </w:r>
            <w:r w:rsidRPr="00677D4B">
              <w:rPr>
                <w:rFonts w:asciiTheme="minorHAnsi" w:hAnsiTheme="minorHAnsi" w:cstheme="minorHAnsi"/>
              </w:rPr>
              <w:t>)</w:t>
            </w:r>
          </w:p>
        </w:tc>
        <w:tc>
          <w:tcPr>
            <w:tcW w:w="1671" w:type="dxa"/>
            <w:gridSpan w:val="2"/>
          </w:tcPr>
          <w:p w14:paraId="7018B262" w14:textId="6FD367C0" w:rsidR="009F5DE1" w:rsidRPr="00677D4B" w:rsidRDefault="00D93528" w:rsidP="00215D9E">
            <w:pPr>
              <w:pStyle w:val="TableParagraph"/>
              <w:spacing w:before="40" w:after="40" w:line="259" w:lineRule="exact"/>
              <w:ind w:left="523" w:right="514"/>
              <w:jc w:val="center"/>
              <w:rPr>
                <w:rFonts w:asciiTheme="minorHAnsi" w:hAnsiTheme="minorHAnsi" w:cstheme="minorHAnsi"/>
              </w:rPr>
            </w:pPr>
            <w:r>
              <w:rPr>
                <w:rFonts w:asciiTheme="minorHAnsi" w:hAnsiTheme="minorHAnsi" w:cstheme="minorHAnsi"/>
              </w:rPr>
              <w:t>9</w:t>
            </w:r>
            <w:r w:rsidR="009F5DE1" w:rsidRPr="00677D4B">
              <w:rPr>
                <w:rFonts w:asciiTheme="minorHAnsi" w:hAnsiTheme="minorHAnsi" w:cstheme="minorHAnsi"/>
              </w:rPr>
              <w:t xml:space="preserve"> (7)</w:t>
            </w:r>
          </w:p>
        </w:tc>
        <w:tc>
          <w:tcPr>
            <w:tcW w:w="1490" w:type="dxa"/>
            <w:gridSpan w:val="2"/>
          </w:tcPr>
          <w:p w14:paraId="7E805FCB" w14:textId="77777777" w:rsidR="009F5DE1" w:rsidRPr="00677D4B" w:rsidRDefault="009F5DE1" w:rsidP="00215D9E">
            <w:pPr>
              <w:pStyle w:val="TableParagraph"/>
              <w:spacing w:before="40" w:after="40" w:line="259" w:lineRule="exact"/>
              <w:ind w:left="356" w:right="357"/>
              <w:jc w:val="center"/>
              <w:rPr>
                <w:rFonts w:asciiTheme="minorHAnsi" w:hAnsiTheme="minorHAnsi" w:cstheme="minorHAnsi"/>
              </w:rPr>
            </w:pPr>
            <w:r w:rsidRPr="00677D4B">
              <w:rPr>
                <w:rFonts w:asciiTheme="minorHAnsi" w:hAnsiTheme="minorHAnsi" w:cstheme="minorHAnsi"/>
              </w:rPr>
              <w:t>3 (5)</w:t>
            </w:r>
          </w:p>
        </w:tc>
        <w:tc>
          <w:tcPr>
            <w:tcW w:w="1538" w:type="dxa"/>
            <w:gridSpan w:val="2"/>
          </w:tcPr>
          <w:p w14:paraId="1DE7FB3D" w14:textId="77777777" w:rsidR="009F5DE1" w:rsidRPr="00677D4B" w:rsidRDefault="009F5DE1" w:rsidP="00215D9E">
            <w:pPr>
              <w:pStyle w:val="TableParagraph"/>
              <w:spacing w:before="40" w:after="40" w:line="259" w:lineRule="exact"/>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1B4D71D2" w14:textId="77777777" w:rsidTr="005C7260">
        <w:trPr>
          <w:gridBefore w:val="1"/>
          <w:wBefore w:w="9" w:type="dxa"/>
          <w:tblHeader/>
        </w:trPr>
        <w:tc>
          <w:tcPr>
            <w:tcW w:w="9517" w:type="dxa"/>
            <w:gridSpan w:val="10"/>
          </w:tcPr>
          <w:p w14:paraId="37C4469B" w14:textId="77777777" w:rsidR="009F5DE1" w:rsidRPr="00677D4B" w:rsidRDefault="009F5DE1" w:rsidP="00215D9E">
            <w:pPr>
              <w:pStyle w:val="TableParagraph"/>
              <w:spacing w:before="40" w:after="40" w:line="253" w:lineRule="exact"/>
              <w:rPr>
                <w:rFonts w:asciiTheme="minorHAnsi" w:hAnsiTheme="minorHAnsi" w:cstheme="minorHAnsi"/>
                <w:b/>
              </w:rPr>
            </w:pPr>
            <w:r w:rsidRPr="00677D4B">
              <w:rPr>
                <w:rFonts w:asciiTheme="minorHAnsi" w:hAnsiTheme="minorHAnsi" w:cstheme="minorHAnsi"/>
                <w:b/>
              </w:rPr>
              <w:t>Skin and subcutaneous tissue disorders</w:t>
            </w:r>
          </w:p>
        </w:tc>
      </w:tr>
      <w:tr w:rsidR="00741A38" w:rsidRPr="00677D4B" w14:paraId="1B12282F" w14:textId="77777777" w:rsidTr="005C7260">
        <w:trPr>
          <w:gridBefore w:val="1"/>
          <w:wBefore w:w="9" w:type="dxa"/>
          <w:tblHeader/>
        </w:trPr>
        <w:tc>
          <w:tcPr>
            <w:tcW w:w="3242" w:type="dxa"/>
            <w:gridSpan w:val="2"/>
          </w:tcPr>
          <w:p w14:paraId="3E0870CE" w14:textId="77777777"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Rash</w:t>
            </w:r>
            <w:r w:rsidRPr="00677D4B">
              <w:rPr>
                <w:rFonts w:asciiTheme="minorHAnsi" w:hAnsiTheme="minorHAnsi" w:cstheme="minorHAnsi"/>
                <w:vertAlign w:val="superscript"/>
              </w:rPr>
              <w:t>5</w:t>
            </w:r>
          </w:p>
        </w:tc>
        <w:tc>
          <w:tcPr>
            <w:tcW w:w="1576" w:type="dxa"/>
            <w:gridSpan w:val="2"/>
          </w:tcPr>
          <w:p w14:paraId="64DC53FE" w14:textId="77777777" w:rsidR="009F5DE1" w:rsidRPr="00677D4B" w:rsidRDefault="009F5DE1" w:rsidP="00215D9E">
            <w:pPr>
              <w:pStyle w:val="TableParagraph"/>
              <w:spacing w:before="40" w:after="40"/>
              <w:ind w:left="436"/>
              <w:rPr>
                <w:rFonts w:asciiTheme="minorHAnsi" w:hAnsiTheme="minorHAnsi" w:cstheme="minorHAnsi"/>
              </w:rPr>
            </w:pPr>
            <w:r w:rsidRPr="00677D4B">
              <w:rPr>
                <w:rFonts w:asciiTheme="minorHAnsi" w:hAnsiTheme="minorHAnsi" w:cstheme="minorHAnsi"/>
              </w:rPr>
              <w:t>19 (15)</w:t>
            </w:r>
          </w:p>
        </w:tc>
        <w:tc>
          <w:tcPr>
            <w:tcW w:w="1671" w:type="dxa"/>
            <w:gridSpan w:val="2"/>
          </w:tcPr>
          <w:p w14:paraId="738F2A36" w14:textId="77777777" w:rsidR="009F5DE1" w:rsidRPr="00677D4B" w:rsidRDefault="009F5DE1" w:rsidP="00215D9E">
            <w:pPr>
              <w:pStyle w:val="TableParagraph"/>
              <w:spacing w:before="40" w:after="40"/>
              <w:ind w:left="523" w:right="514"/>
              <w:jc w:val="center"/>
              <w:rPr>
                <w:rFonts w:asciiTheme="minorHAnsi" w:hAnsiTheme="minorHAnsi" w:cstheme="minorHAnsi"/>
              </w:rPr>
            </w:pPr>
            <w:r w:rsidRPr="00677D4B">
              <w:rPr>
                <w:rFonts w:asciiTheme="minorHAnsi" w:hAnsiTheme="minorHAnsi" w:cstheme="minorHAnsi"/>
              </w:rPr>
              <w:t>1 (1)</w:t>
            </w:r>
          </w:p>
        </w:tc>
        <w:tc>
          <w:tcPr>
            <w:tcW w:w="1490" w:type="dxa"/>
            <w:gridSpan w:val="2"/>
          </w:tcPr>
          <w:p w14:paraId="56534BE2" w14:textId="77777777" w:rsidR="009F5DE1" w:rsidRPr="00677D4B" w:rsidRDefault="009F5DE1" w:rsidP="00215D9E">
            <w:pPr>
              <w:pStyle w:val="TableParagraph"/>
              <w:spacing w:before="40" w:after="40"/>
              <w:ind w:left="356" w:right="357"/>
              <w:jc w:val="center"/>
              <w:rPr>
                <w:rFonts w:asciiTheme="minorHAnsi" w:hAnsiTheme="minorHAnsi" w:cstheme="minorHAnsi"/>
              </w:rPr>
            </w:pPr>
            <w:r w:rsidRPr="00677D4B">
              <w:rPr>
                <w:rFonts w:asciiTheme="minorHAnsi" w:hAnsiTheme="minorHAnsi" w:cstheme="minorHAnsi"/>
              </w:rPr>
              <w:t>4 (7)</w:t>
            </w:r>
          </w:p>
        </w:tc>
        <w:tc>
          <w:tcPr>
            <w:tcW w:w="1538" w:type="dxa"/>
            <w:gridSpan w:val="2"/>
          </w:tcPr>
          <w:p w14:paraId="5492F717" w14:textId="77777777" w:rsidR="009F5DE1" w:rsidRPr="00677D4B" w:rsidRDefault="009F5DE1" w:rsidP="00215D9E">
            <w:pPr>
              <w:pStyle w:val="TableParagraph"/>
              <w:spacing w:before="40" w:after="40"/>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6430D404" w14:textId="77777777" w:rsidTr="005C7260">
        <w:trPr>
          <w:gridBefore w:val="1"/>
          <w:wBefore w:w="9" w:type="dxa"/>
          <w:tblHeader/>
        </w:trPr>
        <w:tc>
          <w:tcPr>
            <w:tcW w:w="9517" w:type="dxa"/>
            <w:gridSpan w:val="10"/>
          </w:tcPr>
          <w:p w14:paraId="0CE430E2" w14:textId="77777777" w:rsidR="009F5DE1" w:rsidRPr="00677D4B" w:rsidRDefault="009F5DE1" w:rsidP="00215D9E">
            <w:pPr>
              <w:pStyle w:val="TableParagraph"/>
              <w:spacing w:before="40" w:after="40" w:line="253" w:lineRule="exact"/>
              <w:rPr>
                <w:rFonts w:asciiTheme="minorHAnsi" w:hAnsiTheme="minorHAnsi" w:cstheme="minorHAnsi"/>
                <w:b/>
              </w:rPr>
            </w:pPr>
            <w:r w:rsidRPr="00677D4B">
              <w:rPr>
                <w:rFonts w:asciiTheme="minorHAnsi" w:hAnsiTheme="minorHAnsi" w:cstheme="minorHAnsi"/>
                <w:b/>
              </w:rPr>
              <w:t>Nervous system disorders</w:t>
            </w:r>
          </w:p>
        </w:tc>
      </w:tr>
      <w:tr w:rsidR="00741A38" w:rsidRPr="00677D4B" w14:paraId="0446DE4B" w14:textId="77777777" w:rsidTr="005C7260">
        <w:trPr>
          <w:gridBefore w:val="1"/>
          <w:wBefore w:w="9" w:type="dxa"/>
          <w:tblHeader/>
        </w:trPr>
        <w:tc>
          <w:tcPr>
            <w:tcW w:w="3242" w:type="dxa"/>
            <w:gridSpan w:val="2"/>
          </w:tcPr>
          <w:p w14:paraId="498C8F31" w14:textId="77777777" w:rsidR="009F5DE1" w:rsidRPr="00677D4B" w:rsidRDefault="009F5DE1" w:rsidP="00215D9E">
            <w:pPr>
              <w:pStyle w:val="TableParagraph"/>
              <w:spacing w:before="40" w:after="40" w:line="257" w:lineRule="exact"/>
              <w:rPr>
                <w:rFonts w:asciiTheme="minorHAnsi" w:hAnsiTheme="minorHAnsi" w:cstheme="minorHAnsi"/>
              </w:rPr>
            </w:pPr>
            <w:r w:rsidRPr="00677D4B">
              <w:rPr>
                <w:rFonts w:asciiTheme="minorHAnsi" w:hAnsiTheme="minorHAnsi" w:cstheme="minorHAnsi"/>
              </w:rPr>
              <w:t>Headache</w:t>
            </w:r>
          </w:p>
        </w:tc>
        <w:tc>
          <w:tcPr>
            <w:tcW w:w="1576" w:type="dxa"/>
            <w:gridSpan w:val="2"/>
          </w:tcPr>
          <w:p w14:paraId="305E13EF" w14:textId="77777777" w:rsidR="009F5DE1" w:rsidRPr="00677D4B" w:rsidRDefault="009F5DE1" w:rsidP="00215D9E">
            <w:pPr>
              <w:pStyle w:val="TableParagraph"/>
              <w:spacing w:before="40" w:after="40" w:line="257" w:lineRule="exact"/>
              <w:ind w:left="436"/>
              <w:rPr>
                <w:rFonts w:asciiTheme="minorHAnsi" w:hAnsiTheme="minorHAnsi" w:cstheme="minorHAnsi"/>
              </w:rPr>
            </w:pPr>
            <w:r w:rsidRPr="00677D4B">
              <w:rPr>
                <w:rFonts w:asciiTheme="minorHAnsi" w:hAnsiTheme="minorHAnsi" w:cstheme="minorHAnsi"/>
              </w:rPr>
              <w:t>16 (13)</w:t>
            </w:r>
          </w:p>
        </w:tc>
        <w:tc>
          <w:tcPr>
            <w:tcW w:w="1671" w:type="dxa"/>
            <w:gridSpan w:val="2"/>
          </w:tcPr>
          <w:p w14:paraId="242F7617" w14:textId="77777777" w:rsidR="009F5DE1" w:rsidRPr="00677D4B" w:rsidRDefault="009F5DE1" w:rsidP="00215D9E">
            <w:pPr>
              <w:pStyle w:val="TableParagraph"/>
              <w:spacing w:before="40" w:after="40" w:line="257" w:lineRule="exact"/>
              <w:ind w:left="11"/>
              <w:jc w:val="center"/>
              <w:rPr>
                <w:rFonts w:asciiTheme="minorHAnsi" w:hAnsiTheme="minorHAnsi" w:cstheme="minorHAnsi"/>
              </w:rPr>
            </w:pPr>
            <w:r w:rsidRPr="00677D4B">
              <w:rPr>
                <w:rFonts w:asciiTheme="minorHAnsi" w:hAnsiTheme="minorHAnsi" w:cstheme="minorHAnsi"/>
              </w:rPr>
              <w:t>0</w:t>
            </w:r>
          </w:p>
        </w:tc>
        <w:tc>
          <w:tcPr>
            <w:tcW w:w="1490" w:type="dxa"/>
            <w:gridSpan w:val="2"/>
          </w:tcPr>
          <w:p w14:paraId="4BD22805" w14:textId="77777777" w:rsidR="009F5DE1" w:rsidRPr="00677D4B" w:rsidRDefault="009F5DE1" w:rsidP="00215D9E">
            <w:pPr>
              <w:pStyle w:val="TableParagraph"/>
              <w:spacing w:before="40" w:after="40" w:line="257" w:lineRule="exact"/>
              <w:ind w:left="356" w:right="357"/>
              <w:jc w:val="center"/>
              <w:rPr>
                <w:rFonts w:asciiTheme="minorHAnsi" w:hAnsiTheme="minorHAnsi" w:cstheme="minorHAnsi"/>
              </w:rPr>
            </w:pPr>
            <w:r w:rsidRPr="00677D4B">
              <w:rPr>
                <w:rFonts w:asciiTheme="minorHAnsi" w:hAnsiTheme="minorHAnsi" w:cstheme="minorHAnsi"/>
              </w:rPr>
              <w:t>4 (7)</w:t>
            </w:r>
          </w:p>
        </w:tc>
        <w:tc>
          <w:tcPr>
            <w:tcW w:w="1538" w:type="dxa"/>
            <w:gridSpan w:val="2"/>
          </w:tcPr>
          <w:p w14:paraId="58563596" w14:textId="77777777" w:rsidR="009F5DE1" w:rsidRPr="00677D4B" w:rsidRDefault="009F5DE1" w:rsidP="00215D9E">
            <w:pPr>
              <w:pStyle w:val="TableParagraph"/>
              <w:spacing w:before="40" w:after="40" w:line="257" w:lineRule="exact"/>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4C8A2325" w14:textId="77777777" w:rsidTr="005C7260">
        <w:trPr>
          <w:gridBefore w:val="1"/>
          <w:wBefore w:w="9" w:type="dxa"/>
          <w:tblHeader/>
        </w:trPr>
        <w:tc>
          <w:tcPr>
            <w:tcW w:w="3242" w:type="dxa"/>
            <w:gridSpan w:val="2"/>
          </w:tcPr>
          <w:p w14:paraId="41D008B2" w14:textId="77777777" w:rsidR="009F5DE1" w:rsidRPr="00677D4B" w:rsidRDefault="009F5DE1" w:rsidP="00215D9E">
            <w:pPr>
              <w:pStyle w:val="TableParagraph"/>
              <w:spacing w:before="40" w:after="40"/>
              <w:rPr>
                <w:rFonts w:asciiTheme="minorHAnsi" w:hAnsiTheme="minorHAnsi" w:cstheme="minorHAnsi"/>
              </w:rPr>
            </w:pPr>
            <w:r w:rsidRPr="00677D4B">
              <w:rPr>
                <w:rFonts w:asciiTheme="minorHAnsi" w:hAnsiTheme="minorHAnsi" w:cstheme="minorHAnsi"/>
              </w:rPr>
              <w:t>Neuropathy peripheral</w:t>
            </w:r>
            <w:r w:rsidRPr="00677D4B">
              <w:rPr>
                <w:rFonts w:asciiTheme="minorHAnsi" w:hAnsiTheme="minorHAnsi" w:cstheme="minorHAnsi"/>
                <w:vertAlign w:val="superscript"/>
              </w:rPr>
              <w:t>6</w:t>
            </w:r>
          </w:p>
        </w:tc>
        <w:tc>
          <w:tcPr>
            <w:tcW w:w="1576" w:type="dxa"/>
            <w:gridSpan w:val="2"/>
          </w:tcPr>
          <w:p w14:paraId="64EA79E4" w14:textId="77777777" w:rsidR="009F5DE1" w:rsidRPr="00677D4B" w:rsidRDefault="009F5DE1" w:rsidP="00215D9E">
            <w:pPr>
              <w:pStyle w:val="TableParagraph"/>
              <w:spacing w:before="40" w:after="40"/>
              <w:ind w:left="436"/>
              <w:rPr>
                <w:rFonts w:asciiTheme="minorHAnsi" w:hAnsiTheme="minorHAnsi" w:cstheme="minorHAnsi"/>
              </w:rPr>
            </w:pPr>
            <w:r w:rsidRPr="00677D4B">
              <w:rPr>
                <w:rFonts w:asciiTheme="minorHAnsi" w:hAnsiTheme="minorHAnsi" w:cstheme="minorHAnsi"/>
              </w:rPr>
              <w:t>13 (11)</w:t>
            </w:r>
          </w:p>
        </w:tc>
        <w:tc>
          <w:tcPr>
            <w:tcW w:w="1671" w:type="dxa"/>
            <w:gridSpan w:val="2"/>
          </w:tcPr>
          <w:p w14:paraId="125308E1" w14:textId="77777777" w:rsidR="009F5DE1" w:rsidRPr="00677D4B" w:rsidRDefault="009F5DE1" w:rsidP="00215D9E">
            <w:pPr>
              <w:pStyle w:val="TableParagraph"/>
              <w:spacing w:before="40" w:after="40"/>
              <w:ind w:left="11"/>
              <w:jc w:val="center"/>
              <w:rPr>
                <w:rFonts w:asciiTheme="minorHAnsi" w:hAnsiTheme="minorHAnsi" w:cstheme="minorHAnsi"/>
              </w:rPr>
            </w:pPr>
            <w:r w:rsidRPr="00677D4B">
              <w:rPr>
                <w:rFonts w:asciiTheme="minorHAnsi" w:hAnsiTheme="minorHAnsi" w:cstheme="minorHAnsi"/>
              </w:rPr>
              <w:t>0</w:t>
            </w:r>
          </w:p>
        </w:tc>
        <w:tc>
          <w:tcPr>
            <w:tcW w:w="1490" w:type="dxa"/>
            <w:gridSpan w:val="2"/>
          </w:tcPr>
          <w:p w14:paraId="16886C8B" w14:textId="77777777" w:rsidR="009F5DE1" w:rsidRPr="00677D4B" w:rsidRDefault="009F5DE1" w:rsidP="00215D9E">
            <w:pPr>
              <w:pStyle w:val="TableParagraph"/>
              <w:spacing w:before="40" w:after="40"/>
              <w:ind w:left="0"/>
              <w:jc w:val="center"/>
              <w:rPr>
                <w:rFonts w:asciiTheme="minorHAnsi" w:hAnsiTheme="minorHAnsi" w:cstheme="minorHAnsi"/>
              </w:rPr>
            </w:pPr>
            <w:r w:rsidRPr="00677D4B">
              <w:rPr>
                <w:rFonts w:asciiTheme="minorHAnsi" w:hAnsiTheme="minorHAnsi" w:cstheme="minorHAnsi"/>
              </w:rPr>
              <w:t>0</w:t>
            </w:r>
          </w:p>
        </w:tc>
        <w:tc>
          <w:tcPr>
            <w:tcW w:w="1538" w:type="dxa"/>
            <w:gridSpan w:val="2"/>
          </w:tcPr>
          <w:p w14:paraId="0AB8CAF2" w14:textId="77777777" w:rsidR="009F5DE1" w:rsidRPr="00677D4B" w:rsidRDefault="009F5DE1" w:rsidP="00215D9E">
            <w:pPr>
              <w:pStyle w:val="TableParagraph"/>
              <w:spacing w:before="40" w:after="40"/>
              <w:ind w:left="9"/>
              <w:jc w:val="center"/>
              <w:rPr>
                <w:rFonts w:asciiTheme="minorHAnsi" w:hAnsiTheme="minorHAnsi" w:cstheme="minorHAnsi"/>
              </w:rPr>
            </w:pPr>
            <w:r w:rsidRPr="00677D4B">
              <w:rPr>
                <w:rFonts w:asciiTheme="minorHAnsi" w:hAnsiTheme="minorHAnsi" w:cstheme="minorHAnsi"/>
              </w:rPr>
              <w:t>0</w:t>
            </w:r>
          </w:p>
        </w:tc>
      </w:tr>
      <w:tr w:rsidR="00741A38" w:rsidRPr="00677D4B" w14:paraId="020FD92D" w14:textId="77777777" w:rsidTr="005C7260">
        <w:trPr>
          <w:gridAfter w:val="1"/>
          <w:wAfter w:w="11" w:type="dxa"/>
          <w:tblHeader/>
        </w:trPr>
        <w:tc>
          <w:tcPr>
            <w:tcW w:w="6488" w:type="dxa"/>
            <w:gridSpan w:val="6"/>
          </w:tcPr>
          <w:p w14:paraId="22B47E3A" w14:textId="77777777" w:rsidR="007122DC" w:rsidRPr="00677D4B" w:rsidRDefault="007122DC" w:rsidP="00215D9E">
            <w:pPr>
              <w:pStyle w:val="TableParagraph"/>
              <w:spacing w:before="40" w:after="40"/>
              <w:rPr>
                <w:rFonts w:asciiTheme="minorHAnsi" w:hAnsiTheme="minorHAnsi" w:cstheme="minorHAnsi"/>
                <w:b/>
              </w:rPr>
            </w:pPr>
            <w:r w:rsidRPr="00677D4B">
              <w:rPr>
                <w:rFonts w:asciiTheme="minorHAnsi" w:hAnsiTheme="minorHAnsi" w:cstheme="minorHAnsi"/>
                <w:b/>
              </w:rPr>
              <w:t>Investigations</w:t>
            </w:r>
          </w:p>
        </w:tc>
        <w:tc>
          <w:tcPr>
            <w:tcW w:w="1489" w:type="dxa"/>
            <w:gridSpan w:val="2"/>
          </w:tcPr>
          <w:p w14:paraId="015B4526" w14:textId="77777777" w:rsidR="007122DC" w:rsidRPr="00677D4B" w:rsidRDefault="007122DC" w:rsidP="00215D9E">
            <w:pPr>
              <w:pStyle w:val="TableParagraph"/>
              <w:spacing w:before="40" w:after="40"/>
              <w:ind w:left="0"/>
              <w:rPr>
                <w:rFonts w:asciiTheme="minorHAnsi" w:hAnsiTheme="minorHAnsi" w:cstheme="minorHAnsi"/>
              </w:rPr>
            </w:pPr>
          </w:p>
        </w:tc>
        <w:tc>
          <w:tcPr>
            <w:tcW w:w="1538" w:type="dxa"/>
            <w:gridSpan w:val="2"/>
          </w:tcPr>
          <w:p w14:paraId="2578809F" w14:textId="77777777" w:rsidR="007122DC" w:rsidRPr="00677D4B" w:rsidRDefault="007122DC" w:rsidP="00215D9E">
            <w:pPr>
              <w:pStyle w:val="TableParagraph"/>
              <w:spacing w:before="40" w:after="40"/>
              <w:ind w:left="0"/>
              <w:rPr>
                <w:rFonts w:asciiTheme="minorHAnsi" w:hAnsiTheme="minorHAnsi" w:cstheme="minorHAnsi"/>
              </w:rPr>
            </w:pPr>
          </w:p>
        </w:tc>
      </w:tr>
      <w:tr w:rsidR="00D65CED" w:rsidRPr="00677D4B" w14:paraId="106E69BB" w14:textId="77777777" w:rsidTr="005C7260">
        <w:trPr>
          <w:tblHeader/>
        </w:trPr>
        <w:tc>
          <w:tcPr>
            <w:tcW w:w="3241" w:type="dxa"/>
            <w:gridSpan w:val="2"/>
          </w:tcPr>
          <w:p w14:paraId="1AF84600" w14:textId="77777777" w:rsidR="00C55DD0" w:rsidRPr="00677D4B" w:rsidRDefault="00C55DD0" w:rsidP="00215D9E">
            <w:pPr>
              <w:pStyle w:val="TableParagraph"/>
              <w:spacing w:before="40" w:after="40" w:line="274" w:lineRule="exact"/>
              <w:ind w:right="936"/>
              <w:rPr>
                <w:rFonts w:asciiTheme="minorHAnsi" w:hAnsiTheme="minorHAnsi" w:cstheme="minorHAnsi"/>
              </w:rPr>
            </w:pPr>
            <w:r w:rsidRPr="00677D4B">
              <w:rPr>
                <w:rFonts w:asciiTheme="minorHAnsi" w:hAnsiTheme="minorHAnsi" w:cstheme="minorHAnsi"/>
              </w:rPr>
              <w:t>Electrocardiogram QT prolonged</w:t>
            </w:r>
          </w:p>
        </w:tc>
        <w:tc>
          <w:tcPr>
            <w:tcW w:w="1575" w:type="dxa"/>
            <w:gridSpan w:val="2"/>
          </w:tcPr>
          <w:p w14:paraId="41A22406" w14:textId="77777777" w:rsidR="00C55DD0" w:rsidRPr="00677D4B" w:rsidRDefault="00C55DD0" w:rsidP="00215D9E">
            <w:pPr>
              <w:pStyle w:val="TableParagraph"/>
              <w:spacing w:before="40" w:after="40" w:line="273" w:lineRule="exact"/>
              <w:ind w:left="436"/>
              <w:rPr>
                <w:rFonts w:asciiTheme="minorHAnsi" w:hAnsiTheme="minorHAnsi" w:cstheme="minorHAnsi"/>
              </w:rPr>
            </w:pPr>
            <w:r w:rsidRPr="00677D4B">
              <w:rPr>
                <w:rFonts w:asciiTheme="minorHAnsi" w:hAnsiTheme="minorHAnsi" w:cstheme="minorHAnsi"/>
              </w:rPr>
              <w:t>12 (10)</w:t>
            </w:r>
          </w:p>
        </w:tc>
        <w:tc>
          <w:tcPr>
            <w:tcW w:w="1682" w:type="dxa"/>
            <w:gridSpan w:val="3"/>
          </w:tcPr>
          <w:p w14:paraId="044CD299" w14:textId="77777777" w:rsidR="00C55DD0" w:rsidRPr="00677D4B" w:rsidRDefault="00C55DD0" w:rsidP="00215D9E">
            <w:pPr>
              <w:pStyle w:val="TableParagraph"/>
              <w:spacing w:before="40" w:after="40" w:line="273" w:lineRule="exact"/>
              <w:ind w:left="586" w:right="576"/>
              <w:jc w:val="center"/>
              <w:rPr>
                <w:rFonts w:asciiTheme="minorHAnsi" w:hAnsiTheme="minorHAnsi" w:cstheme="minorHAnsi"/>
              </w:rPr>
            </w:pPr>
            <w:r w:rsidRPr="00677D4B">
              <w:rPr>
                <w:rFonts w:asciiTheme="minorHAnsi" w:hAnsiTheme="minorHAnsi" w:cstheme="minorHAnsi"/>
              </w:rPr>
              <w:t>2 (2)</w:t>
            </w:r>
          </w:p>
        </w:tc>
        <w:tc>
          <w:tcPr>
            <w:tcW w:w="1490" w:type="dxa"/>
            <w:gridSpan w:val="2"/>
          </w:tcPr>
          <w:p w14:paraId="1237F7F3" w14:textId="77777777" w:rsidR="00C55DD0" w:rsidRPr="00677D4B" w:rsidRDefault="00C55DD0" w:rsidP="00215D9E">
            <w:pPr>
              <w:pStyle w:val="TableParagraph"/>
              <w:spacing w:before="40" w:after="40" w:line="273" w:lineRule="exact"/>
              <w:ind w:left="489" w:right="489"/>
              <w:jc w:val="center"/>
              <w:rPr>
                <w:rFonts w:asciiTheme="minorHAnsi" w:hAnsiTheme="minorHAnsi" w:cstheme="minorHAnsi"/>
              </w:rPr>
            </w:pPr>
            <w:r w:rsidRPr="00677D4B">
              <w:rPr>
                <w:rFonts w:asciiTheme="minorHAnsi" w:hAnsiTheme="minorHAnsi" w:cstheme="minorHAnsi"/>
              </w:rPr>
              <w:t>2 (3)</w:t>
            </w:r>
          </w:p>
        </w:tc>
        <w:tc>
          <w:tcPr>
            <w:tcW w:w="1538" w:type="dxa"/>
            <w:gridSpan w:val="2"/>
          </w:tcPr>
          <w:p w14:paraId="082FD9E1" w14:textId="77777777" w:rsidR="00C55DD0" w:rsidRPr="00677D4B" w:rsidRDefault="00C55DD0" w:rsidP="00215D9E">
            <w:pPr>
              <w:pStyle w:val="TableParagraph"/>
              <w:spacing w:before="40" w:after="40" w:line="273" w:lineRule="exact"/>
              <w:ind w:left="9"/>
              <w:jc w:val="center"/>
              <w:rPr>
                <w:rFonts w:asciiTheme="minorHAnsi" w:hAnsiTheme="minorHAnsi" w:cstheme="minorHAnsi"/>
              </w:rPr>
            </w:pPr>
            <w:r w:rsidRPr="00677D4B">
              <w:rPr>
                <w:rFonts w:asciiTheme="minorHAnsi" w:hAnsiTheme="minorHAnsi" w:cstheme="minorHAnsi"/>
              </w:rPr>
              <w:t>0</w:t>
            </w:r>
          </w:p>
        </w:tc>
      </w:tr>
      <w:tr w:rsidR="00AE04CD" w:rsidRPr="00677D4B" w14:paraId="44396DE2" w14:textId="77777777" w:rsidTr="005C7260">
        <w:trPr>
          <w:tblHeader/>
        </w:trPr>
        <w:tc>
          <w:tcPr>
            <w:tcW w:w="9526" w:type="dxa"/>
            <w:gridSpan w:val="11"/>
          </w:tcPr>
          <w:p w14:paraId="616BDAC6" w14:textId="77777777" w:rsidR="00215D9E" w:rsidRPr="00677D4B" w:rsidRDefault="00215D9E" w:rsidP="00677D4B">
            <w:pPr>
              <w:ind w:left="180"/>
              <w:rPr>
                <w:rFonts w:asciiTheme="minorHAnsi" w:hAnsiTheme="minorHAnsi" w:cstheme="minorHAnsi"/>
                <w:sz w:val="18"/>
                <w:szCs w:val="18"/>
              </w:rPr>
            </w:pPr>
            <w:r w:rsidRPr="00677D4B">
              <w:rPr>
                <w:rFonts w:asciiTheme="minorHAnsi" w:hAnsiTheme="minorHAnsi" w:cstheme="minorHAnsi"/>
                <w:position w:val="5"/>
                <w:sz w:val="18"/>
                <w:szCs w:val="18"/>
              </w:rPr>
              <w:t xml:space="preserve">1 </w:t>
            </w:r>
            <w:r w:rsidRPr="00677D4B">
              <w:rPr>
                <w:rFonts w:asciiTheme="minorHAnsi" w:hAnsiTheme="minorHAnsi" w:cstheme="minorHAnsi"/>
                <w:sz w:val="18"/>
                <w:szCs w:val="18"/>
              </w:rPr>
              <w:t>Grouped term includes asthenia and fatigue.</w:t>
            </w:r>
          </w:p>
          <w:p w14:paraId="01B4D884" w14:textId="77777777" w:rsidR="00215D9E" w:rsidRPr="00677D4B" w:rsidRDefault="00215D9E" w:rsidP="00677D4B">
            <w:pPr>
              <w:spacing w:line="264" w:lineRule="auto"/>
              <w:ind w:left="367" w:right="588" w:hanging="188"/>
              <w:rPr>
                <w:rFonts w:asciiTheme="minorHAnsi" w:hAnsiTheme="minorHAnsi" w:cstheme="minorHAnsi"/>
                <w:sz w:val="18"/>
                <w:szCs w:val="18"/>
              </w:rPr>
            </w:pPr>
            <w:r w:rsidRPr="00677D4B">
              <w:rPr>
                <w:rFonts w:asciiTheme="minorHAnsi" w:hAnsiTheme="minorHAnsi" w:cstheme="minorHAnsi"/>
                <w:position w:val="5"/>
                <w:sz w:val="18"/>
                <w:szCs w:val="18"/>
              </w:rPr>
              <w:t>2</w:t>
            </w:r>
            <w:r w:rsidRPr="00677D4B">
              <w:rPr>
                <w:rFonts w:asciiTheme="minorHAnsi" w:hAnsiTheme="minorHAnsi" w:cstheme="minorHAnsi"/>
                <w:spacing w:val="15"/>
                <w:position w:val="5"/>
                <w:sz w:val="18"/>
                <w:szCs w:val="18"/>
              </w:rPr>
              <w:t xml:space="preserve"> </w:t>
            </w:r>
            <w:r w:rsidRPr="00677D4B">
              <w:rPr>
                <w:rFonts w:asciiTheme="minorHAnsi" w:hAnsiTheme="minorHAnsi" w:cstheme="minorHAnsi"/>
                <w:sz w:val="18"/>
                <w:szCs w:val="18"/>
              </w:rPr>
              <w:t>Grouped</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term</w:t>
            </w:r>
            <w:r w:rsidRPr="00677D4B">
              <w:rPr>
                <w:rFonts w:asciiTheme="minorHAnsi" w:hAnsiTheme="minorHAnsi" w:cstheme="minorHAnsi"/>
                <w:spacing w:val="-14"/>
                <w:sz w:val="18"/>
                <w:szCs w:val="18"/>
              </w:rPr>
              <w:t xml:space="preserve"> </w:t>
            </w:r>
            <w:r w:rsidRPr="00677D4B">
              <w:rPr>
                <w:rFonts w:asciiTheme="minorHAnsi" w:hAnsiTheme="minorHAnsi" w:cstheme="minorHAnsi"/>
                <w:sz w:val="18"/>
                <w:szCs w:val="18"/>
              </w:rPr>
              <w:t>includes</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abdominal</w:t>
            </w:r>
            <w:r w:rsidRPr="00677D4B">
              <w:rPr>
                <w:rFonts w:asciiTheme="minorHAnsi" w:hAnsiTheme="minorHAnsi" w:cstheme="minorHAnsi"/>
                <w:spacing w:val="-19"/>
                <w:sz w:val="18"/>
                <w:szCs w:val="18"/>
              </w:rPr>
              <w:t xml:space="preserve"> </w:t>
            </w:r>
            <w:r w:rsidRPr="00677D4B">
              <w:rPr>
                <w:rFonts w:asciiTheme="minorHAnsi" w:hAnsiTheme="minorHAnsi" w:cstheme="minorHAnsi"/>
                <w:sz w:val="18"/>
                <w:szCs w:val="18"/>
              </w:rPr>
              <w:t>pain,</w:t>
            </w:r>
            <w:r w:rsidRPr="00677D4B">
              <w:rPr>
                <w:rFonts w:asciiTheme="minorHAnsi" w:hAnsiTheme="minorHAnsi" w:cstheme="minorHAnsi"/>
                <w:spacing w:val="-18"/>
                <w:sz w:val="18"/>
                <w:szCs w:val="18"/>
              </w:rPr>
              <w:t xml:space="preserve"> </w:t>
            </w:r>
            <w:r w:rsidRPr="00677D4B">
              <w:rPr>
                <w:rFonts w:asciiTheme="minorHAnsi" w:hAnsiTheme="minorHAnsi" w:cstheme="minorHAnsi"/>
                <w:sz w:val="18"/>
                <w:szCs w:val="18"/>
              </w:rPr>
              <w:t>abdominal</w:t>
            </w:r>
            <w:r w:rsidRPr="00677D4B">
              <w:rPr>
                <w:rFonts w:asciiTheme="minorHAnsi" w:hAnsiTheme="minorHAnsi" w:cstheme="minorHAnsi"/>
                <w:spacing w:val="-19"/>
                <w:sz w:val="18"/>
                <w:szCs w:val="18"/>
              </w:rPr>
              <w:t xml:space="preserve"> </w:t>
            </w:r>
            <w:r w:rsidRPr="00677D4B">
              <w:rPr>
                <w:rFonts w:asciiTheme="minorHAnsi" w:hAnsiTheme="minorHAnsi" w:cstheme="minorHAnsi"/>
                <w:sz w:val="18"/>
                <w:szCs w:val="18"/>
              </w:rPr>
              <w:t>pain</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upper,</w:t>
            </w:r>
            <w:r w:rsidRPr="00677D4B">
              <w:rPr>
                <w:rFonts w:asciiTheme="minorHAnsi" w:hAnsiTheme="minorHAnsi" w:cstheme="minorHAnsi"/>
                <w:spacing w:val="-19"/>
                <w:sz w:val="18"/>
                <w:szCs w:val="18"/>
              </w:rPr>
              <w:t xml:space="preserve"> </w:t>
            </w:r>
            <w:r w:rsidRPr="00677D4B">
              <w:rPr>
                <w:rFonts w:asciiTheme="minorHAnsi" w:hAnsiTheme="minorHAnsi" w:cstheme="minorHAnsi"/>
                <w:sz w:val="18"/>
                <w:szCs w:val="18"/>
              </w:rPr>
              <w:t>abdominal</w:t>
            </w:r>
            <w:r w:rsidRPr="00677D4B">
              <w:rPr>
                <w:rFonts w:asciiTheme="minorHAnsi" w:hAnsiTheme="minorHAnsi" w:cstheme="minorHAnsi"/>
                <w:spacing w:val="-18"/>
                <w:sz w:val="18"/>
                <w:szCs w:val="18"/>
              </w:rPr>
              <w:t xml:space="preserve"> </w:t>
            </w:r>
            <w:r w:rsidRPr="00677D4B">
              <w:rPr>
                <w:rFonts w:asciiTheme="minorHAnsi" w:hAnsiTheme="minorHAnsi" w:cstheme="minorHAnsi"/>
                <w:sz w:val="18"/>
                <w:szCs w:val="18"/>
              </w:rPr>
              <w:t>discomfort,</w:t>
            </w:r>
            <w:r w:rsidRPr="00677D4B">
              <w:rPr>
                <w:rFonts w:asciiTheme="minorHAnsi" w:hAnsiTheme="minorHAnsi" w:cstheme="minorHAnsi"/>
                <w:spacing w:val="-19"/>
                <w:sz w:val="18"/>
                <w:szCs w:val="18"/>
              </w:rPr>
              <w:t xml:space="preserve"> </w:t>
            </w:r>
            <w:r w:rsidRPr="00677D4B">
              <w:rPr>
                <w:rFonts w:asciiTheme="minorHAnsi" w:hAnsiTheme="minorHAnsi" w:cstheme="minorHAnsi"/>
                <w:sz w:val="18"/>
                <w:szCs w:val="18"/>
              </w:rPr>
              <w:t>abdominal</w:t>
            </w:r>
            <w:r w:rsidRPr="00677D4B">
              <w:rPr>
                <w:rFonts w:asciiTheme="minorHAnsi" w:hAnsiTheme="minorHAnsi" w:cstheme="minorHAnsi"/>
                <w:spacing w:val="-19"/>
                <w:sz w:val="18"/>
                <w:szCs w:val="18"/>
              </w:rPr>
              <w:t xml:space="preserve"> </w:t>
            </w:r>
            <w:r w:rsidRPr="00677D4B">
              <w:rPr>
                <w:rFonts w:asciiTheme="minorHAnsi" w:hAnsiTheme="minorHAnsi" w:cstheme="minorHAnsi"/>
                <w:sz w:val="18"/>
                <w:szCs w:val="18"/>
              </w:rPr>
              <w:t>pain</w:t>
            </w:r>
            <w:r w:rsidRPr="00677D4B">
              <w:rPr>
                <w:rFonts w:asciiTheme="minorHAnsi" w:hAnsiTheme="minorHAnsi" w:cstheme="minorHAnsi"/>
                <w:spacing w:val="-16"/>
                <w:sz w:val="18"/>
                <w:szCs w:val="18"/>
              </w:rPr>
              <w:t xml:space="preserve"> </w:t>
            </w:r>
            <w:r w:rsidRPr="00677D4B">
              <w:rPr>
                <w:rFonts w:asciiTheme="minorHAnsi" w:hAnsiTheme="minorHAnsi" w:cstheme="minorHAnsi"/>
                <w:sz w:val="18"/>
                <w:szCs w:val="18"/>
              </w:rPr>
              <w:t>lower,</w:t>
            </w:r>
            <w:r w:rsidRPr="00677D4B">
              <w:rPr>
                <w:rFonts w:asciiTheme="minorHAnsi" w:hAnsiTheme="minorHAnsi" w:cstheme="minorHAnsi"/>
                <w:spacing w:val="-16"/>
                <w:sz w:val="18"/>
                <w:szCs w:val="18"/>
              </w:rPr>
              <w:t xml:space="preserve"> </w:t>
            </w:r>
            <w:r w:rsidRPr="00677D4B">
              <w:rPr>
                <w:rFonts w:asciiTheme="minorHAnsi" w:hAnsiTheme="minorHAnsi" w:cstheme="minorHAnsi"/>
                <w:sz w:val="18"/>
                <w:szCs w:val="18"/>
              </w:rPr>
              <w:t>epigastric</w:t>
            </w:r>
            <w:r w:rsidRPr="00677D4B">
              <w:rPr>
                <w:rFonts w:asciiTheme="minorHAnsi" w:hAnsiTheme="minorHAnsi" w:cstheme="minorHAnsi"/>
                <w:spacing w:val="-11"/>
                <w:sz w:val="18"/>
                <w:szCs w:val="18"/>
              </w:rPr>
              <w:t xml:space="preserve"> </w:t>
            </w:r>
            <w:r w:rsidRPr="00677D4B">
              <w:rPr>
                <w:rFonts w:asciiTheme="minorHAnsi" w:hAnsiTheme="minorHAnsi" w:cstheme="minorHAnsi"/>
                <w:sz w:val="18"/>
                <w:szCs w:val="18"/>
              </w:rPr>
              <w:t>discomfort,</w:t>
            </w:r>
            <w:r w:rsidRPr="00677D4B">
              <w:rPr>
                <w:rFonts w:asciiTheme="minorHAnsi" w:hAnsiTheme="minorHAnsi" w:cstheme="minorHAnsi"/>
                <w:spacing w:val="-19"/>
                <w:sz w:val="18"/>
                <w:szCs w:val="18"/>
              </w:rPr>
              <w:t xml:space="preserve"> </w:t>
            </w:r>
            <w:r w:rsidRPr="00677D4B">
              <w:rPr>
                <w:rFonts w:asciiTheme="minorHAnsi" w:hAnsiTheme="minorHAnsi" w:cstheme="minorHAnsi"/>
                <w:sz w:val="18"/>
                <w:szCs w:val="18"/>
              </w:rPr>
              <w:t xml:space="preserve">abdominal tenderness, </w:t>
            </w:r>
            <w:r w:rsidRPr="00677D4B">
              <w:rPr>
                <w:rFonts w:asciiTheme="minorHAnsi" w:hAnsiTheme="minorHAnsi" w:cstheme="minorHAnsi"/>
                <w:spacing w:val="-3"/>
                <w:sz w:val="18"/>
                <w:szCs w:val="18"/>
              </w:rPr>
              <w:t xml:space="preserve">and </w:t>
            </w:r>
            <w:r w:rsidRPr="00677D4B">
              <w:rPr>
                <w:rFonts w:asciiTheme="minorHAnsi" w:hAnsiTheme="minorHAnsi" w:cstheme="minorHAnsi"/>
                <w:sz w:val="18"/>
                <w:szCs w:val="18"/>
              </w:rPr>
              <w:t>gastrointestinal</w:t>
            </w:r>
            <w:r w:rsidRPr="00677D4B">
              <w:rPr>
                <w:rFonts w:asciiTheme="minorHAnsi" w:hAnsiTheme="minorHAnsi" w:cstheme="minorHAnsi"/>
                <w:spacing w:val="-14"/>
                <w:sz w:val="18"/>
                <w:szCs w:val="18"/>
              </w:rPr>
              <w:t xml:space="preserve"> </w:t>
            </w:r>
            <w:r w:rsidRPr="00677D4B">
              <w:rPr>
                <w:rFonts w:asciiTheme="minorHAnsi" w:hAnsiTheme="minorHAnsi" w:cstheme="minorHAnsi"/>
                <w:sz w:val="18"/>
                <w:szCs w:val="18"/>
              </w:rPr>
              <w:t>pain.</w:t>
            </w:r>
          </w:p>
          <w:p w14:paraId="11E2F9BA" w14:textId="77777777" w:rsidR="00215D9E" w:rsidRPr="00677D4B" w:rsidRDefault="00215D9E" w:rsidP="00677D4B">
            <w:pPr>
              <w:ind w:left="180"/>
              <w:rPr>
                <w:rFonts w:asciiTheme="minorHAnsi" w:hAnsiTheme="minorHAnsi" w:cstheme="minorHAnsi"/>
                <w:sz w:val="18"/>
                <w:szCs w:val="18"/>
              </w:rPr>
            </w:pPr>
            <w:r w:rsidRPr="00677D4B">
              <w:rPr>
                <w:rFonts w:asciiTheme="minorHAnsi" w:hAnsiTheme="minorHAnsi" w:cstheme="minorHAnsi"/>
                <w:position w:val="5"/>
                <w:sz w:val="18"/>
                <w:szCs w:val="18"/>
              </w:rPr>
              <w:t xml:space="preserve">3 </w:t>
            </w:r>
            <w:r w:rsidRPr="00677D4B">
              <w:rPr>
                <w:rFonts w:asciiTheme="minorHAnsi" w:hAnsiTheme="minorHAnsi" w:cstheme="minorHAnsi"/>
                <w:sz w:val="18"/>
                <w:szCs w:val="18"/>
              </w:rPr>
              <w:t>Grouped term includes vomiting and retching.</w:t>
            </w:r>
          </w:p>
          <w:p w14:paraId="4B9309C5" w14:textId="77777777" w:rsidR="00215D9E" w:rsidRPr="00677D4B" w:rsidRDefault="00215D9E" w:rsidP="00677D4B">
            <w:pPr>
              <w:ind w:left="180"/>
              <w:rPr>
                <w:rFonts w:asciiTheme="minorHAnsi" w:hAnsiTheme="minorHAnsi" w:cstheme="minorHAnsi"/>
                <w:sz w:val="18"/>
                <w:szCs w:val="18"/>
              </w:rPr>
            </w:pPr>
            <w:r w:rsidRPr="00677D4B">
              <w:rPr>
                <w:rFonts w:asciiTheme="minorHAnsi" w:hAnsiTheme="minorHAnsi" w:cstheme="minorHAnsi"/>
                <w:position w:val="5"/>
                <w:sz w:val="18"/>
                <w:szCs w:val="18"/>
              </w:rPr>
              <w:t xml:space="preserve">4 </w:t>
            </w:r>
            <w:r w:rsidRPr="00677D4B">
              <w:rPr>
                <w:rFonts w:asciiTheme="minorHAnsi" w:hAnsiTheme="minorHAnsi" w:cstheme="minorHAnsi"/>
                <w:sz w:val="18"/>
                <w:szCs w:val="18"/>
              </w:rPr>
              <w:t>Grouped term includes cough and productive cough.</w:t>
            </w:r>
          </w:p>
          <w:p w14:paraId="62EABA0F" w14:textId="42E75AAA" w:rsidR="00215D9E" w:rsidRPr="00677D4B" w:rsidRDefault="00215D9E" w:rsidP="00677D4B">
            <w:pPr>
              <w:spacing w:line="264" w:lineRule="auto"/>
              <w:ind w:left="367" w:right="588" w:hanging="188"/>
              <w:rPr>
                <w:rFonts w:asciiTheme="minorHAnsi" w:hAnsiTheme="minorHAnsi" w:cstheme="minorHAnsi"/>
                <w:sz w:val="18"/>
                <w:szCs w:val="18"/>
              </w:rPr>
            </w:pPr>
            <w:r w:rsidRPr="00677D4B">
              <w:rPr>
                <w:rFonts w:asciiTheme="minorHAnsi" w:hAnsiTheme="minorHAnsi" w:cstheme="minorHAnsi"/>
                <w:position w:val="5"/>
                <w:sz w:val="18"/>
                <w:szCs w:val="18"/>
              </w:rPr>
              <w:t>5</w:t>
            </w:r>
            <w:r w:rsidRPr="00677D4B">
              <w:rPr>
                <w:rFonts w:asciiTheme="minorHAnsi" w:hAnsiTheme="minorHAnsi" w:cstheme="minorHAnsi"/>
                <w:spacing w:val="21"/>
                <w:position w:val="5"/>
                <w:sz w:val="18"/>
                <w:szCs w:val="18"/>
              </w:rPr>
              <w:t xml:space="preserve"> </w:t>
            </w:r>
            <w:r w:rsidRPr="00677D4B">
              <w:rPr>
                <w:rFonts w:asciiTheme="minorHAnsi" w:hAnsiTheme="minorHAnsi" w:cstheme="minorHAnsi"/>
                <w:sz w:val="18"/>
                <w:szCs w:val="18"/>
              </w:rPr>
              <w:t>Grouped</w:t>
            </w:r>
            <w:r w:rsidRPr="00677D4B">
              <w:rPr>
                <w:rFonts w:asciiTheme="minorHAnsi" w:hAnsiTheme="minorHAnsi" w:cstheme="minorHAnsi"/>
                <w:spacing w:val="-12"/>
                <w:sz w:val="18"/>
                <w:szCs w:val="18"/>
              </w:rPr>
              <w:t xml:space="preserve"> </w:t>
            </w:r>
            <w:r w:rsidRPr="00677D4B">
              <w:rPr>
                <w:rFonts w:asciiTheme="minorHAnsi" w:hAnsiTheme="minorHAnsi" w:cstheme="minorHAnsi"/>
                <w:sz w:val="18"/>
                <w:szCs w:val="18"/>
              </w:rPr>
              <w:t>term</w:t>
            </w:r>
            <w:r w:rsidRPr="00677D4B">
              <w:rPr>
                <w:rFonts w:asciiTheme="minorHAnsi" w:hAnsiTheme="minorHAnsi" w:cstheme="minorHAnsi"/>
                <w:spacing w:val="-12"/>
                <w:sz w:val="18"/>
                <w:szCs w:val="18"/>
              </w:rPr>
              <w:t xml:space="preserve"> </w:t>
            </w:r>
            <w:r w:rsidRPr="00677D4B">
              <w:rPr>
                <w:rFonts w:asciiTheme="minorHAnsi" w:hAnsiTheme="minorHAnsi" w:cstheme="minorHAnsi"/>
                <w:sz w:val="18"/>
                <w:szCs w:val="18"/>
              </w:rPr>
              <w:t>includes</w:t>
            </w:r>
            <w:r w:rsidRPr="00677D4B">
              <w:rPr>
                <w:rFonts w:asciiTheme="minorHAnsi" w:hAnsiTheme="minorHAnsi" w:cstheme="minorHAnsi"/>
                <w:spacing w:val="-11"/>
                <w:sz w:val="18"/>
                <w:szCs w:val="18"/>
              </w:rPr>
              <w:t xml:space="preserve"> </w:t>
            </w:r>
            <w:r w:rsidRPr="00677D4B">
              <w:rPr>
                <w:rFonts w:asciiTheme="minorHAnsi" w:hAnsiTheme="minorHAnsi" w:cstheme="minorHAnsi"/>
                <w:sz w:val="18"/>
                <w:szCs w:val="18"/>
              </w:rPr>
              <w:t>rash,</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rash</w:t>
            </w:r>
            <w:r w:rsidRPr="00677D4B">
              <w:rPr>
                <w:rFonts w:asciiTheme="minorHAnsi" w:hAnsiTheme="minorHAnsi" w:cstheme="minorHAnsi"/>
                <w:spacing w:val="-12"/>
                <w:sz w:val="18"/>
                <w:szCs w:val="18"/>
              </w:rPr>
              <w:t xml:space="preserve"> </w:t>
            </w:r>
            <w:r w:rsidRPr="00677D4B">
              <w:rPr>
                <w:rFonts w:asciiTheme="minorHAnsi" w:hAnsiTheme="minorHAnsi" w:cstheme="minorHAnsi"/>
                <w:sz w:val="18"/>
                <w:szCs w:val="18"/>
              </w:rPr>
              <w:t>maculo-papular,</w:t>
            </w:r>
            <w:r w:rsidRPr="00677D4B">
              <w:rPr>
                <w:rFonts w:asciiTheme="minorHAnsi" w:hAnsiTheme="minorHAnsi" w:cstheme="minorHAnsi"/>
                <w:spacing w:val="-14"/>
                <w:sz w:val="18"/>
                <w:szCs w:val="18"/>
              </w:rPr>
              <w:t xml:space="preserve"> </w:t>
            </w:r>
            <w:r w:rsidRPr="00677D4B">
              <w:rPr>
                <w:rFonts w:asciiTheme="minorHAnsi" w:hAnsiTheme="minorHAnsi" w:cstheme="minorHAnsi"/>
                <w:sz w:val="18"/>
                <w:szCs w:val="18"/>
              </w:rPr>
              <w:t>erythema,</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rash</w:t>
            </w:r>
            <w:r w:rsidRPr="00677D4B">
              <w:rPr>
                <w:rFonts w:asciiTheme="minorHAnsi" w:hAnsiTheme="minorHAnsi" w:cstheme="minorHAnsi"/>
                <w:spacing w:val="-15"/>
                <w:sz w:val="18"/>
                <w:szCs w:val="18"/>
              </w:rPr>
              <w:t xml:space="preserve"> </w:t>
            </w:r>
            <w:r w:rsidRPr="00677D4B">
              <w:rPr>
                <w:rFonts w:asciiTheme="minorHAnsi" w:hAnsiTheme="minorHAnsi" w:cstheme="minorHAnsi"/>
                <w:sz w:val="18"/>
                <w:szCs w:val="18"/>
              </w:rPr>
              <w:t>macular,</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dermatitis</w:t>
            </w:r>
            <w:r w:rsidRPr="00677D4B">
              <w:rPr>
                <w:rFonts w:asciiTheme="minorHAnsi" w:hAnsiTheme="minorHAnsi" w:cstheme="minorHAnsi"/>
                <w:spacing w:val="-14"/>
                <w:sz w:val="18"/>
                <w:szCs w:val="18"/>
              </w:rPr>
              <w:t xml:space="preserve"> </w:t>
            </w:r>
            <w:r w:rsidRPr="00677D4B">
              <w:rPr>
                <w:rFonts w:asciiTheme="minorHAnsi" w:hAnsiTheme="minorHAnsi" w:cstheme="minorHAnsi"/>
                <w:sz w:val="18"/>
                <w:szCs w:val="18"/>
              </w:rPr>
              <w:t>exfoliative</w:t>
            </w:r>
            <w:r w:rsidRPr="00677D4B">
              <w:rPr>
                <w:rFonts w:asciiTheme="minorHAnsi" w:hAnsiTheme="minorHAnsi" w:cstheme="minorHAnsi"/>
                <w:spacing w:val="-15"/>
                <w:sz w:val="18"/>
                <w:szCs w:val="18"/>
              </w:rPr>
              <w:t xml:space="preserve"> </w:t>
            </w:r>
            <w:r w:rsidRPr="00677D4B">
              <w:rPr>
                <w:rFonts w:asciiTheme="minorHAnsi" w:hAnsiTheme="minorHAnsi" w:cstheme="minorHAnsi"/>
                <w:sz w:val="18"/>
                <w:szCs w:val="18"/>
              </w:rPr>
              <w:t>generali</w:t>
            </w:r>
            <w:r w:rsidR="008C0CE3">
              <w:rPr>
                <w:rFonts w:asciiTheme="minorHAnsi" w:hAnsiTheme="minorHAnsi" w:cstheme="minorHAnsi"/>
                <w:sz w:val="18"/>
                <w:szCs w:val="18"/>
              </w:rPr>
              <w:t>s</w:t>
            </w:r>
            <w:r w:rsidRPr="00677D4B">
              <w:rPr>
                <w:rFonts w:asciiTheme="minorHAnsi" w:hAnsiTheme="minorHAnsi" w:cstheme="minorHAnsi"/>
                <w:sz w:val="18"/>
                <w:szCs w:val="18"/>
              </w:rPr>
              <w:t>ed,</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drug</w:t>
            </w:r>
            <w:r w:rsidRPr="00677D4B">
              <w:rPr>
                <w:rFonts w:asciiTheme="minorHAnsi" w:hAnsiTheme="minorHAnsi" w:cstheme="minorHAnsi"/>
                <w:spacing w:val="-12"/>
                <w:sz w:val="18"/>
                <w:szCs w:val="18"/>
              </w:rPr>
              <w:t xml:space="preserve"> </w:t>
            </w:r>
            <w:r w:rsidRPr="00677D4B">
              <w:rPr>
                <w:rFonts w:asciiTheme="minorHAnsi" w:hAnsiTheme="minorHAnsi" w:cstheme="minorHAnsi"/>
                <w:sz w:val="18"/>
                <w:szCs w:val="18"/>
              </w:rPr>
              <w:t>eruption,</w:t>
            </w:r>
            <w:r w:rsidRPr="00677D4B">
              <w:rPr>
                <w:rFonts w:asciiTheme="minorHAnsi" w:hAnsiTheme="minorHAnsi" w:cstheme="minorHAnsi"/>
                <w:spacing w:val="-17"/>
                <w:sz w:val="18"/>
                <w:szCs w:val="18"/>
              </w:rPr>
              <w:t xml:space="preserve"> </w:t>
            </w:r>
            <w:r w:rsidRPr="00677D4B">
              <w:rPr>
                <w:rFonts w:asciiTheme="minorHAnsi" w:hAnsiTheme="minorHAnsi" w:cstheme="minorHAnsi"/>
                <w:sz w:val="18"/>
                <w:szCs w:val="18"/>
              </w:rPr>
              <w:t>and</w:t>
            </w:r>
            <w:r w:rsidRPr="00677D4B">
              <w:rPr>
                <w:rFonts w:asciiTheme="minorHAnsi" w:hAnsiTheme="minorHAnsi" w:cstheme="minorHAnsi"/>
                <w:spacing w:val="-15"/>
                <w:sz w:val="18"/>
                <w:szCs w:val="18"/>
              </w:rPr>
              <w:t xml:space="preserve"> </w:t>
            </w:r>
            <w:r w:rsidRPr="00677D4B">
              <w:rPr>
                <w:rFonts w:asciiTheme="minorHAnsi" w:hAnsiTheme="minorHAnsi" w:cstheme="minorHAnsi"/>
                <w:sz w:val="18"/>
                <w:szCs w:val="18"/>
              </w:rPr>
              <w:t>drug hypersensitivity.</w:t>
            </w:r>
          </w:p>
          <w:p w14:paraId="63AB7878" w14:textId="61F0B613" w:rsidR="00AE04CD" w:rsidRPr="00677D4B" w:rsidRDefault="00215D9E" w:rsidP="00677D4B">
            <w:pPr>
              <w:ind w:left="180"/>
              <w:rPr>
                <w:rFonts w:asciiTheme="minorHAnsi" w:hAnsiTheme="minorHAnsi" w:cstheme="minorHAnsi"/>
                <w:sz w:val="18"/>
                <w:szCs w:val="18"/>
              </w:rPr>
            </w:pPr>
            <w:r w:rsidRPr="00677D4B">
              <w:rPr>
                <w:rFonts w:asciiTheme="minorHAnsi" w:hAnsiTheme="minorHAnsi" w:cstheme="minorHAnsi"/>
                <w:position w:val="5"/>
                <w:sz w:val="18"/>
                <w:szCs w:val="18"/>
              </w:rPr>
              <w:t xml:space="preserve">6 </w:t>
            </w:r>
            <w:r w:rsidRPr="00677D4B">
              <w:rPr>
                <w:rFonts w:asciiTheme="minorHAnsi" w:hAnsiTheme="minorHAnsi" w:cstheme="minorHAnsi"/>
                <w:sz w:val="18"/>
                <w:szCs w:val="18"/>
              </w:rPr>
              <w:t>Grouped term includes neuropathy peripheral, peripheral sensory neuropathy, and paraesthesia.</w:t>
            </w:r>
          </w:p>
        </w:tc>
      </w:tr>
    </w:tbl>
    <w:p w14:paraId="1D3EB9B4" w14:textId="77777777" w:rsidR="00753E53" w:rsidRDefault="00753E53" w:rsidP="00753E53"/>
    <w:p w14:paraId="380D9127" w14:textId="77777777" w:rsidR="00347B63" w:rsidRDefault="00347B63" w:rsidP="001C4E54">
      <w:pPr>
        <w:spacing w:after="200"/>
        <w:rPr>
          <w:rFonts w:ascii="Calibri" w:eastAsia="Calibri" w:hAnsi="Calibri" w:cs="Arial"/>
          <w:b/>
          <w:color w:val="000000" w:themeColor="text1"/>
          <w:lang w:val="en-AU"/>
        </w:rPr>
      </w:pPr>
      <w:bookmarkStart w:id="14" w:name="_Ref130287612"/>
    </w:p>
    <w:p w14:paraId="1418AD75" w14:textId="77777777" w:rsidR="00347B63" w:rsidRDefault="00347B63" w:rsidP="001C4E54">
      <w:pPr>
        <w:spacing w:after="200"/>
        <w:rPr>
          <w:rFonts w:ascii="Calibri" w:eastAsia="Calibri" w:hAnsi="Calibri" w:cs="Arial"/>
          <w:b/>
          <w:color w:val="000000" w:themeColor="text1"/>
          <w:lang w:val="en-AU"/>
        </w:rPr>
      </w:pPr>
    </w:p>
    <w:p w14:paraId="36031C0E" w14:textId="6652DDED" w:rsidR="001C4E54" w:rsidRPr="00BF08AD" w:rsidRDefault="001C4E54" w:rsidP="001C4E54">
      <w:pPr>
        <w:spacing w:after="200"/>
        <w:rPr>
          <w:rFonts w:ascii="Calibri" w:eastAsia="Calibri" w:hAnsi="Calibri" w:cs="Arial"/>
          <w:b/>
          <w:color w:val="000000" w:themeColor="text1"/>
          <w:vertAlign w:val="superscript"/>
          <w:lang w:val="en-AU"/>
        </w:rPr>
      </w:pPr>
      <w:r w:rsidRPr="00BF08AD">
        <w:rPr>
          <w:rFonts w:ascii="Calibri" w:eastAsia="Calibri" w:hAnsi="Calibri" w:cs="Arial"/>
          <w:b/>
          <w:color w:val="000000" w:themeColor="text1"/>
          <w:lang w:val="en-AU"/>
        </w:rPr>
        <w:lastRenderedPageBreak/>
        <w:t xml:space="preserve">Table </w:t>
      </w:r>
      <w:r w:rsidRPr="00BF08AD">
        <w:rPr>
          <w:i/>
          <w:iCs/>
          <w:color w:val="1F497D" w:themeColor="text2"/>
          <w:sz w:val="18"/>
          <w:szCs w:val="18"/>
        </w:rPr>
        <w:fldChar w:fldCharType="begin"/>
      </w:r>
      <w:r w:rsidRPr="00BF08AD">
        <w:rPr>
          <w:rFonts w:ascii="Calibri" w:eastAsia="Calibri" w:hAnsi="Calibri" w:cs="Arial"/>
          <w:b/>
          <w:color w:val="000000" w:themeColor="text1"/>
          <w:lang w:val="en-AU"/>
        </w:rPr>
        <w:instrText xml:space="preserve"> SEQ Table \* ARABIC </w:instrText>
      </w:r>
      <w:r w:rsidRPr="00BF08AD">
        <w:rPr>
          <w:i/>
          <w:iCs/>
          <w:color w:val="1F497D" w:themeColor="text2"/>
          <w:sz w:val="18"/>
          <w:szCs w:val="18"/>
        </w:rPr>
        <w:fldChar w:fldCharType="separate"/>
      </w:r>
      <w:r w:rsidR="00C17B0F">
        <w:rPr>
          <w:rFonts w:ascii="Calibri" w:eastAsia="Calibri" w:hAnsi="Calibri" w:cs="Arial"/>
          <w:b/>
          <w:noProof/>
          <w:color w:val="000000" w:themeColor="text1"/>
          <w:lang w:val="en-AU"/>
        </w:rPr>
        <w:t>4</w:t>
      </w:r>
      <w:r w:rsidRPr="00BF08AD">
        <w:rPr>
          <w:i/>
          <w:iCs/>
          <w:color w:val="1F497D" w:themeColor="text2"/>
          <w:sz w:val="18"/>
          <w:szCs w:val="18"/>
        </w:rPr>
        <w:fldChar w:fldCharType="end"/>
      </w:r>
      <w:bookmarkEnd w:id="14"/>
      <w:r w:rsidRPr="00BF08AD">
        <w:rPr>
          <w:rFonts w:ascii="Calibri" w:eastAsia="Calibri" w:hAnsi="Calibri" w:cs="Arial"/>
          <w:b/>
          <w:color w:val="000000" w:themeColor="text1"/>
          <w:lang w:val="en-AU"/>
        </w:rPr>
        <w:t xml:space="preserve"> - Selected laboratory abnormalities occurring in at least 10% of patients with locally advanced or metastatic cholangiocarcinoma receiving ivosidenib in clinical Study AG120-C-005</w:t>
      </w:r>
      <w:r w:rsidRPr="00BF08AD">
        <w:rPr>
          <w:rFonts w:ascii="Calibri" w:eastAsia="Calibri" w:hAnsi="Calibri" w:cs="Arial"/>
          <w:b/>
          <w:color w:val="000000" w:themeColor="text1"/>
          <w:vertAlign w:val="superscript"/>
          <w:lang w:val="en-AU"/>
        </w:rPr>
        <w:t>#</w:t>
      </w:r>
    </w:p>
    <w:tbl>
      <w:tblPr>
        <w:tblStyle w:val="TableGrid1"/>
        <w:tblW w:w="0" w:type="auto"/>
        <w:tblInd w:w="0" w:type="dxa"/>
        <w:tblLayout w:type="fixed"/>
        <w:tblLook w:val="04A0" w:firstRow="1" w:lastRow="0" w:firstColumn="1" w:lastColumn="0" w:noHBand="0" w:noVBand="1"/>
      </w:tblPr>
      <w:tblGrid>
        <w:gridCol w:w="3681"/>
        <w:gridCol w:w="1487"/>
        <w:gridCol w:w="1487"/>
        <w:gridCol w:w="1487"/>
        <w:gridCol w:w="1487"/>
      </w:tblGrid>
      <w:tr w:rsidR="00530C17" w:rsidRPr="00BF08AD" w14:paraId="400734FB" w14:textId="77777777" w:rsidTr="00530C17">
        <w:trPr>
          <w:tblHeader/>
        </w:trPr>
        <w:tc>
          <w:tcPr>
            <w:tcW w:w="3681" w:type="dxa"/>
            <w:tcBorders>
              <w:top w:val="single" w:sz="4" w:space="0" w:color="auto"/>
              <w:left w:val="single" w:sz="4" w:space="0" w:color="auto"/>
              <w:bottom w:val="single" w:sz="4" w:space="0" w:color="auto"/>
              <w:right w:val="single" w:sz="4" w:space="0" w:color="auto"/>
            </w:tcBorders>
            <w:vAlign w:val="center"/>
          </w:tcPr>
          <w:p w14:paraId="305803E1" w14:textId="3BB53B01" w:rsidR="00530C17" w:rsidRPr="00BF08AD" w:rsidRDefault="00530C17" w:rsidP="00530C17">
            <w:pPr>
              <w:spacing w:before="20" w:after="20"/>
              <w:rPr>
                <w:rFonts w:ascii="Calibri" w:hAnsi="Calibri" w:cs="Calibri"/>
              </w:rPr>
            </w:pPr>
            <w:r w:rsidRPr="00BF117A">
              <w:rPr>
                <w:rFonts w:ascii="Calibri" w:hAnsi="Calibri" w:cs="Calibri"/>
                <w:b/>
                <w:lang w:val="en-AU"/>
              </w:rPr>
              <w:t>Parameter</w:t>
            </w:r>
          </w:p>
        </w:tc>
        <w:tc>
          <w:tcPr>
            <w:tcW w:w="2974" w:type="dxa"/>
            <w:gridSpan w:val="2"/>
            <w:tcBorders>
              <w:top w:val="single" w:sz="4" w:space="0" w:color="auto"/>
              <w:left w:val="single" w:sz="4" w:space="0" w:color="auto"/>
              <w:bottom w:val="single" w:sz="4" w:space="0" w:color="auto"/>
              <w:right w:val="single" w:sz="4" w:space="0" w:color="auto"/>
            </w:tcBorders>
            <w:hideMark/>
          </w:tcPr>
          <w:p w14:paraId="0C637533" w14:textId="77777777" w:rsidR="00530C17" w:rsidRPr="00BF117A" w:rsidRDefault="00530C17" w:rsidP="00530C17">
            <w:pPr>
              <w:spacing w:before="20" w:after="120"/>
              <w:jc w:val="center"/>
              <w:rPr>
                <w:rFonts w:ascii="Calibri" w:hAnsi="Calibri" w:cs="Calibri"/>
                <w:b/>
                <w:lang w:val="en-AU"/>
              </w:rPr>
            </w:pPr>
            <w:r w:rsidRPr="00BF117A">
              <w:rPr>
                <w:rFonts w:ascii="Calibri" w:hAnsi="Calibri" w:cs="Calibri"/>
                <w:b/>
                <w:lang w:val="en-AU"/>
              </w:rPr>
              <w:t xml:space="preserve">TIBSOVO (500 mg daily) </w:t>
            </w:r>
          </w:p>
          <w:p w14:paraId="3B998A75" w14:textId="5E93E284" w:rsidR="00530C17" w:rsidRPr="00BF08AD" w:rsidRDefault="00530C17" w:rsidP="00530C17">
            <w:pPr>
              <w:spacing w:before="20" w:after="20"/>
              <w:rPr>
                <w:rFonts w:ascii="Calibri" w:hAnsi="Calibri" w:cs="Calibri"/>
                <w:b/>
              </w:rPr>
            </w:pPr>
            <w:r w:rsidRPr="00BF117A">
              <w:rPr>
                <w:rFonts w:ascii="Calibri" w:hAnsi="Calibri" w:cs="Calibri"/>
                <w:b/>
                <w:lang w:val="en-AU"/>
              </w:rPr>
              <w:t xml:space="preserve">     All Grades          Grade ≥ 3 </w:t>
            </w:r>
            <w:r w:rsidRPr="00BF117A">
              <w:rPr>
                <w:rFonts w:ascii="Calibri" w:hAnsi="Calibri" w:cs="Calibri"/>
                <w:b/>
                <w:lang w:val="en-AU"/>
              </w:rPr>
              <w:br/>
              <w:t xml:space="preserve">        n (%)                    n (%)</w:t>
            </w:r>
          </w:p>
        </w:tc>
        <w:tc>
          <w:tcPr>
            <w:tcW w:w="2974" w:type="dxa"/>
            <w:gridSpan w:val="2"/>
            <w:tcBorders>
              <w:top w:val="single" w:sz="4" w:space="0" w:color="auto"/>
              <w:left w:val="single" w:sz="4" w:space="0" w:color="auto"/>
              <w:bottom w:val="single" w:sz="4" w:space="0" w:color="auto"/>
              <w:right w:val="single" w:sz="4" w:space="0" w:color="auto"/>
            </w:tcBorders>
            <w:hideMark/>
          </w:tcPr>
          <w:p w14:paraId="60CD33C6" w14:textId="77777777" w:rsidR="00530C17" w:rsidRPr="00BF117A" w:rsidRDefault="00530C17" w:rsidP="00530C17">
            <w:pPr>
              <w:spacing w:before="20" w:after="120"/>
              <w:jc w:val="center"/>
              <w:rPr>
                <w:rFonts w:ascii="Calibri" w:hAnsi="Calibri" w:cs="Calibri"/>
                <w:b/>
                <w:lang w:val="en-AU"/>
              </w:rPr>
            </w:pPr>
            <w:r w:rsidRPr="00BF117A">
              <w:rPr>
                <w:rFonts w:ascii="Calibri" w:hAnsi="Calibri" w:cs="Calibri"/>
                <w:b/>
                <w:lang w:val="en-AU"/>
              </w:rPr>
              <w:t>Placebo</w:t>
            </w:r>
          </w:p>
          <w:p w14:paraId="12C8E509" w14:textId="6F9AB322" w:rsidR="00530C17" w:rsidRPr="00BF08AD" w:rsidRDefault="00530C17" w:rsidP="00530C17">
            <w:pPr>
              <w:spacing w:before="20" w:after="20"/>
              <w:jc w:val="center"/>
              <w:rPr>
                <w:rFonts w:ascii="Calibri" w:hAnsi="Calibri" w:cs="Calibri"/>
                <w:b/>
              </w:rPr>
            </w:pPr>
            <w:r w:rsidRPr="00BF117A">
              <w:rPr>
                <w:rFonts w:ascii="Calibri" w:hAnsi="Calibri" w:cs="Calibri"/>
                <w:b/>
                <w:lang w:val="en-AU"/>
              </w:rPr>
              <w:t xml:space="preserve">All Grades          Grade ≥ 3 </w:t>
            </w:r>
            <w:r w:rsidRPr="00BF117A">
              <w:rPr>
                <w:rFonts w:ascii="Calibri" w:hAnsi="Calibri" w:cs="Calibri"/>
                <w:b/>
                <w:lang w:val="en-AU"/>
              </w:rPr>
              <w:br/>
              <w:t xml:space="preserve">        n (%)                    n (%)</w:t>
            </w:r>
          </w:p>
        </w:tc>
      </w:tr>
      <w:tr w:rsidR="001C4E54" w:rsidRPr="00BF08AD" w14:paraId="5F1FA0D2" w14:textId="77777777" w:rsidTr="00A06A5E">
        <w:tc>
          <w:tcPr>
            <w:tcW w:w="3681" w:type="dxa"/>
            <w:tcBorders>
              <w:top w:val="single" w:sz="4" w:space="0" w:color="auto"/>
              <w:left w:val="single" w:sz="4" w:space="0" w:color="auto"/>
              <w:bottom w:val="single" w:sz="4" w:space="0" w:color="auto"/>
              <w:right w:val="single" w:sz="4" w:space="0" w:color="auto"/>
            </w:tcBorders>
            <w:hideMark/>
          </w:tcPr>
          <w:p w14:paraId="24BE1AC1" w14:textId="77777777" w:rsidR="001C4E54" w:rsidRPr="00BF08AD" w:rsidRDefault="001C4E54" w:rsidP="00A06A5E">
            <w:pPr>
              <w:spacing w:before="20" w:after="20"/>
              <w:rPr>
                <w:rFonts w:ascii="Calibri" w:hAnsi="Calibri" w:cs="Calibri"/>
              </w:rPr>
            </w:pPr>
            <w:r w:rsidRPr="00BF08AD">
              <w:rPr>
                <w:rFonts w:ascii="Calibri" w:hAnsi="Calibri" w:cs="Calibri"/>
              </w:rPr>
              <w:t>AST increased</w:t>
            </w:r>
          </w:p>
        </w:tc>
        <w:tc>
          <w:tcPr>
            <w:tcW w:w="1487" w:type="dxa"/>
            <w:tcBorders>
              <w:top w:val="single" w:sz="4" w:space="0" w:color="auto"/>
              <w:left w:val="single" w:sz="4" w:space="0" w:color="auto"/>
              <w:bottom w:val="single" w:sz="4" w:space="0" w:color="auto"/>
              <w:right w:val="single" w:sz="4" w:space="0" w:color="auto"/>
            </w:tcBorders>
            <w:hideMark/>
          </w:tcPr>
          <w:p w14:paraId="2C1511F7" w14:textId="77777777" w:rsidR="001C4E54" w:rsidRPr="00BF08AD" w:rsidRDefault="001C4E54" w:rsidP="00A06A5E">
            <w:pPr>
              <w:spacing w:before="20" w:after="20"/>
              <w:jc w:val="center"/>
              <w:rPr>
                <w:rFonts w:ascii="Calibri" w:hAnsi="Calibri" w:cs="Calibri"/>
              </w:rPr>
            </w:pPr>
            <w:r w:rsidRPr="00BF08AD">
              <w:rPr>
                <w:rFonts w:ascii="Calibri" w:hAnsi="Calibri" w:cs="Calibri"/>
              </w:rPr>
              <w:t>41 (34)</w:t>
            </w:r>
          </w:p>
        </w:tc>
        <w:tc>
          <w:tcPr>
            <w:tcW w:w="1487" w:type="dxa"/>
            <w:tcBorders>
              <w:top w:val="single" w:sz="4" w:space="0" w:color="auto"/>
              <w:left w:val="single" w:sz="4" w:space="0" w:color="auto"/>
              <w:bottom w:val="single" w:sz="4" w:space="0" w:color="auto"/>
              <w:right w:val="single" w:sz="4" w:space="0" w:color="auto"/>
            </w:tcBorders>
            <w:hideMark/>
          </w:tcPr>
          <w:p w14:paraId="3F5EFEE2" w14:textId="77777777" w:rsidR="001C4E54" w:rsidRPr="00BF08AD" w:rsidRDefault="001C4E54" w:rsidP="00A06A5E">
            <w:pPr>
              <w:spacing w:before="20" w:after="20"/>
              <w:jc w:val="center"/>
              <w:rPr>
                <w:rFonts w:ascii="Calibri" w:hAnsi="Calibri" w:cs="Calibri"/>
              </w:rPr>
            </w:pPr>
            <w:r w:rsidRPr="00BF08AD">
              <w:rPr>
                <w:rFonts w:ascii="Calibri" w:hAnsi="Calibri" w:cs="Calibri"/>
              </w:rPr>
              <w:t>5 (4)</w:t>
            </w:r>
          </w:p>
        </w:tc>
        <w:tc>
          <w:tcPr>
            <w:tcW w:w="1487" w:type="dxa"/>
            <w:tcBorders>
              <w:top w:val="single" w:sz="4" w:space="0" w:color="auto"/>
              <w:left w:val="single" w:sz="4" w:space="0" w:color="auto"/>
              <w:bottom w:val="single" w:sz="4" w:space="0" w:color="auto"/>
              <w:right w:val="single" w:sz="4" w:space="0" w:color="auto"/>
            </w:tcBorders>
            <w:hideMark/>
          </w:tcPr>
          <w:p w14:paraId="3A64E8E3" w14:textId="77777777" w:rsidR="001C4E54" w:rsidRPr="00BF08AD" w:rsidRDefault="001C4E54" w:rsidP="00A06A5E">
            <w:pPr>
              <w:spacing w:before="20" w:after="20"/>
              <w:jc w:val="center"/>
              <w:rPr>
                <w:rFonts w:ascii="Calibri" w:hAnsi="Calibri" w:cs="Calibri"/>
              </w:rPr>
            </w:pPr>
            <w:r w:rsidRPr="00BF08AD">
              <w:rPr>
                <w:rFonts w:ascii="Calibri" w:hAnsi="Calibri" w:cs="Calibri"/>
              </w:rPr>
              <w:t>14 (24)</w:t>
            </w:r>
          </w:p>
        </w:tc>
        <w:tc>
          <w:tcPr>
            <w:tcW w:w="1487" w:type="dxa"/>
            <w:tcBorders>
              <w:top w:val="single" w:sz="4" w:space="0" w:color="auto"/>
              <w:left w:val="single" w:sz="4" w:space="0" w:color="auto"/>
              <w:bottom w:val="single" w:sz="4" w:space="0" w:color="auto"/>
              <w:right w:val="single" w:sz="4" w:space="0" w:color="auto"/>
            </w:tcBorders>
            <w:hideMark/>
          </w:tcPr>
          <w:p w14:paraId="4C471C90" w14:textId="77777777" w:rsidR="001C4E54" w:rsidRPr="00BF08AD" w:rsidRDefault="001C4E54" w:rsidP="00A06A5E">
            <w:pPr>
              <w:spacing w:before="20" w:after="20"/>
              <w:jc w:val="center"/>
              <w:rPr>
                <w:rFonts w:ascii="Calibri" w:hAnsi="Calibri" w:cs="Calibri"/>
              </w:rPr>
            </w:pPr>
            <w:r w:rsidRPr="00BF08AD">
              <w:rPr>
                <w:rFonts w:ascii="Calibri" w:hAnsi="Calibri" w:cs="Calibri"/>
              </w:rPr>
              <w:t>1 (</w:t>
            </w:r>
            <w:r>
              <w:rPr>
                <w:rFonts w:ascii="Calibri" w:hAnsi="Calibri" w:cs="Calibri"/>
              </w:rPr>
              <w:t>2</w:t>
            </w:r>
            <w:r w:rsidRPr="00BF08AD">
              <w:rPr>
                <w:rFonts w:ascii="Calibri" w:hAnsi="Calibri" w:cs="Calibri"/>
              </w:rPr>
              <w:t>)</w:t>
            </w:r>
          </w:p>
        </w:tc>
      </w:tr>
      <w:tr w:rsidR="001C4E54" w:rsidRPr="00BF08AD" w14:paraId="05E8FDB2" w14:textId="77777777" w:rsidTr="00A06A5E">
        <w:tc>
          <w:tcPr>
            <w:tcW w:w="3681" w:type="dxa"/>
            <w:tcBorders>
              <w:top w:val="single" w:sz="4" w:space="0" w:color="auto"/>
              <w:left w:val="single" w:sz="4" w:space="0" w:color="auto"/>
              <w:bottom w:val="single" w:sz="4" w:space="0" w:color="auto"/>
              <w:right w:val="single" w:sz="4" w:space="0" w:color="auto"/>
            </w:tcBorders>
            <w:hideMark/>
          </w:tcPr>
          <w:p w14:paraId="5B697054" w14:textId="77777777" w:rsidR="001C4E54" w:rsidRPr="00BF08AD" w:rsidRDefault="001C4E54" w:rsidP="00A06A5E">
            <w:pPr>
              <w:spacing w:before="20" w:after="20"/>
              <w:rPr>
                <w:rFonts w:ascii="Calibri" w:hAnsi="Calibri" w:cs="Calibri"/>
              </w:rPr>
            </w:pPr>
            <w:r w:rsidRPr="00BF08AD">
              <w:rPr>
                <w:rFonts w:ascii="Calibri" w:hAnsi="Calibri" w:cs="Calibri"/>
              </w:rPr>
              <w:t>Bilirubin increased</w:t>
            </w:r>
          </w:p>
        </w:tc>
        <w:tc>
          <w:tcPr>
            <w:tcW w:w="1487" w:type="dxa"/>
            <w:tcBorders>
              <w:top w:val="single" w:sz="4" w:space="0" w:color="auto"/>
              <w:left w:val="single" w:sz="4" w:space="0" w:color="auto"/>
              <w:bottom w:val="single" w:sz="4" w:space="0" w:color="auto"/>
              <w:right w:val="single" w:sz="4" w:space="0" w:color="auto"/>
            </w:tcBorders>
            <w:hideMark/>
          </w:tcPr>
          <w:p w14:paraId="770730C3" w14:textId="77777777" w:rsidR="001C4E54" w:rsidRPr="00BF08AD" w:rsidRDefault="001C4E54" w:rsidP="00A06A5E">
            <w:pPr>
              <w:spacing w:before="20" w:after="20"/>
              <w:jc w:val="center"/>
              <w:rPr>
                <w:rFonts w:ascii="Calibri" w:hAnsi="Calibri" w:cs="Calibri"/>
              </w:rPr>
            </w:pPr>
            <w:r w:rsidRPr="00BF08AD">
              <w:rPr>
                <w:rFonts w:ascii="Calibri" w:hAnsi="Calibri" w:cs="Calibri"/>
              </w:rPr>
              <w:t>36 (30)</w:t>
            </w:r>
          </w:p>
        </w:tc>
        <w:tc>
          <w:tcPr>
            <w:tcW w:w="1487" w:type="dxa"/>
            <w:tcBorders>
              <w:top w:val="single" w:sz="4" w:space="0" w:color="auto"/>
              <w:left w:val="single" w:sz="4" w:space="0" w:color="auto"/>
              <w:bottom w:val="single" w:sz="4" w:space="0" w:color="auto"/>
              <w:right w:val="single" w:sz="4" w:space="0" w:color="auto"/>
            </w:tcBorders>
            <w:hideMark/>
          </w:tcPr>
          <w:p w14:paraId="69E69868" w14:textId="77777777" w:rsidR="001C4E54" w:rsidRPr="00BF08AD" w:rsidRDefault="001C4E54" w:rsidP="00A06A5E">
            <w:pPr>
              <w:spacing w:before="20" w:after="20"/>
              <w:jc w:val="center"/>
              <w:rPr>
                <w:rFonts w:ascii="Calibri" w:hAnsi="Calibri" w:cs="Calibri"/>
              </w:rPr>
            </w:pPr>
            <w:r w:rsidRPr="00BF08AD">
              <w:rPr>
                <w:rFonts w:ascii="Calibri" w:hAnsi="Calibri" w:cs="Calibri"/>
              </w:rPr>
              <w:t>15 (1</w:t>
            </w:r>
            <w:r>
              <w:rPr>
                <w:rFonts w:ascii="Calibri" w:hAnsi="Calibri" w:cs="Calibri"/>
              </w:rPr>
              <w:t>3</w:t>
            </w:r>
            <w:r w:rsidRPr="00BF08AD">
              <w:rPr>
                <w:rFonts w:ascii="Calibri" w:hAnsi="Calibri" w:cs="Calibri"/>
              </w:rPr>
              <w:t>)</w:t>
            </w:r>
          </w:p>
        </w:tc>
        <w:tc>
          <w:tcPr>
            <w:tcW w:w="1487" w:type="dxa"/>
            <w:tcBorders>
              <w:top w:val="single" w:sz="4" w:space="0" w:color="auto"/>
              <w:left w:val="single" w:sz="4" w:space="0" w:color="auto"/>
              <w:bottom w:val="single" w:sz="4" w:space="0" w:color="auto"/>
              <w:right w:val="single" w:sz="4" w:space="0" w:color="auto"/>
            </w:tcBorders>
            <w:hideMark/>
          </w:tcPr>
          <w:p w14:paraId="4E71B974" w14:textId="77777777" w:rsidR="001C4E54" w:rsidRPr="00BF08AD" w:rsidRDefault="001C4E54" w:rsidP="00A06A5E">
            <w:pPr>
              <w:spacing w:before="20" w:after="20"/>
              <w:jc w:val="center"/>
              <w:rPr>
                <w:rFonts w:ascii="Calibri" w:hAnsi="Calibri" w:cs="Calibri"/>
              </w:rPr>
            </w:pPr>
            <w:r w:rsidRPr="00BF08AD">
              <w:rPr>
                <w:rFonts w:ascii="Calibri" w:hAnsi="Calibri" w:cs="Calibri"/>
              </w:rPr>
              <w:t>11 (19)</w:t>
            </w:r>
          </w:p>
        </w:tc>
        <w:tc>
          <w:tcPr>
            <w:tcW w:w="1487" w:type="dxa"/>
            <w:tcBorders>
              <w:top w:val="single" w:sz="4" w:space="0" w:color="auto"/>
              <w:left w:val="single" w:sz="4" w:space="0" w:color="auto"/>
              <w:bottom w:val="single" w:sz="4" w:space="0" w:color="auto"/>
              <w:right w:val="single" w:sz="4" w:space="0" w:color="auto"/>
            </w:tcBorders>
            <w:hideMark/>
          </w:tcPr>
          <w:p w14:paraId="7BE471A7" w14:textId="77777777" w:rsidR="001C4E54" w:rsidRPr="00BF08AD" w:rsidRDefault="001C4E54" w:rsidP="00A06A5E">
            <w:pPr>
              <w:spacing w:before="20" w:after="20"/>
              <w:jc w:val="center"/>
              <w:rPr>
                <w:rFonts w:ascii="Calibri" w:hAnsi="Calibri" w:cs="Calibri"/>
              </w:rPr>
            </w:pPr>
            <w:r w:rsidRPr="00BF08AD">
              <w:rPr>
                <w:rFonts w:ascii="Calibri" w:hAnsi="Calibri" w:cs="Calibri"/>
              </w:rPr>
              <w:t>2 (3)</w:t>
            </w:r>
          </w:p>
        </w:tc>
      </w:tr>
      <w:tr w:rsidR="001C4E54" w:rsidRPr="00BF08AD" w14:paraId="1EFE3E36" w14:textId="77777777" w:rsidTr="00A06A5E">
        <w:tc>
          <w:tcPr>
            <w:tcW w:w="3681" w:type="dxa"/>
            <w:tcBorders>
              <w:top w:val="single" w:sz="4" w:space="0" w:color="auto"/>
              <w:left w:val="single" w:sz="4" w:space="0" w:color="auto"/>
              <w:bottom w:val="single" w:sz="4" w:space="0" w:color="auto"/>
              <w:right w:val="single" w:sz="4" w:space="0" w:color="auto"/>
            </w:tcBorders>
            <w:hideMark/>
          </w:tcPr>
          <w:p w14:paraId="56594A0A" w14:textId="68288E40" w:rsidR="001C4E54" w:rsidRPr="00BF08AD" w:rsidRDefault="001C4E54" w:rsidP="00A06A5E">
            <w:pPr>
              <w:spacing w:before="20" w:after="20"/>
              <w:rPr>
                <w:rFonts w:ascii="Calibri" w:hAnsi="Calibri" w:cs="Calibri"/>
              </w:rPr>
            </w:pPr>
            <w:r w:rsidRPr="00BF08AD">
              <w:rPr>
                <w:rFonts w:ascii="Calibri" w:hAnsi="Calibri" w:cs="Calibri"/>
              </w:rPr>
              <w:t>H</w:t>
            </w:r>
            <w:r w:rsidR="00450D1E">
              <w:rPr>
                <w:rFonts w:ascii="Calibri" w:hAnsi="Calibri" w:cs="Calibri"/>
              </w:rPr>
              <w:t>a</w:t>
            </w:r>
            <w:r w:rsidRPr="00BF08AD">
              <w:rPr>
                <w:rFonts w:ascii="Calibri" w:hAnsi="Calibri" w:cs="Calibri"/>
              </w:rPr>
              <w:t>emoglobin decreased</w:t>
            </w:r>
          </w:p>
        </w:tc>
        <w:tc>
          <w:tcPr>
            <w:tcW w:w="1487" w:type="dxa"/>
            <w:tcBorders>
              <w:top w:val="single" w:sz="4" w:space="0" w:color="auto"/>
              <w:left w:val="single" w:sz="4" w:space="0" w:color="auto"/>
              <w:bottom w:val="single" w:sz="4" w:space="0" w:color="auto"/>
              <w:right w:val="single" w:sz="4" w:space="0" w:color="auto"/>
            </w:tcBorders>
            <w:hideMark/>
          </w:tcPr>
          <w:p w14:paraId="3A7A3A33" w14:textId="77777777" w:rsidR="001C4E54" w:rsidRPr="00BF08AD" w:rsidRDefault="001C4E54" w:rsidP="00A06A5E">
            <w:pPr>
              <w:spacing w:before="20" w:after="20"/>
              <w:jc w:val="center"/>
              <w:rPr>
                <w:rFonts w:ascii="Calibri" w:hAnsi="Calibri" w:cs="Calibri"/>
              </w:rPr>
            </w:pPr>
            <w:r w:rsidRPr="00BF08AD">
              <w:rPr>
                <w:rFonts w:ascii="Calibri" w:hAnsi="Calibri" w:cs="Calibri"/>
              </w:rPr>
              <w:t>48 (40)</w:t>
            </w:r>
          </w:p>
        </w:tc>
        <w:tc>
          <w:tcPr>
            <w:tcW w:w="1487" w:type="dxa"/>
            <w:tcBorders>
              <w:top w:val="single" w:sz="4" w:space="0" w:color="auto"/>
              <w:left w:val="single" w:sz="4" w:space="0" w:color="auto"/>
              <w:bottom w:val="single" w:sz="4" w:space="0" w:color="auto"/>
              <w:right w:val="single" w:sz="4" w:space="0" w:color="auto"/>
            </w:tcBorders>
            <w:hideMark/>
          </w:tcPr>
          <w:p w14:paraId="7E1784D3" w14:textId="77777777" w:rsidR="001C4E54" w:rsidRPr="00BF08AD" w:rsidRDefault="001C4E54" w:rsidP="00A06A5E">
            <w:pPr>
              <w:spacing w:before="20" w:after="20"/>
              <w:jc w:val="center"/>
              <w:rPr>
                <w:rFonts w:ascii="Calibri" w:hAnsi="Calibri" w:cs="Calibri"/>
              </w:rPr>
            </w:pPr>
            <w:r>
              <w:rPr>
                <w:rFonts w:ascii="Calibri" w:hAnsi="Calibri" w:cs="Calibri"/>
              </w:rPr>
              <w:t>9</w:t>
            </w:r>
            <w:r w:rsidRPr="00BF08AD">
              <w:rPr>
                <w:rFonts w:ascii="Calibri" w:hAnsi="Calibri" w:cs="Calibri"/>
              </w:rPr>
              <w:t xml:space="preserve"> (</w:t>
            </w:r>
            <w:r>
              <w:rPr>
                <w:rFonts w:ascii="Calibri" w:hAnsi="Calibri" w:cs="Calibri"/>
              </w:rPr>
              <w:t>8</w:t>
            </w:r>
            <w:r w:rsidRPr="00BF08AD">
              <w:rPr>
                <w:rFonts w:ascii="Calibri" w:hAnsi="Calibri" w:cs="Calibri"/>
              </w:rPr>
              <w:t>)</w:t>
            </w:r>
          </w:p>
        </w:tc>
        <w:tc>
          <w:tcPr>
            <w:tcW w:w="1487" w:type="dxa"/>
            <w:tcBorders>
              <w:top w:val="single" w:sz="4" w:space="0" w:color="auto"/>
              <w:left w:val="single" w:sz="4" w:space="0" w:color="auto"/>
              <w:bottom w:val="single" w:sz="4" w:space="0" w:color="auto"/>
              <w:right w:val="single" w:sz="4" w:space="0" w:color="auto"/>
            </w:tcBorders>
            <w:hideMark/>
          </w:tcPr>
          <w:p w14:paraId="674F8BBC" w14:textId="77777777" w:rsidR="001C4E54" w:rsidRPr="00BF08AD" w:rsidRDefault="001C4E54" w:rsidP="00A06A5E">
            <w:pPr>
              <w:spacing w:before="20" w:after="20"/>
              <w:jc w:val="center"/>
              <w:rPr>
                <w:rFonts w:ascii="Calibri" w:hAnsi="Calibri" w:cs="Calibri"/>
              </w:rPr>
            </w:pPr>
            <w:r w:rsidRPr="00BF08AD">
              <w:rPr>
                <w:rFonts w:ascii="Calibri" w:hAnsi="Calibri" w:cs="Calibri"/>
              </w:rPr>
              <w:t>14 (25)</w:t>
            </w:r>
          </w:p>
        </w:tc>
        <w:tc>
          <w:tcPr>
            <w:tcW w:w="1487" w:type="dxa"/>
            <w:tcBorders>
              <w:top w:val="single" w:sz="4" w:space="0" w:color="auto"/>
              <w:left w:val="single" w:sz="4" w:space="0" w:color="auto"/>
              <w:bottom w:val="single" w:sz="4" w:space="0" w:color="auto"/>
              <w:right w:val="single" w:sz="4" w:space="0" w:color="auto"/>
            </w:tcBorders>
            <w:hideMark/>
          </w:tcPr>
          <w:p w14:paraId="71B09984" w14:textId="77777777" w:rsidR="001C4E54" w:rsidRPr="00BF08AD" w:rsidRDefault="001C4E54" w:rsidP="00A06A5E">
            <w:pPr>
              <w:spacing w:before="20" w:after="20"/>
              <w:jc w:val="center"/>
              <w:rPr>
                <w:rFonts w:ascii="Calibri" w:hAnsi="Calibri" w:cs="Calibri"/>
              </w:rPr>
            </w:pPr>
            <w:r w:rsidRPr="00BF08AD">
              <w:rPr>
                <w:rFonts w:ascii="Calibri" w:hAnsi="Calibri" w:cs="Calibri"/>
              </w:rPr>
              <w:t>0</w:t>
            </w:r>
          </w:p>
        </w:tc>
      </w:tr>
    </w:tbl>
    <w:p w14:paraId="1AA56EC4" w14:textId="77777777" w:rsidR="001C4E54" w:rsidRPr="00BF08AD" w:rsidRDefault="001C4E54" w:rsidP="001C4E54">
      <w:pPr>
        <w:widowControl/>
        <w:autoSpaceDE/>
        <w:rPr>
          <w:rFonts w:ascii="Calibri" w:eastAsia="Calibri" w:hAnsi="Calibri" w:cs="Arial"/>
          <w:bCs/>
          <w:color w:val="000000" w:themeColor="text1"/>
          <w:lang w:val="en-AU"/>
        </w:rPr>
      </w:pPr>
      <w:r w:rsidRPr="00BF08AD">
        <w:rPr>
          <w:rFonts w:ascii="Calibri" w:eastAsia="Calibri" w:hAnsi="Calibri" w:cs="Arial"/>
          <w:bCs/>
          <w:color w:val="000000" w:themeColor="text1"/>
          <w:vertAlign w:val="superscript"/>
          <w:lang w:val="en-AU"/>
        </w:rPr>
        <w:t xml:space="preserve"># </w:t>
      </w:r>
      <w:r w:rsidRPr="00BF08AD">
        <w:rPr>
          <w:rFonts w:ascii="Calibri" w:eastAsia="Calibri" w:hAnsi="Calibri" w:cs="Arial"/>
          <w:bCs/>
          <w:color w:val="000000" w:themeColor="text1"/>
          <w:sz w:val="18"/>
          <w:szCs w:val="18"/>
          <w:lang w:val="en-AU"/>
        </w:rPr>
        <w:t>Laboratory abnormality is defined as new or worsened by at least one grade from baseline, or baseline is unknown.</w:t>
      </w:r>
    </w:p>
    <w:p w14:paraId="15A9E1EF" w14:textId="1C703946" w:rsidR="00F50D3D" w:rsidRPr="00AF2BF6" w:rsidRDefault="00C56D2F" w:rsidP="0057546D">
      <w:pPr>
        <w:pStyle w:val="Heading3"/>
        <w:spacing w:before="200" w:after="120"/>
        <w:rPr>
          <w:b/>
          <w:bCs/>
          <w:szCs w:val="22"/>
        </w:rPr>
      </w:pPr>
      <w:r w:rsidRPr="00AF2BF6">
        <w:rPr>
          <w:b/>
          <w:bCs/>
          <w:szCs w:val="22"/>
        </w:rPr>
        <w:t>Description of selected adverse reactions</w:t>
      </w:r>
    </w:p>
    <w:p w14:paraId="15A9E1F7" w14:textId="6B5AC8D6" w:rsidR="00F50D3D" w:rsidRPr="00AF2BF6" w:rsidRDefault="00C56D2F" w:rsidP="00450D1E">
      <w:pPr>
        <w:pStyle w:val="Heading4"/>
      </w:pPr>
      <w:r w:rsidRPr="00AF2BF6">
        <w:t xml:space="preserve">QTc interval prolongation </w:t>
      </w:r>
    </w:p>
    <w:p w14:paraId="04CA7569" w14:textId="2F4AF599" w:rsidR="000F7D82" w:rsidRPr="000F7D82" w:rsidRDefault="00C7653E" w:rsidP="000F7D82">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Prolongation of the electrocardiogram QTc interval</w:t>
      </w:r>
      <w:r w:rsidR="000F7D82" w:rsidRPr="000F7D82">
        <w:rPr>
          <w:rFonts w:asciiTheme="minorHAnsi" w:eastAsiaTheme="minorHAnsi" w:hAnsiTheme="minorHAnsi" w:cs="Arial"/>
          <w:bCs/>
          <w:color w:val="000000" w:themeColor="text1"/>
          <w:lang w:val="en-AU"/>
        </w:rPr>
        <w:t xml:space="preserve"> is a known risk associated with ivosidenib treatment</w:t>
      </w:r>
      <w:r w:rsidR="004949CC">
        <w:rPr>
          <w:rFonts w:asciiTheme="minorHAnsi" w:eastAsiaTheme="minorHAnsi" w:hAnsiTheme="minorHAnsi" w:cs="Arial"/>
          <w:bCs/>
          <w:color w:val="000000" w:themeColor="text1"/>
          <w:lang w:val="en-AU"/>
        </w:rPr>
        <w:t xml:space="preserve"> </w:t>
      </w:r>
      <w:r w:rsidR="00290A12" w:rsidRPr="00290A12">
        <w:rPr>
          <w:rFonts w:asciiTheme="minorHAnsi" w:eastAsiaTheme="minorHAnsi" w:hAnsiTheme="minorHAnsi" w:cs="Arial"/>
          <w:bCs/>
          <w:color w:val="000000" w:themeColor="text1"/>
          <w:lang w:val="en-AU"/>
        </w:rPr>
        <w:t xml:space="preserve">and may occur at any time during treatment </w:t>
      </w:r>
      <w:r w:rsidR="000F7D82" w:rsidRPr="000F7D82">
        <w:rPr>
          <w:rFonts w:asciiTheme="minorHAnsi" w:eastAsiaTheme="minorHAnsi" w:hAnsiTheme="minorHAnsi" w:cs="Arial"/>
          <w:bCs/>
          <w:color w:val="000000" w:themeColor="text1"/>
          <w:lang w:val="en-AU"/>
        </w:rPr>
        <w:t xml:space="preserve">(see </w:t>
      </w:r>
      <w:r w:rsidR="000F7D82" w:rsidRPr="002E1B51">
        <w:rPr>
          <w:rFonts w:asciiTheme="minorHAnsi" w:eastAsiaTheme="minorHAnsi" w:hAnsiTheme="minorHAnsi" w:cs="Arial"/>
          <w:bCs/>
          <w:i/>
          <w:iCs/>
          <w:color w:val="000000" w:themeColor="text1"/>
          <w:lang w:val="en-AU"/>
        </w:rPr>
        <w:t>section</w:t>
      </w:r>
      <w:r w:rsidRPr="002E1B51">
        <w:rPr>
          <w:rFonts w:asciiTheme="minorHAnsi" w:eastAsiaTheme="minorHAnsi" w:hAnsiTheme="minorHAnsi" w:cs="Arial"/>
          <w:bCs/>
          <w:i/>
          <w:iCs/>
          <w:color w:val="000000" w:themeColor="text1"/>
          <w:lang w:val="en-AU"/>
        </w:rPr>
        <w:t>s 4.2 - Dose and method of administration</w:t>
      </w:r>
      <w:r w:rsidRPr="00C7653E">
        <w:rPr>
          <w:rFonts w:asciiTheme="minorHAnsi" w:eastAsiaTheme="minorHAnsi" w:hAnsiTheme="minorHAnsi" w:cs="Arial"/>
          <w:bCs/>
          <w:color w:val="000000" w:themeColor="text1"/>
          <w:lang w:val="en-AU"/>
        </w:rPr>
        <w:t>,</w:t>
      </w:r>
      <w:r w:rsidR="000F7D82" w:rsidRPr="000F7D82">
        <w:rPr>
          <w:rFonts w:asciiTheme="minorHAnsi" w:eastAsiaTheme="minorHAnsi" w:hAnsiTheme="minorHAnsi" w:cs="Arial"/>
          <w:bCs/>
          <w:color w:val="000000" w:themeColor="text1"/>
          <w:lang w:val="en-AU"/>
        </w:rPr>
        <w:t xml:space="preserve"> 4.4</w:t>
      </w:r>
      <w:r w:rsidR="000F7D82">
        <w:rPr>
          <w:rFonts w:asciiTheme="minorHAnsi" w:eastAsiaTheme="minorHAnsi" w:hAnsiTheme="minorHAnsi" w:cs="Arial"/>
          <w:bCs/>
          <w:color w:val="000000" w:themeColor="text1"/>
          <w:lang w:val="en-AU"/>
        </w:rPr>
        <w:t xml:space="preserve"> -</w:t>
      </w:r>
      <w:r w:rsidR="000F7D82" w:rsidRPr="00290A12">
        <w:rPr>
          <w:rFonts w:asciiTheme="minorHAnsi" w:eastAsiaTheme="minorHAnsi" w:hAnsiTheme="minorHAnsi" w:cs="Arial"/>
          <w:bCs/>
          <w:color w:val="000000" w:themeColor="text1"/>
          <w:lang w:val="en-AU"/>
        </w:rPr>
        <w:t xml:space="preserve"> Special warnings and pre</w:t>
      </w:r>
      <w:r w:rsidR="000F7D82" w:rsidRPr="000F7D82">
        <w:rPr>
          <w:rFonts w:asciiTheme="minorHAnsi" w:eastAsiaTheme="minorHAnsi" w:hAnsiTheme="minorHAnsi" w:cs="Arial"/>
          <w:bCs/>
          <w:i/>
          <w:iCs/>
          <w:color w:val="000000" w:themeColor="text1"/>
          <w:lang w:val="en-AU"/>
        </w:rPr>
        <w:t>cautions for use</w:t>
      </w:r>
      <w:r>
        <w:rPr>
          <w:rFonts w:asciiTheme="minorHAnsi" w:eastAsiaTheme="minorHAnsi" w:hAnsiTheme="minorHAnsi" w:cs="Arial"/>
          <w:bCs/>
          <w:i/>
          <w:iCs/>
          <w:color w:val="000000" w:themeColor="text1"/>
          <w:lang w:val="en-AU"/>
        </w:rPr>
        <w:t xml:space="preserve">, </w:t>
      </w:r>
      <w:r w:rsidRPr="00C7653E">
        <w:rPr>
          <w:rFonts w:asciiTheme="minorHAnsi" w:eastAsiaTheme="minorHAnsi" w:hAnsiTheme="minorHAnsi" w:cs="Arial"/>
          <w:bCs/>
          <w:color w:val="000000" w:themeColor="text1"/>
          <w:lang w:val="en-AU"/>
        </w:rPr>
        <w:t xml:space="preserve">and </w:t>
      </w:r>
      <w:r w:rsidRPr="008A5E2F">
        <w:rPr>
          <w:rFonts w:asciiTheme="minorHAnsi" w:eastAsiaTheme="minorHAnsi" w:hAnsiTheme="minorHAnsi" w:cs="Arial"/>
          <w:bCs/>
          <w:i/>
          <w:iCs/>
          <w:color w:val="000000" w:themeColor="text1"/>
          <w:lang w:val="en-AU"/>
        </w:rPr>
        <w:t>4.5 - Interactions with other medicines and other forms of interactions</w:t>
      </w:r>
      <w:r w:rsidR="000F7D82" w:rsidRPr="000F7D82">
        <w:rPr>
          <w:rFonts w:asciiTheme="minorHAnsi" w:eastAsiaTheme="minorHAnsi" w:hAnsiTheme="minorHAnsi" w:cs="Arial"/>
          <w:bCs/>
          <w:i/>
          <w:iCs/>
          <w:color w:val="000000" w:themeColor="text1"/>
          <w:lang w:val="en-AU"/>
        </w:rPr>
        <w:t>).</w:t>
      </w:r>
    </w:p>
    <w:p w14:paraId="15A9E1FB" w14:textId="5B83573F" w:rsidR="00F50D3D" w:rsidRPr="00AF2BF6" w:rsidRDefault="00C56D2F" w:rsidP="009326D7">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In Study AG120-C-005, in the 123 patients with locally advanced or metastatic cholangiocarcinoma treated with ivosidenib monotherapy, QT</w:t>
      </w:r>
      <w:r w:rsidR="00C7653E">
        <w:rPr>
          <w:rFonts w:asciiTheme="minorHAnsi" w:eastAsiaTheme="minorHAnsi" w:hAnsiTheme="minorHAnsi" w:cs="Arial"/>
          <w:bCs/>
          <w:color w:val="000000" w:themeColor="text1"/>
          <w:lang w:val="en-AU"/>
        </w:rPr>
        <w:t>c</w:t>
      </w:r>
      <w:r w:rsidRPr="00AF2BF6">
        <w:rPr>
          <w:rFonts w:asciiTheme="minorHAnsi" w:eastAsiaTheme="minorHAnsi" w:hAnsiTheme="minorHAnsi" w:cs="Arial"/>
          <w:bCs/>
          <w:color w:val="000000" w:themeColor="text1"/>
          <w:lang w:val="en-AU"/>
        </w:rPr>
        <w:t xml:space="preserve"> prolong</w:t>
      </w:r>
      <w:r w:rsidR="00C7653E">
        <w:rPr>
          <w:rFonts w:asciiTheme="minorHAnsi" w:eastAsiaTheme="minorHAnsi" w:hAnsiTheme="minorHAnsi" w:cs="Arial"/>
          <w:bCs/>
          <w:color w:val="000000" w:themeColor="text1"/>
          <w:lang w:val="en-AU"/>
        </w:rPr>
        <w:t>ation</w:t>
      </w:r>
      <w:r w:rsidRPr="00AF2BF6">
        <w:rPr>
          <w:rFonts w:asciiTheme="minorHAnsi" w:eastAsiaTheme="minorHAnsi" w:hAnsiTheme="minorHAnsi" w:cs="Arial"/>
          <w:bCs/>
          <w:color w:val="000000" w:themeColor="text1"/>
          <w:lang w:val="en-AU"/>
        </w:rPr>
        <w:t xml:space="preserve"> was reported in 10</w:t>
      </w:r>
      <w:r w:rsidR="009C0DC7" w:rsidRPr="00AF2BF6">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2</w:t>
      </w:r>
      <w:r w:rsidR="009C0DC7" w:rsidRPr="00AF2BF6">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experienced Grade 3 or higher reactions. Based on the analysis of the ECGs, 2</w:t>
      </w:r>
      <w:r w:rsidR="009C0DC7" w:rsidRPr="00AF2BF6">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of patients had a QTc interval ˃ 500 msec and 5</w:t>
      </w:r>
      <w:r w:rsidR="009C0DC7" w:rsidRPr="00AF2BF6">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w:t>
      </w:r>
      <w:r w:rsidR="00C7653E">
        <w:rPr>
          <w:rFonts w:asciiTheme="minorHAnsi" w:eastAsiaTheme="minorHAnsi" w:hAnsiTheme="minorHAnsi" w:cs="Arial"/>
          <w:bCs/>
          <w:color w:val="000000" w:themeColor="text1"/>
          <w:lang w:val="en-AU"/>
        </w:rPr>
        <w:t xml:space="preserve">had </w:t>
      </w:r>
      <w:r w:rsidRPr="00AF2BF6">
        <w:rPr>
          <w:rFonts w:asciiTheme="minorHAnsi" w:eastAsiaTheme="minorHAnsi" w:hAnsiTheme="minorHAnsi" w:cs="Arial"/>
          <w:bCs/>
          <w:color w:val="000000" w:themeColor="text1"/>
          <w:lang w:val="en-AU"/>
        </w:rPr>
        <w:t>QTc interval prolongation ˃60 msec from baseline. No patient discontinued treatment due to QT</w:t>
      </w:r>
      <w:r w:rsidR="00C7653E">
        <w:rPr>
          <w:rFonts w:asciiTheme="minorHAnsi" w:eastAsiaTheme="minorHAnsi" w:hAnsiTheme="minorHAnsi" w:cs="Arial"/>
          <w:bCs/>
          <w:color w:val="000000" w:themeColor="text1"/>
          <w:lang w:val="en-AU"/>
        </w:rPr>
        <w:t>c</w:t>
      </w:r>
      <w:r w:rsidRPr="00AF2BF6">
        <w:rPr>
          <w:rFonts w:asciiTheme="minorHAnsi" w:eastAsiaTheme="minorHAnsi" w:hAnsiTheme="minorHAnsi" w:cs="Arial"/>
          <w:bCs/>
          <w:color w:val="000000" w:themeColor="text1"/>
          <w:lang w:val="en-AU"/>
        </w:rPr>
        <w:t xml:space="preserve"> prolong</w:t>
      </w:r>
      <w:r w:rsidR="00C7653E">
        <w:rPr>
          <w:rFonts w:asciiTheme="minorHAnsi" w:eastAsiaTheme="minorHAnsi" w:hAnsiTheme="minorHAnsi" w:cs="Arial"/>
          <w:bCs/>
          <w:color w:val="000000" w:themeColor="text1"/>
          <w:lang w:val="en-AU"/>
        </w:rPr>
        <w:t>ation,</w:t>
      </w:r>
      <w:r w:rsidRPr="00AF2BF6">
        <w:rPr>
          <w:rFonts w:asciiTheme="minorHAnsi" w:eastAsiaTheme="minorHAnsi" w:hAnsiTheme="minorHAnsi" w:cs="Arial"/>
          <w:bCs/>
          <w:color w:val="000000" w:themeColor="text1"/>
          <w:lang w:val="en-AU"/>
        </w:rPr>
        <w:t xml:space="preserve"> and dose reduction to manage signs/symptoms </w:t>
      </w:r>
      <w:r w:rsidR="00C7653E">
        <w:rPr>
          <w:rFonts w:asciiTheme="minorHAnsi" w:eastAsiaTheme="minorHAnsi" w:hAnsiTheme="minorHAnsi" w:cs="Arial"/>
          <w:bCs/>
          <w:color w:val="000000" w:themeColor="text1"/>
          <w:lang w:val="en-AU"/>
        </w:rPr>
        <w:t>was</w:t>
      </w:r>
      <w:r w:rsidR="00C7653E"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required in </w:t>
      </w:r>
      <w:r w:rsidR="00C7653E">
        <w:rPr>
          <w:rFonts w:asciiTheme="minorHAnsi" w:eastAsiaTheme="minorHAnsi" w:hAnsiTheme="minorHAnsi" w:cs="Arial"/>
          <w:bCs/>
          <w:color w:val="000000" w:themeColor="text1"/>
          <w:lang w:val="en-AU"/>
        </w:rPr>
        <w:t xml:space="preserve">(3% </w:t>
      </w:r>
      <w:r w:rsidRPr="00AF2BF6">
        <w:rPr>
          <w:rFonts w:asciiTheme="minorHAnsi" w:eastAsiaTheme="minorHAnsi" w:hAnsiTheme="minorHAnsi" w:cs="Arial"/>
          <w:bCs/>
          <w:color w:val="000000" w:themeColor="text1"/>
          <w:lang w:val="en-AU"/>
        </w:rPr>
        <w:t xml:space="preserve">of patients. The median time to onset </w:t>
      </w:r>
      <w:r w:rsidR="00C7653E" w:rsidRPr="00AF2BF6">
        <w:rPr>
          <w:rFonts w:asciiTheme="minorHAnsi" w:eastAsiaTheme="minorHAnsi" w:hAnsiTheme="minorHAnsi" w:cs="Arial"/>
          <w:bCs/>
          <w:color w:val="000000" w:themeColor="text1"/>
          <w:lang w:val="en-AU"/>
        </w:rPr>
        <w:t>after treatment initiation</w:t>
      </w:r>
      <w:r w:rsidR="00C7653E" w:rsidRPr="00AF2BF6" w:rsidDel="00C7653E">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was 28 days</w:t>
      </w:r>
      <w:r w:rsidR="00C7653E">
        <w:rPr>
          <w:rFonts w:asciiTheme="minorHAnsi" w:eastAsiaTheme="minorHAnsi" w:hAnsiTheme="minorHAnsi" w:cs="Arial"/>
          <w:bCs/>
          <w:color w:val="000000" w:themeColor="text1"/>
          <w:lang w:val="en-AU"/>
        </w:rPr>
        <w:t xml:space="preserve"> (range:</w:t>
      </w:r>
      <w:r w:rsidRPr="00AF2BF6">
        <w:rPr>
          <w:rFonts w:asciiTheme="minorHAnsi" w:eastAsiaTheme="minorHAnsi" w:hAnsiTheme="minorHAnsi" w:cs="Arial"/>
          <w:bCs/>
          <w:color w:val="000000" w:themeColor="text1"/>
          <w:lang w:val="en-AU"/>
        </w:rPr>
        <w:t xml:space="preserve"> 1 day to </w:t>
      </w:r>
      <w:r w:rsidR="00CB7A1E">
        <w:rPr>
          <w:rFonts w:asciiTheme="minorHAnsi" w:eastAsiaTheme="minorHAnsi" w:hAnsiTheme="minorHAnsi" w:cs="Arial"/>
          <w:bCs/>
          <w:color w:val="000000" w:themeColor="text1"/>
          <w:lang w:val="en-AU"/>
        </w:rPr>
        <w:t xml:space="preserve">698 days </w:t>
      </w:r>
      <w:r w:rsidR="00C7653E">
        <w:rPr>
          <w:rFonts w:asciiTheme="minorHAnsi" w:eastAsiaTheme="minorHAnsi" w:hAnsiTheme="minorHAnsi" w:cs="Arial"/>
          <w:bCs/>
          <w:color w:val="000000" w:themeColor="text1"/>
          <w:lang w:val="en-AU"/>
        </w:rPr>
        <w:t>[</w:t>
      </w:r>
      <w:r w:rsidR="00C7653E" w:rsidRPr="00AF2BF6">
        <w:rPr>
          <w:rFonts w:asciiTheme="minorHAnsi" w:eastAsiaTheme="minorHAnsi" w:hAnsiTheme="minorHAnsi" w:cs="Arial"/>
          <w:bCs/>
          <w:color w:val="000000" w:themeColor="text1"/>
          <w:lang w:val="en-AU"/>
        </w:rPr>
        <w:t>23 months</w:t>
      </w:r>
      <w:r w:rsidR="00C7653E">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w:t>
      </w:r>
    </w:p>
    <w:p w14:paraId="15A9E1FD" w14:textId="77777777" w:rsidR="00F50D3D" w:rsidRPr="00AF2BF6" w:rsidRDefault="00C56D2F" w:rsidP="000025A2">
      <w:pPr>
        <w:pStyle w:val="Heading3"/>
        <w:spacing w:before="120" w:after="120"/>
        <w:rPr>
          <w:b/>
          <w:bCs/>
          <w:szCs w:val="22"/>
        </w:rPr>
      </w:pPr>
      <w:r w:rsidRPr="00AF2BF6">
        <w:rPr>
          <w:b/>
          <w:bCs/>
          <w:szCs w:val="22"/>
        </w:rPr>
        <w:t>Special populations</w:t>
      </w:r>
    </w:p>
    <w:p w14:paraId="15A9E1FF" w14:textId="77777777" w:rsidR="00F50D3D" w:rsidRPr="00AF2BF6" w:rsidRDefault="00C56D2F" w:rsidP="00450D1E">
      <w:pPr>
        <w:pStyle w:val="Heading4"/>
      </w:pPr>
      <w:r w:rsidRPr="00AF2BF6">
        <w:t>Elderly</w:t>
      </w:r>
    </w:p>
    <w:p w14:paraId="15A9E201" w14:textId="0E77E7C4" w:rsidR="00F50D3D" w:rsidRPr="00AF2BF6" w:rsidRDefault="006F774C" w:rsidP="006F774C">
      <w:pPr>
        <w:widowControl/>
        <w:autoSpaceDE/>
        <w:autoSpaceDN/>
        <w:spacing w:after="200" w:line="276" w:lineRule="auto"/>
        <w:rPr>
          <w:rFonts w:asciiTheme="minorHAnsi" w:eastAsiaTheme="minorHAnsi" w:hAnsiTheme="minorHAnsi" w:cs="Arial"/>
          <w:bCs/>
          <w:color w:val="000000" w:themeColor="text1"/>
          <w:lang w:val="en-AU"/>
        </w:rPr>
      </w:pPr>
      <w:r w:rsidRPr="006F774C">
        <w:rPr>
          <w:rFonts w:asciiTheme="minorHAnsi" w:eastAsiaTheme="minorHAnsi" w:hAnsiTheme="minorHAnsi" w:cs="Arial"/>
          <w:bCs/>
          <w:color w:val="000000" w:themeColor="text1"/>
          <w:lang w:val="en-AU"/>
        </w:rPr>
        <w:t>Of 12</w:t>
      </w:r>
      <w:r w:rsidR="002D561B">
        <w:rPr>
          <w:rFonts w:asciiTheme="minorHAnsi" w:eastAsiaTheme="minorHAnsi" w:hAnsiTheme="minorHAnsi" w:cs="Arial"/>
          <w:bCs/>
          <w:color w:val="000000" w:themeColor="text1"/>
          <w:lang w:val="en-AU"/>
        </w:rPr>
        <w:t>3</w:t>
      </w:r>
      <w:r w:rsidRPr="006F774C">
        <w:rPr>
          <w:rFonts w:asciiTheme="minorHAnsi" w:eastAsiaTheme="minorHAnsi" w:hAnsiTheme="minorHAnsi" w:cs="Arial"/>
          <w:bCs/>
          <w:color w:val="000000" w:themeColor="text1"/>
          <w:lang w:val="en-AU"/>
        </w:rPr>
        <w:t xml:space="preserve"> patients with cholangiocarcinoma treated with TIBSOVO in Study</w:t>
      </w:r>
      <w:r>
        <w:rPr>
          <w:rFonts w:asciiTheme="minorHAnsi" w:eastAsiaTheme="minorHAnsi" w:hAnsiTheme="minorHAnsi" w:cs="Arial"/>
          <w:bCs/>
          <w:color w:val="000000" w:themeColor="text1"/>
          <w:lang w:val="en-AU"/>
        </w:rPr>
        <w:t xml:space="preserve"> </w:t>
      </w:r>
      <w:r w:rsidRPr="006F774C">
        <w:rPr>
          <w:rFonts w:asciiTheme="minorHAnsi" w:eastAsiaTheme="minorHAnsi" w:hAnsiTheme="minorHAnsi" w:cs="Arial"/>
          <w:bCs/>
          <w:color w:val="000000" w:themeColor="text1"/>
          <w:lang w:val="en-AU"/>
        </w:rPr>
        <w:t>AG120-C-005, 3</w:t>
      </w:r>
      <w:r w:rsidR="002D561B">
        <w:rPr>
          <w:rFonts w:asciiTheme="minorHAnsi" w:eastAsiaTheme="minorHAnsi" w:hAnsiTheme="minorHAnsi" w:cs="Arial"/>
          <w:bCs/>
          <w:color w:val="000000" w:themeColor="text1"/>
          <w:lang w:val="en-AU"/>
        </w:rPr>
        <w:t>6</w:t>
      </w:r>
      <w:r w:rsidRPr="006F774C">
        <w:rPr>
          <w:rFonts w:asciiTheme="minorHAnsi" w:eastAsiaTheme="minorHAnsi" w:hAnsiTheme="minorHAnsi" w:cs="Arial"/>
          <w:bCs/>
          <w:color w:val="000000" w:themeColor="text1"/>
          <w:lang w:val="en-AU"/>
        </w:rPr>
        <w:t xml:space="preserve">% were </w:t>
      </w:r>
      <w:r w:rsidRPr="00AF2BF6">
        <w:rPr>
          <w:rFonts w:asciiTheme="minorHAnsi" w:eastAsiaTheme="minorHAnsi" w:hAnsiTheme="minorHAnsi" w:cs="Arial"/>
          <w:bCs/>
          <w:color w:val="000000" w:themeColor="text1"/>
          <w:lang w:val="en-AU"/>
        </w:rPr>
        <w:t>≥</w:t>
      </w:r>
      <w:r w:rsidRPr="006F774C">
        <w:rPr>
          <w:rFonts w:asciiTheme="minorHAnsi" w:eastAsiaTheme="minorHAnsi" w:hAnsiTheme="minorHAnsi" w:cs="Arial"/>
          <w:bCs/>
          <w:color w:val="000000" w:themeColor="text1"/>
          <w:lang w:val="en-AU"/>
        </w:rPr>
        <w:t xml:space="preserve">65 </w:t>
      </w:r>
      <w:r>
        <w:rPr>
          <w:rFonts w:asciiTheme="minorHAnsi" w:eastAsiaTheme="minorHAnsi" w:hAnsiTheme="minorHAnsi" w:cs="Arial"/>
          <w:bCs/>
          <w:color w:val="000000" w:themeColor="text1"/>
          <w:lang w:val="en-AU"/>
        </w:rPr>
        <w:t>years of age a</w:t>
      </w:r>
      <w:r w:rsidRPr="006F774C">
        <w:rPr>
          <w:rFonts w:asciiTheme="minorHAnsi" w:eastAsiaTheme="minorHAnsi" w:hAnsiTheme="minorHAnsi" w:cs="Arial"/>
          <w:bCs/>
          <w:color w:val="000000" w:themeColor="text1"/>
          <w:lang w:val="en-AU"/>
        </w:rPr>
        <w:t xml:space="preserve">nd 11% were </w:t>
      </w:r>
      <w:r w:rsidRPr="00AF2BF6">
        <w:rPr>
          <w:rFonts w:asciiTheme="minorHAnsi" w:eastAsiaTheme="minorHAnsi" w:hAnsiTheme="minorHAnsi" w:cs="Arial"/>
          <w:bCs/>
          <w:color w:val="000000" w:themeColor="text1"/>
          <w:lang w:val="en-AU"/>
        </w:rPr>
        <w:t>≥</w:t>
      </w:r>
      <w:r w:rsidRPr="006F774C">
        <w:rPr>
          <w:rFonts w:asciiTheme="minorHAnsi" w:eastAsiaTheme="minorHAnsi" w:hAnsiTheme="minorHAnsi" w:cs="Arial"/>
          <w:bCs/>
          <w:color w:val="000000" w:themeColor="text1"/>
          <w:lang w:val="en-AU"/>
        </w:rPr>
        <w:t xml:space="preserve">75 years </w:t>
      </w:r>
      <w:r>
        <w:rPr>
          <w:rFonts w:asciiTheme="minorHAnsi" w:eastAsiaTheme="minorHAnsi" w:hAnsiTheme="minorHAnsi" w:cs="Arial"/>
          <w:bCs/>
          <w:color w:val="000000" w:themeColor="text1"/>
          <w:lang w:val="en-AU"/>
        </w:rPr>
        <w:t>of age</w:t>
      </w:r>
      <w:r w:rsidRPr="006F774C">
        <w:rPr>
          <w:rFonts w:asciiTheme="minorHAnsi" w:eastAsiaTheme="minorHAnsi" w:hAnsiTheme="minorHAnsi" w:cs="Arial"/>
          <w:bCs/>
          <w:color w:val="000000" w:themeColor="text1"/>
          <w:lang w:val="en-AU"/>
        </w:rPr>
        <w:t>.</w:t>
      </w:r>
      <w:r>
        <w:rPr>
          <w:rFonts w:asciiTheme="minorHAnsi" w:eastAsiaTheme="minorHAnsi" w:hAnsiTheme="minorHAnsi" w:cs="Arial"/>
          <w:bCs/>
          <w:color w:val="000000" w:themeColor="text1"/>
          <w:lang w:val="en-AU"/>
        </w:rPr>
        <w:t xml:space="preserve"> </w:t>
      </w:r>
      <w:r w:rsidR="00C56D2F" w:rsidRPr="00AF2BF6">
        <w:rPr>
          <w:rFonts w:asciiTheme="minorHAnsi" w:eastAsiaTheme="minorHAnsi" w:hAnsiTheme="minorHAnsi" w:cs="Arial"/>
          <w:bCs/>
          <w:color w:val="000000" w:themeColor="text1"/>
          <w:lang w:val="en-AU"/>
        </w:rPr>
        <w:t>No overall difference in safety was observed between patients ≥65 years old and younger patients.</w:t>
      </w:r>
    </w:p>
    <w:p w14:paraId="771721D6" w14:textId="77777777" w:rsidR="00594C0D" w:rsidRPr="002E1B51" w:rsidRDefault="00594C0D" w:rsidP="002E1B51">
      <w:pPr>
        <w:pStyle w:val="Heading3"/>
        <w:spacing w:before="200" w:after="120"/>
        <w:rPr>
          <w:b/>
          <w:bCs/>
        </w:rPr>
      </w:pPr>
      <w:r w:rsidRPr="002E1B51">
        <w:rPr>
          <w:b/>
          <w:bCs/>
          <w:szCs w:val="22"/>
        </w:rPr>
        <w:t>Reporting suspected adverse effects</w:t>
      </w:r>
    </w:p>
    <w:p w14:paraId="4D7A019B" w14:textId="77777777" w:rsidR="00594C0D" w:rsidRPr="00AF2BF6" w:rsidRDefault="00594C0D" w:rsidP="009326D7">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bookmarkStart w:id="15" w:name="_Hlk29284137"/>
      <w:r w:rsidRPr="00AF2BF6">
        <w:rPr>
          <w:rFonts w:asciiTheme="minorHAnsi" w:eastAsiaTheme="minorHAnsi" w:hAnsiTheme="minorHAnsi" w:cs="Arial"/>
          <w:bCs/>
          <w:color w:val="000000" w:themeColor="text1"/>
          <w:lang w:val="en-AU"/>
        </w:rPr>
        <w:fldChar w:fldCharType="begin"/>
      </w:r>
      <w:r w:rsidRPr="00AF2BF6">
        <w:rPr>
          <w:rFonts w:asciiTheme="minorHAnsi" w:eastAsiaTheme="minorHAnsi" w:hAnsiTheme="minorHAnsi" w:cs="Arial"/>
          <w:bCs/>
          <w:color w:val="000000" w:themeColor="text1"/>
          <w:lang w:val="en-AU"/>
        </w:rPr>
        <w:instrText xml:space="preserve"> HYPERLINK "http://www.tga.gov.au/reporting-problems" </w:instrText>
      </w:r>
      <w:r w:rsidRPr="00AF2BF6">
        <w:rPr>
          <w:rFonts w:asciiTheme="minorHAnsi" w:eastAsiaTheme="minorHAnsi" w:hAnsiTheme="minorHAnsi" w:cs="Arial"/>
          <w:bCs/>
          <w:color w:val="000000" w:themeColor="text1"/>
          <w:lang w:val="en-AU"/>
        </w:rPr>
      </w:r>
      <w:r w:rsidRPr="00AF2BF6">
        <w:rPr>
          <w:rFonts w:asciiTheme="minorHAnsi" w:eastAsiaTheme="minorHAnsi" w:hAnsiTheme="minorHAnsi" w:cs="Arial"/>
          <w:bCs/>
          <w:color w:val="000000" w:themeColor="text1"/>
          <w:lang w:val="en-AU"/>
        </w:rPr>
        <w:fldChar w:fldCharType="separate"/>
      </w:r>
      <w:r w:rsidRPr="00AF2BF6">
        <w:rPr>
          <w:rFonts w:asciiTheme="minorHAnsi" w:eastAsiaTheme="minorHAnsi" w:hAnsiTheme="minorHAnsi"/>
          <w:bCs/>
          <w:color w:val="000000" w:themeColor="text1"/>
          <w:lang w:val="en-AU"/>
        </w:rPr>
        <w:t>www.tga.gov.au/reporting-problems</w:t>
      </w:r>
      <w:r w:rsidRPr="00AF2BF6">
        <w:rPr>
          <w:rFonts w:asciiTheme="minorHAnsi" w:eastAsiaTheme="minorHAnsi" w:hAnsiTheme="minorHAnsi"/>
          <w:bCs/>
          <w:color w:val="000000" w:themeColor="text1"/>
          <w:lang w:val="en-AU"/>
        </w:rPr>
        <w:fldChar w:fldCharType="end"/>
      </w:r>
      <w:r w:rsidRPr="00AF2BF6">
        <w:rPr>
          <w:rFonts w:asciiTheme="minorHAnsi" w:eastAsiaTheme="minorHAnsi" w:hAnsiTheme="minorHAnsi" w:cs="Arial"/>
          <w:bCs/>
          <w:color w:val="000000" w:themeColor="text1"/>
          <w:lang w:val="en-AU"/>
        </w:rPr>
        <w:t>.</w:t>
      </w:r>
      <w:bookmarkEnd w:id="15"/>
    </w:p>
    <w:p w14:paraId="15A9E206" w14:textId="77777777" w:rsidR="00F50D3D" w:rsidRPr="00AF2BF6" w:rsidRDefault="00C56D2F" w:rsidP="00621FF9">
      <w:pPr>
        <w:pStyle w:val="Heading2"/>
        <w:numPr>
          <w:ilvl w:val="1"/>
          <w:numId w:val="6"/>
        </w:numPr>
      </w:pPr>
      <w:r w:rsidRPr="00AF2BF6">
        <w:t>Overdose</w:t>
      </w:r>
    </w:p>
    <w:p w14:paraId="15A9E208" w14:textId="6B3897D8" w:rsidR="00F50D3D" w:rsidRPr="00AF2BF6" w:rsidRDefault="00C56D2F" w:rsidP="009B019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In the event of overdose, toxicity </w:t>
      </w:r>
      <w:r w:rsidR="00433995">
        <w:rPr>
          <w:rFonts w:asciiTheme="minorHAnsi" w:eastAsiaTheme="minorHAnsi" w:hAnsiTheme="minorHAnsi" w:cs="Arial"/>
          <w:bCs/>
          <w:color w:val="000000" w:themeColor="text1"/>
          <w:lang w:val="en-AU"/>
        </w:rPr>
        <w:t>may</w:t>
      </w:r>
      <w:r w:rsidRPr="00AF2BF6">
        <w:rPr>
          <w:rFonts w:asciiTheme="minorHAnsi" w:eastAsiaTheme="minorHAnsi" w:hAnsiTheme="minorHAnsi" w:cs="Arial"/>
          <w:bCs/>
          <w:color w:val="000000" w:themeColor="text1"/>
          <w:lang w:val="en-AU"/>
        </w:rPr>
        <w:t xml:space="preserve"> manifest as </w:t>
      </w:r>
      <w:r w:rsidR="00C7653E">
        <w:rPr>
          <w:rFonts w:asciiTheme="minorHAnsi" w:eastAsiaTheme="minorHAnsi" w:hAnsiTheme="minorHAnsi" w:cs="Arial"/>
          <w:bCs/>
          <w:color w:val="000000" w:themeColor="text1"/>
          <w:lang w:val="en-AU"/>
        </w:rPr>
        <w:t>QT prolongation</w:t>
      </w:r>
      <w:r w:rsidR="0076782A">
        <w:rPr>
          <w:rFonts w:asciiTheme="minorHAnsi" w:eastAsiaTheme="minorHAnsi" w:hAnsiTheme="minorHAnsi" w:cs="Arial"/>
          <w:bCs/>
          <w:color w:val="000000" w:themeColor="text1"/>
          <w:lang w:val="en-AU"/>
        </w:rPr>
        <w:t xml:space="preserve"> </w:t>
      </w:r>
      <w:r w:rsidR="00433995">
        <w:rPr>
          <w:rFonts w:asciiTheme="minorHAnsi" w:eastAsiaTheme="minorHAnsi" w:hAnsiTheme="minorHAnsi" w:cs="Arial"/>
          <w:bCs/>
          <w:color w:val="000000" w:themeColor="text1"/>
          <w:lang w:val="en-AU"/>
        </w:rPr>
        <w:t>or</w:t>
      </w:r>
      <w:r w:rsidR="00C7653E">
        <w:rPr>
          <w:rFonts w:asciiTheme="minorHAnsi" w:eastAsiaTheme="minorHAnsi" w:hAnsiTheme="minorHAnsi" w:cs="Arial"/>
          <w:bCs/>
          <w:color w:val="000000" w:themeColor="text1"/>
          <w:lang w:val="en-AU"/>
        </w:rPr>
        <w:t xml:space="preserve"> ventricular arrhythmia, or </w:t>
      </w:r>
      <w:r w:rsidRPr="00AF2BF6">
        <w:rPr>
          <w:rFonts w:asciiTheme="minorHAnsi" w:eastAsiaTheme="minorHAnsi" w:hAnsiTheme="minorHAnsi" w:cs="Arial"/>
          <w:bCs/>
          <w:color w:val="000000" w:themeColor="text1"/>
          <w:lang w:val="en-AU"/>
        </w:rPr>
        <w:t xml:space="preserve">exacerbation of </w:t>
      </w:r>
      <w:r w:rsidR="00C7653E">
        <w:rPr>
          <w:rFonts w:asciiTheme="minorHAnsi" w:eastAsiaTheme="minorHAnsi" w:hAnsiTheme="minorHAnsi" w:cs="Arial"/>
          <w:bCs/>
          <w:color w:val="000000" w:themeColor="text1"/>
          <w:lang w:val="en-AU"/>
        </w:rPr>
        <w:t>other</w:t>
      </w:r>
      <w:r w:rsidR="00C7653E" w:rsidRPr="00AF2BF6">
        <w:rPr>
          <w:rFonts w:asciiTheme="minorHAnsi" w:eastAsiaTheme="minorHAnsi" w:hAnsiTheme="minorHAnsi" w:cs="Arial"/>
          <w:bCs/>
          <w:color w:val="000000" w:themeColor="text1"/>
          <w:lang w:val="en-AU"/>
        </w:rPr>
        <w:t xml:space="preserve"> </w:t>
      </w:r>
      <w:r w:rsidRPr="00AF2BF6">
        <w:rPr>
          <w:rFonts w:asciiTheme="minorHAnsi" w:eastAsiaTheme="minorHAnsi" w:hAnsiTheme="minorHAnsi" w:cs="Arial"/>
          <w:bCs/>
          <w:color w:val="000000" w:themeColor="text1"/>
          <w:lang w:val="en-AU"/>
        </w:rPr>
        <w:t xml:space="preserve">adverse reactions (see </w:t>
      </w:r>
      <w:r w:rsidRPr="00AF2BF6">
        <w:rPr>
          <w:rFonts w:asciiTheme="minorHAnsi" w:eastAsiaTheme="minorHAnsi" w:hAnsiTheme="minorHAnsi" w:cs="Arial"/>
          <w:bCs/>
          <w:i/>
          <w:iCs/>
          <w:color w:val="000000" w:themeColor="text1"/>
          <w:lang w:val="en-AU"/>
        </w:rPr>
        <w:t xml:space="preserve">section </w:t>
      </w:r>
      <w:r w:rsidR="00C7653E" w:rsidRPr="00AF2BF6">
        <w:rPr>
          <w:rFonts w:asciiTheme="minorHAnsi" w:eastAsiaTheme="minorHAnsi" w:hAnsiTheme="minorHAnsi" w:cs="Arial"/>
          <w:bCs/>
          <w:i/>
          <w:iCs/>
          <w:color w:val="000000" w:themeColor="text1"/>
          <w:lang w:val="en-AU"/>
        </w:rPr>
        <w:t>4.4 - Special warnings and precautions for use</w:t>
      </w:r>
      <w:r w:rsidR="00C7653E">
        <w:rPr>
          <w:rFonts w:asciiTheme="minorHAnsi" w:eastAsiaTheme="minorHAnsi" w:hAnsiTheme="minorHAnsi" w:cs="Arial"/>
          <w:bCs/>
          <w:color w:val="000000" w:themeColor="text1"/>
          <w:lang w:val="en-AU"/>
        </w:rPr>
        <w:t xml:space="preserve"> and </w:t>
      </w:r>
      <w:r w:rsidRPr="00AF2BF6">
        <w:rPr>
          <w:rFonts w:asciiTheme="minorHAnsi" w:eastAsiaTheme="minorHAnsi" w:hAnsiTheme="minorHAnsi" w:cs="Arial"/>
          <w:bCs/>
          <w:i/>
          <w:iCs/>
          <w:color w:val="000000" w:themeColor="text1"/>
          <w:lang w:val="en-AU"/>
        </w:rPr>
        <w:t>4.8</w:t>
      </w:r>
      <w:r w:rsidR="00CB46CD" w:rsidRPr="00AF2BF6">
        <w:rPr>
          <w:rFonts w:asciiTheme="minorHAnsi" w:eastAsiaTheme="minorHAnsi" w:hAnsiTheme="minorHAnsi" w:cs="Arial"/>
          <w:bCs/>
          <w:i/>
          <w:iCs/>
          <w:color w:val="000000" w:themeColor="text1"/>
          <w:lang w:val="en-AU"/>
        </w:rPr>
        <w:t xml:space="preserve"> - Adverse effects (Undesirable effects)</w:t>
      </w:r>
      <w:r w:rsidRPr="00AF2BF6">
        <w:rPr>
          <w:rFonts w:asciiTheme="minorHAnsi" w:eastAsiaTheme="minorHAnsi" w:hAnsiTheme="minorHAnsi" w:cs="Arial"/>
          <w:bCs/>
          <w:color w:val="000000" w:themeColor="text1"/>
          <w:lang w:val="en-AU"/>
        </w:rPr>
        <w:t xml:space="preserve">). Patients should be closely monitored and provided with appropriate supportive care (see </w:t>
      </w:r>
      <w:r w:rsidRPr="00AF2BF6">
        <w:rPr>
          <w:rFonts w:asciiTheme="minorHAnsi" w:eastAsiaTheme="minorHAnsi" w:hAnsiTheme="minorHAnsi" w:cs="Arial"/>
          <w:bCs/>
          <w:i/>
          <w:iCs/>
          <w:color w:val="000000" w:themeColor="text1"/>
          <w:lang w:val="en-AU"/>
        </w:rPr>
        <w:t>sections 4.2</w:t>
      </w:r>
      <w:r w:rsidR="009B0191" w:rsidRPr="00AF2BF6">
        <w:rPr>
          <w:rFonts w:asciiTheme="minorHAnsi" w:eastAsiaTheme="minorHAnsi" w:hAnsiTheme="minorHAnsi" w:cs="Arial"/>
          <w:bCs/>
          <w:i/>
          <w:iCs/>
          <w:color w:val="000000" w:themeColor="text1"/>
          <w:lang w:val="en-AU"/>
        </w:rPr>
        <w:t xml:space="preserve"> - </w:t>
      </w:r>
      <w:r w:rsidR="008C510B">
        <w:rPr>
          <w:rFonts w:asciiTheme="minorHAnsi" w:eastAsiaTheme="minorHAnsi" w:hAnsiTheme="minorHAnsi" w:cs="Arial"/>
          <w:bCs/>
          <w:i/>
          <w:iCs/>
          <w:color w:val="000000" w:themeColor="text1"/>
          <w:lang w:val="en-AU"/>
        </w:rPr>
        <w:t>Dose</w:t>
      </w:r>
      <w:r w:rsidR="009B0191" w:rsidRPr="00AF2BF6">
        <w:rPr>
          <w:rFonts w:asciiTheme="minorHAnsi" w:eastAsiaTheme="minorHAnsi" w:hAnsiTheme="minorHAnsi" w:cs="Arial"/>
          <w:bCs/>
          <w:i/>
          <w:iCs/>
          <w:color w:val="000000" w:themeColor="text1"/>
          <w:lang w:val="en-AU"/>
        </w:rPr>
        <w:t xml:space="preserve"> and method of administration</w:t>
      </w:r>
      <w:r w:rsidRPr="00AF2BF6">
        <w:rPr>
          <w:rFonts w:asciiTheme="minorHAnsi" w:eastAsiaTheme="minorHAnsi" w:hAnsiTheme="minorHAnsi" w:cs="Arial"/>
          <w:bCs/>
          <w:color w:val="000000" w:themeColor="text1"/>
          <w:lang w:val="en-AU"/>
        </w:rPr>
        <w:t>). There is no specific antidote for ivosidenib overdose.</w:t>
      </w:r>
    </w:p>
    <w:p w14:paraId="15A9E20B" w14:textId="77777777" w:rsidR="00F50D3D" w:rsidRPr="00AF2BF6" w:rsidRDefault="00C56D2F" w:rsidP="000321E7">
      <w:pPr>
        <w:pStyle w:val="Heading1"/>
      </w:pPr>
      <w:r w:rsidRPr="00AF2BF6">
        <w:lastRenderedPageBreak/>
        <w:t>PHARMACOLOGICAL PROPERTIES</w:t>
      </w:r>
    </w:p>
    <w:p w14:paraId="15A9E20D" w14:textId="77777777" w:rsidR="00F50D3D" w:rsidRPr="00AF2BF6" w:rsidRDefault="00C56D2F" w:rsidP="00621FF9">
      <w:pPr>
        <w:pStyle w:val="Heading2"/>
        <w:numPr>
          <w:ilvl w:val="1"/>
          <w:numId w:val="6"/>
        </w:numPr>
      </w:pPr>
      <w:r w:rsidRPr="00AF2BF6">
        <w:t>Pharmacodynamic properties</w:t>
      </w:r>
    </w:p>
    <w:p w14:paraId="15A9E20F" w14:textId="77777777" w:rsidR="00F50D3D" w:rsidRPr="00AF2BF6" w:rsidRDefault="00C56D2F" w:rsidP="009B019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Pharmacotherapeutic group: Antineoplastic agents; other antineoplastic agents ATC code: L01XX62</w:t>
      </w:r>
    </w:p>
    <w:p w14:paraId="15A9E211" w14:textId="77777777" w:rsidR="00F50D3D" w:rsidRPr="00AF2BF6" w:rsidRDefault="00C56D2F" w:rsidP="00750827">
      <w:pPr>
        <w:pStyle w:val="Heading3"/>
        <w:spacing w:before="120" w:after="120"/>
        <w:rPr>
          <w:b/>
          <w:bCs/>
          <w:szCs w:val="22"/>
        </w:rPr>
      </w:pPr>
      <w:r w:rsidRPr="00AF2BF6">
        <w:rPr>
          <w:b/>
          <w:bCs/>
          <w:szCs w:val="22"/>
        </w:rPr>
        <w:t>Mechanism of action</w:t>
      </w:r>
    </w:p>
    <w:p w14:paraId="248EE45C" w14:textId="21E34315" w:rsidR="001E4A01" w:rsidRDefault="00C56D2F" w:rsidP="001E4A0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Ivosidenib is a small molecule inhibitor of </w:t>
      </w:r>
      <w:r w:rsidR="00716D72">
        <w:rPr>
          <w:rFonts w:asciiTheme="minorHAnsi" w:eastAsiaTheme="minorHAnsi" w:hAnsiTheme="minorHAnsi" w:cs="Arial"/>
          <w:bCs/>
          <w:color w:val="000000" w:themeColor="text1"/>
          <w:lang w:val="en-AU"/>
        </w:rPr>
        <w:t>R132-</w:t>
      </w:r>
      <w:r w:rsidRPr="00AF2BF6">
        <w:rPr>
          <w:rFonts w:asciiTheme="minorHAnsi" w:eastAsiaTheme="minorHAnsi" w:hAnsiTheme="minorHAnsi" w:cs="Arial"/>
          <w:bCs/>
          <w:color w:val="000000" w:themeColor="text1"/>
          <w:lang w:val="en-AU"/>
        </w:rPr>
        <w:t>muta</w:t>
      </w:r>
      <w:r w:rsidR="00716D72">
        <w:rPr>
          <w:rFonts w:asciiTheme="minorHAnsi" w:eastAsiaTheme="minorHAnsi" w:hAnsiTheme="minorHAnsi" w:cs="Arial"/>
          <w:bCs/>
          <w:color w:val="000000" w:themeColor="text1"/>
          <w:lang w:val="en-AU"/>
        </w:rPr>
        <w:t>ted</w:t>
      </w:r>
      <w:r w:rsidR="001E4A01">
        <w:rPr>
          <w:rFonts w:asciiTheme="minorHAnsi" w:eastAsiaTheme="minorHAnsi" w:hAnsiTheme="minorHAnsi" w:cs="Arial"/>
          <w:bCs/>
          <w:color w:val="000000" w:themeColor="text1"/>
          <w:lang w:val="en-AU"/>
        </w:rPr>
        <w:t xml:space="preserve"> isocitrate dehydrogenase 1</w:t>
      </w:r>
      <w:r w:rsidRPr="00AF2BF6">
        <w:rPr>
          <w:rFonts w:asciiTheme="minorHAnsi" w:eastAsiaTheme="minorHAnsi" w:hAnsiTheme="minorHAnsi" w:cs="Arial"/>
          <w:bCs/>
          <w:color w:val="000000" w:themeColor="text1"/>
          <w:lang w:val="en-AU"/>
        </w:rPr>
        <w:t xml:space="preserve"> </w:t>
      </w:r>
      <w:r w:rsidR="001E4A01">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IDH1</w:t>
      </w:r>
      <w:r w:rsidR="001E4A01">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enzyme</w:t>
      </w:r>
      <w:r w:rsidR="001E4A01">
        <w:rPr>
          <w:rFonts w:asciiTheme="minorHAnsi" w:eastAsiaTheme="minorHAnsi" w:hAnsiTheme="minorHAnsi" w:cs="Arial"/>
          <w:bCs/>
          <w:color w:val="000000" w:themeColor="text1"/>
          <w:lang w:val="en-AU"/>
        </w:rPr>
        <w:t>s</w:t>
      </w:r>
      <w:r w:rsidRPr="00AF2BF6">
        <w:rPr>
          <w:rFonts w:asciiTheme="minorHAnsi" w:eastAsiaTheme="minorHAnsi" w:hAnsiTheme="minorHAnsi" w:cs="Arial"/>
          <w:bCs/>
          <w:color w:val="000000" w:themeColor="text1"/>
          <w:lang w:val="en-AU"/>
        </w:rPr>
        <w:t xml:space="preserve">. </w:t>
      </w:r>
      <w:r w:rsidR="004F105C">
        <w:rPr>
          <w:rFonts w:asciiTheme="minorHAnsi" w:eastAsiaTheme="minorHAnsi" w:hAnsiTheme="minorHAnsi" w:cs="Arial"/>
          <w:bCs/>
          <w:color w:val="000000" w:themeColor="text1"/>
          <w:lang w:val="en-AU"/>
        </w:rPr>
        <w:t>Through a gain of neomorphic function, the m</w:t>
      </w:r>
      <w:r w:rsidR="004F105C" w:rsidRPr="00AF2BF6">
        <w:rPr>
          <w:rFonts w:asciiTheme="minorHAnsi" w:eastAsiaTheme="minorHAnsi" w:hAnsiTheme="minorHAnsi" w:cs="Arial"/>
          <w:bCs/>
          <w:color w:val="000000" w:themeColor="text1"/>
          <w:lang w:val="en-AU"/>
        </w:rPr>
        <w:t>utant IDH1 converts alpha-ketoglutarate (α-KG)</w:t>
      </w:r>
      <w:r w:rsidR="004F105C">
        <w:rPr>
          <w:rFonts w:asciiTheme="minorHAnsi" w:eastAsiaTheme="minorHAnsi" w:hAnsiTheme="minorHAnsi" w:cs="Arial"/>
          <w:bCs/>
          <w:color w:val="000000" w:themeColor="text1"/>
          <w:lang w:val="en-AU"/>
        </w:rPr>
        <w:t xml:space="preserve"> to </w:t>
      </w:r>
      <w:r w:rsidR="004F105C" w:rsidRPr="001E4A01">
        <w:rPr>
          <w:rFonts w:asciiTheme="minorHAnsi" w:eastAsiaTheme="minorHAnsi" w:hAnsiTheme="minorHAnsi" w:cs="Arial"/>
          <w:bCs/>
          <w:color w:val="000000" w:themeColor="text1"/>
          <w:lang w:val="en-AU"/>
        </w:rPr>
        <w:t>2-hydroxyglutarate (2-HG</w:t>
      </w:r>
      <w:r w:rsidR="004F105C">
        <w:rPr>
          <w:rFonts w:asciiTheme="minorHAnsi" w:eastAsiaTheme="minorHAnsi" w:hAnsiTheme="minorHAnsi" w:cs="Arial"/>
          <w:bCs/>
          <w:color w:val="000000" w:themeColor="text1"/>
          <w:lang w:val="en-AU"/>
        </w:rPr>
        <w:t>).</w:t>
      </w:r>
      <w:r w:rsidR="004F105C" w:rsidRPr="001E4A01">
        <w:rPr>
          <w:rFonts w:asciiTheme="minorHAnsi" w:eastAsiaTheme="minorHAnsi" w:hAnsiTheme="minorHAnsi" w:cs="Arial"/>
          <w:bCs/>
          <w:color w:val="000000" w:themeColor="text1"/>
          <w:lang w:val="en-AU"/>
        </w:rPr>
        <w:t xml:space="preserve"> </w:t>
      </w:r>
      <w:r w:rsidR="00716D72">
        <w:rPr>
          <w:rFonts w:asciiTheme="minorHAnsi" w:eastAsiaTheme="minorHAnsi" w:hAnsiTheme="minorHAnsi" w:cs="Arial"/>
          <w:bCs/>
          <w:color w:val="000000" w:themeColor="text1"/>
          <w:lang w:val="en-AU"/>
        </w:rPr>
        <w:t>As 2-HG</w:t>
      </w:r>
      <w:r w:rsidR="004F105C">
        <w:rPr>
          <w:rFonts w:asciiTheme="minorHAnsi" w:eastAsiaTheme="minorHAnsi" w:hAnsiTheme="minorHAnsi" w:cs="Arial"/>
          <w:bCs/>
          <w:color w:val="000000" w:themeColor="text1"/>
          <w:lang w:val="en-AU"/>
        </w:rPr>
        <w:t xml:space="preserve"> </w:t>
      </w:r>
      <w:r w:rsidR="001E4A01" w:rsidRPr="001E4A01">
        <w:rPr>
          <w:rFonts w:asciiTheme="minorHAnsi" w:eastAsiaTheme="minorHAnsi" w:hAnsiTheme="minorHAnsi" w:cs="Arial"/>
          <w:bCs/>
          <w:color w:val="000000" w:themeColor="text1"/>
          <w:lang w:val="en-AU"/>
        </w:rPr>
        <w:t>competitive</w:t>
      </w:r>
      <w:r w:rsidR="00716D72">
        <w:rPr>
          <w:rFonts w:asciiTheme="minorHAnsi" w:eastAsiaTheme="minorHAnsi" w:hAnsiTheme="minorHAnsi" w:cs="Arial"/>
          <w:bCs/>
          <w:color w:val="000000" w:themeColor="text1"/>
          <w:lang w:val="en-AU"/>
        </w:rPr>
        <w:t>ly</w:t>
      </w:r>
      <w:r w:rsidR="001E4A01" w:rsidRPr="001E4A01">
        <w:rPr>
          <w:rFonts w:asciiTheme="minorHAnsi" w:eastAsiaTheme="minorHAnsi" w:hAnsiTheme="minorHAnsi" w:cs="Arial"/>
          <w:bCs/>
          <w:color w:val="000000" w:themeColor="text1"/>
          <w:lang w:val="en-AU"/>
        </w:rPr>
        <w:t xml:space="preserve"> inhibit</w:t>
      </w:r>
      <w:r w:rsidR="00716D72">
        <w:rPr>
          <w:rFonts w:asciiTheme="minorHAnsi" w:eastAsiaTheme="minorHAnsi" w:hAnsiTheme="minorHAnsi" w:cs="Arial"/>
          <w:bCs/>
          <w:color w:val="000000" w:themeColor="text1"/>
          <w:lang w:val="en-AU"/>
        </w:rPr>
        <w:t>s</w:t>
      </w:r>
      <w:r w:rsidR="001E4A01" w:rsidRPr="001E4A01">
        <w:rPr>
          <w:rFonts w:asciiTheme="minorHAnsi" w:eastAsiaTheme="minorHAnsi" w:hAnsiTheme="minorHAnsi" w:cs="Arial"/>
          <w:bCs/>
          <w:color w:val="000000" w:themeColor="text1"/>
          <w:lang w:val="en-AU"/>
        </w:rPr>
        <w:t xml:space="preserve"> α-KG-dependent enzymes, including histone and DNA demethylases</w:t>
      </w:r>
      <w:r w:rsidR="001E4A01">
        <w:rPr>
          <w:rFonts w:asciiTheme="minorHAnsi" w:eastAsiaTheme="minorHAnsi" w:hAnsiTheme="minorHAnsi" w:cs="Arial"/>
          <w:bCs/>
          <w:color w:val="000000" w:themeColor="text1"/>
          <w:lang w:val="en-AU"/>
        </w:rPr>
        <w:t>,</w:t>
      </w:r>
      <w:r w:rsidR="001E4A01" w:rsidRPr="001E4A01">
        <w:rPr>
          <w:rFonts w:asciiTheme="minorHAnsi" w:eastAsiaTheme="minorHAnsi" w:hAnsiTheme="minorHAnsi" w:cs="Arial"/>
          <w:bCs/>
          <w:color w:val="000000" w:themeColor="text1"/>
          <w:lang w:val="en-AU"/>
        </w:rPr>
        <w:t xml:space="preserve"> </w:t>
      </w:r>
      <w:r w:rsidR="00716D72">
        <w:rPr>
          <w:rFonts w:asciiTheme="minorHAnsi" w:eastAsiaTheme="minorHAnsi" w:hAnsiTheme="minorHAnsi" w:cs="Arial"/>
          <w:bCs/>
          <w:color w:val="000000" w:themeColor="text1"/>
          <w:lang w:val="en-AU"/>
        </w:rPr>
        <w:t>its accumulation leads to</w:t>
      </w:r>
      <w:r w:rsidR="001E4A01" w:rsidRPr="001E4A01">
        <w:rPr>
          <w:rFonts w:asciiTheme="minorHAnsi" w:eastAsiaTheme="minorHAnsi" w:hAnsiTheme="minorHAnsi" w:cs="Arial"/>
          <w:bCs/>
          <w:color w:val="000000" w:themeColor="text1"/>
          <w:lang w:val="en-AU"/>
        </w:rPr>
        <w:t xml:space="preserve"> widespread epigenetic dysregulation</w:t>
      </w:r>
      <w:r w:rsidRPr="00AF2BF6">
        <w:rPr>
          <w:rFonts w:asciiTheme="minorHAnsi" w:eastAsiaTheme="minorHAnsi" w:hAnsiTheme="minorHAnsi" w:cs="Arial"/>
          <w:bCs/>
          <w:color w:val="000000" w:themeColor="text1"/>
          <w:lang w:val="en-AU"/>
        </w:rPr>
        <w:t>.</w:t>
      </w:r>
      <w:r w:rsidR="004F105C">
        <w:rPr>
          <w:rFonts w:asciiTheme="minorHAnsi" w:eastAsiaTheme="minorHAnsi" w:hAnsiTheme="minorHAnsi" w:cs="Arial"/>
          <w:bCs/>
          <w:color w:val="000000" w:themeColor="text1"/>
          <w:lang w:val="en-AU"/>
        </w:rPr>
        <w:t xml:space="preserve"> </w:t>
      </w:r>
    </w:p>
    <w:p w14:paraId="38782562" w14:textId="70193919" w:rsidR="004F105C" w:rsidRPr="00AF2BF6" w:rsidRDefault="004F105C" w:rsidP="004F105C">
      <w:pPr>
        <w:widowControl/>
        <w:autoSpaceDE/>
        <w:autoSpaceDN/>
        <w:spacing w:after="200" w:line="276" w:lineRule="auto"/>
        <w:rPr>
          <w:rFonts w:asciiTheme="minorHAnsi" w:eastAsiaTheme="minorHAnsi" w:hAnsiTheme="minorHAnsi" w:cs="Arial"/>
          <w:bCs/>
          <w:color w:val="000000" w:themeColor="text1"/>
          <w:lang w:val="en-AU"/>
        </w:rPr>
      </w:pPr>
      <w:r w:rsidRPr="004F105C">
        <w:rPr>
          <w:rFonts w:asciiTheme="minorHAnsi" w:eastAsiaTheme="minorHAnsi" w:hAnsiTheme="minorHAnsi" w:cs="Arial"/>
          <w:bCs/>
          <w:color w:val="000000" w:themeColor="text1"/>
          <w:lang w:val="en-AU"/>
        </w:rPr>
        <w:t xml:space="preserve">Ivosidenib </w:t>
      </w:r>
      <w:r>
        <w:rPr>
          <w:rFonts w:asciiTheme="minorHAnsi" w:eastAsiaTheme="minorHAnsi" w:hAnsiTheme="minorHAnsi" w:cs="Arial"/>
          <w:bCs/>
          <w:color w:val="000000" w:themeColor="text1"/>
          <w:lang w:val="en-AU"/>
        </w:rPr>
        <w:t>inhibited</w:t>
      </w:r>
      <w:r w:rsidRPr="004F105C">
        <w:rPr>
          <w:rFonts w:asciiTheme="minorHAnsi" w:eastAsiaTheme="minorHAnsi" w:hAnsiTheme="minorHAnsi" w:cs="Arial"/>
          <w:bCs/>
          <w:color w:val="000000" w:themeColor="text1"/>
          <w:lang w:val="en-AU"/>
        </w:rPr>
        <w:t xml:space="preserve"> selected IDH1 mutants </w:t>
      </w:r>
      <w:r>
        <w:rPr>
          <w:rFonts w:asciiTheme="minorHAnsi" w:eastAsiaTheme="minorHAnsi" w:hAnsiTheme="minorHAnsi" w:cs="Arial"/>
          <w:bCs/>
          <w:color w:val="000000" w:themeColor="text1"/>
          <w:lang w:val="en-AU"/>
        </w:rPr>
        <w:t>(</w:t>
      </w:r>
      <w:r w:rsidRPr="004F105C">
        <w:rPr>
          <w:rFonts w:asciiTheme="minorHAnsi" w:eastAsiaTheme="minorHAnsi" w:hAnsiTheme="minorHAnsi" w:cs="Arial"/>
          <w:bCs/>
          <w:color w:val="000000" w:themeColor="text1"/>
          <w:lang w:val="en-AU"/>
        </w:rPr>
        <w:t>R132</w:t>
      </w:r>
      <w:r>
        <w:rPr>
          <w:rFonts w:asciiTheme="minorHAnsi" w:eastAsiaTheme="minorHAnsi" w:hAnsiTheme="minorHAnsi" w:cs="Arial"/>
          <w:bCs/>
          <w:color w:val="000000" w:themeColor="text1"/>
          <w:lang w:val="en-AU"/>
        </w:rPr>
        <w:t>C, R132L, R132G, R132H and R132S)</w:t>
      </w:r>
      <w:r w:rsidRPr="004F105C">
        <w:rPr>
          <w:rFonts w:asciiTheme="minorHAnsi" w:eastAsiaTheme="minorHAnsi" w:hAnsiTheme="minorHAnsi" w:cs="Arial"/>
          <w:bCs/>
          <w:color w:val="000000" w:themeColor="text1"/>
          <w:lang w:val="en-AU"/>
        </w:rPr>
        <w:t xml:space="preserve"> at much lower concentrations than</w:t>
      </w:r>
      <w:r>
        <w:rPr>
          <w:rFonts w:asciiTheme="minorHAnsi" w:eastAsiaTheme="minorHAnsi" w:hAnsiTheme="minorHAnsi" w:cs="Arial"/>
          <w:bCs/>
          <w:color w:val="000000" w:themeColor="text1"/>
          <w:lang w:val="en-AU"/>
        </w:rPr>
        <w:t xml:space="preserve"> </w:t>
      </w:r>
      <w:r w:rsidRPr="004F105C">
        <w:rPr>
          <w:rFonts w:asciiTheme="minorHAnsi" w:eastAsiaTheme="minorHAnsi" w:hAnsiTheme="minorHAnsi" w:cs="Arial"/>
          <w:bCs/>
          <w:color w:val="000000" w:themeColor="text1"/>
          <w:lang w:val="en-AU"/>
        </w:rPr>
        <w:t>wild-type IDH1 in vitro.</w:t>
      </w:r>
    </w:p>
    <w:p w14:paraId="15A9E218" w14:textId="6F6ECB59" w:rsidR="00F50D3D" w:rsidRPr="00AF2BF6" w:rsidRDefault="00C56D2F" w:rsidP="00450D1E">
      <w:pPr>
        <w:pStyle w:val="Heading4"/>
      </w:pPr>
      <w:r w:rsidRPr="00AF2BF6">
        <w:t>Cholangiocarcinoma</w:t>
      </w:r>
    </w:p>
    <w:p w14:paraId="59AA5819" w14:textId="3BAF0068" w:rsidR="004F105C" w:rsidRPr="004F105C" w:rsidRDefault="00EB03DA" w:rsidP="00571F75">
      <w:pPr>
        <w:rPr>
          <w:rFonts w:eastAsiaTheme="minorHAnsi"/>
        </w:rPr>
      </w:pPr>
      <w:r w:rsidRPr="000A2429">
        <w:rPr>
          <w:rFonts w:asciiTheme="minorHAnsi" w:eastAsiaTheme="minorHAnsi" w:hAnsiTheme="minorHAnsi" w:cs="Arial"/>
          <w:bCs/>
          <w:color w:val="000000" w:themeColor="text1"/>
          <w:lang w:val="en-AU"/>
        </w:rPr>
        <w:t>In a patient-derived xenograft intra-hepatic cholangiocarcinoma mouse model with IDH1 R132C, ivosidenib reduced 2-HG levels.</w:t>
      </w:r>
    </w:p>
    <w:p w14:paraId="15A9E21B" w14:textId="77777777" w:rsidR="00F50D3D" w:rsidRPr="00AF2BF6" w:rsidRDefault="00C56D2F" w:rsidP="00450D1E">
      <w:pPr>
        <w:pStyle w:val="Heading4"/>
      </w:pPr>
      <w:r w:rsidRPr="00AF2BF6">
        <w:t>Pharmacodynamic effects</w:t>
      </w:r>
    </w:p>
    <w:p w14:paraId="15A9E21D" w14:textId="374A25C4" w:rsidR="00F50D3D" w:rsidRPr="00AF2BF6" w:rsidRDefault="00C56D2F" w:rsidP="009B0191">
      <w:pPr>
        <w:widowControl/>
        <w:autoSpaceDE/>
        <w:autoSpaceDN/>
        <w:spacing w:after="200" w:line="276" w:lineRule="auto"/>
        <w:rPr>
          <w:rFonts w:asciiTheme="minorHAnsi" w:eastAsiaTheme="minorHAnsi" w:hAnsiTheme="minorHAnsi" w:cs="Arial"/>
          <w:bCs/>
          <w:color w:val="000000" w:themeColor="text1"/>
          <w:lang w:val="en-AU"/>
        </w:rPr>
      </w:pPr>
      <w:r w:rsidRPr="00AF2BF6">
        <w:rPr>
          <w:rFonts w:asciiTheme="minorHAnsi" w:eastAsiaTheme="minorHAnsi" w:hAnsiTheme="minorHAnsi" w:cs="Arial"/>
          <w:bCs/>
          <w:color w:val="000000" w:themeColor="text1"/>
          <w:lang w:val="en-AU"/>
        </w:rPr>
        <w:t xml:space="preserve">Multiple doses of ivosidenib 500 mg daily decreased plasma concentrations of 2-HG in patients with cholangiocarcinoma with mutated IDH1 to levels approximating those observed in healthy subjects. In tumour biopsy of patients with cholangiocarcinoma, the mean (coefficient of variation) reduction in 2-HG concentrations </w:t>
      </w:r>
      <w:r w:rsidR="001654C0" w:rsidRPr="00AF2BF6">
        <w:rPr>
          <w:rFonts w:asciiTheme="minorHAnsi" w:eastAsiaTheme="minorHAnsi" w:hAnsiTheme="minorHAnsi" w:cs="Arial"/>
          <w:bCs/>
          <w:color w:val="000000" w:themeColor="text1"/>
          <w:lang w:val="en-AU"/>
        </w:rPr>
        <w:t>was</w:t>
      </w:r>
      <w:r w:rsidRPr="00AF2BF6">
        <w:rPr>
          <w:rFonts w:asciiTheme="minorHAnsi" w:eastAsiaTheme="minorHAnsi" w:hAnsiTheme="minorHAnsi" w:cs="Arial"/>
          <w:bCs/>
          <w:color w:val="000000" w:themeColor="text1"/>
          <w:lang w:val="en-AU"/>
        </w:rPr>
        <w:t xml:space="preserve"> 82</w:t>
      </w:r>
      <w:r w:rsidR="009C0DC7" w:rsidRPr="00AF2BF6">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 xml:space="preserve"> (32</w:t>
      </w:r>
      <w:r w:rsidR="009C0DC7" w:rsidRPr="00AF2BF6">
        <w:rPr>
          <w:rFonts w:asciiTheme="minorHAnsi" w:eastAsiaTheme="minorHAnsi" w:hAnsiTheme="minorHAnsi" w:cs="Arial"/>
          <w:bCs/>
          <w:color w:val="000000" w:themeColor="text1"/>
          <w:lang w:val="en-AU"/>
        </w:rPr>
        <w:t>%</w:t>
      </w:r>
      <w:r w:rsidRPr="00AF2BF6">
        <w:rPr>
          <w:rFonts w:asciiTheme="minorHAnsi" w:eastAsiaTheme="minorHAnsi" w:hAnsiTheme="minorHAnsi" w:cs="Arial"/>
          <w:bCs/>
          <w:color w:val="000000" w:themeColor="text1"/>
          <w:lang w:val="en-AU"/>
        </w:rPr>
        <w:t>).</w:t>
      </w:r>
    </w:p>
    <w:p w14:paraId="15A9E21F" w14:textId="3AC596DF" w:rsidR="00F50D3D" w:rsidRPr="00AF2BF6" w:rsidRDefault="004145AE" w:rsidP="004145AE">
      <w:pPr>
        <w:widowControl/>
        <w:autoSpaceDE/>
        <w:autoSpaceDN/>
        <w:spacing w:after="200" w:line="276" w:lineRule="auto"/>
        <w:rPr>
          <w:rFonts w:asciiTheme="minorHAnsi" w:eastAsiaTheme="minorHAnsi" w:hAnsiTheme="minorHAnsi" w:cs="Arial"/>
          <w:bCs/>
          <w:color w:val="000000" w:themeColor="text1"/>
          <w:lang w:val="en-AU"/>
        </w:rPr>
      </w:pPr>
      <w:r>
        <w:rPr>
          <w:rFonts w:asciiTheme="minorHAnsi" w:eastAsiaTheme="minorHAnsi" w:hAnsiTheme="minorHAnsi" w:cs="Arial"/>
          <w:bCs/>
          <w:color w:val="000000" w:themeColor="text1"/>
          <w:lang w:val="en-AU"/>
        </w:rPr>
        <w:t>C</w:t>
      </w:r>
      <w:r w:rsidR="00C56D2F" w:rsidRPr="00AF2BF6">
        <w:rPr>
          <w:rFonts w:asciiTheme="minorHAnsi" w:eastAsiaTheme="minorHAnsi" w:hAnsiTheme="minorHAnsi" w:cs="Arial"/>
          <w:bCs/>
          <w:color w:val="000000" w:themeColor="text1"/>
          <w:lang w:val="en-AU"/>
        </w:rPr>
        <w:t xml:space="preserve">oncentration-dependent </w:t>
      </w:r>
      <w:r>
        <w:rPr>
          <w:rFonts w:asciiTheme="minorHAnsi" w:eastAsiaTheme="minorHAnsi" w:hAnsiTheme="minorHAnsi" w:cs="Arial"/>
          <w:bCs/>
          <w:color w:val="000000" w:themeColor="text1"/>
          <w:lang w:val="en-AU"/>
        </w:rPr>
        <w:t xml:space="preserve">prolongation of the </w:t>
      </w:r>
      <w:r w:rsidR="00C56D2F" w:rsidRPr="00AF2BF6">
        <w:rPr>
          <w:rFonts w:asciiTheme="minorHAnsi" w:eastAsiaTheme="minorHAnsi" w:hAnsiTheme="minorHAnsi" w:cs="Arial"/>
          <w:bCs/>
          <w:color w:val="000000" w:themeColor="text1"/>
          <w:lang w:val="en-AU"/>
        </w:rPr>
        <w:t xml:space="preserve">QTc interval was observed </w:t>
      </w:r>
      <w:r>
        <w:rPr>
          <w:rFonts w:asciiTheme="minorHAnsi" w:eastAsiaTheme="minorHAnsi" w:hAnsiTheme="minorHAnsi" w:cs="Arial"/>
          <w:bCs/>
          <w:color w:val="000000" w:themeColor="text1"/>
          <w:lang w:val="en-AU"/>
        </w:rPr>
        <w:t>following administration of ivosidenib at the</w:t>
      </w:r>
      <w:r w:rsidR="00C56D2F"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recommended dose in</w:t>
      </w:r>
      <w:r w:rsidR="00C56D2F" w:rsidRPr="00AF2BF6">
        <w:rPr>
          <w:rFonts w:asciiTheme="minorHAnsi" w:eastAsiaTheme="minorHAnsi" w:hAnsiTheme="minorHAnsi" w:cs="Arial"/>
          <w:bCs/>
          <w:color w:val="000000" w:themeColor="text1"/>
          <w:lang w:val="en-AU"/>
        </w:rPr>
        <w:t xml:space="preserve"> patients with </w:t>
      </w:r>
      <w:r>
        <w:rPr>
          <w:rFonts w:asciiTheme="minorHAnsi" w:eastAsiaTheme="minorHAnsi" w:hAnsiTheme="minorHAnsi" w:cs="Arial"/>
          <w:bCs/>
          <w:color w:val="000000" w:themeColor="text1"/>
          <w:lang w:val="en-AU"/>
        </w:rPr>
        <w:t>haematological malignancies and solid tumours. The</w:t>
      </w:r>
      <w:r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mean maximal prolongation in both settings was</w:t>
      </w:r>
      <w:r w:rsidRPr="00AF2BF6">
        <w:rPr>
          <w:rFonts w:asciiTheme="minorHAnsi" w:eastAsiaTheme="minorHAnsi" w:hAnsiTheme="minorHAnsi" w:cs="Arial"/>
          <w:bCs/>
          <w:color w:val="000000" w:themeColor="text1"/>
          <w:lang w:val="en-AU"/>
        </w:rPr>
        <w:t xml:space="preserve"> 17 msec</w:t>
      </w:r>
      <w:r>
        <w:rPr>
          <w:rFonts w:asciiTheme="minorHAnsi" w:eastAsiaTheme="minorHAnsi" w:hAnsiTheme="minorHAnsi" w:cs="Arial"/>
          <w:bCs/>
          <w:color w:val="000000" w:themeColor="text1"/>
          <w:lang w:val="en-AU"/>
        </w:rPr>
        <w:t>, with an upper confidence interval</w:t>
      </w:r>
      <w:r w:rsidRPr="00AF2BF6">
        <w:rPr>
          <w:rFonts w:asciiTheme="minorHAnsi" w:eastAsiaTheme="minorHAnsi" w:hAnsiTheme="minorHAnsi" w:cs="Arial"/>
          <w:bCs/>
          <w:color w:val="000000" w:themeColor="text1"/>
          <w:lang w:val="en-AU"/>
        </w:rPr>
        <w:t xml:space="preserve"> </w:t>
      </w:r>
      <w:r>
        <w:rPr>
          <w:rFonts w:asciiTheme="minorHAnsi" w:eastAsiaTheme="minorHAnsi" w:hAnsiTheme="minorHAnsi" w:cs="Arial"/>
          <w:bCs/>
          <w:color w:val="000000" w:themeColor="text1"/>
          <w:lang w:val="en-AU"/>
        </w:rPr>
        <w:t xml:space="preserve">of </w:t>
      </w:r>
      <w:r w:rsidRPr="00AF2BF6">
        <w:rPr>
          <w:rFonts w:asciiTheme="minorHAnsi" w:eastAsiaTheme="minorHAnsi" w:hAnsiTheme="minorHAnsi" w:cs="Arial"/>
          <w:bCs/>
          <w:color w:val="000000" w:themeColor="text1"/>
          <w:lang w:val="en-AU"/>
        </w:rPr>
        <w:t>20</w:t>
      </w:r>
      <w:r>
        <w:rPr>
          <w:rFonts w:asciiTheme="minorHAnsi" w:eastAsiaTheme="minorHAnsi" w:hAnsiTheme="minorHAnsi" w:cs="Arial"/>
          <w:bCs/>
          <w:color w:val="000000" w:themeColor="text1"/>
          <w:lang w:val="en-AU"/>
        </w:rPr>
        <w:t xml:space="preserve"> msec.</w:t>
      </w:r>
      <w:r w:rsidRPr="004145AE">
        <w:t xml:space="preserve"> </w:t>
      </w:r>
      <w:r w:rsidRPr="004145AE">
        <w:rPr>
          <w:rFonts w:asciiTheme="minorHAnsi" w:eastAsiaTheme="minorHAnsi" w:hAnsiTheme="minorHAnsi" w:cs="Arial"/>
          <w:bCs/>
          <w:color w:val="000000" w:themeColor="text1"/>
          <w:lang w:val="en-AU"/>
        </w:rPr>
        <w:t>Co</w:t>
      </w:r>
      <w:r>
        <w:rPr>
          <w:rFonts w:asciiTheme="minorHAnsi" w:eastAsiaTheme="minorHAnsi" w:hAnsiTheme="minorHAnsi" w:cs="Arial"/>
          <w:bCs/>
          <w:color w:val="000000" w:themeColor="text1"/>
          <w:lang w:val="en-AU"/>
        </w:rPr>
        <w:t>-</w:t>
      </w:r>
      <w:r w:rsidRPr="004145AE">
        <w:rPr>
          <w:rFonts w:asciiTheme="minorHAnsi" w:eastAsiaTheme="minorHAnsi" w:hAnsiTheme="minorHAnsi" w:cs="Arial"/>
          <w:bCs/>
          <w:color w:val="000000" w:themeColor="text1"/>
          <w:lang w:val="en-AU"/>
        </w:rPr>
        <w:t>administration</w:t>
      </w:r>
      <w:r>
        <w:rPr>
          <w:rFonts w:asciiTheme="minorHAnsi" w:eastAsiaTheme="minorHAnsi" w:hAnsiTheme="minorHAnsi" w:cs="Arial"/>
          <w:bCs/>
          <w:color w:val="000000" w:themeColor="text1"/>
          <w:lang w:val="en-AU"/>
        </w:rPr>
        <w:t xml:space="preserve"> of</w:t>
      </w:r>
      <w:r w:rsidRPr="004145AE">
        <w:rPr>
          <w:rFonts w:asciiTheme="minorHAnsi" w:eastAsiaTheme="minorHAnsi" w:hAnsiTheme="minorHAnsi" w:cs="Arial"/>
          <w:bCs/>
          <w:color w:val="000000" w:themeColor="text1"/>
          <w:lang w:val="en-AU"/>
        </w:rPr>
        <w:t xml:space="preserve"> moderate or strong CYP3A inhibitors is expected to further increase QTc</w:t>
      </w:r>
      <w:r>
        <w:rPr>
          <w:rFonts w:asciiTheme="minorHAnsi" w:eastAsiaTheme="minorHAnsi" w:hAnsiTheme="minorHAnsi" w:cs="Arial"/>
          <w:bCs/>
          <w:color w:val="000000" w:themeColor="text1"/>
          <w:lang w:val="en-AU"/>
        </w:rPr>
        <w:t xml:space="preserve"> </w:t>
      </w:r>
      <w:r w:rsidRPr="004145AE">
        <w:rPr>
          <w:rFonts w:asciiTheme="minorHAnsi" w:eastAsiaTheme="minorHAnsi" w:hAnsiTheme="minorHAnsi" w:cs="Arial"/>
          <w:bCs/>
          <w:color w:val="000000" w:themeColor="text1"/>
          <w:lang w:val="en-AU"/>
        </w:rPr>
        <w:t>interval prolongation from baseline</w:t>
      </w:r>
      <w:r>
        <w:rPr>
          <w:rFonts w:asciiTheme="minorHAnsi" w:eastAsiaTheme="minorHAnsi" w:hAnsiTheme="minorHAnsi" w:cs="Arial"/>
          <w:bCs/>
          <w:color w:val="000000" w:themeColor="text1"/>
          <w:lang w:val="en-AU"/>
        </w:rPr>
        <w:t>. S</w:t>
      </w:r>
      <w:r w:rsidR="00C56D2F" w:rsidRPr="00AF2BF6">
        <w:rPr>
          <w:rFonts w:asciiTheme="minorHAnsi" w:eastAsiaTheme="minorHAnsi" w:hAnsiTheme="minorHAnsi" w:cs="Arial"/>
          <w:bCs/>
          <w:color w:val="000000" w:themeColor="text1"/>
          <w:lang w:val="en-AU"/>
        </w:rPr>
        <w:t xml:space="preserve">ee </w:t>
      </w:r>
      <w:r w:rsidR="00C56D2F" w:rsidRPr="00AF2BF6">
        <w:rPr>
          <w:rFonts w:asciiTheme="minorHAnsi" w:eastAsiaTheme="minorHAnsi" w:hAnsiTheme="minorHAnsi" w:cs="Arial"/>
          <w:bCs/>
          <w:i/>
          <w:iCs/>
          <w:color w:val="000000" w:themeColor="text1"/>
          <w:lang w:val="en-AU"/>
        </w:rPr>
        <w:t>sections 4.2</w:t>
      </w:r>
      <w:r w:rsidR="00687727" w:rsidRPr="00AF2BF6">
        <w:rPr>
          <w:rFonts w:asciiTheme="minorHAnsi" w:eastAsiaTheme="minorHAnsi" w:hAnsiTheme="minorHAnsi" w:cs="Arial"/>
          <w:bCs/>
          <w:i/>
          <w:iCs/>
          <w:color w:val="000000" w:themeColor="text1"/>
          <w:lang w:val="en-AU"/>
        </w:rPr>
        <w:t xml:space="preserve"> - </w:t>
      </w:r>
      <w:r w:rsidR="008C510B">
        <w:rPr>
          <w:rFonts w:asciiTheme="minorHAnsi" w:eastAsiaTheme="minorHAnsi" w:hAnsiTheme="minorHAnsi" w:cs="Arial"/>
          <w:bCs/>
          <w:i/>
          <w:iCs/>
          <w:color w:val="000000" w:themeColor="text1"/>
          <w:lang w:val="en-AU"/>
        </w:rPr>
        <w:t>Dose</w:t>
      </w:r>
      <w:r w:rsidR="00687727" w:rsidRPr="00AF2BF6">
        <w:rPr>
          <w:rFonts w:asciiTheme="minorHAnsi" w:eastAsiaTheme="minorHAnsi" w:hAnsiTheme="minorHAnsi" w:cs="Arial"/>
          <w:bCs/>
          <w:i/>
          <w:iCs/>
          <w:color w:val="000000" w:themeColor="text1"/>
          <w:lang w:val="en-AU"/>
        </w:rPr>
        <w:t xml:space="preserve"> and method of administration</w:t>
      </w:r>
      <w:r w:rsidR="00C56D2F" w:rsidRPr="00AF2BF6">
        <w:rPr>
          <w:rFonts w:asciiTheme="minorHAnsi" w:eastAsiaTheme="minorHAnsi" w:hAnsiTheme="minorHAnsi" w:cs="Arial"/>
          <w:bCs/>
          <w:color w:val="000000" w:themeColor="text1"/>
          <w:lang w:val="en-AU"/>
        </w:rPr>
        <w:t xml:space="preserve"> and </w:t>
      </w:r>
      <w:r w:rsidR="00C56D2F" w:rsidRPr="00AF2BF6">
        <w:rPr>
          <w:rFonts w:asciiTheme="minorHAnsi" w:eastAsiaTheme="minorHAnsi" w:hAnsiTheme="minorHAnsi" w:cs="Arial"/>
          <w:bCs/>
          <w:i/>
          <w:iCs/>
          <w:color w:val="000000" w:themeColor="text1"/>
          <w:lang w:val="en-AU"/>
        </w:rPr>
        <w:t>4.4</w:t>
      </w:r>
      <w:r w:rsidR="003028CF" w:rsidRPr="00AF2BF6">
        <w:rPr>
          <w:rFonts w:asciiTheme="minorHAnsi" w:eastAsiaTheme="minorHAnsi" w:hAnsiTheme="minorHAnsi" w:cs="Arial"/>
          <w:bCs/>
          <w:i/>
          <w:iCs/>
          <w:color w:val="000000" w:themeColor="text1"/>
          <w:lang w:val="en-AU"/>
        </w:rPr>
        <w:t xml:space="preserve"> - Special warnings and precautions for use</w:t>
      </w:r>
      <w:r w:rsidR="00C56D2F" w:rsidRPr="00AF2BF6">
        <w:rPr>
          <w:rFonts w:asciiTheme="minorHAnsi" w:eastAsiaTheme="minorHAnsi" w:hAnsiTheme="minorHAnsi" w:cs="Arial"/>
          <w:bCs/>
          <w:color w:val="000000" w:themeColor="text1"/>
          <w:lang w:val="en-AU"/>
        </w:rPr>
        <w:t>.</w:t>
      </w:r>
    </w:p>
    <w:p w14:paraId="15A9E221" w14:textId="77777777" w:rsidR="00F50D3D" w:rsidRPr="00AF2BF6" w:rsidRDefault="00C56D2F" w:rsidP="00110A26">
      <w:pPr>
        <w:pStyle w:val="Heading3"/>
        <w:spacing w:before="120" w:after="120"/>
        <w:rPr>
          <w:b/>
          <w:bCs/>
          <w:szCs w:val="22"/>
        </w:rPr>
      </w:pPr>
      <w:r w:rsidRPr="00AF2BF6">
        <w:rPr>
          <w:b/>
          <w:bCs/>
          <w:szCs w:val="22"/>
        </w:rPr>
        <w:t>Clinical efficacy</w:t>
      </w:r>
    </w:p>
    <w:p w14:paraId="15A9E2B1" w14:textId="77777777" w:rsidR="00F50D3D" w:rsidRPr="00AF2BF6" w:rsidRDefault="00C56D2F" w:rsidP="00450D1E">
      <w:pPr>
        <w:pStyle w:val="Heading4"/>
      </w:pPr>
      <w:r w:rsidRPr="00AF2BF6">
        <w:t>Previously treated, locally advanced or metastatic cholangiocarcinoma</w:t>
      </w:r>
    </w:p>
    <w:p w14:paraId="15A9E2B3" w14:textId="4939C267" w:rsidR="00F50D3D" w:rsidRPr="00AF2BF6" w:rsidRDefault="00C56D2F" w:rsidP="009B0191">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 xml:space="preserve">The efficacy of </w:t>
      </w:r>
      <w:r w:rsidR="00CB46CD" w:rsidRPr="00AF2BF6">
        <w:rPr>
          <w:rFonts w:asciiTheme="minorHAnsi" w:eastAsiaTheme="minorHAnsi" w:hAnsiTheme="minorHAnsi" w:cs="Arial"/>
          <w:color w:val="000000" w:themeColor="text1"/>
          <w:lang w:val="en-AU"/>
        </w:rPr>
        <w:t>TIBSOVO (ivosidenib)</w:t>
      </w:r>
      <w:r w:rsidRPr="00AF2BF6">
        <w:rPr>
          <w:rFonts w:asciiTheme="minorHAnsi" w:eastAsiaTheme="minorHAnsi" w:hAnsiTheme="minorHAnsi" w:cs="Arial"/>
          <w:color w:val="000000" w:themeColor="text1"/>
          <w:lang w:val="en-AU"/>
        </w:rPr>
        <w:t xml:space="preserve"> was evaluated in a randomised (2:1), multicent</w:t>
      </w:r>
      <w:r w:rsidR="00873CE5">
        <w:rPr>
          <w:rFonts w:asciiTheme="minorHAnsi" w:eastAsiaTheme="minorHAnsi" w:hAnsiTheme="minorHAnsi" w:cs="Arial"/>
          <w:color w:val="000000" w:themeColor="text1"/>
          <w:lang w:val="en-AU"/>
        </w:rPr>
        <w:t>re</w:t>
      </w:r>
      <w:r w:rsidRPr="00AF2BF6">
        <w:rPr>
          <w:rFonts w:asciiTheme="minorHAnsi" w:eastAsiaTheme="minorHAnsi" w:hAnsiTheme="minorHAnsi" w:cs="Arial"/>
          <w:color w:val="000000" w:themeColor="text1"/>
          <w:lang w:val="en-AU"/>
        </w:rPr>
        <w:t>, double-blind, placebo- controlled, phase 3 clinical trial (Study AG120-C-005</w:t>
      </w:r>
      <w:r w:rsidR="00716D72">
        <w:rPr>
          <w:rFonts w:asciiTheme="minorHAnsi" w:eastAsiaTheme="minorHAnsi" w:hAnsiTheme="minorHAnsi" w:cs="Arial"/>
          <w:color w:val="000000" w:themeColor="text1"/>
          <w:lang w:val="en-AU"/>
        </w:rPr>
        <w:t>, also known as ‘</w:t>
      </w:r>
      <w:r w:rsidR="00716D72" w:rsidRPr="00716D72">
        <w:rPr>
          <w:rFonts w:asciiTheme="minorHAnsi" w:eastAsiaTheme="minorHAnsi" w:hAnsiTheme="minorHAnsi" w:cs="Arial"/>
          <w:color w:val="000000" w:themeColor="text1"/>
          <w:lang w:val="en-AU"/>
        </w:rPr>
        <w:t>ClarIDHy</w:t>
      </w:r>
      <w:r w:rsidR="00716D72">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of 185</w:t>
      </w:r>
      <w:r w:rsidR="00193EF0" w:rsidRPr="00AF2BF6">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adult patients with locally advanced or metastatic cholangiocarcinoma with an IDH1 mutation whose disease had progressed following at least 1 but not more than 2 prior treatment regimens</w:t>
      </w:r>
      <w:r w:rsidR="003B30DB">
        <w:rPr>
          <w:rFonts w:asciiTheme="minorHAnsi" w:eastAsiaTheme="minorHAnsi" w:hAnsiTheme="minorHAnsi" w:cs="Arial"/>
          <w:color w:val="000000" w:themeColor="text1"/>
          <w:lang w:val="en-AU"/>
        </w:rPr>
        <w:t xml:space="preserve">, including </w:t>
      </w:r>
      <w:r w:rsidR="003B30DB" w:rsidRPr="0073184E">
        <w:rPr>
          <w:rFonts w:asciiTheme="minorHAnsi" w:eastAsiaTheme="minorHAnsi" w:hAnsiTheme="minorHAnsi" w:cs="Arial"/>
          <w:color w:val="000000" w:themeColor="text1"/>
          <w:lang w:val="en-AU"/>
        </w:rPr>
        <w:t>at least 1 gemcitabine- or 5-FU-containing regimen</w:t>
      </w:r>
      <w:r w:rsidRPr="00AF2BF6">
        <w:rPr>
          <w:rFonts w:asciiTheme="minorHAnsi" w:eastAsiaTheme="minorHAnsi" w:hAnsiTheme="minorHAnsi" w:cs="Arial"/>
          <w:color w:val="000000" w:themeColor="text1"/>
          <w:lang w:val="en-AU"/>
        </w:rPr>
        <w:t xml:space="preserve">. Patients with </w:t>
      </w:r>
      <w:r w:rsidR="00873CE5">
        <w:rPr>
          <w:rFonts w:asciiTheme="minorHAnsi" w:eastAsiaTheme="minorHAnsi" w:hAnsiTheme="minorHAnsi" w:cs="Arial"/>
          <w:color w:val="000000" w:themeColor="text1"/>
          <w:lang w:val="en-AU"/>
        </w:rPr>
        <w:t xml:space="preserve">certain </w:t>
      </w:r>
      <w:r w:rsidRPr="00AF2BF6">
        <w:rPr>
          <w:rFonts w:asciiTheme="minorHAnsi" w:eastAsiaTheme="minorHAnsi" w:hAnsiTheme="minorHAnsi" w:cs="Arial"/>
          <w:color w:val="000000" w:themeColor="text1"/>
          <w:lang w:val="en-AU"/>
        </w:rPr>
        <w:t xml:space="preserve">IDH1 mutations </w:t>
      </w:r>
      <w:r w:rsidR="00873CE5">
        <w:rPr>
          <w:rFonts w:asciiTheme="minorHAnsi" w:eastAsiaTheme="minorHAnsi" w:hAnsiTheme="minorHAnsi" w:cs="Arial"/>
          <w:color w:val="000000" w:themeColor="text1"/>
          <w:lang w:val="en-AU"/>
        </w:rPr>
        <w:t>(</w:t>
      </w:r>
      <w:r w:rsidR="00873CE5" w:rsidRPr="00873CE5">
        <w:rPr>
          <w:rFonts w:asciiTheme="minorHAnsi" w:eastAsiaTheme="minorHAnsi" w:hAnsiTheme="minorHAnsi" w:cs="Arial"/>
          <w:color w:val="000000" w:themeColor="text1"/>
          <w:lang w:val="en-AU"/>
        </w:rPr>
        <w:t>R132C, R132CL, R132G, R132H or R132S</w:t>
      </w:r>
      <w:r w:rsidR="00873CE5">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were selected using a central diagnostic next generation sequencing assay</w:t>
      </w:r>
      <w:r w:rsidR="00873CE5">
        <w:rPr>
          <w:rFonts w:asciiTheme="minorHAnsi" w:eastAsiaTheme="minorHAnsi" w:hAnsiTheme="minorHAnsi" w:cs="Arial"/>
          <w:color w:val="000000" w:themeColor="text1"/>
          <w:lang w:val="en-AU"/>
        </w:rPr>
        <w:t xml:space="preserve"> (the Oncomine Focus Assay)</w:t>
      </w:r>
      <w:r w:rsidRPr="00AF2BF6">
        <w:rPr>
          <w:rFonts w:asciiTheme="minorHAnsi" w:eastAsiaTheme="minorHAnsi" w:hAnsiTheme="minorHAnsi" w:cs="Arial"/>
          <w:color w:val="000000" w:themeColor="text1"/>
          <w:lang w:val="en-AU"/>
        </w:rPr>
        <w:t>.</w:t>
      </w:r>
      <w:r w:rsidR="00873CE5">
        <w:rPr>
          <w:rFonts w:asciiTheme="minorHAnsi" w:eastAsiaTheme="minorHAnsi" w:hAnsiTheme="minorHAnsi" w:cs="Arial"/>
          <w:color w:val="000000" w:themeColor="text1"/>
          <w:lang w:val="en-AU"/>
        </w:rPr>
        <w:t xml:space="preserve"> </w:t>
      </w:r>
    </w:p>
    <w:p w14:paraId="4B87159D" w14:textId="060900B3" w:rsidR="00927BD3" w:rsidRDefault="00C56D2F" w:rsidP="009B0191">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 xml:space="preserve">Patients were randomised to receive either </w:t>
      </w:r>
      <w:r w:rsidR="00CB46CD" w:rsidRPr="00AF2BF6">
        <w:rPr>
          <w:rFonts w:asciiTheme="minorHAnsi" w:eastAsiaTheme="minorHAnsi" w:hAnsiTheme="minorHAnsi" w:cs="Arial"/>
          <w:color w:val="000000" w:themeColor="text1"/>
          <w:lang w:val="en-AU"/>
        </w:rPr>
        <w:t xml:space="preserve">TIBSOVO </w:t>
      </w:r>
      <w:r w:rsidRPr="00AF2BF6">
        <w:rPr>
          <w:rFonts w:asciiTheme="minorHAnsi" w:eastAsiaTheme="minorHAnsi" w:hAnsiTheme="minorHAnsi" w:cs="Arial"/>
          <w:color w:val="000000" w:themeColor="text1"/>
          <w:lang w:val="en-AU"/>
        </w:rPr>
        <w:t xml:space="preserve">500 mg orally once daily or matched placebo until disease progression or development of unacceptable toxicity. Randomisation was stratified by number of prior therapies (1 or 2). Eligible patients who were randomised to placebo were allowed to cross over to </w:t>
      </w:r>
      <w:r w:rsidRPr="00AF2BF6">
        <w:rPr>
          <w:rFonts w:asciiTheme="minorHAnsi" w:eastAsiaTheme="minorHAnsi" w:hAnsiTheme="minorHAnsi" w:cs="Arial"/>
          <w:color w:val="000000" w:themeColor="text1"/>
          <w:lang w:val="en-AU"/>
        </w:rPr>
        <w:lastRenderedPageBreak/>
        <w:t xml:space="preserve">receive </w:t>
      </w:r>
      <w:r w:rsidR="00CB46CD" w:rsidRPr="00AF2BF6">
        <w:rPr>
          <w:rFonts w:asciiTheme="minorHAnsi" w:eastAsiaTheme="minorHAnsi" w:hAnsiTheme="minorHAnsi" w:cs="Arial"/>
          <w:color w:val="000000" w:themeColor="text1"/>
          <w:lang w:val="en-AU"/>
        </w:rPr>
        <w:t>TIBSOVO (ivosidenib)</w:t>
      </w:r>
      <w:r w:rsidRPr="00AF2BF6">
        <w:rPr>
          <w:rFonts w:asciiTheme="minorHAnsi" w:eastAsiaTheme="minorHAnsi" w:hAnsiTheme="minorHAnsi" w:cs="Arial"/>
          <w:color w:val="000000" w:themeColor="text1"/>
          <w:lang w:val="en-AU"/>
        </w:rPr>
        <w:t xml:space="preserve"> after documented radiographic disease progression as assessed by the Investigator.</w:t>
      </w:r>
    </w:p>
    <w:p w14:paraId="15A9E2B5" w14:textId="665D59DD" w:rsidR="00F50D3D" w:rsidRPr="00AF2BF6" w:rsidRDefault="00873CE5" w:rsidP="009B0191">
      <w:pPr>
        <w:widowControl/>
        <w:autoSpaceDE/>
        <w:autoSpaceDN/>
        <w:spacing w:after="200" w:line="276" w:lineRule="auto"/>
        <w:rPr>
          <w:rFonts w:asciiTheme="minorHAnsi" w:eastAsiaTheme="minorHAnsi" w:hAnsiTheme="minorHAnsi" w:cs="Arial"/>
          <w:color w:val="000000" w:themeColor="text1"/>
          <w:lang w:val="en-AU"/>
        </w:rPr>
      </w:pPr>
      <w:r>
        <w:rPr>
          <w:rFonts w:asciiTheme="minorHAnsi" w:eastAsiaTheme="minorHAnsi" w:hAnsiTheme="minorHAnsi" w:cs="Arial"/>
          <w:color w:val="000000" w:themeColor="text1"/>
          <w:lang w:val="en-AU"/>
        </w:rPr>
        <w:t>Tumour imaging assessments were performed every 6 weeks for the first 8 assessments and every 8 weeks thereafter.</w:t>
      </w:r>
      <w:r w:rsidR="00927BD3">
        <w:rPr>
          <w:rFonts w:asciiTheme="minorHAnsi" w:eastAsiaTheme="minorHAnsi" w:hAnsiTheme="minorHAnsi" w:cs="Arial"/>
          <w:color w:val="000000" w:themeColor="text1"/>
          <w:lang w:val="en-AU"/>
        </w:rPr>
        <w:t xml:space="preserve"> The primary efficacy outcome was p</w:t>
      </w:r>
      <w:r w:rsidR="00927BD3" w:rsidRPr="00AF2BF6">
        <w:rPr>
          <w:rFonts w:asciiTheme="minorHAnsi" w:eastAsiaTheme="minorHAnsi" w:hAnsiTheme="minorHAnsi" w:cs="Arial"/>
          <w:color w:val="000000" w:themeColor="text1"/>
          <w:lang w:val="en-AU"/>
        </w:rPr>
        <w:t>rogressi</w:t>
      </w:r>
      <w:r w:rsidR="00927BD3">
        <w:rPr>
          <w:rFonts w:asciiTheme="minorHAnsi" w:eastAsiaTheme="minorHAnsi" w:hAnsiTheme="minorHAnsi" w:cs="Arial"/>
          <w:color w:val="000000" w:themeColor="text1"/>
          <w:lang w:val="en-AU"/>
        </w:rPr>
        <w:t>on-f</w:t>
      </w:r>
      <w:r w:rsidR="00927BD3" w:rsidRPr="00AF2BF6">
        <w:rPr>
          <w:rFonts w:asciiTheme="minorHAnsi" w:eastAsiaTheme="minorHAnsi" w:hAnsiTheme="minorHAnsi" w:cs="Arial"/>
          <w:color w:val="000000" w:themeColor="text1"/>
          <w:lang w:val="en-AU"/>
        </w:rPr>
        <w:t xml:space="preserve">ree </w:t>
      </w:r>
      <w:r w:rsidR="00927BD3">
        <w:rPr>
          <w:rFonts w:asciiTheme="minorHAnsi" w:eastAsiaTheme="minorHAnsi" w:hAnsiTheme="minorHAnsi" w:cs="Arial"/>
          <w:color w:val="000000" w:themeColor="text1"/>
          <w:lang w:val="en-AU"/>
        </w:rPr>
        <w:t>s</w:t>
      </w:r>
      <w:r w:rsidR="00927BD3" w:rsidRPr="00AF2BF6">
        <w:rPr>
          <w:rFonts w:asciiTheme="minorHAnsi" w:eastAsiaTheme="minorHAnsi" w:hAnsiTheme="minorHAnsi" w:cs="Arial"/>
          <w:color w:val="000000" w:themeColor="text1"/>
          <w:lang w:val="en-AU"/>
        </w:rPr>
        <w:t xml:space="preserve">urvival (PFS) </w:t>
      </w:r>
      <w:r w:rsidR="00927BD3">
        <w:rPr>
          <w:rFonts w:asciiTheme="minorHAnsi" w:eastAsiaTheme="minorHAnsi" w:hAnsiTheme="minorHAnsi" w:cs="Arial"/>
          <w:color w:val="000000" w:themeColor="text1"/>
          <w:lang w:val="en-AU"/>
        </w:rPr>
        <w:t>assessed by an i</w:t>
      </w:r>
      <w:r w:rsidR="00927BD3" w:rsidRPr="00AF2BF6">
        <w:rPr>
          <w:rFonts w:asciiTheme="minorHAnsi" w:eastAsiaTheme="minorHAnsi" w:hAnsiTheme="minorHAnsi" w:cs="Arial"/>
          <w:color w:val="000000" w:themeColor="text1"/>
          <w:lang w:val="en-AU"/>
        </w:rPr>
        <w:t xml:space="preserve">ndependent </w:t>
      </w:r>
      <w:r w:rsidR="00927BD3">
        <w:rPr>
          <w:rFonts w:asciiTheme="minorHAnsi" w:eastAsiaTheme="minorHAnsi" w:hAnsiTheme="minorHAnsi" w:cs="Arial"/>
          <w:color w:val="000000" w:themeColor="text1"/>
          <w:lang w:val="en-AU"/>
        </w:rPr>
        <w:t>review committed</w:t>
      </w:r>
      <w:r w:rsidR="00927BD3" w:rsidRPr="00AF2BF6">
        <w:rPr>
          <w:rFonts w:asciiTheme="minorHAnsi" w:eastAsiaTheme="minorHAnsi" w:hAnsiTheme="minorHAnsi" w:cs="Arial"/>
          <w:color w:val="000000" w:themeColor="text1"/>
          <w:lang w:val="en-AU"/>
        </w:rPr>
        <w:t xml:space="preserve"> (IRC) according to Response Evaluation Criteria in Solid Tumors (RECIST) v1.1</w:t>
      </w:r>
      <w:r w:rsidR="00927BD3">
        <w:rPr>
          <w:rFonts w:asciiTheme="minorHAnsi" w:eastAsiaTheme="minorHAnsi" w:hAnsiTheme="minorHAnsi" w:cs="Arial"/>
          <w:color w:val="000000" w:themeColor="text1"/>
          <w:lang w:val="en-AU"/>
        </w:rPr>
        <w:t>.</w:t>
      </w:r>
    </w:p>
    <w:p w14:paraId="23A580E3" w14:textId="5C893655" w:rsidR="00A91A51" w:rsidRPr="00AF2BF6" w:rsidRDefault="00C56D2F" w:rsidP="00927BD3">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 xml:space="preserve">The median age was 62 years (range: 33 to 83). </w:t>
      </w:r>
      <w:r w:rsidR="00873CE5">
        <w:rPr>
          <w:rFonts w:asciiTheme="minorHAnsi" w:eastAsiaTheme="minorHAnsi" w:hAnsiTheme="minorHAnsi" w:cs="Arial"/>
          <w:color w:val="000000" w:themeColor="text1"/>
          <w:lang w:val="en-AU"/>
        </w:rPr>
        <w:t>Most</w:t>
      </w:r>
      <w:r w:rsidRPr="00AF2BF6">
        <w:rPr>
          <w:rFonts w:asciiTheme="minorHAnsi" w:eastAsiaTheme="minorHAnsi" w:hAnsiTheme="minorHAnsi" w:cs="Arial"/>
          <w:color w:val="000000" w:themeColor="text1"/>
          <w:lang w:val="en-AU"/>
        </w:rPr>
        <w:t xml:space="preserve"> patients were female (63</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57</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were </w:t>
      </w:r>
      <w:r w:rsidR="00AE538F">
        <w:rPr>
          <w:rFonts w:asciiTheme="minorHAnsi" w:eastAsiaTheme="minorHAnsi" w:hAnsiTheme="minorHAnsi" w:cs="Arial"/>
          <w:color w:val="000000" w:themeColor="text1"/>
          <w:lang w:val="en-AU"/>
        </w:rPr>
        <w:t>Caucasian,</w:t>
      </w:r>
      <w:r w:rsidR="00AE538F" w:rsidRPr="00AF2BF6">
        <w:rPr>
          <w:rFonts w:asciiTheme="minorHAnsi" w:eastAsiaTheme="minorHAnsi" w:hAnsiTheme="minorHAnsi" w:cs="Arial"/>
          <w:color w:val="000000" w:themeColor="text1"/>
          <w:lang w:val="en-AU"/>
        </w:rPr>
        <w:t xml:space="preserve"> </w:t>
      </w:r>
      <w:r w:rsidR="00AE538F">
        <w:rPr>
          <w:rFonts w:asciiTheme="minorHAnsi" w:eastAsiaTheme="minorHAnsi" w:hAnsiTheme="minorHAnsi" w:cs="Arial"/>
          <w:color w:val="000000" w:themeColor="text1"/>
          <w:lang w:val="en-AU"/>
        </w:rPr>
        <w:t>all patients</w:t>
      </w:r>
      <w:r w:rsidRPr="00AF2BF6">
        <w:rPr>
          <w:rFonts w:asciiTheme="minorHAnsi" w:eastAsiaTheme="minorHAnsi" w:hAnsiTheme="minorHAnsi" w:cs="Arial"/>
          <w:color w:val="000000" w:themeColor="text1"/>
          <w:lang w:val="en-AU"/>
        </w:rPr>
        <w:t xml:space="preserve"> had an ECOG performance status of 0 (37</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or 1 (62</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w:t>
      </w:r>
      <w:r w:rsidR="00927BD3">
        <w:rPr>
          <w:rFonts w:asciiTheme="minorHAnsi" w:eastAsiaTheme="minorHAnsi" w:hAnsiTheme="minorHAnsi" w:cs="Arial"/>
          <w:color w:val="000000" w:themeColor="text1"/>
          <w:lang w:val="en-AU"/>
        </w:rPr>
        <w:t>, and</w:t>
      </w:r>
      <w:r w:rsidRPr="00AF2BF6">
        <w:rPr>
          <w:rFonts w:asciiTheme="minorHAnsi" w:eastAsiaTheme="minorHAnsi" w:hAnsiTheme="minorHAnsi" w:cs="Arial"/>
          <w:color w:val="000000" w:themeColor="text1"/>
          <w:lang w:val="en-AU"/>
        </w:rPr>
        <w:t xml:space="preserve"> 47</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w:t>
      </w:r>
      <w:r w:rsidR="00AE538F">
        <w:rPr>
          <w:rFonts w:asciiTheme="minorHAnsi" w:eastAsiaTheme="minorHAnsi" w:hAnsiTheme="minorHAnsi" w:cs="Arial"/>
          <w:color w:val="000000" w:themeColor="text1"/>
          <w:lang w:val="en-AU"/>
        </w:rPr>
        <w:t>had</w:t>
      </w:r>
      <w:r w:rsidR="00927BD3">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received two prior lines</w:t>
      </w:r>
      <w:r w:rsidR="00927BD3">
        <w:rPr>
          <w:rFonts w:asciiTheme="minorHAnsi" w:eastAsiaTheme="minorHAnsi" w:hAnsiTheme="minorHAnsi" w:cs="Arial"/>
          <w:color w:val="000000" w:themeColor="text1"/>
          <w:lang w:val="en-AU"/>
        </w:rPr>
        <w:t xml:space="preserve"> of systemic therapy</w:t>
      </w:r>
      <w:r w:rsidRPr="00AF2BF6">
        <w:rPr>
          <w:rFonts w:asciiTheme="minorHAnsi" w:eastAsiaTheme="minorHAnsi" w:hAnsiTheme="minorHAnsi" w:cs="Arial"/>
          <w:color w:val="000000" w:themeColor="text1"/>
          <w:lang w:val="en-AU"/>
        </w:rPr>
        <w:t>. Most patients had intrahepatic cholangiocarcinoma (91</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at diagnosis and 92</w:t>
      </w:r>
      <w:r w:rsidR="009C0DC7" w:rsidRPr="00AF2BF6">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had metastatic disease.</w:t>
      </w:r>
      <w:r w:rsidR="00927BD3">
        <w:rPr>
          <w:rFonts w:asciiTheme="minorHAnsi" w:eastAsiaTheme="minorHAnsi" w:hAnsiTheme="minorHAnsi" w:cs="Arial"/>
          <w:color w:val="000000" w:themeColor="text1"/>
          <w:lang w:val="en-AU"/>
        </w:rPr>
        <w:t xml:space="preserve"> </w:t>
      </w:r>
      <w:r w:rsidR="00927BD3" w:rsidRPr="00927BD3">
        <w:rPr>
          <w:rFonts w:asciiTheme="minorHAnsi" w:eastAsiaTheme="minorHAnsi" w:hAnsiTheme="minorHAnsi" w:cs="Arial"/>
          <w:color w:val="000000" w:themeColor="text1"/>
          <w:lang w:val="en-AU"/>
        </w:rPr>
        <w:t xml:space="preserve">Across both arms, 70% </w:t>
      </w:r>
      <w:r w:rsidR="00927BD3">
        <w:rPr>
          <w:rFonts w:asciiTheme="minorHAnsi" w:eastAsiaTheme="minorHAnsi" w:hAnsiTheme="minorHAnsi" w:cs="Arial"/>
          <w:color w:val="000000" w:themeColor="text1"/>
          <w:lang w:val="en-AU"/>
        </w:rPr>
        <w:t xml:space="preserve">of </w:t>
      </w:r>
      <w:r w:rsidR="00927BD3" w:rsidRPr="00927BD3">
        <w:rPr>
          <w:rFonts w:asciiTheme="minorHAnsi" w:eastAsiaTheme="minorHAnsi" w:hAnsiTheme="minorHAnsi" w:cs="Arial"/>
          <w:color w:val="000000" w:themeColor="text1"/>
          <w:lang w:val="en-AU"/>
        </w:rPr>
        <w:t>patients had an R132C mutation, 15% had an R132L</w:t>
      </w:r>
      <w:r w:rsidR="00927BD3">
        <w:rPr>
          <w:rFonts w:asciiTheme="minorHAnsi" w:eastAsiaTheme="minorHAnsi" w:hAnsiTheme="minorHAnsi" w:cs="Arial"/>
          <w:color w:val="000000" w:themeColor="text1"/>
          <w:lang w:val="en-AU"/>
        </w:rPr>
        <w:t xml:space="preserve"> </w:t>
      </w:r>
      <w:r w:rsidR="00927BD3" w:rsidRPr="00927BD3">
        <w:rPr>
          <w:rFonts w:asciiTheme="minorHAnsi" w:eastAsiaTheme="minorHAnsi" w:hAnsiTheme="minorHAnsi" w:cs="Arial"/>
          <w:color w:val="000000" w:themeColor="text1"/>
          <w:lang w:val="en-AU"/>
        </w:rPr>
        <w:t>mutation, 12% had an R132G mutation, 1.6% had an R132S</w:t>
      </w:r>
      <w:r w:rsidR="00927BD3">
        <w:rPr>
          <w:rFonts w:asciiTheme="minorHAnsi" w:eastAsiaTheme="minorHAnsi" w:hAnsiTheme="minorHAnsi" w:cs="Arial"/>
          <w:color w:val="000000" w:themeColor="text1"/>
          <w:lang w:val="en-AU"/>
        </w:rPr>
        <w:t xml:space="preserve"> </w:t>
      </w:r>
      <w:r w:rsidR="00927BD3" w:rsidRPr="00927BD3">
        <w:rPr>
          <w:rFonts w:asciiTheme="minorHAnsi" w:eastAsiaTheme="minorHAnsi" w:hAnsiTheme="minorHAnsi" w:cs="Arial"/>
          <w:color w:val="000000" w:themeColor="text1"/>
          <w:lang w:val="en-AU"/>
        </w:rPr>
        <w:t>mutation</w:t>
      </w:r>
      <w:r w:rsidR="00927BD3">
        <w:rPr>
          <w:rFonts w:asciiTheme="minorHAnsi" w:eastAsiaTheme="minorHAnsi" w:hAnsiTheme="minorHAnsi" w:cs="Arial"/>
          <w:color w:val="000000" w:themeColor="text1"/>
          <w:lang w:val="en-AU"/>
        </w:rPr>
        <w:t xml:space="preserve">, and </w:t>
      </w:r>
      <w:r w:rsidR="00927BD3" w:rsidRPr="00927BD3">
        <w:rPr>
          <w:rFonts w:asciiTheme="minorHAnsi" w:eastAsiaTheme="minorHAnsi" w:hAnsiTheme="minorHAnsi" w:cs="Arial"/>
          <w:color w:val="000000" w:themeColor="text1"/>
          <w:lang w:val="en-AU"/>
        </w:rPr>
        <w:t>1.1% had an R132H mutation.</w:t>
      </w:r>
      <w:r w:rsidR="00716D72">
        <w:rPr>
          <w:rFonts w:asciiTheme="minorHAnsi" w:eastAsiaTheme="minorHAnsi" w:hAnsiTheme="minorHAnsi" w:cs="Arial"/>
          <w:color w:val="000000" w:themeColor="text1"/>
          <w:lang w:val="en-AU"/>
        </w:rPr>
        <w:t xml:space="preserve"> No patients with R132H-mutant IDH1 were randomised to ivosidenib.</w:t>
      </w:r>
    </w:p>
    <w:p w14:paraId="15A9E2BB" w14:textId="251AE7C3" w:rsidR="00E55119" w:rsidRDefault="00C56D2F" w:rsidP="00927BD3">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The study demonstrated a statistically significant improvement in PFS</w:t>
      </w:r>
      <w:r w:rsidR="00927BD3">
        <w:rPr>
          <w:rFonts w:asciiTheme="minorHAnsi" w:eastAsiaTheme="minorHAnsi" w:hAnsiTheme="minorHAnsi" w:cs="Arial"/>
          <w:color w:val="000000" w:themeColor="text1"/>
          <w:lang w:val="en-AU"/>
        </w:rPr>
        <w:t>. The efficacy results for Study AG120-C-005 are summarised in</w:t>
      </w:r>
      <w:r w:rsidR="00C17B0F">
        <w:rPr>
          <w:rFonts w:asciiTheme="minorHAnsi" w:eastAsiaTheme="minorHAnsi" w:hAnsiTheme="minorHAnsi" w:cs="Arial"/>
          <w:color w:val="000000" w:themeColor="text1"/>
          <w:lang w:val="en-AU"/>
        </w:rPr>
        <w:t xml:space="preserve"> </w:t>
      </w:r>
      <w:r w:rsidR="00C17B0F">
        <w:rPr>
          <w:rFonts w:asciiTheme="minorHAnsi" w:eastAsiaTheme="minorHAnsi" w:hAnsiTheme="minorHAnsi" w:cs="Arial"/>
          <w:bCs/>
          <w:color w:val="000000" w:themeColor="text1"/>
          <w:lang w:val="en-AU"/>
        </w:rPr>
        <w:t>Table 5</w:t>
      </w:r>
      <w:r w:rsidR="00331BE6" w:rsidRPr="00242442">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and</w:t>
      </w:r>
      <w:r w:rsidR="00C17B0F">
        <w:rPr>
          <w:rFonts w:asciiTheme="minorHAnsi" w:eastAsiaTheme="minorHAnsi" w:hAnsiTheme="minorHAnsi" w:cs="Arial"/>
          <w:color w:val="000000" w:themeColor="text1"/>
          <w:lang w:val="en-AU"/>
        </w:rPr>
        <w:t xml:space="preserve"> Figure 1</w:t>
      </w:r>
      <w:r w:rsidR="005A0458" w:rsidRPr="00AF2BF6">
        <w:rPr>
          <w:rFonts w:asciiTheme="minorHAnsi" w:eastAsiaTheme="minorHAnsi" w:hAnsiTheme="minorHAnsi" w:cs="Arial"/>
          <w:color w:val="0000FF"/>
          <w:lang w:val="en-AU"/>
        </w:rPr>
        <w:fldChar w:fldCharType="begin"/>
      </w:r>
      <w:r w:rsidR="005A0458" w:rsidRPr="00AF2BF6">
        <w:rPr>
          <w:rFonts w:asciiTheme="minorHAnsi" w:eastAsiaTheme="minorHAnsi" w:hAnsiTheme="minorHAnsi" w:cs="Arial"/>
          <w:color w:val="0000FF"/>
          <w:lang w:val="en-AU"/>
        </w:rPr>
        <w:instrText xml:space="preserve"> REF _Ref104284175 \h  \* MERGEFORMAT </w:instrText>
      </w:r>
      <w:r w:rsidR="005A0458" w:rsidRPr="00AF2BF6">
        <w:rPr>
          <w:rFonts w:asciiTheme="minorHAnsi" w:eastAsiaTheme="minorHAnsi" w:hAnsiTheme="minorHAnsi" w:cs="Arial"/>
          <w:color w:val="0000FF"/>
          <w:lang w:val="en-AU"/>
        </w:rPr>
      </w:r>
      <w:r w:rsidR="005324DD">
        <w:rPr>
          <w:rFonts w:asciiTheme="minorHAnsi" w:eastAsiaTheme="minorHAnsi" w:hAnsiTheme="minorHAnsi" w:cs="Arial"/>
          <w:color w:val="0000FF"/>
          <w:lang w:val="en-AU"/>
        </w:rPr>
        <w:fldChar w:fldCharType="separate"/>
      </w:r>
      <w:r w:rsidR="005A0458" w:rsidRPr="00AF2BF6">
        <w:rPr>
          <w:rFonts w:asciiTheme="minorHAnsi" w:eastAsiaTheme="minorHAnsi" w:hAnsiTheme="minorHAnsi" w:cs="Arial"/>
          <w:color w:val="0000FF"/>
          <w:lang w:val="en-AU"/>
        </w:rPr>
        <w:fldChar w:fldCharType="end"/>
      </w:r>
      <w:r w:rsidRPr="00AF2BF6">
        <w:rPr>
          <w:rFonts w:asciiTheme="minorHAnsi" w:eastAsiaTheme="minorHAnsi" w:hAnsiTheme="minorHAnsi" w:cs="Arial"/>
          <w:color w:val="000000" w:themeColor="text1"/>
          <w:lang w:val="en-AU"/>
        </w:rPr>
        <w:t>.</w:t>
      </w:r>
    </w:p>
    <w:p w14:paraId="1301B755" w14:textId="7E72095C" w:rsidR="005170B1" w:rsidRPr="005170B1" w:rsidRDefault="005170B1" w:rsidP="005170B1">
      <w:pPr>
        <w:pStyle w:val="Caption"/>
        <w:rPr>
          <w:rFonts w:asciiTheme="minorHAnsi" w:eastAsiaTheme="minorHAnsi" w:hAnsiTheme="minorHAnsi" w:cs="Arial"/>
          <w:b/>
          <w:i w:val="0"/>
          <w:iCs w:val="0"/>
          <w:color w:val="000000" w:themeColor="text1"/>
          <w:sz w:val="22"/>
          <w:szCs w:val="22"/>
          <w:lang w:val="en-AU"/>
        </w:rPr>
      </w:pPr>
      <w:bookmarkStart w:id="16" w:name="_Ref130227854"/>
      <w:bookmarkStart w:id="17" w:name="_Ref104283854"/>
      <w:bookmarkStart w:id="18" w:name="_Ref101219079"/>
      <w:r w:rsidRPr="005170B1">
        <w:rPr>
          <w:rFonts w:asciiTheme="minorHAnsi" w:eastAsiaTheme="minorHAnsi" w:hAnsiTheme="minorHAnsi" w:cs="Arial"/>
          <w:b/>
          <w:i w:val="0"/>
          <w:iCs w:val="0"/>
          <w:color w:val="000000" w:themeColor="text1"/>
          <w:sz w:val="22"/>
          <w:szCs w:val="22"/>
          <w:lang w:val="en-AU"/>
        </w:rPr>
        <w:t xml:space="preserve">Table </w:t>
      </w:r>
      <w:r w:rsidRPr="005170B1">
        <w:rPr>
          <w:rFonts w:asciiTheme="minorHAnsi" w:eastAsiaTheme="minorHAnsi" w:hAnsiTheme="minorHAnsi" w:cs="Arial"/>
          <w:b/>
          <w:i w:val="0"/>
          <w:iCs w:val="0"/>
          <w:color w:val="000000" w:themeColor="text1"/>
          <w:sz w:val="22"/>
          <w:szCs w:val="22"/>
          <w:lang w:val="en-AU"/>
        </w:rPr>
        <w:fldChar w:fldCharType="begin"/>
      </w:r>
      <w:r w:rsidRPr="005170B1">
        <w:rPr>
          <w:rFonts w:asciiTheme="minorHAnsi" w:eastAsiaTheme="minorHAnsi" w:hAnsiTheme="minorHAnsi" w:cs="Arial"/>
          <w:b/>
          <w:i w:val="0"/>
          <w:iCs w:val="0"/>
          <w:color w:val="000000" w:themeColor="text1"/>
          <w:sz w:val="22"/>
          <w:szCs w:val="22"/>
          <w:lang w:val="en-AU"/>
        </w:rPr>
        <w:instrText xml:space="preserve"> SEQ Table \* ARABIC </w:instrText>
      </w:r>
      <w:r w:rsidRPr="005170B1">
        <w:rPr>
          <w:rFonts w:asciiTheme="minorHAnsi" w:eastAsiaTheme="minorHAnsi" w:hAnsiTheme="minorHAnsi" w:cs="Arial"/>
          <w:b/>
          <w:i w:val="0"/>
          <w:iCs w:val="0"/>
          <w:color w:val="000000" w:themeColor="text1"/>
          <w:sz w:val="22"/>
          <w:szCs w:val="22"/>
          <w:lang w:val="en-AU"/>
        </w:rPr>
        <w:fldChar w:fldCharType="separate"/>
      </w:r>
      <w:r w:rsidR="00C17B0F">
        <w:rPr>
          <w:rFonts w:asciiTheme="minorHAnsi" w:eastAsiaTheme="minorHAnsi" w:hAnsiTheme="minorHAnsi" w:cs="Arial"/>
          <w:b/>
          <w:i w:val="0"/>
          <w:iCs w:val="0"/>
          <w:noProof/>
          <w:color w:val="000000" w:themeColor="text1"/>
          <w:sz w:val="22"/>
          <w:szCs w:val="22"/>
          <w:lang w:val="en-AU"/>
        </w:rPr>
        <w:t>5</w:t>
      </w:r>
      <w:r w:rsidRPr="005170B1">
        <w:rPr>
          <w:rFonts w:asciiTheme="minorHAnsi" w:eastAsiaTheme="minorHAnsi" w:hAnsiTheme="minorHAnsi" w:cs="Arial"/>
          <w:b/>
          <w:i w:val="0"/>
          <w:iCs w:val="0"/>
          <w:color w:val="000000" w:themeColor="text1"/>
          <w:sz w:val="22"/>
          <w:szCs w:val="22"/>
          <w:lang w:val="en-AU"/>
        </w:rPr>
        <w:fldChar w:fldCharType="end"/>
      </w:r>
      <w:bookmarkEnd w:id="16"/>
      <w:r w:rsidRPr="005170B1">
        <w:rPr>
          <w:rFonts w:asciiTheme="minorHAnsi" w:eastAsiaTheme="minorHAnsi" w:hAnsiTheme="minorHAnsi" w:cs="Arial"/>
          <w:b/>
          <w:i w:val="0"/>
          <w:iCs w:val="0"/>
          <w:color w:val="000000" w:themeColor="text1"/>
          <w:sz w:val="22"/>
          <w:szCs w:val="22"/>
          <w:lang w:val="en-AU"/>
        </w:rPr>
        <w:t xml:space="preserve"> </w:t>
      </w:r>
      <w:r>
        <w:rPr>
          <w:rFonts w:asciiTheme="minorHAnsi" w:eastAsiaTheme="minorHAnsi" w:hAnsiTheme="minorHAnsi" w:cs="Arial"/>
          <w:b/>
          <w:i w:val="0"/>
          <w:iCs w:val="0"/>
          <w:color w:val="000000" w:themeColor="text1"/>
          <w:sz w:val="22"/>
          <w:szCs w:val="22"/>
          <w:lang w:val="en-AU"/>
        </w:rPr>
        <w:t xml:space="preserve">- </w:t>
      </w:r>
      <w:r w:rsidRPr="00242442">
        <w:rPr>
          <w:rFonts w:asciiTheme="minorHAnsi" w:eastAsiaTheme="minorHAnsi" w:hAnsiTheme="minorHAnsi" w:cs="Arial"/>
          <w:b/>
          <w:i w:val="0"/>
          <w:iCs w:val="0"/>
          <w:color w:val="000000" w:themeColor="text1"/>
          <w:sz w:val="22"/>
          <w:szCs w:val="22"/>
          <w:lang w:val="en-AU"/>
        </w:rPr>
        <w:t>Efficacy results in patients with locally advanced or metastatic cholangiocarcinoma</w:t>
      </w:r>
    </w:p>
    <w:bookmarkEnd w:id="17"/>
    <w:bookmarkEnd w:id="18"/>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6"/>
        <w:gridCol w:w="2772"/>
        <w:gridCol w:w="2551"/>
      </w:tblGrid>
      <w:tr w:rsidR="00C017B2" w:rsidRPr="00AF2BF6" w14:paraId="5092A07E" w14:textId="77777777" w:rsidTr="002E1B51">
        <w:trPr>
          <w:tblHeader/>
        </w:trPr>
        <w:tc>
          <w:tcPr>
            <w:tcW w:w="4306" w:type="dxa"/>
            <w:tcBorders>
              <w:bottom w:val="single" w:sz="12" w:space="0" w:color="000000"/>
            </w:tcBorders>
          </w:tcPr>
          <w:p w14:paraId="44F54614" w14:textId="1F17C718" w:rsidR="00C017B2" w:rsidRPr="00AF2BF6" w:rsidRDefault="00C017B2" w:rsidP="002E1B51">
            <w:pPr>
              <w:pStyle w:val="TableParagraph"/>
              <w:ind w:left="108"/>
              <w:rPr>
                <w:rFonts w:asciiTheme="minorHAnsi" w:hAnsiTheme="minorHAnsi" w:cstheme="minorHAnsi"/>
                <w:b/>
                <w:sz w:val="20"/>
                <w:szCs w:val="20"/>
                <w:lang w:val="en-AU"/>
              </w:rPr>
            </w:pPr>
          </w:p>
        </w:tc>
        <w:tc>
          <w:tcPr>
            <w:tcW w:w="2772" w:type="dxa"/>
            <w:tcBorders>
              <w:bottom w:val="single" w:sz="12" w:space="0" w:color="000000"/>
            </w:tcBorders>
          </w:tcPr>
          <w:p w14:paraId="108E5665" w14:textId="77777777" w:rsidR="00C017B2" w:rsidRPr="00AF2BF6" w:rsidRDefault="00C017B2" w:rsidP="002E1B51">
            <w:pPr>
              <w:pStyle w:val="TableParagraph"/>
              <w:ind w:left="108"/>
              <w:jc w:val="center"/>
              <w:rPr>
                <w:rFonts w:asciiTheme="minorHAnsi" w:hAnsiTheme="minorHAnsi" w:cstheme="minorHAnsi"/>
                <w:b/>
                <w:sz w:val="20"/>
                <w:szCs w:val="20"/>
                <w:lang w:val="en-AU"/>
              </w:rPr>
            </w:pPr>
            <w:r w:rsidRPr="00AF2BF6">
              <w:rPr>
                <w:rFonts w:asciiTheme="minorHAnsi" w:hAnsiTheme="minorHAnsi" w:cstheme="minorHAnsi"/>
                <w:b/>
                <w:sz w:val="20"/>
                <w:szCs w:val="20"/>
                <w:lang w:val="en-AU"/>
              </w:rPr>
              <w:t>Ivosidenib (500 mg daily)</w:t>
            </w:r>
          </w:p>
        </w:tc>
        <w:tc>
          <w:tcPr>
            <w:tcW w:w="2551" w:type="dxa"/>
            <w:tcBorders>
              <w:bottom w:val="single" w:sz="12" w:space="0" w:color="000000"/>
            </w:tcBorders>
          </w:tcPr>
          <w:p w14:paraId="3F950E19" w14:textId="77777777" w:rsidR="00C017B2" w:rsidRPr="00AF2BF6" w:rsidRDefault="00C017B2" w:rsidP="002E1B51">
            <w:pPr>
              <w:pStyle w:val="TableParagraph"/>
              <w:ind w:left="108"/>
              <w:jc w:val="center"/>
              <w:rPr>
                <w:rFonts w:asciiTheme="minorHAnsi" w:hAnsiTheme="minorHAnsi" w:cstheme="minorHAnsi"/>
                <w:b/>
                <w:sz w:val="20"/>
                <w:szCs w:val="20"/>
                <w:lang w:val="en-AU"/>
              </w:rPr>
            </w:pPr>
            <w:r w:rsidRPr="00AF2BF6">
              <w:rPr>
                <w:rFonts w:asciiTheme="minorHAnsi" w:hAnsiTheme="minorHAnsi" w:cstheme="minorHAnsi"/>
                <w:b/>
                <w:sz w:val="20"/>
                <w:szCs w:val="20"/>
                <w:lang w:val="en-AU"/>
              </w:rPr>
              <w:t>Placebo</w:t>
            </w:r>
          </w:p>
        </w:tc>
      </w:tr>
      <w:tr w:rsidR="00C017B2" w:rsidRPr="00AF2BF6" w14:paraId="4AEE6329" w14:textId="77777777" w:rsidTr="002E1B51">
        <w:trPr>
          <w:tblHeader/>
        </w:trPr>
        <w:tc>
          <w:tcPr>
            <w:tcW w:w="4306" w:type="dxa"/>
            <w:tcBorders>
              <w:top w:val="single" w:sz="12" w:space="0" w:color="000000"/>
            </w:tcBorders>
          </w:tcPr>
          <w:p w14:paraId="2423D805" w14:textId="0597E63A" w:rsidR="00C017B2" w:rsidRPr="00AF2BF6" w:rsidRDefault="00C017B2" w:rsidP="00A50C17">
            <w:pPr>
              <w:pStyle w:val="TableParagraph"/>
              <w:spacing w:line="254" w:lineRule="exact"/>
              <w:ind w:right="135"/>
              <w:rPr>
                <w:rFonts w:asciiTheme="minorHAnsi" w:hAnsiTheme="minorHAnsi" w:cstheme="minorHAnsi"/>
                <w:b/>
                <w:sz w:val="20"/>
                <w:szCs w:val="20"/>
                <w:lang w:val="en-AU"/>
              </w:rPr>
            </w:pPr>
            <w:r w:rsidRPr="00AF2BF6">
              <w:rPr>
                <w:rFonts w:asciiTheme="minorHAnsi" w:hAnsiTheme="minorHAnsi" w:cstheme="minorHAnsi"/>
                <w:b/>
                <w:sz w:val="20"/>
                <w:szCs w:val="20"/>
                <w:lang w:val="en-AU"/>
              </w:rPr>
              <w:t>Progression-</w:t>
            </w:r>
            <w:r>
              <w:rPr>
                <w:rFonts w:asciiTheme="minorHAnsi" w:hAnsiTheme="minorHAnsi" w:cstheme="minorHAnsi"/>
                <w:b/>
                <w:sz w:val="20"/>
                <w:szCs w:val="20"/>
                <w:lang w:val="en-AU"/>
              </w:rPr>
              <w:t>f</w:t>
            </w:r>
            <w:r w:rsidRPr="00AF2BF6">
              <w:rPr>
                <w:rFonts w:asciiTheme="minorHAnsi" w:hAnsiTheme="minorHAnsi" w:cstheme="minorHAnsi"/>
                <w:b/>
                <w:sz w:val="20"/>
                <w:szCs w:val="20"/>
                <w:lang w:val="en-AU"/>
              </w:rPr>
              <w:t xml:space="preserve">ree </w:t>
            </w:r>
            <w:r>
              <w:rPr>
                <w:rFonts w:asciiTheme="minorHAnsi" w:hAnsiTheme="minorHAnsi" w:cstheme="minorHAnsi"/>
                <w:b/>
                <w:sz w:val="20"/>
                <w:szCs w:val="20"/>
                <w:lang w:val="en-AU"/>
              </w:rPr>
              <w:t>s</w:t>
            </w:r>
            <w:r w:rsidRPr="00AF2BF6">
              <w:rPr>
                <w:rFonts w:asciiTheme="minorHAnsi" w:hAnsiTheme="minorHAnsi" w:cstheme="minorHAnsi"/>
                <w:b/>
                <w:sz w:val="20"/>
                <w:szCs w:val="20"/>
                <w:lang w:val="en-AU"/>
              </w:rPr>
              <w:t xml:space="preserve">urvival (PFS) by IRC </w:t>
            </w:r>
          </w:p>
        </w:tc>
        <w:tc>
          <w:tcPr>
            <w:tcW w:w="2772" w:type="dxa"/>
            <w:tcBorders>
              <w:top w:val="single" w:sz="12" w:space="0" w:color="000000"/>
            </w:tcBorders>
          </w:tcPr>
          <w:p w14:paraId="0E22EDEB" w14:textId="77777777" w:rsidR="00C017B2" w:rsidRPr="00AF2BF6" w:rsidRDefault="00C017B2" w:rsidP="00C017B2">
            <w:pPr>
              <w:pStyle w:val="TableParagraph"/>
              <w:spacing w:line="251" w:lineRule="exact"/>
              <w:ind w:left="167" w:right="161"/>
              <w:jc w:val="center"/>
              <w:rPr>
                <w:rFonts w:asciiTheme="minorHAnsi" w:hAnsiTheme="minorHAnsi" w:cstheme="minorHAnsi"/>
                <w:b/>
                <w:sz w:val="20"/>
                <w:szCs w:val="20"/>
                <w:lang w:val="en-AU"/>
              </w:rPr>
            </w:pPr>
            <w:r w:rsidRPr="00AF2BF6">
              <w:rPr>
                <w:rFonts w:asciiTheme="minorHAnsi" w:hAnsiTheme="minorHAnsi" w:cstheme="minorHAnsi"/>
                <w:b/>
                <w:sz w:val="20"/>
                <w:szCs w:val="20"/>
                <w:lang w:val="en-AU"/>
              </w:rPr>
              <w:t>N=124</w:t>
            </w:r>
          </w:p>
        </w:tc>
        <w:tc>
          <w:tcPr>
            <w:tcW w:w="2551" w:type="dxa"/>
            <w:tcBorders>
              <w:top w:val="single" w:sz="12" w:space="0" w:color="000000"/>
            </w:tcBorders>
          </w:tcPr>
          <w:p w14:paraId="6D0E0964" w14:textId="77777777" w:rsidR="00C017B2" w:rsidRPr="00AF2BF6" w:rsidRDefault="00C017B2" w:rsidP="00C017B2">
            <w:pPr>
              <w:pStyle w:val="TableParagraph"/>
              <w:spacing w:line="251" w:lineRule="exact"/>
              <w:ind w:left="257" w:right="249"/>
              <w:jc w:val="center"/>
              <w:rPr>
                <w:rFonts w:asciiTheme="minorHAnsi" w:hAnsiTheme="minorHAnsi" w:cstheme="minorHAnsi"/>
                <w:b/>
                <w:sz w:val="20"/>
                <w:szCs w:val="20"/>
                <w:lang w:val="en-AU"/>
              </w:rPr>
            </w:pPr>
            <w:r w:rsidRPr="00AF2BF6">
              <w:rPr>
                <w:rFonts w:asciiTheme="minorHAnsi" w:hAnsiTheme="minorHAnsi" w:cstheme="minorHAnsi"/>
                <w:b/>
                <w:sz w:val="20"/>
                <w:szCs w:val="20"/>
                <w:lang w:val="en-AU"/>
              </w:rPr>
              <w:t>N=61</w:t>
            </w:r>
          </w:p>
        </w:tc>
      </w:tr>
      <w:tr w:rsidR="00C017B2" w:rsidRPr="00AF2BF6" w14:paraId="63A645A6" w14:textId="77777777" w:rsidTr="002E1B51">
        <w:trPr>
          <w:tblHeader/>
        </w:trPr>
        <w:tc>
          <w:tcPr>
            <w:tcW w:w="4306" w:type="dxa"/>
          </w:tcPr>
          <w:p w14:paraId="365F05D8" w14:textId="2F67F146" w:rsidR="00C017B2" w:rsidRPr="00AF2BF6" w:rsidRDefault="00C017B2" w:rsidP="00A50C17">
            <w:pPr>
              <w:pStyle w:val="TableParagraph"/>
              <w:spacing w:line="248" w:lineRule="exact"/>
              <w:ind w:left="827"/>
              <w:rPr>
                <w:rFonts w:asciiTheme="minorHAnsi" w:hAnsiTheme="minorHAnsi" w:cstheme="minorHAnsi"/>
                <w:b/>
                <w:sz w:val="20"/>
                <w:szCs w:val="20"/>
                <w:lang w:val="en-AU"/>
              </w:rPr>
            </w:pPr>
            <w:r w:rsidRPr="00AF2BF6">
              <w:rPr>
                <w:rFonts w:asciiTheme="minorHAnsi" w:hAnsiTheme="minorHAnsi" w:cstheme="minorHAnsi"/>
                <w:b/>
                <w:sz w:val="20"/>
                <w:szCs w:val="20"/>
                <w:lang w:val="en-AU"/>
              </w:rPr>
              <w:t>Events, n</w:t>
            </w:r>
            <w:r w:rsidRPr="00AF2BF6">
              <w:rPr>
                <w:rFonts w:asciiTheme="minorHAnsi" w:hAnsiTheme="minorHAnsi" w:cstheme="minorHAnsi"/>
                <w:b/>
                <w:spacing w:val="-4"/>
                <w:sz w:val="20"/>
                <w:szCs w:val="20"/>
                <w:lang w:val="en-AU"/>
              </w:rPr>
              <w:t xml:space="preserve"> </w:t>
            </w:r>
            <w:r w:rsidRPr="00AF2BF6">
              <w:rPr>
                <w:rFonts w:asciiTheme="minorHAnsi" w:hAnsiTheme="minorHAnsi" w:cstheme="minorHAnsi"/>
                <w:b/>
                <w:sz w:val="20"/>
                <w:szCs w:val="20"/>
                <w:lang w:val="en-AU"/>
              </w:rPr>
              <w:t>(%)</w:t>
            </w:r>
          </w:p>
          <w:p w14:paraId="76700329" w14:textId="77777777" w:rsidR="00C017B2" w:rsidRPr="00AF2BF6" w:rsidRDefault="00C017B2" w:rsidP="00A50C17">
            <w:pPr>
              <w:pStyle w:val="TableParagraph"/>
              <w:spacing w:before="1" w:line="254" w:lineRule="exact"/>
              <w:ind w:left="1547" w:right="730"/>
              <w:rPr>
                <w:rFonts w:asciiTheme="minorHAnsi" w:hAnsiTheme="minorHAnsi" w:cstheme="minorHAnsi"/>
                <w:sz w:val="20"/>
                <w:szCs w:val="20"/>
                <w:lang w:val="en-AU"/>
              </w:rPr>
            </w:pPr>
            <w:r w:rsidRPr="00AF2BF6">
              <w:rPr>
                <w:rFonts w:asciiTheme="minorHAnsi" w:hAnsiTheme="minorHAnsi" w:cstheme="minorHAnsi"/>
                <w:sz w:val="20"/>
                <w:szCs w:val="20"/>
                <w:lang w:val="en-AU"/>
              </w:rPr>
              <w:t>Progressive Disease Death</w:t>
            </w:r>
          </w:p>
        </w:tc>
        <w:tc>
          <w:tcPr>
            <w:tcW w:w="2772" w:type="dxa"/>
          </w:tcPr>
          <w:p w14:paraId="423637FA" w14:textId="77777777" w:rsidR="00C017B2" w:rsidRPr="00AF2BF6" w:rsidRDefault="00C017B2" w:rsidP="002E1B51">
            <w:pPr>
              <w:pStyle w:val="TableParagraph"/>
              <w:spacing w:line="252" w:lineRule="exact"/>
              <w:ind w:left="0"/>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76</w:t>
            </w:r>
            <w:r w:rsidRPr="002E1B51">
              <w:rPr>
                <w:rFonts w:asciiTheme="minorHAnsi" w:hAnsiTheme="minorHAnsi" w:cstheme="minorHAnsi"/>
                <w:sz w:val="20"/>
                <w:szCs w:val="20"/>
                <w:lang w:val="en-AU"/>
              </w:rPr>
              <w:t xml:space="preserve"> </w:t>
            </w:r>
            <w:r w:rsidRPr="00AF2BF6">
              <w:rPr>
                <w:rFonts w:asciiTheme="minorHAnsi" w:hAnsiTheme="minorHAnsi" w:cstheme="minorHAnsi"/>
                <w:sz w:val="20"/>
                <w:szCs w:val="20"/>
                <w:lang w:val="en-AU"/>
              </w:rPr>
              <w:t>(61)</w:t>
            </w:r>
          </w:p>
          <w:p w14:paraId="350E43DE" w14:textId="77777777" w:rsidR="00C017B2" w:rsidRPr="00AF2BF6" w:rsidRDefault="00C017B2" w:rsidP="002E1B51">
            <w:pPr>
              <w:pStyle w:val="TableParagraph"/>
              <w:spacing w:line="252" w:lineRule="exact"/>
              <w:ind w:left="0"/>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64</w:t>
            </w:r>
            <w:r w:rsidRPr="002E1B51">
              <w:rPr>
                <w:rFonts w:asciiTheme="minorHAnsi" w:hAnsiTheme="minorHAnsi" w:cstheme="minorHAnsi"/>
                <w:sz w:val="20"/>
                <w:szCs w:val="20"/>
                <w:lang w:val="en-AU"/>
              </w:rPr>
              <w:t xml:space="preserve"> </w:t>
            </w:r>
            <w:r w:rsidRPr="00AF2BF6">
              <w:rPr>
                <w:rFonts w:asciiTheme="minorHAnsi" w:hAnsiTheme="minorHAnsi" w:cstheme="minorHAnsi"/>
                <w:sz w:val="20"/>
                <w:szCs w:val="20"/>
                <w:lang w:val="en-AU"/>
              </w:rPr>
              <w:t>(52)</w:t>
            </w:r>
          </w:p>
          <w:p w14:paraId="7F4E7183" w14:textId="77777777" w:rsidR="00C017B2" w:rsidRPr="00AF2BF6" w:rsidRDefault="00C017B2" w:rsidP="002E1B51">
            <w:pPr>
              <w:pStyle w:val="TableParagraph"/>
              <w:spacing w:line="252" w:lineRule="exact"/>
              <w:ind w:left="0"/>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12</w:t>
            </w:r>
            <w:r w:rsidRPr="002E1B51">
              <w:rPr>
                <w:rFonts w:asciiTheme="minorHAnsi" w:hAnsiTheme="minorHAnsi" w:cstheme="minorHAnsi"/>
                <w:sz w:val="20"/>
                <w:szCs w:val="20"/>
                <w:lang w:val="en-AU"/>
              </w:rPr>
              <w:t xml:space="preserve"> </w:t>
            </w:r>
            <w:r w:rsidRPr="00AF2BF6">
              <w:rPr>
                <w:rFonts w:asciiTheme="minorHAnsi" w:hAnsiTheme="minorHAnsi" w:cstheme="minorHAnsi"/>
                <w:sz w:val="20"/>
                <w:szCs w:val="20"/>
                <w:lang w:val="en-AU"/>
              </w:rPr>
              <w:t>(10)</w:t>
            </w:r>
          </w:p>
        </w:tc>
        <w:tc>
          <w:tcPr>
            <w:tcW w:w="2551" w:type="dxa"/>
          </w:tcPr>
          <w:p w14:paraId="7F65B4EF" w14:textId="77777777" w:rsidR="00C017B2" w:rsidRPr="00AF2BF6" w:rsidRDefault="00C017B2" w:rsidP="00C017B2">
            <w:pPr>
              <w:pStyle w:val="TableParagraph"/>
              <w:spacing w:line="248" w:lineRule="exact"/>
              <w:ind w:left="259" w:right="247"/>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50</w:t>
            </w:r>
            <w:r w:rsidRPr="00AF2BF6">
              <w:rPr>
                <w:rFonts w:asciiTheme="minorHAnsi" w:hAnsiTheme="minorHAnsi" w:cstheme="minorHAnsi"/>
                <w:spacing w:val="-1"/>
                <w:sz w:val="20"/>
                <w:szCs w:val="20"/>
                <w:lang w:val="en-AU"/>
              </w:rPr>
              <w:t xml:space="preserve"> </w:t>
            </w:r>
            <w:r w:rsidRPr="00AF2BF6">
              <w:rPr>
                <w:rFonts w:asciiTheme="minorHAnsi" w:hAnsiTheme="minorHAnsi" w:cstheme="minorHAnsi"/>
                <w:sz w:val="20"/>
                <w:szCs w:val="20"/>
                <w:lang w:val="en-AU"/>
              </w:rPr>
              <w:t>(82)</w:t>
            </w:r>
          </w:p>
          <w:p w14:paraId="7BDB28E3" w14:textId="77777777" w:rsidR="00C017B2" w:rsidRPr="00AF2BF6" w:rsidRDefault="00C017B2" w:rsidP="00C017B2">
            <w:pPr>
              <w:pStyle w:val="TableParagraph"/>
              <w:spacing w:line="252" w:lineRule="exact"/>
              <w:ind w:left="259" w:right="247"/>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44</w:t>
            </w:r>
            <w:r w:rsidRPr="00AF2BF6">
              <w:rPr>
                <w:rFonts w:asciiTheme="minorHAnsi" w:hAnsiTheme="minorHAnsi" w:cstheme="minorHAnsi"/>
                <w:spacing w:val="-1"/>
                <w:sz w:val="20"/>
                <w:szCs w:val="20"/>
                <w:lang w:val="en-AU"/>
              </w:rPr>
              <w:t xml:space="preserve"> </w:t>
            </w:r>
            <w:r w:rsidRPr="00AF2BF6">
              <w:rPr>
                <w:rFonts w:asciiTheme="minorHAnsi" w:hAnsiTheme="minorHAnsi" w:cstheme="minorHAnsi"/>
                <w:sz w:val="20"/>
                <w:szCs w:val="20"/>
                <w:lang w:val="en-AU"/>
              </w:rPr>
              <w:t>(72)</w:t>
            </w:r>
          </w:p>
          <w:p w14:paraId="21BC743E" w14:textId="77777777" w:rsidR="00C017B2" w:rsidRPr="00AF2BF6" w:rsidRDefault="00C017B2" w:rsidP="00C017B2">
            <w:pPr>
              <w:pStyle w:val="TableParagraph"/>
              <w:spacing w:before="1" w:line="233" w:lineRule="exact"/>
              <w:ind w:left="259" w:right="247"/>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6 (10)</w:t>
            </w:r>
          </w:p>
        </w:tc>
      </w:tr>
      <w:tr w:rsidR="00C017B2" w:rsidRPr="00AF2BF6" w14:paraId="47FBDB96" w14:textId="77777777" w:rsidTr="002E1B51">
        <w:trPr>
          <w:tblHeader/>
        </w:trPr>
        <w:tc>
          <w:tcPr>
            <w:tcW w:w="4306" w:type="dxa"/>
          </w:tcPr>
          <w:p w14:paraId="7CCADABA" w14:textId="419FD8BB" w:rsidR="00C017B2" w:rsidRPr="00AF2BF6" w:rsidRDefault="00C017B2" w:rsidP="00A50C17">
            <w:pPr>
              <w:pStyle w:val="TableParagraph"/>
              <w:spacing w:line="232" w:lineRule="exact"/>
              <w:ind w:left="827"/>
              <w:rPr>
                <w:rFonts w:asciiTheme="minorHAnsi" w:hAnsiTheme="minorHAnsi" w:cstheme="minorHAnsi"/>
                <w:b/>
                <w:sz w:val="20"/>
                <w:szCs w:val="20"/>
                <w:lang w:val="en-AU"/>
              </w:rPr>
            </w:pPr>
            <w:r w:rsidRPr="00AF2BF6">
              <w:rPr>
                <w:rFonts w:asciiTheme="minorHAnsi" w:hAnsiTheme="minorHAnsi" w:cstheme="minorHAnsi"/>
                <w:b/>
                <w:sz w:val="20"/>
                <w:szCs w:val="20"/>
                <w:lang w:val="en-AU"/>
              </w:rPr>
              <w:t>Median PFS, months (95% CI)</w:t>
            </w:r>
          </w:p>
        </w:tc>
        <w:tc>
          <w:tcPr>
            <w:tcW w:w="2772" w:type="dxa"/>
          </w:tcPr>
          <w:p w14:paraId="0D360138" w14:textId="77777777" w:rsidR="00C017B2" w:rsidRPr="00AF2BF6" w:rsidRDefault="00C017B2" w:rsidP="00C017B2">
            <w:pPr>
              <w:pStyle w:val="TableParagraph"/>
              <w:spacing w:line="232" w:lineRule="exact"/>
              <w:ind w:left="169" w:right="161"/>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2.7 (1.6, 4.2)</w:t>
            </w:r>
          </w:p>
        </w:tc>
        <w:tc>
          <w:tcPr>
            <w:tcW w:w="2551" w:type="dxa"/>
          </w:tcPr>
          <w:p w14:paraId="6BD96754" w14:textId="77777777" w:rsidR="00C017B2" w:rsidRPr="00AF2BF6" w:rsidRDefault="00C017B2" w:rsidP="00C017B2">
            <w:pPr>
              <w:pStyle w:val="TableParagraph"/>
              <w:spacing w:line="232" w:lineRule="exact"/>
              <w:ind w:left="259" w:right="249"/>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1.4 (1.4, 1.6)</w:t>
            </w:r>
          </w:p>
        </w:tc>
      </w:tr>
      <w:tr w:rsidR="00C017B2" w:rsidRPr="00AF2BF6" w14:paraId="6EBEA3B0" w14:textId="77777777" w:rsidTr="002E1B51">
        <w:trPr>
          <w:tblHeader/>
        </w:trPr>
        <w:tc>
          <w:tcPr>
            <w:tcW w:w="4306" w:type="dxa"/>
          </w:tcPr>
          <w:p w14:paraId="2423EEF2" w14:textId="0E8F9F12" w:rsidR="00C017B2" w:rsidRPr="00AF2BF6" w:rsidRDefault="00C017B2" w:rsidP="00A50C17">
            <w:pPr>
              <w:pStyle w:val="TableParagraph"/>
              <w:spacing w:line="234" w:lineRule="exact"/>
              <w:ind w:left="827"/>
              <w:rPr>
                <w:rFonts w:asciiTheme="minorHAnsi" w:hAnsiTheme="minorHAnsi" w:cstheme="minorHAnsi"/>
                <w:b/>
                <w:sz w:val="20"/>
                <w:szCs w:val="20"/>
                <w:lang w:val="en-AU"/>
              </w:rPr>
            </w:pPr>
            <w:r w:rsidRPr="00AF2BF6">
              <w:rPr>
                <w:rFonts w:asciiTheme="minorHAnsi" w:hAnsiTheme="minorHAnsi" w:cstheme="minorHAnsi"/>
                <w:b/>
                <w:sz w:val="20"/>
                <w:szCs w:val="20"/>
                <w:lang w:val="en-AU"/>
              </w:rPr>
              <w:t>Hazard ratio (95 % CI)</w:t>
            </w:r>
            <w:r w:rsidRPr="00C017B2">
              <w:rPr>
                <w:rFonts w:asciiTheme="minorHAnsi" w:hAnsiTheme="minorHAnsi" w:cstheme="minorHAnsi"/>
                <w:b/>
                <w:sz w:val="20"/>
                <w:szCs w:val="20"/>
                <w:vertAlign w:val="superscript"/>
                <w:lang w:val="en-AU"/>
              </w:rPr>
              <w:fldChar w:fldCharType="begin"/>
            </w:r>
            <w:r w:rsidRPr="002E1B51">
              <w:rPr>
                <w:rFonts w:asciiTheme="minorHAnsi" w:hAnsiTheme="minorHAnsi" w:cstheme="minorHAnsi"/>
                <w:b/>
                <w:sz w:val="20"/>
                <w:szCs w:val="20"/>
                <w:vertAlign w:val="superscript"/>
                <w:lang w:val="en-AU"/>
              </w:rPr>
              <w:instrText xml:space="preserve"> REF _Ref124529594 \n \h  \* MERGEFORMAT </w:instrText>
            </w:r>
            <w:r w:rsidRPr="00C017B2">
              <w:rPr>
                <w:rFonts w:asciiTheme="minorHAnsi" w:hAnsiTheme="minorHAnsi" w:cstheme="minorHAnsi"/>
                <w:b/>
                <w:sz w:val="20"/>
                <w:szCs w:val="20"/>
                <w:vertAlign w:val="superscript"/>
                <w:lang w:val="en-AU"/>
              </w:rPr>
            </w:r>
            <w:r w:rsidRPr="00C017B2">
              <w:rPr>
                <w:rFonts w:asciiTheme="minorHAnsi" w:hAnsiTheme="minorHAnsi" w:cstheme="minorHAnsi"/>
                <w:b/>
                <w:sz w:val="20"/>
                <w:szCs w:val="20"/>
                <w:vertAlign w:val="superscript"/>
                <w:lang w:val="en-AU"/>
              </w:rPr>
              <w:fldChar w:fldCharType="separate"/>
            </w:r>
            <w:r w:rsidR="00C17B0F">
              <w:rPr>
                <w:rFonts w:asciiTheme="minorHAnsi" w:hAnsiTheme="minorHAnsi" w:cstheme="minorHAnsi"/>
                <w:b/>
                <w:sz w:val="20"/>
                <w:szCs w:val="20"/>
                <w:vertAlign w:val="superscript"/>
                <w:lang w:val="en-AU"/>
              </w:rPr>
              <w:t>1</w:t>
            </w:r>
            <w:r w:rsidRPr="00C017B2">
              <w:rPr>
                <w:rFonts w:asciiTheme="minorHAnsi" w:hAnsiTheme="minorHAnsi" w:cstheme="minorHAnsi"/>
                <w:b/>
                <w:sz w:val="20"/>
                <w:szCs w:val="20"/>
                <w:vertAlign w:val="superscript"/>
                <w:lang w:val="en-AU"/>
              </w:rPr>
              <w:fldChar w:fldCharType="end"/>
            </w:r>
          </w:p>
        </w:tc>
        <w:tc>
          <w:tcPr>
            <w:tcW w:w="5323" w:type="dxa"/>
            <w:gridSpan w:val="2"/>
          </w:tcPr>
          <w:p w14:paraId="11929182" w14:textId="77777777" w:rsidR="00C017B2" w:rsidRPr="00AF2BF6" w:rsidRDefault="00C017B2" w:rsidP="002E1B51">
            <w:pPr>
              <w:pStyle w:val="TableParagraph"/>
              <w:spacing w:line="234" w:lineRule="exact"/>
              <w:ind w:left="0"/>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0.37 (0.25, 0.54)</w:t>
            </w:r>
          </w:p>
        </w:tc>
      </w:tr>
      <w:tr w:rsidR="00C017B2" w:rsidRPr="00AF2BF6" w14:paraId="7A93953D" w14:textId="77777777" w:rsidTr="002E1B51">
        <w:trPr>
          <w:trHeight w:val="244"/>
        </w:trPr>
        <w:tc>
          <w:tcPr>
            <w:tcW w:w="4306" w:type="dxa"/>
          </w:tcPr>
          <w:p w14:paraId="229A804A" w14:textId="53F86D35" w:rsidR="00C017B2" w:rsidRPr="00AF2BF6" w:rsidRDefault="00C017B2" w:rsidP="00A50C17">
            <w:pPr>
              <w:pStyle w:val="TableParagraph"/>
              <w:spacing w:line="224" w:lineRule="exact"/>
              <w:ind w:left="827"/>
              <w:rPr>
                <w:rFonts w:asciiTheme="minorHAnsi" w:hAnsiTheme="minorHAnsi" w:cstheme="minorHAnsi"/>
                <w:b/>
                <w:sz w:val="20"/>
                <w:szCs w:val="20"/>
                <w:lang w:val="en-AU"/>
              </w:rPr>
            </w:pPr>
            <w:r w:rsidRPr="00AF2BF6">
              <w:rPr>
                <w:rFonts w:asciiTheme="minorHAnsi" w:hAnsiTheme="minorHAnsi" w:cstheme="minorHAnsi"/>
                <w:b/>
                <w:sz w:val="20"/>
                <w:szCs w:val="20"/>
                <w:lang w:val="en-AU"/>
              </w:rPr>
              <w:t>P-value</w:t>
            </w:r>
            <w:r>
              <w:rPr>
                <w:rFonts w:asciiTheme="minorHAnsi" w:hAnsiTheme="minorHAnsi" w:cstheme="minorHAnsi"/>
                <w:b/>
                <w:sz w:val="20"/>
                <w:szCs w:val="20"/>
                <w:vertAlign w:val="superscript"/>
                <w:lang w:val="en-AU"/>
              </w:rPr>
              <w:fldChar w:fldCharType="begin"/>
            </w:r>
            <w:r>
              <w:rPr>
                <w:rFonts w:asciiTheme="minorHAnsi" w:hAnsiTheme="minorHAnsi" w:cstheme="minorHAnsi"/>
                <w:b/>
                <w:sz w:val="20"/>
                <w:szCs w:val="20"/>
                <w:vertAlign w:val="superscript"/>
                <w:lang w:val="en-AU"/>
              </w:rPr>
              <w:instrText xml:space="preserve"> REF _Ref124529600 \n \h </w:instrText>
            </w:r>
            <w:r>
              <w:rPr>
                <w:rFonts w:asciiTheme="minorHAnsi" w:hAnsiTheme="minorHAnsi" w:cstheme="minorHAnsi"/>
                <w:b/>
                <w:sz w:val="20"/>
                <w:szCs w:val="20"/>
                <w:vertAlign w:val="superscript"/>
                <w:lang w:val="en-AU"/>
              </w:rPr>
            </w:r>
            <w:r>
              <w:rPr>
                <w:rFonts w:asciiTheme="minorHAnsi" w:hAnsiTheme="minorHAnsi" w:cstheme="minorHAnsi"/>
                <w:b/>
                <w:sz w:val="20"/>
                <w:szCs w:val="20"/>
                <w:vertAlign w:val="superscript"/>
                <w:lang w:val="en-AU"/>
              </w:rPr>
              <w:fldChar w:fldCharType="separate"/>
            </w:r>
            <w:r w:rsidR="00C17B0F">
              <w:rPr>
                <w:rFonts w:asciiTheme="minorHAnsi" w:hAnsiTheme="minorHAnsi" w:cstheme="minorHAnsi"/>
                <w:b/>
                <w:sz w:val="20"/>
                <w:szCs w:val="20"/>
                <w:vertAlign w:val="superscript"/>
                <w:lang w:val="en-AU"/>
              </w:rPr>
              <w:t>2</w:t>
            </w:r>
            <w:r>
              <w:rPr>
                <w:rFonts w:asciiTheme="minorHAnsi" w:hAnsiTheme="minorHAnsi" w:cstheme="minorHAnsi"/>
                <w:b/>
                <w:sz w:val="20"/>
                <w:szCs w:val="20"/>
                <w:vertAlign w:val="superscript"/>
                <w:lang w:val="en-AU"/>
              </w:rPr>
              <w:fldChar w:fldCharType="end"/>
            </w:r>
          </w:p>
        </w:tc>
        <w:tc>
          <w:tcPr>
            <w:tcW w:w="5323" w:type="dxa"/>
            <w:gridSpan w:val="2"/>
          </w:tcPr>
          <w:p w14:paraId="1C385959" w14:textId="77777777" w:rsidR="00C017B2" w:rsidRPr="00AF2BF6" w:rsidRDefault="00C017B2" w:rsidP="00C017B2">
            <w:pPr>
              <w:pStyle w:val="TableParagraph"/>
              <w:spacing w:line="224" w:lineRule="exact"/>
              <w:ind w:left="1334" w:right="1323"/>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&lt;0.0001</w:t>
            </w:r>
          </w:p>
        </w:tc>
      </w:tr>
      <w:tr w:rsidR="00C017B2" w:rsidRPr="00AF2BF6" w14:paraId="7CD90D07" w14:textId="77777777" w:rsidTr="002E1B51">
        <w:trPr>
          <w:trHeight w:val="433"/>
        </w:trPr>
        <w:tc>
          <w:tcPr>
            <w:tcW w:w="4306" w:type="dxa"/>
            <w:tcBorders>
              <w:bottom w:val="single" w:sz="12" w:space="0" w:color="000000"/>
            </w:tcBorders>
            <w:vAlign w:val="center"/>
          </w:tcPr>
          <w:p w14:paraId="6813CD6C" w14:textId="1F86EDF4" w:rsidR="00C017B2" w:rsidRPr="00AF2BF6" w:rsidRDefault="00C017B2" w:rsidP="00E16104">
            <w:pPr>
              <w:pStyle w:val="TableParagraph"/>
              <w:spacing w:line="254" w:lineRule="exact"/>
              <w:ind w:right="135"/>
              <w:rPr>
                <w:rFonts w:asciiTheme="minorHAnsi" w:hAnsiTheme="minorHAnsi" w:cstheme="minorHAnsi"/>
                <w:b/>
                <w:sz w:val="20"/>
                <w:szCs w:val="20"/>
                <w:lang w:val="en-AU"/>
              </w:rPr>
            </w:pPr>
            <w:r w:rsidRPr="004F2BD8">
              <w:rPr>
                <w:rFonts w:asciiTheme="minorHAnsi" w:hAnsiTheme="minorHAnsi" w:cstheme="minorHAnsi"/>
                <w:b/>
                <w:sz w:val="20"/>
                <w:szCs w:val="20"/>
                <w:lang w:val="en-AU"/>
              </w:rPr>
              <w:t xml:space="preserve">Objective </w:t>
            </w:r>
            <w:r>
              <w:rPr>
                <w:rFonts w:asciiTheme="minorHAnsi" w:hAnsiTheme="minorHAnsi" w:cstheme="minorHAnsi"/>
                <w:b/>
                <w:sz w:val="20"/>
                <w:szCs w:val="20"/>
                <w:lang w:val="en-AU"/>
              </w:rPr>
              <w:t>r</w:t>
            </w:r>
            <w:r w:rsidRPr="004F2BD8">
              <w:rPr>
                <w:rFonts w:asciiTheme="minorHAnsi" w:hAnsiTheme="minorHAnsi" w:cstheme="minorHAnsi"/>
                <w:b/>
                <w:sz w:val="20"/>
                <w:szCs w:val="20"/>
                <w:lang w:val="en-AU"/>
              </w:rPr>
              <w:t xml:space="preserve">esponse </w:t>
            </w:r>
            <w:r>
              <w:rPr>
                <w:rFonts w:asciiTheme="minorHAnsi" w:hAnsiTheme="minorHAnsi" w:cstheme="minorHAnsi"/>
                <w:b/>
                <w:sz w:val="20"/>
                <w:szCs w:val="20"/>
                <w:lang w:val="en-AU"/>
              </w:rPr>
              <w:t>r</w:t>
            </w:r>
            <w:r w:rsidRPr="004F2BD8">
              <w:rPr>
                <w:rFonts w:asciiTheme="minorHAnsi" w:hAnsiTheme="minorHAnsi" w:cstheme="minorHAnsi"/>
                <w:b/>
                <w:sz w:val="20"/>
                <w:szCs w:val="20"/>
                <w:lang w:val="en-AU"/>
              </w:rPr>
              <w:t>ate</w:t>
            </w:r>
            <w:r w:rsidRPr="008B210C">
              <w:rPr>
                <w:rFonts w:asciiTheme="minorHAnsi" w:hAnsiTheme="minorHAnsi" w:cstheme="minorHAnsi"/>
                <w:bCs/>
                <w:sz w:val="20"/>
                <w:szCs w:val="20"/>
                <w:lang w:val="en-AU"/>
              </w:rPr>
              <w:t xml:space="preserve">, n (%) </w:t>
            </w:r>
          </w:p>
        </w:tc>
        <w:tc>
          <w:tcPr>
            <w:tcW w:w="2772" w:type="dxa"/>
            <w:tcBorders>
              <w:bottom w:val="single" w:sz="12" w:space="0" w:color="000000"/>
            </w:tcBorders>
            <w:vAlign w:val="center"/>
          </w:tcPr>
          <w:p w14:paraId="5ABC9960" w14:textId="77777777" w:rsidR="00C017B2" w:rsidRPr="008B210C" w:rsidRDefault="00C017B2" w:rsidP="00927BD3">
            <w:pPr>
              <w:pStyle w:val="TableParagraph"/>
              <w:spacing w:before="4"/>
              <w:ind w:left="0"/>
              <w:jc w:val="center"/>
              <w:rPr>
                <w:rFonts w:asciiTheme="minorHAnsi" w:hAnsiTheme="minorHAnsi" w:cstheme="minorHAnsi"/>
                <w:bCs/>
                <w:sz w:val="20"/>
                <w:szCs w:val="20"/>
                <w:lang w:val="en-AU"/>
              </w:rPr>
            </w:pPr>
            <w:r w:rsidRPr="008B210C">
              <w:rPr>
                <w:rFonts w:asciiTheme="minorHAnsi" w:hAnsiTheme="minorHAnsi" w:cstheme="minorHAnsi"/>
                <w:bCs/>
                <w:sz w:val="20"/>
                <w:szCs w:val="20"/>
                <w:lang w:val="en-AU"/>
              </w:rPr>
              <w:t>3 (2.4)</w:t>
            </w:r>
          </w:p>
        </w:tc>
        <w:tc>
          <w:tcPr>
            <w:tcW w:w="2551" w:type="dxa"/>
            <w:tcBorders>
              <w:bottom w:val="single" w:sz="12" w:space="0" w:color="000000"/>
            </w:tcBorders>
            <w:vAlign w:val="center"/>
          </w:tcPr>
          <w:p w14:paraId="1054DC5B" w14:textId="77777777" w:rsidR="00C017B2" w:rsidRPr="008B210C" w:rsidRDefault="00C017B2" w:rsidP="00927BD3">
            <w:pPr>
              <w:pStyle w:val="TableParagraph"/>
              <w:spacing w:before="8"/>
              <w:ind w:left="0"/>
              <w:jc w:val="center"/>
              <w:rPr>
                <w:rFonts w:asciiTheme="minorHAnsi" w:hAnsiTheme="minorHAnsi" w:cstheme="minorHAnsi"/>
                <w:bCs/>
                <w:sz w:val="20"/>
                <w:szCs w:val="20"/>
                <w:lang w:val="en-AU"/>
              </w:rPr>
            </w:pPr>
            <w:r w:rsidRPr="008B210C">
              <w:rPr>
                <w:rFonts w:asciiTheme="minorHAnsi" w:hAnsiTheme="minorHAnsi" w:cstheme="minorHAnsi"/>
                <w:bCs/>
                <w:sz w:val="20"/>
                <w:szCs w:val="20"/>
                <w:lang w:val="en-AU"/>
              </w:rPr>
              <w:t>0</w:t>
            </w:r>
          </w:p>
        </w:tc>
      </w:tr>
      <w:tr w:rsidR="00C017B2" w:rsidRPr="00AF2BF6" w14:paraId="75AF64A8" w14:textId="77777777" w:rsidTr="002E1B51">
        <w:trPr>
          <w:trHeight w:val="253"/>
        </w:trPr>
        <w:tc>
          <w:tcPr>
            <w:tcW w:w="4306" w:type="dxa"/>
            <w:tcBorders>
              <w:top w:val="single" w:sz="12" w:space="0" w:color="000000"/>
            </w:tcBorders>
          </w:tcPr>
          <w:p w14:paraId="4618C594" w14:textId="176EB373" w:rsidR="00C017B2" w:rsidRPr="00AF2BF6" w:rsidRDefault="00C017B2" w:rsidP="00A50C17">
            <w:pPr>
              <w:pStyle w:val="TableParagraph"/>
              <w:spacing w:line="234" w:lineRule="exact"/>
              <w:rPr>
                <w:rFonts w:asciiTheme="minorHAnsi" w:hAnsiTheme="minorHAnsi" w:cstheme="minorHAnsi"/>
                <w:b/>
                <w:sz w:val="20"/>
                <w:szCs w:val="20"/>
                <w:lang w:val="en-AU"/>
              </w:rPr>
            </w:pPr>
            <w:r w:rsidRPr="00AF2BF6">
              <w:rPr>
                <w:rFonts w:asciiTheme="minorHAnsi" w:hAnsiTheme="minorHAnsi" w:cstheme="minorHAnsi"/>
                <w:b/>
                <w:sz w:val="20"/>
                <w:szCs w:val="20"/>
                <w:lang w:val="en-AU"/>
              </w:rPr>
              <w:t xml:space="preserve">Overall </w:t>
            </w:r>
            <w:r w:rsidR="00927BD3">
              <w:rPr>
                <w:rFonts w:asciiTheme="minorHAnsi" w:hAnsiTheme="minorHAnsi" w:cstheme="minorHAnsi"/>
                <w:b/>
                <w:sz w:val="20"/>
                <w:szCs w:val="20"/>
                <w:lang w:val="en-AU"/>
              </w:rPr>
              <w:t>s</w:t>
            </w:r>
            <w:r w:rsidRPr="00AF2BF6">
              <w:rPr>
                <w:rFonts w:asciiTheme="minorHAnsi" w:hAnsiTheme="minorHAnsi" w:cstheme="minorHAnsi"/>
                <w:b/>
                <w:sz w:val="20"/>
                <w:szCs w:val="20"/>
                <w:lang w:val="en-AU"/>
              </w:rPr>
              <w:t>urvival</w:t>
            </w:r>
            <w:r w:rsidR="00CD514E">
              <w:rPr>
                <w:rFonts w:asciiTheme="minorHAnsi" w:hAnsiTheme="minorHAnsi" w:cstheme="minorHAnsi"/>
                <w:b/>
                <w:sz w:val="20"/>
                <w:szCs w:val="20"/>
                <w:vertAlign w:val="superscript"/>
                <w:lang w:val="en-AU"/>
              </w:rPr>
              <w:t>3</w:t>
            </w:r>
          </w:p>
        </w:tc>
        <w:tc>
          <w:tcPr>
            <w:tcW w:w="2772" w:type="dxa"/>
            <w:tcBorders>
              <w:top w:val="single" w:sz="12" w:space="0" w:color="000000"/>
            </w:tcBorders>
          </w:tcPr>
          <w:p w14:paraId="3F609AC7" w14:textId="77777777" w:rsidR="00C017B2" w:rsidRPr="00AF2BF6" w:rsidRDefault="00C017B2" w:rsidP="00C017B2">
            <w:pPr>
              <w:pStyle w:val="TableParagraph"/>
              <w:spacing w:line="234" w:lineRule="exact"/>
              <w:ind w:left="167" w:right="161"/>
              <w:jc w:val="center"/>
              <w:rPr>
                <w:rFonts w:asciiTheme="minorHAnsi" w:hAnsiTheme="minorHAnsi" w:cstheme="minorHAnsi"/>
                <w:b/>
                <w:sz w:val="20"/>
                <w:szCs w:val="20"/>
                <w:lang w:val="en-AU"/>
              </w:rPr>
            </w:pPr>
            <w:r w:rsidRPr="00AF2BF6">
              <w:rPr>
                <w:rFonts w:asciiTheme="minorHAnsi" w:hAnsiTheme="minorHAnsi" w:cstheme="minorHAnsi"/>
                <w:b/>
                <w:sz w:val="20"/>
                <w:szCs w:val="20"/>
                <w:lang w:val="en-AU"/>
              </w:rPr>
              <w:t>N=126</w:t>
            </w:r>
          </w:p>
        </w:tc>
        <w:tc>
          <w:tcPr>
            <w:tcW w:w="2551" w:type="dxa"/>
            <w:tcBorders>
              <w:top w:val="single" w:sz="12" w:space="0" w:color="000000"/>
            </w:tcBorders>
          </w:tcPr>
          <w:p w14:paraId="781EA03A" w14:textId="77777777" w:rsidR="00C017B2" w:rsidRPr="00AF2BF6" w:rsidRDefault="00C017B2" w:rsidP="00C017B2">
            <w:pPr>
              <w:pStyle w:val="TableParagraph"/>
              <w:spacing w:line="234" w:lineRule="exact"/>
              <w:ind w:left="574" w:right="568"/>
              <w:jc w:val="center"/>
              <w:rPr>
                <w:rFonts w:asciiTheme="minorHAnsi" w:hAnsiTheme="minorHAnsi" w:cstheme="minorHAnsi"/>
                <w:b/>
                <w:sz w:val="20"/>
                <w:szCs w:val="20"/>
                <w:lang w:val="en-AU"/>
              </w:rPr>
            </w:pPr>
            <w:r w:rsidRPr="00AF2BF6">
              <w:rPr>
                <w:rFonts w:asciiTheme="minorHAnsi" w:hAnsiTheme="minorHAnsi" w:cstheme="minorHAnsi"/>
                <w:b/>
                <w:sz w:val="20"/>
                <w:szCs w:val="20"/>
                <w:lang w:val="en-AU"/>
              </w:rPr>
              <w:t>N=61</w:t>
            </w:r>
          </w:p>
        </w:tc>
      </w:tr>
      <w:tr w:rsidR="00C017B2" w:rsidRPr="00AF2BF6" w14:paraId="775BB442" w14:textId="77777777" w:rsidTr="002E1B51">
        <w:trPr>
          <w:trHeight w:val="251"/>
        </w:trPr>
        <w:tc>
          <w:tcPr>
            <w:tcW w:w="4306" w:type="dxa"/>
          </w:tcPr>
          <w:p w14:paraId="64B567AE" w14:textId="0CE70923" w:rsidR="00C017B2" w:rsidRPr="00AF2BF6" w:rsidRDefault="00C017B2" w:rsidP="00A50C17">
            <w:pPr>
              <w:pStyle w:val="TableParagraph"/>
              <w:spacing w:line="232" w:lineRule="exact"/>
              <w:ind w:left="827"/>
              <w:rPr>
                <w:rFonts w:asciiTheme="minorHAnsi" w:hAnsiTheme="minorHAnsi" w:cstheme="minorHAnsi"/>
                <w:b/>
                <w:sz w:val="20"/>
                <w:szCs w:val="20"/>
                <w:lang w:val="en-AU"/>
              </w:rPr>
            </w:pPr>
            <w:r w:rsidRPr="00AF2BF6">
              <w:rPr>
                <w:rFonts w:asciiTheme="minorHAnsi" w:hAnsiTheme="minorHAnsi" w:cstheme="minorHAnsi"/>
                <w:b/>
                <w:sz w:val="20"/>
                <w:szCs w:val="20"/>
                <w:lang w:val="en-AU"/>
              </w:rPr>
              <w:t>Deaths, n (%)</w:t>
            </w:r>
          </w:p>
        </w:tc>
        <w:tc>
          <w:tcPr>
            <w:tcW w:w="2772" w:type="dxa"/>
          </w:tcPr>
          <w:p w14:paraId="1E5778B9" w14:textId="77777777" w:rsidR="00C017B2" w:rsidRPr="00AF2BF6" w:rsidRDefault="00C017B2" w:rsidP="00C017B2">
            <w:pPr>
              <w:pStyle w:val="TableParagraph"/>
              <w:spacing w:line="232" w:lineRule="exact"/>
              <w:ind w:left="171" w:right="161"/>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100 (79)</w:t>
            </w:r>
          </w:p>
        </w:tc>
        <w:tc>
          <w:tcPr>
            <w:tcW w:w="2551" w:type="dxa"/>
          </w:tcPr>
          <w:p w14:paraId="1CBF0403" w14:textId="77777777" w:rsidR="00C017B2" w:rsidRPr="00AF2BF6" w:rsidRDefault="00C017B2" w:rsidP="00C017B2">
            <w:pPr>
              <w:pStyle w:val="TableParagraph"/>
              <w:spacing w:line="232" w:lineRule="exact"/>
              <w:ind w:left="205" w:right="195"/>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50 (82)</w:t>
            </w:r>
          </w:p>
        </w:tc>
      </w:tr>
      <w:tr w:rsidR="00C017B2" w:rsidRPr="00AF2BF6" w14:paraId="664CCCA7" w14:textId="77777777" w:rsidTr="002E1B51">
        <w:trPr>
          <w:trHeight w:val="254"/>
        </w:trPr>
        <w:tc>
          <w:tcPr>
            <w:tcW w:w="4306" w:type="dxa"/>
          </w:tcPr>
          <w:p w14:paraId="141F3932" w14:textId="77777777" w:rsidR="00C017B2" w:rsidRPr="00AF2BF6" w:rsidRDefault="00C017B2" w:rsidP="00A50C17">
            <w:pPr>
              <w:pStyle w:val="TableParagraph"/>
              <w:spacing w:line="234" w:lineRule="exact"/>
              <w:ind w:left="827"/>
              <w:rPr>
                <w:rFonts w:asciiTheme="minorHAnsi" w:hAnsiTheme="minorHAnsi" w:cstheme="minorHAnsi"/>
                <w:b/>
                <w:sz w:val="20"/>
                <w:szCs w:val="20"/>
                <w:lang w:val="en-AU"/>
              </w:rPr>
            </w:pPr>
            <w:r w:rsidRPr="00AF2BF6">
              <w:rPr>
                <w:rFonts w:asciiTheme="minorHAnsi" w:hAnsiTheme="minorHAnsi" w:cstheme="minorHAnsi"/>
                <w:b/>
                <w:sz w:val="20"/>
                <w:szCs w:val="20"/>
                <w:lang w:val="en-AU"/>
              </w:rPr>
              <w:t>Median OS (months, 95 % CI)</w:t>
            </w:r>
          </w:p>
        </w:tc>
        <w:tc>
          <w:tcPr>
            <w:tcW w:w="2772" w:type="dxa"/>
          </w:tcPr>
          <w:p w14:paraId="0CE1F854" w14:textId="77777777" w:rsidR="00C017B2" w:rsidRPr="00AF2BF6" w:rsidRDefault="00C017B2" w:rsidP="00C017B2">
            <w:pPr>
              <w:pStyle w:val="TableParagraph"/>
              <w:spacing w:line="234" w:lineRule="exact"/>
              <w:ind w:left="171" w:right="161"/>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10.3 (7.8, 12.4)</w:t>
            </w:r>
          </w:p>
        </w:tc>
        <w:tc>
          <w:tcPr>
            <w:tcW w:w="2551" w:type="dxa"/>
          </w:tcPr>
          <w:p w14:paraId="540054BA" w14:textId="77777777" w:rsidR="00C017B2" w:rsidRPr="00AF2BF6" w:rsidRDefault="00C017B2" w:rsidP="00C017B2">
            <w:pPr>
              <w:pStyle w:val="TableParagraph"/>
              <w:spacing w:line="234" w:lineRule="exact"/>
              <w:ind w:left="205" w:right="195"/>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7.5 (4.8, 11.1)</w:t>
            </w:r>
          </w:p>
        </w:tc>
      </w:tr>
      <w:tr w:rsidR="00C017B2" w:rsidRPr="00AF2BF6" w14:paraId="235F09DB" w14:textId="218FAD0E" w:rsidTr="002E1B51">
        <w:trPr>
          <w:trHeight w:val="758"/>
        </w:trPr>
        <w:tc>
          <w:tcPr>
            <w:tcW w:w="4306" w:type="dxa"/>
            <w:vAlign w:val="center"/>
          </w:tcPr>
          <w:p w14:paraId="57D4E309" w14:textId="312FBF6D" w:rsidR="00C017B2" w:rsidRDefault="00C017B2" w:rsidP="009C1DA9">
            <w:pPr>
              <w:pStyle w:val="TableParagraph"/>
              <w:spacing w:line="252" w:lineRule="exact"/>
              <w:ind w:left="854" w:right="977"/>
              <w:rPr>
                <w:rFonts w:asciiTheme="minorHAnsi" w:hAnsiTheme="minorHAnsi" w:cstheme="minorHAnsi"/>
                <w:b/>
                <w:sz w:val="20"/>
                <w:szCs w:val="20"/>
                <w:lang w:val="en-AU"/>
              </w:rPr>
            </w:pPr>
            <w:r w:rsidRPr="00AF2BF6">
              <w:rPr>
                <w:rFonts w:asciiTheme="minorHAnsi" w:hAnsiTheme="minorHAnsi" w:cstheme="minorHAnsi"/>
                <w:b/>
                <w:sz w:val="20"/>
                <w:szCs w:val="20"/>
                <w:lang w:val="en-AU"/>
              </w:rPr>
              <w:t>Hazard ratio (95 % CI)</w:t>
            </w:r>
            <w:r w:rsidRPr="002E1B51">
              <w:rPr>
                <w:rFonts w:asciiTheme="minorHAnsi" w:hAnsiTheme="minorHAnsi" w:cstheme="minorHAnsi"/>
                <w:b/>
                <w:sz w:val="20"/>
                <w:szCs w:val="20"/>
                <w:vertAlign w:val="superscript"/>
                <w:lang w:val="en-AU"/>
              </w:rPr>
              <w:t xml:space="preserve"> </w:t>
            </w:r>
            <w:r w:rsidRPr="002E1B51">
              <w:rPr>
                <w:rFonts w:asciiTheme="minorHAnsi" w:hAnsiTheme="minorHAnsi" w:cstheme="minorHAnsi"/>
                <w:b/>
                <w:sz w:val="20"/>
                <w:szCs w:val="20"/>
                <w:vertAlign w:val="superscript"/>
                <w:lang w:val="en-AU"/>
              </w:rPr>
              <w:fldChar w:fldCharType="begin"/>
            </w:r>
            <w:r w:rsidRPr="002E1B51">
              <w:rPr>
                <w:rFonts w:asciiTheme="minorHAnsi" w:hAnsiTheme="minorHAnsi" w:cstheme="minorHAnsi"/>
                <w:b/>
                <w:sz w:val="20"/>
                <w:szCs w:val="20"/>
                <w:vertAlign w:val="superscript"/>
                <w:lang w:val="en-AU"/>
              </w:rPr>
              <w:instrText xml:space="preserve"> REF _Ref124529594 \n \h </w:instrText>
            </w:r>
            <w:r w:rsidR="00927BD3" w:rsidRPr="002E1B51">
              <w:rPr>
                <w:rFonts w:asciiTheme="minorHAnsi" w:hAnsiTheme="minorHAnsi" w:cstheme="minorHAnsi"/>
                <w:b/>
                <w:sz w:val="20"/>
                <w:szCs w:val="20"/>
                <w:vertAlign w:val="superscript"/>
                <w:lang w:val="en-AU"/>
              </w:rPr>
              <w:instrText xml:space="preserve"> \* MERGEFORMAT </w:instrText>
            </w:r>
            <w:r w:rsidRPr="002E1B51">
              <w:rPr>
                <w:rFonts w:asciiTheme="minorHAnsi" w:hAnsiTheme="minorHAnsi" w:cstheme="minorHAnsi"/>
                <w:b/>
                <w:sz w:val="20"/>
                <w:szCs w:val="20"/>
                <w:vertAlign w:val="superscript"/>
                <w:lang w:val="en-AU"/>
              </w:rPr>
            </w:r>
            <w:r w:rsidRPr="002E1B51">
              <w:rPr>
                <w:rFonts w:asciiTheme="minorHAnsi" w:hAnsiTheme="minorHAnsi" w:cstheme="minorHAnsi"/>
                <w:b/>
                <w:sz w:val="20"/>
                <w:szCs w:val="20"/>
                <w:vertAlign w:val="superscript"/>
                <w:lang w:val="en-AU"/>
              </w:rPr>
              <w:fldChar w:fldCharType="separate"/>
            </w:r>
            <w:r w:rsidR="00C17B0F">
              <w:rPr>
                <w:rFonts w:asciiTheme="minorHAnsi" w:hAnsiTheme="minorHAnsi" w:cstheme="minorHAnsi"/>
                <w:b/>
                <w:sz w:val="20"/>
                <w:szCs w:val="20"/>
                <w:vertAlign w:val="superscript"/>
                <w:lang w:val="en-AU"/>
              </w:rPr>
              <w:t>1</w:t>
            </w:r>
            <w:r w:rsidRPr="002E1B51">
              <w:rPr>
                <w:rFonts w:asciiTheme="minorHAnsi" w:hAnsiTheme="minorHAnsi" w:cstheme="minorHAnsi"/>
                <w:b/>
                <w:sz w:val="20"/>
                <w:szCs w:val="20"/>
                <w:vertAlign w:val="superscript"/>
                <w:lang w:val="en-AU"/>
              </w:rPr>
              <w:fldChar w:fldCharType="end"/>
            </w:r>
          </w:p>
          <w:p w14:paraId="559C98C0" w14:textId="62865E19" w:rsidR="00C017B2" w:rsidRPr="00AF2BF6" w:rsidRDefault="00C017B2" w:rsidP="009C1DA9">
            <w:pPr>
              <w:pStyle w:val="TableParagraph"/>
              <w:spacing w:line="252" w:lineRule="exact"/>
              <w:ind w:left="854" w:right="977"/>
              <w:rPr>
                <w:rFonts w:asciiTheme="minorHAnsi" w:hAnsiTheme="minorHAnsi" w:cstheme="minorHAnsi"/>
                <w:b/>
                <w:sz w:val="20"/>
                <w:szCs w:val="20"/>
                <w:lang w:val="en-AU"/>
              </w:rPr>
            </w:pPr>
            <w:r w:rsidRPr="00AF2BF6">
              <w:rPr>
                <w:rFonts w:asciiTheme="minorHAnsi" w:hAnsiTheme="minorHAnsi" w:cstheme="minorHAnsi"/>
                <w:b/>
                <w:sz w:val="20"/>
                <w:szCs w:val="20"/>
                <w:lang w:val="en-AU"/>
              </w:rPr>
              <w:t>P-value</w:t>
            </w:r>
            <w:r w:rsidRPr="00AF2BF6">
              <w:rPr>
                <w:rFonts w:asciiTheme="minorHAnsi" w:hAnsiTheme="minorHAnsi" w:cstheme="minorHAnsi"/>
                <w:b/>
                <w:sz w:val="20"/>
                <w:szCs w:val="20"/>
                <w:vertAlign w:val="superscript"/>
                <w:lang w:val="en-AU"/>
              </w:rPr>
              <w:t>2</w:t>
            </w:r>
          </w:p>
        </w:tc>
        <w:tc>
          <w:tcPr>
            <w:tcW w:w="5323" w:type="dxa"/>
            <w:gridSpan w:val="2"/>
            <w:tcBorders>
              <w:right w:val="single" w:sz="4" w:space="0" w:color="auto"/>
            </w:tcBorders>
          </w:tcPr>
          <w:p w14:paraId="5B4B3120" w14:textId="77777777" w:rsidR="00C017B2" w:rsidRPr="00AF2BF6" w:rsidRDefault="00C017B2" w:rsidP="00C017B2">
            <w:pPr>
              <w:pStyle w:val="TableParagraph"/>
              <w:spacing w:line="242" w:lineRule="auto"/>
              <w:ind w:left="1130" w:right="1118"/>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ITT: Ivosidenib vs. placebo</w:t>
            </w:r>
          </w:p>
          <w:p w14:paraId="739CF2B6" w14:textId="5C198D36" w:rsidR="00C017B2" w:rsidRPr="00AF2BF6" w:rsidRDefault="00C017B2" w:rsidP="00C017B2">
            <w:pPr>
              <w:pStyle w:val="TableParagraph"/>
              <w:spacing w:line="242" w:lineRule="auto"/>
              <w:ind w:left="1130" w:right="1118"/>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0.79 (0.56, 1.12)</w:t>
            </w:r>
          </w:p>
          <w:p w14:paraId="67181EB6" w14:textId="77777777" w:rsidR="00C017B2" w:rsidRPr="00AF2BF6" w:rsidRDefault="00C017B2" w:rsidP="00C017B2">
            <w:pPr>
              <w:pStyle w:val="TableParagraph"/>
              <w:spacing w:line="237" w:lineRule="exact"/>
              <w:ind w:left="1127" w:right="1119"/>
              <w:jc w:val="center"/>
              <w:rPr>
                <w:rFonts w:asciiTheme="minorHAnsi" w:hAnsiTheme="minorHAnsi" w:cstheme="minorHAnsi"/>
                <w:sz w:val="20"/>
                <w:szCs w:val="20"/>
                <w:lang w:val="en-AU"/>
              </w:rPr>
            </w:pPr>
            <w:r w:rsidRPr="00AF2BF6">
              <w:rPr>
                <w:rFonts w:asciiTheme="minorHAnsi" w:hAnsiTheme="minorHAnsi" w:cstheme="minorHAnsi"/>
                <w:sz w:val="20"/>
                <w:szCs w:val="20"/>
                <w:lang w:val="en-AU"/>
              </w:rPr>
              <w:t>0.093</w:t>
            </w:r>
          </w:p>
        </w:tc>
      </w:tr>
      <w:tr w:rsidR="00C017B2" w:rsidRPr="00AF2BF6" w14:paraId="0B8E70D3" w14:textId="6CF6D075" w:rsidTr="002E1B51">
        <w:trPr>
          <w:trHeight w:val="757"/>
        </w:trPr>
        <w:tc>
          <w:tcPr>
            <w:tcW w:w="9629" w:type="dxa"/>
            <w:gridSpan w:val="3"/>
            <w:tcBorders>
              <w:left w:val="nil"/>
              <w:bottom w:val="nil"/>
              <w:right w:val="nil"/>
            </w:tcBorders>
          </w:tcPr>
          <w:p w14:paraId="2806D2A5" w14:textId="7686D2F6" w:rsidR="00C017B2" w:rsidRPr="00AF2BF6" w:rsidRDefault="00C017B2" w:rsidP="00EE2FAB">
            <w:pPr>
              <w:pStyle w:val="Default"/>
              <w:rPr>
                <w:rFonts w:asciiTheme="minorHAnsi" w:hAnsiTheme="minorHAnsi" w:cstheme="minorHAnsi"/>
                <w:sz w:val="20"/>
                <w:szCs w:val="20"/>
              </w:rPr>
            </w:pPr>
            <w:r w:rsidRPr="00AF2BF6">
              <w:rPr>
                <w:rFonts w:asciiTheme="minorHAnsi" w:hAnsiTheme="minorHAnsi" w:cstheme="minorHAnsi"/>
                <w:sz w:val="20"/>
                <w:szCs w:val="20"/>
              </w:rPr>
              <w:t>IRC: Independent Radiology Center; CI: Confidence Interval; NE = not estimable</w:t>
            </w:r>
            <w:r>
              <w:rPr>
                <w:rFonts w:asciiTheme="minorHAnsi" w:hAnsiTheme="minorHAnsi" w:cstheme="minorHAnsi"/>
                <w:sz w:val="20"/>
                <w:szCs w:val="20"/>
              </w:rPr>
              <w:t>.</w:t>
            </w:r>
            <w:r w:rsidRPr="00AF2BF6">
              <w:rPr>
                <w:rFonts w:asciiTheme="minorHAnsi" w:hAnsiTheme="minorHAnsi" w:cstheme="minorHAnsi"/>
                <w:sz w:val="20"/>
                <w:szCs w:val="20"/>
              </w:rPr>
              <w:t xml:space="preserve"> </w:t>
            </w:r>
          </w:p>
          <w:p w14:paraId="28CBD52A" w14:textId="4CE40020" w:rsidR="00C017B2" w:rsidRPr="000A2429" w:rsidRDefault="00C017B2" w:rsidP="002E1B51">
            <w:pPr>
              <w:pStyle w:val="ListParagraph"/>
              <w:numPr>
                <w:ilvl w:val="0"/>
                <w:numId w:val="16"/>
              </w:numPr>
              <w:ind w:left="265" w:right="375" w:hanging="265"/>
              <w:rPr>
                <w:rFonts w:asciiTheme="minorHAnsi" w:hAnsiTheme="minorHAnsi" w:cstheme="minorHAnsi"/>
                <w:sz w:val="20"/>
                <w:szCs w:val="20"/>
                <w:lang w:val="en-AU"/>
              </w:rPr>
            </w:pPr>
            <w:bookmarkStart w:id="19" w:name="_Ref124529594"/>
            <w:r w:rsidRPr="002E1B51">
              <w:rPr>
                <w:rFonts w:asciiTheme="minorHAnsi" w:hAnsiTheme="minorHAnsi" w:cstheme="minorHAnsi"/>
                <w:sz w:val="20"/>
                <w:szCs w:val="20"/>
                <w:lang w:val="en-AU"/>
              </w:rPr>
              <w:t>Hazard</w:t>
            </w:r>
            <w:r w:rsidRPr="002E1B51">
              <w:rPr>
                <w:rFonts w:asciiTheme="minorHAnsi" w:hAnsiTheme="minorHAnsi" w:cstheme="minorHAnsi"/>
                <w:spacing w:val="-2"/>
                <w:sz w:val="20"/>
                <w:szCs w:val="20"/>
                <w:lang w:val="en-AU"/>
              </w:rPr>
              <w:t xml:space="preserve"> </w:t>
            </w:r>
            <w:r w:rsidRPr="002E1B51">
              <w:rPr>
                <w:rFonts w:asciiTheme="minorHAnsi" w:hAnsiTheme="minorHAnsi" w:cstheme="minorHAnsi"/>
                <w:sz w:val="20"/>
                <w:szCs w:val="20"/>
                <w:lang w:val="en-AU"/>
              </w:rPr>
              <w:t>ratio</w:t>
            </w:r>
            <w:r w:rsidRPr="002E1B51">
              <w:rPr>
                <w:rFonts w:asciiTheme="minorHAnsi" w:hAnsiTheme="minorHAnsi" w:cstheme="minorHAnsi"/>
                <w:spacing w:val="-3"/>
                <w:sz w:val="20"/>
                <w:szCs w:val="20"/>
                <w:lang w:val="en-AU"/>
              </w:rPr>
              <w:t xml:space="preserve"> </w:t>
            </w:r>
            <w:r w:rsidRPr="002E1B51">
              <w:rPr>
                <w:rFonts w:asciiTheme="minorHAnsi" w:hAnsiTheme="minorHAnsi" w:cstheme="minorHAnsi"/>
                <w:sz w:val="20"/>
                <w:szCs w:val="20"/>
                <w:lang w:val="en-AU"/>
              </w:rPr>
              <w:t>is</w:t>
            </w:r>
            <w:r w:rsidRPr="002E1B51">
              <w:rPr>
                <w:rFonts w:asciiTheme="minorHAnsi" w:hAnsiTheme="minorHAnsi" w:cstheme="minorHAnsi"/>
                <w:spacing w:val="-4"/>
                <w:sz w:val="20"/>
                <w:szCs w:val="20"/>
                <w:lang w:val="en-AU"/>
              </w:rPr>
              <w:t xml:space="preserve"> </w:t>
            </w:r>
            <w:r w:rsidRPr="002E1B51">
              <w:rPr>
                <w:rFonts w:asciiTheme="minorHAnsi" w:hAnsiTheme="minorHAnsi" w:cstheme="minorHAnsi"/>
                <w:sz w:val="20"/>
                <w:szCs w:val="20"/>
                <w:lang w:val="en-AU"/>
              </w:rPr>
              <w:t>calculated</w:t>
            </w:r>
            <w:r w:rsidRPr="002E1B51">
              <w:rPr>
                <w:rFonts w:asciiTheme="minorHAnsi" w:hAnsiTheme="minorHAnsi" w:cstheme="minorHAnsi"/>
                <w:spacing w:val="-5"/>
                <w:sz w:val="20"/>
                <w:szCs w:val="20"/>
                <w:lang w:val="en-AU"/>
              </w:rPr>
              <w:t xml:space="preserve"> </w:t>
            </w:r>
            <w:r w:rsidRPr="002E1B51">
              <w:rPr>
                <w:rFonts w:asciiTheme="minorHAnsi" w:hAnsiTheme="minorHAnsi" w:cstheme="minorHAnsi"/>
                <w:sz w:val="20"/>
                <w:szCs w:val="20"/>
                <w:lang w:val="en-AU"/>
              </w:rPr>
              <w:t>from</w:t>
            </w:r>
            <w:r w:rsidRPr="002E1B51">
              <w:rPr>
                <w:rFonts w:asciiTheme="minorHAnsi" w:hAnsiTheme="minorHAnsi" w:cstheme="minorHAnsi"/>
                <w:spacing w:val="-2"/>
                <w:sz w:val="20"/>
                <w:szCs w:val="20"/>
                <w:lang w:val="en-AU"/>
              </w:rPr>
              <w:t xml:space="preserve"> </w:t>
            </w:r>
            <w:r w:rsidRPr="002E1B51">
              <w:rPr>
                <w:rFonts w:asciiTheme="minorHAnsi" w:hAnsiTheme="minorHAnsi" w:cstheme="minorHAnsi"/>
                <w:sz w:val="20"/>
                <w:szCs w:val="20"/>
                <w:lang w:val="en-AU"/>
              </w:rPr>
              <w:t>stratified</w:t>
            </w:r>
            <w:r w:rsidRPr="002E1B51">
              <w:rPr>
                <w:rFonts w:asciiTheme="minorHAnsi" w:hAnsiTheme="minorHAnsi" w:cstheme="minorHAnsi"/>
                <w:spacing w:val="-3"/>
                <w:sz w:val="20"/>
                <w:szCs w:val="20"/>
                <w:lang w:val="en-AU"/>
              </w:rPr>
              <w:t xml:space="preserve"> </w:t>
            </w:r>
            <w:r w:rsidRPr="002E1B51">
              <w:rPr>
                <w:rFonts w:asciiTheme="minorHAnsi" w:hAnsiTheme="minorHAnsi" w:cstheme="minorHAnsi"/>
                <w:sz w:val="20"/>
                <w:szCs w:val="20"/>
                <w:lang w:val="en-AU"/>
              </w:rPr>
              <w:t>Cox</w:t>
            </w:r>
            <w:r w:rsidRPr="002E1B51">
              <w:rPr>
                <w:rFonts w:asciiTheme="minorHAnsi" w:hAnsiTheme="minorHAnsi" w:cstheme="minorHAnsi"/>
                <w:spacing w:val="-2"/>
                <w:sz w:val="20"/>
                <w:szCs w:val="20"/>
                <w:lang w:val="en-AU"/>
              </w:rPr>
              <w:t xml:space="preserve"> </w:t>
            </w:r>
            <w:r w:rsidRPr="002E1B51">
              <w:rPr>
                <w:rFonts w:asciiTheme="minorHAnsi" w:hAnsiTheme="minorHAnsi" w:cstheme="minorHAnsi"/>
                <w:sz w:val="20"/>
                <w:szCs w:val="20"/>
                <w:lang w:val="en-AU"/>
              </w:rPr>
              <w:t>regression</w:t>
            </w:r>
            <w:r w:rsidRPr="002E1B51">
              <w:rPr>
                <w:rFonts w:asciiTheme="minorHAnsi" w:hAnsiTheme="minorHAnsi" w:cstheme="minorHAnsi"/>
                <w:spacing w:val="-3"/>
                <w:sz w:val="20"/>
                <w:szCs w:val="20"/>
                <w:lang w:val="en-AU"/>
              </w:rPr>
              <w:t xml:space="preserve"> </w:t>
            </w:r>
            <w:r w:rsidRPr="002E1B51">
              <w:rPr>
                <w:rFonts w:asciiTheme="minorHAnsi" w:hAnsiTheme="minorHAnsi" w:cstheme="minorHAnsi"/>
                <w:sz w:val="20"/>
                <w:szCs w:val="20"/>
                <w:lang w:val="en-AU"/>
              </w:rPr>
              <w:t>model.</w:t>
            </w:r>
            <w:r w:rsidRPr="002E1B51">
              <w:rPr>
                <w:rFonts w:asciiTheme="minorHAnsi" w:hAnsiTheme="minorHAnsi" w:cstheme="minorHAnsi"/>
                <w:spacing w:val="-2"/>
                <w:sz w:val="20"/>
                <w:szCs w:val="20"/>
                <w:lang w:val="en-AU"/>
              </w:rPr>
              <w:t xml:space="preserve"> </w:t>
            </w:r>
            <w:r w:rsidRPr="002E1B51">
              <w:rPr>
                <w:rFonts w:asciiTheme="minorHAnsi" w:hAnsiTheme="minorHAnsi" w:cstheme="minorHAnsi"/>
                <w:sz w:val="20"/>
                <w:szCs w:val="20"/>
                <w:lang w:val="en-AU"/>
              </w:rPr>
              <w:t>Stratifi</w:t>
            </w:r>
            <w:r w:rsidR="00927BD3">
              <w:rPr>
                <w:rFonts w:asciiTheme="minorHAnsi" w:hAnsiTheme="minorHAnsi" w:cstheme="minorHAnsi"/>
                <w:spacing w:val="-3"/>
                <w:sz w:val="20"/>
                <w:szCs w:val="20"/>
                <w:lang w:val="en-AU"/>
              </w:rPr>
              <w:t xml:space="preserve">ed by </w:t>
            </w:r>
            <w:r w:rsidRPr="000A2429">
              <w:rPr>
                <w:rFonts w:asciiTheme="minorHAnsi" w:hAnsiTheme="minorHAnsi" w:cstheme="minorHAnsi"/>
                <w:sz w:val="20"/>
                <w:szCs w:val="20"/>
                <w:lang w:val="en-AU"/>
              </w:rPr>
              <w:t>number</w:t>
            </w:r>
            <w:r w:rsidRPr="000A2429">
              <w:rPr>
                <w:rFonts w:asciiTheme="minorHAnsi" w:hAnsiTheme="minorHAnsi" w:cstheme="minorHAnsi"/>
                <w:spacing w:val="-3"/>
                <w:sz w:val="20"/>
                <w:szCs w:val="20"/>
                <w:lang w:val="en-AU"/>
              </w:rPr>
              <w:t xml:space="preserve"> </w:t>
            </w:r>
            <w:r w:rsidRPr="000A2429">
              <w:rPr>
                <w:rFonts w:asciiTheme="minorHAnsi" w:hAnsiTheme="minorHAnsi" w:cstheme="minorHAnsi"/>
                <w:sz w:val="20"/>
                <w:szCs w:val="20"/>
                <w:lang w:val="en-AU"/>
              </w:rPr>
              <w:t>of</w:t>
            </w:r>
            <w:r w:rsidRPr="000A2429">
              <w:rPr>
                <w:rFonts w:asciiTheme="minorHAnsi" w:hAnsiTheme="minorHAnsi" w:cstheme="minorHAnsi"/>
                <w:spacing w:val="-5"/>
                <w:sz w:val="20"/>
                <w:szCs w:val="20"/>
                <w:lang w:val="en-AU"/>
              </w:rPr>
              <w:t xml:space="preserve"> </w:t>
            </w:r>
            <w:r w:rsidRPr="000A2429">
              <w:rPr>
                <w:rFonts w:asciiTheme="minorHAnsi" w:hAnsiTheme="minorHAnsi" w:cstheme="minorHAnsi"/>
                <w:sz w:val="20"/>
                <w:szCs w:val="20"/>
                <w:lang w:val="en-AU"/>
              </w:rPr>
              <w:t>prior line</w:t>
            </w:r>
            <w:r w:rsidR="00927BD3">
              <w:rPr>
                <w:rFonts w:asciiTheme="minorHAnsi" w:hAnsiTheme="minorHAnsi" w:cstheme="minorHAnsi"/>
                <w:sz w:val="20"/>
                <w:szCs w:val="20"/>
                <w:lang w:val="en-AU"/>
              </w:rPr>
              <w:t>s</w:t>
            </w:r>
            <w:r w:rsidRPr="002E1B51">
              <w:rPr>
                <w:rFonts w:asciiTheme="minorHAnsi" w:hAnsiTheme="minorHAnsi" w:cstheme="minorHAnsi"/>
                <w:sz w:val="20"/>
                <w:szCs w:val="20"/>
                <w:lang w:val="en-AU"/>
              </w:rPr>
              <w:t xml:space="preserve"> of therap</w:t>
            </w:r>
            <w:r w:rsidR="00927BD3">
              <w:rPr>
                <w:rFonts w:asciiTheme="minorHAnsi" w:hAnsiTheme="minorHAnsi" w:cstheme="minorHAnsi"/>
                <w:sz w:val="20"/>
                <w:szCs w:val="20"/>
                <w:lang w:val="en-AU"/>
              </w:rPr>
              <w:t>y</w:t>
            </w:r>
            <w:r w:rsidRPr="000A2429">
              <w:rPr>
                <w:rFonts w:asciiTheme="minorHAnsi" w:hAnsiTheme="minorHAnsi" w:cstheme="minorHAnsi"/>
                <w:sz w:val="20"/>
                <w:szCs w:val="20"/>
                <w:lang w:val="en-AU"/>
              </w:rPr>
              <w:t>.</w:t>
            </w:r>
            <w:bookmarkEnd w:id="19"/>
          </w:p>
          <w:p w14:paraId="48F1DD9B" w14:textId="423FFAE7" w:rsidR="00D37AEC" w:rsidRPr="002E1B51" w:rsidRDefault="00C017B2" w:rsidP="00D37AEC">
            <w:pPr>
              <w:pStyle w:val="ListParagraph"/>
              <w:numPr>
                <w:ilvl w:val="0"/>
                <w:numId w:val="16"/>
              </w:numPr>
              <w:ind w:left="265" w:right="375" w:hanging="265"/>
              <w:rPr>
                <w:rFonts w:asciiTheme="minorHAnsi" w:hAnsiTheme="minorHAnsi" w:cstheme="minorHAnsi"/>
                <w:sz w:val="20"/>
                <w:szCs w:val="20"/>
                <w:lang w:val="en-AU"/>
              </w:rPr>
            </w:pPr>
            <w:bookmarkStart w:id="20" w:name="_Ref124529600"/>
            <w:r w:rsidRPr="000A2429">
              <w:rPr>
                <w:rFonts w:asciiTheme="minorHAnsi" w:hAnsiTheme="minorHAnsi" w:cstheme="minorHAnsi"/>
                <w:sz w:val="20"/>
                <w:szCs w:val="20"/>
                <w:lang w:val="en-AU"/>
              </w:rPr>
              <w:t>P-value</w:t>
            </w:r>
            <w:r w:rsidRPr="000A2429">
              <w:rPr>
                <w:rFonts w:asciiTheme="minorHAnsi" w:hAnsiTheme="minorHAnsi" w:cstheme="minorHAnsi"/>
                <w:spacing w:val="-3"/>
                <w:sz w:val="20"/>
                <w:szCs w:val="20"/>
                <w:lang w:val="en-AU"/>
              </w:rPr>
              <w:t xml:space="preserve"> </w:t>
            </w:r>
            <w:r w:rsidRPr="000A2429">
              <w:rPr>
                <w:rFonts w:asciiTheme="minorHAnsi" w:hAnsiTheme="minorHAnsi" w:cstheme="minorHAnsi"/>
                <w:sz w:val="20"/>
                <w:szCs w:val="20"/>
                <w:lang w:val="en-AU"/>
              </w:rPr>
              <w:t>is</w:t>
            </w:r>
            <w:r w:rsidRPr="000A2429">
              <w:rPr>
                <w:rFonts w:asciiTheme="minorHAnsi" w:hAnsiTheme="minorHAnsi" w:cstheme="minorHAnsi"/>
                <w:spacing w:val="-4"/>
                <w:sz w:val="20"/>
                <w:szCs w:val="20"/>
                <w:lang w:val="en-AU"/>
              </w:rPr>
              <w:t xml:space="preserve"> </w:t>
            </w:r>
            <w:r w:rsidRPr="000A2429">
              <w:rPr>
                <w:rFonts w:asciiTheme="minorHAnsi" w:hAnsiTheme="minorHAnsi" w:cstheme="minorHAnsi"/>
                <w:sz w:val="20"/>
                <w:szCs w:val="20"/>
                <w:lang w:val="en-AU"/>
              </w:rPr>
              <w:t>calculated</w:t>
            </w:r>
            <w:r w:rsidRPr="000A2429">
              <w:rPr>
                <w:rFonts w:asciiTheme="minorHAnsi" w:hAnsiTheme="minorHAnsi" w:cstheme="minorHAnsi"/>
                <w:spacing w:val="-2"/>
                <w:sz w:val="20"/>
                <w:szCs w:val="20"/>
                <w:lang w:val="en-AU"/>
              </w:rPr>
              <w:t xml:space="preserve"> </w:t>
            </w:r>
            <w:r w:rsidRPr="000A2429">
              <w:rPr>
                <w:rFonts w:asciiTheme="minorHAnsi" w:hAnsiTheme="minorHAnsi" w:cstheme="minorHAnsi"/>
                <w:sz w:val="20"/>
                <w:szCs w:val="20"/>
                <w:lang w:val="en-AU"/>
              </w:rPr>
              <w:t>from</w:t>
            </w:r>
            <w:r w:rsidRPr="000A2429">
              <w:rPr>
                <w:rFonts w:asciiTheme="minorHAnsi" w:hAnsiTheme="minorHAnsi" w:cstheme="minorHAnsi"/>
                <w:spacing w:val="-2"/>
                <w:sz w:val="20"/>
                <w:szCs w:val="20"/>
                <w:lang w:val="en-AU"/>
              </w:rPr>
              <w:t xml:space="preserve"> </w:t>
            </w:r>
            <w:r w:rsidRPr="000A2429">
              <w:rPr>
                <w:rFonts w:asciiTheme="minorHAnsi" w:hAnsiTheme="minorHAnsi" w:cstheme="minorHAnsi"/>
                <w:sz w:val="20"/>
                <w:szCs w:val="20"/>
                <w:lang w:val="en-AU"/>
              </w:rPr>
              <w:t>the</w:t>
            </w:r>
            <w:r w:rsidRPr="000A2429">
              <w:rPr>
                <w:rFonts w:asciiTheme="minorHAnsi" w:hAnsiTheme="minorHAnsi" w:cstheme="minorHAnsi"/>
                <w:spacing w:val="-3"/>
                <w:sz w:val="20"/>
                <w:szCs w:val="20"/>
                <w:lang w:val="en-AU"/>
              </w:rPr>
              <w:t xml:space="preserve"> </w:t>
            </w:r>
            <w:r w:rsidRPr="000A2429">
              <w:rPr>
                <w:rFonts w:asciiTheme="minorHAnsi" w:hAnsiTheme="minorHAnsi" w:cstheme="minorHAnsi"/>
                <w:sz w:val="20"/>
                <w:szCs w:val="20"/>
                <w:lang w:val="en-AU"/>
              </w:rPr>
              <w:t>one-sided</w:t>
            </w:r>
            <w:r w:rsidRPr="000A2429">
              <w:rPr>
                <w:rFonts w:asciiTheme="minorHAnsi" w:hAnsiTheme="minorHAnsi" w:cstheme="minorHAnsi"/>
                <w:spacing w:val="-3"/>
                <w:sz w:val="20"/>
                <w:szCs w:val="20"/>
                <w:lang w:val="en-AU"/>
              </w:rPr>
              <w:t xml:space="preserve"> </w:t>
            </w:r>
            <w:r w:rsidRPr="000A2429">
              <w:rPr>
                <w:rFonts w:asciiTheme="minorHAnsi" w:hAnsiTheme="minorHAnsi" w:cstheme="minorHAnsi"/>
                <w:sz w:val="20"/>
                <w:szCs w:val="20"/>
                <w:lang w:val="en-AU"/>
              </w:rPr>
              <w:t>stratified</w:t>
            </w:r>
            <w:r w:rsidRPr="000A2429">
              <w:rPr>
                <w:rFonts w:asciiTheme="minorHAnsi" w:hAnsiTheme="minorHAnsi" w:cstheme="minorHAnsi"/>
                <w:spacing w:val="-2"/>
                <w:sz w:val="20"/>
                <w:szCs w:val="20"/>
                <w:lang w:val="en-AU"/>
              </w:rPr>
              <w:t xml:space="preserve"> </w:t>
            </w:r>
            <w:r w:rsidRPr="000A2429">
              <w:rPr>
                <w:rFonts w:asciiTheme="minorHAnsi" w:hAnsiTheme="minorHAnsi" w:cstheme="minorHAnsi"/>
                <w:sz w:val="20"/>
                <w:szCs w:val="20"/>
                <w:lang w:val="en-AU"/>
              </w:rPr>
              <w:t>log-rank</w:t>
            </w:r>
            <w:r w:rsidRPr="000A2429">
              <w:rPr>
                <w:rFonts w:asciiTheme="minorHAnsi" w:hAnsiTheme="minorHAnsi" w:cstheme="minorHAnsi"/>
                <w:spacing w:val="-4"/>
                <w:sz w:val="20"/>
                <w:szCs w:val="20"/>
                <w:lang w:val="en-AU"/>
              </w:rPr>
              <w:t xml:space="preserve"> </w:t>
            </w:r>
            <w:r w:rsidRPr="000A2429">
              <w:rPr>
                <w:rFonts w:asciiTheme="minorHAnsi" w:hAnsiTheme="minorHAnsi" w:cstheme="minorHAnsi"/>
                <w:sz w:val="20"/>
                <w:szCs w:val="20"/>
                <w:lang w:val="en-AU"/>
              </w:rPr>
              <w:t>test without adjusting for crossover.</w:t>
            </w:r>
            <w:r w:rsidRPr="000A2429">
              <w:rPr>
                <w:rFonts w:asciiTheme="minorHAnsi" w:hAnsiTheme="minorHAnsi" w:cstheme="minorHAnsi"/>
                <w:spacing w:val="-2"/>
                <w:sz w:val="20"/>
                <w:szCs w:val="20"/>
                <w:lang w:val="en-AU"/>
              </w:rPr>
              <w:t xml:space="preserve"> </w:t>
            </w:r>
            <w:r w:rsidRPr="00DB5F1D">
              <w:rPr>
                <w:rFonts w:asciiTheme="minorHAnsi" w:hAnsiTheme="minorHAnsi" w:cstheme="minorHAnsi"/>
                <w:sz w:val="20"/>
                <w:szCs w:val="20"/>
                <w:lang w:val="en-AU"/>
              </w:rPr>
              <w:t>Stratifi</w:t>
            </w:r>
            <w:r w:rsidR="00927BD3" w:rsidRPr="00DB5F1D">
              <w:rPr>
                <w:rFonts w:asciiTheme="minorHAnsi" w:hAnsiTheme="minorHAnsi" w:cstheme="minorHAnsi"/>
                <w:sz w:val="20"/>
                <w:szCs w:val="20"/>
                <w:lang w:val="en-AU"/>
              </w:rPr>
              <w:t>ed</w:t>
            </w:r>
            <w:r w:rsidR="00927BD3" w:rsidRPr="00DB5F1D">
              <w:rPr>
                <w:rFonts w:asciiTheme="minorHAnsi" w:hAnsiTheme="minorHAnsi" w:cstheme="minorHAnsi"/>
                <w:spacing w:val="-3"/>
                <w:sz w:val="20"/>
                <w:szCs w:val="20"/>
                <w:lang w:val="en-AU"/>
              </w:rPr>
              <w:t xml:space="preserve"> by </w:t>
            </w:r>
            <w:r w:rsidRPr="00DB5F1D">
              <w:rPr>
                <w:rFonts w:asciiTheme="minorHAnsi" w:hAnsiTheme="minorHAnsi" w:cstheme="minorHAnsi"/>
                <w:sz w:val="20"/>
                <w:szCs w:val="20"/>
                <w:lang w:val="en-AU"/>
              </w:rPr>
              <w:t>number</w:t>
            </w:r>
            <w:r w:rsidRPr="00DB5F1D">
              <w:rPr>
                <w:rFonts w:asciiTheme="minorHAnsi" w:hAnsiTheme="minorHAnsi" w:cstheme="minorHAnsi"/>
                <w:spacing w:val="-2"/>
                <w:sz w:val="20"/>
                <w:szCs w:val="20"/>
                <w:lang w:val="en-AU"/>
              </w:rPr>
              <w:t xml:space="preserve"> </w:t>
            </w:r>
            <w:r w:rsidRPr="00DB5F1D">
              <w:rPr>
                <w:rFonts w:asciiTheme="minorHAnsi" w:hAnsiTheme="minorHAnsi" w:cstheme="minorHAnsi"/>
                <w:sz w:val="20"/>
                <w:szCs w:val="20"/>
                <w:lang w:val="en-AU"/>
              </w:rPr>
              <w:t>of</w:t>
            </w:r>
            <w:r w:rsidRPr="00DB5F1D">
              <w:rPr>
                <w:rFonts w:asciiTheme="minorHAnsi" w:hAnsiTheme="minorHAnsi" w:cstheme="minorHAnsi"/>
                <w:spacing w:val="-5"/>
                <w:sz w:val="20"/>
                <w:szCs w:val="20"/>
                <w:lang w:val="en-AU"/>
              </w:rPr>
              <w:t xml:space="preserve"> </w:t>
            </w:r>
            <w:r w:rsidRPr="00DB5F1D">
              <w:rPr>
                <w:rFonts w:asciiTheme="minorHAnsi" w:hAnsiTheme="minorHAnsi" w:cstheme="minorHAnsi"/>
                <w:sz w:val="20"/>
                <w:szCs w:val="20"/>
                <w:lang w:val="en-AU"/>
              </w:rPr>
              <w:t>prior line</w:t>
            </w:r>
            <w:r w:rsidR="00927BD3" w:rsidRPr="00DB5F1D">
              <w:rPr>
                <w:rFonts w:asciiTheme="minorHAnsi" w:hAnsiTheme="minorHAnsi" w:cstheme="minorHAnsi"/>
                <w:sz w:val="20"/>
                <w:szCs w:val="20"/>
                <w:lang w:val="en-AU"/>
              </w:rPr>
              <w:t>s</w:t>
            </w:r>
            <w:r w:rsidRPr="00DB5F1D">
              <w:rPr>
                <w:rFonts w:asciiTheme="minorHAnsi" w:hAnsiTheme="minorHAnsi" w:cstheme="minorHAnsi"/>
                <w:sz w:val="20"/>
                <w:szCs w:val="20"/>
                <w:lang w:val="en-AU"/>
              </w:rPr>
              <w:t xml:space="preserve"> of therap</w:t>
            </w:r>
            <w:r w:rsidR="00927BD3" w:rsidRPr="00DB5F1D">
              <w:rPr>
                <w:rFonts w:asciiTheme="minorHAnsi" w:hAnsiTheme="minorHAnsi" w:cstheme="minorHAnsi"/>
                <w:sz w:val="20"/>
                <w:szCs w:val="20"/>
                <w:lang w:val="en-AU"/>
              </w:rPr>
              <w:t>y</w:t>
            </w:r>
            <w:r w:rsidRPr="00DB5F1D">
              <w:rPr>
                <w:rFonts w:asciiTheme="minorHAnsi" w:hAnsiTheme="minorHAnsi" w:cstheme="minorHAnsi"/>
                <w:sz w:val="20"/>
                <w:szCs w:val="20"/>
                <w:lang w:val="en-AU"/>
              </w:rPr>
              <w:t>.</w:t>
            </w:r>
            <w:bookmarkEnd w:id="20"/>
            <w:r w:rsidRPr="00DB5F1D">
              <w:rPr>
                <w:rFonts w:asciiTheme="minorHAnsi" w:hAnsiTheme="minorHAnsi" w:cstheme="minorHAnsi"/>
                <w:sz w:val="20"/>
                <w:szCs w:val="20"/>
                <w:lang w:val="en-AU"/>
              </w:rPr>
              <w:t xml:space="preserve"> </w:t>
            </w:r>
          </w:p>
          <w:p w14:paraId="01393AB9" w14:textId="2A9808E7" w:rsidR="00C017B2" w:rsidRPr="00AF2BF6" w:rsidRDefault="00C017B2" w:rsidP="009916B4">
            <w:pPr>
              <w:pStyle w:val="ListParagraph"/>
              <w:numPr>
                <w:ilvl w:val="0"/>
                <w:numId w:val="16"/>
              </w:numPr>
              <w:ind w:left="265" w:right="242" w:hanging="265"/>
              <w:rPr>
                <w:rFonts w:asciiTheme="minorHAnsi" w:hAnsiTheme="minorHAnsi" w:cstheme="minorHAnsi"/>
                <w:b/>
                <w:sz w:val="20"/>
                <w:szCs w:val="20"/>
                <w:lang w:val="en-AU"/>
              </w:rPr>
            </w:pPr>
            <w:bookmarkStart w:id="21" w:name="_Ref124529627"/>
            <w:r w:rsidRPr="000A2429">
              <w:rPr>
                <w:rFonts w:asciiTheme="minorHAnsi" w:hAnsiTheme="minorHAnsi" w:cstheme="minorHAnsi"/>
                <w:sz w:val="20"/>
                <w:szCs w:val="20"/>
                <w:lang w:val="en-AU"/>
              </w:rPr>
              <w:t xml:space="preserve">OS results </w:t>
            </w:r>
            <w:r w:rsidR="00D37AEC">
              <w:rPr>
                <w:rFonts w:asciiTheme="minorHAnsi" w:hAnsiTheme="minorHAnsi" w:cstheme="minorHAnsi"/>
                <w:sz w:val="20"/>
                <w:szCs w:val="20"/>
                <w:lang w:val="en-AU"/>
              </w:rPr>
              <w:t>reflect</w:t>
            </w:r>
            <w:r w:rsidRPr="002E1B51">
              <w:rPr>
                <w:rFonts w:asciiTheme="minorHAnsi" w:hAnsiTheme="minorHAnsi" w:cstheme="minorHAnsi"/>
                <w:sz w:val="20"/>
                <w:szCs w:val="20"/>
                <w:lang w:val="en-AU"/>
              </w:rPr>
              <w:t xml:space="preserve"> the final analysis of OS (based on 150 deaths) which occurred 16 months after the final analysis of PFS</w:t>
            </w:r>
            <w:r w:rsidR="00D37AEC">
              <w:rPr>
                <w:rFonts w:asciiTheme="minorHAnsi" w:hAnsiTheme="minorHAnsi" w:cstheme="minorHAnsi"/>
                <w:sz w:val="20"/>
                <w:szCs w:val="20"/>
                <w:lang w:val="en-AU"/>
              </w:rPr>
              <w:t>, and was conducted</w:t>
            </w:r>
            <w:bookmarkStart w:id="22" w:name="_Ref124529623"/>
            <w:bookmarkEnd w:id="21"/>
            <w:r w:rsidRPr="000A2429">
              <w:rPr>
                <w:rFonts w:asciiTheme="minorHAnsi" w:hAnsiTheme="minorHAnsi" w:cstheme="minorHAnsi"/>
                <w:sz w:val="20"/>
                <w:szCs w:val="20"/>
                <w:lang w:val="en-AU"/>
              </w:rPr>
              <w:t xml:space="preserve"> based on the Intent-to-Treat (ITT) principle without adjusting for crossover.</w:t>
            </w:r>
            <w:bookmarkEnd w:id="22"/>
            <w:r w:rsidRPr="000A2429">
              <w:rPr>
                <w:rFonts w:asciiTheme="minorHAnsi" w:hAnsiTheme="minorHAnsi" w:cstheme="minorHAnsi"/>
                <w:sz w:val="20"/>
                <w:szCs w:val="20"/>
                <w:lang w:val="en-AU"/>
              </w:rPr>
              <w:t xml:space="preserve"> </w:t>
            </w:r>
            <w:r w:rsidR="00D37AEC">
              <w:rPr>
                <w:rFonts w:asciiTheme="minorHAnsi" w:hAnsiTheme="minorHAnsi" w:cstheme="minorHAnsi"/>
                <w:sz w:val="20"/>
                <w:szCs w:val="20"/>
                <w:lang w:val="en-AU"/>
              </w:rPr>
              <w:t>Of the patients randomised to placebo (and counted in the placebo arm in this OS analysis), 70% had crossed over to receive TIBSOVO after radiographic disease progression.</w:t>
            </w:r>
          </w:p>
        </w:tc>
      </w:tr>
    </w:tbl>
    <w:p w14:paraId="6FE274A2" w14:textId="77777777" w:rsidR="007B028F" w:rsidRPr="009916B4" w:rsidRDefault="007B028F">
      <w:pPr>
        <w:rPr>
          <w:rFonts w:asciiTheme="minorHAnsi" w:eastAsiaTheme="minorHAnsi" w:hAnsiTheme="minorHAnsi" w:cs="Arial"/>
          <w:bCs/>
          <w:color w:val="000000" w:themeColor="text1"/>
          <w:lang w:val="en-AU"/>
        </w:rPr>
      </w:pPr>
    </w:p>
    <w:p w14:paraId="0C8FC222" w14:textId="77777777" w:rsidR="00347B63" w:rsidRDefault="00347B63" w:rsidP="005A0458">
      <w:pPr>
        <w:widowControl/>
        <w:autoSpaceDE/>
        <w:autoSpaceDN/>
        <w:spacing w:after="200" w:line="276" w:lineRule="auto"/>
        <w:rPr>
          <w:rFonts w:asciiTheme="minorHAnsi" w:eastAsiaTheme="minorHAnsi" w:hAnsiTheme="minorHAnsi" w:cs="Arial"/>
          <w:b/>
          <w:color w:val="000000" w:themeColor="text1"/>
          <w:lang w:val="en-AU"/>
        </w:rPr>
      </w:pPr>
      <w:bookmarkStart w:id="23" w:name="_Ref104284175"/>
    </w:p>
    <w:p w14:paraId="6BD8B1A1" w14:textId="77777777" w:rsidR="00347B63" w:rsidRDefault="00347B63" w:rsidP="005A0458">
      <w:pPr>
        <w:widowControl/>
        <w:autoSpaceDE/>
        <w:autoSpaceDN/>
        <w:spacing w:after="200" w:line="276" w:lineRule="auto"/>
        <w:rPr>
          <w:rFonts w:asciiTheme="minorHAnsi" w:eastAsiaTheme="minorHAnsi" w:hAnsiTheme="minorHAnsi" w:cs="Arial"/>
          <w:b/>
          <w:color w:val="000000" w:themeColor="text1"/>
          <w:lang w:val="en-AU"/>
        </w:rPr>
      </w:pPr>
    </w:p>
    <w:p w14:paraId="58D80ACF" w14:textId="77777777" w:rsidR="00347B63" w:rsidRDefault="00347B63" w:rsidP="005A0458">
      <w:pPr>
        <w:widowControl/>
        <w:autoSpaceDE/>
        <w:autoSpaceDN/>
        <w:spacing w:after="200" w:line="276" w:lineRule="auto"/>
        <w:rPr>
          <w:rFonts w:asciiTheme="minorHAnsi" w:eastAsiaTheme="minorHAnsi" w:hAnsiTheme="minorHAnsi" w:cs="Arial"/>
          <w:b/>
          <w:color w:val="000000" w:themeColor="text1"/>
          <w:lang w:val="en-AU"/>
        </w:rPr>
      </w:pPr>
    </w:p>
    <w:p w14:paraId="15A9E31C" w14:textId="7099D6F3" w:rsidR="00F50D3D" w:rsidRPr="00AF2BF6" w:rsidRDefault="005A0458" w:rsidP="005A0458">
      <w:pPr>
        <w:widowControl/>
        <w:autoSpaceDE/>
        <w:autoSpaceDN/>
        <w:spacing w:after="200" w:line="276" w:lineRule="auto"/>
        <w:rPr>
          <w:rFonts w:asciiTheme="minorHAnsi" w:eastAsiaTheme="minorHAnsi" w:hAnsiTheme="minorHAnsi" w:cs="Arial"/>
          <w:b/>
          <w:color w:val="000000" w:themeColor="text1"/>
          <w:lang w:val="en-AU"/>
        </w:rPr>
      </w:pPr>
      <w:r w:rsidRPr="00AF2BF6">
        <w:rPr>
          <w:rFonts w:asciiTheme="minorHAnsi" w:eastAsiaTheme="minorHAnsi" w:hAnsiTheme="minorHAnsi" w:cs="Arial"/>
          <w:b/>
          <w:color w:val="000000" w:themeColor="text1"/>
          <w:lang w:val="en-AU"/>
        </w:rPr>
        <w:lastRenderedPageBreak/>
        <w:t xml:space="preserve">Figure </w:t>
      </w:r>
      <w:r w:rsidRPr="00AF2BF6">
        <w:rPr>
          <w:rFonts w:asciiTheme="minorHAnsi" w:eastAsiaTheme="minorHAnsi" w:hAnsiTheme="minorHAnsi" w:cs="Arial"/>
          <w:b/>
          <w:color w:val="000000" w:themeColor="text1"/>
          <w:lang w:val="en-AU"/>
        </w:rPr>
        <w:fldChar w:fldCharType="begin"/>
      </w:r>
      <w:r w:rsidRPr="00AF2BF6">
        <w:rPr>
          <w:rFonts w:asciiTheme="minorHAnsi" w:eastAsiaTheme="minorHAnsi" w:hAnsiTheme="minorHAnsi" w:cs="Arial"/>
          <w:b/>
          <w:color w:val="000000" w:themeColor="text1"/>
          <w:lang w:val="en-AU"/>
        </w:rPr>
        <w:instrText xml:space="preserve"> SEQ Figure \* ARABIC </w:instrText>
      </w:r>
      <w:r w:rsidRPr="00AF2BF6">
        <w:rPr>
          <w:rFonts w:asciiTheme="minorHAnsi" w:eastAsiaTheme="minorHAnsi" w:hAnsiTheme="minorHAnsi" w:cs="Arial"/>
          <w:b/>
          <w:color w:val="000000" w:themeColor="text1"/>
          <w:lang w:val="en-AU"/>
        </w:rPr>
        <w:fldChar w:fldCharType="separate"/>
      </w:r>
      <w:r w:rsidR="00C17B0F">
        <w:rPr>
          <w:rFonts w:asciiTheme="minorHAnsi" w:eastAsiaTheme="minorHAnsi" w:hAnsiTheme="minorHAnsi" w:cs="Arial"/>
          <w:b/>
          <w:noProof/>
          <w:color w:val="000000" w:themeColor="text1"/>
          <w:lang w:val="en-AU"/>
        </w:rPr>
        <w:t>1</w:t>
      </w:r>
      <w:r w:rsidRPr="00AF2BF6">
        <w:rPr>
          <w:rFonts w:asciiTheme="minorHAnsi" w:eastAsiaTheme="minorHAnsi" w:hAnsiTheme="minorHAnsi" w:cs="Arial"/>
          <w:b/>
          <w:color w:val="000000" w:themeColor="text1"/>
          <w:lang w:val="en-AU"/>
        </w:rPr>
        <w:fldChar w:fldCharType="end"/>
      </w:r>
      <w:bookmarkEnd w:id="23"/>
      <w:r w:rsidRPr="00AF2BF6">
        <w:rPr>
          <w:rFonts w:asciiTheme="minorHAnsi" w:eastAsiaTheme="minorHAnsi" w:hAnsiTheme="minorHAnsi" w:cs="Arial"/>
          <w:b/>
          <w:color w:val="000000" w:themeColor="text1"/>
          <w:lang w:val="en-AU"/>
        </w:rPr>
        <w:t xml:space="preserve"> - </w:t>
      </w:r>
      <w:r w:rsidR="00C56D2F" w:rsidRPr="00AF2BF6">
        <w:rPr>
          <w:rFonts w:asciiTheme="minorHAnsi" w:eastAsiaTheme="minorHAnsi" w:hAnsiTheme="minorHAnsi" w:cs="Arial"/>
          <w:b/>
          <w:color w:val="000000" w:themeColor="text1"/>
          <w:lang w:val="en-AU"/>
        </w:rPr>
        <w:t>Kaplan Meier Plot of Progression-Free Survival per IRC</w:t>
      </w:r>
    </w:p>
    <w:p w14:paraId="15A9E31D" w14:textId="56DC2B51" w:rsidR="00F50D3D" w:rsidRPr="00AF2BF6" w:rsidRDefault="003973F0">
      <w:pPr>
        <w:pStyle w:val="BodyText"/>
        <w:spacing w:before="11"/>
        <w:rPr>
          <w:b/>
          <w:sz w:val="11"/>
          <w:lang w:val="en-AU"/>
        </w:rPr>
      </w:pPr>
      <w:r w:rsidRPr="00AF2BF6">
        <w:rPr>
          <w:b/>
          <w:noProof/>
          <w:sz w:val="11"/>
          <w:lang w:val="en-AU"/>
        </w:rPr>
        <w:drawing>
          <wp:inline distT="0" distB="0" distL="0" distR="0" wp14:anchorId="7BD8FD9C" wp14:editId="757A4493">
            <wp:extent cx="5868538" cy="31190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5629" cy="3128133"/>
                    </a:xfrm>
                    <a:prstGeom prst="rect">
                      <a:avLst/>
                    </a:prstGeom>
                    <a:noFill/>
                    <a:ln>
                      <a:noFill/>
                    </a:ln>
                  </pic:spPr>
                </pic:pic>
              </a:graphicData>
            </a:graphic>
          </wp:inline>
        </w:drawing>
      </w:r>
    </w:p>
    <w:p w14:paraId="58058F16" w14:textId="6A66DC70" w:rsidR="00505403" w:rsidRPr="00AF2BF6" w:rsidRDefault="00505403" w:rsidP="009B0191">
      <w:pPr>
        <w:widowControl/>
        <w:autoSpaceDE/>
        <w:autoSpaceDN/>
        <w:spacing w:after="200" w:line="276" w:lineRule="auto"/>
        <w:rPr>
          <w:rFonts w:asciiTheme="minorHAnsi" w:eastAsiaTheme="minorHAnsi" w:hAnsiTheme="minorHAnsi" w:cs="Arial"/>
          <w:color w:val="000000" w:themeColor="text1"/>
          <w:lang w:val="en-AU"/>
        </w:rPr>
      </w:pPr>
    </w:p>
    <w:p w14:paraId="15A9E384" w14:textId="71B9BA06" w:rsidR="00F50D3D" w:rsidRPr="00AF2BF6" w:rsidRDefault="00C56D2F" w:rsidP="00621FF9">
      <w:pPr>
        <w:pStyle w:val="Heading2"/>
        <w:numPr>
          <w:ilvl w:val="1"/>
          <w:numId w:val="6"/>
        </w:numPr>
      </w:pPr>
      <w:r w:rsidRPr="00AF2BF6">
        <w:t>Pharmacokinetic properties</w:t>
      </w:r>
    </w:p>
    <w:p w14:paraId="359548A9" w14:textId="6A7BEECE" w:rsidR="00753235" w:rsidRPr="00407DB1" w:rsidRDefault="00753235" w:rsidP="00753235">
      <w:pPr>
        <w:widowControl/>
        <w:autoSpaceDE/>
        <w:autoSpaceDN/>
        <w:spacing w:after="200" w:line="276" w:lineRule="auto"/>
        <w:rPr>
          <w:rFonts w:asciiTheme="minorHAnsi" w:eastAsiaTheme="minorHAnsi" w:hAnsiTheme="minorHAnsi" w:cs="Arial"/>
          <w:color w:val="000000" w:themeColor="text1"/>
          <w:lang w:val="en-AU"/>
        </w:rPr>
      </w:pPr>
      <w:r w:rsidRPr="00407DB1">
        <w:rPr>
          <w:rFonts w:asciiTheme="minorHAnsi" w:eastAsiaTheme="minorHAnsi" w:hAnsiTheme="minorHAnsi" w:cs="Arial"/>
          <w:color w:val="000000" w:themeColor="text1"/>
          <w:lang w:val="en-AU"/>
        </w:rPr>
        <w:t>A</w:t>
      </w:r>
      <w:r w:rsidRPr="00193A5E">
        <w:rPr>
          <w:rFonts w:asciiTheme="minorHAnsi" w:eastAsiaTheme="minorHAnsi" w:hAnsiTheme="minorHAnsi" w:cs="Arial"/>
          <w:color w:val="000000" w:themeColor="text1"/>
          <w:lang w:val="en-AU"/>
        </w:rPr>
        <w:t xml:space="preserve"> summary of </w:t>
      </w:r>
      <w:r>
        <w:rPr>
          <w:rFonts w:asciiTheme="minorHAnsi" w:eastAsiaTheme="minorHAnsi" w:hAnsiTheme="minorHAnsi" w:cs="Arial"/>
          <w:color w:val="000000" w:themeColor="text1"/>
          <w:lang w:val="en-AU"/>
        </w:rPr>
        <w:t xml:space="preserve">ivosidenib pharmacokinetic </w:t>
      </w:r>
      <w:r w:rsidR="002D6153">
        <w:rPr>
          <w:rFonts w:asciiTheme="minorHAnsi" w:eastAsiaTheme="minorHAnsi" w:hAnsiTheme="minorHAnsi" w:cs="Arial"/>
          <w:color w:val="000000" w:themeColor="text1"/>
          <w:lang w:val="en-AU"/>
        </w:rPr>
        <w:t xml:space="preserve">(PK) </w:t>
      </w:r>
      <w:r>
        <w:rPr>
          <w:rFonts w:asciiTheme="minorHAnsi" w:eastAsiaTheme="minorHAnsi" w:hAnsiTheme="minorHAnsi" w:cs="Arial"/>
          <w:color w:val="000000" w:themeColor="text1"/>
          <w:lang w:val="en-AU"/>
        </w:rPr>
        <w:t>parameters following</w:t>
      </w:r>
      <w:r w:rsidRPr="00193A5E">
        <w:rPr>
          <w:rFonts w:asciiTheme="minorHAnsi" w:eastAsiaTheme="minorHAnsi" w:hAnsiTheme="minorHAnsi" w:cs="Arial"/>
          <w:color w:val="000000" w:themeColor="text1"/>
          <w:lang w:val="en-AU"/>
        </w:rPr>
        <w:t xml:space="preserve"> </w:t>
      </w:r>
      <w:r>
        <w:rPr>
          <w:rFonts w:asciiTheme="minorHAnsi" w:eastAsiaTheme="minorHAnsi" w:hAnsiTheme="minorHAnsi" w:cs="Arial"/>
          <w:color w:val="000000" w:themeColor="text1"/>
          <w:lang w:val="en-AU"/>
        </w:rPr>
        <w:t>administration of ivosidenib 500mg as a single or daily dose (for steady</w:t>
      </w:r>
      <w:r w:rsidR="002D6153">
        <w:rPr>
          <w:rFonts w:asciiTheme="minorHAnsi" w:eastAsiaTheme="minorHAnsi" w:hAnsiTheme="minorHAnsi" w:cs="Arial"/>
          <w:color w:val="000000" w:themeColor="text1"/>
          <w:lang w:val="en-AU"/>
        </w:rPr>
        <w:t xml:space="preserve"> </w:t>
      </w:r>
      <w:r>
        <w:rPr>
          <w:rFonts w:asciiTheme="minorHAnsi" w:eastAsiaTheme="minorHAnsi" w:hAnsiTheme="minorHAnsi" w:cs="Arial"/>
          <w:color w:val="000000" w:themeColor="text1"/>
          <w:lang w:val="en-AU"/>
        </w:rPr>
        <w:t>state)</w:t>
      </w:r>
      <w:r w:rsidRPr="00193A5E">
        <w:rPr>
          <w:rFonts w:asciiTheme="minorHAnsi" w:eastAsiaTheme="minorHAnsi" w:hAnsiTheme="minorHAnsi" w:cs="Arial"/>
          <w:color w:val="000000" w:themeColor="text1"/>
          <w:lang w:val="en-AU"/>
        </w:rPr>
        <w:t xml:space="preserve"> is provide</w:t>
      </w:r>
      <w:r w:rsidRPr="00382ED4">
        <w:rPr>
          <w:rFonts w:asciiTheme="minorHAnsi" w:eastAsiaTheme="minorHAnsi" w:hAnsiTheme="minorHAnsi" w:cs="Arial"/>
          <w:color w:val="000000" w:themeColor="text1"/>
          <w:lang w:val="en-AU"/>
        </w:rPr>
        <w:t xml:space="preserve">d </w:t>
      </w:r>
      <w:r w:rsidRPr="008530E6">
        <w:rPr>
          <w:rFonts w:asciiTheme="minorHAnsi" w:eastAsiaTheme="minorHAnsi" w:hAnsiTheme="minorHAnsi" w:cs="Arial"/>
          <w:color w:val="000000" w:themeColor="text1"/>
          <w:lang w:val="en-AU"/>
        </w:rPr>
        <w:t>in</w:t>
      </w:r>
      <w:r w:rsidR="00C17B0F">
        <w:rPr>
          <w:rFonts w:asciiTheme="minorHAnsi" w:eastAsiaTheme="minorHAnsi" w:hAnsiTheme="minorHAnsi" w:cs="Arial"/>
          <w:color w:val="000000" w:themeColor="text1"/>
          <w:lang w:val="en-AU"/>
        </w:rPr>
        <w:t xml:space="preserve"> </w:t>
      </w:r>
      <w:r w:rsidR="00C17B0F">
        <w:rPr>
          <w:rFonts w:asciiTheme="minorHAnsi" w:eastAsiaTheme="minorHAnsi" w:hAnsiTheme="minorHAnsi" w:cs="Arial"/>
          <w:bCs/>
          <w:color w:val="000000" w:themeColor="text1"/>
          <w:lang w:val="en-AU"/>
        </w:rPr>
        <w:t>Table 6</w:t>
      </w:r>
      <w:r w:rsidR="002D6153" w:rsidRPr="00331BE6">
        <w:rPr>
          <w:rFonts w:asciiTheme="minorHAnsi" w:eastAsiaTheme="minorHAnsi" w:hAnsiTheme="minorHAnsi" w:cs="Arial"/>
          <w:color w:val="000000" w:themeColor="text1"/>
          <w:lang w:val="en-AU"/>
        </w:rPr>
        <w:t xml:space="preserve"> The</w:t>
      </w:r>
      <w:r w:rsidR="002D6153" w:rsidRPr="00AF2BF6">
        <w:rPr>
          <w:rFonts w:asciiTheme="minorHAnsi" w:eastAsiaTheme="minorHAnsi" w:hAnsiTheme="minorHAnsi" w:cs="Arial"/>
          <w:color w:val="000000" w:themeColor="text1"/>
          <w:lang w:val="en-AU"/>
        </w:rPr>
        <w:t xml:space="preserve"> AUC and C</w:t>
      </w:r>
      <w:r w:rsidR="002D6153" w:rsidRPr="00AF2BF6">
        <w:rPr>
          <w:rFonts w:asciiTheme="minorHAnsi" w:eastAsiaTheme="minorHAnsi" w:hAnsiTheme="minorHAnsi" w:cs="Arial"/>
          <w:color w:val="000000" w:themeColor="text1"/>
          <w:vertAlign w:val="subscript"/>
          <w:lang w:val="en-AU"/>
        </w:rPr>
        <w:t>max</w:t>
      </w:r>
      <w:r w:rsidR="002D6153" w:rsidRPr="00AF2BF6">
        <w:rPr>
          <w:rFonts w:asciiTheme="minorHAnsi" w:eastAsiaTheme="minorHAnsi" w:hAnsiTheme="minorHAnsi" w:cs="Arial"/>
          <w:color w:val="000000" w:themeColor="text1"/>
          <w:lang w:val="en-AU"/>
        </w:rPr>
        <w:t xml:space="preserve"> of ivosidenib increase in a less than dose proportional manner from 200 mg to 1,200 mg once daily (0.4 to 2.4 times the recommended dose).</w:t>
      </w:r>
      <w:r w:rsidR="002D6153">
        <w:rPr>
          <w:rFonts w:asciiTheme="minorHAnsi" w:eastAsiaTheme="minorHAnsi" w:hAnsiTheme="minorHAnsi" w:cs="Arial"/>
          <w:color w:val="000000" w:themeColor="text1"/>
          <w:lang w:val="en-AU"/>
        </w:rPr>
        <w:t xml:space="preserve"> Steady-state PK is reached within 14 days with daily dosing.</w:t>
      </w:r>
    </w:p>
    <w:p w14:paraId="3B113949" w14:textId="6FE470A4" w:rsidR="00753235" w:rsidRPr="00AF2BF6" w:rsidRDefault="00331BE6" w:rsidP="00753235">
      <w:pPr>
        <w:widowControl/>
        <w:autoSpaceDE/>
        <w:autoSpaceDN/>
        <w:spacing w:after="200" w:line="276" w:lineRule="auto"/>
        <w:rPr>
          <w:rFonts w:asciiTheme="minorHAnsi" w:eastAsiaTheme="minorHAnsi" w:hAnsiTheme="minorHAnsi" w:cs="Arial"/>
          <w:b/>
          <w:color w:val="000000" w:themeColor="text1"/>
          <w:lang w:val="en-AU"/>
        </w:rPr>
      </w:pPr>
      <w:bookmarkStart w:id="24" w:name="_Ref124887626"/>
      <w:r w:rsidRPr="00331BE6">
        <w:rPr>
          <w:rFonts w:asciiTheme="minorHAnsi" w:eastAsiaTheme="minorHAnsi" w:hAnsiTheme="minorHAnsi" w:cs="Arial"/>
          <w:b/>
          <w:color w:val="000000" w:themeColor="text1"/>
          <w:lang w:val="en-AU"/>
        </w:rPr>
        <w:t xml:space="preserve">Table </w:t>
      </w:r>
      <w:r w:rsidRPr="00331BE6">
        <w:rPr>
          <w:rFonts w:asciiTheme="minorHAnsi" w:eastAsiaTheme="minorHAnsi" w:hAnsiTheme="minorHAnsi" w:cs="Arial"/>
          <w:b/>
          <w:color w:val="000000" w:themeColor="text1"/>
          <w:lang w:val="en-AU"/>
        </w:rPr>
        <w:fldChar w:fldCharType="begin"/>
      </w:r>
      <w:r w:rsidRPr="00331BE6">
        <w:rPr>
          <w:rFonts w:asciiTheme="minorHAnsi" w:eastAsiaTheme="minorHAnsi" w:hAnsiTheme="minorHAnsi" w:cs="Arial"/>
          <w:b/>
          <w:color w:val="000000" w:themeColor="text1"/>
          <w:lang w:val="en-AU"/>
        </w:rPr>
        <w:instrText xml:space="preserve"> SEQ Table \* ARABIC </w:instrText>
      </w:r>
      <w:r w:rsidRPr="00331BE6">
        <w:rPr>
          <w:rFonts w:asciiTheme="minorHAnsi" w:eastAsiaTheme="minorHAnsi" w:hAnsiTheme="minorHAnsi" w:cs="Arial"/>
          <w:b/>
          <w:color w:val="000000" w:themeColor="text1"/>
          <w:lang w:val="en-AU"/>
        </w:rPr>
        <w:fldChar w:fldCharType="separate"/>
      </w:r>
      <w:r w:rsidR="00C17B0F">
        <w:rPr>
          <w:rFonts w:asciiTheme="minorHAnsi" w:eastAsiaTheme="minorHAnsi" w:hAnsiTheme="minorHAnsi" w:cs="Arial"/>
          <w:b/>
          <w:noProof/>
          <w:color w:val="000000" w:themeColor="text1"/>
          <w:lang w:val="en-AU"/>
        </w:rPr>
        <w:t>6</w:t>
      </w:r>
      <w:r w:rsidRPr="00331BE6">
        <w:rPr>
          <w:rFonts w:asciiTheme="minorHAnsi" w:eastAsiaTheme="minorHAnsi" w:hAnsiTheme="minorHAnsi" w:cs="Arial"/>
          <w:b/>
          <w:color w:val="000000" w:themeColor="text1"/>
          <w:lang w:val="en-AU"/>
        </w:rPr>
        <w:fldChar w:fldCharType="end"/>
      </w:r>
      <w:bookmarkEnd w:id="24"/>
      <w:r>
        <w:rPr>
          <w:rFonts w:asciiTheme="minorHAnsi" w:eastAsiaTheme="minorHAnsi" w:hAnsiTheme="minorHAnsi" w:cs="Arial"/>
          <w:b/>
          <w:color w:val="000000" w:themeColor="text1"/>
          <w:lang w:val="en-AU"/>
        </w:rPr>
        <w:t xml:space="preserve"> - </w:t>
      </w:r>
      <w:r w:rsidR="00753235">
        <w:rPr>
          <w:rFonts w:asciiTheme="minorHAnsi" w:eastAsiaTheme="minorHAnsi" w:hAnsiTheme="minorHAnsi" w:cs="Arial"/>
          <w:b/>
          <w:color w:val="000000" w:themeColor="text1"/>
          <w:lang w:val="en-AU"/>
        </w:rPr>
        <w:t xml:space="preserve">Summary of plasma PK parameters </w:t>
      </w:r>
      <w:r w:rsidR="00753235" w:rsidRPr="00193A5E">
        <w:rPr>
          <w:rFonts w:asciiTheme="minorHAnsi" w:eastAsiaTheme="minorHAnsi" w:hAnsiTheme="minorHAnsi" w:cs="Arial"/>
          <w:b/>
          <w:color w:val="000000" w:themeColor="text1"/>
          <w:lang w:val="en-AU"/>
        </w:rPr>
        <w:t>of ivosidenib</w:t>
      </w:r>
      <w:r w:rsidR="002D6153" w:rsidRPr="008A5E2F">
        <w:rPr>
          <w:rFonts w:asciiTheme="minorHAnsi" w:hAnsiTheme="minorHAnsi" w:cstheme="minorHAnsi"/>
          <w:vertAlign w:val="superscript"/>
          <w:lang w:val="en-AU" w:eastAsia="en-AU"/>
        </w:rPr>
        <w:fldChar w:fldCharType="begin"/>
      </w:r>
      <w:r w:rsidR="002D6153" w:rsidRPr="008A5E2F">
        <w:rPr>
          <w:rFonts w:asciiTheme="minorHAnsi" w:hAnsiTheme="minorHAnsi" w:cstheme="minorHAnsi"/>
          <w:vertAlign w:val="superscript"/>
          <w:lang w:val="en-AU" w:eastAsia="en-AU"/>
        </w:rPr>
        <w:instrText xml:space="preserve"> REF _Ref124524852 \n \h </w:instrText>
      </w:r>
      <w:r w:rsidR="002D6153">
        <w:rPr>
          <w:rFonts w:asciiTheme="minorHAnsi" w:hAnsiTheme="minorHAnsi" w:cstheme="minorHAnsi"/>
          <w:vertAlign w:val="superscript"/>
          <w:lang w:val="en-AU" w:eastAsia="en-AU"/>
        </w:rPr>
        <w:instrText xml:space="preserve"> \* MERGEFORMAT </w:instrText>
      </w:r>
      <w:r w:rsidR="002D6153" w:rsidRPr="008A5E2F">
        <w:rPr>
          <w:rFonts w:asciiTheme="minorHAnsi" w:hAnsiTheme="minorHAnsi" w:cstheme="minorHAnsi"/>
          <w:vertAlign w:val="superscript"/>
          <w:lang w:val="en-AU" w:eastAsia="en-AU"/>
        </w:rPr>
      </w:r>
      <w:r w:rsidR="002D6153" w:rsidRPr="008A5E2F">
        <w:rPr>
          <w:rFonts w:asciiTheme="minorHAnsi" w:hAnsiTheme="minorHAnsi" w:cstheme="minorHAnsi"/>
          <w:vertAlign w:val="superscript"/>
          <w:lang w:val="en-AU" w:eastAsia="en-AU"/>
        </w:rPr>
        <w:fldChar w:fldCharType="separate"/>
      </w:r>
      <w:r w:rsidR="00C17B0F">
        <w:rPr>
          <w:rFonts w:asciiTheme="minorHAnsi" w:hAnsiTheme="minorHAnsi" w:cstheme="minorHAnsi"/>
          <w:vertAlign w:val="superscript"/>
          <w:lang w:val="en-AU" w:eastAsia="en-AU"/>
        </w:rPr>
        <w:t>a</w:t>
      </w:r>
      <w:r w:rsidR="002D6153" w:rsidRPr="008A5E2F">
        <w:rPr>
          <w:rFonts w:asciiTheme="minorHAnsi" w:hAnsiTheme="minorHAnsi" w:cstheme="minorHAnsi"/>
          <w:vertAlign w:val="superscript"/>
          <w:lang w:val="en-AU" w:eastAsia="en-AU"/>
        </w:rPr>
        <w:fldChar w:fldCharType="end"/>
      </w:r>
      <w:r w:rsidR="00753235" w:rsidRPr="00193A5E">
        <w:rPr>
          <w:rFonts w:asciiTheme="minorHAnsi" w:eastAsiaTheme="minorHAnsi" w:hAnsiTheme="minorHAnsi" w:cs="Arial"/>
          <w:b/>
          <w:color w:val="000000" w:themeColor="text1"/>
          <w:lang w:val="en-AU"/>
        </w:rPr>
        <w:t xml:space="preserve"> after administration </w:t>
      </w:r>
      <w:r w:rsidR="002D6153">
        <w:rPr>
          <w:rFonts w:asciiTheme="minorHAnsi" w:eastAsiaTheme="minorHAnsi" w:hAnsiTheme="minorHAnsi" w:cs="Arial"/>
          <w:b/>
          <w:color w:val="000000" w:themeColor="text1"/>
          <w:lang w:val="en-AU"/>
        </w:rPr>
        <w:t>in clinical studies</w:t>
      </w:r>
      <w:r w:rsidR="00753235">
        <w:rPr>
          <w:rFonts w:asciiTheme="minorHAnsi" w:eastAsiaTheme="minorHAnsi" w:hAnsiTheme="minorHAnsi" w:cs="Arial"/>
          <w:b/>
          <w:color w:val="000000" w:themeColor="text1"/>
          <w:lang w:val="en-AU"/>
        </w:rPr>
        <w:t xml:space="preserve"> </w:t>
      </w:r>
    </w:p>
    <w:tbl>
      <w:tblPr>
        <w:tblW w:w="7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41"/>
        <w:gridCol w:w="294"/>
        <w:gridCol w:w="1181"/>
        <w:gridCol w:w="3832"/>
      </w:tblGrid>
      <w:tr w:rsidR="004145AE" w:rsidRPr="00193A5E" w14:paraId="0FEC3C0D" w14:textId="77777777" w:rsidTr="00174B40">
        <w:trPr>
          <w:trHeight w:val="20"/>
          <w:tblHeader/>
          <w:jc w:val="center"/>
        </w:trPr>
        <w:tc>
          <w:tcPr>
            <w:tcW w:w="4116" w:type="dxa"/>
            <w:gridSpan w:val="3"/>
            <w:shd w:val="clear" w:color="000000" w:fill="D9D9D9"/>
            <w:hideMark/>
          </w:tcPr>
          <w:p w14:paraId="1ECF80B6" w14:textId="64B342D6" w:rsidR="004145AE" w:rsidRPr="00193A5E" w:rsidRDefault="004145AE" w:rsidP="006F5E0E">
            <w:pPr>
              <w:widowControl/>
              <w:autoSpaceDE/>
              <w:autoSpaceDN/>
              <w:spacing w:before="40" w:after="40"/>
              <w:rPr>
                <w:rFonts w:asciiTheme="minorHAnsi" w:hAnsiTheme="minorHAnsi" w:cstheme="minorHAnsi"/>
                <w:b/>
                <w:bCs/>
                <w:lang w:val="en-AU" w:eastAsia="en-AU"/>
              </w:rPr>
            </w:pPr>
            <w:r w:rsidRPr="00193A5E">
              <w:rPr>
                <w:rFonts w:asciiTheme="minorHAnsi" w:hAnsiTheme="minorHAnsi" w:cstheme="minorHAnsi"/>
                <w:b/>
                <w:bCs/>
                <w:lang w:val="en-AU" w:eastAsia="en-AU"/>
              </w:rPr>
              <w:t xml:space="preserve">PK </w:t>
            </w:r>
            <w:r>
              <w:rPr>
                <w:rFonts w:asciiTheme="minorHAnsi" w:hAnsiTheme="minorHAnsi" w:cstheme="minorHAnsi"/>
                <w:b/>
                <w:bCs/>
                <w:lang w:val="en-AU" w:eastAsia="en-AU"/>
              </w:rPr>
              <w:t>p</w:t>
            </w:r>
            <w:r w:rsidRPr="00193A5E">
              <w:rPr>
                <w:rFonts w:asciiTheme="minorHAnsi" w:hAnsiTheme="minorHAnsi" w:cstheme="minorHAnsi"/>
                <w:b/>
                <w:bCs/>
                <w:lang w:val="en-AU" w:eastAsia="en-AU"/>
              </w:rPr>
              <w:t>arameter</w:t>
            </w:r>
          </w:p>
        </w:tc>
        <w:tc>
          <w:tcPr>
            <w:tcW w:w="3832" w:type="dxa"/>
            <w:shd w:val="clear" w:color="000000" w:fill="D9D9D9"/>
            <w:hideMark/>
          </w:tcPr>
          <w:p w14:paraId="19897BC5" w14:textId="4C17FB29" w:rsidR="004145AE" w:rsidRPr="00193A5E" w:rsidRDefault="004145AE" w:rsidP="006F5E0E">
            <w:pPr>
              <w:widowControl/>
              <w:autoSpaceDE/>
              <w:autoSpaceDN/>
              <w:spacing w:before="40" w:after="40"/>
              <w:jc w:val="center"/>
              <w:rPr>
                <w:rFonts w:asciiTheme="minorHAnsi" w:hAnsiTheme="minorHAnsi" w:cstheme="minorHAnsi"/>
                <w:b/>
                <w:bCs/>
                <w:lang w:val="en-AU" w:eastAsia="en-AU"/>
              </w:rPr>
            </w:pPr>
            <w:r>
              <w:rPr>
                <w:rFonts w:asciiTheme="minorHAnsi" w:hAnsiTheme="minorHAnsi" w:cstheme="minorHAnsi"/>
                <w:b/>
                <w:bCs/>
                <w:lang w:val="en-AU" w:eastAsia="en-AU"/>
              </w:rPr>
              <w:t>Cholangiocarcinoma population</w:t>
            </w:r>
          </w:p>
        </w:tc>
      </w:tr>
      <w:tr w:rsidR="004145AE" w:rsidRPr="00193A5E" w14:paraId="1A5D2C92" w14:textId="77777777" w:rsidTr="00174B40">
        <w:trPr>
          <w:trHeight w:val="20"/>
          <w:jc w:val="center"/>
        </w:trPr>
        <w:tc>
          <w:tcPr>
            <w:tcW w:w="4116" w:type="dxa"/>
            <w:gridSpan w:val="3"/>
            <w:shd w:val="clear" w:color="auto" w:fill="auto"/>
            <w:hideMark/>
          </w:tcPr>
          <w:p w14:paraId="74C87172" w14:textId="2F663101" w:rsidR="004145AE" w:rsidRPr="00264713" w:rsidRDefault="002D6153"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lang w:val="en-AU" w:eastAsia="en-AU"/>
              </w:rPr>
              <w:t xml:space="preserve">Mean </w:t>
            </w:r>
            <w:r w:rsidR="00612C2F">
              <w:rPr>
                <w:rFonts w:asciiTheme="minorHAnsi" w:hAnsiTheme="minorHAnsi" w:cstheme="minorHAnsi"/>
                <w:lang w:val="en-AU" w:eastAsia="en-AU"/>
              </w:rPr>
              <w:t xml:space="preserve">(CV) </w:t>
            </w:r>
            <w:r>
              <w:rPr>
                <w:rFonts w:asciiTheme="minorHAnsi" w:hAnsiTheme="minorHAnsi" w:cstheme="minorHAnsi"/>
                <w:lang w:val="en-AU" w:eastAsia="en-AU"/>
              </w:rPr>
              <w:t>s</w:t>
            </w:r>
            <w:r w:rsidR="004145AE">
              <w:rPr>
                <w:rFonts w:asciiTheme="minorHAnsi" w:hAnsiTheme="minorHAnsi" w:cstheme="minorHAnsi"/>
                <w:lang w:val="en-AU" w:eastAsia="en-AU"/>
              </w:rPr>
              <w:t>ingle dose</w:t>
            </w:r>
            <w:r>
              <w:rPr>
                <w:rFonts w:asciiTheme="minorHAnsi" w:hAnsiTheme="minorHAnsi" w:cstheme="minorHAnsi"/>
                <w:lang w:val="en-AU" w:eastAsia="en-AU"/>
              </w:rPr>
              <w:t xml:space="preserve"> </w:t>
            </w:r>
            <w:r w:rsidR="004145AE">
              <w:rPr>
                <w:rFonts w:asciiTheme="minorHAnsi" w:hAnsiTheme="minorHAnsi" w:cstheme="minorHAnsi"/>
                <w:lang w:val="en-AU" w:eastAsia="en-AU"/>
              </w:rPr>
              <w:t>C</w:t>
            </w:r>
            <w:r w:rsidR="004145AE" w:rsidRPr="00FF71E9">
              <w:rPr>
                <w:rFonts w:asciiTheme="minorHAnsi" w:hAnsiTheme="minorHAnsi" w:cstheme="minorHAnsi"/>
                <w:vertAlign w:val="subscript"/>
                <w:lang w:val="en-AU" w:eastAsia="en-AU"/>
              </w:rPr>
              <w:t>max</w:t>
            </w:r>
          </w:p>
        </w:tc>
        <w:tc>
          <w:tcPr>
            <w:tcW w:w="3832" w:type="dxa"/>
            <w:shd w:val="clear" w:color="auto" w:fill="auto"/>
            <w:noWrap/>
            <w:hideMark/>
          </w:tcPr>
          <w:p w14:paraId="48B5217E" w14:textId="7E72B047" w:rsidR="004145AE" w:rsidRPr="00264713" w:rsidRDefault="004145AE" w:rsidP="006F5E0E">
            <w:pPr>
              <w:widowControl/>
              <w:autoSpaceDE/>
              <w:autoSpaceDN/>
              <w:spacing w:before="40" w:after="40"/>
              <w:jc w:val="center"/>
              <w:rPr>
                <w:rFonts w:asciiTheme="minorHAnsi" w:hAnsiTheme="minorHAnsi" w:cstheme="minorHAnsi"/>
                <w:color w:val="000000"/>
                <w:lang w:val="en-AU" w:eastAsia="en-AU"/>
              </w:rPr>
            </w:pPr>
            <w:r w:rsidRPr="00264713">
              <w:rPr>
                <w:rFonts w:asciiTheme="minorHAnsi" w:hAnsiTheme="minorHAnsi" w:cstheme="minorHAnsi"/>
                <w:color w:val="000000"/>
                <w:lang w:val="en-AU" w:eastAsia="en-AU"/>
              </w:rPr>
              <w:t>4060</w:t>
            </w:r>
            <w:r>
              <w:rPr>
                <w:rFonts w:asciiTheme="minorHAnsi" w:hAnsiTheme="minorHAnsi" w:cstheme="minorHAnsi"/>
                <w:color w:val="000000"/>
                <w:lang w:val="en-AU" w:eastAsia="en-AU"/>
              </w:rPr>
              <w:t xml:space="preserve"> (45%)</w:t>
            </w:r>
            <w:r w:rsidR="00010937">
              <w:rPr>
                <w:rFonts w:asciiTheme="minorHAnsi" w:hAnsiTheme="minorHAnsi" w:cstheme="minorHAnsi"/>
                <w:lang w:val="en-AU" w:eastAsia="en-AU"/>
              </w:rPr>
              <w:t xml:space="preserve"> ng/mL</w:t>
            </w:r>
          </w:p>
        </w:tc>
      </w:tr>
      <w:tr w:rsidR="004145AE" w:rsidRPr="00193A5E" w14:paraId="1F828770" w14:textId="77777777" w:rsidTr="00174B40">
        <w:trPr>
          <w:trHeight w:val="20"/>
          <w:jc w:val="center"/>
        </w:trPr>
        <w:tc>
          <w:tcPr>
            <w:tcW w:w="4116" w:type="dxa"/>
            <w:gridSpan w:val="3"/>
            <w:shd w:val="clear" w:color="auto" w:fill="auto"/>
            <w:hideMark/>
          </w:tcPr>
          <w:p w14:paraId="0383A5A6" w14:textId="2E9905B8" w:rsidR="004145AE" w:rsidRPr="00264713" w:rsidRDefault="002D6153"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lang w:val="en-AU" w:eastAsia="en-AU"/>
              </w:rPr>
              <w:t xml:space="preserve">Mean </w:t>
            </w:r>
            <w:r w:rsidR="00612C2F">
              <w:rPr>
                <w:rFonts w:asciiTheme="minorHAnsi" w:hAnsiTheme="minorHAnsi" w:cstheme="minorHAnsi"/>
                <w:lang w:val="en-AU" w:eastAsia="en-AU"/>
              </w:rPr>
              <w:t xml:space="preserve">(CV) </w:t>
            </w:r>
            <w:r>
              <w:rPr>
                <w:rFonts w:asciiTheme="minorHAnsi" w:hAnsiTheme="minorHAnsi" w:cstheme="minorHAnsi"/>
                <w:lang w:val="en-AU" w:eastAsia="en-AU"/>
              </w:rPr>
              <w:t>s</w:t>
            </w:r>
            <w:r w:rsidR="004145AE">
              <w:rPr>
                <w:rFonts w:asciiTheme="minorHAnsi" w:hAnsiTheme="minorHAnsi" w:cstheme="minorHAnsi"/>
                <w:lang w:val="en-AU" w:eastAsia="en-AU"/>
              </w:rPr>
              <w:t>teady</w:t>
            </w:r>
            <w:r>
              <w:rPr>
                <w:rFonts w:asciiTheme="minorHAnsi" w:hAnsiTheme="minorHAnsi" w:cstheme="minorHAnsi"/>
                <w:lang w:val="en-AU" w:eastAsia="en-AU"/>
              </w:rPr>
              <w:t>-</w:t>
            </w:r>
            <w:r w:rsidR="004145AE">
              <w:rPr>
                <w:rFonts w:asciiTheme="minorHAnsi" w:hAnsiTheme="minorHAnsi" w:cstheme="minorHAnsi"/>
                <w:lang w:val="en-AU" w:eastAsia="en-AU"/>
              </w:rPr>
              <w:t>state</w:t>
            </w:r>
            <w:r>
              <w:rPr>
                <w:rFonts w:asciiTheme="minorHAnsi" w:hAnsiTheme="minorHAnsi" w:cstheme="minorHAnsi"/>
                <w:lang w:val="en-AU" w:eastAsia="en-AU"/>
              </w:rPr>
              <w:t xml:space="preserve"> </w:t>
            </w:r>
            <w:r w:rsidR="004145AE">
              <w:rPr>
                <w:rFonts w:asciiTheme="minorHAnsi" w:hAnsiTheme="minorHAnsi" w:cstheme="minorHAnsi"/>
                <w:lang w:val="en-AU" w:eastAsia="en-AU"/>
              </w:rPr>
              <w:t>C</w:t>
            </w:r>
            <w:r w:rsidR="004145AE" w:rsidRPr="00FF71E9">
              <w:rPr>
                <w:rFonts w:asciiTheme="minorHAnsi" w:hAnsiTheme="minorHAnsi" w:cstheme="minorHAnsi"/>
                <w:vertAlign w:val="subscript"/>
                <w:lang w:val="en-AU" w:eastAsia="en-AU"/>
              </w:rPr>
              <w:t>max</w:t>
            </w:r>
            <w:r w:rsidR="004145AE">
              <w:rPr>
                <w:rFonts w:asciiTheme="minorHAnsi" w:hAnsiTheme="minorHAnsi" w:cstheme="minorHAnsi"/>
                <w:lang w:val="en-AU" w:eastAsia="en-AU"/>
              </w:rPr>
              <w:t xml:space="preserve"> </w:t>
            </w:r>
          </w:p>
        </w:tc>
        <w:tc>
          <w:tcPr>
            <w:tcW w:w="3832" w:type="dxa"/>
            <w:shd w:val="clear" w:color="auto" w:fill="auto"/>
            <w:noWrap/>
            <w:hideMark/>
          </w:tcPr>
          <w:p w14:paraId="6C768527" w14:textId="3F7D3C42" w:rsidR="004145AE" w:rsidRPr="00264713" w:rsidRDefault="004145AE" w:rsidP="006F5E0E">
            <w:pPr>
              <w:widowControl/>
              <w:autoSpaceDE/>
              <w:autoSpaceDN/>
              <w:spacing w:before="40" w:after="40"/>
              <w:jc w:val="center"/>
              <w:rPr>
                <w:rFonts w:asciiTheme="minorHAnsi" w:hAnsiTheme="minorHAnsi" w:cstheme="minorHAnsi"/>
                <w:color w:val="000000"/>
                <w:lang w:val="en-AU" w:eastAsia="en-AU"/>
              </w:rPr>
            </w:pPr>
            <w:r w:rsidRPr="00264713">
              <w:rPr>
                <w:rFonts w:asciiTheme="minorHAnsi" w:hAnsiTheme="minorHAnsi" w:cstheme="minorHAnsi"/>
                <w:color w:val="000000"/>
                <w:lang w:val="en-AU" w:eastAsia="en-AU"/>
              </w:rPr>
              <w:t>4799</w:t>
            </w:r>
            <w:r>
              <w:rPr>
                <w:rFonts w:asciiTheme="minorHAnsi" w:hAnsiTheme="minorHAnsi" w:cstheme="minorHAnsi"/>
                <w:color w:val="000000"/>
                <w:lang w:val="en-AU" w:eastAsia="en-AU"/>
              </w:rPr>
              <w:t xml:space="preserve"> (33%)</w:t>
            </w:r>
            <w:r w:rsidR="00010937">
              <w:rPr>
                <w:rFonts w:asciiTheme="minorHAnsi" w:hAnsiTheme="minorHAnsi" w:cstheme="minorHAnsi"/>
                <w:lang w:val="en-AU" w:eastAsia="en-AU"/>
              </w:rPr>
              <w:t xml:space="preserve"> ng/mL</w:t>
            </w:r>
          </w:p>
        </w:tc>
      </w:tr>
      <w:tr w:rsidR="004145AE" w:rsidRPr="00193A5E" w14:paraId="593BF7CA" w14:textId="77777777" w:rsidTr="00174B40">
        <w:trPr>
          <w:trHeight w:val="20"/>
          <w:jc w:val="center"/>
        </w:trPr>
        <w:tc>
          <w:tcPr>
            <w:tcW w:w="4116" w:type="dxa"/>
            <w:gridSpan w:val="3"/>
            <w:shd w:val="clear" w:color="auto" w:fill="auto"/>
            <w:hideMark/>
          </w:tcPr>
          <w:p w14:paraId="6D928463" w14:textId="19F59CCC" w:rsidR="004145AE" w:rsidRPr="00264713" w:rsidRDefault="002D6153"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lang w:val="en-AU" w:eastAsia="en-AU"/>
              </w:rPr>
              <w:t>Mean</w:t>
            </w:r>
            <w:r w:rsidR="00612C2F">
              <w:rPr>
                <w:rFonts w:asciiTheme="minorHAnsi" w:hAnsiTheme="minorHAnsi" w:cstheme="minorHAnsi"/>
                <w:lang w:val="en-AU" w:eastAsia="en-AU"/>
              </w:rPr>
              <w:t xml:space="preserve"> (CV)</w:t>
            </w:r>
            <w:r>
              <w:rPr>
                <w:rFonts w:asciiTheme="minorHAnsi" w:hAnsiTheme="minorHAnsi" w:cstheme="minorHAnsi"/>
                <w:lang w:val="en-AU" w:eastAsia="en-AU"/>
              </w:rPr>
              <w:t xml:space="preserve"> s</w:t>
            </w:r>
            <w:r w:rsidR="004145AE">
              <w:rPr>
                <w:rFonts w:asciiTheme="minorHAnsi" w:hAnsiTheme="minorHAnsi" w:cstheme="minorHAnsi"/>
                <w:lang w:val="en-AU" w:eastAsia="en-AU"/>
              </w:rPr>
              <w:t>teady</w:t>
            </w:r>
            <w:r>
              <w:rPr>
                <w:rFonts w:asciiTheme="minorHAnsi" w:hAnsiTheme="minorHAnsi" w:cstheme="minorHAnsi"/>
                <w:lang w:val="en-AU" w:eastAsia="en-AU"/>
              </w:rPr>
              <w:t>-s</w:t>
            </w:r>
            <w:r w:rsidR="004145AE">
              <w:rPr>
                <w:rFonts w:asciiTheme="minorHAnsi" w:hAnsiTheme="minorHAnsi" w:cstheme="minorHAnsi"/>
                <w:lang w:val="en-AU" w:eastAsia="en-AU"/>
              </w:rPr>
              <w:t>tate AUC</w:t>
            </w:r>
          </w:p>
        </w:tc>
        <w:tc>
          <w:tcPr>
            <w:tcW w:w="3832" w:type="dxa"/>
            <w:shd w:val="clear" w:color="auto" w:fill="auto"/>
            <w:noWrap/>
            <w:hideMark/>
          </w:tcPr>
          <w:p w14:paraId="28EDCCB7" w14:textId="7E8CFB66" w:rsidR="004145AE" w:rsidRPr="00264713" w:rsidRDefault="004145AE" w:rsidP="006F5E0E">
            <w:pPr>
              <w:widowControl/>
              <w:autoSpaceDE/>
              <w:autoSpaceDN/>
              <w:spacing w:before="40" w:after="40"/>
              <w:jc w:val="center"/>
              <w:rPr>
                <w:rFonts w:asciiTheme="minorHAnsi" w:hAnsiTheme="minorHAnsi" w:cstheme="minorHAnsi"/>
                <w:color w:val="000000"/>
                <w:lang w:val="en-AU" w:eastAsia="en-AU"/>
              </w:rPr>
            </w:pPr>
            <w:r w:rsidRPr="00264713">
              <w:rPr>
                <w:rFonts w:asciiTheme="minorHAnsi" w:hAnsiTheme="minorHAnsi" w:cstheme="minorHAnsi"/>
                <w:color w:val="000000"/>
                <w:lang w:val="en-AU" w:eastAsia="en-AU"/>
              </w:rPr>
              <w:t>86382</w:t>
            </w:r>
            <w:r>
              <w:rPr>
                <w:rFonts w:asciiTheme="minorHAnsi" w:hAnsiTheme="minorHAnsi" w:cstheme="minorHAnsi"/>
                <w:color w:val="000000"/>
                <w:lang w:val="en-AU" w:eastAsia="en-AU"/>
              </w:rPr>
              <w:t xml:space="preserve"> (34%)</w:t>
            </w:r>
            <w:r w:rsidR="00010937">
              <w:rPr>
                <w:rFonts w:asciiTheme="minorHAnsi" w:hAnsiTheme="minorHAnsi" w:cstheme="minorHAnsi"/>
                <w:lang w:val="en-AU" w:eastAsia="en-AU"/>
              </w:rPr>
              <w:t xml:space="preserve"> ng/mL</w:t>
            </w:r>
          </w:p>
        </w:tc>
      </w:tr>
      <w:tr w:rsidR="00612C2F" w:rsidRPr="00264713" w14:paraId="5A49FFE9" w14:textId="77777777" w:rsidTr="00174B40">
        <w:trPr>
          <w:trHeight w:val="20"/>
          <w:jc w:val="center"/>
        </w:trPr>
        <w:tc>
          <w:tcPr>
            <w:tcW w:w="4116" w:type="dxa"/>
            <w:gridSpan w:val="3"/>
            <w:shd w:val="clear" w:color="auto" w:fill="auto"/>
          </w:tcPr>
          <w:p w14:paraId="79169E7E" w14:textId="439F4BEF" w:rsidR="00612C2F" w:rsidRPr="00264713" w:rsidRDefault="00612C2F"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lang w:val="en-AU" w:eastAsia="en-AU"/>
              </w:rPr>
              <w:t>Accumulation ratio: C</w:t>
            </w:r>
            <w:r w:rsidRPr="008A5E2F">
              <w:rPr>
                <w:rFonts w:asciiTheme="minorHAnsi" w:hAnsiTheme="minorHAnsi" w:cstheme="minorHAnsi"/>
                <w:vertAlign w:val="subscript"/>
                <w:lang w:val="en-AU" w:eastAsia="en-AU"/>
              </w:rPr>
              <w:t>max</w:t>
            </w:r>
          </w:p>
        </w:tc>
        <w:tc>
          <w:tcPr>
            <w:tcW w:w="3832" w:type="dxa"/>
            <w:shd w:val="clear" w:color="auto" w:fill="auto"/>
            <w:noWrap/>
          </w:tcPr>
          <w:p w14:paraId="73CB535D" w14:textId="31A7F522" w:rsidR="00612C2F" w:rsidRPr="00264713" w:rsidRDefault="00612C2F" w:rsidP="00976909">
            <w:pPr>
              <w:widowControl/>
              <w:autoSpaceDE/>
              <w:autoSpaceDN/>
              <w:spacing w:before="40" w:after="40"/>
              <w:jc w:val="center"/>
              <w:rPr>
                <w:rFonts w:asciiTheme="minorHAnsi" w:hAnsiTheme="minorHAnsi" w:cstheme="minorHAnsi"/>
                <w:color w:val="000000"/>
                <w:lang w:val="en-AU" w:eastAsia="en-AU"/>
              </w:rPr>
            </w:pPr>
            <w:r>
              <w:rPr>
                <w:rFonts w:asciiTheme="minorHAnsi" w:hAnsiTheme="minorHAnsi" w:cstheme="minorHAnsi"/>
                <w:color w:val="000000"/>
                <w:lang w:val="en-AU" w:eastAsia="en-AU"/>
              </w:rPr>
              <w:t>1.2</w:t>
            </w:r>
          </w:p>
        </w:tc>
      </w:tr>
      <w:tr w:rsidR="00612C2F" w:rsidRPr="00264713" w14:paraId="409241FB" w14:textId="77777777" w:rsidTr="00174B40">
        <w:trPr>
          <w:trHeight w:val="20"/>
          <w:jc w:val="center"/>
        </w:trPr>
        <w:tc>
          <w:tcPr>
            <w:tcW w:w="4116" w:type="dxa"/>
            <w:gridSpan w:val="3"/>
            <w:shd w:val="clear" w:color="auto" w:fill="auto"/>
          </w:tcPr>
          <w:p w14:paraId="63EB617D" w14:textId="545F8B8D" w:rsidR="00612C2F" w:rsidRPr="00264713" w:rsidRDefault="00612C2F"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lang w:val="en-AU" w:eastAsia="en-AU"/>
              </w:rPr>
              <w:t>Accumulation ratio: AUC</w:t>
            </w:r>
          </w:p>
        </w:tc>
        <w:tc>
          <w:tcPr>
            <w:tcW w:w="3832" w:type="dxa"/>
            <w:shd w:val="clear" w:color="auto" w:fill="auto"/>
            <w:noWrap/>
          </w:tcPr>
          <w:p w14:paraId="5807DC10" w14:textId="3EEE2F78" w:rsidR="00612C2F" w:rsidRPr="00264713" w:rsidRDefault="00612C2F" w:rsidP="00976909">
            <w:pPr>
              <w:widowControl/>
              <w:autoSpaceDE/>
              <w:autoSpaceDN/>
              <w:spacing w:before="40" w:after="40"/>
              <w:jc w:val="center"/>
              <w:rPr>
                <w:rFonts w:asciiTheme="minorHAnsi" w:hAnsiTheme="minorHAnsi" w:cstheme="minorHAnsi"/>
                <w:color w:val="000000"/>
                <w:lang w:val="en-AU" w:eastAsia="en-AU"/>
              </w:rPr>
            </w:pPr>
            <w:r w:rsidRPr="00264713">
              <w:rPr>
                <w:rFonts w:asciiTheme="minorHAnsi" w:hAnsiTheme="minorHAnsi" w:cstheme="minorHAnsi"/>
                <w:color w:val="000000"/>
                <w:lang w:val="en-AU" w:eastAsia="en-AU"/>
              </w:rPr>
              <w:t>1.5</w:t>
            </w:r>
          </w:p>
        </w:tc>
      </w:tr>
      <w:tr w:rsidR="00242442" w:rsidRPr="00264713" w14:paraId="529A4EB5" w14:textId="77777777" w:rsidTr="00174B40">
        <w:trPr>
          <w:trHeight w:val="20"/>
          <w:jc w:val="center"/>
        </w:trPr>
        <w:tc>
          <w:tcPr>
            <w:tcW w:w="7948" w:type="dxa"/>
            <w:gridSpan w:val="4"/>
            <w:shd w:val="clear" w:color="auto" w:fill="auto"/>
          </w:tcPr>
          <w:p w14:paraId="615AEA42" w14:textId="77777777" w:rsidR="00612C2F" w:rsidRPr="00264713" w:rsidRDefault="00612C2F" w:rsidP="00612C2F">
            <w:pPr>
              <w:widowControl/>
              <w:autoSpaceDE/>
              <w:autoSpaceDN/>
              <w:spacing w:before="40" w:after="40"/>
              <w:rPr>
                <w:rFonts w:asciiTheme="minorHAnsi" w:hAnsiTheme="minorHAnsi" w:cstheme="minorHAnsi"/>
                <w:color w:val="000000"/>
                <w:lang w:val="en-AU" w:eastAsia="en-AU"/>
              </w:rPr>
            </w:pPr>
            <w:r>
              <w:rPr>
                <w:rFonts w:asciiTheme="minorHAnsi" w:hAnsiTheme="minorHAnsi" w:cstheme="minorHAnsi"/>
                <w:i/>
                <w:iCs/>
                <w:lang w:val="en-AU" w:eastAsia="en-AU"/>
              </w:rPr>
              <w:t>Absorption</w:t>
            </w:r>
          </w:p>
        </w:tc>
      </w:tr>
      <w:tr w:rsidR="002D6239" w:rsidRPr="00264713" w14:paraId="445623F9" w14:textId="77777777" w:rsidTr="00174B40">
        <w:trPr>
          <w:trHeight w:val="20"/>
          <w:jc w:val="center"/>
        </w:trPr>
        <w:tc>
          <w:tcPr>
            <w:tcW w:w="4116" w:type="dxa"/>
            <w:gridSpan w:val="3"/>
            <w:shd w:val="clear" w:color="auto" w:fill="auto"/>
          </w:tcPr>
          <w:p w14:paraId="77B1C5D2" w14:textId="15302E0D" w:rsidR="00612C2F" w:rsidRDefault="00612C2F" w:rsidP="00F01153">
            <w:pPr>
              <w:widowControl/>
              <w:autoSpaceDE/>
              <w:autoSpaceDN/>
              <w:spacing w:before="40" w:after="40"/>
              <w:ind w:left="567"/>
              <w:rPr>
                <w:rFonts w:asciiTheme="minorHAnsi" w:hAnsiTheme="minorHAnsi" w:cstheme="minorHAnsi"/>
                <w:lang w:val="en-AU" w:eastAsia="en-AU"/>
              </w:rPr>
            </w:pPr>
            <w:r>
              <w:rPr>
                <w:rFonts w:asciiTheme="minorHAnsi" w:hAnsiTheme="minorHAnsi" w:cstheme="minorHAnsi"/>
                <w:lang w:val="en-AU" w:eastAsia="en-AU"/>
              </w:rPr>
              <w:t>Median T</w:t>
            </w:r>
            <w:r w:rsidRPr="00FF71E9">
              <w:rPr>
                <w:rFonts w:asciiTheme="minorHAnsi" w:hAnsiTheme="minorHAnsi" w:cstheme="minorHAnsi"/>
                <w:vertAlign w:val="subscript"/>
                <w:lang w:val="en-AU" w:eastAsia="en-AU"/>
              </w:rPr>
              <w:t>max</w:t>
            </w:r>
            <w:r>
              <w:rPr>
                <w:rFonts w:asciiTheme="minorHAnsi" w:hAnsiTheme="minorHAnsi" w:cstheme="minorHAnsi"/>
                <w:lang w:val="en-AU" w:eastAsia="en-AU"/>
              </w:rPr>
              <w:t xml:space="preserve"> (range) </w:t>
            </w:r>
          </w:p>
        </w:tc>
        <w:tc>
          <w:tcPr>
            <w:tcW w:w="3832" w:type="dxa"/>
            <w:shd w:val="clear" w:color="auto" w:fill="auto"/>
            <w:noWrap/>
          </w:tcPr>
          <w:p w14:paraId="79FEF050" w14:textId="3F6580CF" w:rsidR="00612C2F" w:rsidRPr="00264713" w:rsidRDefault="00612C2F" w:rsidP="00612C2F">
            <w:pPr>
              <w:widowControl/>
              <w:autoSpaceDE/>
              <w:autoSpaceDN/>
              <w:spacing w:before="40" w:after="40"/>
              <w:jc w:val="center"/>
              <w:rPr>
                <w:rFonts w:asciiTheme="minorHAnsi" w:hAnsiTheme="minorHAnsi" w:cstheme="minorHAnsi"/>
                <w:color w:val="000000"/>
                <w:lang w:val="en-AU" w:eastAsia="en-AU"/>
              </w:rPr>
            </w:pPr>
            <w:r w:rsidRPr="00264713">
              <w:rPr>
                <w:rFonts w:asciiTheme="minorHAnsi" w:hAnsiTheme="minorHAnsi" w:cstheme="minorHAnsi"/>
                <w:color w:val="000000"/>
                <w:lang w:val="en-AU" w:eastAsia="en-AU"/>
              </w:rPr>
              <w:t>2</w:t>
            </w:r>
            <w:r>
              <w:rPr>
                <w:rFonts w:asciiTheme="minorHAnsi" w:hAnsiTheme="minorHAnsi" w:cstheme="minorHAnsi"/>
                <w:color w:val="000000"/>
                <w:lang w:val="en-AU" w:eastAsia="en-AU"/>
              </w:rPr>
              <w:t>.1 (0.5, 4.1) hr</w:t>
            </w:r>
          </w:p>
        </w:tc>
      </w:tr>
      <w:tr w:rsidR="002D6239" w:rsidRPr="00264713" w14:paraId="42471D45" w14:textId="77777777" w:rsidTr="00174B40">
        <w:trPr>
          <w:trHeight w:val="20"/>
          <w:jc w:val="center"/>
        </w:trPr>
        <w:tc>
          <w:tcPr>
            <w:tcW w:w="2935" w:type="dxa"/>
            <w:gridSpan w:val="2"/>
            <w:tcBorders>
              <w:right w:val="nil"/>
            </w:tcBorders>
            <w:shd w:val="clear" w:color="auto" w:fill="auto"/>
            <w:vAlign w:val="center"/>
          </w:tcPr>
          <w:p w14:paraId="12130D37" w14:textId="1D477A7A" w:rsidR="00D37AEC" w:rsidRDefault="00D37AEC" w:rsidP="00F01153">
            <w:pPr>
              <w:widowControl/>
              <w:autoSpaceDE/>
              <w:autoSpaceDN/>
              <w:spacing w:before="40" w:after="40"/>
              <w:ind w:left="567"/>
              <w:rPr>
                <w:lang w:val="en-AU" w:eastAsia="en-AU"/>
              </w:rPr>
            </w:pPr>
            <w:r w:rsidRPr="002E1B51">
              <w:rPr>
                <w:rFonts w:asciiTheme="minorHAnsi" w:hAnsiTheme="minorHAnsi" w:cstheme="minorHAnsi"/>
                <w:i/>
                <w:iCs/>
                <w:color w:val="000000"/>
                <w:lang w:val="en-AU" w:eastAsia="en-AU"/>
              </w:rPr>
              <w:t>Effect of food</w:t>
            </w:r>
            <w:r>
              <w:rPr>
                <w:rFonts w:asciiTheme="minorHAnsi" w:hAnsiTheme="minorHAnsi" w:cstheme="minorHAnsi"/>
                <w:i/>
                <w:iCs/>
                <w:color w:val="000000"/>
                <w:lang w:val="en-AU" w:eastAsia="en-AU"/>
              </w:rPr>
              <w:t xml:space="preserve">: </w:t>
            </w:r>
            <w:r w:rsidRPr="00612C2F">
              <w:rPr>
                <w:rFonts w:asciiTheme="minorHAnsi" w:hAnsiTheme="minorHAnsi" w:cstheme="minorHAnsi"/>
                <w:i/>
                <w:iCs/>
                <w:color w:val="000000"/>
                <w:vertAlign w:val="superscript"/>
                <w:lang w:val="en-AU" w:eastAsia="en-AU"/>
              </w:rPr>
              <w:fldChar w:fldCharType="begin"/>
            </w:r>
            <w:r w:rsidRPr="002E1B51">
              <w:rPr>
                <w:rFonts w:asciiTheme="minorHAnsi" w:hAnsiTheme="minorHAnsi" w:cstheme="minorHAnsi"/>
                <w:i/>
                <w:iCs/>
                <w:color w:val="000000"/>
                <w:vertAlign w:val="superscript"/>
                <w:lang w:val="en-AU" w:eastAsia="en-AU"/>
              </w:rPr>
              <w:instrText xml:space="preserve"> REF _Ref124525096 \n \h  \* MERGEFORMAT </w:instrText>
            </w:r>
            <w:r w:rsidRPr="00612C2F">
              <w:rPr>
                <w:rFonts w:asciiTheme="minorHAnsi" w:hAnsiTheme="minorHAnsi" w:cstheme="minorHAnsi"/>
                <w:i/>
                <w:iCs/>
                <w:color w:val="000000"/>
                <w:vertAlign w:val="superscript"/>
                <w:lang w:val="en-AU" w:eastAsia="en-AU"/>
              </w:rPr>
            </w:r>
            <w:r w:rsidRPr="00612C2F">
              <w:rPr>
                <w:rFonts w:asciiTheme="minorHAnsi" w:hAnsiTheme="minorHAnsi" w:cstheme="minorHAnsi"/>
                <w:i/>
                <w:iCs/>
                <w:color w:val="000000"/>
                <w:vertAlign w:val="superscript"/>
                <w:lang w:val="en-AU" w:eastAsia="en-AU"/>
              </w:rPr>
              <w:fldChar w:fldCharType="separate"/>
            </w:r>
            <w:r w:rsidR="00C17B0F">
              <w:rPr>
                <w:rFonts w:asciiTheme="minorHAnsi" w:hAnsiTheme="minorHAnsi" w:cstheme="minorHAnsi"/>
                <w:i/>
                <w:iCs/>
                <w:color w:val="000000"/>
                <w:vertAlign w:val="superscript"/>
                <w:lang w:val="en-AU" w:eastAsia="en-AU"/>
              </w:rPr>
              <w:t>b</w:t>
            </w:r>
            <w:r w:rsidRPr="00612C2F">
              <w:rPr>
                <w:rFonts w:asciiTheme="minorHAnsi" w:hAnsiTheme="minorHAnsi" w:cstheme="minorHAnsi"/>
                <w:i/>
                <w:iCs/>
                <w:color w:val="000000"/>
                <w:vertAlign w:val="superscript"/>
                <w:lang w:val="en-AU" w:eastAsia="en-AU"/>
              </w:rPr>
              <w:fldChar w:fldCharType="end"/>
            </w:r>
          </w:p>
          <w:p w14:paraId="504509F9" w14:textId="1F5820FA" w:rsidR="00D37AEC" w:rsidRDefault="00D37AEC" w:rsidP="00612C2F">
            <w:pPr>
              <w:widowControl/>
              <w:autoSpaceDE/>
              <w:autoSpaceDN/>
              <w:spacing w:before="40" w:after="40"/>
              <w:jc w:val="right"/>
              <w:rPr>
                <w:rFonts w:asciiTheme="minorHAnsi" w:hAnsiTheme="minorHAnsi" w:cstheme="minorHAnsi"/>
                <w:lang w:val="en-AU" w:eastAsia="en-AU"/>
              </w:rPr>
            </w:pPr>
          </w:p>
        </w:tc>
        <w:tc>
          <w:tcPr>
            <w:tcW w:w="1181" w:type="dxa"/>
            <w:tcBorders>
              <w:left w:val="nil"/>
            </w:tcBorders>
            <w:shd w:val="clear" w:color="auto" w:fill="auto"/>
            <w:vAlign w:val="center"/>
          </w:tcPr>
          <w:p w14:paraId="12F5D431" w14:textId="77777777" w:rsidR="00D37AEC" w:rsidRPr="00612C2F" w:rsidRDefault="00D37AEC" w:rsidP="00F01153">
            <w:pPr>
              <w:widowControl/>
              <w:autoSpaceDE/>
              <w:autoSpaceDN/>
              <w:spacing w:before="40" w:after="40"/>
              <w:rPr>
                <w:rFonts w:asciiTheme="minorHAnsi" w:hAnsiTheme="minorHAnsi" w:cstheme="minorHAnsi"/>
                <w:lang w:val="en-AU" w:eastAsia="en-AU"/>
              </w:rPr>
            </w:pPr>
            <w:r w:rsidRPr="007F4760">
              <w:rPr>
                <w:rFonts w:asciiTheme="minorHAnsi" w:hAnsiTheme="minorHAnsi" w:cstheme="minorHAnsi"/>
                <w:lang w:val="en-AU" w:eastAsia="en-AU"/>
              </w:rPr>
              <w:t xml:space="preserve">on </w:t>
            </w:r>
            <w:r w:rsidRPr="00612C2F">
              <w:rPr>
                <w:rFonts w:asciiTheme="minorHAnsi" w:hAnsiTheme="minorHAnsi" w:cstheme="minorHAnsi"/>
                <w:lang w:val="en-AU" w:eastAsia="en-AU"/>
              </w:rPr>
              <w:t>Cmax</w:t>
            </w:r>
          </w:p>
          <w:p w14:paraId="0F31133B" w14:textId="43CB93B9" w:rsidR="00D37AEC" w:rsidRDefault="00D37AEC" w:rsidP="00F01153">
            <w:pPr>
              <w:rPr>
                <w:rFonts w:asciiTheme="minorHAnsi" w:hAnsiTheme="minorHAnsi" w:cstheme="minorHAnsi"/>
                <w:lang w:val="en-AU" w:eastAsia="en-AU"/>
              </w:rPr>
            </w:pPr>
            <w:r w:rsidRPr="007F4760">
              <w:rPr>
                <w:rFonts w:asciiTheme="minorHAnsi" w:hAnsiTheme="minorHAnsi" w:cstheme="minorHAnsi"/>
                <w:lang w:val="en-AU" w:eastAsia="en-AU"/>
              </w:rPr>
              <w:t>on AUC</w:t>
            </w:r>
          </w:p>
        </w:tc>
        <w:tc>
          <w:tcPr>
            <w:tcW w:w="3832" w:type="dxa"/>
            <w:shd w:val="clear" w:color="auto" w:fill="auto"/>
            <w:noWrap/>
            <w:vAlign w:val="center"/>
          </w:tcPr>
          <w:p w14:paraId="44C62736" w14:textId="1F40ACC7" w:rsidR="00D37AEC" w:rsidRPr="00612C2F" w:rsidRDefault="00D37AEC" w:rsidP="00612C2F">
            <w:pPr>
              <w:widowControl/>
              <w:autoSpaceDE/>
              <w:autoSpaceDN/>
              <w:spacing w:before="40" w:after="40"/>
              <w:jc w:val="center"/>
              <w:rPr>
                <w:rFonts w:asciiTheme="minorHAnsi" w:hAnsiTheme="minorHAnsi" w:cstheme="minorHAnsi"/>
                <w:color w:val="000000"/>
                <w:lang w:val="en-AU" w:eastAsia="en-AU"/>
              </w:rPr>
            </w:pPr>
            <w:r w:rsidRPr="00612C2F">
              <w:rPr>
                <w:rFonts w:asciiTheme="minorHAnsi" w:hAnsiTheme="minorHAnsi" w:cstheme="minorHAnsi"/>
                <w:color w:val="000000"/>
                <w:lang w:val="en-AU" w:eastAsia="en-AU"/>
              </w:rPr>
              <w:t>1.98-fold (90% CI: 1.79, 2.19)</w:t>
            </w:r>
          </w:p>
          <w:p w14:paraId="56A2E564" w14:textId="00DB13FE" w:rsidR="00D37AEC" w:rsidRPr="00264713" w:rsidRDefault="00D37AEC" w:rsidP="00612C2F">
            <w:pPr>
              <w:widowControl/>
              <w:autoSpaceDE/>
              <w:autoSpaceDN/>
              <w:spacing w:before="40" w:after="40"/>
              <w:jc w:val="center"/>
              <w:rPr>
                <w:rFonts w:asciiTheme="minorHAnsi" w:hAnsiTheme="minorHAnsi" w:cstheme="minorHAnsi"/>
                <w:color w:val="000000"/>
                <w:lang w:val="en-AU" w:eastAsia="en-AU"/>
              </w:rPr>
            </w:pPr>
            <w:r w:rsidRPr="00612C2F">
              <w:rPr>
                <w:rFonts w:asciiTheme="minorHAnsi" w:hAnsiTheme="minorHAnsi" w:cstheme="minorHAnsi"/>
                <w:color w:val="000000"/>
                <w:lang w:val="en-AU" w:eastAsia="en-AU"/>
              </w:rPr>
              <w:t>1.24-fold (90% CI: 1.16, 1.33)</w:t>
            </w:r>
          </w:p>
        </w:tc>
      </w:tr>
      <w:tr w:rsidR="00242442" w:rsidRPr="00193A5E" w14:paraId="52D9C4FF" w14:textId="77777777" w:rsidTr="00174B40">
        <w:trPr>
          <w:trHeight w:val="20"/>
          <w:jc w:val="center"/>
        </w:trPr>
        <w:tc>
          <w:tcPr>
            <w:tcW w:w="7948" w:type="dxa"/>
            <w:gridSpan w:val="4"/>
            <w:shd w:val="clear" w:color="auto" w:fill="auto"/>
          </w:tcPr>
          <w:p w14:paraId="13B50358" w14:textId="73EEF3F9" w:rsidR="00612C2F" w:rsidRPr="00264713" w:rsidRDefault="00612C2F" w:rsidP="00612C2F">
            <w:pPr>
              <w:widowControl/>
              <w:autoSpaceDE/>
              <w:autoSpaceDN/>
              <w:spacing w:before="40" w:after="40"/>
              <w:rPr>
                <w:rFonts w:asciiTheme="minorHAnsi" w:hAnsiTheme="minorHAnsi" w:cstheme="minorHAnsi"/>
                <w:color w:val="000000"/>
                <w:lang w:val="en-AU" w:eastAsia="en-AU"/>
              </w:rPr>
            </w:pPr>
            <w:bookmarkStart w:id="25" w:name="_Hlk124525413"/>
            <w:r>
              <w:rPr>
                <w:rFonts w:asciiTheme="minorHAnsi" w:hAnsiTheme="minorHAnsi" w:cstheme="minorHAnsi"/>
                <w:i/>
                <w:iCs/>
                <w:lang w:val="en-AU" w:eastAsia="en-AU"/>
              </w:rPr>
              <w:t>Distribution</w:t>
            </w:r>
          </w:p>
        </w:tc>
      </w:tr>
      <w:tr w:rsidR="00242442" w:rsidRPr="00193A5E" w14:paraId="14F190E2" w14:textId="77777777" w:rsidTr="00174B40">
        <w:trPr>
          <w:trHeight w:val="20"/>
          <w:jc w:val="center"/>
        </w:trPr>
        <w:tc>
          <w:tcPr>
            <w:tcW w:w="4116" w:type="dxa"/>
            <w:gridSpan w:val="3"/>
            <w:shd w:val="clear" w:color="auto" w:fill="auto"/>
          </w:tcPr>
          <w:p w14:paraId="23D2E17E" w14:textId="31BE3B3A" w:rsidR="00612C2F" w:rsidRPr="00264713" w:rsidRDefault="00612C2F" w:rsidP="00F01153">
            <w:pPr>
              <w:widowControl/>
              <w:autoSpaceDE/>
              <w:autoSpaceDN/>
              <w:spacing w:before="40" w:after="40"/>
              <w:ind w:left="567"/>
              <w:rPr>
                <w:rFonts w:asciiTheme="minorHAnsi" w:hAnsiTheme="minorHAnsi" w:cstheme="minorHAnsi"/>
                <w:color w:val="000000"/>
                <w:lang w:val="en-AU" w:eastAsia="en-AU"/>
              </w:rPr>
            </w:pPr>
            <w:r w:rsidRPr="00612C2F">
              <w:rPr>
                <w:rFonts w:asciiTheme="minorHAnsi" w:hAnsiTheme="minorHAnsi" w:cstheme="minorHAnsi"/>
                <w:lang w:val="en-AU" w:eastAsia="en-AU"/>
              </w:rPr>
              <w:t>In vitro protein binding</w:t>
            </w:r>
          </w:p>
        </w:tc>
        <w:tc>
          <w:tcPr>
            <w:tcW w:w="3832" w:type="dxa"/>
            <w:shd w:val="clear" w:color="auto" w:fill="auto"/>
            <w:noWrap/>
          </w:tcPr>
          <w:p w14:paraId="6C21777C" w14:textId="69F2FD47" w:rsidR="00612C2F" w:rsidRPr="00264713" w:rsidRDefault="00612C2F" w:rsidP="00612C2F">
            <w:pPr>
              <w:widowControl/>
              <w:autoSpaceDE/>
              <w:autoSpaceDN/>
              <w:spacing w:before="40" w:after="40"/>
              <w:jc w:val="center"/>
              <w:rPr>
                <w:rFonts w:asciiTheme="minorHAnsi" w:hAnsiTheme="minorHAnsi" w:cstheme="minorHAnsi"/>
                <w:color w:val="000000"/>
                <w:lang w:val="en-AU" w:eastAsia="en-AU"/>
              </w:rPr>
            </w:pPr>
            <w:r w:rsidRPr="00612C2F">
              <w:rPr>
                <w:rFonts w:asciiTheme="minorHAnsi" w:hAnsiTheme="minorHAnsi" w:cstheme="minorHAnsi"/>
                <w:color w:val="000000"/>
                <w:lang w:val="en-AU" w:eastAsia="en-AU"/>
              </w:rPr>
              <w:t>92 to 96%</w:t>
            </w:r>
          </w:p>
        </w:tc>
      </w:tr>
      <w:tr w:rsidR="00242442" w:rsidRPr="00193A5E" w14:paraId="08668B1B" w14:textId="77777777" w:rsidTr="00174B40">
        <w:trPr>
          <w:trHeight w:val="20"/>
          <w:jc w:val="center"/>
        </w:trPr>
        <w:tc>
          <w:tcPr>
            <w:tcW w:w="4116" w:type="dxa"/>
            <w:gridSpan w:val="3"/>
            <w:shd w:val="clear" w:color="auto" w:fill="auto"/>
          </w:tcPr>
          <w:p w14:paraId="2D006B7F" w14:textId="29EB8B80" w:rsidR="00612C2F" w:rsidRPr="00264713" w:rsidRDefault="00612C2F" w:rsidP="00F01153">
            <w:pPr>
              <w:widowControl/>
              <w:autoSpaceDE/>
              <w:autoSpaceDN/>
              <w:spacing w:before="40" w:after="40"/>
              <w:ind w:left="567"/>
              <w:rPr>
                <w:rFonts w:asciiTheme="minorHAnsi" w:hAnsiTheme="minorHAnsi" w:cstheme="minorHAnsi"/>
                <w:color w:val="000000"/>
                <w:lang w:val="en-AU" w:eastAsia="en-AU"/>
              </w:rPr>
            </w:pPr>
            <w:bookmarkStart w:id="26" w:name="_Hlk124523107"/>
            <w:r>
              <w:rPr>
                <w:rFonts w:asciiTheme="minorHAnsi" w:hAnsiTheme="minorHAnsi" w:cstheme="minorHAnsi"/>
                <w:lang w:val="en-AU" w:eastAsia="en-AU"/>
              </w:rPr>
              <w:t>Mean (CV) Vd at steady state</w:t>
            </w:r>
          </w:p>
        </w:tc>
        <w:tc>
          <w:tcPr>
            <w:tcW w:w="3832" w:type="dxa"/>
            <w:shd w:val="clear" w:color="auto" w:fill="auto"/>
            <w:noWrap/>
          </w:tcPr>
          <w:p w14:paraId="0428BD3C" w14:textId="369F3E47" w:rsidR="00612C2F" w:rsidRPr="00264713" w:rsidRDefault="005F5610" w:rsidP="00612C2F">
            <w:pPr>
              <w:widowControl/>
              <w:autoSpaceDE/>
              <w:autoSpaceDN/>
              <w:spacing w:before="40" w:after="40"/>
              <w:jc w:val="center"/>
              <w:rPr>
                <w:rFonts w:asciiTheme="minorHAnsi" w:hAnsiTheme="minorHAnsi" w:cstheme="minorHAnsi"/>
                <w:color w:val="000000"/>
                <w:lang w:val="en-AU" w:eastAsia="en-AU"/>
              </w:rPr>
            </w:pPr>
            <w:r>
              <w:rPr>
                <w:rFonts w:asciiTheme="minorHAnsi" w:hAnsiTheme="minorHAnsi" w:cstheme="minorHAnsi"/>
                <w:color w:val="000000"/>
                <w:lang w:val="en-AU" w:eastAsia="en-AU"/>
              </w:rPr>
              <w:t>2.97</w:t>
            </w:r>
            <w:r w:rsidR="00612C2F">
              <w:rPr>
                <w:rFonts w:asciiTheme="minorHAnsi" w:hAnsiTheme="minorHAnsi" w:cstheme="minorHAnsi"/>
                <w:color w:val="000000"/>
                <w:lang w:val="en-AU" w:eastAsia="en-AU"/>
              </w:rPr>
              <w:t xml:space="preserve"> (26%) L/kg</w:t>
            </w:r>
          </w:p>
        </w:tc>
      </w:tr>
      <w:bookmarkEnd w:id="25"/>
      <w:bookmarkEnd w:id="26"/>
      <w:tr w:rsidR="002D6239" w:rsidRPr="00193A5E" w14:paraId="552434F8" w14:textId="77777777" w:rsidTr="00174B40">
        <w:trPr>
          <w:trHeight w:val="20"/>
          <w:jc w:val="center"/>
        </w:trPr>
        <w:tc>
          <w:tcPr>
            <w:tcW w:w="7948" w:type="dxa"/>
            <w:gridSpan w:val="4"/>
            <w:shd w:val="clear" w:color="auto" w:fill="auto"/>
          </w:tcPr>
          <w:p w14:paraId="6DD6666C" w14:textId="600A0C2C" w:rsidR="00612C2F" w:rsidRPr="00264713" w:rsidRDefault="00612C2F" w:rsidP="002E1B51">
            <w:pPr>
              <w:widowControl/>
              <w:autoSpaceDE/>
              <w:autoSpaceDN/>
              <w:spacing w:before="40" w:after="40"/>
              <w:rPr>
                <w:rFonts w:asciiTheme="minorHAnsi" w:hAnsiTheme="minorHAnsi" w:cstheme="minorHAnsi"/>
                <w:color w:val="000000"/>
                <w:lang w:val="en-AU" w:eastAsia="en-AU"/>
              </w:rPr>
            </w:pPr>
            <w:r>
              <w:rPr>
                <w:rFonts w:asciiTheme="minorHAnsi" w:hAnsiTheme="minorHAnsi" w:cstheme="minorHAnsi"/>
                <w:i/>
                <w:iCs/>
                <w:lang w:val="en-AU" w:eastAsia="en-AU"/>
              </w:rPr>
              <w:lastRenderedPageBreak/>
              <w:t>Elimination</w:t>
            </w:r>
          </w:p>
        </w:tc>
      </w:tr>
      <w:tr w:rsidR="002D6239" w:rsidRPr="00193A5E" w14:paraId="7A237659" w14:textId="77777777" w:rsidTr="00174B40">
        <w:trPr>
          <w:trHeight w:val="20"/>
          <w:jc w:val="center"/>
        </w:trPr>
        <w:tc>
          <w:tcPr>
            <w:tcW w:w="4116" w:type="dxa"/>
            <w:gridSpan w:val="3"/>
            <w:shd w:val="clear" w:color="auto" w:fill="auto"/>
          </w:tcPr>
          <w:p w14:paraId="735F677B" w14:textId="0A34BD5D" w:rsidR="00612C2F" w:rsidRDefault="00612C2F" w:rsidP="00F01153">
            <w:pPr>
              <w:widowControl/>
              <w:autoSpaceDE/>
              <w:autoSpaceDN/>
              <w:spacing w:before="40" w:after="40"/>
              <w:ind w:left="567"/>
              <w:rPr>
                <w:rFonts w:asciiTheme="minorHAnsi" w:hAnsiTheme="minorHAnsi" w:cstheme="minorHAnsi"/>
                <w:lang w:val="en-AU" w:eastAsia="en-AU"/>
              </w:rPr>
            </w:pPr>
            <w:r>
              <w:rPr>
                <w:rFonts w:asciiTheme="minorHAnsi" w:hAnsiTheme="minorHAnsi" w:cstheme="minorHAnsi"/>
                <w:lang w:val="en-AU" w:eastAsia="en-AU"/>
              </w:rPr>
              <w:t>Mean (CV) CL at steady state</w:t>
            </w:r>
          </w:p>
        </w:tc>
        <w:tc>
          <w:tcPr>
            <w:tcW w:w="3832" w:type="dxa"/>
            <w:shd w:val="clear" w:color="auto" w:fill="auto"/>
            <w:noWrap/>
          </w:tcPr>
          <w:p w14:paraId="2E11C0F0" w14:textId="50039D09" w:rsidR="00612C2F" w:rsidRPr="00264713" w:rsidRDefault="00612C2F" w:rsidP="00612C2F">
            <w:pPr>
              <w:widowControl/>
              <w:autoSpaceDE/>
              <w:autoSpaceDN/>
              <w:spacing w:before="40" w:after="40"/>
              <w:jc w:val="center"/>
              <w:rPr>
                <w:rFonts w:asciiTheme="minorHAnsi" w:hAnsiTheme="minorHAnsi" w:cstheme="minorHAnsi"/>
                <w:color w:val="000000"/>
                <w:lang w:val="en-AU" w:eastAsia="en-AU"/>
              </w:rPr>
            </w:pPr>
            <w:r>
              <w:rPr>
                <w:rFonts w:asciiTheme="minorHAnsi" w:hAnsiTheme="minorHAnsi" w:cstheme="minorHAnsi"/>
                <w:color w:val="000000"/>
                <w:lang w:val="en-AU" w:eastAsia="en-AU"/>
              </w:rPr>
              <w:t>6.1 (31%) L/hr</w:t>
            </w:r>
          </w:p>
        </w:tc>
      </w:tr>
      <w:tr w:rsidR="002D6239" w:rsidRPr="00193A5E" w14:paraId="6A9E2035" w14:textId="77777777" w:rsidTr="00174B40">
        <w:trPr>
          <w:trHeight w:val="20"/>
          <w:jc w:val="center"/>
        </w:trPr>
        <w:tc>
          <w:tcPr>
            <w:tcW w:w="4116" w:type="dxa"/>
            <w:gridSpan w:val="3"/>
            <w:shd w:val="clear" w:color="auto" w:fill="auto"/>
          </w:tcPr>
          <w:p w14:paraId="731DC4DD" w14:textId="0C97DA3F" w:rsidR="00612C2F" w:rsidRDefault="00612C2F" w:rsidP="00F01153">
            <w:pPr>
              <w:widowControl/>
              <w:autoSpaceDE/>
              <w:autoSpaceDN/>
              <w:spacing w:before="40" w:after="40"/>
              <w:ind w:left="567"/>
              <w:rPr>
                <w:rFonts w:asciiTheme="minorHAnsi" w:hAnsiTheme="minorHAnsi" w:cstheme="minorHAnsi"/>
                <w:lang w:val="en-AU" w:eastAsia="en-AU"/>
              </w:rPr>
            </w:pPr>
            <w:r>
              <w:rPr>
                <w:rFonts w:asciiTheme="minorHAnsi" w:hAnsiTheme="minorHAnsi" w:cstheme="minorHAnsi"/>
                <w:lang w:val="en-AU" w:eastAsia="en-AU"/>
              </w:rPr>
              <w:t>Mean (CV) T½ at steady state</w:t>
            </w:r>
          </w:p>
        </w:tc>
        <w:tc>
          <w:tcPr>
            <w:tcW w:w="3832" w:type="dxa"/>
            <w:shd w:val="clear" w:color="auto" w:fill="auto"/>
            <w:noWrap/>
          </w:tcPr>
          <w:p w14:paraId="58164D3E" w14:textId="0D8FA752" w:rsidR="00612C2F" w:rsidRPr="00264713" w:rsidRDefault="00612C2F" w:rsidP="00612C2F">
            <w:pPr>
              <w:widowControl/>
              <w:autoSpaceDE/>
              <w:autoSpaceDN/>
              <w:spacing w:before="40" w:after="40"/>
              <w:jc w:val="center"/>
              <w:rPr>
                <w:rFonts w:asciiTheme="minorHAnsi" w:hAnsiTheme="minorHAnsi" w:cstheme="minorHAnsi"/>
                <w:color w:val="000000"/>
                <w:lang w:val="en-AU" w:eastAsia="en-AU"/>
              </w:rPr>
            </w:pPr>
            <w:r w:rsidRPr="00612C2F">
              <w:rPr>
                <w:rFonts w:asciiTheme="minorHAnsi" w:hAnsiTheme="minorHAnsi" w:cstheme="minorHAnsi"/>
                <w:color w:val="000000"/>
                <w:lang w:val="en-AU" w:eastAsia="en-AU"/>
              </w:rPr>
              <w:t>129 (102%)</w:t>
            </w:r>
            <w:r>
              <w:rPr>
                <w:rFonts w:asciiTheme="minorHAnsi" w:hAnsiTheme="minorHAnsi" w:cstheme="minorHAnsi"/>
                <w:color w:val="000000"/>
                <w:lang w:val="en-AU" w:eastAsia="en-AU"/>
              </w:rPr>
              <w:t xml:space="preserve"> hr</w:t>
            </w:r>
          </w:p>
        </w:tc>
      </w:tr>
      <w:tr w:rsidR="006B207F" w:rsidRPr="00264713" w14:paraId="16E39E1D" w14:textId="77777777" w:rsidTr="00174B40">
        <w:trPr>
          <w:trHeight w:val="20"/>
          <w:jc w:val="center"/>
        </w:trPr>
        <w:tc>
          <w:tcPr>
            <w:tcW w:w="2641" w:type="dxa"/>
            <w:tcBorders>
              <w:right w:val="nil"/>
            </w:tcBorders>
            <w:shd w:val="clear" w:color="auto" w:fill="auto"/>
          </w:tcPr>
          <w:p w14:paraId="49B199C4" w14:textId="58916940" w:rsidR="00D37AEC" w:rsidRPr="002E1B51" w:rsidRDefault="00D37AEC" w:rsidP="00F01153">
            <w:pPr>
              <w:widowControl/>
              <w:autoSpaceDE/>
              <w:autoSpaceDN/>
              <w:spacing w:before="40" w:after="40"/>
              <w:ind w:left="567"/>
              <w:rPr>
                <w:rFonts w:asciiTheme="minorHAnsi" w:hAnsiTheme="minorHAnsi" w:cstheme="minorHAnsi"/>
                <w:i/>
                <w:iCs/>
                <w:color w:val="000000"/>
                <w:lang w:val="en-AU" w:eastAsia="en-AU"/>
              </w:rPr>
            </w:pPr>
            <w:r w:rsidRPr="002E1B51">
              <w:rPr>
                <w:rFonts w:asciiTheme="minorHAnsi" w:hAnsiTheme="minorHAnsi" w:cstheme="minorHAnsi"/>
                <w:i/>
                <w:iCs/>
                <w:color w:val="000000"/>
                <w:lang w:val="en-AU" w:eastAsia="en-AU"/>
              </w:rPr>
              <w:t>Excretion:</w:t>
            </w:r>
            <w:r w:rsidRPr="008A5E2F">
              <w:rPr>
                <w:rFonts w:asciiTheme="minorHAnsi" w:hAnsiTheme="minorHAnsi" w:cstheme="minorHAnsi"/>
                <w:color w:val="000000"/>
                <w:vertAlign w:val="superscript"/>
                <w:lang w:val="en-AU" w:eastAsia="en-AU"/>
              </w:rPr>
              <w:t xml:space="preserve"> </w:t>
            </w:r>
            <w:r w:rsidRPr="008A5E2F">
              <w:rPr>
                <w:rFonts w:asciiTheme="minorHAnsi" w:hAnsiTheme="minorHAnsi" w:cstheme="minorHAnsi"/>
                <w:color w:val="000000"/>
                <w:vertAlign w:val="superscript"/>
                <w:lang w:val="en-AU" w:eastAsia="en-AU"/>
              </w:rPr>
              <w:fldChar w:fldCharType="begin"/>
            </w:r>
            <w:r w:rsidRPr="008A5E2F">
              <w:rPr>
                <w:rFonts w:asciiTheme="minorHAnsi" w:hAnsiTheme="minorHAnsi" w:cstheme="minorHAnsi"/>
                <w:color w:val="000000"/>
                <w:vertAlign w:val="superscript"/>
                <w:lang w:val="en-AU" w:eastAsia="en-AU"/>
              </w:rPr>
              <w:instrText xml:space="preserve"> REF _Ref124526636 \n \h </w:instrText>
            </w:r>
            <w:r>
              <w:rPr>
                <w:rFonts w:asciiTheme="minorHAnsi" w:hAnsiTheme="minorHAnsi" w:cstheme="minorHAnsi"/>
                <w:color w:val="000000"/>
                <w:vertAlign w:val="superscript"/>
                <w:lang w:val="en-AU" w:eastAsia="en-AU"/>
              </w:rPr>
              <w:instrText xml:space="preserve"> \* MERGEFORMAT </w:instrText>
            </w:r>
            <w:r w:rsidRPr="008A5E2F">
              <w:rPr>
                <w:rFonts w:asciiTheme="minorHAnsi" w:hAnsiTheme="minorHAnsi" w:cstheme="minorHAnsi"/>
                <w:color w:val="000000"/>
                <w:vertAlign w:val="superscript"/>
                <w:lang w:val="en-AU" w:eastAsia="en-AU"/>
              </w:rPr>
            </w:r>
            <w:r w:rsidRPr="008A5E2F">
              <w:rPr>
                <w:rFonts w:asciiTheme="minorHAnsi" w:hAnsiTheme="minorHAnsi" w:cstheme="minorHAnsi"/>
                <w:color w:val="000000"/>
                <w:vertAlign w:val="superscript"/>
                <w:lang w:val="en-AU" w:eastAsia="en-AU"/>
              </w:rPr>
              <w:fldChar w:fldCharType="separate"/>
            </w:r>
            <w:r w:rsidR="00C17B0F">
              <w:rPr>
                <w:rFonts w:asciiTheme="minorHAnsi" w:hAnsiTheme="minorHAnsi" w:cstheme="minorHAnsi"/>
                <w:color w:val="000000"/>
                <w:vertAlign w:val="superscript"/>
                <w:lang w:val="en-AU" w:eastAsia="en-AU"/>
              </w:rPr>
              <w:t>c</w:t>
            </w:r>
            <w:r w:rsidRPr="008A5E2F">
              <w:rPr>
                <w:rFonts w:asciiTheme="minorHAnsi" w:hAnsiTheme="minorHAnsi" w:cstheme="minorHAnsi"/>
                <w:color w:val="000000"/>
                <w:vertAlign w:val="superscript"/>
                <w:lang w:val="en-AU" w:eastAsia="en-AU"/>
              </w:rPr>
              <w:fldChar w:fldCharType="end"/>
            </w:r>
          </w:p>
          <w:p w14:paraId="5443FE54" w14:textId="1023DF2F" w:rsidR="00D37AEC" w:rsidRPr="00264713" w:rsidRDefault="00D37AEC" w:rsidP="002E1B51">
            <w:pPr>
              <w:widowControl/>
              <w:autoSpaceDE/>
              <w:autoSpaceDN/>
              <w:spacing w:before="40" w:after="40"/>
              <w:ind w:left="720"/>
              <w:jc w:val="right"/>
              <w:rPr>
                <w:rFonts w:asciiTheme="minorHAnsi" w:hAnsiTheme="minorHAnsi" w:cstheme="minorHAnsi"/>
                <w:color w:val="000000"/>
                <w:lang w:val="en-AU" w:eastAsia="en-AU"/>
              </w:rPr>
            </w:pPr>
          </w:p>
        </w:tc>
        <w:tc>
          <w:tcPr>
            <w:tcW w:w="1475" w:type="dxa"/>
            <w:gridSpan w:val="2"/>
            <w:tcBorders>
              <w:left w:val="nil"/>
            </w:tcBorders>
            <w:shd w:val="clear" w:color="auto" w:fill="auto"/>
          </w:tcPr>
          <w:p w14:paraId="4B35CCCA" w14:textId="77777777" w:rsidR="00D37AEC" w:rsidRDefault="00D37AEC"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color w:val="000000"/>
                <w:lang w:val="en-AU" w:eastAsia="en-AU"/>
              </w:rPr>
              <w:t>urinary</w:t>
            </w:r>
          </w:p>
          <w:p w14:paraId="2194E2AC" w14:textId="69FE3C7E" w:rsidR="00D37AEC" w:rsidRPr="00264713" w:rsidRDefault="00D37AEC" w:rsidP="00F01153">
            <w:pPr>
              <w:widowControl/>
              <w:autoSpaceDE/>
              <w:autoSpaceDN/>
              <w:spacing w:before="40" w:after="40"/>
              <w:ind w:left="567"/>
              <w:rPr>
                <w:rFonts w:asciiTheme="minorHAnsi" w:hAnsiTheme="minorHAnsi" w:cstheme="minorHAnsi"/>
                <w:color w:val="000000"/>
                <w:lang w:val="en-AU" w:eastAsia="en-AU"/>
              </w:rPr>
            </w:pPr>
            <w:r>
              <w:rPr>
                <w:rFonts w:asciiTheme="minorHAnsi" w:hAnsiTheme="minorHAnsi" w:cstheme="minorHAnsi"/>
                <w:color w:val="000000"/>
                <w:lang w:val="en-AU" w:eastAsia="en-AU"/>
              </w:rPr>
              <w:t>faecal</w:t>
            </w:r>
          </w:p>
        </w:tc>
        <w:tc>
          <w:tcPr>
            <w:tcW w:w="3832" w:type="dxa"/>
            <w:shd w:val="clear" w:color="auto" w:fill="auto"/>
            <w:noWrap/>
          </w:tcPr>
          <w:p w14:paraId="27935DED" w14:textId="6239B70C" w:rsidR="00D37AEC" w:rsidRDefault="00D37AEC" w:rsidP="00612C2F">
            <w:pPr>
              <w:widowControl/>
              <w:autoSpaceDE/>
              <w:autoSpaceDN/>
              <w:spacing w:before="40" w:after="40"/>
              <w:jc w:val="center"/>
              <w:rPr>
                <w:rFonts w:asciiTheme="minorHAnsi" w:hAnsiTheme="minorHAnsi" w:cstheme="minorHAnsi"/>
                <w:color w:val="000000"/>
                <w:lang w:val="en-AU" w:eastAsia="en-AU"/>
              </w:rPr>
            </w:pPr>
            <w:r w:rsidRPr="00612C2F">
              <w:rPr>
                <w:rFonts w:asciiTheme="minorHAnsi" w:hAnsiTheme="minorHAnsi" w:cstheme="minorHAnsi"/>
                <w:color w:val="000000"/>
                <w:lang w:val="en-AU" w:eastAsia="en-AU"/>
              </w:rPr>
              <w:t>17% (10% as unchanged ivosidenib)</w:t>
            </w:r>
          </w:p>
          <w:p w14:paraId="4F80AFC3" w14:textId="400F26D5" w:rsidR="00D37AEC" w:rsidRPr="00264713" w:rsidRDefault="00D37AEC" w:rsidP="00612C2F">
            <w:pPr>
              <w:widowControl/>
              <w:autoSpaceDE/>
              <w:autoSpaceDN/>
              <w:spacing w:before="40" w:after="40"/>
              <w:jc w:val="center"/>
              <w:rPr>
                <w:rFonts w:asciiTheme="minorHAnsi" w:hAnsiTheme="minorHAnsi" w:cstheme="minorHAnsi"/>
                <w:color w:val="000000"/>
                <w:lang w:val="en-AU" w:eastAsia="en-AU"/>
              </w:rPr>
            </w:pPr>
            <w:r w:rsidRPr="00612C2F">
              <w:rPr>
                <w:rFonts w:asciiTheme="minorHAnsi" w:hAnsiTheme="minorHAnsi" w:cstheme="minorHAnsi"/>
                <w:color w:val="000000"/>
                <w:lang w:val="en-AU" w:eastAsia="en-AU"/>
              </w:rPr>
              <w:t>77% (67% as unchanged ivosidenib)</w:t>
            </w:r>
          </w:p>
        </w:tc>
      </w:tr>
      <w:tr w:rsidR="00E119ED" w:rsidRPr="00264713" w14:paraId="33BC338A" w14:textId="77777777" w:rsidTr="009346BC">
        <w:trPr>
          <w:trHeight w:val="20"/>
          <w:jc w:val="center"/>
        </w:trPr>
        <w:tc>
          <w:tcPr>
            <w:tcW w:w="7948" w:type="dxa"/>
            <w:gridSpan w:val="4"/>
            <w:shd w:val="clear" w:color="auto" w:fill="auto"/>
          </w:tcPr>
          <w:p w14:paraId="3EFE583B" w14:textId="77777777" w:rsidR="00E119ED" w:rsidRPr="002E1B51" w:rsidRDefault="00E119ED" w:rsidP="00E119ED">
            <w:pPr>
              <w:rPr>
                <w:rFonts w:asciiTheme="minorHAnsi" w:eastAsiaTheme="minorHAnsi" w:hAnsiTheme="minorHAnsi" w:cs="Arial"/>
                <w:color w:val="000000" w:themeColor="text1"/>
                <w:sz w:val="20"/>
                <w:szCs w:val="20"/>
                <w:lang w:val="en-AU"/>
              </w:rPr>
            </w:pPr>
            <w:r w:rsidRPr="002E1B51">
              <w:rPr>
                <w:rFonts w:asciiTheme="minorHAnsi" w:eastAsiaTheme="minorHAnsi" w:hAnsiTheme="minorHAnsi" w:cs="Arial"/>
                <w:color w:val="000000" w:themeColor="text1"/>
                <w:sz w:val="20"/>
                <w:szCs w:val="20"/>
                <w:lang w:val="en-AU"/>
              </w:rPr>
              <w:t xml:space="preserve">CI = confidence interval; CL = apparent clearance; CV = geometric coefficient of variation; </w:t>
            </w:r>
            <w:r w:rsidRPr="002E1B51">
              <w:rPr>
                <w:rFonts w:asciiTheme="minorHAnsi" w:hAnsiTheme="minorHAnsi" w:cstheme="minorHAnsi"/>
                <w:sz w:val="20"/>
                <w:szCs w:val="20"/>
                <w:lang w:val="en-AU" w:eastAsia="en-AU"/>
              </w:rPr>
              <w:t xml:space="preserve">T½ = terminal half life; </w:t>
            </w:r>
            <w:r w:rsidRPr="002E1B51">
              <w:rPr>
                <w:rFonts w:asciiTheme="minorHAnsi" w:eastAsiaTheme="minorHAnsi" w:hAnsiTheme="minorHAnsi" w:cs="Arial"/>
                <w:color w:val="000000" w:themeColor="text1"/>
                <w:sz w:val="20"/>
                <w:szCs w:val="20"/>
                <w:lang w:val="en-AU"/>
              </w:rPr>
              <w:t>Vd = apparent volume of distribution.</w:t>
            </w:r>
          </w:p>
          <w:p w14:paraId="3E8BACB8" w14:textId="77777777" w:rsidR="00E119ED" w:rsidRPr="002E1B51" w:rsidRDefault="00E119ED" w:rsidP="00E119ED">
            <w:pPr>
              <w:pStyle w:val="ListParagraph"/>
              <w:numPr>
                <w:ilvl w:val="0"/>
                <w:numId w:val="15"/>
              </w:numPr>
              <w:ind w:left="284" w:hanging="284"/>
              <w:rPr>
                <w:rFonts w:asciiTheme="minorHAnsi" w:eastAsiaTheme="minorHAnsi" w:hAnsiTheme="minorHAnsi" w:cs="Arial"/>
                <w:color w:val="000000" w:themeColor="text1"/>
                <w:sz w:val="20"/>
                <w:szCs w:val="20"/>
                <w:lang w:val="en-AU"/>
              </w:rPr>
            </w:pPr>
            <w:bookmarkStart w:id="27" w:name="_Ref124524852"/>
            <w:r w:rsidRPr="002E1B51">
              <w:rPr>
                <w:rFonts w:asciiTheme="minorHAnsi" w:eastAsiaTheme="minorHAnsi" w:hAnsiTheme="minorHAnsi" w:cs="Arial"/>
                <w:color w:val="000000" w:themeColor="text1"/>
                <w:sz w:val="20"/>
                <w:szCs w:val="20"/>
                <w:lang w:val="en-AU"/>
              </w:rPr>
              <w:t>500 mg either as a single dose or after multiple daily doses (for steady state), unless otherwise specified</w:t>
            </w:r>
          </w:p>
          <w:p w14:paraId="0F6DEE28" w14:textId="77777777" w:rsidR="00E119ED" w:rsidRPr="002E1B51" w:rsidRDefault="00E119ED" w:rsidP="00E119ED">
            <w:pPr>
              <w:pStyle w:val="ListParagraph"/>
              <w:numPr>
                <w:ilvl w:val="0"/>
                <w:numId w:val="15"/>
              </w:numPr>
              <w:ind w:left="284" w:hanging="284"/>
              <w:rPr>
                <w:rFonts w:asciiTheme="minorHAnsi" w:eastAsiaTheme="minorHAnsi" w:hAnsiTheme="minorHAnsi" w:cs="Arial"/>
                <w:color w:val="000000" w:themeColor="text1"/>
                <w:sz w:val="20"/>
                <w:szCs w:val="20"/>
                <w:lang w:val="en-AU"/>
              </w:rPr>
            </w:pPr>
            <w:bookmarkStart w:id="28" w:name="_Ref124525096"/>
            <w:r w:rsidRPr="002E1B51">
              <w:rPr>
                <w:rFonts w:asciiTheme="minorHAnsi" w:eastAsiaTheme="minorHAnsi" w:hAnsiTheme="minorHAnsi" w:cs="Arial"/>
                <w:color w:val="000000" w:themeColor="text1"/>
                <w:sz w:val="20"/>
                <w:szCs w:val="20"/>
                <w:lang w:val="en-AU"/>
              </w:rPr>
              <w:t>Following administration of a single dose in healthy subjects with a high-fat meal (approximately 900 to 1000 calories in total: 500 to 600 fat calories, 250 carbohydrate calories and 150 protein calories)</w:t>
            </w:r>
            <w:bookmarkEnd w:id="27"/>
            <w:bookmarkEnd w:id="28"/>
          </w:p>
          <w:p w14:paraId="1AE08E34" w14:textId="19A24382" w:rsidR="00E119ED" w:rsidRPr="00612C2F" w:rsidRDefault="00E119ED" w:rsidP="00E119ED">
            <w:pPr>
              <w:pStyle w:val="ListParagraph"/>
              <w:numPr>
                <w:ilvl w:val="0"/>
                <w:numId w:val="15"/>
              </w:numPr>
              <w:ind w:left="284" w:hanging="284"/>
              <w:rPr>
                <w:rFonts w:asciiTheme="minorHAnsi" w:hAnsiTheme="minorHAnsi" w:cstheme="minorHAnsi"/>
                <w:color w:val="000000"/>
                <w:lang w:val="en-AU" w:eastAsia="en-AU"/>
              </w:rPr>
            </w:pPr>
            <w:bookmarkStart w:id="29" w:name="_Ref124526636"/>
            <w:r w:rsidRPr="002E1B51">
              <w:rPr>
                <w:rFonts w:asciiTheme="minorHAnsi" w:eastAsiaTheme="minorHAnsi" w:hAnsiTheme="minorHAnsi" w:cs="Arial"/>
                <w:color w:val="000000" w:themeColor="text1"/>
                <w:sz w:val="20"/>
                <w:szCs w:val="20"/>
                <w:lang w:val="en-AU"/>
              </w:rPr>
              <w:t>Data from a single radio-labelled ivosidenib dose in healthy subjects</w:t>
            </w:r>
            <w:bookmarkEnd w:id="29"/>
          </w:p>
        </w:tc>
      </w:tr>
    </w:tbl>
    <w:p w14:paraId="15A9E39A" w14:textId="68C1F972" w:rsidR="00F50D3D" w:rsidRPr="00AF2BF6" w:rsidRDefault="00CB46CD" w:rsidP="00450D1E">
      <w:pPr>
        <w:pStyle w:val="Heading4"/>
      </w:pPr>
      <w:r w:rsidRPr="00AF2BF6">
        <w:t>Metabolism</w:t>
      </w:r>
    </w:p>
    <w:p w14:paraId="15A9E3AE" w14:textId="6C85DA17" w:rsidR="00F50D3D" w:rsidRPr="00AF2BF6" w:rsidRDefault="00C56D2F" w:rsidP="008C5A54">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Ivosidenib was the predominant component (&gt;92</w:t>
      </w:r>
      <w:r w:rsidR="009C0DC7" w:rsidRPr="00AF2BF6">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 of total radioactivity in plasma from healthy subjects. It is primarily metabolised by CYP3A4 with minor contributions by N-dealkylation and hydrolytic pathways.</w:t>
      </w:r>
    </w:p>
    <w:p w14:paraId="15A9E3B0" w14:textId="77777777" w:rsidR="00F50D3D" w:rsidRPr="00AF2BF6" w:rsidRDefault="00C56D2F" w:rsidP="000025A2">
      <w:pPr>
        <w:pStyle w:val="Heading3"/>
        <w:spacing w:before="120" w:after="120"/>
        <w:rPr>
          <w:b/>
          <w:bCs/>
          <w:szCs w:val="22"/>
        </w:rPr>
      </w:pPr>
      <w:r w:rsidRPr="00AF2BF6">
        <w:rPr>
          <w:b/>
          <w:bCs/>
          <w:szCs w:val="22"/>
        </w:rPr>
        <w:t>Special populations</w:t>
      </w:r>
    </w:p>
    <w:p w14:paraId="15A9E3C0" w14:textId="7A854E02" w:rsidR="00F50D3D" w:rsidRPr="00AF2BF6" w:rsidRDefault="00C56D2F" w:rsidP="00621FF9">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No clinically meaningful effects on the pharmacokinetics of ivosidenib were observed based on age</w:t>
      </w:r>
      <w:r w:rsidR="00C017B2">
        <w:rPr>
          <w:rFonts w:asciiTheme="minorHAnsi" w:eastAsiaTheme="minorHAnsi" w:hAnsiTheme="minorHAnsi" w:cs="Arial"/>
          <w:color w:val="000000" w:themeColor="text1"/>
          <w:lang w:val="en-AU"/>
        </w:rPr>
        <w:t xml:space="preserve"> (18 to 89 years),</w:t>
      </w:r>
      <w:r w:rsidRPr="00AF2BF6">
        <w:rPr>
          <w:rFonts w:asciiTheme="minorHAnsi" w:eastAsiaTheme="minorHAnsi" w:hAnsiTheme="minorHAnsi" w:cs="Arial"/>
          <w:color w:val="000000" w:themeColor="text1"/>
          <w:lang w:val="en-AU"/>
        </w:rPr>
        <w:t xml:space="preserve"> </w:t>
      </w:r>
      <w:r w:rsidR="00C017B2">
        <w:rPr>
          <w:rFonts w:asciiTheme="minorHAnsi" w:eastAsiaTheme="minorHAnsi" w:hAnsiTheme="minorHAnsi" w:cs="Arial"/>
          <w:color w:val="000000" w:themeColor="text1"/>
          <w:lang w:val="en-AU"/>
        </w:rPr>
        <w:t>sex</w:t>
      </w:r>
      <w:r w:rsidR="00C017B2" w:rsidRPr="00AF2BF6">
        <w:rPr>
          <w:rFonts w:asciiTheme="minorHAnsi" w:eastAsiaTheme="minorHAnsi" w:hAnsiTheme="minorHAnsi" w:cs="Arial"/>
          <w:color w:val="000000" w:themeColor="text1"/>
          <w:lang w:val="en-AU"/>
        </w:rPr>
        <w:t>, race, body weight</w:t>
      </w:r>
      <w:r w:rsidR="00C017B2">
        <w:rPr>
          <w:rFonts w:asciiTheme="minorHAnsi" w:eastAsiaTheme="minorHAnsi" w:hAnsiTheme="minorHAnsi" w:cs="Arial"/>
          <w:color w:val="000000" w:themeColor="text1"/>
          <w:lang w:val="en-AU"/>
        </w:rPr>
        <w:t xml:space="preserve"> (38 to 150 kg), </w:t>
      </w:r>
      <w:r w:rsidR="00C017B2" w:rsidRPr="00AF2BF6">
        <w:rPr>
          <w:rFonts w:asciiTheme="minorHAnsi" w:eastAsiaTheme="minorHAnsi" w:hAnsiTheme="minorHAnsi" w:cs="Arial"/>
          <w:color w:val="000000" w:themeColor="text1"/>
          <w:lang w:val="en-AU"/>
        </w:rPr>
        <w:t>ECOG performance status</w:t>
      </w:r>
      <w:r w:rsidR="00C017B2">
        <w:rPr>
          <w:rFonts w:asciiTheme="minorHAnsi" w:eastAsiaTheme="minorHAnsi" w:hAnsiTheme="minorHAnsi" w:cs="Arial"/>
          <w:color w:val="000000" w:themeColor="text1"/>
          <w:lang w:val="en-AU"/>
        </w:rPr>
        <w:t>,</w:t>
      </w:r>
      <w:r w:rsidR="00C017B2" w:rsidRPr="00AF2BF6" w:rsidDel="00C017B2">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mild or moderate renal impairment (eGFR ≥ 30 mL/min/1.73 m</w:t>
      </w:r>
      <w:r w:rsidR="0084513D" w:rsidRPr="00AF2BF6">
        <w:rPr>
          <w:rFonts w:asciiTheme="minorHAnsi" w:eastAsiaTheme="minorHAnsi" w:hAnsiTheme="minorHAnsi" w:cs="Arial"/>
          <w:bCs/>
          <w:color w:val="000000" w:themeColor="text1"/>
          <w:vertAlign w:val="superscript"/>
          <w:lang w:val="en-AU"/>
        </w:rPr>
        <w:t>2</w:t>
      </w:r>
      <w:r w:rsidRPr="00AF2BF6">
        <w:rPr>
          <w:rFonts w:asciiTheme="minorHAnsi" w:eastAsiaTheme="minorHAnsi" w:hAnsiTheme="minorHAnsi" w:cs="Arial"/>
          <w:color w:val="000000" w:themeColor="text1"/>
          <w:lang w:val="en-AU"/>
        </w:rPr>
        <w:t>)</w:t>
      </w:r>
      <w:r w:rsidR="00C017B2">
        <w:rPr>
          <w:rFonts w:asciiTheme="minorHAnsi" w:eastAsiaTheme="minorHAnsi" w:hAnsiTheme="minorHAnsi" w:cs="Arial"/>
          <w:color w:val="000000" w:themeColor="text1"/>
          <w:lang w:val="en-AU"/>
        </w:rPr>
        <w:t xml:space="preserve">, and </w:t>
      </w:r>
      <w:r w:rsidR="00C017B2" w:rsidRPr="00AF2BF6">
        <w:rPr>
          <w:rFonts w:asciiTheme="minorHAnsi" w:eastAsiaTheme="minorHAnsi" w:hAnsiTheme="minorHAnsi" w:cs="Arial"/>
          <w:color w:val="000000" w:themeColor="text1"/>
          <w:lang w:val="en-AU"/>
        </w:rPr>
        <w:t>mild (Child Pugh class A) or moderate (Child Pugh class B) hepatic impairment</w:t>
      </w:r>
      <w:r w:rsidRPr="00AF2BF6">
        <w:rPr>
          <w:rFonts w:asciiTheme="minorHAnsi" w:eastAsiaTheme="minorHAnsi" w:hAnsiTheme="minorHAnsi" w:cs="Arial"/>
          <w:color w:val="000000" w:themeColor="text1"/>
          <w:lang w:val="en-AU"/>
        </w:rPr>
        <w:t xml:space="preserve">. The pharmacokinetics of ivosidenib in patients with severe renal impairment </w:t>
      </w:r>
      <w:r w:rsidR="00686544">
        <w:rPr>
          <w:rFonts w:asciiTheme="minorHAnsi" w:eastAsiaTheme="minorHAnsi" w:hAnsiTheme="minorHAnsi" w:cs="Arial"/>
          <w:color w:val="000000" w:themeColor="text1"/>
          <w:lang w:val="en-AU"/>
        </w:rPr>
        <w:br/>
      </w:r>
      <w:r w:rsidRPr="00AF2BF6">
        <w:rPr>
          <w:rFonts w:asciiTheme="minorHAnsi" w:eastAsiaTheme="minorHAnsi" w:hAnsiTheme="minorHAnsi" w:cs="Arial"/>
          <w:color w:val="000000" w:themeColor="text1"/>
          <w:lang w:val="en-AU"/>
        </w:rPr>
        <w:t>(eGFR &lt; 30 mL/min/1.73 m</w:t>
      </w:r>
      <w:r w:rsidR="0084513D" w:rsidRPr="00AF2BF6">
        <w:rPr>
          <w:rFonts w:asciiTheme="minorHAnsi" w:eastAsiaTheme="minorHAnsi" w:hAnsiTheme="minorHAnsi" w:cs="Arial"/>
          <w:bCs/>
          <w:color w:val="000000" w:themeColor="text1"/>
          <w:vertAlign w:val="superscript"/>
          <w:lang w:val="en-AU"/>
        </w:rPr>
        <w:t>2</w:t>
      </w:r>
      <w:r w:rsidRPr="00AF2BF6">
        <w:rPr>
          <w:rFonts w:asciiTheme="minorHAnsi" w:eastAsiaTheme="minorHAnsi" w:hAnsiTheme="minorHAnsi" w:cs="Arial"/>
          <w:color w:val="000000" w:themeColor="text1"/>
          <w:lang w:val="en-AU"/>
        </w:rPr>
        <w:t>)</w:t>
      </w:r>
      <w:r w:rsidR="00C017B2">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w:t>
      </w:r>
      <w:r w:rsidR="00C017B2">
        <w:rPr>
          <w:rFonts w:asciiTheme="minorHAnsi" w:eastAsiaTheme="minorHAnsi" w:hAnsiTheme="minorHAnsi" w:cs="Arial"/>
          <w:color w:val="000000" w:themeColor="text1"/>
          <w:lang w:val="en-AU"/>
        </w:rPr>
        <w:t xml:space="preserve">including patients </w:t>
      </w:r>
      <w:r w:rsidRPr="00AF2BF6">
        <w:rPr>
          <w:rFonts w:asciiTheme="minorHAnsi" w:eastAsiaTheme="minorHAnsi" w:hAnsiTheme="minorHAnsi" w:cs="Arial"/>
          <w:color w:val="000000" w:themeColor="text1"/>
          <w:lang w:val="en-AU"/>
        </w:rPr>
        <w:t>requiring dialysis</w:t>
      </w:r>
      <w:r w:rsidR="00C017B2">
        <w:rPr>
          <w:rFonts w:asciiTheme="minorHAnsi" w:eastAsiaTheme="minorHAnsi" w:hAnsiTheme="minorHAnsi" w:cs="Arial"/>
          <w:color w:val="000000" w:themeColor="text1"/>
          <w:lang w:val="en-AU"/>
        </w:rPr>
        <w:t>,</w:t>
      </w:r>
      <w:r w:rsidRPr="00AF2BF6">
        <w:rPr>
          <w:rFonts w:asciiTheme="minorHAnsi" w:eastAsiaTheme="minorHAnsi" w:hAnsiTheme="minorHAnsi" w:cs="Arial"/>
          <w:color w:val="000000" w:themeColor="text1"/>
          <w:lang w:val="en-AU"/>
        </w:rPr>
        <w:t xml:space="preserve"> </w:t>
      </w:r>
      <w:r w:rsidR="00C017B2">
        <w:rPr>
          <w:rFonts w:asciiTheme="minorHAnsi" w:eastAsiaTheme="minorHAnsi" w:hAnsiTheme="minorHAnsi" w:cs="Arial"/>
          <w:color w:val="000000" w:themeColor="text1"/>
          <w:lang w:val="en-AU"/>
        </w:rPr>
        <w:t xml:space="preserve">and </w:t>
      </w:r>
      <w:r w:rsidR="00C017B2" w:rsidRPr="00AF2BF6">
        <w:rPr>
          <w:rFonts w:asciiTheme="minorHAnsi" w:eastAsiaTheme="minorHAnsi" w:hAnsiTheme="minorHAnsi" w:cs="Arial"/>
          <w:color w:val="000000" w:themeColor="text1"/>
          <w:lang w:val="en-AU"/>
        </w:rPr>
        <w:t xml:space="preserve">in patients with severe hepatic impairment (Child Pugh class C) </w:t>
      </w:r>
      <w:r w:rsidRPr="00AF2BF6">
        <w:rPr>
          <w:rFonts w:asciiTheme="minorHAnsi" w:eastAsiaTheme="minorHAnsi" w:hAnsiTheme="minorHAnsi" w:cs="Arial"/>
          <w:color w:val="000000" w:themeColor="text1"/>
          <w:lang w:val="en-AU"/>
        </w:rPr>
        <w:t xml:space="preserve">are unknown. </w:t>
      </w:r>
    </w:p>
    <w:p w14:paraId="15A9E3C2" w14:textId="77777777" w:rsidR="00F50D3D" w:rsidRPr="00AF2BF6" w:rsidRDefault="00C56D2F" w:rsidP="00621FF9">
      <w:pPr>
        <w:pStyle w:val="Heading2"/>
        <w:numPr>
          <w:ilvl w:val="1"/>
          <w:numId w:val="6"/>
        </w:numPr>
      </w:pPr>
      <w:r w:rsidRPr="00AF2BF6">
        <w:t>Preclinical safety data</w:t>
      </w:r>
    </w:p>
    <w:p w14:paraId="23E99A1F" w14:textId="6EC995CC" w:rsidR="00527169" w:rsidRPr="00AF2BF6" w:rsidRDefault="00527169" w:rsidP="00450D1E">
      <w:pPr>
        <w:pStyle w:val="Heading4"/>
      </w:pPr>
      <w:r w:rsidRPr="00AF2BF6">
        <w:t>Genotoxicity</w:t>
      </w:r>
    </w:p>
    <w:p w14:paraId="53CA5287" w14:textId="670EA1A7" w:rsidR="00527169" w:rsidRDefault="006276D6" w:rsidP="006276D6">
      <w:pPr>
        <w:widowControl/>
        <w:autoSpaceDE/>
        <w:spacing w:after="200" w:line="276" w:lineRule="auto"/>
        <w:rPr>
          <w:rFonts w:asciiTheme="minorHAnsi" w:eastAsiaTheme="minorHAnsi" w:hAnsiTheme="minorHAnsi" w:cs="Arial"/>
          <w:color w:val="000000" w:themeColor="text1"/>
        </w:rPr>
      </w:pPr>
      <w:r>
        <w:rPr>
          <w:rFonts w:asciiTheme="minorHAnsi" w:eastAsiaTheme="minorHAnsi" w:hAnsiTheme="minorHAnsi" w:cs="Arial"/>
          <w:color w:val="000000" w:themeColor="text1"/>
          <w:lang w:val="en-AU"/>
        </w:rPr>
        <w:t xml:space="preserve">Ivosidenib was not mutagenic in a bacterial reverse mutation assay or clastogenic </w:t>
      </w:r>
      <w:r>
        <w:rPr>
          <w:rFonts w:asciiTheme="minorHAnsi" w:eastAsiaTheme="minorHAnsi" w:hAnsiTheme="minorHAnsi" w:cs="Arial"/>
          <w:i/>
          <w:iCs/>
          <w:color w:val="000000" w:themeColor="text1"/>
          <w:lang w:val="en-AU"/>
        </w:rPr>
        <w:t>in vitro</w:t>
      </w:r>
      <w:r>
        <w:rPr>
          <w:rFonts w:asciiTheme="minorHAnsi" w:eastAsiaTheme="minorHAnsi" w:hAnsiTheme="minorHAnsi" w:cs="Arial"/>
          <w:color w:val="000000" w:themeColor="text1"/>
          <w:lang w:val="en-AU"/>
        </w:rPr>
        <w:t xml:space="preserve"> in human lymphocytes or </w:t>
      </w:r>
      <w:r>
        <w:rPr>
          <w:rFonts w:asciiTheme="minorHAnsi" w:eastAsiaTheme="minorHAnsi" w:hAnsiTheme="minorHAnsi" w:cs="Arial"/>
          <w:i/>
          <w:iCs/>
          <w:color w:val="000000" w:themeColor="text1"/>
          <w:lang w:val="en-AU"/>
        </w:rPr>
        <w:t>in vivo</w:t>
      </w:r>
      <w:r>
        <w:rPr>
          <w:rFonts w:asciiTheme="minorHAnsi" w:eastAsiaTheme="minorHAnsi" w:hAnsiTheme="minorHAnsi" w:cs="Arial"/>
          <w:color w:val="000000" w:themeColor="text1"/>
          <w:lang w:val="en-AU"/>
        </w:rPr>
        <w:t xml:space="preserve"> in a rat micronucleus assay. </w:t>
      </w:r>
    </w:p>
    <w:p w14:paraId="13CCF8E3" w14:textId="77777777" w:rsidR="00527169" w:rsidRPr="00AF2BF6" w:rsidRDefault="00527169" w:rsidP="00450D1E">
      <w:pPr>
        <w:pStyle w:val="Heading4"/>
      </w:pPr>
      <w:r w:rsidRPr="00AF2BF6">
        <w:t>Carcinogenicity</w:t>
      </w:r>
    </w:p>
    <w:p w14:paraId="3974C8E6" w14:textId="5C1D0DAA" w:rsidR="00527169" w:rsidRPr="00AF2BF6" w:rsidRDefault="00527169" w:rsidP="00527169">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Carcinogenicity studies have not been conducted with ivosidenib.</w:t>
      </w:r>
    </w:p>
    <w:p w14:paraId="3B7709BA" w14:textId="77777777" w:rsidR="00B8207E" w:rsidRPr="00AF2BF6" w:rsidRDefault="00B8207E" w:rsidP="002C2B95">
      <w:pPr>
        <w:pStyle w:val="Heading1"/>
      </w:pPr>
      <w:r w:rsidRPr="00AF2BF6">
        <w:t>Pharmaceutical particulars</w:t>
      </w:r>
    </w:p>
    <w:p w14:paraId="60BD0633" w14:textId="77777777" w:rsidR="00B8207E" w:rsidRPr="00AF2BF6" w:rsidRDefault="00B8207E" w:rsidP="00621FF9">
      <w:pPr>
        <w:pStyle w:val="Heading2"/>
        <w:numPr>
          <w:ilvl w:val="1"/>
          <w:numId w:val="6"/>
        </w:numPr>
      </w:pPr>
      <w:r w:rsidRPr="00AF2BF6">
        <w:t>List of excipients</w:t>
      </w:r>
    </w:p>
    <w:p w14:paraId="4803B178" w14:textId="067580C2"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Microcrystalline cellulose</w:t>
      </w:r>
    </w:p>
    <w:p w14:paraId="4F6A93D9" w14:textId="64D9456D"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 xml:space="preserve">Croscarmellose sodium </w:t>
      </w:r>
    </w:p>
    <w:p w14:paraId="242349AA" w14:textId="77777777"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Hypromellose acetate succinate</w:t>
      </w:r>
    </w:p>
    <w:p w14:paraId="68E9A4C6" w14:textId="4AFB730F" w:rsidR="00E7063F" w:rsidRPr="00AF2BF6" w:rsidRDefault="00601E78"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Arial" w:eastAsiaTheme="minorHAnsi" w:hAnsi="Arial" w:cs="Arial"/>
          <w:lang w:val="en-AU"/>
        </w:rPr>
        <w:t>C</w:t>
      </w:r>
      <w:r w:rsidRPr="00AF2BF6">
        <w:rPr>
          <w:rFonts w:ascii="Arial" w:eastAsiaTheme="minorHAnsi" w:hAnsi="Arial" w:cs="Arial"/>
          <w:sz w:val="20"/>
          <w:szCs w:val="20"/>
          <w:lang w:val="en-AU"/>
        </w:rPr>
        <w:t>olloidal anhydrous silica</w:t>
      </w:r>
      <w:r w:rsidRPr="00AF2BF6">
        <w:rPr>
          <w:rFonts w:asciiTheme="minorHAnsi" w:eastAsiaTheme="minorHAnsi" w:hAnsiTheme="minorHAnsi" w:cs="Arial"/>
          <w:color w:val="000000" w:themeColor="text1"/>
          <w:lang w:val="en-AU"/>
        </w:rPr>
        <w:t xml:space="preserve"> </w:t>
      </w:r>
    </w:p>
    <w:p w14:paraId="2CFE314D" w14:textId="2B79E755"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lastRenderedPageBreak/>
        <w:t>Magnesium stearate</w:t>
      </w:r>
    </w:p>
    <w:p w14:paraId="6B63DFE2" w14:textId="7EAC7C65"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Sodium lauryl sulfate</w:t>
      </w:r>
    </w:p>
    <w:p w14:paraId="6584B011" w14:textId="2458ADF0"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Hypromellose</w:t>
      </w:r>
    </w:p>
    <w:p w14:paraId="2894FDEA" w14:textId="79159365"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Titanium dioxide</w:t>
      </w:r>
    </w:p>
    <w:p w14:paraId="36714BE6" w14:textId="4D864C64"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Lactose monohydrate</w:t>
      </w:r>
    </w:p>
    <w:p w14:paraId="76DDC528" w14:textId="342D6881" w:rsidR="00E7063F" w:rsidRPr="00AF2BF6" w:rsidRDefault="00E7063F" w:rsidP="00CB46CD">
      <w:pPr>
        <w:pStyle w:val="ListParagraph"/>
        <w:widowControl/>
        <w:numPr>
          <w:ilvl w:val="0"/>
          <w:numId w:val="8"/>
        </w:numPr>
        <w:autoSpaceDE/>
        <w:autoSpaceDN/>
        <w:spacing w:after="6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Triacetin</w:t>
      </w:r>
    </w:p>
    <w:p w14:paraId="34E196DA" w14:textId="4D0EDDFA" w:rsidR="00E7063F" w:rsidRPr="00AF2BF6" w:rsidRDefault="00E7063F" w:rsidP="00621FF9">
      <w:pPr>
        <w:pStyle w:val="ListParagraph"/>
        <w:widowControl/>
        <w:numPr>
          <w:ilvl w:val="0"/>
          <w:numId w:val="8"/>
        </w:numPr>
        <w:autoSpaceDE/>
        <w:autoSpaceDN/>
        <w:spacing w:after="200" w:line="276" w:lineRule="auto"/>
        <w:ind w:left="360"/>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Indigo carmine alumin</w:t>
      </w:r>
      <w:r w:rsidR="00C524FE" w:rsidRPr="00AF2BF6">
        <w:rPr>
          <w:rFonts w:asciiTheme="minorHAnsi" w:eastAsiaTheme="minorHAnsi" w:hAnsiTheme="minorHAnsi" w:cs="Arial"/>
          <w:color w:val="000000" w:themeColor="text1"/>
          <w:lang w:val="en-AU"/>
        </w:rPr>
        <w:t>i</w:t>
      </w:r>
      <w:r w:rsidRPr="00AF2BF6">
        <w:rPr>
          <w:rFonts w:asciiTheme="minorHAnsi" w:eastAsiaTheme="minorHAnsi" w:hAnsiTheme="minorHAnsi" w:cs="Arial"/>
          <w:color w:val="000000" w:themeColor="text1"/>
          <w:lang w:val="en-AU"/>
        </w:rPr>
        <w:t>um lake</w:t>
      </w:r>
    </w:p>
    <w:p w14:paraId="0C5C67C3" w14:textId="31F52732" w:rsidR="00B8207E" w:rsidRPr="00AF2BF6" w:rsidRDefault="00B8207E" w:rsidP="00621FF9">
      <w:pPr>
        <w:pStyle w:val="Heading2"/>
        <w:numPr>
          <w:ilvl w:val="1"/>
          <w:numId w:val="6"/>
        </w:numPr>
      </w:pPr>
      <w:r w:rsidRPr="00AF2BF6">
        <w:t>Incompatibilities</w:t>
      </w:r>
    </w:p>
    <w:p w14:paraId="50054BA0" w14:textId="503EA448" w:rsidR="00B8207E" w:rsidRPr="00AF2BF6" w:rsidRDefault="00B8207E" w:rsidP="00C260D7">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Incompatibilities were either not assessed or not identified as part of the registration of this medicine.</w:t>
      </w:r>
    </w:p>
    <w:p w14:paraId="23036188" w14:textId="77777777" w:rsidR="00B8207E" w:rsidRPr="00AF2BF6" w:rsidRDefault="00B8207E" w:rsidP="00621FF9">
      <w:pPr>
        <w:pStyle w:val="Heading2"/>
        <w:numPr>
          <w:ilvl w:val="1"/>
          <w:numId w:val="6"/>
        </w:numPr>
      </w:pPr>
      <w:r w:rsidRPr="00AF2BF6">
        <w:t>Shelf life</w:t>
      </w:r>
    </w:p>
    <w:p w14:paraId="53C158A0" w14:textId="0E314A35" w:rsidR="00B8207E" w:rsidRPr="003E67F2" w:rsidRDefault="007E4FBF" w:rsidP="00EC3490">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 xml:space="preserve">In Australia, information on the shelf life can be found on the public summary of the Australian Register of Therapeutic </w:t>
      </w:r>
      <w:r w:rsidRPr="003E67F2">
        <w:rPr>
          <w:rFonts w:asciiTheme="minorHAnsi" w:eastAsiaTheme="minorHAnsi" w:hAnsiTheme="minorHAnsi" w:cs="Arial"/>
          <w:color w:val="000000" w:themeColor="text1"/>
          <w:lang w:val="en-AU"/>
        </w:rPr>
        <w:t>Goods (ARTG). The expiry date can be found on the packaging.</w:t>
      </w:r>
    </w:p>
    <w:p w14:paraId="3B71D122" w14:textId="77777777" w:rsidR="00B8207E" w:rsidRPr="003E67F2" w:rsidRDefault="00B8207E" w:rsidP="00621FF9">
      <w:pPr>
        <w:pStyle w:val="Heading2"/>
        <w:numPr>
          <w:ilvl w:val="1"/>
          <w:numId w:val="6"/>
        </w:numPr>
      </w:pPr>
      <w:r w:rsidRPr="003E67F2">
        <w:t>Special precautions for storage</w:t>
      </w:r>
    </w:p>
    <w:p w14:paraId="246BCED0" w14:textId="6DED959F" w:rsidR="00E813B6" w:rsidRPr="00AF2BF6" w:rsidRDefault="00E813B6" w:rsidP="00EC3490">
      <w:pPr>
        <w:widowControl/>
        <w:autoSpaceDE/>
        <w:autoSpaceDN/>
        <w:spacing w:after="200" w:line="276" w:lineRule="auto"/>
        <w:rPr>
          <w:rFonts w:asciiTheme="minorHAnsi" w:eastAsiaTheme="minorHAnsi" w:hAnsiTheme="minorHAnsi" w:cs="Arial"/>
          <w:color w:val="000000" w:themeColor="text1"/>
          <w:lang w:val="en-AU"/>
        </w:rPr>
      </w:pPr>
      <w:r w:rsidRPr="003E67F2">
        <w:rPr>
          <w:rFonts w:asciiTheme="minorHAnsi" w:eastAsiaTheme="minorHAnsi" w:hAnsiTheme="minorHAnsi" w:cs="Arial"/>
          <w:color w:val="000000" w:themeColor="text1"/>
          <w:lang w:val="en-AU"/>
        </w:rPr>
        <w:t>Store in a dry place below 30°C. Keep the</w:t>
      </w:r>
      <w:r w:rsidRPr="00AF2BF6">
        <w:rPr>
          <w:rFonts w:asciiTheme="minorHAnsi" w:eastAsiaTheme="minorHAnsi" w:hAnsiTheme="minorHAnsi" w:cs="Arial"/>
          <w:color w:val="000000" w:themeColor="text1"/>
          <w:lang w:val="en-AU"/>
        </w:rPr>
        <w:t xml:space="preserve"> bottle tightly closed to protect from moisture.</w:t>
      </w:r>
    </w:p>
    <w:p w14:paraId="3F069743" w14:textId="77777777" w:rsidR="00B8207E" w:rsidRPr="00AF2BF6" w:rsidRDefault="00B8207E" w:rsidP="00621FF9">
      <w:pPr>
        <w:pStyle w:val="Heading2"/>
        <w:numPr>
          <w:ilvl w:val="1"/>
          <w:numId w:val="6"/>
        </w:numPr>
      </w:pPr>
      <w:r w:rsidRPr="00AF2BF6">
        <w:t>Nature and contents of container</w:t>
      </w:r>
    </w:p>
    <w:p w14:paraId="020BD25C" w14:textId="77777777" w:rsidR="000C41F4" w:rsidRPr="00AF2BF6" w:rsidRDefault="000C41F4" w:rsidP="000C41F4">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White, high density polyethylene (HDPE) bottle with polypropylene (PP) child resistant closure and polyethylene (PE) faced induction heat seal liner. Each bottle contains 60 film-coated tablets and a silica gel desiccant in a HDPE canister. The bottles are packaged in a cardboard box; each box contains 1 bottle.</w:t>
      </w:r>
    </w:p>
    <w:p w14:paraId="5D0640CF" w14:textId="77777777" w:rsidR="00B8207E" w:rsidRPr="00AF2BF6" w:rsidRDefault="00B8207E" w:rsidP="00621FF9">
      <w:pPr>
        <w:pStyle w:val="Heading2"/>
        <w:numPr>
          <w:ilvl w:val="1"/>
          <w:numId w:val="6"/>
        </w:numPr>
      </w:pPr>
      <w:r w:rsidRPr="00AF2BF6">
        <w:t>Special precautions for disposal</w:t>
      </w:r>
    </w:p>
    <w:p w14:paraId="53F13537" w14:textId="4D7FACDA" w:rsidR="00B8207E" w:rsidRPr="00AF2BF6" w:rsidRDefault="00B8207E" w:rsidP="00EC3490">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In Australia, any unused medicine or waste material should be disposed of by taking to your local pharmacy.</w:t>
      </w:r>
    </w:p>
    <w:p w14:paraId="67936E06" w14:textId="77777777" w:rsidR="00B8207E" w:rsidRPr="00AF2BF6" w:rsidRDefault="00B8207E" w:rsidP="00621FF9">
      <w:pPr>
        <w:pStyle w:val="Heading2"/>
        <w:numPr>
          <w:ilvl w:val="1"/>
          <w:numId w:val="6"/>
        </w:numPr>
      </w:pPr>
      <w:r w:rsidRPr="00AF2BF6">
        <w:t>Physicochemical properties</w:t>
      </w:r>
    </w:p>
    <w:p w14:paraId="73EE11E4" w14:textId="50A42898" w:rsidR="009C507C" w:rsidRPr="00AF2BF6" w:rsidRDefault="00981673" w:rsidP="0020742C">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 xml:space="preserve">The active component of TIBSOVO is ivosidenib which is a white to light yellow solid and has the chemical name: Glycinamide, 1-(4-cyano-2-pyridinyl)-5-oxo-L-prolyl-2-(2-chlorophenyl)-N-(3,3-difluorocyclobutyl)-N2-(5-fluoro-3-pyridinyl)-, (2S)- </w:t>
      </w:r>
      <w:r w:rsidRPr="00AF2BF6">
        <w:rPr>
          <w:rFonts w:cs="Arial"/>
          <w:color w:val="000000" w:themeColor="text1"/>
        </w:rPr>
        <w:t xml:space="preserve">and </w:t>
      </w:r>
      <w:r w:rsidRPr="00AF2BF6">
        <w:rPr>
          <w:rFonts w:asciiTheme="minorHAnsi" w:eastAsiaTheme="minorHAnsi" w:hAnsiTheme="minorHAnsi" w:cs="Arial"/>
          <w:color w:val="000000" w:themeColor="text1"/>
          <w:lang w:val="en-AU"/>
        </w:rPr>
        <w:t>molecular formula: C</w:t>
      </w:r>
      <w:r w:rsidRPr="00AF2BF6">
        <w:rPr>
          <w:rFonts w:asciiTheme="minorHAnsi" w:eastAsiaTheme="minorHAnsi" w:hAnsiTheme="minorHAnsi" w:cs="Arial"/>
          <w:color w:val="000000" w:themeColor="text1"/>
          <w:vertAlign w:val="subscript"/>
          <w:lang w:val="en-AU"/>
        </w:rPr>
        <w:t>28</w:t>
      </w:r>
      <w:r w:rsidRPr="00AF2BF6">
        <w:rPr>
          <w:rFonts w:asciiTheme="minorHAnsi" w:eastAsiaTheme="minorHAnsi" w:hAnsiTheme="minorHAnsi" w:cs="Arial"/>
          <w:color w:val="000000" w:themeColor="text1"/>
          <w:lang w:val="en-AU"/>
        </w:rPr>
        <w:t>H</w:t>
      </w:r>
      <w:r w:rsidRPr="00AF2BF6">
        <w:rPr>
          <w:rFonts w:asciiTheme="minorHAnsi" w:eastAsiaTheme="minorHAnsi" w:hAnsiTheme="minorHAnsi" w:cs="Arial"/>
          <w:color w:val="000000" w:themeColor="text1"/>
          <w:vertAlign w:val="subscript"/>
          <w:lang w:val="en-AU"/>
        </w:rPr>
        <w:t>22</w:t>
      </w:r>
      <w:r w:rsidRPr="00AF2BF6">
        <w:rPr>
          <w:rFonts w:asciiTheme="minorHAnsi" w:eastAsiaTheme="minorHAnsi" w:hAnsiTheme="minorHAnsi" w:cs="Arial"/>
          <w:color w:val="000000" w:themeColor="text1"/>
          <w:lang w:val="en-AU"/>
        </w:rPr>
        <w:t>ClF</w:t>
      </w:r>
      <w:r w:rsidRPr="00AF2BF6">
        <w:rPr>
          <w:rFonts w:asciiTheme="minorHAnsi" w:eastAsiaTheme="minorHAnsi" w:hAnsiTheme="minorHAnsi" w:cs="Arial"/>
          <w:color w:val="000000" w:themeColor="text1"/>
          <w:vertAlign w:val="subscript"/>
          <w:lang w:val="en-AU"/>
        </w:rPr>
        <w:t>3</w:t>
      </w:r>
      <w:r w:rsidRPr="00AF2BF6">
        <w:rPr>
          <w:rFonts w:asciiTheme="minorHAnsi" w:eastAsiaTheme="minorHAnsi" w:hAnsiTheme="minorHAnsi" w:cs="Arial"/>
          <w:color w:val="000000" w:themeColor="text1"/>
          <w:lang w:val="en-AU"/>
        </w:rPr>
        <w:t>N</w:t>
      </w:r>
      <w:r w:rsidRPr="00AF2BF6">
        <w:rPr>
          <w:rFonts w:asciiTheme="minorHAnsi" w:eastAsiaTheme="minorHAnsi" w:hAnsiTheme="minorHAnsi" w:cs="Arial"/>
          <w:color w:val="000000" w:themeColor="text1"/>
          <w:vertAlign w:val="subscript"/>
          <w:lang w:val="en-AU"/>
        </w:rPr>
        <w:t>6</w:t>
      </w:r>
      <w:r w:rsidRPr="00AF2BF6">
        <w:rPr>
          <w:rFonts w:asciiTheme="minorHAnsi" w:eastAsiaTheme="minorHAnsi" w:hAnsiTheme="minorHAnsi" w:cs="Arial"/>
          <w:color w:val="000000" w:themeColor="text1"/>
          <w:lang w:val="en-AU"/>
        </w:rPr>
        <w:t>O</w:t>
      </w:r>
      <w:r w:rsidRPr="00AF2BF6">
        <w:rPr>
          <w:rFonts w:asciiTheme="minorHAnsi" w:eastAsiaTheme="minorHAnsi" w:hAnsiTheme="minorHAnsi" w:cs="Arial"/>
          <w:color w:val="000000" w:themeColor="text1"/>
          <w:vertAlign w:val="subscript"/>
          <w:lang w:val="en-AU"/>
        </w:rPr>
        <w:t>3</w:t>
      </w:r>
      <w:r w:rsidRPr="00AF2BF6">
        <w:rPr>
          <w:rFonts w:asciiTheme="minorHAnsi" w:eastAsiaTheme="minorHAnsi" w:hAnsiTheme="minorHAnsi" w:cs="Arial"/>
          <w:color w:val="000000" w:themeColor="text1"/>
          <w:lang w:val="en-AU"/>
        </w:rPr>
        <w:t xml:space="preserve"> (MW = 583.0). Ivosidenib is practically insoluble in aqueous solutions</w:t>
      </w:r>
      <w:r w:rsidR="007E1BD1" w:rsidRPr="00AF2BF6">
        <w:rPr>
          <w:rFonts w:asciiTheme="minorHAnsi" w:eastAsiaTheme="minorHAnsi" w:hAnsiTheme="minorHAnsi" w:cs="Arial"/>
          <w:color w:val="000000" w:themeColor="text1"/>
          <w:lang w:val="en-AU"/>
        </w:rPr>
        <w:t xml:space="preserve"> </w:t>
      </w:r>
      <w:r w:rsidRPr="00AF2BF6">
        <w:rPr>
          <w:rFonts w:asciiTheme="minorHAnsi" w:eastAsiaTheme="minorHAnsi" w:hAnsiTheme="minorHAnsi" w:cs="Arial"/>
          <w:color w:val="000000" w:themeColor="text1"/>
          <w:lang w:val="en-AU"/>
        </w:rPr>
        <w:t>and is variably soluble in various organic solvents</w:t>
      </w:r>
      <w:r w:rsidR="00A43BCA" w:rsidRPr="00AF2BF6">
        <w:rPr>
          <w:rFonts w:asciiTheme="minorHAnsi" w:eastAsiaTheme="minorHAnsi" w:hAnsiTheme="minorHAnsi" w:cs="Arial"/>
          <w:color w:val="000000" w:themeColor="text1"/>
          <w:lang w:val="en-AU"/>
        </w:rPr>
        <w:t>.</w:t>
      </w:r>
    </w:p>
    <w:p w14:paraId="379D62D1" w14:textId="018A2E98" w:rsidR="00B8207E" w:rsidRPr="00AF2BF6" w:rsidRDefault="00B8207E" w:rsidP="00347B63">
      <w:pPr>
        <w:pStyle w:val="Heading3"/>
        <w:pageBreakBefore/>
        <w:widowControl/>
        <w:autoSpaceDE/>
        <w:autoSpaceDN/>
        <w:spacing w:before="120" w:after="120" w:line="276" w:lineRule="auto"/>
        <w:ind w:left="227"/>
        <w:rPr>
          <w:b/>
          <w:bCs/>
          <w:color w:val="auto"/>
          <w:szCs w:val="22"/>
          <w:lang w:val="en-AU"/>
        </w:rPr>
      </w:pPr>
      <w:r w:rsidRPr="00AF2BF6">
        <w:rPr>
          <w:b/>
          <w:bCs/>
          <w:color w:val="auto"/>
          <w:szCs w:val="22"/>
          <w:lang w:val="en-AU"/>
        </w:rPr>
        <w:lastRenderedPageBreak/>
        <w:t>Chemical structure</w:t>
      </w:r>
    </w:p>
    <w:p w14:paraId="046F2D22" w14:textId="77777777" w:rsidR="002C1064" w:rsidRPr="00AF2BF6" w:rsidRDefault="002C1064" w:rsidP="002C1064">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The chemical structure of ivosidenib free form drug substance:</w:t>
      </w:r>
    </w:p>
    <w:p w14:paraId="2BE4B116" w14:textId="4A36AE76" w:rsidR="00B8207E" w:rsidRPr="00AF2BF6" w:rsidRDefault="00023360" w:rsidP="002C1064">
      <w:pPr>
        <w:widowControl/>
        <w:autoSpaceDE/>
        <w:autoSpaceDN/>
        <w:spacing w:after="200" w:line="276" w:lineRule="auto"/>
        <w:jc w:val="center"/>
        <w:rPr>
          <w:rFonts w:asciiTheme="minorHAnsi" w:eastAsiaTheme="minorHAnsi" w:hAnsiTheme="minorHAnsi" w:cs="Arial"/>
          <w:color w:val="000000" w:themeColor="text1"/>
          <w:lang w:val="en-AU"/>
        </w:rPr>
      </w:pPr>
      <w:r w:rsidRPr="00AF2BF6">
        <w:rPr>
          <w:rFonts w:asciiTheme="minorHAnsi" w:eastAsiaTheme="minorHAnsi" w:hAnsiTheme="minorHAnsi" w:cs="Arial"/>
          <w:noProof/>
          <w:color w:val="000000" w:themeColor="text1"/>
          <w:lang w:val="en-AU"/>
        </w:rPr>
        <w:drawing>
          <wp:inline distT="0" distB="0" distL="0" distR="0" wp14:anchorId="271D1264" wp14:editId="6E17FE96">
            <wp:extent cx="2852928" cy="20108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6910" cy="2013689"/>
                    </a:xfrm>
                    <a:prstGeom prst="rect">
                      <a:avLst/>
                    </a:prstGeom>
                    <a:noFill/>
                    <a:ln>
                      <a:noFill/>
                    </a:ln>
                  </pic:spPr>
                </pic:pic>
              </a:graphicData>
            </a:graphic>
          </wp:inline>
        </w:drawing>
      </w:r>
    </w:p>
    <w:p w14:paraId="7F6A6591" w14:textId="77777777" w:rsidR="00B8207E" w:rsidRPr="00AF2BF6" w:rsidRDefault="00B8207E" w:rsidP="00E74982">
      <w:pPr>
        <w:pStyle w:val="Heading3"/>
        <w:widowControl/>
        <w:autoSpaceDE/>
        <w:autoSpaceDN/>
        <w:spacing w:before="120" w:after="120" w:line="276" w:lineRule="auto"/>
        <w:ind w:left="227"/>
        <w:rPr>
          <w:b/>
          <w:bCs/>
          <w:color w:val="auto"/>
          <w:szCs w:val="22"/>
          <w:lang w:val="en-AU"/>
        </w:rPr>
      </w:pPr>
      <w:r w:rsidRPr="00AF2BF6">
        <w:rPr>
          <w:b/>
          <w:bCs/>
          <w:color w:val="auto"/>
          <w:szCs w:val="22"/>
          <w:lang w:val="en-AU"/>
        </w:rPr>
        <w:t>CAS number</w:t>
      </w:r>
    </w:p>
    <w:p w14:paraId="2FC75DF1" w14:textId="1487C8E9" w:rsidR="00B8207E" w:rsidRPr="00AF2BF6" w:rsidRDefault="00D44A5A" w:rsidP="00E74982">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1448347-49-6</w:t>
      </w:r>
    </w:p>
    <w:p w14:paraId="68EACB2E" w14:textId="77777777" w:rsidR="00AC051B" w:rsidRPr="00AF2BF6" w:rsidRDefault="00AC051B" w:rsidP="005947A1">
      <w:pPr>
        <w:pStyle w:val="Heading1"/>
      </w:pPr>
      <w:r w:rsidRPr="00AF2BF6">
        <w:t>Medicine schedule (Poisons Standard)</w:t>
      </w:r>
    </w:p>
    <w:p w14:paraId="1281A471" w14:textId="77777777" w:rsidR="00AC051B" w:rsidRPr="00AF2BF6" w:rsidRDefault="00AC051B" w:rsidP="00EC3490">
      <w:pPr>
        <w:widowControl/>
        <w:autoSpaceDE/>
        <w:autoSpaceDN/>
        <w:spacing w:after="200" w:line="276" w:lineRule="auto"/>
        <w:rPr>
          <w:rFonts w:asciiTheme="minorHAnsi" w:eastAsiaTheme="minorHAnsi" w:hAnsiTheme="minorHAnsi" w:cs="Arial"/>
          <w:color w:val="000000" w:themeColor="text1"/>
          <w:lang w:val="en-AU"/>
        </w:rPr>
      </w:pPr>
      <w:r w:rsidRPr="00AF2BF6">
        <w:rPr>
          <w:rFonts w:asciiTheme="minorHAnsi" w:eastAsiaTheme="minorHAnsi" w:hAnsiTheme="minorHAnsi" w:cs="Arial"/>
          <w:color w:val="000000" w:themeColor="text1"/>
          <w:lang w:val="en-AU"/>
        </w:rPr>
        <w:t>S4 - Prescription only medicine</w:t>
      </w:r>
    </w:p>
    <w:p w14:paraId="128E38C7" w14:textId="77777777" w:rsidR="00AC051B" w:rsidRPr="00AF2BF6" w:rsidRDefault="00AC051B" w:rsidP="00621FF9">
      <w:pPr>
        <w:pStyle w:val="Heading1"/>
      </w:pPr>
      <w:r w:rsidRPr="00AF2BF6">
        <w:t>Sponsor</w:t>
      </w:r>
    </w:p>
    <w:p w14:paraId="746161D1" w14:textId="77777777" w:rsidR="00042910" w:rsidRPr="00AF2BF6" w:rsidRDefault="00042910" w:rsidP="00042910">
      <w:pPr>
        <w:rPr>
          <w:rFonts w:asciiTheme="minorHAnsi" w:hAnsiTheme="minorHAnsi" w:cstheme="minorHAnsi"/>
          <w:color w:val="000000" w:themeColor="text1"/>
        </w:rPr>
      </w:pPr>
      <w:r w:rsidRPr="00AF2BF6">
        <w:rPr>
          <w:rFonts w:asciiTheme="minorHAnsi" w:hAnsiTheme="minorHAnsi" w:cstheme="minorHAnsi"/>
          <w:color w:val="000000" w:themeColor="text1"/>
        </w:rPr>
        <w:t>Servier Laboratories (Aust.) Pty. Ltd.</w:t>
      </w:r>
    </w:p>
    <w:p w14:paraId="56F27D25" w14:textId="755AC15E" w:rsidR="00042910" w:rsidRPr="00AF2BF6" w:rsidRDefault="005324DD" w:rsidP="00042910">
      <w:pPr>
        <w:widowControl/>
        <w:autoSpaceDE/>
        <w:autoSpaceDN/>
        <w:spacing w:line="276" w:lineRule="auto"/>
        <w:rPr>
          <w:rFonts w:asciiTheme="minorHAnsi" w:eastAsiaTheme="minorHAnsi" w:hAnsiTheme="minorHAnsi" w:cstheme="minorHAnsi"/>
          <w:color w:val="0000FF"/>
          <w:lang w:val="en-AU"/>
        </w:rPr>
      </w:pPr>
      <w:hyperlink r:id="rId14" w:history="1">
        <w:r w:rsidR="00042910" w:rsidRPr="00AF2BF6">
          <w:rPr>
            <w:rFonts w:asciiTheme="minorHAnsi" w:eastAsiaTheme="minorHAnsi" w:hAnsiTheme="minorHAnsi" w:cstheme="minorHAnsi"/>
            <w:color w:val="0000FF"/>
            <w:lang w:val="en-AU"/>
          </w:rPr>
          <w:t>www.servier.com.au</w:t>
        </w:r>
      </w:hyperlink>
    </w:p>
    <w:p w14:paraId="2FB7D5C6" w14:textId="77777777" w:rsidR="00042910" w:rsidRPr="00AF2BF6" w:rsidRDefault="00042910" w:rsidP="00042910">
      <w:pPr>
        <w:widowControl/>
        <w:autoSpaceDE/>
        <w:autoSpaceDN/>
        <w:spacing w:line="276" w:lineRule="auto"/>
        <w:rPr>
          <w:rFonts w:asciiTheme="minorHAnsi" w:eastAsiaTheme="minorHAnsi" w:hAnsiTheme="minorHAnsi" w:cstheme="minorHAnsi"/>
          <w:color w:val="000000" w:themeColor="text1"/>
          <w:lang w:val="en-AU"/>
        </w:rPr>
      </w:pPr>
      <w:r w:rsidRPr="00AF2BF6">
        <w:rPr>
          <w:rFonts w:asciiTheme="minorHAnsi" w:eastAsiaTheme="minorHAnsi" w:hAnsiTheme="minorHAnsi" w:cstheme="minorHAnsi"/>
          <w:color w:val="000000" w:themeColor="text1"/>
          <w:lang w:val="en-AU"/>
        </w:rPr>
        <w:t>Level 4, Building 9</w:t>
      </w:r>
    </w:p>
    <w:p w14:paraId="3A90E4E5" w14:textId="77777777" w:rsidR="00042910" w:rsidRPr="00AF2BF6" w:rsidRDefault="00042910" w:rsidP="00042910">
      <w:pPr>
        <w:widowControl/>
        <w:autoSpaceDE/>
        <w:autoSpaceDN/>
        <w:spacing w:line="276" w:lineRule="auto"/>
        <w:rPr>
          <w:rFonts w:asciiTheme="minorHAnsi" w:eastAsiaTheme="minorHAnsi" w:hAnsiTheme="minorHAnsi" w:cstheme="minorHAnsi"/>
          <w:color w:val="000000" w:themeColor="text1"/>
          <w:lang w:val="en-AU"/>
        </w:rPr>
      </w:pPr>
      <w:r w:rsidRPr="00AF2BF6">
        <w:rPr>
          <w:rFonts w:asciiTheme="minorHAnsi" w:eastAsiaTheme="minorHAnsi" w:hAnsiTheme="minorHAnsi" w:cstheme="minorHAnsi"/>
          <w:color w:val="000000" w:themeColor="text1"/>
          <w:lang w:val="en-AU"/>
        </w:rPr>
        <w:t>588A Swan Street</w:t>
      </w:r>
    </w:p>
    <w:p w14:paraId="63AA0878" w14:textId="77777777" w:rsidR="00042910" w:rsidRPr="00AF2BF6" w:rsidRDefault="00042910" w:rsidP="00042910">
      <w:pPr>
        <w:widowControl/>
        <w:autoSpaceDE/>
        <w:autoSpaceDN/>
        <w:spacing w:after="200" w:line="276" w:lineRule="auto"/>
        <w:rPr>
          <w:rFonts w:asciiTheme="minorHAnsi" w:eastAsiaTheme="minorHAnsi" w:hAnsiTheme="minorHAnsi" w:cstheme="minorHAnsi"/>
          <w:color w:val="000000" w:themeColor="text1"/>
          <w:lang w:val="en-AU"/>
        </w:rPr>
      </w:pPr>
      <w:r w:rsidRPr="00AF2BF6">
        <w:rPr>
          <w:rFonts w:asciiTheme="minorHAnsi" w:eastAsiaTheme="minorHAnsi" w:hAnsiTheme="minorHAnsi" w:cstheme="minorHAnsi"/>
          <w:color w:val="000000" w:themeColor="text1"/>
          <w:lang w:val="en-AU"/>
        </w:rPr>
        <w:t>Burnley, 3121, Victoria</w:t>
      </w:r>
    </w:p>
    <w:p w14:paraId="5FE7A002" w14:textId="77777777" w:rsidR="00AC051B" w:rsidRPr="00AF2BF6" w:rsidRDefault="00AC051B" w:rsidP="00621FF9">
      <w:pPr>
        <w:pStyle w:val="Heading1"/>
      </w:pPr>
      <w:r w:rsidRPr="00AF2BF6">
        <w:t>Date of first approval</w:t>
      </w:r>
    </w:p>
    <w:p w14:paraId="5AB72369" w14:textId="3B49E8AC" w:rsidR="00AC051B" w:rsidRPr="00AF2BF6" w:rsidRDefault="006708BD" w:rsidP="005E4402">
      <w:pPr>
        <w:widowControl/>
        <w:autoSpaceDE/>
        <w:autoSpaceDN/>
        <w:spacing w:after="200" w:line="276" w:lineRule="auto"/>
        <w:rPr>
          <w:rFonts w:asciiTheme="minorHAnsi" w:eastAsiaTheme="minorHAnsi" w:hAnsiTheme="minorHAnsi" w:cs="Arial"/>
          <w:color w:val="000000" w:themeColor="text1"/>
          <w:lang w:val="en-AU"/>
        </w:rPr>
      </w:pPr>
      <w:r>
        <w:rPr>
          <w:rFonts w:asciiTheme="minorHAnsi" w:eastAsiaTheme="minorHAnsi" w:hAnsiTheme="minorHAnsi" w:cs="Arial"/>
          <w:color w:val="000000" w:themeColor="text1"/>
          <w:lang w:val="en-AU"/>
        </w:rPr>
        <w:t>05 April 2023</w:t>
      </w:r>
    </w:p>
    <w:p w14:paraId="110594CA" w14:textId="77777777" w:rsidR="00AC051B" w:rsidRPr="00AF2BF6" w:rsidRDefault="00AC051B" w:rsidP="00621FF9">
      <w:pPr>
        <w:pStyle w:val="Heading1"/>
      </w:pPr>
      <w:r w:rsidRPr="00AF2BF6">
        <w:t>Date of revision</w:t>
      </w:r>
    </w:p>
    <w:p w14:paraId="03705262" w14:textId="390649AC" w:rsidR="00AC051B" w:rsidRPr="00AF2BF6" w:rsidRDefault="00AC051B" w:rsidP="005E4402">
      <w:pPr>
        <w:widowControl/>
        <w:autoSpaceDE/>
        <w:autoSpaceDN/>
        <w:spacing w:after="200" w:line="276" w:lineRule="auto"/>
        <w:rPr>
          <w:rFonts w:asciiTheme="minorHAnsi" w:eastAsiaTheme="minorHAnsi" w:hAnsiTheme="minorHAnsi" w:cs="Arial"/>
          <w:color w:val="000000" w:themeColor="text1"/>
          <w:lang w:val="en-AU"/>
        </w:rPr>
      </w:pPr>
    </w:p>
    <w:p w14:paraId="445E5D27" w14:textId="77777777" w:rsidR="00AC051B" w:rsidRPr="00AF2BF6" w:rsidRDefault="00AC051B" w:rsidP="00AC051B">
      <w:pPr>
        <w:pStyle w:val="Heading2"/>
        <w:numPr>
          <w:ilvl w:val="0"/>
          <w:numId w:val="0"/>
        </w:numPr>
      </w:pPr>
      <w:r w:rsidRPr="00AF2BF6">
        <w:t>Summary table of changes</w:t>
      </w:r>
    </w:p>
    <w:tbl>
      <w:tblPr>
        <w:tblStyle w:val="LightGrid"/>
        <w:tblW w:w="0" w:type="auto"/>
        <w:tblCellMar>
          <w:top w:w="57" w:type="dxa"/>
          <w:bottom w:w="57" w:type="dxa"/>
        </w:tblCellMar>
        <w:tblLook w:val="06A0" w:firstRow="1" w:lastRow="0" w:firstColumn="1" w:lastColumn="0" w:noHBand="1" w:noVBand="1"/>
      </w:tblPr>
      <w:tblGrid>
        <w:gridCol w:w="2117"/>
        <w:gridCol w:w="7125"/>
      </w:tblGrid>
      <w:tr w:rsidR="00AC051B" w:rsidRPr="00593C57" w14:paraId="19A30320" w14:textId="77777777" w:rsidTr="00A50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7" w:type="dxa"/>
            <w:shd w:val="clear" w:color="auto" w:fill="F2F2F2" w:themeFill="background1" w:themeFillShade="F2"/>
            <w:vAlign w:val="center"/>
          </w:tcPr>
          <w:p w14:paraId="73286EF1" w14:textId="77777777" w:rsidR="00AC051B" w:rsidRPr="00AF2BF6" w:rsidRDefault="00AC051B" w:rsidP="00A50C17">
            <w:pPr>
              <w:rPr>
                <w:color w:val="000000" w:themeColor="text1"/>
                <w:sz w:val="20"/>
              </w:rPr>
            </w:pPr>
            <w:r w:rsidRPr="00AF2BF6">
              <w:rPr>
                <w:color w:val="000000" w:themeColor="text1"/>
                <w:sz w:val="20"/>
              </w:rPr>
              <w:t>Section(s) Changed</w:t>
            </w:r>
          </w:p>
        </w:tc>
        <w:tc>
          <w:tcPr>
            <w:tcW w:w="7125" w:type="dxa"/>
            <w:shd w:val="clear" w:color="auto" w:fill="F2F2F2" w:themeFill="background1" w:themeFillShade="F2"/>
            <w:vAlign w:val="center"/>
          </w:tcPr>
          <w:p w14:paraId="71350238" w14:textId="77777777" w:rsidR="00AC051B" w:rsidRPr="00593C57" w:rsidRDefault="00AC051B" w:rsidP="00A50C17">
            <w:pPr>
              <w:cnfStyle w:val="100000000000" w:firstRow="1" w:lastRow="0" w:firstColumn="0" w:lastColumn="0" w:oddVBand="0" w:evenVBand="0" w:oddHBand="0" w:evenHBand="0" w:firstRowFirstColumn="0" w:firstRowLastColumn="0" w:lastRowFirstColumn="0" w:lastRowLastColumn="0"/>
              <w:rPr>
                <w:color w:val="000000" w:themeColor="text1"/>
                <w:sz w:val="20"/>
              </w:rPr>
            </w:pPr>
            <w:r w:rsidRPr="00AF2BF6">
              <w:rPr>
                <w:color w:val="000000" w:themeColor="text1"/>
                <w:sz w:val="20"/>
              </w:rPr>
              <w:t>Summary of new information</w:t>
            </w:r>
          </w:p>
        </w:tc>
      </w:tr>
      <w:tr w:rsidR="00AC051B" w:rsidRPr="00593C57" w14:paraId="3AC9F403" w14:textId="77777777" w:rsidTr="00A50C17">
        <w:tc>
          <w:tcPr>
            <w:cnfStyle w:val="001000000000" w:firstRow="0" w:lastRow="0" w:firstColumn="1" w:lastColumn="0" w:oddVBand="0" w:evenVBand="0" w:oddHBand="0" w:evenHBand="0" w:firstRowFirstColumn="0" w:firstRowLastColumn="0" w:lastRowFirstColumn="0" w:lastRowLastColumn="0"/>
            <w:tcW w:w="2117" w:type="dxa"/>
            <w:vAlign w:val="center"/>
          </w:tcPr>
          <w:p w14:paraId="1DBBA1F1" w14:textId="6CA88FDA" w:rsidR="00AC051B" w:rsidRPr="00593C57" w:rsidRDefault="00AC051B" w:rsidP="00A50C17">
            <w:pPr>
              <w:rPr>
                <w:rFonts w:asciiTheme="minorHAnsi" w:hAnsiTheme="minorHAnsi" w:cstheme="minorHAnsi"/>
                <w:b w:val="0"/>
                <w:bCs w:val="0"/>
                <w:color w:val="000000" w:themeColor="text1"/>
              </w:rPr>
            </w:pPr>
          </w:p>
        </w:tc>
        <w:tc>
          <w:tcPr>
            <w:tcW w:w="7125" w:type="dxa"/>
            <w:vAlign w:val="center"/>
          </w:tcPr>
          <w:p w14:paraId="424060AF" w14:textId="5F5F78C2" w:rsidR="00AC051B" w:rsidRPr="00593C57" w:rsidRDefault="00AC051B" w:rsidP="00A50C17">
            <w:pPr>
              <w:cnfStyle w:val="000000000000" w:firstRow="0" w:lastRow="0" w:firstColumn="0" w:lastColumn="0" w:oddVBand="0" w:evenVBand="0" w:oddHBand="0" w:evenHBand="0" w:firstRowFirstColumn="0" w:firstRowLastColumn="0" w:lastRowFirstColumn="0" w:lastRowLastColumn="0"/>
              <w:rPr>
                <w:rFonts w:eastAsiaTheme="majorEastAsia" w:cstheme="minorHAnsi"/>
                <w:bCs/>
                <w:color w:val="000000" w:themeColor="text1"/>
              </w:rPr>
            </w:pPr>
          </w:p>
        </w:tc>
      </w:tr>
    </w:tbl>
    <w:p w14:paraId="5281541A" w14:textId="77777777" w:rsidR="009B0191" w:rsidRPr="00593C57" w:rsidRDefault="009B0191">
      <w:pPr>
        <w:spacing w:after="120"/>
        <w:rPr>
          <w:color w:val="000000" w:themeColor="text1"/>
          <w:lang w:val="en-AU"/>
        </w:rPr>
      </w:pPr>
    </w:p>
    <w:sectPr w:rsidR="009B0191" w:rsidRPr="00593C57" w:rsidSect="00621FF9">
      <w:headerReference w:type="default" r:id="rId15"/>
      <w:footerReference w:type="default" r:id="rId16"/>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A5DA" w14:textId="77777777" w:rsidR="00EE4F0E" w:rsidRDefault="00EE4F0E">
      <w:r>
        <w:separator/>
      </w:r>
    </w:p>
  </w:endnote>
  <w:endnote w:type="continuationSeparator" w:id="0">
    <w:p w14:paraId="5260E097" w14:textId="77777777" w:rsidR="00EE4F0E" w:rsidRDefault="00EE4F0E">
      <w:r>
        <w:continuationSeparator/>
      </w:r>
    </w:p>
  </w:endnote>
  <w:endnote w:type="continuationNotice" w:id="1">
    <w:p w14:paraId="114E510B" w14:textId="77777777" w:rsidR="00EE4F0E" w:rsidRDefault="00EE4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593163430"/>
      <w:docPartObj>
        <w:docPartGallery w:val="Page Numbers (Bottom of Page)"/>
        <w:docPartUnique/>
      </w:docPartObj>
    </w:sdtPr>
    <w:sdtEndPr>
      <w:rPr>
        <w:noProof/>
      </w:rPr>
    </w:sdtEndPr>
    <w:sdtContent>
      <w:p w14:paraId="04569808" w14:textId="6DD9EA29" w:rsidR="007D0242" w:rsidRPr="006F1B7A" w:rsidRDefault="007D0242" w:rsidP="00A05361">
        <w:pPr>
          <w:pStyle w:val="Footer"/>
          <w:pBdr>
            <w:top w:val="single" w:sz="4" w:space="1" w:color="auto"/>
          </w:pBdr>
          <w:tabs>
            <w:tab w:val="clear" w:pos="4513"/>
            <w:tab w:val="clear" w:pos="9026"/>
            <w:tab w:val="center" w:pos="9356"/>
          </w:tabs>
          <w:spacing w:before="200" w:line="276" w:lineRule="auto"/>
          <w:rPr>
            <w:rFonts w:asciiTheme="minorHAnsi" w:hAnsiTheme="minorHAnsi"/>
          </w:rPr>
        </w:pPr>
        <w:r w:rsidRPr="006F1B7A">
          <w:rPr>
            <w:rFonts w:asciiTheme="minorHAnsi" w:hAnsiTheme="minorHAnsi"/>
          </w:rPr>
          <w:t xml:space="preserve">Version: </w:t>
        </w:r>
        <w:r w:rsidR="00424A6A">
          <w:rPr>
            <w:rFonts w:asciiTheme="minorHAnsi" w:hAnsiTheme="minorHAnsi"/>
          </w:rPr>
          <w:t>1</w:t>
        </w:r>
        <w:r w:rsidR="000A2429" w:rsidRPr="000A2429">
          <w:rPr>
            <w:rFonts w:asciiTheme="minorHAnsi" w:hAnsiTheme="minorHAnsi"/>
            <w:vanish/>
          </w:rPr>
          <w:t>j</w:t>
        </w:r>
        <w:r w:rsidRPr="006F1B7A">
          <w:rPr>
            <w:rFonts w:asciiTheme="minorHAnsi" w:hAnsiTheme="minorHAnsi"/>
          </w:rPr>
          <w:tab/>
        </w:r>
        <w:r w:rsidRPr="006F1B7A">
          <w:rPr>
            <w:rFonts w:asciiTheme="minorHAnsi" w:hAnsiTheme="minorHAnsi"/>
          </w:rPr>
          <w:fldChar w:fldCharType="begin"/>
        </w:r>
        <w:r w:rsidRPr="006F1B7A">
          <w:rPr>
            <w:rFonts w:asciiTheme="minorHAnsi" w:hAnsiTheme="minorHAnsi"/>
          </w:rPr>
          <w:instrText xml:space="preserve"> PAGE   \* MERGEFORMAT </w:instrText>
        </w:r>
        <w:r w:rsidRPr="006F1B7A">
          <w:rPr>
            <w:rFonts w:asciiTheme="minorHAnsi" w:hAnsiTheme="minorHAnsi"/>
          </w:rPr>
          <w:fldChar w:fldCharType="separate"/>
        </w:r>
        <w:r>
          <w:rPr>
            <w:rFonts w:asciiTheme="minorHAnsi" w:hAnsiTheme="minorHAnsi"/>
          </w:rPr>
          <w:t>4</w:t>
        </w:r>
        <w:r w:rsidRPr="006F1B7A">
          <w:rPr>
            <w:rFonts w:asciiTheme="minorHAnsi" w:hAnsiTheme="minorHAnsi"/>
            <w:noProof/>
          </w:rPr>
          <w:fldChar w:fldCharType="end"/>
        </w:r>
        <w:r w:rsidRPr="006F1B7A">
          <w:rPr>
            <w:rFonts w:asciiTheme="minorHAnsi" w:hAnsiTheme="minorHAnsi"/>
            <w:noProof/>
          </w:rPr>
          <w:t>/</w:t>
        </w:r>
        <w:r w:rsidRPr="006F1B7A">
          <w:rPr>
            <w:rFonts w:asciiTheme="minorHAnsi" w:hAnsiTheme="minorHAnsi"/>
            <w:noProof/>
          </w:rPr>
          <w:fldChar w:fldCharType="begin"/>
        </w:r>
        <w:r w:rsidRPr="006F1B7A">
          <w:rPr>
            <w:rFonts w:asciiTheme="minorHAnsi" w:hAnsiTheme="minorHAnsi"/>
            <w:noProof/>
          </w:rPr>
          <w:instrText xml:space="preserve"> SECTIONPAGES   \* MERGEFORMAT </w:instrText>
        </w:r>
        <w:r w:rsidRPr="006F1B7A">
          <w:rPr>
            <w:rFonts w:asciiTheme="minorHAnsi" w:hAnsiTheme="minorHAnsi"/>
            <w:noProof/>
          </w:rPr>
          <w:fldChar w:fldCharType="separate"/>
        </w:r>
        <w:r w:rsidR="005324DD">
          <w:rPr>
            <w:rFonts w:asciiTheme="minorHAnsi" w:hAnsiTheme="minorHAnsi"/>
            <w:noProof/>
          </w:rPr>
          <w:t>17</w:t>
        </w:r>
        <w:r w:rsidRPr="006F1B7A">
          <w:rPr>
            <w:rFonts w:asciiTheme="minorHAnsi" w:hAnsi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B8AC" w14:textId="77777777" w:rsidR="00EE4F0E" w:rsidRDefault="00EE4F0E">
      <w:r>
        <w:separator/>
      </w:r>
    </w:p>
  </w:footnote>
  <w:footnote w:type="continuationSeparator" w:id="0">
    <w:p w14:paraId="5778BDC7" w14:textId="77777777" w:rsidR="00EE4F0E" w:rsidRDefault="00EE4F0E">
      <w:r>
        <w:continuationSeparator/>
      </w:r>
    </w:p>
  </w:footnote>
  <w:footnote w:type="continuationNotice" w:id="1">
    <w:p w14:paraId="229554DB" w14:textId="77777777" w:rsidR="00EE4F0E" w:rsidRDefault="00EE4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347B63" w:rsidRPr="000B2145" w14:paraId="2EB103D8" w14:textId="77777777" w:rsidTr="00891DBD">
      <w:trPr>
        <w:trHeight w:val="1012"/>
      </w:trPr>
      <w:tc>
        <w:tcPr>
          <w:tcW w:w="9180" w:type="dxa"/>
          <w:shd w:val="clear" w:color="auto" w:fill="E4F2E0"/>
        </w:tcPr>
        <w:p w14:paraId="1C601FCF" w14:textId="77777777" w:rsidR="00347B63" w:rsidRPr="000E4791" w:rsidRDefault="00347B63" w:rsidP="00347B63">
          <w:pPr>
            <w:pStyle w:val="Footer"/>
            <w:rPr>
              <w:b/>
              <w:sz w:val="18"/>
              <w:szCs w:val="18"/>
            </w:rPr>
          </w:pPr>
          <w:bookmarkStart w:id="30" w:name="_Hlk109054010"/>
          <w:r w:rsidRPr="00EE2A41">
            <w:rPr>
              <w:b/>
              <w:sz w:val="18"/>
              <w:szCs w:val="18"/>
            </w:rPr>
            <w:t xml:space="preserve">Attachment </w:t>
          </w:r>
          <w:r w:rsidRPr="00953B36">
            <w:rPr>
              <w:b/>
              <w:sz w:val="18"/>
              <w:szCs w:val="18"/>
            </w:rPr>
            <w:t>AusPAR - Tibsovo - ivosidenib – Servier Laboratories (Aust) Pty Ltd - PM-2022-02134-1-4</w:t>
          </w:r>
          <w:r>
            <w:rPr>
              <w:b/>
              <w:sz w:val="18"/>
              <w:szCs w:val="18"/>
            </w:rPr>
            <w:t xml:space="preserve"> </w:t>
          </w:r>
          <w:r>
            <w:rPr>
              <w:b/>
              <w:sz w:val="18"/>
              <w:szCs w:val="18"/>
            </w:rPr>
            <w:br/>
          </w:r>
          <w:r w:rsidRPr="00953B36">
            <w:rPr>
              <w:b/>
              <w:sz w:val="18"/>
              <w:szCs w:val="18"/>
            </w:rPr>
            <w:t>FINAL – 3 October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0"/>
  </w:tbl>
  <w:p w14:paraId="46C223F9" w14:textId="77777777" w:rsidR="00347B63" w:rsidRDefault="00347B63" w:rsidP="00B06C7B">
    <w:pPr>
      <w:pBdr>
        <w:bottom w:val="single" w:sz="4" w:space="1" w:color="auto"/>
      </w:pBdr>
      <w:rPr>
        <w:rFonts w:asciiTheme="minorHAnsi" w:hAnsiTheme="minorHAnsi" w:cstheme="minorHAnsi"/>
        <w:b/>
      </w:rPr>
    </w:pPr>
  </w:p>
  <w:p w14:paraId="0AE89290" w14:textId="65BAB517" w:rsidR="007D0242" w:rsidRPr="000D6D6A" w:rsidRDefault="007D0242" w:rsidP="00B06C7B">
    <w:pPr>
      <w:pBdr>
        <w:bottom w:val="single" w:sz="4" w:space="1" w:color="auto"/>
      </w:pBdr>
      <w:rPr>
        <w:rFonts w:asciiTheme="minorHAnsi" w:hAnsiTheme="minorHAnsi" w:cstheme="minorHAnsi"/>
        <w:b/>
      </w:rPr>
    </w:pPr>
    <w:r w:rsidRPr="000D6D6A">
      <w:rPr>
        <w:rFonts w:asciiTheme="minorHAnsi" w:hAnsiTheme="minorHAnsi" w:cstheme="minorHAnsi"/>
        <w:b/>
      </w:rPr>
      <w:t>Australian Product Information – TIBSOVO</w:t>
    </w:r>
    <w:r w:rsidRPr="000D6D6A">
      <w:rPr>
        <w:rFonts w:asciiTheme="minorHAnsi" w:hAnsiTheme="minorHAnsi" w:cstheme="minorHAnsi"/>
        <w:b/>
        <w:vertAlign w:val="superscript"/>
      </w:rPr>
      <w:t>®</w:t>
    </w:r>
    <w:r w:rsidRPr="000D6D6A">
      <w:rPr>
        <w:rFonts w:asciiTheme="minorHAnsi" w:hAnsiTheme="minorHAnsi" w:cstheme="minorHAnsi"/>
        <w:b/>
      </w:rPr>
      <w:t xml:space="preserve"> (ivosidenib)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993"/>
    <w:multiLevelType w:val="hybridMultilevel"/>
    <w:tmpl w:val="03B20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ED467F"/>
    <w:multiLevelType w:val="hybridMultilevel"/>
    <w:tmpl w:val="5CD270B2"/>
    <w:lvl w:ilvl="0" w:tplc="26FAD04A">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427C44"/>
    <w:multiLevelType w:val="hybridMultilevel"/>
    <w:tmpl w:val="45D2EEF2"/>
    <w:lvl w:ilvl="0" w:tplc="47BC6766">
      <w:numFmt w:val="bullet"/>
      <w:lvlText w:val=""/>
      <w:lvlJc w:val="left"/>
      <w:pPr>
        <w:ind w:left="424" w:hanging="317"/>
      </w:pPr>
      <w:rPr>
        <w:rFonts w:ascii="Symbol" w:eastAsia="Symbol" w:hAnsi="Symbol" w:cs="Symbol" w:hint="default"/>
        <w:w w:val="100"/>
        <w:sz w:val="22"/>
        <w:szCs w:val="22"/>
      </w:rPr>
    </w:lvl>
    <w:lvl w:ilvl="1" w:tplc="207219BA">
      <w:numFmt w:val="bullet"/>
      <w:lvlText w:val="•"/>
      <w:lvlJc w:val="left"/>
      <w:pPr>
        <w:ind w:left="888" w:hanging="317"/>
      </w:pPr>
      <w:rPr>
        <w:rFonts w:hint="default"/>
      </w:rPr>
    </w:lvl>
    <w:lvl w:ilvl="2" w:tplc="3E605166">
      <w:numFmt w:val="bullet"/>
      <w:lvlText w:val="•"/>
      <w:lvlJc w:val="left"/>
      <w:pPr>
        <w:ind w:left="1357" w:hanging="317"/>
      </w:pPr>
      <w:rPr>
        <w:rFonts w:hint="default"/>
      </w:rPr>
    </w:lvl>
    <w:lvl w:ilvl="3" w:tplc="30B0528E">
      <w:numFmt w:val="bullet"/>
      <w:lvlText w:val="•"/>
      <w:lvlJc w:val="left"/>
      <w:pPr>
        <w:ind w:left="1825" w:hanging="317"/>
      </w:pPr>
      <w:rPr>
        <w:rFonts w:hint="default"/>
      </w:rPr>
    </w:lvl>
    <w:lvl w:ilvl="4" w:tplc="749C2A54">
      <w:numFmt w:val="bullet"/>
      <w:lvlText w:val="•"/>
      <w:lvlJc w:val="left"/>
      <w:pPr>
        <w:ind w:left="2294" w:hanging="317"/>
      </w:pPr>
      <w:rPr>
        <w:rFonts w:hint="default"/>
      </w:rPr>
    </w:lvl>
    <w:lvl w:ilvl="5" w:tplc="35623A2A">
      <w:numFmt w:val="bullet"/>
      <w:lvlText w:val="•"/>
      <w:lvlJc w:val="left"/>
      <w:pPr>
        <w:ind w:left="2762" w:hanging="317"/>
      </w:pPr>
      <w:rPr>
        <w:rFonts w:hint="default"/>
      </w:rPr>
    </w:lvl>
    <w:lvl w:ilvl="6" w:tplc="B2E8005A">
      <w:numFmt w:val="bullet"/>
      <w:lvlText w:val="•"/>
      <w:lvlJc w:val="left"/>
      <w:pPr>
        <w:ind w:left="3231" w:hanging="317"/>
      </w:pPr>
      <w:rPr>
        <w:rFonts w:hint="default"/>
      </w:rPr>
    </w:lvl>
    <w:lvl w:ilvl="7" w:tplc="CDA249BE">
      <w:numFmt w:val="bullet"/>
      <w:lvlText w:val="•"/>
      <w:lvlJc w:val="left"/>
      <w:pPr>
        <w:ind w:left="3699" w:hanging="317"/>
      </w:pPr>
      <w:rPr>
        <w:rFonts w:hint="default"/>
      </w:rPr>
    </w:lvl>
    <w:lvl w:ilvl="8" w:tplc="855ED9FA">
      <w:numFmt w:val="bullet"/>
      <w:lvlText w:val="•"/>
      <w:lvlJc w:val="left"/>
      <w:pPr>
        <w:ind w:left="4168" w:hanging="317"/>
      </w:pPr>
      <w:rPr>
        <w:rFonts w:hint="default"/>
      </w:rPr>
    </w:lvl>
  </w:abstractNum>
  <w:abstractNum w:abstractNumId="3" w15:restartNumberingAfterBreak="0">
    <w:nsid w:val="0FA27732"/>
    <w:multiLevelType w:val="hybridMultilevel"/>
    <w:tmpl w:val="F86AA790"/>
    <w:lvl w:ilvl="0" w:tplc="C7A24EE2">
      <w:numFmt w:val="bullet"/>
      <w:lvlText w:val=""/>
      <w:lvlJc w:val="left"/>
      <w:pPr>
        <w:ind w:left="424" w:hanging="317"/>
      </w:pPr>
      <w:rPr>
        <w:rFonts w:ascii="Symbol" w:eastAsia="Symbol" w:hAnsi="Symbol" w:cs="Symbol" w:hint="default"/>
        <w:w w:val="100"/>
        <w:sz w:val="22"/>
        <w:szCs w:val="22"/>
      </w:rPr>
    </w:lvl>
    <w:lvl w:ilvl="1" w:tplc="A01E16F8">
      <w:numFmt w:val="bullet"/>
      <w:lvlText w:val="•"/>
      <w:lvlJc w:val="left"/>
      <w:pPr>
        <w:ind w:left="888" w:hanging="317"/>
      </w:pPr>
      <w:rPr>
        <w:rFonts w:hint="default"/>
      </w:rPr>
    </w:lvl>
    <w:lvl w:ilvl="2" w:tplc="741241AC">
      <w:numFmt w:val="bullet"/>
      <w:lvlText w:val="•"/>
      <w:lvlJc w:val="left"/>
      <w:pPr>
        <w:ind w:left="1357" w:hanging="317"/>
      </w:pPr>
      <w:rPr>
        <w:rFonts w:hint="default"/>
      </w:rPr>
    </w:lvl>
    <w:lvl w:ilvl="3" w:tplc="CA2450C0">
      <w:numFmt w:val="bullet"/>
      <w:lvlText w:val="•"/>
      <w:lvlJc w:val="left"/>
      <w:pPr>
        <w:ind w:left="1825" w:hanging="317"/>
      </w:pPr>
      <w:rPr>
        <w:rFonts w:hint="default"/>
      </w:rPr>
    </w:lvl>
    <w:lvl w:ilvl="4" w:tplc="2C3AF93C">
      <w:numFmt w:val="bullet"/>
      <w:lvlText w:val="•"/>
      <w:lvlJc w:val="left"/>
      <w:pPr>
        <w:ind w:left="2294" w:hanging="317"/>
      </w:pPr>
      <w:rPr>
        <w:rFonts w:hint="default"/>
      </w:rPr>
    </w:lvl>
    <w:lvl w:ilvl="5" w:tplc="FCA86D2A">
      <w:numFmt w:val="bullet"/>
      <w:lvlText w:val="•"/>
      <w:lvlJc w:val="left"/>
      <w:pPr>
        <w:ind w:left="2762" w:hanging="317"/>
      </w:pPr>
      <w:rPr>
        <w:rFonts w:hint="default"/>
      </w:rPr>
    </w:lvl>
    <w:lvl w:ilvl="6" w:tplc="4ADC3794">
      <w:numFmt w:val="bullet"/>
      <w:lvlText w:val="•"/>
      <w:lvlJc w:val="left"/>
      <w:pPr>
        <w:ind w:left="3231" w:hanging="317"/>
      </w:pPr>
      <w:rPr>
        <w:rFonts w:hint="default"/>
      </w:rPr>
    </w:lvl>
    <w:lvl w:ilvl="7" w:tplc="AB2071E4">
      <w:numFmt w:val="bullet"/>
      <w:lvlText w:val="•"/>
      <w:lvlJc w:val="left"/>
      <w:pPr>
        <w:ind w:left="3699" w:hanging="317"/>
      </w:pPr>
      <w:rPr>
        <w:rFonts w:hint="default"/>
      </w:rPr>
    </w:lvl>
    <w:lvl w:ilvl="8" w:tplc="D53C0BB2">
      <w:numFmt w:val="bullet"/>
      <w:lvlText w:val="•"/>
      <w:lvlJc w:val="left"/>
      <w:pPr>
        <w:ind w:left="4168" w:hanging="317"/>
      </w:pPr>
      <w:rPr>
        <w:rFonts w:hint="default"/>
      </w:rPr>
    </w:lvl>
  </w:abstractNum>
  <w:abstractNum w:abstractNumId="4" w15:restartNumberingAfterBreak="0">
    <w:nsid w:val="103744CF"/>
    <w:multiLevelType w:val="hybridMultilevel"/>
    <w:tmpl w:val="F81C0800"/>
    <w:lvl w:ilvl="0" w:tplc="3FB0C0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A7762D"/>
    <w:multiLevelType w:val="hybridMultilevel"/>
    <w:tmpl w:val="B8AAC508"/>
    <w:lvl w:ilvl="0" w:tplc="562AF89C">
      <w:numFmt w:val="bullet"/>
      <w:lvlText w:val=""/>
      <w:lvlJc w:val="left"/>
      <w:pPr>
        <w:ind w:left="424" w:hanging="317"/>
      </w:pPr>
      <w:rPr>
        <w:rFonts w:ascii="Symbol" w:eastAsia="Symbol" w:hAnsi="Symbol" w:cs="Symbol" w:hint="default"/>
        <w:w w:val="100"/>
        <w:sz w:val="22"/>
        <w:szCs w:val="22"/>
      </w:rPr>
    </w:lvl>
    <w:lvl w:ilvl="1" w:tplc="3D66E658">
      <w:numFmt w:val="bullet"/>
      <w:lvlText w:val="•"/>
      <w:lvlJc w:val="left"/>
      <w:pPr>
        <w:ind w:left="888" w:hanging="317"/>
      </w:pPr>
      <w:rPr>
        <w:rFonts w:hint="default"/>
      </w:rPr>
    </w:lvl>
    <w:lvl w:ilvl="2" w:tplc="6C6E3970">
      <w:numFmt w:val="bullet"/>
      <w:lvlText w:val="•"/>
      <w:lvlJc w:val="left"/>
      <w:pPr>
        <w:ind w:left="1357" w:hanging="317"/>
      </w:pPr>
      <w:rPr>
        <w:rFonts w:hint="default"/>
      </w:rPr>
    </w:lvl>
    <w:lvl w:ilvl="3" w:tplc="F5AEA87E">
      <w:numFmt w:val="bullet"/>
      <w:lvlText w:val="•"/>
      <w:lvlJc w:val="left"/>
      <w:pPr>
        <w:ind w:left="1825" w:hanging="317"/>
      </w:pPr>
      <w:rPr>
        <w:rFonts w:hint="default"/>
      </w:rPr>
    </w:lvl>
    <w:lvl w:ilvl="4" w:tplc="98AC962E">
      <w:numFmt w:val="bullet"/>
      <w:lvlText w:val="•"/>
      <w:lvlJc w:val="left"/>
      <w:pPr>
        <w:ind w:left="2294" w:hanging="317"/>
      </w:pPr>
      <w:rPr>
        <w:rFonts w:hint="default"/>
      </w:rPr>
    </w:lvl>
    <w:lvl w:ilvl="5" w:tplc="D850188C">
      <w:numFmt w:val="bullet"/>
      <w:lvlText w:val="•"/>
      <w:lvlJc w:val="left"/>
      <w:pPr>
        <w:ind w:left="2762" w:hanging="317"/>
      </w:pPr>
      <w:rPr>
        <w:rFonts w:hint="default"/>
      </w:rPr>
    </w:lvl>
    <w:lvl w:ilvl="6" w:tplc="2370F048">
      <w:numFmt w:val="bullet"/>
      <w:lvlText w:val="•"/>
      <w:lvlJc w:val="left"/>
      <w:pPr>
        <w:ind w:left="3231" w:hanging="317"/>
      </w:pPr>
      <w:rPr>
        <w:rFonts w:hint="default"/>
      </w:rPr>
    </w:lvl>
    <w:lvl w:ilvl="7" w:tplc="8E024702">
      <w:numFmt w:val="bullet"/>
      <w:lvlText w:val="•"/>
      <w:lvlJc w:val="left"/>
      <w:pPr>
        <w:ind w:left="3699" w:hanging="317"/>
      </w:pPr>
      <w:rPr>
        <w:rFonts w:hint="default"/>
      </w:rPr>
    </w:lvl>
    <w:lvl w:ilvl="8" w:tplc="6B04EF98">
      <w:numFmt w:val="bullet"/>
      <w:lvlText w:val="•"/>
      <w:lvlJc w:val="left"/>
      <w:pPr>
        <w:ind w:left="4168" w:hanging="317"/>
      </w:pPr>
      <w:rPr>
        <w:rFonts w:hint="default"/>
      </w:rPr>
    </w:lvl>
  </w:abstractNum>
  <w:abstractNum w:abstractNumId="6" w15:restartNumberingAfterBreak="0">
    <w:nsid w:val="13BC4C49"/>
    <w:multiLevelType w:val="hybridMultilevel"/>
    <w:tmpl w:val="9D347982"/>
    <w:lvl w:ilvl="0" w:tplc="DCB8FA88">
      <w:numFmt w:val="bullet"/>
      <w:lvlText w:val=""/>
      <w:lvlJc w:val="left"/>
      <w:pPr>
        <w:ind w:left="467" w:hanging="317"/>
      </w:pPr>
      <w:rPr>
        <w:rFonts w:ascii="Symbol" w:eastAsia="Symbol" w:hAnsi="Symbol" w:cs="Symbol" w:hint="default"/>
        <w:w w:val="100"/>
        <w:sz w:val="22"/>
        <w:szCs w:val="22"/>
      </w:rPr>
    </w:lvl>
    <w:lvl w:ilvl="1" w:tplc="C31CA1A8">
      <w:numFmt w:val="bullet"/>
      <w:lvlText w:val="•"/>
      <w:lvlJc w:val="left"/>
      <w:pPr>
        <w:ind w:left="924" w:hanging="317"/>
      </w:pPr>
      <w:rPr>
        <w:rFonts w:hint="default"/>
      </w:rPr>
    </w:lvl>
    <w:lvl w:ilvl="2" w:tplc="29C02D64">
      <w:numFmt w:val="bullet"/>
      <w:lvlText w:val="•"/>
      <w:lvlJc w:val="left"/>
      <w:pPr>
        <w:ind w:left="1389" w:hanging="317"/>
      </w:pPr>
      <w:rPr>
        <w:rFonts w:hint="default"/>
      </w:rPr>
    </w:lvl>
    <w:lvl w:ilvl="3" w:tplc="D53C11AC">
      <w:numFmt w:val="bullet"/>
      <w:lvlText w:val="•"/>
      <w:lvlJc w:val="left"/>
      <w:pPr>
        <w:ind w:left="1853" w:hanging="317"/>
      </w:pPr>
      <w:rPr>
        <w:rFonts w:hint="default"/>
      </w:rPr>
    </w:lvl>
    <w:lvl w:ilvl="4" w:tplc="392EEDCA">
      <w:numFmt w:val="bullet"/>
      <w:lvlText w:val="•"/>
      <w:lvlJc w:val="left"/>
      <w:pPr>
        <w:ind w:left="2318" w:hanging="317"/>
      </w:pPr>
      <w:rPr>
        <w:rFonts w:hint="default"/>
      </w:rPr>
    </w:lvl>
    <w:lvl w:ilvl="5" w:tplc="05C80CD0">
      <w:numFmt w:val="bullet"/>
      <w:lvlText w:val="•"/>
      <w:lvlJc w:val="left"/>
      <w:pPr>
        <w:ind w:left="2782" w:hanging="317"/>
      </w:pPr>
      <w:rPr>
        <w:rFonts w:hint="default"/>
      </w:rPr>
    </w:lvl>
    <w:lvl w:ilvl="6" w:tplc="D5721AF6">
      <w:numFmt w:val="bullet"/>
      <w:lvlText w:val="•"/>
      <w:lvlJc w:val="left"/>
      <w:pPr>
        <w:ind w:left="3247" w:hanging="317"/>
      </w:pPr>
      <w:rPr>
        <w:rFonts w:hint="default"/>
      </w:rPr>
    </w:lvl>
    <w:lvl w:ilvl="7" w:tplc="A52E5A00">
      <w:numFmt w:val="bullet"/>
      <w:lvlText w:val="•"/>
      <w:lvlJc w:val="left"/>
      <w:pPr>
        <w:ind w:left="3711" w:hanging="317"/>
      </w:pPr>
      <w:rPr>
        <w:rFonts w:hint="default"/>
      </w:rPr>
    </w:lvl>
    <w:lvl w:ilvl="8" w:tplc="1172C8CE">
      <w:numFmt w:val="bullet"/>
      <w:lvlText w:val="•"/>
      <w:lvlJc w:val="left"/>
      <w:pPr>
        <w:ind w:left="4176" w:hanging="317"/>
      </w:pPr>
      <w:rPr>
        <w:rFonts w:hint="default"/>
      </w:rPr>
    </w:lvl>
  </w:abstractNum>
  <w:abstractNum w:abstractNumId="7" w15:restartNumberingAfterBreak="0">
    <w:nsid w:val="299B5768"/>
    <w:multiLevelType w:val="hybridMultilevel"/>
    <w:tmpl w:val="12DE4534"/>
    <w:lvl w:ilvl="0" w:tplc="2C3687FC">
      <w:numFmt w:val="bullet"/>
      <w:lvlText w:val=""/>
      <w:lvlJc w:val="left"/>
      <w:pPr>
        <w:ind w:left="424" w:hanging="317"/>
      </w:pPr>
      <w:rPr>
        <w:rFonts w:ascii="Symbol" w:eastAsia="Symbol" w:hAnsi="Symbol" w:cs="Symbol" w:hint="default"/>
        <w:w w:val="100"/>
        <w:sz w:val="22"/>
        <w:szCs w:val="22"/>
      </w:rPr>
    </w:lvl>
    <w:lvl w:ilvl="1" w:tplc="3646699A">
      <w:numFmt w:val="bullet"/>
      <w:lvlText w:val="•"/>
      <w:lvlJc w:val="left"/>
      <w:pPr>
        <w:ind w:left="888" w:hanging="317"/>
      </w:pPr>
      <w:rPr>
        <w:rFonts w:hint="default"/>
      </w:rPr>
    </w:lvl>
    <w:lvl w:ilvl="2" w:tplc="C91CE3D0">
      <w:numFmt w:val="bullet"/>
      <w:lvlText w:val="•"/>
      <w:lvlJc w:val="left"/>
      <w:pPr>
        <w:ind w:left="1357" w:hanging="317"/>
      </w:pPr>
      <w:rPr>
        <w:rFonts w:hint="default"/>
      </w:rPr>
    </w:lvl>
    <w:lvl w:ilvl="3" w:tplc="290056D6">
      <w:numFmt w:val="bullet"/>
      <w:lvlText w:val="•"/>
      <w:lvlJc w:val="left"/>
      <w:pPr>
        <w:ind w:left="1825" w:hanging="317"/>
      </w:pPr>
      <w:rPr>
        <w:rFonts w:hint="default"/>
      </w:rPr>
    </w:lvl>
    <w:lvl w:ilvl="4" w:tplc="D164688C">
      <w:numFmt w:val="bullet"/>
      <w:lvlText w:val="•"/>
      <w:lvlJc w:val="left"/>
      <w:pPr>
        <w:ind w:left="2294" w:hanging="317"/>
      </w:pPr>
      <w:rPr>
        <w:rFonts w:hint="default"/>
      </w:rPr>
    </w:lvl>
    <w:lvl w:ilvl="5" w:tplc="566CD6BE">
      <w:numFmt w:val="bullet"/>
      <w:lvlText w:val="•"/>
      <w:lvlJc w:val="left"/>
      <w:pPr>
        <w:ind w:left="2762" w:hanging="317"/>
      </w:pPr>
      <w:rPr>
        <w:rFonts w:hint="default"/>
      </w:rPr>
    </w:lvl>
    <w:lvl w:ilvl="6" w:tplc="F35463C2">
      <w:numFmt w:val="bullet"/>
      <w:lvlText w:val="•"/>
      <w:lvlJc w:val="left"/>
      <w:pPr>
        <w:ind w:left="3231" w:hanging="317"/>
      </w:pPr>
      <w:rPr>
        <w:rFonts w:hint="default"/>
      </w:rPr>
    </w:lvl>
    <w:lvl w:ilvl="7" w:tplc="7C08C132">
      <w:numFmt w:val="bullet"/>
      <w:lvlText w:val="•"/>
      <w:lvlJc w:val="left"/>
      <w:pPr>
        <w:ind w:left="3699" w:hanging="317"/>
      </w:pPr>
      <w:rPr>
        <w:rFonts w:hint="default"/>
      </w:rPr>
    </w:lvl>
    <w:lvl w:ilvl="8" w:tplc="4FA02F18">
      <w:numFmt w:val="bullet"/>
      <w:lvlText w:val="•"/>
      <w:lvlJc w:val="left"/>
      <w:pPr>
        <w:ind w:left="4168" w:hanging="317"/>
      </w:pPr>
      <w:rPr>
        <w:rFonts w:hint="default"/>
      </w:rPr>
    </w:lvl>
  </w:abstractNum>
  <w:abstractNum w:abstractNumId="8" w15:restartNumberingAfterBreak="0">
    <w:nsid w:val="2D7C38F5"/>
    <w:multiLevelType w:val="hybridMultilevel"/>
    <w:tmpl w:val="CD9EAD02"/>
    <w:lvl w:ilvl="0" w:tplc="A86A927A">
      <w:start w:val="1"/>
      <w:numFmt w:val="lowerLetter"/>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E86847"/>
    <w:multiLevelType w:val="hybridMultilevel"/>
    <w:tmpl w:val="6FB63986"/>
    <w:lvl w:ilvl="0" w:tplc="26FAD04A">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99472D"/>
    <w:multiLevelType w:val="hybridMultilevel"/>
    <w:tmpl w:val="86F62F56"/>
    <w:lvl w:ilvl="0" w:tplc="C2E66A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FA1288"/>
    <w:multiLevelType w:val="hybridMultilevel"/>
    <w:tmpl w:val="67268736"/>
    <w:lvl w:ilvl="0" w:tplc="AC7EF2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FD1066"/>
    <w:multiLevelType w:val="multilevel"/>
    <w:tmpl w:val="07DCF088"/>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9546985"/>
    <w:multiLevelType w:val="hybridMultilevel"/>
    <w:tmpl w:val="A774B98E"/>
    <w:lvl w:ilvl="0" w:tplc="A86A927A">
      <w:start w:val="1"/>
      <w:numFmt w:val="lowerLetter"/>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81ECE"/>
    <w:multiLevelType w:val="hybridMultilevel"/>
    <w:tmpl w:val="D5B65862"/>
    <w:lvl w:ilvl="0" w:tplc="3FB0C0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9083991">
    <w:abstractNumId w:val="3"/>
  </w:num>
  <w:num w:numId="2" w16cid:durableId="2098363720">
    <w:abstractNumId w:val="5"/>
  </w:num>
  <w:num w:numId="3" w16cid:durableId="142158535">
    <w:abstractNumId w:val="7"/>
  </w:num>
  <w:num w:numId="4" w16cid:durableId="16546911">
    <w:abstractNumId w:val="6"/>
  </w:num>
  <w:num w:numId="5" w16cid:durableId="709257212">
    <w:abstractNumId w:val="2"/>
  </w:num>
  <w:num w:numId="6" w16cid:durableId="1658144727">
    <w:abstractNumId w:val="12"/>
  </w:num>
  <w:num w:numId="7" w16cid:durableId="279385624">
    <w:abstractNumId w:val="0"/>
  </w:num>
  <w:num w:numId="8" w16cid:durableId="152990114">
    <w:abstractNumId w:val="14"/>
  </w:num>
  <w:num w:numId="9" w16cid:durableId="1012491775">
    <w:abstractNumId w:val="4"/>
  </w:num>
  <w:num w:numId="10" w16cid:durableId="1002006692">
    <w:abstractNumId w:val="12"/>
  </w:num>
  <w:num w:numId="11" w16cid:durableId="1256940943">
    <w:abstractNumId w:val="12"/>
  </w:num>
  <w:num w:numId="12" w16cid:durableId="1910573327">
    <w:abstractNumId w:val="12"/>
  </w:num>
  <w:num w:numId="13" w16cid:durableId="1997298505">
    <w:abstractNumId w:val="9"/>
  </w:num>
  <w:num w:numId="14" w16cid:durableId="1538852940">
    <w:abstractNumId w:val="8"/>
  </w:num>
  <w:num w:numId="15" w16cid:durableId="833180585">
    <w:abstractNumId w:val="13"/>
  </w:num>
  <w:num w:numId="16" w16cid:durableId="848913925">
    <w:abstractNumId w:val="1"/>
  </w:num>
  <w:num w:numId="17" w16cid:durableId="1165170379">
    <w:abstractNumId w:val="10"/>
  </w:num>
  <w:num w:numId="18" w16cid:durableId="121808336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3D"/>
    <w:rsid w:val="00001BAD"/>
    <w:rsid w:val="000025A2"/>
    <w:rsid w:val="000038A9"/>
    <w:rsid w:val="000046BE"/>
    <w:rsid w:val="00010937"/>
    <w:rsid w:val="000115A8"/>
    <w:rsid w:val="00016368"/>
    <w:rsid w:val="00016452"/>
    <w:rsid w:val="00017650"/>
    <w:rsid w:val="0002080D"/>
    <w:rsid w:val="00023360"/>
    <w:rsid w:val="00024A45"/>
    <w:rsid w:val="00025445"/>
    <w:rsid w:val="000306B7"/>
    <w:rsid w:val="000321E7"/>
    <w:rsid w:val="00040491"/>
    <w:rsid w:val="00042910"/>
    <w:rsid w:val="00051DF5"/>
    <w:rsid w:val="00057E47"/>
    <w:rsid w:val="00060D8A"/>
    <w:rsid w:val="00063A0A"/>
    <w:rsid w:val="00064D3A"/>
    <w:rsid w:val="000654DB"/>
    <w:rsid w:val="00075163"/>
    <w:rsid w:val="000766FD"/>
    <w:rsid w:val="00082A0A"/>
    <w:rsid w:val="00086424"/>
    <w:rsid w:val="00087A07"/>
    <w:rsid w:val="00094F46"/>
    <w:rsid w:val="00095DF7"/>
    <w:rsid w:val="000965EC"/>
    <w:rsid w:val="00097C65"/>
    <w:rsid w:val="000A2429"/>
    <w:rsid w:val="000A4AB8"/>
    <w:rsid w:val="000A4D86"/>
    <w:rsid w:val="000A766D"/>
    <w:rsid w:val="000B097F"/>
    <w:rsid w:val="000B0BBF"/>
    <w:rsid w:val="000B21D5"/>
    <w:rsid w:val="000B3783"/>
    <w:rsid w:val="000B6C16"/>
    <w:rsid w:val="000C37F0"/>
    <w:rsid w:val="000C3E09"/>
    <w:rsid w:val="000C41F4"/>
    <w:rsid w:val="000C47F6"/>
    <w:rsid w:val="000C503F"/>
    <w:rsid w:val="000C63A6"/>
    <w:rsid w:val="000D0AB3"/>
    <w:rsid w:val="000D0EC3"/>
    <w:rsid w:val="000D1CAD"/>
    <w:rsid w:val="000D48F0"/>
    <w:rsid w:val="000D6D6A"/>
    <w:rsid w:val="000E4DF4"/>
    <w:rsid w:val="000E51F8"/>
    <w:rsid w:val="000E6A93"/>
    <w:rsid w:val="000F05DE"/>
    <w:rsid w:val="000F1455"/>
    <w:rsid w:val="000F2423"/>
    <w:rsid w:val="000F590F"/>
    <w:rsid w:val="000F7D82"/>
    <w:rsid w:val="00100D68"/>
    <w:rsid w:val="0010125A"/>
    <w:rsid w:val="00103BCF"/>
    <w:rsid w:val="00110A26"/>
    <w:rsid w:val="0011120D"/>
    <w:rsid w:val="00112ABC"/>
    <w:rsid w:val="001164A3"/>
    <w:rsid w:val="00120918"/>
    <w:rsid w:val="001245D9"/>
    <w:rsid w:val="00124D79"/>
    <w:rsid w:val="001263DB"/>
    <w:rsid w:val="00131252"/>
    <w:rsid w:val="001340BB"/>
    <w:rsid w:val="00141497"/>
    <w:rsid w:val="001449B1"/>
    <w:rsid w:val="00146D55"/>
    <w:rsid w:val="001470DE"/>
    <w:rsid w:val="0015108C"/>
    <w:rsid w:val="001511FC"/>
    <w:rsid w:val="00153A03"/>
    <w:rsid w:val="00154251"/>
    <w:rsid w:val="001544D3"/>
    <w:rsid w:val="00156306"/>
    <w:rsid w:val="00161402"/>
    <w:rsid w:val="00162FB5"/>
    <w:rsid w:val="001654C0"/>
    <w:rsid w:val="00165EDE"/>
    <w:rsid w:val="00171357"/>
    <w:rsid w:val="001715C6"/>
    <w:rsid w:val="00174B40"/>
    <w:rsid w:val="00175622"/>
    <w:rsid w:val="00176F9E"/>
    <w:rsid w:val="00182070"/>
    <w:rsid w:val="00184A6B"/>
    <w:rsid w:val="00193A5E"/>
    <w:rsid w:val="00193E41"/>
    <w:rsid w:val="00193EF0"/>
    <w:rsid w:val="00196332"/>
    <w:rsid w:val="001973F8"/>
    <w:rsid w:val="001A217B"/>
    <w:rsid w:val="001A57EB"/>
    <w:rsid w:val="001A5EE2"/>
    <w:rsid w:val="001B0360"/>
    <w:rsid w:val="001B0F0C"/>
    <w:rsid w:val="001B6366"/>
    <w:rsid w:val="001C12E7"/>
    <w:rsid w:val="001C2016"/>
    <w:rsid w:val="001C4E54"/>
    <w:rsid w:val="001C74FA"/>
    <w:rsid w:val="001D7DE1"/>
    <w:rsid w:val="001E0A89"/>
    <w:rsid w:val="001E4A01"/>
    <w:rsid w:val="001F0C3D"/>
    <w:rsid w:val="001F2EAC"/>
    <w:rsid w:val="001F3066"/>
    <w:rsid w:val="001F3490"/>
    <w:rsid w:val="001F3729"/>
    <w:rsid w:val="00203204"/>
    <w:rsid w:val="00203B06"/>
    <w:rsid w:val="00205F53"/>
    <w:rsid w:val="00207354"/>
    <w:rsid w:val="0020742C"/>
    <w:rsid w:val="00210FD9"/>
    <w:rsid w:val="0021199A"/>
    <w:rsid w:val="00211DAC"/>
    <w:rsid w:val="00212D95"/>
    <w:rsid w:val="002130C3"/>
    <w:rsid w:val="0021347F"/>
    <w:rsid w:val="00214721"/>
    <w:rsid w:val="00215D9E"/>
    <w:rsid w:val="002175CB"/>
    <w:rsid w:val="00220A84"/>
    <w:rsid w:val="00220BEF"/>
    <w:rsid w:val="00234857"/>
    <w:rsid w:val="00237D37"/>
    <w:rsid w:val="00242442"/>
    <w:rsid w:val="002427EF"/>
    <w:rsid w:val="00243BFE"/>
    <w:rsid w:val="00245C45"/>
    <w:rsid w:val="00246442"/>
    <w:rsid w:val="00252C28"/>
    <w:rsid w:val="002532CE"/>
    <w:rsid w:val="00253450"/>
    <w:rsid w:val="00253C0D"/>
    <w:rsid w:val="002624D5"/>
    <w:rsid w:val="002641C9"/>
    <w:rsid w:val="00264267"/>
    <w:rsid w:val="00264713"/>
    <w:rsid w:val="00264AD6"/>
    <w:rsid w:val="00265EDF"/>
    <w:rsid w:val="002727C0"/>
    <w:rsid w:val="0027374F"/>
    <w:rsid w:val="00274C08"/>
    <w:rsid w:val="00282830"/>
    <w:rsid w:val="0028406A"/>
    <w:rsid w:val="002868DD"/>
    <w:rsid w:val="002904EF"/>
    <w:rsid w:val="00290A12"/>
    <w:rsid w:val="00292E36"/>
    <w:rsid w:val="0029321A"/>
    <w:rsid w:val="00293AB8"/>
    <w:rsid w:val="002A5FAC"/>
    <w:rsid w:val="002A622E"/>
    <w:rsid w:val="002B483D"/>
    <w:rsid w:val="002C0ED0"/>
    <w:rsid w:val="002C1064"/>
    <w:rsid w:val="002C2B95"/>
    <w:rsid w:val="002D2902"/>
    <w:rsid w:val="002D561B"/>
    <w:rsid w:val="002D6153"/>
    <w:rsid w:val="002D6239"/>
    <w:rsid w:val="002D6A3D"/>
    <w:rsid w:val="002D7C11"/>
    <w:rsid w:val="002E15EC"/>
    <w:rsid w:val="002E189C"/>
    <w:rsid w:val="002E1B51"/>
    <w:rsid w:val="002E3319"/>
    <w:rsid w:val="002E3C7C"/>
    <w:rsid w:val="002E6381"/>
    <w:rsid w:val="002E642A"/>
    <w:rsid w:val="002E6F2F"/>
    <w:rsid w:val="002E7972"/>
    <w:rsid w:val="002E7E5D"/>
    <w:rsid w:val="002F28B9"/>
    <w:rsid w:val="002F31D6"/>
    <w:rsid w:val="002F777F"/>
    <w:rsid w:val="003028CF"/>
    <w:rsid w:val="00303A89"/>
    <w:rsid w:val="00305F3D"/>
    <w:rsid w:val="0030701B"/>
    <w:rsid w:val="003107D0"/>
    <w:rsid w:val="003155D6"/>
    <w:rsid w:val="00316665"/>
    <w:rsid w:val="00322940"/>
    <w:rsid w:val="003275CC"/>
    <w:rsid w:val="00327ABB"/>
    <w:rsid w:val="00330502"/>
    <w:rsid w:val="00331BE6"/>
    <w:rsid w:val="00334D6D"/>
    <w:rsid w:val="00341048"/>
    <w:rsid w:val="00343332"/>
    <w:rsid w:val="00347B63"/>
    <w:rsid w:val="00351B0E"/>
    <w:rsid w:val="00352CE6"/>
    <w:rsid w:val="00353057"/>
    <w:rsid w:val="003613E9"/>
    <w:rsid w:val="00365F7D"/>
    <w:rsid w:val="00365F86"/>
    <w:rsid w:val="00366B39"/>
    <w:rsid w:val="00367103"/>
    <w:rsid w:val="003718DF"/>
    <w:rsid w:val="0037325B"/>
    <w:rsid w:val="00373F89"/>
    <w:rsid w:val="00374129"/>
    <w:rsid w:val="00377145"/>
    <w:rsid w:val="00381369"/>
    <w:rsid w:val="00382ED4"/>
    <w:rsid w:val="003832C5"/>
    <w:rsid w:val="00383F86"/>
    <w:rsid w:val="00386121"/>
    <w:rsid w:val="00387ABB"/>
    <w:rsid w:val="003915F1"/>
    <w:rsid w:val="0039647A"/>
    <w:rsid w:val="0039711C"/>
    <w:rsid w:val="003973F0"/>
    <w:rsid w:val="003A135D"/>
    <w:rsid w:val="003A1F18"/>
    <w:rsid w:val="003A20F6"/>
    <w:rsid w:val="003A3A10"/>
    <w:rsid w:val="003B14CB"/>
    <w:rsid w:val="003B3074"/>
    <w:rsid w:val="003B30DB"/>
    <w:rsid w:val="003B71CF"/>
    <w:rsid w:val="003C36D1"/>
    <w:rsid w:val="003C5885"/>
    <w:rsid w:val="003D2E95"/>
    <w:rsid w:val="003D48EB"/>
    <w:rsid w:val="003D6F44"/>
    <w:rsid w:val="003E0723"/>
    <w:rsid w:val="003E2766"/>
    <w:rsid w:val="003E67F2"/>
    <w:rsid w:val="003F1C1D"/>
    <w:rsid w:val="003F6AAD"/>
    <w:rsid w:val="003F713A"/>
    <w:rsid w:val="00400230"/>
    <w:rsid w:val="00407DB1"/>
    <w:rsid w:val="00407F24"/>
    <w:rsid w:val="00413B4B"/>
    <w:rsid w:val="004145AE"/>
    <w:rsid w:val="00414D0D"/>
    <w:rsid w:val="00415083"/>
    <w:rsid w:val="004161C4"/>
    <w:rsid w:val="004169F1"/>
    <w:rsid w:val="00416F5A"/>
    <w:rsid w:val="00423E26"/>
    <w:rsid w:val="00424A6A"/>
    <w:rsid w:val="00425AE9"/>
    <w:rsid w:val="00433995"/>
    <w:rsid w:val="0043399F"/>
    <w:rsid w:val="00434679"/>
    <w:rsid w:val="004379E6"/>
    <w:rsid w:val="00441C61"/>
    <w:rsid w:val="00443FDA"/>
    <w:rsid w:val="00450D1E"/>
    <w:rsid w:val="00453D04"/>
    <w:rsid w:val="00454031"/>
    <w:rsid w:val="00455995"/>
    <w:rsid w:val="0046065C"/>
    <w:rsid w:val="0046162A"/>
    <w:rsid w:val="004671A8"/>
    <w:rsid w:val="00473440"/>
    <w:rsid w:val="00474773"/>
    <w:rsid w:val="00474E12"/>
    <w:rsid w:val="00477EE5"/>
    <w:rsid w:val="00487DFE"/>
    <w:rsid w:val="0049223B"/>
    <w:rsid w:val="004949CC"/>
    <w:rsid w:val="004A1E4E"/>
    <w:rsid w:val="004A2201"/>
    <w:rsid w:val="004A3B20"/>
    <w:rsid w:val="004A5463"/>
    <w:rsid w:val="004A5DFF"/>
    <w:rsid w:val="004B02D2"/>
    <w:rsid w:val="004B3AF4"/>
    <w:rsid w:val="004C0017"/>
    <w:rsid w:val="004C60B0"/>
    <w:rsid w:val="004D0CD2"/>
    <w:rsid w:val="004D2532"/>
    <w:rsid w:val="004D2FBC"/>
    <w:rsid w:val="004D4C3B"/>
    <w:rsid w:val="004E0BCE"/>
    <w:rsid w:val="004E2DF4"/>
    <w:rsid w:val="004E42A8"/>
    <w:rsid w:val="004E6699"/>
    <w:rsid w:val="004E75D4"/>
    <w:rsid w:val="004F105C"/>
    <w:rsid w:val="004F1528"/>
    <w:rsid w:val="004F2BD8"/>
    <w:rsid w:val="004F36BC"/>
    <w:rsid w:val="004F56EB"/>
    <w:rsid w:val="004F5A8E"/>
    <w:rsid w:val="005011B6"/>
    <w:rsid w:val="00505403"/>
    <w:rsid w:val="00512B0E"/>
    <w:rsid w:val="00513D1C"/>
    <w:rsid w:val="005170B1"/>
    <w:rsid w:val="0052094D"/>
    <w:rsid w:val="005260B8"/>
    <w:rsid w:val="00527169"/>
    <w:rsid w:val="00530C17"/>
    <w:rsid w:val="00530C57"/>
    <w:rsid w:val="005324DD"/>
    <w:rsid w:val="00537161"/>
    <w:rsid w:val="00540DAA"/>
    <w:rsid w:val="00542BF2"/>
    <w:rsid w:val="005450C8"/>
    <w:rsid w:val="00552A36"/>
    <w:rsid w:val="00555ED2"/>
    <w:rsid w:val="005637AF"/>
    <w:rsid w:val="00566EE3"/>
    <w:rsid w:val="005677B4"/>
    <w:rsid w:val="00567C80"/>
    <w:rsid w:val="00571F75"/>
    <w:rsid w:val="005728C8"/>
    <w:rsid w:val="0057546D"/>
    <w:rsid w:val="00576081"/>
    <w:rsid w:val="0058146E"/>
    <w:rsid w:val="00581CCA"/>
    <w:rsid w:val="005827E6"/>
    <w:rsid w:val="00583301"/>
    <w:rsid w:val="0058525C"/>
    <w:rsid w:val="00587749"/>
    <w:rsid w:val="00591195"/>
    <w:rsid w:val="00593C57"/>
    <w:rsid w:val="005947A1"/>
    <w:rsid w:val="00594A30"/>
    <w:rsid w:val="00594C0D"/>
    <w:rsid w:val="005A0458"/>
    <w:rsid w:val="005A2CD3"/>
    <w:rsid w:val="005B0274"/>
    <w:rsid w:val="005B203E"/>
    <w:rsid w:val="005B2439"/>
    <w:rsid w:val="005B58C5"/>
    <w:rsid w:val="005C010F"/>
    <w:rsid w:val="005C2E9B"/>
    <w:rsid w:val="005C7260"/>
    <w:rsid w:val="005D0769"/>
    <w:rsid w:val="005D2623"/>
    <w:rsid w:val="005D27A5"/>
    <w:rsid w:val="005D2EFA"/>
    <w:rsid w:val="005D50FD"/>
    <w:rsid w:val="005E4402"/>
    <w:rsid w:val="005E4AB7"/>
    <w:rsid w:val="005E7DF5"/>
    <w:rsid w:val="005F436B"/>
    <w:rsid w:val="005F5610"/>
    <w:rsid w:val="00601E78"/>
    <w:rsid w:val="0060204C"/>
    <w:rsid w:val="00602308"/>
    <w:rsid w:val="0060444D"/>
    <w:rsid w:val="0060447B"/>
    <w:rsid w:val="00607133"/>
    <w:rsid w:val="00612C2F"/>
    <w:rsid w:val="00615991"/>
    <w:rsid w:val="006169CC"/>
    <w:rsid w:val="00621549"/>
    <w:rsid w:val="00621FF9"/>
    <w:rsid w:val="006276D6"/>
    <w:rsid w:val="00630603"/>
    <w:rsid w:val="0063164C"/>
    <w:rsid w:val="00635947"/>
    <w:rsid w:val="00635FDB"/>
    <w:rsid w:val="006373F6"/>
    <w:rsid w:val="00637AE8"/>
    <w:rsid w:val="00647ECA"/>
    <w:rsid w:val="006500A2"/>
    <w:rsid w:val="0065150E"/>
    <w:rsid w:val="006538C9"/>
    <w:rsid w:val="00661304"/>
    <w:rsid w:val="006708BD"/>
    <w:rsid w:val="00674526"/>
    <w:rsid w:val="00677D4B"/>
    <w:rsid w:val="00686544"/>
    <w:rsid w:val="006875B2"/>
    <w:rsid w:val="00687727"/>
    <w:rsid w:val="00687812"/>
    <w:rsid w:val="00693991"/>
    <w:rsid w:val="006966E7"/>
    <w:rsid w:val="00696C0E"/>
    <w:rsid w:val="006A1444"/>
    <w:rsid w:val="006A2BD2"/>
    <w:rsid w:val="006B10AF"/>
    <w:rsid w:val="006B207F"/>
    <w:rsid w:val="006B2587"/>
    <w:rsid w:val="006B3C5C"/>
    <w:rsid w:val="006C15E2"/>
    <w:rsid w:val="006D0C21"/>
    <w:rsid w:val="006D24CE"/>
    <w:rsid w:val="006D6967"/>
    <w:rsid w:val="006E0D9D"/>
    <w:rsid w:val="006E1032"/>
    <w:rsid w:val="006F30AD"/>
    <w:rsid w:val="006F3210"/>
    <w:rsid w:val="006F5E0E"/>
    <w:rsid w:val="006F774C"/>
    <w:rsid w:val="006F776F"/>
    <w:rsid w:val="00700AEB"/>
    <w:rsid w:val="0070230C"/>
    <w:rsid w:val="00702DD1"/>
    <w:rsid w:val="00707F5A"/>
    <w:rsid w:val="007122DC"/>
    <w:rsid w:val="00712C8B"/>
    <w:rsid w:val="00716D72"/>
    <w:rsid w:val="00723F61"/>
    <w:rsid w:val="007251CF"/>
    <w:rsid w:val="00725220"/>
    <w:rsid w:val="0073184E"/>
    <w:rsid w:val="00732015"/>
    <w:rsid w:val="00732364"/>
    <w:rsid w:val="00733E39"/>
    <w:rsid w:val="0073522A"/>
    <w:rsid w:val="0074099E"/>
    <w:rsid w:val="00741A38"/>
    <w:rsid w:val="00744B47"/>
    <w:rsid w:val="0074524C"/>
    <w:rsid w:val="00747E2E"/>
    <w:rsid w:val="00750827"/>
    <w:rsid w:val="00750FD9"/>
    <w:rsid w:val="00753235"/>
    <w:rsid w:val="00753E53"/>
    <w:rsid w:val="00756B7F"/>
    <w:rsid w:val="0075735A"/>
    <w:rsid w:val="00763043"/>
    <w:rsid w:val="00766E9F"/>
    <w:rsid w:val="0076782A"/>
    <w:rsid w:val="00772E13"/>
    <w:rsid w:val="00777FE8"/>
    <w:rsid w:val="00780052"/>
    <w:rsid w:val="00784C6F"/>
    <w:rsid w:val="00787EC1"/>
    <w:rsid w:val="00791152"/>
    <w:rsid w:val="007929D6"/>
    <w:rsid w:val="0079486E"/>
    <w:rsid w:val="007A443A"/>
    <w:rsid w:val="007A4CE7"/>
    <w:rsid w:val="007B028F"/>
    <w:rsid w:val="007B30E6"/>
    <w:rsid w:val="007B4EE0"/>
    <w:rsid w:val="007B6611"/>
    <w:rsid w:val="007B6D5C"/>
    <w:rsid w:val="007C782C"/>
    <w:rsid w:val="007D0242"/>
    <w:rsid w:val="007D32F0"/>
    <w:rsid w:val="007D7682"/>
    <w:rsid w:val="007E19AB"/>
    <w:rsid w:val="007E1BD1"/>
    <w:rsid w:val="007E1FC4"/>
    <w:rsid w:val="007E4FBF"/>
    <w:rsid w:val="007F2B99"/>
    <w:rsid w:val="007F3662"/>
    <w:rsid w:val="00801BE4"/>
    <w:rsid w:val="00802F91"/>
    <w:rsid w:val="00803458"/>
    <w:rsid w:val="00803AA1"/>
    <w:rsid w:val="00806BDF"/>
    <w:rsid w:val="00813685"/>
    <w:rsid w:val="008138C4"/>
    <w:rsid w:val="008143AD"/>
    <w:rsid w:val="0082251C"/>
    <w:rsid w:val="00824C79"/>
    <w:rsid w:val="00826036"/>
    <w:rsid w:val="00826E56"/>
    <w:rsid w:val="008305F4"/>
    <w:rsid w:val="008333D1"/>
    <w:rsid w:val="00836AE8"/>
    <w:rsid w:val="0084513D"/>
    <w:rsid w:val="00847AC0"/>
    <w:rsid w:val="00850BC1"/>
    <w:rsid w:val="00852B31"/>
    <w:rsid w:val="008530E6"/>
    <w:rsid w:val="00853B76"/>
    <w:rsid w:val="00854637"/>
    <w:rsid w:val="00855D0E"/>
    <w:rsid w:val="0085642B"/>
    <w:rsid w:val="00856484"/>
    <w:rsid w:val="00860B87"/>
    <w:rsid w:val="00860C53"/>
    <w:rsid w:val="00861A95"/>
    <w:rsid w:val="008634A3"/>
    <w:rsid w:val="008638FE"/>
    <w:rsid w:val="00866C87"/>
    <w:rsid w:val="00867AE3"/>
    <w:rsid w:val="00871FEC"/>
    <w:rsid w:val="00872070"/>
    <w:rsid w:val="008724C3"/>
    <w:rsid w:val="00873CE5"/>
    <w:rsid w:val="00881A85"/>
    <w:rsid w:val="008840CE"/>
    <w:rsid w:val="008A287A"/>
    <w:rsid w:val="008A3A51"/>
    <w:rsid w:val="008A4194"/>
    <w:rsid w:val="008A5A75"/>
    <w:rsid w:val="008A72FD"/>
    <w:rsid w:val="008B08F8"/>
    <w:rsid w:val="008B210C"/>
    <w:rsid w:val="008B2446"/>
    <w:rsid w:val="008B32E1"/>
    <w:rsid w:val="008B41D9"/>
    <w:rsid w:val="008C0CE3"/>
    <w:rsid w:val="008C17BC"/>
    <w:rsid w:val="008C1E68"/>
    <w:rsid w:val="008C510B"/>
    <w:rsid w:val="008C5A54"/>
    <w:rsid w:val="008D26E2"/>
    <w:rsid w:val="008D737C"/>
    <w:rsid w:val="008D7721"/>
    <w:rsid w:val="008E0CC0"/>
    <w:rsid w:val="008E12F2"/>
    <w:rsid w:val="008E3610"/>
    <w:rsid w:val="008E4643"/>
    <w:rsid w:val="008E7C43"/>
    <w:rsid w:val="008F24E4"/>
    <w:rsid w:val="008F631D"/>
    <w:rsid w:val="00901F09"/>
    <w:rsid w:val="009046BD"/>
    <w:rsid w:val="00905070"/>
    <w:rsid w:val="00916CF3"/>
    <w:rsid w:val="009219B1"/>
    <w:rsid w:val="00923F34"/>
    <w:rsid w:val="00926518"/>
    <w:rsid w:val="00927BD3"/>
    <w:rsid w:val="00931F9A"/>
    <w:rsid w:val="009326D7"/>
    <w:rsid w:val="00933EAB"/>
    <w:rsid w:val="0093518E"/>
    <w:rsid w:val="00937B24"/>
    <w:rsid w:val="00940126"/>
    <w:rsid w:val="00942741"/>
    <w:rsid w:val="00942BFB"/>
    <w:rsid w:val="009453E7"/>
    <w:rsid w:val="009454CB"/>
    <w:rsid w:val="009471C4"/>
    <w:rsid w:val="009501CF"/>
    <w:rsid w:val="00951657"/>
    <w:rsid w:val="009530D6"/>
    <w:rsid w:val="0095493C"/>
    <w:rsid w:val="00954E2D"/>
    <w:rsid w:val="00957A1D"/>
    <w:rsid w:val="00960230"/>
    <w:rsid w:val="00966D2A"/>
    <w:rsid w:val="00967D83"/>
    <w:rsid w:val="00970A3F"/>
    <w:rsid w:val="00970B39"/>
    <w:rsid w:val="00972EA5"/>
    <w:rsid w:val="00973A43"/>
    <w:rsid w:val="00976909"/>
    <w:rsid w:val="00981673"/>
    <w:rsid w:val="009863FE"/>
    <w:rsid w:val="00986731"/>
    <w:rsid w:val="00990A86"/>
    <w:rsid w:val="009916B4"/>
    <w:rsid w:val="009A071D"/>
    <w:rsid w:val="009A41FF"/>
    <w:rsid w:val="009B0191"/>
    <w:rsid w:val="009B11D6"/>
    <w:rsid w:val="009B19E9"/>
    <w:rsid w:val="009B1C4C"/>
    <w:rsid w:val="009C0DC7"/>
    <w:rsid w:val="009C1DA9"/>
    <w:rsid w:val="009C5044"/>
    <w:rsid w:val="009C507C"/>
    <w:rsid w:val="009C54D3"/>
    <w:rsid w:val="009D242F"/>
    <w:rsid w:val="009D6543"/>
    <w:rsid w:val="009D680C"/>
    <w:rsid w:val="009E0520"/>
    <w:rsid w:val="009E3959"/>
    <w:rsid w:val="009E53DC"/>
    <w:rsid w:val="009E6597"/>
    <w:rsid w:val="009F0B59"/>
    <w:rsid w:val="009F48C7"/>
    <w:rsid w:val="009F51D1"/>
    <w:rsid w:val="009F58A9"/>
    <w:rsid w:val="009F5DE1"/>
    <w:rsid w:val="00A00A8C"/>
    <w:rsid w:val="00A04C2C"/>
    <w:rsid w:val="00A05361"/>
    <w:rsid w:val="00A06A5E"/>
    <w:rsid w:val="00A0786F"/>
    <w:rsid w:val="00A108F0"/>
    <w:rsid w:val="00A120B2"/>
    <w:rsid w:val="00A238D3"/>
    <w:rsid w:val="00A2487F"/>
    <w:rsid w:val="00A33B38"/>
    <w:rsid w:val="00A34202"/>
    <w:rsid w:val="00A3661C"/>
    <w:rsid w:val="00A36C37"/>
    <w:rsid w:val="00A40D28"/>
    <w:rsid w:val="00A43122"/>
    <w:rsid w:val="00A4393D"/>
    <w:rsid w:val="00A43BCA"/>
    <w:rsid w:val="00A448BB"/>
    <w:rsid w:val="00A46220"/>
    <w:rsid w:val="00A467FE"/>
    <w:rsid w:val="00A50C17"/>
    <w:rsid w:val="00A553EC"/>
    <w:rsid w:val="00A5605E"/>
    <w:rsid w:val="00A579FD"/>
    <w:rsid w:val="00A615F1"/>
    <w:rsid w:val="00A740BE"/>
    <w:rsid w:val="00A77EA3"/>
    <w:rsid w:val="00A77F5E"/>
    <w:rsid w:val="00A82B5A"/>
    <w:rsid w:val="00A8468C"/>
    <w:rsid w:val="00A87920"/>
    <w:rsid w:val="00A91A51"/>
    <w:rsid w:val="00A93185"/>
    <w:rsid w:val="00A952BC"/>
    <w:rsid w:val="00A960DE"/>
    <w:rsid w:val="00AA4DB6"/>
    <w:rsid w:val="00AB084A"/>
    <w:rsid w:val="00AB0C0A"/>
    <w:rsid w:val="00AB1037"/>
    <w:rsid w:val="00AB11D4"/>
    <w:rsid w:val="00AB6CD5"/>
    <w:rsid w:val="00AB73D9"/>
    <w:rsid w:val="00AC051B"/>
    <w:rsid w:val="00AC4270"/>
    <w:rsid w:val="00AC4368"/>
    <w:rsid w:val="00AD5854"/>
    <w:rsid w:val="00AD7D6A"/>
    <w:rsid w:val="00AE04CD"/>
    <w:rsid w:val="00AE354E"/>
    <w:rsid w:val="00AE538F"/>
    <w:rsid w:val="00AE76C1"/>
    <w:rsid w:val="00AF18AB"/>
    <w:rsid w:val="00AF2BF6"/>
    <w:rsid w:val="00AF514C"/>
    <w:rsid w:val="00AF5387"/>
    <w:rsid w:val="00AF6B40"/>
    <w:rsid w:val="00B0167A"/>
    <w:rsid w:val="00B056FE"/>
    <w:rsid w:val="00B062CB"/>
    <w:rsid w:val="00B06C7B"/>
    <w:rsid w:val="00B14839"/>
    <w:rsid w:val="00B15FEB"/>
    <w:rsid w:val="00B17556"/>
    <w:rsid w:val="00B17920"/>
    <w:rsid w:val="00B244DB"/>
    <w:rsid w:val="00B25393"/>
    <w:rsid w:val="00B25DC9"/>
    <w:rsid w:val="00B26410"/>
    <w:rsid w:val="00B266D5"/>
    <w:rsid w:val="00B2781C"/>
    <w:rsid w:val="00B3201B"/>
    <w:rsid w:val="00B32108"/>
    <w:rsid w:val="00B321AB"/>
    <w:rsid w:val="00B33016"/>
    <w:rsid w:val="00B44581"/>
    <w:rsid w:val="00B45C62"/>
    <w:rsid w:val="00B50396"/>
    <w:rsid w:val="00B57820"/>
    <w:rsid w:val="00B60911"/>
    <w:rsid w:val="00B62085"/>
    <w:rsid w:val="00B63036"/>
    <w:rsid w:val="00B6473F"/>
    <w:rsid w:val="00B651DD"/>
    <w:rsid w:val="00B70E78"/>
    <w:rsid w:val="00B727DE"/>
    <w:rsid w:val="00B73070"/>
    <w:rsid w:val="00B75B5F"/>
    <w:rsid w:val="00B81372"/>
    <w:rsid w:val="00B8207E"/>
    <w:rsid w:val="00B821A1"/>
    <w:rsid w:val="00B86539"/>
    <w:rsid w:val="00B87AB0"/>
    <w:rsid w:val="00B87B8C"/>
    <w:rsid w:val="00B87C31"/>
    <w:rsid w:val="00B9065A"/>
    <w:rsid w:val="00B918C5"/>
    <w:rsid w:val="00B941E5"/>
    <w:rsid w:val="00B9615A"/>
    <w:rsid w:val="00B9726A"/>
    <w:rsid w:val="00BA1ACF"/>
    <w:rsid w:val="00BA2DB0"/>
    <w:rsid w:val="00BA4198"/>
    <w:rsid w:val="00BA78E3"/>
    <w:rsid w:val="00BB017C"/>
    <w:rsid w:val="00BB23CD"/>
    <w:rsid w:val="00BB2805"/>
    <w:rsid w:val="00BB3A3E"/>
    <w:rsid w:val="00BB6EBD"/>
    <w:rsid w:val="00BB76FF"/>
    <w:rsid w:val="00BC17CF"/>
    <w:rsid w:val="00BC69E5"/>
    <w:rsid w:val="00BC6ECC"/>
    <w:rsid w:val="00BD3ABC"/>
    <w:rsid w:val="00BD623C"/>
    <w:rsid w:val="00BD6279"/>
    <w:rsid w:val="00BE268A"/>
    <w:rsid w:val="00BE3C84"/>
    <w:rsid w:val="00BF1EE4"/>
    <w:rsid w:val="00BF4538"/>
    <w:rsid w:val="00BF7D88"/>
    <w:rsid w:val="00C017B2"/>
    <w:rsid w:val="00C0188F"/>
    <w:rsid w:val="00C17113"/>
    <w:rsid w:val="00C17626"/>
    <w:rsid w:val="00C17B0F"/>
    <w:rsid w:val="00C17BC7"/>
    <w:rsid w:val="00C17EC6"/>
    <w:rsid w:val="00C21387"/>
    <w:rsid w:val="00C260D7"/>
    <w:rsid w:val="00C27E09"/>
    <w:rsid w:val="00C34312"/>
    <w:rsid w:val="00C34BCE"/>
    <w:rsid w:val="00C374C6"/>
    <w:rsid w:val="00C40A6B"/>
    <w:rsid w:val="00C40D4C"/>
    <w:rsid w:val="00C414E1"/>
    <w:rsid w:val="00C4598B"/>
    <w:rsid w:val="00C46E5C"/>
    <w:rsid w:val="00C524FE"/>
    <w:rsid w:val="00C5461E"/>
    <w:rsid w:val="00C5514F"/>
    <w:rsid w:val="00C55DD0"/>
    <w:rsid w:val="00C56D2F"/>
    <w:rsid w:val="00C60044"/>
    <w:rsid w:val="00C65898"/>
    <w:rsid w:val="00C664EF"/>
    <w:rsid w:val="00C66635"/>
    <w:rsid w:val="00C6746F"/>
    <w:rsid w:val="00C723E6"/>
    <w:rsid w:val="00C7290A"/>
    <w:rsid w:val="00C7653E"/>
    <w:rsid w:val="00C77D15"/>
    <w:rsid w:val="00C83974"/>
    <w:rsid w:val="00C846FF"/>
    <w:rsid w:val="00C872E9"/>
    <w:rsid w:val="00C91B48"/>
    <w:rsid w:val="00C933F6"/>
    <w:rsid w:val="00CA08E4"/>
    <w:rsid w:val="00CA735F"/>
    <w:rsid w:val="00CB2143"/>
    <w:rsid w:val="00CB3667"/>
    <w:rsid w:val="00CB37DA"/>
    <w:rsid w:val="00CB46CD"/>
    <w:rsid w:val="00CB4F85"/>
    <w:rsid w:val="00CB5C8C"/>
    <w:rsid w:val="00CB65C2"/>
    <w:rsid w:val="00CB7A1E"/>
    <w:rsid w:val="00CC3BE4"/>
    <w:rsid w:val="00CC4ED3"/>
    <w:rsid w:val="00CD514E"/>
    <w:rsid w:val="00CD5B41"/>
    <w:rsid w:val="00CE599D"/>
    <w:rsid w:val="00CE5F66"/>
    <w:rsid w:val="00CE6654"/>
    <w:rsid w:val="00CF2301"/>
    <w:rsid w:val="00CF335B"/>
    <w:rsid w:val="00CF6550"/>
    <w:rsid w:val="00D000AF"/>
    <w:rsid w:val="00D06192"/>
    <w:rsid w:val="00D0758A"/>
    <w:rsid w:val="00D114E5"/>
    <w:rsid w:val="00D16C38"/>
    <w:rsid w:val="00D17EA7"/>
    <w:rsid w:val="00D17FDC"/>
    <w:rsid w:val="00D219C1"/>
    <w:rsid w:val="00D27982"/>
    <w:rsid w:val="00D31FFC"/>
    <w:rsid w:val="00D35AB3"/>
    <w:rsid w:val="00D37AEC"/>
    <w:rsid w:val="00D40357"/>
    <w:rsid w:val="00D439A9"/>
    <w:rsid w:val="00D44A5A"/>
    <w:rsid w:val="00D44C4A"/>
    <w:rsid w:val="00D54658"/>
    <w:rsid w:val="00D6391C"/>
    <w:rsid w:val="00D65CED"/>
    <w:rsid w:val="00D715FB"/>
    <w:rsid w:val="00D74575"/>
    <w:rsid w:val="00D75FED"/>
    <w:rsid w:val="00D80833"/>
    <w:rsid w:val="00D84281"/>
    <w:rsid w:val="00D85E34"/>
    <w:rsid w:val="00D8796F"/>
    <w:rsid w:val="00D902F9"/>
    <w:rsid w:val="00D93528"/>
    <w:rsid w:val="00D97161"/>
    <w:rsid w:val="00DA557B"/>
    <w:rsid w:val="00DA7B89"/>
    <w:rsid w:val="00DB05BC"/>
    <w:rsid w:val="00DB31B3"/>
    <w:rsid w:val="00DB5F1D"/>
    <w:rsid w:val="00DB62E9"/>
    <w:rsid w:val="00DB75D4"/>
    <w:rsid w:val="00DB762A"/>
    <w:rsid w:val="00DC461A"/>
    <w:rsid w:val="00DC659C"/>
    <w:rsid w:val="00DE014E"/>
    <w:rsid w:val="00DE2BD5"/>
    <w:rsid w:val="00DE34F3"/>
    <w:rsid w:val="00DF2916"/>
    <w:rsid w:val="00DF7151"/>
    <w:rsid w:val="00E032F2"/>
    <w:rsid w:val="00E119ED"/>
    <w:rsid w:val="00E138FA"/>
    <w:rsid w:val="00E15D55"/>
    <w:rsid w:val="00E16104"/>
    <w:rsid w:val="00E17DA3"/>
    <w:rsid w:val="00E2012C"/>
    <w:rsid w:val="00E20992"/>
    <w:rsid w:val="00E21529"/>
    <w:rsid w:val="00E329F9"/>
    <w:rsid w:val="00E3324B"/>
    <w:rsid w:val="00E35BE1"/>
    <w:rsid w:val="00E402DA"/>
    <w:rsid w:val="00E46AE4"/>
    <w:rsid w:val="00E538F0"/>
    <w:rsid w:val="00E53B1B"/>
    <w:rsid w:val="00E5454B"/>
    <w:rsid w:val="00E55119"/>
    <w:rsid w:val="00E61966"/>
    <w:rsid w:val="00E62FAF"/>
    <w:rsid w:val="00E66D3F"/>
    <w:rsid w:val="00E705C3"/>
    <w:rsid w:val="00E7063F"/>
    <w:rsid w:val="00E70D8B"/>
    <w:rsid w:val="00E7118C"/>
    <w:rsid w:val="00E74982"/>
    <w:rsid w:val="00E7511F"/>
    <w:rsid w:val="00E7583C"/>
    <w:rsid w:val="00E77AA8"/>
    <w:rsid w:val="00E813B6"/>
    <w:rsid w:val="00E8375B"/>
    <w:rsid w:val="00E84092"/>
    <w:rsid w:val="00E8792D"/>
    <w:rsid w:val="00E945B7"/>
    <w:rsid w:val="00E9604C"/>
    <w:rsid w:val="00EB03DA"/>
    <w:rsid w:val="00EB1CC9"/>
    <w:rsid w:val="00EB31FA"/>
    <w:rsid w:val="00EC22CE"/>
    <w:rsid w:val="00EC3490"/>
    <w:rsid w:val="00EC6179"/>
    <w:rsid w:val="00EC62FD"/>
    <w:rsid w:val="00ED1A6C"/>
    <w:rsid w:val="00ED2B5B"/>
    <w:rsid w:val="00ED57BC"/>
    <w:rsid w:val="00ED6B91"/>
    <w:rsid w:val="00EE2FAB"/>
    <w:rsid w:val="00EE4F0E"/>
    <w:rsid w:val="00EE57FD"/>
    <w:rsid w:val="00EF1612"/>
    <w:rsid w:val="00EF31CB"/>
    <w:rsid w:val="00EF3F09"/>
    <w:rsid w:val="00EF511D"/>
    <w:rsid w:val="00EF5359"/>
    <w:rsid w:val="00F008EC"/>
    <w:rsid w:val="00F01153"/>
    <w:rsid w:val="00F04629"/>
    <w:rsid w:val="00F06A4C"/>
    <w:rsid w:val="00F137FD"/>
    <w:rsid w:val="00F15D14"/>
    <w:rsid w:val="00F17FE4"/>
    <w:rsid w:val="00F20E2C"/>
    <w:rsid w:val="00F23D40"/>
    <w:rsid w:val="00F262A4"/>
    <w:rsid w:val="00F265B9"/>
    <w:rsid w:val="00F275F9"/>
    <w:rsid w:val="00F27E08"/>
    <w:rsid w:val="00F304DA"/>
    <w:rsid w:val="00F30740"/>
    <w:rsid w:val="00F32ACA"/>
    <w:rsid w:val="00F43252"/>
    <w:rsid w:val="00F50C55"/>
    <w:rsid w:val="00F50D3D"/>
    <w:rsid w:val="00F555E7"/>
    <w:rsid w:val="00F569DA"/>
    <w:rsid w:val="00F57A95"/>
    <w:rsid w:val="00F61807"/>
    <w:rsid w:val="00F83FB6"/>
    <w:rsid w:val="00F84059"/>
    <w:rsid w:val="00F92EEA"/>
    <w:rsid w:val="00F97B50"/>
    <w:rsid w:val="00FB1A8D"/>
    <w:rsid w:val="00FB5AFB"/>
    <w:rsid w:val="00FB78A3"/>
    <w:rsid w:val="00FC404D"/>
    <w:rsid w:val="00FC4414"/>
    <w:rsid w:val="00FC4A81"/>
    <w:rsid w:val="00FC6FFD"/>
    <w:rsid w:val="00FD08A5"/>
    <w:rsid w:val="00FD0EFD"/>
    <w:rsid w:val="00FD184B"/>
    <w:rsid w:val="00FD1BD5"/>
    <w:rsid w:val="00FD4073"/>
    <w:rsid w:val="00FD6F40"/>
    <w:rsid w:val="00FD79FF"/>
    <w:rsid w:val="00FE5722"/>
    <w:rsid w:val="00FE5B23"/>
    <w:rsid w:val="00FE613D"/>
    <w:rsid w:val="00FE6607"/>
    <w:rsid w:val="00FF0178"/>
    <w:rsid w:val="00FF2029"/>
    <w:rsid w:val="00FF3273"/>
    <w:rsid w:val="00FF464A"/>
    <w:rsid w:val="00FF6030"/>
    <w:rsid w:val="05791AD3"/>
    <w:rsid w:val="05EC2199"/>
    <w:rsid w:val="10A675CA"/>
    <w:rsid w:val="586EC758"/>
    <w:rsid w:val="79B640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7F2B99"/>
    <w:pPr>
      <w:keepNext/>
      <w:keepLines/>
      <w:widowControl/>
      <w:numPr>
        <w:numId w:val="6"/>
      </w:numPr>
      <w:autoSpaceDE/>
      <w:autoSpaceDN/>
      <w:spacing w:before="120" w:after="120" w:line="276" w:lineRule="auto"/>
      <w:outlineLvl w:val="0"/>
    </w:pPr>
    <w:rPr>
      <w:rFonts w:asciiTheme="majorHAnsi" w:eastAsia="SimSun" w:hAnsiTheme="majorHAnsi" w:cstheme="majorBidi"/>
      <w:b/>
      <w:bCs/>
      <w:caps/>
      <w:color w:val="000000" w:themeColor="text1"/>
      <w:sz w:val="28"/>
      <w:szCs w:val="28"/>
      <w:lang w:val="en-AU"/>
    </w:rPr>
  </w:style>
  <w:style w:type="paragraph" w:styleId="Heading2">
    <w:name w:val="heading 2"/>
    <w:basedOn w:val="Heading1"/>
    <w:next w:val="Normal"/>
    <w:link w:val="Heading2Char"/>
    <w:uiPriority w:val="9"/>
    <w:unhideWhenUsed/>
    <w:qFormat/>
    <w:rsid w:val="008E4643"/>
    <w:pPr>
      <w:outlineLvl w:val="1"/>
    </w:pPr>
    <w:rPr>
      <w:caps w:val="0"/>
      <w:smallCaps/>
    </w:rPr>
  </w:style>
  <w:style w:type="paragraph" w:styleId="Heading3">
    <w:name w:val="heading 3"/>
    <w:basedOn w:val="Normal"/>
    <w:next w:val="Normal"/>
    <w:link w:val="Heading3Char"/>
    <w:uiPriority w:val="9"/>
    <w:unhideWhenUsed/>
    <w:qFormat/>
    <w:rsid w:val="000025A2"/>
    <w:pPr>
      <w:keepNext/>
      <w:keepLines/>
      <w:spacing w:before="40"/>
      <w:outlineLvl w:val="2"/>
    </w:pPr>
    <w:rPr>
      <w:rFonts w:ascii="Cambria" w:eastAsiaTheme="majorEastAsia" w:hAnsi="Cambria" w:cstheme="majorBidi"/>
      <w:color w:val="000000" w:themeColor="text1"/>
      <w:szCs w:val="24"/>
    </w:rPr>
  </w:style>
  <w:style w:type="paragraph" w:styleId="Heading4">
    <w:name w:val="heading 4"/>
    <w:basedOn w:val="Heading3"/>
    <w:next w:val="Normal"/>
    <w:link w:val="Heading4Char"/>
    <w:autoRedefine/>
    <w:uiPriority w:val="9"/>
    <w:unhideWhenUsed/>
    <w:qFormat/>
    <w:rsid w:val="00450D1E"/>
    <w:pPr>
      <w:widowControl/>
      <w:autoSpaceDE/>
      <w:autoSpaceDN/>
      <w:spacing w:before="120" w:after="120" w:line="276" w:lineRule="auto"/>
      <w:outlineLvl w:val="3"/>
    </w:pPr>
    <w:rPr>
      <w:rFonts w:asciiTheme="minorHAnsi" w:hAnsiTheme="minorHAnsi" w:cstheme="minorHAnsi"/>
      <w:bCs/>
      <w:color w:val="auto"/>
      <w:szCs w:val="22"/>
      <w:u w:val="single"/>
      <w:lang w:val="en-AU"/>
    </w:rPr>
  </w:style>
  <w:style w:type="paragraph" w:styleId="Heading5">
    <w:name w:val="heading 5"/>
    <w:basedOn w:val="Normal"/>
    <w:next w:val="Normal"/>
    <w:link w:val="Heading5Char"/>
    <w:uiPriority w:val="9"/>
    <w:semiHidden/>
    <w:unhideWhenUsed/>
    <w:qFormat/>
    <w:rsid w:val="001D7DE1"/>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7DE1"/>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7DE1"/>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7DE1"/>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7DE1"/>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04"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06C7B"/>
    <w:pPr>
      <w:tabs>
        <w:tab w:val="center" w:pos="4513"/>
        <w:tab w:val="right" w:pos="9026"/>
      </w:tabs>
    </w:pPr>
  </w:style>
  <w:style w:type="character" w:customStyle="1" w:styleId="HeaderChar">
    <w:name w:val="Header Char"/>
    <w:basedOn w:val="DefaultParagraphFont"/>
    <w:link w:val="Header"/>
    <w:uiPriority w:val="99"/>
    <w:rsid w:val="00B06C7B"/>
    <w:rPr>
      <w:rFonts w:ascii="Times New Roman" w:eastAsia="Times New Roman" w:hAnsi="Times New Roman" w:cs="Times New Roman"/>
    </w:rPr>
  </w:style>
  <w:style w:type="paragraph" w:styleId="Footer">
    <w:name w:val="footer"/>
    <w:basedOn w:val="Normal"/>
    <w:link w:val="FooterChar"/>
    <w:unhideWhenUsed/>
    <w:rsid w:val="00B06C7B"/>
    <w:pPr>
      <w:tabs>
        <w:tab w:val="center" w:pos="4513"/>
        <w:tab w:val="right" w:pos="9026"/>
      </w:tabs>
    </w:pPr>
  </w:style>
  <w:style w:type="character" w:customStyle="1" w:styleId="FooterChar">
    <w:name w:val="Footer Char"/>
    <w:basedOn w:val="DefaultParagraphFont"/>
    <w:link w:val="Footer"/>
    <w:rsid w:val="00B06C7B"/>
    <w:rPr>
      <w:rFonts w:ascii="Times New Roman" w:eastAsia="Times New Roman" w:hAnsi="Times New Roman" w:cs="Times New Roman"/>
    </w:rPr>
  </w:style>
  <w:style w:type="character" w:styleId="Hyperlink">
    <w:name w:val="Hyperlink"/>
    <w:basedOn w:val="DefaultParagraphFont"/>
    <w:uiPriority w:val="99"/>
    <w:unhideWhenUsed/>
    <w:rsid w:val="00343332"/>
    <w:rPr>
      <w:color w:val="0000FF" w:themeColor="hyperlink"/>
      <w:u w:val="single"/>
    </w:rPr>
  </w:style>
  <w:style w:type="character" w:customStyle="1" w:styleId="Heading1Char">
    <w:name w:val="Heading 1 Char"/>
    <w:basedOn w:val="DefaultParagraphFont"/>
    <w:link w:val="Heading1"/>
    <w:uiPriority w:val="9"/>
    <w:rsid w:val="007F2B99"/>
    <w:rPr>
      <w:rFonts w:asciiTheme="majorHAnsi" w:eastAsia="SimSun" w:hAnsiTheme="majorHAnsi" w:cstheme="majorBidi"/>
      <w:b/>
      <w:bCs/>
      <w:caps/>
      <w:color w:val="000000" w:themeColor="text1"/>
      <w:sz w:val="28"/>
      <w:szCs w:val="28"/>
      <w:lang w:val="en-AU"/>
    </w:rPr>
  </w:style>
  <w:style w:type="character" w:customStyle="1" w:styleId="Heading2Char">
    <w:name w:val="Heading 2 Char"/>
    <w:basedOn w:val="DefaultParagraphFont"/>
    <w:link w:val="Heading2"/>
    <w:uiPriority w:val="9"/>
    <w:rsid w:val="008E4643"/>
    <w:rPr>
      <w:rFonts w:asciiTheme="majorHAnsi" w:eastAsia="SimSun" w:hAnsiTheme="majorHAnsi" w:cstheme="majorBidi"/>
      <w:b/>
      <w:bCs/>
      <w:smallCaps/>
      <w:color w:val="000000" w:themeColor="text1"/>
      <w:sz w:val="28"/>
      <w:szCs w:val="28"/>
      <w:lang w:val="en-AU"/>
    </w:rPr>
  </w:style>
  <w:style w:type="character" w:customStyle="1" w:styleId="Heading5Char">
    <w:name w:val="Heading 5 Char"/>
    <w:basedOn w:val="DefaultParagraphFont"/>
    <w:link w:val="Heading5"/>
    <w:uiPriority w:val="9"/>
    <w:semiHidden/>
    <w:rsid w:val="001D7DE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7DE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7DE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7D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7DE1"/>
    <w:rPr>
      <w:rFonts w:asciiTheme="majorHAnsi" w:eastAsiaTheme="majorEastAsia" w:hAnsiTheme="majorHAnsi" w:cstheme="majorBidi"/>
      <w:i/>
      <w:iCs/>
      <w:color w:val="272727" w:themeColor="text1" w:themeTint="D8"/>
      <w:sz w:val="21"/>
      <w:szCs w:val="21"/>
    </w:rPr>
  </w:style>
  <w:style w:type="character" w:customStyle="1" w:styleId="Heading4Char">
    <w:name w:val="Heading 4 Char"/>
    <w:basedOn w:val="DefaultParagraphFont"/>
    <w:link w:val="Heading4"/>
    <w:uiPriority w:val="9"/>
    <w:rsid w:val="00450D1E"/>
    <w:rPr>
      <w:rFonts w:eastAsiaTheme="majorEastAsia" w:cstheme="minorHAnsi"/>
      <w:bCs/>
      <w:u w:val="single"/>
      <w:lang w:val="en-AU"/>
    </w:rPr>
  </w:style>
  <w:style w:type="character" w:customStyle="1" w:styleId="Heading3Char">
    <w:name w:val="Heading 3 Char"/>
    <w:basedOn w:val="DefaultParagraphFont"/>
    <w:link w:val="Heading3"/>
    <w:uiPriority w:val="9"/>
    <w:rsid w:val="000025A2"/>
    <w:rPr>
      <w:rFonts w:ascii="Cambria" w:eastAsiaTheme="majorEastAsia" w:hAnsi="Cambria" w:cstheme="majorBidi"/>
      <w:color w:val="000000" w:themeColor="text1"/>
      <w:szCs w:val="24"/>
    </w:rPr>
  </w:style>
  <w:style w:type="paragraph" w:styleId="Caption">
    <w:name w:val="caption"/>
    <w:basedOn w:val="Normal"/>
    <w:next w:val="Normal"/>
    <w:uiPriority w:val="35"/>
    <w:unhideWhenUsed/>
    <w:qFormat/>
    <w:rsid w:val="00D000AF"/>
    <w:pPr>
      <w:spacing w:after="200"/>
    </w:pPr>
    <w:rPr>
      <w:i/>
      <w:iCs/>
      <w:color w:val="1F497D" w:themeColor="text2"/>
      <w:sz w:val="18"/>
      <w:szCs w:val="18"/>
    </w:rPr>
  </w:style>
  <w:style w:type="table" w:styleId="LightGrid">
    <w:name w:val="Light Grid"/>
    <w:basedOn w:val="TableNormal"/>
    <w:uiPriority w:val="62"/>
    <w:rsid w:val="00AC051B"/>
    <w:pPr>
      <w:widowControl/>
      <w:autoSpaceDE/>
      <w:autoSpaceDN/>
    </w:pPr>
    <w:rPr>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C260D7"/>
    <w:rPr>
      <w:sz w:val="16"/>
      <w:szCs w:val="16"/>
    </w:rPr>
  </w:style>
  <w:style w:type="paragraph" w:styleId="CommentText">
    <w:name w:val="annotation text"/>
    <w:basedOn w:val="Normal"/>
    <w:link w:val="CommentTextChar"/>
    <w:uiPriority w:val="99"/>
    <w:unhideWhenUsed/>
    <w:rsid w:val="00C260D7"/>
    <w:rPr>
      <w:sz w:val="20"/>
      <w:szCs w:val="20"/>
    </w:rPr>
  </w:style>
  <w:style w:type="character" w:customStyle="1" w:styleId="CommentTextChar">
    <w:name w:val="Comment Text Char"/>
    <w:basedOn w:val="DefaultParagraphFont"/>
    <w:link w:val="CommentText"/>
    <w:uiPriority w:val="99"/>
    <w:rsid w:val="00C260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60D7"/>
    <w:rPr>
      <w:b/>
      <w:bCs/>
    </w:rPr>
  </w:style>
  <w:style w:type="character" w:customStyle="1" w:styleId="CommentSubjectChar">
    <w:name w:val="Comment Subject Char"/>
    <w:basedOn w:val="CommentTextChar"/>
    <w:link w:val="CommentSubject"/>
    <w:uiPriority w:val="99"/>
    <w:semiHidden/>
    <w:rsid w:val="00C260D7"/>
    <w:rPr>
      <w:rFonts w:ascii="Times New Roman" w:eastAsia="Times New Roman" w:hAnsi="Times New Roman" w:cs="Times New Roman"/>
      <w:b/>
      <w:bCs/>
      <w:sz w:val="20"/>
      <w:szCs w:val="20"/>
    </w:rPr>
  </w:style>
  <w:style w:type="table" w:styleId="TableGrid">
    <w:name w:val="Table Grid"/>
    <w:basedOn w:val="TableNormal"/>
    <w:uiPriority w:val="59"/>
    <w:rsid w:val="00CB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C57"/>
    <w:pPr>
      <w:widowControl/>
      <w:adjustRightInd w:val="0"/>
    </w:pPr>
    <w:rPr>
      <w:rFonts w:ascii="Times New Roman" w:hAnsi="Times New Roman" w:cs="Times New Roman"/>
      <w:color w:val="000000"/>
      <w:sz w:val="24"/>
      <w:szCs w:val="24"/>
      <w:lang w:val="en-AU"/>
    </w:rPr>
  </w:style>
  <w:style w:type="paragraph" w:styleId="BalloonText">
    <w:name w:val="Balloon Text"/>
    <w:basedOn w:val="Normal"/>
    <w:link w:val="BalloonTextChar"/>
    <w:uiPriority w:val="99"/>
    <w:semiHidden/>
    <w:unhideWhenUsed/>
    <w:rsid w:val="00AB6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D5"/>
    <w:rPr>
      <w:rFonts w:ascii="Segoe UI" w:eastAsia="Times New Roman" w:hAnsi="Segoe UI" w:cs="Segoe UI"/>
      <w:sz w:val="18"/>
      <w:szCs w:val="18"/>
    </w:rPr>
  </w:style>
  <w:style w:type="character" w:styleId="UnresolvedMention">
    <w:name w:val="Unresolved Mention"/>
    <w:basedOn w:val="DefaultParagraphFont"/>
    <w:uiPriority w:val="99"/>
    <w:unhideWhenUsed/>
    <w:rsid w:val="00940126"/>
    <w:rPr>
      <w:color w:val="605E5C"/>
      <w:shd w:val="clear" w:color="auto" w:fill="E1DFDD"/>
    </w:rPr>
  </w:style>
  <w:style w:type="character" w:styleId="Mention">
    <w:name w:val="Mention"/>
    <w:basedOn w:val="DefaultParagraphFont"/>
    <w:uiPriority w:val="99"/>
    <w:unhideWhenUsed/>
    <w:rsid w:val="00940126"/>
    <w:rPr>
      <w:color w:val="2B579A"/>
      <w:shd w:val="clear" w:color="auto" w:fill="E1DFDD"/>
    </w:rPr>
  </w:style>
  <w:style w:type="paragraph" w:styleId="Revision">
    <w:name w:val="Revision"/>
    <w:hidden/>
    <w:uiPriority w:val="99"/>
    <w:semiHidden/>
    <w:rsid w:val="00AD5854"/>
    <w:pPr>
      <w:widowControl/>
      <w:autoSpaceDE/>
      <w:autoSpaceDN/>
    </w:pPr>
    <w:rPr>
      <w:rFonts w:ascii="Times New Roman" w:eastAsia="Times New Roman" w:hAnsi="Times New Roman" w:cs="Times New Roman"/>
    </w:rPr>
  </w:style>
  <w:style w:type="paragraph" w:customStyle="1" w:styleId="HeaderNoLine">
    <w:name w:val="Header No Line"/>
    <w:basedOn w:val="Header"/>
    <w:rsid w:val="00025445"/>
    <w:pPr>
      <w:widowControl/>
      <w:autoSpaceDE/>
      <w:autoSpaceDN/>
      <w:spacing w:before="120" w:after="240"/>
    </w:pPr>
    <w:rPr>
      <w:rFonts w:ascii="Cambria" w:eastAsia="Cambria" w:hAnsi="Cambria"/>
      <w:sz w:val="17"/>
      <w:lang w:val="en-AU"/>
    </w:rPr>
  </w:style>
  <w:style w:type="table" w:customStyle="1" w:styleId="TableGrid1">
    <w:name w:val="Table Grid1"/>
    <w:basedOn w:val="TableNormal"/>
    <w:next w:val="TableGrid"/>
    <w:uiPriority w:val="39"/>
    <w:rsid w:val="001C4E54"/>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8485">
      <w:bodyDiv w:val="1"/>
      <w:marLeft w:val="0"/>
      <w:marRight w:val="0"/>
      <w:marTop w:val="0"/>
      <w:marBottom w:val="0"/>
      <w:divBdr>
        <w:top w:val="none" w:sz="0" w:space="0" w:color="auto"/>
        <w:left w:val="none" w:sz="0" w:space="0" w:color="auto"/>
        <w:bottom w:val="none" w:sz="0" w:space="0" w:color="auto"/>
        <w:right w:val="none" w:sz="0" w:space="0" w:color="auto"/>
      </w:divBdr>
    </w:div>
    <w:div w:id="145322275">
      <w:bodyDiv w:val="1"/>
      <w:marLeft w:val="0"/>
      <w:marRight w:val="0"/>
      <w:marTop w:val="0"/>
      <w:marBottom w:val="0"/>
      <w:divBdr>
        <w:top w:val="none" w:sz="0" w:space="0" w:color="auto"/>
        <w:left w:val="none" w:sz="0" w:space="0" w:color="auto"/>
        <w:bottom w:val="none" w:sz="0" w:space="0" w:color="auto"/>
        <w:right w:val="none" w:sz="0" w:space="0" w:color="auto"/>
      </w:divBdr>
    </w:div>
    <w:div w:id="273095664">
      <w:bodyDiv w:val="1"/>
      <w:marLeft w:val="0"/>
      <w:marRight w:val="0"/>
      <w:marTop w:val="0"/>
      <w:marBottom w:val="0"/>
      <w:divBdr>
        <w:top w:val="none" w:sz="0" w:space="0" w:color="auto"/>
        <w:left w:val="none" w:sz="0" w:space="0" w:color="auto"/>
        <w:bottom w:val="none" w:sz="0" w:space="0" w:color="auto"/>
        <w:right w:val="none" w:sz="0" w:space="0" w:color="auto"/>
      </w:divBdr>
    </w:div>
    <w:div w:id="318701995">
      <w:bodyDiv w:val="1"/>
      <w:marLeft w:val="0"/>
      <w:marRight w:val="0"/>
      <w:marTop w:val="0"/>
      <w:marBottom w:val="0"/>
      <w:divBdr>
        <w:top w:val="none" w:sz="0" w:space="0" w:color="auto"/>
        <w:left w:val="none" w:sz="0" w:space="0" w:color="auto"/>
        <w:bottom w:val="none" w:sz="0" w:space="0" w:color="auto"/>
        <w:right w:val="none" w:sz="0" w:space="0" w:color="auto"/>
      </w:divBdr>
    </w:div>
    <w:div w:id="813761078">
      <w:bodyDiv w:val="1"/>
      <w:marLeft w:val="0"/>
      <w:marRight w:val="0"/>
      <w:marTop w:val="0"/>
      <w:marBottom w:val="0"/>
      <w:divBdr>
        <w:top w:val="none" w:sz="0" w:space="0" w:color="auto"/>
        <w:left w:val="none" w:sz="0" w:space="0" w:color="auto"/>
        <w:bottom w:val="none" w:sz="0" w:space="0" w:color="auto"/>
        <w:right w:val="none" w:sz="0" w:space="0" w:color="auto"/>
      </w:divBdr>
    </w:div>
    <w:div w:id="847451220">
      <w:bodyDiv w:val="1"/>
      <w:marLeft w:val="0"/>
      <w:marRight w:val="0"/>
      <w:marTop w:val="0"/>
      <w:marBottom w:val="0"/>
      <w:divBdr>
        <w:top w:val="none" w:sz="0" w:space="0" w:color="auto"/>
        <w:left w:val="none" w:sz="0" w:space="0" w:color="auto"/>
        <w:bottom w:val="none" w:sz="0" w:space="0" w:color="auto"/>
        <w:right w:val="none" w:sz="0" w:space="0" w:color="auto"/>
      </w:divBdr>
    </w:div>
    <w:div w:id="1070615199">
      <w:bodyDiv w:val="1"/>
      <w:marLeft w:val="0"/>
      <w:marRight w:val="0"/>
      <w:marTop w:val="0"/>
      <w:marBottom w:val="0"/>
      <w:divBdr>
        <w:top w:val="none" w:sz="0" w:space="0" w:color="auto"/>
        <w:left w:val="none" w:sz="0" w:space="0" w:color="auto"/>
        <w:bottom w:val="none" w:sz="0" w:space="0" w:color="auto"/>
        <w:right w:val="none" w:sz="0" w:space="0" w:color="auto"/>
      </w:divBdr>
    </w:div>
    <w:div w:id="1374378464">
      <w:bodyDiv w:val="1"/>
      <w:marLeft w:val="0"/>
      <w:marRight w:val="0"/>
      <w:marTop w:val="0"/>
      <w:marBottom w:val="0"/>
      <w:divBdr>
        <w:top w:val="none" w:sz="0" w:space="0" w:color="auto"/>
        <w:left w:val="none" w:sz="0" w:space="0" w:color="auto"/>
        <w:bottom w:val="none" w:sz="0" w:space="0" w:color="auto"/>
        <w:right w:val="none" w:sz="0" w:space="0" w:color="auto"/>
      </w:divBdr>
    </w:div>
    <w:div w:id="172336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er.com.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92eca-2f46-4845-b3e0-158ffe501632">
      <Terms xmlns="http://schemas.microsoft.com/office/infopath/2007/PartnerControls"/>
    </lcf76f155ced4ddcb4097134ff3c332f>
    <TaxCatchAll xmlns="1495ce1b-589d-4caa-971c-f7c329f69e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345A29C30B74995069CEB746187D0" ma:contentTypeVersion="17" ma:contentTypeDescription="Create a new document." ma:contentTypeScope="" ma:versionID="8ba432e9dd05f67cc50fa2103a354690">
  <xsd:schema xmlns:xsd="http://www.w3.org/2001/XMLSchema" xmlns:xs="http://www.w3.org/2001/XMLSchema" xmlns:p="http://schemas.microsoft.com/office/2006/metadata/properties" xmlns:ns2="34f92eca-2f46-4845-b3e0-158ffe501632" xmlns:ns3="1495ce1b-589d-4caa-971c-f7c329f69eb2" targetNamespace="http://schemas.microsoft.com/office/2006/metadata/properties" ma:root="true" ma:fieldsID="45c410e8a9828ee518552c3a66077fb5" ns2:_="" ns3:_="">
    <xsd:import namespace="34f92eca-2f46-4845-b3e0-158ffe501632"/>
    <xsd:import namespace="1495ce1b-589d-4caa-971c-f7c329f69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92eca-2f46-4845-b3e0-158ffe501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6dc81-7351-40b9-acc0-3b5a169b4e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5ce1b-589d-4caa-971c-f7c329f69e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cf774f0-be4a-4000-b512-9537f87e49a5}" ma:internalName="TaxCatchAll" ma:showField="CatchAllData" ma:web="1495ce1b-589d-4caa-971c-f7c329f69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7D900-0E0A-4E29-B618-8B0E91E8AAE6}">
  <ds:schemaRefs>
    <ds:schemaRef ds:uri="http://schemas.microsoft.com/office/2006/metadata/properties"/>
    <ds:schemaRef ds:uri="http://schemas.microsoft.com/office/infopath/2007/PartnerControls"/>
    <ds:schemaRef ds:uri="34f92eca-2f46-4845-b3e0-158ffe501632"/>
    <ds:schemaRef ds:uri="1495ce1b-589d-4caa-971c-f7c329f69eb2"/>
    <ds:schemaRef ds:uri="f567eb71-20d0-4bf9-8493-e027599983cf"/>
    <ds:schemaRef ds:uri="245b8ee5-a89d-43b9-9f90-5f1aaa0608d1"/>
  </ds:schemaRefs>
</ds:datastoreItem>
</file>

<file path=customXml/itemProps2.xml><?xml version="1.0" encoding="utf-8"?>
<ds:datastoreItem xmlns:ds="http://schemas.openxmlformats.org/officeDocument/2006/customXml" ds:itemID="{41B65854-EB12-40A0-8602-A72BFDE94423}">
  <ds:schemaRefs>
    <ds:schemaRef ds:uri="http://schemas.openxmlformats.org/officeDocument/2006/bibliography"/>
  </ds:schemaRefs>
</ds:datastoreItem>
</file>

<file path=customXml/itemProps3.xml><?xml version="1.0" encoding="utf-8"?>
<ds:datastoreItem xmlns:ds="http://schemas.openxmlformats.org/officeDocument/2006/customXml" ds:itemID="{FED2B2C9-2355-47B0-8424-AB0AB59FF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92eca-2f46-4845-b3e0-158ffe501632"/>
    <ds:schemaRef ds:uri="1495ce1b-589d-4caa-971c-f7c329f6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001BA-B896-4B7C-B7A2-EF4EE524D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5484</Words>
  <Characters>31868</Characters>
  <Application>Microsoft Office Word</Application>
  <DocSecurity>6</DocSecurity>
  <Lines>758</Lines>
  <Paragraphs>541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36811</CharactersWithSpaces>
  <SharedDoc>false</SharedDoc>
  <HLinks>
    <vt:vector size="18" baseType="variant">
      <vt:variant>
        <vt:i4>7405628</vt:i4>
      </vt:variant>
      <vt:variant>
        <vt:i4>137</vt:i4>
      </vt:variant>
      <vt:variant>
        <vt:i4>0</vt:i4>
      </vt:variant>
      <vt:variant>
        <vt:i4>5</vt:i4>
      </vt:variant>
      <vt:variant>
        <vt:lpwstr>http://www.servier.com.au/</vt:lpwstr>
      </vt:variant>
      <vt:variant>
        <vt:lpwstr/>
      </vt:variant>
      <vt:variant>
        <vt:i4>5898317</vt:i4>
      </vt:variant>
      <vt:variant>
        <vt:i4>81</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Tibsovo</dc:title>
  <dc:subject>prescription medicines</dc:subject>
  <dc:creator/>
  <cp:keywords/>
  <cp:lastModifiedBy/>
  <cp:revision>1</cp:revision>
  <dcterms:created xsi:type="dcterms:W3CDTF">2023-10-03T21:31:00Z</dcterms:created>
  <dcterms:modified xsi:type="dcterms:W3CDTF">2023-10-03T21:31:00Z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0x010100B3C345A29C30B74995069CEB746187D0</vt:lpwstr>
  </property>
  <property fmtid="{D5CDD505-2E9C-101B-9397-08002B2CF9AE}" pid="3" name="MediaServiceImageTags">
    <vt:lpwstr/>
  </property>
</Properties>
</file>