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02434F" w14:paraId="08AE1D54" w14:textId="77777777" w:rsidTr="00346EC2">
        <w:trPr>
          <w:trHeight w:val="1558"/>
        </w:trPr>
        <w:tc>
          <w:tcPr>
            <w:tcW w:w="8720" w:type="dxa"/>
          </w:tcPr>
          <w:p w14:paraId="2538A211" w14:textId="26DC45E6" w:rsidR="00F02AEC" w:rsidRPr="0002434F" w:rsidRDefault="00346EC2" w:rsidP="007452E8">
            <w:pPr>
              <w:pStyle w:val="Title"/>
            </w:pPr>
            <w:r w:rsidRPr="0002434F">
              <w:t xml:space="preserve">Australian Public Assessment Report for </w:t>
            </w:r>
            <w:r w:rsidR="004F0248" w:rsidRPr="0002434F">
              <w:t>Tavneos</w:t>
            </w:r>
          </w:p>
        </w:tc>
      </w:tr>
      <w:tr w:rsidR="00F02AEC" w:rsidRPr="0002434F" w14:paraId="318A40A3" w14:textId="77777777" w:rsidTr="00346EC2">
        <w:trPr>
          <w:trHeight w:val="995"/>
        </w:trPr>
        <w:tc>
          <w:tcPr>
            <w:tcW w:w="8720" w:type="dxa"/>
          </w:tcPr>
          <w:p w14:paraId="1AA7C701" w14:textId="4BC290E5" w:rsidR="00F02AEC" w:rsidRPr="0002434F" w:rsidRDefault="00346EC2" w:rsidP="007452E8">
            <w:pPr>
              <w:pStyle w:val="Subtitle"/>
              <w:ind w:left="0"/>
            </w:pPr>
            <w:r w:rsidRPr="0002434F">
              <w:t xml:space="preserve">Active ingredient: </w:t>
            </w:r>
            <w:proofErr w:type="spellStart"/>
            <w:r w:rsidR="005332A1" w:rsidRPr="0002434F">
              <w:t>A</w:t>
            </w:r>
            <w:r w:rsidR="004F0248" w:rsidRPr="0002434F">
              <w:t>vacopan</w:t>
            </w:r>
            <w:proofErr w:type="spellEnd"/>
          </w:p>
        </w:tc>
      </w:tr>
      <w:tr w:rsidR="00346EC2" w:rsidRPr="0002434F" w14:paraId="362CCAE4" w14:textId="77777777" w:rsidTr="007452E8">
        <w:trPr>
          <w:trHeight w:val="1916"/>
        </w:trPr>
        <w:tc>
          <w:tcPr>
            <w:tcW w:w="8720" w:type="dxa"/>
          </w:tcPr>
          <w:p w14:paraId="709C45C0" w14:textId="3E3F78BD" w:rsidR="00346EC2" w:rsidRPr="0002434F" w:rsidRDefault="00346EC2" w:rsidP="007452E8">
            <w:pPr>
              <w:pStyle w:val="Subtitle"/>
              <w:ind w:left="0"/>
            </w:pPr>
            <w:r w:rsidRPr="0002434F">
              <w:t xml:space="preserve">Sponsor: </w:t>
            </w:r>
            <w:r w:rsidR="004F0248" w:rsidRPr="0002434F">
              <w:t>Vifor Pharma Pty Ltd</w:t>
            </w:r>
          </w:p>
        </w:tc>
      </w:tr>
      <w:tr w:rsidR="00F02AEC" w:rsidRPr="0002434F" w14:paraId="37F2AA1F" w14:textId="77777777" w:rsidTr="007452E8">
        <w:tc>
          <w:tcPr>
            <w:tcW w:w="8720" w:type="dxa"/>
          </w:tcPr>
          <w:p w14:paraId="1FDE8DCD" w14:textId="6D9DF48B" w:rsidR="00F02AEC" w:rsidRPr="0002434F" w:rsidRDefault="00010BC1" w:rsidP="007452E8">
            <w:pPr>
              <w:pStyle w:val="Date"/>
            </w:pPr>
            <w:r w:rsidRPr="0002434F">
              <w:t xml:space="preserve">October </w:t>
            </w:r>
            <w:r w:rsidR="004F0248" w:rsidRPr="0002434F">
              <w:t>2023</w:t>
            </w:r>
          </w:p>
        </w:tc>
      </w:tr>
    </w:tbl>
    <w:p w14:paraId="73752706" w14:textId="77777777" w:rsidR="00F02AEC" w:rsidRPr="0002434F" w:rsidRDefault="00F02AEC" w:rsidP="007452E8">
      <w:pPr>
        <w:pStyle w:val="ListBullet"/>
        <w:numPr>
          <w:ilvl w:val="0"/>
          <w:numId w:val="0"/>
        </w:numPr>
        <w:sectPr w:rsidR="00F02AEC" w:rsidRPr="0002434F" w:rsidSect="00CB055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titlePg/>
          <w:docGrid w:linePitch="360"/>
        </w:sectPr>
      </w:pPr>
    </w:p>
    <w:p w14:paraId="2170A423" w14:textId="77777777" w:rsidR="00346EC2" w:rsidRPr="0002434F" w:rsidRDefault="00346EC2" w:rsidP="00346EC2">
      <w:pPr>
        <w:pStyle w:val="NonTOCHeading20"/>
      </w:pPr>
      <w:r w:rsidRPr="0002434F">
        <w:lastRenderedPageBreak/>
        <w:t>About the Therapeutic Goods Administration (TGA)</w:t>
      </w:r>
    </w:p>
    <w:p w14:paraId="79558AE9" w14:textId="77777777" w:rsidR="00346EC2" w:rsidRPr="0002434F" w:rsidRDefault="00346EC2" w:rsidP="0056766D">
      <w:pPr>
        <w:pStyle w:val="ListBullet"/>
      </w:pPr>
      <w:r w:rsidRPr="0002434F">
        <w:t>The Therapeutic Goods Administration (TGA) is part of the Australian Government Department of Health and Aged Care and is responsible for regulating therapeutic goods, including medicines, medical devices, and biologicals.</w:t>
      </w:r>
    </w:p>
    <w:p w14:paraId="61BEFDB6" w14:textId="77777777" w:rsidR="00346EC2" w:rsidRPr="0002434F" w:rsidRDefault="00346EC2" w:rsidP="00346EC2">
      <w:pPr>
        <w:pStyle w:val="ListBullet"/>
      </w:pPr>
      <w:r w:rsidRPr="0002434F">
        <w:t xml:space="preserve">The TGA administers the </w:t>
      </w:r>
      <w:r w:rsidRPr="0002434F">
        <w:rPr>
          <w:i/>
          <w:iCs/>
        </w:rPr>
        <w:t>Therapeutic Goods Act 1989</w:t>
      </w:r>
      <w:r w:rsidRPr="0002434F">
        <w:t xml:space="preserve"> (the Act), applying a risk management approach designed to ensure therapeutic goods supplied in Australia meet acceptable standards of quality, safety, and efficacy.</w:t>
      </w:r>
    </w:p>
    <w:p w14:paraId="77180CB3" w14:textId="77777777" w:rsidR="00346EC2" w:rsidRPr="0002434F" w:rsidRDefault="00346EC2" w:rsidP="00346EC2">
      <w:pPr>
        <w:pStyle w:val="ListBullet"/>
      </w:pPr>
      <w:r w:rsidRPr="0002434F">
        <w:t>The work of the TGA is based on applying scientific and clinical expertise to decision-making, to ensure that the benefits to the Australian public outweigh any risks associated with the use of therapeutic goods.</w:t>
      </w:r>
    </w:p>
    <w:p w14:paraId="70AC2A35" w14:textId="77777777" w:rsidR="00346EC2" w:rsidRPr="0002434F" w:rsidRDefault="00346EC2" w:rsidP="00346EC2">
      <w:pPr>
        <w:pStyle w:val="ListBullet"/>
      </w:pPr>
      <w:r w:rsidRPr="0002434F">
        <w:t>The TGA relies on the public, healthcare professionals and industry to report problems with therapeutic goods. The TGA investigates reports received to determine any necessary regulatory action.</w:t>
      </w:r>
    </w:p>
    <w:p w14:paraId="17DC24C6" w14:textId="7422259B" w:rsidR="00346EC2" w:rsidRPr="0002434F" w:rsidRDefault="00346EC2" w:rsidP="00346EC2">
      <w:pPr>
        <w:pStyle w:val="ListBullet"/>
      </w:pPr>
      <w:r w:rsidRPr="0002434F">
        <w:t xml:space="preserve">To report a problem with a therapeutic good, please see the information on the </w:t>
      </w:r>
      <w:hyperlink r:id="rId16" w:history="1">
        <w:r w:rsidRPr="0002434F">
          <w:rPr>
            <w:rStyle w:val="Hyperlink"/>
          </w:rPr>
          <w:t>TGA website</w:t>
        </w:r>
      </w:hyperlink>
      <w:r w:rsidRPr="0002434F">
        <w:t>.</w:t>
      </w:r>
    </w:p>
    <w:p w14:paraId="737B7A99" w14:textId="77777777" w:rsidR="00346EC2" w:rsidRPr="0002434F" w:rsidRDefault="00346EC2" w:rsidP="00346EC2">
      <w:pPr>
        <w:pStyle w:val="NonTOCHeading20"/>
      </w:pPr>
      <w:r w:rsidRPr="0002434F">
        <w:t>About AusPARs</w:t>
      </w:r>
    </w:p>
    <w:p w14:paraId="631B2209" w14:textId="54FD49D2" w:rsidR="00346EC2" w:rsidRPr="0002434F" w:rsidRDefault="00346EC2" w:rsidP="00346EC2">
      <w:pPr>
        <w:pStyle w:val="ListBullet"/>
      </w:pPr>
      <w:r w:rsidRPr="0002434F">
        <w:t xml:space="preserve">The Australian Public Assessment Report (AusPAR) provides information about the evaluation of a prescription medicine and the considerations that led the TGA to approve or not approve a prescription medicine submission. Further information can be found in </w:t>
      </w:r>
      <w:hyperlink r:id="rId17" w:history="1">
        <w:r w:rsidRPr="0002434F">
          <w:rPr>
            <w:rStyle w:val="Hyperlink"/>
          </w:rPr>
          <w:t>Australian Public Assessment Report (AusPAR) guidance</w:t>
        </w:r>
      </w:hyperlink>
      <w:r w:rsidRPr="0002434F">
        <w:t>.</w:t>
      </w:r>
    </w:p>
    <w:p w14:paraId="22F5A730" w14:textId="77777777" w:rsidR="00346EC2" w:rsidRPr="0002434F" w:rsidRDefault="00346EC2" w:rsidP="00346EC2">
      <w:pPr>
        <w:pStyle w:val="ListBullet"/>
      </w:pPr>
      <w:r w:rsidRPr="0002434F">
        <w:t>AusPARs are prepared and published by the TGA.</w:t>
      </w:r>
    </w:p>
    <w:p w14:paraId="451B8FD7" w14:textId="77777777" w:rsidR="00346EC2" w:rsidRPr="0002434F" w:rsidRDefault="00346EC2" w:rsidP="00346EC2">
      <w:pPr>
        <w:pStyle w:val="ListBullet"/>
      </w:pPr>
      <w:r w:rsidRPr="0002434F">
        <w:t>AusPARs are static documents that provide information that relates to a submission at a particular point in time. The publication of an AusPAR is an important part of the transparency of the TGA’s decision-making process.</w:t>
      </w:r>
    </w:p>
    <w:p w14:paraId="4D69F5CF" w14:textId="77777777" w:rsidR="00346EC2" w:rsidRPr="0002434F" w:rsidRDefault="00346EC2" w:rsidP="00346EC2">
      <w:pPr>
        <w:pStyle w:val="ListBullet"/>
      </w:pPr>
      <w:r w:rsidRPr="0002434F">
        <w:t>A new AusPAR may be provided to reflect changes to indications or major variations to a prescription medicine subject to evaluation by the TGA.</w:t>
      </w:r>
    </w:p>
    <w:p w14:paraId="7067011F" w14:textId="510D5C5C" w:rsidR="00F02AEC" w:rsidRPr="0002434F" w:rsidRDefault="00F02AEC" w:rsidP="00FE087C">
      <w:pPr>
        <w:pStyle w:val="LegalSubheading"/>
        <w:spacing w:before="3600"/>
      </w:pPr>
      <w:r w:rsidRPr="0002434F">
        <w:t>Copyright</w:t>
      </w:r>
    </w:p>
    <w:p w14:paraId="170A8A5D" w14:textId="3DED0C3D" w:rsidR="00175CD8" w:rsidRPr="0002434F" w:rsidRDefault="00F02AEC" w:rsidP="00346EC2">
      <w:pPr>
        <w:pStyle w:val="LegalCopy"/>
        <w:rPr>
          <w:rFonts w:cs="Arial"/>
        </w:rPr>
      </w:pPr>
      <w:r w:rsidRPr="0002434F">
        <w:rPr>
          <w:rFonts w:cs="Arial"/>
        </w:rPr>
        <w:t>© Commonwealth of Australia 202</w:t>
      </w:r>
      <w:r w:rsidR="00E47E0C" w:rsidRPr="0002434F">
        <w:rPr>
          <w:rFonts w:cs="Arial"/>
        </w:rPr>
        <w:t>3</w:t>
      </w:r>
      <w:r w:rsidRPr="0002434F">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02434F">
        <w:rPr>
          <w:rFonts w:cs="Arial"/>
          <w:i/>
        </w:rPr>
        <w:t>Copyright Act 1968</w:t>
      </w:r>
      <w:r w:rsidRPr="0002434F">
        <w:rPr>
          <w:rFonts w:cs="Arial"/>
        </w:rPr>
        <w:t xml:space="preserve"> or allowed by this copyright notice, all other rights are </w:t>
      </w:r>
      <w:proofErr w:type="gramStart"/>
      <w:r w:rsidRPr="0002434F">
        <w:rPr>
          <w:rFonts w:cs="Arial"/>
        </w:rPr>
        <w:t>reserved</w:t>
      </w:r>
      <w:proofErr w:type="gramEnd"/>
      <w:r w:rsidRPr="0002434F">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8" w:history="1">
        <w:r w:rsidRPr="0002434F">
          <w:rPr>
            <w:rStyle w:val="Hyperlink"/>
            <w:rFonts w:cs="Arial"/>
          </w:rPr>
          <w:t>tga.copyright@tga.gov.au</w:t>
        </w:r>
      </w:hyperlink>
      <w:r w:rsidRPr="0002434F">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02434F" w:rsidRDefault="00F02AEC" w:rsidP="007452E8">
          <w:pPr>
            <w:pStyle w:val="NonTOCheading2"/>
          </w:pPr>
          <w:r w:rsidRPr="0002434F">
            <w:t>Contents</w:t>
          </w:r>
        </w:p>
        <w:p w14:paraId="553BAF48" w14:textId="20BAD125" w:rsidR="008806E1" w:rsidRDefault="00F02AEC">
          <w:pPr>
            <w:pStyle w:val="TOC1"/>
            <w:rPr>
              <w:rFonts w:asciiTheme="minorHAnsi" w:eastAsiaTheme="minorEastAsia" w:hAnsiTheme="minorHAnsi" w:cstheme="minorBidi"/>
              <w:b w:val="0"/>
              <w:noProof/>
              <w:color w:val="auto"/>
              <w:sz w:val="22"/>
              <w:szCs w:val="22"/>
              <w:lang w:eastAsia="en-AU"/>
            </w:rPr>
          </w:pPr>
          <w:r w:rsidRPr="0002434F">
            <w:fldChar w:fldCharType="begin"/>
          </w:r>
          <w:r w:rsidRPr="0002434F">
            <w:instrText xml:space="preserve"> TOC \h \z \u \t "Heading 2,1,Heading 3,2,Heading 4,3" </w:instrText>
          </w:r>
          <w:r w:rsidRPr="0002434F">
            <w:fldChar w:fldCharType="separate"/>
          </w:r>
          <w:hyperlink w:anchor="_Toc147390235" w:history="1">
            <w:r w:rsidR="008806E1" w:rsidRPr="004D3272">
              <w:rPr>
                <w:rStyle w:val="Hyperlink"/>
                <w:noProof/>
              </w:rPr>
              <w:t>List of abbreviations</w:t>
            </w:r>
            <w:r w:rsidR="008806E1">
              <w:rPr>
                <w:noProof/>
                <w:webHidden/>
              </w:rPr>
              <w:tab/>
            </w:r>
            <w:r w:rsidR="008806E1">
              <w:rPr>
                <w:noProof/>
                <w:webHidden/>
              </w:rPr>
              <w:fldChar w:fldCharType="begin"/>
            </w:r>
            <w:r w:rsidR="008806E1">
              <w:rPr>
                <w:noProof/>
                <w:webHidden/>
              </w:rPr>
              <w:instrText xml:space="preserve"> PAGEREF _Toc147390235 \h </w:instrText>
            </w:r>
            <w:r w:rsidR="008806E1">
              <w:rPr>
                <w:noProof/>
                <w:webHidden/>
              </w:rPr>
            </w:r>
            <w:r w:rsidR="008806E1">
              <w:rPr>
                <w:noProof/>
                <w:webHidden/>
              </w:rPr>
              <w:fldChar w:fldCharType="separate"/>
            </w:r>
            <w:r w:rsidR="008806E1">
              <w:rPr>
                <w:noProof/>
                <w:webHidden/>
              </w:rPr>
              <w:t>4</w:t>
            </w:r>
            <w:r w:rsidR="008806E1">
              <w:rPr>
                <w:noProof/>
                <w:webHidden/>
              </w:rPr>
              <w:fldChar w:fldCharType="end"/>
            </w:r>
          </w:hyperlink>
        </w:p>
        <w:p w14:paraId="6DC042E8" w14:textId="7B41DE98" w:rsidR="008806E1" w:rsidRDefault="008806E1">
          <w:pPr>
            <w:pStyle w:val="TOC1"/>
            <w:rPr>
              <w:rFonts w:asciiTheme="minorHAnsi" w:eastAsiaTheme="minorEastAsia" w:hAnsiTheme="minorHAnsi" w:cstheme="minorBidi"/>
              <w:b w:val="0"/>
              <w:noProof/>
              <w:color w:val="auto"/>
              <w:sz w:val="22"/>
              <w:szCs w:val="22"/>
              <w:lang w:eastAsia="en-AU"/>
            </w:rPr>
          </w:pPr>
          <w:hyperlink w:anchor="_Toc147390236" w:history="1">
            <w:r w:rsidRPr="004D3272">
              <w:rPr>
                <w:rStyle w:val="Hyperlink"/>
                <w:noProof/>
              </w:rPr>
              <w:t>Product submission</w:t>
            </w:r>
            <w:r>
              <w:rPr>
                <w:noProof/>
                <w:webHidden/>
              </w:rPr>
              <w:tab/>
            </w:r>
            <w:r>
              <w:rPr>
                <w:noProof/>
                <w:webHidden/>
              </w:rPr>
              <w:fldChar w:fldCharType="begin"/>
            </w:r>
            <w:r>
              <w:rPr>
                <w:noProof/>
                <w:webHidden/>
              </w:rPr>
              <w:instrText xml:space="preserve"> PAGEREF _Toc147390236 \h </w:instrText>
            </w:r>
            <w:r>
              <w:rPr>
                <w:noProof/>
                <w:webHidden/>
              </w:rPr>
            </w:r>
            <w:r>
              <w:rPr>
                <w:noProof/>
                <w:webHidden/>
              </w:rPr>
              <w:fldChar w:fldCharType="separate"/>
            </w:r>
            <w:r>
              <w:rPr>
                <w:noProof/>
                <w:webHidden/>
              </w:rPr>
              <w:t>6</w:t>
            </w:r>
            <w:r>
              <w:rPr>
                <w:noProof/>
                <w:webHidden/>
              </w:rPr>
              <w:fldChar w:fldCharType="end"/>
            </w:r>
          </w:hyperlink>
        </w:p>
        <w:p w14:paraId="03D3B1C0" w14:textId="1D1E1984" w:rsidR="008806E1" w:rsidRDefault="008806E1">
          <w:pPr>
            <w:pStyle w:val="TOC2"/>
            <w:rPr>
              <w:rFonts w:asciiTheme="minorHAnsi" w:eastAsiaTheme="minorEastAsia" w:hAnsiTheme="minorHAnsi" w:cstheme="minorBidi"/>
              <w:b w:val="0"/>
              <w:noProof/>
              <w:color w:val="auto"/>
              <w:sz w:val="22"/>
              <w:szCs w:val="22"/>
              <w:lang w:eastAsia="en-AU"/>
            </w:rPr>
          </w:pPr>
          <w:hyperlink w:anchor="_Toc147390237" w:history="1">
            <w:r w:rsidRPr="004D3272">
              <w:rPr>
                <w:rStyle w:val="Hyperlink"/>
                <w:noProof/>
                <w:lang w:eastAsia="en-AU"/>
              </w:rPr>
              <w:t>Submission details</w:t>
            </w:r>
            <w:r>
              <w:rPr>
                <w:noProof/>
                <w:webHidden/>
              </w:rPr>
              <w:tab/>
            </w:r>
            <w:r>
              <w:rPr>
                <w:noProof/>
                <w:webHidden/>
              </w:rPr>
              <w:fldChar w:fldCharType="begin"/>
            </w:r>
            <w:r>
              <w:rPr>
                <w:noProof/>
                <w:webHidden/>
              </w:rPr>
              <w:instrText xml:space="preserve"> PAGEREF _Toc147390237 \h </w:instrText>
            </w:r>
            <w:r>
              <w:rPr>
                <w:noProof/>
                <w:webHidden/>
              </w:rPr>
            </w:r>
            <w:r>
              <w:rPr>
                <w:noProof/>
                <w:webHidden/>
              </w:rPr>
              <w:fldChar w:fldCharType="separate"/>
            </w:r>
            <w:r>
              <w:rPr>
                <w:noProof/>
                <w:webHidden/>
              </w:rPr>
              <w:t>6</w:t>
            </w:r>
            <w:r>
              <w:rPr>
                <w:noProof/>
                <w:webHidden/>
              </w:rPr>
              <w:fldChar w:fldCharType="end"/>
            </w:r>
          </w:hyperlink>
        </w:p>
        <w:p w14:paraId="6B56C2C7" w14:textId="28266F0E" w:rsidR="008806E1" w:rsidRDefault="008806E1">
          <w:pPr>
            <w:pStyle w:val="TOC2"/>
            <w:rPr>
              <w:rFonts w:asciiTheme="minorHAnsi" w:eastAsiaTheme="minorEastAsia" w:hAnsiTheme="minorHAnsi" w:cstheme="minorBidi"/>
              <w:b w:val="0"/>
              <w:noProof/>
              <w:color w:val="auto"/>
              <w:sz w:val="22"/>
              <w:szCs w:val="22"/>
              <w:lang w:eastAsia="en-AU"/>
            </w:rPr>
          </w:pPr>
          <w:hyperlink w:anchor="_Toc147390238" w:history="1">
            <w:r w:rsidRPr="004D3272">
              <w:rPr>
                <w:rStyle w:val="Hyperlink"/>
                <w:noProof/>
              </w:rPr>
              <w:t>Product background</w:t>
            </w:r>
            <w:r>
              <w:rPr>
                <w:noProof/>
                <w:webHidden/>
              </w:rPr>
              <w:tab/>
            </w:r>
            <w:r>
              <w:rPr>
                <w:noProof/>
                <w:webHidden/>
              </w:rPr>
              <w:fldChar w:fldCharType="begin"/>
            </w:r>
            <w:r>
              <w:rPr>
                <w:noProof/>
                <w:webHidden/>
              </w:rPr>
              <w:instrText xml:space="preserve"> PAGEREF _Toc147390238 \h </w:instrText>
            </w:r>
            <w:r>
              <w:rPr>
                <w:noProof/>
                <w:webHidden/>
              </w:rPr>
            </w:r>
            <w:r>
              <w:rPr>
                <w:noProof/>
                <w:webHidden/>
              </w:rPr>
              <w:fldChar w:fldCharType="separate"/>
            </w:r>
            <w:r>
              <w:rPr>
                <w:noProof/>
                <w:webHidden/>
              </w:rPr>
              <w:t>7</w:t>
            </w:r>
            <w:r>
              <w:rPr>
                <w:noProof/>
                <w:webHidden/>
              </w:rPr>
              <w:fldChar w:fldCharType="end"/>
            </w:r>
          </w:hyperlink>
        </w:p>
        <w:p w14:paraId="7A7B36B0" w14:textId="1914ACF9" w:rsidR="008806E1" w:rsidRDefault="008806E1">
          <w:pPr>
            <w:pStyle w:val="TOC2"/>
            <w:rPr>
              <w:rFonts w:asciiTheme="minorHAnsi" w:eastAsiaTheme="minorEastAsia" w:hAnsiTheme="minorHAnsi" w:cstheme="minorBidi"/>
              <w:b w:val="0"/>
              <w:noProof/>
              <w:color w:val="auto"/>
              <w:sz w:val="22"/>
              <w:szCs w:val="22"/>
              <w:lang w:eastAsia="en-AU"/>
            </w:rPr>
          </w:pPr>
          <w:hyperlink w:anchor="_Toc147390239" w:history="1">
            <w:r w:rsidRPr="004D3272">
              <w:rPr>
                <w:rStyle w:val="Hyperlink"/>
                <w:noProof/>
              </w:rPr>
              <w:t>Regulatory status</w:t>
            </w:r>
            <w:r>
              <w:rPr>
                <w:noProof/>
                <w:webHidden/>
              </w:rPr>
              <w:tab/>
            </w:r>
            <w:r>
              <w:rPr>
                <w:noProof/>
                <w:webHidden/>
              </w:rPr>
              <w:fldChar w:fldCharType="begin"/>
            </w:r>
            <w:r>
              <w:rPr>
                <w:noProof/>
                <w:webHidden/>
              </w:rPr>
              <w:instrText xml:space="preserve"> PAGEREF _Toc147390239 \h </w:instrText>
            </w:r>
            <w:r>
              <w:rPr>
                <w:noProof/>
                <w:webHidden/>
              </w:rPr>
            </w:r>
            <w:r>
              <w:rPr>
                <w:noProof/>
                <w:webHidden/>
              </w:rPr>
              <w:fldChar w:fldCharType="separate"/>
            </w:r>
            <w:r>
              <w:rPr>
                <w:noProof/>
                <w:webHidden/>
              </w:rPr>
              <w:t>8</w:t>
            </w:r>
            <w:r>
              <w:rPr>
                <w:noProof/>
                <w:webHidden/>
              </w:rPr>
              <w:fldChar w:fldCharType="end"/>
            </w:r>
          </w:hyperlink>
        </w:p>
        <w:p w14:paraId="63EDFB71" w14:textId="71A75D8F" w:rsidR="008806E1" w:rsidRDefault="008806E1">
          <w:pPr>
            <w:pStyle w:val="TOC2"/>
            <w:rPr>
              <w:rFonts w:asciiTheme="minorHAnsi" w:eastAsiaTheme="minorEastAsia" w:hAnsiTheme="minorHAnsi" w:cstheme="minorBidi"/>
              <w:b w:val="0"/>
              <w:noProof/>
              <w:color w:val="auto"/>
              <w:sz w:val="22"/>
              <w:szCs w:val="22"/>
              <w:lang w:eastAsia="en-AU"/>
            </w:rPr>
          </w:pPr>
          <w:hyperlink w:anchor="_Toc147390240" w:history="1">
            <w:r w:rsidRPr="004D3272">
              <w:rPr>
                <w:rStyle w:val="Hyperlink"/>
                <w:noProof/>
              </w:rPr>
              <w:t>Product Information</w:t>
            </w:r>
            <w:r>
              <w:rPr>
                <w:noProof/>
                <w:webHidden/>
              </w:rPr>
              <w:tab/>
            </w:r>
            <w:r>
              <w:rPr>
                <w:noProof/>
                <w:webHidden/>
              </w:rPr>
              <w:fldChar w:fldCharType="begin"/>
            </w:r>
            <w:r>
              <w:rPr>
                <w:noProof/>
                <w:webHidden/>
              </w:rPr>
              <w:instrText xml:space="preserve"> PAGEREF _Toc147390240 \h </w:instrText>
            </w:r>
            <w:r>
              <w:rPr>
                <w:noProof/>
                <w:webHidden/>
              </w:rPr>
            </w:r>
            <w:r>
              <w:rPr>
                <w:noProof/>
                <w:webHidden/>
              </w:rPr>
              <w:fldChar w:fldCharType="separate"/>
            </w:r>
            <w:r>
              <w:rPr>
                <w:noProof/>
                <w:webHidden/>
              </w:rPr>
              <w:t>10</w:t>
            </w:r>
            <w:r>
              <w:rPr>
                <w:noProof/>
                <w:webHidden/>
              </w:rPr>
              <w:fldChar w:fldCharType="end"/>
            </w:r>
          </w:hyperlink>
        </w:p>
        <w:p w14:paraId="3BD4017B" w14:textId="6C8B1755" w:rsidR="008806E1" w:rsidRDefault="008806E1">
          <w:pPr>
            <w:pStyle w:val="TOC1"/>
            <w:rPr>
              <w:rFonts w:asciiTheme="minorHAnsi" w:eastAsiaTheme="minorEastAsia" w:hAnsiTheme="minorHAnsi" w:cstheme="minorBidi"/>
              <w:b w:val="0"/>
              <w:noProof/>
              <w:color w:val="auto"/>
              <w:sz w:val="22"/>
              <w:szCs w:val="22"/>
              <w:lang w:eastAsia="en-AU"/>
            </w:rPr>
          </w:pPr>
          <w:hyperlink w:anchor="_Toc147390241" w:history="1">
            <w:r w:rsidRPr="004D3272">
              <w:rPr>
                <w:rStyle w:val="Hyperlink"/>
                <w:noProof/>
              </w:rPr>
              <w:t>Registration timeline</w:t>
            </w:r>
            <w:r>
              <w:rPr>
                <w:noProof/>
                <w:webHidden/>
              </w:rPr>
              <w:tab/>
            </w:r>
            <w:r>
              <w:rPr>
                <w:noProof/>
                <w:webHidden/>
              </w:rPr>
              <w:fldChar w:fldCharType="begin"/>
            </w:r>
            <w:r>
              <w:rPr>
                <w:noProof/>
                <w:webHidden/>
              </w:rPr>
              <w:instrText xml:space="preserve"> PAGEREF _Toc147390241 \h </w:instrText>
            </w:r>
            <w:r>
              <w:rPr>
                <w:noProof/>
                <w:webHidden/>
              </w:rPr>
            </w:r>
            <w:r>
              <w:rPr>
                <w:noProof/>
                <w:webHidden/>
              </w:rPr>
              <w:fldChar w:fldCharType="separate"/>
            </w:r>
            <w:r>
              <w:rPr>
                <w:noProof/>
                <w:webHidden/>
              </w:rPr>
              <w:t>10</w:t>
            </w:r>
            <w:r>
              <w:rPr>
                <w:noProof/>
                <w:webHidden/>
              </w:rPr>
              <w:fldChar w:fldCharType="end"/>
            </w:r>
          </w:hyperlink>
        </w:p>
        <w:p w14:paraId="4F49A6F2" w14:textId="4F260BC3" w:rsidR="008806E1" w:rsidRDefault="008806E1">
          <w:pPr>
            <w:pStyle w:val="TOC1"/>
            <w:rPr>
              <w:rFonts w:asciiTheme="minorHAnsi" w:eastAsiaTheme="minorEastAsia" w:hAnsiTheme="minorHAnsi" w:cstheme="minorBidi"/>
              <w:b w:val="0"/>
              <w:noProof/>
              <w:color w:val="auto"/>
              <w:sz w:val="22"/>
              <w:szCs w:val="22"/>
              <w:lang w:eastAsia="en-AU"/>
            </w:rPr>
          </w:pPr>
          <w:hyperlink w:anchor="_Toc147390242" w:history="1">
            <w:r w:rsidRPr="004D3272">
              <w:rPr>
                <w:rStyle w:val="Hyperlink"/>
                <w:noProof/>
              </w:rPr>
              <w:t>Submission overview and risk/benefit assessment</w:t>
            </w:r>
            <w:r>
              <w:rPr>
                <w:noProof/>
                <w:webHidden/>
              </w:rPr>
              <w:tab/>
            </w:r>
            <w:r>
              <w:rPr>
                <w:noProof/>
                <w:webHidden/>
              </w:rPr>
              <w:fldChar w:fldCharType="begin"/>
            </w:r>
            <w:r>
              <w:rPr>
                <w:noProof/>
                <w:webHidden/>
              </w:rPr>
              <w:instrText xml:space="preserve"> PAGEREF _Toc147390242 \h </w:instrText>
            </w:r>
            <w:r>
              <w:rPr>
                <w:noProof/>
                <w:webHidden/>
              </w:rPr>
            </w:r>
            <w:r>
              <w:rPr>
                <w:noProof/>
                <w:webHidden/>
              </w:rPr>
              <w:fldChar w:fldCharType="separate"/>
            </w:r>
            <w:r>
              <w:rPr>
                <w:noProof/>
                <w:webHidden/>
              </w:rPr>
              <w:t>11</w:t>
            </w:r>
            <w:r>
              <w:rPr>
                <w:noProof/>
                <w:webHidden/>
              </w:rPr>
              <w:fldChar w:fldCharType="end"/>
            </w:r>
          </w:hyperlink>
        </w:p>
        <w:p w14:paraId="579674E5" w14:textId="549FDB20" w:rsidR="008806E1" w:rsidRDefault="008806E1">
          <w:pPr>
            <w:pStyle w:val="TOC2"/>
            <w:rPr>
              <w:rFonts w:asciiTheme="minorHAnsi" w:eastAsiaTheme="minorEastAsia" w:hAnsiTheme="minorHAnsi" w:cstheme="minorBidi"/>
              <w:b w:val="0"/>
              <w:noProof/>
              <w:color w:val="auto"/>
              <w:sz w:val="22"/>
              <w:szCs w:val="22"/>
              <w:lang w:eastAsia="en-AU"/>
            </w:rPr>
          </w:pPr>
          <w:hyperlink w:anchor="_Toc147390243" w:history="1">
            <w:r w:rsidRPr="004D3272">
              <w:rPr>
                <w:rStyle w:val="Hyperlink"/>
                <w:noProof/>
              </w:rPr>
              <w:t>Quality</w:t>
            </w:r>
            <w:r>
              <w:rPr>
                <w:noProof/>
                <w:webHidden/>
              </w:rPr>
              <w:tab/>
            </w:r>
            <w:r>
              <w:rPr>
                <w:noProof/>
                <w:webHidden/>
              </w:rPr>
              <w:fldChar w:fldCharType="begin"/>
            </w:r>
            <w:r>
              <w:rPr>
                <w:noProof/>
                <w:webHidden/>
              </w:rPr>
              <w:instrText xml:space="preserve"> PAGEREF _Toc147390243 \h </w:instrText>
            </w:r>
            <w:r>
              <w:rPr>
                <w:noProof/>
                <w:webHidden/>
              </w:rPr>
            </w:r>
            <w:r>
              <w:rPr>
                <w:noProof/>
                <w:webHidden/>
              </w:rPr>
              <w:fldChar w:fldCharType="separate"/>
            </w:r>
            <w:r>
              <w:rPr>
                <w:noProof/>
                <w:webHidden/>
              </w:rPr>
              <w:t>11</w:t>
            </w:r>
            <w:r>
              <w:rPr>
                <w:noProof/>
                <w:webHidden/>
              </w:rPr>
              <w:fldChar w:fldCharType="end"/>
            </w:r>
          </w:hyperlink>
        </w:p>
        <w:p w14:paraId="420F4D02" w14:textId="5FD5CBAA" w:rsidR="008806E1" w:rsidRDefault="008806E1">
          <w:pPr>
            <w:pStyle w:val="TOC2"/>
            <w:rPr>
              <w:rFonts w:asciiTheme="minorHAnsi" w:eastAsiaTheme="minorEastAsia" w:hAnsiTheme="minorHAnsi" w:cstheme="minorBidi"/>
              <w:b w:val="0"/>
              <w:noProof/>
              <w:color w:val="auto"/>
              <w:sz w:val="22"/>
              <w:szCs w:val="22"/>
              <w:lang w:eastAsia="en-AU"/>
            </w:rPr>
          </w:pPr>
          <w:hyperlink w:anchor="_Toc147390244" w:history="1">
            <w:r w:rsidRPr="004D3272">
              <w:rPr>
                <w:rStyle w:val="Hyperlink"/>
                <w:noProof/>
              </w:rPr>
              <w:t>Nonclinical</w:t>
            </w:r>
            <w:r>
              <w:rPr>
                <w:noProof/>
                <w:webHidden/>
              </w:rPr>
              <w:tab/>
            </w:r>
            <w:r>
              <w:rPr>
                <w:noProof/>
                <w:webHidden/>
              </w:rPr>
              <w:fldChar w:fldCharType="begin"/>
            </w:r>
            <w:r>
              <w:rPr>
                <w:noProof/>
                <w:webHidden/>
              </w:rPr>
              <w:instrText xml:space="preserve"> PAGEREF _Toc147390244 \h </w:instrText>
            </w:r>
            <w:r>
              <w:rPr>
                <w:noProof/>
                <w:webHidden/>
              </w:rPr>
            </w:r>
            <w:r>
              <w:rPr>
                <w:noProof/>
                <w:webHidden/>
              </w:rPr>
              <w:fldChar w:fldCharType="separate"/>
            </w:r>
            <w:r>
              <w:rPr>
                <w:noProof/>
                <w:webHidden/>
              </w:rPr>
              <w:t>12</w:t>
            </w:r>
            <w:r>
              <w:rPr>
                <w:noProof/>
                <w:webHidden/>
              </w:rPr>
              <w:fldChar w:fldCharType="end"/>
            </w:r>
          </w:hyperlink>
        </w:p>
        <w:p w14:paraId="600A1B11" w14:textId="7154104B" w:rsidR="008806E1" w:rsidRDefault="008806E1">
          <w:pPr>
            <w:pStyle w:val="TOC2"/>
            <w:rPr>
              <w:rFonts w:asciiTheme="minorHAnsi" w:eastAsiaTheme="minorEastAsia" w:hAnsiTheme="minorHAnsi" w:cstheme="minorBidi"/>
              <w:b w:val="0"/>
              <w:noProof/>
              <w:color w:val="auto"/>
              <w:sz w:val="22"/>
              <w:szCs w:val="22"/>
              <w:lang w:eastAsia="en-AU"/>
            </w:rPr>
          </w:pPr>
          <w:hyperlink w:anchor="_Toc147390245" w:history="1">
            <w:r w:rsidRPr="004D3272">
              <w:rPr>
                <w:rStyle w:val="Hyperlink"/>
                <w:noProof/>
              </w:rPr>
              <w:t>Clinical</w:t>
            </w:r>
            <w:r>
              <w:rPr>
                <w:noProof/>
                <w:webHidden/>
              </w:rPr>
              <w:tab/>
            </w:r>
            <w:r>
              <w:rPr>
                <w:noProof/>
                <w:webHidden/>
              </w:rPr>
              <w:fldChar w:fldCharType="begin"/>
            </w:r>
            <w:r>
              <w:rPr>
                <w:noProof/>
                <w:webHidden/>
              </w:rPr>
              <w:instrText xml:space="preserve"> PAGEREF _Toc147390245 \h </w:instrText>
            </w:r>
            <w:r>
              <w:rPr>
                <w:noProof/>
                <w:webHidden/>
              </w:rPr>
            </w:r>
            <w:r>
              <w:rPr>
                <w:noProof/>
                <w:webHidden/>
              </w:rPr>
              <w:fldChar w:fldCharType="separate"/>
            </w:r>
            <w:r>
              <w:rPr>
                <w:noProof/>
                <w:webHidden/>
              </w:rPr>
              <w:t>14</w:t>
            </w:r>
            <w:r>
              <w:rPr>
                <w:noProof/>
                <w:webHidden/>
              </w:rPr>
              <w:fldChar w:fldCharType="end"/>
            </w:r>
          </w:hyperlink>
        </w:p>
        <w:p w14:paraId="7EBD571B" w14:textId="5BE81342" w:rsidR="008806E1" w:rsidRDefault="008806E1">
          <w:pPr>
            <w:pStyle w:val="TOC3"/>
            <w:rPr>
              <w:rFonts w:asciiTheme="minorHAnsi" w:eastAsiaTheme="minorEastAsia" w:hAnsiTheme="minorHAnsi" w:cstheme="minorBidi"/>
              <w:b w:val="0"/>
              <w:noProof/>
              <w:color w:val="auto"/>
              <w:szCs w:val="22"/>
              <w:lang w:eastAsia="en-AU"/>
            </w:rPr>
          </w:pPr>
          <w:hyperlink w:anchor="_Toc147390246" w:history="1">
            <w:r w:rsidRPr="004D3272">
              <w:rPr>
                <w:rStyle w:val="Hyperlink"/>
                <w:noProof/>
              </w:rPr>
              <w:t>Summary of clinical studies</w:t>
            </w:r>
            <w:r>
              <w:rPr>
                <w:noProof/>
                <w:webHidden/>
              </w:rPr>
              <w:tab/>
            </w:r>
            <w:r>
              <w:rPr>
                <w:noProof/>
                <w:webHidden/>
              </w:rPr>
              <w:fldChar w:fldCharType="begin"/>
            </w:r>
            <w:r>
              <w:rPr>
                <w:noProof/>
                <w:webHidden/>
              </w:rPr>
              <w:instrText xml:space="preserve"> PAGEREF _Toc147390246 \h </w:instrText>
            </w:r>
            <w:r>
              <w:rPr>
                <w:noProof/>
                <w:webHidden/>
              </w:rPr>
            </w:r>
            <w:r>
              <w:rPr>
                <w:noProof/>
                <w:webHidden/>
              </w:rPr>
              <w:fldChar w:fldCharType="separate"/>
            </w:r>
            <w:r>
              <w:rPr>
                <w:noProof/>
                <w:webHidden/>
              </w:rPr>
              <w:t>14</w:t>
            </w:r>
            <w:r>
              <w:rPr>
                <w:noProof/>
                <w:webHidden/>
              </w:rPr>
              <w:fldChar w:fldCharType="end"/>
            </w:r>
          </w:hyperlink>
        </w:p>
        <w:p w14:paraId="40C39148" w14:textId="4A498EC1" w:rsidR="008806E1" w:rsidRDefault="008806E1">
          <w:pPr>
            <w:pStyle w:val="TOC3"/>
            <w:rPr>
              <w:rFonts w:asciiTheme="minorHAnsi" w:eastAsiaTheme="minorEastAsia" w:hAnsiTheme="minorHAnsi" w:cstheme="minorBidi"/>
              <w:b w:val="0"/>
              <w:noProof/>
              <w:color w:val="auto"/>
              <w:szCs w:val="22"/>
              <w:lang w:eastAsia="en-AU"/>
            </w:rPr>
          </w:pPr>
          <w:hyperlink w:anchor="_Toc147390247" w:history="1">
            <w:r w:rsidRPr="004D3272">
              <w:rPr>
                <w:rStyle w:val="Hyperlink"/>
                <w:noProof/>
              </w:rPr>
              <w:t>Pharmacology</w:t>
            </w:r>
            <w:r>
              <w:rPr>
                <w:noProof/>
                <w:webHidden/>
              </w:rPr>
              <w:tab/>
            </w:r>
            <w:r>
              <w:rPr>
                <w:noProof/>
                <w:webHidden/>
              </w:rPr>
              <w:fldChar w:fldCharType="begin"/>
            </w:r>
            <w:r>
              <w:rPr>
                <w:noProof/>
                <w:webHidden/>
              </w:rPr>
              <w:instrText xml:space="preserve"> PAGEREF _Toc147390247 \h </w:instrText>
            </w:r>
            <w:r>
              <w:rPr>
                <w:noProof/>
                <w:webHidden/>
              </w:rPr>
            </w:r>
            <w:r>
              <w:rPr>
                <w:noProof/>
                <w:webHidden/>
              </w:rPr>
              <w:fldChar w:fldCharType="separate"/>
            </w:r>
            <w:r>
              <w:rPr>
                <w:noProof/>
                <w:webHidden/>
              </w:rPr>
              <w:t>15</w:t>
            </w:r>
            <w:r>
              <w:rPr>
                <w:noProof/>
                <w:webHidden/>
              </w:rPr>
              <w:fldChar w:fldCharType="end"/>
            </w:r>
          </w:hyperlink>
        </w:p>
        <w:p w14:paraId="29A95558" w14:textId="3A9AB036" w:rsidR="008806E1" w:rsidRDefault="008806E1">
          <w:pPr>
            <w:pStyle w:val="TOC3"/>
            <w:rPr>
              <w:rFonts w:asciiTheme="minorHAnsi" w:eastAsiaTheme="minorEastAsia" w:hAnsiTheme="minorHAnsi" w:cstheme="minorBidi"/>
              <w:b w:val="0"/>
              <w:noProof/>
              <w:color w:val="auto"/>
              <w:szCs w:val="22"/>
              <w:lang w:eastAsia="en-AU"/>
            </w:rPr>
          </w:pPr>
          <w:hyperlink w:anchor="_Toc147390248" w:history="1">
            <w:r w:rsidRPr="004D3272">
              <w:rPr>
                <w:rStyle w:val="Hyperlink"/>
                <w:noProof/>
              </w:rPr>
              <w:t>Efficacy</w:t>
            </w:r>
            <w:r>
              <w:rPr>
                <w:noProof/>
                <w:webHidden/>
              </w:rPr>
              <w:tab/>
            </w:r>
            <w:r>
              <w:rPr>
                <w:noProof/>
                <w:webHidden/>
              </w:rPr>
              <w:fldChar w:fldCharType="begin"/>
            </w:r>
            <w:r>
              <w:rPr>
                <w:noProof/>
                <w:webHidden/>
              </w:rPr>
              <w:instrText xml:space="preserve"> PAGEREF _Toc147390248 \h </w:instrText>
            </w:r>
            <w:r>
              <w:rPr>
                <w:noProof/>
                <w:webHidden/>
              </w:rPr>
            </w:r>
            <w:r>
              <w:rPr>
                <w:noProof/>
                <w:webHidden/>
              </w:rPr>
              <w:fldChar w:fldCharType="separate"/>
            </w:r>
            <w:r>
              <w:rPr>
                <w:noProof/>
                <w:webHidden/>
              </w:rPr>
              <w:t>17</w:t>
            </w:r>
            <w:r>
              <w:rPr>
                <w:noProof/>
                <w:webHidden/>
              </w:rPr>
              <w:fldChar w:fldCharType="end"/>
            </w:r>
          </w:hyperlink>
        </w:p>
        <w:p w14:paraId="603BD0CE" w14:textId="7F8D41DC" w:rsidR="008806E1" w:rsidRDefault="008806E1">
          <w:pPr>
            <w:pStyle w:val="TOC3"/>
            <w:rPr>
              <w:rFonts w:asciiTheme="minorHAnsi" w:eastAsiaTheme="minorEastAsia" w:hAnsiTheme="minorHAnsi" w:cstheme="minorBidi"/>
              <w:b w:val="0"/>
              <w:noProof/>
              <w:color w:val="auto"/>
              <w:szCs w:val="22"/>
              <w:lang w:eastAsia="en-AU"/>
            </w:rPr>
          </w:pPr>
          <w:hyperlink w:anchor="_Toc147390249" w:history="1">
            <w:r w:rsidRPr="004D3272">
              <w:rPr>
                <w:rStyle w:val="Hyperlink"/>
                <w:noProof/>
              </w:rPr>
              <w:t>Safety</w:t>
            </w:r>
            <w:r>
              <w:rPr>
                <w:noProof/>
                <w:webHidden/>
              </w:rPr>
              <w:tab/>
            </w:r>
            <w:r>
              <w:rPr>
                <w:noProof/>
                <w:webHidden/>
              </w:rPr>
              <w:fldChar w:fldCharType="begin"/>
            </w:r>
            <w:r>
              <w:rPr>
                <w:noProof/>
                <w:webHidden/>
              </w:rPr>
              <w:instrText xml:space="preserve"> PAGEREF _Toc147390249 \h </w:instrText>
            </w:r>
            <w:r>
              <w:rPr>
                <w:noProof/>
                <w:webHidden/>
              </w:rPr>
            </w:r>
            <w:r>
              <w:rPr>
                <w:noProof/>
                <w:webHidden/>
              </w:rPr>
              <w:fldChar w:fldCharType="separate"/>
            </w:r>
            <w:r>
              <w:rPr>
                <w:noProof/>
                <w:webHidden/>
              </w:rPr>
              <w:t>25</w:t>
            </w:r>
            <w:r>
              <w:rPr>
                <w:noProof/>
                <w:webHidden/>
              </w:rPr>
              <w:fldChar w:fldCharType="end"/>
            </w:r>
          </w:hyperlink>
        </w:p>
        <w:p w14:paraId="71C665BF" w14:textId="3EE4B193" w:rsidR="008806E1" w:rsidRDefault="008806E1">
          <w:pPr>
            <w:pStyle w:val="TOC2"/>
            <w:rPr>
              <w:rFonts w:asciiTheme="minorHAnsi" w:eastAsiaTheme="minorEastAsia" w:hAnsiTheme="minorHAnsi" w:cstheme="minorBidi"/>
              <w:b w:val="0"/>
              <w:noProof/>
              <w:color w:val="auto"/>
              <w:sz w:val="22"/>
              <w:szCs w:val="22"/>
              <w:lang w:eastAsia="en-AU"/>
            </w:rPr>
          </w:pPr>
          <w:hyperlink w:anchor="_Toc147390250" w:history="1">
            <w:r w:rsidRPr="004D3272">
              <w:rPr>
                <w:rStyle w:val="Hyperlink"/>
                <w:noProof/>
                <w:lang w:eastAsia="en-AU"/>
              </w:rPr>
              <w:t>Risk management plan</w:t>
            </w:r>
            <w:r>
              <w:rPr>
                <w:noProof/>
                <w:webHidden/>
              </w:rPr>
              <w:tab/>
            </w:r>
            <w:r>
              <w:rPr>
                <w:noProof/>
                <w:webHidden/>
              </w:rPr>
              <w:fldChar w:fldCharType="begin"/>
            </w:r>
            <w:r>
              <w:rPr>
                <w:noProof/>
                <w:webHidden/>
              </w:rPr>
              <w:instrText xml:space="preserve"> PAGEREF _Toc147390250 \h </w:instrText>
            </w:r>
            <w:r>
              <w:rPr>
                <w:noProof/>
                <w:webHidden/>
              </w:rPr>
            </w:r>
            <w:r>
              <w:rPr>
                <w:noProof/>
                <w:webHidden/>
              </w:rPr>
              <w:fldChar w:fldCharType="separate"/>
            </w:r>
            <w:r>
              <w:rPr>
                <w:noProof/>
                <w:webHidden/>
              </w:rPr>
              <w:t>31</w:t>
            </w:r>
            <w:r>
              <w:rPr>
                <w:noProof/>
                <w:webHidden/>
              </w:rPr>
              <w:fldChar w:fldCharType="end"/>
            </w:r>
          </w:hyperlink>
        </w:p>
        <w:p w14:paraId="633A3457" w14:textId="078D7565" w:rsidR="008806E1" w:rsidRDefault="008806E1">
          <w:pPr>
            <w:pStyle w:val="TOC2"/>
            <w:rPr>
              <w:rFonts w:asciiTheme="minorHAnsi" w:eastAsiaTheme="minorEastAsia" w:hAnsiTheme="minorHAnsi" w:cstheme="minorBidi"/>
              <w:b w:val="0"/>
              <w:noProof/>
              <w:color w:val="auto"/>
              <w:sz w:val="22"/>
              <w:szCs w:val="22"/>
              <w:lang w:eastAsia="en-AU"/>
            </w:rPr>
          </w:pPr>
          <w:hyperlink w:anchor="_Toc147390251" w:history="1">
            <w:r w:rsidRPr="004D3272">
              <w:rPr>
                <w:rStyle w:val="Hyperlink"/>
                <w:noProof/>
              </w:rPr>
              <w:t>Risk-benefit analysis</w:t>
            </w:r>
            <w:r>
              <w:rPr>
                <w:noProof/>
                <w:webHidden/>
              </w:rPr>
              <w:tab/>
            </w:r>
            <w:r>
              <w:rPr>
                <w:noProof/>
                <w:webHidden/>
              </w:rPr>
              <w:fldChar w:fldCharType="begin"/>
            </w:r>
            <w:r>
              <w:rPr>
                <w:noProof/>
                <w:webHidden/>
              </w:rPr>
              <w:instrText xml:space="preserve"> PAGEREF _Toc147390251 \h </w:instrText>
            </w:r>
            <w:r>
              <w:rPr>
                <w:noProof/>
                <w:webHidden/>
              </w:rPr>
            </w:r>
            <w:r>
              <w:rPr>
                <w:noProof/>
                <w:webHidden/>
              </w:rPr>
              <w:fldChar w:fldCharType="separate"/>
            </w:r>
            <w:r>
              <w:rPr>
                <w:noProof/>
                <w:webHidden/>
              </w:rPr>
              <w:t>32</w:t>
            </w:r>
            <w:r>
              <w:rPr>
                <w:noProof/>
                <w:webHidden/>
              </w:rPr>
              <w:fldChar w:fldCharType="end"/>
            </w:r>
          </w:hyperlink>
        </w:p>
        <w:p w14:paraId="4AF6D36F" w14:textId="324452CD" w:rsidR="008806E1" w:rsidRDefault="008806E1">
          <w:pPr>
            <w:pStyle w:val="TOC3"/>
            <w:rPr>
              <w:rFonts w:asciiTheme="minorHAnsi" w:eastAsiaTheme="minorEastAsia" w:hAnsiTheme="minorHAnsi" w:cstheme="minorBidi"/>
              <w:b w:val="0"/>
              <w:noProof/>
              <w:color w:val="auto"/>
              <w:szCs w:val="22"/>
              <w:lang w:eastAsia="en-AU"/>
            </w:rPr>
          </w:pPr>
          <w:hyperlink w:anchor="_Toc147390252" w:history="1">
            <w:r w:rsidRPr="004D3272">
              <w:rPr>
                <w:rStyle w:val="Hyperlink"/>
                <w:noProof/>
              </w:rPr>
              <w:t>Delegate’s considerations</w:t>
            </w:r>
            <w:r>
              <w:rPr>
                <w:noProof/>
                <w:webHidden/>
              </w:rPr>
              <w:tab/>
            </w:r>
            <w:r>
              <w:rPr>
                <w:noProof/>
                <w:webHidden/>
              </w:rPr>
              <w:fldChar w:fldCharType="begin"/>
            </w:r>
            <w:r>
              <w:rPr>
                <w:noProof/>
                <w:webHidden/>
              </w:rPr>
              <w:instrText xml:space="preserve"> PAGEREF _Toc147390252 \h </w:instrText>
            </w:r>
            <w:r>
              <w:rPr>
                <w:noProof/>
                <w:webHidden/>
              </w:rPr>
            </w:r>
            <w:r>
              <w:rPr>
                <w:noProof/>
                <w:webHidden/>
              </w:rPr>
              <w:fldChar w:fldCharType="separate"/>
            </w:r>
            <w:r>
              <w:rPr>
                <w:noProof/>
                <w:webHidden/>
              </w:rPr>
              <w:t>32</w:t>
            </w:r>
            <w:r>
              <w:rPr>
                <w:noProof/>
                <w:webHidden/>
              </w:rPr>
              <w:fldChar w:fldCharType="end"/>
            </w:r>
          </w:hyperlink>
        </w:p>
        <w:p w14:paraId="7A1A1D64" w14:textId="583B797E" w:rsidR="008806E1" w:rsidRDefault="008806E1">
          <w:pPr>
            <w:pStyle w:val="TOC3"/>
            <w:rPr>
              <w:rFonts w:asciiTheme="minorHAnsi" w:eastAsiaTheme="minorEastAsia" w:hAnsiTheme="minorHAnsi" w:cstheme="minorBidi"/>
              <w:b w:val="0"/>
              <w:noProof/>
              <w:color w:val="auto"/>
              <w:szCs w:val="22"/>
              <w:lang w:eastAsia="en-AU"/>
            </w:rPr>
          </w:pPr>
          <w:hyperlink w:anchor="_Toc147390253" w:history="1">
            <w:r w:rsidRPr="004D3272">
              <w:rPr>
                <w:rStyle w:val="Hyperlink"/>
                <w:noProof/>
              </w:rPr>
              <w:t>Proposed action</w:t>
            </w:r>
            <w:r>
              <w:rPr>
                <w:noProof/>
                <w:webHidden/>
              </w:rPr>
              <w:tab/>
            </w:r>
            <w:r>
              <w:rPr>
                <w:noProof/>
                <w:webHidden/>
              </w:rPr>
              <w:fldChar w:fldCharType="begin"/>
            </w:r>
            <w:r>
              <w:rPr>
                <w:noProof/>
                <w:webHidden/>
              </w:rPr>
              <w:instrText xml:space="preserve"> PAGEREF _Toc147390253 \h </w:instrText>
            </w:r>
            <w:r>
              <w:rPr>
                <w:noProof/>
                <w:webHidden/>
              </w:rPr>
            </w:r>
            <w:r>
              <w:rPr>
                <w:noProof/>
                <w:webHidden/>
              </w:rPr>
              <w:fldChar w:fldCharType="separate"/>
            </w:r>
            <w:r>
              <w:rPr>
                <w:noProof/>
                <w:webHidden/>
              </w:rPr>
              <w:t>33</w:t>
            </w:r>
            <w:r>
              <w:rPr>
                <w:noProof/>
                <w:webHidden/>
              </w:rPr>
              <w:fldChar w:fldCharType="end"/>
            </w:r>
          </w:hyperlink>
        </w:p>
        <w:p w14:paraId="56E67DE3" w14:textId="3E32988B" w:rsidR="008806E1" w:rsidRDefault="008806E1">
          <w:pPr>
            <w:pStyle w:val="TOC3"/>
            <w:rPr>
              <w:rFonts w:asciiTheme="minorHAnsi" w:eastAsiaTheme="minorEastAsia" w:hAnsiTheme="minorHAnsi" w:cstheme="minorBidi"/>
              <w:b w:val="0"/>
              <w:noProof/>
              <w:color w:val="auto"/>
              <w:szCs w:val="22"/>
              <w:lang w:eastAsia="en-AU"/>
            </w:rPr>
          </w:pPr>
          <w:hyperlink w:anchor="_Toc147390254" w:history="1">
            <w:r w:rsidRPr="004D3272">
              <w:rPr>
                <w:rStyle w:val="Hyperlink"/>
                <w:noProof/>
              </w:rPr>
              <w:t>Advisory Committee considerations</w:t>
            </w:r>
            <w:r>
              <w:rPr>
                <w:noProof/>
                <w:webHidden/>
              </w:rPr>
              <w:tab/>
            </w:r>
            <w:r>
              <w:rPr>
                <w:noProof/>
                <w:webHidden/>
              </w:rPr>
              <w:fldChar w:fldCharType="begin"/>
            </w:r>
            <w:r>
              <w:rPr>
                <w:noProof/>
                <w:webHidden/>
              </w:rPr>
              <w:instrText xml:space="preserve"> PAGEREF _Toc147390254 \h </w:instrText>
            </w:r>
            <w:r>
              <w:rPr>
                <w:noProof/>
                <w:webHidden/>
              </w:rPr>
            </w:r>
            <w:r>
              <w:rPr>
                <w:noProof/>
                <w:webHidden/>
              </w:rPr>
              <w:fldChar w:fldCharType="separate"/>
            </w:r>
            <w:r>
              <w:rPr>
                <w:noProof/>
                <w:webHidden/>
              </w:rPr>
              <w:t>33</w:t>
            </w:r>
            <w:r>
              <w:rPr>
                <w:noProof/>
                <w:webHidden/>
              </w:rPr>
              <w:fldChar w:fldCharType="end"/>
            </w:r>
          </w:hyperlink>
        </w:p>
        <w:p w14:paraId="63785158" w14:textId="0FCF3E02" w:rsidR="008806E1" w:rsidRDefault="008806E1">
          <w:pPr>
            <w:pStyle w:val="TOC1"/>
            <w:rPr>
              <w:rFonts w:asciiTheme="minorHAnsi" w:eastAsiaTheme="minorEastAsia" w:hAnsiTheme="minorHAnsi" w:cstheme="minorBidi"/>
              <w:b w:val="0"/>
              <w:noProof/>
              <w:color w:val="auto"/>
              <w:sz w:val="22"/>
              <w:szCs w:val="22"/>
              <w:lang w:eastAsia="en-AU"/>
            </w:rPr>
          </w:pPr>
          <w:hyperlink w:anchor="_Toc147390255" w:history="1">
            <w:r w:rsidRPr="004D3272">
              <w:rPr>
                <w:rStyle w:val="Hyperlink"/>
                <w:noProof/>
              </w:rPr>
              <w:t>Outcome</w:t>
            </w:r>
            <w:r>
              <w:rPr>
                <w:noProof/>
                <w:webHidden/>
              </w:rPr>
              <w:tab/>
            </w:r>
            <w:r>
              <w:rPr>
                <w:noProof/>
                <w:webHidden/>
              </w:rPr>
              <w:fldChar w:fldCharType="begin"/>
            </w:r>
            <w:r>
              <w:rPr>
                <w:noProof/>
                <w:webHidden/>
              </w:rPr>
              <w:instrText xml:space="preserve"> PAGEREF _Toc147390255 \h </w:instrText>
            </w:r>
            <w:r>
              <w:rPr>
                <w:noProof/>
                <w:webHidden/>
              </w:rPr>
            </w:r>
            <w:r>
              <w:rPr>
                <w:noProof/>
                <w:webHidden/>
              </w:rPr>
              <w:fldChar w:fldCharType="separate"/>
            </w:r>
            <w:r>
              <w:rPr>
                <w:noProof/>
                <w:webHidden/>
              </w:rPr>
              <w:t>34</w:t>
            </w:r>
            <w:r>
              <w:rPr>
                <w:noProof/>
                <w:webHidden/>
              </w:rPr>
              <w:fldChar w:fldCharType="end"/>
            </w:r>
          </w:hyperlink>
        </w:p>
        <w:p w14:paraId="19D57BAE" w14:textId="5D47BAB5" w:rsidR="008806E1" w:rsidRDefault="008806E1">
          <w:pPr>
            <w:pStyle w:val="TOC2"/>
            <w:rPr>
              <w:rFonts w:asciiTheme="minorHAnsi" w:eastAsiaTheme="minorEastAsia" w:hAnsiTheme="minorHAnsi" w:cstheme="minorBidi"/>
              <w:b w:val="0"/>
              <w:noProof/>
              <w:color w:val="auto"/>
              <w:sz w:val="22"/>
              <w:szCs w:val="22"/>
              <w:lang w:eastAsia="en-AU"/>
            </w:rPr>
          </w:pPr>
          <w:hyperlink w:anchor="_Toc147390256" w:history="1">
            <w:r w:rsidRPr="004D3272">
              <w:rPr>
                <w:rStyle w:val="Hyperlink"/>
                <w:noProof/>
              </w:rPr>
              <w:t>Specific conditions of registration applying to these goods</w:t>
            </w:r>
            <w:r>
              <w:rPr>
                <w:noProof/>
                <w:webHidden/>
              </w:rPr>
              <w:tab/>
            </w:r>
            <w:r>
              <w:rPr>
                <w:noProof/>
                <w:webHidden/>
              </w:rPr>
              <w:fldChar w:fldCharType="begin"/>
            </w:r>
            <w:r>
              <w:rPr>
                <w:noProof/>
                <w:webHidden/>
              </w:rPr>
              <w:instrText xml:space="preserve"> PAGEREF _Toc147390256 \h </w:instrText>
            </w:r>
            <w:r>
              <w:rPr>
                <w:noProof/>
                <w:webHidden/>
              </w:rPr>
            </w:r>
            <w:r>
              <w:rPr>
                <w:noProof/>
                <w:webHidden/>
              </w:rPr>
              <w:fldChar w:fldCharType="separate"/>
            </w:r>
            <w:r>
              <w:rPr>
                <w:noProof/>
                <w:webHidden/>
              </w:rPr>
              <w:t>35</w:t>
            </w:r>
            <w:r>
              <w:rPr>
                <w:noProof/>
                <w:webHidden/>
              </w:rPr>
              <w:fldChar w:fldCharType="end"/>
            </w:r>
          </w:hyperlink>
        </w:p>
        <w:p w14:paraId="2DF68C77" w14:textId="3C32912F" w:rsidR="008806E1" w:rsidRDefault="008806E1">
          <w:pPr>
            <w:pStyle w:val="TOC1"/>
            <w:rPr>
              <w:rFonts w:asciiTheme="minorHAnsi" w:eastAsiaTheme="minorEastAsia" w:hAnsiTheme="minorHAnsi" w:cstheme="minorBidi"/>
              <w:b w:val="0"/>
              <w:noProof/>
              <w:color w:val="auto"/>
              <w:sz w:val="22"/>
              <w:szCs w:val="22"/>
              <w:lang w:eastAsia="en-AU"/>
            </w:rPr>
          </w:pPr>
          <w:hyperlink w:anchor="_Toc147390257" w:history="1">
            <w:r w:rsidRPr="004D3272">
              <w:rPr>
                <w:rStyle w:val="Hyperlink"/>
                <w:noProof/>
              </w:rPr>
              <w:t>Attachment 1. Product Information</w:t>
            </w:r>
            <w:r>
              <w:rPr>
                <w:noProof/>
                <w:webHidden/>
              </w:rPr>
              <w:tab/>
            </w:r>
            <w:r>
              <w:rPr>
                <w:noProof/>
                <w:webHidden/>
              </w:rPr>
              <w:fldChar w:fldCharType="begin"/>
            </w:r>
            <w:r>
              <w:rPr>
                <w:noProof/>
                <w:webHidden/>
              </w:rPr>
              <w:instrText xml:space="preserve"> PAGEREF _Toc147390257 \h </w:instrText>
            </w:r>
            <w:r>
              <w:rPr>
                <w:noProof/>
                <w:webHidden/>
              </w:rPr>
            </w:r>
            <w:r>
              <w:rPr>
                <w:noProof/>
                <w:webHidden/>
              </w:rPr>
              <w:fldChar w:fldCharType="separate"/>
            </w:r>
            <w:r>
              <w:rPr>
                <w:noProof/>
                <w:webHidden/>
              </w:rPr>
              <w:t>35</w:t>
            </w:r>
            <w:r>
              <w:rPr>
                <w:noProof/>
                <w:webHidden/>
              </w:rPr>
              <w:fldChar w:fldCharType="end"/>
            </w:r>
          </w:hyperlink>
        </w:p>
        <w:p w14:paraId="77659F2D" w14:textId="66778B4B" w:rsidR="00F02AEC" w:rsidRPr="0002434F" w:rsidRDefault="00F02AEC" w:rsidP="007452E8">
          <w:r w:rsidRPr="0002434F">
            <w:fldChar w:fldCharType="end"/>
          </w:r>
        </w:p>
      </w:sdtContent>
    </w:sdt>
    <w:p w14:paraId="10987AE2" w14:textId="77777777" w:rsidR="00F02AEC" w:rsidRPr="0002434F" w:rsidRDefault="00F02AEC" w:rsidP="007452E8">
      <w:r w:rsidRPr="0002434F">
        <w:br w:type="page"/>
      </w:r>
    </w:p>
    <w:p w14:paraId="1E73AB93" w14:textId="77777777" w:rsidR="00324B33" w:rsidRPr="0002434F" w:rsidRDefault="00324B33" w:rsidP="00324B33">
      <w:pPr>
        <w:pStyle w:val="Heading2"/>
      </w:pPr>
      <w:bookmarkStart w:id="0" w:name="_Toc98931917"/>
      <w:bookmarkStart w:id="1" w:name="_Toc103679287"/>
      <w:bookmarkStart w:id="2" w:name="_Toc323739589"/>
      <w:bookmarkStart w:id="3" w:name="_Toc356305216"/>
      <w:bookmarkStart w:id="4" w:name="_Toc147390235"/>
      <w:r w:rsidRPr="0002434F">
        <w:lastRenderedPageBreak/>
        <w:t>List of abbreviations</w:t>
      </w:r>
      <w:bookmarkEnd w:id="0"/>
      <w:bookmarkEnd w:id="1"/>
      <w:bookmarkEnd w:id="4"/>
    </w:p>
    <w:tbl>
      <w:tblPr>
        <w:tblStyle w:val="TableTGAblue2023"/>
        <w:tblW w:w="5000" w:type="pct"/>
        <w:tblLook w:val="04A0" w:firstRow="1" w:lastRow="0" w:firstColumn="1" w:lastColumn="0" w:noHBand="0" w:noVBand="1"/>
      </w:tblPr>
      <w:tblGrid>
        <w:gridCol w:w="2174"/>
        <w:gridCol w:w="6886"/>
      </w:tblGrid>
      <w:tr w:rsidR="00324B33" w:rsidRPr="0002434F" w14:paraId="2117AEF6" w14:textId="77777777" w:rsidTr="00BD5DB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207B6A7" w14:textId="67F7D360" w:rsidR="00324B33" w:rsidRPr="0002434F" w:rsidRDefault="00324B33" w:rsidP="00324B33">
            <w:pPr>
              <w:rPr>
                <w:szCs w:val="22"/>
              </w:rPr>
            </w:pPr>
            <w:r w:rsidRPr="0002434F">
              <w:rPr>
                <w:szCs w:val="22"/>
              </w:rPr>
              <w:t>Abbreviation</w:t>
            </w:r>
          </w:p>
        </w:tc>
        <w:tc>
          <w:tcPr>
            <w:tcW w:w="3800" w:type="pct"/>
          </w:tcPr>
          <w:p w14:paraId="4CF6D0CD" w14:textId="2974FA0B" w:rsidR="00324B33" w:rsidRPr="0002434F"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02434F">
              <w:rPr>
                <w:szCs w:val="22"/>
              </w:rPr>
              <w:t>Meaning</w:t>
            </w:r>
          </w:p>
        </w:tc>
      </w:tr>
      <w:tr w:rsidR="002752E2" w:rsidRPr="0002434F" w14:paraId="2C8657A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46CFA8D" w14:textId="7D1A4D5A" w:rsidR="002752E2" w:rsidRPr="0002434F" w:rsidRDefault="002752E2" w:rsidP="002752E2">
            <w:pPr>
              <w:rPr>
                <w:szCs w:val="22"/>
              </w:rPr>
            </w:pPr>
            <w:r w:rsidRPr="0002434F">
              <w:rPr>
                <w:lang w:eastAsia="ja-JP"/>
              </w:rPr>
              <w:t>AAV</w:t>
            </w:r>
          </w:p>
        </w:tc>
        <w:tc>
          <w:tcPr>
            <w:tcW w:w="3800" w:type="pct"/>
          </w:tcPr>
          <w:p w14:paraId="53D4D108" w14:textId="75167020" w:rsidR="002752E2" w:rsidRPr="0002434F" w:rsidRDefault="002752E2" w:rsidP="002752E2">
            <w:pPr>
              <w:cnfStyle w:val="000000000000" w:firstRow="0" w:lastRow="0" w:firstColumn="0" w:lastColumn="0" w:oddVBand="0" w:evenVBand="0" w:oddHBand="0" w:evenHBand="0" w:firstRowFirstColumn="0" w:firstRowLastColumn="0" w:lastRowFirstColumn="0" w:lastRowLastColumn="0"/>
              <w:rPr>
                <w:szCs w:val="22"/>
              </w:rPr>
            </w:pPr>
            <w:r w:rsidRPr="0002434F">
              <w:rPr>
                <w:lang w:eastAsia="ja-JP"/>
              </w:rPr>
              <w:t>Anti-neutrophil cytoplasmic (auto)antibody (ANCA) associated vasculitis</w:t>
            </w:r>
          </w:p>
        </w:tc>
      </w:tr>
      <w:tr w:rsidR="002752E2" w:rsidRPr="0002434F" w14:paraId="7878FAD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2EAC536" w14:textId="78D87455" w:rsidR="002752E2" w:rsidRPr="0002434F" w:rsidRDefault="002752E2" w:rsidP="002752E2">
            <w:pPr>
              <w:rPr>
                <w:lang w:eastAsia="ja-JP"/>
              </w:rPr>
            </w:pPr>
            <w:r w:rsidRPr="0002434F">
              <w:t>AC</w:t>
            </w:r>
          </w:p>
        </w:tc>
        <w:tc>
          <w:tcPr>
            <w:tcW w:w="3800" w:type="pct"/>
          </w:tcPr>
          <w:p w14:paraId="139C9125" w14:textId="22F3D2B2" w:rsidR="002752E2" w:rsidRPr="0002434F" w:rsidRDefault="002752E2" w:rsidP="002752E2">
            <w:pPr>
              <w:cnfStyle w:val="000000000000" w:firstRow="0" w:lastRow="0" w:firstColumn="0" w:lastColumn="0" w:oddVBand="0" w:evenVBand="0" w:oddHBand="0" w:evenHBand="0" w:firstRowFirstColumn="0" w:firstRowLastColumn="0" w:lastRowFirstColumn="0" w:lastRowLastColumn="0"/>
              <w:rPr>
                <w:lang w:eastAsia="ja-JP"/>
              </w:rPr>
            </w:pPr>
            <w:r w:rsidRPr="0002434F">
              <w:t>Adjudication Committee</w:t>
            </w:r>
          </w:p>
        </w:tc>
      </w:tr>
      <w:tr w:rsidR="002752E2" w:rsidRPr="0002434F" w14:paraId="2EA7C35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C87B428" w14:textId="7EE6CD34" w:rsidR="002752E2" w:rsidRPr="0002434F" w:rsidRDefault="002752E2" w:rsidP="002752E2">
            <w:pPr>
              <w:rPr>
                <w:lang w:eastAsia="ja-JP"/>
              </w:rPr>
            </w:pPr>
            <w:r w:rsidRPr="0002434F">
              <w:rPr>
                <w:szCs w:val="22"/>
              </w:rPr>
              <w:t>ACM</w:t>
            </w:r>
          </w:p>
        </w:tc>
        <w:tc>
          <w:tcPr>
            <w:tcW w:w="3800" w:type="pct"/>
          </w:tcPr>
          <w:p w14:paraId="6D17370C" w14:textId="775B3C39" w:rsidR="002752E2" w:rsidRPr="0002434F" w:rsidRDefault="002752E2" w:rsidP="002752E2">
            <w:pPr>
              <w:cnfStyle w:val="000000000000" w:firstRow="0" w:lastRow="0" w:firstColumn="0" w:lastColumn="0" w:oddVBand="0" w:evenVBand="0" w:oddHBand="0" w:evenHBand="0" w:firstRowFirstColumn="0" w:firstRowLastColumn="0" w:lastRowFirstColumn="0" w:lastRowLastColumn="0"/>
              <w:rPr>
                <w:lang w:eastAsia="ja-JP"/>
              </w:rPr>
            </w:pPr>
            <w:r w:rsidRPr="0002434F">
              <w:rPr>
                <w:szCs w:val="22"/>
              </w:rPr>
              <w:t>Advisory Committee on Medicines</w:t>
            </w:r>
          </w:p>
        </w:tc>
      </w:tr>
      <w:tr w:rsidR="002752E2" w:rsidRPr="0002434F" w14:paraId="6C7DFE9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5EF5D95" w14:textId="02224C20" w:rsidR="002752E2" w:rsidRPr="0002434F" w:rsidRDefault="002752E2" w:rsidP="002752E2">
            <w:pPr>
              <w:rPr>
                <w:lang w:eastAsia="ja-JP"/>
              </w:rPr>
            </w:pPr>
            <w:r w:rsidRPr="0002434F">
              <w:rPr>
                <w:lang w:eastAsia="ja-JP"/>
              </w:rPr>
              <w:t>AE</w:t>
            </w:r>
          </w:p>
        </w:tc>
        <w:tc>
          <w:tcPr>
            <w:tcW w:w="3800" w:type="pct"/>
          </w:tcPr>
          <w:p w14:paraId="4AE5C9DD" w14:textId="78CF0D03" w:rsidR="002752E2" w:rsidRPr="0002434F" w:rsidRDefault="002752E2" w:rsidP="002752E2">
            <w:pPr>
              <w:cnfStyle w:val="000000000000" w:firstRow="0" w:lastRow="0" w:firstColumn="0" w:lastColumn="0" w:oddVBand="0" w:evenVBand="0" w:oddHBand="0" w:evenHBand="0" w:firstRowFirstColumn="0" w:firstRowLastColumn="0" w:lastRowFirstColumn="0" w:lastRowLastColumn="0"/>
              <w:rPr>
                <w:lang w:eastAsia="ja-JP"/>
              </w:rPr>
            </w:pPr>
            <w:r w:rsidRPr="0002434F">
              <w:rPr>
                <w:lang w:eastAsia="ja-JP"/>
              </w:rPr>
              <w:t>Adverse event</w:t>
            </w:r>
          </w:p>
        </w:tc>
      </w:tr>
      <w:tr w:rsidR="002752E2" w:rsidRPr="0002434F" w14:paraId="57DF1BA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2AF8D09" w14:textId="3A331E6F" w:rsidR="002752E2" w:rsidRPr="0002434F" w:rsidRDefault="002752E2" w:rsidP="002752E2">
            <w:pPr>
              <w:rPr>
                <w:lang w:eastAsia="ja-JP"/>
              </w:rPr>
            </w:pPr>
            <w:r w:rsidRPr="0002434F">
              <w:t>ALT</w:t>
            </w:r>
          </w:p>
        </w:tc>
        <w:tc>
          <w:tcPr>
            <w:tcW w:w="3800" w:type="pct"/>
          </w:tcPr>
          <w:p w14:paraId="03C28118" w14:textId="562359EC" w:rsidR="002752E2" w:rsidRPr="0002434F" w:rsidRDefault="002752E2" w:rsidP="002752E2">
            <w:pPr>
              <w:cnfStyle w:val="000000000000" w:firstRow="0" w:lastRow="0" w:firstColumn="0" w:lastColumn="0" w:oddVBand="0" w:evenVBand="0" w:oddHBand="0" w:evenHBand="0" w:firstRowFirstColumn="0" w:firstRowLastColumn="0" w:lastRowFirstColumn="0" w:lastRowLastColumn="0"/>
              <w:rPr>
                <w:lang w:eastAsia="ja-JP"/>
              </w:rPr>
            </w:pPr>
            <w:r w:rsidRPr="0002434F">
              <w:t>Alanine aminotransferase</w:t>
            </w:r>
          </w:p>
        </w:tc>
      </w:tr>
      <w:tr w:rsidR="002752E2" w:rsidRPr="0002434F" w14:paraId="5739CCF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254C940" w14:textId="253D8528" w:rsidR="002752E2" w:rsidRPr="0002434F" w:rsidRDefault="002752E2" w:rsidP="002752E2">
            <w:pPr>
              <w:rPr>
                <w:lang w:eastAsia="ja-JP"/>
              </w:rPr>
            </w:pPr>
            <w:r w:rsidRPr="0002434F">
              <w:rPr>
                <w:lang w:eastAsia="ja-JP"/>
              </w:rPr>
              <w:t>ANCA</w:t>
            </w:r>
          </w:p>
        </w:tc>
        <w:tc>
          <w:tcPr>
            <w:tcW w:w="3800" w:type="pct"/>
          </w:tcPr>
          <w:p w14:paraId="79B95D36" w14:textId="442A21E1" w:rsidR="002752E2" w:rsidRPr="0002434F" w:rsidRDefault="002752E2" w:rsidP="002752E2">
            <w:pPr>
              <w:cnfStyle w:val="000000000000" w:firstRow="0" w:lastRow="0" w:firstColumn="0" w:lastColumn="0" w:oddVBand="0" w:evenVBand="0" w:oddHBand="0" w:evenHBand="0" w:firstRowFirstColumn="0" w:firstRowLastColumn="0" w:lastRowFirstColumn="0" w:lastRowLastColumn="0"/>
              <w:rPr>
                <w:lang w:eastAsia="ja-JP"/>
              </w:rPr>
            </w:pPr>
            <w:r w:rsidRPr="0002434F">
              <w:rPr>
                <w:lang w:eastAsia="ja-JP"/>
              </w:rPr>
              <w:t>Anti-neutrophil cytoplasmic (auto)antibody</w:t>
            </w:r>
          </w:p>
        </w:tc>
      </w:tr>
      <w:tr w:rsidR="002752E2" w:rsidRPr="0002434F" w14:paraId="5B2DBBF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9967DC0" w14:textId="1F62801E" w:rsidR="002752E2" w:rsidRPr="0002434F" w:rsidRDefault="002752E2" w:rsidP="002752E2">
            <w:pPr>
              <w:rPr>
                <w:lang w:eastAsia="ja-JP"/>
              </w:rPr>
            </w:pPr>
            <w:r w:rsidRPr="0002434F">
              <w:rPr>
                <w:szCs w:val="22"/>
              </w:rPr>
              <w:t>ARTG</w:t>
            </w:r>
          </w:p>
        </w:tc>
        <w:tc>
          <w:tcPr>
            <w:tcW w:w="3800" w:type="pct"/>
          </w:tcPr>
          <w:p w14:paraId="7D6307C3" w14:textId="20D9CE66" w:rsidR="002752E2" w:rsidRPr="0002434F" w:rsidRDefault="002752E2" w:rsidP="002752E2">
            <w:pPr>
              <w:cnfStyle w:val="000000000000" w:firstRow="0" w:lastRow="0" w:firstColumn="0" w:lastColumn="0" w:oddVBand="0" w:evenVBand="0" w:oddHBand="0" w:evenHBand="0" w:firstRowFirstColumn="0" w:firstRowLastColumn="0" w:lastRowFirstColumn="0" w:lastRowLastColumn="0"/>
              <w:rPr>
                <w:lang w:eastAsia="ja-JP"/>
              </w:rPr>
            </w:pPr>
            <w:r w:rsidRPr="0002434F">
              <w:rPr>
                <w:szCs w:val="22"/>
              </w:rPr>
              <w:t>Australian Register of Therapeutic Goods</w:t>
            </w:r>
          </w:p>
        </w:tc>
      </w:tr>
      <w:tr w:rsidR="002752E2" w:rsidRPr="0002434F" w14:paraId="73979AF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1A60EBF" w14:textId="5ECFEE2D" w:rsidR="002752E2" w:rsidRPr="0002434F" w:rsidRDefault="002752E2" w:rsidP="002752E2">
            <w:r w:rsidRPr="0002434F">
              <w:rPr>
                <w:szCs w:val="22"/>
              </w:rPr>
              <w:t>ASA</w:t>
            </w:r>
          </w:p>
        </w:tc>
        <w:tc>
          <w:tcPr>
            <w:tcW w:w="3800" w:type="pct"/>
          </w:tcPr>
          <w:p w14:paraId="5A9079A5" w14:textId="69F12D5B" w:rsidR="002752E2" w:rsidRPr="0002434F" w:rsidRDefault="002752E2" w:rsidP="002752E2">
            <w:pPr>
              <w:cnfStyle w:val="000000000000" w:firstRow="0" w:lastRow="0" w:firstColumn="0" w:lastColumn="0" w:oddVBand="0" w:evenVBand="0" w:oddHBand="0" w:evenHBand="0" w:firstRowFirstColumn="0" w:firstRowLastColumn="0" w:lastRowFirstColumn="0" w:lastRowLastColumn="0"/>
            </w:pPr>
            <w:r w:rsidRPr="0002434F">
              <w:rPr>
                <w:szCs w:val="22"/>
              </w:rPr>
              <w:t>Australia specific annex</w:t>
            </w:r>
          </w:p>
        </w:tc>
      </w:tr>
      <w:tr w:rsidR="002752E2" w:rsidRPr="0002434F" w14:paraId="4517784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E1D47E5" w14:textId="6465E34F" w:rsidR="002752E2" w:rsidRPr="0002434F" w:rsidRDefault="002752E2" w:rsidP="002752E2">
            <w:pPr>
              <w:rPr>
                <w:lang w:eastAsia="ja-JP"/>
              </w:rPr>
            </w:pPr>
            <w:r w:rsidRPr="0002434F">
              <w:t>AST</w:t>
            </w:r>
          </w:p>
        </w:tc>
        <w:tc>
          <w:tcPr>
            <w:tcW w:w="3800" w:type="pct"/>
          </w:tcPr>
          <w:p w14:paraId="345BE972" w14:textId="33CE3314" w:rsidR="002752E2" w:rsidRPr="0002434F" w:rsidRDefault="002752E2" w:rsidP="002752E2">
            <w:pPr>
              <w:cnfStyle w:val="000000000000" w:firstRow="0" w:lastRow="0" w:firstColumn="0" w:lastColumn="0" w:oddVBand="0" w:evenVBand="0" w:oddHBand="0" w:evenHBand="0" w:firstRowFirstColumn="0" w:firstRowLastColumn="0" w:lastRowFirstColumn="0" w:lastRowLastColumn="0"/>
              <w:rPr>
                <w:lang w:eastAsia="ja-JP"/>
              </w:rPr>
            </w:pPr>
            <w:r w:rsidRPr="0002434F">
              <w:t>Aspartate transaminase</w:t>
            </w:r>
          </w:p>
        </w:tc>
      </w:tr>
      <w:tr w:rsidR="002752E2" w:rsidRPr="0002434F" w14:paraId="1FD6B50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86E313D" w14:textId="088A56E4" w:rsidR="002752E2" w:rsidRPr="0002434F" w:rsidRDefault="002752E2" w:rsidP="002752E2">
            <w:pPr>
              <w:rPr>
                <w:szCs w:val="22"/>
              </w:rPr>
            </w:pPr>
            <w:r w:rsidRPr="0002434F">
              <w:t>AUC</w:t>
            </w:r>
          </w:p>
        </w:tc>
        <w:tc>
          <w:tcPr>
            <w:tcW w:w="3800" w:type="pct"/>
          </w:tcPr>
          <w:p w14:paraId="6663DB08" w14:textId="766A8495" w:rsidR="002752E2" w:rsidRPr="0002434F" w:rsidRDefault="002752E2" w:rsidP="002752E2">
            <w:pPr>
              <w:cnfStyle w:val="000000000000" w:firstRow="0" w:lastRow="0" w:firstColumn="0" w:lastColumn="0" w:oddVBand="0" w:evenVBand="0" w:oddHBand="0" w:evenHBand="0" w:firstRowFirstColumn="0" w:firstRowLastColumn="0" w:lastRowFirstColumn="0" w:lastRowLastColumn="0"/>
              <w:rPr>
                <w:szCs w:val="22"/>
              </w:rPr>
            </w:pPr>
            <w:r w:rsidRPr="0002434F">
              <w:t>Area under the plasma drug concentration-time curve</w:t>
            </w:r>
          </w:p>
        </w:tc>
      </w:tr>
      <w:tr w:rsidR="002752E2" w:rsidRPr="0002434F" w14:paraId="64A89F9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ED3504A" w14:textId="72BE1085" w:rsidR="002752E2" w:rsidRPr="0002434F" w:rsidRDefault="002752E2" w:rsidP="002752E2">
            <w:pPr>
              <w:rPr>
                <w:lang w:eastAsia="ja-JP"/>
              </w:rPr>
            </w:pPr>
            <w:r w:rsidRPr="0002434F">
              <w:t>AUC</w:t>
            </w:r>
            <w:r w:rsidRPr="0002434F">
              <w:rPr>
                <w:vertAlign w:val="subscript"/>
              </w:rPr>
              <w:t>0-t</w:t>
            </w:r>
          </w:p>
        </w:tc>
        <w:tc>
          <w:tcPr>
            <w:tcW w:w="3800" w:type="pct"/>
          </w:tcPr>
          <w:p w14:paraId="2BBBF4BC" w14:textId="30584E4E" w:rsidR="002752E2" w:rsidRPr="0002434F" w:rsidRDefault="002752E2" w:rsidP="002752E2">
            <w:pPr>
              <w:cnfStyle w:val="000000000000" w:firstRow="0" w:lastRow="0" w:firstColumn="0" w:lastColumn="0" w:oddVBand="0" w:evenVBand="0" w:oddHBand="0" w:evenHBand="0" w:firstRowFirstColumn="0" w:firstRowLastColumn="0" w:lastRowFirstColumn="0" w:lastRowLastColumn="0"/>
              <w:rPr>
                <w:lang w:eastAsia="ja-JP"/>
              </w:rPr>
            </w:pPr>
            <w:r w:rsidRPr="0002434F">
              <w:t xml:space="preserve">Area under the plasma drug concentration-time curve (AUC) </w:t>
            </w:r>
            <w:r w:rsidR="005028CE" w:rsidRPr="0002434F">
              <w:t>from time zero to the time of last measurable concentration</w:t>
            </w:r>
          </w:p>
        </w:tc>
      </w:tr>
      <w:tr w:rsidR="002752E2" w:rsidRPr="0002434F" w14:paraId="7D24B11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0EA519A" w14:textId="2F90276E" w:rsidR="002752E2" w:rsidRPr="0002434F" w:rsidRDefault="002752E2" w:rsidP="002752E2">
            <w:pPr>
              <w:rPr>
                <w:lang w:eastAsia="ja-JP"/>
              </w:rPr>
            </w:pPr>
            <w:r w:rsidRPr="0002434F">
              <w:t>AUC</w:t>
            </w:r>
            <w:r w:rsidRPr="0002434F">
              <w:rPr>
                <w:vertAlign w:val="subscript"/>
              </w:rPr>
              <w:t>0-tau</w:t>
            </w:r>
          </w:p>
        </w:tc>
        <w:tc>
          <w:tcPr>
            <w:tcW w:w="3800" w:type="pct"/>
          </w:tcPr>
          <w:p w14:paraId="08493FE4" w14:textId="1F90147F" w:rsidR="002752E2" w:rsidRPr="0002434F" w:rsidRDefault="002752E2" w:rsidP="002752E2">
            <w:pPr>
              <w:cnfStyle w:val="000000000000" w:firstRow="0" w:lastRow="0" w:firstColumn="0" w:lastColumn="0" w:oddVBand="0" w:evenVBand="0" w:oddHBand="0" w:evenHBand="0" w:firstRowFirstColumn="0" w:firstRowLastColumn="0" w:lastRowFirstColumn="0" w:lastRowLastColumn="0"/>
              <w:rPr>
                <w:lang w:eastAsia="ja-JP"/>
              </w:rPr>
            </w:pPr>
            <w:r w:rsidRPr="0002434F">
              <w:t>Area under the plasma drug concentration-time curve (AUC) to the end of the dosing period</w:t>
            </w:r>
          </w:p>
        </w:tc>
      </w:tr>
      <w:tr w:rsidR="002752E2" w:rsidRPr="0002434F" w14:paraId="5CCC195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B21E92" w14:textId="2CC17D47" w:rsidR="002752E2" w:rsidRPr="0002434F" w:rsidRDefault="002752E2" w:rsidP="002752E2">
            <w:pPr>
              <w:rPr>
                <w:lang w:eastAsia="ja-JP"/>
              </w:rPr>
            </w:pPr>
            <w:r w:rsidRPr="0002434F">
              <w:rPr>
                <w:lang w:eastAsia="ja-JP"/>
              </w:rPr>
              <w:t>BVAS</w:t>
            </w:r>
          </w:p>
        </w:tc>
        <w:tc>
          <w:tcPr>
            <w:tcW w:w="3800" w:type="pct"/>
          </w:tcPr>
          <w:p w14:paraId="674BAA2B" w14:textId="15EFDB78" w:rsidR="002752E2" w:rsidRPr="0002434F" w:rsidRDefault="002752E2" w:rsidP="002752E2">
            <w:pPr>
              <w:cnfStyle w:val="000000000000" w:firstRow="0" w:lastRow="0" w:firstColumn="0" w:lastColumn="0" w:oddVBand="0" w:evenVBand="0" w:oddHBand="0" w:evenHBand="0" w:firstRowFirstColumn="0" w:firstRowLastColumn="0" w:lastRowFirstColumn="0" w:lastRowLastColumn="0"/>
              <w:rPr>
                <w:lang w:eastAsia="ja-JP"/>
              </w:rPr>
            </w:pPr>
            <w:r w:rsidRPr="0002434F">
              <w:rPr>
                <w:lang w:eastAsia="ja-JP"/>
              </w:rPr>
              <w:t>Birmingham Vasculitis Activity Score</w:t>
            </w:r>
          </w:p>
        </w:tc>
      </w:tr>
      <w:tr w:rsidR="005028CE" w:rsidRPr="0002434F" w14:paraId="7FFC859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D34089A" w14:textId="3739ED27" w:rsidR="005028CE" w:rsidRPr="0002434F" w:rsidRDefault="005028CE" w:rsidP="002752E2">
            <w:pPr>
              <w:rPr>
                <w:lang w:eastAsia="ja-JP"/>
              </w:rPr>
            </w:pPr>
            <w:r w:rsidRPr="0002434F">
              <w:rPr>
                <w:lang w:eastAsia="ja-JP"/>
              </w:rPr>
              <w:t>C5a</w:t>
            </w:r>
          </w:p>
        </w:tc>
        <w:tc>
          <w:tcPr>
            <w:tcW w:w="3800" w:type="pct"/>
          </w:tcPr>
          <w:p w14:paraId="503AEF56" w14:textId="4B1BEE3E" w:rsidR="005028CE" w:rsidRPr="0002434F" w:rsidRDefault="005028CE" w:rsidP="002752E2">
            <w:pPr>
              <w:cnfStyle w:val="000000000000" w:firstRow="0" w:lastRow="0" w:firstColumn="0" w:lastColumn="0" w:oddVBand="0" w:evenVBand="0" w:oddHBand="0" w:evenHBand="0" w:firstRowFirstColumn="0" w:firstRowLastColumn="0" w:lastRowFirstColumn="0" w:lastRowLastColumn="0"/>
              <w:rPr>
                <w:lang w:eastAsia="ja-JP"/>
              </w:rPr>
            </w:pPr>
            <w:r w:rsidRPr="0002434F">
              <w:rPr>
                <w:lang w:eastAsia="ja-JP"/>
              </w:rPr>
              <w:t>Complement 5a</w:t>
            </w:r>
          </w:p>
        </w:tc>
      </w:tr>
      <w:tr w:rsidR="005028CE" w:rsidRPr="0002434F" w14:paraId="21ED0FA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6468B38" w14:textId="7FD205EA" w:rsidR="005028CE" w:rsidRPr="0002434F" w:rsidRDefault="005028CE" w:rsidP="002752E2">
            <w:pPr>
              <w:rPr>
                <w:lang w:eastAsia="ja-JP"/>
              </w:rPr>
            </w:pPr>
            <w:r w:rsidRPr="0002434F">
              <w:rPr>
                <w:lang w:eastAsia="ja-JP"/>
              </w:rPr>
              <w:t>C5aR</w:t>
            </w:r>
          </w:p>
        </w:tc>
        <w:tc>
          <w:tcPr>
            <w:tcW w:w="3800" w:type="pct"/>
          </w:tcPr>
          <w:p w14:paraId="6B57C9FE" w14:textId="156414A1" w:rsidR="005028CE" w:rsidRPr="0002434F" w:rsidRDefault="005028CE" w:rsidP="002752E2">
            <w:pPr>
              <w:cnfStyle w:val="000000000000" w:firstRow="0" w:lastRow="0" w:firstColumn="0" w:lastColumn="0" w:oddVBand="0" w:evenVBand="0" w:oddHBand="0" w:evenHBand="0" w:firstRowFirstColumn="0" w:firstRowLastColumn="0" w:lastRowFirstColumn="0" w:lastRowLastColumn="0"/>
              <w:rPr>
                <w:lang w:eastAsia="ja-JP"/>
              </w:rPr>
            </w:pPr>
            <w:r w:rsidRPr="0002434F">
              <w:rPr>
                <w:lang w:eastAsia="ja-JP"/>
              </w:rPr>
              <w:t>Complement 5a receptor</w:t>
            </w:r>
          </w:p>
        </w:tc>
      </w:tr>
      <w:tr w:rsidR="002752E2" w:rsidRPr="0002434F" w14:paraId="2E9118D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3DEA15F" w14:textId="2DC359CB" w:rsidR="002752E2" w:rsidRPr="0002434F" w:rsidRDefault="002752E2" w:rsidP="002752E2">
            <w:r w:rsidRPr="0002434F">
              <w:t>C</w:t>
            </w:r>
            <w:r w:rsidRPr="0002434F">
              <w:rPr>
                <w:vertAlign w:val="subscript"/>
              </w:rPr>
              <w:t>max</w:t>
            </w:r>
          </w:p>
        </w:tc>
        <w:tc>
          <w:tcPr>
            <w:tcW w:w="3800" w:type="pct"/>
          </w:tcPr>
          <w:p w14:paraId="7EE19153" w14:textId="1903DD84" w:rsidR="002752E2" w:rsidRPr="0002434F" w:rsidRDefault="002752E2" w:rsidP="002752E2">
            <w:pPr>
              <w:cnfStyle w:val="000000000000" w:firstRow="0" w:lastRow="0" w:firstColumn="0" w:lastColumn="0" w:oddVBand="0" w:evenVBand="0" w:oddHBand="0" w:evenHBand="0" w:firstRowFirstColumn="0" w:firstRowLastColumn="0" w:lastRowFirstColumn="0" w:lastRowLastColumn="0"/>
              <w:rPr>
                <w:lang w:eastAsia="ja-JP"/>
              </w:rPr>
            </w:pPr>
            <w:r w:rsidRPr="0002434F">
              <w:t>Maximum concentration</w:t>
            </w:r>
          </w:p>
        </w:tc>
      </w:tr>
      <w:tr w:rsidR="002752E2" w:rsidRPr="0002434F" w14:paraId="17CEE3A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8C61F3C" w14:textId="74269E8D" w:rsidR="002752E2" w:rsidRPr="0002434F" w:rsidRDefault="002752E2" w:rsidP="002752E2">
            <w:pPr>
              <w:rPr>
                <w:lang w:eastAsia="ja-JP"/>
              </w:rPr>
            </w:pPr>
            <w:r w:rsidRPr="0002434F">
              <w:rPr>
                <w:szCs w:val="22"/>
              </w:rPr>
              <w:t>CMI</w:t>
            </w:r>
          </w:p>
        </w:tc>
        <w:tc>
          <w:tcPr>
            <w:tcW w:w="3800" w:type="pct"/>
          </w:tcPr>
          <w:p w14:paraId="53A90FC5" w14:textId="089D6CFB" w:rsidR="002752E2" w:rsidRPr="0002434F" w:rsidRDefault="002752E2" w:rsidP="002752E2">
            <w:pPr>
              <w:cnfStyle w:val="000000000000" w:firstRow="0" w:lastRow="0" w:firstColumn="0" w:lastColumn="0" w:oddVBand="0" w:evenVBand="0" w:oddHBand="0" w:evenHBand="0" w:firstRowFirstColumn="0" w:firstRowLastColumn="0" w:lastRowFirstColumn="0" w:lastRowLastColumn="0"/>
              <w:rPr>
                <w:lang w:eastAsia="ja-JP"/>
              </w:rPr>
            </w:pPr>
            <w:r w:rsidRPr="0002434F">
              <w:rPr>
                <w:szCs w:val="22"/>
              </w:rPr>
              <w:t>Consumer Medicines Information</w:t>
            </w:r>
          </w:p>
        </w:tc>
      </w:tr>
      <w:tr w:rsidR="002752E2" w:rsidRPr="0002434F" w14:paraId="738E9B7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F2FA5A9" w14:textId="1A6A8013" w:rsidR="002752E2" w:rsidRPr="0002434F" w:rsidRDefault="002752E2" w:rsidP="002752E2">
            <w:pPr>
              <w:rPr>
                <w:lang w:eastAsia="ja-JP"/>
              </w:rPr>
            </w:pPr>
            <w:r w:rsidRPr="0002434F">
              <w:t>CYP</w:t>
            </w:r>
          </w:p>
        </w:tc>
        <w:tc>
          <w:tcPr>
            <w:tcW w:w="3800" w:type="pct"/>
          </w:tcPr>
          <w:p w14:paraId="51F30834" w14:textId="60F816B6" w:rsidR="002752E2" w:rsidRPr="0002434F" w:rsidRDefault="002752E2" w:rsidP="002752E2">
            <w:pPr>
              <w:cnfStyle w:val="000000000000" w:firstRow="0" w:lastRow="0" w:firstColumn="0" w:lastColumn="0" w:oddVBand="0" w:evenVBand="0" w:oddHBand="0" w:evenHBand="0" w:firstRowFirstColumn="0" w:firstRowLastColumn="0" w:lastRowFirstColumn="0" w:lastRowLastColumn="0"/>
              <w:rPr>
                <w:lang w:eastAsia="ja-JP"/>
              </w:rPr>
            </w:pPr>
            <w:r w:rsidRPr="0002434F">
              <w:t>Cytochrome P450</w:t>
            </w:r>
          </w:p>
        </w:tc>
      </w:tr>
      <w:tr w:rsidR="002752E2" w:rsidRPr="0002434F" w14:paraId="2E05C28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3C55EE5" w14:textId="1E3744F0" w:rsidR="002752E2" w:rsidRPr="0002434F" w:rsidRDefault="002752E2" w:rsidP="002752E2">
            <w:pPr>
              <w:rPr>
                <w:lang w:eastAsia="ja-JP"/>
              </w:rPr>
            </w:pPr>
            <w:r w:rsidRPr="0002434F">
              <w:rPr>
                <w:szCs w:val="22"/>
              </w:rPr>
              <w:t>DLP</w:t>
            </w:r>
          </w:p>
        </w:tc>
        <w:tc>
          <w:tcPr>
            <w:tcW w:w="3800" w:type="pct"/>
          </w:tcPr>
          <w:p w14:paraId="25D66C4E" w14:textId="495C60D7" w:rsidR="002752E2" w:rsidRPr="0002434F" w:rsidRDefault="002752E2" w:rsidP="002752E2">
            <w:pPr>
              <w:cnfStyle w:val="000000000000" w:firstRow="0" w:lastRow="0" w:firstColumn="0" w:lastColumn="0" w:oddVBand="0" w:evenVBand="0" w:oddHBand="0" w:evenHBand="0" w:firstRowFirstColumn="0" w:firstRowLastColumn="0" w:lastRowFirstColumn="0" w:lastRowLastColumn="0"/>
              <w:rPr>
                <w:lang w:eastAsia="ja-JP"/>
              </w:rPr>
            </w:pPr>
            <w:r w:rsidRPr="0002434F">
              <w:rPr>
                <w:szCs w:val="22"/>
              </w:rPr>
              <w:t>Data lock point</w:t>
            </w:r>
          </w:p>
        </w:tc>
      </w:tr>
      <w:tr w:rsidR="002752E2" w:rsidRPr="0002434F" w14:paraId="75138E9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33209B2" w14:textId="77FBE4AE" w:rsidR="002752E2" w:rsidRPr="0002434F" w:rsidRDefault="002752E2" w:rsidP="002752E2">
            <w:pPr>
              <w:rPr>
                <w:lang w:eastAsia="ja-JP"/>
              </w:rPr>
            </w:pPr>
            <w:r w:rsidRPr="0002434F">
              <w:t>eGFR</w:t>
            </w:r>
          </w:p>
        </w:tc>
        <w:tc>
          <w:tcPr>
            <w:tcW w:w="3800" w:type="pct"/>
          </w:tcPr>
          <w:p w14:paraId="61AAEB59" w14:textId="1580D97B" w:rsidR="002752E2" w:rsidRPr="0002434F" w:rsidRDefault="002752E2" w:rsidP="002752E2">
            <w:pPr>
              <w:cnfStyle w:val="000000000000" w:firstRow="0" w:lastRow="0" w:firstColumn="0" w:lastColumn="0" w:oddVBand="0" w:evenVBand="0" w:oddHBand="0" w:evenHBand="0" w:firstRowFirstColumn="0" w:firstRowLastColumn="0" w:lastRowFirstColumn="0" w:lastRowLastColumn="0"/>
              <w:rPr>
                <w:lang w:eastAsia="ja-JP"/>
              </w:rPr>
            </w:pPr>
            <w:r w:rsidRPr="0002434F">
              <w:t>Estimated glomerular filtration rate</w:t>
            </w:r>
          </w:p>
        </w:tc>
      </w:tr>
      <w:tr w:rsidR="002752E2" w:rsidRPr="0002434F" w14:paraId="6E38587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D50557" w14:textId="0B23F750" w:rsidR="002752E2" w:rsidRPr="0002434F" w:rsidRDefault="002752E2" w:rsidP="002752E2">
            <w:pPr>
              <w:rPr>
                <w:lang w:eastAsia="ja-JP"/>
              </w:rPr>
            </w:pPr>
            <w:r w:rsidRPr="0002434F">
              <w:t>ER</w:t>
            </w:r>
            <w:r w:rsidRPr="0002434F">
              <w:rPr>
                <w:vertAlign w:val="subscript"/>
              </w:rPr>
              <w:t>AUC (avacopan+M1)</w:t>
            </w:r>
          </w:p>
        </w:tc>
        <w:tc>
          <w:tcPr>
            <w:tcW w:w="3800" w:type="pct"/>
          </w:tcPr>
          <w:p w14:paraId="073A9A26" w14:textId="7DD3714E" w:rsidR="002752E2" w:rsidRPr="0002434F" w:rsidRDefault="002752E2" w:rsidP="002752E2">
            <w:pPr>
              <w:cnfStyle w:val="000000000000" w:firstRow="0" w:lastRow="0" w:firstColumn="0" w:lastColumn="0" w:oddVBand="0" w:evenVBand="0" w:oddHBand="0" w:evenHBand="0" w:firstRowFirstColumn="0" w:firstRowLastColumn="0" w:lastRowFirstColumn="0" w:lastRowLastColumn="0"/>
              <w:rPr>
                <w:lang w:eastAsia="ja-JP"/>
              </w:rPr>
            </w:pPr>
            <w:r w:rsidRPr="0002434F">
              <w:t xml:space="preserve">Exposure ratio based on area under the plasma drug concentration-time curve (AUC) for </w:t>
            </w:r>
            <w:proofErr w:type="spellStart"/>
            <w:r w:rsidRPr="0002434F">
              <w:t>avacopan</w:t>
            </w:r>
            <w:proofErr w:type="spellEnd"/>
            <w:r w:rsidRPr="0002434F">
              <w:t xml:space="preserve"> and metabolite M1</w:t>
            </w:r>
          </w:p>
        </w:tc>
      </w:tr>
      <w:tr w:rsidR="002752E2" w:rsidRPr="0002434F" w14:paraId="34094B1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A37185A" w14:textId="33AEB4D9" w:rsidR="002752E2" w:rsidRPr="0002434F" w:rsidRDefault="002752E2" w:rsidP="002752E2">
            <w:pPr>
              <w:rPr>
                <w:lang w:eastAsia="ja-JP"/>
              </w:rPr>
            </w:pPr>
            <w:r w:rsidRPr="0002434F">
              <w:rPr>
                <w:lang w:eastAsia="ja-JP"/>
              </w:rPr>
              <w:t>GPA</w:t>
            </w:r>
          </w:p>
        </w:tc>
        <w:tc>
          <w:tcPr>
            <w:tcW w:w="3800" w:type="pct"/>
          </w:tcPr>
          <w:p w14:paraId="3EADFE80" w14:textId="288C1D22" w:rsidR="002752E2" w:rsidRPr="0002434F" w:rsidRDefault="002752E2" w:rsidP="002752E2">
            <w:pPr>
              <w:cnfStyle w:val="000000000000" w:firstRow="0" w:lastRow="0" w:firstColumn="0" w:lastColumn="0" w:oddVBand="0" w:evenVBand="0" w:oddHBand="0" w:evenHBand="0" w:firstRowFirstColumn="0" w:firstRowLastColumn="0" w:lastRowFirstColumn="0" w:lastRowLastColumn="0"/>
              <w:rPr>
                <w:lang w:eastAsia="ja-JP"/>
              </w:rPr>
            </w:pPr>
            <w:r w:rsidRPr="0002434F">
              <w:rPr>
                <w:lang w:eastAsia="ja-JP"/>
              </w:rPr>
              <w:t>Granulomatosis with polyangiitis</w:t>
            </w:r>
          </w:p>
        </w:tc>
      </w:tr>
      <w:tr w:rsidR="002752E2" w:rsidRPr="0002434F" w14:paraId="6D23216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DF4C9D1" w14:textId="100724C8" w:rsidR="002752E2" w:rsidRPr="0002434F" w:rsidRDefault="002752E2" w:rsidP="002752E2">
            <w:pPr>
              <w:rPr>
                <w:lang w:eastAsia="ja-JP"/>
              </w:rPr>
            </w:pPr>
            <w:r w:rsidRPr="0002434F">
              <w:t>GTI</w:t>
            </w:r>
          </w:p>
        </w:tc>
        <w:tc>
          <w:tcPr>
            <w:tcW w:w="3800" w:type="pct"/>
          </w:tcPr>
          <w:p w14:paraId="42EF3077" w14:textId="2246731A" w:rsidR="002752E2" w:rsidRPr="0002434F" w:rsidRDefault="002752E2" w:rsidP="002752E2">
            <w:pPr>
              <w:cnfStyle w:val="000000000000" w:firstRow="0" w:lastRow="0" w:firstColumn="0" w:lastColumn="0" w:oddVBand="0" w:evenVBand="0" w:oddHBand="0" w:evenHBand="0" w:firstRowFirstColumn="0" w:firstRowLastColumn="0" w:lastRowFirstColumn="0" w:lastRowLastColumn="0"/>
              <w:rPr>
                <w:lang w:eastAsia="ja-JP"/>
              </w:rPr>
            </w:pPr>
            <w:r w:rsidRPr="0002434F">
              <w:rPr>
                <w:lang w:eastAsia="ja-JP"/>
              </w:rPr>
              <w:t>Glucocorticoid toxicity index</w:t>
            </w:r>
          </w:p>
        </w:tc>
      </w:tr>
      <w:tr w:rsidR="002752E2" w:rsidRPr="0002434F" w14:paraId="548EAE7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F9378F0" w14:textId="08EA4BC4" w:rsidR="002752E2" w:rsidRPr="0002434F" w:rsidRDefault="002752E2" w:rsidP="002752E2">
            <w:pPr>
              <w:rPr>
                <w:lang w:eastAsia="ja-JP"/>
              </w:rPr>
            </w:pPr>
            <w:r w:rsidRPr="0002434F">
              <w:t>Ig</w:t>
            </w:r>
          </w:p>
        </w:tc>
        <w:tc>
          <w:tcPr>
            <w:tcW w:w="3800" w:type="pct"/>
          </w:tcPr>
          <w:p w14:paraId="57939A2E" w14:textId="054114AF" w:rsidR="002752E2" w:rsidRPr="0002434F" w:rsidRDefault="002752E2" w:rsidP="002752E2">
            <w:pPr>
              <w:cnfStyle w:val="000000000000" w:firstRow="0" w:lastRow="0" w:firstColumn="0" w:lastColumn="0" w:oddVBand="0" w:evenVBand="0" w:oddHBand="0" w:evenHBand="0" w:firstRowFirstColumn="0" w:firstRowLastColumn="0" w:lastRowFirstColumn="0" w:lastRowLastColumn="0"/>
              <w:rPr>
                <w:lang w:eastAsia="ja-JP"/>
              </w:rPr>
            </w:pPr>
            <w:r w:rsidRPr="0002434F">
              <w:t>Immunoglobulin</w:t>
            </w:r>
          </w:p>
        </w:tc>
      </w:tr>
      <w:tr w:rsidR="002752E2" w:rsidRPr="0002434F" w14:paraId="73D1815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27E4E3E" w14:textId="2594DBB7" w:rsidR="002752E2" w:rsidRPr="0002434F" w:rsidRDefault="002752E2" w:rsidP="002752E2">
            <w:pPr>
              <w:rPr>
                <w:lang w:eastAsia="ja-JP"/>
              </w:rPr>
            </w:pPr>
            <w:r w:rsidRPr="0002434F">
              <w:rPr>
                <w:lang w:eastAsia="ja-JP"/>
              </w:rPr>
              <w:t>MPA</w:t>
            </w:r>
          </w:p>
        </w:tc>
        <w:tc>
          <w:tcPr>
            <w:tcW w:w="3800" w:type="pct"/>
          </w:tcPr>
          <w:p w14:paraId="528C84DA" w14:textId="5ABDB4CD" w:rsidR="002752E2" w:rsidRPr="0002434F" w:rsidRDefault="002752E2" w:rsidP="002752E2">
            <w:pPr>
              <w:cnfStyle w:val="000000000000" w:firstRow="0" w:lastRow="0" w:firstColumn="0" w:lastColumn="0" w:oddVBand="0" w:evenVBand="0" w:oddHBand="0" w:evenHBand="0" w:firstRowFirstColumn="0" w:firstRowLastColumn="0" w:lastRowFirstColumn="0" w:lastRowLastColumn="0"/>
              <w:rPr>
                <w:lang w:eastAsia="ja-JP"/>
              </w:rPr>
            </w:pPr>
            <w:r w:rsidRPr="0002434F">
              <w:rPr>
                <w:lang w:eastAsia="ja-JP"/>
              </w:rPr>
              <w:t>Microscopic polyangiitis</w:t>
            </w:r>
          </w:p>
        </w:tc>
      </w:tr>
      <w:tr w:rsidR="002752E2" w:rsidRPr="0002434F" w14:paraId="482B1F8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FECF127" w14:textId="3ACDF497" w:rsidR="002752E2" w:rsidRPr="0002434F" w:rsidRDefault="002752E2" w:rsidP="002752E2">
            <w:pPr>
              <w:rPr>
                <w:lang w:eastAsia="ja-JP"/>
              </w:rPr>
            </w:pPr>
            <w:r w:rsidRPr="0002434F">
              <w:rPr>
                <w:szCs w:val="22"/>
              </w:rPr>
              <w:t>PI</w:t>
            </w:r>
          </w:p>
        </w:tc>
        <w:tc>
          <w:tcPr>
            <w:tcW w:w="3800" w:type="pct"/>
          </w:tcPr>
          <w:p w14:paraId="1FEC52A4" w14:textId="0A2D0FB6" w:rsidR="002752E2" w:rsidRPr="0002434F" w:rsidRDefault="002752E2" w:rsidP="002752E2">
            <w:pPr>
              <w:cnfStyle w:val="000000000000" w:firstRow="0" w:lastRow="0" w:firstColumn="0" w:lastColumn="0" w:oddVBand="0" w:evenVBand="0" w:oddHBand="0" w:evenHBand="0" w:firstRowFirstColumn="0" w:firstRowLastColumn="0" w:lastRowFirstColumn="0" w:lastRowLastColumn="0"/>
              <w:rPr>
                <w:lang w:eastAsia="ja-JP"/>
              </w:rPr>
            </w:pPr>
            <w:r w:rsidRPr="0002434F">
              <w:rPr>
                <w:szCs w:val="22"/>
              </w:rPr>
              <w:t>Product Information</w:t>
            </w:r>
          </w:p>
        </w:tc>
      </w:tr>
      <w:tr w:rsidR="002752E2" w:rsidRPr="0002434F" w14:paraId="4B740F5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0FF27B" w14:textId="7DC07E33" w:rsidR="002752E2" w:rsidRPr="0002434F" w:rsidRDefault="002752E2" w:rsidP="002752E2">
            <w:pPr>
              <w:rPr>
                <w:lang w:eastAsia="ja-JP"/>
              </w:rPr>
            </w:pPr>
            <w:r w:rsidRPr="0002434F">
              <w:rPr>
                <w:szCs w:val="22"/>
              </w:rPr>
              <w:t>PK</w:t>
            </w:r>
          </w:p>
        </w:tc>
        <w:tc>
          <w:tcPr>
            <w:tcW w:w="3800" w:type="pct"/>
          </w:tcPr>
          <w:p w14:paraId="03D63320" w14:textId="5CB6567F" w:rsidR="002752E2" w:rsidRPr="0002434F" w:rsidRDefault="002752E2" w:rsidP="002752E2">
            <w:pPr>
              <w:cnfStyle w:val="000000000000" w:firstRow="0" w:lastRow="0" w:firstColumn="0" w:lastColumn="0" w:oddVBand="0" w:evenVBand="0" w:oddHBand="0" w:evenHBand="0" w:firstRowFirstColumn="0" w:firstRowLastColumn="0" w:lastRowFirstColumn="0" w:lastRowLastColumn="0"/>
              <w:rPr>
                <w:lang w:eastAsia="ja-JP"/>
              </w:rPr>
            </w:pPr>
            <w:r w:rsidRPr="0002434F">
              <w:rPr>
                <w:szCs w:val="22"/>
              </w:rPr>
              <w:t>Pharmacokinetic(s)</w:t>
            </w:r>
          </w:p>
        </w:tc>
      </w:tr>
      <w:tr w:rsidR="002752E2" w:rsidRPr="0002434F" w14:paraId="6ED993E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86057C8" w14:textId="5A213C99" w:rsidR="002752E2" w:rsidRPr="0002434F" w:rsidRDefault="002752E2" w:rsidP="002752E2">
            <w:pPr>
              <w:rPr>
                <w:lang w:eastAsia="ja-JP"/>
              </w:rPr>
            </w:pPr>
            <w:r w:rsidRPr="0002434F">
              <w:rPr>
                <w:szCs w:val="22"/>
              </w:rPr>
              <w:t>PSUR</w:t>
            </w:r>
          </w:p>
        </w:tc>
        <w:tc>
          <w:tcPr>
            <w:tcW w:w="3800" w:type="pct"/>
          </w:tcPr>
          <w:p w14:paraId="73145A50" w14:textId="481E9A17" w:rsidR="002752E2" w:rsidRPr="0002434F" w:rsidRDefault="002752E2" w:rsidP="002752E2">
            <w:pPr>
              <w:cnfStyle w:val="000000000000" w:firstRow="0" w:lastRow="0" w:firstColumn="0" w:lastColumn="0" w:oddVBand="0" w:evenVBand="0" w:oddHBand="0" w:evenHBand="0" w:firstRowFirstColumn="0" w:firstRowLastColumn="0" w:lastRowFirstColumn="0" w:lastRowLastColumn="0"/>
              <w:rPr>
                <w:lang w:eastAsia="ja-JP"/>
              </w:rPr>
            </w:pPr>
            <w:r w:rsidRPr="0002434F">
              <w:rPr>
                <w:szCs w:val="22"/>
              </w:rPr>
              <w:t>Periodic safety update report</w:t>
            </w:r>
          </w:p>
        </w:tc>
      </w:tr>
      <w:tr w:rsidR="002752E2" w:rsidRPr="0002434F" w14:paraId="64B060A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9780CB" w14:textId="590A3C65" w:rsidR="002752E2" w:rsidRPr="0002434F" w:rsidRDefault="002752E2" w:rsidP="002752E2">
            <w:pPr>
              <w:rPr>
                <w:lang w:eastAsia="ja-JP"/>
              </w:rPr>
            </w:pPr>
            <w:r w:rsidRPr="0002434F">
              <w:rPr>
                <w:szCs w:val="22"/>
              </w:rPr>
              <w:t>RMP</w:t>
            </w:r>
          </w:p>
        </w:tc>
        <w:tc>
          <w:tcPr>
            <w:tcW w:w="3800" w:type="pct"/>
          </w:tcPr>
          <w:p w14:paraId="13349E7A" w14:textId="78BBD8F0" w:rsidR="002752E2" w:rsidRPr="0002434F" w:rsidRDefault="002752E2" w:rsidP="002752E2">
            <w:pPr>
              <w:cnfStyle w:val="000000000000" w:firstRow="0" w:lastRow="0" w:firstColumn="0" w:lastColumn="0" w:oddVBand="0" w:evenVBand="0" w:oddHBand="0" w:evenHBand="0" w:firstRowFirstColumn="0" w:firstRowLastColumn="0" w:lastRowFirstColumn="0" w:lastRowLastColumn="0"/>
              <w:rPr>
                <w:lang w:eastAsia="ja-JP"/>
              </w:rPr>
            </w:pPr>
            <w:r w:rsidRPr="0002434F">
              <w:rPr>
                <w:szCs w:val="22"/>
              </w:rPr>
              <w:t>Risk management plan</w:t>
            </w:r>
          </w:p>
        </w:tc>
      </w:tr>
      <w:tr w:rsidR="002752E2" w:rsidRPr="0002434F" w14:paraId="51B007A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0E5E288" w14:textId="692156DF" w:rsidR="002752E2" w:rsidRPr="0002434F" w:rsidRDefault="002752E2" w:rsidP="002752E2">
            <w:pPr>
              <w:rPr>
                <w:szCs w:val="22"/>
              </w:rPr>
            </w:pPr>
            <w:r w:rsidRPr="0002434F">
              <w:lastRenderedPageBreak/>
              <w:t>SD</w:t>
            </w:r>
          </w:p>
        </w:tc>
        <w:tc>
          <w:tcPr>
            <w:tcW w:w="3800" w:type="pct"/>
          </w:tcPr>
          <w:p w14:paraId="6E30656D" w14:textId="513D8D9F" w:rsidR="002752E2" w:rsidRPr="0002434F" w:rsidRDefault="002752E2" w:rsidP="002752E2">
            <w:pPr>
              <w:cnfStyle w:val="000000000000" w:firstRow="0" w:lastRow="0" w:firstColumn="0" w:lastColumn="0" w:oddVBand="0" w:evenVBand="0" w:oddHBand="0" w:evenHBand="0" w:firstRowFirstColumn="0" w:firstRowLastColumn="0" w:lastRowFirstColumn="0" w:lastRowLastColumn="0"/>
              <w:rPr>
                <w:szCs w:val="22"/>
              </w:rPr>
            </w:pPr>
            <w:r w:rsidRPr="0002434F">
              <w:t>Standard deviation</w:t>
            </w:r>
          </w:p>
        </w:tc>
      </w:tr>
      <w:tr w:rsidR="002752E2" w:rsidRPr="0002434F" w14:paraId="4AD2CD8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84D5B80" w14:textId="1424A6DE" w:rsidR="002752E2" w:rsidRPr="0002434F" w:rsidRDefault="002752E2" w:rsidP="002752E2">
            <w:r w:rsidRPr="0002434F">
              <w:rPr>
                <w:lang w:eastAsia="ja-JP"/>
              </w:rPr>
              <w:t>SUSAR</w:t>
            </w:r>
          </w:p>
        </w:tc>
        <w:tc>
          <w:tcPr>
            <w:tcW w:w="3800" w:type="pct"/>
          </w:tcPr>
          <w:p w14:paraId="6ABC09DA" w14:textId="5D2243CD" w:rsidR="002752E2" w:rsidRPr="0002434F" w:rsidRDefault="002752E2" w:rsidP="002752E2">
            <w:pPr>
              <w:cnfStyle w:val="000000000000" w:firstRow="0" w:lastRow="0" w:firstColumn="0" w:lastColumn="0" w:oddVBand="0" w:evenVBand="0" w:oddHBand="0" w:evenHBand="0" w:firstRowFirstColumn="0" w:firstRowLastColumn="0" w:lastRowFirstColumn="0" w:lastRowLastColumn="0"/>
            </w:pPr>
            <w:r w:rsidRPr="0002434F">
              <w:rPr>
                <w:lang w:eastAsia="ja-JP"/>
              </w:rPr>
              <w:t>Suspected, unexpected serious adverse reaction</w:t>
            </w:r>
          </w:p>
        </w:tc>
      </w:tr>
      <w:tr w:rsidR="002752E2" w:rsidRPr="0002434F" w14:paraId="46F4468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4C3E3F0" w14:textId="24429CA9" w:rsidR="002752E2" w:rsidRPr="0002434F" w:rsidRDefault="002752E2" w:rsidP="002752E2">
            <w:pPr>
              <w:rPr>
                <w:lang w:eastAsia="ja-JP"/>
              </w:rPr>
            </w:pPr>
            <w:r w:rsidRPr="0002434F">
              <w:rPr>
                <w:lang w:eastAsia="ja-JP"/>
              </w:rPr>
              <w:t>TEAE</w:t>
            </w:r>
          </w:p>
        </w:tc>
        <w:tc>
          <w:tcPr>
            <w:tcW w:w="3800" w:type="pct"/>
          </w:tcPr>
          <w:p w14:paraId="7A0C5A61" w14:textId="2A80BD49" w:rsidR="002752E2" w:rsidRPr="0002434F" w:rsidRDefault="002752E2" w:rsidP="002752E2">
            <w:pPr>
              <w:cnfStyle w:val="000000000000" w:firstRow="0" w:lastRow="0" w:firstColumn="0" w:lastColumn="0" w:oddVBand="0" w:evenVBand="0" w:oddHBand="0" w:evenHBand="0" w:firstRowFirstColumn="0" w:firstRowLastColumn="0" w:lastRowFirstColumn="0" w:lastRowLastColumn="0"/>
              <w:rPr>
                <w:lang w:eastAsia="ja-JP"/>
              </w:rPr>
            </w:pPr>
            <w:r w:rsidRPr="0002434F">
              <w:rPr>
                <w:lang w:eastAsia="ja-JP"/>
              </w:rPr>
              <w:t>Treatment emergent adverse event</w:t>
            </w:r>
          </w:p>
        </w:tc>
      </w:tr>
      <w:tr w:rsidR="002752E2" w:rsidRPr="0002434F" w14:paraId="3BF5A57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2AB7E23" w14:textId="59D9057E" w:rsidR="002752E2" w:rsidRPr="0002434F" w:rsidRDefault="002752E2" w:rsidP="002752E2">
            <w:pPr>
              <w:rPr>
                <w:lang w:eastAsia="ja-JP"/>
              </w:rPr>
            </w:pPr>
            <w:r w:rsidRPr="0002434F">
              <w:rPr>
                <w:szCs w:val="22"/>
              </w:rPr>
              <w:t>TGA</w:t>
            </w:r>
          </w:p>
        </w:tc>
        <w:tc>
          <w:tcPr>
            <w:tcW w:w="3800" w:type="pct"/>
          </w:tcPr>
          <w:p w14:paraId="6813000B" w14:textId="75B48F02" w:rsidR="002752E2" w:rsidRPr="0002434F" w:rsidRDefault="002752E2" w:rsidP="002752E2">
            <w:pPr>
              <w:cnfStyle w:val="000000000000" w:firstRow="0" w:lastRow="0" w:firstColumn="0" w:lastColumn="0" w:oddVBand="0" w:evenVBand="0" w:oddHBand="0" w:evenHBand="0" w:firstRowFirstColumn="0" w:firstRowLastColumn="0" w:lastRowFirstColumn="0" w:lastRowLastColumn="0"/>
              <w:rPr>
                <w:lang w:eastAsia="ja-JP"/>
              </w:rPr>
            </w:pPr>
            <w:r w:rsidRPr="0002434F">
              <w:rPr>
                <w:szCs w:val="22"/>
              </w:rPr>
              <w:t>Therapeutic Goods Administration</w:t>
            </w:r>
          </w:p>
        </w:tc>
      </w:tr>
      <w:tr w:rsidR="002752E2" w:rsidRPr="0002434F" w14:paraId="6FDC6BC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B8568E5" w14:textId="761F0741" w:rsidR="002752E2" w:rsidRPr="0002434F" w:rsidRDefault="002752E2" w:rsidP="002752E2">
            <w:pPr>
              <w:rPr>
                <w:szCs w:val="22"/>
              </w:rPr>
            </w:pPr>
            <w:proofErr w:type="spellStart"/>
            <w:r w:rsidRPr="0002434F">
              <w:t>T</w:t>
            </w:r>
            <w:r w:rsidRPr="0002434F">
              <w:rPr>
                <w:vertAlign w:val="subscript"/>
              </w:rPr>
              <w:t>max</w:t>
            </w:r>
            <w:proofErr w:type="spellEnd"/>
          </w:p>
        </w:tc>
        <w:tc>
          <w:tcPr>
            <w:tcW w:w="3800" w:type="pct"/>
          </w:tcPr>
          <w:p w14:paraId="28160577" w14:textId="1F664CB7" w:rsidR="002752E2" w:rsidRPr="0002434F" w:rsidRDefault="002752E2" w:rsidP="002752E2">
            <w:pPr>
              <w:cnfStyle w:val="000000000000" w:firstRow="0" w:lastRow="0" w:firstColumn="0" w:lastColumn="0" w:oddVBand="0" w:evenVBand="0" w:oddHBand="0" w:evenHBand="0" w:firstRowFirstColumn="0" w:firstRowLastColumn="0" w:lastRowFirstColumn="0" w:lastRowLastColumn="0"/>
              <w:rPr>
                <w:szCs w:val="22"/>
              </w:rPr>
            </w:pPr>
            <w:r w:rsidRPr="0002434F">
              <w:t>Time taken to reach the maximum concentration (C</w:t>
            </w:r>
            <w:r w:rsidRPr="0002434F">
              <w:rPr>
                <w:vertAlign w:val="subscript"/>
              </w:rPr>
              <w:t>max</w:t>
            </w:r>
            <w:r w:rsidRPr="0002434F">
              <w:t>)</w:t>
            </w:r>
          </w:p>
        </w:tc>
      </w:tr>
      <w:tr w:rsidR="002752E2" w:rsidRPr="0002434F" w14:paraId="56FB48F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19A41E" w14:textId="012C3F99" w:rsidR="002752E2" w:rsidRPr="0002434F" w:rsidRDefault="002752E2" w:rsidP="002752E2">
            <w:r w:rsidRPr="0002434F">
              <w:rPr>
                <w:lang w:eastAsia="ja-JP"/>
              </w:rPr>
              <w:t>UACR</w:t>
            </w:r>
          </w:p>
        </w:tc>
        <w:tc>
          <w:tcPr>
            <w:tcW w:w="3800" w:type="pct"/>
          </w:tcPr>
          <w:p w14:paraId="60B9E7B7" w14:textId="45B61EAD" w:rsidR="002752E2" w:rsidRPr="0002434F" w:rsidRDefault="002752E2" w:rsidP="002752E2">
            <w:pPr>
              <w:cnfStyle w:val="000000000000" w:firstRow="0" w:lastRow="0" w:firstColumn="0" w:lastColumn="0" w:oddVBand="0" w:evenVBand="0" w:oddHBand="0" w:evenHBand="0" w:firstRowFirstColumn="0" w:firstRowLastColumn="0" w:lastRowFirstColumn="0" w:lastRowLastColumn="0"/>
            </w:pPr>
            <w:r w:rsidRPr="0002434F">
              <w:rPr>
                <w:lang w:eastAsia="ja-JP"/>
              </w:rPr>
              <w:t xml:space="preserve">Urine albumin </w:t>
            </w:r>
            <w:r w:rsidR="005028CE" w:rsidRPr="0002434F">
              <w:rPr>
                <w:lang w:eastAsia="ja-JP"/>
              </w:rPr>
              <w:t xml:space="preserve">to </w:t>
            </w:r>
            <w:r w:rsidRPr="0002434F">
              <w:rPr>
                <w:lang w:eastAsia="ja-JP"/>
              </w:rPr>
              <w:t>creatinine ratio</w:t>
            </w:r>
          </w:p>
        </w:tc>
      </w:tr>
    </w:tbl>
    <w:p w14:paraId="7378F926" w14:textId="77777777" w:rsidR="00324B33" w:rsidRPr="0002434F" w:rsidRDefault="00324B33" w:rsidP="00324B33"/>
    <w:p w14:paraId="02FB1F38" w14:textId="77777777" w:rsidR="00324B33" w:rsidRPr="0002434F" w:rsidRDefault="00324B33" w:rsidP="00324B33">
      <w:pPr>
        <w:spacing w:after="200" w:line="0" w:lineRule="auto"/>
        <w:rPr>
          <w:b/>
          <w:i/>
          <w:sz w:val="24"/>
          <w:szCs w:val="24"/>
        </w:rPr>
      </w:pPr>
      <w:r w:rsidRPr="0002434F">
        <w:rPr>
          <w:b/>
          <w:i/>
          <w:sz w:val="24"/>
          <w:szCs w:val="24"/>
        </w:rPr>
        <w:br w:type="page"/>
      </w:r>
    </w:p>
    <w:p w14:paraId="44C2A39C" w14:textId="77777777" w:rsidR="00324B33" w:rsidRPr="0002434F" w:rsidRDefault="00324B33" w:rsidP="00324B33">
      <w:pPr>
        <w:pStyle w:val="Heading2"/>
      </w:pPr>
      <w:bookmarkStart w:id="5" w:name="_Toc103679288"/>
      <w:bookmarkStart w:id="6" w:name="_Toc147390236"/>
      <w:r w:rsidRPr="0002434F">
        <w:lastRenderedPageBreak/>
        <w:t>Product submission</w:t>
      </w:r>
      <w:bookmarkEnd w:id="5"/>
      <w:bookmarkEnd w:id="6"/>
    </w:p>
    <w:p w14:paraId="21D559DF" w14:textId="77777777" w:rsidR="00324B33" w:rsidRPr="0002434F" w:rsidRDefault="00324B33" w:rsidP="00324B33">
      <w:pPr>
        <w:pStyle w:val="Heading3"/>
        <w:rPr>
          <w:lang w:eastAsia="en-AU"/>
        </w:rPr>
      </w:pPr>
      <w:bookmarkStart w:id="7" w:name="_Toc247691502"/>
      <w:bookmarkStart w:id="8" w:name="_Toc314842483"/>
      <w:bookmarkStart w:id="9" w:name="_Toc103679289"/>
      <w:bookmarkStart w:id="10" w:name="_Toc147390237"/>
      <w:r w:rsidRPr="0002434F">
        <w:rPr>
          <w:lang w:eastAsia="en-AU"/>
        </w:rPr>
        <w:t>Submission details</w:t>
      </w:r>
      <w:bookmarkEnd w:id="7"/>
      <w:bookmarkEnd w:id="8"/>
      <w:bookmarkEnd w:id="9"/>
      <w:bookmarkEnd w:id="10"/>
    </w:p>
    <w:tbl>
      <w:tblPr>
        <w:tblW w:w="5000" w:type="pct"/>
        <w:tblLook w:val="01E0" w:firstRow="1" w:lastRow="1" w:firstColumn="1" w:lastColumn="1" w:noHBand="0" w:noVBand="0"/>
      </w:tblPr>
      <w:tblGrid>
        <w:gridCol w:w="2861"/>
        <w:gridCol w:w="6209"/>
      </w:tblGrid>
      <w:tr w:rsidR="00324B33" w:rsidRPr="0002434F" w14:paraId="77D11C95" w14:textId="77777777" w:rsidTr="00F865A7">
        <w:tc>
          <w:tcPr>
            <w:tcW w:w="1577" w:type="pct"/>
          </w:tcPr>
          <w:p w14:paraId="10E57D62" w14:textId="77777777" w:rsidR="00324B33" w:rsidRPr="0002434F" w:rsidRDefault="00324B33" w:rsidP="007452E8">
            <w:pPr>
              <w:rPr>
                <w:i/>
                <w:szCs w:val="22"/>
              </w:rPr>
            </w:pPr>
            <w:r w:rsidRPr="0002434F">
              <w:rPr>
                <w:i/>
                <w:szCs w:val="22"/>
              </w:rPr>
              <w:t>Type of submission:</w:t>
            </w:r>
          </w:p>
        </w:tc>
        <w:tc>
          <w:tcPr>
            <w:tcW w:w="3423" w:type="pct"/>
          </w:tcPr>
          <w:p w14:paraId="4F07C303" w14:textId="086CC422" w:rsidR="00324B33" w:rsidRPr="0002434F" w:rsidRDefault="00324B33" w:rsidP="007452E8">
            <w:pPr>
              <w:rPr>
                <w:szCs w:val="22"/>
              </w:rPr>
            </w:pPr>
            <w:r w:rsidRPr="0002434F">
              <w:rPr>
                <w:szCs w:val="22"/>
              </w:rPr>
              <w:t>New chemical entity</w:t>
            </w:r>
          </w:p>
        </w:tc>
      </w:tr>
      <w:tr w:rsidR="00324B33" w:rsidRPr="0002434F" w14:paraId="13482B61" w14:textId="77777777" w:rsidTr="00F865A7">
        <w:tc>
          <w:tcPr>
            <w:tcW w:w="1577" w:type="pct"/>
          </w:tcPr>
          <w:p w14:paraId="2C427FCF" w14:textId="69021E84" w:rsidR="00324B33" w:rsidRPr="0002434F" w:rsidRDefault="00324B33" w:rsidP="007452E8">
            <w:pPr>
              <w:rPr>
                <w:i/>
                <w:szCs w:val="22"/>
              </w:rPr>
            </w:pPr>
            <w:r w:rsidRPr="0002434F">
              <w:rPr>
                <w:i/>
                <w:szCs w:val="22"/>
              </w:rPr>
              <w:t>Product name:</w:t>
            </w:r>
          </w:p>
        </w:tc>
        <w:tc>
          <w:tcPr>
            <w:tcW w:w="3423" w:type="pct"/>
          </w:tcPr>
          <w:p w14:paraId="0E2DEF76" w14:textId="0DB9DD9D" w:rsidR="00324B33" w:rsidRPr="0002434F" w:rsidRDefault="009444B6" w:rsidP="007452E8">
            <w:pPr>
              <w:rPr>
                <w:szCs w:val="22"/>
              </w:rPr>
            </w:pPr>
            <w:r w:rsidRPr="0002434F">
              <w:rPr>
                <w:szCs w:val="22"/>
              </w:rPr>
              <w:t>Tavneos</w:t>
            </w:r>
          </w:p>
        </w:tc>
      </w:tr>
      <w:tr w:rsidR="00324B33" w:rsidRPr="0002434F" w14:paraId="01255B5B" w14:textId="77777777" w:rsidTr="00F865A7">
        <w:tc>
          <w:tcPr>
            <w:tcW w:w="1577" w:type="pct"/>
          </w:tcPr>
          <w:p w14:paraId="52B4F3D7" w14:textId="6E74E56F" w:rsidR="00324B33" w:rsidRPr="0002434F" w:rsidRDefault="00324B33" w:rsidP="007452E8">
            <w:pPr>
              <w:rPr>
                <w:i/>
                <w:szCs w:val="22"/>
              </w:rPr>
            </w:pPr>
            <w:r w:rsidRPr="0002434F">
              <w:rPr>
                <w:i/>
                <w:szCs w:val="22"/>
              </w:rPr>
              <w:t>Active ingredient:</w:t>
            </w:r>
          </w:p>
        </w:tc>
        <w:tc>
          <w:tcPr>
            <w:tcW w:w="3423" w:type="pct"/>
          </w:tcPr>
          <w:p w14:paraId="02FB6383" w14:textId="45CEECDF" w:rsidR="00324B33" w:rsidRPr="0002434F" w:rsidRDefault="009444B6" w:rsidP="007452E8">
            <w:pPr>
              <w:rPr>
                <w:szCs w:val="22"/>
              </w:rPr>
            </w:pPr>
            <w:proofErr w:type="spellStart"/>
            <w:r w:rsidRPr="0002434F">
              <w:rPr>
                <w:szCs w:val="22"/>
              </w:rPr>
              <w:t>Avacopan</w:t>
            </w:r>
            <w:proofErr w:type="spellEnd"/>
          </w:p>
        </w:tc>
      </w:tr>
      <w:tr w:rsidR="00324B33" w:rsidRPr="0002434F" w14:paraId="219A281B" w14:textId="77777777" w:rsidTr="00F865A7">
        <w:tc>
          <w:tcPr>
            <w:tcW w:w="1577" w:type="pct"/>
          </w:tcPr>
          <w:p w14:paraId="112E5F78" w14:textId="77777777" w:rsidR="00324B33" w:rsidRPr="0002434F" w:rsidRDefault="00324B33" w:rsidP="007452E8">
            <w:pPr>
              <w:rPr>
                <w:i/>
                <w:szCs w:val="22"/>
              </w:rPr>
            </w:pPr>
            <w:r w:rsidRPr="0002434F">
              <w:rPr>
                <w:i/>
                <w:szCs w:val="22"/>
              </w:rPr>
              <w:t>Decision:</w:t>
            </w:r>
          </w:p>
        </w:tc>
        <w:tc>
          <w:tcPr>
            <w:tcW w:w="3423" w:type="pct"/>
          </w:tcPr>
          <w:p w14:paraId="3B114BEA" w14:textId="7E913657" w:rsidR="00324B33" w:rsidRPr="0002434F" w:rsidRDefault="00324B33" w:rsidP="007452E8">
            <w:pPr>
              <w:rPr>
                <w:szCs w:val="22"/>
              </w:rPr>
            </w:pPr>
            <w:r w:rsidRPr="0002434F">
              <w:rPr>
                <w:szCs w:val="22"/>
              </w:rPr>
              <w:t>Approved</w:t>
            </w:r>
          </w:p>
        </w:tc>
      </w:tr>
      <w:tr w:rsidR="00AE1947" w:rsidRPr="0002434F" w14:paraId="32B72632" w14:textId="77777777" w:rsidTr="00F865A7">
        <w:tc>
          <w:tcPr>
            <w:tcW w:w="1577" w:type="pct"/>
          </w:tcPr>
          <w:p w14:paraId="332A5CD5" w14:textId="24D98292" w:rsidR="00AE1947" w:rsidRPr="0002434F" w:rsidRDefault="00AE1947" w:rsidP="00580762">
            <w:pPr>
              <w:rPr>
                <w:i/>
                <w:szCs w:val="22"/>
              </w:rPr>
            </w:pPr>
            <w:r w:rsidRPr="0002434F">
              <w:rPr>
                <w:i/>
                <w:szCs w:val="22"/>
              </w:rPr>
              <w:t>Date of decision:</w:t>
            </w:r>
          </w:p>
        </w:tc>
        <w:tc>
          <w:tcPr>
            <w:tcW w:w="3423" w:type="pct"/>
          </w:tcPr>
          <w:p w14:paraId="7B381CD6" w14:textId="1696D3C9" w:rsidR="00AE1947" w:rsidRPr="0002434F" w:rsidRDefault="009444B6">
            <w:pPr>
              <w:rPr>
                <w:szCs w:val="22"/>
              </w:rPr>
            </w:pPr>
            <w:r w:rsidRPr="0002434F">
              <w:rPr>
                <w:szCs w:val="22"/>
              </w:rPr>
              <w:t>17 January 2023</w:t>
            </w:r>
          </w:p>
        </w:tc>
      </w:tr>
      <w:tr w:rsidR="00324B33" w:rsidRPr="0002434F" w14:paraId="60A25F5A" w14:textId="77777777" w:rsidTr="00F865A7">
        <w:tc>
          <w:tcPr>
            <w:tcW w:w="1577" w:type="pct"/>
          </w:tcPr>
          <w:p w14:paraId="5C5E4CBA" w14:textId="77777777" w:rsidR="00324B33" w:rsidRPr="0002434F" w:rsidRDefault="00324B33" w:rsidP="007452E8">
            <w:pPr>
              <w:rPr>
                <w:i/>
                <w:szCs w:val="22"/>
              </w:rPr>
            </w:pPr>
            <w:r w:rsidRPr="0002434F">
              <w:rPr>
                <w:i/>
                <w:szCs w:val="22"/>
              </w:rPr>
              <w:t>Date of entry onto ARTG:</w:t>
            </w:r>
          </w:p>
        </w:tc>
        <w:tc>
          <w:tcPr>
            <w:tcW w:w="3423" w:type="pct"/>
          </w:tcPr>
          <w:p w14:paraId="28B270E9" w14:textId="5F9091C9" w:rsidR="00324B33" w:rsidRPr="0002434F" w:rsidRDefault="009444B6" w:rsidP="007452E8">
            <w:pPr>
              <w:rPr>
                <w:szCs w:val="22"/>
              </w:rPr>
            </w:pPr>
            <w:r w:rsidRPr="0002434F">
              <w:rPr>
                <w:szCs w:val="22"/>
              </w:rPr>
              <w:t>31 January 2023</w:t>
            </w:r>
          </w:p>
        </w:tc>
      </w:tr>
      <w:tr w:rsidR="00324B33" w:rsidRPr="0002434F" w14:paraId="547E08D7" w14:textId="77777777" w:rsidTr="00F865A7">
        <w:tc>
          <w:tcPr>
            <w:tcW w:w="1577" w:type="pct"/>
          </w:tcPr>
          <w:p w14:paraId="5030EF30" w14:textId="37EE89D2" w:rsidR="00324B33" w:rsidRPr="0002434F" w:rsidRDefault="00324B33" w:rsidP="007452E8">
            <w:pPr>
              <w:rPr>
                <w:i/>
                <w:szCs w:val="22"/>
              </w:rPr>
            </w:pPr>
            <w:r w:rsidRPr="0002434F">
              <w:rPr>
                <w:i/>
                <w:szCs w:val="22"/>
              </w:rPr>
              <w:t>ARTG number:</w:t>
            </w:r>
          </w:p>
        </w:tc>
        <w:tc>
          <w:tcPr>
            <w:tcW w:w="3423" w:type="pct"/>
          </w:tcPr>
          <w:p w14:paraId="0054E912" w14:textId="0A4542DE" w:rsidR="00324B33" w:rsidRPr="0002434F" w:rsidRDefault="00580762" w:rsidP="007452E8">
            <w:pPr>
              <w:rPr>
                <w:szCs w:val="22"/>
              </w:rPr>
            </w:pPr>
            <w:r w:rsidRPr="0002434F">
              <w:rPr>
                <w:szCs w:val="22"/>
              </w:rPr>
              <w:t>381053</w:t>
            </w:r>
          </w:p>
        </w:tc>
      </w:tr>
      <w:tr w:rsidR="00324B33" w:rsidRPr="0002434F" w14:paraId="7618393F" w14:textId="77777777" w:rsidTr="00F865A7">
        <w:tc>
          <w:tcPr>
            <w:tcW w:w="1577" w:type="pct"/>
          </w:tcPr>
          <w:p w14:paraId="6C24CEB6" w14:textId="733A85A0" w:rsidR="00E47E0C" w:rsidRPr="0002434F" w:rsidRDefault="00324B33" w:rsidP="007452E8">
            <w:pPr>
              <w:rPr>
                <w:rStyle w:val="Hyperlink"/>
                <w:i/>
                <w:szCs w:val="22"/>
              </w:rPr>
            </w:pPr>
            <w:r w:rsidRPr="0002434F">
              <w:rPr>
                <w:rFonts w:ascii="Wingdings 3" w:hAnsi="Wingdings 3"/>
                <w:szCs w:val="22"/>
                <w:lang w:eastAsia="en-AU"/>
              </w:rPr>
              <w:t></w:t>
            </w:r>
            <w:hyperlink r:id="rId19" w:history="1">
              <w:r w:rsidRPr="0002434F">
                <w:rPr>
                  <w:rStyle w:val="Hyperlink"/>
                  <w:i/>
                  <w:szCs w:val="22"/>
                </w:rPr>
                <w:t>Black Triangle Scheme</w:t>
              </w:r>
            </w:hyperlink>
          </w:p>
          <w:p w14:paraId="02260DE2" w14:textId="1FC334AE" w:rsidR="00324B33" w:rsidRPr="0002434F" w:rsidRDefault="00E47E0C" w:rsidP="007452E8">
            <w:pPr>
              <w:rPr>
                <w:i/>
                <w:szCs w:val="22"/>
              </w:rPr>
            </w:pPr>
            <w:r w:rsidRPr="0002434F">
              <w:rPr>
                <w:i/>
                <w:szCs w:val="22"/>
              </w:rPr>
              <w:t xml:space="preserve">for </w:t>
            </w:r>
            <w:r w:rsidR="007B04DE" w:rsidRPr="0002434F">
              <w:rPr>
                <w:i/>
                <w:szCs w:val="22"/>
              </w:rPr>
              <w:t>the current</w:t>
            </w:r>
            <w:r w:rsidRPr="0002434F">
              <w:rPr>
                <w:i/>
                <w:szCs w:val="22"/>
              </w:rPr>
              <w:t xml:space="preserve"> submission</w:t>
            </w:r>
            <w:r w:rsidR="00324B33" w:rsidRPr="0002434F">
              <w:rPr>
                <w:i/>
                <w:szCs w:val="22"/>
              </w:rPr>
              <w:t>:</w:t>
            </w:r>
          </w:p>
        </w:tc>
        <w:tc>
          <w:tcPr>
            <w:tcW w:w="3423" w:type="pct"/>
          </w:tcPr>
          <w:p w14:paraId="08EF3693" w14:textId="67846DD7" w:rsidR="00324B33" w:rsidRPr="0002434F" w:rsidRDefault="00324B33" w:rsidP="007452E8">
            <w:pPr>
              <w:rPr>
                <w:szCs w:val="22"/>
              </w:rPr>
            </w:pPr>
            <w:r w:rsidRPr="0002434F">
              <w:rPr>
                <w:szCs w:val="22"/>
              </w:rPr>
              <w:t>Yes</w:t>
            </w:r>
            <w:r w:rsidR="009444B6" w:rsidRPr="0002434F">
              <w:rPr>
                <w:szCs w:val="22"/>
              </w:rPr>
              <w:t>.</w:t>
            </w:r>
          </w:p>
          <w:p w14:paraId="6FF3C6A2" w14:textId="5FEEF459" w:rsidR="00324B33" w:rsidRPr="0002434F" w:rsidRDefault="00324B33" w:rsidP="007452E8">
            <w:pPr>
              <w:rPr>
                <w:szCs w:val="22"/>
              </w:rPr>
            </w:pPr>
            <w:r w:rsidRPr="0002434F">
              <w:rPr>
                <w:szCs w:val="22"/>
              </w:rPr>
              <w:t>This product will remain in the scheme for 5 years, starting on the date the product is first supplied in Australia</w:t>
            </w:r>
            <w:r w:rsidR="009444B6" w:rsidRPr="0002434F">
              <w:rPr>
                <w:szCs w:val="22"/>
              </w:rPr>
              <w:t>.</w:t>
            </w:r>
          </w:p>
        </w:tc>
      </w:tr>
      <w:tr w:rsidR="00324B33" w:rsidRPr="0002434F" w14:paraId="179E09FE" w14:textId="77777777" w:rsidTr="00F865A7">
        <w:tc>
          <w:tcPr>
            <w:tcW w:w="1577" w:type="pct"/>
          </w:tcPr>
          <w:p w14:paraId="1A592498" w14:textId="77777777" w:rsidR="00324B33" w:rsidRPr="0002434F" w:rsidRDefault="00324B33" w:rsidP="007452E8">
            <w:pPr>
              <w:rPr>
                <w:i/>
                <w:szCs w:val="22"/>
              </w:rPr>
            </w:pPr>
            <w:r w:rsidRPr="0002434F">
              <w:rPr>
                <w:i/>
                <w:szCs w:val="22"/>
              </w:rPr>
              <w:t>Sponsor’s name and address:</w:t>
            </w:r>
          </w:p>
        </w:tc>
        <w:tc>
          <w:tcPr>
            <w:tcW w:w="3423" w:type="pct"/>
          </w:tcPr>
          <w:p w14:paraId="472F83D1" w14:textId="77777777" w:rsidR="009444B6" w:rsidRPr="0002434F" w:rsidRDefault="009444B6" w:rsidP="009444B6">
            <w:pPr>
              <w:rPr>
                <w:szCs w:val="22"/>
              </w:rPr>
            </w:pPr>
            <w:r w:rsidRPr="0002434F">
              <w:rPr>
                <w:szCs w:val="22"/>
              </w:rPr>
              <w:t>Vifor Pharma Pty Ltd</w:t>
            </w:r>
          </w:p>
          <w:p w14:paraId="7CCADFF9" w14:textId="04E0CE88" w:rsidR="009444B6" w:rsidRPr="0002434F" w:rsidRDefault="009444B6" w:rsidP="009444B6">
            <w:pPr>
              <w:rPr>
                <w:szCs w:val="22"/>
              </w:rPr>
            </w:pPr>
            <w:r w:rsidRPr="0002434F">
              <w:rPr>
                <w:szCs w:val="22"/>
              </w:rPr>
              <w:t>655 Elizabeth Street,</w:t>
            </w:r>
          </w:p>
          <w:p w14:paraId="68DD94B0" w14:textId="14734C03" w:rsidR="009444B6" w:rsidRPr="0002434F" w:rsidRDefault="009444B6" w:rsidP="007452E8">
            <w:pPr>
              <w:rPr>
                <w:szCs w:val="22"/>
              </w:rPr>
            </w:pPr>
            <w:r w:rsidRPr="0002434F">
              <w:rPr>
                <w:szCs w:val="22"/>
              </w:rPr>
              <w:t>Melbourne, VIC, 3000 Australia</w:t>
            </w:r>
          </w:p>
        </w:tc>
      </w:tr>
      <w:tr w:rsidR="00324B33" w:rsidRPr="0002434F" w14:paraId="5322B989" w14:textId="77777777" w:rsidTr="00F865A7">
        <w:tc>
          <w:tcPr>
            <w:tcW w:w="1577" w:type="pct"/>
          </w:tcPr>
          <w:p w14:paraId="24F217E3" w14:textId="2E863FDE" w:rsidR="00324B33" w:rsidRPr="0002434F" w:rsidRDefault="00324B33" w:rsidP="007452E8">
            <w:pPr>
              <w:rPr>
                <w:i/>
                <w:szCs w:val="22"/>
              </w:rPr>
            </w:pPr>
            <w:r w:rsidRPr="0002434F">
              <w:rPr>
                <w:i/>
                <w:szCs w:val="22"/>
              </w:rPr>
              <w:t>Dose form:</w:t>
            </w:r>
          </w:p>
        </w:tc>
        <w:tc>
          <w:tcPr>
            <w:tcW w:w="3423" w:type="pct"/>
          </w:tcPr>
          <w:p w14:paraId="768B254C" w14:textId="54B7DB03" w:rsidR="00324B33" w:rsidRPr="0002434F" w:rsidRDefault="009444B6" w:rsidP="007452E8">
            <w:pPr>
              <w:rPr>
                <w:szCs w:val="22"/>
              </w:rPr>
            </w:pPr>
            <w:r w:rsidRPr="0002434F">
              <w:rPr>
                <w:szCs w:val="22"/>
              </w:rPr>
              <w:t>Capsule</w:t>
            </w:r>
          </w:p>
        </w:tc>
      </w:tr>
      <w:tr w:rsidR="00324B33" w:rsidRPr="0002434F" w14:paraId="115243E6" w14:textId="77777777" w:rsidTr="00F865A7">
        <w:tc>
          <w:tcPr>
            <w:tcW w:w="1577" w:type="pct"/>
          </w:tcPr>
          <w:p w14:paraId="7634B062" w14:textId="17056FAB" w:rsidR="00324B33" w:rsidRPr="0002434F" w:rsidRDefault="00324B33" w:rsidP="007452E8">
            <w:pPr>
              <w:rPr>
                <w:i/>
                <w:szCs w:val="22"/>
              </w:rPr>
            </w:pPr>
            <w:r w:rsidRPr="0002434F">
              <w:rPr>
                <w:i/>
                <w:szCs w:val="22"/>
              </w:rPr>
              <w:t>Strength:</w:t>
            </w:r>
          </w:p>
        </w:tc>
        <w:tc>
          <w:tcPr>
            <w:tcW w:w="3423" w:type="pct"/>
          </w:tcPr>
          <w:p w14:paraId="5E5F83DB" w14:textId="6DBD8564" w:rsidR="00324B33" w:rsidRPr="0002434F" w:rsidRDefault="00580762" w:rsidP="007452E8">
            <w:pPr>
              <w:rPr>
                <w:szCs w:val="22"/>
              </w:rPr>
            </w:pPr>
            <w:r w:rsidRPr="0002434F">
              <w:rPr>
                <w:szCs w:val="22"/>
              </w:rPr>
              <w:t>10 mg</w:t>
            </w:r>
          </w:p>
        </w:tc>
      </w:tr>
      <w:tr w:rsidR="00324B33" w:rsidRPr="0002434F" w14:paraId="34B07BA6" w14:textId="77777777" w:rsidTr="00F865A7">
        <w:tc>
          <w:tcPr>
            <w:tcW w:w="1577" w:type="pct"/>
          </w:tcPr>
          <w:p w14:paraId="1C039224" w14:textId="4DBCC460" w:rsidR="00324B33" w:rsidRPr="0002434F" w:rsidRDefault="00324B33" w:rsidP="007452E8">
            <w:pPr>
              <w:rPr>
                <w:i/>
                <w:szCs w:val="22"/>
              </w:rPr>
            </w:pPr>
            <w:r w:rsidRPr="0002434F">
              <w:rPr>
                <w:i/>
                <w:szCs w:val="22"/>
              </w:rPr>
              <w:t>Container:</w:t>
            </w:r>
          </w:p>
        </w:tc>
        <w:tc>
          <w:tcPr>
            <w:tcW w:w="3423" w:type="pct"/>
          </w:tcPr>
          <w:p w14:paraId="500A42C6" w14:textId="2579D207" w:rsidR="00324B33" w:rsidRPr="0002434F" w:rsidRDefault="009444B6" w:rsidP="007452E8">
            <w:pPr>
              <w:rPr>
                <w:szCs w:val="22"/>
              </w:rPr>
            </w:pPr>
            <w:r w:rsidRPr="0002434F">
              <w:rPr>
                <w:szCs w:val="22"/>
              </w:rPr>
              <w:t>Bottle</w:t>
            </w:r>
          </w:p>
        </w:tc>
      </w:tr>
      <w:tr w:rsidR="00324B33" w:rsidRPr="0002434F" w14:paraId="176B6773" w14:textId="77777777" w:rsidTr="00F865A7">
        <w:tc>
          <w:tcPr>
            <w:tcW w:w="1577" w:type="pct"/>
          </w:tcPr>
          <w:p w14:paraId="71846159" w14:textId="4FA7671A" w:rsidR="00324B33" w:rsidRPr="0002434F" w:rsidRDefault="00324B33" w:rsidP="007452E8">
            <w:pPr>
              <w:rPr>
                <w:i/>
                <w:szCs w:val="22"/>
              </w:rPr>
            </w:pPr>
            <w:r w:rsidRPr="0002434F">
              <w:rPr>
                <w:i/>
                <w:szCs w:val="22"/>
              </w:rPr>
              <w:t>Pack size:</w:t>
            </w:r>
          </w:p>
        </w:tc>
        <w:tc>
          <w:tcPr>
            <w:tcW w:w="3423" w:type="pct"/>
          </w:tcPr>
          <w:p w14:paraId="7E978F8F" w14:textId="4CDDE5DD" w:rsidR="00324B33" w:rsidRPr="0002434F" w:rsidRDefault="009444B6" w:rsidP="007452E8">
            <w:pPr>
              <w:rPr>
                <w:szCs w:val="22"/>
              </w:rPr>
            </w:pPr>
            <w:r w:rsidRPr="0002434F">
              <w:rPr>
                <w:szCs w:val="22"/>
              </w:rPr>
              <w:t>30</w:t>
            </w:r>
            <w:r w:rsidR="0099209A" w:rsidRPr="0002434F">
              <w:rPr>
                <w:szCs w:val="22"/>
              </w:rPr>
              <w:t xml:space="preserve"> and</w:t>
            </w:r>
            <w:r w:rsidRPr="0002434F">
              <w:rPr>
                <w:szCs w:val="22"/>
              </w:rPr>
              <w:t xml:space="preserve"> 180</w:t>
            </w:r>
          </w:p>
        </w:tc>
      </w:tr>
      <w:tr w:rsidR="00324B33" w:rsidRPr="0002434F" w14:paraId="19A2544A" w14:textId="77777777" w:rsidTr="00F865A7">
        <w:tc>
          <w:tcPr>
            <w:tcW w:w="1577" w:type="pct"/>
          </w:tcPr>
          <w:p w14:paraId="0E6C5C0E" w14:textId="7DB3FC66" w:rsidR="00324B33" w:rsidRPr="0002434F" w:rsidRDefault="00324B33" w:rsidP="007452E8">
            <w:pPr>
              <w:rPr>
                <w:i/>
                <w:szCs w:val="22"/>
              </w:rPr>
            </w:pPr>
            <w:r w:rsidRPr="0002434F">
              <w:rPr>
                <w:i/>
                <w:szCs w:val="22"/>
              </w:rPr>
              <w:t>Approved therapeutic use</w:t>
            </w:r>
            <w:r w:rsidR="00E47E0C" w:rsidRPr="0002434F">
              <w:rPr>
                <w:i/>
                <w:szCs w:val="22"/>
              </w:rPr>
              <w:t xml:space="preserve"> </w:t>
            </w:r>
            <w:r w:rsidR="007B04DE" w:rsidRPr="0002434F">
              <w:rPr>
                <w:i/>
                <w:szCs w:val="22"/>
              </w:rPr>
              <w:t>for the current</w:t>
            </w:r>
            <w:r w:rsidR="00E47E0C" w:rsidRPr="0002434F">
              <w:rPr>
                <w:i/>
                <w:szCs w:val="22"/>
              </w:rPr>
              <w:t xml:space="preserve"> submission</w:t>
            </w:r>
            <w:r w:rsidRPr="0002434F">
              <w:rPr>
                <w:i/>
                <w:szCs w:val="22"/>
              </w:rPr>
              <w:t>:</w:t>
            </w:r>
          </w:p>
        </w:tc>
        <w:tc>
          <w:tcPr>
            <w:tcW w:w="3423" w:type="pct"/>
          </w:tcPr>
          <w:p w14:paraId="6E143E2E" w14:textId="0A75ABAE" w:rsidR="00580762" w:rsidRPr="0002434F" w:rsidRDefault="00580762" w:rsidP="00580762">
            <w:pPr>
              <w:rPr>
                <w:i/>
                <w:iCs/>
              </w:rPr>
            </w:pPr>
            <w:r w:rsidRPr="0002434F">
              <w:rPr>
                <w:i/>
                <w:iCs/>
              </w:rPr>
              <w:t xml:space="preserve">Tavneos, in combination with a rituximab or </w:t>
            </w:r>
            <w:proofErr w:type="gramStart"/>
            <w:r w:rsidRPr="0002434F">
              <w:rPr>
                <w:i/>
                <w:iCs/>
              </w:rPr>
              <w:t>cyclophosphamide based</w:t>
            </w:r>
            <w:proofErr w:type="gramEnd"/>
            <w:r w:rsidRPr="0002434F">
              <w:rPr>
                <w:i/>
                <w:iCs/>
              </w:rPr>
              <w:t xml:space="preserve"> regimen, is indicated for the treatment of adults with anti-neutrophil cytoplasmic autoantibody (ANCA)-associated vasculitis (granulomatosis with polyangiitis [GPA] and microscopic polyangiitis [MPA]).</w:t>
            </w:r>
          </w:p>
        </w:tc>
      </w:tr>
      <w:tr w:rsidR="00324B33" w:rsidRPr="0002434F" w14:paraId="5AFDEED3" w14:textId="77777777" w:rsidTr="00F865A7">
        <w:tc>
          <w:tcPr>
            <w:tcW w:w="1577" w:type="pct"/>
          </w:tcPr>
          <w:p w14:paraId="03884BD1" w14:textId="14D98D47" w:rsidR="00324B33" w:rsidRPr="0002434F" w:rsidRDefault="00324B33" w:rsidP="007452E8">
            <w:pPr>
              <w:rPr>
                <w:i/>
                <w:szCs w:val="22"/>
              </w:rPr>
            </w:pPr>
            <w:r w:rsidRPr="0002434F">
              <w:rPr>
                <w:i/>
                <w:szCs w:val="22"/>
              </w:rPr>
              <w:t>Route of administration:</w:t>
            </w:r>
          </w:p>
        </w:tc>
        <w:tc>
          <w:tcPr>
            <w:tcW w:w="3423" w:type="pct"/>
          </w:tcPr>
          <w:p w14:paraId="1ED1357E" w14:textId="03B11C60" w:rsidR="00324B33" w:rsidRPr="0002434F" w:rsidRDefault="009444B6" w:rsidP="007452E8">
            <w:pPr>
              <w:rPr>
                <w:szCs w:val="22"/>
              </w:rPr>
            </w:pPr>
            <w:r w:rsidRPr="0002434F">
              <w:rPr>
                <w:szCs w:val="22"/>
              </w:rPr>
              <w:t>Oral</w:t>
            </w:r>
          </w:p>
        </w:tc>
      </w:tr>
      <w:tr w:rsidR="00324B33" w:rsidRPr="0002434F" w14:paraId="70D7E9FA" w14:textId="77777777" w:rsidTr="00F865A7">
        <w:tc>
          <w:tcPr>
            <w:tcW w:w="1577" w:type="pct"/>
          </w:tcPr>
          <w:p w14:paraId="5ABFFC80" w14:textId="77777777" w:rsidR="00324B33" w:rsidRPr="0002434F" w:rsidRDefault="00324B33" w:rsidP="007452E8">
            <w:pPr>
              <w:rPr>
                <w:i/>
                <w:szCs w:val="22"/>
              </w:rPr>
            </w:pPr>
            <w:r w:rsidRPr="0002434F">
              <w:rPr>
                <w:i/>
                <w:szCs w:val="22"/>
              </w:rPr>
              <w:t>Dosage:</w:t>
            </w:r>
          </w:p>
        </w:tc>
        <w:tc>
          <w:tcPr>
            <w:tcW w:w="3423" w:type="pct"/>
          </w:tcPr>
          <w:p w14:paraId="5B90CEDE" w14:textId="77777777" w:rsidR="009444B6" w:rsidRPr="0002434F" w:rsidRDefault="009444B6" w:rsidP="009444B6">
            <w:r w:rsidRPr="0002434F">
              <w:t>The recommended dose of Tavneos is 30 mg (3 hard capsules of 10 mg each) taken orally twice daily, morning and evening, with food.</w:t>
            </w:r>
          </w:p>
          <w:p w14:paraId="04F6081D" w14:textId="549D343E" w:rsidR="009444B6" w:rsidRPr="0002434F" w:rsidRDefault="009444B6" w:rsidP="009444B6">
            <w:r w:rsidRPr="0002434F">
              <w:t>Tavneos should be administered in combination with rituximab or cyclophosphamide. Suitable dosing regimens for these combinations include:</w:t>
            </w:r>
          </w:p>
          <w:p w14:paraId="527852FA" w14:textId="20179C9A" w:rsidR="009444B6" w:rsidRPr="0002434F" w:rsidRDefault="009444B6" w:rsidP="009444B6">
            <w:pPr>
              <w:pStyle w:val="ListBullet"/>
            </w:pPr>
            <w:r w:rsidRPr="0002434F">
              <w:t>rituximab for 4 weekly intravenous doses or,</w:t>
            </w:r>
          </w:p>
          <w:p w14:paraId="6D141663" w14:textId="4FF932C1" w:rsidR="009444B6" w:rsidRPr="0002434F" w:rsidRDefault="009444B6" w:rsidP="009444B6">
            <w:pPr>
              <w:pStyle w:val="ListBullet"/>
            </w:pPr>
            <w:r w:rsidRPr="0002434F">
              <w:t>intravenous or oral cyclophosphamide for 13 or 14 weeks, followed by oral azathioprine or mycophenolate mofetil and,</w:t>
            </w:r>
          </w:p>
          <w:p w14:paraId="2DEA09A3" w14:textId="3E3FA00C" w:rsidR="009444B6" w:rsidRPr="0002434F" w:rsidRDefault="009444B6" w:rsidP="009444B6">
            <w:pPr>
              <w:pStyle w:val="ListBullet"/>
            </w:pPr>
            <w:r w:rsidRPr="0002434F">
              <w:t>glucocorticoids as clinically indicated.</w:t>
            </w:r>
          </w:p>
          <w:p w14:paraId="3D0B2D5C" w14:textId="77777777" w:rsidR="00324B33" w:rsidRPr="0002434F" w:rsidRDefault="00324B33" w:rsidP="007452E8">
            <w:pPr>
              <w:rPr>
                <w:szCs w:val="22"/>
              </w:rPr>
            </w:pPr>
            <w:r w:rsidRPr="0002434F">
              <w:rPr>
                <w:szCs w:val="22"/>
              </w:rPr>
              <w:lastRenderedPageBreak/>
              <w:t>For further information regarding dosage, refer to the Product Information.</w:t>
            </w:r>
          </w:p>
        </w:tc>
      </w:tr>
      <w:tr w:rsidR="00324B33" w:rsidRPr="0002434F" w14:paraId="24DC408E" w14:textId="77777777" w:rsidTr="00F865A7">
        <w:tc>
          <w:tcPr>
            <w:tcW w:w="1577" w:type="pct"/>
          </w:tcPr>
          <w:p w14:paraId="26380792" w14:textId="77777777" w:rsidR="00324B33" w:rsidRPr="0002434F" w:rsidRDefault="00324B33" w:rsidP="007452E8">
            <w:pPr>
              <w:rPr>
                <w:i/>
                <w:szCs w:val="22"/>
              </w:rPr>
            </w:pPr>
            <w:r w:rsidRPr="0002434F">
              <w:rPr>
                <w:i/>
                <w:szCs w:val="22"/>
              </w:rPr>
              <w:lastRenderedPageBreak/>
              <w:t>Pregnancy category:</w:t>
            </w:r>
          </w:p>
        </w:tc>
        <w:tc>
          <w:tcPr>
            <w:tcW w:w="3423" w:type="pct"/>
          </w:tcPr>
          <w:p w14:paraId="2C1916D0" w14:textId="7FB3A730" w:rsidR="009444B6" w:rsidRPr="0002434F" w:rsidRDefault="009444B6" w:rsidP="007452E8">
            <w:pPr>
              <w:rPr>
                <w:szCs w:val="22"/>
              </w:rPr>
            </w:pPr>
            <w:r w:rsidRPr="0002434F">
              <w:rPr>
                <w:szCs w:val="22"/>
              </w:rPr>
              <w:t>D</w:t>
            </w:r>
          </w:p>
          <w:p w14:paraId="2A21E4A9" w14:textId="79763386" w:rsidR="009444B6" w:rsidRPr="0002434F" w:rsidRDefault="009444B6" w:rsidP="007452E8">
            <w:pPr>
              <w:rPr>
                <w:szCs w:val="22"/>
              </w:rPr>
            </w:pPr>
            <w:r w:rsidRPr="0002434F">
              <w:rPr>
                <w:szCs w:val="22"/>
              </w:rPr>
              <w:t>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p w14:paraId="5E2AA3D6" w14:textId="447C7132" w:rsidR="00324B33" w:rsidRPr="0002434F" w:rsidRDefault="00324B33" w:rsidP="007452E8">
            <w:pPr>
              <w:rPr>
                <w:szCs w:val="22"/>
              </w:rPr>
            </w:pPr>
            <w:r w:rsidRPr="0002434F">
              <w:rPr>
                <w:szCs w:val="22"/>
              </w:rP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51F2479F" w14:textId="77777777" w:rsidR="00324B33" w:rsidRPr="0002434F" w:rsidRDefault="00324B33" w:rsidP="00324B33">
      <w:pPr>
        <w:pStyle w:val="Heading3"/>
      </w:pPr>
      <w:bookmarkStart w:id="11" w:name="_Toc247691503"/>
      <w:bookmarkStart w:id="12" w:name="_Toc314842484"/>
      <w:bookmarkStart w:id="13" w:name="_Toc103679290"/>
      <w:bookmarkStart w:id="14" w:name="_Toc147390238"/>
      <w:r w:rsidRPr="0002434F">
        <w:t>Product background</w:t>
      </w:r>
      <w:bookmarkEnd w:id="11"/>
      <w:bookmarkEnd w:id="12"/>
      <w:bookmarkEnd w:id="13"/>
      <w:bookmarkEnd w:id="14"/>
    </w:p>
    <w:p w14:paraId="56B27CF2" w14:textId="190DED06" w:rsidR="00324B33" w:rsidRPr="0002434F" w:rsidRDefault="00324B33" w:rsidP="00324B33">
      <w:pPr>
        <w:rPr>
          <w:szCs w:val="22"/>
        </w:rPr>
      </w:pPr>
      <w:r w:rsidRPr="0002434F">
        <w:rPr>
          <w:szCs w:val="22"/>
        </w:rPr>
        <w:t xml:space="preserve">This AusPAR describes the submission by </w:t>
      </w:r>
      <w:r w:rsidR="009444B6" w:rsidRPr="0002434F">
        <w:rPr>
          <w:szCs w:val="22"/>
        </w:rPr>
        <w:t>Vifor Pharma Pty Ltd</w:t>
      </w:r>
      <w:r w:rsidRPr="0002434F">
        <w:rPr>
          <w:szCs w:val="22"/>
        </w:rPr>
        <w:t xml:space="preserve"> (the sponsor) to register </w:t>
      </w:r>
      <w:r w:rsidR="009444B6" w:rsidRPr="0002434F">
        <w:rPr>
          <w:szCs w:val="22"/>
        </w:rPr>
        <w:t xml:space="preserve">Tavneos </w:t>
      </w:r>
      <w:r w:rsidRPr="0002434F">
        <w:rPr>
          <w:szCs w:val="22"/>
        </w:rPr>
        <w:t>(</w:t>
      </w:r>
      <w:proofErr w:type="spellStart"/>
      <w:r w:rsidR="009444B6" w:rsidRPr="0002434F">
        <w:rPr>
          <w:szCs w:val="22"/>
        </w:rPr>
        <w:t>avacopan</w:t>
      </w:r>
      <w:proofErr w:type="spellEnd"/>
      <w:r w:rsidRPr="0002434F">
        <w:rPr>
          <w:szCs w:val="22"/>
        </w:rPr>
        <w:t xml:space="preserve">) </w:t>
      </w:r>
      <w:r w:rsidR="009444B6" w:rsidRPr="0002434F">
        <w:rPr>
          <w:szCs w:val="22"/>
        </w:rPr>
        <w:t>10 mg</w:t>
      </w:r>
      <w:r w:rsidRPr="0002434F">
        <w:rPr>
          <w:szCs w:val="22"/>
        </w:rPr>
        <w:t xml:space="preserve">, </w:t>
      </w:r>
      <w:r w:rsidR="009444B6" w:rsidRPr="0002434F">
        <w:rPr>
          <w:szCs w:val="22"/>
        </w:rPr>
        <w:t>capsule</w:t>
      </w:r>
      <w:r w:rsidR="00D62877" w:rsidRPr="0002434F">
        <w:rPr>
          <w:szCs w:val="22"/>
        </w:rPr>
        <w:t xml:space="preserve">, </w:t>
      </w:r>
      <w:r w:rsidR="009444B6" w:rsidRPr="0002434F">
        <w:rPr>
          <w:szCs w:val="22"/>
        </w:rPr>
        <w:t>bottle</w:t>
      </w:r>
      <w:r w:rsidRPr="0002434F">
        <w:rPr>
          <w:szCs w:val="22"/>
        </w:rPr>
        <w:t xml:space="preserve"> for the following proposed indication:</w:t>
      </w:r>
      <w:r w:rsidR="00D63760" w:rsidRPr="0002434F">
        <w:rPr>
          <w:rStyle w:val="FootnoteReference"/>
          <w:szCs w:val="22"/>
        </w:rPr>
        <w:footnoteReference w:id="2"/>
      </w:r>
    </w:p>
    <w:p w14:paraId="464ABECB" w14:textId="517DD96A" w:rsidR="009444B6" w:rsidRPr="0002434F" w:rsidRDefault="009444B6" w:rsidP="009444B6">
      <w:pPr>
        <w:ind w:left="720"/>
        <w:rPr>
          <w:i/>
          <w:iCs/>
        </w:rPr>
      </w:pPr>
      <w:r w:rsidRPr="0002434F">
        <w:rPr>
          <w:i/>
          <w:iCs/>
        </w:rPr>
        <w:t>Tavneos, in combination with other immunosuppressant therapies, is indicated for the treatment of patients with anti-neutrophil cytoplasmic autoantibody (ANCA)-associated vasculitis (granulomatosis with polyangiitis [GPA] and microscopic polyangiitis [MPA]).</w:t>
      </w:r>
    </w:p>
    <w:p w14:paraId="15AA96FC" w14:textId="77777777" w:rsidR="007F3F71" w:rsidRPr="0002434F" w:rsidRDefault="009444B6" w:rsidP="009444B6">
      <w:bookmarkStart w:id="15" w:name="_Toc314842485"/>
      <w:bookmarkStart w:id="16" w:name="_Toc247691504"/>
      <w:r w:rsidRPr="0002434F">
        <w:t>Granulomatosis with polyangiitis (GPA, also known as Wegener’s granulomatosis) and microscopic polyangiitis (MPA) are two of a range of systemic non-infectious conditions affecting the blood vessels (</w:t>
      </w:r>
      <w:proofErr w:type="spellStart"/>
      <w:r w:rsidRPr="0002434F">
        <w:t>vasculitides</w:t>
      </w:r>
      <w:proofErr w:type="spellEnd"/>
      <w:r w:rsidRPr="0002434F">
        <w:t xml:space="preserve">) that manifest with inflammatory change in the walls of the blood vessels, with a range of consequences including local necrosis and bleeding, or distal obstruction and </w:t>
      </w:r>
      <w:proofErr w:type="spellStart"/>
      <w:r w:rsidRPr="0002434F">
        <w:t>ischaemia</w:t>
      </w:r>
      <w:proofErr w:type="spellEnd"/>
      <w:r w:rsidRPr="0002434F">
        <w:t xml:space="preserve"> causing end-organ damage.</w:t>
      </w:r>
    </w:p>
    <w:p w14:paraId="57C91834" w14:textId="0EE2832A" w:rsidR="007F3F71" w:rsidRPr="0002434F" w:rsidRDefault="009444B6" w:rsidP="009444B6">
      <w:r w:rsidRPr="0002434F">
        <w:t xml:space="preserve">Various approaches have been taken to classifying the </w:t>
      </w:r>
      <w:proofErr w:type="spellStart"/>
      <w:r w:rsidRPr="0002434F">
        <w:t>vasculitides</w:t>
      </w:r>
      <w:proofErr w:type="spellEnd"/>
      <w:r w:rsidRPr="0002434F">
        <w:t xml:space="preserve">, the most recent of which is based on the size of the most affected vessels and reflects current understanding of the pathophysiological mechanisms. The 2012 Revised International Chapel Hill Consensus Conference grouped MPA and GPA, along with </w:t>
      </w:r>
      <w:bookmarkStart w:id="17" w:name="_Hlk143862485"/>
      <w:r w:rsidRPr="0002434F">
        <w:t xml:space="preserve">eosinophilic </w:t>
      </w:r>
      <w:r w:rsidR="00F651B7" w:rsidRPr="0002434F">
        <w:t>GPA</w:t>
      </w:r>
      <w:r w:rsidRPr="0002434F">
        <w:t xml:space="preserve"> </w:t>
      </w:r>
      <w:bookmarkEnd w:id="17"/>
      <w:r w:rsidRPr="0002434F">
        <w:t xml:space="preserve">(formerly Churg-Strauss syndrome), as </w:t>
      </w:r>
      <w:r w:rsidR="008B23EE" w:rsidRPr="0002434F">
        <w:t>‘</w:t>
      </w:r>
      <w:r w:rsidRPr="0002434F">
        <w:t>antineutrophil cytoplasmic antibody (ANCA)</w:t>
      </w:r>
      <w:r w:rsidR="00794999" w:rsidRPr="0002434F">
        <w:t xml:space="preserve"> </w:t>
      </w:r>
      <w:r w:rsidRPr="0002434F">
        <w:t xml:space="preserve">associated </w:t>
      </w:r>
      <w:proofErr w:type="spellStart"/>
      <w:r w:rsidRPr="0002434F">
        <w:t>vasculitides</w:t>
      </w:r>
      <w:proofErr w:type="spellEnd"/>
      <w:r w:rsidRPr="0002434F">
        <w:t xml:space="preserve"> (AAV)</w:t>
      </w:r>
      <w:r w:rsidR="008B23EE" w:rsidRPr="0002434F">
        <w:t>’</w:t>
      </w:r>
      <w:r w:rsidRPr="0002434F">
        <w:t>, which predominantly affect the small blood vessels. The AAV typically present with ANCA specific for myeloperoxidase (</w:t>
      </w:r>
      <w:r w:rsidR="00F651B7" w:rsidRPr="0002434F">
        <w:rPr>
          <w:lang w:eastAsia="ja-JP"/>
        </w:rPr>
        <w:t>myeloperoxidase</w:t>
      </w:r>
      <w:r w:rsidRPr="0002434F">
        <w:t>-ANCA) or proteinase</w:t>
      </w:r>
      <w:r w:rsidR="00F651B7" w:rsidRPr="0002434F">
        <w:t> </w:t>
      </w:r>
      <w:r w:rsidRPr="0002434F">
        <w:t>3 (</w:t>
      </w:r>
      <w:r w:rsidR="00F651B7" w:rsidRPr="0002434F">
        <w:t>proteinase 3</w:t>
      </w:r>
      <w:r w:rsidRPr="0002434F">
        <w:t xml:space="preserve">-ANCA), although ANCA-negative presentations may occur. While most patients with GPA or MPA will test positive for either </w:t>
      </w:r>
      <w:r w:rsidR="00F651B7" w:rsidRPr="0002434F">
        <w:rPr>
          <w:lang w:eastAsia="ja-JP"/>
        </w:rPr>
        <w:t>myeloperoxidase</w:t>
      </w:r>
      <w:r w:rsidRPr="0002434F">
        <w:t xml:space="preserve">-ANCA or </w:t>
      </w:r>
      <w:r w:rsidR="00F651B7" w:rsidRPr="0002434F">
        <w:t>proteinase 3</w:t>
      </w:r>
      <w:r w:rsidRPr="0002434F">
        <w:t xml:space="preserve">-ANCA, less than half of patients with </w:t>
      </w:r>
      <w:r w:rsidR="00F651B7" w:rsidRPr="0002434F">
        <w:t>eosinophilic GPA</w:t>
      </w:r>
      <w:r w:rsidRPr="0002434F">
        <w:t xml:space="preserve"> will have positive ANCA tests. AAV may affect one or more organ systems, subsequently causing glomerulonephritis, pulmonary haemorrhage, intestinal </w:t>
      </w:r>
      <w:proofErr w:type="spellStart"/>
      <w:r w:rsidRPr="0002434F">
        <w:t>ischaemia</w:t>
      </w:r>
      <w:proofErr w:type="spellEnd"/>
      <w:r w:rsidRPr="0002434F">
        <w:t>, sight</w:t>
      </w:r>
      <w:r w:rsidR="00F651B7" w:rsidRPr="0002434F">
        <w:t xml:space="preserve"> </w:t>
      </w:r>
      <w:r w:rsidRPr="0002434F">
        <w:t xml:space="preserve">threatening eye disease, upper airway (ear, </w:t>
      </w:r>
      <w:r w:rsidR="00F651B7" w:rsidRPr="0002434F">
        <w:t>nose, and</w:t>
      </w:r>
      <w:r w:rsidRPr="0002434F">
        <w:t xml:space="preserve"> throat) pathology, </w:t>
      </w:r>
      <w:proofErr w:type="gramStart"/>
      <w:r w:rsidRPr="0002434F">
        <w:t>neuropathy</w:t>
      </w:r>
      <w:proofErr w:type="gramEnd"/>
      <w:r w:rsidRPr="0002434F">
        <w:t xml:space="preserve"> or other severe disease. AAV can also present with signs and symptoms limited to a single organ, particularly a subset referred to as renal</w:t>
      </w:r>
      <w:r w:rsidR="00F651B7" w:rsidRPr="0002434F">
        <w:t xml:space="preserve"> </w:t>
      </w:r>
      <w:r w:rsidRPr="0002434F">
        <w:t>limited AAV.</w:t>
      </w:r>
    </w:p>
    <w:p w14:paraId="0B385FBB" w14:textId="29B48965" w:rsidR="009444B6" w:rsidRPr="0002434F" w:rsidRDefault="009444B6" w:rsidP="009444B6">
      <w:r w:rsidRPr="0002434F">
        <w:t>The pathogenesis of GPA and MPA is thought to be related to the presence of ANCA</w:t>
      </w:r>
      <w:r w:rsidR="00517B65" w:rsidRPr="0002434F">
        <w:t xml:space="preserve"> </w:t>
      </w:r>
      <w:r w:rsidRPr="0002434F">
        <w:t xml:space="preserve">positive leukocytes in the small to medium vessels triggering inflammation, subsequently activating the </w:t>
      </w:r>
      <w:r w:rsidRPr="0002434F">
        <w:lastRenderedPageBreak/>
        <w:t xml:space="preserve">complement system to produce swelling and damage of vessel wall structures. Vessel wall necrosis with or without granulomata can develop. The complement system has also been implicated in a range of other </w:t>
      </w:r>
      <w:proofErr w:type="spellStart"/>
      <w:r w:rsidRPr="0002434F">
        <w:t>vasculitides</w:t>
      </w:r>
      <w:proofErr w:type="spellEnd"/>
      <w:r w:rsidRPr="0002434F">
        <w:t xml:space="preserve"> including urticarial vasculitis, anti-glomerular basement membrane disease, cryoglobulinaemic </w:t>
      </w:r>
      <w:proofErr w:type="spellStart"/>
      <w:r w:rsidRPr="0002434F">
        <w:t>vasculitides</w:t>
      </w:r>
      <w:proofErr w:type="spellEnd"/>
      <w:r w:rsidRPr="0002434F">
        <w:t>, Henoch-</w:t>
      </w:r>
      <w:proofErr w:type="spellStart"/>
      <w:r w:rsidRPr="0002434F">
        <w:t>Schönlein</w:t>
      </w:r>
      <w:proofErr w:type="spellEnd"/>
      <w:r w:rsidRPr="0002434F">
        <w:t xml:space="preserve"> purpura/</w:t>
      </w:r>
      <w:r w:rsidR="002752E2" w:rsidRPr="0002434F">
        <w:t>immunoglobulin (</w:t>
      </w:r>
      <w:r w:rsidRPr="0002434F">
        <w:t>Ig</w:t>
      </w:r>
      <w:r w:rsidR="002752E2" w:rsidRPr="0002434F">
        <w:t>)</w:t>
      </w:r>
      <w:r w:rsidRPr="0002434F">
        <w:t xml:space="preserve">A nephropathy, and Kawasaki disease. The pathogenesis of </w:t>
      </w:r>
      <w:r w:rsidR="00F651B7" w:rsidRPr="0002434F">
        <w:t>eosinophilic GPA</w:t>
      </w:r>
      <w:r w:rsidRPr="0002434F">
        <w:t xml:space="preserve"> is widely considered to differ from GPA and MPA, although it is included in the Chapel Hill classification of AAV, and the treatment and prognosis of </w:t>
      </w:r>
      <w:r w:rsidR="00F651B7" w:rsidRPr="0002434F">
        <w:t>eosinophilic GPA</w:t>
      </w:r>
      <w:r w:rsidRPr="0002434F">
        <w:t xml:space="preserve"> are often considered separately from GPA and MPA.</w:t>
      </w:r>
    </w:p>
    <w:p w14:paraId="503445BB" w14:textId="0966E10B" w:rsidR="007F3F71" w:rsidRPr="0002434F" w:rsidRDefault="009444B6" w:rsidP="009444B6">
      <w:r w:rsidRPr="0002434F">
        <w:t>The incidence of AAV is estimated to be between 13 and 20</w:t>
      </w:r>
      <w:r w:rsidR="00F651B7" w:rsidRPr="0002434F">
        <w:t xml:space="preserve"> per million population per year </w:t>
      </w:r>
      <w:r w:rsidRPr="0002434F">
        <w:t xml:space="preserve">in Europe and Japan, with increasing rates of GPA and </w:t>
      </w:r>
      <w:r w:rsidR="00F651B7" w:rsidRPr="0002434F">
        <w:t>eosinophilic GPA</w:t>
      </w:r>
      <w:r w:rsidRPr="0002434F">
        <w:t xml:space="preserve"> with increased distance from the equator. Incidence also varies with ethnicity. Chinese and Japanese populations almost exclusively experience </w:t>
      </w:r>
      <w:r w:rsidR="00F651B7" w:rsidRPr="0002434F">
        <w:rPr>
          <w:lang w:eastAsia="ja-JP"/>
        </w:rPr>
        <w:t>myeloperoxidase</w:t>
      </w:r>
      <w:r w:rsidRPr="0002434F">
        <w:t xml:space="preserve">-ANCA disease, whereas </w:t>
      </w:r>
      <w:r w:rsidR="00F651B7" w:rsidRPr="0002434F">
        <w:t>proteinase 3</w:t>
      </w:r>
      <w:r w:rsidRPr="0002434F">
        <w:t xml:space="preserve">-ANCA and </w:t>
      </w:r>
      <w:r w:rsidR="00F651B7" w:rsidRPr="0002434F">
        <w:rPr>
          <w:lang w:eastAsia="ja-JP"/>
        </w:rPr>
        <w:t>myeloperoxidase</w:t>
      </w:r>
      <w:r w:rsidRPr="0002434F">
        <w:t>-ANCA occur approximately equally in Western European populations. The prevalence of AAV in Europe is estimated to be between 150</w:t>
      </w:r>
      <w:r w:rsidR="00F651B7" w:rsidRPr="0002434F">
        <w:t xml:space="preserve"> and </w:t>
      </w:r>
      <w:r w:rsidRPr="0002434F">
        <w:t>250</w:t>
      </w:r>
      <w:r w:rsidR="00F651B7" w:rsidRPr="0002434F">
        <w:t xml:space="preserve"> per </w:t>
      </w:r>
      <w:r w:rsidRPr="0002434F">
        <w:t>million population. Reports of AAV in children are rare. A recent review confirms that there is a dearth of information regarding the prevalence of paediatric AAV, and that treatment in this very small group tends to be extrapolated from adult studies.</w:t>
      </w:r>
    </w:p>
    <w:p w14:paraId="16188218" w14:textId="1C8D9FD2" w:rsidR="007F3F71" w:rsidRPr="0002434F" w:rsidRDefault="009444B6" w:rsidP="009444B6">
      <w:r w:rsidRPr="0002434F">
        <w:t>The current accepted treatment approach to GPA and MPA, as described in the Australian Therapeutic Guidelines</w:t>
      </w:r>
      <w:r w:rsidRPr="0002434F">
        <w:rPr>
          <w:vertAlign w:val="superscript"/>
        </w:rPr>
        <w:footnoteReference w:id="3"/>
      </w:r>
      <w:r w:rsidRPr="0002434F">
        <w:t xml:space="preserve">, is to induce remission of the disease with high dose corticosteroids. Cyclophosphamide, or rituximab in those patients who are intolerant of </w:t>
      </w:r>
      <w:r w:rsidR="00AD7333" w:rsidRPr="0002434F">
        <w:t xml:space="preserve">cyclophosphamide </w:t>
      </w:r>
      <w:r w:rsidRPr="0002434F">
        <w:t xml:space="preserve">or in women contemplating future pregnancy, is added for patients with or at risk of severe organ disease. Methotrexate or mycophenolate may be used as adjunct therapy for those who do not have life-threatening or organ-threatening disease. Maintenance therapy will usually involve tapering corticosteroid therapy, with or without </w:t>
      </w:r>
      <w:r w:rsidR="00AD7333" w:rsidRPr="0002434F">
        <w:t>rituximab</w:t>
      </w:r>
      <w:r w:rsidRPr="0002434F">
        <w:t xml:space="preserve"> or mycophenolate. </w:t>
      </w:r>
      <w:r w:rsidR="00AD7333" w:rsidRPr="0002434F">
        <w:t xml:space="preserve">Rituximab </w:t>
      </w:r>
      <w:r w:rsidRPr="0002434F">
        <w:t>in combination with glucocorticoids was registered by the TGA for the induction of remission in patients with severely active GPA and MPA in May 2013.</w:t>
      </w:r>
      <w:r w:rsidR="007F3F71" w:rsidRPr="0002434F">
        <w:t xml:space="preserve"> </w:t>
      </w:r>
      <w:r w:rsidRPr="0002434F">
        <w:t>Notwithstanding the advice in the</w:t>
      </w:r>
      <w:r w:rsidR="002435D4" w:rsidRPr="0002434F">
        <w:t xml:space="preserve"> Therapeutic Guidelines</w:t>
      </w:r>
      <w:r w:rsidRPr="0002434F">
        <w:t xml:space="preserve">, use of </w:t>
      </w:r>
      <w:r w:rsidR="00AD7333" w:rsidRPr="0002434F">
        <w:t>rituximab</w:t>
      </w:r>
      <w:r w:rsidRPr="0002434F">
        <w:t xml:space="preserve"> in maintenance therapy, while accepted practice internationally, is currently not registered in Australia.</w:t>
      </w:r>
    </w:p>
    <w:p w14:paraId="34FEEDE4" w14:textId="7B212649" w:rsidR="009444B6" w:rsidRPr="0002434F" w:rsidRDefault="009444B6" w:rsidP="009444B6">
      <w:r w:rsidRPr="0002434F">
        <w:t xml:space="preserve">Other proposed therapies with less robust supporting evidence include combination </w:t>
      </w:r>
      <w:r w:rsidR="00AD7333" w:rsidRPr="0002434F">
        <w:t>cyclophosphamide</w:t>
      </w:r>
      <w:r w:rsidRPr="0002434F">
        <w:t xml:space="preserve"> and </w:t>
      </w:r>
      <w:r w:rsidR="00AD7333" w:rsidRPr="0002434F">
        <w:t>rituximab</w:t>
      </w:r>
      <w:r w:rsidRPr="0002434F">
        <w:t xml:space="preserve">, and plasma exchange in renal disease. Alternative immunomodulatory options have been trialled in patients who are intolerant of </w:t>
      </w:r>
      <w:r w:rsidR="00AD7333" w:rsidRPr="0002434F">
        <w:t>cyclophosphamide</w:t>
      </w:r>
      <w:r w:rsidRPr="0002434F">
        <w:t xml:space="preserve"> or </w:t>
      </w:r>
      <w:r w:rsidR="00AD7333" w:rsidRPr="0002434F">
        <w:t>rituximab</w:t>
      </w:r>
      <w:r w:rsidRPr="0002434F">
        <w:t>.</w:t>
      </w:r>
    </w:p>
    <w:p w14:paraId="119DE413" w14:textId="090D9430" w:rsidR="009444B6" w:rsidRPr="0002434F" w:rsidRDefault="009444B6" w:rsidP="009444B6">
      <w:proofErr w:type="spellStart"/>
      <w:r w:rsidRPr="0002434F">
        <w:t>Avacopan</w:t>
      </w:r>
      <w:proofErr w:type="spellEnd"/>
      <w:r w:rsidRPr="0002434F">
        <w:t xml:space="preserve"> (</w:t>
      </w:r>
      <w:r w:rsidR="00241EA0" w:rsidRPr="0002434F">
        <w:t>Tavneos</w:t>
      </w:r>
      <w:r w:rsidRPr="0002434F">
        <w:t xml:space="preserve">) is a selective antagonist of the human complement 5a receptor (C5aR1 or CD88) and competitively inhibits the interaction between C5aR1 and the anaphylatoxin </w:t>
      </w:r>
      <w:r w:rsidR="005028CE" w:rsidRPr="0002434F">
        <w:t>Complement 5a (</w:t>
      </w:r>
      <w:r w:rsidRPr="0002434F">
        <w:t>C5a</w:t>
      </w:r>
      <w:r w:rsidR="005028CE" w:rsidRPr="0002434F">
        <w:t>)</w:t>
      </w:r>
      <w:r w:rsidRPr="0002434F">
        <w:t xml:space="preserve">. This blockade of C5aR1 is said to reduce the pro-inflammatory effects of C5a, which include neutrophil activation, </w:t>
      </w:r>
      <w:r w:rsidR="00AD7333" w:rsidRPr="0002434F">
        <w:t>migration,</w:t>
      </w:r>
      <w:r w:rsidRPr="0002434F">
        <w:t xml:space="preserve"> and adherence to sites of small blood vessel inflammation, vascular endothelial cell retraction and permeability.</w:t>
      </w:r>
      <w:r w:rsidR="007F3F71" w:rsidRPr="0002434F">
        <w:t xml:space="preserve"> </w:t>
      </w:r>
      <w:proofErr w:type="spellStart"/>
      <w:r w:rsidRPr="0002434F">
        <w:t>Avacopan</w:t>
      </w:r>
      <w:proofErr w:type="spellEnd"/>
      <w:r w:rsidRPr="0002434F">
        <w:t xml:space="preserve"> does not affect the formation of the membrane attack complex (C5b-9) or the terminal complement complex, which is involved in fighting infections with encapsulated bacteria such as </w:t>
      </w:r>
      <w:r w:rsidRPr="0002434F">
        <w:rPr>
          <w:i/>
          <w:iCs/>
        </w:rPr>
        <w:t>Neisseria meningitidis</w:t>
      </w:r>
      <w:r w:rsidRPr="0002434F">
        <w:t>.</w:t>
      </w:r>
    </w:p>
    <w:p w14:paraId="0D615854" w14:textId="77777777" w:rsidR="00324B33" w:rsidRPr="0002434F" w:rsidRDefault="00324B33" w:rsidP="00324B33">
      <w:pPr>
        <w:pStyle w:val="Heading3"/>
      </w:pPr>
      <w:bookmarkStart w:id="18" w:name="_Toc103679291"/>
      <w:bookmarkStart w:id="19" w:name="_Toc147390239"/>
      <w:r w:rsidRPr="0002434F">
        <w:t>Regulatory status</w:t>
      </w:r>
      <w:bookmarkEnd w:id="15"/>
      <w:bookmarkEnd w:id="16"/>
      <w:bookmarkEnd w:id="18"/>
      <w:bookmarkEnd w:id="19"/>
    </w:p>
    <w:p w14:paraId="6A8633FA" w14:textId="442374CD" w:rsidR="00324B33" w:rsidRPr="0002434F" w:rsidRDefault="00324B33" w:rsidP="00324B33">
      <w:pPr>
        <w:rPr>
          <w:szCs w:val="22"/>
        </w:rPr>
      </w:pPr>
      <w:r w:rsidRPr="0002434F">
        <w:rPr>
          <w:szCs w:val="22"/>
        </w:rPr>
        <w:t>This product is considered a new chemical</w:t>
      </w:r>
      <w:r w:rsidR="008C754C" w:rsidRPr="0002434F">
        <w:rPr>
          <w:szCs w:val="22"/>
        </w:rPr>
        <w:t xml:space="preserve"> entity</w:t>
      </w:r>
      <w:r w:rsidRPr="0002434F">
        <w:rPr>
          <w:szCs w:val="22"/>
        </w:rPr>
        <w:t xml:space="preserve"> for Australian regulatory purposes.</w:t>
      </w:r>
    </w:p>
    <w:p w14:paraId="3D0989C0" w14:textId="59946C32" w:rsidR="00324B33" w:rsidRPr="0002434F" w:rsidRDefault="00324B33" w:rsidP="00324B33">
      <w:pPr>
        <w:rPr>
          <w:szCs w:val="22"/>
        </w:rPr>
      </w:pPr>
      <w:r w:rsidRPr="0002434F">
        <w:rPr>
          <w:szCs w:val="22"/>
        </w:rPr>
        <w:t xml:space="preserve">This product received </w:t>
      </w:r>
      <w:hyperlink r:id="rId20" w:history="1">
        <w:r w:rsidRPr="0002434F">
          <w:rPr>
            <w:rStyle w:val="Hyperlink"/>
            <w:szCs w:val="22"/>
          </w:rPr>
          <w:t>orphan drug designation</w:t>
        </w:r>
      </w:hyperlink>
      <w:r w:rsidRPr="0002434F">
        <w:rPr>
          <w:szCs w:val="22"/>
        </w:rPr>
        <w:t xml:space="preserve"> on </w:t>
      </w:r>
      <w:r w:rsidR="00C76268" w:rsidRPr="0002434F">
        <w:rPr>
          <w:szCs w:val="22"/>
        </w:rPr>
        <w:t>26 November</w:t>
      </w:r>
      <w:r w:rsidR="000A5AA0" w:rsidRPr="0002434F">
        <w:rPr>
          <w:szCs w:val="22"/>
        </w:rPr>
        <w:t xml:space="preserve"> </w:t>
      </w:r>
      <w:r w:rsidR="009444B6" w:rsidRPr="0002434F">
        <w:rPr>
          <w:szCs w:val="22"/>
        </w:rPr>
        <w:t xml:space="preserve">2021 </w:t>
      </w:r>
      <w:r w:rsidRPr="0002434F">
        <w:rPr>
          <w:szCs w:val="22"/>
        </w:rPr>
        <w:t>for the following indication:</w:t>
      </w:r>
    </w:p>
    <w:p w14:paraId="151B88F0" w14:textId="1D512C2F" w:rsidR="00D6185C" w:rsidRPr="0002434F" w:rsidRDefault="00C61759" w:rsidP="00D6185C">
      <w:pPr>
        <w:ind w:left="720"/>
        <w:rPr>
          <w:i/>
          <w:iCs/>
          <w:szCs w:val="22"/>
        </w:rPr>
      </w:pPr>
      <w:r w:rsidRPr="0002434F">
        <w:rPr>
          <w:i/>
          <w:iCs/>
          <w:szCs w:val="22"/>
        </w:rPr>
        <w:lastRenderedPageBreak/>
        <w:t>Tavneos, in combination with other immunosuppressan</w:t>
      </w:r>
      <w:r w:rsidR="00494988" w:rsidRPr="0002434F">
        <w:rPr>
          <w:i/>
          <w:iCs/>
          <w:szCs w:val="22"/>
        </w:rPr>
        <w:t>t therapies</w:t>
      </w:r>
      <w:r w:rsidR="0037003A" w:rsidRPr="0002434F">
        <w:rPr>
          <w:i/>
          <w:iCs/>
          <w:szCs w:val="22"/>
        </w:rPr>
        <w:t xml:space="preserve">, is indicated </w:t>
      </w:r>
      <w:r w:rsidR="001A23D5" w:rsidRPr="0002434F">
        <w:rPr>
          <w:i/>
          <w:iCs/>
          <w:szCs w:val="22"/>
        </w:rPr>
        <w:t>for the t</w:t>
      </w:r>
      <w:r w:rsidR="00D6185C" w:rsidRPr="0002434F">
        <w:rPr>
          <w:i/>
          <w:iCs/>
          <w:szCs w:val="22"/>
        </w:rPr>
        <w:t>reatment of patients with anti-neutrophil cytoplasmic autoantibody (ANCA)-associated vasculitis (granulomatosis with polyangiitis [GPA] and microscopic polyangiitis [MPA])</w:t>
      </w:r>
    </w:p>
    <w:p w14:paraId="7AF1DF8E" w14:textId="5406133E" w:rsidR="009444B6" w:rsidRPr="0002434F" w:rsidRDefault="00324B33" w:rsidP="009444B6">
      <w:r w:rsidRPr="0002434F">
        <w:t xml:space="preserve">At the time the TGA considered this submission, a similar submission had been approved in </w:t>
      </w:r>
      <w:r w:rsidR="009444B6" w:rsidRPr="0002434F">
        <w:t>United States of</w:t>
      </w:r>
      <w:r w:rsidR="00047A81" w:rsidRPr="0002434F">
        <w:t xml:space="preserve"> </w:t>
      </w:r>
      <w:r w:rsidR="009444B6" w:rsidRPr="0002434F">
        <w:rPr>
          <w:rFonts w:eastAsia="Cambria" w:cs="Times New Roman"/>
          <w:color w:val="000000"/>
          <w:szCs w:val="22"/>
          <w:lang w:eastAsia="en-AU"/>
        </w:rPr>
        <w:t>America</w:t>
      </w:r>
      <w:r w:rsidRPr="0002434F">
        <w:rPr>
          <w:szCs w:val="22"/>
        </w:rPr>
        <w:t xml:space="preserve"> on </w:t>
      </w:r>
      <w:r w:rsidR="00047A81" w:rsidRPr="0002434F">
        <w:t>7 October 2021, Japan on 27 September 2021, E</w:t>
      </w:r>
      <w:r w:rsidR="00D6185C" w:rsidRPr="0002434F">
        <w:t xml:space="preserve">uropean </w:t>
      </w:r>
      <w:r w:rsidR="00047A81" w:rsidRPr="0002434F">
        <w:t>U</w:t>
      </w:r>
      <w:r w:rsidR="00D6185C" w:rsidRPr="0002434F">
        <w:t>nion</w:t>
      </w:r>
      <w:r w:rsidR="00047A81" w:rsidRPr="0002434F">
        <w:t xml:space="preserve"> on 11 January 2022, Great Britain on 6 May 2022, Canada on 14 April 2022 and Switzerland on 19</w:t>
      </w:r>
      <w:r w:rsidR="00D6185C" w:rsidRPr="0002434F">
        <w:t> </w:t>
      </w:r>
      <w:r w:rsidR="00047A81" w:rsidRPr="0002434F">
        <w:t xml:space="preserve">September 2022. </w:t>
      </w:r>
      <w:r w:rsidR="009444B6" w:rsidRPr="0002434F">
        <w:rPr>
          <w:szCs w:val="22"/>
        </w:rPr>
        <w:t>A similar submission (on Conditional Marketing Authorisation) had been withdrawn from the European Union in January 2019.</w:t>
      </w:r>
    </w:p>
    <w:p w14:paraId="1B9AB90D" w14:textId="3E8AA98C" w:rsidR="00324B33" w:rsidRPr="0002434F" w:rsidRDefault="00324B33" w:rsidP="00324B33">
      <w:pPr>
        <w:rPr>
          <w:szCs w:val="22"/>
        </w:rPr>
      </w:pPr>
      <w:r w:rsidRPr="0002434F">
        <w:rPr>
          <w:szCs w:val="22"/>
        </w:rPr>
        <w:t>The following table summarises these submissions and provides the indications where approved.</w:t>
      </w:r>
    </w:p>
    <w:p w14:paraId="19B9E0AC" w14:textId="78B5942B" w:rsidR="00324B33" w:rsidRPr="0002434F" w:rsidRDefault="00324B33" w:rsidP="00324B33">
      <w:pPr>
        <w:pStyle w:val="TableTitle"/>
      </w:pPr>
      <w:bookmarkStart w:id="20" w:name="_Ref99705479"/>
      <w:r w:rsidRPr="0002434F">
        <w:t xml:space="preserve">Table </w:t>
      </w:r>
      <w:r w:rsidRPr="0002434F">
        <w:fldChar w:fldCharType="begin"/>
      </w:r>
      <w:r w:rsidRPr="0002434F">
        <w:instrText>SEQ Table \* ARABIC</w:instrText>
      </w:r>
      <w:r w:rsidRPr="0002434F">
        <w:fldChar w:fldCharType="separate"/>
      </w:r>
      <w:r w:rsidR="0002434F">
        <w:rPr>
          <w:noProof/>
        </w:rPr>
        <w:t>1</w:t>
      </w:r>
      <w:r w:rsidRPr="0002434F">
        <w:fldChar w:fldCharType="end"/>
      </w:r>
      <w:bookmarkEnd w:id="20"/>
      <w:r w:rsidRPr="0002434F">
        <w:t>: International regulatory status</w:t>
      </w:r>
    </w:p>
    <w:tbl>
      <w:tblPr>
        <w:tblStyle w:val="TableTGAblue2023"/>
        <w:tblW w:w="5000" w:type="pct"/>
        <w:tblLook w:val="04A0" w:firstRow="1" w:lastRow="0" w:firstColumn="1" w:lastColumn="0" w:noHBand="0" w:noVBand="1"/>
      </w:tblPr>
      <w:tblGrid>
        <w:gridCol w:w="1455"/>
        <w:gridCol w:w="1516"/>
        <w:gridCol w:w="1843"/>
        <w:gridCol w:w="4246"/>
      </w:tblGrid>
      <w:tr w:rsidR="00324B33" w:rsidRPr="0002434F" w14:paraId="405E5D78" w14:textId="16839333" w:rsidTr="5D873E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pct"/>
          </w:tcPr>
          <w:p w14:paraId="185B099B" w14:textId="7A4C0E6C" w:rsidR="00324B33" w:rsidRPr="0002434F" w:rsidRDefault="00324B33" w:rsidP="00324B33">
            <w:pPr>
              <w:rPr>
                <w:szCs w:val="22"/>
              </w:rPr>
            </w:pPr>
            <w:r w:rsidRPr="0002434F">
              <w:rPr>
                <w:szCs w:val="22"/>
              </w:rPr>
              <w:t>Region</w:t>
            </w:r>
          </w:p>
        </w:tc>
        <w:tc>
          <w:tcPr>
            <w:tcW w:w="837" w:type="pct"/>
          </w:tcPr>
          <w:p w14:paraId="778C35C7" w14:textId="52D23C85" w:rsidR="00324B33" w:rsidRPr="0002434F"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02434F">
              <w:rPr>
                <w:szCs w:val="22"/>
              </w:rPr>
              <w:t>Submission date</w:t>
            </w:r>
          </w:p>
        </w:tc>
        <w:tc>
          <w:tcPr>
            <w:tcW w:w="1017" w:type="pct"/>
          </w:tcPr>
          <w:p w14:paraId="58F81584" w14:textId="66689ABF" w:rsidR="00324B33" w:rsidRPr="0002434F"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02434F">
              <w:rPr>
                <w:szCs w:val="22"/>
              </w:rPr>
              <w:t>Status</w:t>
            </w:r>
          </w:p>
        </w:tc>
        <w:tc>
          <w:tcPr>
            <w:tcW w:w="2343" w:type="pct"/>
          </w:tcPr>
          <w:p w14:paraId="50B2D435" w14:textId="560588D2" w:rsidR="00324B33" w:rsidRPr="0002434F"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02434F">
              <w:rPr>
                <w:szCs w:val="22"/>
              </w:rPr>
              <w:t>Approved indications</w:t>
            </w:r>
          </w:p>
        </w:tc>
      </w:tr>
      <w:tr w:rsidR="00C548A1" w:rsidRPr="0002434F" w14:paraId="09F2ADFE" w14:textId="77777777" w:rsidTr="5D873EBE">
        <w:tc>
          <w:tcPr>
            <w:cnfStyle w:val="001000000000" w:firstRow="0" w:lastRow="0" w:firstColumn="1" w:lastColumn="0" w:oddVBand="0" w:evenVBand="0" w:oddHBand="0" w:evenHBand="0" w:firstRowFirstColumn="0" w:firstRowLastColumn="0" w:lastRowFirstColumn="0" w:lastRowLastColumn="0"/>
            <w:tcW w:w="803" w:type="pct"/>
          </w:tcPr>
          <w:p w14:paraId="6308D1FF" w14:textId="599D8845" w:rsidR="00C548A1" w:rsidRPr="0002434F" w:rsidRDefault="00D6185C" w:rsidP="007F3F71">
            <w:r w:rsidRPr="0002434F">
              <w:t>European Union</w:t>
            </w:r>
          </w:p>
        </w:tc>
        <w:tc>
          <w:tcPr>
            <w:tcW w:w="837" w:type="pct"/>
          </w:tcPr>
          <w:p w14:paraId="646D0305" w14:textId="2217B174" w:rsidR="00C548A1" w:rsidRPr="0002434F" w:rsidRDefault="00373AB6" w:rsidP="007F3F71">
            <w:pPr>
              <w:cnfStyle w:val="000000000000" w:firstRow="0" w:lastRow="0" w:firstColumn="0" w:lastColumn="0" w:oddVBand="0" w:evenVBand="0" w:oddHBand="0" w:evenHBand="0" w:firstRowFirstColumn="0" w:firstRowLastColumn="0" w:lastRowFirstColumn="0" w:lastRowLastColumn="0"/>
            </w:pPr>
            <w:r w:rsidRPr="0002434F">
              <w:t xml:space="preserve">4 </w:t>
            </w:r>
            <w:r w:rsidR="00C548A1" w:rsidRPr="0002434F">
              <w:t>October 2017</w:t>
            </w:r>
          </w:p>
        </w:tc>
        <w:tc>
          <w:tcPr>
            <w:tcW w:w="1017" w:type="pct"/>
          </w:tcPr>
          <w:p w14:paraId="4519B96C" w14:textId="310A5CDA" w:rsidR="00C548A1" w:rsidRPr="0002434F" w:rsidRDefault="00C548A1" w:rsidP="007F3F71">
            <w:pPr>
              <w:cnfStyle w:val="000000000000" w:firstRow="0" w:lastRow="0" w:firstColumn="0" w:lastColumn="0" w:oddVBand="0" w:evenVBand="0" w:oddHBand="0" w:evenHBand="0" w:firstRowFirstColumn="0" w:firstRowLastColumn="0" w:lastRowFirstColumn="0" w:lastRowLastColumn="0"/>
            </w:pPr>
            <w:r w:rsidRPr="0002434F">
              <w:t xml:space="preserve">Withdrawal on </w:t>
            </w:r>
            <w:r w:rsidR="00D1653D" w:rsidRPr="0002434F">
              <w:t xml:space="preserve">23 </w:t>
            </w:r>
            <w:r w:rsidRPr="0002434F">
              <w:t>January 2019</w:t>
            </w:r>
          </w:p>
        </w:tc>
        <w:tc>
          <w:tcPr>
            <w:tcW w:w="2343" w:type="pct"/>
          </w:tcPr>
          <w:p w14:paraId="06EB3F93" w14:textId="0BEC1346" w:rsidR="00C548A1" w:rsidRPr="0002434F" w:rsidRDefault="00C548A1" w:rsidP="007F3F71">
            <w:pPr>
              <w:cnfStyle w:val="000000000000" w:firstRow="0" w:lastRow="0" w:firstColumn="0" w:lastColumn="0" w:oddVBand="0" w:evenVBand="0" w:oddHBand="0" w:evenHBand="0" w:firstRowFirstColumn="0" w:firstRowLastColumn="0" w:lastRowFirstColumn="0" w:lastRowLastColumn="0"/>
            </w:pPr>
            <w:r w:rsidRPr="0002434F">
              <w:t>Not applicable</w:t>
            </w:r>
          </w:p>
        </w:tc>
      </w:tr>
      <w:tr w:rsidR="00324B33" w:rsidRPr="0002434F" w14:paraId="38D24E86" w14:textId="77777777" w:rsidTr="5D873EBE">
        <w:tc>
          <w:tcPr>
            <w:cnfStyle w:val="001000000000" w:firstRow="0" w:lastRow="0" w:firstColumn="1" w:lastColumn="0" w:oddVBand="0" w:evenVBand="0" w:oddHBand="0" w:evenHBand="0" w:firstRowFirstColumn="0" w:firstRowLastColumn="0" w:lastRowFirstColumn="0" w:lastRowLastColumn="0"/>
            <w:tcW w:w="803" w:type="pct"/>
          </w:tcPr>
          <w:p w14:paraId="4C540DE5" w14:textId="2A550F70" w:rsidR="00324B33" w:rsidRPr="0002434F" w:rsidRDefault="009444B6" w:rsidP="007F3F71">
            <w:r w:rsidRPr="0002434F">
              <w:t>United States of</w:t>
            </w:r>
            <w:r w:rsidR="00F86BFB" w:rsidRPr="0002434F">
              <w:t xml:space="preserve"> </w:t>
            </w:r>
            <w:r w:rsidRPr="0002434F">
              <w:t>America</w:t>
            </w:r>
          </w:p>
        </w:tc>
        <w:tc>
          <w:tcPr>
            <w:tcW w:w="837" w:type="pct"/>
          </w:tcPr>
          <w:p w14:paraId="4FA5DDA9" w14:textId="2C9DCB9A" w:rsidR="00324B33" w:rsidRPr="0002434F" w:rsidRDefault="004B488E" w:rsidP="007F3F71">
            <w:pPr>
              <w:cnfStyle w:val="000000000000" w:firstRow="0" w:lastRow="0" w:firstColumn="0" w:lastColumn="0" w:oddVBand="0" w:evenVBand="0" w:oddHBand="0" w:evenHBand="0" w:firstRowFirstColumn="0" w:firstRowLastColumn="0" w:lastRowFirstColumn="0" w:lastRowLastColumn="0"/>
            </w:pPr>
            <w:r w:rsidRPr="0002434F">
              <w:t>7</w:t>
            </w:r>
            <w:r w:rsidR="00F86BFB" w:rsidRPr="0002434F">
              <w:t xml:space="preserve"> </w:t>
            </w:r>
            <w:r w:rsidR="009444B6" w:rsidRPr="0002434F">
              <w:t>Jul</w:t>
            </w:r>
            <w:r w:rsidR="00F86BFB" w:rsidRPr="0002434F">
              <w:t xml:space="preserve">y </w:t>
            </w:r>
            <w:r w:rsidR="009444B6" w:rsidRPr="0002434F">
              <w:t>2020</w:t>
            </w:r>
          </w:p>
        </w:tc>
        <w:tc>
          <w:tcPr>
            <w:tcW w:w="1017" w:type="pct"/>
          </w:tcPr>
          <w:p w14:paraId="29358393" w14:textId="34B269C7" w:rsidR="00324B33" w:rsidRPr="0002434F" w:rsidRDefault="00324B33" w:rsidP="007F3F71">
            <w:pPr>
              <w:cnfStyle w:val="000000000000" w:firstRow="0" w:lastRow="0" w:firstColumn="0" w:lastColumn="0" w:oddVBand="0" w:evenVBand="0" w:oddHBand="0" w:evenHBand="0" w:firstRowFirstColumn="0" w:firstRowLastColumn="0" w:lastRowFirstColumn="0" w:lastRowLastColumn="0"/>
            </w:pPr>
            <w:r w:rsidRPr="0002434F">
              <w:t xml:space="preserve">Approved on </w:t>
            </w:r>
            <w:r w:rsidR="009444B6" w:rsidRPr="0002434F">
              <w:t>7</w:t>
            </w:r>
            <w:r w:rsidR="00F86BFB" w:rsidRPr="0002434F">
              <w:t xml:space="preserve"> </w:t>
            </w:r>
            <w:r w:rsidR="009444B6" w:rsidRPr="0002434F">
              <w:t>Oct</w:t>
            </w:r>
            <w:r w:rsidR="00F86BFB" w:rsidRPr="0002434F">
              <w:t>ober</w:t>
            </w:r>
            <w:r w:rsidR="009444B6" w:rsidRPr="0002434F">
              <w:t xml:space="preserve"> 2021</w:t>
            </w:r>
          </w:p>
        </w:tc>
        <w:tc>
          <w:tcPr>
            <w:tcW w:w="2343" w:type="pct"/>
          </w:tcPr>
          <w:p w14:paraId="05055674" w14:textId="6F6AD049" w:rsidR="00324B33" w:rsidRPr="0002434F" w:rsidRDefault="00241EA0" w:rsidP="007F3F71">
            <w:pPr>
              <w:cnfStyle w:val="000000000000" w:firstRow="0" w:lastRow="0" w:firstColumn="0" w:lastColumn="0" w:oddVBand="0" w:evenVBand="0" w:oddHBand="0" w:evenHBand="0" w:firstRowFirstColumn="0" w:firstRowLastColumn="0" w:lastRowFirstColumn="0" w:lastRowLastColumn="0"/>
              <w:rPr>
                <w:i/>
                <w:iCs/>
              </w:rPr>
            </w:pPr>
            <w:r w:rsidRPr="0002434F">
              <w:rPr>
                <w:i/>
                <w:iCs/>
              </w:rPr>
              <w:t>Tavneos</w:t>
            </w:r>
            <w:r w:rsidR="009444B6" w:rsidRPr="0002434F">
              <w:rPr>
                <w:i/>
                <w:iCs/>
              </w:rPr>
              <w:t xml:space="preserve"> is indicated as an adjunctive treatment of adult patients with severe active antineutrophil cytoplasmic autoantibody (ANCA)-associated vasculitis (granulomatosis with polyangiitis [GPA] and microscopic polyangiitis [MPA]) in combination with standard therapy including glucocorticoids. </w:t>
            </w:r>
            <w:r w:rsidRPr="0002434F">
              <w:rPr>
                <w:i/>
                <w:iCs/>
              </w:rPr>
              <w:t>Tavneos</w:t>
            </w:r>
            <w:r w:rsidR="009444B6" w:rsidRPr="0002434F">
              <w:rPr>
                <w:i/>
                <w:iCs/>
              </w:rPr>
              <w:t xml:space="preserve"> does not eliminate</w:t>
            </w:r>
            <w:r w:rsidR="00F86BFB" w:rsidRPr="0002434F">
              <w:rPr>
                <w:i/>
                <w:iCs/>
              </w:rPr>
              <w:t xml:space="preserve"> </w:t>
            </w:r>
            <w:r w:rsidR="009444B6" w:rsidRPr="0002434F">
              <w:rPr>
                <w:i/>
                <w:iCs/>
              </w:rPr>
              <w:t>glucocorticoid use.</w:t>
            </w:r>
          </w:p>
        </w:tc>
      </w:tr>
      <w:tr w:rsidR="009444B6" w:rsidRPr="0002434F" w14:paraId="06F09337" w14:textId="77777777" w:rsidTr="5D873EBE">
        <w:tc>
          <w:tcPr>
            <w:cnfStyle w:val="001000000000" w:firstRow="0" w:lastRow="0" w:firstColumn="1" w:lastColumn="0" w:oddVBand="0" w:evenVBand="0" w:oddHBand="0" w:evenHBand="0" w:firstRowFirstColumn="0" w:firstRowLastColumn="0" w:lastRowFirstColumn="0" w:lastRowLastColumn="0"/>
            <w:tcW w:w="803" w:type="pct"/>
          </w:tcPr>
          <w:p w14:paraId="638E90F5" w14:textId="01A6ADC6" w:rsidR="009444B6" w:rsidRPr="0002434F" w:rsidRDefault="009444B6" w:rsidP="007F3F71">
            <w:r w:rsidRPr="0002434F">
              <w:t>Japan</w:t>
            </w:r>
          </w:p>
        </w:tc>
        <w:tc>
          <w:tcPr>
            <w:tcW w:w="837" w:type="pct"/>
          </w:tcPr>
          <w:p w14:paraId="6F5BF9CB" w14:textId="1C3E014C" w:rsidR="009444B6" w:rsidRPr="0002434F" w:rsidRDefault="009444B6" w:rsidP="007F3F71">
            <w:pPr>
              <w:cnfStyle w:val="000000000000" w:firstRow="0" w:lastRow="0" w:firstColumn="0" w:lastColumn="0" w:oddVBand="0" w:evenVBand="0" w:oddHBand="0" w:evenHBand="0" w:firstRowFirstColumn="0" w:firstRowLastColumn="0" w:lastRowFirstColumn="0" w:lastRowLastColumn="0"/>
            </w:pPr>
            <w:r w:rsidRPr="0002434F">
              <w:t>26</w:t>
            </w:r>
            <w:r w:rsidR="00F86BFB" w:rsidRPr="0002434F">
              <w:t xml:space="preserve"> </w:t>
            </w:r>
            <w:r w:rsidRPr="0002434F">
              <w:t>Feb</w:t>
            </w:r>
            <w:r w:rsidR="00F86BFB" w:rsidRPr="0002434F">
              <w:t xml:space="preserve">ruary </w:t>
            </w:r>
            <w:r w:rsidRPr="0002434F">
              <w:t>2021</w:t>
            </w:r>
          </w:p>
        </w:tc>
        <w:tc>
          <w:tcPr>
            <w:tcW w:w="1017" w:type="pct"/>
          </w:tcPr>
          <w:p w14:paraId="368AC513" w14:textId="486A0D49" w:rsidR="009444B6" w:rsidRPr="0002434F" w:rsidRDefault="00F86BFB" w:rsidP="007F3F71">
            <w:pPr>
              <w:cnfStyle w:val="000000000000" w:firstRow="0" w:lastRow="0" w:firstColumn="0" w:lastColumn="0" w:oddVBand="0" w:evenVBand="0" w:oddHBand="0" w:evenHBand="0" w:firstRowFirstColumn="0" w:firstRowLastColumn="0" w:lastRowFirstColumn="0" w:lastRowLastColumn="0"/>
            </w:pPr>
            <w:r w:rsidRPr="0002434F">
              <w:t xml:space="preserve">Approved on </w:t>
            </w:r>
            <w:r w:rsidR="009444B6" w:rsidRPr="0002434F">
              <w:t>27</w:t>
            </w:r>
            <w:r w:rsidRPr="0002434F">
              <w:t xml:space="preserve"> </w:t>
            </w:r>
            <w:r w:rsidR="009444B6" w:rsidRPr="0002434F">
              <w:t>Sept</w:t>
            </w:r>
            <w:r w:rsidRPr="0002434F">
              <w:t xml:space="preserve">ember </w:t>
            </w:r>
            <w:r w:rsidR="009444B6" w:rsidRPr="0002434F">
              <w:t>2021</w:t>
            </w:r>
          </w:p>
        </w:tc>
        <w:tc>
          <w:tcPr>
            <w:tcW w:w="2343" w:type="pct"/>
          </w:tcPr>
          <w:p w14:paraId="04B74C23" w14:textId="1BCC23C5" w:rsidR="009444B6" w:rsidRPr="0002434F" w:rsidRDefault="009444B6" w:rsidP="007F3F71">
            <w:pPr>
              <w:cnfStyle w:val="000000000000" w:firstRow="0" w:lastRow="0" w:firstColumn="0" w:lastColumn="0" w:oddVBand="0" w:evenVBand="0" w:oddHBand="0" w:evenHBand="0" w:firstRowFirstColumn="0" w:firstRowLastColumn="0" w:lastRowFirstColumn="0" w:lastRowLastColumn="0"/>
              <w:rPr>
                <w:i/>
                <w:iCs/>
              </w:rPr>
            </w:pPr>
            <w:r w:rsidRPr="0002434F">
              <w:rPr>
                <w:i/>
                <w:iCs/>
              </w:rPr>
              <w:t>Microscopic polyangiitis,</w:t>
            </w:r>
            <w:r w:rsidR="00F86BFB" w:rsidRPr="0002434F">
              <w:rPr>
                <w:i/>
                <w:iCs/>
              </w:rPr>
              <w:t xml:space="preserve"> </w:t>
            </w:r>
            <w:r w:rsidRPr="0002434F">
              <w:rPr>
                <w:i/>
                <w:iCs/>
              </w:rPr>
              <w:t>granulomatosis with</w:t>
            </w:r>
            <w:r w:rsidR="00F86BFB" w:rsidRPr="0002434F">
              <w:rPr>
                <w:i/>
                <w:iCs/>
              </w:rPr>
              <w:t xml:space="preserve"> </w:t>
            </w:r>
            <w:r w:rsidRPr="0002434F">
              <w:rPr>
                <w:i/>
                <w:iCs/>
              </w:rPr>
              <w:t>polyangiitis</w:t>
            </w:r>
          </w:p>
        </w:tc>
      </w:tr>
      <w:tr w:rsidR="00324B33" w:rsidRPr="0002434F" w14:paraId="18B6E2AA" w14:textId="7783D66F" w:rsidTr="5D873EBE">
        <w:tc>
          <w:tcPr>
            <w:cnfStyle w:val="001000000000" w:firstRow="0" w:lastRow="0" w:firstColumn="1" w:lastColumn="0" w:oddVBand="0" w:evenVBand="0" w:oddHBand="0" w:evenHBand="0" w:firstRowFirstColumn="0" w:firstRowLastColumn="0" w:lastRowFirstColumn="0" w:lastRowLastColumn="0"/>
            <w:tcW w:w="803" w:type="pct"/>
          </w:tcPr>
          <w:p w14:paraId="7F348960" w14:textId="09070919" w:rsidR="00324B33" w:rsidRPr="0002434F" w:rsidRDefault="00D6185C" w:rsidP="007F3F71">
            <w:r w:rsidRPr="0002434F">
              <w:t>European Union</w:t>
            </w:r>
          </w:p>
        </w:tc>
        <w:tc>
          <w:tcPr>
            <w:tcW w:w="837" w:type="pct"/>
          </w:tcPr>
          <w:p w14:paraId="1D871E57" w14:textId="67EECA26" w:rsidR="00324B33" w:rsidRPr="0002434F" w:rsidRDefault="009444B6" w:rsidP="007F3F71">
            <w:pPr>
              <w:cnfStyle w:val="000000000000" w:firstRow="0" w:lastRow="0" w:firstColumn="0" w:lastColumn="0" w:oddVBand="0" w:evenVBand="0" w:oddHBand="0" w:evenHBand="0" w:firstRowFirstColumn="0" w:firstRowLastColumn="0" w:lastRowFirstColumn="0" w:lastRowLastColumn="0"/>
            </w:pPr>
            <w:r w:rsidRPr="0002434F">
              <w:t>9</w:t>
            </w:r>
            <w:r w:rsidR="00F86BFB" w:rsidRPr="0002434F">
              <w:t xml:space="preserve"> </w:t>
            </w:r>
            <w:r w:rsidRPr="0002434F">
              <w:t>Oct</w:t>
            </w:r>
            <w:r w:rsidR="00F86BFB" w:rsidRPr="0002434F">
              <w:t xml:space="preserve">ober </w:t>
            </w:r>
            <w:r w:rsidRPr="0002434F">
              <w:t>2020</w:t>
            </w:r>
          </w:p>
        </w:tc>
        <w:tc>
          <w:tcPr>
            <w:tcW w:w="1017" w:type="pct"/>
          </w:tcPr>
          <w:p w14:paraId="63A3A9D3" w14:textId="278C7653" w:rsidR="00324B33" w:rsidRPr="0002434F" w:rsidRDefault="00F86BFB" w:rsidP="007F3F71">
            <w:pPr>
              <w:cnfStyle w:val="000000000000" w:firstRow="0" w:lastRow="0" w:firstColumn="0" w:lastColumn="0" w:oddVBand="0" w:evenVBand="0" w:oddHBand="0" w:evenHBand="0" w:firstRowFirstColumn="0" w:firstRowLastColumn="0" w:lastRowFirstColumn="0" w:lastRowLastColumn="0"/>
            </w:pPr>
            <w:r w:rsidRPr="0002434F">
              <w:t xml:space="preserve">Approved on </w:t>
            </w:r>
            <w:r w:rsidR="009444B6" w:rsidRPr="0002434F">
              <w:t>11</w:t>
            </w:r>
            <w:r w:rsidRPr="0002434F">
              <w:t xml:space="preserve"> </w:t>
            </w:r>
            <w:r w:rsidR="009444B6" w:rsidRPr="0002434F">
              <w:t>Jan</w:t>
            </w:r>
            <w:r w:rsidRPr="0002434F">
              <w:t xml:space="preserve">uary </w:t>
            </w:r>
            <w:r w:rsidR="009444B6" w:rsidRPr="0002434F">
              <w:t>2022</w:t>
            </w:r>
          </w:p>
        </w:tc>
        <w:tc>
          <w:tcPr>
            <w:tcW w:w="2343" w:type="pct"/>
          </w:tcPr>
          <w:p w14:paraId="17C650B8" w14:textId="022DE17B" w:rsidR="00324B33" w:rsidRPr="0002434F" w:rsidRDefault="00241EA0" w:rsidP="007F3F71">
            <w:pPr>
              <w:cnfStyle w:val="000000000000" w:firstRow="0" w:lastRow="0" w:firstColumn="0" w:lastColumn="0" w:oddVBand="0" w:evenVBand="0" w:oddHBand="0" w:evenHBand="0" w:firstRowFirstColumn="0" w:firstRowLastColumn="0" w:lastRowFirstColumn="0" w:lastRowLastColumn="0"/>
              <w:rPr>
                <w:i/>
                <w:iCs/>
              </w:rPr>
            </w:pPr>
            <w:r w:rsidRPr="0002434F">
              <w:rPr>
                <w:i/>
                <w:iCs/>
              </w:rPr>
              <w:t>Tavneos</w:t>
            </w:r>
            <w:r w:rsidR="009444B6" w:rsidRPr="0002434F">
              <w:rPr>
                <w:i/>
                <w:iCs/>
              </w:rPr>
              <w:t>, in combination</w:t>
            </w:r>
            <w:r w:rsidR="00F86BFB" w:rsidRPr="0002434F">
              <w:rPr>
                <w:i/>
                <w:iCs/>
              </w:rPr>
              <w:t xml:space="preserve"> </w:t>
            </w:r>
            <w:r w:rsidR="009444B6" w:rsidRPr="0002434F">
              <w:rPr>
                <w:i/>
                <w:iCs/>
              </w:rPr>
              <w:t>with a rituximab or</w:t>
            </w:r>
            <w:r w:rsidR="00F86BFB" w:rsidRPr="0002434F">
              <w:rPr>
                <w:i/>
                <w:iCs/>
              </w:rPr>
              <w:t xml:space="preserve"> </w:t>
            </w:r>
            <w:r w:rsidR="009444B6" w:rsidRPr="0002434F">
              <w:rPr>
                <w:i/>
                <w:iCs/>
              </w:rPr>
              <w:t>cyclophosphamide regimen,</w:t>
            </w:r>
            <w:r w:rsidR="00F86BFB" w:rsidRPr="0002434F">
              <w:rPr>
                <w:i/>
                <w:iCs/>
              </w:rPr>
              <w:t xml:space="preserve"> </w:t>
            </w:r>
            <w:r w:rsidR="009444B6" w:rsidRPr="0002434F">
              <w:rPr>
                <w:i/>
                <w:iCs/>
              </w:rPr>
              <w:t>is indicated for the</w:t>
            </w:r>
            <w:r w:rsidR="00F86BFB" w:rsidRPr="0002434F">
              <w:rPr>
                <w:i/>
                <w:iCs/>
              </w:rPr>
              <w:t xml:space="preserve"> </w:t>
            </w:r>
            <w:r w:rsidR="009444B6" w:rsidRPr="0002434F">
              <w:rPr>
                <w:i/>
                <w:iCs/>
              </w:rPr>
              <w:t>treatment of adult patients</w:t>
            </w:r>
            <w:r w:rsidR="00F86BFB" w:rsidRPr="0002434F">
              <w:rPr>
                <w:i/>
                <w:iCs/>
              </w:rPr>
              <w:t xml:space="preserve"> </w:t>
            </w:r>
            <w:r w:rsidR="009444B6" w:rsidRPr="0002434F">
              <w:rPr>
                <w:i/>
                <w:iCs/>
              </w:rPr>
              <w:t>with severe, active</w:t>
            </w:r>
            <w:r w:rsidR="00F86BFB" w:rsidRPr="0002434F">
              <w:rPr>
                <w:i/>
                <w:iCs/>
              </w:rPr>
              <w:t xml:space="preserve"> </w:t>
            </w:r>
            <w:r w:rsidR="009444B6" w:rsidRPr="0002434F">
              <w:rPr>
                <w:i/>
                <w:iCs/>
              </w:rPr>
              <w:t>granulomatosis with</w:t>
            </w:r>
            <w:r w:rsidR="00F86BFB" w:rsidRPr="0002434F">
              <w:rPr>
                <w:i/>
                <w:iCs/>
              </w:rPr>
              <w:t xml:space="preserve"> </w:t>
            </w:r>
            <w:r w:rsidR="009444B6" w:rsidRPr="0002434F">
              <w:rPr>
                <w:i/>
                <w:iCs/>
              </w:rPr>
              <w:t>polyangiitis (GPA) and</w:t>
            </w:r>
            <w:r w:rsidR="00F86BFB" w:rsidRPr="0002434F">
              <w:rPr>
                <w:i/>
                <w:iCs/>
              </w:rPr>
              <w:t xml:space="preserve"> </w:t>
            </w:r>
            <w:r w:rsidR="009444B6" w:rsidRPr="0002434F">
              <w:rPr>
                <w:i/>
                <w:iCs/>
              </w:rPr>
              <w:t>microscopic polyangiitis</w:t>
            </w:r>
            <w:r w:rsidR="00F86BFB" w:rsidRPr="0002434F">
              <w:rPr>
                <w:i/>
                <w:iCs/>
              </w:rPr>
              <w:t xml:space="preserve"> </w:t>
            </w:r>
            <w:r w:rsidR="009444B6" w:rsidRPr="0002434F">
              <w:rPr>
                <w:i/>
                <w:iCs/>
              </w:rPr>
              <w:t>(MPA).</w:t>
            </w:r>
          </w:p>
        </w:tc>
      </w:tr>
      <w:tr w:rsidR="009444B6" w:rsidRPr="0002434F" w14:paraId="5FA78EFF" w14:textId="77777777" w:rsidTr="5D873EBE">
        <w:tc>
          <w:tcPr>
            <w:cnfStyle w:val="001000000000" w:firstRow="0" w:lastRow="0" w:firstColumn="1" w:lastColumn="0" w:oddVBand="0" w:evenVBand="0" w:oddHBand="0" w:evenHBand="0" w:firstRowFirstColumn="0" w:firstRowLastColumn="0" w:lastRowFirstColumn="0" w:lastRowLastColumn="0"/>
            <w:tcW w:w="803" w:type="pct"/>
          </w:tcPr>
          <w:p w14:paraId="1D19CB76" w14:textId="1811BC3F" w:rsidR="009444B6" w:rsidRPr="0002434F" w:rsidRDefault="009444B6" w:rsidP="007F3F71">
            <w:r w:rsidRPr="0002434F">
              <w:t>Great Britain</w:t>
            </w:r>
          </w:p>
        </w:tc>
        <w:tc>
          <w:tcPr>
            <w:tcW w:w="837" w:type="pct"/>
          </w:tcPr>
          <w:p w14:paraId="019F21CC" w14:textId="1C58C09A" w:rsidR="009444B6" w:rsidRPr="0002434F" w:rsidRDefault="009444B6" w:rsidP="007F3F71">
            <w:pPr>
              <w:cnfStyle w:val="000000000000" w:firstRow="0" w:lastRow="0" w:firstColumn="0" w:lastColumn="0" w:oddVBand="0" w:evenVBand="0" w:oddHBand="0" w:evenHBand="0" w:firstRowFirstColumn="0" w:firstRowLastColumn="0" w:lastRowFirstColumn="0" w:lastRowLastColumn="0"/>
            </w:pPr>
            <w:r w:rsidRPr="0002434F">
              <w:t>14</w:t>
            </w:r>
            <w:r w:rsidR="00F86BFB" w:rsidRPr="0002434F">
              <w:t xml:space="preserve"> </w:t>
            </w:r>
            <w:r w:rsidRPr="0002434F">
              <w:t>Nov</w:t>
            </w:r>
            <w:r w:rsidR="00F86BFB" w:rsidRPr="0002434F">
              <w:t xml:space="preserve">ember </w:t>
            </w:r>
            <w:r w:rsidRPr="0002434F">
              <w:t>2021</w:t>
            </w:r>
          </w:p>
        </w:tc>
        <w:tc>
          <w:tcPr>
            <w:tcW w:w="1017" w:type="pct"/>
          </w:tcPr>
          <w:p w14:paraId="50E03DDD" w14:textId="52A40898" w:rsidR="009444B6" w:rsidRPr="0002434F" w:rsidRDefault="00F86BFB" w:rsidP="007F3F71">
            <w:pPr>
              <w:cnfStyle w:val="000000000000" w:firstRow="0" w:lastRow="0" w:firstColumn="0" w:lastColumn="0" w:oddVBand="0" w:evenVBand="0" w:oddHBand="0" w:evenHBand="0" w:firstRowFirstColumn="0" w:firstRowLastColumn="0" w:lastRowFirstColumn="0" w:lastRowLastColumn="0"/>
            </w:pPr>
            <w:r w:rsidRPr="0002434F">
              <w:t xml:space="preserve">Approved on 6 </w:t>
            </w:r>
            <w:r w:rsidR="009444B6" w:rsidRPr="0002434F">
              <w:t>May</w:t>
            </w:r>
            <w:r w:rsidRPr="0002434F">
              <w:t xml:space="preserve"> </w:t>
            </w:r>
            <w:r w:rsidR="009444B6" w:rsidRPr="0002434F">
              <w:t>2022</w:t>
            </w:r>
          </w:p>
        </w:tc>
        <w:tc>
          <w:tcPr>
            <w:tcW w:w="2343" w:type="pct"/>
          </w:tcPr>
          <w:p w14:paraId="45B22E50" w14:textId="06241582" w:rsidR="009444B6" w:rsidRPr="0002434F" w:rsidRDefault="00241EA0" w:rsidP="007F3F71">
            <w:pPr>
              <w:cnfStyle w:val="000000000000" w:firstRow="0" w:lastRow="0" w:firstColumn="0" w:lastColumn="0" w:oddVBand="0" w:evenVBand="0" w:oddHBand="0" w:evenHBand="0" w:firstRowFirstColumn="0" w:firstRowLastColumn="0" w:lastRowFirstColumn="0" w:lastRowLastColumn="0"/>
              <w:rPr>
                <w:i/>
                <w:iCs/>
              </w:rPr>
            </w:pPr>
            <w:r w:rsidRPr="0002434F">
              <w:rPr>
                <w:i/>
                <w:iCs/>
              </w:rPr>
              <w:t>Tavneos</w:t>
            </w:r>
            <w:r w:rsidR="009444B6" w:rsidRPr="0002434F">
              <w:rPr>
                <w:i/>
                <w:iCs/>
              </w:rPr>
              <w:t>, in combination</w:t>
            </w:r>
            <w:r w:rsidR="00F86BFB" w:rsidRPr="0002434F">
              <w:rPr>
                <w:i/>
                <w:iCs/>
              </w:rPr>
              <w:t xml:space="preserve"> </w:t>
            </w:r>
            <w:r w:rsidR="009444B6" w:rsidRPr="0002434F">
              <w:rPr>
                <w:i/>
                <w:iCs/>
              </w:rPr>
              <w:t>with a rituximab or</w:t>
            </w:r>
            <w:r w:rsidR="00F86BFB" w:rsidRPr="0002434F">
              <w:rPr>
                <w:i/>
                <w:iCs/>
              </w:rPr>
              <w:t xml:space="preserve"> </w:t>
            </w:r>
            <w:r w:rsidR="009444B6" w:rsidRPr="0002434F">
              <w:rPr>
                <w:i/>
                <w:iCs/>
              </w:rPr>
              <w:t>cyclophosphamide regimen,</w:t>
            </w:r>
            <w:r w:rsidR="00F86BFB" w:rsidRPr="0002434F">
              <w:rPr>
                <w:i/>
                <w:iCs/>
              </w:rPr>
              <w:t xml:space="preserve"> </w:t>
            </w:r>
            <w:r w:rsidR="009444B6" w:rsidRPr="0002434F">
              <w:rPr>
                <w:i/>
                <w:iCs/>
              </w:rPr>
              <w:t>is indicated for the</w:t>
            </w:r>
            <w:r w:rsidR="00F86BFB" w:rsidRPr="0002434F">
              <w:rPr>
                <w:i/>
                <w:iCs/>
              </w:rPr>
              <w:t xml:space="preserve"> </w:t>
            </w:r>
            <w:r w:rsidR="009444B6" w:rsidRPr="0002434F">
              <w:rPr>
                <w:i/>
                <w:iCs/>
              </w:rPr>
              <w:t>treatment of adult patients</w:t>
            </w:r>
            <w:r w:rsidR="00F86BFB" w:rsidRPr="0002434F">
              <w:rPr>
                <w:i/>
                <w:iCs/>
              </w:rPr>
              <w:t xml:space="preserve"> </w:t>
            </w:r>
            <w:r w:rsidR="009444B6" w:rsidRPr="0002434F">
              <w:rPr>
                <w:i/>
                <w:iCs/>
              </w:rPr>
              <w:t>with severe, active</w:t>
            </w:r>
            <w:r w:rsidR="00F86BFB" w:rsidRPr="0002434F">
              <w:rPr>
                <w:i/>
                <w:iCs/>
              </w:rPr>
              <w:t xml:space="preserve"> </w:t>
            </w:r>
            <w:r w:rsidR="009444B6" w:rsidRPr="0002434F">
              <w:rPr>
                <w:i/>
                <w:iCs/>
              </w:rPr>
              <w:t>granulomatosis with</w:t>
            </w:r>
            <w:r w:rsidR="00F86BFB" w:rsidRPr="0002434F">
              <w:rPr>
                <w:i/>
                <w:iCs/>
              </w:rPr>
              <w:t xml:space="preserve"> </w:t>
            </w:r>
            <w:r w:rsidR="009444B6" w:rsidRPr="0002434F">
              <w:rPr>
                <w:i/>
                <w:iCs/>
              </w:rPr>
              <w:t>polyangiitis (GPA) and</w:t>
            </w:r>
            <w:r w:rsidR="00F86BFB" w:rsidRPr="0002434F">
              <w:rPr>
                <w:i/>
                <w:iCs/>
              </w:rPr>
              <w:t xml:space="preserve"> </w:t>
            </w:r>
            <w:r w:rsidR="009444B6" w:rsidRPr="0002434F">
              <w:rPr>
                <w:i/>
                <w:iCs/>
              </w:rPr>
              <w:t>microscopic polyangiitis</w:t>
            </w:r>
            <w:r w:rsidR="00F86BFB" w:rsidRPr="0002434F">
              <w:rPr>
                <w:i/>
                <w:iCs/>
              </w:rPr>
              <w:t xml:space="preserve"> </w:t>
            </w:r>
            <w:r w:rsidR="009444B6" w:rsidRPr="0002434F">
              <w:rPr>
                <w:i/>
                <w:iCs/>
              </w:rPr>
              <w:t>(MPA).</w:t>
            </w:r>
          </w:p>
        </w:tc>
      </w:tr>
      <w:tr w:rsidR="009444B6" w:rsidRPr="0002434F" w14:paraId="5DB029F0" w14:textId="77777777" w:rsidTr="5D873EBE">
        <w:tc>
          <w:tcPr>
            <w:cnfStyle w:val="001000000000" w:firstRow="0" w:lastRow="0" w:firstColumn="1" w:lastColumn="0" w:oddVBand="0" w:evenVBand="0" w:oddHBand="0" w:evenHBand="0" w:firstRowFirstColumn="0" w:firstRowLastColumn="0" w:lastRowFirstColumn="0" w:lastRowLastColumn="0"/>
            <w:tcW w:w="803" w:type="pct"/>
          </w:tcPr>
          <w:p w14:paraId="66334D9F" w14:textId="7D3F66D3" w:rsidR="009444B6" w:rsidRPr="0002434F" w:rsidRDefault="009444B6" w:rsidP="007F3F71">
            <w:r w:rsidRPr="0002434F">
              <w:lastRenderedPageBreak/>
              <w:t>Canada</w:t>
            </w:r>
          </w:p>
        </w:tc>
        <w:tc>
          <w:tcPr>
            <w:tcW w:w="837" w:type="pct"/>
          </w:tcPr>
          <w:p w14:paraId="5935AB78" w14:textId="01500EA1" w:rsidR="009444B6" w:rsidRPr="0002434F" w:rsidRDefault="009444B6" w:rsidP="007F3F71">
            <w:pPr>
              <w:cnfStyle w:val="000000000000" w:firstRow="0" w:lastRow="0" w:firstColumn="0" w:lastColumn="0" w:oddVBand="0" w:evenVBand="0" w:oddHBand="0" w:evenHBand="0" w:firstRowFirstColumn="0" w:firstRowLastColumn="0" w:lastRowFirstColumn="0" w:lastRowLastColumn="0"/>
            </w:pPr>
            <w:r w:rsidRPr="0002434F">
              <w:t>9</w:t>
            </w:r>
            <w:r w:rsidR="00F86BFB" w:rsidRPr="0002434F">
              <w:t xml:space="preserve"> </w:t>
            </w:r>
            <w:r w:rsidRPr="0002434F">
              <w:t>Apr</w:t>
            </w:r>
            <w:r w:rsidR="00F86BFB" w:rsidRPr="0002434F">
              <w:t xml:space="preserve">il </w:t>
            </w:r>
            <w:r w:rsidRPr="0002434F">
              <w:t>2021</w:t>
            </w:r>
          </w:p>
        </w:tc>
        <w:tc>
          <w:tcPr>
            <w:tcW w:w="1017" w:type="pct"/>
          </w:tcPr>
          <w:p w14:paraId="7B000B35" w14:textId="79EAA321" w:rsidR="009444B6" w:rsidRPr="0002434F" w:rsidRDefault="00F86BFB" w:rsidP="007F3F71">
            <w:pPr>
              <w:cnfStyle w:val="000000000000" w:firstRow="0" w:lastRow="0" w:firstColumn="0" w:lastColumn="0" w:oddVBand="0" w:evenVBand="0" w:oddHBand="0" w:evenHBand="0" w:firstRowFirstColumn="0" w:firstRowLastColumn="0" w:lastRowFirstColumn="0" w:lastRowLastColumn="0"/>
            </w:pPr>
            <w:r w:rsidRPr="0002434F">
              <w:t xml:space="preserve">Approved on </w:t>
            </w:r>
            <w:r w:rsidR="009444B6" w:rsidRPr="0002434F">
              <w:t>14</w:t>
            </w:r>
            <w:r w:rsidRPr="0002434F">
              <w:t xml:space="preserve"> </w:t>
            </w:r>
            <w:r w:rsidR="009444B6" w:rsidRPr="0002434F">
              <w:t>Apr</w:t>
            </w:r>
            <w:r w:rsidRPr="0002434F">
              <w:t xml:space="preserve">il </w:t>
            </w:r>
            <w:r w:rsidR="009444B6" w:rsidRPr="0002434F">
              <w:t>2022</w:t>
            </w:r>
          </w:p>
        </w:tc>
        <w:tc>
          <w:tcPr>
            <w:tcW w:w="2343" w:type="pct"/>
          </w:tcPr>
          <w:p w14:paraId="4BBAF0AE" w14:textId="37A9646C" w:rsidR="009444B6" w:rsidRPr="0002434F" w:rsidRDefault="00241EA0" w:rsidP="007F3F71">
            <w:pPr>
              <w:cnfStyle w:val="000000000000" w:firstRow="0" w:lastRow="0" w:firstColumn="0" w:lastColumn="0" w:oddVBand="0" w:evenVBand="0" w:oddHBand="0" w:evenHBand="0" w:firstRowFirstColumn="0" w:firstRowLastColumn="0" w:lastRowFirstColumn="0" w:lastRowLastColumn="0"/>
              <w:rPr>
                <w:i/>
                <w:iCs/>
              </w:rPr>
            </w:pPr>
            <w:r w:rsidRPr="0002434F">
              <w:rPr>
                <w:i/>
                <w:iCs/>
              </w:rPr>
              <w:t>Tavneos</w:t>
            </w:r>
            <w:r w:rsidR="009444B6" w:rsidRPr="0002434F">
              <w:rPr>
                <w:i/>
                <w:iCs/>
              </w:rPr>
              <w:t xml:space="preserve"> (</w:t>
            </w:r>
            <w:proofErr w:type="spellStart"/>
            <w:r w:rsidR="009444B6" w:rsidRPr="0002434F">
              <w:rPr>
                <w:i/>
                <w:iCs/>
              </w:rPr>
              <w:t>avacopan</w:t>
            </w:r>
            <w:proofErr w:type="spellEnd"/>
            <w:r w:rsidR="00F86BFB" w:rsidRPr="0002434F">
              <w:rPr>
                <w:i/>
                <w:iCs/>
              </w:rPr>
              <w:t xml:space="preserve"> </w:t>
            </w:r>
            <w:r w:rsidR="009444B6" w:rsidRPr="0002434F">
              <w:rPr>
                <w:i/>
                <w:iCs/>
              </w:rPr>
              <w:t>capsules) is indicated for the</w:t>
            </w:r>
            <w:r w:rsidR="00F86BFB" w:rsidRPr="0002434F">
              <w:rPr>
                <w:i/>
                <w:iCs/>
              </w:rPr>
              <w:t xml:space="preserve"> </w:t>
            </w:r>
            <w:r w:rsidR="009444B6" w:rsidRPr="0002434F">
              <w:rPr>
                <w:i/>
                <w:iCs/>
              </w:rPr>
              <w:t>adjunctive treatment of adult</w:t>
            </w:r>
            <w:r w:rsidR="00F86BFB" w:rsidRPr="0002434F">
              <w:rPr>
                <w:i/>
                <w:iCs/>
              </w:rPr>
              <w:t xml:space="preserve"> </w:t>
            </w:r>
            <w:r w:rsidR="009444B6" w:rsidRPr="0002434F">
              <w:rPr>
                <w:i/>
                <w:iCs/>
              </w:rPr>
              <w:t>patients with severe active</w:t>
            </w:r>
            <w:r w:rsidR="00F86BFB" w:rsidRPr="0002434F">
              <w:rPr>
                <w:i/>
                <w:iCs/>
              </w:rPr>
              <w:t xml:space="preserve"> </w:t>
            </w:r>
            <w:r w:rsidR="009444B6" w:rsidRPr="0002434F">
              <w:rPr>
                <w:i/>
                <w:iCs/>
              </w:rPr>
              <w:t>anti-neutrophil cytoplasmic</w:t>
            </w:r>
            <w:r w:rsidR="00F86BFB" w:rsidRPr="0002434F">
              <w:rPr>
                <w:i/>
                <w:iCs/>
              </w:rPr>
              <w:t xml:space="preserve"> </w:t>
            </w:r>
            <w:r w:rsidR="009444B6" w:rsidRPr="0002434F">
              <w:rPr>
                <w:i/>
                <w:iCs/>
              </w:rPr>
              <w:t>autoantibody (ANCA)-associated vasculitis</w:t>
            </w:r>
            <w:r w:rsidR="00F86BFB" w:rsidRPr="0002434F">
              <w:rPr>
                <w:i/>
                <w:iCs/>
              </w:rPr>
              <w:t xml:space="preserve"> </w:t>
            </w:r>
            <w:r w:rsidR="009444B6" w:rsidRPr="0002434F">
              <w:rPr>
                <w:i/>
                <w:iCs/>
              </w:rPr>
              <w:t>(granulomatosis with</w:t>
            </w:r>
            <w:r w:rsidR="00F86BFB" w:rsidRPr="0002434F">
              <w:rPr>
                <w:i/>
                <w:iCs/>
              </w:rPr>
              <w:t xml:space="preserve"> </w:t>
            </w:r>
            <w:r w:rsidR="009444B6" w:rsidRPr="0002434F">
              <w:rPr>
                <w:i/>
                <w:iCs/>
              </w:rPr>
              <w:t>polyangiitis [GPA] and</w:t>
            </w:r>
            <w:r w:rsidR="00F86BFB" w:rsidRPr="0002434F">
              <w:rPr>
                <w:i/>
                <w:iCs/>
              </w:rPr>
              <w:t xml:space="preserve"> </w:t>
            </w:r>
            <w:r w:rsidR="009444B6" w:rsidRPr="0002434F">
              <w:rPr>
                <w:i/>
                <w:iCs/>
              </w:rPr>
              <w:t>microscopic polyangiitis</w:t>
            </w:r>
            <w:r w:rsidR="00F86BFB" w:rsidRPr="0002434F">
              <w:rPr>
                <w:i/>
                <w:iCs/>
              </w:rPr>
              <w:t xml:space="preserve"> </w:t>
            </w:r>
            <w:r w:rsidR="009444B6" w:rsidRPr="0002434F">
              <w:rPr>
                <w:i/>
                <w:iCs/>
              </w:rPr>
              <w:t>[MPA]) in combination with</w:t>
            </w:r>
            <w:r w:rsidR="00F86BFB" w:rsidRPr="0002434F">
              <w:rPr>
                <w:i/>
                <w:iCs/>
              </w:rPr>
              <w:t xml:space="preserve"> </w:t>
            </w:r>
            <w:r w:rsidR="009444B6" w:rsidRPr="0002434F">
              <w:rPr>
                <w:i/>
                <w:iCs/>
              </w:rPr>
              <w:t>standard background therapy</w:t>
            </w:r>
            <w:r w:rsidR="00F86BFB" w:rsidRPr="0002434F">
              <w:rPr>
                <w:i/>
                <w:iCs/>
              </w:rPr>
              <w:t xml:space="preserve"> </w:t>
            </w:r>
            <w:r w:rsidR="009444B6" w:rsidRPr="0002434F">
              <w:rPr>
                <w:i/>
                <w:iCs/>
              </w:rPr>
              <w:t>including glucocorticoids.</w:t>
            </w:r>
            <w:r w:rsidR="00F86BFB" w:rsidRPr="0002434F">
              <w:rPr>
                <w:i/>
                <w:iCs/>
              </w:rPr>
              <w:t xml:space="preserve"> </w:t>
            </w:r>
            <w:r w:rsidRPr="0002434F">
              <w:rPr>
                <w:i/>
                <w:iCs/>
              </w:rPr>
              <w:t>Tavneos</w:t>
            </w:r>
            <w:r w:rsidR="009444B6" w:rsidRPr="0002434F">
              <w:rPr>
                <w:i/>
                <w:iCs/>
              </w:rPr>
              <w:t xml:space="preserve"> does not eliminate</w:t>
            </w:r>
            <w:r w:rsidR="00F86BFB" w:rsidRPr="0002434F">
              <w:rPr>
                <w:i/>
                <w:iCs/>
              </w:rPr>
              <w:t xml:space="preserve"> </w:t>
            </w:r>
            <w:r w:rsidR="009444B6" w:rsidRPr="0002434F">
              <w:rPr>
                <w:i/>
                <w:iCs/>
              </w:rPr>
              <w:t>glucocorticoid use.</w:t>
            </w:r>
          </w:p>
        </w:tc>
      </w:tr>
      <w:tr w:rsidR="009444B6" w:rsidRPr="0002434F" w14:paraId="7440030F" w14:textId="77777777" w:rsidTr="5D873EBE">
        <w:tc>
          <w:tcPr>
            <w:cnfStyle w:val="001000000000" w:firstRow="0" w:lastRow="0" w:firstColumn="1" w:lastColumn="0" w:oddVBand="0" w:evenVBand="0" w:oddHBand="0" w:evenHBand="0" w:firstRowFirstColumn="0" w:firstRowLastColumn="0" w:lastRowFirstColumn="0" w:lastRowLastColumn="0"/>
            <w:tcW w:w="803" w:type="pct"/>
          </w:tcPr>
          <w:p w14:paraId="42F1DF7A" w14:textId="7FA925CF" w:rsidR="009444B6" w:rsidRPr="0002434F" w:rsidRDefault="009444B6" w:rsidP="007F3F71">
            <w:r w:rsidRPr="0002434F">
              <w:t>Switzerland</w:t>
            </w:r>
          </w:p>
        </w:tc>
        <w:tc>
          <w:tcPr>
            <w:tcW w:w="837" w:type="pct"/>
          </w:tcPr>
          <w:p w14:paraId="54172156" w14:textId="4AC9DD03" w:rsidR="009444B6" w:rsidRPr="0002434F" w:rsidRDefault="009444B6" w:rsidP="007F3F71">
            <w:pPr>
              <w:cnfStyle w:val="000000000000" w:firstRow="0" w:lastRow="0" w:firstColumn="0" w:lastColumn="0" w:oddVBand="0" w:evenVBand="0" w:oddHBand="0" w:evenHBand="0" w:firstRowFirstColumn="0" w:firstRowLastColumn="0" w:lastRowFirstColumn="0" w:lastRowLastColumn="0"/>
            </w:pPr>
            <w:r w:rsidRPr="0002434F">
              <w:t>9</w:t>
            </w:r>
            <w:r w:rsidR="00F86BFB" w:rsidRPr="0002434F">
              <w:t xml:space="preserve"> </w:t>
            </w:r>
            <w:r w:rsidRPr="0002434F">
              <w:t>Apr</w:t>
            </w:r>
            <w:r w:rsidR="00F86BFB" w:rsidRPr="0002434F">
              <w:t xml:space="preserve">il </w:t>
            </w:r>
            <w:r w:rsidRPr="0002434F">
              <w:t>2021</w:t>
            </w:r>
          </w:p>
        </w:tc>
        <w:tc>
          <w:tcPr>
            <w:tcW w:w="1017" w:type="pct"/>
          </w:tcPr>
          <w:p w14:paraId="1666CE2A" w14:textId="3981291E" w:rsidR="009444B6" w:rsidRPr="0002434F" w:rsidRDefault="00F86BFB" w:rsidP="007F3F71">
            <w:pPr>
              <w:cnfStyle w:val="000000000000" w:firstRow="0" w:lastRow="0" w:firstColumn="0" w:lastColumn="0" w:oddVBand="0" w:evenVBand="0" w:oddHBand="0" w:evenHBand="0" w:firstRowFirstColumn="0" w:firstRowLastColumn="0" w:lastRowFirstColumn="0" w:lastRowLastColumn="0"/>
            </w:pPr>
            <w:r w:rsidRPr="0002434F">
              <w:t xml:space="preserve">Approved on </w:t>
            </w:r>
            <w:r w:rsidR="009444B6" w:rsidRPr="0002434F">
              <w:t>19</w:t>
            </w:r>
            <w:r w:rsidRPr="0002434F">
              <w:t xml:space="preserve"> </w:t>
            </w:r>
            <w:r w:rsidR="009444B6" w:rsidRPr="0002434F">
              <w:t>Sept</w:t>
            </w:r>
            <w:r w:rsidRPr="0002434F">
              <w:t xml:space="preserve">ember </w:t>
            </w:r>
            <w:r w:rsidR="009444B6" w:rsidRPr="0002434F">
              <w:t>2022</w:t>
            </w:r>
          </w:p>
        </w:tc>
        <w:tc>
          <w:tcPr>
            <w:tcW w:w="2343" w:type="pct"/>
          </w:tcPr>
          <w:p w14:paraId="00FFE6A5" w14:textId="0D197DC1" w:rsidR="009444B6" w:rsidRPr="0002434F" w:rsidRDefault="009444B6" w:rsidP="007F3F71">
            <w:pPr>
              <w:cnfStyle w:val="000000000000" w:firstRow="0" w:lastRow="0" w:firstColumn="0" w:lastColumn="0" w:oddVBand="0" w:evenVBand="0" w:oddHBand="0" w:evenHBand="0" w:firstRowFirstColumn="0" w:firstRowLastColumn="0" w:lastRowFirstColumn="0" w:lastRowLastColumn="0"/>
              <w:rPr>
                <w:i/>
                <w:iCs/>
              </w:rPr>
            </w:pPr>
            <w:r w:rsidRPr="0002434F">
              <w:rPr>
                <w:i/>
                <w:iCs/>
              </w:rPr>
              <w:t>Tavneos, as an adjunctive</w:t>
            </w:r>
            <w:r w:rsidR="00F86BFB" w:rsidRPr="0002434F">
              <w:rPr>
                <w:i/>
                <w:iCs/>
              </w:rPr>
              <w:t xml:space="preserve"> </w:t>
            </w:r>
            <w:r w:rsidRPr="0002434F">
              <w:rPr>
                <w:i/>
                <w:iCs/>
              </w:rPr>
              <w:t>treatment to standard</w:t>
            </w:r>
            <w:r w:rsidR="00F86BFB" w:rsidRPr="0002434F">
              <w:rPr>
                <w:i/>
                <w:iCs/>
              </w:rPr>
              <w:t xml:space="preserve"> </w:t>
            </w:r>
            <w:r w:rsidRPr="0002434F">
              <w:rPr>
                <w:i/>
                <w:iCs/>
              </w:rPr>
              <w:t>immunosuppressive treatment</w:t>
            </w:r>
            <w:r w:rsidR="00F86BFB" w:rsidRPr="0002434F">
              <w:rPr>
                <w:i/>
                <w:iCs/>
              </w:rPr>
              <w:t xml:space="preserve"> </w:t>
            </w:r>
            <w:r w:rsidRPr="0002434F">
              <w:rPr>
                <w:i/>
                <w:iCs/>
              </w:rPr>
              <w:t>that includes</w:t>
            </w:r>
            <w:r w:rsidR="00F86BFB" w:rsidRPr="0002434F">
              <w:rPr>
                <w:i/>
                <w:iCs/>
              </w:rPr>
              <w:t xml:space="preserve"> </w:t>
            </w:r>
            <w:r w:rsidRPr="0002434F">
              <w:rPr>
                <w:i/>
                <w:iCs/>
              </w:rPr>
              <w:t>rituximab or</w:t>
            </w:r>
            <w:r w:rsidR="00F86BFB" w:rsidRPr="0002434F">
              <w:rPr>
                <w:i/>
                <w:iCs/>
              </w:rPr>
              <w:t xml:space="preserve"> </w:t>
            </w:r>
            <w:r w:rsidRPr="0002434F">
              <w:rPr>
                <w:i/>
                <w:iCs/>
              </w:rPr>
              <w:t>cyclophosphamide with</w:t>
            </w:r>
            <w:r w:rsidR="00F86BFB" w:rsidRPr="0002434F">
              <w:rPr>
                <w:i/>
                <w:iCs/>
              </w:rPr>
              <w:t xml:space="preserve"> </w:t>
            </w:r>
            <w:r w:rsidRPr="0002434F">
              <w:rPr>
                <w:i/>
                <w:iCs/>
              </w:rPr>
              <w:t>glucocorticoids, is indicated</w:t>
            </w:r>
            <w:r w:rsidR="00F86BFB" w:rsidRPr="0002434F">
              <w:rPr>
                <w:i/>
                <w:iCs/>
              </w:rPr>
              <w:t xml:space="preserve"> </w:t>
            </w:r>
            <w:r w:rsidRPr="0002434F">
              <w:rPr>
                <w:i/>
                <w:iCs/>
              </w:rPr>
              <w:t>for the treatment of adult</w:t>
            </w:r>
            <w:r w:rsidR="00F86BFB" w:rsidRPr="0002434F">
              <w:rPr>
                <w:i/>
                <w:iCs/>
              </w:rPr>
              <w:t xml:space="preserve"> </w:t>
            </w:r>
            <w:r w:rsidRPr="0002434F">
              <w:rPr>
                <w:i/>
                <w:iCs/>
              </w:rPr>
              <w:t>patients with severe, active</w:t>
            </w:r>
            <w:r w:rsidR="00F86BFB" w:rsidRPr="0002434F">
              <w:rPr>
                <w:i/>
                <w:iCs/>
              </w:rPr>
              <w:t xml:space="preserve"> </w:t>
            </w:r>
            <w:r w:rsidRPr="0002434F">
              <w:rPr>
                <w:i/>
                <w:iCs/>
              </w:rPr>
              <w:t>antineutrophil cytoplasmic</w:t>
            </w:r>
            <w:r w:rsidR="00F86BFB" w:rsidRPr="0002434F">
              <w:rPr>
                <w:i/>
                <w:iCs/>
              </w:rPr>
              <w:t xml:space="preserve"> </w:t>
            </w:r>
            <w:r w:rsidRPr="0002434F">
              <w:rPr>
                <w:i/>
                <w:iCs/>
              </w:rPr>
              <w:t>antibody (ANCA)-associated</w:t>
            </w:r>
            <w:r w:rsidR="00F86BFB" w:rsidRPr="0002434F">
              <w:rPr>
                <w:i/>
                <w:iCs/>
              </w:rPr>
              <w:t xml:space="preserve"> </w:t>
            </w:r>
            <w:r w:rsidRPr="0002434F">
              <w:rPr>
                <w:i/>
                <w:iCs/>
              </w:rPr>
              <w:t>vasculitis</w:t>
            </w:r>
            <w:r w:rsidR="00F86BFB" w:rsidRPr="0002434F">
              <w:rPr>
                <w:i/>
                <w:iCs/>
              </w:rPr>
              <w:t xml:space="preserve"> </w:t>
            </w:r>
            <w:r w:rsidRPr="0002434F">
              <w:rPr>
                <w:i/>
                <w:iCs/>
              </w:rPr>
              <w:t>(granulomatosis with</w:t>
            </w:r>
            <w:r w:rsidR="00F86BFB" w:rsidRPr="0002434F">
              <w:rPr>
                <w:i/>
                <w:iCs/>
              </w:rPr>
              <w:t xml:space="preserve"> </w:t>
            </w:r>
            <w:r w:rsidRPr="0002434F">
              <w:rPr>
                <w:i/>
                <w:iCs/>
              </w:rPr>
              <w:t>polyangiitis (GPA) and</w:t>
            </w:r>
            <w:r w:rsidR="00F86BFB" w:rsidRPr="0002434F">
              <w:rPr>
                <w:i/>
                <w:iCs/>
              </w:rPr>
              <w:t xml:space="preserve"> </w:t>
            </w:r>
            <w:r w:rsidRPr="0002434F">
              <w:rPr>
                <w:i/>
                <w:iCs/>
              </w:rPr>
              <w:t>microscopic polyangiitis</w:t>
            </w:r>
            <w:r w:rsidR="00F86BFB" w:rsidRPr="0002434F">
              <w:rPr>
                <w:i/>
                <w:iCs/>
              </w:rPr>
              <w:t xml:space="preserve"> </w:t>
            </w:r>
            <w:r w:rsidRPr="0002434F">
              <w:rPr>
                <w:i/>
                <w:iCs/>
              </w:rPr>
              <w:t>(MPA)).</w:t>
            </w:r>
          </w:p>
        </w:tc>
      </w:tr>
    </w:tbl>
    <w:p w14:paraId="064CCADF" w14:textId="77777777" w:rsidR="00324B33" w:rsidRPr="0002434F" w:rsidRDefault="00324B33" w:rsidP="00324B33">
      <w:pPr>
        <w:pStyle w:val="Heading3"/>
      </w:pPr>
      <w:bookmarkStart w:id="21" w:name="_Toc103679292"/>
      <w:bookmarkStart w:id="22" w:name="_Toc147390240"/>
      <w:r w:rsidRPr="0002434F">
        <w:t>Product Information</w:t>
      </w:r>
      <w:bookmarkEnd w:id="21"/>
      <w:bookmarkEnd w:id="22"/>
    </w:p>
    <w:p w14:paraId="4B0F7D57" w14:textId="592BE09F" w:rsidR="00324B33" w:rsidRPr="0002434F" w:rsidRDefault="00324B33" w:rsidP="00324B33">
      <w:pPr>
        <w:rPr>
          <w:szCs w:val="22"/>
        </w:rPr>
      </w:pPr>
      <w:bookmarkStart w:id="23" w:name="_Toc504480011"/>
      <w:r w:rsidRPr="0002434F">
        <w:rPr>
          <w:szCs w:val="22"/>
        </w:rPr>
        <w:t xml:space="preserve">The </w:t>
      </w:r>
      <w:hyperlink r:id="rId21" w:history="1">
        <w:r w:rsidRPr="0002434F">
          <w:rPr>
            <w:rStyle w:val="Hyperlink"/>
            <w:szCs w:val="22"/>
          </w:rPr>
          <w:t>Product Information</w:t>
        </w:r>
      </w:hyperlink>
      <w:r w:rsidRPr="0002434F">
        <w:rPr>
          <w:szCs w:val="22"/>
        </w:rPr>
        <w:t xml:space="preserve"> (</w:t>
      </w:r>
      <w:hyperlink r:id="rId22" w:history="1">
        <w:r w:rsidRPr="0002434F">
          <w:rPr>
            <w:rStyle w:val="Hyperlink"/>
            <w:szCs w:val="22"/>
          </w:rPr>
          <w:t>PI</w:t>
        </w:r>
      </w:hyperlink>
      <w:r w:rsidRPr="0002434F">
        <w:rPr>
          <w:szCs w:val="22"/>
        </w:rPr>
        <w:t>) approved with the submission which is described in this AusPAR can be found as Attachment 1. For the most recent PI</w:t>
      </w:r>
      <w:r w:rsidR="00A93DC6" w:rsidRPr="0002434F">
        <w:rPr>
          <w:szCs w:val="22"/>
        </w:rPr>
        <w:t xml:space="preserve"> and </w:t>
      </w:r>
      <w:hyperlink r:id="rId23" w:history="1">
        <w:r w:rsidR="00A93DC6" w:rsidRPr="0002434F">
          <w:rPr>
            <w:rStyle w:val="Hyperlink"/>
            <w:szCs w:val="22"/>
          </w:rPr>
          <w:t>Consumer Medicines Information</w:t>
        </w:r>
      </w:hyperlink>
      <w:r w:rsidR="00A93DC6" w:rsidRPr="0002434F">
        <w:rPr>
          <w:szCs w:val="22"/>
        </w:rPr>
        <w:t xml:space="preserve"> (CMI)</w:t>
      </w:r>
      <w:r w:rsidRPr="0002434F">
        <w:rPr>
          <w:szCs w:val="22"/>
        </w:rPr>
        <w:t xml:space="preserve">, please refer to the TGA </w:t>
      </w:r>
      <w:hyperlink r:id="rId24" w:history="1">
        <w:r w:rsidRPr="0002434F">
          <w:rPr>
            <w:rStyle w:val="Hyperlink"/>
            <w:szCs w:val="22"/>
          </w:rPr>
          <w:t>PI/CMI search facility.</w:t>
        </w:r>
      </w:hyperlink>
    </w:p>
    <w:p w14:paraId="6D92589C" w14:textId="77777777" w:rsidR="00324B33" w:rsidRPr="0002434F" w:rsidRDefault="00324B33" w:rsidP="00324B33">
      <w:pPr>
        <w:pStyle w:val="Heading2"/>
      </w:pPr>
      <w:bookmarkStart w:id="24" w:name="_Toc103679293"/>
      <w:bookmarkStart w:id="25" w:name="_Toc147390241"/>
      <w:r w:rsidRPr="0002434F">
        <w:t>Registration timeline</w:t>
      </w:r>
      <w:bookmarkEnd w:id="23"/>
      <w:bookmarkEnd w:id="24"/>
      <w:bookmarkEnd w:id="25"/>
    </w:p>
    <w:p w14:paraId="225E3D87" w14:textId="1F3070CE" w:rsidR="00324B33" w:rsidRPr="0002434F" w:rsidRDefault="00324B33" w:rsidP="00324B33">
      <w:pPr>
        <w:rPr>
          <w:szCs w:val="22"/>
        </w:rPr>
      </w:pPr>
      <w:r w:rsidRPr="0002434F">
        <w:rPr>
          <w:szCs w:val="22"/>
        </w:rPr>
        <w:t>The following table captures the key steps and dates for this submission.</w:t>
      </w:r>
    </w:p>
    <w:p w14:paraId="6BB76942" w14:textId="74D47220" w:rsidR="00477C4E" w:rsidRPr="0002434F" w:rsidRDefault="00477C4E" w:rsidP="00324B33">
      <w:pPr>
        <w:rPr>
          <w:szCs w:val="22"/>
        </w:rPr>
      </w:pPr>
      <w:r w:rsidRPr="0002434F">
        <w:rPr>
          <w:szCs w:val="22"/>
        </w:rPr>
        <w:t xml:space="preserve">This submission was evaluated under the </w:t>
      </w:r>
      <w:hyperlink r:id="rId25" w:history="1">
        <w:r w:rsidRPr="0002434F">
          <w:rPr>
            <w:rStyle w:val="Hyperlink"/>
            <w:szCs w:val="22"/>
          </w:rPr>
          <w:t>standard prescription medicines registration process</w:t>
        </w:r>
      </w:hyperlink>
      <w:r w:rsidRPr="0002434F">
        <w:rPr>
          <w:szCs w:val="22"/>
        </w:rPr>
        <w:t>.</w:t>
      </w:r>
    </w:p>
    <w:p w14:paraId="44628C5F" w14:textId="499D88D3" w:rsidR="00324B33" w:rsidRPr="0002434F" w:rsidRDefault="00324B33" w:rsidP="0013528C">
      <w:pPr>
        <w:pStyle w:val="TableTitle"/>
      </w:pPr>
      <w:r w:rsidRPr="0002434F">
        <w:t xml:space="preserve">Table </w:t>
      </w:r>
      <w:r w:rsidR="0013528C" w:rsidRPr="0002434F">
        <w:fldChar w:fldCharType="begin"/>
      </w:r>
      <w:r w:rsidR="0013528C" w:rsidRPr="0002434F">
        <w:rPr>
          <w:b w:val="0"/>
        </w:rPr>
        <w:instrText xml:space="preserve"> SEQ Table \* ARABIC </w:instrText>
      </w:r>
      <w:r w:rsidR="0013528C" w:rsidRPr="0002434F">
        <w:fldChar w:fldCharType="separate"/>
      </w:r>
      <w:r w:rsidR="0002434F">
        <w:rPr>
          <w:b w:val="0"/>
          <w:noProof/>
        </w:rPr>
        <w:t>2</w:t>
      </w:r>
      <w:r w:rsidR="0013528C" w:rsidRPr="0002434F">
        <w:rPr>
          <w:noProof/>
        </w:rPr>
        <w:fldChar w:fldCharType="end"/>
      </w:r>
      <w:r w:rsidRPr="0002434F">
        <w:t xml:space="preserve">: Timeline for Submission </w:t>
      </w:r>
      <w:r w:rsidR="00580762" w:rsidRPr="0002434F">
        <w:t>PM-2021-05913-1-3</w:t>
      </w:r>
    </w:p>
    <w:tbl>
      <w:tblPr>
        <w:tblStyle w:val="TableTGAblue2023"/>
        <w:tblW w:w="8642" w:type="dxa"/>
        <w:tblLook w:val="04A0" w:firstRow="1" w:lastRow="0" w:firstColumn="1" w:lastColumn="0" w:noHBand="0" w:noVBand="1"/>
      </w:tblPr>
      <w:tblGrid>
        <w:gridCol w:w="5949"/>
        <w:gridCol w:w="2693"/>
      </w:tblGrid>
      <w:tr w:rsidR="00324B33" w:rsidRPr="0002434F" w14:paraId="6C59BE9C" w14:textId="77777777" w:rsidTr="00B75F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16D80E78" w14:textId="3EC0CCAF" w:rsidR="00324B33" w:rsidRPr="0002434F" w:rsidRDefault="00324B33" w:rsidP="00324B33">
            <w:pPr>
              <w:rPr>
                <w:szCs w:val="22"/>
              </w:rPr>
            </w:pPr>
            <w:r w:rsidRPr="0002434F">
              <w:rPr>
                <w:szCs w:val="22"/>
              </w:rPr>
              <w:t>Description</w:t>
            </w:r>
          </w:p>
        </w:tc>
        <w:tc>
          <w:tcPr>
            <w:tcW w:w="2693" w:type="dxa"/>
          </w:tcPr>
          <w:p w14:paraId="79AFDC4B" w14:textId="05792035" w:rsidR="00324B33" w:rsidRPr="0002434F"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02434F">
              <w:rPr>
                <w:szCs w:val="22"/>
              </w:rPr>
              <w:t>Date</w:t>
            </w:r>
          </w:p>
        </w:tc>
      </w:tr>
      <w:tr w:rsidR="00324B33" w:rsidRPr="0002434F" w14:paraId="1398460B" w14:textId="77777777" w:rsidTr="00B75F77">
        <w:tc>
          <w:tcPr>
            <w:cnfStyle w:val="001000000000" w:firstRow="0" w:lastRow="0" w:firstColumn="1" w:lastColumn="0" w:oddVBand="0" w:evenVBand="0" w:oddHBand="0" w:evenHBand="0" w:firstRowFirstColumn="0" w:firstRowLastColumn="0" w:lastRowFirstColumn="0" w:lastRowLastColumn="0"/>
            <w:tcW w:w="5949" w:type="dxa"/>
          </w:tcPr>
          <w:p w14:paraId="1106CC1E" w14:textId="49A06848" w:rsidR="00324B33" w:rsidRPr="0002434F" w:rsidRDefault="00324B33" w:rsidP="00047A81">
            <w:r w:rsidRPr="0002434F">
              <w:t>Designation (Orphan)</w:t>
            </w:r>
          </w:p>
        </w:tc>
        <w:tc>
          <w:tcPr>
            <w:tcW w:w="2693" w:type="dxa"/>
          </w:tcPr>
          <w:p w14:paraId="4CD143CF" w14:textId="42ECB530" w:rsidR="00324B33" w:rsidRPr="0002434F" w:rsidRDefault="001C2D33" w:rsidP="001C2D33">
            <w:pPr>
              <w:cnfStyle w:val="000000000000" w:firstRow="0" w:lastRow="0" w:firstColumn="0" w:lastColumn="0" w:oddVBand="0" w:evenVBand="0" w:oddHBand="0" w:evenHBand="0" w:firstRowFirstColumn="0" w:firstRowLastColumn="0" w:lastRowFirstColumn="0" w:lastRowLastColumn="0"/>
            </w:pPr>
            <w:r w:rsidRPr="0002434F">
              <w:t>26 November 2021</w:t>
            </w:r>
          </w:p>
        </w:tc>
      </w:tr>
      <w:tr w:rsidR="00324B33" w:rsidRPr="0002434F" w14:paraId="23610C53" w14:textId="77777777" w:rsidTr="00B75F77">
        <w:tc>
          <w:tcPr>
            <w:cnfStyle w:val="001000000000" w:firstRow="0" w:lastRow="0" w:firstColumn="1" w:lastColumn="0" w:oddVBand="0" w:evenVBand="0" w:oddHBand="0" w:evenHBand="0" w:firstRowFirstColumn="0" w:firstRowLastColumn="0" w:lastRowFirstColumn="0" w:lastRowLastColumn="0"/>
            <w:tcW w:w="5949" w:type="dxa"/>
          </w:tcPr>
          <w:p w14:paraId="759D2A12" w14:textId="0D705F83" w:rsidR="00324B33" w:rsidRPr="0002434F" w:rsidRDefault="00324B33" w:rsidP="00324B33">
            <w:pPr>
              <w:rPr>
                <w:szCs w:val="22"/>
              </w:rPr>
            </w:pPr>
            <w:r w:rsidRPr="0002434F">
              <w:rPr>
                <w:szCs w:val="22"/>
              </w:rPr>
              <w:t>Submission dossier accepted and first round evaluation commenced</w:t>
            </w:r>
          </w:p>
        </w:tc>
        <w:tc>
          <w:tcPr>
            <w:tcW w:w="2693" w:type="dxa"/>
          </w:tcPr>
          <w:p w14:paraId="2963D9D8" w14:textId="12B88764" w:rsidR="00324B33" w:rsidRPr="0002434F" w:rsidRDefault="001C2D33" w:rsidP="00324B33">
            <w:pPr>
              <w:cnfStyle w:val="000000000000" w:firstRow="0" w:lastRow="0" w:firstColumn="0" w:lastColumn="0" w:oddVBand="0" w:evenVBand="0" w:oddHBand="0" w:evenHBand="0" w:firstRowFirstColumn="0" w:firstRowLastColumn="0" w:lastRowFirstColumn="0" w:lastRowLastColumn="0"/>
              <w:rPr>
                <w:szCs w:val="22"/>
              </w:rPr>
            </w:pPr>
            <w:r w:rsidRPr="0002434F">
              <w:rPr>
                <w:szCs w:val="22"/>
              </w:rPr>
              <w:t>31 January 2022</w:t>
            </w:r>
          </w:p>
        </w:tc>
      </w:tr>
      <w:tr w:rsidR="00324B33" w:rsidRPr="0002434F" w14:paraId="53437815" w14:textId="77777777" w:rsidTr="00B75F77">
        <w:tc>
          <w:tcPr>
            <w:cnfStyle w:val="001000000000" w:firstRow="0" w:lastRow="0" w:firstColumn="1" w:lastColumn="0" w:oddVBand="0" w:evenVBand="0" w:oddHBand="0" w:evenHBand="0" w:firstRowFirstColumn="0" w:firstRowLastColumn="0" w:lastRowFirstColumn="0" w:lastRowLastColumn="0"/>
            <w:tcW w:w="5949" w:type="dxa"/>
          </w:tcPr>
          <w:p w14:paraId="4C037D4E" w14:textId="2B0CE255" w:rsidR="00324B33" w:rsidRPr="0002434F" w:rsidRDefault="00324B33" w:rsidP="00324B33">
            <w:pPr>
              <w:rPr>
                <w:szCs w:val="22"/>
              </w:rPr>
            </w:pPr>
            <w:r w:rsidRPr="0002434F">
              <w:rPr>
                <w:szCs w:val="22"/>
              </w:rPr>
              <w:t>First round evaluation completed</w:t>
            </w:r>
          </w:p>
        </w:tc>
        <w:tc>
          <w:tcPr>
            <w:tcW w:w="2693" w:type="dxa"/>
          </w:tcPr>
          <w:p w14:paraId="3CEAFAAB" w14:textId="358D5878" w:rsidR="00324B33" w:rsidRPr="0002434F" w:rsidRDefault="001C2D33" w:rsidP="00324B33">
            <w:pPr>
              <w:cnfStyle w:val="000000000000" w:firstRow="0" w:lastRow="0" w:firstColumn="0" w:lastColumn="0" w:oddVBand="0" w:evenVBand="0" w:oddHBand="0" w:evenHBand="0" w:firstRowFirstColumn="0" w:firstRowLastColumn="0" w:lastRowFirstColumn="0" w:lastRowLastColumn="0"/>
              <w:rPr>
                <w:szCs w:val="22"/>
              </w:rPr>
            </w:pPr>
            <w:r w:rsidRPr="0002434F">
              <w:rPr>
                <w:szCs w:val="22"/>
              </w:rPr>
              <w:t>13 July 2022</w:t>
            </w:r>
          </w:p>
        </w:tc>
      </w:tr>
      <w:tr w:rsidR="00324B33" w:rsidRPr="0002434F" w14:paraId="60DA57CC" w14:textId="77777777" w:rsidTr="00B75F77">
        <w:tc>
          <w:tcPr>
            <w:cnfStyle w:val="001000000000" w:firstRow="0" w:lastRow="0" w:firstColumn="1" w:lastColumn="0" w:oddVBand="0" w:evenVBand="0" w:oddHBand="0" w:evenHBand="0" w:firstRowFirstColumn="0" w:firstRowLastColumn="0" w:lastRowFirstColumn="0" w:lastRowLastColumn="0"/>
            <w:tcW w:w="5949" w:type="dxa"/>
          </w:tcPr>
          <w:p w14:paraId="02EA1147" w14:textId="2853A422" w:rsidR="00324B33" w:rsidRPr="0002434F" w:rsidRDefault="00324B33" w:rsidP="00324B33">
            <w:pPr>
              <w:rPr>
                <w:szCs w:val="22"/>
              </w:rPr>
            </w:pPr>
            <w:r w:rsidRPr="0002434F">
              <w:rPr>
                <w:szCs w:val="22"/>
              </w:rPr>
              <w:t>Sponsor provides responses on questions raised in first round evaluation</w:t>
            </w:r>
          </w:p>
        </w:tc>
        <w:tc>
          <w:tcPr>
            <w:tcW w:w="2693" w:type="dxa"/>
          </w:tcPr>
          <w:p w14:paraId="68A577C1" w14:textId="794EA4F6" w:rsidR="00324B33" w:rsidRPr="0002434F" w:rsidRDefault="001C2D33" w:rsidP="00324B33">
            <w:pPr>
              <w:cnfStyle w:val="000000000000" w:firstRow="0" w:lastRow="0" w:firstColumn="0" w:lastColumn="0" w:oddVBand="0" w:evenVBand="0" w:oddHBand="0" w:evenHBand="0" w:firstRowFirstColumn="0" w:firstRowLastColumn="0" w:lastRowFirstColumn="0" w:lastRowLastColumn="0"/>
              <w:rPr>
                <w:szCs w:val="22"/>
              </w:rPr>
            </w:pPr>
            <w:r w:rsidRPr="0002434F">
              <w:rPr>
                <w:szCs w:val="22"/>
              </w:rPr>
              <w:t>31 August 2022</w:t>
            </w:r>
          </w:p>
        </w:tc>
      </w:tr>
      <w:tr w:rsidR="00324B33" w:rsidRPr="0002434F" w14:paraId="767E33A4" w14:textId="77777777" w:rsidTr="00B75F77">
        <w:tc>
          <w:tcPr>
            <w:cnfStyle w:val="001000000000" w:firstRow="0" w:lastRow="0" w:firstColumn="1" w:lastColumn="0" w:oddVBand="0" w:evenVBand="0" w:oddHBand="0" w:evenHBand="0" w:firstRowFirstColumn="0" w:firstRowLastColumn="0" w:lastRowFirstColumn="0" w:lastRowLastColumn="0"/>
            <w:tcW w:w="5949" w:type="dxa"/>
          </w:tcPr>
          <w:p w14:paraId="4AFC5B50" w14:textId="2BCC6A3E" w:rsidR="00324B33" w:rsidRPr="0002434F" w:rsidRDefault="00324B33" w:rsidP="00324B33">
            <w:pPr>
              <w:rPr>
                <w:szCs w:val="22"/>
              </w:rPr>
            </w:pPr>
            <w:r w:rsidRPr="0002434F">
              <w:rPr>
                <w:szCs w:val="22"/>
              </w:rPr>
              <w:t>Second round evaluation completed</w:t>
            </w:r>
          </w:p>
        </w:tc>
        <w:tc>
          <w:tcPr>
            <w:tcW w:w="2693" w:type="dxa"/>
          </w:tcPr>
          <w:p w14:paraId="4E47DF62" w14:textId="61E71EDF" w:rsidR="00324B33" w:rsidRPr="0002434F" w:rsidRDefault="001C2D33" w:rsidP="00324B33">
            <w:pPr>
              <w:cnfStyle w:val="000000000000" w:firstRow="0" w:lastRow="0" w:firstColumn="0" w:lastColumn="0" w:oddVBand="0" w:evenVBand="0" w:oddHBand="0" w:evenHBand="0" w:firstRowFirstColumn="0" w:firstRowLastColumn="0" w:lastRowFirstColumn="0" w:lastRowLastColumn="0"/>
              <w:rPr>
                <w:szCs w:val="22"/>
              </w:rPr>
            </w:pPr>
            <w:r w:rsidRPr="0002434F">
              <w:rPr>
                <w:szCs w:val="22"/>
              </w:rPr>
              <w:t>4 October 2022</w:t>
            </w:r>
          </w:p>
        </w:tc>
      </w:tr>
      <w:tr w:rsidR="00324B33" w:rsidRPr="0002434F" w14:paraId="302FCB45" w14:textId="77777777" w:rsidTr="00B75F77">
        <w:tc>
          <w:tcPr>
            <w:cnfStyle w:val="001000000000" w:firstRow="0" w:lastRow="0" w:firstColumn="1" w:lastColumn="0" w:oddVBand="0" w:evenVBand="0" w:oddHBand="0" w:evenHBand="0" w:firstRowFirstColumn="0" w:firstRowLastColumn="0" w:lastRowFirstColumn="0" w:lastRowLastColumn="0"/>
            <w:tcW w:w="5949" w:type="dxa"/>
          </w:tcPr>
          <w:p w14:paraId="716E9DC1" w14:textId="099C4559" w:rsidR="00324B33" w:rsidRPr="0002434F" w:rsidRDefault="00324B33" w:rsidP="00324B33">
            <w:pPr>
              <w:rPr>
                <w:szCs w:val="22"/>
              </w:rPr>
            </w:pPr>
            <w:r w:rsidRPr="0002434F">
              <w:rPr>
                <w:color w:val="000000" w:themeColor="text1"/>
                <w:szCs w:val="22"/>
              </w:rPr>
              <w:lastRenderedPageBreak/>
              <w:t>Delegate’s Overall benefit-risk assessment and request for Advisory Committee advice</w:t>
            </w:r>
          </w:p>
        </w:tc>
        <w:tc>
          <w:tcPr>
            <w:tcW w:w="2693" w:type="dxa"/>
          </w:tcPr>
          <w:p w14:paraId="3BA6EF79" w14:textId="5D4E2068" w:rsidR="00324B33" w:rsidRPr="0002434F" w:rsidRDefault="001C2D33" w:rsidP="00324B33">
            <w:pPr>
              <w:cnfStyle w:val="000000000000" w:firstRow="0" w:lastRow="0" w:firstColumn="0" w:lastColumn="0" w:oddVBand="0" w:evenVBand="0" w:oddHBand="0" w:evenHBand="0" w:firstRowFirstColumn="0" w:firstRowLastColumn="0" w:lastRowFirstColumn="0" w:lastRowLastColumn="0"/>
              <w:rPr>
                <w:szCs w:val="22"/>
              </w:rPr>
            </w:pPr>
            <w:r w:rsidRPr="0002434F">
              <w:t>1 November 2022</w:t>
            </w:r>
          </w:p>
        </w:tc>
      </w:tr>
      <w:tr w:rsidR="00324B33" w:rsidRPr="0002434F" w14:paraId="5832EBC8" w14:textId="77777777" w:rsidTr="00B75F77">
        <w:tc>
          <w:tcPr>
            <w:cnfStyle w:val="001000000000" w:firstRow="0" w:lastRow="0" w:firstColumn="1" w:lastColumn="0" w:oddVBand="0" w:evenVBand="0" w:oddHBand="0" w:evenHBand="0" w:firstRowFirstColumn="0" w:firstRowLastColumn="0" w:lastRowFirstColumn="0" w:lastRowLastColumn="0"/>
            <w:tcW w:w="5949" w:type="dxa"/>
          </w:tcPr>
          <w:p w14:paraId="720592DE" w14:textId="1F72CD22" w:rsidR="00324B33" w:rsidRPr="0002434F" w:rsidRDefault="00324B33" w:rsidP="00324B33">
            <w:pPr>
              <w:rPr>
                <w:szCs w:val="22"/>
              </w:rPr>
            </w:pPr>
            <w:r w:rsidRPr="0002434F">
              <w:rPr>
                <w:szCs w:val="22"/>
              </w:rPr>
              <w:t>Sponsor’s pre-Advisory Committee response</w:t>
            </w:r>
          </w:p>
        </w:tc>
        <w:tc>
          <w:tcPr>
            <w:tcW w:w="2693" w:type="dxa"/>
          </w:tcPr>
          <w:p w14:paraId="5AE04841" w14:textId="52DFD055" w:rsidR="00324B33" w:rsidRPr="0002434F" w:rsidRDefault="001C2D33" w:rsidP="00324B33">
            <w:pPr>
              <w:cnfStyle w:val="000000000000" w:firstRow="0" w:lastRow="0" w:firstColumn="0" w:lastColumn="0" w:oddVBand="0" w:evenVBand="0" w:oddHBand="0" w:evenHBand="0" w:firstRowFirstColumn="0" w:firstRowLastColumn="0" w:lastRowFirstColumn="0" w:lastRowLastColumn="0"/>
              <w:rPr>
                <w:szCs w:val="22"/>
              </w:rPr>
            </w:pPr>
            <w:r w:rsidRPr="0002434F">
              <w:rPr>
                <w:szCs w:val="22"/>
              </w:rPr>
              <w:t>15 November 2022</w:t>
            </w:r>
          </w:p>
        </w:tc>
      </w:tr>
      <w:tr w:rsidR="00324B33" w:rsidRPr="0002434F" w14:paraId="5754F7AC" w14:textId="77777777" w:rsidTr="00B75F77">
        <w:tc>
          <w:tcPr>
            <w:cnfStyle w:val="001000000000" w:firstRow="0" w:lastRow="0" w:firstColumn="1" w:lastColumn="0" w:oddVBand="0" w:evenVBand="0" w:oddHBand="0" w:evenHBand="0" w:firstRowFirstColumn="0" w:firstRowLastColumn="0" w:lastRowFirstColumn="0" w:lastRowLastColumn="0"/>
            <w:tcW w:w="5949" w:type="dxa"/>
          </w:tcPr>
          <w:p w14:paraId="789DE187" w14:textId="123446EE" w:rsidR="00324B33" w:rsidRPr="0002434F" w:rsidRDefault="00324B33" w:rsidP="00324B33">
            <w:pPr>
              <w:rPr>
                <w:szCs w:val="22"/>
              </w:rPr>
            </w:pPr>
            <w:r w:rsidRPr="0002434F">
              <w:rPr>
                <w:szCs w:val="22"/>
              </w:rPr>
              <w:t>Advisory Committee meeting</w:t>
            </w:r>
          </w:p>
        </w:tc>
        <w:tc>
          <w:tcPr>
            <w:tcW w:w="2693" w:type="dxa"/>
          </w:tcPr>
          <w:p w14:paraId="5BE1EDE7" w14:textId="06557245" w:rsidR="00324B33" w:rsidRPr="0002434F" w:rsidRDefault="001C2D33" w:rsidP="00324B33">
            <w:pPr>
              <w:cnfStyle w:val="000000000000" w:firstRow="0" w:lastRow="0" w:firstColumn="0" w:lastColumn="0" w:oddVBand="0" w:evenVBand="0" w:oddHBand="0" w:evenHBand="0" w:firstRowFirstColumn="0" w:firstRowLastColumn="0" w:lastRowFirstColumn="0" w:lastRowLastColumn="0"/>
              <w:rPr>
                <w:szCs w:val="22"/>
              </w:rPr>
            </w:pPr>
            <w:r w:rsidRPr="0002434F">
              <w:t>1 and 2 December 2022</w:t>
            </w:r>
          </w:p>
        </w:tc>
      </w:tr>
      <w:tr w:rsidR="00324B33" w:rsidRPr="0002434F" w14:paraId="6E5D32FE" w14:textId="77777777" w:rsidTr="00B75F77">
        <w:tc>
          <w:tcPr>
            <w:cnfStyle w:val="001000000000" w:firstRow="0" w:lastRow="0" w:firstColumn="1" w:lastColumn="0" w:oddVBand="0" w:evenVBand="0" w:oddHBand="0" w:evenHBand="0" w:firstRowFirstColumn="0" w:firstRowLastColumn="0" w:lastRowFirstColumn="0" w:lastRowLastColumn="0"/>
            <w:tcW w:w="5949" w:type="dxa"/>
          </w:tcPr>
          <w:p w14:paraId="4E95C44C" w14:textId="7A91C710" w:rsidR="00324B33" w:rsidRPr="0002434F" w:rsidRDefault="00324B33" w:rsidP="00324B33">
            <w:pPr>
              <w:rPr>
                <w:szCs w:val="22"/>
              </w:rPr>
            </w:pPr>
            <w:r w:rsidRPr="0002434F">
              <w:rPr>
                <w:szCs w:val="22"/>
              </w:rPr>
              <w:t>Registration decision (Outcome)</w:t>
            </w:r>
          </w:p>
        </w:tc>
        <w:tc>
          <w:tcPr>
            <w:tcW w:w="2693" w:type="dxa"/>
          </w:tcPr>
          <w:p w14:paraId="62987ABD" w14:textId="7CD331D8" w:rsidR="00324B33" w:rsidRPr="0002434F" w:rsidRDefault="001C2D33" w:rsidP="00324B33">
            <w:pPr>
              <w:cnfStyle w:val="000000000000" w:firstRow="0" w:lastRow="0" w:firstColumn="0" w:lastColumn="0" w:oddVBand="0" w:evenVBand="0" w:oddHBand="0" w:evenHBand="0" w:firstRowFirstColumn="0" w:firstRowLastColumn="0" w:lastRowFirstColumn="0" w:lastRowLastColumn="0"/>
              <w:rPr>
                <w:szCs w:val="22"/>
              </w:rPr>
            </w:pPr>
            <w:r w:rsidRPr="0002434F">
              <w:rPr>
                <w:szCs w:val="22"/>
              </w:rPr>
              <w:t>17 January 2023</w:t>
            </w:r>
          </w:p>
        </w:tc>
      </w:tr>
      <w:tr w:rsidR="00324B33" w:rsidRPr="0002434F" w14:paraId="6DDCDDA4" w14:textId="77777777" w:rsidTr="00B75F77">
        <w:tc>
          <w:tcPr>
            <w:cnfStyle w:val="001000000000" w:firstRow="0" w:lastRow="0" w:firstColumn="1" w:lastColumn="0" w:oddVBand="0" w:evenVBand="0" w:oddHBand="0" w:evenHBand="0" w:firstRowFirstColumn="0" w:firstRowLastColumn="0" w:lastRowFirstColumn="0" w:lastRowLastColumn="0"/>
            <w:tcW w:w="5949" w:type="dxa"/>
          </w:tcPr>
          <w:p w14:paraId="192FD19D" w14:textId="7D5F96C5" w:rsidR="00324B33" w:rsidRPr="0002434F" w:rsidRDefault="0013132F" w:rsidP="00324B33">
            <w:pPr>
              <w:rPr>
                <w:szCs w:val="22"/>
              </w:rPr>
            </w:pPr>
            <w:r w:rsidRPr="0002434F">
              <w:t>Administrative activities and registration on the ARTG completed</w:t>
            </w:r>
          </w:p>
        </w:tc>
        <w:tc>
          <w:tcPr>
            <w:tcW w:w="2693" w:type="dxa"/>
          </w:tcPr>
          <w:p w14:paraId="5A8923FD" w14:textId="01F94027" w:rsidR="00324B33" w:rsidRPr="0002434F" w:rsidRDefault="001C2D33" w:rsidP="00324B33">
            <w:pPr>
              <w:cnfStyle w:val="000000000000" w:firstRow="0" w:lastRow="0" w:firstColumn="0" w:lastColumn="0" w:oddVBand="0" w:evenVBand="0" w:oddHBand="0" w:evenHBand="0" w:firstRowFirstColumn="0" w:firstRowLastColumn="0" w:lastRowFirstColumn="0" w:lastRowLastColumn="0"/>
              <w:rPr>
                <w:szCs w:val="22"/>
              </w:rPr>
            </w:pPr>
            <w:r w:rsidRPr="0002434F">
              <w:rPr>
                <w:szCs w:val="22"/>
              </w:rPr>
              <w:t>31 January 2023</w:t>
            </w:r>
          </w:p>
        </w:tc>
      </w:tr>
      <w:tr w:rsidR="00324B33" w:rsidRPr="0002434F" w14:paraId="56D922E2" w14:textId="77777777" w:rsidTr="00B75F77">
        <w:tc>
          <w:tcPr>
            <w:cnfStyle w:val="001000000000" w:firstRow="0" w:lastRow="0" w:firstColumn="1" w:lastColumn="0" w:oddVBand="0" w:evenVBand="0" w:oddHBand="0" w:evenHBand="0" w:firstRowFirstColumn="0" w:firstRowLastColumn="0" w:lastRowFirstColumn="0" w:lastRowLastColumn="0"/>
            <w:tcW w:w="5949" w:type="dxa"/>
          </w:tcPr>
          <w:p w14:paraId="787FD8DD" w14:textId="0E0CF97F" w:rsidR="00324B33" w:rsidRPr="0002434F" w:rsidRDefault="00324B33" w:rsidP="00324B33">
            <w:pPr>
              <w:rPr>
                <w:szCs w:val="22"/>
              </w:rPr>
            </w:pPr>
            <w:r w:rsidRPr="0002434F">
              <w:rPr>
                <w:szCs w:val="22"/>
              </w:rPr>
              <w:t>Number of working days from submission dossier acceptance to registration decision*</w:t>
            </w:r>
          </w:p>
        </w:tc>
        <w:tc>
          <w:tcPr>
            <w:tcW w:w="2693" w:type="dxa"/>
          </w:tcPr>
          <w:p w14:paraId="5BAF9FA1" w14:textId="6AA31BC1" w:rsidR="00324B33" w:rsidRPr="0002434F" w:rsidRDefault="001C2D33" w:rsidP="00324B33">
            <w:pPr>
              <w:cnfStyle w:val="000000000000" w:firstRow="0" w:lastRow="0" w:firstColumn="0" w:lastColumn="0" w:oddVBand="0" w:evenVBand="0" w:oddHBand="0" w:evenHBand="0" w:firstRowFirstColumn="0" w:firstRowLastColumn="0" w:lastRowFirstColumn="0" w:lastRowLastColumn="0"/>
              <w:rPr>
                <w:szCs w:val="22"/>
              </w:rPr>
            </w:pPr>
            <w:r w:rsidRPr="0002434F">
              <w:rPr>
                <w:szCs w:val="22"/>
              </w:rPr>
              <w:t>202</w:t>
            </w:r>
          </w:p>
        </w:tc>
      </w:tr>
    </w:tbl>
    <w:p w14:paraId="7B02554C" w14:textId="77777777" w:rsidR="00433318" w:rsidRPr="0002434F" w:rsidRDefault="00433318" w:rsidP="00433318">
      <w:pPr>
        <w:pStyle w:val="TableDescription"/>
      </w:pPr>
      <w:r w:rsidRPr="0002434F">
        <w:t>*Statutory timeframe for standard submissions is 255 working days</w:t>
      </w:r>
    </w:p>
    <w:p w14:paraId="220925F1" w14:textId="77777777" w:rsidR="00C22214" w:rsidRPr="0002434F" w:rsidRDefault="00C22214" w:rsidP="00C22214">
      <w:pPr>
        <w:pStyle w:val="Heading2"/>
      </w:pPr>
      <w:bookmarkStart w:id="26" w:name="_Toc196046504"/>
      <w:bookmarkStart w:id="27" w:name="_Toc247691527"/>
      <w:bookmarkStart w:id="28" w:name="_Toc314842510"/>
      <w:bookmarkStart w:id="29" w:name="_Toc103679294"/>
      <w:bookmarkStart w:id="30" w:name="_Toc147390242"/>
      <w:r w:rsidRPr="0002434F">
        <w:t>Submission overview and risk/benefit assessment</w:t>
      </w:r>
      <w:bookmarkEnd w:id="26"/>
      <w:bookmarkEnd w:id="27"/>
      <w:bookmarkEnd w:id="28"/>
      <w:bookmarkEnd w:id="29"/>
      <w:bookmarkEnd w:id="30"/>
    </w:p>
    <w:p w14:paraId="540151FC" w14:textId="77777777" w:rsidR="00C22214" w:rsidRPr="0002434F" w:rsidRDefault="00C22214" w:rsidP="00BD5DBD">
      <w:pPr>
        <w:rPr>
          <w:szCs w:val="22"/>
        </w:rPr>
      </w:pPr>
      <w:bookmarkStart w:id="31" w:name="_Toc247691528"/>
      <w:bookmarkStart w:id="32" w:name="_Toc314842511"/>
      <w:r w:rsidRPr="0002434F">
        <w:rPr>
          <w:szCs w:val="22"/>
        </w:rPr>
        <w:t>A summary of the TGA’s assessment for this submission is provided below.</w:t>
      </w:r>
    </w:p>
    <w:p w14:paraId="668E3E84" w14:textId="6E7D62E7" w:rsidR="007072A1" w:rsidRPr="0002434F" w:rsidRDefault="007072A1" w:rsidP="00966EF1">
      <w:pPr>
        <w:rPr>
          <w:szCs w:val="22"/>
        </w:rPr>
      </w:pPr>
      <w:r w:rsidRPr="0002434F">
        <w:rPr>
          <w:szCs w:val="22"/>
        </w:rPr>
        <w:t>Relevant guidelines or guidance documents referred to by the Delegate are listed below:</w:t>
      </w:r>
    </w:p>
    <w:p w14:paraId="62835FB7" w14:textId="261254BE" w:rsidR="001C2D33" w:rsidRPr="0002434F" w:rsidRDefault="001C2D33" w:rsidP="001C2D33">
      <w:r w:rsidRPr="0002434F">
        <w:t xml:space="preserve">European Medicines Agency (EMA), Committee for Human Medicinal Products (CHMP), </w:t>
      </w:r>
      <w:hyperlink r:id="rId26" w:history="1">
        <w:r w:rsidRPr="0002434F">
          <w:rPr>
            <w:rStyle w:val="Hyperlink"/>
            <w:szCs w:val="22"/>
          </w:rPr>
          <w:t>ICH guideline E8 (R1) on general considerations for clinical studies</w:t>
        </w:r>
      </w:hyperlink>
      <w:r w:rsidRPr="0002434F">
        <w:rPr>
          <w:szCs w:val="22"/>
        </w:rPr>
        <w:t xml:space="preserve">, EMA/CHMP/ICH/544570/1998, </w:t>
      </w:r>
      <w:r w:rsidRPr="0002434F">
        <w:t>14 October 2021.</w:t>
      </w:r>
    </w:p>
    <w:p w14:paraId="3B9F94D8" w14:textId="2E60EC09" w:rsidR="001C2D33" w:rsidRPr="0002434F" w:rsidRDefault="001C2D33" w:rsidP="001C2D33">
      <w:pPr>
        <w:rPr>
          <w:szCs w:val="22"/>
        </w:rPr>
      </w:pPr>
      <w:r w:rsidRPr="0002434F">
        <w:t xml:space="preserve">European Medicines Agency (EMA), Committee for Human Medicinal Products (CHMP), </w:t>
      </w:r>
      <w:hyperlink r:id="rId27" w:history="1">
        <w:r w:rsidRPr="0002434F">
          <w:rPr>
            <w:rStyle w:val="Hyperlink"/>
          </w:rPr>
          <w:t>Guideline on Clinical Trials in Small Populations</w:t>
        </w:r>
      </w:hyperlink>
      <w:r w:rsidRPr="0002434F">
        <w:t>, CHMP/EWP/83561/2005, 27 July 2006.</w:t>
      </w:r>
    </w:p>
    <w:p w14:paraId="73243E9D" w14:textId="148BB497" w:rsidR="001C2D33" w:rsidRPr="0002434F" w:rsidRDefault="001C2D33" w:rsidP="001C2D33">
      <w:r w:rsidRPr="0002434F">
        <w:t xml:space="preserve">European Medicines Agency (EMA), Committee for Proprietary Medicinal Products (CPMP), </w:t>
      </w:r>
      <w:hyperlink r:id="rId28" w:anchor=":~:text=The%20purpose%20of%20this%20document%20is%20to%20recommend,duration%20as%20well%20as%20marketing%20authorization%20for%20pharmaceuticals." w:history="1">
        <w:r w:rsidRPr="0002434F">
          <w:rPr>
            <w:rStyle w:val="Hyperlink"/>
          </w:rPr>
          <w:t>ICH guideline M3(R2) on non-clinical safety studies for the conduct of human clinical trials and marketing authorisation for pharmaceuticals</w:t>
        </w:r>
      </w:hyperlink>
      <w:r w:rsidRPr="0002434F">
        <w:t>, EMA/CPMP/ICH/286/1995, December 2009.</w:t>
      </w:r>
    </w:p>
    <w:p w14:paraId="5B483439" w14:textId="4AFAB883" w:rsidR="001C2D33" w:rsidRPr="0002434F" w:rsidRDefault="001C2D33" w:rsidP="001C2D33">
      <w:pPr>
        <w:rPr>
          <w:szCs w:val="22"/>
        </w:rPr>
      </w:pPr>
      <w:r w:rsidRPr="0002434F">
        <w:t xml:space="preserve">European Medicines Agency (EMA), Committee for Proprietary Medicinal Products (CPMP), </w:t>
      </w:r>
      <w:hyperlink r:id="rId29" w:history="1">
        <w:r w:rsidRPr="0002434F">
          <w:rPr>
            <w:rStyle w:val="Hyperlink"/>
            <w:szCs w:val="22"/>
          </w:rPr>
          <w:t>ICH Topic E 1 Population Exposure: The Extent of Population Exposure to Assess Clinical Safety, Note for Guidance on Population Exposure: The Extent of Population Exposure to Assess Clinical Safety</w:t>
        </w:r>
      </w:hyperlink>
      <w:r w:rsidRPr="0002434F">
        <w:rPr>
          <w:szCs w:val="22"/>
        </w:rPr>
        <w:t>, CPMP/ICH/375/95, June 1995.</w:t>
      </w:r>
    </w:p>
    <w:p w14:paraId="37F5A1C0" w14:textId="77777777" w:rsidR="00C22214" w:rsidRPr="0002434F" w:rsidRDefault="00C22214" w:rsidP="00C22214">
      <w:pPr>
        <w:pStyle w:val="Heading3"/>
      </w:pPr>
      <w:bookmarkStart w:id="33" w:name="_Toc103679295"/>
      <w:bookmarkStart w:id="34" w:name="_Toc147390243"/>
      <w:r w:rsidRPr="0002434F">
        <w:t>Quality</w:t>
      </w:r>
      <w:bookmarkEnd w:id="31"/>
      <w:bookmarkEnd w:id="32"/>
      <w:bookmarkEnd w:id="33"/>
      <w:bookmarkEnd w:id="34"/>
    </w:p>
    <w:p w14:paraId="4CF58FE1" w14:textId="77777777" w:rsidR="007F3F71" w:rsidRPr="0002434F" w:rsidRDefault="004F0248" w:rsidP="001C2D33">
      <w:r w:rsidRPr="0002434F">
        <w:t>The administrative, product usage, chemical, pharmaceutical, microbiological and biopharmaceutic data submitted in support of this application were evaluated in accordance with Australian legislation and relevant technical guidelines adopted by the TGA.</w:t>
      </w:r>
    </w:p>
    <w:p w14:paraId="47B1A9C8" w14:textId="0F333275" w:rsidR="004F0248" w:rsidRPr="0002434F" w:rsidRDefault="004F0248" w:rsidP="001C2D33">
      <w:r w:rsidRPr="0002434F">
        <w:t xml:space="preserve">The drug substance of </w:t>
      </w:r>
      <w:bookmarkStart w:id="35" w:name="_Hlk143866993"/>
      <w:proofErr w:type="spellStart"/>
      <w:r w:rsidRPr="0002434F">
        <w:t>avacopan</w:t>
      </w:r>
      <w:proofErr w:type="spellEnd"/>
      <w:r w:rsidRPr="0002434F">
        <w:t xml:space="preserve"> ((2R,3S)-2-[4-(cyclopentylamino)phenyl]-1-(2-fluoro-6-methylbenzoyl)-N-[4-methyl-3-(trifluoromethyl)phenyl]piperidine-3-carboxamide) </w:t>
      </w:r>
      <w:bookmarkEnd w:id="35"/>
      <w:r w:rsidRPr="0002434F">
        <w:t>is chemically synthesised initially using separate manufacturing pathways through multiple intermediates for the molecule, finishing with the final structure</w:t>
      </w:r>
      <w:r w:rsidR="06F89934" w:rsidRPr="0002434F">
        <w:t xml:space="preserve"> shown in </w:t>
      </w:r>
      <w:r w:rsidRPr="0002434F">
        <w:fldChar w:fldCharType="begin"/>
      </w:r>
      <w:r w:rsidRPr="0002434F">
        <w:instrText xml:space="preserve"> REF _Ref143865624 \h  \* MERGEFORMAT </w:instrText>
      </w:r>
      <w:r w:rsidRPr="0002434F">
        <w:fldChar w:fldCharType="separate"/>
      </w:r>
      <w:r w:rsidR="0002434F" w:rsidRPr="0002434F">
        <w:t xml:space="preserve">Figure </w:t>
      </w:r>
      <w:r w:rsidR="0002434F">
        <w:rPr>
          <w:noProof/>
        </w:rPr>
        <w:t>1</w:t>
      </w:r>
      <w:r w:rsidRPr="0002434F">
        <w:fldChar w:fldCharType="end"/>
      </w:r>
      <w:r w:rsidRPr="0002434F">
        <w:t>.</w:t>
      </w:r>
    </w:p>
    <w:p w14:paraId="4392A4AC" w14:textId="0BDF1264" w:rsidR="00F86C81" w:rsidRPr="0002434F" w:rsidRDefault="00F86C81" w:rsidP="00B75F77">
      <w:pPr>
        <w:pStyle w:val="FigureTitle"/>
        <w:pageBreakBefore/>
      </w:pPr>
      <w:bookmarkStart w:id="36" w:name="_Ref143865624"/>
      <w:r w:rsidRPr="0002434F">
        <w:lastRenderedPageBreak/>
        <w:t xml:space="preserve">Figure </w:t>
      </w:r>
      <w:r w:rsidRPr="0002434F">
        <w:fldChar w:fldCharType="begin"/>
      </w:r>
      <w:r w:rsidRPr="0002434F">
        <w:instrText>SEQ Figure \* ARABIC</w:instrText>
      </w:r>
      <w:r w:rsidRPr="0002434F">
        <w:fldChar w:fldCharType="separate"/>
      </w:r>
      <w:r w:rsidR="0002434F">
        <w:rPr>
          <w:noProof/>
        </w:rPr>
        <w:t>1</w:t>
      </w:r>
      <w:r w:rsidRPr="0002434F">
        <w:fldChar w:fldCharType="end"/>
      </w:r>
      <w:bookmarkEnd w:id="36"/>
      <w:r w:rsidRPr="0002434F">
        <w:t xml:space="preserve">: Chemical structure of </w:t>
      </w:r>
      <w:proofErr w:type="spellStart"/>
      <w:r w:rsidRPr="0002434F">
        <w:t>avacopan</w:t>
      </w:r>
      <w:proofErr w:type="spellEnd"/>
    </w:p>
    <w:p w14:paraId="05CB4489" w14:textId="77777777" w:rsidR="004F0248" w:rsidRPr="0002434F" w:rsidRDefault="004F0248" w:rsidP="001C2D33">
      <w:r w:rsidRPr="0002434F">
        <w:rPr>
          <w:noProof/>
        </w:rPr>
        <w:drawing>
          <wp:inline distT="0" distB="0" distL="0" distR="0" wp14:anchorId="37431896" wp14:editId="3975AA31">
            <wp:extent cx="1828800" cy="1223010"/>
            <wp:effectExtent l="0" t="0" r="0" b="0"/>
            <wp:docPr id="1" name="Picture 1" descr="Figure 1: Chemical structure of avaco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Chemical structure of avacopan"/>
                    <pic:cNvPicPr/>
                  </pic:nvPicPr>
                  <pic:blipFill>
                    <a:blip r:embed="rId30"/>
                    <a:stretch>
                      <a:fillRect/>
                    </a:stretch>
                  </pic:blipFill>
                  <pic:spPr>
                    <a:xfrm>
                      <a:off x="0" y="0"/>
                      <a:ext cx="1846400" cy="1234780"/>
                    </a:xfrm>
                    <a:prstGeom prst="rect">
                      <a:avLst/>
                    </a:prstGeom>
                  </pic:spPr>
                </pic:pic>
              </a:graphicData>
            </a:graphic>
          </wp:inline>
        </w:drawing>
      </w:r>
    </w:p>
    <w:p w14:paraId="50130F7C" w14:textId="203AEF9C" w:rsidR="007F3F71" w:rsidRPr="0002434F" w:rsidRDefault="00F86C81" w:rsidP="001C2D33">
      <w:r w:rsidRPr="0002434F">
        <w:t xml:space="preserve">Tavneos </w:t>
      </w:r>
      <w:r w:rsidR="004F0248" w:rsidRPr="0002434F">
        <w:t>is a white to pale yellow solid with three polymorphic forms. Polymorphic form 1 (the most thermodynamic form) is manufactured. As the drug substance is fully dissolved during the manufacture of the drug product, control of polymorphic form and particle size is not required.</w:t>
      </w:r>
    </w:p>
    <w:p w14:paraId="42AF8ADC" w14:textId="533A82E9" w:rsidR="007F3F71" w:rsidRPr="0002434F" w:rsidRDefault="004F0248" w:rsidP="001C2D33">
      <w:r w:rsidRPr="0002434F">
        <w:t xml:space="preserve">The sponsor proposes to register 10 mg capsules which contain </w:t>
      </w:r>
      <w:proofErr w:type="spellStart"/>
      <w:r w:rsidRPr="0002434F">
        <w:t>avacopan</w:t>
      </w:r>
      <w:proofErr w:type="spellEnd"/>
      <w:r w:rsidRPr="0002434F">
        <w:t xml:space="preserve"> fully dissolved in an excipient mix.</w:t>
      </w:r>
      <w:r w:rsidR="007F3F71" w:rsidRPr="0002434F">
        <w:t xml:space="preserve"> </w:t>
      </w:r>
      <w:r w:rsidRPr="0002434F">
        <w:t>The hard gelatin capsules are opaque bicoloured light orange and yellow and printed with ‘CCX168’ in black ink with a clear gelatin sealing band. The capsules are packaged in high density polyethylene 250 mL and 75 mL bottles with child-resistant polypropylene closures, containing 180 and 30 capsules, respectively.</w:t>
      </w:r>
    </w:p>
    <w:p w14:paraId="06BD005C" w14:textId="0F1D621D" w:rsidR="00F86C81" w:rsidRPr="0002434F" w:rsidRDefault="00F86C81" w:rsidP="001C2D33">
      <w:r w:rsidRPr="0002434F">
        <w:t>The stability data supported a shelf-life of 36 months when stored below 30°C. No additional storage conditions are required.</w:t>
      </w:r>
    </w:p>
    <w:p w14:paraId="260C0C5D" w14:textId="276A1542" w:rsidR="004F0248" w:rsidRPr="0002434F" w:rsidRDefault="004F0248" w:rsidP="001C2D33">
      <w:r w:rsidRPr="0002434F">
        <w:t>Approval for registration of the proposed product was recommended following resolution of minor issues. There are no manufacturing</w:t>
      </w:r>
      <w:r w:rsidR="00517B65" w:rsidRPr="0002434F">
        <w:t xml:space="preserve"> </w:t>
      </w:r>
      <w:r w:rsidRPr="0002434F">
        <w:t>related conditions of registration.</w:t>
      </w:r>
    </w:p>
    <w:p w14:paraId="2BE90AAE" w14:textId="77777777" w:rsidR="00C22214" w:rsidRPr="0002434F" w:rsidRDefault="00C22214" w:rsidP="00C22214">
      <w:pPr>
        <w:pStyle w:val="Heading3"/>
      </w:pPr>
      <w:bookmarkStart w:id="37" w:name="_Toc314842512"/>
      <w:bookmarkStart w:id="38" w:name="_Toc103679296"/>
      <w:bookmarkStart w:id="39" w:name="_Toc147390244"/>
      <w:r w:rsidRPr="0002434F">
        <w:t>Nonclinical</w:t>
      </w:r>
      <w:bookmarkEnd w:id="37"/>
      <w:bookmarkEnd w:id="38"/>
      <w:bookmarkEnd w:id="39"/>
    </w:p>
    <w:p w14:paraId="6AF60F37" w14:textId="69964A82" w:rsidR="004F0248" w:rsidRPr="0002434F" w:rsidRDefault="004F0248" w:rsidP="001C2D33">
      <w:r w:rsidRPr="0002434F">
        <w:t xml:space="preserve">Based on the nonclinical data evaluated, there were no nonclinical objections to the registration of </w:t>
      </w:r>
      <w:proofErr w:type="spellStart"/>
      <w:r w:rsidRPr="0002434F">
        <w:t>avacopan</w:t>
      </w:r>
      <w:proofErr w:type="spellEnd"/>
      <w:r w:rsidRPr="0002434F">
        <w:t>. The nonclinical evaluation was in parts based on the US FDA review available in the public domain.</w:t>
      </w:r>
      <w:r w:rsidR="00F86C81" w:rsidRPr="0002434F">
        <w:rPr>
          <w:rStyle w:val="FootnoteReference"/>
        </w:rPr>
        <w:footnoteReference w:id="4"/>
      </w:r>
      <w:r w:rsidRPr="0002434F">
        <w:t xml:space="preserve"> Efforts were made to verify the accuracy of statements in the review, where possible.</w:t>
      </w:r>
    </w:p>
    <w:p w14:paraId="7CB2A7BD" w14:textId="76663209" w:rsidR="004F0248" w:rsidRPr="0002434F" w:rsidRDefault="004F0248" w:rsidP="001C2D33">
      <w:r w:rsidRPr="0002434F">
        <w:t>The nonclinical evaluat</w:t>
      </w:r>
      <w:r w:rsidR="00241EA0" w:rsidRPr="0002434F">
        <w:t>ion</w:t>
      </w:r>
      <w:r w:rsidRPr="0002434F">
        <w:t xml:space="preserve"> provided the following summary of the evaluation.</w:t>
      </w:r>
    </w:p>
    <w:p w14:paraId="6CD9FA1D" w14:textId="3C98AA03" w:rsidR="004F0248" w:rsidRPr="0002434F" w:rsidRDefault="004F0248" w:rsidP="001C2D33">
      <w:pPr>
        <w:pStyle w:val="ListBullet"/>
      </w:pPr>
      <w:r w:rsidRPr="0002434F">
        <w:t xml:space="preserve">The submitted </w:t>
      </w:r>
      <w:r w:rsidR="00F86C81" w:rsidRPr="0002434F">
        <w:t>nonclin</w:t>
      </w:r>
      <w:r w:rsidR="00D22600" w:rsidRPr="0002434F">
        <w:t>i</w:t>
      </w:r>
      <w:r w:rsidR="00F86C81" w:rsidRPr="0002434F">
        <w:t>cal</w:t>
      </w:r>
      <w:r w:rsidRPr="0002434F">
        <w:t xml:space="preserve"> dossier was in accordance with the relevant ICH guideline.</w:t>
      </w:r>
      <w:r w:rsidR="00F86C81" w:rsidRPr="0002434F">
        <w:rPr>
          <w:rStyle w:val="FootnoteReference"/>
        </w:rPr>
        <w:footnoteReference w:id="5"/>
      </w:r>
      <w:r w:rsidRPr="0002434F">
        <w:t xml:space="preserve"> The overall quality of the nonclinical dossier was high. All pivotal safety</w:t>
      </w:r>
      <w:r w:rsidR="00517B65" w:rsidRPr="0002434F">
        <w:t xml:space="preserve"> </w:t>
      </w:r>
      <w:r w:rsidRPr="0002434F">
        <w:t xml:space="preserve">related studies were </w:t>
      </w:r>
      <w:r w:rsidR="002752E2" w:rsidRPr="0002434F">
        <w:t>Good Laboratory Practice</w:t>
      </w:r>
      <w:r w:rsidR="002752E2" w:rsidRPr="0002434F">
        <w:rPr>
          <w:rStyle w:val="FootnoteReference"/>
        </w:rPr>
        <w:footnoteReference w:id="6"/>
      </w:r>
      <w:r w:rsidRPr="0002434F">
        <w:t xml:space="preserve"> compliant.</w:t>
      </w:r>
    </w:p>
    <w:p w14:paraId="015D1F81" w14:textId="0D7480F2" w:rsidR="004F0248" w:rsidRPr="0002434F" w:rsidRDefault="5CBD410C" w:rsidP="001C2D33">
      <w:pPr>
        <w:pStyle w:val="ListBullet"/>
      </w:pPr>
      <w:r w:rsidRPr="0002434F">
        <w:rPr>
          <w:i/>
          <w:iCs/>
        </w:rPr>
        <w:t>In vitro</w:t>
      </w:r>
      <w:r w:rsidRPr="0002434F">
        <w:t xml:space="preserve">, </w:t>
      </w:r>
      <w:proofErr w:type="spellStart"/>
      <w:r w:rsidRPr="0002434F">
        <w:t>avacopan</w:t>
      </w:r>
      <w:proofErr w:type="spellEnd"/>
      <w:r w:rsidRPr="0002434F">
        <w:t xml:space="preserve"> bound the C5a receptor on U937 cells with nanomolar affinity</w:t>
      </w:r>
      <w:r w:rsidR="148F0418" w:rsidRPr="0002434F">
        <w:t xml:space="preserve"> half maximal inhibitory concentration (</w:t>
      </w:r>
      <w:r w:rsidRPr="0002434F">
        <w:t>IC</w:t>
      </w:r>
      <w:r w:rsidRPr="0002434F">
        <w:rPr>
          <w:vertAlign w:val="subscript"/>
        </w:rPr>
        <w:t>50</w:t>
      </w:r>
      <w:r w:rsidR="148F0418" w:rsidRPr="0002434F">
        <w:t xml:space="preserve">) </w:t>
      </w:r>
      <w:r w:rsidRPr="0002434F">
        <w:t>0.45</w:t>
      </w:r>
      <w:r w:rsidR="667F615D" w:rsidRPr="0002434F">
        <w:t> </w:t>
      </w:r>
      <w:proofErr w:type="spellStart"/>
      <w:r w:rsidRPr="0002434F">
        <w:t>nM.</w:t>
      </w:r>
      <w:proofErr w:type="spellEnd"/>
      <w:r w:rsidRPr="0002434F">
        <w:t xml:space="preserve"> </w:t>
      </w:r>
      <w:proofErr w:type="spellStart"/>
      <w:r w:rsidRPr="0002434F">
        <w:t>Avacopan</w:t>
      </w:r>
      <w:proofErr w:type="spellEnd"/>
      <w:r w:rsidRPr="0002434F">
        <w:t xml:space="preserve"> and metabolite M1 (product of methyl hydroxylation of </w:t>
      </w:r>
      <w:proofErr w:type="spellStart"/>
      <w:r w:rsidRPr="0002434F">
        <w:t>avacopan</w:t>
      </w:r>
      <w:proofErr w:type="spellEnd"/>
      <w:r w:rsidRPr="0002434F">
        <w:t xml:space="preserve">) were both found potent for C5aR in functional chemotaxis assays in humans, </w:t>
      </w:r>
      <w:proofErr w:type="gramStart"/>
      <w:r w:rsidRPr="0002434F">
        <w:t>hamster</w:t>
      </w:r>
      <w:proofErr w:type="gramEnd"/>
      <w:r w:rsidRPr="0002434F">
        <w:t xml:space="preserve"> and monkey, but minimally active against C5aR in mice, rats and rabbits. </w:t>
      </w:r>
      <w:proofErr w:type="spellStart"/>
      <w:r w:rsidRPr="0002434F">
        <w:t>Avacopan</w:t>
      </w:r>
      <w:proofErr w:type="spellEnd"/>
      <w:r w:rsidRPr="0002434F">
        <w:t xml:space="preserve"> also reduced the potency of exogenous human C5a to upregulate the adhesion molecule CD11b on blood neutrophils in h</w:t>
      </w:r>
      <w:r w:rsidR="667F615D" w:rsidRPr="0002434F">
        <w:t xml:space="preserve">uman </w:t>
      </w:r>
      <w:r w:rsidRPr="0002434F">
        <w:t xml:space="preserve">C5aR </w:t>
      </w:r>
      <w:r w:rsidR="00494140" w:rsidRPr="0002434F">
        <w:t>k</w:t>
      </w:r>
      <w:r w:rsidR="61D3F3BC" w:rsidRPr="0002434F">
        <w:t>nock</w:t>
      </w:r>
      <w:r w:rsidR="00494140" w:rsidRPr="0002434F">
        <w:t>-i</w:t>
      </w:r>
      <w:r w:rsidR="53A45C10" w:rsidRPr="0002434F">
        <w:t xml:space="preserve">n transgenic </w:t>
      </w:r>
      <w:r w:rsidRPr="0002434F">
        <w:t xml:space="preserve">mice. </w:t>
      </w:r>
      <w:r w:rsidRPr="0002434F">
        <w:rPr>
          <w:i/>
          <w:iCs/>
        </w:rPr>
        <w:t>In vivo</w:t>
      </w:r>
      <w:r w:rsidRPr="0002434F">
        <w:t xml:space="preserve">, </w:t>
      </w:r>
      <w:proofErr w:type="spellStart"/>
      <w:r w:rsidRPr="0002434F">
        <w:t>avacopan</w:t>
      </w:r>
      <w:proofErr w:type="spellEnd"/>
      <w:r w:rsidRPr="0002434F">
        <w:t xml:space="preserve"> inhibited </w:t>
      </w:r>
      <w:r w:rsidR="667F615D" w:rsidRPr="0002434F">
        <w:t xml:space="preserve">human </w:t>
      </w:r>
      <w:r w:rsidRPr="0002434F">
        <w:t>C5a-induced neutropenia in cynomolgus monkeys. Therefore, animal studies adequately support the proposed clinical indication.</w:t>
      </w:r>
    </w:p>
    <w:p w14:paraId="6C8E39CE" w14:textId="0FC43CF7" w:rsidR="004F0248" w:rsidRPr="0002434F" w:rsidRDefault="004F0248" w:rsidP="001C2D33">
      <w:pPr>
        <w:pStyle w:val="ListBullet"/>
      </w:pPr>
      <w:proofErr w:type="spellStart"/>
      <w:r w:rsidRPr="0002434F">
        <w:lastRenderedPageBreak/>
        <w:t>Avacopan</w:t>
      </w:r>
      <w:proofErr w:type="spellEnd"/>
      <w:r w:rsidRPr="0002434F">
        <w:t xml:space="preserve"> (10 </w:t>
      </w:r>
      <w:proofErr w:type="spellStart"/>
      <w:r w:rsidRPr="0002434F">
        <w:t>μM</w:t>
      </w:r>
      <w:proofErr w:type="spellEnd"/>
      <w:r w:rsidRPr="0002434F">
        <w:t>) did not exhibit significant inhibitory activity against a panel of 55</w:t>
      </w:r>
      <w:r w:rsidR="00F86C81" w:rsidRPr="0002434F">
        <w:t> </w:t>
      </w:r>
      <w:r w:rsidRPr="0002434F">
        <w:t>receptors and membrane associated proteins and the glucocorticoid receptor. Metabolite</w:t>
      </w:r>
      <w:r w:rsidR="00F86C81" w:rsidRPr="0002434F">
        <w:t> </w:t>
      </w:r>
      <w:r w:rsidRPr="0002434F">
        <w:t>M1 (10</w:t>
      </w:r>
      <w:r w:rsidR="00F86C81" w:rsidRPr="0002434F">
        <w:t> </w:t>
      </w:r>
      <w:proofErr w:type="spellStart"/>
      <w:r w:rsidRPr="0002434F">
        <w:t>μM</w:t>
      </w:r>
      <w:proofErr w:type="spellEnd"/>
      <w:r w:rsidRPr="0002434F">
        <w:t xml:space="preserve">) exhibited weak activity at the human CB1 receptor (53% inhibition), sodium channel (site 2) (65% inhibition), and the </w:t>
      </w:r>
      <w:r w:rsidR="00F86C81" w:rsidRPr="0002434F">
        <w:t>γ-Aminobutyric acid type A (</w:t>
      </w:r>
      <w:r w:rsidRPr="0002434F">
        <w:t>GABA</w:t>
      </w:r>
      <w:r w:rsidRPr="0002434F">
        <w:rPr>
          <w:vertAlign w:val="subscript"/>
        </w:rPr>
        <w:t>A</w:t>
      </w:r>
      <w:r w:rsidR="00F86C81" w:rsidRPr="0002434F">
        <w:t>)</w:t>
      </w:r>
      <w:r w:rsidRPr="0002434F">
        <w:t xml:space="preserve"> receptor (51% inhibition). These effects are not likely to be clinically relevant.</w:t>
      </w:r>
    </w:p>
    <w:p w14:paraId="274C788B" w14:textId="209D4A38" w:rsidR="004F0248" w:rsidRPr="0002434F" w:rsidRDefault="004F0248" w:rsidP="001C2D33">
      <w:pPr>
        <w:pStyle w:val="ListBullet"/>
      </w:pPr>
      <w:r w:rsidRPr="0002434F">
        <w:t xml:space="preserve">Safety pharmacology studies assessed effects of </w:t>
      </w:r>
      <w:proofErr w:type="spellStart"/>
      <w:r w:rsidRPr="0002434F">
        <w:t>avacopan</w:t>
      </w:r>
      <w:proofErr w:type="spellEnd"/>
      <w:r w:rsidRPr="0002434F">
        <w:t xml:space="preserve"> on the cardiovascular, respiratory, </w:t>
      </w:r>
      <w:r w:rsidR="00F86C81" w:rsidRPr="0002434F">
        <w:t>renal,</w:t>
      </w:r>
      <w:r w:rsidRPr="0002434F">
        <w:t xml:space="preserve"> and central nervous systems. Neither </w:t>
      </w:r>
      <w:proofErr w:type="spellStart"/>
      <w:r w:rsidRPr="0002434F">
        <w:t>avacopan</w:t>
      </w:r>
      <w:proofErr w:type="spellEnd"/>
      <w:r w:rsidRPr="0002434F">
        <w:t xml:space="preserve"> nor metabolite M1 (3 µM) inhibited </w:t>
      </w:r>
      <w:r w:rsidR="002752E2" w:rsidRPr="0002434F">
        <w:t>human ether-a-go-go (</w:t>
      </w:r>
      <w:proofErr w:type="spellStart"/>
      <w:r w:rsidRPr="0002434F">
        <w:t>hERG</w:t>
      </w:r>
      <w:proofErr w:type="spellEnd"/>
      <w:r w:rsidR="002752E2" w:rsidRPr="0002434F">
        <w:t>)</w:t>
      </w:r>
      <w:r w:rsidRPr="0002434F">
        <w:t xml:space="preserve"> channel currents at clinically relevant concentrations. Thus, </w:t>
      </w:r>
      <w:proofErr w:type="spellStart"/>
      <w:r w:rsidRPr="0002434F">
        <w:t>avacopan</w:t>
      </w:r>
      <w:proofErr w:type="spellEnd"/>
      <w:r w:rsidRPr="0002434F">
        <w:t xml:space="preserve"> is not predicted to prolong the QT interval</w:t>
      </w:r>
      <w:r w:rsidR="002752E2" w:rsidRPr="0002434F">
        <w:rPr>
          <w:rStyle w:val="FootnoteReference"/>
        </w:rPr>
        <w:footnoteReference w:id="7"/>
      </w:r>
      <w:r w:rsidRPr="0002434F">
        <w:t xml:space="preserve"> in patients. No treatment</w:t>
      </w:r>
      <w:r w:rsidR="00517B65" w:rsidRPr="0002434F">
        <w:t xml:space="preserve"> </w:t>
      </w:r>
      <w:r w:rsidRPr="0002434F">
        <w:t xml:space="preserve">related adverse effects were observed on the </w:t>
      </w:r>
      <w:r w:rsidR="00F86C81" w:rsidRPr="0002434F">
        <w:t>central nervous system</w:t>
      </w:r>
      <w:r w:rsidRPr="0002434F">
        <w:t>, cardiovascular, respiratory, or renal organ systems in repeat</w:t>
      </w:r>
      <w:r w:rsidR="002752E2" w:rsidRPr="0002434F">
        <w:t xml:space="preserve"> </w:t>
      </w:r>
      <w:r w:rsidRPr="0002434F">
        <w:t xml:space="preserve">dose toxicity studies following oral administration of </w:t>
      </w:r>
      <w:proofErr w:type="spellStart"/>
      <w:r w:rsidRPr="0002434F">
        <w:t>avacopan</w:t>
      </w:r>
      <w:proofErr w:type="spellEnd"/>
      <w:r w:rsidRPr="0002434F">
        <w:t xml:space="preserve"> in hamsters and cynomolgus monkeys (pharmacologically relevant species).</w:t>
      </w:r>
    </w:p>
    <w:p w14:paraId="3BB9304F" w14:textId="06F0217A" w:rsidR="004F0248" w:rsidRPr="0002434F" w:rsidRDefault="004F0248" w:rsidP="001C2D33">
      <w:pPr>
        <w:pStyle w:val="ListBullet"/>
      </w:pPr>
      <w:r w:rsidRPr="0002434F">
        <w:t>Overall, the pharmacokinetic</w:t>
      </w:r>
      <w:r w:rsidR="002752E2" w:rsidRPr="0002434F">
        <w:t xml:space="preserve"> (PK)</w:t>
      </w:r>
      <w:r w:rsidRPr="0002434F">
        <w:t xml:space="preserve"> profile in animals was qualitatively </w:t>
      </w:r>
      <w:proofErr w:type="gramStart"/>
      <w:r w:rsidRPr="0002434F">
        <w:t>similar to</w:t>
      </w:r>
      <w:proofErr w:type="gramEnd"/>
      <w:r w:rsidRPr="0002434F">
        <w:t xml:space="preserve"> that of humans.</w:t>
      </w:r>
      <w:r w:rsidR="007F3F71" w:rsidRPr="0002434F">
        <w:t xml:space="preserve"> </w:t>
      </w:r>
      <w:proofErr w:type="spellStart"/>
      <w:r w:rsidRPr="0002434F">
        <w:t>Avacopan</w:t>
      </w:r>
      <w:proofErr w:type="spellEnd"/>
      <w:r w:rsidRPr="0002434F">
        <w:t xml:space="preserve"> was readily and rapidly absorbed with a comparable </w:t>
      </w:r>
      <w:proofErr w:type="spellStart"/>
      <w:r w:rsidRPr="0002434F">
        <w:t>T</w:t>
      </w:r>
      <w:r w:rsidRPr="0002434F">
        <w:rPr>
          <w:vertAlign w:val="subscript"/>
        </w:rPr>
        <w:t>max</w:t>
      </w:r>
      <w:proofErr w:type="spellEnd"/>
      <w:r w:rsidRPr="0002434F">
        <w:t xml:space="preserve"> </w:t>
      </w:r>
      <w:r w:rsidR="002752E2" w:rsidRPr="0002434F">
        <w:t>(time taken to reach the maximum concentration (C</w:t>
      </w:r>
      <w:r w:rsidR="002752E2" w:rsidRPr="0002434F">
        <w:rPr>
          <w:vertAlign w:val="subscript"/>
        </w:rPr>
        <w:t>max</w:t>
      </w:r>
      <w:r w:rsidR="002752E2" w:rsidRPr="0002434F">
        <w:t xml:space="preserve">)) </w:t>
      </w:r>
      <w:r w:rsidRPr="0002434F">
        <w:t xml:space="preserve">in all species. Half-life of </w:t>
      </w:r>
      <w:proofErr w:type="spellStart"/>
      <w:r w:rsidRPr="0002434F">
        <w:t>avacopan</w:t>
      </w:r>
      <w:proofErr w:type="spellEnd"/>
      <w:r w:rsidRPr="0002434F">
        <w:t xml:space="preserve"> following oral dosing was 2.3 h</w:t>
      </w:r>
      <w:r w:rsidR="00F86C81" w:rsidRPr="0002434F">
        <w:t>ours</w:t>
      </w:r>
      <w:r w:rsidRPr="0002434F">
        <w:t xml:space="preserve"> in rats and 4.5 h</w:t>
      </w:r>
      <w:r w:rsidR="00F86C81" w:rsidRPr="0002434F">
        <w:t>ours</w:t>
      </w:r>
      <w:r w:rsidRPr="0002434F">
        <w:t xml:space="preserve"> in monkeys (</w:t>
      </w:r>
      <w:r w:rsidR="00F86C81" w:rsidRPr="0002434F">
        <w:t>in comparison to</w:t>
      </w:r>
      <w:r w:rsidRPr="0002434F">
        <w:t xml:space="preserve"> longer median effective half-life of 1.5 days predicted in patients). Plasma protein binding of </w:t>
      </w:r>
      <w:proofErr w:type="spellStart"/>
      <w:r w:rsidRPr="0002434F">
        <w:t>avacopan</w:t>
      </w:r>
      <w:proofErr w:type="spellEnd"/>
      <w:r w:rsidRPr="0002434F">
        <w:t xml:space="preserve"> and metabolite</w:t>
      </w:r>
      <w:r w:rsidR="00F86C81" w:rsidRPr="0002434F">
        <w:t xml:space="preserve"> </w:t>
      </w:r>
      <w:r w:rsidRPr="0002434F">
        <w:t>M1 was high (&gt;</w:t>
      </w:r>
      <w:r w:rsidR="00F86C81" w:rsidRPr="0002434F">
        <w:t xml:space="preserve"> </w:t>
      </w:r>
      <w:r w:rsidRPr="0002434F">
        <w:t xml:space="preserve">99%) in all animal species and humans. Tissue distribution of </w:t>
      </w:r>
      <w:proofErr w:type="spellStart"/>
      <w:r w:rsidRPr="0002434F">
        <w:t>avacopan</w:t>
      </w:r>
      <w:proofErr w:type="spellEnd"/>
      <w:r w:rsidRPr="0002434F">
        <w:t xml:space="preserve"> in rats was wide but penetration into brain and spinal cord was limited. Metabolite</w:t>
      </w:r>
      <w:r w:rsidR="00F86C81" w:rsidRPr="0002434F">
        <w:t xml:space="preserve"> </w:t>
      </w:r>
      <w:r w:rsidRPr="0002434F">
        <w:t>M1 was a major metabolite in humans and animals and there were no metabolites specific to humans.</w:t>
      </w:r>
      <w:r w:rsidR="007F3F71" w:rsidRPr="0002434F">
        <w:t xml:space="preserve"> </w:t>
      </w:r>
      <w:r w:rsidRPr="0002434F">
        <w:t>Drug</w:t>
      </w:r>
      <w:r w:rsidR="00517B65" w:rsidRPr="0002434F">
        <w:t xml:space="preserve"> </w:t>
      </w:r>
      <w:r w:rsidRPr="0002434F">
        <w:t xml:space="preserve">related material was predominantly excreted </w:t>
      </w:r>
      <w:r w:rsidRPr="0002434F">
        <w:rPr>
          <w:i/>
          <w:iCs/>
        </w:rPr>
        <w:t>via</w:t>
      </w:r>
      <w:r w:rsidRPr="0002434F">
        <w:t xml:space="preserve"> the faecal route in humans and animal species. While unchanged </w:t>
      </w:r>
      <w:proofErr w:type="spellStart"/>
      <w:r w:rsidRPr="0002434F">
        <w:t>avacopan</w:t>
      </w:r>
      <w:proofErr w:type="spellEnd"/>
      <w:r w:rsidRPr="0002434F">
        <w:t xml:space="preserve"> was the main circulating species in plasma, direct excretion of unchanged </w:t>
      </w:r>
      <w:proofErr w:type="spellStart"/>
      <w:r w:rsidRPr="0002434F">
        <w:t>avacopan</w:t>
      </w:r>
      <w:proofErr w:type="spellEnd"/>
      <w:r w:rsidRPr="0002434F">
        <w:t xml:space="preserve"> was minimal. Faecal and urine radioactivity profiles showed extensive metabolism of </w:t>
      </w:r>
      <w:proofErr w:type="spellStart"/>
      <w:r w:rsidRPr="0002434F">
        <w:t>avacopan</w:t>
      </w:r>
      <w:proofErr w:type="spellEnd"/>
      <w:r w:rsidRPr="0002434F">
        <w:t>.</w:t>
      </w:r>
    </w:p>
    <w:p w14:paraId="4A7F08EF" w14:textId="2B9BC5D0" w:rsidR="004F0248" w:rsidRPr="0002434F" w:rsidRDefault="004F0248" w:rsidP="001C2D33">
      <w:pPr>
        <w:pStyle w:val="ListBullet"/>
      </w:pPr>
      <w:proofErr w:type="spellStart"/>
      <w:r w:rsidRPr="0002434F">
        <w:t>Avacopan</w:t>
      </w:r>
      <w:proofErr w:type="spellEnd"/>
      <w:r w:rsidRPr="0002434F">
        <w:t xml:space="preserve"> is metaboli</w:t>
      </w:r>
      <w:r w:rsidR="00F86C81" w:rsidRPr="0002434F">
        <w:t>s</w:t>
      </w:r>
      <w:r w:rsidRPr="0002434F">
        <w:t xml:space="preserve">ed in the liver, predominately by </w:t>
      </w:r>
      <w:r w:rsidR="002752E2" w:rsidRPr="0002434F">
        <w:t>cytochrome P450 (</w:t>
      </w:r>
      <w:r w:rsidRPr="0002434F">
        <w:t>CYP</w:t>
      </w:r>
      <w:r w:rsidR="002752E2" w:rsidRPr="0002434F">
        <w:t>)</w:t>
      </w:r>
      <w:r w:rsidR="002752E2" w:rsidRPr="0002434F">
        <w:rPr>
          <w:rStyle w:val="FootnoteReference"/>
        </w:rPr>
        <w:footnoteReference w:id="8"/>
      </w:r>
      <w:r w:rsidRPr="0002434F">
        <w:t xml:space="preserve">3A4. Given the primary role of CYP3A4 in the metabolism of </w:t>
      </w:r>
      <w:proofErr w:type="spellStart"/>
      <w:r w:rsidRPr="0002434F">
        <w:t>avacopan</w:t>
      </w:r>
      <w:proofErr w:type="spellEnd"/>
      <w:r w:rsidRPr="0002434F">
        <w:t>, concomitant use of a CYP3A inhibitor</w:t>
      </w:r>
      <w:r w:rsidR="00F86C81" w:rsidRPr="0002434F">
        <w:t xml:space="preserve"> or </w:t>
      </w:r>
      <w:r w:rsidRPr="0002434F">
        <w:t xml:space="preserve">inducer may alter </w:t>
      </w:r>
      <w:proofErr w:type="spellStart"/>
      <w:r w:rsidRPr="0002434F">
        <w:t>avacopan</w:t>
      </w:r>
      <w:proofErr w:type="spellEnd"/>
      <w:r w:rsidRPr="0002434F">
        <w:t xml:space="preserve"> exposures. Strong and moderate inducers and inhibitors of CYP3A may significantly alter plasma </w:t>
      </w:r>
      <w:proofErr w:type="spellStart"/>
      <w:r w:rsidRPr="0002434F">
        <w:t>avacopan</w:t>
      </w:r>
      <w:proofErr w:type="spellEnd"/>
      <w:r w:rsidRPr="0002434F">
        <w:t xml:space="preserve"> concentration.</w:t>
      </w:r>
    </w:p>
    <w:p w14:paraId="0686A88C" w14:textId="6B6F9AEE" w:rsidR="004F0248" w:rsidRPr="0002434F" w:rsidRDefault="004F0248" w:rsidP="001C2D33">
      <w:pPr>
        <w:pStyle w:val="ListBullet"/>
      </w:pPr>
      <w:proofErr w:type="spellStart"/>
      <w:r w:rsidRPr="0002434F">
        <w:t>Avacopan</w:t>
      </w:r>
      <w:proofErr w:type="spellEnd"/>
      <w:r w:rsidRPr="0002434F">
        <w:t xml:space="preserve"> was well tolerated in rats up to 100 mg/kg </w:t>
      </w:r>
      <w:r w:rsidRPr="0002434F">
        <w:rPr>
          <w:i/>
          <w:iCs/>
        </w:rPr>
        <w:t xml:space="preserve">via </w:t>
      </w:r>
      <w:r w:rsidRPr="0002434F">
        <w:t>the oral route, with no observed mortality or treatment</w:t>
      </w:r>
      <w:r w:rsidR="00517B65" w:rsidRPr="0002434F">
        <w:t xml:space="preserve"> </w:t>
      </w:r>
      <w:r w:rsidRPr="0002434F">
        <w:t>related effects. A maximum non-lethal dose was not established.</w:t>
      </w:r>
    </w:p>
    <w:p w14:paraId="76FCAFAA" w14:textId="58AD0B29" w:rsidR="004F0248" w:rsidRPr="0002434F" w:rsidRDefault="004F0248" w:rsidP="001C2D33">
      <w:pPr>
        <w:pStyle w:val="ListBullet"/>
      </w:pPr>
      <w:r w:rsidRPr="0002434F">
        <w:t>Repeat</w:t>
      </w:r>
      <w:r w:rsidR="002752E2" w:rsidRPr="0002434F">
        <w:t xml:space="preserve"> </w:t>
      </w:r>
      <w:r w:rsidRPr="0002434F">
        <w:t>dose toxicity studies by the oral route were conducted in rats (26 weeks), hamsters (up to 13 weeks) and Cynomolgus monkeys (up to 44 weeks). Maximum exposures (</w:t>
      </w:r>
      <w:r w:rsidR="002752E2" w:rsidRPr="0002434F">
        <w:t>area under the plasma drug concentration-time curve (</w:t>
      </w:r>
      <w:r w:rsidRPr="0002434F">
        <w:t>AUC</w:t>
      </w:r>
      <w:r w:rsidR="002752E2" w:rsidRPr="0002434F">
        <w:t>)</w:t>
      </w:r>
      <w:r w:rsidRPr="0002434F">
        <w:t xml:space="preserve">) for </w:t>
      </w:r>
      <w:proofErr w:type="spellStart"/>
      <w:r w:rsidRPr="0002434F">
        <w:t>avacopan</w:t>
      </w:r>
      <w:proofErr w:type="spellEnd"/>
      <w:r w:rsidRPr="0002434F">
        <w:t xml:space="preserve"> and metabolite</w:t>
      </w:r>
      <w:r w:rsidR="00F86C81" w:rsidRPr="0002434F">
        <w:t xml:space="preserve"> </w:t>
      </w:r>
      <w:r w:rsidRPr="0002434F">
        <w:t>M1 were adequate in rats, hamsters, and monkeys. Saturation of exposures were achieved at 100 mg/kg/day in rats and hamsters and at 50 mg/kg/day in monkeys. There were no observed treatment</w:t>
      </w:r>
      <w:r w:rsidR="00517B65" w:rsidRPr="0002434F">
        <w:t xml:space="preserve"> </w:t>
      </w:r>
      <w:r w:rsidRPr="0002434F">
        <w:t>related mortalities and findings. No target organs for toxicity were identified.</w:t>
      </w:r>
    </w:p>
    <w:p w14:paraId="56EBFE6C" w14:textId="131C27A6" w:rsidR="004F0248" w:rsidRPr="0002434F" w:rsidRDefault="004F0248">
      <w:pPr>
        <w:pStyle w:val="ListBullet"/>
      </w:pPr>
      <w:proofErr w:type="spellStart"/>
      <w:r w:rsidRPr="0002434F">
        <w:t>Avacopan</w:t>
      </w:r>
      <w:proofErr w:type="spellEnd"/>
      <w:r w:rsidRPr="0002434F">
        <w:t xml:space="preserve"> was not mutagenic in the bacterial reverse mutation assay (</w:t>
      </w:r>
      <w:r w:rsidR="002752E2" w:rsidRPr="0002434F">
        <w:t xml:space="preserve">also known as the </w:t>
      </w:r>
      <w:r w:rsidRPr="0002434F">
        <w:t xml:space="preserve">Ames test), the </w:t>
      </w:r>
      <w:r w:rsidRPr="0002434F">
        <w:rPr>
          <w:i/>
          <w:iCs/>
        </w:rPr>
        <w:t>in vitro</w:t>
      </w:r>
      <w:r w:rsidRPr="0002434F">
        <w:t xml:space="preserve"> mouse lymphoma assay and in an </w:t>
      </w:r>
      <w:r w:rsidRPr="0002434F">
        <w:rPr>
          <w:i/>
          <w:iCs/>
        </w:rPr>
        <w:t>in vivo</w:t>
      </w:r>
      <w:r w:rsidRPr="0002434F">
        <w:t xml:space="preserve"> micronucleus assay (in rats). </w:t>
      </w:r>
      <w:r w:rsidRPr="0002434F">
        <w:lastRenderedPageBreak/>
        <w:t>No treatment related increase in tumour incidence was observed in 2-year oral carcinogenicity studies in rats and hamsters. Increased minerali</w:t>
      </w:r>
      <w:r w:rsidR="00F86C81" w:rsidRPr="0002434F">
        <w:t>s</w:t>
      </w:r>
      <w:r w:rsidRPr="0002434F">
        <w:t>ation in the ovaries of female hamsters at 30 mg/kg/day (</w:t>
      </w:r>
      <w:r w:rsidR="002752E2" w:rsidRPr="0002434F">
        <w:t xml:space="preserve">exposure ratio based on AUC for </w:t>
      </w:r>
      <w:proofErr w:type="spellStart"/>
      <w:r w:rsidR="002752E2" w:rsidRPr="0002434F">
        <w:t>avacopan</w:t>
      </w:r>
      <w:proofErr w:type="spellEnd"/>
      <w:r w:rsidR="002752E2" w:rsidRPr="0002434F">
        <w:t xml:space="preserve"> and metabolite M1 (</w:t>
      </w:r>
      <w:r w:rsidRPr="0002434F">
        <w:t>ER</w:t>
      </w:r>
      <w:r w:rsidRPr="0002434F">
        <w:rPr>
          <w:vertAlign w:val="subscript"/>
        </w:rPr>
        <w:t>AUC</w:t>
      </w:r>
      <w:r w:rsidR="002752E2" w:rsidRPr="0002434F">
        <w:rPr>
          <w:vertAlign w:val="subscript"/>
        </w:rPr>
        <w:t xml:space="preserve"> </w:t>
      </w:r>
      <w:r w:rsidRPr="0002434F">
        <w:rPr>
          <w:vertAlign w:val="subscript"/>
        </w:rPr>
        <w:t>(avacopan+M1)</w:t>
      </w:r>
      <w:r w:rsidRPr="0002434F">
        <w:t>, 2.6) or 100 mg/kg/day (ER</w:t>
      </w:r>
      <w:r w:rsidRPr="0002434F">
        <w:rPr>
          <w:vertAlign w:val="subscript"/>
        </w:rPr>
        <w:t>AUC (avacopan+M1)</w:t>
      </w:r>
      <w:r w:rsidRPr="0002434F">
        <w:t>, 4.4) was noted. The toxicological significance of this is uncertain.</w:t>
      </w:r>
    </w:p>
    <w:p w14:paraId="33310A03" w14:textId="3F93DA77" w:rsidR="007F3F71" w:rsidRPr="0002434F" w:rsidRDefault="004F0248" w:rsidP="001C2D33">
      <w:pPr>
        <w:pStyle w:val="ListBullet"/>
      </w:pPr>
      <w:r w:rsidRPr="0002434F">
        <w:t xml:space="preserve">Fertility was not affected in male and female hamsters treated with </w:t>
      </w:r>
      <w:proofErr w:type="spellStart"/>
      <w:r w:rsidRPr="0002434F">
        <w:t>avacopan</w:t>
      </w:r>
      <w:proofErr w:type="spellEnd"/>
      <w:r w:rsidRPr="0002434F">
        <w:t xml:space="preserve"> at exposure levels ≥</w:t>
      </w:r>
      <w:r w:rsidR="00F86C81" w:rsidRPr="0002434F">
        <w:t xml:space="preserve"> </w:t>
      </w:r>
      <w:r w:rsidRPr="0002434F">
        <w:t xml:space="preserve">5.8 times </w:t>
      </w:r>
      <w:r w:rsidR="00F86C81" w:rsidRPr="0002434F">
        <w:t>(</w:t>
      </w:r>
      <w:r w:rsidRPr="0002434F">
        <w:t>ER</w:t>
      </w:r>
      <w:r w:rsidRPr="0002434F">
        <w:rPr>
          <w:vertAlign w:val="subscript"/>
        </w:rPr>
        <w:t>AUC</w:t>
      </w:r>
      <w:r w:rsidR="002752E2" w:rsidRPr="0002434F">
        <w:rPr>
          <w:vertAlign w:val="subscript"/>
        </w:rPr>
        <w:t xml:space="preserve"> </w:t>
      </w:r>
      <w:r w:rsidRPr="0002434F">
        <w:rPr>
          <w:vertAlign w:val="subscript"/>
        </w:rPr>
        <w:t>(avacopan+M1)</w:t>
      </w:r>
      <w:r w:rsidR="00F86C81" w:rsidRPr="0002434F">
        <w:t>)</w:t>
      </w:r>
      <w:r w:rsidR="007F3F71" w:rsidRPr="0002434F">
        <w:t xml:space="preserve"> </w:t>
      </w:r>
      <w:r w:rsidRPr="0002434F">
        <w:t>the clinical AUC. In embryofetal development studies in hamsters, no treatment</w:t>
      </w:r>
      <w:r w:rsidR="00517B65" w:rsidRPr="0002434F">
        <w:t xml:space="preserve"> </w:t>
      </w:r>
      <w:r w:rsidRPr="0002434F">
        <w:t xml:space="preserve">related fetal malformations were observed, although, an increase in skeletal variation (supernumerary ribs) was noted in all litters (40 </w:t>
      </w:r>
      <w:proofErr w:type="spellStart"/>
      <w:r w:rsidRPr="0002434F">
        <w:t>fetuses</w:t>
      </w:r>
      <w:proofErr w:type="spellEnd"/>
      <w:r w:rsidRPr="0002434F">
        <w:t>) at 1000</w:t>
      </w:r>
      <w:r w:rsidR="00F86C81" w:rsidRPr="0002434F">
        <w:t> </w:t>
      </w:r>
      <w:r w:rsidRPr="0002434F">
        <w:t>mg/kg/day (ER</w:t>
      </w:r>
      <w:r w:rsidRPr="0002434F">
        <w:rPr>
          <w:vertAlign w:val="subscript"/>
        </w:rPr>
        <w:t>AUC (avacopan+M1)</w:t>
      </w:r>
      <w:r w:rsidRPr="0002434F">
        <w:t>, 4.0). In rabbits, increased number of abortions were observed at the highest dose, 200 mg/kg/day (ER</w:t>
      </w:r>
      <w:r w:rsidRPr="0002434F">
        <w:rPr>
          <w:vertAlign w:val="subscript"/>
        </w:rPr>
        <w:t>AUC (avacopan+M1)</w:t>
      </w:r>
      <w:r w:rsidRPr="0002434F">
        <w:t>, 0.52). No treatment</w:t>
      </w:r>
      <w:r w:rsidR="00517B65" w:rsidRPr="0002434F">
        <w:t xml:space="preserve"> </w:t>
      </w:r>
      <w:r w:rsidRPr="0002434F">
        <w:t>related effects were observed on caesarean parameters or fetal malformations</w:t>
      </w:r>
      <w:r w:rsidR="00F86C81" w:rsidRPr="0002434F">
        <w:t xml:space="preserve"> or </w:t>
      </w:r>
      <w:r w:rsidRPr="0002434F">
        <w:t>variations. In a pre</w:t>
      </w:r>
      <w:r w:rsidR="00F86C81" w:rsidRPr="0002434F">
        <w:t>natal</w:t>
      </w:r>
      <w:r w:rsidRPr="0002434F">
        <w:t xml:space="preserve"> and postnatal development study in hamsters, no treatment</w:t>
      </w:r>
      <w:r w:rsidR="00517B65" w:rsidRPr="0002434F">
        <w:t xml:space="preserve"> </w:t>
      </w:r>
      <w:r w:rsidRPr="0002434F">
        <w:t>related effects were observed up to the highest dose1000 mg/kg/day (ER</w:t>
      </w:r>
      <w:r w:rsidRPr="0002434F">
        <w:rPr>
          <w:vertAlign w:val="subscript"/>
        </w:rPr>
        <w:t>AUC (avacopan+M1)</w:t>
      </w:r>
      <w:r w:rsidRPr="0002434F">
        <w:t>, 3.6).</w:t>
      </w:r>
    </w:p>
    <w:p w14:paraId="42ECF91B" w14:textId="33A332D1" w:rsidR="004F0248" w:rsidRPr="0002434F" w:rsidRDefault="004F0248" w:rsidP="001C2D33">
      <w:pPr>
        <w:pStyle w:val="ListBullet"/>
        <w:rPr>
          <w:rFonts w:eastAsiaTheme="minorHAnsi"/>
        </w:rPr>
      </w:pPr>
      <w:r w:rsidRPr="0002434F">
        <w:rPr>
          <w:rFonts w:eastAsiaTheme="minorHAnsi"/>
        </w:rPr>
        <w:t xml:space="preserve">No studies were submitted for placental transfer of </w:t>
      </w:r>
      <w:proofErr w:type="spellStart"/>
      <w:r w:rsidRPr="0002434F">
        <w:rPr>
          <w:rFonts w:eastAsiaTheme="minorHAnsi"/>
        </w:rPr>
        <w:t>avacopan</w:t>
      </w:r>
      <w:proofErr w:type="spellEnd"/>
      <w:r w:rsidRPr="0002434F">
        <w:rPr>
          <w:rFonts w:eastAsiaTheme="minorHAnsi"/>
        </w:rPr>
        <w:t xml:space="preserve"> and/or its metabolites, and excretion in milk. However, in the </w:t>
      </w:r>
      <w:r w:rsidR="00F86C81" w:rsidRPr="0002434F">
        <w:rPr>
          <w:rFonts w:eastAsiaTheme="minorHAnsi"/>
        </w:rPr>
        <w:t xml:space="preserve">pre- and postnatal development </w:t>
      </w:r>
      <w:r w:rsidRPr="0002434F">
        <w:rPr>
          <w:rFonts w:eastAsiaTheme="minorHAnsi"/>
        </w:rPr>
        <w:t xml:space="preserve">study in hamsters, </w:t>
      </w:r>
      <w:proofErr w:type="spellStart"/>
      <w:r w:rsidRPr="0002434F">
        <w:rPr>
          <w:rFonts w:eastAsiaTheme="minorHAnsi"/>
        </w:rPr>
        <w:t>avacopan</w:t>
      </w:r>
      <w:proofErr w:type="spellEnd"/>
      <w:r w:rsidRPr="0002434F">
        <w:rPr>
          <w:rFonts w:eastAsiaTheme="minorHAnsi"/>
        </w:rPr>
        <w:t xml:space="preserve"> and metabolite</w:t>
      </w:r>
      <w:r w:rsidR="00F86C81" w:rsidRPr="0002434F">
        <w:rPr>
          <w:rFonts w:eastAsiaTheme="minorHAnsi"/>
        </w:rPr>
        <w:t xml:space="preserve"> </w:t>
      </w:r>
      <w:r w:rsidRPr="0002434F">
        <w:rPr>
          <w:rFonts w:eastAsiaTheme="minorHAnsi"/>
        </w:rPr>
        <w:t xml:space="preserve">M1 were present in nursing pups following once or twice daily administration of </w:t>
      </w:r>
      <w:proofErr w:type="spellStart"/>
      <w:r w:rsidRPr="0002434F">
        <w:rPr>
          <w:rFonts w:eastAsiaTheme="minorHAnsi"/>
        </w:rPr>
        <w:t>avacopan</w:t>
      </w:r>
      <w:proofErr w:type="spellEnd"/>
      <w:r w:rsidRPr="0002434F">
        <w:rPr>
          <w:rFonts w:eastAsiaTheme="minorHAnsi"/>
        </w:rPr>
        <w:t xml:space="preserve"> to maternal hamsters on LD 15, suggesting secretion of </w:t>
      </w:r>
      <w:proofErr w:type="spellStart"/>
      <w:r w:rsidRPr="0002434F">
        <w:rPr>
          <w:rFonts w:eastAsiaTheme="minorHAnsi"/>
        </w:rPr>
        <w:t>avacopan</w:t>
      </w:r>
      <w:proofErr w:type="spellEnd"/>
      <w:r w:rsidRPr="0002434F">
        <w:rPr>
          <w:rFonts w:eastAsiaTheme="minorHAnsi"/>
        </w:rPr>
        <w:t xml:space="preserve"> and metabolite</w:t>
      </w:r>
      <w:r w:rsidR="00F86C81" w:rsidRPr="0002434F">
        <w:rPr>
          <w:rFonts w:eastAsiaTheme="minorHAnsi"/>
        </w:rPr>
        <w:t xml:space="preserve"> </w:t>
      </w:r>
      <w:r w:rsidRPr="0002434F">
        <w:rPr>
          <w:rFonts w:eastAsiaTheme="minorHAnsi"/>
        </w:rPr>
        <w:t>M1 in milk.</w:t>
      </w:r>
    </w:p>
    <w:p w14:paraId="181D4EF6" w14:textId="66C06474" w:rsidR="004F0248" w:rsidRPr="0002434F" w:rsidRDefault="004F0248" w:rsidP="001C2D33">
      <w:pPr>
        <w:pStyle w:val="ListBullet"/>
      </w:pPr>
      <w:r w:rsidRPr="0002434F">
        <w:t>Based on assessment of anti-</w:t>
      </w:r>
      <w:r w:rsidR="002752E2" w:rsidRPr="0002434F">
        <w:t xml:space="preserve">keyhole limpet hemocyanin </w:t>
      </w:r>
      <w:r w:rsidRPr="0002434F">
        <w:t xml:space="preserve">induced IgM/IgG antibody production and immunophenotyping of lymphocytes, </w:t>
      </w:r>
      <w:proofErr w:type="spellStart"/>
      <w:r w:rsidRPr="0002434F">
        <w:t>avacopan</w:t>
      </w:r>
      <w:proofErr w:type="spellEnd"/>
      <w:r w:rsidRPr="0002434F">
        <w:t xml:space="preserve"> did not induce immunotoxicity in monkeys. However, due to its mechanism of action and its proposed conditions of clinical use, immunomodulatory effects are expected with treatment.</w:t>
      </w:r>
    </w:p>
    <w:p w14:paraId="376AF827" w14:textId="77777777" w:rsidR="004F0248" w:rsidRPr="0002434F" w:rsidRDefault="004F0248" w:rsidP="001C2D33">
      <w:pPr>
        <w:pStyle w:val="ListBullet"/>
      </w:pPr>
      <w:proofErr w:type="spellStart"/>
      <w:r w:rsidRPr="0002434F">
        <w:t>Avacopan</w:t>
      </w:r>
      <w:proofErr w:type="spellEnd"/>
      <w:r w:rsidRPr="0002434F">
        <w:t xml:space="preserve"> was not phototoxic </w:t>
      </w:r>
      <w:r w:rsidRPr="0002434F">
        <w:rPr>
          <w:i/>
          <w:iCs/>
        </w:rPr>
        <w:t xml:space="preserve">in vitro </w:t>
      </w:r>
      <w:r w:rsidRPr="0002434F">
        <w:t>and is not expected to exert phototoxic effects on patients.</w:t>
      </w:r>
    </w:p>
    <w:p w14:paraId="42CB822B" w14:textId="77777777" w:rsidR="007F3F71" w:rsidRPr="0002434F" w:rsidRDefault="004F0248" w:rsidP="001C2D33">
      <w:pPr>
        <w:pStyle w:val="ListBullet"/>
        <w:rPr>
          <w:rFonts w:eastAsiaTheme="minorHAnsi"/>
        </w:rPr>
      </w:pPr>
      <w:r w:rsidRPr="0002434F">
        <w:rPr>
          <w:rFonts w:eastAsiaTheme="minorHAnsi"/>
        </w:rPr>
        <w:t>The primary pharmacology studies support the proposed clinical indication.</w:t>
      </w:r>
    </w:p>
    <w:p w14:paraId="39E2D136" w14:textId="774EF609" w:rsidR="004F0248" w:rsidRPr="0002434F" w:rsidRDefault="004F0248" w:rsidP="001C2D33">
      <w:pPr>
        <w:pStyle w:val="ListBullet"/>
        <w:rPr>
          <w:rFonts w:eastAsiaTheme="minorHAnsi"/>
        </w:rPr>
      </w:pPr>
      <w:r w:rsidRPr="0002434F">
        <w:rPr>
          <w:rFonts w:eastAsiaTheme="minorHAnsi"/>
        </w:rPr>
        <w:t xml:space="preserve">Proposed Pregnancy </w:t>
      </w:r>
      <w:r w:rsidR="00F86C81" w:rsidRPr="0002434F">
        <w:rPr>
          <w:rFonts w:eastAsiaTheme="minorHAnsi"/>
        </w:rPr>
        <w:t xml:space="preserve">Category </w:t>
      </w:r>
      <w:r w:rsidRPr="0002434F">
        <w:rPr>
          <w:rFonts w:eastAsiaTheme="minorHAnsi"/>
        </w:rPr>
        <w:t>D</w:t>
      </w:r>
      <w:r w:rsidR="002752E2" w:rsidRPr="0002434F">
        <w:rPr>
          <w:rStyle w:val="FootnoteReference"/>
          <w:rFonts w:eastAsiaTheme="minorHAnsi"/>
        </w:rPr>
        <w:footnoteReference w:id="9"/>
      </w:r>
      <w:r w:rsidRPr="0002434F">
        <w:rPr>
          <w:rFonts w:eastAsiaTheme="minorHAnsi"/>
        </w:rPr>
        <w:t xml:space="preserve"> is considered acceptable. </w:t>
      </w:r>
      <w:proofErr w:type="spellStart"/>
      <w:r w:rsidRPr="0002434F">
        <w:rPr>
          <w:rFonts w:eastAsiaTheme="minorHAnsi"/>
        </w:rPr>
        <w:t>Avacopan</w:t>
      </w:r>
      <w:proofErr w:type="spellEnd"/>
      <w:r w:rsidRPr="0002434F">
        <w:rPr>
          <w:rFonts w:eastAsiaTheme="minorHAnsi"/>
        </w:rPr>
        <w:t xml:space="preserve"> should not be used during pregnancy.</w:t>
      </w:r>
    </w:p>
    <w:p w14:paraId="4D80DCA8" w14:textId="2DA2766A" w:rsidR="004F0248" w:rsidRPr="0002434F" w:rsidRDefault="004F0248" w:rsidP="001C2D33">
      <w:r w:rsidRPr="0002434F">
        <w:t xml:space="preserve">The sponsor accepted several recommended changes to the </w:t>
      </w:r>
      <w:r w:rsidR="00826EDB" w:rsidRPr="0002434F">
        <w:t>PI</w:t>
      </w:r>
      <w:r w:rsidRPr="0002434F">
        <w:t>.</w:t>
      </w:r>
    </w:p>
    <w:p w14:paraId="35B580A5" w14:textId="69B9BE44" w:rsidR="00C22214" w:rsidRPr="0002434F" w:rsidRDefault="00C22214" w:rsidP="008804CF">
      <w:pPr>
        <w:pStyle w:val="Heading3"/>
      </w:pPr>
      <w:bookmarkStart w:id="40" w:name="_Toc247691530"/>
      <w:bookmarkStart w:id="41" w:name="_Toc314842513"/>
      <w:bookmarkStart w:id="42" w:name="_Toc103679297"/>
      <w:bookmarkStart w:id="43" w:name="_Toc147390245"/>
      <w:r w:rsidRPr="0002434F">
        <w:t>Clinical</w:t>
      </w:r>
      <w:bookmarkEnd w:id="40"/>
      <w:bookmarkEnd w:id="41"/>
      <w:bookmarkEnd w:id="42"/>
      <w:bookmarkEnd w:id="43"/>
    </w:p>
    <w:p w14:paraId="32B0DEDA" w14:textId="77777777" w:rsidR="00C22214" w:rsidRPr="0002434F" w:rsidRDefault="00C22214" w:rsidP="00433318">
      <w:pPr>
        <w:pStyle w:val="Heading4"/>
      </w:pPr>
      <w:bookmarkStart w:id="44" w:name="_Toc98931928"/>
      <w:bookmarkStart w:id="45" w:name="_Toc147390246"/>
      <w:r w:rsidRPr="0002434F">
        <w:t>Summary of clinical studies</w:t>
      </w:r>
      <w:bookmarkEnd w:id="44"/>
      <w:bookmarkEnd w:id="45"/>
    </w:p>
    <w:p w14:paraId="7ED1BCD8" w14:textId="77777777" w:rsidR="007F3F71" w:rsidRPr="0002434F" w:rsidRDefault="00C22214" w:rsidP="001C2D33">
      <w:r w:rsidRPr="0002434F">
        <w:t>The clinical dossier consisted of</w:t>
      </w:r>
      <w:r w:rsidR="007357B9" w:rsidRPr="0002434F">
        <w:t>:</w:t>
      </w:r>
    </w:p>
    <w:p w14:paraId="79BA9FCE" w14:textId="72E3E532" w:rsidR="00C31D14" w:rsidRPr="0002434F" w:rsidRDefault="00C31D14" w:rsidP="00C31D14">
      <w:pPr>
        <w:pStyle w:val="ListBullet"/>
      </w:pPr>
      <w:r w:rsidRPr="0002434F">
        <w:t>seven Phase I clinical studies</w:t>
      </w:r>
      <w:r w:rsidR="004F0248" w:rsidRPr="0002434F">
        <w:t>:</w:t>
      </w:r>
    </w:p>
    <w:p w14:paraId="190D65DC" w14:textId="1A561CE4" w:rsidR="004F0248" w:rsidRPr="0002434F" w:rsidRDefault="0029492F" w:rsidP="00C31D14">
      <w:pPr>
        <w:pStyle w:val="ListBullet2"/>
      </w:pPr>
      <w:r w:rsidRPr="0002434F">
        <w:t xml:space="preserve">Studies </w:t>
      </w:r>
      <w:r w:rsidR="004F0248" w:rsidRPr="0002434F">
        <w:t>CL001_168, CL004_168, CL007_168, CL008_168, CL013_168, CL014_168 and CCX1101</w:t>
      </w:r>
      <w:r w:rsidR="00453A4C" w:rsidRPr="0002434F">
        <w:t xml:space="preserve"> addressed pharmacokinetics and pharmacodynamics, mass balance, food effect, drug/drug interactions, effects of hepatic impairment, and cardiovascular </w:t>
      </w:r>
      <w:r w:rsidR="00B75F77" w:rsidRPr="0002434F">
        <w:t>safety.</w:t>
      </w:r>
    </w:p>
    <w:p w14:paraId="15B44BF7" w14:textId="4E5CAE3D" w:rsidR="00453A4C" w:rsidRPr="0002434F" w:rsidRDefault="00C31D14" w:rsidP="001C2D33">
      <w:pPr>
        <w:pStyle w:val="ListBullet"/>
      </w:pPr>
      <w:r w:rsidRPr="0002434F">
        <w:t>two</w:t>
      </w:r>
      <w:r w:rsidR="004F0248" w:rsidRPr="0002434F">
        <w:t xml:space="preserve"> </w:t>
      </w:r>
      <w:r w:rsidR="002679A7" w:rsidRPr="0002434F">
        <w:t>Phase</w:t>
      </w:r>
      <w:r w:rsidR="004F0248" w:rsidRPr="0002434F">
        <w:t xml:space="preserve"> II studies:</w:t>
      </w:r>
    </w:p>
    <w:p w14:paraId="02E92E89" w14:textId="30F6A58F" w:rsidR="004F0248" w:rsidRPr="0002434F" w:rsidRDefault="00453A4C" w:rsidP="00453A4C">
      <w:pPr>
        <w:pStyle w:val="ListBullet2"/>
      </w:pPr>
      <w:r w:rsidRPr="0002434F">
        <w:t xml:space="preserve">Study CL002_168 and Study CL003_168 were randomised, double blind and </w:t>
      </w:r>
      <w:proofErr w:type="gramStart"/>
      <w:r w:rsidRPr="0002434F">
        <w:t>placebo</w:t>
      </w:r>
      <w:r w:rsidR="001B712F" w:rsidRPr="0002434F">
        <w:t xml:space="preserve"> </w:t>
      </w:r>
      <w:r w:rsidRPr="0002434F">
        <w:t>controlled</w:t>
      </w:r>
      <w:proofErr w:type="gramEnd"/>
      <w:r w:rsidRPr="0002434F">
        <w:t xml:space="preserve"> trials that supported the pivotal study to evaluate the safety and efficacy of </w:t>
      </w:r>
      <w:proofErr w:type="spellStart"/>
      <w:r w:rsidRPr="0002434F">
        <w:lastRenderedPageBreak/>
        <w:t>avacopan</w:t>
      </w:r>
      <w:proofErr w:type="spellEnd"/>
      <w:r w:rsidRPr="0002434F">
        <w:t xml:space="preserve"> in subjects with AAV on background rituximab or cyclophosphamide treatment.</w:t>
      </w:r>
    </w:p>
    <w:p w14:paraId="1A4AE34C" w14:textId="5CD31AEB" w:rsidR="00C31D14" w:rsidRPr="0002434F" w:rsidRDefault="004F0248" w:rsidP="004F0248">
      <w:pPr>
        <w:pStyle w:val="ListBullet"/>
        <w:rPr>
          <w:lang w:eastAsia="ja-JP"/>
        </w:rPr>
      </w:pPr>
      <w:r w:rsidRPr="0002434F">
        <w:rPr>
          <w:lang w:eastAsia="ja-JP"/>
        </w:rPr>
        <w:t xml:space="preserve">one pivotal </w:t>
      </w:r>
      <w:r w:rsidR="002679A7" w:rsidRPr="0002434F">
        <w:rPr>
          <w:lang w:eastAsia="ja-JP"/>
        </w:rPr>
        <w:t>Phase</w:t>
      </w:r>
      <w:r w:rsidRPr="0002434F">
        <w:rPr>
          <w:lang w:eastAsia="ja-JP"/>
        </w:rPr>
        <w:t xml:space="preserve"> III study:</w:t>
      </w:r>
    </w:p>
    <w:p w14:paraId="388A53B5" w14:textId="14ABD312" w:rsidR="00453A4C" w:rsidRPr="0002434F" w:rsidRDefault="00C31D14">
      <w:pPr>
        <w:pStyle w:val="ListBullet2"/>
        <w:rPr>
          <w:lang w:eastAsia="ja-JP"/>
        </w:rPr>
      </w:pPr>
      <w:r w:rsidRPr="0002434F">
        <w:rPr>
          <w:lang w:eastAsia="ja-JP"/>
        </w:rPr>
        <w:t>Study CL010_168</w:t>
      </w:r>
      <w:r w:rsidR="00453A4C" w:rsidRPr="0002434F">
        <w:rPr>
          <w:lang w:eastAsia="ja-JP"/>
        </w:rPr>
        <w:t xml:space="preserve"> was </w:t>
      </w:r>
      <w:r w:rsidR="00453A4C" w:rsidRPr="0002434F">
        <w:t xml:space="preserve">a randomised, double blind, double dummy, active controlled study over 52 weeks in 331 patients with newly diagnosed or relapsed AAV (GPA or MPA) receiving </w:t>
      </w:r>
      <w:proofErr w:type="spellStart"/>
      <w:r w:rsidR="00453A4C" w:rsidRPr="0002434F">
        <w:t>avacopan</w:t>
      </w:r>
      <w:proofErr w:type="spellEnd"/>
      <w:r w:rsidR="00453A4C" w:rsidRPr="0002434F">
        <w:t xml:space="preserve"> or weaning doses of prednisone concurrently with a rituximab</w:t>
      </w:r>
      <w:r w:rsidR="001B712F" w:rsidRPr="0002434F">
        <w:t xml:space="preserve"> </w:t>
      </w:r>
      <w:r w:rsidR="00453A4C" w:rsidRPr="0002434F">
        <w:t xml:space="preserve">based or cyclophosphamide/azathioprine regimen. The primary objective was to compare the ability of </w:t>
      </w:r>
      <w:proofErr w:type="spellStart"/>
      <w:r w:rsidR="00453A4C" w:rsidRPr="0002434F">
        <w:t>avacopan</w:t>
      </w:r>
      <w:proofErr w:type="spellEnd"/>
      <w:r w:rsidR="00453A4C" w:rsidRPr="0002434F">
        <w:t xml:space="preserve"> and weaning prednisone to achieve and sustain remission at 26 weeks in subjects with active AAV, when used with a standard care regimen. Disease remission was defined as a Birmingham Vasculitis Activity Score (BVAS)</w:t>
      </w:r>
      <w:bookmarkStart w:id="46" w:name="_Ref144882567"/>
      <w:r w:rsidR="00453A4C" w:rsidRPr="0002434F">
        <w:rPr>
          <w:vertAlign w:val="superscript"/>
        </w:rPr>
        <w:footnoteReference w:id="10"/>
      </w:r>
      <w:bookmarkEnd w:id="46"/>
      <w:r w:rsidR="00453A4C" w:rsidRPr="0002434F">
        <w:t xml:space="preserve"> of 0 and not taking glucocorticoids for AAV within 4 weeks prior to </w:t>
      </w:r>
      <w:r w:rsidR="00AD36A0" w:rsidRPr="0002434F">
        <w:t>Week</w:t>
      </w:r>
      <w:r w:rsidR="00453A4C" w:rsidRPr="0002434F">
        <w:t xml:space="preserve"> 26. The key secondary objective was sustained remission, defined as remission at weeks 26 and 52, without having a relapse between these times.</w:t>
      </w:r>
    </w:p>
    <w:p w14:paraId="4666BAAF" w14:textId="220AFDAF" w:rsidR="004F0248" w:rsidRPr="0002434F" w:rsidRDefault="004F0248" w:rsidP="001C2D33">
      <w:r w:rsidRPr="0002434F">
        <w:t xml:space="preserve">The </w:t>
      </w:r>
      <w:r w:rsidR="00C31D14" w:rsidRPr="0002434F">
        <w:t xml:space="preserve">clinical </w:t>
      </w:r>
      <w:r w:rsidR="00241EA0" w:rsidRPr="0002434F">
        <w:t>evaluation</w:t>
      </w:r>
      <w:r w:rsidRPr="0002434F">
        <w:t xml:space="preserve"> considered the submitted data sufficient to support the application for registration of </w:t>
      </w:r>
      <w:proofErr w:type="spellStart"/>
      <w:r w:rsidRPr="0002434F">
        <w:t>avacopan</w:t>
      </w:r>
      <w:proofErr w:type="spellEnd"/>
      <w:r w:rsidRPr="0002434F">
        <w:t>.</w:t>
      </w:r>
    </w:p>
    <w:p w14:paraId="2ADDF0E1" w14:textId="77777777" w:rsidR="004F0248" w:rsidRPr="0002434F" w:rsidRDefault="004F0248" w:rsidP="00241EA0">
      <w:pPr>
        <w:pStyle w:val="Heading4"/>
      </w:pPr>
      <w:bookmarkStart w:id="47" w:name="_Toc147390247"/>
      <w:r w:rsidRPr="0002434F">
        <w:t>Pharmacology</w:t>
      </w:r>
      <w:bookmarkEnd w:id="47"/>
    </w:p>
    <w:p w14:paraId="1F6EA003" w14:textId="46539DBD" w:rsidR="004F0248" w:rsidRPr="0002434F" w:rsidRDefault="004F0248" w:rsidP="004F0248">
      <w:pPr>
        <w:pStyle w:val="Heading5"/>
      </w:pPr>
      <w:r w:rsidRPr="0002434F">
        <w:t>Pharmacokinetics</w:t>
      </w:r>
    </w:p>
    <w:p w14:paraId="63E9276C" w14:textId="11FD8407" w:rsidR="007F3F71" w:rsidRPr="0002434F" w:rsidRDefault="004F0248" w:rsidP="001C2D33">
      <w:r w:rsidRPr="0002434F">
        <w:t xml:space="preserve">After oral administration of </w:t>
      </w:r>
      <w:proofErr w:type="spellStart"/>
      <w:r w:rsidR="00C31D14" w:rsidRPr="0002434F">
        <w:t>avacopan</w:t>
      </w:r>
      <w:proofErr w:type="spellEnd"/>
      <w:r w:rsidRPr="0002434F">
        <w:t xml:space="preserve">, as a solution or in gelatin capsules depending on dose, </w:t>
      </w:r>
      <w:proofErr w:type="spellStart"/>
      <w:r w:rsidR="00C31D14" w:rsidRPr="0002434F">
        <w:t>T</w:t>
      </w:r>
      <w:r w:rsidR="00C31D14" w:rsidRPr="0002434F">
        <w:rPr>
          <w:vertAlign w:val="subscript"/>
        </w:rPr>
        <w:t>max</w:t>
      </w:r>
      <w:proofErr w:type="spellEnd"/>
      <w:r w:rsidRPr="0002434F">
        <w:t xml:space="preserve"> of </w:t>
      </w:r>
      <w:proofErr w:type="spellStart"/>
      <w:r w:rsidR="00C31D14" w:rsidRPr="0002434F">
        <w:t>avacopan</w:t>
      </w:r>
      <w:proofErr w:type="spellEnd"/>
      <w:r w:rsidRPr="0002434F">
        <w:t xml:space="preserve"> in healthy adults occurred at a median time of 1</w:t>
      </w:r>
      <w:r w:rsidR="00C31D14" w:rsidRPr="0002434F">
        <w:t xml:space="preserve"> to </w:t>
      </w:r>
      <w:r w:rsidRPr="0002434F">
        <w:t>2 hours. Subsequently there was biphasic exponential decline in plasma levels. The mean calculated terminal half-life varied with dose. Mean terminal half-life ranged from 64.0 to 71.8 hours after 30 and 100</w:t>
      </w:r>
      <w:r w:rsidR="00C31D14" w:rsidRPr="0002434F">
        <w:t xml:space="preserve"> </w:t>
      </w:r>
      <w:r w:rsidRPr="0002434F">
        <w:t>mg single doses and from 120</w:t>
      </w:r>
      <w:r w:rsidR="00C31D14" w:rsidRPr="0002434F">
        <w:t xml:space="preserve"> to </w:t>
      </w:r>
      <w:r w:rsidRPr="0002434F">
        <w:t>162 hours after 10</w:t>
      </w:r>
      <w:r w:rsidR="00C31D14" w:rsidRPr="0002434F">
        <w:t xml:space="preserve"> </w:t>
      </w:r>
      <w:r w:rsidRPr="0002434F">
        <w:t xml:space="preserve">mg </w:t>
      </w:r>
      <w:r w:rsidR="00C31D14" w:rsidRPr="0002434F">
        <w:t xml:space="preserve">once </w:t>
      </w:r>
      <w:r w:rsidRPr="0002434F">
        <w:t xml:space="preserve">daily for one week, and 30 or 50 mg twice daily doses given for one week. The apparent clearance of </w:t>
      </w:r>
      <w:proofErr w:type="spellStart"/>
      <w:r w:rsidR="00C31D14" w:rsidRPr="0002434F">
        <w:t>avacopan</w:t>
      </w:r>
      <w:proofErr w:type="spellEnd"/>
      <w:r w:rsidRPr="0002434F">
        <w:t xml:space="preserve"> ranged from 51.7 to 195</w:t>
      </w:r>
      <w:r w:rsidR="00C31D14" w:rsidRPr="0002434F">
        <w:t> </w:t>
      </w:r>
      <w:r w:rsidRPr="0002434F">
        <w:t>L/hr (single dose) and from 4.05 and 86.3 L/hr (multiple doses).</w:t>
      </w:r>
    </w:p>
    <w:p w14:paraId="1EE77F10" w14:textId="6D338BE7" w:rsidR="004F0248" w:rsidRPr="0002434F" w:rsidRDefault="004F0248" w:rsidP="001C2D33">
      <w:r w:rsidRPr="0002434F">
        <w:t xml:space="preserve">Based on </w:t>
      </w:r>
      <w:r w:rsidR="002752E2" w:rsidRPr="0002434F">
        <w:t>AUC to the end of the dosing period (</w:t>
      </w:r>
      <w:r w:rsidRPr="0002434F">
        <w:t>AUC</w:t>
      </w:r>
      <w:r w:rsidRPr="0002434F">
        <w:rPr>
          <w:vertAlign w:val="subscript"/>
        </w:rPr>
        <w:t>0-tau</w:t>
      </w:r>
      <w:r w:rsidR="002752E2" w:rsidRPr="0002434F">
        <w:t>)</w:t>
      </w:r>
      <w:r w:rsidRPr="0002434F">
        <w:t>, 1 or 3</w:t>
      </w:r>
      <w:r w:rsidR="00C31D14" w:rsidRPr="0002434F">
        <w:t xml:space="preserve"> </w:t>
      </w:r>
      <w:r w:rsidRPr="0002434F">
        <w:t xml:space="preserve">mg </w:t>
      </w:r>
      <w:proofErr w:type="spellStart"/>
      <w:r w:rsidR="00C31D14" w:rsidRPr="0002434F">
        <w:t>avacopan</w:t>
      </w:r>
      <w:proofErr w:type="spellEnd"/>
      <w:r w:rsidRPr="0002434F">
        <w:t xml:space="preserve"> </w:t>
      </w:r>
      <w:r w:rsidR="00C31D14" w:rsidRPr="0002434F">
        <w:t>once daily</w:t>
      </w:r>
      <w:r w:rsidRPr="0002434F">
        <w:t xml:space="preserve"> for seven days resulted in moderate accumulation (28% and 52%, respectively) of </w:t>
      </w:r>
      <w:proofErr w:type="spellStart"/>
      <w:r w:rsidR="00C31D14" w:rsidRPr="0002434F">
        <w:t>avacopan</w:t>
      </w:r>
      <w:proofErr w:type="spellEnd"/>
      <w:r w:rsidRPr="0002434F">
        <w:t xml:space="preserve"> while 10mg </w:t>
      </w:r>
      <w:r w:rsidR="00C31D14" w:rsidRPr="0002434F">
        <w:t>once daily</w:t>
      </w:r>
      <w:r w:rsidRPr="0002434F">
        <w:t xml:space="preserve"> and 30 mg or 50</w:t>
      </w:r>
      <w:r w:rsidR="00C31D14" w:rsidRPr="0002434F">
        <w:t> </w:t>
      </w:r>
      <w:r w:rsidRPr="0002434F">
        <w:t xml:space="preserve">mg </w:t>
      </w:r>
      <w:r w:rsidR="00C31D14" w:rsidRPr="0002434F">
        <w:t>twice daily</w:t>
      </w:r>
      <w:r w:rsidRPr="0002434F">
        <w:t xml:space="preserve"> resulted in 71%, 132% and 185% accumulation of </w:t>
      </w:r>
      <w:proofErr w:type="spellStart"/>
      <w:r w:rsidR="00C31D14" w:rsidRPr="0002434F">
        <w:t>avacopan</w:t>
      </w:r>
      <w:proofErr w:type="spellEnd"/>
      <w:r w:rsidRPr="0002434F">
        <w:t>, respectively. Steady state was achieved after three to four days of dosing. C</w:t>
      </w:r>
      <w:r w:rsidRPr="0002434F">
        <w:rPr>
          <w:vertAlign w:val="subscript"/>
        </w:rPr>
        <w:t>max</w:t>
      </w:r>
      <w:r w:rsidRPr="0002434F">
        <w:t xml:space="preserve"> and </w:t>
      </w:r>
      <w:r w:rsidR="00C31D14" w:rsidRPr="0002434F">
        <w:t>AUC</w:t>
      </w:r>
      <w:r w:rsidR="00C31D14" w:rsidRPr="0002434F">
        <w:rPr>
          <w:vertAlign w:val="subscript"/>
        </w:rPr>
        <w:t>0-tau</w:t>
      </w:r>
      <w:r w:rsidRPr="0002434F">
        <w:t xml:space="preserve"> increased more than proportionately with dose at doses over 10</w:t>
      </w:r>
      <w:r w:rsidR="00C31D14" w:rsidRPr="0002434F">
        <w:t xml:space="preserve"> </w:t>
      </w:r>
      <w:r w:rsidRPr="0002434F">
        <w:t xml:space="preserve">mg </w:t>
      </w:r>
      <w:r w:rsidR="00C31D14" w:rsidRPr="0002434F">
        <w:t>once daily</w:t>
      </w:r>
      <w:r w:rsidRPr="0002434F">
        <w:t>. Formulation differences had minimal impact on PK.</w:t>
      </w:r>
    </w:p>
    <w:p w14:paraId="320248BA" w14:textId="737B9171" w:rsidR="004F0248" w:rsidRPr="0002434F" w:rsidRDefault="004F0248" w:rsidP="001C2D33">
      <w:r w:rsidRPr="0002434F">
        <w:t xml:space="preserve">The mean apparent volume of distribution of </w:t>
      </w:r>
      <w:proofErr w:type="spellStart"/>
      <w:r w:rsidR="00C31D14" w:rsidRPr="0002434F">
        <w:t>avacopan</w:t>
      </w:r>
      <w:proofErr w:type="spellEnd"/>
      <w:r w:rsidRPr="0002434F">
        <w:t xml:space="preserve"> after 30 mg </w:t>
      </w:r>
      <w:r w:rsidR="00C31D14" w:rsidRPr="0002434F">
        <w:t>twice daily</w:t>
      </w:r>
      <w:r w:rsidRPr="0002434F">
        <w:t xml:space="preserve"> doses in healthy subjects is approximately 5600 L. </w:t>
      </w:r>
      <w:proofErr w:type="spellStart"/>
      <w:r w:rsidR="006336C2" w:rsidRPr="0002434F">
        <w:t>Avacopan</w:t>
      </w:r>
      <w:proofErr w:type="spellEnd"/>
      <w:r w:rsidR="006336C2" w:rsidRPr="0002434F">
        <w:t xml:space="preserve"> </w:t>
      </w:r>
      <w:r w:rsidRPr="0002434F">
        <w:t>binds reversibly to human plasma proteins (</w:t>
      </w:r>
      <w:r w:rsidR="00241EA0" w:rsidRPr="0002434F">
        <w:t>for example,</w:t>
      </w:r>
      <w:r w:rsidRPr="0002434F">
        <w:t xml:space="preserve"> albumin and α1-acid glycoprotein) at &gt;</w:t>
      </w:r>
      <w:r w:rsidR="00C31D14" w:rsidRPr="0002434F">
        <w:t xml:space="preserve"> </w:t>
      </w:r>
      <w:r w:rsidRPr="0002434F">
        <w:t>99.9%.</w:t>
      </w:r>
    </w:p>
    <w:p w14:paraId="1CACDF17" w14:textId="09DFD975" w:rsidR="004F0248" w:rsidRPr="0002434F" w:rsidRDefault="004F0248" w:rsidP="001C2D33">
      <w:r w:rsidRPr="0002434F">
        <w:t xml:space="preserve">Following single doses of 100mg radiolabelled </w:t>
      </w:r>
      <w:proofErr w:type="spellStart"/>
      <w:r w:rsidR="00C31D14" w:rsidRPr="0002434F">
        <w:t>avacopan</w:t>
      </w:r>
      <w:proofErr w:type="spellEnd"/>
      <w:r w:rsidRPr="0002434F">
        <w:t xml:space="preserve">, the drug was extensively metabolised in the liver through </w:t>
      </w:r>
      <w:r w:rsidR="002679A7" w:rsidRPr="0002434F">
        <w:t>Phase</w:t>
      </w:r>
      <w:r w:rsidRPr="0002434F">
        <w:t xml:space="preserve"> I </w:t>
      </w:r>
      <w:proofErr w:type="spellStart"/>
      <w:r w:rsidRPr="0002434F">
        <w:t>biotransformations</w:t>
      </w:r>
      <w:proofErr w:type="spellEnd"/>
      <w:r w:rsidRPr="0002434F">
        <w:t xml:space="preserve">, the directly excreted parent compound accounting for only 6.7% of the total dose, nearly entirely recovered in faeces. Most metabolites were mono-oxidation or bis-oxidation products. The major circulating metabolite, CCX168-M1 was a </w:t>
      </w:r>
      <w:proofErr w:type="spellStart"/>
      <w:r w:rsidRPr="0002434F">
        <w:t>monohydroxylated</w:t>
      </w:r>
      <w:proofErr w:type="spellEnd"/>
      <w:r w:rsidRPr="0002434F">
        <w:t xml:space="preserve"> product and accounted for 11.9% of the total plasma radioactivity and metabolite M26 (a subsequent oxidation product of M1) represented 9.0% of total plasma radioactivity. Several other metabolites were identified at small amounts (&lt;</w:t>
      </w:r>
      <w:r w:rsidR="00C31D14" w:rsidRPr="0002434F">
        <w:t xml:space="preserve"> </w:t>
      </w:r>
      <w:r w:rsidRPr="0002434F">
        <w:t>3% of total plasma radioactivity).</w:t>
      </w:r>
    </w:p>
    <w:p w14:paraId="2EF72ED4" w14:textId="29408B7E" w:rsidR="004F0248" w:rsidRPr="0002434F" w:rsidRDefault="004F0248" w:rsidP="001C2D33">
      <w:r w:rsidRPr="0002434F">
        <w:lastRenderedPageBreak/>
        <w:t xml:space="preserve">A mean of 77.2% of the administered radioactivity was recovered in faeces and 9.5% recovered in urine up to the last collection interval (336 hours post-dose). Most of the administered radioactivity was recovered in the first 144 hours post-dose. The mean (+ </w:t>
      </w:r>
      <w:r w:rsidR="002752E2" w:rsidRPr="0002434F">
        <w:t>standard deviation (</w:t>
      </w:r>
      <w:r w:rsidRPr="0002434F">
        <w:t>SD</w:t>
      </w:r>
      <w:r w:rsidR="002752E2" w:rsidRPr="0002434F">
        <w:t>)</w:t>
      </w:r>
      <w:r w:rsidRPr="0002434F">
        <w:t>) overall total recovery of radioactivity in urine and faeces was 86.7 (4.04) % of the administered dose.</w:t>
      </w:r>
    </w:p>
    <w:p w14:paraId="5BCC3AB4" w14:textId="39BA9168" w:rsidR="004F0248" w:rsidRPr="0002434F" w:rsidRDefault="004F0248" w:rsidP="001C2D33">
      <w:r w:rsidRPr="0002434F">
        <w:t xml:space="preserve">A high-fat high-calorie meal delayed </w:t>
      </w:r>
      <w:proofErr w:type="spellStart"/>
      <w:r w:rsidR="00C31D14" w:rsidRPr="0002434F">
        <w:t>T</w:t>
      </w:r>
      <w:r w:rsidR="00C31D14" w:rsidRPr="0002434F">
        <w:rPr>
          <w:vertAlign w:val="subscript"/>
        </w:rPr>
        <w:t>max</w:t>
      </w:r>
      <w:proofErr w:type="spellEnd"/>
      <w:r w:rsidRPr="0002434F">
        <w:t xml:space="preserve"> after a single 30mg dose of </w:t>
      </w:r>
      <w:proofErr w:type="spellStart"/>
      <w:r w:rsidR="00C31D14" w:rsidRPr="0002434F">
        <w:t>avacopan</w:t>
      </w:r>
      <w:proofErr w:type="spellEnd"/>
      <w:r w:rsidRPr="0002434F">
        <w:t xml:space="preserve">, </w:t>
      </w:r>
      <w:proofErr w:type="spellStart"/>
      <w:r w:rsidR="00C31D14" w:rsidRPr="0002434F">
        <w:t>T</w:t>
      </w:r>
      <w:r w:rsidR="00C31D14" w:rsidRPr="0002434F">
        <w:rPr>
          <w:vertAlign w:val="subscript"/>
        </w:rPr>
        <w:t>max</w:t>
      </w:r>
      <w:proofErr w:type="spellEnd"/>
      <w:r w:rsidRPr="0002434F">
        <w:t xml:space="preserve"> is </w:t>
      </w:r>
      <w:r w:rsidR="00C31D14" w:rsidRPr="0002434F">
        <w:t xml:space="preserve">approximately </w:t>
      </w:r>
      <w:r w:rsidRPr="0002434F">
        <w:t xml:space="preserve">4 hours later in the fed state (6 hours) </w:t>
      </w:r>
      <w:r w:rsidR="00D025A9" w:rsidRPr="0002434F">
        <w:t>versus</w:t>
      </w:r>
      <w:r w:rsidRPr="0002434F">
        <w:t xml:space="preserve"> the fasted state (2 hours). However, food increased the overall exposure to </w:t>
      </w:r>
      <w:proofErr w:type="spellStart"/>
      <w:r w:rsidR="00C31D14" w:rsidRPr="0002434F">
        <w:t>avacopan</w:t>
      </w:r>
      <w:proofErr w:type="spellEnd"/>
      <w:r w:rsidRPr="0002434F">
        <w:t xml:space="preserve">. The geometric mean </w:t>
      </w:r>
      <w:proofErr w:type="spellStart"/>
      <w:r w:rsidR="00C31D14" w:rsidRPr="0002434F">
        <w:t>C</w:t>
      </w:r>
      <w:r w:rsidR="00C31D14" w:rsidRPr="0002434F">
        <w:rPr>
          <w:vertAlign w:val="subscript"/>
        </w:rPr>
        <w:t>max</w:t>
      </w:r>
      <w:proofErr w:type="spellEnd"/>
      <w:r w:rsidRPr="0002434F">
        <w:t xml:space="preserve"> of plasma </w:t>
      </w:r>
      <w:proofErr w:type="spellStart"/>
      <w:r w:rsidR="00C31D14" w:rsidRPr="0002434F">
        <w:t>avacopan</w:t>
      </w:r>
      <w:proofErr w:type="spellEnd"/>
      <w:r w:rsidRPr="0002434F">
        <w:t xml:space="preserve"> after administration of 30mg under fed conditions and fasted conditions were comparable but measures of AUC were greater by about 1.7-fold under fed </w:t>
      </w:r>
      <w:r w:rsidR="00D025A9" w:rsidRPr="0002434F">
        <w:t>versus</w:t>
      </w:r>
      <w:r w:rsidRPr="0002434F">
        <w:t xml:space="preserve"> fasted conditions (geometric mean </w:t>
      </w:r>
      <w:r w:rsidR="002752E2" w:rsidRPr="0002434F">
        <w:t xml:space="preserve">AUC </w:t>
      </w:r>
      <w:r w:rsidR="005028CE" w:rsidRPr="0002434F">
        <w:t xml:space="preserve">from time zero to the time of last measurable concentration </w:t>
      </w:r>
      <w:r w:rsidR="002752E2" w:rsidRPr="0002434F">
        <w:t>(</w:t>
      </w:r>
      <w:r w:rsidR="00C31D14" w:rsidRPr="0002434F">
        <w:t>AUC</w:t>
      </w:r>
      <w:r w:rsidR="00C31D14" w:rsidRPr="0002434F">
        <w:rPr>
          <w:vertAlign w:val="subscript"/>
        </w:rPr>
        <w:t>0-t</w:t>
      </w:r>
      <w:r w:rsidR="002752E2" w:rsidRPr="0002434F">
        <w:t xml:space="preserve"> </w:t>
      </w:r>
      <w:r w:rsidRPr="0002434F">
        <w:t>of 1410</w:t>
      </w:r>
      <w:r w:rsidR="00C31D14" w:rsidRPr="0002434F">
        <w:t xml:space="preserve"> </w:t>
      </w:r>
      <w:r w:rsidRPr="0002434F">
        <w:t>ng.hr/ml and 826</w:t>
      </w:r>
      <w:r w:rsidR="00C31D14" w:rsidRPr="0002434F">
        <w:t xml:space="preserve"> </w:t>
      </w:r>
      <w:r w:rsidRPr="0002434F">
        <w:t>ng.hr/ml, respectively). The extent of exposure (</w:t>
      </w:r>
      <w:r w:rsidR="00C31D14" w:rsidRPr="0002434F">
        <w:t>AUC</w:t>
      </w:r>
      <w:r w:rsidR="00C31D14" w:rsidRPr="0002434F">
        <w:rPr>
          <w:vertAlign w:val="subscript"/>
        </w:rPr>
        <w:t>0-t</w:t>
      </w:r>
      <w:r w:rsidRPr="0002434F">
        <w:t xml:space="preserve">) and total extent of exposure </w:t>
      </w:r>
      <w:r w:rsidR="002752E2" w:rsidRPr="0002434F">
        <w:t>(AUC from time zero to infinity)</w:t>
      </w:r>
      <w:r w:rsidRPr="0002434F">
        <w:t xml:space="preserve"> of the M1 metabolite following administration of 30</w:t>
      </w:r>
      <w:r w:rsidR="00C31D14" w:rsidRPr="0002434F">
        <w:t> </w:t>
      </w:r>
      <w:r w:rsidRPr="0002434F">
        <w:t xml:space="preserve">mg </w:t>
      </w:r>
      <w:proofErr w:type="spellStart"/>
      <w:r w:rsidR="00C31D14" w:rsidRPr="0002434F">
        <w:t>avacopan</w:t>
      </w:r>
      <w:proofErr w:type="spellEnd"/>
      <w:r w:rsidRPr="0002434F">
        <w:t xml:space="preserve"> under fed conditions were </w:t>
      </w:r>
      <w:r w:rsidR="00C31D14" w:rsidRPr="0002434F">
        <w:t xml:space="preserve">approximately </w:t>
      </w:r>
      <w:r w:rsidRPr="0002434F">
        <w:t>11</w:t>
      </w:r>
      <w:r w:rsidR="00C31D14" w:rsidRPr="0002434F">
        <w:t xml:space="preserve">% to </w:t>
      </w:r>
      <w:r w:rsidRPr="0002434F">
        <w:t xml:space="preserve">13% lower when the drug was given under fasted conditions, while the peak exposure was </w:t>
      </w:r>
      <w:r w:rsidR="00C31D14" w:rsidRPr="0002434F">
        <w:t xml:space="preserve">approximately </w:t>
      </w:r>
      <w:r w:rsidRPr="0002434F">
        <w:t>51% lower.</w:t>
      </w:r>
    </w:p>
    <w:p w14:paraId="44F4F45D" w14:textId="2510F452" w:rsidR="004F0248" w:rsidRPr="0002434F" w:rsidRDefault="004F0248" w:rsidP="001C2D33">
      <w:r w:rsidRPr="0002434F">
        <w:t>Drug</w:t>
      </w:r>
      <w:r w:rsidR="00C31D14" w:rsidRPr="0002434F">
        <w:t>-</w:t>
      </w:r>
      <w:r w:rsidRPr="0002434F">
        <w:t xml:space="preserve">drug interaction studies confirmed that </w:t>
      </w:r>
      <w:proofErr w:type="spellStart"/>
      <w:r w:rsidR="00C31D14" w:rsidRPr="0002434F">
        <w:t>avacopan</w:t>
      </w:r>
      <w:proofErr w:type="spellEnd"/>
      <w:r w:rsidRPr="0002434F">
        <w:t xml:space="preserve"> is both metaboli</w:t>
      </w:r>
      <w:r w:rsidR="00F86C81" w:rsidRPr="0002434F">
        <w:t>s</w:t>
      </w:r>
      <w:r w:rsidRPr="0002434F">
        <w:t xml:space="preserve">ed by and a moderate inhibitor of CYP3A4, and a weak inhibitor of </w:t>
      </w:r>
      <w:r w:rsidR="00AA41FB" w:rsidRPr="0002434F">
        <w:t>CYP2C9</w:t>
      </w:r>
      <w:r w:rsidRPr="0002434F">
        <w:t xml:space="preserve">. Inhibition of CYP3A4 by itraconazole increased overall exposure to </w:t>
      </w:r>
      <w:proofErr w:type="spellStart"/>
      <w:r w:rsidR="00C31D14" w:rsidRPr="0002434F">
        <w:t>avacopan</w:t>
      </w:r>
      <w:proofErr w:type="spellEnd"/>
      <w:r w:rsidRPr="0002434F">
        <w:t xml:space="preserve"> and induction of CYP3A4 by rifampicin decreased overall exposure to </w:t>
      </w:r>
      <w:proofErr w:type="spellStart"/>
      <w:r w:rsidR="00C31D14" w:rsidRPr="0002434F">
        <w:t>avacopan</w:t>
      </w:r>
      <w:proofErr w:type="spellEnd"/>
      <w:r w:rsidRPr="0002434F">
        <w:t>.</w:t>
      </w:r>
    </w:p>
    <w:p w14:paraId="044F7FFC" w14:textId="629FFCA7" w:rsidR="004F0248" w:rsidRPr="0002434F" w:rsidRDefault="004F0248" w:rsidP="001C2D33">
      <w:r w:rsidRPr="0002434F">
        <w:t xml:space="preserve">In adults with AAV, the PK of </w:t>
      </w:r>
      <w:proofErr w:type="spellStart"/>
      <w:r w:rsidR="00C31D14" w:rsidRPr="0002434F">
        <w:t>avacopan</w:t>
      </w:r>
      <w:proofErr w:type="spellEnd"/>
      <w:r w:rsidRPr="0002434F">
        <w:t xml:space="preserve"> were not affected by co-administration with prednisone, </w:t>
      </w:r>
      <w:proofErr w:type="gramStart"/>
      <w:r w:rsidRPr="0002434F">
        <w:t>cyclophosphamide</w:t>
      </w:r>
      <w:proofErr w:type="gramEnd"/>
      <w:r w:rsidRPr="0002434F">
        <w:t xml:space="preserve"> or rituximab, and similarly </w:t>
      </w:r>
      <w:proofErr w:type="spellStart"/>
      <w:r w:rsidR="00C31D14" w:rsidRPr="0002434F">
        <w:t>avacopan</w:t>
      </w:r>
      <w:proofErr w:type="spellEnd"/>
      <w:r w:rsidRPr="0002434F">
        <w:t xml:space="preserve"> did not affect exposure to prednisone, prednisolone, rituximab, cyclophosphamide or 4-ketocyclophosphamide.</w:t>
      </w:r>
    </w:p>
    <w:p w14:paraId="78EDA51C" w14:textId="5533A94A" w:rsidR="004F0248" w:rsidRPr="0002434F" w:rsidRDefault="004F0248" w:rsidP="001C2D33">
      <w:r w:rsidRPr="0002434F">
        <w:t xml:space="preserve">The results of a </w:t>
      </w:r>
      <w:r w:rsidR="002679A7" w:rsidRPr="0002434F">
        <w:t>Phase</w:t>
      </w:r>
      <w:r w:rsidRPr="0002434F">
        <w:t xml:space="preserve"> I, open</w:t>
      </w:r>
      <w:r w:rsidR="001B712F" w:rsidRPr="0002434F">
        <w:t xml:space="preserve"> </w:t>
      </w:r>
      <w:r w:rsidRPr="0002434F">
        <w:t>label, single</w:t>
      </w:r>
      <w:r w:rsidR="001B712F" w:rsidRPr="0002434F">
        <w:t xml:space="preserve"> </w:t>
      </w:r>
      <w:r w:rsidRPr="0002434F">
        <w:t>dose (30mg after overnight fast) study to evaluate the effect of mild or moderate hepatic impairment (using Child-Pugh classification)</w:t>
      </w:r>
      <w:r w:rsidR="002752E2" w:rsidRPr="0002434F">
        <w:rPr>
          <w:rStyle w:val="FootnoteReference"/>
        </w:rPr>
        <w:footnoteReference w:id="11"/>
      </w:r>
      <w:r w:rsidRPr="0002434F">
        <w:t xml:space="preserve"> on the PK of </w:t>
      </w:r>
      <w:proofErr w:type="spellStart"/>
      <w:r w:rsidR="00C31D14" w:rsidRPr="0002434F">
        <w:t>avacopan</w:t>
      </w:r>
      <w:proofErr w:type="spellEnd"/>
      <w:r w:rsidRPr="0002434F">
        <w:t xml:space="preserve"> were mildly confounded by measures of </w:t>
      </w:r>
      <w:r w:rsidR="00C31D14" w:rsidRPr="0002434F">
        <w:t>C</w:t>
      </w:r>
      <w:r w:rsidR="00C31D14" w:rsidRPr="0002434F">
        <w:rPr>
          <w:vertAlign w:val="subscript"/>
        </w:rPr>
        <w:t>max</w:t>
      </w:r>
      <w:r w:rsidRPr="0002434F">
        <w:t xml:space="preserve"> and AUC</w:t>
      </w:r>
      <w:r w:rsidRPr="0002434F">
        <w:rPr>
          <w:vertAlign w:val="subscript"/>
        </w:rPr>
        <w:t>0-t</w:t>
      </w:r>
      <w:r w:rsidRPr="0002434F">
        <w:t xml:space="preserve"> in one participant with mild hepatic impairment being almost twice as high as exposure parameters measured in any other participant in the normal, mild</w:t>
      </w:r>
      <w:r w:rsidR="0098761E" w:rsidRPr="0002434F">
        <w:t>ly</w:t>
      </w:r>
      <w:r w:rsidRPr="0002434F">
        <w:t xml:space="preserve"> or moderate</w:t>
      </w:r>
      <w:r w:rsidR="0098761E" w:rsidRPr="0002434F">
        <w:t>ly</w:t>
      </w:r>
      <w:r w:rsidR="008975E5" w:rsidRPr="0002434F">
        <w:t xml:space="preserve"> impair</w:t>
      </w:r>
      <w:r w:rsidR="0098761E" w:rsidRPr="0002434F">
        <w:t>ed</w:t>
      </w:r>
      <w:r w:rsidRPr="0002434F">
        <w:t xml:space="preserve"> hepatic function groups. The ratios of </w:t>
      </w:r>
      <w:r w:rsidR="005028CE" w:rsidRPr="0002434F">
        <w:t>AUC</w:t>
      </w:r>
      <w:r w:rsidR="005028CE" w:rsidRPr="0002434F">
        <w:rPr>
          <w:vertAlign w:val="subscript"/>
        </w:rPr>
        <w:t>0-t</w:t>
      </w:r>
      <w:r w:rsidRPr="0002434F">
        <w:t xml:space="preserve"> were 1.2367 and 1.0161 for the mild and moderate </w:t>
      </w:r>
      <w:r w:rsidR="0004641A" w:rsidRPr="0002434F">
        <w:t xml:space="preserve">impairment </w:t>
      </w:r>
      <w:r w:rsidRPr="0002434F">
        <w:t xml:space="preserve">groups, respectively compared to the healthy group. With the exclusion of </w:t>
      </w:r>
      <w:r w:rsidR="002752E2" w:rsidRPr="0002434F">
        <w:t>[patient ID redacted]</w:t>
      </w:r>
      <w:r w:rsidRPr="0002434F">
        <w:t xml:space="preserve">, the ratio of </w:t>
      </w:r>
      <w:r w:rsidR="005028CE" w:rsidRPr="0002434F">
        <w:t>AUC</w:t>
      </w:r>
      <w:r w:rsidR="005028CE" w:rsidRPr="0002434F">
        <w:rPr>
          <w:vertAlign w:val="subscript"/>
        </w:rPr>
        <w:t>0-t</w:t>
      </w:r>
      <w:r w:rsidRPr="0002434F">
        <w:t xml:space="preserve"> for the mild</w:t>
      </w:r>
      <w:r w:rsidR="00D652E9" w:rsidRPr="0002434F">
        <w:t>ly impaired</w:t>
      </w:r>
      <w:r w:rsidRPr="0002434F">
        <w:t xml:space="preserve"> group was 1.0941. Similar ratios of </w:t>
      </w:r>
      <w:r w:rsidR="00C31D14" w:rsidRPr="0002434F">
        <w:t>C</w:t>
      </w:r>
      <w:r w:rsidR="00C31D14" w:rsidRPr="0002434F">
        <w:rPr>
          <w:vertAlign w:val="subscript"/>
        </w:rPr>
        <w:t>max</w:t>
      </w:r>
      <w:r w:rsidRPr="0002434F">
        <w:t xml:space="preserve"> were seen for the mild and moderately impaired groups with or without inclusion of </w:t>
      </w:r>
      <w:r w:rsidR="002752E2" w:rsidRPr="0002434F">
        <w:t>[patient ID redacted</w:t>
      </w:r>
      <w:r w:rsidR="007508E2" w:rsidRPr="0002434F">
        <w:t>]</w:t>
      </w:r>
      <w:r w:rsidRPr="0002434F">
        <w:t>, compared to the healthy group. Exposure measures for M1 were unaffected by hepatic impairment with exclusion of the subject. Participants with severe hepatic dysfunction were not included in clinical trials.</w:t>
      </w:r>
    </w:p>
    <w:p w14:paraId="4FE416B6" w14:textId="03561ABF" w:rsidR="004F0248" w:rsidRPr="0002434F" w:rsidRDefault="004F0248" w:rsidP="001C2D33">
      <w:r w:rsidRPr="0002434F">
        <w:t xml:space="preserve">There were no dedicated PK studies involving subjects with varying degrees of renal impairment although a </w:t>
      </w:r>
      <w:r w:rsidR="002752E2" w:rsidRPr="0002434F">
        <w:t xml:space="preserve">population </w:t>
      </w:r>
      <w:r w:rsidRPr="0002434F">
        <w:t>PK study (</w:t>
      </w:r>
      <w:r w:rsidR="00C31D14" w:rsidRPr="0002434F">
        <w:t xml:space="preserve">Study </w:t>
      </w:r>
      <w:r w:rsidRPr="0002434F">
        <w:t xml:space="preserve">CMR_168_Pop_PK2) suggests small changes in </w:t>
      </w:r>
      <w:proofErr w:type="spellStart"/>
      <w:r w:rsidRPr="0002434F">
        <w:t>avacopan</w:t>
      </w:r>
      <w:proofErr w:type="spellEnd"/>
      <w:r w:rsidRPr="0002434F">
        <w:t xml:space="preserve"> PKs with renal impairment. </w:t>
      </w:r>
      <w:proofErr w:type="spellStart"/>
      <w:r w:rsidR="00755CC1" w:rsidRPr="0002434F">
        <w:t>Avacopan</w:t>
      </w:r>
      <w:proofErr w:type="spellEnd"/>
      <w:r w:rsidR="00755CC1" w:rsidRPr="0002434F">
        <w:t xml:space="preserve"> </w:t>
      </w:r>
      <w:r w:rsidRPr="0002434F">
        <w:t xml:space="preserve">is minimally excreted </w:t>
      </w:r>
      <w:r w:rsidR="00B75F77" w:rsidRPr="0002434F">
        <w:t>renally,</w:t>
      </w:r>
      <w:r w:rsidRPr="0002434F">
        <w:t xml:space="preserve"> and it is not anticipated that renal impairment would likely have a major impact on the PKs of </w:t>
      </w:r>
      <w:proofErr w:type="spellStart"/>
      <w:r w:rsidR="00C31D14" w:rsidRPr="0002434F">
        <w:t>avacopan</w:t>
      </w:r>
      <w:proofErr w:type="spellEnd"/>
      <w:r w:rsidRPr="0002434F">
        <w:t>.</w:t>
      </w:r>
    </w:p>
    <w:p w14:paraId="7C48218D" w14:textId="1EB13C8B" w:rsidR="004F0248" w:rsidRPr="0002434F" w:rsidRDefault="004F0248" w:rsidP="001C2D33">
      <w:r w:rsidRPr="0002434F">
        <w:t xml:space="preserve">A cardiac electrophysiology study did not identify any effect of </w:t>
      </w:r>
      <w:proofErr w:type="spellStart"/>
      <w:r w:rsidR="00C31D14" w:rsidRPr="0002434F">
        <w:t>avacopan</w:t>
      </w:r>
      <w:proofErr w:type="spellEnd"/>
      <w:r w:rsidRPr="0002434F">
        <w:t xml:space="preserve"> on cardiac conduction.</w:t>
      </w:r>
    </w:p>
    <w:p w14:paraId="763C0B77" w14:textId="1E15068B" w:rsidR="004F0248" w:rsidRPr="0002434F" w:rsidRDefault="004F0248" w:rsidP="00241EA0">
      <w:pPr>
        <w:pStyle w:val="Heading5"/>
      </w:pPr>
      <w:r w:rsidRPr="0002434F">
        <w:t>Pharmacodynamics</w:t>
      </w:r>
    </w:p>
    <w:p w14:paraId="7890CE23" w14:textId="7631ED79" w:rsidR="004F0248" w:rsidRPr="0002434F" w:rsidRDefault="004F0248" w:rsidP="001C2D33">
      <w:r w:rsidRPr="0002434F">
        <w:t xml:space="preserve">Pharmacodynamic endpoints were examined in a </w:t>
      </w:r>
      <w:r w:rsidR="002679A7" w:rsidRPr="0002434F">
        <w:t>Phase I</w:t>
      </w:r>
      <w:r w:rsidRPr="0002434F">
        <w:t xml:space="preserve"> study examining the PK of single doses of 10, 30 and 100 mg </w:t>
      </w:r>
      <w:proofErr w:type="spellStart"/>
      <w:r w:rsidRPr="0002434F">
        <w:t>avacopan</w:t>
      </w:r>
      <w:proofErr w:type="spellEnd"/>
      <w:r w:rsidRPr="0002434F">
        <w:t xml:space="preserve">, as well as after 30 mg </w:t>
      </w:r>
      <w:proofErr w:type="spellStart"/>
      <w:r w:rsidRPr="0002434F">
        <w:t>avacopan</w:t>
      </w:r>
      <w:proofErr w:type="spellEnd"/>
      <w:r w:rsidRPr="0002434F">
        <w:t xml:space="preserve"> </w:t>
      </w:r>
      <w:r w:rsidR="00C31D14" w:rsidRPr="0002434F">
        <w:t>twice daily</w:t>
      </w:r>
      <w:r w:rsidRPr="0002434F">
        <w:t xml:space="preserve"> for seven days. </w:t>
      </w:r>
      <w:r w:rsidRPr="0002434F">
        <w:rPr>
          <w:i/>
          <w:iCs/>
        </w:rPr>
        <w:t>Ex vivo</w:t>
      </w:r>
      <w:r w:rsidRPr="0002434F">
        <w:t xml:space="preserve"> assays assessing the expression of CD11b by C5aR</w:t>
      </w:r>
      <w:r w:rsidR="002752E2" w:rsidRPr="0002434F">
        <w:t xml:space="preserve"> </w:t>
      </w:r>
      <w:r w:rsidRPr="0002434F">
        <w:t xml:space="preserve">bearing neutrophils and C5a-mediated </w:t>
      </w:r>
      <w:r w:rsidRPr="0002434F">
        <w:lastRenderedPageBreak/>
        <w:t xml:space="preserve">chemotaxis of neutrophils from whole blood were performed to evaluate the effects of </w:t>
      </w:r>
      <w:proofErr w:type="spellStart"/>
      <w:r w:rsidRPr="0002434F">
        <w:t>avacopan</w:t>
      </w:r>
      <w:proofErr w:type="spellEnd"/>
      <w:r w:rsidRPr="0002434F">
        <w:t xml:space="preserve"> on C5a-mediated activation of neutrophils.</w:t>
      </w:r>
    </w:p>
    <w:p w14:paraId="664102EF" w14:textId="2968465C" w:rsidR="004F0248" w:rsidRPr="0002434F" w:rsidRDefault="004F0248" w:rsidP="001C2D33">
      <w:r w:rsidRPr="0002434F">
        <w:t>The CD11b study reported an A</w:t>
      </w:r>
      <w:r w:rsidRPr="0002434F">
        <w:rPr>
          <w:vertAlign w:val="subscript"/>
        </w:rPr>
        <w:t>2</w:t>
      </w:r>
      <w:r w:rsidRPr="0002434F">
        <w:t xml:space="preserve"> value (the concentration of </w:t>
      </w:r>
      <w:proofErr w:type="spellStart"/>
      <w:r w:rsidR="00C31D14" w:rsidRPr="0002434F">
        <w:t>avacopan</w:t>
      </w:r>
      <w:proofErr w:type="spellEnd"/>
      <w:r w:rsidRPr="0002434F">
        <w:t xml:space="preserve"> that produces a two-fold right shift of the C5a dose-response curve) of 4.8</w:t>
      </w:r>
      <w:r w:rsidR="00C31D14" w:rsidRPr="0002434F">
        <w:t xml:space="preserve"> </w:t>
      </w:r>
      <w:proofErr w:type="spellStart"/>
      <w:r w:rsidRPr="0002434F">
        <w:t>nM</w:t>
      </w:r>
      <w:proofErr w:type="spellEnd"/>
      <w:r w:rsidRPr="0002434F">
        <w:t xml:space="preserve"> in healthy volunteers, confirming that </w:t>
      </w:r>
      <w:proofErr w:type="spellStart"/>
      <w:r w:rsidR="00C31D14" w:rsidRPr="0002434F">
        <w:t>avacopan</w:t>
      </w:r>
      <w:proofErr w:type="spellEnd"/>
      <w:r w:rsidRPr="0002434F">
        <w:t xml:space="preserve"> inhibited C5aR upregulation of CD11b in response to exogenous C5a. The 30</w:t>
      </w:r>
      <w:r w:rsidR="00C31D14" w:rsidRPr="0002434F">
        <w:t xml:space="preserve"> </w:t>
      </w:r>
      <w:r w:rsidRPr="0002434F">
        <w:t xml:space="preserve">mg </w:t>
      </w:r>
      <w:r w:rsidR="00C31D14" w:rsidRPr="0002434F">
        <w:t>twice daily</w:t>
      </w:r>
      <w:r w:rsidRPr="0002434F">
        <w:t xml:space="preserve"> dose of </w:t>
      </w:r>
      <w:proofErr w:type="spellStart"/>
      <w:r w:rsidRPr="0002434F">
        <w:t>avacopan</w:t>
      </w:r>
      <w:proofErr w:type="spellEnd"/>
      <w:r w:rsidRPr="0002434F">
        <w:t xml:space="preserve"> resulted in extended (&gt;</w:t>
      </w:r>
      <w:r w:rsidR="00C31D14" w:rsidRPr="0002434F">
        <w:t xml:space="preserve"> </w:t>
      </w:r>
      <w:r w:rsidRPr="0002434F">
        <w:t xml:space="preserve">12 </w:t>
      </w:r>
      <w:r w:rsidR="00C31D14" w:rsidRPr="0002434F">
        <w:t>hours</w:t>
      </w:r>
      <w:r w:rsidRPr="0002434F">
        <w:t>) inhibition of C5aR, suggesting that this regimen provides a more durable effect. The 30</w:t>
      </w:r>
      <w:r w:rsidR="00C31D14" w:rsidRPr="0002434F">
        <w:t xml:space="preserve"> </w:t>
      </w:r>
      <w:r w:rsidRPr="0002434F">
        <w:t xml:space="preserve">mg </w:t>
      </w:r>
      <w:r w:rsidR="00C31D14" w:rsidRPr="0002434F">
        <w:t>twice daily</w:t>
      </w:r>
      <w:r w:rsidRPr="0002434F">
        <w:t xml:space="preserve"> dosing was thus selected as the regimen in subsequent clinical trials in patients with AAV. Results of the chemotaxis study were supportive.</w:t>
      </w:r>
    </w:p>
    <w:p w14:paraId="671A6C27" w14:textId="77777777" w:rsidR="004F0248" w:rsidRPr="0002434F" w:rsidRDefault="004F0248" w:rsidP="004F0248">
      <w:pPr>
        <w:pStyle w:val="Heading4"/>
      </w:pPr>
      <w:bookmarkStart w:id="48" w:name="_Toc147390248"/>
      <w:r w:rsidRPr="0002434F">
        <w:t>Efficacy</w:t>
      </w:r>
      <w:bookmarkEnd w:id="48"/>
    </w:p>
    <w:p w14:paraId="7BB4127E" w14:textId="31E386DD" w:rsidR="004F0248" w:rsidRPr="0002434F" w:rsidRDefault="00C31D14" w:rsidP="00241EA0">
      <w:pPr>
        <w:pStyle w:val="Heading5"/>
      </w:pPr>
      <w:r w:rsidRPr="0002434F">
        <w:t xml:space="preserve">Study </w:t>
      </w:r>
      <w:r w:rsidR="004F0248" w:rsidRPr="0002434F">
        <w:t>CL010_168</w:t>
      </w:r>
    </w:p>
    <w:p w14:paraId="05C4C841" w14:textId="77777777" w:rsidR="0002434F" w:rsidRPr="0002434F" w:rsidRDefault="14C36E39" w:rsidP="00AD36A0">
      <w:r w:rsidRPr="0002434F">
        <w:t xml:space="preserve">The pivotal study was a </w:t>
      </w:r>
      <w:r w:rsidR="73D43716" w:rsidRPr="0002434F">
        <w:t>Phase III</w:t>
      </w:r>
      <w:r w:rsidRPr="0002434F">
        <w:t>, randomised, double</w:t>
      </w:r>
      <w:r w:rsidR="4B3178E3" w:rsidRPr="0002434F">
        <w:t xml:space="preserve"> </w:t>
      </w:r>
      <w:r w:rsidRPr="0002434F">
        <w:t>blind, active</w:t>
      </w:r>
      <w:r w:rsidR="4B3178E3" w:rsidRPr="0002434F">
        <w:t xml:space="preserve"> </w:t>
      </w:r>
      <w:r w:rsidRPr="0002434F">
        <w:t xml:space="preserve">control trial evaluating the safety and efficacy of </w:t>
      </w:r>
      <w:proofErr w:type="spellStart"/>
      <w:r w:rsidRPr="0002434F">
        <w:t>avacopan</w:t>
      </w:r>
      <w:proofErr w:type="spellEnd"/>
      <w:r w:rsidRPr="0002434F">
        <w:t xml:space="preserve"> and weaning doses of prednisone in patients with AAV treated concomitantly with rituximab or cyclophosphamide/azathioprine. </w:t>
      </w:r>
      <w:bookmarkStart w:id="49" w:name="_Hlk117770084"/>
      <w:r w:rsidRPr="0002434F">
        <w:t>The primary objective was to</w:t>
      </w:r>
      <w:bookmarkEnd w:id="49"/>
      <w:r w:rsidRPr="0002434F">
        <w:t xml:space="preserve"> evaluate the efficacy of </w:t>
      </w:r>
      <w:proofErr w:type="spellStart"/>
      <w:r w:rsidR="71CFDEF0" w:rsidRPr="0002434F">
        <w:t>avacopan</w:t>
      </w:r>
      <w:proofErr w:type="spellEnd"/>
      <w:r w:rsidRPr="0002434F">
        <w:t xml:space="preserve"> to induce </w:t>
      </w:r>
      <w:r w:rsidR="00BB6561" w:rsidRPr="0002434F">
        <w:t>remi</w:t>
      </w:r>
      <w:r w:rsidR="00FB6887" w:rsidRPr="0002434F">
        <w:t>ssion</w:t>
      </w:r>
      <w:r w:rsidR="004E6F9A" w:rsidRPr="0002434F">
        <w:t xml:space="preserve"> </w:t>
      </w:r>
      <w:r w:rsidR="007E7410" w:rsidRPr="0002434F">
        <w:t>by</w:t>
      </w:r>
      <w:r w:rsidR="004E6F9A" w:rsidRPr="0002434F">
        <w:t xml:space="preserve"> </w:t>
      </w:r>
      <w:r w:rsidR="00494140" w:rsidRPr="0002434F">
        <w:t>W</w:t>
      </w:r>
      <w:r w:rsidR="00FB6887" w:rsidRPr="0002434F">
        <w:t>eek 26</w:t>
      </w:r>
      <w:r w:rsidR="002B796E" w:rsidRPr="0002434F">
        <w:t xml:space="preserve"> </w:t>
      </w:r>
      <w:r w:rsidRPr="0002434F">
        <w:t xml:space="preserve">and sustain remission at </w:t>
      </w:r>
      <w:r w:rsidR="00494140" w:rsidRPr="0002434F">
        <w:t>W</w:t>
      </w:r>
      <w:r w:rsidRPr="0002434F">
        <w:t>eek</w:t>
      </w:r>
      <w:r w:rsidR="00E82305" w:rsidRPr="0002434F">
        <w:t> </w:t>
      </w:r>
      <w:r w:rsidR="00206308" w:rsidRPr="0002434F">
        <w:t>52</w:t>
      </w:r>
      <w:r w:rsidRPr="0002434F">
        <w:t xml:space="preserve">. The controlled period of the study lasted 52 weeks although per the protocol </w:t>
      </w:r>
      <w:r w:rsidR="75588F11" w:rsidRPr="0002434F">
        <w:t>prednisone</w:t>
      </w:r>
      <w:r w:rsidRPr="0002434F">
        <w:t xml:space="preserve"> was administered only for the first 20 weeks. After weaning, patients in the </w:t>
      </w:r>
      <w:r w:rsidR="75588F11" w:rsidRPr="0002434F">
        <w:t>prednisone</w:t>
      </w:r>
      <w:r w:rsidRPr="0002434F">
        <w:t xml:space="preserve"> arm received </w:t>
      </w:r>
      <w:proofErr w:type="spellStart"/>
      <w:r w:rsidR="71CFDEF0" w:rsidRPr="0002434F">
        <w:t>avacopan</w:t>
      </w:r>
      <w:proofErr w:type="spellEnd"/>
      <w:r w:rsidR="5892E86C" w:rsidRPr="0002434F">
        <w:t xml:space="preserve"> </w:t>
      </w:r>
      <w:r w:rsidRPr="0002434F">
        <w:t xml:space="preserve">matched </w:t>
      </w:r>
      <w:r w:rsidR="5892E86C" w:rsidRPr="0002434F">
        <w:t>placebo</w:t>
      </w:r>
      <w:r w:rsidRPr="0002434F">
        <w:t xml:space="preserve"> until 52 weeks. The active treatment phase was followed by an 8</w:t>
      </w:r>
      <w:r w:rsidR="00AD36A0" w:rsidRPr="0002434F">
        <w:noBreakHyphen/>
      </w:r>
      <w:r w:rsidRPr="0002434F">
        <w:t xml:space="preserve">week follow-up period. The study schema is presented in </w:t>
      </w:r>
      <w:r w:rsidR="004F0248" w:rsidRPr="0002434F">
        <w:fldChar w:fldCharType="begin"/>
      </w:r>
      <w:r w:rsidR="004F0248" w:rsidRPr="0002434F">
        <w:instrText xml:space="preserve"> REF _Ref117777939 \h </w:instrText>
      </w:r>
      <w:r w:rsidR="001C2D33" w:rsidRPr="0002434F">
        <w:instrText xml:space="preserve"> \* MERGEFORMAT </w:instrText>
      </w:r>
      <w:r w:rsidR="004F0248" w:rsidRPr="0002434F">
        <w:fldChar w:fldCharType="separate"/>
      </w:r>
    </w:p>
    <w:p w14:paraId="1ABC0D31" w14:textId="4C68CD13" w:rsidR="00AD36A0" w:rsidRPr="0002434F" w:rsidRDefault="0002434F" w:rsidP="00AD36A0">
      <w:r w:rsidRPr="0002434F">
        <w:t>Figure</w:t>
      </w:r>
      <w:r w:rsidRPr="0002434F">
        <w:rPr>
          <w:noProof/>
        </w:rPr>
        <w:t xml:space="preserve"> </w:t>
      </w:r>
      <w:r>
        <w:rPr>
          <w:noProof/>
        </w:rPr>
        <w:t>2</w:t>
      </w:r>
      <w:r w:rsidR="004F0248" w:rsidRPr="0002434F">
        <w:fldChar w:fldCharType="end"/>
      </w:r>
      <w:r w:rsidRPr="0002434F">
        <w:t xml:space="preserve"> below</w:t>
      </w:r>
      <w:r w:rsidR="004F0248" w:rsidRPr="0002434F">
        <w:t>.</w:t>
      </w:r>
      <w:bookmarkStart w:id="50" w:name="_Ref117777939"/>
    </w:p>
    <w:p w14:paraId="0DC60188" w14:textId="7A6F9A75" w:rsidR="00AD36A0" w:rsidRPr="0002434F" w:rsidRDefault="00AD36A0" w:rsidP="00B75F77">
      <w:pPr>
        <w:pStyle w:val="FigureTitle"/>
      </w:pPr>
      <w:bookmarkStart w:id="51" w:name="_Hlk147389497"/>
      <w:r w:rsidRPr="0002434F">
        <w:t xml:space="preserve">Figure </w:t>
      </w:r>
      <w:r w:rsidRPr="0002434F">
        <w:fldChar w:fldCharType="begin"/>
      </w:r>
      <w:r w:rsidRPr="0002434F">
        <w:instrText>SEQ Figure \* ARABIC</w:instrText>
      </w:r>
      <w:r w:rsidRPr="0002434F">
        <w:fldChar w:fldCharType="separate"/>
      </w:r>
      <w:r w:rsidR="0002434F">
        <w:rPr>
          <w:noProof/>
        </w:rPr>
        <w:t>2</w:t>
      </w:r>
      <w:r w:rsidRPr="0002434F">
        <w:fldChar w:fldCharType="end"/>
      </w:r>
      <w:bookmarkEnd w:id="50"/>
      <w:r w:rsidRPr="0002434F">
        <w:t>: Study CL010_168 Study schema</w:t>
      </w:r>
    </w:p>
    <w:bookmarkEnd w:id="51"/>
    <w:p w14:paraId="51C75033" w14:textId="1623CA20" w:rsidR="00B6240C" w:rsidRPr="0002434F" w:rsidRDefault="00B6240C" w:rsidP="00B75F77">
      <w:r w:rsidRPr="0002434F">
        <w:rPr>
          <w:noProof/>
        </w:rPr>
        <w:drawing>
          <wp:inline distT="0" distB="0" distL="0" distR="0" wp14:anchorId="36FF3E5B" wp14:editId="26CE9B13">
            <wp:extent cx="5759450" cy="1565275"/>
            <wp:effectExtent l="0" t="0" r="0" b="0"/>
            <wp:docPr id="20" name="Picture 20" descr="Figure 2: Study CL010_168 Study schema&#10;&#10;Study CL010_168 consisted of three periods: screening, treatment, and follow-up.&#10;&#10;Screening evaluations were performed to determine subject eligibility for study. Subjects had scheduled one or more visits to complete screening procedures. The screening period was up to 14 days.&#10;&#10;Prior to randomisation, subjects were stratified to ensure balance across treatment groups.&#10;&#10;Following stratification, approximately 300 subjects were randomised in a 1:1 ratio to one of two study treatment groups:&#10;Group A: prednisone group or Group B: avacopan group. The treatment period was 364 days in duration. Subjects had scheduled visits during the screening period, on Day 1 and at Weeks 1, 2, 3, 4, 7, 10, 13, 16, 20, 23, 26, 29, 32, 35, 39, 42, 45, 48, and 52.&#10;&#10;The 52 week double blind portion of the study was followed by an 56 days follow-up Period, which no avacopan treatment was given. Subjects had scheduled visits at Week 60.&#10;&#10;Subjects were discharged from the study when all the Study Week 60 visit procedures had been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2: Study CL010_168 Study schema&#10;&#10;Study CL010_168 consisted of three periods: screening, treatment, and follow-up.&#10;&#10;Screening evaluations were performed to determine subject eligibility for study. Subjects had scheduled one or more visits to complete screening procedures. The screening period was up to 14 days.&#10;&#10;Prior to randomisation, subjects were stratified to ensure balance across treatment groups.&#10;&#10;Following stratification, approximately 300 subjects were randomised in a 1:1 ratio to one of two study treatment groups:&#10;Group A: prednisone group or Group B: avacopan group. The treatment period was 364 days in duration. Subjects had scheduled visits during the screening period, on Day 1 and at Weeks 1, 2, 3, 4, 7, 10, 13, 16, 20, 23, 26, 29, 32, 35, 39, 42, 45, 48, and 52.&#10;&#10;The 52 week double blind portion of the study was followed by an 56 days follow-up Period, which no avacopan treatment was given. Subjects had scheduled visits at Week 60.&#10;&#10;Subjects were discharged from the study when all the Study Week 60 visit procedures had been completed."/>
                    <pic:cNvPicPr/>
                  </pic:nvPicPr>
                  <pic:blipFill>
                    <a:blip r:embed="rId31"/>
                    <a:stretch>
                      <a:fillRect/>
                    </a:stretch>
                  </pic:blipFill>
                  <pic:spPr>
                    <a:xfrm>
                      <a:off x="0" y="0"/>
                      <a:ext cx="5759450" cy="1565275"/>
                    </a:xfrm>
                    <a:prstGeom prst="rect">
                      <a:avLst/>
                    </a:prstGeom>
                  </pic:spPr>
                </pic:pic>
              </a:graphicData>
            </a:graphic>
          </wp:inline>
        </w:drawing>
      </w:r>
    </w:p>
    <w:p w14:paraId="760DE96A" w14:textId="7DA46AC1" w:rsidR="00B6240C" w:rsidRPr="0002434F" w:rsidRDefault="00B6240C" w:rsidP="009472A6">
      <w:pPr>
        <w:pStyle w:val="FigureDescription"/>
      </w:pPr>
      <w:r w:rsidRPr="0002434F">
        <w:t>Abbreviations: N = total number of subjects in the analysis population.</w:t>
      </w:r>
    </w:p>
    <w:p w14:paraId="01E88C3C" w14:textId="0A60A8E3" w:rsidR="007F3F71" w:rsidRPr="0002434F" w:rsidRDefault="004F0248" w:rsidP="001C2D33">
      <w:r w:rsidRPr="0002434F">
        <w:t xml:space="preserve">Participants were randomised to the </w:t>
      </w:r>
      <w:r w:rsidR="00047A11" w:rsidRPr="0002434F">
        <w:t>prednisone</w:t>
      </w:r>
      <w:r w:rsidRPr="0002434F">
        <w:t xml:space="preserve"> or </w:t>
      </w:r>
      <w:proofErr w:type="spellStart"/>
      <w:r w:rsidR="00C31D14" w:rsidRPr="0002434F">
        <w:t>avacopan</w:t>
      </w:r>
      <w:proofErr w:type="spellEnd"/>
      <w:r w:rsidRPr="0002434F">
        <w:t xml:space="preserve"> groups stratified by concomitant therapy (</w:t>
      </w:r>
      <w:r w:rsidR="00AD7333" w:rsidRPr="0002434F">
        <w:t>rituximab</w:t>
      </w:r>
      <w:r w:rsidRPr="0002434F">
        <w:t xml:space="preserve">, </w:t>
      </w:r>
      <w:r w:rsidR="00AD36A0" w:rsidRPr="0002434F">
        <w:t>intravenous</w:t>
      </w:r>
      <w:r w:rsidRPr="0002434F">
        <w:t xml:space="preserve"> </w:t>
      </w:r>
      <w:proofErr w:type="gramStart"/>
      <w:r w:rsidR="00AD7333" w:rsidRPr="0002434F">
        <w:t>cyclophosphamide</w:t>
      </w:r>
      <w:proofErr w:type="gramEnd"/>
      <w:r w:rsidRPr="0002434F">
        <w:t xml:space="preserve"> or oral </w:t>
      </w:r>
      <w:r w:rsidR="00AD7333" w:rsidRPr="0002434F">
        <w:t>cyclophosphamide</w:t>
      </w:r>
      <w:r w:rsidRPr="0002434F">
        <w:t>), antibody positivity (anti-</w:t>
      </w:r>
      <w:r w:rsidR="00F651B7" w:rsidRPr="0002434F">
        <w:t>proteinase 3</w:t>
      </w:r>
      <w:r w:rsidRPr="0002434F">
        <w:t xml:space="preserve"> or anti-</w:t>
      </w:r>
      <w:r w:rsidR="00F651B7" w:rsidRPr="0002434F">
        <w:rPr>
          <w:lang w:eastAsia="ja-JP"/>
        </w:rPr>
        <w:t>myeloperoxidase</w:t>
      </w:r>
      <w:r w:rsidRPr="0002434F">
        <w:t>) and stage of disease (newly diagnosed or relapsed).</w:t>
      </w:r>
    </w:p>
    <w:p w14:paraId="7A090971" w14:textId="4105A509" w:rsidR="00241EA0" w:rsidRPr="0002434F" w:rsidRDefault="00AD36A0" w:rsidP="00241EA0">
      <w:pPr>
        <w:pStyle w:val="Heading6"/>
      </w:pPr>
      <w:r w:rsidRPr="0002434F">
        <w:t>Major i</w:t>
      </w:r>
      <w:r w:rsidR="00241EA0" w:rsidRPr="0002434F">
        <w:t>nclusion criteria</w:t>
      </w:r>
    </w:p>
    <w:p w14:paraId="4A651E1E" w14:textId="3DCC64EF" w:rsidR="007F3F71" w:rsidRPr="0002434F" w:rsidRDefault="004F0248" w:rsidP="001C2D33">
      <w:pPr>
        <w:pStyle w:val="ListBullet"/>
      </w:pPr>
      <w:r w:rsidRPr="0002434F">
        <w:t>Adult (aged at least 18 years)</w:t>
      </w:r>
      <w:r w:rsidR="00AD36A0" w:rsidRPr="0002434F">
        <w:rPr>
          <w:vertAlign w:val="superscript"/>
        </w:rPr>
        <w:footnoteReference w:id="12"/>
      </w:r>
      <w:r w:rsidRPr="0002434F">
        <w:t xml:space="preserve"> males and females who had a clinical diagnosis of GPA or MPA according to </w:t>
      </w:r>
      <w:r w:rsidR="00F651B7" w:rsidRPr="0002434F">
        <w:t>Revised International Chapel Hill Consensus Conference</w:t>
      </w:r>
      <w:r w:rsidRPr="0002434F">
        <w:t xml:space="preserve"> definitions, who had newly diagnosed or relapsed AAV requiring treatment with cyclophosphamide or rituximab.</w:t>
      </w:r>
    </w:p>
    <w:p w14:paraId="3811DF29" w14:textId="2C5328B7" w:rsidR="004F0248" w:rsidRPr="0002434F" w:rsidRDefault="004F0248" w:rsidP="001C2D33">
      <w:pPr>
        <w:pStyle w:val="ListBullet"/>
      </w:pPr>
      <w:r w:rsidRPr="0002434F">
        <w:lastRenderedPageBreak/>
        <w:t>Diagnosis must have been confirmed with either current or historical positive tests for anti</w:t>
      </w:r>
      <w:r w:rsidR="00AD36A0" w:rsidRPr="0002434F">
        <w:noBreakHyphen/>
      </w:r>
      <w:r w:rsidR="00F651B7" w:rsidRPr="0002434F">
        <w:t>proteinase 3</w:t>
      </w:r>
      <w:r w:rsidRPr="0002434F">
        <w:t xml:space="preserve"> or anti-</w:t>
      </w:r>
      <w:r w:rsidR="00F651B7" w:rsidRPr="0002434F">
        <w:rPr>
          <w:lang w:eastAsia="ja-JP"/>
        </w:rPr>
        <w:t>myeloperoxidase</w:t>
      </w:r>
      <w:r w:rsidRPr="0002434F">
        <w:t xml:space="preserve"> antibodies.</w:t>
      </w:r>
    </w:p>
    <w:p w14:paraId="75169595" w14:textId="010ACE95" w:rsidR="007F3F71" w:rsidRPr="0002434F" w:rsidRDefault="002752E2" w:rsidP="001C2D33">
      <w:pPr>
        <w:pStyle w:val="ListBullet"/>
      </w:pPr>
      <w:r w:rsidRPr="0002434F">
        <w:t>Birmingham Vasculitis Activity Score (</w:t>
      </w:r>
      <w:r w:rsidR="004F0248" w:rsidRPr="0002434F">
        <w:t>BVAS</w:t>
      </w:r>
      <w:r w:rsidRPr="0002434F">
        <w:t>)</w:t>
      </w:r>
      <w:r w:rsidR="004F0248" w:rsidRPr="0002434F">
        <w:t xml:space="preserve"> at screening positive for</w:t>
      </w:r>
    </w:p>
    <w:p w14:paraId="5BDB960E" w14:textId="24413839" w:rsidR="004F0248" w:rsidRPr="0002434F" w:rsidRDefault="004F0248" w:rsidP="001C2D33">
      <w:pPr>
        <w:pStyle w:val="ListBullet2"/>
      </w:pPr>
      <w:r w:rsidRPr="0002434F">
        <w:t>at least one major item, or</w:t>
      </w:r>
    </w:p>
    <w:p w14:paraId="12186D55" w14:textId="458E8C9C" w:rsidR="004F0248" w:rsidRPr="0002434F" w:rsidRDefault="004F0248" w:rsidP="001C2D33">
      <w:pPr>
        <w:pStyle w:val="ListBullet2"/>
      </w:pPr>
      <w:r w:rsidRPr="0002434F">
        <w:t>at least three minor items</w:t>
      </w:r>
      <w:r w:rsidR="00AD36A0" w:rsidRPr="0002434F">
        <w:t>,</w:t>
      </w:r>
      <w:r w:rsidRPr="0002434F">
        <w:rPr>
          <w:rStyle w:val="FootnoteReference"/>
        </w:rPr>
        <w:footnoteReference w:id="13"/>
      </w:r>
      <w:r w:rsidRPr="0002434F">
        <w:t xml:space="preserve"> or</w:t>
      </w:r>
    </w:p>
    <w:p w14:paraId="4E270BFA" w14:textId="51E39B61" w:rsidR="004F0248" w:rsidRPr="0002434F" w:rsidRDefault="004F0248" w:rsidP="001C2D33">
      <w:pPr>
        <w:pStyle w:val="ListBullet2"/>
      </w:pPr>
      <w:r w:rsidRPr="0002434F">
        <w:t xml:space="preserve">at least renal </w:t>
      </w:r>
      <w:r w:rsidR="00007179" w:rsidRPr="0002434F">
        <w:t xml:space="preserve">findings </w:t>
      </w:r>
      <w:r w:rsidRPr="0002434F">
        <w:t xml:space="preserve">of proteinuria and </w:t>
      </w:r>
      <w:r w:rsidR="00AD36A0" w:rsidRPr="0002434F">
        <w:t>haematuria</w:t>
      </w:r>
      <w:r w:rsidRPr="0002434F">
        <w:t xml:space="preserve"> confirmed to be a result of </w:t>
      </w:r>
      <w:r w:rsidR="008023C9" w:rsidRPr="0002434F">
        <w:t xml:space="preserve">active </w:t>
      </w:r>
      <w:r w:rsidRPr="0002434F">
        <w:t>vasculitis.</w:t>
      </w:r>
    </w:p>
    <w:p w14:paraId="774EDBCC" w14:textId="09CF4FC5" w:rsidR="007F3F71" w:rsidRPr="0002434F" w:rsidRDefault="002752E2" w:rsidP="001C2D33">
      <w:pPr>
        <w:pStyle w:val="ListBullet"/>
      </w:pPr>
      <w:r w:rsidRPr="0002434F">
        <w:t>Estimated glomerular filtration rate (</w:t>
      </w:r>
      <w:r w:rsidR="004F0248" w:rsidRPr="0002434F">
        <w:t>eGFR</w:t>
      </w:r>
      <w:r w:rsidRPr="0002434F">
        <w:t>)</w:t>
      </w:r>
      <w:r w:rsidR="004F0248" w:rsidRPr="0002434F">
        <w:t xml:space="preserve"> ≥ 15</w:t>
      </w:r>
      <w:r w:rsidR="00AD36A0" w:rsidRPr="0002434F">
        <w:t xml:space="preserve"> </w:t>
      </w:r>
      <w:r w:rsidR="004F0248" w:rsidRPr="0002434F">
        <w:t>mL/min/1.73</w:t>
      </w:r>
      <w:r w:rsidR="00AD36A0" w:rsidRPr="0002434F">
        <w:t xml:space="preserve"> </w:t>
      </w:r>
      <w:r w:rsidR="004F0248" w:rsidRPr="0002434F">
        <w:t>m</w:t>
      </w:r>
      <w:r w:rsidR="004F0248" w:rsidRPr="0002434F">
        <w:rPr>
          <w:vertAlign w:val="superscript"/>
        </w:rPr>
        <w:t>2</w:t>
      </w:r>
      <w:r w:rsidR="00AD36A0" w:rsidRPr="0002434F">
        <w:t>.</w:t>
      </w:r>
    </w:p>
    <w:p w14:paraId="59E88E7F" w14:textId="1107BDBA" w:rsidR="004F0248" w:rsidRPr="0002434F" w:rsidRDefault="004F0248" w:rsidP="001C2D33">
      <w:pPr>
        <w:pStyle w:val="ListBullet"/>
      </w:pPr>
      <w:r w:rsidRPr="0002434F">
        <w:t xml:space="preserve">Female participants of child-bearing potential and male participants with partners of </w:t>
      </w:r>
      <w:proofErr w:type="gramStart"/>
      <w:r w:rsidRPr="0002434F">
        <w:t>child</w:t>
      </w:r>
      <w:r w:rsidR="00AD36A0" w:rsidRPr="0002434F">
        <w:t xml:space="preserve"> </w:t>
      </w:r>
      <w:r w:rsidRPr="0002434F">
        <w:t>bearing</w:t>
      </w:r>
      <w:proofErr w:type="gramEnd"/>
      <w:r w:rsidRPr="0002434F">
        <w:t xml:space="preserve"> potential were required to use adequate contraception (detailed in the criteria); those who </w:t>
      </w:r>
      <w:r w:rsidR="0053596A" w:rsidRPr="0002434F">
        <w:t>received</w:t>
      </w:r>
      <w:r w:rsidRPr="0002434F">
        <w:t xml:space="preserve"> </w:t>
      </w:r>
      <w:r w:rsidR="00AD7333" w:rsidRPr="0002434F">
        <w:t>cyclophosphamide</w:t>
      </w:r>
      <w:r w:rsidRPr="0002434F">
        <w:t xml:space="preserve"> </w:t>
      </w:r>
      <w:r w:rsidR="00CF35BE" w:rsidRPr="0002434F">
        <w:t xml:space="preserve">during the study </w:t>
      </w:r>
      <w:r w:rsidRPr="0002434F">
        <w:t xml:space="preserve">were required to be using contraception for at least six months post the last dose, and patients </w:t>
      </w:r>
      <w:r w:rsidR="00D932F0" w:rsidRPr="0002434F">
        <w:t xml:space="preserve">who </w:t>
      </w:r>
      <w:r w:rsidR="00CF35BE" w:rsidRPr="0002434F">
        <w:t xml:space="preserve">received </w:t>
      </w:r>
      <w:r w:rsidR="00AD7333" w:rsidRPr="0002434F">
        <w:t>rituximab</w:t>
      </w:r>
      <w:r w:rsidRPr="0002434F">
        <w:t xml:space="preserve"> </w:t>
      </w:r>
      <w:r w:rsidR="00CF35BE" w:rsidRPr="0002434F">
        <w:t xml:space="preserve">during the study </w:t>
      </w:r>
      <w:r w:rsidRPr="0002434F">
        <w:t>were required to be using contraception at least 12 months post the last dose.</w:t>
      </w:r>
    </w:p>
    <w:p w14:paraId="49AF7979" w14:textId="34831C2C" w:rsidR="004F0248" w:rsidRPr="0002434F" w:rsidRDefault="004F0248" w:rsidP="001C2D33">
      <w:pPr>
        <w:pStyle w:val="ListBullet"/>
      </w:pPr>
      <w:r w:rsidRPr="0002434F">
        <w:t xml:space="preserve">Considered medically and physically fit for the study based on history, physical examination, </w:t>
      </w:r>
      <w:r w:rsidR="001B712F" w:rsidRPr="0002434F">
        <w:t>electrocardiogram,</w:t>
      </w:r>
      <w:r w:rsidRPr="0002434F">
        <w:t xml:space="preserve"> and clinical laboratory assessments.</w:t>
      </w:r>
    </w:p>
    <w:p w14:paraId="58719D53" w14:textId="399C68D3" w:rsidR="00241EA0" w:rsidRPr="0002434F" w:rsidRDefault="00AD36A0" w:rsidP="00241EA0">
      <w:pPr>
        <w:pStyle w:val="Heading6"/>
      </w:pPr>
      <w:r w:rsidRPr="0002434F">
        <w:t>Major e</w:t>
      </w:r>
      <w:r w:rsidR="00241EA0" w:rsidRPr="0002434F">
        <w:t>xclusion criteria</w:t>
      </w:r>
    </w:p>
    <w:p w14:paraId="3F3397FA" w14:textId="602019C8" w:rsidR="004F0248" w:rsidRPr="0002434F" w:rsidRDefault="004F0248" w:rsidP="001C2D33">
      <w:pPr>
        <w:pStyle w:val="ListBullet"/>
      </w:pPr>
      <w:r w:rsidRPr="0002434F">
        <w:t>Pregnancy or breastfeeding</w:t>
      </w:r>
      <w:r w:rsidR="00AD36A0" w:rsidRPr="0002434F">
        <w:t>.</w:t>
      </w:r>
    </w:p>
    <w:p w14:paraId="395A279D" w14:textId="4A89F129" w:rsidR="004F0248" w:rsidRPr="0002434F" w:rsidRDefault="004F0248" w:rsidP="001C2D33">
      <w:pPr>
        <w:pStyle w:val="ListBullet"/>
      </w:pPr>
      <w:r w:rsidRPr="0002434F">
        <w:t>History of pulmonary alveolar haemorrhage requiring invasive ventilation support that was likely to be required beyond the screening period</w:t>
      </w:r>
      <w:r w:rsidR="00AD36A0" w:rsidRPr="0002434F">
        <w:t>.</w:t>
      </w:r>
    </w:p>
    <w:p w14:paraId="52AE8B0D" w14:textId="28F59421" w:rsidR="004F0248" w:rsidRPr="0002434F" w:rsidRDefault="004F0248" w:rsidP="001C2D33">
      <w:pPr>
        <w:pStyle w:val="ListBullet"/>
      </w:pPr>
      <w:r w:rsidRPr="0002434F">
        <w:t>Any other known multi-system autoimmune disease with features of vasculitis</w:t>
      </w:r>
      <w:r w:rsidR="00AD36A0" w:rsidRPr="0002434F">
        <w:t>.</w:t>
      </w:r>
    </w:p>
    <w:p w14:paraId="0D194379" w14:textId="70406E7B" w:rsidR="004F0248" w:rsidRPr="0002434F" w:rsidRDefault="004F0248" w:rsidP="001C2D33">
      <w:pPr>
        <w:pStyle w:val="ListBullet"/>
      </w:pPr>
      <w:r w:rsidRPr="0002434F">
        <w:t>Requirement for dialysis or plasma exchange within 12 weeks prior to screening</w:t>
      </w:r>
      <w:r w:rsidR="00AD36A0" w:rsidRPr="0002434F">
        <w:t>.</w:t>
      </w:r>
    </w:p>
    <w:p w14:paraId="1D3E32F4" w14:textId="72DB633C" w:rsidR="004F0248" w:rsidRPr="0002434F" w:rsidRDefault="004F0248" w:rsidP="001C2D33">
      <w:pPr>
        <w:pStyle w:val="ListBullet"/>
      </w:pPr>
      <w:r w:rsidRPr="0002434F">
        <w:t>Kidney transplant</w:t>
      </w:r>
      <w:r w:rsidR="00AD36A0" w:rsidRPr="0002434F">
        <w:t>.</w:t>
      </w:r>
    </w:p>
    <w:p w14:paraId="763584BE" w14:textId="657AED0E" w:rsidR="004F0248" w:rsidRPr="0002434F" w:rsidRDefault="00AD7333" w:rsidP="001C2D33">
      <w:pPr>
        <w:pStyle w:val="ListBullet"/>
      </w:pPr>
      <w:r w:rsidRPr="0002434F">
        <w:t>cyclophosphamide</w:t>
      </w:r>
      <w:r w:rsidR="004F0248" w:rsidRPr="0002434F">
        <w:t xml:space="preserve"> within 12 weeks of screening</w:t>
      </w:r>
      <w:r w:rsidR="00AD36A0" w:rsidRPr="0002434F">
        <w:t>.</w:t>
      </w:r>
    </w:p>
    <w:p w14:paraId="7E325F83" w14:textId="67503725" w:rsidR="004F0248" w:rsidRPr="0002434F" w:rsidRDefault="00AD36A0" w:rsidP="001C2D33">
      <w:pPr>
        <w:pStyle w:val="ListBullet"/>
      </w:pPr>
      <w:r w:rsidRPr="0002434F">
        <w:t xml:space="preserve">Intravenous </w:t>
      </w:r>
      <w:r w:rsidR="004F0248" w:rsidRPr="0002434F">
        <w:t>glucocorticoids equivalent to &gt; 3</w:t>
      </w:r>
      <w:r w:rsidRPr="0002434F">
        <w:t xml:space="preserve"> </w:t>
      </w:r>
      <w:r w:rsidR="004F0248" w:rsidRPr="0002434F">
        <w:t>g methylprednisolone within four weeks prior to screening</w:t>
      </w:r>
      <w:r w:rsidRPr="0002434F">
        <w:t>.</w:t>
      </w:r>
    </w:p>
    <w:p w14:paraId="6D871368" w14:textId="0B6073FD" w:rsidR="004F0248" w:rsidRPr="0002434F" w:rsidRDefault="004F0248" w:rsidP="001C2D33">
      <w:pPr>
        <w:pStyle w:val="ListBullet"/>
      </w:pPr>
      <w:r w:rsidRPr="0002434F">
        <w:t>Daily oral glucocorticoids equivalent to &gt; 10</w:t>
      </w:r>
      <w:r w:rsidR="00AD36A0" w:rsidRPr="0002434F">
        <w:t xml:space="preserve"> </w:t>
      </w:r>
      <w:r w:rsidRPr="0002434F">
        <w:t>mg prednisone for more than six continuous weeks prior to screening</w:t>
      </w:r>
      <w:r w:rsidR="00AD36A0" w:rsidRPr="0002434F">
        <w:t>.</w:t>
      </w:r>
    </w:p>
    <w:p w14:paraId="72006F7E" w14:textId="0884BCEB" w:rsidR="004F0248" w:rsidRPr="0002434F" w:rsidRDefault="004F0248" w:rsidP="001C2D33">
      <w:pPr>
        <w:pStyle w:val="ListBullet"/>
      </w:pPr>
      <w:r w:rsidRPr="0002434F">
        <w:t>Rituximab or other anti B-cell antibody within 52 weeks of screening; or within 26 weeks if B-cell reconstitution was confirmed</w:t>
      </w:r>
      <w:r w:rsidR="00AD36A0" w:rsidRPr="0002434F">
        <w:t>.</w:t>
      </w:r>
    </w:p>
    <w:p w14:paraId="15C23893" w14:textId="2C0462BE" w:rsidR="004F0248" w:rsidRPr="0002434F" w:rsidRDefault="004F0248" w:rsidP="001C2D33">
      <w:pPr>
        <w:pStyle w:val="ListBullet"/>
      </w:pPr>
      <w:r w:rsidRPr="0002434F">
        <w:t>Anti-</w:t>
      </w:r>
      <w:r w:rsidR="001B712F" w:rsidRPr="0002434F">
        <w:t>tumour necrosis factor</w:t>
      </w:r>
      <w:r w:rsidRPr="0002434F">
        <w:t xml:space="preserve">, abatacept, alemtuzumab, </w:t>
      </w:r>
      <w:r w:rsidR="001B712F" w:rsidRPr="0002434F">
        <w:t>intravenous immunoglobulin</w:t>
      </w:r>
      <w:r w:rsidRPr="0002434F">
        <w:t>, belimumab, tocilizumab, or ec</w:t>
      </w:r>
      <w:r w:rsidR="006D2EFE" w:rsidRPr="0002434F">
        <w:t>u</w:t>
      </w:r>
      <w:r w:rsidRPr="0002434F">
        <w:t>lizumab within 12</w:t>
      </w:r>
      <w:r w:rsidR="00AD36A0" w:rsidRPr="0002434F">
        <w:t> </w:t>
      </w:r>
      <w:r w:rsidRPr="0002434F">
        <w:t>weeks prior to screening</w:t>
      </w:r>
      <w:r w:rsidR="00AD36A0" w:rsidRPr="0002434F">
        <w:t>.</w:t>
      </w:r>
    </w:p>
    <w:p w14:paraId="5701265C" w14:textId="5C79A1BC" w:rsidR="004F0248" w:rsidRPr="0002434F" w:rsidRDefault="004F0248" w:rsidP="001C2D33">
      <w:pPr>
        <w:pStyle w:val="ListBullet"/>
      </w:pPr>
      <w:r w:rsidRPr="0002434F">
        <w:t xml:space="preserve">Other immunosuppressive drugs not approved after discussion with the </w:t>
      </w:r>
      <w:r w:rsidR="00AD36A0" w:rsidRPr="0002434F">
        <w:t>medical monitor.</w:t>
      </w:r>
    </w:p>
    <w:p w14:paraId="622971C9" w14:textId="413E8C0D" w:rsidR="004F0248" w:rsidRPr="0002434F" w:rsidRDefault="004F0248" w:rsidP="001C2D33">
      <w:pPr>
        <w:pStyle w:val="ListBullet"/>
      </w:pPr>
      <w:r w:rsidRPr="0002434F">
        <w:t>Current use of strong inducers of CYP3A4</w:t>
      </w:r>
      <w:r w:rsidR="00AD36A0" w:rsidRPr="0002434F">
        <w:t>.</w:t>
      </w:r>
    </w:p>
    <w:p w14:paraId="6AFF081B" w14:textId="571F7801" w:rsidR="004F0248" w:rsidRPr="0002434F" w:rsidRDefault="004F0248" w:rsidP="001C2D33">
      <w:pPr>
        <w:pStyle w:val="ListBullet"/>
        <w:rPr>
          <w:i/>
          <w:iCs/>
        </w:rPr>
      </w:pPr>
      <w:r w:rsidRPr="0002434F">
        <w:t xml:space="preserve">Significant heart disease, history of cancer (other than fully treated non-melanoma skin cancer or other cancer in situ) in the previous five years, evidence of active or latent TB, evidence of active or chronic </w:t>
      </w:r>
      <w:r w:rsidR="002752E2" w:rsidRPr="0002434F">
        <w:t>hepatitis B, hepatitis C virus and</w:t>
      </w:r>
      <w:r w:rsidRPr="0002434F">
        <w:t xml:space="preserve"> </w:t>
      </w:r>
      <w:r w:rsidR="002752E2" w:rsidRPr="0002434F">
        <w:t xml:space="preserve">human immunodeficiency virus </w:t>
      </w:r>
      <w:r w:rsidRPr="0002434F">
        <w:t xml:space="preserve">infection, neutropenia, lymphopenia, </w:t>
      </w:r>
      <w:r w:rsidR="005E6453" w:rsidRPr="0002434F">
        <w:t xml:space="preserve">aspartate transaminase </w:t>
      </w:r>
      <w:r w:rsidR="002752E2" w:rsidRPr="0002434F">
        <w:t xml:space="preserve">(AST) </w:t>
      </w:r>
      <w:r w:rsidRPr="0002434F">
        <w:t>/</w:t>
      </w:r>
      <w:r w:rsidR="002752E2" w:rsidRPr="0002434F">
        <w:t xml:space="preserve"> alanine </w:t>
      </w:r>
      <w:r w:rsidR="002752E2" w:rsidRPr="0002434F">
        <w:lastRenderedPageBreak/>
        <w:t>aminotransferase (</w:t>
      </w:r>
      <w:r w:rsidRPr="0002434F">
        <w:t>ALT</w:t>
      </w:r>
      <w:r w:rsidR="002752E2" w:rsidRPr="0002434F">
        <w:t xml:space="preserve">) </w:t>
      </w:r>
      <w:r w:rsidRPr="0002434F">
        <w:t>/</w:t>
      </w:r>
      <w:r w:rsidR="002752E2" w:rsidRPr="0002434F">
        <w:t xml:space="preserve"> alkaline phosphatase </w:t>
      </w:r>
      <w:r w:rsidRPr="0002434F">
        <w:t>/</w:t>
      </w:r>
      <w:r w:rsidR="002752E2" w:rsidRPr="0002434F">
        <w:t xml:space="preserve"> b</w:t>
      </w:r>
      <w:r w:rsidRPr="0002434F">
        <w:t>ilirubin &gt;</w:t>
      </w:r>
      <w:r w:rsidR="002752E2" w:rsidRPr="0002434F">
        <w:t> </w:t>
      </w:r>
      <w:r w:rsidRPr="0002434F">
        <w:t>3</w:t>
      </w:r>
      <w:r w:rsidR="002752E2" w:rsidRPr="0002434F">
        <w:t> </w:t>
      </w:r>
      <w:r w:rsidRPr="0002434F">
        <w:t>times the upper limit of normal and other significant conditions.</w:t>
      </w:r>
    </w:p>
    <w:p w14:paraId="54E6D6B7" w14:textId="17E95A44" w:rsidR="004F0248" w:rsidRPr="0002434F" w:rsidRDefault="004F0248" w:rsidP="001C2D33">
      <w:r w:rsidRPr="0002434F">
        <w:t xml:space="preserve">In the </w:t>
      </w:r>
      <w:r w:rsidR="00047A11" w:rsidRPr="0002434F">
        <w:t>prednisone</w:t>
      </w:r>
      <w:r w:rsidRPr="0002434F">
        <w:t xml:space="preserve"> group, participants weighing 55</w:t>
      </w:r>
      <w:r w:rsidR="00AD36A0" w:rsidRPr="0002434F">
        <w:t xml:space="preserve"> </w:t>
      </w:r>
      <w:r w:rsidRPr="0002434F">
        <w:t xml:space="preserve">kg </w:t>
      </w:r>
      <w:r w:rsidR="004201B7" w:rsidRPr="0002434F">
        <w:t xml:space="preserve">or over </w:t>
      </w:r>
      <w:r w:rsidRPr="0002434F">
        <w:t xml:space="preserve">commenced treatment with 60 mg </w:t>
      </w:r>
      <w:r w:rsidR="00047A11" w:rsidRPr="0002434F">
        <w:t>prednisone</w:t>
      </w:r>
      <w:r w:rsidRPr="0002434F">
        <w:t xml:space="preserve"> </w:t>
      </w:r>
      <w:r w:rsidR="00C31D14" w:rsidRPr="0002434F">
        <w:t>once daily</w:t>
      </w:r>
      <w:r w:rsidRPr="0002434F">
        <w:t xml:space="preserve">, and participants weighing </w:t>
      </w:r>
      <w:r w:rsidR="00AD36A0" w:rsidRPr="0002434F">
        <w:t xml:space="preserve">under </w:t>
      </w:r>
      <w:r w:rsidRPr="0002434F">
        <w:t>55</w:t>
      </w:r>
      <w:r w:rsidR="00AD36A0" w:rsidRPr="0002434F">
        <w:t xml:space="preserve"> </w:t>
      </w:r>
      <w:r w:rsidRPr="0002434F">
        <w:t xml:space="preserve">kg commenced treatment with 45 mg </w:t>
      </w:r>
      <w:r w:rsidR="00047A11" w:rsidRPr="0002434F">
        <w:t>prednisone</w:t>
      </w:r>
      <w:r w:rsidRPr="0002434F">
        <w:t xml:space="preserve"> </w:t>
      </w:r>
      <w:r w:rsidR="00C31D14" w:rsidRPr="0002434F">
        <w:t>once daily</w:t>
      </w:r>
      <w:r w:rsidRPr="0002434F">
        <w:t xml:space="preserve">, which was weaned over 20 weeks to 0 mg (if tolerated) and </w:t>
      </w:r>
      <w:proofErr w:type="spellStart"/>
      <w:r w:rsidR="00C31D14" w:rsidRPr="0002434F">
        <w:t>avacopan</w:t>
      </w:r>
      <w:proofErr w:type="spellEnd"/>
      <w:r w:rsidR="00C31D14" w:rsidRPr="0002434F">
        <w:t xml:space="preserve"> </w:t>
      </w:r>
      <w:r w:rsidRPr="0002434F">
        <w:t xml:space="preserve">matching placebo for 52 weeks. The </w:t>
      </w:r>
      <w:proofErr w:type="spellStart"/>
      <w:r w:rsidR="00C31D14" w:rsidRPr="0002434F">
        <w:t>avacopan</w:t>
      </w:r>
      <w:proofErr w:type="spellEnd"/>
      <w:r w:rsidRPr="0002434F">
        <w:t xml:space="preserve"> group (Group B) received continuous treatment with 30</w:t>
      </w:r>
      <w:r w:rsidR="00AD36A0" w:rsidRPr="0002434F">
        <w:t> </w:t>
      </w:r>
      <w:r w:rsidRPr="0002434F">
        <w:t xml:space="preserve">mg </w:t>
      </w:r>
      <w:proofErr w:type="spellStart"/>
      <w:r w:rsidR="00C31D14" w:rsidRPr="0002434F">
        <w:t>avacopan</w:t>
      </w:r>
      <w:proofErr w:type="spellEnd"/>
      <w:r w:rsidRPr="0002434F">
        <w:t xml:space="preserve"> </w:t>
      </w:r>
      <w:r w:rsidR="00C31D14" w:rsidRPr="0002434F">
        <w:t>twice daily</w:t>
      </w:r>
      <w:r w:rsidRPr="0002434F">
        <w:t xml:space="preserve"> for 52 weeks and </w:t>
      </w:r>
      <w:r w:rsidR="00047A11" w:rsidRPr="0002434F">
        <w:t>prednisone</w:t>
      </w:r>
      <w:r w:rsidR="00AD36A0" w:rsidRPr="0002434F">
        <w:t xml:space="preserve"> </w:t>
      </w:r>
      <w:r w:rsidRPr="0002434F">
        <w:t>matching placebo for 20 weeks.</w:t>
      </w:r>
    </w:p>
    <w:p w14:paraId="3B1ACCD8" w14:textId="77777777" w:rsidR="007F3F71" w:rsidRPr="0002434F" w:rsidRDefault="004F0248" w:rsidP="001C2D33">
      <w:r w:rsidRPr="0002434F">
        <w:t>Participants in both groups were also treated with one of</w:t>
      </w:r>
    </w:p>
    <w:p w14:paraId="31019EFB" w14:textId="17F46180" w:rsidR="004F0248" w:rsidRPr="0002434F" w:rsidRDefault="00AD36A0" w:rsidP="001C2D33">
      <w:pPr>
        <w:pStyle w:val="ListBullet"/>
      </w:pPr>
      <w:r w:rsidRPr="0002434F">
        <w:t>intravenous</w:t>
      </w:r>
      <w:r w:rsidR="004F0248" w:rsidRPr="0002434F">
        <w:t xml:space="preserve"> </w:t>
      </w:r>
      <w:r w:rsidR="00AD7333" w:rsidRPr="0002434F">
        <w:t>cyclophosphamide</w:t>
      </w:r>
      <w:r w:rsidR="004F0248" w:rsidRPr="0002434F">
        <w:t xml:space="preserve"> 15</w:t>
      </w:r>
      <w:r w:rsidRPr="0002434F">
        <w:t xml:space="preserve"> </w:t>
      </w:r>
      <w:r w:rsidR="004F0248" w:rsidRPr="0002434F">
        <w:t xml:space="preserve">mg/kg </w:t>
      </w:r>
      <w:r w:rsidRPr="0002434F">
        <w:t>intravenous</w:t>
      </w:r>
      <w:r w:rsidR="004F0248" w:rsidRPr="0002434F">
        <w:t xml:space="preserve"> up to 1.2</w:t>
      </w:r>
      <w:r w:rsidRPr="0002434F">
        <w:t xml:space="preserve"> </w:t>
      </w:r>
      <w:r w:rsidR="004F0248" w:rsidRPr="0002434F">
        <w:t xml:space="preserve">g maximum on </w:t>
      </w:r>
      <w:r w:rsidRPr="0002434F">
        <w:t>D</w:t>
      </w:r>
      <w:r w:rsidR="004F0248" w:rsidRPr="0002434F">
        <w:t xml:space="preserve">ay 1 and at </w:t>
      </w:r>
      <w:r w:rsidRPr="0002434F">
        <w:t>Weeks </w:t>
      </w:r>
      <w:r w:rsidR="004F0248" w:rsidRPr="0002434F">
        <w:t xml:space="preserve">2, 4, 7, 10 and 13 study visits (the </w:t>
      </w:r>
      <w:r w:rsidR="00AD7333" w:rsidRPr="0002434F">
        <w:t>cyclophosphamide</w:t>
      </w:r>
      <w:r w:rsidR="004F0248" w:rsidRPr="0002434F">
        <w:t xml:space="preserve"> dose was adjusted based on the subject’s age, eGFR and </w:t>
      </w:r>
      <w:r w:rsidRPr="0002434F">
        <w:t>white blood cell</w:t>
      </w:r>
      <w:r w:rsidR="004F0248" w:rsidRPr="0002434F">
        <w:t xml:space="preserve"> count).</w:t>
      </w:r>
    </w:p>
    <w:p w14:paraId="15A74A6F" w14:textId="43150DF9" w:rsidR="007F3F71" w:rsidRPr="0002434F" w:rsidRDefault="004F0248" w:rsidP="001C2D33">
      <w:pPr>
        <w:pStyle w:val="ListBullet"/>
      </w:pPr>
      <w:r w:rsidRPr="0002434F">
        <w:t xml:space="preserve">Oral </w:t>
      </w:r>
      <w:r w:rsidR="00AD7333" w:rsidRPr="0002434F">
        <w:t>cyclophosphamide</w:t>
      </w:r>
      <w:r w:rsidRPr="0002434F">
        <w:t xml:space="preserve"> 2</w:t>
      </w:r>
      <w:r w:rsidR="00AD36A0" w:rsidRPr="0002434F">
        <w:t xml:space="preserve"> </w:t>
      </w:r>
      <w:r w:rsidRPr="0002434F">
        <w:t>mg/kg/day (maximum 200</w:t>
      </w:r>
      <w:r w:rsidR="00AD36A0" w:rsidRPr="0002434F">
        <w:t xml:space="preserve"> </w:t>
      </w:r>
      <w:r w:rsidRPr="0002434F">
        <w:t xml:space="preserve">mg/day) on </w:t>
      </w:r>
      <w:r w:rsidR="00AD36A0" w:rsidRPr="0002434F">
        <w:t>Day</w:t>
      </w:r>
      <w:r w:rsidRPr="0002434F">
        <w:t xml:space="preserve"> 1 and up to the day before </w:t>
      </w:r>
      <w:r w:rsidR="00AD36A0" w:rsidRPr="0002434F">
        <w:t>Week 1</w:t>
      </w:r>
      <w:r w:rsidRPr="0002434F">
        <w:t xml:space="preserve">5 (adjusted according to age, eGFR and </w:t>
      </w:r>
      <w:r w:rsidR="00AD36A0" w:rsidRPr="0002434F">
        <w:t>white blood cell</w:t>
      </w:r>
      <w:r w:rsidRPr="0002434F">
        <w:t xml:space="preserve"> count).</w:t>
      </w:r>
    </w:p>
    <w:p w14:paraId="09974C30" w14:textId="343904F0" w:rsidR="007F3F71" w:rsidRPr="0002434F" w:rsidRDefault="004F0248" w:rsidP="001C2D33">
      <w:pPr>
        <w:pStyle w:val="ListBullet"/>
        <w:rPr>
          <w:rFonts w:eastAsia="MS Mincho"/>
          <w:lang w:eastAsia="ja-JP"/>
        </w:rPr>
      </w:pPr>
      <w:r w:rsidRPr="0002434F">
        <w:rPr>
          <w:rFonts w:eastAsia="MS Mincho"/>
          <w:lang w:eastAsia="ja-JP"/>
        </w:rPr>
        <w:t xml:space="preserve">In both </w:t>
      </w:r>
      <w:r w:rsidR="00AD7333" w:rsidRPr="0002434F">
        <w:t>cyclophosphamide</w:t>
      </w:r>
      <w:r w:rsidRPr="0002434F">
        <w:rPr>
          <w:rFonts w:eastAsia="MS Mincho"/>
          <w:lang w:eastAsia="ja-JP"/>
        </w:rPr>
        <w:t xml:space="preserve"> regimens, all participants received oral </w:t>
      </w:r>
      <w:r w:rsidR="00F86C81" w:rsidRPr="0002434F">
        <w:t>azathioprine</w:t>
      </w:r>
      <w:r w:rsidRPr="0002434F">
        <w:rPr>
          <w:rFonts w:eastAsia="MS Mincho"/>
          <w:lang w:eastAsia="ja-JP"/>
        </w:rPr>
        <w:t xml:space="preserve"> from </w:t>
      </w:r>
      <w:r w:rsidR="00AD36A0" w:rsidRPr="0002434F">
        <w:rPr>
          <w:rFonts w:eastAsia="MS Mincho"/>
          <w:lang w:eastAsia="ja-JP"/>
        </w:rPr>
        <w:t>Week 1</w:t>
      </w:r>
      <w:r w:rsidRPr="0002434F">
        <w:rPr>
          <w:rFonts w:eastAsia="MS Mincho"/>
          <w:lang w:eastAsia="ja-JP"/>
        </w:rPr>
        <w:t>5 at a starting dose of 1</w:t>
      </w:r>
      <w:r w:rsidR="00AD36A0" w:rsidRPr="0002434F">
        <w:rPr>
          <w:rFonts w:eastAsia="MS Mincho"/>
          <w:lang w:eastAsia="ja-JP"/>
        </w:rPr>
        <w:t xml:space="preserve"> </w:t>
      </w:r>
      <w:r w:rsidRPr="0002434F">
        <w:rPr>
          <w:rFonts w:eastAsia="MS Mincho"/>
          <w:lang w:eastAsia="ja-JP"/>
        </w:rPr>
        <w:t>mg/kg/day with titration up to a target dose of 2</w:t>
      </w:r>
      <w:r w:rsidR="00AD36A0" w:rsidRPr="0002434F">
        <w:rPr>
          <w:rFonts w:eastAsia="MS Mincho"/>
          <w:lang w:eastAsia="ja-JP"/>
        </w:rPr>
        <w:t xml:space="preserve"> </w:t>
      </w:r>
      <w:r w:rsidRPr="0002434F">
        <w:rPr>
          <w:rFonts w:eastAsia="MS Mincho"/>
          <w:lang w:eastAsia="ja-JP"/>
        </w:rPr>
        <w:t xml:space="preserve">mg/kg/day after two weeks. If </w:t>
      </w:r>
      <w:r w:rsidR="00F86C81" w:rsidRPr="0002434F">
        <w:t>azathioprine</w:t>
      </w:r>
      <w:r w:rsidRPr="0002434F">
        <w:rPr>
          <w:rFonts w:eastAsia="MS Mincho"/>
          <w:lang w:eastAsia="ja-JP"/>
        </w:rPr>
        <w:t xml:space="preserve"> was not tolerated, mycophenolate mofetil at a target dose of 2</w:t>
      </w:r>
      <w:r w:rsidR="00AD36A0" w:rsidRPr="0002434F">
        <w:rPr>
          <w:rFonts w:eastAsia="MS Mincho"/>
          <w:lang w:eastAsia="ja-JP"/>
        </w:rPr>
        <w:t> </w:t>
      </w:r>
      <w:r w:rsidRPr="0002434F">
        <w:rPr>
          <w:rFonts w:eastAsia="MS Mincho"/>
          <w:lang w:eastAsia="ja-JP"/>
        </w:rPr>
        <w:t xml:space="preserve">g/day may have been given. If </w:t>
      </w:r>
      <w:r w:rsidR="00AD36A0" w:rsidRPr="0002434F">
        <w:rPr>
          <w:rFonts w:eastAsia="MS Mincho"/>
          <w:lang w:eastAsia="ja-JP"/>
        </w:rPr>
        <w:t>mycophenolate mofetil</w:t>
      </w:r>
      <w:r w:rsidRPr="0002434F">
        <w:rPr>
          <w:rFonts w:eastAsia="MS Mincho"/>
          <w:lang w:eastAsia="ja-JP"/>
        </w:rPr>
        <w:t xml:space="preserve"> was not tolerated or not available, enteric-coated mycophenolate sodium may have been given, at a target dose of 1440</w:t>
      </w:r>
      <w:r w:rsidR="00AD36A0" w:rsidRPr="0002434F">
        <w:rPr>
          <w:rFonts w:eastAsia="MS Mincho"/>
          <w:lang w:eastAsia="ja-JP"/>
        </w:rPr>
        <w:t> </w:t>
      </w:r>
      <w:r w:rsidRPr="0002434F">
        <w:rPr>
          <w:rFonts w:eastAsia="MS Mincho"/>
          <w:lang w:eastAsia="ja-JP"/>
        </w:rPr>
        <w:t>mg/day.</w:t>
      </w:r>
    </w:p>
    <w:p w14:paraId="1B37DF5E" w14:textId="4AAF6A66" w:rsidR="004F0248" w:rsidRPr="0002434F" w:rsidRDefault="00AD36A0" w:rsidP="001C2D33">
      <w:pPr>
        <w:pStyle w:val="ListBullet"/>
      </w:pPr>
      <w:r w:rsidRPr="0002434F">
        <w:t>intravenous</w:t>
      </w:r>
      <w:r w:rsidR="004F0248" w:rsidRPr="0002434F">
        <w:t xml:space="preserve"> rituximab on </w:t>
      </w:r>
      <w:r w:rsidRPr="0002434F">
        <w:t>Day</w:t>
      </w:r>
      <w:r w:rsidR="004F0248" w:rsidRPr="0002434F">
        <w:t xml:space="preserve"> 1 and then </w:t>
      </w:r>
      <w:r w:rsidRPr="0002434F">
        <w:t xml:space="preserve">Weeks </w:t>
      </w:r>
      <w:r w:rsidR="004F0248" w:rsidRPr="0002434F">
        <w:t>1, 2 and 3 at a dose of 375</w:t>
      </w:r>
      <w:r w:rsidRPr="0002434F">
        <w:t xml:space="preserve"> </w:t>
      </w:r>
      <w:r w:rsidR="004F0248" w:rsidRPr="0002434F">
        <w:t>mg/m</w:t>
      </w:r>
      <w:r w:rsidR="004F0248" w:rsidRPr="0002434F">
        <w:rPr>
          <w:vertAlign w:val="superscript"/>
        </w:rPr>
        <w:t>2</w:t>
      </w:r>
      <w:r w:rsidR="004F0248" w:rsidRPr="0002434F">
        <w:t xml:space="preserve"> at each visit for a total of 4 weekly infusions. Glucocorticoid pre-medication for rituximab </w:t>
      </w:r>
      <w:r w:rsidRPr="0002434F">
        <w:t>intravenous</w:t>
      </w:r>
      <w:r w:rsidR="004F0248" w:rsidRPr="0002434F">
        <w:t xml:space="preserve"> infusions was allowed.</w:t>
      </w:r>
    </w:p>
    <w:p w14:paraId="55A0F1BD" w14:textId="4AD75811" w:rsidR="007F3F71" w:rsidRPr="0002434F" w:rsidRDefault="004F0248" w:rsidP="001C2D33">
      <w:r w:rsidRPr="0002434F">
        <w:t xml:space="preserve">Participants who experienced worsening of disease during the study that involved a major item in the BVAS may have been treated with </w:t>
      </w:r>
      <w:r w:rsidR="00AD36A0" w:rsidRPr="0002434F">
        <w:t>intravenous</w:t>
      </w:r>
      <w:r w:rsidRPr="0002434F">
        <w:t xml:space="preserve"> glucocorticoids (typically 0.5 to 1</w:t>
      </w:r>
      <w:r w:rsidR="00AD36A0" w:rsidRPr="0002434F">
        <w:t> </w:t>
      </w:r>
      <w:r w:rsidRPr="0002434F">
        <w:t>g methylprednisolone per day for 3 days) and/or oral glucocorticoids, tapered according to clinical status. Worsening disease not involving a major item in the BVAS may have been treated with a short course (not more than 2 weeks) of oral glucocorticoids, at a maximum dose of 20</w:t>
      </w:r>
      <w:r w:rsidR="00AD36A0" w:rsidRPr="0002434F">
        <w:t> </w:t>
      </w:r>
      <w:r w:rsidRPr="0002434F">
        <w:t>mg/day prednisone equivalent and participants had to reduce this to zero over the first 4</w:t>
      </w:r>
      <w:r w:rsidR="00AD36A0" w:rsidRPr="0002434F">
        <w:t> </w:t>
      </w:r>
      <w:r w:rsidRPr="0002434F">
        <w:t>weeks of the treatment period. Participants who experienced worsening of disease were able to continue study drug treatment and continue in the study. Participants who had one or more major items in the BVAS before study entry, and who did not show an improvement or stabili</w:t>
      </w:r>
      <w:r w:rsidR="00F86C81" w:rsidRPr="0002434F">
        <w:t>s</w:t>
      </w:r>
      <w:r w:rsidRPr="0002434F">
        <w:t xml:space="preserve">ation of these items within the first four weeks of the study, may have received additional </w:t>
      </w:r>
      <w:r w:rsidR="00AD36A0" w:rsidRPr="0002434F">
        <w:t>intravenous</w:t>
      </w:r>
      <w:r w:rsidRPr="0002434F">
        <w:t xml:space="preserve"> or oral glucocorticoids, tapered according to the clinical status.</w:t>
      </w:r>
    </w:p>
    <w:p w14:paraId="6DBE01B7" w14:textId="5AAF3CB8" w:rsidR="004F0248" w:rsidRPr="0002434F" w:rsidRDefault="00241EA0" w:rsidP="00241EA0">
      <w:pPr>
        <w:pStyle w:val="Heading6"/>
      </w:pPr>
      <w:r w:rsidRPr="0002434F">
        <w:t>P</w:t>
      </w:r>
      <w:r w:rsidR="004F0248" w:rsidRPr="0002434F">
        <w:t>rimary efficacy endpoints</w:t>
      </w:r>
    </w:p>
    <w:p w14:paraId="2D54C75D" w14:textId="2454EB21" w:rsidR="004F0248" w:rsidRPr="0002434F" w:rsidRDefault="004F0248" w:rsidP="001C2D33">
      <w:pPr>
        <w:pStyle w:val="ListBullet"/>
      </w:pPr>
      <w:r w:rsidRPr="0002434F">
        <w:t>The proportion of study participants achieving disease remission at Week 26. Disease remission at Week 26 was defined as:</w:t>
      </w:r>
    </w:p>
    <w:p w14:paraId="2870F442" w14:textId="0D3D44C6" w:rsidR="004F0248" w:rsidRPr="0002434F" w:rsidRDefault="00794999" w:rsidP="001C2D33">
      <w:pPr>
        <w:pStyle w:val="ListBullet2"/>
      </w:pPr>
      <w:r w:rsidRPr="0002434F">
        <w:t>a</w:t>
      </w:r>
      <w:r w:rsidR="004F0248" w:rsidRPr="0002434F">
        <w:t>chieving a BVAS of 0 as determined by the Adjudication Committee (AC</w:t>
      </w:r>
      <w:proofErr w:type="gramStart"/>
      <w:r w:rsidR="004F0248" w:rsidRPr="0002434F">
        <w:t>);</w:t>
      </w:r>
      <w:proofErr w:type="gramEnd"/>
    </w:p>
    <w:p w14:paraId="105747AB" w14:textId="35D0FF89" w:rsidR="004F0248" w:rsidRPr="0002434F" w:rsidRDefault="00794999" w:rsidP="001C2D33">
      <w:pPr>
        <w:pStyle w:val="ListBullet2"/>
      </w:pPr>
      <w:r w:rsidRPr="0002434F">
        <w:t>n</w:t>
      </w:r>
      <w:r w:rsidR="004F0248" w:rsidRPr="0002434F">
        <w:t>o administration of glucocorticoids for treatment of AAV within 4 weeks prior to Week 26; and</w:t>
      </w:r>
    </w:p>
    <w:p w14:paraId="7F652DBB" w14:textId="379DD5D0" w:rsidR="004F0248" w:rsidRPr="0002434F" w:rsidRDefault="00794999" w:rsidP="001C2D33">
      <w:pPr>
        <w:pStyle w:val="ListBullet2"/>
      </w:pPr>
      <w:r w:rsidRPr="0002434F">
        <w:t xml:space="preserve">no </w:t>
      </w:r>
      <w:r w:rsidR="004F0248" w:rsidRPr="0002434F">
        <w:t>BVAS &gt;</w:t>
      </w:r>
      <w:r w:rsidR="001B712F" w:rsidRPr="0002434F">
        <w:t xml:space="preserve"> </w:t>
      </w:r>
      <w:r w:rsidR="004F0248" w:rsidRPr="0002434F">
        <w:t>0 during the 4 weeks prior to Week 26 (if collected for an unscheduled assessment).</w:t>
      </w:r>
    </w:p>
    <w:p w14:paraId="67984B21" w14:textId="0084DF76" w:rsidR="004F0248" w:rsidRPr="0002434F" w:rsidRDefault="004F0248" w:rsidP="001C2D33">
      <w:pPr>
        <w:pStyle w:val="ListBullet"/>
        <w:rPr>
          <w:lang w:eastAsia="ja-JP"/>
        </w:rPr>
      </w:pPr>
      <w:r w:rsidRPr="0002434F">
        <w:rPr>
          <w:lang w:eastAsia="ja-JP"/>
        </w:rPr>
        <w:t>The proportion of study participants achieving sustained disease remission at Week</w:t>
      </w:r>
      <w:r w:rsidR="001B712F" w:rsidRPr="0002434F">
        <w:rPr>
          <w:lang w:eastAsia="ja-JP"/>
        </w:rPr>
        <w:t> </w:t>
      </w:r>
      <w:r w:rsidRPr="0002434F">
        <w:rPr>
          <w:lang w:eastAsia="ja-JP"/>
        </w:rPr>
        <w:t>52. Sustained remission at Week 52 was defined as:</w:t>
      </w:r>
    </w:p>
    <w:p w14:paraId="588715EA" w14:textId="7F160B0E" w:rsidR="004F0248" w:rsidRPr="0002434F" w:rsidRDefault="00794999" w:rsidP="001C2D33">
      <w:pPr>
        <w:pStyle w:val="ListBullet2"/>
      </w:pPr>
      <w:r w:rsidRPr="0002434F">
        <w:t xml:space="preserve">disease </w:t>
      </w:r>
      <w:r w:rsidR="004F0248" w:rsidRPr="0002434F">
        <w:t xml:space="preserve">remission at Week 26 as defined </w:t>
      </w:r>
      <w:proofErr w:type="gramStart"/>
      <w:r w:rsidR="004F0248" w:rsidRPr="0002434F">
        <w:t>above</w:t>
      </w:r>
      <w:r w:rsidR="009A2AFA" w:rsidRPr="0002434F">
        <w:t>;</w:t>
      </w:r>
      <w:proofErr w:type="gramEnd"/>
    </w:p>
    <w:p w14:paraId="5160A58C" w14:textId="6BFF6BB2" w:rsidR="004F0248" w:rsidRPr="0002434F" w:rsidRDefault="00794999" w:rsidP="001C2D33">
      <w:pPr>
        <w:pStyle w:val="ListBullet2"/>
      </w:pPr>
      <w:r w:rsidRPr="0002434F">
        <w:lastRenderedPageBreak/>
        <w:t xml:space="preserve">disease </w:t>
      </w:r>
      <w:r w:rsidR="004F0248" w:rsidRPr="0002434F">
        <w:t>remission at Week 52 defined as a BVAS of 0 at Week 52 as determined by the AC and no administration of glucocorticoids for treatment of ANCA</w:t>
      </w:r>
      <w:r w:rsidRPr="0002434F">
        <w:t xml:space="preserve"> </w:t>
      </w:r>
      <w:r w:rsidR="004F0248" w:rsidRPr="0002434F">
        <w:t>associated vasculitis within 4 weeks prior to Week 52; and</w:t>
      </w:r>
    </w:p>
    <w:p w14:paraId="03BBC926" w14:textId="00C3BD35" w:rsidR="004F0248" w:rsidRPr="0002434F" w:rsidRDefault="00794999" w:rsidP="001C2D33">
      <w:pPr>
        <w:pStyle w:val="ListBullet2"/>
      </w:pPr>
      <w:r w:rsidRPr="0002434F">
        <w:t xml:space="preserve">no </w:t>
      </w:r>
      <w:r w:rsidR="004F0248" w:rsidRPr="0002434F">
        <w:t>disease relapse between Week 26 and Week 52, as determined by the AC.</w:t>
      </w:r>
    </w:p>
    <w:p w14:paraId="56206FC0" w14:textId="5749F5FF" w:rsidR="004F0248" w:rsidRPr="0002434F" w:rsidRDefault="004F0248" w:rsidP="00241EA0">
      <w:pPr>
        <w:pStyle w:val="Heading6"/>
      </w:pPr>
      <w:r w:rsidRPr="0002434F">
        <w:t>Secondary efficacy endpoints</w:t>
      </w:r>
    </w:p>
    <w:p w14:paraId="356BF463" w14:textId="6F2BB4D0" w:rsidR="004F0248" w:rsidRPr="0002434F" w:rsidRDefault="004F0248" w:rsidP="001C2D33">
      <w:pPr>
        <w:pStyle w:val="ListBullet"/>
      </w:pPr>
      <w:r w:rsidRPr="0002434F">
        <w:t xml:space="preserve">Glucocorticoid-induced toxicity as measured by change from </w:t>
      </w:r>
      <w:r w:rsidR="00241EA0" w:rsidRPr="0002434F">
        <w:t>Baseline</w:t>
      </w:r>
      <w:r w:rsidRPr="0002434F">
        <w:t xml:space="preserve"> over the first 26</w:t>
      </w:r>
      <w:r w:rsidR="001B712F" w:rsidRPr="0002434F">
        <w:t> </w:t>
      </w:r>
      <w:r w:rsidRPr="0002434F">
        <w:t>weeks in the glucocorticoid toxicity index</w:t>
      </w:r>
      <w:r w:rsidR="002752E2" w:rsidRPr="0002434F">
        <w:t xml:space="preserve"> (GTI)</w:t>
      </w:r>
      <w:r w:rsidR="00794999" w:rsidRPr="0002434F">
        <w:t>.</w:t>
      </w:r>
    </w:p>
    <w:p w14:paraId="098B596D" w14:textId="400029FD" w:rsidR="004F0248" w:rsidRPr="0002434F" w:rsidRDefault="002752E2" w:rsidP="001C2D33">
      <w:pPr>
        <w:pStyle w:val="ListBullet"/>
      </w:pPr>
      <w:r w:rsidRPr="0002434F">
        <w:t>Birmingham Vasculitis Activity Score (</w:t>
      </w:r>
      <w:r w:rsidR="004F0248" w:rsidRPr="0002434F">
        <w:t>BVAS</w:t>
      </w:r>
      <w:r w:rsidRPr="0002434F">
        <w:t>)</w:t>
      </w:r>
      <w:r w:rsidR="004F0248" w:rsidRPr="0002434F">
        <w:t xml:space="preserve"> of 0 at Week 4, regardless of whether the participants received glucocorticoids during this </w:t>
      </w:r>
      <w:proofErr w:type="gramStart"/>
      <w:r w:rsidR="004F0248" w:rsidRPr="0002434F">
        <w:t>period of time</w:t>
      </w:r>
      <w:proofErr w:type="gramEnd"/>
      <w:r w:rsidR="004F0248" w:rsidRPr="0002434F">
        <w:t xml:space="preserve"> and based on assessment by the blinded AC</w:t>
      </w:r>
      <w:r w:rsidR="00794999" w:rsidRPr="0002434F">
        <w:t>.</w:t>
      </w:r>
    </w:p>
    <w:p w14:paraId="41F26DCF" w14:textId="18AB04EC" w:rsidR="004F0248" w:rsidRPr="0002434F" w:rsidRDefault="004F0248" w:rsidP="001C2D33">
      <w:pPr>
        <w:pStyle w:val="ListBullet"/>
      </w:pPr>
      <w:r w:rsidRPr="0002434F">
        <w:t xml:space="preserve">Change from </w:t>
      </w:r>
      <w:r w:rsidR="00241EA0" w:rsidRPr="0002434F">
        <w:t>Baseline</w:t>
      </w:r>
      <w:r w:rsidRPr="0002434F">
        <w:t xml:space="preserve"> over 52 weeks in </w:t>
      </w:r>
      <w:proofErr w:type="gramStart"/>
      <w:r w:rsidRPr="0002434F">
        <w:t>health</w:t>
      </w:r>
      <w:r w:rsidR="002752E2" w:rsidRPr="0002434F">
        <w:t xml:space="preserve"> </w:t>
      </w:r>
      <w:r w:rsidRPr="0002434F">
        <w:t>related</w:t>
      </w:r>
      <w:proofErr w:type="gramEnd"/>
      <w:r w:rsidRPr="0002434F">
        <w:t xml:space="preserve"> quality of life (QoL) as measured by the domains and component scores of the </w:t>
      </w:r>
      <w:r w:rsidR="005028CE" w:rsidRPr="0002434F">
        <w:t>36-Item Short Form Health Survey version 2 (</w:t>
      </w:r>
      <w:r w:rsidRPr="0002434F">
        <w:t>SF</w:t>
      </w:r>
      <w:r w:rsidR="005028CE" w:rsidRPr="0002434F">
        <w:noBreakHyphen/>
      </w:r>
      <w:r w:rsidRPr="0002434F">
        <w:t>36v2</w:t>
      </w:r>
      <w:r w:rsidR="005028CE" w:rsidRPr="0002434F">
        <w:t>)</w:t>
      </w:r>
      <w:r w:rsidR="005028CE" w:rsidRPr="0002434F">
        <w:rPr>
          <w:rStyle w:val="FootnoteReference"/>
        </w:rPr>
        <w:footnoteReference w:id="14"/>
      </w:r>
      <w:r w:rsidRPr="0002434F">
        <w:t xml:space="preserve"> and </w:t>
      </w:r>
      <w:proofErr w:type="spellStart"/>
      <w:r w:rsidR="005028CE" w:rsidRPr="0002434F">
        <w:t>EuroQuality</w:t>
      </w:r>
      <w:proofErr w:type="spellEnd"/>
      <w:r w:rsidR="005028CE" w:rsidRPr="0002434F">
        <w:t xml:space="preserve"> of Life-5 domains-5 levels (</w:t>
      </w:r>
      <w:r w:rsidRPr="0002434F">
        <w:t>EQ-5D-5L</w:t>
      </w:r>
      <w:r w:rsidR="005028CE" w:rsidRPr="0002434F">
        <w:t>)</w:t>
      </w:r>
      <w:r w:rsidR="005028CE" w:rsidRPr="0002434F">
        <w:rPr>
          <w:rStyle w:val="FootnoteReference"/>
        </w:rPr>
        <w:footnoteReference w:id="15"/>
      </w:r>
      <w:r w:rsidRPr="0002434F">
        <w:t xml:space="preserve"> Visual Analogue Scale (VAS) and index</w:t>
      </w:r>
      <w:r w:rsidR="00794999" w:rsidRPr="0002434F">
        <w:t>.</w:t>
      </w:r>
    </w:p>
    <w:p w14:paraId="0C6B756B" w14:textId="73262518" w:rsidR="004F0248" w:rsidRPr="0002434F" w:rsidRDefault="004F0248" w:rsidP="001C2D33">
      <w:pPr>
        <w:pStyle w:val="ListBullet"/>
      </w:pPr>
      <w:r w:rsidRPr="0002434F">
        <w:t>Proportion of participants and time to experiencing a relapse after previously achieving remission at Week 26 in the study. Relapse was defined as:</w:t>
      </w:r>
    </w:p>
    <w:p w14:paraId="716B9ABB" w14:textId="4E6C68E4" w:rsidR="007F3F71" w:rsidRPr="0002434F" w:rsidRDefault="00794999" w:rsidP="001C2D33">
      <w:pPr>
        <w:pStyle w:val="ListBullet2"/>
      </w:pPr>
      <w:r w:rsidRPr="0002434F">
        <w:t>o</w:t>
      </w:r>
      <w:r w:rsidR="004F0248" w:rsidRPr="0002434F">
        <w:t>ccurrence of at least one major item in the BVAS, or</w:t>
      </w:r>
    </w:p>
    <w:p w14:paraId="71C96287" w14:textId="2C78CE1C" w:rsidR="007F3F71" w:rsidRPr="0002434F" w:rsidRDefault="00794999" w:rsidP="001C2D33">
      <w:pPr>
        <w:pStyle w:val="ListBullet2"/>
      </w:pPr>
      <w:r w:rsidRPr="0002434F">
        <w:t>o</w:t>
      </w:r>
      <w:r w:rsidR="004F0248" w:rsidRPr="0002434F">
        <w:t>ccurrence of at three or more minor items in the BVAS, or</w:t>
      </w:r>
    </w:p>
    <w:p w14:paraId="070F4776" w14:textId="4310949E" w:rsidR="007F3F71" w:rsidRPr="0002434F" w:rsidRDefault="00794999" w:rsidP="001C2D33">
      <w:pPr>
        <w:pStyle w:val="ListBullet2"/>
      </w:pPr>
      <w:r w:rsidRPr="0002434F">
        <w:t>o</w:t>
      </w:r>
      <w:r w:rsidR="004F0248" w:rsidRPr="0002434F">
        <w:t>ccurrence of one or two minor items in the BVAS recorded at two consecutive visits,</w:t>
      </w:r>
    </w:p>
    <w:p w14:paraId="0F9FE2F3" w14:textId="47D75041" w:rsidR="004F0248" w:rsidRPr="0002434F" w:rsidRDefault="004F0248" w:rsidP="00241EA0">
      <w:pPr>
        <w:pStyle w:val="ListBullet"/>
        <w:numPr>
          <w:ilvl w:val="0"/>
          <w:numId w:val="0"/>
        </w:numPr>
        <w:ind w:left="360"/>
      </w:pPr>
      <w:r w:rsidRPr="0002434F">
        <w:t>after having achieved remission at Week 26 in the study</w:t>
      </w:r>
      <w:r w:rsidR="00794999" w:rsidRPr="0002434F">
        <w:t>.</w:t>
      </w:r>
    </w:p>
    <w:p w14:paraId="03D2488B" w14:textId="5A93020B" w:rsidR="004F0248" w:rsidRPr="0002434F" w:rsidRDefault="004F0248" w:rsidP="001C2D33">
      <w:pPr>
        <w:pStyle w:val="ListBullet"/>
        <w:rPr>
          <w:lang w:eastAsia="ja-JP"/>
        </w:rPr>
      </w:pPr>
      <w:r w:rsidRPr="0002434F">
        <w:rPr>
          <w:lang w:eastAsia="ja-JP"/>
        </w:rPr>
        <w:t xml:space="preserve">In participants with renal disease at </w:t>
      </w:r>
      <w:r w:rsidR="00241EA0" w:rsidRPr="0002434F">
        <w:rPr>
          <w:lang w:eastAsia="ja-JP"/>
        </w:rPr>
        <w:t>Baseline</w:t>
      </w:r>
      <w:r w:rsidRPr="0002434F">
        <w:rPr>
          <w:lang w:eastAsia="ja-JP"/>
        </w:rPr>
        <w:t xml:space="preserve"> (based on the BVAS renal component), the change in eGFR from </w:t>
      </w:r>
      <w:r w:rsidR="00241EA0" w:rsidRPr="0002434F">
        <w:rPr>
          <w:lang w:eastAsia="ja-JP"/>
        </w:rPr>
        <w:t>Baseline</w:t>
      </w:r>
      <w:r w:rsidRPr="0002434F">
        <w:rPr>
          <w:lang w:eastAsia="ja-JP"/>
        </w:rPr>
        <w:t xml:space="preserve"> over 52 weeks</w:t>
      </w:r>
      <w:r w:rsidR="00794999" w:rsidRPr="0002434F">
        <w:rPr>
          <w:lang w:eastAsia="ja-JP"/>
        </w:rPr>
        <w:t>.</w:t>
      </w:r>
    </w:p>
    <w:p w14:paraId="35359BD1" w14:textId="4364DF46" w:rsidR="004F0248" w:rsidRPr="0002434F" w:rsidRDefault="004F0248" w:rsidP="001C2D33">
      <w:pPr>
        <w:pStyle w:val="ListBullet"/>
        <w:rPr>
          <w:lang w:eastAsia="ja-JP"/>
        </w:rPr>
      </w:pPr>
      <w:r w:rsidRPr="0002434F">
        <w:rPr>
          <w:lang w:eastAsia="ja-JP"/>
        </w:rPr>
        <w:t xml:space="preserve">In participants with renal disease at </w:t>
      </w:r>
      <w:r w:rsidR="00241EA0" w:rsidRPr="0002434F">
        <w:rPr>
          <w:lang w:eastAsia="ja-JP"/>
        </w:rPr>
        <w:t>Baseline</w:t>
      </w:r>
      <w:r w:rsidRPr="0002434F">
        <w:rPr>
          <w:lang w:eastAsia="ja-JP"/>
        </w:rPr>
        <w:t xml:space="preserve"> (based on the BVAS renal component), the percent change in urinary albumin</w:t>
      </w:r>
      <w:r w:rsidR="002752E2" w:rsidRPr="0002434F">
        <w:rPr>
          <w:lang w:eastAsia="ja-JP"/>
        </w:rPr>
        <w:t xml:space="preserve"> to </w:t>
      </w:r>
      <w:r w:rsidRPr="0002434F">
        <w:rPr>
          <w:lang w:eastAsia="ja-JP"/>
        </w:rPr>
        <w:t xml:space="preserve">creatinine ratio (UACR) from </w:t>
      </w:r>
      <w:r w:rsidR="00241EA0" w:rsidRPr="0002434F">
        <w:rPr>
          <w:lang w:eastAsia="ja-JP"/>
        </w:rPr>
        <w:t>Baseline</w:t>
      </w:r>
      <w:r w:rsidRPr="0002434F">
        <w:rPr>
          <w:lang w:eastAsia="ja-JP"/>
        </w:rPr>
        <w:t xml:space="preserve"> over 52 weeks</w:t>
      </w:r>
      <w:r w:rsidR="00794999" w:rsidRPr="0002434F">
        <w:rPr>
          <w:lang w:eastAsia="ja-JP"/>
        </w:rPr>
        <w:t>.</w:t>
      </w:r>
    </w:p>
    <w:p w14:paraId="64A777EA" w14:textId="67A4141F" w:rsidR="004F0248" w:rsidRPr="0002434F" w:rsidRDefault="004F0248" w:rsidP="001C2D33">
      <w:pPr>
        <w:pStyle w:val="ListBullet"/>
        <w:rPr>
          <w:lang w:eastAsia="ja-JP"/>
        </w:rPr>
      </w:pPr>
      <w:r w:rsidRPr="0002434F">
        <w:rPr>
          <w:lang w:eastAsia="ja-JP"/>
        </w:rPr>
        <w:t xml:space="preserve">In participants with renal disease at </w:t>
      </w:r>
      <w:r w:rsidR="00241EA0" w:rsidRPr="0002434F">
        <w:rPr>
          <w:lang w:eastAsia="ja-JP"/>
        </w:rPr>
        <w:t>Baseline</w:t>
      </w:r>
      <w:r w:rsidRPr="0002434F">
        <w:rPr>
          <w:lang w:eastAsia="ja-JP"/>
        </w:rPr>
        <w:t xml:space="preserve"> (based on the BVAS renal component), the percent change in urinary monocyte chemoattractant protein</w:t>
      </w:r>
      <w:r w:rsidR="002752E2" w:rsidRPr="0002434F">
        <w:rPr>
          <w:lang w:eastAsia="ja-JP"/>
        </w:rPr>
        <w:t>-</w:t>
      </w:r>
      <w:r w:rsidRPr="0002434F">
        <w:rPr>
          <w:lang w:eastAsia="ja-JP"/>
        </w:rPr>
        <w:t>1</w:t>
      </w:r>
      <w:r w:rsidR="002752E2" w:rsidRPr="0002434F">
        <w:rPr>
          <w:lang w:eastAsia="ja-JP"/>
        </w:rPr>
        <w:t xml:space="preserve"> to </w:t>
      </w:r>
      <w:r w:rsidRPr="0002434F">
        <w:rPr>
          <w:lang w:eastAsia="ja-JP"/>
        </w:rPr>
        <w:t xml:space="preserve">creatinine ratio from </w:t>
      </w:r>
      <w:r w:rsidR="00241EA0" w:rsidRPr="0002434F">
        <w:rPr>
          <w:lang w:eastAsia="ja-JP"/>
        </w:rPr>
        <w:t>Baseline</w:t>
      </w:r>
      <w:r w:rsidRPr="0002434F">
        <w:rPr>
          <w:lang w:eastAsia="ja-JP"/>
        </w:rPr>
        <w:t xml:space="preserve"> over 52 weeks</w:t>
      </w:r>
      <w:r w:rsidR="00794999" w:rsidRPr="0002434F">
        <w:rPr>
          <w:lang w:eastAsia="ja-JP"/>
        </w:rPr>
        <w:t>.</w:t>
      </w:r>
    </w:p>
    <w:p w14:paraId="07B047CB" w14:textId="44EB01B1" w:rsidR="004F0248" w:rsidRPr="0002434F" w:rsidRDefault="004F0248" w:rsidP="001C2D33">
      <w:pPr>
        <w:pStyle w:val="ListBullet"/>
        <w:rPr>
          <w:lang w:eastAsia="ja-JP"/>
        </w:rPr>
      </w:pPr>
      <w:r w:rsidRPr="0002434F">
        <w:rPr>
          <w:lang w:eastAsia="ja-JP"/>
        </w:rPr>
        <w:t xml:space="preserve">Change in the </w:t>
      </w:r>
      <w:r w:rsidR="002752E2" w:rsidRPr="0002434F">
        <w:rPr>
          <w:lang w:eastAsia="ja-JP"/>
        </w:rPr>
        <w:t>vasculitis damage index</w:t>
      </w:r>
      <w:r w:rsidRPr="0002434F">
        <w:rPr>
          <w:lang w:eastAsia="ja-JP"/>
        </w:rPr>
        <w:t xml:space="preserve"> from </w:t>
      </w:r>
      <w:r w:rsidR="00241EA0" w:rsidRPr="0002434F">
        <w:rPr>
          <w:lang w:eastAsia="ja-JP"/>
        </w:rPr>
        <w:t>Baseline</w:t>
      </w:r>
      <w:r w:rsidRPr="0002434F">
        <w:rPr>
          <w:lang w:eastAsia="ja-JP"/>
        </w:rPr>
        <w:t xml:space="preserve"> over 52 weeks, including the Week 26 and Week 52 time points.</w:t>
      </w:r>
    </w:p>
    <w:p w14:paraId="10BEECEC" w14:textId="3F6FF048" w:rsidR="004F0248" w:rsidRPr="0002434F" w:rsidRDefault="004F0248" w:rsidP="001C2D33">
      <w:r w:rsidRPr="0002434F">
        <w:t xml:space="preserve">Statistical analysis was performed after all participants had completed at least 52 weeks of the study or discontinued. Hierarchical testing was applied to test first for non-inferiority of </w:t>
      </w:r>
      <w:proofErr w:type="spellStart"/>
      <w:r w:rsidR="798FC2F1" w:rsidRPr="0002434F">
        <w:t>avacopan</w:t>
      </w:r>
      <w:proofErr w:type="spellEnd"/>
      <w:r w:rsidRPr="0002434F">
        <w:t xml:space="preserve"> to weaning </w:t>
      </w:r>
      <w:r w:rsidR="622F7A46" w:rsidRPr="0002434F">
        <w:t>prednisone</w:t>
      </w:r>
      <w:r w:rsidRPr="0002434F">
        <w:t xml:space="preserve"> on the first primary endpoint, non-inferiority of </w:t>
      </w:r>
      <w:proofErr w:type="spellStart"/>
      <w:r w:rsidR="798FC2F1" w:rsidRPr="0002434F">
        <w:t>avacopan</w:t>
      </w:r>
      <w:proofErr w:type="spellEnd"/>
      <w:r w:rsidRPr="0002434F">
        <w:t xml:space="preserve"> to </w:t>
      </w:r>
      <w:r w:rsidR="622F7A46" w:rsidRPr="0002434F">
        <w:t>prednisone</w:t>
      </w:r>
      <w:r w:rsidRPr="0002434F">
        <w:t xml:space="preserve"> on the second primary endpoint, superiority of </w:t>
      </w:r>
      <w:proofErr w:type="spellStart"/>
      <w:r w:rsidR="798FC2F1" w:rsidRPr="0002434F">
        <w:t>avacopan</w:t>
      </w:r>
      <w:proofErr w:type="spellEnd"/>
      <w:r w:rsidRPr="0002434F">
        <w:t xml:space="preserve"> to </w:t>
      </w:r>
      <w:r w:rsidR="622F7A46" w:rsidRPr="0002434F">
        <w:t>prednisone</w:t>
      </w:r>
      <w:r w:rsidRPr="0002434F">
        <w:t xml:space="preserve"> on the </w:t>
      </w:r>
      <w:r w:rsidR="23B2CEBC" w:rsidRPr="0002434F">
        <w:t>second</w:t>
      </w:r>
      <w:r w:rsidRPr="0002434F">
        <w:t xml:space="preserve"> primary endpoint, then superiority of </w:t>
      </w:r>
      <w:proofErr w:type="spellStart"/>
      <w:r w:rsidR="798FC2F1" w:rsidRPr="0002434F">
        <w:t>avacopan</w:t>
      </w:r>
      <w:proofErr w:type="spellEnd"/>
      <w:r w:rsidRPr="0002434F">
        <w:t xml:space="preserve"> to </w:t>
      </w:r>
      <w:r w:rsidR="622F7A46" w:rsidRPr="0002434F">
        <w:t>prednisone</w:t>
      </w:r>
      <w:r w:rsidRPr="0002434F">
        <w:t xml:space="preserve"> on the </w:t>
      </w:r>
      <w:r w:rsidR="79B0C453" w:rsidRPr="0002434F">
        <w:t xml:space="preserve">first </w:t>
      </w:r>
      <w:r w:rsidRPr="0002434F">
        <w:t xml:space="preserve">primary </w:t>
      </w:r>
      <w:r w:rsidRPr="0002434F">
        <w:lastRenderedPageBreak/>
        <w:t xml:space="preserve">endpoint. A non-inferiority margin of -20% points was derived from the difference between </w:t>
      </w:r>
      <w:proofErr w:type="spellStart"/>
      <w:r w:rsidRPr="0002434F">
        <w:t>avacopan</w:t>
      </w:r>
      <w:proofErr w:type="spellEnd"/>
      <w:r w:rsidRPr="0002434F">
        <w:t xml:space="preserve"> and prednisone groups and a </w:t>
      </w:r>
      <w:r w:rsidR="473BB42B" w:rsidRPr="0002434F">
        <w:t>one</w:t>
      </w:r>
      <w:r w:rsidRPr="0002434F">
        <w:t>-sided alpha level of 0.025, based on previous literature and on Stone et al (2010).</w:t>
      </w:r>
      <w:r w:rsidRPr="0002434F">
        <w:rPr>
          <w:vertAlign w:val="superscript"/>
        </w:rPr>
        <w:footnoteReference w:id="16"/>
      </w:r>
      <w:r w:rsidRPr="0002434F">
        <w:t xml:space="preserve"> Analyses of the secondary endpoints were not controlled for multiplicity.</w:t>
      </w:r>
    </w:p>
    <w:p w14:paraId="0793D9BA" w14:textId="66249CB5" w:rsidR="004F0248" w:rsidRPr="0002434F" w:rsidRDefault="004F0248" w:rsidP="001C2D33">
      <w:r w:rsidRPr="0002434F">
        <w:t>Overall, 386 adults were screened and 331 randomi</w:t>
      </w:r>
      <w:r w:rsidR="00F86C81" w:rsidRPr="0002434F">
        <w:t>s</w:t>
      </w:r>
      <w:r w:rsidRPr="0002434F">
        <w:t xml:space="preserve">ed 1:1 to weaning </w:t>
      </w:r>
      <w:r w:rsidR="00047A11" w:rsidRPr="0002434F">
        <w:t>prednisone</w:t>
      </w:r>
      <w:r w:rsidRPr="0002434F">
        <w:t xml:space="preserve"> (</w:t>
      </w:r>
      <w:r w:rsidR="00AD36A0" w:rsidRPr="0002434F">
        <w:t xml:space="preserve">n = </w:t>
      </w:r>
      <w:r w:rsidRPr="0002434F">
        <w:t xml:space="preserve">165) or </w:t>
      </w:r>
      <w:proofErr w:type="spellStart"/>
      <w:r w:rsidR="00C31D14" w:rsidRPr="0002434F">
        <w:t>avacopan</w:t>
      </w:r>
      <w:proofErr w:type="spellEnd"/>
      <w:r w:rsidRPr="0002434F">
        <w:t xml:space="preserve"> (</w:t>
      </w:r>
      <w:r w:rsidR="00AD36A0" w:rsidRPr="0002434F">
        <w:t xml:space="preserve">n = </w:t>
      </w:r>
      <w:r w:rsidRPr="0002434F">
        <w:t xml:space="preserve">166) groups. In the </w:t>
      </w:r>
      <w:r w:rsidR="00047A11" w:rsidRPr="0002434F">
        <w:t>prednisone</w:t>
      </w:r>
      <w:r w:rsidRPr="0002434F">
        <w:t xml:space="preserve"> group, 154 participants completed </w:t>
      </w:r>
      <w:r w:rsidR="00AD36A0" w:rsidRPr="0002434F">
        <w:t>Week</w:t>
      </w:r>
      <w:r w:rsidRPr="0002434F">
        <w:t xml:space="preserve"> 26, 152</w:t>
      </w:r>
      <w:r w:rsidR="00794999" w:rsidRPr="0002434F">
        <w:t> </w:t>
      </w:r>
      <w:r w:rsidRPr="0002434F">
        <w:t xml:space="preserve">participants completed </w:t>
      </w:r>
      <w:r w:rsidR="00AD36A0" w:rsidRPr="0002434F">
        <w:t>Week</w:t>
      </w:r>
      <w:r w:rsidRPr="0002434F">
        <w:t xml:space="preserve"> 52 and 150 participants completed the safety follow up at 60</w:t>
      </w:r>
      <w:r w:rsidR="00794999" w:rsidRPr="0002434F">
        <w:t> </w:t>
      </w:r>
      <w:r w:rsidRPr="0002434F">
        <w:t xml:space="preserve">weeks. The most frequent reason for discontinuing study drug was adverse event </w:t>
      </w:r>
      <w:r w:rsidR="002752E2" w:rsidRPr="0002434F">
        <w:t>(AE</w:t>
      </w:r>
      <w:proofErr w:type="gramStart"/>
      <w:r w:rsidR="002752E2" w:rsidRPr="0002434F">
        <w:t>)</w:t>
      </w:r>
      <w:r w:rsidRPr="0002434F">
        <w:t>(</w:t>
      </w:r>
      <w:proofErr w:type="gramEnd"/>
      <w:r w:rsidR="00AD36A0" w:rsidRPr="0002434F">
        <w:t xml:space="preserve">n = </w:t>
      </w:r>
      <w:r w:rsidRPr="0002434F">
        <w:t>29), and for discontinuing the study were adverse event (</w:t>
      </w:r>
      <w:r w:rsidR="00AD36A0" w:rsidRPr="0002434F">
        <w:t xml:space="preserve">n = </w:t>
      </w:r>
      <w:r w:rsidRPr="0002434F">
        <w:t>6) and investigator decision (</w:t>
      </w:r>
      <w:r w:rsidR="00AD36A0" w:rsidRPr="0002434F">
        <w:t xml:space="preserve">n = </w:t>
      </w:r>
      <w:r w:rsidRPr="0002434F">
        <w:t xml:space="preserve">4). In the </w:t>
      </w:r>
      <w:proofErr w:type="spellStart"/>
      <w:r w:rsidR="00C31D14" w:rsidRPr="0002434F">
        <w:t>avacopan</w:t>
      </w:r>
      <w:proofErr w:type="spellEnd"/>
      <w:r w:rsidRPr="0002434F">
        <w:t xml:space="preserve"> group, 155 participants completed </w:t>
      </w:r>
      <w:r w:rsidR="00AD36A0" w:rsidRPr="0002434F">
        <w:t>Week</w:t>
      </w:r>
      <w:r w:rsidRPr="0002434F">
        <w:t xml:space="preserve"> 26, and 151 participants completed both </w:t>
      </w:r>
      <w:r w:rsidR="00AD36A0" w:rsidRPr="0002434F">
        <w:t>Week</w:t>
      </w:r>
      <w:r w:rsidRPr="0002434F">
        <w:t xml:space="preserve"> 52 and the safety follow up at </w:t>
      </w:r>
      <w:r w:rsidR="00AD36A0" w:rsidRPr="0002434F">
        <w:t>Week 6</w:t>
      </w:r>
      <w:r w:rsidRPr="0002434F">
        <w:t>0. The most frequent reason for discontinuing study drug was adverse event (</w:t>
      </w:r>
      <w:r w:rsidR="00AD36A0" w:rsidRPr="0002434F">
        <w:t xml:space="preserve">n = </w:t>
      </w:r>
      <w:r w:rsidRPr="0002434F">
        <w:t>26) and for discontinuing from the study were withdrawal by subject (</w:t>
      </w:r>
      <w:r w:rsidR="00AD36A0" w:rsidRPr="0002434F">
        <w:t xml:space="preserve">n = </w:t>
      </w:r>
      <w:r w:rsidRPr="0002434F">
        <w:t>6), adverse event (</w:t>
      </w:r>
      <w:r w:rsidR="00AD36A0" w:rsidRPr="0002434F">
        <w:t xml:space="preserve">n = </w:t>
      </w:r>
      <w:r w:rsidRPr="0002434F">
        <w:t>3) and investigator decision (</w:t>
      </w:r>
      <w:r w:rsidR="00AD36A0" w:rsidRPr="0002434F">
        <w:t xml:space="preserve">n = </w:t>
      </w:r>
      <w:r w:rsidRPr="0002434F">
        <w:t xml:space="preserve">3). Protocol deviations affected around 18% of the total population in the 26-week analyses, these were most frequently use of an excluded medication (7.3% in the </w:t>
      </w:r>
      <w:r w:rsidR="00047A11" w:rsidRPr="0002434F">
        <w:t>prednisone</w:t>
      </w:r>
      <w:r w:rsidRPr="0002434F">
        <w:t xml:space="preserve"> group, 4.2% in the </w:t>
      </w:r>
      <w:proofErr w:type="spellStart"/>
      <w:r w:rsidR="00C31D14" w:rsidRPr="0002434F">
        <w:t>avacopan</w:t>
      </w:r>
      <w:proofErr w:type="spellEnd"/>
      <w:r w:rsidRPr="0002434F">
        <w:t xml:space="preserve"> group) and non-compliance with study medication (7.3% in the </w:t>
      </w:r>
      <w:r w:rsidR="00047A11" w:rsidRPr="0002434F">
        <w:t>prednisone</w:t>
      </w:r>
      <w:r w:rsidRPr="0002434F">
        <w:t xml:space="preserve"> group, 9.6% in the </w:t>
      </w:r>
      <w:proofErr w:type="spellStart"/>
      <w:r w:rsidR="00C31D14" w:rsidRPr="0002434F">
        <w:t>avacopan</w:t>
      </w:r>
      <w:proofErr w:type="spellEnd"/>
      <w:r w:rsidRPr="0002434F">
        <w:t xml:space="preserve"> group) and about 28% of the total population in the 52-week analyses, again predominantly use of excluded medications or non-compliance with study medications.</w:t>
      </w:r>
    </w:p>
    <w:p w14:paraId="4E146CB1" w14:textId="77777777" w:rsidR="004F0248" w:rsidRPr="0002434F" w:rsidRDefault="004F0248" w:rsidP="00241EA0">
      <w:pPr>
        <w:pStyle w:val="Heading6"/>
      </w:pPr>
      <w:r w:rsidRPr="0002434F">
        <w:t>Results</w:t>
      </w:r>
    </w:p>
    <w:p w14:paraId="45C85BBB" w14:textId="77777777" w:rsidR="007F3F71" w:rsidRPr="0002434F" w:rsidRDefault="004F0248" w:rsidP="001C2D33">
      <w:r w:rsidRPr="0002434F">
        <w:t>Baseline demographic, disease features and treatment history were comparable in the two treatment groups. The mean age at screening was 60.9 years, with approximately one third of participants aged between 51 and 64 years and between 65 and 75 years respectively, and approximately 14% aged over 75 years. There was a slight preponderance of males in the study (56.5% overall), and most participants were White (84.3%) or Asian (9.7%) race.</w:t>
      </w:r>
    </w:p>
    <w:p w14:paraId="46ACBF84" w14:textId="7783E0A6" w:rsidR="004F0248" w:rsidRPr="0002434F" w:rsidRDefault="004F0248" w:rsidP="001C2D33">
      <w:r w:rsidRPr="0002434F">
        <w:t>Approximately 70% of participants had newly diagnosed AAV, 55% were diagnosed with GPA, and 57% had tested anti-</w:t>
      </w:r>
      <w:r w:rsidR="20916530" w:rsidRPr="0002434F">
        <w:rPr>
          <w:lang w:eastAsia="ja-JP"/>
        </w:rPr>
        <w:t>myeloperoxidase</w:t>
      </w:r>
      <w:r w:rsidRPr="0002434F">
        <w:t xml:space="preserve"> positive. The median duration of AAV was 0.23</w:t>
      </w:r>
      <w:r w:rsidR="473BB42B" w:rsidRPr="0002434F">
        <w:t> </w:t>
      </w:r>
      <w:r w:rsidRPr="0002434F">
        <w:t xml:space="preserve">months, reflecting the higher proportion of newly diagnosed AAV, but maximum duration of AAV was 212.5 months in the </w:t>
      </w:r>
      <w:r w:rsidR="622F7A46" w:rsidRPr="0002434F">
        <w:t>prednisone</w:t>
      </w:r>
      <w:r w:rsidRPr="0002434F">
        <w:t xml:space="preserve"> group and 362.3 months in the </w:t>
      </w:r>
      <w:proofErr w:type="spellStart"/>
      <w:r w:rsidR="798FC2F1" w:rsidRPr="0002434F">
        <w:t>avacopan</w:t>
      </w:r>
      <w:proofErr w:type="spellEnd"/>
      <w:r w:rsidRPr="0002434F">
        <w:t xml:space="preserve"> group. Most participants satisfied the inclusion criteria of one or more major BVAS item (62.4%); and of three or more minor items (87.3%); about one third reported both proteinuria and haematuria (35.5%). The mean (SD) BVAS at </w:t>
      </w:r>
      <w:r w:rsidR="6CBA7153" w:rsidRPr="0002434F">
        <w:t>Baseline</w:t>
      </w:r>
      <w:r w:rsidRPr="0002434F">
        <w:t xml:space="preserve"> in the </w:t>
      </w:r>
      <w:r w:rsidR="622F7A46" w:rsidRPr="0002434F">
        <w:t>prednisone</w:t>
      </w:r>
      <w:r w:rsidRPr="0002434F">
        <w:t xml:space="preserve"> group was </w:t>
      </w:r>
      <w:r w:rsidR="6D58A558" w:rsidRPr="0002434F">
        <w:t>16.2 (5.69)</w:t>
      </w:r>
      <w:r w:rsidRPr="0002434F">
        <w:t xml:space="preserve">, and the median (range) score was 15.5 (5, 33). In the </w:t>
      </w:r>
      <w:proofErr w:type="spellStart"/>
      <w:r w:rsidR="798FC2F1" w:rsidRPr="0002434F">
        <w:t>avacopan</w:t>
      </w:r>
      <w:proofErr w:type="spellEnd"/>
      <w:r w:rsidRPr="0002434F">
        <w:t xml:space="preserve"> group the mean (SD) BVAS was </w:t>
      </w:r>
      <w:r w:rsidR="3BCB56FF" w:rsidRPr="0002434F">
        <w:t>16.3 (5.87)</w:t>
      </w:r>
      <w:r w:rsidRPr="0002434F">
        <w:t xml:space="preserve"> and the median (range) score was 15 (5, 37).</w:t>
      </w:r>
    </w:p>
    <w:p w14:paraId="266D9EA7" w14:textId="2C668F30" w:rsidR="007F3F71" w:rsidRPr="0002434F" w:rsidRDefault="004F0248" w:rsidP="001C2D33">
      <w:r w:rsidRPr="0002434F">
        <w:t xml:space="preserve">Most participants received concomitant treatment with </w:t>
      </w:r>
      <w:r w:rsidR="00AD7333" w:rsidRPr="0002434F">
        <w:t>rituximab</w:t>
      </w:r>
      <w:r w:rsidRPr="0002434F">
        <w:t xml:space="preserve"> (64.8%, overall), with the balance predominantly receiving concomitant treatment with </w:t>
      </w:r>
      <w:r w:rsidR="00AD36A0" w:rsidRPr="0002434F">
        <w:t>intravenous</w:t>
      </w:r>
      <w:r w:rsidRPr="0002434F">
        <w:t xml:space="preserve"> </w:t>
      </w:r>
      <w:r w:rsidR="00AD7333" w:rsidRPr="0002434F">
        <w:t>cyclophosphamide</w:t>
      </w:r>
      <w:r w:rsidRPr="0002434F">
        <w:t xml:space="preserve"> (30.9%) and only a small number receiving oral </w:t>
      </w:r>
      <w:r w:rsidR="00AD7333" w:rsidRPr="0002434F">
        <w:t>cyclophosphamide</w:t>
      </w:r>
      <w:r w:rsidRPr="0002434F">
        <w:t xml:space="preserve"> (4.2%). Glucocorticoid use during the screening period was reported for 82.3% of participants in the </w:t>
      </w:r>
      <w:r w:rsidR="00047A11" w:rsidRPr="0002434F">
        <w:t>prednisone</w:t>
      </w:r>
      <w:r w:rsidRPr="0002434F">
        <w:t xml:space="preserve"> group compared to 75.3% in the </w:t>
      </w:r>
      <w:proofErr w:type="spellStart"/>
      <w:r w:rsidR="00C31D14" w:rsidRPr="0002434F">
        <w:t>avacopan</w:t>
      </w:r>
      <w:proofErr w:type="spellEnd"/>
      <w:r w:rsidRPr="0002434F">
        <w:t xml:space="preserve"> group. Throughout the study period use of concomitant non-study supplied glucocorticoids was comparable in both treatment groups with a slightly higher use in the </w:t>
      </w:r>
      <w:r w:rsidR="00047A11" w:rsidRPr="0002434F">
        <w:t>prednisone</w:t>
      </w:r>
      <w:r w:rsidRPr="0002434F">
        <w:t xml:space="preserve"> group than in the </w:t>
      </w:r>
      <w:proofErr w:type="spellStart"/>
      <w:r w:rsidR="00C31D14" w:rsidRPr="0002434F">
        <w:t>avacopan</w:t>
      </w:r>
      <w:proofErr w:type="spellEnd"/>
      <w:r w:rsidRPr="0002434F">
        <w:t xml:space="preserve"> group at most time points, and particularly between </w:t>
      </w:r>
      <w:r w:rsidR="00AD36A0" w:rsidRPr="0002434F">
        <w:t>Day</w:t>
      </w:r>
      <w:r w:rsidRPr="0002434F">
        <w:t xml:space="preserve"> 184 (approximately 26 weeks) and the end of the treatment period.</w:t>
      </w:r>
    </w:p>
    <w:p w14:paraId="574E48D6" w14:textId="1C2303A5" w:rsidR="004F0248" w:rsidRPr="0002434F" w:rsidRDefault="004F0248" w:rsidP="001C2D33">
      <w:r w:rsidRPr="0002434F">
        <w:t>Total doses of study</w:t>
      </w:r>
      <w:r w:rsidR="00794999" w:rsidRPr="0002434F">
        <w:t xml:space="preserve"> </w:t>
      </w:r>
      <w:proofErr w:type="gramStart"/>
      <w:r w:rsidRPr="0002434F">
        <w:t>supplied</w:t>
      </w:r>
      <w:proofErr w:type="gramEnd"/>
      <w:r w:rsidRPr="0002434F">
        <w:t xml:space="preserve"> and non-study</w:t>
      </w:r>
      <w:r w:rsidR="00794999" w:rsidRPr="0002434F">
        <w:t xml:space="preserve"> </w:t>
      </w:r>
      <w:r w:rsidRPr="0002434F">
        <w:t xml:space="preserve">supplied (for worsening disease) glucocorticoids were converted to equivalent doses of prednisone to compare total exposure to glucocorticoids in </w:t>
      </w:r>
      <w:proofErr w:type="spellStart"/>
      <w:r w:rsidR="00C31D14" w:rsidRPr="0002434F">
        <w:t>avacopan</w:t>
      </w:r>
      <w:proofErr w:type="spellEnd"/>
      <w:r w:rsidRPr="0002434F">
        <w:t xml:space="preserve"> and </w:t>
      </w:r>
      <w:r w:rsidR="00047A11" w:rsidRPr="0002434F">
        <w:t>prednisone</w:t>
      </w:r>
      <w:r w:rsidRPr="0002434F">
        <w:t xml:space="preserve"> arms. Over the full length of the study (</w:t>
      </w:r>
      <w:r w:rsidR="00AD36A0" w:rsidRPr="0002434F">
        <w:t>Day</w:t>
      </w:r>
      <w:r w:rsidRPr="0002434F">
        <w:t xml:space="preserve"> 1 to end of treatment), the median (range) total prednisone-equivalent dose received in the </w:t>
      </w:r>
      <w:r w:rsidR="00047A11" w:rsidRPr="0002434F">
        <w:t>prednisone</w:t>
      </w:r>
      <w:r w:rsidRPr="0002434F">
        <w:t xml:space="preserve"> group was </w:t>
      </w:r>
      <w:r w:rsidRPr="0002434F">
        <w:lastRenderedPageBreak/>
        <w:t>2939.4 (760, 12033) mg (mean</w:t>
      </w:r>
      <w:r w:rsidR="00794999" w:rsidRPr="0002434F">
        <w:t xml:space="preserve"> </w:t>
      </w:r>
      <w:r w:rsidR="003527B0" w:rsidRPr="0002434F">
        <w:t>±</w:t>
      </w:r>
      <w:r w:rsidR="00794999" w:rsidRPr="0002434F">
        <w:t xml:space="preserve"> </w:t>
      </w:r>
      <w:r w:rsidRPr="0002434F">
        <w:t>SD, 3654.5</w:t>
      </w:r>
      <w:r w:rsidR="00794999" w:rsidRPr="0002434F">
        <w:t xml:space="preserve"> </w:t>
      </w:r>
      <w:r w:rsidR="003527B0" w:rsidRPr="0002434F">
        <w:t>±</w:t>
      </w:r>
      <w:r w:rsidR="00794999" w:rsidRPr="0002434F">
        <w:t xml:space="preserve"> </w:t>
      </w:r>
      <w:r w:rsidRPr="0002434F">
        <w:t>1709.83 mg) to which non-study supplied prednisone</w:t>
      </w:r>
      <w:r w:rsidR="00794999" w:rsidRPr="0002434F">
        <w:t xml:space="preserve"> </w:t>
      </w:r>
      <w:r w:rsidRPr="0002434F">
        <w:t>equivalent dose contributed a median 482.5 (0, 8488) mg (mean</w:t>
      </w:r>
      <w:r w:rsidR="00794999" w:rsidRPr="0002434F">
        <w:t xml:space="preserve"> </w:t>
      </w:r>
      <w:r w:rsidR="003527B0" w:rsidRPr="0002434F">
        <w:t>±</w:t>
      </w:r>
      <w:r w:rsidR="00794999" w:rsidRPr="0002434F">
        <w:t xml:space="preserve"> </w:t>
      </w:r>
      <w:r w:rsidRPr="0002434F">
        <w:t>SD, 1265.3</w:t>
      </w:r>
      <w:r w:rsidR="00794999" w:rsidRPr="0002434F">
        <w:t xml:space="preserve"> </w:t>
      </w:r>
      <w:r w:rsidR="003527B0" w:rsidRPr="0002434F">
        <w:t>±</w:t>
      </w:r>
      <w:r w:rsidR="00794999" w:rsidRPr="0002434F">
        <w:t xml:space="preserve"> </w:t>
      </w:r>
      <w:r w:rsidRPr="0002434F">
        <w:t xml:space="preserve">1650.64 mg). In the </w:t>
      </w:r>
      <w:proofErr w:type="spellStart"/>
      <w:r w:rsidR="00C31D14" w:rsidRPr="0002434F">
        <w:t>avacopan</w:t>
      </w:r>
      <w:proofErr w:type="spellEnd"/>
      <w:r w:rsidRPr="0002434F">
        <w:t xml:space="preserve"> group the median prednisone</w:t>
      </w:r>
      <w:r w:rsidR="00794999" w:rsidRPr="0002434F">
        <w:t xml:space="preserve"> </w:t>
      </w:r>
      <w:r w:rsidRPr="0002434F">
        <w:t>equivalent dose for the full study period was 400 (0,</w:t>
      </w:r>
      <w:r w:rsidR="00794999" w:rsidRPr="0002434F">
        <w:t> </w:t>
      </w:r>
      <w:r w:rsidRPr="0002434F">
        <w:t>9612) mg (mean</w:t>
      </w:r>
      <w:r w:rsidR="00794999" w:rsidRPr="0002434F">
        <w:t xml:space="preserve"> </w:t>
      </w:r>
      <w:r w:rsidR="003527B0" w:rsidRPr="0002434F">
        <w:t>±</w:t>
      </w:r>
      <w:r w:rsidR="00794999" w:rsidRPr="0002434F">
        <w:t xml:space="preserve"> </w:t>
      </w:r>
      <w:r w:rsidRPr="0002434F">
        <w:t>SD, 1348.9</w:t>
      </w:r>
      <w:r w:rsidR="00794999" w:rsidRPr="0002434F">
        <w:t xml:space="preserve"> </w:t>
      </w:r>
      <w:r w:rsidR="003527B0" w:rsidRPr="0002434F">
        <w:t>±</w:t>
      </w:r>
      <w:r w:rsidR="00794999" w:rsidRPr="0002434F">
        <w:t xml:space="preserve"> </w:t>
      </w:r>
      <w:r w:rsidRPr="0002434F">
        <w:t xml:space="preserve">2040.29 mg). Not surprisingly owing to the study design, most glucocorticoid use occurred in the first 26 weeks of the trial. From </w:t>
      </w:r>
      <w:r w:rsidR="00AD36A0" w:rsidRPr="0002434F">
        <w:t>Day</w:t>
      </w:r>
      <w:r w:rsidRPr="0002434F">
        <w:t xml:space="preserve"> 1 to </w:t>
      </w:r>
      <w:r w:rsidR="00AD36A0" w:rsidRPr="0002434F">
        <w:t>Day</w:t>
      </w:r>
      <w:r w:rsidRPr="0002434F">
        <w:t xml:space="preserve"> 184 the median (range) total prednisone-equivalent dose received in the </w:t>
      </w:r>
      <w:r w:rsidR="00047A11" w:rsidRPr="0002434F">
        <w:t>prednisone</w:t>
      </w:r>
      <w:r w:rsidRPr="0002434F">
        <w:t xml:space="preserve"> group was 2846.9 (760,</w:t>
      </w:r>
      <w:r w:rsidR="00794999" w:rsidRPr="0002434F">
        <w:t> </w:t>
      </w:r>
      <w:r w:rsidRPr="0002434F">
        <w:t>10465) mg (mean</w:t>
      </w:r>
      <w:r w:rsidR="00794999" w:rsidRPr="0002434F">
        <w:t xml:space="preserve"> </w:t>
      </w:r>
      <w:r w:rsidR="003527B0" w:rsidRPr="0002434F">
        <w:t>±</w:t>
      </w:r>
      <w:r w:rsidR="00794999" w:rsidRPr="0002434F">
        <w:t xml:space="preserve"> </w:t>
      </w:r>
      <w:r w:rsidRPr="0002434F">
        <w:t>SD, 3192.5</w:t>
      </w:r>
      <w:r w:rsidR="00794999" w:rsidRPr="0002434F">
        <w:t xml:space="preserve"> </w:t>
      </w:r>
      <w:r w:rsidR="003527B0" w:rsidRPr="0002434F">
        <w:t>±</w:t>
      </w:r>
      <w:r w:rsidR="00794999" w:rsidRPr="0002434F">
        <w:t xml:space="preserve"> </w:t>
      </w:r>
      <w:r w:rsidRPr="0002434F">
        <w:t>1173.76 mg), of which non-study supplied glucocorticoid treatment contributed 400 (0, 6098) mg of prednisone-equivalent dose (mean</w:t>
      </w:r>
      <w:r w:rsidR="00794999" w:rsidRPr="0002434F">
        <w:t xml:space="preserve"> </w:t>
      </w:r>
      <w:r w:rsidR="003527B0" w:rsidRPr="0002434F">
        <w:t>±</w:t>
      </w:r>
      <w:r w:rsidR="00794999" w:rsidRPr="0002434F">
        <w:t xml:space="preserve"> </w:t>
      </w:r>
      <w:r w:rsidRPr="0002434F">
        <w:t>SD, 803.3</w:t>
      </w:r>
      <w:r w:rsidR="00794999" w:rsidRPr="0002434F">
        <w:t xml:space="preserve"> </w:t>
      </w:r>
      <w:r w:rsidR="003527B0" w:rsidRPr="0002434F">
        <w:t>±</w:t>
      </w:r>
      <w:r w:rsidR="00794999" w:rsidRPr="0002434F">
        <w:t xml:space="preserve"> </w:t>
      </w:r>
      <w:r w:rsidRPr="0002434F">
        <w:t xml:space="preserve">1082.64 mg). In the </w:t>
      </w:r>
      <w:proofErr w:type="spellStart"/>
      <w:r w:rsidR="00C31D14" w:rsidRPr="0002434F">
        <w:t>avacopan</w:t>
      </w:r>
      <w:proofErr w:type="spellEnd"/>
      <w:r w:rsidRPr="0002434F">
        <w:t xml:space="preserve"> group, all glucocorticoid use was for worsening disease, with a median (range) total dose of 400 (0, 8555) mg (mean</w:t>
      </w:r>
      <w:r w:rsidR="00794999" w:rsidRPr="0002434F">
        <w:t xml:space="preserve"> </w:t>
      </w:r>
      <w:r w:rsidR="003527B0" w:rsidRPr="0002434F">
        <w:t>±</w:t>
      </w:r>
      <w:r w:rsidR="00794999" w:rsidRPr="0002434F">
        <w:t xml:space="preserve"> </w:t>
      </w:r>
      <w:r w:rsidRPr="0002434F">
        <w:t>SD, 1072.9</w:t>
      </w:r>
      <w:r w:rsidR="00794999" w:rsidRPr="0002434F">
        <w:t xml:space="preserve"> </w:t>
      </w:r>
      <w:r w:rsidR="003527B0" w:rsidRPr="0002434F">
        <w:t>±</w:t>
      </w:r>
      <w:r w:rsidR="00794999" w:rsidRPr="0002434F">
        <w:t xml:space="preserve"> </w:t>
      </w:r>
      <w:r w:rsidRPr="0002434F">
        <w:t>1668.51 mg).</w:t>
      </w:r>
    </w:p>
    <w:p w14:paraId="0F0F82FF" w14:textId="1AA5D351" w:rsidR="007F3F71" w:rsidRPr="0002434F" w:rsidRDefault="004F0248" w:rsidP="001C2D33">
      <w:r w:rsidRPr="0002434F">
        <w:t xml:space="preserve">In the </w:t>
      </w:r>
      <w:proofErr w:type="spellStart"/>
      <w:r w:rsidR="00C31D14" w:rsidRPr="0002434F">
        <w:t>avacopan</w:t>
      </w:r>
      <w:proofErr w:type="spellEnd"/>
      <w:r w:rsidRPr="0002434F">
        <w:t xml:space="preserve"> group, 120</w:t>
      </w:r>
      <w:r w:rsidR="00794999" w:rsidRPr="0002434F">
        <w:t xml:space="preserve"> of </w:t>
      </w:r>
      <w:r w:rsidRPr="0002434F">
        <w:t xml:space="preserve">166 participants (72.3%) achieved remission at </w:t>
      </w:r>
      <w:r w:rsidR="00AD36A0" w:rsidRPr="0002434F">
        <w:t>Week</w:t>
      </w:r>
      <w:r w:rsidRPr="0002434F">
        <w:t xml:space="preserve"> 26 of the study, compared to 115</w:t>
      </w:r>
      <w:r w:rsidR="00794999" w:rsidRPr="0002434F">
        <w:t xml:space="preserve"> of </w:t>
      </w:r>
      <w:r w:rsidRPr="0002434F">
        <w:t xml:space="preserve">164 participants (70.1%) in the </w:t>
      </w:r>
      <w:r w:rsidR="00047A11" w:rsidRPr="0002434F">
        <w:t>prednisone</w:t>
      </w:r>
      <w:r w:rsidRPr="0002434F">
        <w:t xml:space="preserve"> treatment group, confirming that statistically, </w:t>
      </w:r>
      <w:proofErr w:type="spellStart"/>
      <w:r w:rsidR="00C31D14" w:rsidRPr="0002434F">
        <w:t>avacopan</w:t>
      </w:r>
      <w:proofErr w:type="spellEnd"/>
      <w:r w:rsidRPr="0002434F">
        <w:t xml:space="preserve"> was non-inferior to weaning </w:t>
      </w:r>
      <w:r w:rsidR="00047A11" w:rsidRPr="0002434F">
        <w:t>prednisone</w:t>
      </w:r>
      <w:r w:rsidRPr="0002434F">
        <w:t xml:space="preserve"> in inducing remission by 26</w:t>
      </w:r>
      <w:r w:rsidR="00794999" w:rsidRPr="0002434F">
        <w:t> </w:t>
      </w:r>
      <w:r w:rsidRPr="0002434F">
        <w:t>weeks (</w:t>
      </w:r>
      <w:r w:rsidR="00794999" w:rsidRPr="0002434F">
        <w:t xml:space="preserve">see </w:t>
      </w:r>
      <w:r w:rsidRPr="0002434F">
        <w:fldChar w:fldCharType="begin"/>
      </w:r>
      <w:r w:rsidRPr="0002434F">
        <w:instrText xml:space="preserve"> REF _Ref117785213 \h </w:instrText>
      </w:r>
      <w:r w:rsidR="001C2D33" w:rsidRPr="0002434F">
        <w:instrText xml:space="preserve"> \* MERGEFORMAT </w:instrText>
      </w:r>
      <w:r w:rsidRPr="0002434F">
        <w:fldChar w:fldCharType="separate"/>
      </w:r>
      <w:r w:rsidR="0002434F" w:rsidRPr="0002434F">
        <w:t xml:space="preserve">Table </w:t>
      </w:r>
      <w:r w:rsidR="0002434F">
        <w:t>3</w:t>
      </w:r>
      <w:r w:rsidRPr="0002434F">
        <w:fldChar w:fldCharType="end"/>
      </w:r>
      <w:r w:rsidR="00794999" w:rsidRPr="0002434F">
        <w:t xml:space="preserve"> below</w:t>
      </w:r>
      <w:r w:rsidRPr="0002434F">
        <w:t>).</w:t>
      </w:r>
    </w:p>
    <w:p w14:paraId="35B88402" w14:textId="25A170AC" w:rsidR="004F0248" w:rsidRPr="0002434F" w:rsidRDefault="004F0248" w:rsidP="009148AF">
      <w:pPr>
        <w:pStyle w:val="TableTitle"/>
      </w:pPr>
      <w:bookmarkStart w:id="52" w:name="_Ref117785213"/>
      <w:r w:rsidRPr="0002434F">
        <w:t xml:space="preserve">Table </w:t>
      </w:r>
      <w:r w:rsidRPr="0002434F">
        <w:fldChar w:fldCharType="begin"/>
      </w:r>
      <w:r w:rsidRPr="0002434F">
        <w:instrText>SEQ Table \* ARABIC</w:instrText>
      </w:r>
      <w:r w:rsidRPr="0002434F">
        <w:fldChar w:fldCharType="separate"/>
      </w:r>
      <w:r w:rsidR="0002434F">
        <w:rPr>
          <w:noProof/>
        </w:rPr>
        <w:t>3</w:t>
      </w:r>
      <w:r w:rsidRPr="0002434F">
        <w:fldChar w:fldCharType="end"/>
      </w:r>
      <w:bookmarkEnd w:id="52"/>
      <w:r w:rsidRPr="0002434F">
        <w:t xml:space="preserve">: </w:t>
      </w:r>
      <w:r w:rsidR="002A077D" w:rsidRPr="0002434F">
        <w:t xml:space="preserve">Study </w:t>
      </w:r>
      <w:r w:rsidRPr="0002434F">
        <w:t>CL010_168 Disease remission at 26 weeks</w:t>
      </w:r>
      <w:r w:rsidR="009148AF" w:rsidRPr="0002434F">
        <w:t xml:space="preserve"> (intent-to-treat populations)</w:t>
      </w:r>
    </w:p>
    <w:p w14:paraId="5D51AC5F" w14:textId="22EE36F8" w:rsidR="009148AF" w:rsidRPr="0002434F" w:rsidRDefault="009148AF" w:rsidP="009148AF">
      <w:r w:rsidRPr="0002434F">
        <w:rPr>
          <w:noProof/>
        </w:rPr>
        <w:drawing>
          <wp:inline distT="0" distB="0" distL="0" distR="0" wp14:anchorId="27BF86E3" wp14:editId="79DDE54F">
            <wp:extent cx="5759450" cy="1174750"/>
            <wp:effectExtent l="0" t="0" r="0" b="6350"/>
            <wp:docPr id="14" name="Picture 14" descr="Table 3: Study CL010_168 Disease remission at 26 weeks (intent-to-treat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 3: Study CL010_168 Disease remission at 26 weeks (intent-to-treat populations)"/>
                    <pic:cNvPicPr/>
                  </pic:nvPicPr>
                  <pic:blipFill>
                    <a:blip r:embed="rId32"/>
                    <a:stretch>
                      <a:fillRect/>
                    </a:stretch>
                  </pic:blipFill>
                  <pic:spPr>
                    <a:xfrm>
                      <a:off x="0" y="0"/>
                      <a:ext cx="5759450" cy="1174750"/>
                    </a:xfrm>
                    <a:prstGeom prst="rect">
                      <a:avLst/>
                    </a:prstGeom>
                  </pic:spPr>
                </pic:pic>
              </a:graphicData>
            </a:graphic>
          </wp:inline>
        </w:drawing>
      </w:r>
    </w:p>
    <w:p w14:paraId="3F9407F7" w14:textId="1791DE6D" w:rsidR="009148AF" w:rsidRPr="0002434F" w:rsidRDefault="009148AF" w:rsidP="009148AF">
      <w:pPr>
        <w:pStyle w:val="TableDescription"/>
      </w:pPr>
      <w:r w:rsidRPr="0002434F">
        <w:t>Abbreviations: CI = confidence interval; N = number of subjects in the analysis population for the treatment group; n = number of subjects with disease remission.</w:t>
      </w:r>
    </w:p>
    <w:p w14:paraId="46114DE0" w14:textId="77777777" w:rsidR="009148AF" w:rsidRPr="0002434F" w:rsidRDefault="009148AF" w:rsidP="009148AF">
      <w:pPr>
        <w:pStyle w:val="TableDescription"/>
      </w:pPr>
      <w:r w:rsidRPr="0002434F">
        <w:t>a Clopper and Pearson exact CI</w:t>
      </w:r>
    </w:p>
    <w:p w14:paraId="1CCF11CF" w14:textId="469CE1BE" w:rsidR="009148AF" w:rsidRPr="0002434F" w:rsidRDefault="009148AF" w:rsidP="009148AF">
      <w:pPr>
        <w:pStyle w:val="TableDescription"/>
      </w:pPr>
      <w:r w:rsidRPr="0002434F">
        <w:t>b Summary score estimate of the common difference in remission rates (</w:t>
      </w:r>
      <w:proofErr w:type="spellStart"/>
      <w:r w:rsidRPr="0002434F">
        <w:t>Agresti</w:t>
      </w:r>
      <w:proofErr w:type="spellEnd"/>
      <w:r w:rsidRPr="0002434F">
        <w:t xml:space="preserve"> 2013)</w:t>
      </w:r>
      <w:bookmarkStart w:id="53" w:name="_Ref144904284"/>
      <w:r w:rsidRPr="0002434F">
        <w:rPr>
          <w:rStyle w:val="FootnoteReference"/>
        </w:rPr>
        <w:footnoteReference w:id="17"/>
      </w:r>
      <w:bookmarkEnd w:id="53"/>
      <w:r w:rsidRPr="0002434F">
        <w:t xml:space="preserve"> using inverse-variance stratum weights</w:t>
      </w:r>
    </w:p>
    <w:p w14:paraId="02AD0E95" w14:textId="5A8ACD47" w:rsidR="004F0248" w:rsidRPr="0002434F" w:rsidRDefault="009148AF" w:rsidP="009148AF">
      <w:pPr>
        <w:pStyle w:val="TableDescription"/>
      </w:pPr>
      <w:r w:rsidRPr="0002434F">
        <w:t>c Miettinen-</w:t>
      </w:r>
      <w:proofErr w:type="spellStart"/>
      <w:r w:rsidRPr="0002434F">
        <w:t>Nurminen</w:t>
      </w:r>
      <w:proofErr w:type="spellEnd"/>
      <w:r w:rsidRPr="0002434F">
        <w:t xml:space="preserve"> (score) confidence limits for the common difference in remission rates</w:t>
      </w:r>
    </w:p>
    <w:p w14:paraId="4415130A" w14:textId="632083AE" w:rsidR="004F0248" w:rsidRPr="0002434F" w:rsidRDefault="004F0248" w:rsidP="001C2D33">
      <w:r w:rsidRPr="0002434F">
        <w:t xml:space="preserve">Results were comparable in </w:t>
      </w:r>
      <w:proofErr w:type="spellStart"/>
      <w:r w:rsidR="00C31D14" w:rsidRPr="0002434F">
        <w:t>avacopan</w:t>
      </w:r>
      <w:proofErr w:type="spellEnd"/>
      <w:r w:rsidRPr="0002434F">
        <w:t xml:space="preserve"> and </w:t>
      </w:r>
      <w:r w:rsidR="00047A11" w:rsidRPr="0002434F">
        <w:t>prednisone</w:t>
      </w:r>
      <w:r w:rsidRPr="0002434F">
        <w:t xml:space="preserve"> treatment groups in all pre-defined subgroups. Specifically, there was no difference in the response rates to AAV and </w:t>
      </w:r>
      <w:r w:rsidR="00047A11" w:rsidRPr="0002434F">
        <w:t>prednisone</w:t>
      </w:r>
      <w:r w:rsidRPr="0002434F">
        <w:t xml:space="preserve"> irrespective if BVAS at </w:t>
      </w:r>
      <w:r w:rsidR="00241EA0" w:rsidRPr="0002434F">
        <w:t>Baseline</w:t>
      </w:r>
      <w:r w:rsidRPr="0002434F">
        <w:t xml:space="preserve"> was &lt; 15 or ≥ 15.</w:t>
      </w:r>
    </w:p>
    <w:p w14:paraId="77884737" w14:textId="10BEA41D" w:rsidR="004F0248" w:rsidRPr="0002434F" w:rsidRDefault="14C36E39" w:rsidP="001C2D33">
      <w:r w:rsidRPr="0002434F">
        <w:t>Similarly, 109</w:t>
      </w:r>
      <w:r w:rsidR="78D67ED3" w:rsidRPr="0002434F">
        <w:t xml:space="preserve"> of </w:t>
      </w:r>
      <w:r w:rsidRPr="0002434F">
        <w:t xml:space="preserve">166 participants in the </w:t>
      </w:r>
      <w:proofErr w:type="spellStart"/>
      <w:r w:rsidR="71CFDEF0" w:rsidRPr="0002434F">
        <w:t>avacopan</w:t>
      </w:r>
      <w:proofErr w:type="spellEnd"/>
      <w:r w:rsidRPr="0002434F">
        <w:t xml:space="preserve"> group (65.7%) sustained remission at </w:t>
      </w:r>
      <w:r w:rsidR="12FB6F76" w:rsidRPr="0002434F">
        <w:t>Week</w:t>
      </w:r>
      <w:r w:rsidR="78D67ED3" w:rsidRPr="0002434F">
        <w:t> </w:t>
      </w:r>
      <w:r w:rsidRPr="0002434F">
        <w:t>52 compared to 90</w:t>
      </w:r>
      <w:r w:rsidR="78D67ED3" w:rsidRPr="0002434F">
        <w:t xml:space="preserve"> of </w:t>
      </w:r>
      <w:r w:rsidRPr="0002434F">
        <w:t xml:space="preserve">164 (54.9%) participants in the </w:t>
      </w:r>
      <w:r w:rsidR="75588F11" w:rsidRPr="0002434F">
        <w:t>prednisone</w:t>
      </w:r>
      <w:r w:rsidRPr="0002434F">
        <w:t xml:space="preserve"> group, confirming statistical </w:t>
      </w:r>
      <w:r w:rsidR="0098057D" w:rsidRPr="0002434F">
        <w:t xml:space="preserve">superiority of </w:t>
      </w:r>
      <w:proofErr w:type="spellStart"/>
      <w:r w:rsidR="0098057D" w:rsidRPr="0002434F">
        <w:t>avacopan</w:t>
      </w:r>
      <w:proofErr w:type="spellEnd"/>
      <w:r w:rsidR="0098057D" w:rsidRPr="0002434F">
        <w:t xml:space="preserve"> </w:t>
      </w:r>
      <w:r w:rsidRPr="0002434F">
        <w:t xml:space="preserve">to weaning </w:t>
      </w:r>
      <w:r w:rsidR="75588F11" w:rsidRPr="0002434F">
        <w:t>prednisone</w:t>
      </w:r>
      <w:r w:rsidRPr="0002434F">
        <w:t xml:space="preserve"> in maintaining remission at 52 weeks (</w:t>
      </w:r>
      <w:r w:rsidR="78D67ED3" w:rsidRPr="0002434F">
        <w:t xml:space="preserve">see </w:t>
      </w:r>
      <w:r w:rsidRPr="0002434F">
        <w:fldChar w:fldCharType="begin"/>
      </w:r>
      <w:r w:rsidRPr="0002434F">
        <w:instrText xml:space="preserve"> REF _Ref117785529 \h  \* MERGEFORMAT </w:instrText>
      </w:r>
      <w:r w:rsidRPr="0002434F">
        <w:fldChar w:fldCharType="separate"/>
      </w:r>
      <w:r w:rsidR="0002434F" w:rsidRPr="0002434F">
        <w:t xml:space="preserve">Table </w:t>
      </w:r>
      <w:r w:rsidR="0002434F">
        <w:t>4</w:t>
      </w:r>
      <w:r w:rsidRPr="0002434F">
        <w:fldChar w:fldCharType="end"/>
      </w:r>
      <w:r w:rsidR="78D67ED3" w:rsidRPr="0002434F">
        <w:t xml:space="preserve"> below</w:t>
      </w:r>
      <w:r w:rsidRPr="0002434F">
        <w:t>).</w:t>
      </w:r>
    </w:p>
    <w:p w14:paraId="1753C128" w14:textId="4FD73C94" w:rsidR="007F3F71" w:rsidRPr="0002434F" w:rsidRDefault="004F0248" w:rsidP="009148AF">
      <w:pPr>
        <w:pStyle w:val="TableTitle"/>
      </w:pPr>
      <w:bookmarkStart w:id="54" w:name="_Ref117785529"/>
      <w:r w:rsidRPr="0002434F">
        <w:t xml:space="preserve">Table </w:t>
      </w:r>
      <w:r w:rsidRPr="0002434F">
        <w:fldChar w:fldCharType="begin"/>
      </w:r>
      <w:r w:rsidRPr="0002434F">
        <w:instrText>SEQ Table \* ARABIC</w:instrText>
      </w:r>
      <w:r w:rsidRPr="0002434F">
        <w:fldChar w:fldCharType="separate"/>
      </w:r>
      <w:r w:rsidR="0002434F">
        <w:rPr>
          <w:noProof/>
        </w:rPr>
        <w:t>4</w:t>
      </w:r>
      <w:r w:rsidRPr="0002434F">
        <w:fldChar w:fldCharType="end"/>
      </w:r>
      <w:bookmarkEnd w:id="54"/>
      <w:r w:rsidRPr="0002434F">
        <w:t xml:space="preserve">: </w:t>
      </w:r>
      <w:r w:rsidR="002A077D" w:rsidRPr="0002434F">
        <w:t xml:space="preserve">Study </w:t>
      </w:r>
      <w:r w:rsidRPr="0002434F">
        <w:t>CL010_168 Maintenance of remission at 52 weeks</w:t>
      </w:r>
    </w:p>
    <w:p w14:paraId="2EB64B62" w14:textId="393F90F5" w:rsidR="009148AF" w:rsidRPr="0002434F" w:rsidRDefault="009148AF" w:rsidP="009148AF">
      <w:r w:rsidRPr="0002434F">
        <w:rPr>
          <w:noProof/>
        </w:rPr>
        <w:drawing>
          <wp:inline distT="0" distB="0" distL="0" distR="0" wp14:anchorId="52609C82" wp14:editId="6D517396">
            <wp:extent cx="5759450" cy="1174115"/>
            <wp:effectExtent l="0" t="0" r="0" b="6985"/>
            <wp:docPr id="16" name="Picture 16" descr="Table 4: Study CL010_168 Maintenance of remission at 5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 4: Study CL010_168 Maintenance of remission at 52 weeks"/>
                    <pic:cNvPicPr/>
                  </pic:nvPicPr>
                  <pic:blipFill>
                    <a:blip r:embed="rId33"/>
                    <a:stretch>
                      <a:fillRect/>
                    </a:stretch>
                  </pic:blipFill>
                  <pic:spPr>
                    <a:xfrm>
                      <a:off x="0" y="0"/>
                      <a:ext cx="5759450" cy="1174115"/>
                    </a:xfrm>
                    <a:prstGeom prst="rect">
                      <a:avLst/>
                    </a:prstGeom>
                  </pic:spPr>
                </pic:pic>
              </a:graphicData>
            </a:graphic>
          </wp:inline>
        </w:drawing>
      </w:r>
    </w:p>
    <w:p w14:paraId="5268C4B9" w14:textId="5D9DA962" w:rsidR="009148AF" w:rsidRPr="0002434F" w:rsidRDefault="009148AF" w:rsidP="009148AF">
      <w:pPr>
        <w:pStyle w:val="TableDescription"/>
      </w:pPr>
      <w:r w:rsidRPr="0002434F">
        <w:t>Abbreviations: CI = confidence interval; N = number of subjects in the analysis population for the specified treatment group; n</w:t>
      </w:r>
      <w:r w:rsidR="00D95B81" w:rsidRPr="0002434F">
        <w:t xml:space="preserve"> </w:t>
      </w:r>
      <w:r w:rsidRPr="0002434F">
        <w:t>=</w:t>
      </w:r>
      <w:r w:rsidR="00D95B81" w:rsidRPr="0002434F">
        <w:t xml:space="preserve"> </w:t>
      </w:r>
      <w:r w:rsidRPr="0002434F">
        <w:t>number of subjects with sustained disease remission</w:t>
      </w:r>
    </w:p>
    <w:p w14:paraId="184FDB0E" w14:textId="77777777" w:rsidR="009148AF" w:rsidRPr="0002434F" w:rsidRDefault="009148AF" w:rsidP="009148AF">
      <w:pPr>
        <w:pStyle w:val="TableDescription"/>
      </w:pPr>
      <w:r w:rsidRPr="0002434F">
        <w:lastRenderedPageBreak/>
        <w:t>a Clopper and Pearson exact CI</w:t>
      </w:r>
    </w:p>
    <w:p w14:paraId="13D0221B" w14:textId="37033932" w:rsidR="009148AF" w:rsidRPr="0002434F" w:rsidRDefault="009148AF" w:rsidP="009148AF">
      <w:pPr>
        <w:pStyle w:val="TableDescription"/>
      </w:pPr>
      <w:r w:rsidRPr="0002434F">
        <w:t>b Summary score estimate of the common difference in remission rates (</w:t>
      </w:r>
      <w:proofErr w:type="spellStart"/>
      <w:r w:rsidRPr="0002434F">
        <w:t>Agresti</w:t>
      </w:r>
      <w:proofErr w:type="spellEnd"/>
      <w:r w:rsidRPr="0002434F">
        <w:t xml:space="preserve"> 2013)</w:t>
      </w:r>
      <w:r w:rsidRPr="0002434F">
        <w:rPr>
          <w:vertAlign w:val="superscript"/>
        </w:rPr>
        <w:fldChar w:fldCharType="begin"/>
      </w:r>
      <w:r w:rsidRPr="0002434F">
        <w:rPr>
          <w:vertAlign w:val="superscript"/>
        </w:rPr>
        <w:instrText xml:space="preserve"> NOTEREF _Ref144904284 \h  \* MERGEFORMAT </w:instrText>
      </w:r>
      <w:r w:rsidRPr="0002434F">
        <w:rPr>
          <w:vertAlign w:val="superscript"/>
        </w:rPr>
      </w:r>
      <w:r w:rsidRPr="0002434F">
        <w:rPr>
          <w:vertAlign w:val="superscript"/>
        </w:rPr>
        <w:fldChar w:fldCharType="separate"/>
      </w:r>
      <w:r w:rsidR="0002434F">
        <w:rPr>
          <w:vertAlign w:val="superscript"/>
        </w:rPr>
        <w:t>16</w:t>
      </w:r>
      <w:r w:rsidRPr="0002434F">
        <w:rPr>
          <w:vertAlign w:val="superscript"/>
        </w:rPr>
        <w:fldChar w:fldCharType="end"/>
      </w:r>
      <w:r w:rsidRPr="0002434F">
        <w:t xml:space="preserve"> by using inverse-variance stratum weights</w:t>
      </w:r>
    </w:p>
    <w:p w14:paraId="32B924F9" w14:textId="77777777" w:rsidR="009148AF" w:rsidRPr="0002434F" w:rsidRDefault="009148AF" w:rsidP="009148AF">
      <w:pPr>
        <w:pStyle w:val="TableDescription"/>
      </w:pPr>
      <w:r w:rsidRPr="0002434F">
        <w:t>c Miettinen-</w:t>
      </w:r>
      <w:proofErr w:type="spellStart"/>
      <w:r w:rsidRPr="0002434F">
        <w:t>Nurminen</w:t>
      </w:r>
      <w:proofErr w:type="spellEnd"/>
      <w:r w:rsidRPr="0002434F">
        <w:t xml:space="preserve"> (score) confidence limits for the common difference in remission rates</w:t>
      </w:r>
    </w:p>
    <w:p w14:paraId="55381484" w14:textId="38CB76CB" w:rsidR="004F0248" w:rsidRPr="0002434F" w:rsidRDefault="004F0248" w:rsidP="001C2D33">
      <w:r w:rsidRPr="0002434F">
        <w:t xml:space="preserve">Most of the additional secondary efficacy outcomes were nominally supportive of the primary and key secondary outcomes. There was no indication that </w:t>
      </w:r>
      <w:proofErr w:type="spellStart"/>
      <w:r w:rsidR="00C31D14" w:rsidRPr="0002434F">
        <w:t>avacopan</w:t>
      </w:r>
      <w:proofErr w:type="spellEnd"/>
      <w:r w:rsidRPr="0002434F">
        <w:t xml:space="preserve"> had a more rapid effect on inducing remission than prednisolone. BVAS of 0 at Week 4 was observed in 68.9% of participants in the </w:t>
      </w:r>
      <w:r w:rsidR="00047A11" w:rsidRPr="0002434F">
        <w:t>prednisone</w:t>
      </w:r>
      <w:r w:rsidRPr="0002434F">
        <w:t xml:space="preserve"> group and 62.7% in the </w:t>
      </w:r>
      <w:proofErr w:type="spellStart"/>
      <w:r w:rsidR="00C31D14" w:rsidRPr="0002434F">
        <w:t>avacopan</w:t>
      </w:r>
      <w:proofErr w:type="spellEnd"/>
      <w:r w:rsidRPr="0002434F">
        <w:t xml:space="preserve"> group.</w:t>
      </w:r>
    </w:p>
    <w:p w14:paraId="6377EFD5" w14:textId="3CF93809" w:rsidR="004F0248" w:rsidRPr="0002434F" w:rsidRDefault="004F0248" w:rsidP="001C2D33">
      <w:r w:rsidRPr="0002434F">
        <w:t xml:space="preserve">At both </w:t>
      </w:r>
      <w:r w:rsidR="00AD36A0" w:rsidRPr="0002434F">
        <w:t>Week</w:t>
      </w:r>
      <w:r w:rsidRPr="0002434F">
        <w:t>s 13 and 26, the GTI-</w:t>
      </w:r>
      <w:r w:rsidR="002752E2" w:rsidRPr="0002434F">
        <w:t xml:space="preserve">cumulative worsening score </w:t>
      </w:r>
      <w:r w:rsidRPr="0002434F">
        <w:t xml:space="preserve">indicated fewer glucocorticoid related toxicity symptoms (including high mean </w:t>
      </w:r>
      <w:r w:rsidR="002752E2" w:rsidRPr="0002434F">
        <w:t>body mass index</w:t>
      </w:r>
      <w:r w:rsidRPr="0002434F">
        <w:t xml:space="preserve">, glucose intolerance, lipid elevations, steroid myopathy, skin toxicity, neuropsychiatric </w:t>
      </w:r>
      <w:proofErr w:type="gramStart"/>
      <w:r w:rsidRPr="0002434F">
        <w:t>toxicity</w:t>
      </w:r>
      <w:proofErr w:type="gramEnd"/>
      <w:r w:rsidRPr="0002434F">
        <w:t xml:space="preserve"> and infection) in the </w:t>
      </w:r>
      <w:proofErr w:type="spellStart"/>
      <w:r w:rsidR="00C31D14" w:rsidRPr="0002434F">
        <w:t>avacopan</w:t>
      </w:r>
      <w:proofErr w:type="spellEnd"/>
      <w:r w:rsidRPr="0002434F">
        <w:t xml:space="preserve"> group compared to the </w:t>
      </w:r>
      <w:r w:rsidR="00047A11" w:rsidRPr="0002434F">
        <w:t>prednisone</w:t>
      </w:r>
      <w:r w:rsidRPr="0002434F">
        <w:t xml:space="preserve"> group. The least square mean of the GTI-</w:t>
      </w:r>
      <w:r w:rsidR="002752E2" w:rsidRPr="0002434F">
        <w:t xml:space="preserve">aggregate improvement score </w:t>
      </w:r>
      <w:r w:rsidRPr="0002434F">
        <w:t xml:space="preserve">at </w:t>
      </w:r>
      <w:r w:rsidR="00AD36A0" w:rsidRPr="0002434F">
        <w:t xml:space="preserve">Week </w:t>
      </w:r>
      <w:r w:rsidRPr="0002434F">
        <w:t xml:space="preserve">13 was 23.2 in the </w:t>
      </w:r>
      <w:r w:rsidR="00047A11" w:rsidRPr="0002434F">
        <w:t>prednisone</w:t>
      </w:r>
      <w:r w:rsidRPr="0002434F">
        <w:t xml:space="preserve"> group compared to 9.9 in the </w:t>
      </w:r>
      <w:proofErr w:type="spellStart"/>
      <w:r w:rsidR="00C31D14" w:rsidRPr="0002434F">
        <w:t>avacopan</w:t>
      </w:r>
      <w:proofErr w:type="spellEnd"/>
      <w:r w:rsidRPr="0002434F">
        <w:t xml:space="preserve"> group and at </w:t>
      </w:r>
      <w:r w:rsidR="00AD36A0" w:rsidRPr="0002434F">
        <w:t>Week</w:t>
      </w:r>
      <w:r w:rsidRPr="0002434F">
        <w:t xml:space="preserve"> 26 was 23.4 and 11.2, respectively, indicating better results in the </w:t>
      </w:r>
      <w:proofErr w:type="spellStart"/>
      <w:r w:rsidR="00C31D14" w:rsidRPr="0002434F">
        <w:t>avacopan</w:t>
      </w:r>
      <w:proofErr w:type="spellEnd"/>
      <w:r w:rsidRPr="0002434F">
        <w:t xml:space="preserve"> group.</w:t>
      </w:r>
    </w:p>
    <w:p w14:paraId="0B389D18" w14:textId="6E5D125F" w:rsidR="004F0248" w:rsidRPr="0002434F" w:rsidRDefault="004F0248" w:rsidP="001C2D33">
      <w:r w:rsidRPr="0002434F">
        <w:t xml:space="preserve">The incidence of relapses after remission was achieved at Week 26 was 12.2% in the </w:t>
      </w:r>
      <w:r w:rsidR="00047A11" w:rsidRPr="0002434F">
        <w:t>prednisone</w:t>
      </w:r>
      <w:r w:rsidRPr="0002434F">
        <w:t xml:space="preserve"> group and 7.5% in the </w:t>
      </w:r>
      <w:proofErr w:type="spellStart"/>
      <w:r w:rsidR="00C31D14" w:rsidRPr="0002434F">
        <w:t>avacopan</w:t>
      </w:r>
      <w:proofErr w:type="spellEnd"/>
      <w:r w:rsidRPr="0002434F">
        <w:t xml:space="preserve"> group; the incidence of relapses at any time during the study after BVAS</w:t>
      </w:r>
      <w:r w:rsidR="00794999" w:rsidRPr="0002434F">
        <w:t xml:space="preserve"> </w:t>
      </w:r>
      <w:r w:rsidR="002752E2" w:rsidRPr="0002434F">
        <w:t>of</w:t>
      </w:r>
      <w:r w:rsidR="00794999" w:rsidRPr="0002434F">
        <w:t xml:space="preserve"> </w:t>
      </w:r>
      <w:r w:rsidRPr="0002434F">
        <w:t xml:space="preserve">0 had been achieved was lower in the </w:t>
      </w:r>
      <w:proofErr w:type="spellStart"/>
      <w:r w:rsidR="00C31D14" w:rsidRPr="0002434F">
        <w:t>avacopan</w:t>
      </w:r>
      <w:proofErr w:type="spellEnd"/>
      <w:r w:rsidRPr="0002434F">
        <w:t xml:space="preserve"> group, where participants continued treatment with </w:t>
      </w:r>
      <w:proofErr w:type="spellStart"/>
      <w:r w:rsidR="00C31D14" w:rsidRPr="0002434F">
        <w:t>avacopan</w:t>
      </w:r>
      <w:proofErr w:type="spellEnd"/>
      <w:r w:rsidRPr="0002434F">
        <w:t xml:space="preserve"> (10.1%), than in the </w:t>
      </w:r>
      <w:r w:rsidR="00047A11" w:rsidRPr="0002434F">
        <w:t>prednisone</w:t>
      </w:r>
      <w:r w:rsidRPr="0002434F">
        <w:t xml:space="preserve"> (21.0%) group, where participants received placebo.</w:t>
      </w:r>
    </w:p>
    <w:p w14:paraId="15EF459D" w14:textId="476C8D98" w:rsidR="004F0248" w:rsidRPr="0002434F" w:rsidRDefault="004F0248" w:rsidP="001C2D33">
      <w:r w:rsidRPr="0002434F">
        <w:t xml:space="preserve">Regarding </w:t>
      </w:r>
      <w:proofErr w:type="gramStart"/>
      <w:r w:rsidR="002752E2" w:rsidRPr="0002434F">
        <w:t>health related</w:t>
      </w:r>
      <w:proofErr w:type="gramEnd"/>
      <w:r w:rsidR="002752E2" w:rsidRPr="0002434F">
        <w:t xml:space="preserve"> quality of life</w:t>
      </w:r>
      <w:r w:rsidRPr="0002434F">
        <w:t xml:space="preserve"> measures, the change from </w:t>
      </w:r>
      <w:r w:rsidR="00241EA0" w:rsidRPr="0002434F">
        <w:t>Baseline</w:t>
      </w:r>
      <w:r w:rsidRPr="0002434F">
        <w:t xml:space="preserve"> SF-36 physical component score at </w:t>
      </w:r>
      <w:r w:rsidR="00AD36A0" w:rsidRPr="0002434F">
        <w:t>Week</w:t>
      </w:r>
      <w:r w:rsidRPr="0002434F">
        <w:t xml:space="preserve"> 26 was 1.344 in the </w:t>
      </w:r>
      <w:r w:rsidR="00047A11" w:rsidRPr="0002434F">
        <w:t>prednisone</w:t>
      </w:r>
      <w:r w:rsidRPr="0002434F">
        <w:t xml:space="preserve"> group compared to 4.445 in the </w:t>
      </w:r>
      <w:proofErr w:type="spellStart"/>
      <w:r w:rsidR="00C31D14" w:rsidRPr="0002434F">
        <w:t>avacopan</w:t>
      </w:r>
      <w:proofErr w:type="spellEnd"/>
      <w:r w:rsidRPr="0002434F">
        <w:t xml:space="preserve"> group, and at </w:t>
      </w:r>
      <w:r w:rsidR="00AD36A0" w:rsidRPr="0002434F">
        <w:t>Week</w:t>
      </w:r>
      <w:r w:rsidR="00794999" w:rsidRPr="0002434F">
        <w:t> </w:t>
      </w:r>
      <w:r w:rsidRPr="0002434F">
        <w:t xml:space="preserve">52 was 2.626 and 4.980 respectively, again supporting greater improvement in the </w:t>
      </w:r>
      <w:proofErr w:type="spellStart"/>
      <w:r w:rsidR="00C31D14" w:rsidRPr="0002434F">
        <w:t>avacopan</w:t>
      </w:r>
      <w:proofErr w:type="spellEnd"/>
      <w:r w:rsidRPr="0002434F">
        <w:t xml:space="preserve"> group. Some aspects of the mental component score also indicated greater improvement in the </w:t>
      </w:r>
      <w:proofErr w:type="spellStart"/>
      <w:r w:rsidR="00C31D14" w:rsidRPr="0002434F">
        <w:t>avacopan</w:t>
      </w:r>
      <w:proofErr w:type="spellEnd"/>
      <w:r w:rsidRPr="0002434F">
        <w:t xml:space="preserve"> group.</w:t>
      </w:r>
    </w:p>
    <w:p w14:paraId="174E4BBD" w14:textId="05827FA9" w:rsidR="004F0248" w:rsidRPr="0002434F" w:rsidRDefault="004F0248" w:rsidP="001C2D33">
      <w:r w:rsidRPr="0002434F">
        <w:t xml:space="preserve">Assessments of renal function suggested while there may have been greater improvements in the </w:t>
      </w:r>
      <w:proofErr w:type="spellStart"/>
      <w:r w:rsidR="00C31D14" w:rsidRPr="0002434F">
        <w:t>avacopan</w:t>
      </w:r>
      <w:proofErr w:type="spellEnd"/>
      <w:r w:rsidRPr="0002434F">
        <w:t xml:space="preserve"> group at early time points (greater increases in eGFR at </w:t>
      </w:r>
      <w:r w:rsidR="00AD36A0" w:rsidRPr="0002434F">
        <w:t>Week</w:t>
      </w:r>
      <w:r w:rsidRPr="0002434F">
        <w:t xml:space="preserve">s 26 and 52 with </w:t>
      </w:r>
      <w:proofErr w:type="spellStart"/>
      <w:r w:rsidR="00C31D14" w:rsidRPr="0002434F">
        <w:t>avacopan</w:t>
      </w:r>
      <w:proofErr w:type="spellEnd"/>
      <w:r w:rsidRPr="0002434F">
        <w:t xml:space="preserve"> and reduction in UACR at </w:t>
      </w:r>
      <w:r w:rsidR="00AD36A0" w:rsidRPr="0002434F">
        <w:t>Week</w:t>
      </w:r>
      <w:r w:rsidRPr="0002434F">
        <w:t xml:space="preserve"> 4 with </w:t>
      </w:r>
      <w:proofErr w:type="spellStart"/>
      <w:r w:rsidR="00C31D14" w:rsidRPr="0002434F">
        <w:t>avacopan</w:t>
      </w:r>
      <w:proofErr w:type="spellEnd"/>
      <w:r w:rsidRPr="0002434F">
        <w:t xml:space="preserve">), there was not much difference in renal function measures between the groups by </w:t>
      </w:r>
      <w:r w:rsidR="00AD36A0" w:rsidRPr="0002434F">
        <w:t>Week</w:t>
      </w:r>
      <w:r w:rsidRPr="0002434F">
        <w:t xml:space="preserve"> 52. There were similar increases in the </w:t>
      </w:r>
      <w:r w:rsidR="002752E2" w:rsidRPr="0002434F">
        <w:t>vasculitis damage index</w:t>
      </w:r>
      <w:r w:rsidRPr="0002434F">
        <w:t xml:space="preserve"> from </w:t>
      </w:r>
      <w:r w:rsidR="00241EA0" w:rsidRPr="0002434F">
        <w:t>Baseline</w:t>
      </w:r>
      <w:r w:rsidRPr="0002434F">
        <w:t xml:space="preserve"> to </w:t>
      </w:r>
      <w:r w:rsidR="00AD36A0" w:rsidRPr="0002434F">
        <w:t>Week</w:t>
      </w:r>
      <w:r w:rsidRPr="0002434F">
        <w:t xml:space="preserve"> 52 in both treatment groups.</w:t>
      </w:r>
    </w:p>
    <w:p w14:paraId="5D0D4B30" w14:textId="2B90AAC1" w:rsidR="007F3F71" w:rsidRPr="0002434F" w:rsidRDefault="004F0248" w:rsidP="001C2D33">
      <w:r w:rsidRPr="0002434F">
        <w:t xml:space="preserve">Comparable numbers of participants in the </w:t>
      </w:r>
      <w:r w:rsidR="00047A11" w:rsidRPr="0002434F">
        <w:t>prednisone</w:t>
      </w:r>
      <w:r w:rsidRPr="0002434F">
        <w:t xml:space="preserve"> and </w:t>
      </w:r>
      <w:proofErr w:type="spellStart"/>
      <w:r w:rsidR="00C31D14" w:rsidRPr="0002434F">
        <w:t>avacopan</w:t>
      </w:r>
      <w:proofErr w:type="spellEnd"/>
      <w:r w:rsidRPr="0002434F">
        <w:t xml:space="preserve"> groups relapsed in the </w:t>
      </w:r>
      <w:r w:rsidR="00794999" w:rsidRPr="0002434F">
        <w:t>8</w:t>
      </w:r>
      <w:r w:rsidR="00794999" w:rsidRPr="0002434F">
        <w:noBreakHyphen/>
      </w:r>
      <w:r w:rsidRPr="0002434F">
        <w:t xml:space="preserve">week follow-up period, and there were no differences in </w:t>
      </w:r>
      <w:proofErr w:type="gramStart"/>
      <w:r w:rsidRPr="0002434F">
        <w:t>quality of life</w:t>
      </w:r>
      <w:proofErr w:type="gramEnd"/>
      <w:r w:rsidRPr="0002434F">
        <w:t xml:space="preserve"> parameters, eGFR, UACR and urine </w:t>
      </w:r>
      <w:r w:rsidR="002752E2" w:rsidRPr="0002434F">
        <w:t xml:space="preserve">monocyte chemoattractant protein-1 </w:t>
      </w:r>
      <w:r w:rsidR="00794999" w:rsidRPr="0002434F">
        <w:t xml:space="preserve">to </w:t>
      </w:r>
      <w:r w:rsidRPr="0002434F">
        <w:t>creatinine ratios.</w:t>
      </w:r>
    </w:p>
    <w:p w14:paraId="209DCB67" w14:textId="09714B55" w:rsidR="004F0248" w:rsidRPr="0002434F" w:rsidRDefault="004F0248" w:rsidP="001C2D33">
      <w:r w:rsidRPr="0002434F">
        <w:t>Efficacy outcomes for the three adolescent patients were presented descriptively. A 13</w:t>
      </w:r>
      <w:r w:rsidR="00794999" w:rsidRPr="0002434F">
        <w:noBreakHyphen/>
      </w:r>
      <w:r w:rsidRPr="0002434F">
        <w:t xml:space="preserve">year old white female with relapsing </w:t>
      </w:r>
      <w:r w:rsidR="00F651B7" w:rsidRPr="0002434F">
        <w:rPr>
          <w:lang w:eastAsia="ja-JP"/>
        </w:rPr>
        <w:t>myeloperoxidase</w:t>
      </w:r>
      <w:r w:rsidR="00517B65" w:rsidRPr="0002434F">
        <w:t xml:space="preserve"> </w:t>
      </w:r>
      <w:r w:rsidRPr="0002434F">
        <w:t>positive AAV was treated with a weight adjusted dose of 20</w:t>
      </w:r>
      <w:r w:rsidR="00794999" w:rsidRPr="0002434F">
        <w:t xml:space="preserve"> </w:t>
      </w:r>
      <w:r w:rsidRPr="0002434F">
        <w:t xml:space="preserve">mg </w:t>
      </w:r>
      <w:proofErr w:type="spellStart"/>
      <w:r w:rsidRPr="0002434F">
        <w:t>avacopan</w:t>
      </w:r>
      <w:proofErr w:type="spellEnd"/>
      <w:r w:rsidRPr="0002434F">
        <w:t xml:space="preserve"> </w:t>
      </w:r>
      <w:r w:rsidR="00C31D14" w:rsidRPr="0002434F">
        <w:t>twice daily</w:t>
      </w:r>
      <w:r w:rsidRPr="0002434F">
        <w:t xml:space="preserve"> on a background of </w:t>
      </w:r>
      <w:r w:rsidR="00AD7333" w:rsidRPr="0002434F">
        <w:t>rituximab</w:t>
      </w:r>
      <w:r w:rsidRPr="0002434F">
        <w:t xml:space="preserve">. She discontinued study medication on </w:t>
      </w:r>
      <w:r w:rsidR="00AD36A0" w:rsidRPr="0002434F">
        <w:t>Day</w:t>
      </w:r>
      <w:r w:rsidRPr="0002434F">
        <w:t xml:space="preserve"> 91 with worsening renal function following initial improvement from </w:t>
      </w:r>
      <w:r w:rsidR="00241EA0" w:rsidRPr="0002434F">
        <w:t>Baseline</w:t>
      </w:r>
      <w:r w:rsidRPr="0002434F">
        <w:t xml:space="preserve">. Her baseline BVAS of 10 had improved to 6 by </w:t>
      </w:r>
      <w:r w:rsidR="00AD36A0" w:rsidRPr="0002434F">
        <w:t>Day</w:t>
      </w:r>
      <w:r w:rsidRPr="0002434F">
        <w:t xml:space="preserve"> 92. She did not achieve remission. A 16</w:t>
      </w:r>
      <w:r w:rsidR="00794999" w:rsidRPr="0002434F">
        <w:noBreakHyphen/>
      </w:r>
      <w:r w:rsidRPr="0002434F">
        <w:t xml:space="preserve">year old white female with newly diagnosed </w:t>
      </w:r>
      <w:r w:rsidR="00F651B7" w:rsidRPr="0002434F">
        <w:rPr>
          <w:lang w:eastAsia="ja-JP"/>
        </w:rPr>
        <w:t>myeloperoxidase</w:t>
      </w:r>
      <w:r w:rsidR="00517B65" w:rsidRPr="0002434F">
        <w:t xml:space="preserve"> </w:t>
      </w:r>
      <w:r w:rsidRPr="0002434F">
        <w:t>positive AAV was treated with 30</w:t>
      </w:r>
      <w:r w:rsidR="00794999" w:rsidRPr="0002434F">
        <w:t xml:space="preserve"> </w:t>
      </w:r>
      <w:r w:rsidRPr="0002434F">
        <w:t xml:space="preserve">mg </w:t>
      </w:r>
      <w:proofErr w:type="spellStart"/>
      <w:r w:rsidRPr="0002434F">
        <w:t>avacopan</w:t>
      </w:r>
      <w:proofErr w:type="spellEnd"/>
      <w:r w:rsidRPr="0002434F">
        <w:t xml:space="preserve"> </w:t>
      </w:r>
      <w:r w:rsidR="00C31D14" w:rsidRPr="0002434F">
        <w:t>twice daily</w:t>
      </w:r>
      <w:r w:rsidRPr="0002434F">
        <w:t xml:space="preserve"> on a background of </w:t>
      </w:r>
      <w:r w:rsidR="00AD36A0" w:rsidRPr="0002434F">
        <w:t>intravenous</w:t>
      </w:r>
      <w:r w:rsidRPr="0002434F">
        <w:t xml:space="preserve"> </w:t>
      </w:r>
      <w:r w:rsidR="00AD7333" w:rsidRPr="0002434F">
        <w:t>cyclophosphamide</w:t>
      </w:r>
      <w:r w:rsidRPr="0002434F">
        <w:t>. The dose was decreased to 20</w:t>
      </w:r>
      <w:r w:rsidR="00794999" w:rsidRPr="0002434F">
        <w:t xml:space="preserve"> </w:t>
      </w:r>
      <w:r w:rsidRPr="0002434F">
        <w:t xml:space="preserve">mg </w:t>
      </w:r>
      <w:r w:rsidR="00C31D14" w:rsidRPr="0002434F">
        <w:t>twice daily</w:t>
      </w:r>
      <w:r w:rsidRPr="0002434F">
        <w:t xml:space="preserve"> on </w:t>
      </w:r>
      <w:r w:rsidR="00AD36A0" w:rsidRPr="0002434F">
        <w:t>Day</w:t>
      </w:r>
      <w:r w:rsidRPr="0002434F">
        <w:t xml:space="preserve"> 30 owing to high plasma concentrations of </w:t>
      </w:r>
      <w:proofErr w:type="spellStart"/>
      <w:r w:rsidR="00C31D14" w:rsidRPr="0002434F">
        <w:t>avacopan</w:t>
      </w:r>
      <w:proofErr w:type="spellEnd"/>
      <w:r w:rsidRPr="0002434F">
        <w:t>. Baseline eGFR improved from 44 mL/min/1.73</w:t>
      </w:r>
      <w:r w:rsidR="00794999" w:rsidRPr="0002434F">
        <w:t xml:space="preserve"> </w:t>
      </w:r>
      <w:r w:rsidRPr="0002434F">
        <w:t>m</w:t>
      </w:r>
      <w:r w:rsidRPr="0002434F">
        <w:rPr>
          <w:vertAlign w:val="superscript"/>
        </w:rPr>
        <w:t>2</w:t>
      </w:r>
      <w:r w:rsidRPr="0002434F">
        <w:t xml:space="preserve"> to 68 mL/min/1.73</w:t>
      </w:r>
      <w:r w:rsidR="00794999" w:rsidRPr="0002434F">
        <w:t xml:space="preserve"> </w:t>
      </w:r>
      <w:r w:rsidRPr="0002434F">
        <w:t>m</w:t>
      </w:r>
      <w:r w:rsidRPr="0002434F">
        <w:rPr>
          <w:vertAlign w:val="superscript"/>
        </w:rPr>
        <w:t>2</w:t>
      </w:r>
      <w:r w:rsidRPr="0002434F">
        <w:t xml:space="preserve"> at end of treatment, and her baseline BVAS of 13 had improved to 0 by </w:t>
      </w:r>
      <w:r w:rsidR="00AD36A0" w:rsidRPr="0002434F">
        <w:t>Week</w:t>
      </w:r>
      <w:r w:rsidRPr="0002434F">
        <w:t xml:space="preserve"> 4, she achieved remission at </w:t>
      </w:r>
      <w:r w:rsidR="00AD36A0" w:rsidRPr="0002434F">
        <w:t>Week</w:t>
      </w:r>
      <w:r w:rsidR="00794999" w:rsidRPr="0002434F">
        <w:t> </w:t>
      </w:r>
      <w:r w:rsidRPr="0002434F">
        <w:t xml:space="preserve">26 and sustained remission at </w:t>
      </w:r>
      <w:r w:rsidR="00AD36A0" w:rsidRPr="0002434F">
        <w:t>Week</w:t>
      </w:r>
      <w:r w:rsidRPr="0002434F">
        <w:t xml:space="preserve"> 52. A </w:t>
      </w:r>
      <w:proofErr w:type="gramStart"/>
      <w:r w:rsidRPr="0002434F">
        <w:t>15</w:t>
      </w:r>
      <w:r w:rsidR="00794999" w:rsidRPr="0002434F">
        <w:t>-</w:t>
      </w:r>
      <w:r w:rsidRPr="0002434F">
        <w:t>year old</w:t>
      </w:r>
      <w:proofErr w:type="gramEnd"/>
      <w:r w:rsidRPr="0002434F">
        <w:t xml:space="preserve"> white female with newly diagnosed </w:t>
      </w:r>
      <w:r w:rsidR="00F651B7" w:rsidRPr="0002434F">
        <w:rPr>
          <w:lang w:eastAsia="ja-JP"/>
        </w:rPr>
        <w:t>myeloperoxidase</w:t>
      </w:r>
      <w:r w:rsidR="00794999" w:rsidRPr="0002434F">
        <w:t xml:space="preserve"> </w:t>
      </w:r>
      <w:r w:rsidRPr="0002434F">
        <w:t xml:space="preserve">positive AAV received weaning doses of prednisone to </w:t>
      </w:r>
      <w:r w:rsidR="00AD36A0" w:rsidRPr="0002434F">
        <w:t>Week</w:t>
      </w:r>
      <w:r w:rsidRPr="0002434F">
        <w:t xml:space="preserve"> 20 on a background of </w:t>
      </w:r>
      <w:r w:rsidR="00AD7333" w:rsidRPr="0002434F">
        <w:t>rituximab</w:t>
      </w:r>
      <w:r w:rsidRPr="0002434F">
        <w:t xml:space="preserve">. She was withdrawn from the study at </w:t>
      </w:r>
      <w:r w:rsidR="00AD36A0" w:rsidRPr="0002434F">
        <w:t>Day</w:t>
      </w:r>
      <w:r w:rsidRPr="0002434F">
        <w:t xml:space="preserve"> 349 for poor adherence to contraceptive treatment. Baseline eGFR was 20 mL/min/1.73</w:t>
      </w:r>
      <w:r w:rsidR="00794999" w:rsidRPr="0002434F">
        <w:t xml:space="preserve"> </w:t>
      </w:r>
      <w:r w:rsidRPr="0002434F">
        <w:t>m</w:t>
      </w:r>
      <w:r w:rsidRPr="0002434F">
        <w:rPr>
          <w:vertAlign w:val="superscript"/>
        </w:rPr>
        <w:t>2</w:t>
      </w:r>
      <w:r w:rsidRPr="0002434F">
        <w:t xml:space="preserve"> and did not improve during the </w:t>
      </w:r>
      <w:r w:rsidRPr="0002434F">
        <w:lastRenderedPageBreak/>
        <w:t xml:space="preserve">study. Her baseline BVAS was 16, improved to 0 by </w:t>
      </w:r>
      <w:r w:rsidR="00AD36A0" w:rsidRPr="0002434F">
        <w:t>Week 1</w:t>
      </w:r>
      <w:r w:rsidRPr="0002434F">
        <w:t xml:space="preserve">6. She did not achieve remission as glucocorticoids were required to control AAV within four weeks of </w:t>
      </w:r>
      <w:r w:rsidR="00AD36A0" w:rsidRPr="0002434F">
        <w:t>Week 2</w:t>
      </w:r>
      <w:r w:rsidRPr="0002434F">
        <w:t>6.</w:t>
      </w:r>
    </w:p>
    <w:p w14:paraId="6090FDC4" w14:textId="75A3D850" w:rsidR="004F0248" w:rsidRPr="0002434F" w:rsidRDefault="00241EA0" w:rsidP="00241EA0">
      <w:pPr>
        <w:pStyle w:val="Heading5"/>
      </w:pPr>
      <w:r w:rsidRPr="0002434F">
        <w:t xml:space="preserve">Study </w:t>
      </w:r>
      <w:r w:rsidR="004F0248" w:rsidRPr="0002434F">
        <w:t>CL002_168</w:t>
      </w:r>
    </w:p>
    <w:p w14:paraId="4498F760" w14:textId="03F7C68F" w:rsidR="007F3F71" w:rsidRPr="0002434F" w:rsidRDefault="004F0248" w:rsidP="001C2D33">
      <w:r w:rsidRPr="0002434F">
        <w:t xml:space="preserve">This supportive </w:t>
      </w:r>
      <w:r w:rsidR="002679A7" w:rsidRPr="0002434F">
        <w:t>Phase II</w:t>
      </w:r>
      <w:r w:rsidRPr="0002434F">
        <w:t xml:space="preserve"> study enrolled 67 adults with GPA, MPA or renal</w:t>
      </w:r>
      <w:r w:rsidR="00794999" w:rsidRPr="0002434F">
        <w:t xml:space="preserve"> </w:t>
      </w:r>
      <w:r w:rsidRPr="0002434F">
        <w:t xml:space="preserve">limited vasculitis, applying essentially similar inclusion and exclusion criteria to those listed for </w:t>
      </w:r>
      <w:r w:rsidR="00794999" w:rsidRPr="0002434F">
        <w:t>S</w:t>
      </w:r>
      <w:r w:rsidRPr="0002434F">
        <w:t xml:space="preserve">tudy CL010_168, but excluding patients with severe manifestations of disease including rapidly progressive glomerulonephritis, rapid onset mononeuritis multiplex, central nervous system involvement and severe alveolar haemorrhage. Participants were sequentially enrolled in three </w:t>
      </w:r>
      <w:r w:rsidR="008B23EE" w:rsidRPr="0002434F">
        <w:t>‘</w:t>
      </w:r>
      <w:r w:rsidRPr="0002434F">
        <w:t>steps</w:t>
      </w:r>
      <w:r w:rsidR="008B23EE" w:rsidRPr="0002434F">
        <w:t>’</w:t>
      </w:r>
      <w:r w:rsidRPr="0002434F">
        <w:t xml:space="preserve"> of the study, into three treatment groups.</w:t>
      </w:r>
    </w:p>
    <w:p w14:paraId="5F88DA00" w14:textId="2C696D6A" w:rsidR="004F0248" w:rsidRPr="0002434F" w:rsidRDefault="004F0248" w:rsidP="001C2D33">
      <w:r w:rsidRPr="0002434F">
        <w:t>In</w:t>
      </w:r>
      <w:r w:rsidR="00794999" w:rsidRPr="0002434F">
        <w:t xml:space="preserve"> S</w:t>
      </w:r>
      <w:r w:rsidRPr="0002434F">
        <w:t>tep 1, 12 participants were randomised to treatment with 30</w:t>
      </w:r>
      <w:r w:rsidR="00794999" w:rsidRPr="0002434F">
        <w:t xml:space="preserve"> </w:t>
      </w:r>
      <w:r w:rsidRPr="0002434F">
        <w:t xml:space="preserve">mg </w:t>
      </w:r>
      <w:proofErr w:type="spellStart"/>
      <w:r w:rsidR="00C31D14" w:rsidRPr="0002434F">
        <w:t>avacopan</w:t>
      </w:r>
      <w:proofErr w:type="spellEnd"/>
      <w:r w:rsidRPr="0002434F">
        <w:t xml:space="preserve"> </w:t>
      </w:r>
      <w:r w:rsidR="00C31D14" w:rsidRPr="0002434F">
        <w:t>twice daily</w:t>
      </w:r>
      <w:r w:rsidRPr="0002434F">
        <w:t xml:space="preserve"> for 84</w:t>
      </w:r>
      <w:r w:rsidR="00794999" w:rsidRPr="0002434F">
        <w:t> </w:t>
      </w:r>
      <w:r w:rsidRPr="0002434F">
        <w:t>days, with low</w:t>
      </w:r>
      <w:r w:rsidR="00794999" w:rsidRPr="0002434F">
        <w:t xml:space="preserve"> </w:t>
      </w:r>
      <w:r w:rsidRPr="0002434F">
        <w:t xml:space="preserve">dose </w:t>
      </w:r>
      <w:r w:rsidR="00047A11" w:rsidRPr="0002434F">
        <w:t>prednisone</w:t>
      </w:r>
      <w:r w:rsidRPr="0002434F">
        <w:t xml:space="preserve"> (20 mg or 15 mg depending on weight at </w:t>
      </w:r>
      <w:r w:rsidR="00241EA0" w:rsidRPr="0002434F">
        <w:t>Baseline</w:t>
      </w:r>
      <w:r w:rsidRPr="0002434F">
        <w:t>), weaning to 0</w:t>
      </w:r>
      <w:r w:rsidR="00794999" w:rsidRPr="0002434F">
        <w:t> </w:t>
      </w:r>
      <w:r w:rsidRPr="0002434F">
        <w:t>mg over 84 days, or to treatment with standard</w:t>
      </w:r>
      <w:r w:rsidR="00794999" w:rsidRPr="0002434F">
        <w:t xml:space="preserve"> </w:t>
      </w:r>
      <w:r w:rsidRPr="0002434F">
        <w:t xml:space="preserve">dose (60 mg or 45 mg depending on weight at </w:t>
      </w:r>
      <w:r w:rsidR="00241EA0" w:rsidRPr="0002434F">
        <w:t>Baseline</w:t>
      </w:r>
      <w:r w:rsidRPr="0002434F">
        <w:t xml:space="preserve">) </w:t>
      </w:r>
      <w:r w:rsidR="00047A11" w:rsidRPr="0002434F">
        <w:t>prednisone</w:t>
      </w:r>
      <w:r w:rsidRPr="0002434F">
        <w:t xml:space="preserve">, weaning to 0 mg over 84 days. Both groups were </w:t>
      </w:r>
      <w:r w:rsidR="001B712F" w:rsidRPr="0002434F">
        <w:t xml:space="preserve">placebo </w:t>
      </w:r>
      <w:r w:rsidRPr="0002434F">
        <w:t xml:space="preserve">controlled and received concomitant treatment with </w:t>
      </w:r>
      <w:r w:rsidR="00AD36A0" w:rsidRPr="0002434F">
        <w:t>intravenous</w:t>
      </w:r>
      <w:r w:rsidRPr="0002434F">
        <w:t xml:space="preserve"> </w:t>
      </w:r>
      <w:r w:rsidR="00AD7333" w:rsidRPr="0002434F">
        <w:t>cyclophosphamide</w:t>
      </w:r>
      <w:r w:rsidRPr="0002434F">
        <w:t xml:space="preserve">. The study moved to </w:t>
      </w:r>
      <w:r w:rsidR="00794999" w:rsidRPr="0002434F">
        <w:t>S</w:t>
      </w:r>
      <w:r w:rsidRPr="0002434F">
        <w:t>tep</w:t>
      </w:r>
      <w:r w:rsidR="00794999" w:rsidRPr="0002434F">
        <w:t> </w:t>
      </w:r>
      <w:r w:rsidRPr="0002434F">
        <w:t xml:space="preserve">2 if more than half of patients receiving </w:t>
      </w:r>
      <w:proofErr w:type="spellStart"/>
      <w:r w:rsidR="00C31D14" w:rsidRPr="0002434F">
        <w:t>avacopan</w:t>
      </w:r>
      <w:proofErr w:type="spellEnd"/>
      <w:r w:rsidRPr="0002434F">
        <w:t xml:space="preserve"> achieved a disease response and no more than one suspected unexpected serious adverse reaction (SUSAR) related to </w:t>
      </w:r>
      <w:proofErr w:type="spellStart"/>
      <w:r w:rsidR="00C31D14" w:rsidRPr="0002434F">
        <w:t>avacopan</w:t>
      </w:r>
      <w:proofErr w:type="spellEnd"/>
      <w:r w:rsidRPr="0002434F">
        <w:t xml:space="preserve"> was reported.</w:t>
      </w:r>
    </w:p>
    <w:p w14:paraId="20201881" w14:textId="665A84F9" w:rsidR="004F0248" w:rsidRPr="0002434F" w:rsidRDefault="004F0248" w:rsidP="001C2D33">
      <w:r w:rsidRPr="0002434F">
        <w:t xml:space="preserve">In </w:t>
      </w:r>
      <w:r w:rsidR="00794999" w:rsidRPr="0002434F">
        <w:t>S</w:t>
      </w:r>
      <w:r w:rsidRPr="0002434F">
        <w:t xml:space="preserve">tep 2, 14 participants were randomised to treatment with </w:t>
      </w:r>
      <w:proofErr w:type="spellStart"/>
      <w:r w:rsidR="00C31D14" w:rsidRPr="0002434F">
        <w:t>avacopan</w:t>
      </w:r>
      <w:proofErr w:type="spellEnd"/>
      <w:r w:rsidRPr="0002434F">
        <w:t xml:space="preserve"> 30 mg </w:t>
      </w:r>
      <w:r w:rsidR="00C31D14" w:rsidRPr="0002434F">
        <w:t>twice daily</w:t>
      </w:r>
      <w:r w:rsidRPr="0002434F">
        <w:t xml:space="preserve"> for 84</w:t>
      </w:r>
      <w:r w:rsidR="00794999" w:rsidRPr="0002434F">
        <w:t> </w:t>
      </w:r>
      <w:r w:rsidRPr="0002434F">
        <w:t xml:space="preserve">days with no </w:t>
      </w:r>
      <w:r w:rsidR="00047A11" w:rsidRPr="0002434F">
        <w:t>prednisone</w:t>
      </w:r>
      <w:r w:rsidRPr="0002434F">
        <w:t>, or to treatment with standard</w:t>
      </w:r>
      <w:r w:rsidR="002752E2" w:rsidRPr="0002434F">
        <w:t xml:space="preserve"> </w:t>
      </w:r>
      <w:r w:rsidRPr="0002434F">
        <w:t xml:space="preserve">dose </w:t>
      </w:r>
      <w:r w:rsidR="00047A11" w:rsidRPr="0002434F">
        <w:t>prednisone</w:t>
      </w:r>
      <w:r w:rsidRPr="0002434F">
        <w:t xml:space="preserve"> weaning to 0 mg over 84 days. Both groups were </w:t>
      </w:r>
      <w:r w:rsidR="001B712F" w:rsidRPr="0002434F">
        <w:t xml:space="preserve">placebo </w:t>
      </w:r>
      <w:r w:rsidRPr="0002434F">
        <w:t xml:space="preserve">controlled and received concomitant treatment with </w:t>
      </w:r>
      <w:r w:rsidR="00AD36A0" w:rsidRPr="0002434F">
        <w:t>intravenous</w:t>
      </w:r>
      <w:r w:rsidRPr="0002434F">
        <w:t xml:space="preserve"> </w:t>
      </w:r>
      <w:r w:rsidR="00AD7333" w:rsidRPr="0002434F">
        <w:t>cyclophosphamide</w:t>
      </w:r>
      <w:r w:rsidRPr="0002434F">
        <w:t xml:space="preserve">. The study moved to </w:t>
      </w:r>
      <w:r w:rsidR="00794999" w:rsidRPr="0002434F">
        <w:t>S</w:t>
      </w:r>
      <w:r w:rsidRPr="0002434F">
        <w:t xml:space="preserve">tep 3 if more than half of patients receiving </w:t>
      </w:r>
      <w:proofErr w:type="spellStart"/>
      <w:r w:rsidR="00C31D14" w:rsidRPr="0002434F">
        <w:t>avacopan</w:t>
      </w:r>
      <w:proofErr w:type="spellEnd"/>
      <w:r w:rsidRPr="0002434F">
        <w:t xml:space="preserve"> achieved a disease response and no more than one SUSAR related to </w:t>
      </w:r>
      <w:proofErr w:type="spellStart"/>
      <w:r w:rsidR="00C31D14" w:rsidRPr="0002434F">
        <w:t>avacopan</w:t>
      </w:r>
      <w:proofErr w:type="spellEnd"/>
      <w:r w:rsidRPr="0002434F">
        <w:t xml:space="preserve"> was reported.</w:t>
      </w:r>
    </w:p>
    <w:p w14:paraId="0A58D2ED" w14:textId="151BE827" w:rsidR="004F0248" w:rsidRPr="0002434F" w:rsidRDefault="004F0248" w:rsidP="001C2D33">
      <w:r w:rsidRPr="0002434F">
        <w:t xml:space="preserve">In </w:t>
      </w:r>
      <w:r w:rsidR="00794999" w:rsidRPr="0002434F">
        <w:t>S</w:t>
      </w:r>
      <w:r w:rsidRPr="0002434F">
        <w:t xml:space="preserve">tep 3, 41 participants were randomised to three groups, one receiving </w:t>
      </w:r>
      <w:proofErr w:type="spellStart"/>
      <w:r w:rsidR="00C31D14" w:rsidRPr="0002434F">
        <w:t>avacopan</w:t>
      </w:r>
      <w:proofErr w:type="spellEnd"/>
      <w:r w:rsidRPr="0002434F">
        <w:t xml:space="preserve"> 30 mg </w:t>
      </w:r>
      <w:r w:rsidR="00C31D14" w:rsidRPr="0002434F">
        <w:t>twice daily</w:t>
      </w:r>
      <w:r w:rsidRPr="0002434F">
        <w:t xml:space="preserve"> for 84 days with no </w:t>
      </w:r>
      <w:r w:rsidR="00047A11" w:rsidRPr="0002434F">
        <w:t>prednisone</w:t>
      </w:r>
      <w:r w:rsidRPr="0002434F">
        <w:t xml:space="preserve">, one receiving </w:t>
      </w:r>
      <w:proofErr w:type="spellStart"/>
      <w:r w:rsidR="00C31D14" w:rsidRPr="0002434F">
        <w:t>avacopan</w:t>
      </w:r>
      <w:proofErr w:type="spellEnd"/>
      <w:r w:rsidRPr="0002434F">
        <w:t xml:space="preserve"> 30 mg </w:t>
      </w:r>
      <w:r w:rsidR="00C31D14" w:rsidRPr="0002434F">
        <w:t>twice daily</w:t>
      </w:r>
      <w:r w:rsidRPr="0002434F">
        <w:t xml:space="preserve"> with low</w:t>
      </w:r>
      <w:r w:rsidR="00794999" w:rsidRPr="0002434F">
        <w:t xml:space="preserve"> </w:t>
      </w:r>
      <w:r w:rsidRPr="0002434F">
        <w:t xml:space="preserve">dose </w:t>
      </w:r>
      <w:r w:rsidR="00047A11" w:rsidRPr="0002434F">
        <w:t>prednisone</w:t>
      </w:r>
      <w:r w:rsidRPr="0002434F">
        <w:t xml:space="preserve"> weaning to 0 mg and one receiving standard</w:t>
      </w:r>
      <w:r w:rsidR="002752E2" w:rsidRPr="0002434F">
        <w:t xml:space="preserve"> </w:t>
      </w:r>
      <w:r w:rsidRPr="0002434F">
        <w:t xml:space="preserve">dose </w:t>
      </w:r>
      <w:r w:rsidR="00047A11" w:rsidRPr="0002434F">
        <w:t>prednisone</w:t>
      </w:r>
      <w:r w:rsidRPr="0002434F">
        <w:t xml:space="preserve"> weaning to 0 mg. All groups were provided with </w:t>
      </w:r>
      <w:r w:rsidR="001B712F" w:rsidRPr="0002434F">
        <w:t>placebo</w:t>
      </w:r>
      <w:r w:rsidRPr="0002434F">
        <w:t xml:space="preserve"> matching the other treatments and received concomitant treatment with </w:t>
      </w:r>
      <w:r w:rsidR="00AD36A0" w:rsidRPr="0002434F">
        <w:t>intravenous</w:t>
      </w:r>
      <w:r w:rsidRPr="0002434F">
        <w:t xml:space="preserve"> </w:t>
      </w:r>
      <w:r w:rsidR="00AD7333" w:rsidRPr="0002434F">
        <w:t>cyclophosphamide</w:t>
      </w:r>
      <w:r w:rsidRPr="0002434F">
        <w:t xml:space="preserve"> or rituximab.</w:t>
      </w:r>
    </w:p>
    <w:p w14:paraId="0CA07B35" w14:textId="275A4CA8" w:rsidR="004F0248" w:rsidRPr="0002434F" w:rsidRDefault="004F0248" w:rsidP="001C2D33">
      <w:r w:rsidRPr="0002434F">
        <w:t xml:space="preserve">The primary efficacy objective was change from </w:t>
      </w:r>
      <w:r w:rsidR="00241EA0" w:rsidRPr="0002434F">
        <w:t>Baseline</w:t>
      </w:r>
      <w:r w:rsidRPr="0002434F">
        <w:t xml:space="preserve"> of the BVAS. Multiple secondary objectives were also listed. The study reported that a greater proportion of patients receiving </w:t>
      </w:r>
      <w:proofErr w:type="spellStart"/>
      <w:r w:rsidR="00C31D14" w:rsidRPr="0002434F">
        <w:t>avacopan</w:t>
      </w:r>
      <w:proofErr w:type="spellEnd"/>
      <w:r w:rsidRPr="0002434F">
        <w:t xml:space="preserve"> with or without low</w:t>
      </w:r>
      <w:r w:rsidR="00794999" w:rsidRPr="0002434F">
        <w:t xml:space="preserve"> </w:t>
      </w:r>
      <w:r w:rsidRPr="0002434F">
        <w:t xml:space="preserve">dose </w:t>
      </w:r>
      <w:r w:rsidR="00047A11" w:rsidRPr="0002434F">
        <w:t>prednisone</w:t>
      </w:r>
      <w:r w:rsidRPr="0002434F">
        <w:t xml:space="preserve"> achieved a 50% reduction from baseline BVAS at 85</w:t>
      </w:r>
      <w:r w:rsidR="00794999" w:rsidRPr="0002434F">
        <w:t> </w:t>
      </w:r>
      <w:r w:rsidRPr="0002434F">
        <w:t>days (19</w:t>
      </w:r>
      <w:r w:rsidR="00794999" w:rsidRPr="0002434F">
        <w:t xml:space="preserve"> of </w:t>
      </w:r>
      <w:r w:rsidRPr="0002434F">
        <w:t>22, 86.4% and 17</w:t>
      </w:r>
      <w:r w:rsidR="00794999" w:rsidRPr="0002434F">
        <w:t xml:space="preserve"> of </w:t>
      </w:r>
      <w:r w:rsidRPr="0002434F">
        <w:t>21, 81.0%, respectively) than patients on standard</w:t>
      </w:r>
      <w:r w:rsidR="00794999" w:rsidRPr="0002434F">
        <w:t xml:space="preserve"> </w:t>
      </w:r>
      <w:r w:rsidRPr="0002434F">
        <w:t xml:space="preserve">dose </w:t>
      </w:r>
      <w:r w:rsidR="00047A11" w:rsidRPr="0002434F">
        <w:t>prednisone</w:t>
      </w:r>
      <w:r w:rsidRPr="0002434F">
        <w:t xml:space="preserve"> alone (14</w:t>
      </w:r>
      <w:r w:rsidR="00794999" w:rsidRPr="0002434F">
        <w:t xml:space="preserve"> of </w:t>
      </w:r>
      <w:r w:rsidRPr="0002434F">
        <w:t xml:space="preserve">20, 70.0%, </w:t>
      </w:r>
      <w:r w:rsidR="00794999" w:rsidRPr="0002434F">
        <w:t xml:space="preserve">see </w:t>
      </w:r>
      <w:r w:rsidRPr="0002434F">
        <w:fldChar w:fldCharType="begin"/>
      </w:r>
      <w:r w:rsidRPr="0002434F">
        <w:instrText xml:space="preserve"> REF _Ref117846667 \h </w:instrText>
      </w:r>
      <w:r w:rsidR="001C2D33" w:rsidRPr="0002434F">
        <w:instrText xml:space="preserve"> \* MERGEFORMAT </w:instrText>
      </w:r>
      <w:r w:rsidRPr="0002434F">
        <w:fldChar w:fldCharType="separate"/>
      </w:r>
      <w:r w:rsidR="0002434F" w:rsidRPr="0002434F">
        <w:t xml:space="preserve">Table </w:t>
      </w:r>
      <w:r w:rsidR="0002434F">
        <w:t>5</w:t>
      </w:r>
      <w:r w:rsidRPr="0002434F">
        <w:fldChar w:fldCharType="end"/>
      </w:r>
      <w:r w:rsidR="00794999" w:rsidRPr="0002434F">
        <w:t xml:space="preserve"> below</w:t>
      </w:r>
      <w:r w:rsidRPr="0002434F">
        <w:t>). Subgroup analyses were supportive but small numbers in some groups limited interpretation.</w:t>
      </w:r>
    </w:p>
    <w:p w14:paraId="03A36112" w14:textId="6AC10090" w:rsidR="004F0248" w:rsidRPr="0002434F" w:rsidRDefault="004F0248" w:rsidP="002A077D">
      <w:pPr>
        <w:pStyle w:val="TableTitle"/>
      </w:pPr>
      <w:bookmarkStart w:id="55" w:name="_Ref117846667"/>
      <w:r w:rsidRPr="0002434F">
        <w:t xml:space="preserve">Table </w:t>
      </w:r>
      <w:r w:rsidRPr="0002434F">
        <w:fldChar w:fldCharType="begin"/>
      </w:r>
      <w:r w:rsidRPr="0002434F">
        <w:instrText>SEQ Table \* ARABIC</w:instrText>
      </w:r>
      <w:r w:rsidRPr="0002434F">
        <w:fldChar w:fldCharType="separate"/>
      </w:r>
      <w:r w:rsidR="0002434F">
        <w:rPr>
          <w:noProof/>
        </w:rPr>
        <w:t>5</w:t>
      </w:r>
      <w:r w:rsidRPr="0002434F">
        <w:fldChar w:fldCharType="end"/>
      </w:r>
      <w:bookmarkEnd w:id="55"/>
      <w:r w:rsidRPr="0002434F">
        <w:t xml:space="preserve">: </w:t>
      </w:r>
      <w:r w:rsidR="002A077D" w:rsidRPr="0002434F">
        <w:t xml:space="preserve">Study </w:t>
      </w:r>
      <w:r w:rsidRPr="0002434F">
        <w:t xml:space="preserve">CL002_168 Change from baseline </w:t>
      </w:r>
      <w:r w:rsidR="009148AF" w:rsidRPr="0002434F">
        <w:t xml:space="preserve">Birmingham Vasculitis Activity Score </w:t>
      </w:r>
      <w:r w:rsidRPr="0002434F">
        <w:t xml:space="preserve">at </w:t>
      </w:r>
      <w:r w:rsidR="00AD36A0" w:rsidRPr="0002434F">
        <w:t>Day</w:t>
      </w:r>
      <w:r w:rsidRPr="0002434F">
        <w:t xml:space="preserve"> 85</w:t>
      </w:r>
      <w:r w:rsidR="009148AF" w:rsidRPr="0002434F">
        <w:t xml:space="preserve"> (intent-to-treat population)</w:t>
      </w:r>
    </w:p>
    <w:p w14:paraId="0FED404B" w14:textId="64867FE1" w:rsidR="009148AF" w:rsidRPr="0002434F" w:rsidRDefault="009148AF" w:rsidP="00010789">
      <w:r w:rsidRPr="0002434F">
        <w:rPr>
          <w:noProof/>
        </w:rPr>
        <w:drawing>
          <wp:inline distT="0" distB="0" distL="0" distR="0" wp14:anchorId="16E4B40E" wp14:editId="1A21EA3F">
            <wp:extent cx="5759450" cy="1216025"/>
            <wp:effectExtent l="0" t="0" r="0" b="3175"/>
            <wp:docPr id="18" name="Picture 18" descr="Table 5: Study CL002_168 Change from baseline Birmingham Vasculitis Activity Score at Day 85 (intent-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 5: Study CL002_168 Change from baseline Birmingham Vasculitis Activity Score at Day 85 (intent-to-treat population)"/>
                    <pic:cNvPicPr/>
                  </pic:nvPicPr>
                  <pic:blipFill>
                    <a:blip r:embed="rId34"/>
                    <a:stretch>
                      <a:fillRect/>
                    </a:stretch>
                  </pic:blipFill>
                  <pic:spPr>
                    <a:xfrm>
                      <a:off x="0" y="0"/>
                      <a:ext cx="5759450" cy="1216025"/>
                    </a:xfrm>
                    <a:prstGeom prst="rect">
                      <a:avLst/>
                    </a:prstGeom>
                  </pic:spPr>
                </pic:pic>
              </a:graphicData>
            </a:graphic>
          </wp:inline>
        </w:drawing>
      </w:r>
    </w:p>
    <w:p w14:paraId="69FDAA0F" w14:textId="55781BC1" w:rsidR="009148AF" w:rsidRPr="0002434F" w:rsidRDefault="009148AF" w:rsidP="009148AF">
      <w:pPr>
        <w:pStyle w:val="TableDescription"/>
      </w:pPr>
      <w:r w:rsidRPr="0002434F">
        <w:t xml:space="preserve">Abbreviations: CCX168 = </w:t>
      </w:r>
      <w:proofErr w:type="spellStart"/>
      <w:r w:rsidRPr="0002434F">
        <w:t>avacopan</w:t>
      </w:r>
      <w:proofErr w:type="spellEnd"/>
      <w:r w:rsidRPr="0002434F">
        <w:t xml:space="preserve">; CI = confidence interval; N = number of subjects in the analysis population for the specified treatment group; N’ number of subjects with evaluation; n = number of subjects who </w:t>
      </w:r>
      <w:proofErr w:type="gramStart"/>
      <w:r w:rsidRPr="0002434F">
        <w:t>responded;</w:t>
      </w:r>
      <w:proofErr w:type="gramEnd"/>
      <w:r w:rsidRPr="0002434F">
        <w:t xml:space="preserve"> vs = versus.</w:t>
      </w:r>
    </w:p>
    <w:p w14:paraId="2DCFA796" w14:textId="1BDA0078" w:rsidR="004F0248" w:rsidRPr="0002434F" w:rsidRDefault="009148AF" w:rsidP="009148AF">
      <w:pPr>
        <w:pStyle w:val="TableDescription"/>
      </w:pPr>
      <w:r w:rsidRPr="0002434F">
        <w:t>Birmingham Vasculitis Activity Score (BVAS) response was defined as achieving a 50% reduction from Baseline in the BVAS plus no worsening in any body system component.</w:t>
      </w:r>
    </w:p>
    <w:p w14:paraId="125CFA3D" w14:textId="7DC17A86" w:rsidR="004F0248" w:rsidRPr="0002434F" w:rsidRDefault="00794999" w:rsidP="00241EA0">
      <w:pPr>
        <w:pStyle w:val="Heading5"/>
      </w:pPr>
      <w:r w:rsidRPr="0002434F">
        <w:lastRenderedPageBreak/>
        <w:t xml:space="preserve">Study </w:t>
      </w:r>
      <w:r w:rsidR="004F0248" w:rsidRPr="0002434F">
        <w:t>CL003_168</w:t>
      </w:r>
    </w:p>
    <w:p w14:paraId="13F8BA59" w14:textId="0F7442D2" w:rsidR="004F0248" w:rsidRPr="0002434F" w:rsidRDefault="004F0248" w:rsidP="001C2D33">
      <w:r w:rsidRPr="0002434F">
        <w:t xml:space="preserve">This supportive </w:t>
      </w:r>
      <w:r w:rsidR="002679A7" w:rsidRPr="0002434F">
        <w:t>Phase II</w:t>
      </w:r>
      <w:r w:rsidRPr="0002434F">
        <w:t xml:space="preserve"> study enrolled 42 adults with GPA, MPA or renal</w:t>
      </w:r>
      <w:r w:rsidR="00794999" w:rsidRPr="0002434F">
        <w:t xml:space="preserve"> </w:t>
      </w:r>
      <w:r w:rsidRPr="0002434F">
        <w:t xml:space="preserve">limited vasculitis, applying essentially similar inclusion and exclusion criteria as in the pivotal trial, but excluding patients with rapidly progressive glomerulonephritis and severe alveolar haemorrhage. Participants were randomised to treatment with </w:t>
      </w:r>
      <w:proofErr w:type="spellStart"/>
      <w:r w:rsidR="00C31D14" w:rsidRPr="0002434F">
        <w:t>avacopan</w:t>
      </w:r>
      <w:proofErr w:type="spellEnd"/>
      <w:r w:rsidRPr="0002434F">
        <w:t xml:space="preserve"> 30 mg </w:t>
      </w:r>
      <w:r w:rsidR="00C31D14" w:rsidRPr="0002434F">
        <w:t>twice daily</w:t>
      </w:r>
      <w:r w:rsidRPr="0002434F">
        <w:t xml:space="preserve">, </w:t>
      </w:r>
      <w:proofErr w:type="spellStart"/>
      <w:r w:rsidR="00C31D14" w:rsidRPr="0002434F">
        <w:t>avacopan</w:t>
      </w:r>
      <w:proofErr w:type="spellEnd"/>
      <w:r w:rsidRPr="0002434F">
        <w:t xml:space="preserve"> 10</w:t>
      </w:r>
      <w:r w:rsidR="00794999" w:rsidRPr="0002434F">
        <w:t> </w:t>
      </w:r>
      <w:r w:rsidRPr="0002434F">
        <w:t xml:space="preserve">mg </w:t>
      </w:r>
      <w:r w:rsidR="00C31D14" w:rsidRPr="0002434F">
        <w:t>twice daily</w:t>
      </w:r>
      <w:r w:rsidRPr="0002434F">
        <w:t xml:space="preserve"> or </w:t>
      </w:r>
      <w:r w:rsidR="001B712F" w:rsidRPr="0002434F">
        <w:t>placebo</w:t>
      </w:r>
      <w:r w:rsidRPr="0002434F">
        <w:t xml:space="preserve"> for 84 days and standard of care therapy with </w:t>
      </w:r>
      <w:r w:rsidR="00AD7333" w:rsidRPr="0002434F">
        <w:t>cyclophosphamide</w:t>
      </w:r>
      <w:r w:rsidRPr="0002434F">
        <w:t xml:space="preserve"> or </w:t>
      </w:r>
      <w:r w:rsidR="00AD7333" w:rsidRPr="0002434F">
        <w:t>rituximab</w:t>
      </w:r>
      <w:r w:rsidRPr="0002434F">
        <w:t xml:space="preserve">. All participants also received weaning doses of </w:t>
      </w:r>
      <w:r w:rsidR="00047A11" w:rsidRPr="0002434F">
        <w:t>prednisone</w:t>
      </w:r>
      <w:r w:rsidRPr="0002434F">
        <w:t xml:space="preserve"> starting at 60 mg/day on </w:t>
      </w:r>
      <w:r w:rsidR="00AD36A0" w:rsidRPr="0002434F">
        <w:t>Day</w:t>
      </w:r>
      <w:r w:rsidR="00794999" w:rsidRPr="0002434F">
        <w:t> </w:t>
      </w:r>
      <w:r w:rsidRPr="0002434F">
        <w:t xml:space="preserve">1 and weaning over 20 weeks. The primary efficacy endpoint of the study was the proportion of subjects achieving disease response at </w:t>
      </w:r>
      <w:r w:rsidR="00AD36A0" w:rsidRPr="0002434F">
        <w:t>Day</w:t>
      </w:r>
      <w:r w:rsidRPr="0002434F">
        <w:t xml:space="preserve"> 85, defined as BVAS percentage reduction from </w:t>
      </w:r>
      <w:r w:rsidR="00241EA0" w:rsidRPr="0002434F">
        <w:t>Baseline</w:t>
      </w:r>
      <w:r w:rsidRPr="0002434F">
        <w:t xml:space="preserve"> of at least 50% plus no worsening in any body system component. Irrespective of treatment, a similar proportion of patients in all treatment groups achieved a clinical response (</w:t>
      </w:r>
      <w:r w:rsidR="00794999" w:rsidRPr="0002434F">
        <w:t xml:space="preserve">see </w:t>
      </w:r>
      <w:r w:rsidRPr="0002434F">
        <w:fldChar w:fldCharType="begin"/>
      </w:r>
      <w:r w:rsidRPr="0002434F">
        <w:instrText xml:space="preserve"> REF _Ref117848393 \h </w:instrText>
      </w:r>
      <w:r w:rsidR="001C2D33" w:rsidRPr="0002434F">
        <w:instrText xml:space="preserve"> \* MERGEFORMAT </w:instrText>
      </w:r>
      <w:r w:rsidRPr="0002434F">
        <w:fldChar w:fldCharType="separate"/>
      </w:r>
      <w:r w:rsidR="0002434F" w:rsidRPr="0002434F">
        <w:t xml:space="preserve">Table </w:t>
      </w:r>
      <w:r w:rsidR="0002434F">
        <w:t>6</w:t>
      </w:r>
      <w:r w:rsidRPr="0002434F">
        <w:fldChar w:fldCharType="end"/>
      </w:r>
      <w:r w:rsidR="00794999" w:rsidRPr="0002434F">
        <w:t xml:space="preserve"> below</w:t>
      </w:r>
      <w:r w:rsidRPr="0002434F">
        <w:t>).</w:t>
      </w:r>
    </w:p>
    <w:p w14:paraId="4811A70C" w14:textId="017AF7D2" w:rsidR="004F0248" w:rsidRPr="0002434F" w:rsidRDefault="004F0248" w:rsidP="00010789">
      <w:pPr>
        <w:pStyle w:val="TableTitle"/>
      </w:pPr>
      <w:bookmarkStart w:id="56" w:name="_Ref117848393"/>
      <w:r w:rsidRPr="0002434F">
        <w:t xml:space="preserve">Table </w:t>
      </w:r>
      <w:r w:rsidRPr="0002434F">
        <w:fldChar w:fldCharType="begin"/>
      </w:r>
      <w:r w:rsidRPr="0002434F">
        <w:instrText>SEQ Table \* ARABIC</w:instrText>
      </w:r>
      <w:r w:rsidRPr="0002434F">
        <w:fldChar w:fldCharType="separate"/>
      </w:r>
      <w:r w:rsidR="0002434F">
        <w:rPr>
          <w:noProof/>
        </w:rPr>
        <w:t>6</w:t>
      </w:r>
      <w:r w:rsidRPr="0002434F">
        <w:fldChar w:fldCharType="end"/>
      </w:r>
      <w:bookmarkEnd w:id="56"/>
      <w:r w:rsidRPr="0002434F">
        <w:t xml:space="preserve">: </w:t>
      </w:r>
      <w:r w:rsidR="002A077D" w:rsidRPr="0002434F">
        <w:t xml:space="preserve">Study </w:t>
      </w:r>
      <w:r w:rsidRPr="0002434F">
        <w:t xml:space="preserve">CL003_168 Change from baseline </w:t>
      </w:r>
      <w:r w:rsidR="009148AF" w:rsidRPr="0002434F">
        <w:t xml:space="preserve">Birmingham Vasculitis Activity Score </w:t>
      </w:r>
      <w:r w:rsidRPr="0002434F">
        <w:t xml:space="preserve">at </w:t>
      </w:r>
      <w:r w:rsidR="00AD36A0" w:rsidRPr="0002434F">
        <w:t>Day</w:t>
      </w:r>
      <w:r w:rsidRPr="0002434F">
        <w:t xml:space="preserve"> 85</w:t>
      </w:r>
      <w:r w:rsidR="00010789" w:rsidRPr="0002434F">
        <w:t xml:space="preserve"> (intent-to-treat population)</w:t>
      </w:r>
    </w:p>
    <w:p w14:paraId="57AEC73B" w14:textId="2CE8B6C4" w:rsidR="00010789" w:rsidRPr="0002434F" w:rsidRDefault="00010789" w:rsidP="00010789">
      <w:r w:rsidRPr="0002434F">
        <w:rPr>
          <w:noProof/>
        </w:rPr>
        <w:drawing>
          <wp:inline distT="0" distB="0" distL="0" distR="0" wp14:anchorId="63A6C390" wp14:editId="41EEE802">
            <wp:extent cx="5759450" cy="960755"/>
            <wp:effectExtent l="0" t="0" r="0" b="0"/>
            <wp:docPr id="19" name="Picture 19" descr="Table 6: Study CL003_168 Change from baseline Birmingham Vasculitis Activity Score at Day 85 (intent-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 6: Study CL003_168 Change from baseline Birmingham Vasculitis Activity Score at Day 85 (intent-to-treat population)"/>
                    <pic:cNvPicPr/>
                  </pic:nvPicPr>
                  <pic:blipFill>
                    <a:blip r:embed="rId35"/>
                    <a:stretch>
                      <a:fillRect/>
                    </a:stretch>
                  </pic:blipFill>
                  <pic:spPr>
                    <a:xfrm>
                      <a:off x="0" y="0"/>
                      <a:ext cx="5759450" cy="960755"/>
                    </a:xfrm>
                    <a:prstGeom prst="rect">
                      <a:avLst/>
                    </a:prstGeom>
                  </pic:spPr>
                </pic:pic>
              </a:graphicData>
            </a:graphic>
          </wp:inline>
        </w:drawing>
      </w:r>
    </w:p>
    <w:p w14:paraId="7F4E1245" w14:textId="710C5669" w:rsidR="00010789" w:rsidRPr="0002434F" w:rsidRDefault="00010789" w:rsidP="00010789">
      <w:pPr>
        <w:pStyle w:val="TableDescription"/>
      </w:pPr>
      <w:r w:rsidRPr="0002434F">
        <w:t xml:space="preserve">Abbreviations: CCX168 = </w:t>
      </w:r>
      <w:proofErr w:type="spellStart"/>
      <w:r w:rsidRPr="0002434F">
        <w:t>avacopan</w:t>
      </w:r>
      <w:proofErr w:type="spellEnd"/>
      <w:r w:rsidRPr="0002434F">
        <w:t>; CI = confidence interval; N = number of subjects in the analysis population for the specified treatment group; N’ = number of subjects with post-baseline, on-treatment BVAS data; n = number of responders; % = 100*n/N’; vs = versus.</w:t>
      </w:r>
    </w:p>
    <w:p w14:paraId="01D88DAF" w14:textId="095743B8" w:rsidR="00010789" w:rsidRPr="0002434F" w:rsidRDefault="00010789" w:rsidP="00010789">
      <w:pPr>
        <w:pStyle w:val="TableDescription"/>
      </w:pPr>
      <w:r w:rsidRPr="0002434F">
        <w:t>Birmingham Vasculitis Activity Score (BVAS) response was defined as achieving a 50% reduction from baseline in the BVAS plus no worsening in any body system component.</w:t>
      </w:r>
    </w:p>
    <w:p w14:paraId="5362C100" w14:textId="55BD4D9C" w:rsidR="004F0248" w:rsidRPr="0002434F" w:rsidRDefault="004F0248" w:rsidP="001C2D33">
      <w:r w:rsidRPr="0002434F">
        <w:t>While treatment groups were stratified by several factors including type of AAV, ANCA</w:t>
      </w:r>
      <w:r w:rsidR="00794999" w:rsidRPr="0002434F">
        <w:t xml:space="preserve"> </w:t>
      </w:r>
      <w:r w:rsidRPr="0002434F">
        <w:t>antibody positivity and disease status (newly diagnosed or relapsed), the groups were too small for meaningful subgroup analysis.</w:t>
      </w:r>
    </w:p>
    <w:p w14:paraId="0E92FD10" w14:textId="77777777" w:rsidR="004F0248" w:rsidRPr="0002434F" w:rsidRDefault="004F0248" w:rsidP="004F0248">
      <w:pPr>
        <w:pStyle w:val="Heading4"/>
      </w:pPr>
      <w:bookmarkStart w:id="57" w:name="_Toc147390249"/>
      <w:r w:rsidRPr="0002434F">
        <w:t>Safety</w:t>
      </w:r>
      <w:bookmarkEnd w:id="57"/>
    </w:p>
    <w:p w14:paraId="3802FD0B" w14:textId="6395850D" w:rsidR="004F0248" w:rsidRPr="0002434F" w:rsidRDefault="004F0248" w:rsidP="001C2D33">
      <w:r w:rsidRPr="0002434F">
        <w:t xml:space="preserve">In the submitted dataset, 264 participants were included in the </w:t>
      </w:r>
      <w:r w:rsidR="002679A7" w:rsidRPr="0002434F">
        <w:t>Phase I</w:t>
      </w:r>
      <w:r w:rsidRPr="0002434F">
        <w:t xml:space="preserve"> clinical pharmacology studies and of these 206 participants received at least one dose of </w:t>
      </w:r>
      <w:proofErr w:type="spellStart"/>
      <w:r w:rsidRPr="0002434F">
        <w:t>avacopan</w:t>
      </w:r>
      <w:proofErr w:type="spellEnd"/>
      <w:r w:rsidRPr="0002434F">
        <w:t xml:space="preserve">. Most of the </w:t>
      </w:r>
      <w:r w:rsidR="002679A7" w:rsidRPr="0002434F">
        <w:t>Phase</w:t>
      </w:r>
      <w:r w:rsidR="00794999" w:rsidRPr="0002434F">
        <w:t> </w:t>
      </w:r>
      <w:r w:rsidR="002679A7" w:rsidRPr="0002434F">
        <w:t>I</w:t>
      </w:r>
      <w:r w:rsidRPr="0002434F">
        <w:t xml:space="preserve"> participants were healthy volunteers, except in the study examining the effects of mild or moderate impairment of liver function. The </w:t>
      </w:r>
      <w:proofErr w:type="spellStart"/>
      <w:r w:rsidRPr="0002434F">
        <w:t>avacopan</w:t>
      </w:r>
      <w:proofErr w:type="spellEnd"/>
      <w:r w:rsidRPr="0002434F">
        <w:t xml:space="preserve"> dose given in these studies ranged from 1</w:t>
      </w:r>
      <w:r w:rsidR="00794999" w:rsidRPr="0002434F">
        <w:t> </w:t>
      </w:r>
      <w:r w:rsidRPr="0002434F">
        <w:t>mg to 200 mg (total daily dose), and the dosing period ranged from 1 to 17 days. A total of 440</w:t>
      </w:r>
      <w:r w:rsidR="00794999" w:rsidRPr="0002434F">
        <w:t> </w:t>
      </w:r>
      <w:r w:rsidRPr="0002434F">
        <w:t xml:space="preserve">adults with AAV participated in the </w:t>
      </w:r>
      <w:r w:rsidR="002679A7" w:rsidRPr="0002434F">
        <w:t>Phase II</w:t>
      </w:r>
      <w:r w:rsidRPr="0002434F">
        <w:t xml:space="preserve"> and </w:t>
      </w:r>
      <w:r w:rsidR="002679A7" w:rsidRPr="0002434F">
        <w:t>Phase III</w:t>
      </w:r>
      <w:r w:rsidRPr="0002434F">
        <w:t xml:space="preserve"> studies, of these 239 participants received at least one dose of </w:t>
      </w:r>
      <w:proofErr w:type="spellStart"/>
      <w:r w:rsidRPr="0002434F">
        <w:t>avacopan</w:t>
      </w:r>
      <w:proofErr w:type="spellEnd"/>
      <w:r w:rsidRPr="0002434F">
        <w:t xml:space="preserve"> (10 mg or 30 mg).</w:t>
      </w:r>
    </w:p>
    <w:p w14:paraId="65B26B9B" w14:textId="0FD5F747" w:rsidR="004F0248" w:rsidRPr="0002434F" w:rsidRDefault="004F0248" w:rsidP="001C2D33">
      <w:r w:rsidRPr="0002434F">
        <w:t xml:space="preserve">Exposure in the pivotal study is summarised in </w:t>
      </w:r>
      <w:r w:rsidRPr="0002434F">
        <w:fldChar w:fldCharType="begin"/>
      </w:r>
      <w:r w:rsidRPr="0002434F">
        <w:instrText xml:space="preserve"> REF _Ref117851755 \h </w:instrText>
      </w:r>
      <w:r w:rsidR="001C2D33" w:rsidRPr="0002434F">
        <w:instrText xml:space="preserve"> \* MERGEFORMAT </w:instrText>
      </w:r>
      <w:r w:rsidRPr="0002434F">
        <w:fldChar w:fldCharType="separate"/>
      </w:r>
      <w:r w:rsidR="0002434F" w:rsidRPr="0002434F">
        <w:t xml:space="preserve">Table </w:t>
      </w:r>
      <w:r w:rsidR="0002434F">
        <w:t>7</w:t>
      </w:r>
      <w:r w:rsidRPr="0002434F">
        <w:fldChar w:fldCharType="end"/>
      </w:r>
      <w:r w:rsidRPr="0002434F">
        <w:t xml:space="preserve">, and in the </w:t>
      </w:r>
      <w:r w:rsidR="002679A7" w:rsidRPr="0002434F">
        <w:t>Phase II</w:t>
      </w:r>
      <w:r w:rsidRPr="0002434F">
        <w:t xml:space="preserve"> studies in </w:t>
      </w:r>
      <w:r w:rsidRPr="0002434F">
        <w:fldChar w:fldCharType="begin"/>
      </w:r>
      <w:r w:rsidRPr="0002434F">
        <w:instrText xml:space="preserve"> REF _Ref117851811 \h </w:instrText>
      </w:r>
      <w:r w:rsidR="001C2D33" w:rsidRPr="0002434F">
        <w:instrText xml:space="preserve"> \* MERGEFORMAT </w:instrText>
      </w:r>
      <w:r w:rsidRPr="0002434F">
        <w:fldChar w:fldCharType="separate"/>
      </w:r>
      <w:r w:rsidR="0002434F" w:rsidRPr="0002434F">
        <w:t xml:space="preserve">Table </w:t>
      </w:r>
      <w:r w:rsidR="0002434F">
        <w:t>8</w:t>
      </w:r>
      <w:r w:rsidRPr="0002434F">
        <w:fldChar w:fldCharType="end"/>
      </w:r>
      <w:r w:rsidR="00794999" w:rsidRPr="0002434F">
        <w:t xml:space="preserve"> below</w:t>
      </w:r>
      <w:r w:rsidRPr="0002434F">
        <w:t>.</w:t>
      </w:r>
    </w:p>
    <w:p w14:paraId="08D706A2" w14:textId="553EA9AE" w:rsidR="004F0248" w:rsidRPr="0002434F" w:rsidRDefault="004F0248" w:rsidP="002A077D">
      <w:pPr>
        <w:pStyle w:val="TableTitle"/>
      </w:pPr>
      <w:bookmarkStart w:id="58" w:name="_Ref117851755"/>
      <w:r w:rsidRPr="0002434F">
        <w:lastRenderedPageBreak/>
        <w:t xml:space="preserve">Table </w:t>
      </w:r>
      <w:r w:rsidRPr="0002434F">
        <w:fldChar w:fldCharType="begin"/>
      </w:r>
      <w:r w:rsidRPr="0002434F">
        <w:instrText>SEQ Table \* ARABIC</w:instrText>
      </w:r>
      <w:r w:rsidRPr="0002434F">
        <w:fldChar w:fldCharType="separate"/>
      </w:r>
      <w:r w:rsidR="0002434F">
        <w:rPr>
          <w:noProof/>
        </w:rPr>
        <w:t>7</w:t>
      </w:r>
      <w:r w:rsidRPr="0002434F">
        <w:fldChar w:fldCharType="end"/>
      </w:r>
      <w:bookmarkEnd w:id="58"/>
      <w:r w:rsidRPr="0002434F">
        <w:t xml:space="preserve">: </w:t>
      </w:r>
      <w:r w:rsidR="002A077D" w:rsidRPr="0002434F">
        <w:t xml:space="preserve">Study </w:t>
      </w:r>
      <w:r w:rsidRPr="0002434F">
        <w:t>CL010_168 Exposure by duration</w:t>
      </w:r>
      <w:r w:rsidR="002A077D" w:rsidRPr="0002434F">
        <w:t xml:space="preserve"> (intent-to-treat population)</w:t>
      </w:r>
    </w:p>
    <w:p w14:paraId="0765DA19" w14:textId="527A2C49" w:rsidR="002A077D" w:rsidRPr="0002434F" w:rsidRDefault="002A077D" w:rsidP="002A077D">
      <w:r w:rsidRPr="0002434F">
        <w:rPr>
          <w:noProof/>
        </w:rPr>
        <w:drawing>
          <wp:inline distT="0" distB="0" distL="0" distR="0" wp14:anchorId="3401BD85" wp14:editId="3B32E2FD">
            <wp:extent cx="5759450" cy="2226945"/>
            <wp:effectExtent l="0" t="0" r="0" b="1905"/>
            <wp:docPr id="5" name="Picture 5" descr="Table 7: Study CL010_0168 Exposure by duration (intent-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 7: Study CL010_0168 Exposure by duration (intent-to-treat population)"/>
                    <pic:cNvPicPr/>
                  </pic:nvPicPr>
                  <pic:blipFill>
                    <a:blip r:embed="rId36"/>
                    <a:stretch>
                      <a:fillRect/>
                    </a:stretch>
                  </pic:blipFill>
                  <pic:spPr>
                    <a:xfrm>
                      <a:off x="0" y="0"/>
                      <a:ext cx="5759450" cy="2226945"/>
                    </a:xfrm>
                    <a:prstGeom prst="rect">
                      <a:avLst/>
                    </a:prstGeom>
                  </pic:spPr>
                </pic:pic>
              </a:graphicData>
            </a:graphic>
          </wp:inline>
        </w:drawing>
      </w:r>
    </w:p>
    <w:p w14:paraId="3C2628DA" w14:textId="016E9F51" w:rsidR="004F0248" w:rsidRPr="0002434F" w:rsidRDefault="002A077D" w:rsidP="002A077D">
      <w:pPr>
        <w:pStyle w:val="TableDescription"/>
      </w:pPr>
      <w:r w:rsidRPr="0002434F">
        <w:t>Abbreviations: N = number of subjects randomi</w:t>
      </w:r>
      <w:r w:rsidR="00B6240C" w:rsidRPr="0002434F">
        <w:t>s</w:t>
      </w:r>
      <w:r w:rsidRPr="0002434F">
        <w:t>ed to treatment group in the safety population; n = number of subjects or events in specified category; SD = standard deviation; SEM = standard error of mean.</w:t>
      </w:r>
    </w:p>
    <w:p w14:paraId="1EFA0F49" w14:textId="705302F8" w:rsidR="004F0248" w:rsidRPr="0002434F" w:rsidRDefault="004F0248" w:rsidP="002A077D">
      <w:pPr>
        <w:pStyle w:val="TableTitle"/>
      </w:pPr>
      <w:bookmarkStart w:id="59" w:name="_Ref117851811"/>
      <w:r w:rsidRPr="0002434F">
        <w:t xml:space="preserve">Table </w:t>
      </w:r>
      <w:r w:rsidRPr="0002434F">
        <w:fldChar w:fldCharType="begin"/>
      </w:r>
      <w:r w:rsidRPr="0002434F">
        <w:instrText>SEQ Table \* ARABIC</w:instrText>
      </w:r>
      <w:r w:rsidRPr="0002434F">
        <w:fldChar w:fldCharType="separate"/>
      </w:r>
      <w:r w:rsidR="0002434F">
        <w:rPr>
          <w:noProof/>
        </w:rPr>
        <w:t>8</w:t>
      </w:r>
      <w:r w:rsidRPr="0002434F">
        <w:fldChar w:fldCharType="end"/>
      </w:r>
      <w:bookmarkEnd w:id="59"/>
      <w:r w:rsidRPr="0002434F">
        <w:t xml:space="preserve">: </w:t>
      </w:r>
      <w:r w:rsidR="002679A7" w:rsidRPr="0002434F">
        <w:t>Phase II</w:t>
      </w:r>
      <w:r w:rsidRPr="0002434F">
        <w:t xml:space="preserve"> studies Exposure by duration</w:t>
      </w:r>
      <w:r w:rsidR="002A077D" w:rsidRPr="0002434F">
        <w:t xml:space="preserve"> (pooled safety population)</w:t>
      </w:r>
    </w:p>
    <w:p w14:paraId="36695417" w14:textId="56963D50" w:rsidR="002A077D" w:rsidRPr="0002434F" w:rsidRDefault="002A077D" w:rsidP="002A077D">
      <w:r w:rsidRPr="0002434F">
        <w:rPr>
          <w:noProof/>
        </w:rPr>
        <w:drawing>
          <wp:inline distT="0" distB="0" distL="0" distR="0" wp14:anchorId="3982E5BB" wp14:editId="7B29C2DE">
            <wp:extent cx="5759450" cy="1908810"/>
            <wp:effectExtent l="0" t="0" r="0" b="0"/>
            <wp:docPr id="6" name="Picture 6" descr="Table 8: Phase II studies Exposure by duration  (pooled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 8: Phase II studies Exposure by duration  (pooled safety population)"/>
                    <pic:cNvPicPr/>
                  </pic:nvPicPr>
                  <pic:blipFill>
                    <a:blip r:embed="rId37"/>
                    <a:stretch>
                      <a:fillRect/>
                    </a:stretch>
                  </pic:blipFill>
                  <pic:spPr>
                    <a:xfrm>
                      <a:off x="0" y="0"/>
                      <a:ext cx="5759450" cy="1908810"/>
                    </a:xfrm>
                    <a:prstGeom prst="rect">
                      <a:avLst/>
                    </a:prstGeom>
                  </pic:spPr>
                </pic:pic>
              </a:graphicData>
            </a:graphic>
          </wp:inline>
        </w:drawing>
      </w:r>
    </w:p>
    <w:p w14:paraId="1749D948" w14:textId="0F5F42C9" w:rsidR="002A077D" w:rsidRPr="0002434F" w:rsidRDefault="002A077D" w:rsidP="002A077D">
      <w:pPr>
        <w:pStyle w:val="TableDescription"/>
      </w:pPr>
      <w:r w:rsidRPr="0002434F">
        <w:t>Abbreviations: N = number of subjects randomi</w:t>
      </w:r>
      <w:r w:rsidR="00B6240C" w:rsidRPr="0002434F">
        <w:t>s</w:t>
      </w:r>
      <w:r w:rsidRPr="0002434F">
        <w:t>ed to treatment group in the safety population; n = number of subjects or events in specified category; SD = standard deviation; SEM = standard error of mean.</w:t>
      </w:r>
    </w:p>
    <w:p w14:paraId="7A29200F" w14:textId="1CB6438A" w:rsidR="004F0248" w:rsidRPr="0002434F" w:rsidRDefault="002A077D" w:rsidP="002A077D">
      <w:pPr>
        <w:pStyle w:val="TableDescription"/>
      </w:pPr>
      <w:r w:rsidRPr="0002434F">
        <w:t>* One subject in study CL003_168 had missing drug accountability data and is not included.</w:t>
      </w:r>
    </w:p>
    <w:p w14:paraId="125B99CD" w14:textId="2622A504" w:rsidR="007F3F71" w:rsidRPr="0002434F" w:rsidRDefault="004F0248" w:rsidP="001C2D33">
      <w:r w:rsidRPr="0002434F">
        <w:t>In the pivotal study CL010_168, 2</w:t>
      </w:r>
      <w:r w:rsidR="00794999" w:rsidRPr="0002434F">
        <w:t>,</w:t>
      </w:r>
      <w:r w:rsidRPr="0002434F">
        <w:t>139 treatment</w:t>
      </w:r>
      <w:r w:rsidR="00794999" w:rsidRPr="0002434F">
        <w:t xml:space="preserve"> </w:t>
      </w:r>
      <w:r w:rsidRPr="0002434F">
        <w:t>emergent adverse events (TEAEs) were seen in 161</w:t>
      </w:r>
      <w:r w:rsidR="00794999" w:rsidRPr="0002434F">
        <w:t> </w:t>
      </w:r>
      <w:r w:rsidRPr="0002434F">
        <w:t>participants (98.2%) in the prednisone group and 1</w:t>
      </w:r>
      <w:r w:rsidR="00794999" w:rsidRPr="0002434F">
        <w:t>,</w:t>
      </w:r>
      <w:r w:rsidRPr="0002434F">
        <w:t xml:space="preserve">779 TEAEs in 164 participants (98.8%) in the </w:t>
      </w:r>
      <w:proofErr w:type="spellStart"/>
      <w:r w:rsidRPr="0002434F">
        <w:t>avacopan</w:t>
      </w:r>
      <w:proofErr w:type="spellEnd"/>
      <w:r w:rsidRPr="0002434F">
        <w:t xml:space="preserve"> group</w:t>
      </w:r>
      <w:r w:rsidR="00794999" w:rsidRPr="0002434F">
        <w:t>. Of these, m</w:t>
      </w:r>
      <w:r w:rsidRPr="0002434F">
        <w:t xml:space="preserve">ost TEAEs in the 2 groups were moderate in severity (41.5% and 49.4% with prednisone and </w:t>
      </w:r>
      <w:proofErr w:type="spellStart"/>
      <w:r w:rsidRPr="0002434F">
        <w:t>avacopan</w:t>
      </w:r>
      <w:proofErr w:type="spellEnd"/>
      <w:r w:rsidRPr="0002434F">
        <w:t xml:space="preserve"> respectively) and </w:t>
      </w:r>
      <w:r w:rsidR="00C31D14" w:rsidRPr="0002434F">
        <w:t xml:space="preserve">approximately </w:t>
      </w:r>
      <w:r w:rsidRPr="0002434F">
        <w:t>25% of subjects in both treatment groups had severe TEAEs (</w:t>
      </w:r>
      <w:r w:rsidR="00794999" w:rsidRPr="0002434F">
        <w:t xml:space="preserve">see </w:t>
      </w:r>
      <w:r w:rsidRPr="0002434F">
        <w:fldChar w:fldCharType="begin"/>
      </w:r>
      <w:r w:rsidRPr="0002434F">
        <w:instrText xml:space="preserve"> REF _Ref117852316 \h </w:instrText>
      </w:r>
      <w:r w:rsidR="001C2D33" w:rsidRPr="0002434F">
        <w:instrText xml:space="preserve"> \* MERGEFORMAT </w:instrText>
      </w:r>
      <w:r w:rsidRPr="0002434F">
        <w:fldChar w:fldCharType="separate"/>
      </w:r>
      <w:r w:rsidR="0002434F" w:rsidRPr="0002434F">
        <w:t xml:space="preserve">Table </w:t>
      </w:r>
      <w:r w:rsidR="0002434F">
        <w:t>9</w:t>
      </w:r>
      <w:r w:rsidRPr="0002434F">
        <w:fldChar w:fldCharType="end"/>
      </w:r>
      <w:r w:rsidR="00794999" w:rsidRPr="0002434F">
        <w:t xml:space="preserve"> below</w:t>
      </w:r>
      <w:r w:rsidRPr="0002434F">
        <w:t>).</w:t>
      </w:r>
    </w:p>
    <w:p w14:paraId="589AEAEF" w14:textId="55BFA91F" w:rsidR="004F0248" w:rsidRPr="0002434F" w:rsidRDefault="004F0248" w:rsidP="002A077D">
      <w:pPr>
        <w:pStyle w:val="TableTitle"/>
      </w:pPr>
      <w:bookmarkStart w:id="60" w:name="_Ref117852316"/>
      <w:r w:rsidRPr="0002434F">
        <w:lastRenderedPageBreak/>
        <w:t xml:space="preserve">Table </w:t>
      </w:r>
      <w:r w:rsidRPr="0002434F">
        <w:fldChar w:fldCharType="begin"/>
      </w:r>
      <w:r w:rsidRPr="0002434F">
        <w:instrText>SEQ Table \* ARABIC</w:instrText>
      </w:r>
      <w:r w:rsidRPr="0002434F">
        <w:fldChar w:fldCharType="separate"/>
      </w:r>
      <w:r w:rsidR="0002434F">
        <w:rPr>
          <w:noProof/>
        </w:rPr>
        <w:t>9</w:t>
      </w:r>
      <w:r w:rsidRPr="0002434F">
        <w:fldChar w:fldCharType="end"/>
      </w:r>
      <w:bookmarkEnd w:id="60"/>
      <w:r w:rsidRPr="0002434F">
        <w:t xml:space="preserve">: </w:t>
      </w:r>
      <w:r w:rsidR="002A077D" w:rsidRPr="0002434F">
        <w:t xml:space="preserve">Study </w:t>
      </w:r>
      <w:r w:rsidRPr="0002434F">
        <w:t>CL010_168 Summary of treatment</w:t>
      </w:r>
      <w:r w:rsidR="00794999" w:rsidRPr="0002434F">
        <w:t xml:space="preserve"> </w:t>
      </w:r>
      <w:r w:rsidRPr="0002434F">
        <w:t>emergent adverse events</w:t>
      </w:r>
      <w:r w:rsidR="002A077D" w:rsidRPr="0002434F">
        <w:t xml:space="preserve"> (safety population)</w:t>
      </w:r>
    </w:p>
    <w:p w14:paraId="79DCF5F4" w14:textId="569B7448" w:rsidR="002A077D" w:rsidRPr="0002434F" w:rsidRDefault="002A077D" w:rsidP="002A077D">
      <w:r w:rsidRPr="0002434F">
        <w:rPr>
          <w:noProof/>
        </w:rPr>
        <w:drawing>
          <wp:inline distT="0" distB="0" distL="0" distR="0" wp14:anchorId="4009DAB7" wp14:editId="2C1B27D7">
            <wp:extent cx="5759450" cy="2891790"/>
            <wp:effectExtent l="0" t="0" r="0" b="3810"/>
            <wp:docPr id="7" name="Picture 7" descr="Table 9: Study CL010_168 Summary of treatment emergent adverse event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 9: Study CL010_168 Summary of treatment emergent adverse events  (safety population)"/>
                    <pic:cNvPicPr/>
                  </pic:nvPicPr>
                  <pic:blipFill>
                    <a:blip r:embed="rId38"/>
                    <a:stretch>
                      <a:fillRect/>
                    </a:stretch>
                  </pic:blipFill>
                  <pic:spPr>
                    <a:xfrm>
                      <a:off x="0" y="0"/>
                      <a:ext cx="5759450" cy="2891790"/>
                    </a:xfrm>
                    <a:prstGeom prst="rect">
                      <a:avLst/>
                    </a:prstGeom>
                  </pic:spPr>
                </pic:pic>
              </a:graphicData>
            </a:graphic>
          </wp:inline>
        </w:drawing>
      </w:r>
    </w:p>
    <w:p w14:paraId="7C648203" w14:textId="4C67ED84" w:rsidR="002A077D" w:rsidRPr="0002434F" w:rsidRDefault="002A077D" w:rsidP="002A077D">
      <w:pPr>
        <w:pStyle w:val="TableDescription"/>
      </w:pPr>
      <w:r w:rsidRPr="0002434F">
        <w:t>Abbreviations: N = number of subjects randomised to treatment group in the safety population; n = number of subjects in specified category; SAE = serious adverse event; TEAE = treatment emergent adverse event.</w:t>
      </w:r>
    </w:p>
    <w:p w14:paraId="1FBE792A" w14:textId="67A1EAAE" w:rsidR="007F3F71" w:rsidRPr="0002434F" w:rsidRDefault="002A077D" w:rsidP="002A077D">
      <w:pPr>
        <w:pStyle w:val="TableDescription"/>
      </w:pPr>
      <w:r w:rsidRPr="0002434F">
        <w:t>Note: An adverse event was considered treatment</w:t>
      </w:r>
      <w:r w:rsidR="00517B65" w:rsidRPr="0002434F">
        <w:t xml:space="preserve"> </w:t>
      </w:r>
      <w:r w:rsidRPr="0002434F">
        <w:t>emergent if the start date</w:t>
      </w:r>
      <w:r w:rsidR="00517B65" w:rsidRPr="0002434F">
        <w:t xml:space="preserve"> or </w:t>
      </w:r>
      <w:r w:rsidRPr="0002434F">
        <w:t>time of the event was on or after the date</w:t>
      </w:r>
      <w:r w:rsidR="00517B65" w:rsidRPr="0002434F">
        <w:t xml:space="preserve"> or </w:t>
      </w:r>
      <w:r w:rsidRPr="0002434F">
        <w:t>time of first dose of study medication.</w:t>
      </w:r>
    </w:p>
    <w:p w14:paraId="377CD37B" w14:textId="37119F05" w:rsidR="00321C8B" w:rsidRPr="0002434F" w:rsidRDefault="00321C8B" w:rsidP="001C2D33">
      <w:r w:rsidRPr="0002434F">
        <w:t xml:space="preserve">One participant randomised to </w:t>
      </w:r>
      <w:proofErr w:type="spellStart"/>
      <w:r w:rsidRPr="0002434F">
        <w:t>avacopan</w:t>
      </w:r>
      <w:proofErr w:type="spellEnd"/>
      <w:r w:rsidRPr="0002434F">
        <w:t xml:space="preserve"> died with acute myocardial infarction before commencing treatment. Two patients in this group died 79 and 110 days respectively after discontinuing </w:t>
      </w:r>
      <w:proofErr w:type="spellStart"/>
      <w:r w:rsidRPr="0002434F">
        <w:t>avacopan</w:t>
      </w:r>
      <w:proofErr w:type="spellEnd"/>
      <w:r w:rsidRPr="0002434F">
        <w:t xml:space="preserve">. One died of </w:t>
      </w:r>
      <w:proofErr w:type="gramStart"/>
      <w:r w:rsidRPr="0002434F">
        <w:t>GPA</w:t>
      </w:r>
      <w:proofErr w:type="gramEnd"/>
      <w:r w:rsidRPr="0002434F">
        <w:t xml:space="preserve"> and one died of pneumonia. Four deaths were reported in the prednisone group, recorded as diarrhoea, vomiting or fungal infection; unknown cause; acute myocardial infarction; and infectious pleural effusion. Reports of life threatening TEAE in the prednisone group included neutropaenia, small bowel haemorrhage, myocardial infarction, hyperglycaemia, pulmonary embolism, </w:t>
      </w:r>
      <w:proofErr w:type="spellStart"/>
      <w:r w:rsidRPr="0002434F">
        <w:t>lymphopaenia</w:t>
      </w:r>
      <w:proofErr w:type="spellEnd"/>
      <w:r w:rsidRPr="0002434F">
        <w:t xml:space="preserve"> and sepsis; and in the </w:t>
      </w:r>
      <w:proofErr w:type="spellStart"/>
      <w:r w:rsidRPr="0002434F">
        <w:t>avacopan</w:t>
      </w:r>
      <w:proofErr w:type="spellEnd"/>
      <w:r w:rsidRPr="0002434F">
        <w:t xml:space="preserve"> group included diabetic ketoacidosis, myocardial infarction (prior to drug treatment), pulmonary haemorrhage, GPA, metastatic pancreatic </w:t>
      </w:r>
      <w:proofErr w:type="gramStart"/>
      <w:r w:rsidRPr="0002434F">
        <w:t>cancer</w:t>
      </w:r>
      <w:proofErr w:type="gramEnd"/>
      <w:r w:rsidRPr="0002434F">
        <w:t xml:space="preserve"> and hepatitis B.</w:t>
      </w:r>
    </w:p>
    <w:p w14:paraId="3E3D72F6" w14:textId="0C6554B3" w:rsidR="004F0248" w:rsidRPr="0002434F" w:rsidRDefault="004F0248" w:rsidP="001C2D33">
      <w:r w:rsidRPr="0002434F">
        <w:t xml:space="preserve">In the smaller </w:t>
      </w:r>
      <w:r w:rsidR="002679A7" w:rsidRPr="0002434F">
        <w:t>Phase II</w:t>
      </w:r>
      <w:r w:rsidRPr="0002434F">
        <w:t xml:space="preserve"> trials, safety reports were available for the 84-day clinical trial period and to a total of 164 days. TEAEs were equally common among the various treatment groups, and predominantly mild or moderate. No deaths were recorded in either study. In </w:t>
      </w:r>
      <w:r w:rsidR="00794999" w:rsidRPr="0002434F">
        <w:t>S</w:t>
      </w:r>
      <w:r w:rsidRPr="0002434F">
        <w:t>tudy CL003_168, two life</w:t>
      </w:r>
      <w:r w:rsidR="00794999" w:rsidRPr="0002434F">
        <w:t xml:space="preserve"> </w:t>
      </w:r>
      <w:r w:rsidRPr="0002434F">
        <w:t>threatening events were reported. In the 10</w:t>
      </w:r>
      <w:r w:rsidR="00794999" w:rsidRPr="0002434F">
        <w:t xml:space="preserve"> </w:t>
      </w:r>
      <w:r w:rsidRPr="0002434F">
        <w:t xml:space="preserve">mg </w:t>
      </w:r>
      <w:proofErr w:type="spellStart"/>
      <w:r w:rsidR="00C31D14" w:rsidRPr="0002434F">
        <w:t>avacopan</w:t>
      </w:r>
      <w:proofErr w:type="spellEnd"/>
      <w:r w:rsidRPr="0002434F">
        <w:t xml:space="preserve"> </w:t>
      </w:r>
      <w:r w:rsidR="00C31D14" w:rsidRPr="0002434F">
        <w:t>twice daily</w:t>
      </w:r>
      <w:r w:rsidRPr="0002434F">
        <w:t xml:space="preserve"> + </w:t>
      </w:r>
      <w:r w:rsidR="00047A11" w:rsidRPr="0002434F">
        <w:t>prednisone</w:t>
      </w:r>
      <w:r w:rsidRPr="0002434F">
        <w:t xml:space="preserve"> group one participant had a </w:t>
      </w:r>
      <w:proofErr w:type="gramStart"/>
      <w:r w:rsidRPr="0002434F">
        <w:t>life</w:t>
      </w:r>
      <w:r w:rsidR="00794999" w:rsidRPr="0002434F">
        <w:t xml:space="preserve"> </w:t>
      </w:r>
      <w:r w:rsidRPr="0002434F">
        <w:t>threatening</w:t>
      </w:r>
      <w:proofErr w:type="gramEnd"/>
      <w:r w:rsidRPr="0002434F">
        <w:t xml:space="preserve"> event of neutropenia assessed as probably not related to study medication, but possibly related to rituximab. In the 30 mg </w:t>
      </w:r>
      <w:proofErr w:type="spellStart"/>
      <w:r w:rsidR="00C31D14" w:rsidRPr="0002434F">
        <w:t>avacopan</w:t>
      </w:r>
      <w:proofErr w:type="spellEnd"/>
      <w:r w:rsidRPr="0002434F">
        <w:t xml:space="preserve"> </w:t>
      </w:r>
      <w:r w:rsidR="00C31D14" w:rsidRPr="0002434F">
        <w:t>twice daily</w:t>
      </w:r>
      <w:r w:rsidRPr="0002434F">
        <w:t xml:space="preserve"> + </w:t>
      </w:r>
      <w:r w:rsidR="00047A11" w:rsidRPr="0002434F">
        <w:t>prednisone</w:t>
      </w:r>
      <w:r w:rsidRPr="0002434F">
        <w:t xml:space="preserve"> group one participant had a life-threatening event of sepsis originally assessed as possibly related to study medication but later considered to be a result of bile duct stricture. Serious TEAE reported in the pivotal study are summarised in </w:t>
      </w:r>
      <w:r w:rsidR="00794999" w:rsidRPr="0002434F">
        <w:fldChar w:fldCharType="begin"/>
      </w:r>
      <w:r w:rsidR="00794999" w:rsidRPr="0002434F">
        <w:instrText xml:space="preserve"> REF _Ref118118336 \h </w:instrText>
      </w:r>
      <w:r w:rsidR="002752E2" w:rsidRPr="0002434F">
        <w:instrText xml:space="preserve"> \* MERGEFORMAT </w:instrText>
      </w:r>
      <w:r w:rsidR="00794999" w:rsidRPr="0002434F">
        <w:fldChar w:fldCharType="separate"/>
      </w:r>
      <w:r w:rsidR="0002434F" w:rsidRPr="0002434F">
        <w:t xml:space="preserve">Table </w:t>
      </w:r>
      <w:r w:rsidR="0002434F">
        <w:rPr>
          <w:noProof/>
        </w:rPr>
        <w:t>10</w:t>
      </w:r>
      <w:r w:rsidR="00794999" w:rsidRPr="0002434F">
        <w:fldChar w:fldCharType="end"/>
      </w:r>
      <w:r w:rsidR="00794999" w:rsidRPr="0002434F">
        <w:t xml:space="preserve"> below</w:t>
      </w:r>
      <w:r w:rsidRPr="0002434F">
        <w:t>.</w:t>
      </w:r>
    </w:p>
    <w:p w14:paraId="162C5EE5" w14:textId="3A399BA5" w:rsidR="007F3F71" w:rsidRPr="0002434F" w:rsidRDefault="004F0248" w:rsidP="002A077D">
      <w:pPr>
        <w:pStyle w:val="TableTitle"/>
      </w:pPr>
      <w:bookmarkStart w:id="61" w:name="_Ref118118336"/>
      <w:bookmarkStart w:id="62" w:name="_Ref118118328"/>
      <w:r w:rsidRPr="0002434F">
        <w:lastRenderedPageBreak/>
        <w:t xml:space="preserve">Table </w:t>
      </w:r>
      <w:r w:rsidRPr="0002434F">
        <w:fldChar w:fldCharType="begin"/>
      </w:r>
      <w:r w:rsidRPr="0002434F">
        <w:instrText>SEQ Table \* ARABIC</w:instrText>
      </w:r>
      <w:r w:rsidRPr="0002434F">
        <w:fldChar w:fldCharType="separate"/>
      </w:r>
      <w:r w:rsidR="0002434F">
        <w:rPr>
          <w:noProof/>
        </w:rPr>
        <w:t>10</w:t>
      </w:r>
      <w:r w:rsidRPr="0002434F">
        <w:fldChar w:fldCharType="end"/>
      </w:r>
      <w:bookmarkEnd w:id="61"/>
      <w:r w:rsidRPr="0002434F">
        <w:t xml:space="preserve">: </w:t>
      </w:r>
      <w:r w:rsidR="002A077D" w:rsidRPr="0002434F">
        <w:t xml:space="preserve">Study </w:t>
      </w:r>
      <w:r w:rsidRPr="0002434F">
        <w:t xml:space="preserve">CL010_168 Serious </w:t>
      </w:r>
      <w:r w:rsidR="002A077D" w:rsidRPr="0002434F">
        <w:t xml:space="preserve">treatment emergent adverse events by </w:t>
      </w:r>
      <w:r w:rsidRPr="0002434F">
        <w:t>Preferred Term (</w:t>
      </w:r>
      <w:r w:rsidR="002A077D" w:rsidRPr="0002434F">
        <w:t xml:space="preserve">at least </w:t>
      </w:r>
      <w:r w:rsidRPr="0002434F">
        <w:t xml:space="preserve">1% in </w:t>
      </w:r>
      <w:r w:rsidR="002A077D" w:rsidRPr="0002434F">
        <w:t xml:space="preserve">either treatment group) by decreasing frequency in the </w:t>
      </w:r>
      <w:proofErr w:type="spellStart"/>
      <w:r w:rsidR="002A077D" w:rsidRPr="0002434F">
        <w:t>avacopan</w:t>
      </w:r>
      <w:proofErr w:type="spellEnd"/>
      <w:r w:rsidR="002A077D" w:rsidRPr="0002434F">
        <w:t xml:space="preserve"> treatment group (safety population)</w:t>
      </w:r>
      <w:bookmarkEnd w:id="62"/>
    </w:p>
    <w:p w14:paraId="65AFE19D" w14:textId="55F8A9BF" w:rsidR="002A077D" w:rsidRPr="0002434F" w:rsidRDefault="002A077D" w:rsidP="002A077D">
      <w:r w:rsidRPr="0002434F">
        <w:rPr>
          <w:noProof/>
        </w:rPr>
        <w:drawing>
          <wp:inline distT="0" distB="0" distL="0" distR="0" wp14:anchorId="06AC52DB" wp14:editId="51BCD613">
            <wp:extent cx="5759450" cy="7325995"/>
            <wp:effectExtent l="0" t="0" r="0" b="8255"/>
            <wp:docPr id="8" name="Picture 8" descr="Table 10: Study CL010_168 Serious treatment emergent adverse events by Preferred Term (at least 1% in either treatment group) by decreasing frequency in the avacopan treatment group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 10: Study CL010_168 Serious treatment emergent adverse events by Preferred Term (at least 1% in either treatment group) by decreasing frequency in the avacopan treatment group (safety population)"/>
                    <pic:cNvPicPr/>
                  </pic:nvPicPr>
                  <pic:blipFill>
                    <a:blip r:embed="rId39"/>
                    <a:stretch>
                      <a:fillRect/>
                    </a:stretch>
                  </pic:blipFill>
                  <pic:spPr>
                    <a:xfrm>
                      <a:off x="0" y="0"/>
                      <a:ext cx="5759450" cy="7325995"/>
                    </a:xfrm>
                    <a:prstGeom prst="rect">
                      <a:avLst/>
                    </a:prstGeom>
                  </pic:spPr>
                </pic:pic>
              </a:graphicData>
            </a:graphic>
          </wp:inline>
        </w:drawing>
      </w:r>
    </w:p>
    <w:p w14:paraId="3F94E831" w14:textId="6A219BC8" w:rsidR="002A077D" w:rsidRPr="0002434F" w:rsidRDefault="002A077D" w:rsidP="002A077D">
      <w:pPr>
        <w:pStyle w:val="TableTitle"/>
      </w:pPr>
      <w:r w:rsidRPr="0002434F">
        <w:lastRenderedPageBreak/>
        <w:fldChar w:fldCharType="begin"/>
      </w:r>
      <w:r w:rsidRPr="0002434F">
        <w:instrText xml:space="preserve"> REF _Ref118118336 \h  \* MERGEFORMAT </w:instrText>
      </w:r>
      <w:r w:rsidRPr="0002434F">
        <w:fldChar w:fldCharType="separate"/>
      </w:r>
      <w:r w:rsidR="0002434F" w:rsidRPr="0002434F">
        <w:t xml:space="preserve">Table </w:t>
      </w:r>
      <w:r w:rsidR="0002434F">
        <w:t>10</w:t>
      </w:r>
      <w:r w:rsidRPr="0002434F">
        <w:fldChar w:fldCharType="end"/>
      </w:r>
      <w:r w:rsidRPr="0002434F">
        <w:t xml:space="preserve"> continued: Study CL010_168 Serious treatment emergent adverse events by Preferred Term (at least 1% in either treatment group) by decreasing frequency in the </w:t>
      </w:r>
      <w:proofErr w:type="spellStart"/>
      <w:r w:rsidRPr="0002434F">
        <w:t>avacopan</w:t>
      </w:r>
      <w:proofErr w:type="spellEnd"/>
      <w:r w:rsidRPr="0002434F">
        <w:t xml:space="preserve"> treatment group (safety population)</w:t>
      </w:r>
    </w:p>
    <w:p w14:paraId="26B6BFED" w14:textId="29A25544" w:rsidR="004F0248" w:rsidRPr="0002434F" w:rsidRDefault="002A077D" w:rsidP="002A077D">
      <w:r w:rsidRPr="0002434F">
        <w:rPr>
          <w:noProof/>
        </w:rPr>
        <w:drawing>
          <wp:inline distT="0" distB="0" distL="0" distR="0" wp14:anchorId="53ADD729" wp14:editId="787B9679">
            <wp:extent cx="5759450" cy="3006725"/>
            <wp:effectExtent l="0" t="0" r="0" b="3175"/>
            <wp:docPr id="9" name="Picture 9" descr="Table 10 continued: Study CL010_168 Serious treatment emergent adverse events by Preferred Term (at least 1% in either treatment group) by decreasing frequency in the avacopan treatment group (safety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 10 continued: Study CL010_168 Serious treatment emergent adverse events by Preferred Term (at least 1% in either treatment group) by decreasing frequency in the avacopan treatment group (safety population) "/>
                    <pic:cNvPicPr/>
                  </pic:nvPicPr>
                  <pic:blipFill>
                    <a:blip r:embed="rId40"/>
                    <a:stretch>
                      <a:fillRect/>
                    </a:stretch>
                  </pic:blipFill>
                  <pic:spPr>
                    <a:xfrm>
                      <a:off x="0" y="0"/>
                      <a:ext cx="5759450" cy="3006725"/>
                    </a:xfrm>
                    <a:prstGeom prst="rect">
                      <a:avLst/>
                    </a:prstGeom>
                  </pic:spPr>
                </pic:pic>
              </a:graphicData>
            </a:graphic>
          </wp:inline>
        </w:drawing>
      </w:r>
    </w:p>
    <w:p w14:paraId="4BEDC07D" w14:textId="77215419" w:rsidR="004F0248" w:rsidRPr="0002434F" w:rsidRDefault="002A077D" w:rsidP="002A077D">
      <w:pPr>
        <w:pStyle w:val="TableDescription"/>
      </w:pPr>
      <w:r w:rsidRPr="0002434F">
        <w:t>Abbreviations: N = number of subjects randomi</w:t>
      </w:r>
      <w:r w:rsidR="00B6240C" w:rsidRPr="0002434F">
        <w:t>s</w:t>
      </w:r>
      <w:r w:rsidRPr="0002434F">
        <w:t>ed to treatment group in the safety population; n = number of subjects or events in specified category.</w:t>
      </w:r>
    </w:p>
    <w:p w14:paraId="7AFE49A2" w14:textId="77777777" w:rsidR="004F0248" w:rsidRPr="0002434F" w:rsidRDefault="004F0248" w:rsidP="001C2D33">
      <w:r w:rsidRPr="0002434F">
        <w:t xml:space="preserve">While overall, reports of serious TEAE were similar in the </w:t>
      </w:r>
      <w:proofErr w:type="spellStart"/>
      <w:r w:rsidRPr="0002434F">
        <w:t>avacopan</w:t>
      </w:r>
      <w:proofErr w:type="spellEnd"/>
      <w:r w:rsidRPr="0002434F">
        <w:t xml:space="preserve"> and prednisone groups, and reports of AAV (serious worsening disease) were most common in both groups; pneumonia, GPA, acute kidney injury and urinary tract infection were more common in the </w:t>
      </w:r>
      <w:proofErr w:type="spellStart"/>
      <w:r w:rsidRPr="0002434F">
        <w:t>avacopan</w:t>
      </w:r>
      <w:proofErr w:type="spellEnd"/>
      <w:r w:rsidRPr="0002434F">
        <w:t xml:space="preserve"> group whereas a range of other serious TEAE appeared more common in the prednisolone group.</w:t>
      </w:r>
    </w:p>
    <w:p w14:paraId="085BBDF9" w14:textId="1F480C08" w:rsidR="004F0248" w:rsidRPr="0002434F" w:rsidRDefault="004F0248" w:rsidP="001C2D33">
      <w:r w:rsidRPr="0002434F">
        <w:t xml:space="preserve">In the pivotal study nausea was the most frequently reported TEAE in the </w:t>
      </w:r>
      <w:proofErr w:type="spellStart"/>
      <w:r w:rsidRPr="0002434F">
        <w:t>avacopan</w:t>
      </w:r>
      <w:proofErr w:type="spellEnd"/>
      <w:r w:rsidRPr="0002434F">
        <w:t xml:space="preserve"> group and peripheral oedema the most frequently reported TEAE in the prednisone group. Those TEAEs with an incidence of &gt;</w:t>
      </w:r>
      <w:r w:rsidR="00794999" w:rsidRPr="0002434F">
        <w:t xml:space="preserve"> </w:t>
      </w:r>
      <w:r w:rsidRPr="0002434F">
        <w:t xml:space="preserve">2% higher in the </w:t>
      </w:r>
      <w:proofErr w:type="spellStart"/>
      <w:r w:rsidRPr="0002434F">
        <w:t>avacopan</w:t>
      </w:r>
      <w:proofErr w:type="spellEnd"/>
      <w:r w:rsidRPr="0002434F">
        <w:t xml:space="preserve"> compared to the prednisone group for TEAEs &gt;</w:t>
      </w:r>
      <w:r w:rsidR="00794999" w:rsidRPr="0002434F">
        <w:t> </w:t>
      </w:r>
      <w:r w:rsidRPr="0002434F">
        <w:t>5% in either treatment group were nausea, headache, vomiting and rash. Comparable TEAEs with an incidence of &gt;</w:t>
      </w:r>
      <w:r w:rsidR="00794999" w:rsidRPr="0002434F">
        <w:t> </w:t>
      </w:r>
      <w:r w:rsidRPr="0002434F">
        <w:t xml:space="preserve">2% higher in the prednisone group compared to </w:t>
      </w:r>
      <w:proofErr w:type="spellStart"/>
      <w:r w:rsidRPr="0002434F">
        <w:t>avacopan</w:t>
      </w:r>
      <w:proofErr w:type="spellEnd"/>
      <w:r w:rsidRPr="0002434F">
        <w:t xml:space="preserve"> for TEAEs &gt;</w:t>
      </w:r>
      <w:r w:rsidR="00794999" w:rsidRPr="0002434F">
        <w:t> </w:t>
      </w:r>
      <w:r w:rsidRPr="0002434F">
        <w:t xml:space="preserve">5% in either group were peripheral oedema, arthralgia, ANCA positive vasculitis (worsening of vasculitis), nasopharyngitis, muscle spasms, back pain, myalgia, pyrexia, epistaxis, anaemia, insomnia, hypercholesterolaemia, urinary tract infection, alopecia, </w:t>
      </w:r>
      <w:proofErr w:type="spellStart"/>
      <w:r w:rsidRPr="0002434F">
        <w:t>lymphopaenia</w:t>
      </w:r>
      <w:proofErr w:type="spellEnd"/>
      <w:r w:rsidRPr="0002434F">
        <w:t xml:space="preserve">, oropharyngeal pain, bronchitis, dyspepsia, Cushingoid and weight increase. Nausea was also the overall most common TEAE in the </w:t>
      </w:r>
      <w:r w:rsidR="002679A7" w:rsidRPr="0002434F">
        <w:t>Phase II</w:t>
      </w:r>
      <w:r w:rsidRPr="0002434F">
        <w:t xml:space="preserve"> studies, affecting around 20% of participants in any treatment group. Commonly reported (</w:t>
      </w:r>
      <w:r w:rsidR="00794999" w:rsidRPr="0002434F">
        <w:t xml:space="preserve">≥ </w:t>
      </w:r>
      <w:r w:rsidRPr="0002434F">
        <w:t>10% of subjects in any treatment group) TEAEs that occurred in a higher (</w:t>
      </w:r>
      <w:r w:rsidR="00794999" w:rsidRPr="0002434F">
        <w:t xml:space="preserve">≥ </w:t>
      </w:r>
      <w:r w:rsidRPr="0002434F">
        <w:t xml:space="preserve">2%) proportion of subjects in the </w:t>
      </w:r>
      <w:proofErr w:type="spellStart"/>
      <w:r w:rsidRPr="0002434F">
        <w:t>avacopan</w:t>
      </w:r>
      <w:proofErr w:type="spellEnd"/>
      <w:r w:rsidRPr="0002434F">
        <w:t xml:space="preserve"> group were nausea (21.9% compared to 19.4% in the prednisone group), hypertension (20.5% </w:t>
      </w:r>
      <w:r w:rsidR="00D025A9" w:rsidRPr="0002434F">
        <w:t>versus</w:t>
      </w:r>
      <w:r w:rsidRPr="0002434F">
        <w:t xml:space="preserve"> 16.7%), nasopharyngitis (16.4% </w:t>
      </w:r>
      <w:r w:rsidR="00D025A9" w:rsidRPr="0002434F">
        <w:t>versus</w:t>
      </w:r>
      <w:r w:rsidRPr="0002434F">
        <w:t xml:space="preserve"> 13.9%), vomiting (15.1% </w:t>
      </w:r>
      <w:r w:rsidR="00D025A9" w:rsidRPr="0002434F">
        <w:t>versus</w:t>
      </w:r>
      <w:r w:rsidRPr="0002434F">
        <w:t xml:space="preserve"> 2.8%), arthralgia (13.7% </w:t>
      </w:r>
      <w:r w:rsidR="00D025A9" w:rsidRPr="0002434F">
        <w:t>versus</w:t>
      </w:r>
      <w:r w:rsidRPr="0002434F">
        <w:t xml:space="preserve"> 5.6%), and diarrhoea (11.0% </w:t>
      </w:r>
      <w:r w:rsidR="00D025A9" w:rsidRPr="0002434F">
        <w:t>versus</w:t>
      </w:r>
      <w:r w:rsidRPr="0002434F">
        <w:t xml:space="preserve"> 8.3%). Commonly reported TEAEs that occurred in a higher proportion of subjects in the prednisone group included fatigue, constipation, cough, back pain, and muscle spasm.</w:t>
      </w:r>
    </w:p>
    <w:p w14:paraId="42939F25" w14:textId="50A12507" w:rsidR="004F0248" w:rsidRPr="0002434F" w:rsidRDefault="004F0248" w:rsidP="001C2D33">
      <w:r w:rsidRPr="0002434F">
        <w:t xml:space="preserve">Pre-defined adverse events of special interest in the clinical studies included infections, hepatic enzyme elevations, </w:t>
      </w:r>
      <w:proofErr w:type="spellStart"/>
      <w:r w:rsidRPr="0002434F">
        <w:t>neutropaenia</w:t>
      </w:r>
      <w:proofErr w:type="spellEnd"/>
      <w:r w:rsidRPr="0002434F">
        <w:t xml:space="preserve">, </w:t>
      </w:r>
      <w:proofErr w:type="spellStart"/>
      <w:r w:rsidRPr="0002434F">
        <w:t>lymphopaenia</w:t>
      </w:r>
      <w:proofErr w:type="spellEnd"/>
      <w:r w:rsidRPr="0002434F">
        <w:t xml:space="preserve"> and hypersensitivity</w:t>
      </w:r>
      <w:r w:rsidR="00794999" w:rsidRPr="0002434F">
        <w:t xml:space="preserve"> or </w:t>
      </w:r>
      <w:r w:rsidRPr="0002434F">
        <w:t xml:space="preserve">angioedema. Infections were very common in both treatment groups in the pivotal study, predominantly nasopharyngitis, upper respiratory tract infection and urinary tract infections. Nasopharyngitis and upper respiratory tract infections were also very common in the </w:t>
      </w:r>
      <w:r w:rsidR="002679A7" w:rsidRPr="0002434F">
        <w:t>Phase II</w:t>
      </w:r>
      <w:r w:rsidRPr="0002434F">
        <w:t xml:space="preserve"> studies, while other infections of the respiratory tract, urinary tract, gastrointestinal </w:t>
      </w:r>
      <w:proofErr w:type="gramStart"/>
      <w:r w:rsidRPr="0002434F">
        <w:t>tract</w:t>
      </w:r>
      <w:proofErr w:type="gramEnd"/>
      <w:r w:rsidRPr="0002434F">
        <w:t xml:space="preserve"> and skin were common. </w:t>
      </w:r>
      <w:r w:rsidR="008B23EE" w:rsidRPr="0002434F">
        <w:t>‘</w:t>
      </w:r>
      <w:r w:rsidRPr="0002434F">
        <w:t>Elevated hepatic enzymes</w:t>
      </w:r>
      <w:r w:rsidR="008B23EE" w:rsidRPr="0002434F">
        <w:t>’</w:t>
      </w:r>
      <w:r w:rsidRPr="0002434F">
        <w:t xml:space="preserve"> were reported for similar proportions of participants in </w:t>
      </w:r>
      <w:r w:rsidR="00047A11" w:rsidRPr="0002434F">
        <w:lastRenderedPageBreak/>
        <w:t>prednisone</w:t>
      </w:r>
      <w:r w:rsidRPr="0002434F">
        <w:t xml:space="preserve"> and </w:t>
      </w:r>
      <w:proofErr w:type="spellStart"/>
      <w:r w:rsidR="00C31D14" w:rsidRPr="0002434F">
        <w:t>avacopan</w:t>
      </w:r>
      <w:proofErr w:type="spellEnd"/>
      <w:r w:rsidRPr="0002434F">
        <w:t xml:space="preserve"> groups in the pivotal study, although reports for individual enzyme elevations were reported by only two or three participants (1.2</w:t>
      </w:r>
      <w:r w:rsidR="00794999" w:rsidRPr="0002434F">
        <w:t>% to</w:t>
      </w:r>
      <w:r w:rsidRPr="0002434F">
        <w:t xml:space="preserve"> 1.8%) in the </w:t>
      </w:r>
      <w:proofErr w:type="spellStart"/>
      <w:r w:rsidR="00C31D14" w:rsidRPr="0002434F">
        <w:t>avacopan</w:t>
      </w:r>
      <w:proofErr w:type="spellEnd"/>
      <w:r w:rsidRPr="0002434F">
        <w:t xml:space="preserve"> treatment arm and up to four participants (2.4%, AST elevated) and six participants (3.7%, ALT elevated, one Grade 4) in the </w:t>
      </w:r>
      <w:r w:rsidR="00047A11" w:rsidRPr="0002434F">
        <w:t>prednisone</w:t>
      </w:r>
      <w:r w:rsidRPr="0002434F">
        <w:t xml:space="preserve"> arm. Elevated transaminases (usually ALT) were reported in 1</w:t>
      </w:r>
      <w:r w:rsidR="00794999" w:rsidRPr="0002434F">
        <w:t xml:space="preserve"> of </w:t>
      </w:r>
      <w:r w:rsidRPr="0002434F">
        <w:t xml:space="preserve">36 participants receiving </w:t>
      </w:r>
      <w:r w:rsidR="00047A11" w:rsidRPr="0002434F">
        <w:t>prednisone</w:t>
      </w:r>
      <w:r w:rsidRPr="0002434F">
        <w:t xml:space="preserve"> in the </w:t>
      </w:r>
      <w:r w:rsidR="002679A7" w:rsidRPr="0002434F">
        <w:t>Phase II</w:t>
      </w:r>
      <w:r w:rsidRPr="0002434F">
        <w:t xml:space="preserve"> studies and 5</w:t>
      </w:r>
      <w:r w:rsidR="00794999" w:rsidRPr="0002434F">
        <w:t xml:space="preserve"> of </w:t>
      </w:r>
      <w:r w:rsidRPr="0002434F">
        <w:t xml:space="preserve">73 participants receiving </w:t>
      </w:r>
      <w:proofErr w:type="spellStart"/>
      <w:r w:rsidR="00C31D14" w:rsidRPr="0002434F">
        <w:t>avacopan</w:t>
      </w:r>
      <w:proofErr w:type="spellEnd"/>
      <w:r w:rsidRPr="0002434F">
        <w:t xml:space="preserve"> (one also receiving </w:t>
      </w:r>
      <w:r w:rsidR="00047A11" w:rsidRPr="0002434F">
        <w:t>prednisone</w:t>
      </w:r>
      <w:r w:rsidRPr="0002434F">
        <w:t xml:space="preserve">). Regarding </w:t>
      </w:r>
      <w:proofErr w:type="spellStart"/>
      <w:r w:rsidRPr="0002434F">
        <w:t>neutropaenia</w:t>
      </w:r>
      <w:proofErr w:type="spellEnd"/>
      <w:r w:rsidRPr="0002434F">
        <w:t xml:space="preserve"> and </w:t>
      </w:r>
      <w:proofErr w:type="spellStart"/>
      <w:r w:rsidRPr="0002434F">
        <w:t>lymphopaenia</w:t>
      </w:r>
      <w:proofErr w:type="spellEnd"/>
      <w:r w:rsidRPr="0002434F">
        <w:t xml:space="preserve">, in the pivotal study 39 participants (23.8%) in the </w:t>
      </w:r>
      <w:r w:rsidR="00047A11" w:rsidRPr="0002434F">
        <w:t>prednisone</w:t>
      </w:r>
      <w:r w:rsidRPr="0002434F">
        <w:t xml:space="preserve"> group and 31 participants (18.7%) in the </w:t>
      </w:r>
      <w:proofErr w:type="spellStart"/>
      <w:r w:rsidR="00C31D14" w:rsidRPr="0002434F">
        <w:t>avacopan</w:t>
      </w:r>
      <w:proofErr w:type="spellEnd"/>
      <w:r w:rsidRPr="0002434F">
        <w:t xml:space="preserve"> group had TEAEs associated with low white cell count. </w:t>
      </w:r>
      <w:proofErr w:type="spellStart"/>
      <w:r w:rsidRPr="0002434F">
        <w:t>Lymphopaenia</w:t>
      </w:r>
      <w:proofErr w:type="spellEnd"/>
      <w:r w:rsidRPr="0002434F">
        <w:t xml:space="preserve"> was seen in 18</w:t>
      </w:r>
      <w:r w:rsidR="00794999" w:rsidRPr="0002434F">
        <w:t> </w:t>
      </w:r>
      <w:r w:rsidRPr="0002434F">
        <w:t xml:space="preserve">participants (11.0%) in the </w:t>
      </w:r>
      <w:r w:rsidR="00047A11" w:rsidRPr="0002434F">
        <w:t>prednisone</w:t>
      </w:r>
      <w:r w:rsidRPr="0002434F">
        <w:t xml:space="preserve"> group and </w:t>
      </w:r>
      <w:r w:rsidR="00794999" w:rsidRPr="0002434F">
        <w:t>6</w:t>
      </w:r>
      <w:r w:rsidRPr="0002434F">
        <w:t xml:space="preserve"> </w:t>
      </w:r>
      <w:r w:rsidR="00794999" w:rsidRPr="0002434F">
        <w:t xml:space="preserve">participants </w:t>
      </w:r>
      <w:r w:rsidRPr="0002434F">
        <w:t xml:space="preserve">(3.6%) in the </w:t>
      </w:r>
      <w:proofErr w:type="spellStart"/>
      <w:r w:rsidR="00C31D14" w:rsidRPr="0002434F">
        <w:t>avacopan</w:t>
      </w:r>
      <w:proofErr w:type="spellEnd"/>
      <w:r w:rsidRPr="0002434F">
        <w:t xml:space="preserve"> group, </w:t>
      </w:r>
      <w:proofErr w:type="spellStart"/>
      <w:r w:rsidRPr="0002434F">
        <w:t>neutropaenia</w:t>
      </w:r>
      <w:proofErr w:type="spellEnd"/>
      <w:r w:rsidRPr="0002434F">
        <w:t xml:space="preserve"> in </w:t>
      </w:r>
      <w:r w:rsidR="00794999" w:rsidRPr="0002434F">
        <w:t>4</w:t>
      </w:r>
      <w:r w:rsidRPr="0002434F">
        <w:t xml:space="preserve"> participants (2.4%) in each treatment group and febrile neutropaenia in one participant (0.6%) in each group. Most reported cytopaenias were </w:t>
      </w:r>
      <w:r w:rsidR="00794999" w:rsidRPr="0002434F">
        <w:t xml:space="preserve">Grades </w:t>
      </w:r>
      <w:r w:rsidRPr="0002434F">
        <w:t xml:space="preserve">1 to 3. There were no reports of </w:t>
      </w:r>
      <w:proofErr w:type="spellStart"/>
      <w:r w:rsidRPr="0002434F">
        <w:t>neutropaenia</w:t>
      </w:r>
      <w:proofErr w:type="spellEnd"/>
      <w:r w:rsidRPr="0002434F">
        <w:t xml:space="preserve"> or </w:t>
      </w:r>
      <w:proofErr w:type="spellStart"/>
      <w:r w:rsidRPr="0002434F">
        <w:t>lymphopaenia</w:t>
      </w:r>
      <w:proofErr w:type="spellEnd"/>
      <w:r w:rsidRPr="0002434F">
        <w:t xml:space="preserve"> in the </w:t>
      </w:r>
      <w:r w:rsidR="002679A7" w:rsidRPr="0002434F">
        <w:t>Phase II</w:t>
      </w:r>
      <w:r w:rsidRPr="0002434F">
        <w:t xml:space="preserve"> studies.</w:t>
      </w:r>
    </w:p>
    <w:p w14:paraId="344D364B" w14:textId="4B6C07BA" w:rsidR="004F0248" w:rsidRPr="0002434F" w:rsidRDefault="004F0248" w:rsidP="001C2D33">
      <w:r w:rsidRPr="0002434F">
        <w:t xml:space="preserve">By </w:t>
      </w:r>
      <w:r w:rsidR="00794999" w:rsidRPr="0002434F">
        <w:t>Preferred Term</w:t>
      </w:r>
      <w:r w:rsidRPr="0002434F">
        <w:t>, several skin and subcutaneous disorders (24</w:t>
      </w:r>
      <w:r w:rsidR="00794999" w:rsidRPr="0002434F">
        <w:t xml:space="preserve"> patients</w:t>
      </w:r>
      <w:r w:rsidRPr="0002434F">
        <w:t>), and respiratory, thoracic and mediastinal disorders (9</w:t>
      </w:r>
      <w:r w:rsidR="00794999" w:rsidRPr="0002434F">
        <w:t xml:space="preserve"> patients</w:t>
      </w:r>
      <w:r w:rsidRPr="0002434F">
        <w:t xml:space="preserve">), were grouped with fewer </w:t>
      </w:r>
      <w:r w:rsidR="005E6453" w:rsidRPr="0002434F">
        <w:t>Preferred Term</w:t>
      </w:r>
      <w:r w:rsidRPr="0002434F">
        <w:t xml:space="preserve">s from the </w:t>
      </w:r>
      <w:r w:rsidR="005E6453" w:rsidRPr="0002434F">
        <w:t>System Organ Classes</w:t>
      </w:r>
      <w:r w:rsidRPr="0002434F">
        <w:t xml:space="preserve"> gastrointestinal disorders (3</w:t>
      </w:r>
      <w:r w:rsidR="00794999" w:rsidRPr="0002434F">
        <w:t xml:space="preserve"> patients</w:t>
      </w:r>
      <w:r w:rsidRPr="0002434F">
        <w:t>), immune system disorders (3</w:t>
      </w:r>
      <w:r w:rsidR="00794999" w:rsidRPr="0002434F">
        <w:t xml:space="preserve"> patients</w:t>
      </w:r>
      <w:r w:rsidRPr="0002434F">
        <w:t>), infections and infestations (2</w:t>
      </w:r>
      <w:r w:rsidR="00794999" w:rsidRPr="0002434F">
        <w:t xml:space="preserve"> patients</w:t>
      </w:r>
      <w:r w:rsidRPr="0002434F">
        <w:t>), blood and lymphatic system disorders (</w:t>
      </w:r>
      <w:r w:rsidR="00826EDB" w:rsidRPr="0002434F">
        <w:t>one</w:t>
      </w:r>
      <w:r w:rsidR="00794999" w:rsidRPr="0002434F">
        <w:t xml:space="preserve"> patient</w:t>
      </w:r>
      <w:r w:rsidRPr="0002434F">
        <w:t>), eye disorders (</w:t>
      </w:r>
      <w:r w:rsidR="00826EDB" w:rsidRPr="0002434F">
        <w:t>one</w:t>
      </w:r>
      <w:r w:rsidR="00794999" w:rsidRPr="0002434F">
        <w:t xml:space="preserve"> patient</w:t>
      </w:r>
      <w:r w:rsidRPr="0002434F">
        <w:t>) and general disorders (2</w:t>
      </w:r>
      <w:r w:rsidR="00794999" w:rsidRPr="0002434F">
        <w:t xml:space="preserve"> patients</w:t>
      </w:r>
      <w:r w:rsidRPr="0002434F">
        <w:t xml:space="preserve">) to capture reports of TEAE </w:t>
      </w:r>
      <w:r w:rsidR="008B23EE" w:rsidRPr="0002434F">
        <w:t>‘</w:t>
      </w:r>
      <w:r w:rsidRPr="0002434F">
        <w:t>associated with hypersensitivity</w:t>
      </w:r>
      <w:r w:rsidR="008B23EE" w:rsidRPr="0002434F">
        <w:t>’</w:t>
      </w:r>
      <w:r w:rsidRPr="0002434F">
        <w:t xml:space="preserve"> in the pivotal study. Overall, there were 70 reports (42.7%) in the </w:t>
      </w:r>
      <w:r w:rsidR="00047A11" w:rsidRPr="0002434F">
        <w:t>prednisone</w:t>
      </w:r>
      <w:r w:rsidRPr="0002434F">
        <w:t xml:space="preserve"> group and 68 reports (41.0%) in the </w:t>
      </w:r>
      <w:proofErr w:type="spellStart"/>
      <w:r w:rsidR="00C31D14" w:rsidRPr="0002434F">
        <w:t>avacopan</w:t>
      </w:r>
      <w:proofErr w:type="spellEnd"/>
      <w:r w:rsidRPr="0002434F">
        <w:t xml:space="preserve"> group, most (33.5% and 30.7% of all reports, in </w:t>
      </w:r>
      <w:r w:rsidR="00047A11" w:rsidRPr="0002434F">
        <w:t>prednisone</w:t>
      </w:r>
      <w:r w:rsidRPr="0002434F">
        <w:t xml:space="preserve"> and </w:t>
      </w:r>
      <w:proofErr w:type="spellStart"/>
      <w:r w:rsidR="00C31D14" w:rsidRPr="0002434F">
        <w:t>avacopan</w:t>
      </w:r>
      <w:proofErr w:type="spellEnd"/>
      <w:r w:rsidRPr="0002434F">
        <w:t xml:space="preserve"> groups respectively) in the skin and subcutaneous disorders </w:t>
      </w:r>
      <w:r w:rsidR="005E6453" w:rsidRPr="0002434F">
        <w:t>System Organ Class</w:t>
      </w:r>
      <w:r w:rsidRPr="0002434F">
        <w:t xml:space="preserve"> including rash, pruritis, dermatitis acneiform and pruritis generali</w:t>
      </w:r>
      <w:r w:rsidR="00F86C81" w:rsidRPr="0002434F">
        <w:t>s</w:t>
      </w:r>
      <w:r w:rsidRPr="0002434F">
        <w:t xml:space="preserve">ed. Other frequent reports in the </w:t>
      </w:r>
      <w:r w:rsidR="00047A11" w:rsidRPr="0002434F">
        <w:t>prednisone</w:t>
      </w:r>
      <w:r w:rsidRPr="0002434F">
        <w:t xml:space="preserve"> group included </w:t>
      </w:r>
      <w:r w:rsidR="008B23EE" w:rsidRPr="0002434F">
        <w:t>‘</w:t>
      </w:r>
      <w:r w:rsidRPr="0002434F">
        <w:t>erythema</w:t>
      </w:r>
      <w:r w:rsidR="008B23EE" w:rsidRPr="0002434F">
        <w:t>’</w:t>
      </w:r>
      <w:r w:rsidRPr="0002434F">
        <w:t xml:space="preserve"> (3.0%), </w:t>
      </w:r>
      <w:r w:rsidR="008B23EE" w:rsidRPr="0002434F">
        <w:t>‘</w:t>
      </w:r>
      <w:r w:rsidRPr="0002434F">
        <w:t>swelling face</w:t>
      </w:r>
      <w:r w:rsidR="008B23EE" w:rsidRPr="0002434F">
        <w:t>’</w:t>
      </w:r>
      <w:r w:rsidRPr="0002434F">
        <w:t xml:space="preserve"> (3.7%) and </w:t>
      </w:r>
      <w:r w:rsidR="008B23EE" w:rsidRPr="0002434F">
        <w:t>‘</w:t>
      </w:r>
      <w:r w:rsidRPr="0002434F">
        <w:t>drug hypersensitivity</w:t>
      </w:r>
      <w:r w:rsidR="008B23EE" w:rsidRPr="0002434F">
        <w:t>’</w:t>
      </w:r>
      <w:r w:rsidRPr="0002434F">
        <w:t xml:space="preserve"> (3.0%). There was one report of </w:t>
      </w:r>
      <w:r w:rsidR="008B23EE" w:rsidRPr="0002434F">
        <w:t>‘</w:t>
      </w:r>
      <w:r w:rsidRPr="0002434F">
        <w:t>localised oedema</w:t>
      </w:r>
      <w:r w:rsidR="008B23EE" w:rsidRPr="0002434F">
        <w:t>’</w:t>
      </w:r>
      <w:r w:rsidRPr="0002434F">
        <w:t xml:space="preserve"> in the </w:t>
      </w:r>
      <w:r w:rsidR="00047A11" w:rsidRPr="0002434F">
        <w:t>prednisone</w:t>
      </w:r>
      <w:r w:rsidRPr="0002434F">
        <w:t xml:space="preserve"> group. In the </w:t>
      </w:r>
      <w:proofErr w:type="spellStart"/>
      <w:r w:rsidR="00C31D14" w:rsidRPr="0002434F">
        <w:t>avacopan</w:t>
      </w:r>
      <w:proofErr w:type="spellEnd"/>
      <w:r w:rsidRPr="0002434F">
        <w:t xml:space="preserve"> group, other frequent reports included </w:t>
      </w:r>
      <w:r w:rsidR="008B23EE" w:rsidRPr="0002434F">
        <w:t>‘</w:t>
      </w:r>
      <w:r w:rsidRPr="0002434F">
        <w:t>mouth ulceration</w:t>
      </w:r>
      <w:r w:rsidR="008B23EE" w:rsidRPr="0002434F">
        <w:t>’</w:t>
      </w:r>
      <w:r w:rsidRPr="0002434F">
        <w:t xml:space="preserve"> (4.8%); </w:t>
      </w:r>
      <w:r w:rsidR="008B23EE" w:rsidRPr="0002434F">
        <w:t>‘</w:t>
      </w:r>
      <w:r w:rsidRPr="0002434F">
        <w:t>drug hypersensitivity</w:t>
      </w:r>
      <w:r w:rsidR="008B23EE" w:rsidRPr="0002434F">
        <w:t>’</w:t>
      </w:r>
      <w:r w:rsidRPr="0002434F">
        <w:t xml:space="preserve"> was reported by three participants (1.8%) and </w:t>
      </w:r>
      <w:r w:rsidR="008B23EE" w:rsidRPr="0002434F">
        <w:t>‘</w:t>
      </w:r>
      <w:r w:rsidRPr="0002434F">
        <w:t>face oedema</w:t>
      </w:r>
      <w:r w:rsidR="008B23EE" w:rsidRPr="0002434F">
        <w:t>’</w:t>
      </w:r>
      <w:r w:rsidRPr="0002434F">
        <w:t xml:space="preserve"> by one participant.</w:t>
      </w:r>
    </w:p>
    <w:p w14:paraId="41B597CD" w14:textId="320E0837" w:rsidR="007F3F71" w:rsidRPr="0002434F" w:rsidRDefault="004F0248" w:rsidP="001C2D33">
      <w:r w:rsidRPr="0002434F">
        <w:t>Adverse events potentially related to glucocorticoid use were specifically reported for the pivotal study. Using European Alliance of Associations for Rheumatology (EULAR)</w:t>
      </w:r>
      <w:r w:rsidR="005E6453" w:rsidRPr="0002434F">
        <w:rPr>
          <w:rStyle w:val="FootnoteReference"/>
        </w:rPr>
        <w:footnoteReference w:id="18"/>
      </w:r>
      <w:r w:rsidRPr="0002434F">
        <w:t xml:space="preserve"> recommended search terms to identify glucocorticoid</w:t>
      </w:r>
      <w:r w:rsidR="00794999" w:rsidRPr="0002434F">
        <w:t xml:space="preserve"> </w:t>
      </w:r>
      <w:r w:rsidRPr="0002434F">
        <w:t xml:space="preserve">associated AEs, the investigators reported that the total incidences of these AEs were 80.5% with prednisone and 66.3% with </w:t>
      </w:r>
      <w:proofErr w:type="spellStart"/>
      <w:r w:rsidRPr="0002434F">
        <w:t>avacopan</w:t>
      </w:r>
      <w:proofErr w:type="spellEnd"/>
      <w:r w:rsidRPr="0002434F">
        <w:t xml:space="preserve">. By preferred term, higher incidences with prednisone compared to </w:t>
      </w:r>
      <w:proofErr w:type="spellStart"/>
      <w:r w:rsidRPr="0002434F">
        <w:t>avacopan</w:t>
      </w:r>
      <w:proofErr w:type="spellEnd"/>
      <w:r w:rsidRPr="0002434F">
        <w:t xml:space="preserve"> respectively were reported for weight gain (10.4% </w:t>
      </w:r>
      <w:r w:rsidR="00D025A9" w:rsidRPr="0002434F">
        <w:t>versus</w:t>
      </w:r>
      <w:r w:rsidRPr="0002434F">
        <w:t xml:space="preserve"> 0.6% respectively), insomnia (15.2% </w:t>
      </w:r>
      <w:r w:rsidR="00D025A9" w:rsidRPr="0002434F">
        <w:t>versus</w:t>
      </w:r>
      <w:r w:rsidRPr="0002434F">
        <w:t xml:space="preserve"> 7.8%), hyperlipidaemia (2.4% </w:t>
      </w:r>
      <w:r w:rsidR="00D025A9" w:rsidRPr="0002434F">
        <w:t>versus</w:t>
      </w:r>
      <w:r w:rsidRPr="0002434F">
        <w:t xml:space="preserve"> 0.0%), adrenal insufficiency (4.9% </w:t>
      </w:r>
      <w:r w:rsidR="00D025A9" w:rsidRPr="0002434F">
        <w:t>versus</w:t>
      </w:r>
      <w:r w:rsidRPr="0002434F">
        <w:t xml:space="preserve"> 0.6%), blood glucose increase (3.0% </w:t>
      </w:r>
      <w:r w:rsidR="00D025A9" w:rsidRPr="0002434F">
        <w:t>versus</w:t>
      </w:r>
      <w:r w:rsidRPr="0002434F">
        <w:t xml:space="preserve"> 0.0%) and irritability (2.4% </w:t>
      </w:r>
      <w:r w:rsidR="00D025A9" w:rsidRPr="0002434F">
        <w:t>versus</w:t>
      </w:r>
      <w:r w:rsidRPr="0002434F">
        <w:t xml:space="preserve"> 0.0%).</w:t>
      </w:r>
      <w:r w:rsidR="007F3F71" w:rsidRPr="0002434F">
        <w:t xml:space="preserve"> </w:t>
      </w:r>
      <w:r w:rsidRPr="0002434F">
        <w:t xml:space="preserve">By </w:t>
      </w:r>
      <w:r w:rsidR="005E6453" w:rsidRPr="0002434F">
        <w:t>System Organ Class</w:t>
      </w:r>
      <w:r w:rsidRPr="0002434F">
        <w:t xml:space="preserve">, </w:t>
      </w:r>
      <w:r w:rsidR="00826EDB" w:rsidRPr="0002434F">
        <w:t xml:space="preserve">a higher incidence of events probably related to glucocorticoid use in the prednisone group compared to the </w:t>
      </w:r>
      <w:proofErr w:type="spellStart"/>
      <w:r w:rsidR="00826EDB" w:rsidRPr="0002434F">
        <w:t>avacopan</w:t>
      </w:r>
      <w:proofErr w:type="spellEnd"/>
      <w:r w:rsidR="00826EDB" w:rsidRPr="0002434F">
        <w:t xml:space="preserve"> group was seen in infections and infestations (35.4% versus 25.3%, respectively), skin and subcutaneous tissue disorders (22.6% versus 10.8%, respectively), investigations (15.9% versus 9.0%, respectively), psychiatric disorders (18.9% versus 7.2%, respectively), metabolism and nutrition disorders (17.1% versus 8.4%, respectively), vascular disorders (11.0% versus 5.4%, respectively), blood and lymphatic system disorders (13.4% versus 4.8%, respectively), eye disorders (7.9% versus 3.6%, respectively), and endocrine disorders (7.3% versus 1.8%, respectivel</w:t>
      </w:r>
      <w:r w:rsidRPr="0002434F">
        <w:t xml:space="preserve">y). The safety reports align with the results of the secondary efficacy endpoint, the </w:t>
      </w:r>
      <w:r w:rsidR="002752E2" w:rsidRPr="0002434F">
        <w:t>glucose toxicity index</w:t>
      </w:r>
      <w:r w:rsidRPr="0002434F">
        <w:t>, and are consistent with higher overall exposures to glucocorticoids in the prednisone arm of the pivotal study.</w:t>
      </w:r>
    </w:p>
    <w:p w14:paraId="604DAEF5" w14:textId="054892F5" w:rsidR="004F0248" w:rsidRPr="0002434F" w:rsidRDefault="004F0248" w:rsidP="001C2D33">
      <w:r w:rsidRPr="0002434F">
        <w:t xml:space="preserve">The </w:t>
      </w:r>
      <w:r w:rsidR="00241EA0" w:rsidRPr="0002434F">
        <w:t xml:space="preserve">clinical </w:t>
      </w:r>
      <w:r w:rsidRPr="0002434F">
        <w:t>evaluat</w:t>
      </w:r>
      <w:r w:rsidR="00241EA0" w:rsidRPr="0002434F">
        <w:t>ion</w:t>
      </w:r>
      <w:r w:rsidRPr="0002434F">
        <w:t xml:space="preserve"> summarised the following additional safety findings for noting:</w:t>
      </w:r>
    </w:p>
    <w:p w14:paraId="447BF2A7" w14:textId="757A1DC2" w:rsidR="007F3F71" w:rsidRPr="0002434F" w:rsidRDefault="004F0248" w:rsidP="00826EDB">
      <w:pPr>
        <w:pStyle w:val="ListBullet"/>
      </w:pPr>
      <w:r w:rsidRPr="0002434F">
        <w:lastRenderedPageBreak/>
        <w:t xml:space="preserve">In the </w:t>
      </w:r>
      <w:r w:rsidR="002679A7" w:rsidRPr="0002434F">
        <w:t>Phase III</w:t>
      </w:r>
      <w:r w:rsidR="00826EDB" w:rsidRPr="0002434F">
        <w:t xml:space="preserve"> S</w:t>
      </w:r>
      <w:r w:rsidRPr="0002434F">
        <w:t xml:space="preserve">tudy CL010_168, </w:t>
      </w:r>
      <w:proofErr w:type="spellStart"/>
      <w:r w:rsidRPr="0002434F">
        <w:t>avacopan</w:t>
      </w:r>
      <w:proofErr w:type="spellEnd"/>
      <w:r w:rsidRPr="0002434F">
        <w:t xml:space="preserve"> was well tolerated with lower proportions of patients in the </w:t>
      </w:r>
      <w:proofErr w:type="spellStart"/>
      <w:r w:rsidRPr="0002434F">
        <w:t>avacopan</w:t>
      </w:r>
      <w:proofErr w:type="spellEnd"/>
      <w:r w:rsidRPr="0002434F">
        <w:t xml:space="preserve"> group experiencing infection, life</w:t>
      </w:r>
      <w:r w:rsidR="00826EDB" w:rsidRPr="0002434F">
        <w:t xml:space="preserve"> </w:t>
      </w:r>
      <w:r w:rsidRPr="0002434F">
        <w:t xml:space="preserve">threatening infection and infections resulting in death. Gastroenteritis however was more common in the </w:t>
      </w:r>
      <w:proofErr w:type="spellStart"/>
      <w:r w:rsidRPr="0002434F">
        <w:t>avacopan</w:t>
      </w:r>
      <w:proofErr w:type="spellEnd"/>
      <w:r w:rsidRPr="0002434F">
        <w:t xml:space="preserve"> than in the prednisone group.</w:t>
      </w:r>
    </w:p>
    <w:p w14:paraId="23047B7C" w14:textId="3EB01C08" w:rsidR="004F0248" w:rsidRPr="0002434F" w:rsidRDefault="004F0248" w:rsidP="00826EDB">
      <w:pPr>
        <w:pStyle w:val="ListBullet"/>
      </w:pPr>
      <w:r w:rsidRPr="0002434F">
        <w:t xml:space="preserve">There were slightly more participants in the </w:t>
      </w:r>
      <w:proofErr w:type="spellStart"/>
      <w:r w:rsidRPr="0002434F">
        <w:t>avacopan</w:t>
      </w:r>
      <w:proofErr w:type="spellEnd"/>
      <w:r w:rsidRPr="0002434F">
        <w:t xml:space="preserve"> group </w:t>
      </w:r>
      <w:r w:rsidR="00D025A9" w:rsidRPr="0002434F">
        <w:t>versus</w:t>
      </w:r>
      <w:r w:rsidRPr="0002434F">
        <w:t xml:space="preserve"> prednisone with signs or symptoms of hepatic dysfunction. Most of the ALT and AST elevations in both treatment groups were of </w:t>
      </w:r>
      <w:r w:rsidR="00826EDB" w:rsidRPr="0002434F">
        <w:t xml:space="preserve">Grade </w:t>
      </w:r>
      <w:r w:rsidRPr="0002434F">
        <w:t>1 severity.</w:t>
      </w:r>
    </w:p>
    <w:p w14:paraId="6EE0CF15" w14:textId="7E3B4D78" w:rsidR="007F3F71" w:rsidRPr="0002434F" w:rsidRDefault="004F0248" w:rsidP="00826EDB">
      <w:pPr>
        <w:pStyle w:val="ListBullet"/>
      </w:pPr>
      <w:r w:rsidRPr="0002434F">
        <w:t xml:space="preserve">There were fewer AEs potentially related to glucocorticoid use with </w:t>
      </w:r>
      <w:proofErr w:type="spellStart"/>
      <w:r w:rsidRPr="0002434F">
        <w:t>avacopan</w:t>
      </w:r>
      <w:proofErr w:type="spellEnd"/>
      <w:r w:rsidRPr="0002434F">
        <w:t xml:space="preserve"> </w:t>
      </w:r>
      <w:r w:rsidR="00D025A9" w:rsidRPr="0002434F">
        <w:t>versus</w:t>
      </w:r>
      <w:r w:rsidRPr="0002434F">
        <w:t xml:space="preserve"> prednisone groups. These included weight gain, insomnia, hyperlipidaemia, adrenal insufficiency, blood glucose increase and irritability.</w:t>
      </w:r>
    </w:p>
    <w:p w14:paraId="4B59D218" w14:textId="64763AAE" w:rsidR="007F3F71" w:rsidRPr="0002434F" w:rsidRDefault="004F0248" w:rsidP="00826EDB">
      <w:pPr>
        <w:pStyle w:val="ListBullet"/>
      </w:pPr>
      <w:r w:rsidRPr="0002434F">
        <w:t xml:space="preserve">Episodes of elevated creatine phosphokinase were seen with </w:t>
      </w:r>
      <w:proofErr w:type="spellStart"/>
      <w:r w:rsidRPr="0002434F">
        <w:t>avacopan</w:t>
      </w:r>
      <w:proofErr w:type="spellEnd"/>
      <w:r w:rsidRPr="0002434F">
        <w:t xml:space="preserve"> </w:t>
      </w:r>
      <w:r w:rsidR="00D025A9" w:rsidRPr="0002434F">
        <w:t>versus</w:t>
      </w:r>
      <w:r w:rsidRPr="0002434F">
        <w:t xml:space="preserve"> prednisone although these were within the normal range and there were no episodes of rhabdomyolysis.</w:t>
      </w:r>
    </w:p>
    <w:p w14:paraId="699628EC" w14:textId="05302F62" w:rsidR="004F0248" w:rsidRPr="0002434F" w:rsidRDefault="004F0248" w:rsidP="00826EDB">
      <w:pPr>
        <w:pStyle w:val="ListBullet"/>
      </w:pPr>
      <w:r w:rsidRPr="0002434F">
        <w:t>Follow-up renal biopsy was not mandated per protocol, although small numbers (&lt;</w:t>
      </w:r>
      <w:r w:rsidR="00826EDB" w:rsidRPr="0002434F">
        <w:t xml:space="preserve"> </w:t>
      </w:r>
      <w:r w:rsidRPr="0002434F">
        <w:t xml:space="preserve">10%) in each group had follow-up biopsies at either </w:t>
      </w:r>
      <w:r w:rsidR="00AD36A0" w:rsidRPr="0002434F">
        <w:t>Week 5</w:t>
      </w:r>
      <w:r w:rsidRPr="0002434F">
        <w:t>2 or at other visits. Improvement in active renal disease was seen in both groups.</w:t>
      </w:r>
    </w:p>
    <w:p w14:paraId="2858B006" w14:textId="77777777" w:rsidR="00C22214" w:rsidRPr="0002434F" w:rsidRDefault="00C22214" w:rsidP="00C22214">
      <w:pPr>
        <w:pStyle w:val="Heading3"/>
        <w:rPr>
          <w:lang w:eastAsia="en-AU"/>
        </w:rPr>
      </w:pPr>
      <w:bookmarkStart w:id="63" w:name="_Toc314842514"/>
      <w:bookmarkStart w:id="64" w:name="_Toc103679298"/>
      <w:bookmarkStart w:id="65" w:name="_Toc147390250"/>
      <w:r w:rsidRPr="0002434F">
        <w:rPr>
          <w:lang w:eastAsia="en-AU"/>
        </w:rPr>
        <w:t>Risk management plan</w:t>
      </w:r>
      <w:bookmarkEnd w:id="63"/>
      <w:bookmarkEnd w:id="64"/>
      <w:bookmarkEnd w:id="65"/>
    </w:p>
    <w:p w14:paraId="50F46CE0" w14:textId="55ADCE21" w:rsidR="007F3F71" w:rsidRPr="0002434F" w:rsidRDefault="00826EDB" w:rsidP="001C2D33">
      <w:bookmarkStart w:id="66" w:name="_Toc247691531"/>
      <w:bookmarkStart w:id="67" w:name="_Toc314842515"/>
      <w:r w:rsidRPr="0002434F">
        <w:t>The sponsor</w:t>
      </w:r>
      <w:r w:rsidR="004F0248" w:rsidRPr="0002434F">
        <w:t xml:space="preserve"> has submitted </w:t>
      </w:r>
      <w:r w:rsidR="005E6453" w:rsidRPr="0002434F">
        <w:t>European</w:t>
      </w:r>
      <w:r w:rsidR="004F0248" w:rsidRPr="0002434F">
        <w:t>-</w:t>
      </w:r>
      <w:r w:rsidR="005E6453" w:rsidRPr="0002434F">
        <w:t>risk management plan (</w:t>
      </w:r>
      <w:r w:rsidR="004F0248" w:rsidRPr="0002434F">
        <w:t>RMP</w:t>
      </w:r>
      <w:r w:rsidR="005E6453" w:rsidRPr="0002434F">
        <w:t>)</w:t>
      </w:r>
      <w:r w:rsidR="004F0248" w:rsidRPr="0002434F">
        <w:t xml:space="preserve"> version 1.5 (dated 3 November 2021; </w:t>
      </w:r>
      <w:r w:rsidR="005E6453" w:rsidRPr="0002434F">
        <w:t>data lock point (</w:t>
      </w:r>
      <w:r w:rsidR="004F0248" w:rsidRPr="0002434F">
        <w:t>DLP</w:t>
      </w:r>
      <w:r w:rsidR="005E6453" w:rsidRPr="0002434F">
        <w:t>)</w:t>
      </w:r>
      <w:r w:rsidR="004F0248" w:rsidRPr="0002434F">
        <w:t xml:space="preserve"> 24 March 2020) and </w:t>
      </w:r>
      <w:r w:rsidR="005E6453" w:rsidRPr="0002434F">
        <w:t xml:space="preserve">Australia specific annex (ASA </w:t>
      </w:r>
      <w:r w:rsidR="004F0248" w:rsidRPr="0002434F">
        <w:t>version 1 (dated 1 Dec</w:t>
      </w:r>
      <w:r w:rsidRPr="0002434F">
        <w:t>ember</w:t>
      </w:r>
      <w:r w:rsidR="004F0248" w:rsidRPr="0002434F">
        <w:t xml:space="preserve"> 2020) in support of this application.</w:t>
      </w:r>
    </w:p>
    <w:p w14:paraId="4727EA86" w14:textId="023EC177" w:rsidR="007F3F71" w:rsidRPr="0002434F" w:rsidRDefault="004F0248" w:rsidP="001C2D33">
      <w:bookmarkStart w:id="68" w:name="_Hlk106361256"/>
      <w:r w:rsidRPr="0002434F">
        <w:t xml:space="preserve">The sponsor has submitted approved </w:t>
      </w:r>
      <w:r w:rsidR="005E6453" w:rsidRPr="0002434F">
        <w:t>European</w:t>
      </w:r>
      <w:r w:rsidR="00826EDB" w:rsidRPr="0002434F">
        <w:t>-</w:t>
      </w:r>
      <w:r w:rsidRPr="0002434F">
        <w:t>RMP version 1.6 (dated 17 January 2022; DLP 24 March 2020) with the response</w:t>
      </w:r>
      <w:r w:rsidR="005E6453" w:rsidRPr="0002434F">
        <w:t xml:space="preserve"> to a TGA request for information</w:t>
      </w:r>
      <w:r w:rsidRPr="0002434F">
        <w:t>.</w:t>
      </w:r>
    </w:p>
    <w:bookmarkEnd w:id="68"/>
    <w:p w14:paraId="39F3CD1D" w14:textId="57905948" w:rsidR="0072003B" w:rsidRPr="0002434F" w:rsidRDefault="00C22214" w:rsidP="001C2D33">
      <w:r w:rsidRPr="0002434F">
        <w:t>The summary of safety concerns and their associated risk monitoring and mitigation strategies are summarised in</w:t>
      </w:r>
      <w:r w:rsidR="003B149C" w:rsidRPr="0002434F">
        <w:t xml:space="preserve"> </w:t>
      </w:r>
      <w:r w:rsidR="003B149C" w:rsidRPr="0002434F">
        <w:fldChar w:fldCharType="begin"/>
      </w:r>
      <w:r w:rsidR="003B149C" w:rsidRPr="0002434F">
        <w:instrText xml:space="preserve"> REF _Ref97629131 \h  \* MERGEFORMAT </w:instrText>
      </w:r>
      <w:r w:rsidR="003B149C" w:rsidRPr="0002434F">
        <w:fldChar w:fldCharType="separate"/>
      </w:r>
      <w:r w:rsidR="0002434F" w:rsidRPr="0002434F">
        <w:t xml:space="preserve">Table </w:t>
      </w:r>
      <w:r w:rsidR="0002434F">
        <w:t>11</w:t>
      </w:r>
      <w:r w:rsidR="003B149C" w:rsidRPr="0002434F">
        <w:fldChar w:fldCharType="end"/>
      </w:r>
      <w:r w:rsidR="008C49C6" w:rsidRPr="0002434F">
        <w:t>.</w:t>
      </w:r>
      <w:r w:rsidR="0072003B" w:rsidRPr="0002434F">
        <w:t xml:space="preserve"> The TGA</w:t>
      </w:r>
      <w:r w:rsidR="00C07551" w:rsidRPr="0002434F">
        <w:t xml:space="preserve"> may</w:t>
      </w:r>
      <w:r w:rsidR="0072003B" w:rsidRPr="0002434F">
        <w:t xml:space="preserve"> request an updated RMP at any stage of a product's </w:t>
      </w:r>
      <w:proofErr w:type="gramStart"/>
      <w:r w:rsidR="0072003B" w:rsidRPr="0002434F">
        <w:t>life-cycle</w:t>
      </w:r>
      <w:proofErr w:type="gramEnd"/>
      <w:r w:rsidR="0072003B" w:rsidRPr="0002434F">
        <w:t>, during both the pre-approval and post-approval phases.</w:t>
      </w:r>
    </w:p>
    <w:p w14:paraId="56B51A93" w14:textId="645A3434" w:rsidR="006A277A" w:rsidRPr="0002434F" w:rsidRDefault="00C22214" w:rsidP="00C22214">
      <w:pPr>
        <w:pStyle w:val="TableTitle"/>
      </w:pPr>
      <w:bookmarkStart w:id="69" w:name="_Ref97629131"/>
      <w:r w:rsidRPr="0002434F">
        <w:t xml:space="preserve">Table </w:t>
      </w:r>
      <w:r w:rsidRPr="0002434F">
        <w:fldChar w:fldCharType="begin"/>
      </w:r>
      <w:r w:rsidRPr="0002434F">
        <w:instrText>SEQ Table \* ARABIC</w:instrText>
      </w:r>
      <w:r w:rsidRPr="0002434F">
        <w:fldChar w:fldCharType="separate"/>
      </w:r>
      <w:r w:rsidR="0002434F">
        <w:rPr>
          <w:noProof/>
        </w:rPr>
        <w:t>11</w:t>
      </w:r>
      <w:r w:rsidRPr="0002434F">
        <w:fldChar w:fldCharType="end"/>
      </w:r>
      <w:bookmarkEnd w:id="69"/>
      <w:r w:rsidRPr="0002434F">
        <w:t>: Summary of safety concerns</w:t>
      </w:r>
    </w:p>
    <w:tbl>
      <w:tblPr>
        <w:tblStyle w:val="TableTGAblue2023"/>
        <w:tblW w:w="0" w:type="auto"/>
        <w:tblLook w:val="04A0" w:firstRow="1" w:lastRow="0" w:firstColumn="1" w:lastColumn="0" w:noHBand="0" w:noVBand="1"/>
      </w:tblPr>
      <w:tblGrid>
        <w:gridCol w:w="1718"/>
        <w:gridCol w:w="1794"/>
        <w:gridCol w:w="1276"/>
        <w:gridCol w:w="1444"/>
        <w:gridCol w:w="1384"/>
        <w:gridCol w:w="1444"/>
      </w:tblGrid>
      <w:tr w:rsidR="001C2D33" w:rsidRPr="0002434F" w14:paraId="0587C47C" w14:textId="77777777" w:rsidTr="00826EDB">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3512" w:type="dxa"/>
            <w:gridSpan w:val="2"/>
            <w:vMerge w:val="restart"/>
          </w:tcPr>
          <w:p w14:paraId="44661FDA" w14:textId="77777777" w:rsidR="004F0248" w:rsidRPr="0002434F" w:rsidRDefault="004F0248" w:rsidP="001C2D33">
            <w:pPr>
              <w:pStyle w:val="Tabletext0"/>
            </w:pPr>
            <w:r w:rsidRPr="0002434F">
              <w:t>Summary of safety concerns</w:t>
            </w:r>
          </w:p>
        </w:tc>
        <w:tc>
          <w:tcPr>
            <w:tcW w:w="2720" w:type="dxa"/>
            <w:gridSpan w:val="2"/>
          </w:tcPr>
          <w:p w14:paraId="1CE0B947" w14:textId="77777777" w:rsidR="004F0248" w:rsidRPr="0002434F" w:rsidRDefault="004F0248" w:rsidP="001C2D33">
            <w:pPr>
              <w:pStyle w:val="Tabletext0"/>
              <w:cnfStyle w:val="100000000000" w:firstRow="1" w:lastRow="0" w:firstColumn="0" w:lastColumn="0" w:oddVBand="0" w:evenVBand="0" w:oddHBand="0" w:evenHBand="0" w:firstRowFirstColumn="0" w:firstRowLastColumn="0" w:lastRowFirstColumn="0" w:lastRowLastColumn="0"/>
            </w:pPr>
            <w:r w:rsidRPr="0002434F">
              <w:t>Pharmacovigilance</w:t>
            </w:r>
          </w:p>
        </w:tc>
        <w:tc>
          <w:tcPr>
            <w:tcW w:w="2828" w:type="dxa"/>
            <w:gridSpan w:val="2"/>
          </w:tcPr>
          <w:p w14:paraId="74308C6A" w14:textId="1223DC9C" w:rsidR="004F0248" w:rsidRPr="0002434F" w:rsidRDefault="004F0248" w:rsidP="001C2D33">
            <w:pPr>
              <w:pStyle w:val="Tabletext0"/>
              <w:cnfStyle w:val="100000000000" w:firstRow="1" w:lastRow="0" w:firstColumn="0" w:lastColumn="0" w:oddVBand="0" w:evenVBand="0" w:oddHBand="0" w:evenHBand="0" w:firstRowFirstColumn="0" w:firstRowLastColumn="0" w:lastRowFirstColumn="0" w:lastRowLastColumn="0"/>
            </w:pPr>
            <w:r w:rsidRPr="0002434F">
              <w:t xml:space="preserve">Risk </w:t>
            </w:r>
            <w:r w:rsidR="00826EDB" w:rsidRPr="0002434F">
              <w:t>m</w:t>
            </w:r>
            <w:r w:rsidRPr="0002434F">
              <w:t>inimisation</w:t>
            </w:r>
          </w:p>
        </w:tc>
      </w:tr>
      <w:tr w:rsidR="001C2D33" w:rsidRPr="0002434F" w14:paraId="22D453EB" w14:textId="77777777" w:rsidTr="00826EDB">
        <w:trPr>
          <w:trHeight w:val="150"/>
        </w:trPr>
        <w:tc>
          <w:tcPr>
            <w:cnfStyle w:val="001000000000" w:firstRow="0" w:lastRow="0" w:firstColumn="1" w:lastColumn="0" w:oddVBand="0" w:evenVBand="0" w:oddHBand="0" w:evenHBand="0" w:firstRowFirstColumn="0" w:firstRowLastColumn="0" w:lastRowFirstColumn="0" w:lastRowLastColumn="0"/>
            <w:tcW w:w="3512" w:type="dxa"/>
            <w:gridSpan w:val="2"/>
            <w:vMerge/>
          </w:tcPr>
          <w:p w14:paraId="448973D5" w14:textId="77777777" w:rsidR="004F0248" w:rsidRPr="0002434F" w:rsidRDefault="004F0248" w:rsidP="001C2D33">
            <w:pPr>
              <w:pStyle w:val="Tabletext0"/>
            </w:pPr>
          </w:p>
        </w:tc>
        <w:tc>
          <w:tcPr>
            <w:tcW w:w="1276" w:type="dxa"/>
            <w:shd w:val="clear" w:color="auto" w:fill="DEEAF6"/>
          </w:tcPr>
          <w:p w14:paraId="682D815A" w14:textId="77777777" w:rsidR="004F0248" w:rsidRPr="0002434F" w:rsidRDefault="004F0248" w:rsidP="001C2D33">
            <w:pPr>
              <w:pStyle w:val="Tabletext0"/>
              <w:keepNext/>
              <w:cnfStyle w:val="000000000000" w:firstRow="0" w:lastRow="0" w:firstColumn="0" w:lastColumn="0" w:oddVBand="0" w:evenVBand="0" w:oddHBand="0" w:evenHBand="0" w:firstRowFirstColumn="0" w:firstRowLastColumn="0" w:lastRowFirstColumn="0" w:lastRowLastColumn="0"/>
              <w:rPr>
                <w:b/>
                <w:color w:val="263287"/>
              </w:rPr>
            </w:pPr>
            <w:r w:rsidRPr="0002434F">
              <w:rPr>
                <w:b/>
                <w:color w:val="263287"/>
              </w:rPr>
              <w:t>Routine</w:t>
            </w:r>
          </w:p>
        </w:tc>
        <w:tc>
          <w:tcPr>
            <w:tcW w:w="1444" w:type="dxa"/>
            <w:shd w:val="clear" w:color="auto" w:fill="DEEAF6"/>
          </w:tcPr>
          <w:p w14:paraId="34C844C5" w14:textId="77777777" w:rsidR="004F0248" w:rsidRPr="0002434F" w:rsidRDefault="004F0248" w:rsidP="001C2D33">
            <w:pPr>
              <w:pStyle w:val="Tabletext0"/>
              <w:keepNext/>
              <w:cnfStyle w:val="000000000000" w:firstRow="0" w:lastRow="0" w:firstColumn="0" w:lastColumn="0" w:oddVBand="0" w:evenVBand="0" w:oddHBand="0" w:evenHBand="0" w:firstRowFirstColumn="0" w:firstRowLastColumn="0" w:lastRowFirstColumn="0" w:lastRowLastColumn="0"/>
              <w:rPr>
                <w:b/>
                <w:color w:val="263287"/>
              </w:rPr>
            </w:pPr>
            <w:r w:rsidRPr="0002434F">
              <w:rPr>
                <w:b/>
                <w:color w:val="263287"/>
              </w:rPr>
              <w:t>Additional</w:t>
            </w:r>
          </w:p>
        </w:tc>
        <w:tc>
          <w:tcPr>
            <w:tcW w:w="1384" w:type="dxa"/>
            <w:shd w:val="clear" w:color="auto" w:fill="DEEAF6"/>
          </w:tcPr>
          <w:p w14:paraId="020302B3" w14:textId="77777777" w:rsidR="004F0248" w:rsidRPr="0002434F" w:rsidRDefault="004F0248" w:rsidP="001C2D33">
            <w:pPr>
              <w:pStyle w:val="Tabletext0"/>
              <w:keepNext/>
              <w:cnfStyle w:val="000000000000" w:firstRow="0" w:lastRow="0" w:firstColumn="0" w:lastColumn="0" w:oddVBand="0" w:evenVBand="0" w:oddHBand="0" w:evenHBand="0" w:firstRowFirstColumn="0" w:firstRowLastColumn="0" w:lastRowFirstColumn="0" w:lastRowLastColumn="0"/>
              <w:rPr>
                <w:b/>
                <w:color w:val="263287"/>
              </w:rPr>
            </w:pPr>
            <w:r w:rsidRPr="0002434F">
              <w:rPr>
                <w:b/>
                <w:color w:val="263287"/>
              </w:rPr>
              <w:t>Routine</w:t>
            </w:r>
          </w:p>
        </w:tc>
        <w:tc>
          <w:tcPr>
            <w:tcW w:w="0" w:type="auto"/>
            <w:shd w:val="clear" w:color="auto" w:fill="DEEAF6"/>
          </w:tcPr>
          <w:p w14:paraId="488B4B4B" w14:textId="77777777" w:rsidR="004F0248" w:rsidRPr="0002434F" w:rsidRDefault="004F0248" w:rsidP="001C2D33">
            <w:pPr>
              <w:pStyle w:val="Tabletext0"/>
              <w:keepNext/>
              <w:cnfStyle w:val="000000000000" w:firstRow="0" w:lastRow="0" w:firstColumn="0" w:lastColumn="0" w:oddVBand="0" w:evenVBand="0" w:oddHBand="0" w:evenHBand="0" w:firstRowFirstColumn="0" w:firstRowLastColumn="0" w:lastRowFirstColumn="0" w:lastRowLastColumn="0"/>
              <w:rPr>
                <w:b/>
                <w:color w:val="263287"/>
              </w:rPr>
            </w:pPr>
            <w:r w:rsidRPr="0002434F">
              <w:rPr>
                <w:b/>
                <w:color w:val="263287"/>
              </w:rPr>
              <w:t>Additional</w:t>
            </w:r>
          </w:p>
        </w:tc>
      </w:tr>
      <w:tr w:rsidR="001C2D33" w:rsidRPr="0002434F" w14:paraId="5723CF84" w14:textId="77777777" w:rsidTr="00826EDB">
        <w:trPr>
          <w:trHeight w:val="137"/>
        </w:trPr>
        <w:tc>
          <w:tcPr>
            <w:cnfStyle w:val="001000000000" w:firstRow="0" w:lastRow="0" w:firstColumn="1" w:lastColumn="0" w:oddVBand="0" w:evenVBand="0" w:oddHBand="0" w:evenHBand="0" w:firstRowFirstColumn="0" w:firstRowLastColumn="0" w:lastRowFirstColumn="0" w:lastRowLastColumn="0"/>
            <w:tcW w:w="0" w:type="auto"/>
          </w:tcPr>
          <w:p w14:paraId="46A4166B" w14:textId="77777777" w:rsidR="004F0248" w:rsidRPr="0002434F" w:rsidRDefault="004F0248" w:rsidP="001C2D33">
            <w:pPr>
              <w:pStyle w:val="Tabletext0"/>
            </w:pPr>
            <w:r w:rsidRPr="0002434F">
              <w:t>Important identified risks</w:t>
            </w:r>
          </w:p>
        </w:tc>
        <w:tc>
          <w:tcPr>
            <w:tcW w:w="1794" w:type="dxa"/>
          </w:tcPr>
          <w:p w14:paraId="1FFCDB9E" w14:textId="77777777" w:rsidR="004F0248" w:rsidRPr="0002434F" w:rsidRDefault="004F0248" w:rsidP="001C2D33">
            <w:pPr>
              <w:pStyle w:val="Tabletext0"/>
              <w:cnfStyle w:val="000000000000" w:firstRow="0" w:lastRow="0" w:firstColumn="0" w:lastColumn="0" w:oddVBand="0" w:evenVBand="0" w:oddHBand="0" w:evenHBand="0" w:firstRowFirstColumn="0" w:firstRowLastColumn="0" w:lastRowFirstColumn="0" w:lastRowLastColumn="0"/>
            </w:pPr>
            <w:r w:rsidRPr="0002434F">
              <w:t>Liver injury</w:t>
            </w:r>
          </w:p>
        </w:tc>
        <w:tc>
          <w:tcPr>
            <w:tcW w:w="1276" w:type="dxa"/>
          </w:tcPr>
          <w:p w14:paraId="42820095" w14:textId="77777777" w:rsidR="004F0248" w:rsidRPr="0002434F" w:rsidRDefault="004F0248" w:rsidP="001C2D33">
            <w:pPr>
              <w:pStyle w:val="Tabletext0"/>
              <w:cnfStyle w:val="000000000000" w:firstRow="0" w:lastRow="0" w:firstColumn="0" w:lastColumn="0" w:oddVBand="0" w:evenVBand="0" w:oddHBand="0" w:evenHBand="0" w:firstRowFirstColumn="0" w:firstRowLastColumn="0" w:lastRowFirstColumn="0" w:lastRowLastColumn="0"/>
            </w:pPr>
            <w:r w:rsidRPr="0002434F">
              <w:rPr>
                <w:rFonts w:ascii="Wingdings" w:eastAsia="Wingdings" w:hAnsi="Wingdings" w:cs="Wingdings"/>
              </w:rPr>
              <w:t>ü</w:t>
            </w:r>
          </w:p>
        </w:tc>
        <w:tc>
          <w:tcPr>
            <w:tcW w:w="1444" w:type="dxa"/>
          </w:tcPr>
          <w:p w14:paraId="6368815D" w14:textId="3D67A881" w:rsidR="004F0248" w:rsidRPr="0002434F" w:rsidRDefault="004F0248" w:rsidP="007F3F71">
            <w:pPr>
              <w:pStyle w:val="Tabletext0"/>
              <w:cnfStyle w:val="000000000000" w:firstRow="0" w:lastRow="0" w:firstColumn="0" w:lastColumn="0" w:oddVBand="0" w:evenVBand="0" w:oddHBand="0" w:evenHBand="0" w:firstRowFirstColumn="0" w:firstRowLastColumn="0" w:lastRowFirstColumn="0" w:lastRowLastColumn="0"/>
            </w:pPr>
            <w:r w:rsidRPr="0002434F">
              <w:rPr>
                <w:rFonts w:ascii="Wingdings" w:eastAsia="Wingdings" w:hAnsi="Wingdings" w:cs="Wingdings"/>
              </w:rPr>
              <w:t>ü</w:t>
            </w:r>
            <w:r w:rsidRPr="0002434F">
              <w:t>†</w:t>
            </w:r>
          </w:p>
        </w:tc>
        <w:tc>
          <w:tcPr>
            <w:tcW w:w="1384" w:type="dxa"/>
          </w:tcPr>
          <w:p w14:paraId="3B37C831" w14:textId="77777777" w:rsidR="004F0248" w:rsidRPr="0002434F" w:rsidRDefault="004F0248" w:rsidP="001C2D33">
            <w:pPr>
              <w:pStyle w:val="Tabletext0"/>
              <w:cnfStyle w:val="000000000000" w:firstRow="0" w:lastRow="0" w:firstColumn="0" w:lastColumn="0" w:oddVBand="0" w:evenVBand="0" w:oddHBand="0" w:evenHBand="0" w:firstRowFirstColumn="0" w:firstRowLastColumn="0" w:lastRowFirstColumn="0" w:lastRowLastColumn="0"/>
            </w:pPr>
            <w:r w:rsidRPr="0002434F">
              <w:rPr>
                <w:rFonts w:ascii="Wingdings" w:eastAsia="Wingdings" w:hAnsi="Wingdings" w:cs="Wingdings"/>
              </w:rPr>
              <w:t>ü</w:t>
            </w:r>
          </w:p>
        </w:tc>
        <w:tc>
          <w:tcPr>
            <w:tcW w:w="0" w:type="auto"/>
          </w:tcPr>
          <w:p w14:paraId="6607DFDB" w14:textId="77777777" w:rsidR="004F0248" w:rsidRPr="0002434F" w:rsidRDefault="004F0248" w:rsidP="001C2D33">
            <w:pPr>
              <w:pStyle w:val="Tabletext0"/>
              <w:cnfStyle w:val="000000000000" w:firstRow="0" w:lastRow="0" w:firstColumn="0" w:lastColumn="0" w:oddVBand="0" w:evenVBand="0" w:oddHBand="0" w:evenHBand="0" w:firstRowFirstColumn="0" w:firstRowLastColumn="0" w:lastRowFirstColumn="0" w:lastRowLastColumn="0"/>
            </w:pPr>
            <w:r w:rsidRPr="0002434F">
              <w:t>-</w:t>
            </w:r>
          </w:p>
        </w:tc>
      </w:tr>
      <w:tr w:rsidR="001C2D33" w:rsidRPr="0002434F" w14:paraId="24BF85C9" w14:textId="77777777" w:rsidTr="00826EDB">
        <w:trPr>
          <w:trHeight w:val="159"/>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3DCD791" w14:textId="77777777" w:rsidR="004F0248" w:rsidRPr="0002434F" w:rsidRDefault="004F0248" w:rsidP="001C2D33">
            <w:pPr>
              <w:pStyle w:val="Tabletext0"/>
            </w:pPr>
            <w:r w:rsidRPr="0002434F">
              <w:t>Important potential risks</w:t>
            </w:r>
          </w:p>
        </w:tc>
        <w:tc>
          <w:tcPr>
            <w:tcW w:w="1794" w:type="dxa"/>
          </w:tcPr>
          <w:p w14:paraId="1A469CA3" w14:textId="77777777" w:rsidR="004F0248" w:rsidRPr="0002434F" w:rsidRDefault="004F0248" w:rsidP="001C2D33">
            <w:pPr>
              <w:pStyle w:val="Tabletext0"/>
              <w:cnfStyle w:val="000000000000" w:firstRow="0" w:lastRow="0" w:firstColumn="0" w:lastColumn="0" w:oddVBand="0" w:evenVBand="0" w:oddHBand="0" w:evenHBand="0" w:firstRowFirstColumn="0" w:firstRowLastColumn="0" w:lastRowFirstColumn="0" w:lastRowLastColumn="0"/>
            </w:pPr>
            <w:r w:rsidRPr="0002434F">
              <w:t xml:space="preserve">Cardiovascular safety </w:t>
            </w:r>
          </w:p>
        </w:tc>
        <w:tc>
          <w:tcPr>
            <w:tcW w:w="1276" w:type="dxa"/>
          </w:tcPr>
          <w:p w14:paraId="21F3CD38" w14:textId="77777777" w:rsidR="004F0248" w:rsidRPr="0002434F" w:rsidRDefault="004F0248" w:rsidP="001C2D33">
            <w:pPr>
              <w:pStyle w:val="Tabletext0"/>
              <w:cnfStyle w:val="000000000000" w:firstRow="0" w:lastRow="0" w:firstColumn="0" w:lastColumn="0" w:oddVBand="0" w:evenVBand="0" w:oddHBand="0" w:evenHBand="0" w:firstRowFirstColumn="0" w:firstRowLastColumn="0" w:lastRowFirstColumn="0" w:lastRowLastColumn="0"/>
            </w:pPr>
            <w:r w:rsidRPr="0002434F">
              <w:rPr>
                <w:rFonts w:ascii="Wingdings" w:eastAsia="Wingdings" w:hAnsi="Wingdings" w:cs="Wingdings"/>
              </w:rPr>
              <w:t>ü</w:t>
            </w:r>
          </w:p>
        </w:tc>
        <w:tc>
          <w:tcPr>
            <w:tcW w:w="1444" w:type="dxa"/>
          </w:tcPr>
          <w:p w14:paraId="21149312" w14:textId="77777777" w:rsidR="004F0248" w:rsidRPr="0002434F" w:rsidRDefault="004F0248" w:rsidP="001C2D33">
            <w:pPr>
              <w:pStyle w:val="Tabletext0"/>
              <w:cnfStyle w:val="000000000000" w:firstRow="0" w:lastRow="0" w:firstColumn="0" w:lastColumn="0" w:oddVBand="0" w:evenVBand="0" w:oddHBand="0" w:evenHBand="0" w:firstRowFirstColumn="0" w:firstRowLastColumn="0" w:lastRowFirstColumn="0" w:lastRowLastColumn="0"/>
            </w:pPr>
            <w:r w:rsidRPr="0002434F">
              <w:rPr>
                <w:rFonts w:ascii="Wingdings" w:eastAsia="Wingdings" w:hAnsi="Wingdings" w:cs="Wingdings"/>
              </w:rPr>
              <w:t>ü</w:t>
            </w:r>
            <w:r w:rsidRPr="0002434F">
              <w:t>†</w:t>
            </w:r>
          </w:p>
        </w:tc>
        <w:tc>
          <w:tcPr>
            <w:tcW w:w="1384" w:type="dxa"/>
          </w:tcPr>
          <w:p w14:paraId="2D5AD615" w14:textId="77777777" w:rsidR="004F0248" w:rsidRPr="0002434F" w:rsidRDefault="004F0248" w:rsidP="001C2D33">
            <w:pPr>
              <w:pStyle w:val="Tabletext0"/>
              <w:cnfStyle w:val="000000000000" w:firstRow="0" w:lastRow="0" w:firstColumn="0" w:lastColumn="0" w:oddVBand="0" w:evenVBand="0" w:oddHBand="0" w:evenHBand="0" w:firstRowFirstColumn="0" w:firstRowLastColumn="0" w:lastRowFirstColumn="0" w:lastRowLastColumn="0"/>
            </w:pPr>
            <w:r w:rsidRPr="0002434F">
              <w:rPr>
                <w:rFonts w:ascii="Wingdings" w:eastAsia="Wingdings" w:hAnsi="Wingdings" w:cs="Wingdings"/>
              </w:rPr>
              <w:t>ü</w:t>
            </w:r>
          </w:p>
        </w:tc>
        <w:tc>
          <w:tcPr>
            <w:tcW w:w="0" w:type="auto"/>
          </w:tcPr>
          <w:p w14:paraId="10D3B47B" w14:textId="77777777" w:rsidR="004F0248" w:rsidRPr="0002434F" w:rsidRDefault="004F0248" w:rsidP="001C2D33">
            <w:pPr>
              <w:pStyle w:val="Tabletext0"/>
              <w:cnfStyle w:val="000000000000" w:firstRow="0" w:lastRow="0" w:firstColumn="0" w:lastColumn="0" w:oddVBand="0" w:evenVBand="0" w:oddHBand="0" w:evenHBand="0" w:firstRowFirstColumn="0" w:firstRowLastColumn="0" w:lastRowFirstColumn="0" w:lastRowLastColumn="0"/>
            </w:pPr>
            <w:r w:rsidRPr="0002434F">
              <w:t>-</w:t>
            </w:r>
          </w:p>
        </w:tc>
      </w:tr>
      <w:tr w:rsidR="001C2D33" w:rsidRPr="0002434F" w14:paraId="263E7528" w14:textId="77777777" w:rsidTr="00826EDB">
        <w:trPr>
          <w:trHeight w:val="122"/>
        </w:trPr>
        <w:tc>
          <w:tcPr>
            <w:cnfStyle w:val="001000000000" w:firstRow="0" w:lastRow="0" w:firstColumn="1" w:lastColumn="0" w:oddVBand="0" w:evenVBand="0" w:oddHBand="0" w:evenHBand="0" w:firstRowFirstColumn="0" w:firstRowLastColumn="0" w:lastRowFirstColumn="0" w:lastRowLastColumn="0"/>
            <w:tcW w:w="0" w:type="auto"/>
            <w:vMerge/>
          </w:tcPr>
          <w:p w14:paraId="627C4536" w14:textId="77777777" w:rsidR="004F0248" w:rsidRPr="0002434F" w:rsidRDefault="004F0248" w:rsidP="001C2D33">
            <w:pPr>
              <w:pStyle w:val="Tabletext0"/>
            </w:pPr>
          </w:p>
        </w:tc>
        <w:tc>
          <w:tcPr>
            <w:tcW w:w="1794" w:type="dxa"/>
          </w:tcPr>
          <w:p w14:paraId="5478169C" w14:textId="77777777" w:rsidR="004F0248" w:rsidRPr="0002434F" w:rsidRDefault="004F0248" w:rsidP="001C2D33">
            <w:pPr>
              <w:pStyle w:val="Tabletext0"/>
              <w:cnfStyle w:val="000000000000" w:firstRow="0" w:lastRow="0" w:firstColumn="0" w:lastColumn="0" w:oddVBand="0" w:evenVBand="0" w:oddHBand="0" w:evenHBand="0" w:firstRowFirstColumn="0" w:firstRowLastColumn="0" w:lastRowFirstColumn="0" w:lastRowLastColumn="0"/>
            </w:pPr>
            <w:r w:rsidRPr="0002434F">
              <w:t>Serious infection</w:t>
            </w:r>
          </w:p>
        </w:tc>
        <w:tc>
          <w:tcPr>
            <w:tcW w:w="1276" w:type="dxa"/>
          </w:tcPr>
          <w:p w14:paraId="1E085164" w14:textId="77777777" w:rsidR="004F0248" w:rsidRPr="0002434F" w:rsidRDefault="004F0248" w:rsidP="001C2D33">
            <w:pPr>
              <w:pStyle w:val="Tabletext0"/>
              <w:cnfStyle w:val="000000000000" w:firstRow="0" w:lastRow="0" w:firstColumn="0" w:lastColumn="0" w:oddVBand="0" w:evenVBand="0" w:oddHBand="0" w:evenHBand="0" w:firstRowFirstColumn="0" w:firstRowLastColumn="0" w:lastRowFirstColumn="0" w:lastRowLastColumn="0"/>
            </w:pPr>
            <w:r w:rsidRPr="0002434F">
              <w:rPr>
                <w:rFonts w:ascii="Wingdings" w:eastAsia="Wingdings" w:hAnsi="Wingdings" w:cs="Wingdings"/>
              </w:rPr>
              <w:t>ü</w:t>
            </w:r>
          </w:p>
        </w:tc>
        <w:tc>
          <w:tcPr>
            <w:tcW w:w="1444" w:type="dxa"/>
          </w:tcPr>
          <w:p w14:paraId="40272053" w14:textId="77777777" w:rsidR="004F0248" w:rsidRPr="0002434F" w:rsidRDefault="004F0248" w:rsidP="001C2D33">
            <w:pPr>
              <w:pStyle w:val="Tabletext0"/>
              <w:cnfStyle w:val="000000000000" w:firstRow="0" w:lastRow="0" w:firstColumn="0" w:lastColumn="0" w:oddVBand="0" w:evenVBand="0" w:oddHBand="0" w:evenHBand="0" w:firstRowFirstColumn="0" w:firstRowLastColumn="0" w:lastRowFirstColumn="0" w:lastRowLastColumn="0"/>
            </w:pPr>
            <w:r w:rsidRPr="0002434F">
              <w:rPr>
                <w:rFonts w:ascii="Wingdings" w:eastAsia="Wingdings" w:hAnsi="Wingdings" w:cs="Wingdings"/>
              </w:rPr>
              <w:t>ü</w:t>
            </w:r>
            <w:r w:rsidRPr="0002434F">
              <w:t>†</w:t>
            </w:r>
          </w:p>
        </w:tc>
        <w:tc>
          <w:tcPr>
            <w:tcW w:w="1384" w:type="dxa"/>
          </w:tcPr>
          <w:p w14:paraId="380FF66E" w14:textId="77777777" w:rsidR="004F0248" w:rsidRPr="0002434F" w:rsidRDefault="004F0248" w:rsidP="001C2D33">
            <w:pPr>
              <w:pStyle w:val="Tabletext0"/>
              <w:cnfStyle w:val="000000000000" w:firstRow="0" w:lastRow="0" w:firstColumn="0" w:lastColumn="0" w:oddVBand="0" w:evenVBand="0" w:oddHBand="0" w:evenHBand="0" w:firstRowFirstColumn="0" w:firstRowLastColumn="0" w:lastRowFirstColumn="0" w:lastRowLastColumn="0"/>
            </w:pPr>
            <w:r w:rsidRPr="0002434F">
              <w:rPr>
                <w:rFonts w:ascii="Wingdings" w:eastAsia="Wingdings" w:hAnsi="Wingdings" w:cs="Wingdings"/>
              </w:rPr>
              <w:t>ü</w:t>
            </w:r>
          </w:p>
        </w:tc>
        <w:tc>
          <w:tcPr>
            <w:tcW w:w="0" w:type="auto"/>
          </w:tcPr>
          <w:p w14:paraId="576DB17A" w14:textId="77777777" w:rsidR="004F0248" w:rsidRPr="0002434F" w:rsidRDefault="004F0248" w:rsidP="001C2D33">
            <w:pPr>
              <w:pStyle w:val="Tabletext0"/>
              <w:cnfStyle w:val="000000000000" w:firstRow="0" w:lastRow="0" w:firstColumn="0" w:lastColumn="0" w:oddVBand="0" w:evenVBand="0" w:oddHBand="0" w:evenHBand="0" w:firstRowFirstColumn="0" w:firstRowLastColumn="0" w:lastRowFirstColumn="0" w:lastRowLastColumn="0"/>
            </w:pPr>
            <w:r w:rsidRPr="0002434F">
              <w:t>-</w:t>
            </w:r>
          </w:p>
        </w:tc>
      </w:tr>
      <w:tr w:rsidR="001C2D33" w:rsidRPr="0002434F" w14:paraId="4A096682" w14:textId="77777777" w:rsidTr="00826EDB">
        <w:trPr>
          <w:trHeight w:val="112"/>
        </w:trPr>
        <w:tc>
          <w:tcPr>
            <w:cnfStyle w:val="001000000000" w:firstRow="0" w:lastRow="0" w:firstColumn="1" w:lastColumn="0" w:oddVBand="0" w:evenVBand="0" w:oddHBand="0" w:evenHBand="0" w:firstRowFirstColumn="0" w:firstRowLastColumn="0" w:lastRowFirstColumn="0" w:lastRowLastColumn="0"/>
            <w:tcW w:w="0" w:type="auto"/>
            <w:vMerge/>
          </w:tcPr>
          <w:p w14:paraId="45213F38" w14:textId="77777777" w:rsidR="004F0248" w:rsidRPr="0002434F" w:rsidRDefault="004F0248" w:rsidP="001C2D33">
            <w:pPr>
              <w:pStyle w:val="Tabletext0"/>
            </w:pPr>
          </w:p>
        </w:tc>
        <w:tc>
          <w:tcPr>
            <w:tcW w:w="1794" w:type="dxa"/>
          </w:tcPr>
          <w:p w14:paraId="27833052" w14:textId="77777777" w:rsidR="004F0248" w:rsidRPr="0002434F" w:rsidRDefault="004F0248" w:rsidP="001C2D33">
            <w:pPr>
              <w:pStyle w:val="Tabletext0"/>
              <w:cnfStyle w:val="000000000000" w:firstRow="0" w:lastRow="0" w:firstColumn="0" w:lastColumn="0" w:oddVBand="0" w:evenVBand="0" w:oddHBand="0" w:evenHBand="0" w:firstRowFirstColumn="0" w:firstRowLastColumn="0" w:lastRowFirstColumn="0" w:lastRowLastColumn="0"/>
            </w:pPr>
            <w:r w:rsidRPr="0002434F">
              <w:t>Malignancy</w:t>
            </w:r>
          </w:p>
        </w:tc>
        <w:tc>
          <w:tcPr>
            <w:tcW w:w="1276" w:type="dxa"/>
          </w:tcPr>
          <w:p w14:paraId="6EE17F9F" w14:textId="77777777" w:rsidR="004F0248" w:rsidRPr="0002434F" w:rsidRDefault="004F0248" w:rsidP="001C2D33">
            <w:pPr>
              <w:pStyle w:val="Tabletext0"/>
              <w:cnfStyle w:val="000000000000" w:firstRow="0" w:lastRow="0" w:firstColumn="0" w:lastColumn="0" w:oddVBand="0" w:evenVBand="0" w:oddHBand="0" w:evenHBand="0" w:firstRowFirstColumn="0" w:firstRowLastColumn="0" w:lastRowFirstColumn="0" w:lastRowLastColumn="0"/>
            </w:pPr>
            <w:r w:rsidRPr="0002434F">
              <w:rPr>
                <w:rFonts w:ascii="Wingdings" w:eastAsia="Wingdings" w:hAnsi="Wingdings" w:cs="Wingdings"/>
              </w:rPr>
              <w:t>ü</w:t>
            </w:r>
          </w:p>
        </w:tc>
        <w:tc>
          <w:tcPr>
            <w:tcW w:w="1444" w:type="dxa"/>
          </w:tcPr>
          <w:p w14:paraId="5BE9DBB0" w14:textId="77777777" w:rsidR="004F0248" w:rsidRPr="0002434F" w:rsidRDefault="004F0248" w:rsidP="001C2D33">
            <w:pPr>
              <w:pStyle w:val="Tabletext0"/>
              <w:cnfStyle w:val="000000000000" w:firstRow="0" w:lastRow="0" w:firstColumn="0" w:lastColumn="0" w:oddVBand="0" w:evenVBand="0" w:oddHBand="0" w:evenHBand="0" w:firstRowFirstColumn="0" w:firstRowLastColumn="0" w:lastRowFirstColumn="0" w:lastRowLastColumn="0"/>
            </w:pPr>
            <w:r w:rsidRPr="0002434F">
              <w:rPr>
                <w:rFonts w:ascii="Wingdings" w:eastAsia="Wingdings" w:hAnsi="Wingdings" w:cs="Wingdings"/>
              </w:rPr>
              <w:t>ü</w:t>
            </w:r>
            <w:r w:rsidRPr="0002434F">
              <w:t>†</w:t>
            </w:r>
          </w:p>
        </w:tc>
        <w:tc>
          <w:tcPr>
            <w:tcW w:w="1384" w:type="dxa"/>
          </w:tcPr>
          <w:p w14:paraId="359DE28E" w14:textId="77777777" w:rsidR="004F0248" w:rsidRPr="0002434F" w:rsidRDefault="004F0248" w:rsidP="001C2D33">
            <w:pPr>
              <w:pStyle w:val="Tabletext0"/>
              <w:cnfStyle w:val="000000000000" w:firstRow="0" w:lastRow="0" w:firstColumn="0" w:lastColumn="0" w:oddVBand="0" w:evenVBand="0" w:oddHBand="0" w:evenHBand="0" w:firstRowFirstColumn="0" w:firstRowLastColumn="0" w:lastRowFirstColumn="0" w:lastRowLastColumn="0"/>
            </w:pPr>
            <w:r w:rsidRPr="0002434F">
              <w:rPr>
                <w:rFonts w:ascii="Wingdings" w:eastAsia="Wingdings" w:hAnsi="Wingdings" w:cs="Wingdings"/>
              </w:rPr>
              <w:t>ü</w:t>
            </w:r>
          </w:p>
        </w:tc>
        <w:tc>
          <w:tcPr>
            <w:tcW w:w="0" w:type="auto"/>
          </w:tcPr>
          <w:p w14:paraId="05091F7B" w14:textId="77777777" w:rsidR="004F0248" w:rsidRPr="0002434F" w:rsidRDefault="004F0248" w:rsidP="001C2D33">
            <w:pPr>
              <w:pStyle w:val="Tabletext0"/>
              <w:cnfStyle w:val="000000000000" w:firstRow="0" w:lastRow="0" w:firstColumn="0" w:lastColumn="0" w:oddVBand="0" w:evenVBand="0" w:oddHBand="0" w:evenHBand="0" w:firstRowFirstColumn="0" w:firstRowLastColumn="0" w:lastRowFirstColumn="0" w:lastRowLastColumn="0"/>
            </w:pPr>
            <w:r w:rsidRPr="0002434F">
              <w:t>-</w:t>
            </w:r>
          </w:p>
        </w:tc>
      </w:tr>
      <w:tr w:rsidR="004F0248" w:rsidRPr="0002434F" w14:paraId="278CE10D" w14:textId="77777777" w:rsidTr="001C2D33">
        <w:trPr>
          <w:trHeight w:val="260"/>
        </w:trPr>
        <w:tc>
          <w:tcPr>
            <w:cnfStyle w:val="001000000000" w:firstRow="0" w:lastRow="0" w:firstColumn="1" w:lastColumn="0" w:oddVBand="0" w:evenVBand="0" w:oddHBand="0" w:evenHBand="0" w:firstRowFirstColumn="0" w:firstRowLastColumn="0" w:lastRowFirstColumn="0" w:lastRowLastColumn="0"/>
            <w:tcW w:w="0" w:type="auto"/>
          </w:tcPr>
          <w:p w14:paraId="65AE653D" w14:textId="77777777" w:rsidR="004F0248" w:rsidRPr="0002434F" w:rsidRDefault="004F0248" w:rsidP="001C2D33">
            <w:pPr>
              <w:pStyle w:val="Tabletext0"/>
            </w:pPr>
            <w:r w:rsidRPr="0002434F">
              <w:t>Missing information</w:t>
            </w:r>
          </w:p>
        </w:tc>
        <w:tc>
          <w:tcPr>
            <w:tcW w:w="0" w:type="auto"/>
            <w:gridSpan w:val="5"/>
          </w:tcPr>
          <w:p w14:paraId="6E6EB118" w14:textId="77777777" w:rsidR="004F0248" w:rsidRPr="0002434F" w:rsidRDefault="004F0248" w:rsidP="001C2D33">
            <w:pPr>
              <w:pStyle w:val="Tabletext0"/>
              <w:cnfStyle w:val="000000000000" w:firstRow="0" w:lastRow="0" w:firstColumn="0" w:lastColumn="0" w:oddVBand="0" w:evenVBand="0" w:oddHBand="0" w:evenHBand="0" w:firstRowFirstColumn="0" w:firstRowLastColumn="0" w:lastRowFirstColumn="0" w:lastRowLastColumn="0"/>
            </w:pPr>
            <w:r w:rsidRPr="0002434F">
              <w:t>None</w:t>
            </w:r>
          </w:p>
        </w:tc>
      </w:tr>
    </w:tbl>
    <w:p w14:paraId="106D2C06" w14:textId="248D85BF" w:rsidR="004F0248" w:rsidRPr="0002434F" w:rsidRDefault="004F0248" w:rsidP="00826EDB">
      <w:pPr>
        <w:pStyle w:val="TableDescription"/>
      </w:pPr>
      <w:r w:rsidRPr="0002434F">
        <w:t xml:space="preserve">† </w:t>
      </w:r>
      <w:r w:rsidR="005E6453" w:rsidRPr="0002434F">
        <w:t>Post-approval safety study</w:t>
      </w:r>
    </w:p>
    <w:p w14:paraId="43DA8321" w14:textId="7B25D174" w:rsidR="007F3F71" w:rsidRPr="0002434F" w:rsidRDefault="004F0248" w:rsidP="001C2D33">
      <w:r w:rsidRPr="0002434F">
        <w:t xml:space="preserve">The summary of safety concerns in the ASA aligns with the EU-RMP and is acceptable from an RMP perspective, subject to the comments of the clinical and nonclinical </w:t>
      </w:r>
      <w:r w:rsidR="00241EA0" w:rsidRPr="0002434F">
        <w:t>evaluation</w:t>
      </w:r>
      <w:r w:rsidRPr="0002434F">
        <w:t xml:space="preserve">s. No concerns on the safety specification were raised by the </w:t>
      </w:r>
      <w:r w:rsidR="00241EA0" w:rsidRPr="0002434F">
        <w:t>c</w:t>
      </w:r>
      <w:r w:rsidRPr="0002434F">
        <w:t xml:space="preserve">linical </w:t>
      </w:r>
      <w:r w:rsidR="00241EA0" w:rsidRPr="0002434F">
        <w:t>evaluation</w:t>
      </w:r>
      <w:r w:rsidRPr="0002434F">
        <w:t xml:space="preserve"> in the </w:t>
      </w:r>
      <w:proofErr w:type="gramStart"/>
      <w:r w:rsidR="00241EA0" w:rsidRPr="0002434F">
        <w:t>first round</w:t>
      </w:r>
      <w:proofErr w:type="gramEnd"/>
      <w:r w:rsidRPr="0002434F">
        <w:t xml:space="preserve"> report.</w:t>
      </w:r>
      <w:r w:rsidR="007F3F71" w:rsidRPr="0002434F">
        <w:t xml:space="preserve"> </w:t>
      </w:r>
      <w:r w:rsidRPr="0002434F">
        <w:t xml:space="preserve">The Summary of </w:t>
      </w:r>
      <w:r w:rsidR="00826EDB" w:rsidRPr="0002434F">
        <w:t xml:space="preserve">safety concerns </w:t>
      </w:r>
      <w:r w:rsidRPr="0002434F">
        <w:t>is considered acceptable from the RMP perspective.</w:t>
      </w:r>
    </w:p>
    <w:p w14:paraId="6A667830" w14:textId="4C6A5AC0" w:rsidR="007F3F71" w:rsidRPr="0002434F" w:rsidRDefault="004F0248" w:rsidP="001C2D33">
      <w:r w:rsidRPr="0002434F">
        <w:lastRenderedPageBreak/>
        <w:t xml:space="preserve">The sponsor has proposed routine pharmacovigilance for all safety concerns. The sponsor has proposed additional </w:t>
      </w:r>
      <w:r w:rsidR="005E6453" w:rsidRPr="0002434F">
        <w:t>pharmacovigilance</w:t>
      </w:r>
      <w:r w:rsidRPr="0002434F">
        <w:t xml:space="preserve"> in the form of a </w:t>
      </w:r>
      <w:r w:rsidR="005E6453" w:rsidRPr="0002434F">
        <w:t xml:space="preserve">post-approval safety </w:t>
      </w:r>
      <w:r w:rsidRPr="0002434F">
        <w:t>study. The pharmacovigilance plan is acceptable from an RMP perspective.</w:t>
      </w:r>
    </w:p>
    <w:p w14:paraId="132909CC" w14:textId="69EEA137" w:rsidR="004F0248" w:rsidRPr="0002434F" w:rsidRDefault="004F0248" w:rsidP="001C2D33">
      <w:r w:rsidRPr="0002434F">
        <w:t xml:space="preserve">The sponsor has proposed only routine risk minimisation activities, through draft PI and CMI, for all safety concerns. No additional risk minimisation activities have been proposed. Routine risk minimisation is considered acceptable to manage the risks. At </w:t>
      </w:r>
      <w:r w:rsidR="00241EA0" w:rsidRPr="0002434F">
        <w:t>the second round of evaluation</w:t>
      </w:r>
      <w:r w:rsidRPr="0002434F">
        <w:t>, requested revisions to CMI have all been satisfactorily addressed by sponsor.</w:t>
      </w:r>
    </w:p>
    <w:p w14:paraId="74A4F87F" w14:textId="77777777" w:rsidR="00C22214" w:rsidRPr="0002434F" w:rsidRDefault="00C22214" w:rsidP="00C22214">
      <w:pPr>
        <w:pStyle w:val="Heading3"/>
      </w:pPr>
      <w:bookmarkStart w:id="70" w:name="_Toc103679299"/>
      <w:bookmarkStart w:id="71" w:name="_Toc147390251"/>
      <w:r w:rsidRPr="0002434F">
        <w:t>Risk-benefit analysis</w:t>
      </w:r>
      <w:bookmarkEnd w:id="66"/>
      <w:bookmarkEnd w:id="67"/>
      <w:bookmarkEnd w:id="70"/>
      <w:bookmarkEnd w:id="71"/>
    </w:p>
    <w:p w14:paraId="77DE2655" w14:textId="77777777" w:rsidR="00C22214" w:rsidRPr="0002434F" w:rsidRDefault="00C22214" w:rsidP="00C22214">
      <w:pPr>
        <w:pStyle w:val="Heading4"/>
      </w:pPr>
      <w:bookmarkStart w:id="72" w:name="_Toc98931932"/>
      <w:bookmarkStart w:id="73" w:name="_Toc147390252"/>
      <w:r w:rsidRPr="0002434F">
        <w:t>Delegate’s considerations</w:t>
      </w:r>
      <w:bookmarkEnd w:id="72"/>
      <w:bookmarkEnd w:id="73"/>
    </w:p>
    <w:p w14:paraId="02723725" w14:textId="39BE25AE" w:rsidR="004F0248" w:rsidRPr="0002434F" w:rsidRDefault="004F0248" w:rsidP="001C2D33">
      <w:proofErr w:type="spellStart"/>
      <w:r w:rsidRPr="0002434F">
        <w:t>Avacopan</w:t>
      </w:r>
      <w:proofErr w:type="spellEnd"/>
      <w:r w:rsidRPr="0002434F">
        <w:t xml:space="preserve"> provides an alternative, oral, treatment approach to the relatively rare but frequently life-threatening conditions GPA and MPA. The sponsor reported that 30</w:t>
      </w:r>
      <w:r w:rsidR="00826EDB" w:rsidRPr="0002434F">
        <w:t xml:space="preserve"> </w:t>
      </w:r>
      <w:r w:rsidRPr="0002434F">
        <w:t xml:space="preserve">mg </w:t>
      </w:r>
      <w:proofErr w:type="spellStart"/>
      <w:r w:rsidRPr="0002434F">
        <w:t>avacopan</w:t>
      </w:r>
      <w:proofErr w:type="spellEnd"/>
      <w:r w:rsidRPr="0002434F">
        <w:t xml:space="preserve"> </w:t>
      </w:r>
      <w:r w:rsidR="00C31D14" w:rsidRPr="0002434F">
        <w:t>twice daily</w:t>
      </w:r>
      <w:r w:rsidRPr="0002434F">
        <w:t xml:space="preserve"> is as effective as a typical induction protocol with prednisone, in combination with acknowledged standard of care immunomodulatory treatments, in inducing remission by 26</w:t>
      </w:r>
      <w:r w:rsidR="00826EDB" w:rsidRPr="0002434F">
        <w:t> </w:t>
      </w:r>
      <w:r w:rsidRPr="0002434F">
        <w:t xml:space="preserve">weeks of treatment. This non-inferiority was consistent for all pre-defined sub-groups. Ongoing use of </w:t>
      </w:r>
      <w:proofErr w:type="spellStart"/>
      <w:r w:rsidRPr="0002434F">
        <w:t>avacopan</w:t>
      </w:r>
      <w:proofErr w:type="spellEnd"/>
      <w:r w:rsidRPr="0002434F">
        <w:t xml:space="preserve"> to 52 weeks (compared to no regular prednisolone) also appeared to be successful in maintaining remission. Several secondary endpoints supported the </w:t>
      </w:r>
      <w:proofErr w:type="gramStart"/>
      <w:r w:rsidR="00826EDB" w:rsidRPr="0002434F">
        <w:t>medium term</w:t>
      </w:r>
      <w:proofErr w:type="gramEnd"/>
      <w:r w:rsidRPr="0002434F">
        <w:t xml:space="preserve"> effect, notwithstanding the relatively small study population and the decision not to control for multiplicity in the analysis of numerous secondary endpoints. Very limited efficacy results were provided for the adolescent population. This population group is significantly smaller than adults and it is not unusual to apply efficacy results from adults to direct therapy in younger patients. In the opinion of this delegate, the data provided from this study is inadequate to support regulatory approval for use of </w:t>
      </w:r>
      <w:proofErr w:type="spellStart"/>
      <w:r w:rsidRPr="0002434F">
        <w:t>avacopan</w:t>
      </w:r>
      <w:proofErr w:type="spellEnd"/>
      <w:r w:rsidRPr="0002434F">
        <w:t xml:space="preserve"> in adolescents.</w:t>
      </w:r>
    </w:p>
    <w:p w14:paraId="254F9DFB" w14:textId="25D2B5F4" w:rsidR="007F3F71" w:rsidRPr="0002434F" w:rsidRDefault="004F0248" w:rsidP="001C2D33">
      <w:r w:rsidRPr="0002434F">
        <w:t xml:space="preserve">The toxic effects of </w:t>
      </w:r>
      <w:proofErr w:type="gramStart"/>
      <w:r w:rsidR="00826EDB" w:rsidRPr="0002434F">
        <w:t>long term</w:t>
      </w:r>
      <w:proofErr w:type="gramEnd"/>
      <w:r w:rsidRPr="0002434F">
        <w:t xml:space="preserve"> glucocorticoid treatment and intermittent high</w:t>
      </w:r>
      <w:r w:rsidR="00826EDB" w:rsidRPr="0002434F">
        <w:t xml:space="preserve"> </w:t>
      </w:r>
      <w:r w:rsidRPr="0002434F">
        <w:t>dose glucocorticoid treatment are also well</w:t>
      </w:r>
      <w:r w:rsidR="00826EDB" w:rsidRPr="0002434F">
        <w:t xml:space="preserve"> </w:t>
      </w:r>
      <w:r w:rsidRPr="0002434F">
        <w:t xml:space="preserve">described. Reduction in glucocorticoid toxicity was a secondary efficacy outcome in the pivotal study. Some reductions in the typical signs and symptoms of glucocorticoid excess were seen at up to 52 weeks, which are suggestive of a potential </w:t>
      </w:r>
      <w:proofErr w:type="gramStart"/>
      <w:r w:rsidRPr="0002434F">
        <w:t>longer term</w:t>
      </w:r>
      <w:proofErr w:type="gramEnd"/>
      <w:r w:rsidRPr="0002434F">
        <w:t xml:space="preserve"> benefit from </w:t>
      </w:r>
      <w:proofErr w:type="spellStart"/>
      <w:r w:rsidRPr="0002434F">
        <w:t>avacopan</w:t>
      </w:r>
      <w:proofErr w:type="spellEnd"/>
      <w:r w:rsidRPr="0002434F">
        <w:t xml:space="preserve">. In both the </w:t>
      </w:r>
      <w:proofErr w:type="spellStart"/>
      <w:r w:rsidRPr="0002434F">
        <w:t>avacopan</w:t>
      </w:r>
      <w:proofErr w:type="spellEnd"/>
      <w:r w:rsidRPr="0002434F">
        <w:t xml:space="preserve"> and prednisone treatment arms, additional glucocorticoid therapy for worsening disease was required at comparable doses during the </w:t>
      </w:r>
      <w:proofErr w:type="gramStart"/>
      <w:r w:rsidRPr="0002434F">
        <w:t>26 to 52</w:t>
      </w:r>
      <w:r w:rsidR="00826EDB" w:rsidRPr="0002434F">
        <w:t> </w:t>
      </w:r>
      <w:r w:rsidRPr="0002434F">
        <w:t>week</w:t>
      </w:r>
      <w:proofErr w:type="gramEnd"/>
      <w:r w:rsidRPr="0002434F">
        <w:t xml:space="preserve"> period. Further evidence is required to confirm whether in the longer term </w:t>
      </w:r>
      <w:proofErr w:type="spellStart"/>
      <w:r w:rsidRPr="0002434F">
        <w:t>avacopan</w:t>
      </w:r>
      <w:proofErr w:type="spellEnd"/>
      <w:r w:rsidRPr="0002434F">
        <w:t xml:space="preserve"> can decrease the requirement for multiple prednisone induction courses for relapsed AAV.</w:t>
      </w:r>
    </w:p>
    <w:p w14:paraId="6E946F4D" w14:textId="781DABAA" w:rsidR="004F0248" w:rsidRPr="0002434F" w:rsidRDefault="004F0248" w:rsidP="001C2D33">
      <w:r w:rsidRPr="0002434F">
        <w:t xml:space="preserve">The clinical programme for </w:t>
      </w:r>
      <w:proofErr w:type="spellStart"/>
      <w:r w:rsidRPr="0002434F">
        <w:t>avacopan</w:t>
      </w:r>
      <w:proofErr w:type="spellEnd"/>
      <w:r w:rsidRPr="0002434F">
        <w:t xml:space="preserve"> in AAV flagged </w:t>
      </w:r>
      <w:proofErr w:type="gramStart"/>
      <w:r w:rsidRPr="0002434F">
        <w:t>a number of</w:t>
      </w:r>
      <w:proofErr w:type="gramEnd"/>
      <w:r w:rsidRPr="0002434F">
        <w:t xml:space="preserve"> potential safety issues. These included a marked increase in the risk for frequent, serious and or severe infections, most commonly of the respiratory tract, but also potentially in other organ systems. Glucocorticoids and other immunomodulatory treatments are known to contribute to infectious risks and physicians and patients requiring immunomodulatory treatment are </w:t>
      </w:r>
      <w:proofErr w:type="gramStart"/>
      <w:r w:rsidRPr="0002434F">
        <w:t>well aware</w:t>
      </w:r>
      <w:proofErr w:type="gramEnd"/>
      <w:r w:rsidRPr="0002434F">
        <w:t xml:space="preserve"> of these risks and the actions required to manage them. The potential for </w:t>
      </w:r>
      <w:proofErr w:type="spellStart"/>
      <w:r w:rsidRPr="0002434F">
        <w:t>avacopan</w:t>
      </w:r>
      <w:proofErr w:type="spellEnd"/>
      <w:r w:rsidRPr="0002434F">
        <w:t xml:space="preserve"> to contribute to neutropenia and </w:t>
      </w:r>
      <w:proofErr w:type="spellStart"/>
      <w:r w:rsidRPr="0002434F">
        <w:t>lymphopaenia</w:t>
      </w:r>
      <w:proofErr w:type="spellEnd"/>
      <w:r w:rsidRPr="0002434F">
        <w:t xml:space="preserve"> has also been noted.</w:t>
      </w:r>
    </w:p>
    <w:p w14:paraId="4F7EC400" w14:textId="766F9EBA" w:rsidR="004F0248" w:rsidRPr="0002434F" w:rsidRDefault="004F0248" w:rsidP="001C2D33">
      <w:r w:rsidRPr="0002434F">
        <w:t xml:space="preserve">Use of </w:t>
      </w:r>
      <w:proofErr w:type="spellStart"/>
      <w:r w:rsidRPr="0002434F">
        <w:t>avacopan</w:t>
      </w:r>
      <w:proofErr w:type="spellEnd"/>
      <w:r w:rsidRPr="0002434F">
        <w:t xml:space="preserve"> has also been associated with disordered hepatic function and elevated concentrations of transaminases and other liver enzymes. While most cases of elevated enzymes and hepatic dysfunction reported in the trial were mild or moderate and possibly transient, the </w:t>
      </w:r>
      <w:r w:rsidR="00826EDB" w:rsidRPr="0002434F">
        <w:t>PI</w:t>
      </w:r>
      <w:r w:rsidRPr="0002434F">
        <w:t xml:space="preserve"> includes appropriate advice for discontinuing </w:t>
      </w:r>
      <w:proofErr w:type="spellStart"/>
      <w:r w:rsidRPr="0002434F">
        <w:t>avacopan</w:t>
      </w:r>
      <w:proofErr w:type="spellEnd"/>
      <w:r w:rsidRPr="0002434F">
        <w:t xml:space="preserve"> until results normalise, or permanently. </w:t>
      </w:r>
      <w:proofErr w:type="spellStart"/>
      <w:r w:rsidRPr="0002434F">
        <w:t>Avacopan</w:t>
      </w:r>
      <w:proofErr w:type="spellEnd"/>
      <w:r w:rsidRPr="0002434F">
        <w:t xml:space="preserve"> has also been associated with a range of symptoms of hypersensitivity, including angioedema. Appropriate warnings are included in the </w:t>
      </w:r>
      <w:r w:rsidR="00826EDB" w:rsidRPr="0002434F">
        <w:t>PI</w:t>
      </w:r>
      <w:r w:rsidRPr="0002434F">
        <w:t>.</w:t>
      </w:r>
    </w:p>
    <w:p w14:paraId="3916F296" w14:textId="77777777" w:rsidR="00C22214" w:rsidRPr="0002434F" w:rsidRDefault="00C22214" w:rsidP="00C22214">
      <w:pPr>
        <w:pStyle w:val="Heading4"/>
      </w:pPr>
      <w:bookmarkStart w:id="74" w:name="_Toc98931933"/>
      <w:bookmarkStart w:id="75" w:name="_Toc147390253"/>
      <w:r w:rsidRPr="0002434F">
        <w:lastRenderedPageBreak/>
        <w:t>Proposed action</w:t>
      </w:r>
      <w:bookmarkEnd w:id="74"/>
      <w:bookmarkEnd w:id="75"/>
    </w:p>
    <w:p w14:paraId="6F1A4539" w14:textId="6A6DFD3B" w:rsidR="004F0248" w:rsidRPr="0002434F" w:rsidRDefault="004F0248" w:rsidP="001C2D33">
      <w:proofErr w:type="spellStart"/>
      <w:r w:rsidRPr="0002434F">
        <w:t>Avacopan</w:t>
      </w:r>
      <w:proofErr w:type="spellEnd"/>
      <w:r w:rsidRPr="0002434F">
        <w:t xml:space="preserve">, in combination with rituximab or </w:t>
      </w:r>
      <w:proofErr w:type="gramStart"/>
      <w:r w:rsidRPr="0002434F">
        <w:t>cyclophosphamide</w:t>
      </w:r>
      <w:r w:rsidR="001B712F" w:rsidRPr="0002434F">
        <w:t xml:space="preserve"> </w:t>
      </w:r>
      <w:r w:rsidRPr="0002434F">
        <w:t>based</w:t>
      </w:r>
      <w:proofErr w:type="gramEnd"/>
      <w:r w:rsidRPr="0002434F">
        <w:t xml:space="preserve"> treatment regimens for GPA and MPA, has been shown to be non-inferior to induction protocols of prednisone in inducing remission, based on appropriate outcome measures. There is also weaker evidence that </w:t>
      </w:r>
      <w:proofErr w:type="spellStart"/>
      <w:r w:rsidRPr="0002434F">
        <w:t>avacopan</w:t>
      </w:r>
      <w:proofErr w:type="spellEnd"/>
      <w:r w:rsidRPr="0002434F">
        <w:t xml:space="preserve">, in combination with a rituximab or </w:t>
      </w:r>
      <w:proofErr w:type="gramStart"/>
      <w:r w:rsidRPr="0002434F">
        <w:t>cyclophosphamide</w:t>
      </w:r>
      <w:r w:rsidR="001B712F" w:rsidRPr="0002434F">
        <w:t xml:space="preserve"> </w:t>
      </w:r>
      <w:r w:rsidRPr="0002434F">
        <w:t>based</w:t>
      </w:r>
      <w:proofErr w:type="gramEnd"/>
      <w:r w:rsidRPr="0002434F">
        <w:t xml:space="preserve"> regimen can maintain remission for up to 52 weeks, compared to use of the background therapies alone following induction with prednisone. There is supportive evidence that </w:t>
      </w:r>
      <w:proofErr w:type="spellStart"/>
      <w:r w:rsidRPr="0002434F">
        <w:t>avacopan</w:t>
      </w:r>
      <w:proofErr w:type="spellEnd"/>
      <w:r w:rsidRPr="0002434F">
        <w:t xml:space="preserve"> may decrease overall requirements for glucocorticoids, as suggested by improvements in the </w:t>
      </w:r>
      <w:r w:rsidR="002752E2" w:rsidRPr="0002434F">
        <w:t>GTI</w:t>
      </w:r>
      <w:r w:rsidRPr="0002434F">
        <w:t>. Safety concerns are comparable to, or fewer than for other immunomodulators. The sponsor has committed</w:t>
      </w:r>
      <w:r w:rsidR="005E1CAD" w:rsidRPr="0002434F">
        <w:t xml:space="preserve"> with the </w:t>
      </w:r>
      <w:r w:rsidR="001B4BC8" w:rsidRPr="0002434F">
        <w:t>European Medicines Agency,</w:t>
      </w:r>
      <w:r w:rsidRPr="0002434F">
        <w:t xml:space="preserve"> to a post-approval safety study to monitor for important known and potential risks.</w:t>
      </w:r>
    </w:p>
    <w:p w14:paraId="5DDE9504" w14:textId="2CE6EBAD" w:rsidR="004F0248" w:rsidRPr="0002434F" w:rsidRDefault="004F0248" w:rsidP="001C2D33">
      <w:proofErr w:type="spellStart"/>
      <w:r w:rsidRPr="0002434F">
        <w:t>Avacopan</w:t>
      </w:r>
      <w:proofErr w:type="spellEnd"/>
      <w:r w:rsidRPr="0002434F">
        <w:t xml:space="preserve"> </w:t>
      </w:r>
      <w:bookmarkStart w:id="76" w:name="OLE_LINK1"/>
      <w:r w:rsidRPr="0002434F">
        <w:t>does not appear to provide a significant breakthrough for the treatment of AAV.</w:t>
      </w:r>
      <w:bookmarkEnd w:id="76"/>
      <w:r w:rsidRPr="0002434F">
        <w:t xml:space="preserve"> It may, however, provide an alternative approach to high</w:t>
      </w:r>
      <w:r w:rsidR="002752E2" w:rsidRPr="0002434F">
        <w:t xml:space="preserve"> </w:t>
      </w:r>
      <w:r w:rsidRPr="0002434F">
        <w:t xml:space="preserve">dose glucocorticoids in inducing remission in new onset or relapsed GPA or MPA. It may also, in the longer term, prove successful in maintaining remission with a decreased requirement for glucocorticoid rescue treatment. On the balance of the evidence, </w:t>
      </w:r>
      <w:r w:rsidR="00826EDB" w:rsidRPr="0002434F">
        <w:t>the Delegate is</w:t>
      </w:r>
      <w:r w:rsidRPr="0002434F">
        <w:t xml:space="preserve"> inclined to approve registration of </w:t>
      </w:r>
      <w:proofErr w:type="spellStart"/>
      <w:r w:rsidRPr="0002434F">
        <w:t>avacopan</w:t>
      </w:r>
      <w:proofErr w:type="spellEnd"/>
      <w:r w:rsidRPr="0002434F">
        <w:t xml:space="preserve"> for a modified therapeutic indication</w:t>
      </w:r>
      <w:r w:rsidR="001C2D33" w:rsidRPr="0002434F">
        <w:t>:</w:t>
      </w:r>
    </w:p>
    <w:p w14:paraId="3F07974A" w14:textId="77777777" w:rsidR="004F0248" w:rsidRPr="0002434F" w:rsidRDefault="004F0248" w:rsidP="001C2D33">
      <w:pPr>
        <w:ind w:left="720"/>
        <w:rPr>
          <w:i/>
          <w:iCs/>
        </w:rPr>
      </w:pPr>
      <w:r w:rsidRPr="0002434F">
        <w:rPr>
          <w:i/>
          <w:iCs/>
        </w:rPr>
        <w:t xml:space="preserve">Tavneos, in combination with a rituximab or </w:t>
      </w:r>
      <w:proofErr w:type="gramStart"/>
      <w:r w:rsidRPr="0002434F">
        <w:rPr>
          <w:i/>
          <w:iCs/>
        </w:rPr>
        <w:t>cyclophosphamide based</w:t>
      </w:r>
      <w:proofErr w:type="gramEnd"/>
      <w:r w:rsidRPr="0002434F">
        <w:rPr>
          <w:i/>
          <w:iCs/>
        </w:rPr>
        <w:t xml:space="preserve"> regimen, is indicated for the treatment of adults with severe active anti-neutrophil cytoplasmic autoantibody (ANCA)-associated vasculitis (granulomatosis with polyangiitis [GPA] and microscopic polyangiitis [MPA]).</w:t>
      </w:r>
    </w:p>
    <w:p w14:paraId="318CFABC" w14:textId="77777777" w:rsidR="00C22214" w:rsidRPr="0002434F" w:rsidRDefault="00C22214" w:rsidP="00C22214">
      <w:pPr>
        <w:pStyle w:val="Heading4"/>
      </w:pPr>
      <w:bookmarkStart w:id="77" w:name="_Toc98931936"/>
      <w:bookmarkStart w:id="78" w:name="_Toc247691532"/>
      <w:bookmarkStart w:id="79" w:name="_Toc314842516"/>
      <w:bookmarkStart w:id="80" w:name="_Toc147390254"/>
      <w:r w:rsidRPr="0002434F">
        <w:t>Advisory Committee considerations</w:t>
      </w:r>
      <w:bookmarkEnd w:id="77"/>
      <w:bookmarkEnd w:id="80"/>
    </w:p>
    <w:p w14:paraId="087BB9CB" w14:textId="31B4F5E4" w:rsidR="00C22214" w:rsidRPr="0002434F" w:rsidRDefault="00C22214" w:rsidP="00C22214">
      <w:pPr>
        <w:rPr>
          <w:bCs/>
          <w:szCs w:val="22"/>
        </w:rPr>
      </w:pPr>
      <w:r w:rsidRPr="0002434F">
        <w:rPr>
          <w:bCs/>
          <w:szCs w:val="22"/>
        </w:rPr>
        <w:t xml:space="preserve">The </w:t>
      </w:r>
      <w:hyperlink r:id="rId41" w:history="1">
        <w:r w:rsidRPr="0002434F">
          <w:rPr>
            <w:rStyle w:val="Hyperlink"/>
            <w:szCs w:val="22"/>
          </w:rPr>
          <w:t>Advisory Committee on Medicines (ACM)</w:t>
        </w:r>
      </w:hyperlink>
      <w:r w:rsidRPr="0002434F">
        <w:rPr>
          <w:szCs w:val="22"/>
        </w:rPr>
        <w:t>,</w:t>
      </w:r>
      <w:r w:rsidRPr="0002434F">
        <w:rPr>
          <w:bCs/>
          <w:szCs w:val="22"/>
        </w:rPr>
        <w:t xml:space="preserve"> having considered the evaluations and the Delegate’s overview, as well as the sponsor’s response to these documents, advised the following.</w:t>
      </w:r>
    </w:p>
    <w:p w14:paraId="0D935CC4" w14:textId="77777777" w:rsidR="00C22214" w:rsidRPr="0002434F" w:rsidRDefault="00C22214" w:rsidP="00C22214">
      <w:pPr>
        <w:pStyle w:val="Heading5"/>
      </w:pPr>
      <w:r w:rsidRPr="0002434F">
        <w:t>Specific advice to the Delegate</w:t>
      </w:r>
    </w:p>
    <w:p w14:paraId="2DB6E42D" w14:textId="77777777" w:rsidR="004F0248" w:rsidRPr="0002434F" w:rsidRDefault="004F0248" w:rsidP="004F0248">
      <w:pPr>
        <w:pStyle w:val="Numberbullet0"/>
        <w:numPr>
          <w:ilvl w:val="0"/>
          <w:numId w:val="12"/>
        </w:numPr>
        <w:spacing w:after="120"/>
        <w:ind w:left="425" w:hanging="425"/>
        <w:rPr>
          <w:b/>
          <w:bCs/>
          <w:i/>
          <w:iCs/>
        </w:rPr>
      </w:pPr>
      <w:r w:rsidRPr="0002434F">
        <w:rPr>
          <w:b/>
          <w:bCs/>
          <w:i/>
          <w:iCs/>
        </w:rPr>
        <w:t xml:space="preserve">What is the opinion of the Committee regarding the evidence of efficacy and safety of </w:t>
      </w:r>
      <w:proofErr w:type="spellStart"/>
      <w:r w:rsidRPr="0002434F">
        <w:rPr>
          <w:b/>
          <w:bCs/>
          <w:i/>
          <w:iCs/>
        </w:rPr>
        <w:t>avacopan</w:t>
      </w:r>
      <w:proofErr w:type="spellEnd"/>
      <w:r w:rsidRPr="0002434F">
        <w:rPr>
          <w:b/>
          <w:bCs/>
          <w:i/>
          <w:iCs/>
        </w:rPr>
        <w:t xml:space="preserve"> in adolescents with anti-neutrophil cytoplasmic autoantibody (ANCA)-associated vasculitis (AAV)?</w:t>
      </w:r>
    </w:p>
    <w:p w14:paraId="5C5C4CDE" w14:textId="756AF881" w:rsidR="004F0248" w:rsidRPr="0002434F" w:rsidRDefault="004F0248" w:rsidP="001C2D33">
      <w:r w:rsidRPr="0002434F">
        <w:t xml:space="preserve">The ACM noted the low numbers of adolescents included within the studies. </w:t>
      </w:r>
      <w:r w:rsidR="00325842" w:rsidRPr="0002434F">
        <w:t>Four</w:t>
      </w:r>
      <w:r w:rsidRPr="0002434F">
        <w:t xml:space="preserve"> female adolescents were enrolled in the </w:t>
      </w:r>
      <w:r w:rsidR="002679A7" w:rsidRPr="0002434F">
        <w:t>Phase III</w:t>
      </w:r>
      <w:r w:rsidRPr="0002434F">
        <w:t xml:space="preserve"> study, </w:t>
      </w:r>
      <w:r w:rsidR="00325842" w:rsidRPr="0002434F">
        <w:t>3</w:t>
      </w:r>
      <w:r w:rsidRPr="0002434F">
        <w:t xml:space="preserve"> within the </w:t>
      </w:r>
      <w:proofErr w:type="spellStart"/>
      <w:r w:rsidRPr="0002434F">
        <w:t>avacopan</w:t>
      </w:r>
      <w:proofErr w:type="spellEnd"/>
      <w:r w:rsidRPr="0002434F">
        <w:t xml:space="preserve"> arm and </w:t>
      </w:r>
      <w:r w:rsidR="00826EDB" w:rsidRPr="0002434F">
        <w:t>one</w:t>
      </w:r>
      <w:r w:rsidRPr="0002434F">
        <w:t xml:space="preserve"> within the prednisone (control) arm.</w:t>
      </w:r>
      <w:r w:rsidR="00325842" w:rsidRPr="0002434F">
        <w:rPr>
          <w:rStyle w:val="FootnoteReference"/>
        </w:rPr>
        <w:footnoteReference w:id="19"/>
      </w:r>
      <w:r w:rsidRPr="0002434F">
        <w:t xml:space="preserve"> One adolescent completed treatment with remission at 26 weeks sustained at </w:t>
      </w:r>
      <w:r w:rsidR="00AD36A0" w:rsidRPr="0002434F">
        <w:t>Week 5</w:t>
      </w:r>
      <w:r w:rsidRPr="0002434F">
        <w:t xml:space="preserve">2. Noting these low numbers, the ACM indicated there are limited data on the use of </w:t>
      </w:r>
      <w:proofErr w:type="spellStart"/>
      <w:r w:rsidRPr="0002434F">
        <w:t>avacopan</w:t>
      </w:r>
      <w:proofErr w:type="spellEnd"/>
      <w:r w:rsidRPr="0002434F">
        <w:t xml:space="preserve"> in adolescents with AAV.</w:t>
      </w:r>
    </w:p>
    <w:p w14:paraId="5BFDB52B" w14:textId="77777777" w:rsidR="004F0248" w:rsidRPr="0002434F" w:rsidRDefault="004F0248" w:rsidP="001C2D33">
      <w:r w:rsidRPr="0002434F">
        <w:t xml:space="preserve">The ACM considered the mechanism of action for </w:t>
      </w:r>
      <w:proofErr w:type="spellStart"/>
      <w:r w:rsidRPr="0002434F">
        <w:t>avacopan</w:t>
      </w:r>
      <w:proofErr w:type="spellEnd"/>
      <w:r w:rsidRPr="0002434F">
        <w:t xml:space="preserve"> and was of the view that the pathological mechanisms are unlikely to differ between adults and adolescents.</w:t>
      </w:r>
    </w:p>
    <w:p w14:paraId="2F1C0844" w14:textId="77777777" w:rsidR="004F0248" w:rsidRPr="0002434F" w:rsidRDefault="004F0248" w:rsidP="001C2D33">
      <w:r w:rsidRPr="0002434F">
        <w:t>The ACM also considered the rareness of the condition within this population, and the harms of ongoing glucocorticoid steroids usage in this age range.</w:t>
      </w:r>
    </w:p>
    <w:p w14:paraId="2F3EBA70" w14:textId="77777777" w:rsidR="007F3F71" w:rsidRPr="0002434F" w:rsidRDefault="004F0248" w:rsidP="004F0248">
      <w:pPr>
        <w:pStyle w:val="Numberbullet0"/>
        <w:spacing w:after="120"/>
        <w:ind w:left="425" w:hanging="425"/>
        <w:rPr>
          <w:b/>
          <w:bCs/>
          <w:i/>
          <w:iCs/>
        </w:rPr>
      </w:pPr>
      <w:r w:rsidRPr="0002434F">
        <w:rPr>
          <w:b/>
          <w:bCs/>
          <w:i/>
          <w:iCs/>
        </w:rPr>
        <w:t>Should the study outcomes in the limited adolescent studies be included in the product information?</w:t>
      </w:r>
    </w:p>
    <w:p w14:paraId="02B049A6" w14:textId="7A6C7E85" w:rsidR="004F0248" w:rsidRPr="0002434F" w:rsidRDefault="004F0248" w:rsidP="001C2D33">
      <w:r w:rsidRPr="0002434F">
        <w:lastRenderedPageBreak/>
        <w:t>The ACM was of the view that the study outcomes in the limited adolescent studies should be included within the product information (PI) and advised that this information will assist prescribers to make informed treatment decisions.</w:t>
      </w:r>
    </w:p>
    <w:p w14:paraId="40061E8D" w14:textId="77777777" w:rsidR="004F0248" w:rsidRPr="0002434F" w:rsidRDefault="004F0248" w:rsidP="001C2D33">
      <w:r w:rsidRPr="0002434F">
        <w:t>The ACM also encouraged the sponsor to undertake larger studies within this population.</w:t>
      </w:r>
    </w:p>
    <w:p w14:paraId="0951E768" w14:textId="77777777" w:rsidR="007F3F71" w:rsidRPr="0002434F" w:rsidRDefault="004F0248" w:rsidP="004F0248">
      <w:pPr>
        <w:pStyle w:val="Numberbullet0"/>
        <w:spacing w:after="120"/>
        <w:ind w:left="425" w:hanging="425"/>
        <w:rPr>
          <w:b/>
          <w:bCs/>
          <w:i/>
          <w:iCs/>
        </w:rPr>
      </w:pPr>
      <w:r w:rsidRPr="0002434F">
        <w:rPr>
          <w:b/>
          <w:bCs/>
          <w:i/>
          <w:iCs/>
        </w:rPr>
        <w:t xml:space="preserve">What is the opinion of the Committee regarding restriction of </w:t>
      </w:r>
      <w:proofErr w:type="spellStart"/>
      <w:r w:rsidRPr="0002434F">
        <w:rPr>
          <w:b/>
          <w:bCs/>
          <w:i/>
          <w:iCs/>
        </w:rPr>
        <w:t>avacopan</w:t>
      </w:r>
      <w:proofErr w:type="spellEnd"/>
      <w:r w:rsidRPr="0002434F">
        <w:rPr>
          <w:b/>
          <w:bCs/>
          <w:i/>
          <w:iCs/>
        </w:rPr>
        <w:t xml:space="preserve"> to use in patients with severe AAV?</w:t>
      </w:r>
    </w:p>
    <w:p w14:paraId="2B4F9A7E" w14:textId="2E8C0193" w:rsidR="004F0248" w:rsidRPr="0002434F" w:rsidRDefault="004F0248" w:rsidP="001C2D33">
      <w:r w:rsidRPr="0002434F">
        <w:t xml:space="preserve">The ACM was of the view that there was no need to restrict the use of </w:t>
      </w:r>
      <w:proofErr w:type="spellStart"/>
      <w:r w:rsidRPr="0002434F">
        <w:t>avacopan</w:t>
      </w:r>
      <w:proofErr w:type="spellEnd"/>
      <w:r w:rsidRPr="0002434F">
        <w:t xml:space="preserve"> to patients with severe AAV and suggested that ‘severe’ be removed from the indication. The pivotal clinical study enrolled patients with Birmingham Vascular Activity Scores (BVAS) at </w:t>
      </w:r>
      <w:r w:rsidR="00241EA0" w:rsidRPr="0002434F">
        <w:t>Baseline</w:t>
      </w:r>
      <w:r w:rsidRPr="0002434F">
        <w:t xml:space="preserve"> ranging from 5 to 37, representing a range of severity.</w:t>
      </w:r>
    </w:p>
    <w:p w14:paraId="27E68F6B" w14:textId="5DAC877D" w:rsidR="004F0248" w:rsidRPr="0002434F" w:rsidRDefault="004F0248" w:rsidP="001C2D33">
      <w:r w:rsidRPr="0002434F">
        <w:t xml:space="preserve">The ACM noted the inclusion of in combination with a rituximab or </w:t>
      </w:r>
      <w:proofErr w:type="gramStart"/>
      <w:r w:rsidRPr="0002434F">
        <w:t>cyclophosphamide based</w:t>
      </w:r>
      <w:proofErr w:type="gramEnd"/>
      <w:r w:rsidRPr="0002434F">
        <w:t xml:space="preserve"> regimen within the indication and advised that treatment with these agents indicates a level of severity requiring treatment to restrict disease progression </w:t>
      </w:r>
      <w:r w:rsidR="00826EDB" w:rsidRPr="0002434F">
        <w:t>or</w:t>
      </w:r>
      <w:r w:rsidRPr="0002434F">
        <w:t xml:space="preserve"> impact on organ(s).</w:t>
      </w:r>
    </w:p>
    <w:p w14:paraId="5318C5D3" w14:textId="77777777" w:rsidR="004F0248" w:rsidRPr="0002434F" w:rsidRDefault="004F0248" w:rsidP="001C2D33">
      <w:r w:rsidRPr="0002434F">
        <w:t>The ACM also commented on the challenges in defining AAV as severe in addition to determining the severity of disease particularly if the patient has had previous treatment.</w:t>
      </w:r>
    </w:p>
    <w:p w14:paraId="786A1434" w14:textId="4DDF459E" w:rsidR="004F0248" w:rsidRPr="0002434F" w:rsidRDefault="004F0248" w:rsidP="001C2D33">
      <w:r w:rsidRPr="0002434F">
        <w:t>The ACM further acknowledged the steroid</w:t>
      </w:r>
      <w:r w:rsidR="00826EDB" w:rsidRPr="0002434F">
        <w:t xml:space="preserve"> </w:t>
      </w:r>
      <w:r w:rsidRPr="0002434F">
        <w:t xml:space="preserve">sparing ability of </w:t>
      </w:r>
      <w:proofErr w:type="spellStart"/>
      <w:r w:rsidRPr="0002434F">
        <w:t>avacopan</w:t>
      </w:r>
      <w:proofErr w:type="spellEnd"/>
      <w:r w:rsidRPr="0002434F">
        <w:t xml:space="preserve"> and advised that using </w:t>
      </w:r>
      <w:proofErr w:type="spellStart"/>
      <w:r w:rsidRPr="0002434F">
        <w:t>avacopan</w:t>
      </w:r>
      <w:proofErr w:type="spellEnd"/>
      <w:r w:rsidRPr="0002434F">
        <w:t xml:space="preserve"> in ‘moderate’ disease would also be appropriate as it may spare the long taper and toxicity associated with prednisone.</w:t>
      </w:r>
    </w:p>
    <w:p w14:paraId="189605F4" w14:textId="5F5E1316" w:rsidR="004F0248" w:rsidRPr="0002434F" w:rsidRDefault="004F0248" w:rsidP="004F0248">
      <w:pPr>
        <w:pStyle w:val="Numberbullet0"/>
        <w:spacing w:after="120"/>
        <w:ind w:left="425" w:hanging="425"/>
        <w:rPr>
          <w:b/>
          <w:bCs/>
          <w:i/>
          <w:iCs/>
        </w:rPr>
      </w:pPr>
      <w:r w:rsidRPr="0002434F">
        <w:rPr>
          <w:b/>
          <w:bCs/>
          <w:i/>
          <w:iCs/>
        </w:rPr>
        <w:t>Please discuss whether measures of AAV severity, other than the Birmingham Vascular Activity Scores (BVAS),</w:t>
      </w:r>
      <w:r w:rsidR="002435D4" w:rsidRPr="0002434F">
        <w:rPr>
          <w:b/>
          <w:bCs/>
          <w:i/>
          <w:iCs/>
          <w:vertAlign w:val="superscript"/>
        </w:rPr>
        <w:fldChar w:fldCharType="begin"/>
      </w:r>
      <w:r w:rsidR="002435D4" w:rsidRPr="0002434F">
        <w:rPr>
          <w:b/>
          <w:bCs/>
          <w:i/>
          <w:iCs/>
          <w:vertAlign w:val="superscript"/>
        </w:rPr>
        <w:instrText xml:space="preserve"> NOTEREF _Ref144882567 \h  \* MERGEFORMAT </w:instrText>
      </w:r>
      <w:r w:rsidR="002435D4" w:rsidRPr="0002434F">
        <w:rPr>
          <w:b/>
          <w:bCs/>
          <w:i/>
          <w:iCs/>
          <w:vertAlign w:val="superscript"/>
        </w:rPr>
      </w:r>
      <w:r w:rsidR="002435D4" w:rsidRPr="0002434F">
        <w:rPr>
          <w:b/>
          <w:bCs/>
          <w:i/>
          <w:iCs/>
          <w:vertAlign w:val="superscript"/>
        </w:rPr>
        <w:fldChar w:fldCharType="separate"/>
      </w:r>
      <w:r w:rsidR="0002434F">
        <w:rPr>
          <w:b/>
          <w:bCs/>
          <w:i/>
          <w:iCs/>
          <w:vertAlign w:val="superscript"/>
        </w:rPr>
        <w:t>9</w:t>
      </w:r>
      <w:r w:rsidR="002435D4" w:rsidRPr="0002434F">
        <w:rPr>
          <w:b/>
          <w:bCs/>
          <w:i/>
          <w:iCs/>
          <w:vertAlign w:val="superscript"/>
        </w:rPr>
        <w:fldChar w:fldCharType="end"/>
      </w:r>
      <w:r w:rsidRPr="0002434F">
        <w:rPr>
          <w:b/>
          <w:bCs/>
          <w:i/>
          <w:iCs/>
        </w:rPr>
        <w:t xml:space="preserve"> would impact specialist physicians when choosing treatment options?</w:t>
      </w:r>
    </w:p>
    <w:p w14:paraId="4E6F2D3E" w14:textId="77777777" w:rsidR="004F0248" w:rsidRPr="0002434F" w:rsidRDefault="004F0248" w:rsidP="001C2D33">
      <w:r w:rsidRPr="0002434F">
        <w:t>The ACM advised that clinical signs and renal markers are often useful for directing treatment. However, the ACM noted the variability of disease and that the markers and measures utilised will often depend on which organs are affected.</w:t>
      </w:r>
    </w:p>
    <w:p w14:paraId="1A2787EE" w14:textId="77777777" w:rsidR="004F0248" w:rsidRPr="0002434F" w:rsidRDefault="004F0248" w:rsidP="001C2D33">
      <w:r w:rsidRPr="0002434F">
        <w:t>The ACM advised that AAV treatment is generally tailored to the individual patient and is closely managed by specialist physicians.</w:t>
      </w:r>
    </w:p>
    <w:p w14:paraId="79967838" w14:textId="77777777" w:rsidR="004F0248" w:rsidRPr="0002434F" w:rsidRDefault="004F0248" w:rsidP="001C2D33">
      <w:r w:rsidRPr="0002434F">
        <w:t>The ACM noted that due to the varying AAV presentations it is difficult to construct a prescriptive list of measures in a clear manner.</w:t>
      </w:r>
    </w:p>
    <w:p w14:paraId="5291EA2A" w14:textId="77777777" w:rsidR="00C22214" w:rsidRPr="0002434F" w:rsidRDefault="00C22214" w:rsidP="00C22214">
      <w:pPr>
        <w:pStyle w:val="Heading5"/>
      </w:pPr>
      <w:r w:rsidRPr="0002434F">
        <w:t>Conclusion</w:t>
      </w:r>
    </w:p>
    <w:p w14:paraId="051844E4" w14:textId="77777777" w:rsidR="004F0248" w:rsidRPr="0002434F" w:rsidRDefault="004F0248" w:rsidP="001C2D33">
      <w:r w:rsidRPr="0002434F">
        <w:t>The ACM considered this product to have an overall positive benefit-risk profile for the indication:</w:t>
      </w:r>
    </w:p>
    <w:p w14:paraId="0F17A471" w14:textId="77777777" w:rsidR="004F0248" w:rsidRPr="0002434F" w:rsidRDefault="004F0248" w:rsidP="001C2D33">
      <w:pPr>
        <w:ind w:left="720"/>
        <w:rPr>
          <w:i/>
          <w:iCs/>
        </w:rPr>
      </w:pPr>
      <w:r w:rsidRPr="0002434F">
        <w:rPr>
          <w:i/>
          <w:iCs/>
        </w:rPr>
        <w:t xml:space="preserve">Tavneos, in combination with a rituximab or </w:t>
      </w:r>
      <w:proofErr w:type="gramStart"/>
      <w:r w:rsidRPr="0002434F">
        <w:rPr>
          <w:i/>
          <w:iCs/>
        </w:rPr>
        <w:t>cyclophosphamide based</w:t>
      </w:r>
      <w:proofErr w:type="gramEnd"/>
      <w:r w:rsidRPr="0002434F">
        <w:rPr>
          <w:i/>
          <w:iCs/>
        </w:rPr>
        <w:t xml:space="preserve"> regimen, is indicated for the treatment of active anti-neutrophil cytoplasmic autoantibody (ANCA)-associated vasculitis (granulomatosis with polyangiitis [GPA] and microscopic polyangiitis [MPA]).</w:t>
      </w:r>
    </w:p>
    <w:p w14:paraId="307F236C" w14:textId="77777777" w:rsidR="00C22214" w:rsidRPr="0002434F" w:rsidRDefault="00C22214" w:rsidP="00C22214">
      <w:pPr>
        <w:pStyle w:val="Heading2"/>
      </w:pPr>
      <w:bookmarkStart w:id="81" w:name="_Toc103679300"/>
      <w:bookmarkStart w:id="82" w:name="_Toc147390255"/>
      <w:r w:rsidRPr="0002434F">
        <w:t>Outcome</w:t>
      </w:r>
      <w:bookmarkEnd w:id="78"/>
      <w:bookmarkEnd w:id="79"/>
      <w:bookmarkEnd w:id="81"/>
      <w:bookmarkEnd w:id="82"/>
    </w:p>
    <w:p w14:paraId="2E0DAEDF" w14:textId="77777777" w:rsidR="004F0248" w:rsidRPr="0002434F" w:rsidRDefault="00C22214" w:rsidP="001C2D33">
      <w:r w:rsidRPr="0002434F">
        <w:t xml:space="preserve">Based on a review of quality, safety, and efficacy, the TGA approved the registration of </w:t>
      </w:r>
      <w:r w:rsidR="004F0248" w:rsidRPr="0002434F">
        <w:t>Tavneos (</w:t>
      </w:r>
      <w:proofErr w:type="spellStart"/>
      <w:r w:rsidR="004F0248" w:rsidRPr="0002434F">
        <w:t>avacopan</w:t>
      </w:r>
      <w:proofErr w:type="spellEnd"/>
      <w:r w:rsidR="004F0248" w:rsidRPr="0002434F">
        <w:t>) 10 mg, capsule, bottle,</w:t>
      </w:r>
      <w:r w:rsidRPr="0002434F">
        <w:t xml:space="preserve"> indicated for:</w:t>
      </w:r>
    </w:p>
    <w:p w14:paraId="1190EFFF" w14:textId="23C740CD" w:rsidR="004F0248" w:rsidRPr="0002434F" w:rsidRDefault="004F0248" w:rsidP="001C2D33">
      <w:pPr>
        <w:ind w:left="720"/>
        <w:rPr>
          <w:i/>
          <w:iCs/>
        </w:rPr>
      </w:pPr>
      <w:r w:rsidRPr="0002434F">
        <w:rPr>
          <w:i/>
          <w:iCs/>
        </w:rPr>
        <w:t xml:space="preserve">Tavneos, in combination with a rituximab or </w:t>
      </w:r>
      <w:proofErr w:type="gramStart"/>
      <w:r w:rsidRPr="0002434F">
        <w:rPr>
          <w:i/>
          <w:iCs/>
        </w:rPr>
        <w:t>cyclophosphamide based</w:t>
      </w:r>
      <w:proofErr w:type="gramEnd"/>
      <w:r w:rsidRPr="0002434F">
        <w:rPr>
          <w:i/>
          <w:iCs/>
        </w:rPr>
        <w:t xml:space="preserve"> regimen, is indicated for the treatment of adults with anti-neutrophil cytoplasmic autoantibody (ANCA)-associated vasculitis (granulomatosis with polyangiitis [GPA] and microscopic polyangiitis [MPA]).</w:t>
      </w:r>
    </w:p>
    <w:p w14:paraId="0D732DA4" w14:textId="77777777" w:rsidR="00854D98" w:rsidRPr="0002434F" w:rsidRDefault="00854D98" w:rsidP="00854D98">
      <w:pPr>
        <w:pStyle w:val="Heading3"/>
      </w:pPr>
      <w:bookmarkStart w:id="83" w:name="_Toc103679301"/>
      <w:bookmarkStart w:id="84" w:name="_Toc147390256"/>
      <w:r w:rsidRPr="0002434F">
        <w:lastRenderedPageBreak/>
        <w:t>Specific conditions of registration applying to these goods</w:t>
      </w:r>
      <w:bookmarkEnd w:id="83"/>
      <w:bookmarkEnd w:id="84"/>
    </w:p>
    <w:p w14:paraId="4A8248D6" w14:textId="6BDC5C45" w:rsidR="007F3F71" w:rsidRPr="0002434F" w:rsidRDefault="00241EA0" w:rsidP="00580762">
      <w:pPr>
        <w:pStyle w:val="ListBullet"/>
      </w:pPr>
      <w:r w:rsidRPr="0002434F">
        <w:t>Tavneos</w:t>
      </w:r>
      <w:r w:rsidR="00580762" w:rsidRPr="0002434F">
        <w:t xml:space="preserve"> (</w:t>
      </w:r>
      <w:proofErr w:type="spellStart"/>
      <w:r w:rsidR="00580762" w:rsidRPr="0002434F">
        <w:t>avacopan</w:t>
      </w:r>
      <w:proofErr w:type="spellEnd"/>
      <w:r w:rsidR="00580762" w:rsidRPr="0002434F">
        <w:t xml:space="preserve">) is to be included in the Black Triangle Scheme. The PI and CMI for </w:t>
      </w:r>
      <w:r w:rsidRPr="0002434F">
        <w:t>Tavneos</w:t>
      </w:r>
      <w:r w:rsidR="00580762" w:rsidRPr="0002434F">
        <w:t xml:space="preserve"> must include the black triangle symbol and mandatory accompanying text for five years, which starts from the date that the sponsor notifies the TGA of supply of the product.</w:t>
      </w:r>
    </w:p>
    <w:p w14:paraId="0CEB8B41" w14:textId="084AA9B7" w:rsidR="007F3F71" w:rsidRPr="0002434F" w:rsidRDefault="00580762" w:rsidP="00580762">
      <w:pPr>
        <w:pStyle w:val="ListBullet"/>
      </w:pPr>
      <w:r w:rsidRPr="0002434F">
        <w:t xml:space="preserve">The </w:t>
      </w:r>
      <w:r w:rsidR="00241EA0" w:rsidRPr="0002434F">
        <w:t>Tavneos</w:t>
      </w:r>
      <w:r w:rsidRPr="0002434F">
        <w:t xml:space="preserve"> EU-</w:t>
      </w:r>
      <w:r w:rsidR="00AB597D" w:rsidRPr="0002434F">
        <w:t>risk management plan</w:t>
      </w:r>
      <w:r w:rsidRPr="0002434F">
        <w:t xml:space="preserve"> (RMP) (version 1.6, dated 17 January 2022; data lock point 24 March 2020), with Australian </w:t>
      </w:r>
      <w:r w:rsidR="00826EDB" w:rsidRPr="0002434F">
        <w:t xml:space="preserve">specific annex </w:t>
      </w:r>
      <w:r w:rsidRPr="0002434F">
        <w:t xml:space="preserve">(version 1, dated 1 December 2020), included with </w:t>
      </w:r>
      <w:r w:rsidR="00826EDB" w:rsidRPr="0002434F">
        <w:t xml:space="preserve">Submission </w:t>
      </w:r>
      <w:r w:rsidRPr="0002434F">
        <w:t>PM-2021-05913-1-3, and any subsequent revisions, as agreed with the TGA will be implemented in Australia.</w:t>
      </w:r>
    </w:p>
    <w:p w14:paraId="04D1DEF1" w14:textId="77777777" w:rsidR="007F3F71" w:rsidRPr="0002434F" w:rsidRDefault="00580762" w:rsidP="00580762">
      <w:pPr>
        <w:pStyle w:val="ListBullet"/>
        <w:numPr>
          <w:ilvl w:val="0"/>
          <w:numId w:val="0"/>
        </w:numPr>
        <w:ind w:left="360"/>
      </w:pPr>
      <w:r w:rsidRPr="0002434F">
        <w:t>An obligatory component of risk management plans is routine pharmacovigilance. Routine pharmacovigilance includes the submission of periodic safety update reports (PSURs).</w:t>
      </w:r>
    </w:p>
    <w:p w14:paraId="03BED3C5" w14:textId="7B6E1FED" w:rsidR="00580762" w:rsidRPr="0002434F" w:rsidRDefault="00580762" w:rsidP="00580762">
      <w:pPr>
        <w:pStyle w:val="ListBullet"/>
        <w:numPr>
          <w:ilvl w:val="0"/>
          <w:numId w:val="0"/>
        </w:numPr>
        <w:ind w:left="360"/>
      </w:pPr>
      <w:r w:rsidRPr="0002434F">
        <w:t xml:space="preserve">Reports are to be provided in line with the current published list of EU reference dates and frequency of submission of PSURs until the period covered by such reports is not less than three years from the date of </w:t>
      </w:r>
      <w:r w:rsidR="00826EDB" w:rsidRPr="0002434F">
        <w:t>the</w:t>
      </w:r>
      <w:r w:rsidRPr="0002434F">
        <w:t xml:space="preserve"> approval letter.</w:t>
      </w:r>
    </w:p>
    <w:p w14:paraId="1619445C" w14:textId="633DCB7E" w:rsidR="00580762" w:rsidRPr="0002434F" w:rsidRDefault="00580762" w:rsidP="00580762">
      <w:pPr>
        <w:pStyle w:val="ListBullet"/>
        <w:numPr>
          <w:ilvl w:val="0"/>
          <w:numId w:val="0"/>
        </w:numPr>
        <w:ind w:left="360"/>
      </w:pPr>
      <w:r w:rsidRPr="0002434F">
        <w:t xml:space="preserve">The reports are to at least meet the requirements for PSURs as described in the European Medicines Agency’s Guideline on </w:t>
      </w:r>
      <w:r w:rsidR="00826EDB" w:rsidRPr="0002434F">
        <w:t xml:space="preserve">Good Pharmacovigilance Practices </w:t>
      </w:r>
      <w:r w:rsidRPr="0002434F">
        <w:t xml:space="preserve">(GVP) Module VII-periodic safety update report </w:t>
      </w:r>
      <w:r w:rsidR="00826EDB" w:rsidRPr="0002434F">
        <w:t>[Revision</w:t>
      </w:r>
      <w:r w:rsidRPr="0002434F">
        <w:t xml:space="preserve"> 1</w:t>
      </w:r>
      <w:r w:rsidR="00826EDB" w:rsidRPr="0002434F">
        <w:t>]</w:t>
      </w:r>
      <w:r w:rsidRPr="0002434F">
        <w:t>, Part VII.B Structures and processes. Note that submission of a PSUR does not constitute an application to vary the registration.</w:t>
      </w:r>
    </w:p>
    <w:p w14:paraId="451DC3FC" w14:textId="77777777" w:rsidR="00C22214" w:rsidRPr="0002434F" w:rsidRDefault="00C22214" w:rsidP="00C22214">
      <w:pPr>
        <w:pStyle w:val="Heading2"/>
      </w:pPr>
      <w:bookmarkStart w:id="85" w:name="_Toc103679303"/>
      <w:bookmarkStart w:id="86" w:name="_Toc147390257"/>
      <w:r w:rsidRPr="0002434F">
        <w:t>Attachment 1. Product Information</w:t>
      </w:r>
      <w:bookmarkEnd w:id="85"/>
      <w:bookmarkEnd w:id="86"/>
    </w:p>
    <w:p w14:paraId="15E4C012" w14:textId="5A6E7664" w:rsidR="007F3F71" w:rsidRPr="0002434F" w:rsidRDefault="00C22214" w:rsidP="00C22214">
      <w:pPr>
        <w:rPr>
          <w:szCs w:val="22"/>
        </w:rPr>
      </w:pPr>
      <w:r w:rsidRPr="0002434F">
        <w:rPr>
          <w:szCs w:val="22"/>
        </w:rPr>
        <w:t xml:space="preserve">The PI for </w:t>
      </w:r>
      <w:r w:rsidR="004F0248" w:rsidRPr="0002434F">
        <w:t xml:space="preserve">Tavneos </w:t>
      </w:r>
      <w:r w:rsidRPr="0002434F">
        <w:rPr>
          <w:szCs w:val="22"/>
        </w:rPr>
        <w:t xml:space="preserve">approved with the submission which is described in this AusPAR is at Attachment 1. For the most recent PI, please refer to the TGA </w:t>
      </w:r>
      <w:hyperlink r:id="rId42" w:history="1">
        <w:r w:rsidRPr="0002434F">
          <w:rPr>
            <w:rStyle w:val="Hyperlink"/>
            <w:szCs w:val="22"/>
          </w:rPr>
          <w:t>PI/CMI search facility.</w:t>
        </w:r>
      </w:hyperlink>
    </w:p>
    <w:p w14:paraId="40740B65" w14:textId="0262730F" w:rsidR="00C22214" w:rsidRPr="0002434F" w:rsidRDefault="00C22214" w:rsidP="00C22214">
      <w:pPr>
        <w:autoSpaceDE w:val="0"/>
        <w:autoSpaceDN w:val="0"/>
        <w:adjustRightInd w:val="0"/>
        <w:spacing w:after="0"/>
      </w:pPr>
      <w:r w:rsidRPr="0002434F">
        <w:rPr>
          <w:b/>
        </w:rPr>
        <w:br w:type="page"/>
      </w:r>
    </w:p>
    <w:p w14:paraId="53357BF3" w14:textId="276457B5" w:rsidR="00C22214" w:rsidRPr="0002434F" w:rsidRDefault="00C22214" w:rsidP="00C22214">
      <w:pPr>
        <w:rPr>
          <w:lang w:eastAsia="ja-JP"/>
        </w:rPr>
        <w:sectPr w:rsidR="00C22214" w:rsidRPr="0002434F" w:rsidSect="007452E8">
          <w:headerReference w:type="default" r:id="rId43"/>
          <w:footerReference w:type="even" r:id="rId44"/>
          <w:footerReference w:type="default" r:id="rId45"/>
          <w:footerReference w:type="first" r:id="rId46"/>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02434F" w14:paraId="3C0C07BF" w14:textId="77777777" w:rsidTr="007452E8">
        <w:trPr>
          <w:trHeight w:hRule="exact" w:val="565"/>
          <w:jc w:val="center"/>
        </w:trPr>
        <w:tc>
          <w:tcPr>
            <w:tcW w:w="9145" w:type="dxa"/>
          </w:tcPr>
          <w:bookmarkEnd w:id="2"/>
          <w:bookmarkEnd w:id="3"/>
          <w:p w14:paraId="7E090B86" w14:textId="77777777" w:rsidR="00F02AEC" w:rsidRPr="0002434F" w:rsidRDefault="00F02AEC" w:rsidP="007452E8">
            <w:pPr>
              <w:pStyle w:val="TGASignoff"/>
            </w:pPr>
            <w:r w:rsidRPr="0002434F">
              <w:lastRenderedPageBreak/>
              <w:t>Therapeutic Goods Administration</w:t>
            </w:r>
          </w:p>
        </w:tc>
      </w:tr>
      <w:tr w:rsidR="00F02AEC" w:rsidRPr="0002434F" w14:paraId="70F47EA1" w14:textId="77777777" w:rsidTr="007452E8">
        <w:trPr>
          <w:trHeight w:val="963"/>
          <w:jc w:val="center"/>
        </w:trPr>
        <w:tc>
          <w:tcPr>
            <w:tcW w:w="9145" w:type="dxa"/>
            <w:tcMar>
              <w:top w:w="28" w:type="dxa"/>
            </w:tcMar>
          </w:tcPr>
          <w:p w14:paraId="3491EBCD" w14:textId="77777777" w:rsidR="00F02AEC" w:rsidRPr="0002434F" w:rsidRDefault="00F02AEC" w:rsidP="007452E8">
            <w:pPr>
              <w:pStyle w:val="Address"/>
              <w:jc w:val="center"/>
            </w:pPr>
            <w:r w:rsidRPr="0002434F">
              <w:t>PO Box 100 Woden ACT 2606 Australia</w:t>
            </w:r>
          </w:p>
          <w:p w14:paraId="5D0FE0E7" w14:textId="733F02FB" w:rsidR="00F02AEC" w:rsidRPr="0002434F" w:rsidRDefault="00F02AEC">
            <w:pPr>
              <w:pStyle w:val="Address"/>
              <w:jc w:val="center"/>
              <w:rPr>
                <w:sz w:val="22"/>
                <w:szCs w:val="22"/>
                <w:lang w:val="fr-CH"/>
              </w:rPr>
            </w:pPr>
            <w:proofErr w:type="gramStart"/>
            <w:r w:rsidRPr="0002434F">
              <w:rPr>
                <w:lang w:val="fr-CH"/>
              </w:rPr>
              <w:t>Email:</w:t>
            </w:r>
            <w:proofErr w:type="gramEnd"/>
            <w:r w:rsidRPr="0002434F">
              <w:rPr>
                <w:lang w:val="fr-CH"/>
              </w:rPr>
              <w:t xml:space="preserve"> </w:t>
            </w:r>
            <w:hyperlink r:id="rId47" w:history="1">
              <w:r w:rsidRPr="0002434F">
                <w:rPr>
                  <w:rStyle w:val="Hyperlink"/>
                  <w:lang w:val="fr-CH"/>
                </w:rPr>
                <w:t>info@tga.gov.au</w:t>
              </w:r>
            </w:hyperlink>
            <w:r w:rsidRPr="0002434F">
              <w:rPr>
                <w:lang w:val="fr-CH"/>
              </w:rPr>
              <w:t xml:space="preserve">  Phone: 1800 020 653  Fax: 02 6203 1605</w:t>
            </w:r>
          </w:p>
          <w:p w14:paraId="4533D80F" w14:textId="7F99B8E1" w:rsidR="00F02AEC" w:rsidRPr="0002434F" w:rsidRDefault="008806E1">
            <w:pPr>
              <w:pStyle w:val="Address"/>
              <w:jc w:val="center"/>
              <w:rPr>
                <w:rStyle w:val="Hyperlink"/>
                <w:b/>
                <w:color w:val="auto"/>
                <w:sz w:val="22"/>
                <w:lang w:val="fr-CH"/>
              </w:rPr>
            </w:pPr>
            <w:hyperlink r:id="rId48" w:history="1">
              <w:r w:rsidR="00F02AEC" w:rsidRPr="0002434F">
                <w:rPr>
                  <w:rStyle w:val="Hyperlink"/>
                  <w:b/>
                  <w:lang w:val="fr-CH"/>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02434F">
              <w:t>Reference/Publication #</w:t>
            </w:r>
          </w:p>
        </w:tc>
      </w:tr>
    </w:tbl>
    <w:p w14:paraId="788B80FD" w14:textId="77777777" w:rsidR="007452E8" w:rsidRDefault="007452E8"/>
    <w:sectPr w:rsidR="007452E8" w:rsidSect="007452E8">
      <w:footerReference w:type="even" r:id="rId49"/>
      <w:footerReference w:type="default" r:id="rId50"/>
      <w:headerReference w:type="first" r:id="rId51"/>
      <w:footerReference w:type="first" r:id="rId52"/>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E11665" w14:textId="77777777" w:rsidR="00C61D46" w:rsidRDefault="00C61D46" w:rsidP="00F02AEC">
      <w:pPr>
        <w:spacing w:after="0" w:line="240" w:lineRule="auto"/>
      </w:pPr>
      <w:r>
        <w:separator/>
      </w:r>
    </w:p>
  </w:endnote>
  <w:endnote w:type="continuationSeparator" w:id="0">
    <w:p w14:paraId="21AC5C1A" w14:textId="77777777" w:rsidR="00C61D46" w:rsidRDefault="00C61D46" w:rsidP="00F02AEC">
      <w:pPr>
        <w:spacing w:after="0" w:line="240" w:lineRule="auto"/>
      </w:pPr>
      <w:r>
        <w:continuationSeparator/>
      </w:r>
    </w:p>
  </w:endnote>
  <w:endnote w:type="continuationNotice" w:id="1">
    <w:p w14:paraId="3BA89C2A" w14:textId="77777777" w:rsidR="00C61D46" w:rsidRDefault="00C61D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Yu Gothic Medium">
    <w:panose1 w:val="020B05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5EFA9" w14:textId="4F4E01E1" w:rsidR="00FE3B8B" w:rsidRDefault="00FE3B8B">
    <w:pPr>
      <w:pStyle w:val="Footer"/>
    </w:pPr>
    <w:r>
      <w:rPr>
        <w:noProof/>
      </w:rPr>
      <mc:AlternateContent>
        <mc:Choice Requires="wps">
          <w:drawing>
            <wp:anchor distT="0" distB="0" distL="0" distR="0" simplePos="0" relativeHeight="251658243" behindDoc="0" locked="0" layoutInCell="1" allowOverlap="1" wp14:anchorId="7EAAE44F" wp14:editId="5C4DFC4F">
              <wp:simplePos x="635" y="635"/>
              <wp:positionH relativeFrom="page">
                <wp:align>center</wp:align>
              </wp:positionH>
              <wp:positionV relativeFrom="page">
                <wp:align>bottom</wp:align>
              </wp:positionV>
              <wp:extent cx="443865" cy="443865"/>
              <wp:effectExtent l="0" t="0" r="1270" b="0"/>
              <wp:wrapNone/>
              <wp:docPr id="3" name="Text Box 3" descr="BUSINESS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0F78A9" w14:textId="2E94A9BC" w:rsidR="00FE3B8B" w:rsidRPr="00FE3B8B" w:rsidRDefault="00FE3B8B" w:rsidP="00FE3B8B">
                          <w:pPr>
                            <w:spacing w:after="0"/>
                            <w:rPr>
                              <w:rFonts w:ascii="Calibri" w:eastAsia="Calibri" w:hAnsi="Calibri" w:cs="Calibri"/>
                              <w:noProof/>
                              <w:color w:val="000000"/>
                              <w:sz w:val="14"/>
                              <w:szCs w:val="14"/>
                            </w:rPr>
                          </w:pPr>
                          <w:r w:rsidRPr="00FE3B8B">
                            <w:rPr>
                              <w:rFonts w:ascii="Calibri" w:eastAsia="Calibri" w:hAnsi="Calibri" w:cs="Calibri"/>
                              <w:noProof/>
                              <w:color w:val="000000"/>
                              <w:sz w:val="14"/>
                              <w:szCs w:val="14"/>
                            </w:rPr>
                            <w:t>BUSINESS USE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AAE44F" id="_x0000_t202" coordsize="21600,21600" o:spt="202" path="m,l,21600r21600,l21600,xe">
              <v:stroke joinstyle="miter"/>
              <v:path gradientshapeok="t" o:connecttype="rect"/>
            </v:shapetype>
            <v:shape id="Text Box 3" o:spid="_x0000_s1026" type="#_x0000_t202" alt="BUSINESS USE" style="position:absolute;margin-left:0;margin-top:0;width:34.95pt;height:34.9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2A0F78A9" w14:textId="2E94A9BC" w:rsidR="00FE3B8B" w:rsidRPr="00FE3B8B" w:rsidRDefault="00FE3B8B" w:rsidP="00FE3B8B">
                    <w:pPr>
                      <w:spacing w:after="0"/>
                      <w:rPr>
                        <w:rFonts w:ascii="Calibri" w:eastAsia="Calibri" w:hAnsi="Calibri" w:cs="Calibri"/>
                        <w:noProof/>
                        <w:color w:val="000000"/>
                        <w:sz w:val="14"/>
                        <w:szCs w:val="14"/>
                      </w:rPr>
                    </w:pPr>
                    <w:r w:rsidRPr="00FE3B8B">
                      <w:rPr>
                        <w:rFonts w:ascii="Calibri" w:eastAsia="Calibri" w:hAnsi="Calibri" w:cs="Calibri"/>
                        <w:noProof/>
                        <w:color w:val="000000"/>
                        <w:sz w:val="14"/>
                        <w:szCs w:val="14"/>
                      </w:rPr>
                      <w:t>BUSINESS USE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2F54D6BA" w:rsidR="007452E8" w:rsidRDefault="00FE3B8B" w:rsidP="007452E8">
          <w:pPr>
            <w:pStyle w:val="Footer"/>
          </w:pPr>
          <w:r>
            <w:rPr>
              <w:noProof/>
            </w:rPr>
            <mc:AlternateContent>
              <mc:Choice Requires="wps">
                <w:drawing>
                  <wp:anchor distT="0" distB="0" distL="0" distR="0" simplePos="0" relativeHeight="251658244" behindDoc="0" locked="0" layoutInCell="1" allowOverlap="1" wp14:anchorId="64BE6367" wp14:editId="15E6BB65">
                    <wp:simplePos x="635" y="635"/>
                    <wp:positionH relativeFrom="page">
                      <wp:align>center</wp:align>
                    </wp:positionH>
                    <wp:positionV relativeFrom="page">
                      <wp:align>bottom</wp:align>
                    </wp:positionV>
                    <wp:extent cx="443865" cy="443865"/>
                    <wp:effectExtent l="0" t="0" r="1270" b="0"/>
                    <wp:wrapNone/>
                    <wp:docPr id="4" name="Text Box 4" descr="BUSINESS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22F2AB" w14:textId="11C42AA5" w:rsidR="00FE3B8B" w:rsidRPr="00FE3B8B" w:rsidRDefault="00FE3B8B" w:rsidP="00FE3B8B">
                                <w:pPr>
                                  <w:spacing w:after="0"/>
                                  <w:rPr>
                                    <w:rFonts w:ascii="Calibri" w:eastAsia="Calibri" w:hAnsi="Calibri" w:cs="Calibri"/>
                                    <w:noProof/>
                                    <w:color w:val="000000"/>
                                    <w:sz w:val="14"/>
                                    <w:szCs w:val="14"/>
                                  </w:rPr>
                                </w:pPr>
                                <w:r w:rsidRPr="00FE3B8B">
                                  <w:rPr>
                                    <w:rFonts w:ascii="Calibri" w:eastAsia="Calibri" w:hAnsi="Calibri" w:cs="Calibri"/>
                                    <w:noProof/>
                                    <w:color w:val="000000"/>
                                    <w:sz w:val="14"/>
                                    <w:szCs w:val="14"/>
                                  </w:rPr>
                                  <w:t>BUSINESS USE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BE6367" id="_x0000_t202" coordsize="21600,21600" o:spt="202" path="m,l,21600r21600,l21600,xe">
                    <v:stroke joinstyle="miter"/>
                    <v:path gradientshapeok="t" o:connecttype="rect"/>
                  </v:shapetype>
                  <v:shape id="Text Box 4" o:spid="_x0000_s1027" type="#_x0000_t202" alt="BUSINESS USE" style="position:absolute;margin-left:0;margin-top:0;width:34.95pt;height:34.9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0222F2AB" w14:textId="11C42AA5" w:rsidR="00FE3B8B" w:rsidRPr="00FE3B8B" w:rsidRDefault="00FE3B8B" w:rsidP="00FE3B8B">
                          <w:pPr>
                            <w:spacing w:after="0"/>
                            <w:rPr>
                              <w:rFonts w:ascii="Calibri" w:eastAsia="Calibri" w:hAnsi="Calibri" w:cs="Calibri"/>
                              <w:noProof/>
                              <w:color w:val="000000"/>
                              <w:sz w:val="14"/>
                              <w:szCs w:val="14"/>
                            </w:rPr>
                          </w:pPr>
                          <w:r w:rsidRPr="00FE3B8B">
                            <w:rPr>
                              <w:rFonts w:ascii="Calibri" w:eastAsia="Calibri" w:hAnsi="Calibri" w:cs="Calibri"/>
                              <w:noProof/>
                              <w:color w:val="000000"/>
                              <w:sz w:val="14"/>
                              <w:szCs w:val="14"/>
                            </w:rPr>
                            <w:t>BUSINESS USE</w:t>
                          </w:r>
                        </w:p>
                      </w:txbxContent>
                    </v:textbox>
                    <w10:wrap anchorx="page" anchory="page"/>
                  </v:shape>
                </w:pict>
              </mc:Fallback>
            </mc:AlternateContent>
          </w: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NUMPAGES</w:instrText>
              </w:r>
              <w:r>
                <w:fldChar w:fldCharType="separate"/>
              </w:r>
              <w:r>
                <w:rPr>
                  <w:noProof/>
                </w:rPr>
                <w:t>2</w:t>
              </w:r>
              <w: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42F60317" w:rsidR="007452E8" w:rsidRDefault="007452E8" w:rsidP="007452E8">
    <w:pPr>
      <w:pStyle w:val="Footer"/>
      <w:ind w:left="-1701"/>
    </w:pPr>
    <w:r w:rsidRPr="002B29B2">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136D8" w14:textId="68028ED5" w:rsidR="00FE3B8B" w:rsidRDefault="00FE3B8B">
    <w:pPr>
      <w:pStyle w:val="Footer"/>
    </w:pPr>
    <w:r>
      <w:rPr>
        <w:noProof/>
      </w:rPr>
      <mc:AlternateContent>
        <mc:Choice Requires="wps">
          <w:drawing>
            <wp:anchor distT="0" distB="0" distL="0" distR="0" simplePos="0" relativeHeight="251658246" behindDoc="0" locked="0" layoutInCell="1" allowOverlap="1" wp14:anchorId="452E6C00" wp14:editId="3B6ABE2E">
              <wp:simplePos x="635" y="635"/>
              <wp:positionH relativeFrom="page">
                <wp:align>center</wp:align>
              </wp:positionH>
              <wp:positionV relativeFrom="page">
                <wp:align>bottom</wp:align>
              </wp:positionV>
              <wp:extent cx="443865" cy="443865"/>
              <wp:effectExtent l="0" t="0" r="1270" b="0"/>
              <wp:wrapNone/>
              <wp:docPr id="15" name="Text Box 15" descr="BUSINESS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46F11E" w14:textId="519CC212" w:rsidR="00FE3B8B" w:rsidRPr="00FE3B8B" w:rsidRDefault="00FE3B8B" w:rsidP="00FE3B8B">
                          <w:pPr>
                            <w:spacing w:after="0"/>
                            <w:rPr>
                              <w:rFonts w:ascii="Calibri" w:eastAsia="Calibri" w:hAnsi="Calibri" w:cs="Calibri"/>
                              <w:noProof/>
                              <w:color w:val="000000"/>
                              <w:sz w:val="14"/>
                              <w:szCs w:val="14"/>
                            </w:rPr>
                          </w:pPr>
                          <w:r w:rsidRPr="00FE3B8B">
                            <w:rPr>
                              <w:rFonts w:ascii="Calibri" w:eastAsia="Calibri" w:hAnsi="Calibri" w:cs="Calibri"/>
                              <w:noProof/>
                              <w:color w:val="000000"/>
                              <w:sz w:val="14"/>
                              <w:szCs w:val="14"/>
                            </w:rPr>
                            <w:t>BUSINESS USE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2E6C00" id="_x0000_t202" coordsize="21600,21600" o:spt="202" path="m,l,21600r21600,l21600,xe">
              <v:stroke joinstyle="miter"/>
              <v:path gradientshapeok="t" o:connecttype="rect"/>
            </v:shapetype>
            <v:shape id="Text Box 15" o:spid="_x0000_s1028" type="#_x0000_t202" alt="BUSINESS USE" style="position:absolute;margin-left:0;margin-top:0;width:34.95pt;height:34.9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1946F11E" w14:textId="519CC212" w:rsidR="00FE3B8B" w:rsidRPr="00FE3B8B" w:rsidRDefault="00FE3B8B" w:rsidP="00FE3B8B">
                    <w:pPr>
                      <w:spacing w:after="0"/>
                      <w:rPr>
                        <w:rFonts w:ascii="Calibri" w:eastAsia="Calibri" w:hAnsi="Calibri" w:cs="Calibri"/>
                        <w:noProof/>
                        <w:color w:val="000000"/>
                        <w:sz w:val="14"/>
                        <w:szCs w:val="14"/>
                      </w:rPr>
                    </w:pPr>
                    <w:r w:rsidRPr="00FE3B8B">
                      <w:rPr>
                        <w:rFonts w:ascii="Calibri" w:eastAsia="Calibri" w:hAnsi="Calibri" w:cs="Calibri"/>
                        <w:noProof/>
                        <w:color w:val="000000"/>
                        <w:sz w:val="14"/>
                        <w:szCs w:val="14"/>
                      </w:rPr>
                      <w:t>BUSINESS USE</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5C9D3C8B" w:rsidR="007452E8" w:rsidRPr="004A3084" w:rsidRDefault="007452E8" w:rsidP="007452E8">
          <w:pPr>
            <w:pStyle w:val="Footer"/>
          </w:pPr>
          <w:r w:rsidRPr="00487162">
            <w:t>AusPA</w:t>
          </w:r>
          <w:r>
            <w:t xml:space="preserve">R </w:t>
          </w:r>
          <w:r w:rsidR="004F0248">
            <w:t>–</w:t>
          </w:r>
          <w:r>
            <w:t xml:space="preserve"> </w:t>
          </w:r>
          <w:r w:rsidR="004F0248" w:rsidRPr="004F0248">
            <w:t>Tavneos</w:t>
          </w:r>
          <w:r w:rsidR="004F0248">
            <w:t xml:space="preserve"> –</w:t>
          </w:r>
          <w:r w:rsidRPr="00460036">
            <w:t xml:space="preserve"> </w:t>
          </w:r>
          <w:proofErr w:type="spellStart"/>
          <w:r w:rsidR="004F0248" w:rsidRPr="004F0248">
            <w:t>avacopan</w:t>
          </w:r>
          <w:proofErr w:type="spellEnd"/>
          <w:r w:rsidR="004F0248">
            <w:t xml:space="preserve"> </w:t>
          </w:r>
          <w:r w:rsidR="0002434F">
            <w:t>–</w:t>
          </w:r>
          <w:r>
            <w:t xml:space="preserve"> </w:t>
          </w:r>
          <w:r w:rsidR="004F0248" w:rsidRPr="004F0248">
            <w:t>Vifor Pharma Pty Ltd</w:t>
          </w:r>
          <w:r w:rsidR="004F0248">
            <w:t xml:space="preserve"> </w:t>
          </w:r>
          <w:r w:rsidR="0002434F">
            <w:t>–</w:t>
          </w:r>
          <w:r>
            <w:t xml:space="preserve"> </w:t>
          </w:r>
          <w:r w:rsidR="00580762" w:rsidRPr="00580762">
            <w:t>PM-2021-05913-1-3</w:t>
          </w:r>
          <w:r>
            <w:br/>
          </w:r>
          <w:r w:rsidR="00D95B81">
            <w:t>Final</w:t>
          </w:r>
          <w:r w:rsidR="00330453">
            <w:t xml:space="preserve"> </w:t>
          </w:r>
          <w:r w:rsidR="00D95B81">
            <w:t>4</w:t>
          </w:r>
          <w:r w:rsidR="005E5DF4">
            <w:t xml:space="preserve"> Oct</w:t>
          </w:r>
          <w:r w:rsidR="00EE727C">
            <w:t>ober</w:t>
          </w:r>
          <w:r w:rsidR="004F0248">
            <w:t xml:space="preserve"> 2023</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fldChar w:fldCharType="begin"/>
              </w:r>
              <w:r>
                <w:instrText>NUMPAGES</w:instrText>
              </w:r>
              <w:r>
                <w:fldChar w:fldCharType="separate"/>
              </w:r>
              <w:r w:rsidR="006D6B44">
                <w:rPr>
                  <w:noProof/>
                </w:rPr>
                <w:t>17</w:t>
              </w:r>
              <w: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2EE37" w14:textId="581966F8" w:rsidR="00FE3B8B" w:rsidRDefault="00FE3B8B">
    <w:pPr>
      <w:pStyle w:val="Footer"/>
    </w:pPr>
    <w:r>
      <w:rPr>
        <w:noProof/>
      </w:rPr>
      <mc:AlternateContent>
        <mc:Choice Requires="wps">
          <w:drawing>
            <wp:anchor distT="0" distB="0" distL="0" distR="0" simplePos="0" relativeHeight="251658245" behindDoc="0" locked="0" layoutInCell="1" allowOverlap="1" wp14:anchorId="61901E25" wp14:editId="165A2EDE">
              <wp:simplePos x="635" y="635"/>
              <wp:positionH relativeFrom="page">
                <wp:align>center</wp:align>
              </wp:positionH>
              <wp:positionV relativeFrom="page">
                <wp:align>bottom</wp:align>
              </wp:positionV>
              <wp:extent cx="443865" cy="443865"/>
              <wp:effectExtent l="0" t="0" r="1270" b="0"/>
              <wp:wrapNone/>
              <wp:docPr id="10" name="Text Box 10" descr="BUSINESS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945E51" w14:textId="13F33CF8" w:rsidR="00FE3B8B" w:rsidRPr="00FE3B8B" w:rsidRDefault="00FE3B8B" w:rsidP="00FE3B8B">
                          <w:pPr>
                            <w:spacing w:after="0"/>
                            <w:rPr>
                              <w:rFonts w:ascii="Calibri" w:eastAsia="Calibri" w:hAnsi="Calibri" w:cs="Calibri"/>
                              <w:noProof/>
                              <w:color w:val="000000"/>
                              <w:sz w:val="14"/>
                              <w:szCs w:val="14"/>
                            </w:rPr>
                          </w:pPr>
                          <w:r w:rsidRPr="00FE3B8B">
                            <w:rPr>
                              <w:rFonts w:ascii="Calibri" w:eastAsia="Calibri" w:hAnsi="Calibri" w:cs="Calibri"/>
                              <w:noProof/>
                              <w:color w:val="000000"/>
                              <w:sz w:val="14"/>
                              <w:szCs w:val="14"/>
                            </w:rPr>
                            <w:t>BUSINESS USE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901E25" id="_x0000_t202" coordsize="21600,21600" o:spt="202" path="m,l,21600r21600,l21600,xe">
              <v:stroke joinstyle="miter"/>
              <v:path gradientshapeok="t" o:connecttype="rect"/>
            </v:shapetype>
            <v:shape id="Text Box 10" o:spid="_x0000_s1029" type="#_x0000_t202" alt="BUSINESS USE" style="position:absolute;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61945E51" w14:textId="13F33CF8" w:rsidR="00FE3B8B" w:rsidRPr="00FE3B8B" w:rsidRDefault="00FE3B8B" w:rsidP="00FE3B8B">
                    <w:pPr>
                      <w:spacing w:after="0"/>
                      <w:rPr>
                        <w:rFonts w:ascii="Calibri" w:eastAsia="Calibri" w:hAnsi="Calibri" w:cs="Calibri"/>
                        <w:noProof/>
                        <w:color w:val="000000"/>
                        <w:sz w:val="14"/>
                        <w:szCs w:val="14"/>
                      </w:rPr>
                    </w:pPr>
                    <w:r w:rsidRPr="00FE3B8B">
                      <w:rPr>
                        <w:rFonts w:ascii="Calibri" w:eastAsia="Calibri" w:hAnsi="Calibri" w:cs="Calibri"/>
                        <w:noProof/>
                        <w:color w:val="000000"/>
                        <w:sz w:val="14"/>
                        <w:szCs w:val="14"/>
                      </w:rPr>
                      <w:t>BUSINESS USE</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F7595" w14:textId="36833A0B" w:rsidR="00FE3B8B" w:rsidRDefault="00FE3B8B">
    <w:pPr>
      <w:pStyle w:val="Footer"/>
    </w:pPr>
    <w:r>
      <w:rPr>
        <w:noProof/>
      </w:rPr>
      <mc:AlternateContent>
        <mc:Choice Requires="wps">
          <w:drawing>
            <wp:anchor distT="0" distB="0" distL="0" distR="0" simplePos="0" relativeHeight="251658249" behindDoc="0" locked="0" layoutInCell="1" allowOverlap="1" wp14:anchorId="63568C97" wp14:editId="2098E72F">
              <wp:simplePos x="635" y="635"/>
              <wp:positionH relativeFrom="page">
                <wp:align>center</wp:align>
              </wp:positionH>
              <wp:positionV relativeFrom="page">
                <wp:align>bottom</wp:align>
              </wp:positionV>
              <wp:extent cx="443865" cy="443865"/>
              <wp:effectExtent l="0" t="0" r="1270" b="0"/>
              <wp:wrapNone/>
              <wp:docPr id="22" name="Text Box 22" descr="BUSINESS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515696" w14:textId="74739494" w:rsidR="00FE3B8B" w:rsidRPr="00FE3B8B" w:rsidRDefault="00FE3B8B" w:rsidP="00FE3B8B">
                          <w:pPr>
                            <w:spacing w:after="0"/>
                            <w:rPr>
                              <w:rFonts w:ascii="Calibri" w:eastAsia="Calibri" w:hAnsi="Calibri" w:cs="Calibri"/>
                              <w:noProof/>
                              <w:color w:val="000000"/>
                              <w:sz w:val="14"/>
                              <w:szCs w:val="14"/>
                            </w:rPr>
                          </w:pPr>
                          <w:r w:rsidRPr="00FE3B8B">
                            <w:rPr>
                              <w:rFonts w:ascii="Calibri" w:eastAsia="Calibri" w:hAnsi="Calibri" w:cs="Calibri"/>
                              <w:noProof/>
                              <w:color w:val="000000"/>
                              <w:sz w:val="14"/>
                              <w:szCs w:val="14"/>
                            </w:rPr>
                            <w:t>BUSINESS USE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568C97" id="_x0000_t202" coordsize="21600,21600" o:spt="202" path="m,l,21600r21600,l21600,xe">
              <v:stroke joinstyle="miter"/>
              <v:path gradientshapeok="t" o:connecttype="rect"/>
            </v:shapetype>
            <v:shape id="Text Box 22" o:spid="_x0000_s1030" type="#_x0000_t202" alt="BUSINESS USE" style="position:absolute;margin-left:0;margin-top:0;width:34.95pt;height:34.9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3D515696" w14:textId="74739494" w:rsidR="00FE3B8B" w:rsidRPr="00FE3B8B" w:rsidRDefault="00FE3B8B" w:rsidP="00FE3B8B">
                    <w:pPr>
                      <w:spacing w:after="0"/>
                      <w:rPr>
                        <w:rFonts w:ascii="Calibri" w:eastAsia="Calibri" w:hAnsi="Calibri" w:cs="Calibri"/>
                        <w:noProof/>
                        <w:color w:val="000000"/>
                        <w:sz w:val="14"/>
                        <w:szCs w:val="14"/>
                      </w:rPr>
                    </w:pPr>
                    <w:r w:rsidRPr="00FE3B8B">
                      <w:rPr>
                        <w:rFonts w:ascii="Calibri" w:eastAsia="Calibri" w:hAnsi="Calibri" w:cs="Calibri"/>
                        <w:noProof/>
                        <w:color w:val="000000"/>
                        <w:sz w:val="14"/>
                        <w:szCs w:val="14"/>
                      </w:rPr>
                      <w:t>BUSINESS USE</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171D1" w14:textId="116D6CE3" w:rsidR="00FE3B8B" w:rsidRDefault="00FE3B8B">
    <w:pPr>
      <w:pStyle w:val="Footer"/>
    </w:pPr>
    <w:r>
      <w:rPr>
        <w:noProof/>
      </w:rPr>
      <mc:AlternateContent>
        <mc:Choice Requires="wps">
          <w:drawing>
            <wp:anchor distT="0" distB="0" distL="0" distR="0" simplePos="0" relativeHeight="251658250" behindDoc="0" locked="0" layoutInCell="1" allowOverlap="1" wp14:anchorId="2DF70028" wp14:editId="228B3194">
              <wp:simplePos x="635" y="635"/>
              <wp:positionH relativeFrom="page">
                <wp:align>center</wp:align>
              </wp:positionH>
              <wp:positionV relativeFrom="page">
                <wp:align>bottom</wp:align>
              </wp:positionV>
              <wp:extent cx="443865" cy="443865"/>
              <wp:effectExtent l="0" t="0" r="1270" b="0"/>
              <wp:wrapNone/>
              <wp:docPr id="23" name="Text Box 23" descr="BUSINESS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CE585C" w14:textId="4A208E99" w:rsidR="00FE3B8B" w:rsidRPr="00FE3B8B" w:rsidRDefault="00FE3B8B" w:rsidP="00FE3B8B">
                          <w:pPr>
                            <w:spacing w:after="0"/>
                            <w:rPr>
                              <w:rFonts w:ascii="Calibri" w:eastAsia="Calibri" w:hAnsi="Calibri" w:cs="Calibri"/>
                              <w:noProof/>
                              <w:color w:val="000000"/>
                              <w:sz w:val="14"/>
                              <w:szCs w:val="14"/>
                            </w:rPr>
                          </w:pPr>
                          <w:r w:rsidRPr="00FE3B8B">
                            <w:rPr>
                              <w:rFonts w:ascii="Calibri" w:eastAsia="Calibri" w:hAnsi="Calibri" w:cs="Calibri"/>
                              <w:noProof/>
                              <w:color w:val="000000"/>
                              <w:sz w:val="14"/>
                              <w:szCs w:val="14"/>
                            </w:rPr>
                            <w:t>BUSINESS USE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F70028" id="_x0000_t202" coordsize="21600,21600" o:spt="202" path="m,l,21600r21600,l21600,xe">
              <v:stroke joinstyle="miter"/>
              <v:path gradientshapeok="t" o:connecttype="rect"/>
            </v:shapetype>
            <v:shape id="Text Box 23" o:spid="_x0000_s1031" type="#_x0000_t202" alt="BUSINESS USE" style="position:absolute;margin-left:0;margin-top:0;width:34.95pt;height:34.9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1FCE585C" w14:textId="4A208E99" w:rsidR="00FE3B8B" w:rsidRPr="00FE3B8B" w:rsidRDefault="00FE3B8B" w:rsidP="00FE3B8B">
                    <w:pPr>
                      <w:spacing w:after="0"/>
                      <w:rPr>
                        <w:rFonts w:ascii="Calibri" w:eastAsia="Calibri" w:hAnsi="Calibri" w:cs="Calibri"/>
                        <w:noProof/>
                        <w:color w:val="000000"/>
                        <w:sz w:val="14"/>
                        <w:szCs w:val="14"/>
                      </w:rPr>
                    </w:pPr>
                    <w:r w:rsidRPr="00FE3B8B">
                      <w:rPr>
                        <w:rFonts w:ascii="Calibri" w:eastAsia="Calibri" w:hAnsi="Calibri" w:cs="Calibri"/>
                        <w:noProof/>
                        <w:color w:val="000000"/>
                        <w:sz w:val="14"/>
                        <w:szCs w:val="14"/>
                      </w:rPr>
                      <w:t>BUSINESS USE</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1BFFB7B8"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250723" w14:textId="77777777" w:rsidR="00C61D46" w:rsidRDefault="00C61D46" w:rsidP="00F02AEC">
      <w:pPr>
        <w:spacing w:after="0" w:line="240" w:lineRule="auto"/>
      </w:pPr>
      <w:r>
        <w:separator/>
      </w:r>
    </w:p>
  </w:footnote>
  <w:footnote w:type="continuationSeparator" w:id="0">
    <w:p w14:paraId="2E578938" w14:textId="77777777" w:rsidR="00C61D46" w:rsidRDefault="00C61D46" w:rsidP="00F02AEC">
      <w:pPr>
        <w:spacing w:after="0" w:line="240" w:lineRule="auto"/>
      </w:pPr>
      <w:r>
        <w:continuationSeparator/>
      </w:r>
    </w:p>
  </w:footnote>
  <w:footnote w:type="continuationNotice" w:id="1">
    <w:p w14:paraId="5143E63D" w14:textId="77777777" w:rsidR="00C61D46" w:rsidRDefault="00C61D46">
      <w:pPr>
        <w:spacing w:after="0" w:line="240" w:lineRule="auto"/>
      </w:pPr>
    </w:p>
  </w:footnote>
  <w:footnote w:id="2">
    <w:p w14:paraId="68402A9B" w14:textId="60286C39" w:rsidR="007452E8" w:rsidRPr="00A93DC6" w:rsidRDefault="007452E8">
      <w:pPr>
        <w:pStyle w:val="FootnoteText"/>
        <w:rPr>
          <w:lang w:val="en-GB"/>
        </w:rPr>
      </w:pPr>
      <w:r>
        <w:rPr>
          <w:rStyle w:val="FootnoteReference"/>
        </w:rPr>
        <w:footnoteRef/>
      </w:r>
      <w:r>
        <w:t xml:space="preserve"> </w:t>
      </w:r>
      <w:r w:rsidR="00FB236E" w:rsidRPr="00047A81">
        <w:t xml:space="preserve">This is the original indication proposed by the sponsor when the TGA commenced the evaluation of this submission. It </w:t>
      </w:r>
      <w:r w:rsidRPr="00047A81">
        <w:t xml:space="preserve">may </w:t>
      </w:r>
      <w:r w:rsidR="00FB236E" w:rsidRPr="00047A81">
        <w:t>differ</w:t>
      </w:r>
      <w:r w:rsidRPr="00047A81">
        <w:t xml:space="preserve"> to the final indication approved by th</w:t>
      </w:r>
      <w:r w:rsidR="00FB236E" w:rsidRPr="00047A81">
        <w:t>e TGA and registered on the Australian Register of Therapeutic Goods.</w:t>
      </w:r>
    </w:p>
  </w:footnote>
  <w:footnote w:id="3">
    <w:p w14:paraId="32F919B2" w14:textId="200A9EC7" w:rsidR="009444B6" w:rsidRDefault="009444B6" w:rsidP="009444B6">
      <w:pPr>
        <w:pStyle w:val="FootnoteText"/>
      </w:pPr>
      <w:r>
        <w:rPr>
          <w:rStyle w:val="FootnoteReference"/>
        </w:rPr>
        <w:footnoteRef/>
      </w:r>
      <w:r>
        <w:t xml:space="preserve"> </w:t>
      </w:r>
      <w:r w:rsidR="002435D4" w:rsidRPr="002435D4">
        <w:t>Therapeutic Guidelines</w:t>
      </w:r>
      <w:r w:rsidRPr="00047A81">
        <w:t xml:space="preserve">, </w:t>
      </w:r>
      <w:hyperlink r:id="rId1" w:anchor="toc_d1e47" w:history="1">
        <w:r w:rsidRPr="002435D4">
          <w:rPr>
            <w:rStyle w:val="Hyperlink"/>
            <w:i/>
            <w:iCs/>
          </w:rPr>
          <w:t xml:space="preserve">Systemic </w:t>
        </w:r>
        <w:proofErr w:type="spellStart"/>
        <w:r w:rsidRPr="002435D4">
          <w:rPr>
            <w:rStyle w:val="Hyperlink"/>
            <w:i/>
            <w:iCs/>
          </w:rPr>
          <w:t>Vasculitides</w:t>
        </w:r>
        <w:proofErr w:type="spellEnd"/>
      </w:hyperlink>
      <w:r w:rsidR="002435D4">
        <w:rPr>
          <w:i/>
          <w:iCs/>
        </w:rPr>
        <w:t xml:space="preserve">, </w:t>
      </w:r>
      <w:r w:rsidR="002435D4" w:rsidRPr="002435D4">
        <w:t xml:space="preserve">Published March 2017, </w:t>
      </w:r>
      <w:r w:rsidRPr="002435D4">
        <w:t>accessed 17</w:t>
      </w:r>
      <w:r w:rsidRPr="00047A81">
        <w:t xml:space="preserve"> October 2022</w:t>
      </w:r>
      <w:r w:rsidR="002435D4">
        <w:t>.</w:t>
      </w:r>
    </w:p>
  </w:footnote>
  <w:footnote w:id="4">
    <w:p w14:paraId="45B54D18" w14:textId="4CF6AB27" w:rsidR="00F86C81" w:rsidRDefault="00F86C81">
      <w:pPr>
        <w:pStyle w:val="FootnoteText"/>
      </w:pPr>
      <w:r>
        <w:rPr>
          <w:rStyle w:val="FootnoteReference"/>
        </w:rPr>
        <w:footnoteRef/>
      </w:r>
      <w:r w:rsidR="002435D4">
        <w:t xml:space="preserve"> </w:t>
      </w:r>
      <w:r w:rsidR="002435D4" w:rsidRPr="002435D4">
        <w:t>Food and Drug Administration</w:t>
      </w:r>
      <w:r w:rsidR="002435D4">
        <w:t xml:space="preserve"> (FDA), </w:t>
      </w:r>
      <w:hyperlink r:id="rId2" w:history="1">
        <w:r w:rsidR="002435D4" w:rsidRPr="002435D4">
          <w:rPr>
            <w:rStyle w:val="Hyperlink"/>
            <w:i/>
            <w:iCs/>
          </w:rPr>
          <w:t xml:space="preserve">NDA Multi-Disciplinary Review and Evaluation, application number214487, </w:t>
        </w:r>
        <w:proofErr w:type="spellStart"/>
        <w:r w:rsidR="002435D4" w:rsidRPr="002435D4">
          <w:rPr>
            <w:rStyle w:val="Hyperlink"/>
            <w:i/>
            <w:iCs/>
          </w:rPr>
          <w:t>avacopan</w:t>
        </w:r>
        <w:proofErr w:type="spellEnd"/>
      </w:hyperlink>
      <w:r w:rsidR="002435D4">
        <w:t xml:space="preserve">, </w:t>
      </w:r>
      <w:r w:rsidR="002435D4" w:rsidRPr="002435D4">
        <w:t xml:space="preserve">Version date: </w:t>
      </w:r>
      <w:r w:rsidR="002435D4">
        <w:t xml:space="preserve">12 </w:t>
      </w:r>
      <w:r w:rsidR="002435D4" w:rsidRPr="002435D4">
        <w:t>October 2018</w:t>
      </w:r>
      <w:r w:rsidR="002435D4">
        <w:t>.</w:t>
      </w:r>
    </w:p>
  </w:footnote>
  <w:footnote w:id="5">
    <w:p w14:paraId="73309A66" w14:textId="6155CCFC" w:rsidR="00F86C81" w:rsidRDefault="00F86C81">
      <w:pPr>
        <w:pStyle w:val="FootnoteText"/>
      </w:pPr>
      <w:r>
        <w:rPr>
          <w:rStyle w:val="FootnoteReference"/>
        </w:rPr>
        <w:footnoteRef/>
      </w:r>
      <w:r>
        <w:t xml:space="preserve"> </w:t>
      </w:r>
      <w:r w:rsidRPr="00F86C81">
        <w:t>European Medicines Agency (EMA), Committee for Proprietary Medicinal Products (CPMP), ICH guideline M3(R2) on non-clinical safety studies for the conduct of human clinical trials and marketing authorisation for pharmaceuticals, EMA/CPMP/ICH/286/1995, December 2009.</w:t>
      </w:r>
    </w:p>
  </w:footnote>
  <w:footnote w:id="6">
    <w:p w14:paraId="01E0F5E5" w14:textId="7252C7C2" w:rsidR="002752E2" w:rsidRDefault="002752E2">
      <w:pPr>
        <w:pStyle w:val="FootnoteText"/>
      </w:pPr>
      <w:r>
        <w:rPr>
          <w:rStyle w:val="FootnoteReference"/>
        </w:rPr>
        <w:footnoteRef/>
      </w:r>
      <w:r>
        <w:t xml:space="preserve"> </w:t>
      </w:r>
      <w:r w:rsidRPr="002435D4">
        <w:rPr>
          <w:b/>
          <w:bCs/>
        </w:rPr>
        <w:t>Good Laboratory Practice (GLP)</w:t>
      </w:r>
      <w:r w:rsidRPr="002752E2">
        <w:t xml:space="preserve"> is a code of standards following the International Council on Harmonisation (ICH) relevant to testing of medicines in laboratories during drug development.</w:t>
      </w:r>
    </w:p>
  </w:footnote>
  <w:footnote w:id="7">
    <w:p w14:paraId="3A43BFE2" w14:textId="19B4343A" w:rsidR="002752E2" w:rsidRDefault="002752E2">
      <w:pPr>
        <w:pStyle w:val="FootnoteText"/>
      </w:pPr>
      <w:r>
        <w:rPr>
          <w:rStyle w:val="FootnoteReference"/>
        </w:rPr>
        <w:footnoteRef/>
      </w:r>
      <w:r>
        <w:t xml:space="preserve"> </w:t>
      </w:r>
      <w:r w:rsidRPr="002752E2">
        <w:t xml:space="preserve">The </w:t>
      </w:r>
      <w:r w:rsidRPr="002435D4">
        <w:rPr>
          <w:b/>
          <w:bCs/>
        </w:rPr>
        <w:t>QT interval</w:t>
      </w:r>
      <w:r w:rsidRPr="002752E2">
        <w:t xml:space="preserve"> is the time from the start of the QRS wave complex to the end of the corresponding T wave. It approximates to the time taken for ventricular depolarisation and repolarisation</w:t>
      </w:r>
      <w:proofErr w:type="gramStart"/>
      <w:r w:rsidRPr="002752E2">
        <w:t>, that is to say, the</w:t>
      </w:r>
      <w:proofErr w:type="gramEnd"/>
      <w:r w:rsidRPr="002752E2">
        <w:t xml:space="preserve"> period of ventricular systole from ventricular isovolumetric contraction to isovolumetric relaxation.</w:t>
      </w:r>
    </w:p>
  </w:footnote>
  <w:footnote w:id="8">
    <w:p w14:paraId="3A290E73" w14:textId="77777777" w:rsidR="002752E2" w:rsidRDefault="002752E2" w:rsidP="002752E2">
      <w:pPr>
        <w:pStyle w:val="FootnoteText"/>
      </w:pPr>
      <w:r>
        <w:rPr>
          <w:rStyle w:val="FootnoteReference"/>
        </w:rPr>
        <w:footnoteRef/>
      </w:r>
      <w:r>
        <w:t xml:space="preserve"> </w:t>
      </w:r>
      <w:r w:rsidRPr="002435D4">
        <w:rPr>
          <w:b/>
          <w:bCs/>
        </w:rPr>
        <w:t>Cytochrome P450 (CYP)</w:t>
      </w:r>
      <w:r>
        <w:t xml:space="preserve"> enzymes are the major enzymes involved in drug metabolism, accounting for large part of the total metabolism. Most drugs undergo deactivation by CYPs, either directly or by facilitated excretion from the body. Also, many substances are bioactivated by CYPs to form their active compounds.</w:t>
      </w:r>
    </w:p>
    <w:p w14:paraId="12007669" w14:textId="550D5D3D" w:rsidR="002752E2" w:rsidRDefault="002752E2" w:rsidP="002752E2">
      <w:pPr>
        <w:pStyle w:val="FootnoteText"/>
      </w:pPr>
      <w:r>
        <w:t xml:space="preserve">Many drugs may increase or decrease the activity of various CYP isozymes either by inducing the biosynthesis of an isozyme (enzyme induction) or by directly inhibiting the activity of the CYP (enzyme inhibition). This is a major source of adverse drug </w:t>
      </w:r>
      <w:proofErr w:type="gramStart"/>
      <w:r>
        <w:t>interactions, since</w:t>
      </w:r>
      <w:proofErr w:type="gramEnd"/>
      <w:r>
        <w:t xml:space="preserve"> changes in CYP enzyme activity may affect the metabolism and clearance of various drugs. Such drug interactions are especially important to </w:t>
      </w:r>
      <w:proofErr w:type="gramStart"/>
      <w:r>
        <w:t>take into account</w:t>
      </w:r>
      <w:proofErr w:type="gramEnd"/>
      <w:r>
        <w:t xml:space="preserve"> when using drugs of vital importance to the patient, drugs with important side-effects and drugs with small therapeutic windows, but any drug may be subject to an altered plasma concentration due to altered drug metabolism.</w:t>
      </w:r>
    </w:p>
  </w:footnote>
  <w:footnote w:id="9">
    <w:p w14:paraId="2B41B5E6" w14:textId="72BED12B" w:rsidR="002752E2" w:rsidRDefault="002752E2" w:rsidP="002752E2">
      <w:pPr>
        <w:pStyle w:val="FootnoteText"/>
      </w:pPr>
      <w:r>
        <w:rPr>
          <w:rStyle w:val="FootnoteReference"/>
        </w:rPr>
        <w:footnoteRef/>
      </w:r>
      <w:r>
        <w:t xml:space="preserve"> </w:t>
      </w:r>
      <w:r w:rsidRPr="002435D4">
        <w:rPr>
          <w:b/>
          <w:bCs/>
        </w:rPr>
        <w:t>Pregnancy Category D</w:t>
      </w:r>
      <w:r>
        <w:t>: 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footnote>
  <w:footnote w:id="10">
    <w:p w14:paraId="5481E6EE" w14:textId="15D503FD" w:rsidR="00453A4C" w:rsidRPr="00190FC4" w:rsidRDefault="00453A4C" w:rsidP="00453A4C">
      <w:pPr>
        <w:pStyle w:val="FootnoteText"/>
        <w:rPr>
          <w:lang w:val="en-US"/>
        </w:rPr>
      </w:pPr>
      <w:r>
        <w:rPr>
          <w:rStyle w:val="FootnoteReference"/>
        </w:rPr>
        <w:footnoteRef/>
      </w:r>
      <w:r>
        <w:t xml:space="preserve"> </w:t>
      </w:r>
      <w:r w:rsidR="002435D4">
        <w:rPr>
          <w:szCs w:val="18"/>
        </w:rPr>
        <w:t xml:space="preserve">The </w:t>
      </w:r>
      <w:r w:rsidR="002435D4" w:rsidRPr="002435D4">
        <w:rPr>
          <w:b/>
          <w:bCs/>
        </w:rPr>
        <w:t>Birmingham Vasculitis Activity Score (BVAS)</w:t>
      </w:r>
      <w:r w:rsidR="002435D4">
        <w:rPr>
          <w:b/>
          <w:bCs/>
        </w:rPr>
        <w:t xml:space="preserve"> </w:t>
      </w:r>
      <w:r w:rsidR="002435D4">
        <w:rPr>
          <w:szCs w:val="18"/>
        </w:rPr>
        <w:t>is a validated scoring system for symptoms of active vasculitis in the preceding four weeks, in nine organ system domains: general, cutaneous, mucous membranes/eyes, ears/nose/throat, chest, cardiovascular, abdominal, renal, neuropsychiatric. It also allows physicians to add up to four ‘other’ symptoms.</w:t>
      </w:r>
    </w:p>
  </w:footnote>
  <w:footnote w:id="11">
    <w:p w14:paraId="477FE27C" w14:textId="27BE3D57" w:rsidR="002752E2" w:rsidRDefault="002752E2">
      <w:pPr>
        <w:pStyle w:val="FootnoteText"/>
      </w:pPr>
      <w:r>
        <w:rPr>
          <w:rStyle w:val="FootnoteReference"/>
        </w:rPr>
        <w:footnoteRef/>
      </w:r>
      <w:r>
        <w:t xml:space="preserve"> </w:t>
      </w:r>
      <w:r w:rsidRPr="002752E2">
        <w:t xml:space="preserve">The </w:t>
      </w:r>
      <w:r w:rsidRPr="002435D4">
        <w:rPr>
          <w:b/>
          <w:bCs/>
        </w:rPr>
        <w:t>Child-Pugh score</w:t>
      </w:r>
      <w:r w:rsidRPr="002752E2">
        <w:t xml:space="preserve"> is used to assess the prognosis of chronic liver disease. The score employs five clinical measures of liver disease. Each measure is scored 1 to 3, with 3 indicating most severe derangement. Class A: 5 to 6 points, least severe liver disease, </w:t>
      </w:r>
      <w:proofErr w:type="gramStart"/>
      <w:r w:rsidRPr="002752E2">
        <w:t>one to five year</w:t>
      </w:r>
      <w:proofErr w:type="gramEnd"/>
      <w:r w:rsidRPr="002752E2">
        <w:t xml:space="preserve"> survival rate of 95%. Class B: 7 to 9 points, moderately severe liver disease, </w:t>
      </w:r>
      <w:proofErr w:type="gramStart"/>
      <w:r w:rsidRPr="002752E2">
        <w:t>one to five year</w:t>
      </w:r>
      <w:proofErr w:type="gramEnd"/>
      <w:r w:rsidRPr="002752E2">
        <w:t xml:space="preserve"> survival of 75%. Class C: 10 to 15 points, most severe liver disease, </w:t>
      </w:r>
      <w:proofErr w:type="gramStart"/>
      <w:r w:rsidRPr="002752E2">
        <w:t>1 to 5 year</w:t>
      </w:r>
      <w:proofErr w:type="gramEnd"/>
      <w:r w:rsidRPr="002752E2">
        <w:t xml:space="preserve"> survival rate 50%.</w:t>
      </w:r>
    </w:p>
  </w:footnote>
  <w:footnote w:id="12">
    <w:p w14:paraId="1DBB9EBA" w14:textId="6715FEFA" w:rsidR="00AD36A0" w:rsidRDefault="00AD36A0" w:rsidP="00AD36A0">
      <w:pPr>
        <w:pStyle w:val="FootnoteText"/>
      </w:pPr>
      <w:r>
        <w:rPr>
          <w:rStyle w:val="FootnoteReference"/>
        </w:rPr>
        <w:footnoteRef/>
      </w:r>
      <w:r>
        <w:t xml:space="preserve"> </w:t>
      </w:r>
      <w:r w:rsidR="002E3FC7">
        <w:t xml:space="preserve">The protocol also made provision for the </w:t>
      </w:r>
      <w:r w:rsidR="00485C4D">
        <w:t>enrolment</w:t>
      </w:r>
      <w:r w:rsidR="002E3FC7">
        <w:t xml:space="preserve"> of eligib</w:t>
      </w:r>
      <w:r w:rsidR="00485C4D">
        <w:t>le</w:t>
      </w:r>
      <w:r w:rsidR="002E3FC7">
        <w:t xml:space="preserve"> adolescents </w:t>
      </w:r>
      <w:r w:rsidR="00485C4D">
        <w:t>and t</w:t>
      </w:r>
      <w:r>
        <w:t xml:space="preserve">hree adolescents aged 12 to 17 were also enrolled following parental consent, and had specific dosage adjustments applied to prednisone, </w:t>
      </w:r>
      <w:r w:rsidRPr="00AD7333">
        <w:t>cyclophosphamide</w:t>
      </w:r>
      <w:r>
        <w:t xml:space="preserve">, </w:t>
      </w:r>
      <w:r w:rsidR="002435D4">
        <w:t xml:space="preserve">and </w:t>
      </w:r>
      <w:r w:rsidRPr="001C2D33">
        <w:t>azathioprine</w:t>
      </w:r>
      <w:r>
        <w:t>.</w:t>
      </w:r>
    </w:p>
  </w:footnote>
  <w:footnote w:id="13">
    <w:p w14:paraId="179CFC77" w14:textId="2091C814" w:rsidR="004F0248" w:rsidRDefault="004F0248" w:rsidP="004F0248">
      <w:pPr>
        <w:pStyle w:val="FootnoteText"/>
      </w:pPr>
      <w:r>
        <w:rPr>
          <w:rStyle w:val="FootnoteReference"/>
        </w:rPr>
        <w:footnoteRef/>
      </w:r>
      <w:r>
        <w:t xml:space="preserve"> If </w:t>
      </w:r>
      <w:r w:rsidR="002435D4">
        <w:t>‘</w:t>
      </w:r>
      <w:r>
        <w:t>other</w:t>
      </w:r>
      <w:r w:rsidR="002435D4">
        <w:t>’</w:t>
      </w:r>
      <w:r>
        <w:t xml:space="preserve"> items were included in the </w:t>
      </w:r>
      <w:r w:rsidR="002435D4" w:rsidRPr="002435D4">
        <w:t>Birmingham Vasculitis Activity Score</w:t>
      </w:r>
      <w:r w:rsidR="002435D4">
        <w:t xml:space="preserve"> (BVAS)</w:t>
      </w:r>
      <w:r>
        <w:t xml:space="preserve">, this had to be confirmed with the </w:t>
      </w:r>
      <w:r w:rsidR="002435D4">
        <w:t>medical monitor</w:t>
      </w:r>
      <w:r>
        <w:t>.</w:t>
      </w:r>
    </w:p>
  </w:footnote>
  <w:footnote w:id="14">
    <w:p w14:paraId="6163DA8D" w14:textId="104D6893" w:rsidR="005028CE" w:rsidRDefault="005028CE">
      <w:pPr>
        <w:pStyle w:val="FootnoteText"/>
      </w:pPr>
      <w:r>
        <w:rPr>
          <w:rStyle w:val="FootnoteReference"/>
        </w:rPr>
        <w:footnoteRef/>
      </w:r>
      <w:r>
        <w:t xml:space="preserve"> </w:t>
      </w:r>
      <w:r w:rsidRPr="005028CE">
        <w:t xml:space="preserve">The </w:t>
      </w:r>
      <w:r w:rsidRPr="005028CE">
        <w:rPr>
          <w:b/>
          <w:bCs/>
        </w:rPr>
        <w:t>36-Item Short Form Health Survey (SF-36)</w:t>
      </w:r>
      <w:r w:rsidRPr="005028CE">
        <w:t xml:space="preserve"> is a multi-purpose, short-form health survey with only 36 questions. It yields an 8-scale profile of functional health and well-being scores as well as psychometrically</w:t>
      </w:r>
      <w:r w:rsidR="00517B65">
        <w:t xml:space="preserve"> </w:t>
      </w:r>
      <w:r w:rsidRPr="005028CE">
        <w:t xml:space="preserve">based physical and mental health summary measures and a </w:t>
      </w:r>
      <w:proofErr w:type="gramStart"/>
      <w:r w:rsidRPr="005028CE">
        <w:t>preference</w:t>
      </w:r>
      <w:r w:rsidR="00517B65">
        <w:t xml:space="preserve"> </w:t>
      </w:r>
      <w:r w:rsidRPr="005028CE">
        <w:t>based</w:t>
      </w:r>
      <w:proofErr w:type="gramEnd"/>
      <w:r w:rsidRPr="005028CE">
        <w:t xml:space="preserve"> health utility index. It measures eight domains of health: physical functioning, role limitations due to physical health, bodily pain, general health perceptions, vitality, social functioning, role limitations due to emotional problems, and mental health. It yields scale scores for each of these eight health domains, and two summary measures of physical and mental health. It is a generic measure, as opposed to one that targets a specific age, disease, or treatment group. The SF-36 is available for two recall periods: standard (4-week recall) and acute (1-week recall).</w:t>
      </w:r>
    </w:p>
  </w:footnote>
  <w:footnote w:id="15">
    <w:p w14:paraId="0955187B" w14:textId="0D20A650" w:rsidR="005028CE" w:rsidRDefault="005028CE">
      <w:pPr>
        <w:pStyle w:val="FootnoteText"/>
      </w:pPr>
      <w:r>
        <w:rPr>
          <w:rStyle w:val="FootnoteReference"/>
        </w:rPr>
        <w:footnoteRef/>
      </w:r>
      <w:r>
        <w:t xml:space="preserve"> </w:t>
      </w:r>
      <w:proofErr w:type="spellStart"/>
      <w:r w:rsidRPr="005028CE">
        <w:rPr>
          <w:b/>
          <w:bCs/>
        </w:rPr>
        <w:t>EuroQuality</w:t>
      </w:r>
      <w:proofErr w:type="spellEnd"/>
      <w:r w:rsidRPr="005028CE">
        <w:rPr>
          <w:b/>
          <w:bCs/>
        </w:rPr>
        <w:t xml:space="preserve"> of Life-5 domains (EQ-5D)</w:t>
      </w:r>
      <w:r w:rsidRPr="005028CE">
        <w:t xml:space="preserve"> (developed by </w:t>
      </w:r>
      <w:proofErr w:type="spellStart"/>
      <w:r w:rsidRPr="005028CE">
        <w:t>EuroQol</w:t>
      </w:r>
      <w:proofErr w:type="spellEnd"/>
      <w:r w:rsidRPr="005028CE">
        <w:t>) is a standardised instrument for use as a measure of health outcome. Applicable to a wide range of health conditions and treatments, it provides a simple descriptive profile and a single index value for health status.</w:t>
      </w:r>
    </w:p>
  </w:footnote>
  <w:footnote w:id="16">
    <w:p w14:paraId="7235EFFE" w14:textId="3F849F71" w:rsidR="004F0248" w:rsidRDefault="004F0248" w:rsidP="00047A81">
      <w:r>
        <w:rPr>
          <w:rStyle w:val="FootnoteReference"/>
        </w:rPr>
        <w:footnoteRef/>
      </w:r>
      <w:r w:rsidRPr="002435D4">
        <w:rPr>
          <w:rStyle w:val="FootnoteTextChar"/>
        </w:rPr>
        <w:t xml:space="preserve"> </w:t>
      </w:r>
      <w:r w:rsidR="002435D4" w:rsidRPr="002435D4">
        <w:rPr>
          <w:rStyle w:val="FootnoteTextChar"/>
        </w:rPr>
        <w:t xml:space="preserve">JH </w:t>
      </w:r>
      <w:r w:rsidRPr="002435D4">
        <w:rPr>
          <w:rStyle w:val="FootnoteTextChar"/>
        </w:rPr>
        <w:t>Stone, et al.</w:t>
      </w:r>
      <w:r w:rsidR="002435D4">
        <w:rPr>
          <w:rStyle w:val="FootnoteTextChar"/>
        </w:rPr>
        <w:t>, ‘</w:t>
      </w:r>
      <w:r w:rsidRPr="002435D4">
        <w:rPr>
          <w:rStyle w:val="FootnoteTextChar"/>
        </w:rPr>
        <w:t>Rituximab versus cyclophosphamide for ANCA-associated vasculitis</w:t>
      </w:r>
      <w:r w:rsidR="002435D4">
        <w:rPr>
          <w:rStyle w:val="FootnoteTextChar"/>
        </w:rPr>
        <w:t xml:space="preserve">’, </w:t>
      </w:r>
      <w:r w:rsidR="002435D4" w:rsidRPr="002435D4">
        <w:rPr>
          <w:rStyle w:val="FootnoteTextChar"/>
        </w:rPr>
        <w:t>New England Journal of Medicine</w:t>
      </w:r>
      <w:r w:rsidR="002435D4">
        <w:rPr>
          <w:rStyle w:val="FootnoteTextChar"/>
        </w:rPr>
        <w:t xml:space="preserve">, 2010, </w:t>
      </w:r>
      <w:r w:rsidRPr="002435D4">
        <w:rPr>
          <w:rStyle w:val="FootnoteTextChar"/>
        </w:rPr>
        <w:t>363:221-232</w:t>
      </w:r>
      <w:r w:rsidR="002435D4">
        <w:rPr>
          <w:rStyle w:val="FootnoteTextChar"/>
        </w:rPr>
        <w:t xml:space="preserve">, </w:t>
      </w:r>
      <w:proofErr w:type="spellStart"/>
      <w:r w:rsidR="002435D4" w:rsidRPr="002435D4">
        <w:rPr>
          <w:rStyle w:val="FootnoteTextChar"/>
        </w:rPr>
        <w:t>doi</w:t>
      </w:r>
      <w:proofErr w:type="spellEnd"/>
      <w:r w:rsidR="002435D4" w:rsidRPr="002435D4">
        <w:rPr>
          <w:rStyle w:val="FootnoteTextChar"/>
        </w:rPr>
        <w:t>: 10.1056/NEJMoa0909905.</w:t>
      </w:r>
    </w:p>
  </w:footnote>
  <w:footnote w:id="17">
    <w:p w14:paraId="0B8CFFFB" w14:textId="6DD09076" w:rsidR="009148AF" w:rsidRDefault="009148AF">
      <w:pPr>
        <w:pStyle w:val="FootnoteText"/>
      </w:pPr>
      <w:r>
        <w:rPr>
          <w:rStyle w:val="FootnoteReference"/>
        </w:rPr>
        <w:footnoteRef/>
      </w:r>
      <w:r>
        <w:t xml:space="preserve"> A </w:t>
      </w:r>
      <w:proofErr w:type="spellStart"/>
      <w:r w:rsidRPr="009148AF">
        <w:t>Agresti</w:t>
      </w:r>
      <w:proofErr w:type="spellEnd"/>
      <w:r>
        <w:t>,</w:t>
      </w:r>
      <w:r w:rsidRPr="009148AF">
        <w:t xml:space="preserve"> </w:t>
      </w:r>
      <w:r w:rsidRPr="00580CC8">
        <w:rPr>
          <w:i/>
          <w:iCs/>
        </w:rPr>
        <w:t>Categorical Data Analysis</w:t>
      </w:r>
      <w:r w:rsidRPr="009148AF">
        <w:t>. 3rd Edition, John Wiley &amp; Sons, Inc., New Jersey</w:t>
      </w:r>
      <w:r w:rsidR="00580CC8">
        <w:t>,</w:t>
      </w:r>
      <w:r w:rsidR="00580CC8" w:rsidRPr="00580CC8">
        <w:t xml:space="preserve"> </w:t>
      </w:r>
      <w:r w:rsidR="00580CC8" w:rsidRPr="009148AF">
        <w:t>2013.</w:t>
      </w:r>
    </w:p>
  </w:footnote>
  <w:footnote w:id="18">
    <w:p w14:paraId="638340E0" w14:textId="69BAE5D2" w:rsidR="005E6453" w:rsidRDefault="005E6453">
      <w:pPr>
        <w:pStyle w:val="FootnoteText"/>
      </w:pPr>
      <w:r>
        <w:rPr>
          <w:rStyle w:val="FootnoteReference"/>
        </w:rPr>
        <w:footnoteRef/>
      </w:r>
      <w:r>
        <w:t xml:space="preserve"> </w:t>
      </w:r>
      <w:r w:rsidRPr="005E6453">
        <w:t xml:space="preserve">The </w:t>
      </w:r>
      <w:r w:rsidRPr="002435D4">
        <w:rPr>
          <w:b/>
          <w:bCs/>
        </w:rPr>
        <w:t>European League against Rheumatism (EULAR) response criteria</w:t>
      </w:r>
      <w:r w:rsidRPr="005E6453">
        <w:t xml:space="preserve"> are based on the assessment of disease activity using the Disease Activity Score (DAS), a </w:t>
      </w:r>
      <w:proofErr w:type="gramStart"/>
      <w:r w:rsidRPr="005E6453">
        <w:t>statistically-derived</w:t>
      </w:r>
      <w:proofErr w:type="gramEnd"/>
      <w:r w:rsidRPr="005E6453">
        <w:t xml:space="preserve"> index consisting of number of tender joints, number of swollen joints, erythrocyte sedimentation rate, and global disease activity.</w:t>
      </w:r>
    </w:p>
  </w:footnote>
  <w:footnote w:id="19">
    <w:p w14:paraId="3D4A0870" w14:textId="2D0C024D" w:rsidR="00325842" w:rsidRDefault="00325842">
      <w:pPr>
        <w:pStyle w:val="FootnoteText"/>
      </w:pPr>
      <w:r>
        <w:rPr>
          <w:rStyle w:val="FootnoteReference"/>
        </w:rPr>
        <w:footnoteRef/>
      </w:r>
      <w:r>
        <w:t xml:space="preserve"> </w:t>
      </w:r>
      <w:r w:rsidRPr="00325842">
        <w:t xml:space="preserve">Sponsor clarification: </w:t>
      </w:r>
      <w:r>
        <w:t>t</w:t>
      </w:r>
      <w:r w:rsidRPr="00325842">
        <w:t xml:space="preserve">hree female adolescents were enrolled in the Phase III study, </w:t>
      </w:r>
      <w:r w:rsidR="00010BC1">
        <w:t>two</w:t>
      </w:r>
      <w:r w:rsidRPr="00325842">
        <w:t xml:space="preserve"> within the </w:t>
      </w:r>
      <w:proofErr w:type="spellStart"/>
      <w:r w:rsidRPr="00325842">
        <w:t>avacopan</w:t>
      </w:r>
      <w:proofErr w:type="spellEnd"/>
      <w:r w:rsidRPr="00325842">
        <w:t xml:space="preserve"> arm and one within the prednisone (control) arm.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8806E1"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58241"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58240"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108CD"/>
    <w:multiLevelType w:val="hybridMultilevel"/>
    <w:tmpl w:val="08B08756"/>
    <w:lvl w:ilvl="0" w:tplc="762C12B4">
      <w:start w:val="1"/>
      <w:numFmt w:val="bullet"/>
      <w:pStyle w:val="Bulletlist"/>
      <w:lvlText w:val=""/>
      <w:lvlJc w:val="left"/>
      <w:pPr>
        <w:ind w:left="360" w:hanging="360"/>
      </w:pPr>
      <w:rPr>
        <w:rFonts w:ascii="Symbol" w:hAnsi="Symbol" w:hint="default"/>
        <w:strike w:val="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053F11"/>
    <w:multiLevelType w:val="multilevel"/>
    <w:tmpl w:val="E58A81F0"/>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5" w15:restartNumberingAfterBreak="0">
    <w:nsid w:val="3BB712D9"/>
    <w:multiLevelType w:val="hybridMultilevel"/>
    <w:tmpl w:val="A6EE9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9B15D7"/>
    <w:multiLevelType w:val="hybridMultilevel"/>
    <w:tmpl w:val="5B1E1AE6"/>
    <w:lvl w:ilvl="0" w:tplc="0C090001">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8"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2E1248D"/>
    <w:multiLevelType w:val="hybridMultilevel"/>
    <w:tmpl w:val="9C642E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6712537"/>
    <w:multiLevelType w:val="hybridMultilevel"/>
    <w:tmpl w:val="B60A0F5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566144649">
    <w:abstractNumId w:val="3"/>
  </w:num>
  <w:num w:numId="2" w16cid:durableId="154303732">
    <w:abstractNumId w:val="1"/>
  </w:num>
  <w:num w:numId="3" w16cid:durableId="1408263255">
    <w:abstractNumId w:val="2"/>
  </w:num>
  <w:num w:numId="4" w16cid:durableId="279185948">
    <w:abstractNumId w:val="8"/>
  </w:num>
  <w:num w:numId="5" w16cid:durableId="1260407778">
    <w:abstractNumId w:val="4"/>
  </w:num>
  <w:num w:numId="6" w16cid:durableId="1055737182">
    <w:abstractNumId w:val="7"/>
  </w:num>
  <w:num w:numId="7" w16cid:durableId="1752699076">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29496568">
    <w:abstractNumId w:val="5"/>
  </w:num>
  <w:num w:numId="9" w16cid:durableId="281114993">
    <w:abstractNumId w:val="6"/>
  </w:num>
  <w:num w:numId="10" w16cid:durableId="1804544077">
    <w:abstractNumId w:val="9"/>
  </w:num>
  <w:num w:numId="11" w16cid:durableId="1345782468">
    <w:abstractNumId w:val="10"/>
  </w:num>
  <w:num w:numId="12" w16cid:durableId="11602731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02231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7179"/>
    <w:rsid w:val="00010789"/>
    <w:rsid w:val="00010BC1"/>
    <w:rsid w:val="00023E83"/>
    <w:rsid w:val="0002434F"/>
    <w:rsid w:val="0002672D"/>
    <w:rsid w:val="0004641A"/>
    <w:rsid w:val="00047A11"/>
    <w:rsid w:val="00047A81"/>
    <w:rsid w:val="00054D83"/>
    <w:rsid w:val="00054FC9"/>
    <w:rsid w:val="00077844"/>
    <w:rsid w:val="00083290"/>
    <w:rsid w:val="00094B81"/>
    <w:rsid w:val="00095960"/>
    <w:rsid w:val="000975AA"/>
    <w:rsid w:val="000A5AA0"/>
    <w:rsid w:val="000B516D"/>
    <w:rsid w:val="000D4105"/>
    <w:rsid w:val="000D7934"/>
    <w:rsid w:val="000F25FB"/>
    <w:rsid w:val="000F64C7"/>
    <w:rsid w:val="00101FB1"/>
    <w:rsid w:val="00110278"/>
    <w:rsid w:val="00112A4B"/>
    <w:rsid w:val="00115E43"/>
    <w:rsid w:val="00122A35"/>
    <w:rsid w:val="0012473C"/>
    <w:rsid w:val="001279EC"/>
    <w:rsid w:val="0013132F"/>
    <w:rsid w:val="0013528C"/>
    <w:rsid w:val="0013640F"/>
    <w:rsid w:val="00140CEC"/>
    <w:rsid w:val="00142903"/>
    <w:rsid w:val="00153021"/>
    <w:rsid w:val="00155E40"/>
    <w:rsid w:val="00165D28"/>
    <w:rsid w:val="00175CD8"/>
    <w:rsid w:val="00185870"/>
    <w:rsid w:val="0019299C"/>
    <w:rsid w:val="00196708"/>
    <w:rsid w:val="001A23D5"/>
    <w:rsid w:val="001B4BC8"/>
    <w:rsid w:val="001B712F"/>
    <w:rsid w:val="001C14E1"/>
    <w:rsid w:val="001C1C2E"/>
    <w:rsid w:val="001C2CE8"/>
    <w:rsid w:val="001C2D33"/>
    <w:rsid w:val="001C5677"/>
    <w:rsid w:val="001C6943"/>
    <w:rsid w:val="001D115A"/>
    <w:rsid w:val="001E0A16"/>
    <w:rsid w:val="001E0CF1"/>
    <w:rsid w:val="001E1890"/>
    <w:rsid w:val="001E4131"/>
    <w:rsid w:val="0020369B"/>
    <w:rsid w:val="002061BB"/>
    <w:rsid w:val="00206308"/>
    <w:rsid w:val="00212D79"/>
    <w:rsid w:val="00220107"/>
    <w:rsid w:val="00226F39"/>
    <w:rsid w:val="00241B60"/>
    <w:rsid w:val="00241EA0"/>
    <w:rsid w:val="002435D4"/>
    <w:rsid w:val="00257E3D"/>
    <w:rsid w:val="002660E7"/>
    <w:rsid w:val="002679A7"/>
    <w:rsid w:val="0027036A"/>
    <w:rsid w:val="00271689"/>
    <w:rsid w:val="002752E2"/>
    <w:rsid w:val="00276CE8"/>
    <w:rsid w:val="00293A22"/>
    <w:rsid w:val="0029492F"/>
    <w:rsid w:val="00297185"/>
    <w:rsid w:val="002A077D"/>
    <w:rsid w:val="002B03EA"/>
    <w:rsid w:val="002B796E"/>
    <w:rsid w:val="002C5E29"/>
    <w:rsid w:val="002C699F"/>
    <w:rsid w:val="002D7127"/>
    <w:rsid w:val="002E1DE7"/>
    <w:rsid w:val="002E3FC7"/>
    <w:rsid w:val="002F77D8"/>
    <w:rsid w:val="003008D8"/>
    <w:rsid w:val="00303959"/>
    <w:rsid w:val="00307045"/>
    <w:rsid w:val="00312AC3"/>
    <w:rsid w:val="00312F18"/>
    <w:rsid w:val="00314430"/>
    <w:rsid w:val="0031658C"/>
    <w:rsid w:val="00321C8B"/>
    <w:rsid w:val="00324B33"/>
    <w:rsid w:val="00325678"/>
    <w:rsid w:val="00325842"/>
    <w:rsid w:val="00330453"/>
    <w:rsid w:val="0033736E"/>
    <w:rsid w:val="00346EC2"/>
    <w:rsid w:val="003527B0"/>
    <w:rsid w:val="0035444D"/>
    <w:rsid w:val="00360F9C"/>
    <w:rsid w:val="0036787A"/>
    <w:rsid w:val="0037003A"/>
    <w:rsid w:val="00373AB6"/>
    <w:rsid w:val="0038210D"/>
    <w:rsid w:val="00395140"/>
    <w:rsid w:val="003957B1"/>
    <w:rsid w:val="003A5111"/>
    <w:rsid w:val="003B149C"/>
    <w:rsid w:val="003C4922"/>
    <w:rsid w:val="003D1C0B"/>
    <w:rsid w:val="003D71A1"/>
    <w:rsid w:val="003E0B24"/>
    <w:rsid w:val="003F4F38"/>
    <w:rsid w:val="003F5B2F"/>
    <w:rsid w:val="00407414"/>
    <w:rsid w:val="0041688F"/>
    <w:rsid w:val="004201B7"/>
    <w:rsid w:val="0042376F"/>
    <w:rsid w:val="004246B8"/>
    <w:rsid w:val="00433318"/>
    <w:rsid w:val="00433773"/>
    <w:rsid w:val="00435BF9"/>
    <w:rsid w:val="0043678C"/>
    <w:rsid w:val="0044238D"/>
    <w:rsid w:val="004477DE"/>
    <w:rsid w:val="00453A4C"/>
    <w:rsid w:val="00467BC9"/>
    <w:rsid w:val="00477C4E"/>
    <w:rsid w:val="00484094"/>
    <w:rsid w:val="00485732"/>
    <w:rsid w:val="00485C4D"/>
    <w:rsid w:val="004860C7"/>
    <w:rsid w:val="004879F0"/>
    <w:rsid w:val="00491A55"/>
    <w:rsid w:val="00492348"/>
    <w:rsid w:val="00492F73"/>
    <w:rsid w:val="00494140"/>
    <w:rsid w:val="004943F2"/>
    <w:rsid w:val="00494988"/>
    <w:rsid w:val="00496127"/>
    <w:rsid w:val="004B3081"/>
    <w:rsid w:val="004B488E"/>
    <w:rsid w:val="004E6F9A"/>
    <w:rsid w:val="004E7BAE"/>
    <w:rsid w:val="004F0248"/>
    <w:rsid w:val="004F2ED9"/>
    <w:rsid w:val="005028CE"/>
    <w:rsid w:val="005078C1"/>
    <w:rsid w:val="005164CE"/>
    <w:rsid w:val="00517B65"/>
    <w:rsid w:val="00523CE0"/>
    <w:rsid w:val="005332A1"/>
    <w:rsid w:val="0053596A"/>
    <w:rsid w:val="00535DFE"/>
    <w:rsid w:val="0055687D"/>
    <w:rsid w:val="00561BDB"/>
    <w:rsid w:val="00562F42"/>
    <w:rsid w:val="0056766D"/>
    <w:rsid w:val="00580762"/>
    <w:rsid w:val="00580CC8"/>
    <w:rsid w:val="0058575E"/>
    <w:rsid w:val="0058783C"/>
    <w:rsid w:val="005911AE"/>
    <w:rsid w:val="0059313A"/>
    <w:rsid w:val="005A3B97"/>
    <w:rsid w:val="005A59CF"/>
    <w:rsid w:val="005A68CE"/>
    <w:rsid w:val="005B023F"/>
    <w:rsid w:val="005C036B"/>
    <w:rsid w:val="005C45A7"/>
    <w:rsid w:val="005D0654"/>
    <w:rsid w:val="005D2089"/>
    <w:rsid w:val="005D61CF"/>
    <w:rsid w:val="005D7514"/>
    <w:rsid w:val="005E1A7B"/>
    <w:rsid w:val="005E1CAD"/>
    <w:rsid w:val="005E464D"/>
    <w:rsid w:val="005E5DF4"/>
    <w:rsid w:val="005E6453"/>
    <w:rsid w:val="005E74A5"/>
    <w:rsid w:val="005F352D"/>
    <w:rsid w:val="00606628"/>
    <w:rsid w:val="006150E5"/>
    <w:rsid w:val="00627739"/>
    <w:rsid w:val="006277A1"/>
    <w:rsid w:val="006336C2"/>
    <w:rsid w:val="006351D9"/>
    <w:rsid w:val="00637130"/>
    <w:rsid w:val="00637F0E"/>
    <w:rsid w:val="006423F2"/>
    <w:rsid w:val="00657E16"/>
    <w:rsid w:val="0066072E"/>
    <w:rsid w:val="00665153"/>
    <w:rsid w:val="00692CCD"/>
    <w:rsid w:val="006A1F0B"/>
    <w:rsid w:val="006A277A"/>
    <w:rsid w:val="006A3C5D"/>
    <w:rsid w:val="006D2EFE"/>
    <w:rsid w:val="006D62FD"/>
    <w:rsid w:val="006D6B44"/>
    <w:rsid w:val="006E5EFF"/>
    <w:rsid w:val="007072A1"/>
    <w:rsid w:val="00710BC5"/>
    <w:rsid w:val="0071172C"/>
    <w:rsid w:val="0072003B"/>
    <w:rsid w:val="00724339"/>
    <w:rsid w:val="007275A3"/>
    <w:rsid w:val="00727B42"/>
    <w:rsid w:val="007357B9"/>
    <w:rsid w:val="00741083"/>
    <w:rsid w:val="007452E8"/>
    <w:rsid w:val="00746990"/>
    <w:rsid w:val="007508E2"/>
    <w:rsid w:val="00750D70"/>
    <w:rsid w:val="0075387E"/>
    <w:rsid w:val="00753DFD"/>
    <w:rsid w:val="00754449"/>
    <w:rsid w:val="00755CC1"/>
    <w:rsid w:val="00761D62"/>
    <w:rsid w:val="00781926"/>
    <w:rsid w:val="00781C5D"/>
    <w:rsid w:val="00793272"/>
    <w:rsid w:val="00794999"/>
    <w:rsid w:val="007A0C7E"/>
    <w:rsid w:val="007A14B3"/>
    <w:rsid w:val="007A32FA"/>
    <w:rsid w:val="007B0375"/>
    <w:rsid w:val="007B04DE"/>
    <w:rsid w:val="007C22C7"/>
    <w:rsid w:val="007C57BC"/>
    <w:rsid w:val="007D07A5"/>
    <w:rsid w:val="007D4138"/>
    <w:rsid w:val="007D4A7D"/>
    <w:rsid w:val="007E7410"/>
    <w:rsid w:val="007F0A77"/>
    <w:rsid w:val="007F3F71"/>
    <w:rsid w:val="007F50D3"/>
    <w:rsid w:val="008023C9"/>
    <w:rsid w:val="00806A2E"/>
    <w:rsid w:val="008075C9"/>
    <w:rsid w:val="0080764E"/>
    <w:rsid w:val="00815EFE"/>
    <w:rsid w:val="00826EDB"/>
    <w:rsid w:val="008329DB"/>
    <w:rsid w:val="00834B0E"/>
    <w:rsid w:val="008361C5"/>
    <w:rsid w:val="0083628F"/>
    <w:rsid w:val="00837AB9"/>
    <w:rsid w:val="00850637"/>
    <w:rsid w:val="00854D98"/>
    <w:rsid w:val="00860B29"/>
    <w:rsid w:val="0087481F"/>
    <w:rsid w:val="00877696"/>
    <w:rsid w:val="008804CF"/>
    <w:rsid w:val="008806E1"/>
    <w:rsid w:val="00896442"/>
    <w:rsid w:val="008964B3"/>
    <w:rsid w:val="008975E5"/>
    <w:rsid w:val="008A1120"/>
    <w:rsid w:val="008A6E3D"/>
    <w:rsid w:val="008B23EE"/>
    <w:rsid w:val="008C49C6"/>
    <w:rsid w:val="008C5BCA"/>
    <w:rsid w:val="008C6435"/>
    <w:rsid w:val="008C754C"/>
    <w:rsid w:val="008D6A54"/>
    <w:rsid w:val="008E19D4"/>
    <w:rsid w:val="00903FD6"/>
    <w:rsid w:val="0090605E"/>
    <w:rsid w:val="009108CE"/>
    <w:rsid w:val="00911D40"/>
    <w:rsid w:val="009148AF"/>
    <w:rsid w:val="0091528E"/>
    <w:rsid w:val="00915A9F"/>
    <w:rsid w:val="0091600D"/>
    <w:rsid w:val="00920E96"/>
    <w:rsid w:val="00923D72"/>
    <w:rsid w:val="00930D58"/>
    <w:rsid w:val="009362B4"/>
    <w:rsid w:val="00941991"/>
    <w:rsid w:val="009444B6"/>
    <w:rsid w:val="009472A6"/>
    <w:rsid w:val="0095735C"/>
    <w:rsid w:val="009669B1"/>
    <w:rsid w:val="00966EF1"/>
    <w:rsid w:val="009764AC"/>
    <w:rsid w:val="0098057D"/>
    <w:rsid w:val="009831CA"/>
    <w:rsid w:val="0098350E"/>
    <w:rsid w:val="0098761E"/>
    <w:rsid w:val="0099209A"/>
    <w:rsid w:val="00996FA5"/>
    <w:rsid w:val="009A2AFA"/>
    <w:rsid w:val="009C421E"/>
    <w:rsid w:val="009C5211"/>
    <w:rsid w:val="009E6F8C"/>
    <w:rsid w:val="009F2D0D"/>
    <w:rsid w:val="00A01C56"/>
    <w:rsid w:val="00A063E0"/>
    <w:rsid w:val="00A274E6"/>
    <w:rsid w:val="00A358E7"/>
    <w:rsid w:val="00A51A2D"/>
    <w:rsid w:val="00A54A7A"/>
    <w:rsid w:val="00A63D9B"/>
    <w:rsid w:val="00A65419"/>
    <w:rsid w:val="00A668D4"/>
    <w:rsid w:val="00A93A19"/>
    <w:rsid w:val="00A93DC6"/>
    <w:rsid w:val="00AA41FB"/>
    <w:rsid w:val="00AB597D"/>
    <w:rsid w:val="00AB7CBF"/>
    <w:rsid w:val="00AB7DE2"/>
    <w:rsid w:val="00AD04E1"/>
    <w:rsid w:val="00AD36A0"/>
    <w:rsid w:val="00AD7333"/>
    <w:rsid w:val="00AE1947"/>
    <w:rsid w:val="00AF0BBB"/>
    <w:rsid w:val="00AF693E"/>
    <w:rsid w:val="00B2141B"/>
    <w:rsid w:val="00B3093A"/>
    <w:rsid w:val="00B31599"/>
    <w:rsid w:val="00B32B9E"/>
    <w:rsid w:val="00B4339E"/>
    <w:rsid w:val="00B443CD"/>
    <w:rsid w:val="00B46BC0"/>
    <w:rsid w:val="00B52480"/>
    <w:rsid w:val="00B55681"/>
    <w:rsid w:val="00B56A2F"/>
    <w:rsid w:val="00B60345"/>
    <w:rsid w:val="00B6240C"/>
    <w:rsid w:val="00B63A6F"/>
    <w:rsid w:val="00B75F77"/>
    <w:rsid w:val="00B768A4"/>
    <w:rsid w:val="00B82A8C"/>
    <w:rsid w:val="00B83254"/>
    <w:rsid w:val="00B869F3"/>
    <w:rsid w:val="00B967FF"/>
    <w:rsid w:val="00BA0729"/>
    <w:rsid w:val="00BA42F7"/>
    <w:rsid w:val="00BA7F7D"/>
    <w:rsid w:val="00BB1C14"/>
    <w:rsid w:val="00BB5551"/>
    <w:rsid w:val="00BB6561"/>
    <w:rsid w:val="00BC47A7"/>
    <w:rsid w:val="00BC59F6"/>
    <w:rsid w:val="00BD0041"/>
    <w:rsid w:val="00BD07DF"/>
    <w:rsid w:val="00BD5DBD"/>
    <w:rsid w:val="00BE2DCE"/>
    <w:rsid w:val="00BF4638"/>
    <w:rsid w:val="00C03DBF"/>
    <w:rsid w:val="00C07551"/>
    <w:rsid w:val="00C22214"/>
    <w:rsid w:val="00C31D14"/>
    <w:rsid w:val="00C33CEA"/>
    <w:rsid w:val="00C401F6"/>
    <w:rsid w:val="00C407AB"/>
    <w:rsid w:val="00C42672"/>
    <w:rsid w:val="00C45B63"/>
    <w:rsid w:val="00C46846"/>
    <w:rsid w:val="00C548A1"/>
    <w:rsid w:val="00C570FF"/>
    <w:rsid w:val="00C61759"/>
    <w:rsid w:val="00C61D46"/>
    <w:rsid w:val="00C6574E"/>
    <w:rsid w:val="00C66343"/>
    <w:rsid w:val="00C76268"/>
    <w:rsid w:val="00C816C6"/>
    <w:rsid w:val="00C91CD9"/>
    <w:rsid w:val="00CB0550"/>
    <w:rsid w:val="00CB1115"/>
    <w:rsid w:val="00CB4E61"/>
    <w:rsid w:val="00CD2A5E"/>
    <w:rsid w:val="00CE24AA"/>
    <w:rsid w:val="00CF35BE"/>
    <w:rsid w:val="00D01DDB"/>
    <w:rsid w:val="00D025A9"/>
    <w:rsid w:val="00D078BE"/>
    <w:rsid w:val="00D12EC7"/>
    <w:rsid w:val="00D13F8A"/>
    <w:rsid w:val="00D1653D"/>
    <w:rsid w:val="00D22600"/>
    <w:rsid w:val="00D273FA"/>
    <w:rsid w:val="00D30730"/>
    <w:rsid w:val="00D32DA8"/>
    <w:rsid w:val="00D532F2"/>
    <w:rsid w:val="00D6185C"/>
    <w:rsid w:val="00D62877"/>
    <w:rsid w:val="00D63760"/>
    <w:rsid w:val="00D652E9"/>
    <w:rsid w:val="00D714A8"/>
    <w:rsid w:val="00D918D5"/>
    <w:rsid w:val="00D932F0"/>
    <w:rsid w:val="00D93614"/>
    <w:rsid w:val="00D94C8E"/>
    <w:rsid w:val="00D95B81"/>
    <w:rsid w:val="00DB192C"/>
    <w:rsid w:val="00DB1CF3"/>
    <w:rsid w:val="00DE05A0"/>
    <w:rsid w:val="00DF5BFE"/>
    <w:rsid w:val="00E03885"/>
    <w:rsid w:val="00E160D9"/>
    <w:rsid w:val="00E17880"/>
    <w:rsid w:val="00E47E0C"/>
    <w:rsid w:val="00E51813"/>
    <w:rsid w:val="00E53D3F"/>
    <w:rsid w:val="00E5579B"/>
    <w:rsid w:val="00E5665C"/>
    <w:rsid w:val="00E64712"/>
    <w:rsid w:val="00E757A3"/>
    <w:rsid w:val="00E82305"/>
    <w:rsid w:val="00E91572"/>
    <w:rsid w:val="00EA6E4E"/>
    <w:rsid w:val="00EB373F"/>
    <w:rsid w:val="00EB5EB8"/>
    <w:rsid w:val="00EC5EF9"/>
    <w:rsid w:val="00EC6B95"/>
    <w:rsid w:val="00EE727C"/>
    <w:rsid w:val="00EF1829"/>
    <w:rsid w:val="00F02ADD"/>
    <w:rsid w:val="00F02AEC"/>
    <w:rsid w:val="00F036C3"/>
    <w:rsid w:val="00F03778"/>
    <w:rsid w:val="00F157FC"/>
    <w:rsid w:val="00F24666"/>
    <w:rsid w:val="00F30072"/>
    <w:rsid w:val="00F30AF3"/>
    <w:rsid w:val="00F33F9F"/>
    <w:rsid w:val="00F651B7"/>
    <w:rsid w:val="00F65655"/>
    <w:rsid w:val="00F657B4"/>
    <w:rsid w:val="00F865A7"/>
    <w:rsid w:val="00F86BFB"/>
    <w:rsid w:val="00F86C81"/>
    <w:rsid w:val="00F96635"/>
    <w:rsid w:val="00F97D6D"/>
    <w:rsid w:val="00FA0754"/>
    <w:rsid w:val="00FA1BC9"/>
    <w:rsid w:val="00FA49C3"/>
    <w:rsid w:val="00FA6EBE"/>
    <w:rsid w:val="00FB236E"/>
    <w:rsid w:val="00FB26EF"/>
    <w:rsid w:val="00FB6887"/>
    <w:rsid w:val="00FC4016"/>
    <w:rsid w:val="00FC6F56"/>
    <w:rsid w:val="00FD7F1B"/>
    <w:rsid w:val="00FE087C"/>
    <w:rsid w:val="00FE1C7D"/>
    <w:rsid w:val="00FE2370"/>
    <w:rsid w:val="00FE3B8B"/>
    <w:rsid w:val="05FD0094"/>
    <w:rsid w:val="06F89934"/>
    <w:rsid w:val="0892A033"/>
    <w:rsid w:val="0992DAA8"/>
    <w:rsid w:val="0A5BA0E7"/>
    <w:rsid w:val="0F67D8AC"/>
    <w:rsid w:val="100E4176"/>
    <w:rsid w:val="116D2058"/>
    <w:rsid w:val="12FB6F76"/>
    <w:rsid w:val="148F0418"/>
    <w:rsid w:val="14A3BA07"/>
    <w:rsid w:val="14C36E39"/>
    <w:rsid w:val="1753B338"/>
    <w:rsid w:val="20326508"/>
    <w:rsid w:val="20916530"/>
    <w:rsid w:val="2205B4B4"/>
    <w:rsid w:val="23B2CEBC"/>
    <w:rsid w:val="2800A999"/>
    <w:rsid w:val="2D1D0174"/>
    <w:rsid w:val="2EBDA1BC"/>
    <w:rsid w:val="379A7E3D"/>
    <w:rsid w:val="3B19896C"/>
    <w:rsid w:val="3B8016C1"/>
    <w:rsid w:val="3BCB56FF"/>
    <w:rsid w:val="3EC715C7"/>
    <w:rsid w:val="3FB81E19"/>
    <w:rsid w:val="40AFADF7"/>
    <w:rsid w:val="41BFAF37"/>
    <w:rsid w:val="42E7AAE3"/>
    <w:rsid w:val="473BB42B"/>
    <w:rsid w:val="4B3178E3"/>
    <w:rsid w:val="4C20B1F0"/>
    <w:rsid w:val="53A45C10"/>
    <w:rsid w:val="56A4A159"/>
    <w:rsid w:val="5892E86C"/>
    <w:rsid w:val="5AED2BBC"/>
    <w:rsid w:val="5CBD410C"/>
    <w:rsid w:val="5D873EBE"/>
    <w:rsid w:val="5D93CAFA"/>
    <w:rsid w:val="61D3F3BC"/>
    <w:rsid w:val="622F7A46"/>
    <w:rsid w:val="65C59DD0"/>
    <w:rsid w:val="667F615D"/>
    <w:rsid w:val="6A00E88C"/>
    <w:rsid w:val="6A2BBA28"/>
    <w:rsid w:val="6BE67779"/>
    <w:rsid w:val="6BFD934A"/>
    <w:rsid w:val="6CBA7153"/>
    <w:rsid w:val="6D58A558"/>
    <w:rsid w:val="70A959C5"/>
    <w:rsid w:val="71CFDEF0"/>
    <w:rsid w:val="724D2BA0"/>
    <w:rsid w:val="73D43716"/>
    <w:rsid w:val="75588F11"/>
    <w:rsid w:val="7584CC62"/>
    <w:rsid w:val="78D67ED3"/>
    <w:rsid w:val="798FC2F1"/>
    <w:rsid w:val="79B0C45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qFormat/>
    <w:rsid w:val="00F02AEC"/>
    <w:pPr>
      <w:numPr>
        <w:numId w:val="5"/>
      </w:numPr>
      <w:tabs>
        <w:tab w:val="left" w:pos="425"/>
      </w:tabs>
    </w:pPr>
  </w:style>
  <w:style w:type="paragraph" w:customStyle="1" w:styleId="ListBullet-donotcross">
    <w:name w:val="List Bullet - do not (cross)"/>
    <w:basedOn w:val="ListBullet"/>
    <w:autoRedefine/>
    <w:uiPriority w:val="1"/>
    <w:qFormat/>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Yu Gothic Medium" w:hAnsi="Yu Gothic Medium"/>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98350E"/>
    <w:rPr>
      <w:color w:val="000000" w:themeColor="text1"/>
      <w:sz w:val="20"/>
      <w:lang w:val="en-GB"/>
    </w:rPr>
  </w:style>
  <w:style w:type="paragraph" w:customStyle="1" w:styleId="FigureTitle">
    <w:name w:val="Figure Title"/>
    <w:basedOn w:val="Normal"/>
    <w:qFormat/>
    <w:rsid w:val="00FC6F56"/>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98350E"/>
    <w:rPr>
      <w:b w:val="0"/>
      <w:sz w:val="19"/>
    </w:rPr>
  </w:style>
  <w:style w:type="paragraph" w:customStyle="1" w:styleId="Default">
    <w:name w:val="Default"/>
    <w:rsid w:val="00580762"/>
    <w:pPr>
      <w:autoSpaceDE w:val="0"/>
      <w:autoSpaceDN w:val="0"/>
      <w:adjustRightInd w:val="0"/>
      <w:spacing w:after="0" w:line="240" w:lineRule="auto"/>
    </w:pPr>
    <w:rPr>
      <w:rFonts w:ascii="Cambria" w:hAnsi="Cambria" w:cs="Cambria"/>
      <w:color w:val="000000"/>
      <w:sz w:val="24"/>
      <w:szCs w:val="24"/>
    </w:rPr>
  </w:style>
  <w:style w:type="paragraph" w:styleId="ListParagraph">
    <w:name w:val="List Paragraph"/>
    <w:basedOn w:val="Normal"/>
    <w:uiPriority w:val="34"/>
    <w:qFormat/>
    <w:rsid w:val="004F0248"/>
    <w:pPr>
      <w:spacing w:before="120" w:line="240" w:lineRule="atLeast"/>
      <w:ind w:left="720"/>
      <w:contextualSpacing/>
    </w:pPr>
    <w:rPr>
      <w:rFonts w:eastAsia="Cambria" w:cs="Times New Roman"/>
      <w:szCs w:val="22"/>
    </w:rPr>
  </w:style>
  <w:style w:type="paragraph" w:customStyle="1" w:styleId="Bulletpoint">
    <w:name w:val="Bullet point"/>
    <w:basedOn w:val="Normal"/>
    <w:rsid w:val="004F0248"/>
    <w:pPr>
      <w:numPr>
        <w:numId w:val="9"/>
      </w:numPr>
      <w:tabs>
        <w:tab w:val="left" w:pos="397"/>
      </w:tabs>
      <w:spacing w:after="180" w:line="252" w:lineRule="auto"/>
    </w:pPr>
    <w:rPr>
      <w:rFonts w:eastAsia="Times New Roman" w:cs="Times New Roman"/>
      <w:snapToGrid w:val="0"/>
      <w:kern w:val="16"/>
      <w:szCs w:val="24"/>
    </w:rPr>
  </w:style>
  <w:style w:type="paragraph" w:customStyle="1" w:styleId="Bulletlist">
    <w:name w:val="Bullet list"/>
    <w:basedOn w:val="Normal"/>
    <w:link w:val="BulletlistChar"/>
    <w:qFormat/>
    <w:rsid w:val="004F0248"/>
    <w:pPr>
      <w:numPr>
        <w:numId w:val="13"/>
      </w:numPr>
      <w:spacing w:after="180" w:line="252" w:lineRule="auto"/>
    </w:pPr>
    <w:rPr>
      <w:rFonts w:eastAsia="Times New Roman" w:cs="Times New Roman"/>
      <w:snapToGrid w:val="0"/>
      <w:kern w:val="2"/>
      <w:sz w:val="23"/>
      <w:szCs w:val="22"/>
    </w:rPr>
  </w:style>
  <w:style w:type="character" w:customStyle="1" w:styleId="BulletlistChar">
    <w:name w:val="Bullet list Char"/>
    <w:basedOn w:val="DefaultParagraphFont"/>
    <w:link w:val="Bulletlist"/>
    <w:rsid w:val="004F0248"/>
    <w:rPr>
      <w:rFonts w:ascii="Cambria" w:eastAsia="Times New Roman" w:hAnsi="Cambria" w:cs="Times New Roman"/>
      <w:snapToGrid w:val="0"/>
      <w:kern w:val="2"/>
      <w:sz w:val="23"/>
      <w:szCs w:val="22"/>
    </w:rPr>
  </w:style>
  <w:style w:type="paragraph" w:customStyle="1" w:styleId="Standard">
    <w:name w:val="Standard"/>
    <w:basedOn w:val="Normal"/>
    <w:link w:val="StandardChar"/>
    <w:qFormat/>
    <w:rsid w:val="004F0248"/>
    <w:pPr>
      <w:spacing w:after="220" w:line="252" w:lineRule="auto"/>
    </w:pPr>
    <w:rPr>
      <w:rFonts w:eastAsia="Times New Roman" w:cs="Times New Roman"/>
      <w:snapToGrid w:val="0"/>
      <w:kern w:val="16"/>
      <w:sz w:val="23"/>
      <w:szCs w:val="24"/>
    </w:rPr>
  </w:style>
  <w:style w:type="character" w:customStyle="1" w:styleId="StandardChar">
    <w:name w:val="Standard Char"/>
    <w:basedOn w:val="DefaultParagraphFont"/>
    <w:link w:val="Standard"/>
    <w:rsid w:val="004F0248"/>
    <w:rPr>
      <w:rFonts w:ascii="Cambria" w:eastAsia="Times New Roman" w:hAnsi="Cambria" w:cs="Times New Roman"/>
      <w:snapToGrid w:val="0"/>
      <w:kern w:val="16"/>
      <w:sz w:val="23"/>
      <w:szCs w:val="24"/>
    </w:rPr>
  </w:style>
  <w:style w:type="paragraph" w:customStyle="1" w:styleId="Tabletext0">
    <w:name w:val="Table text"/>
    <w:basedOn w:val="Standard"/>
    <w:link w:val="TabletextChar"/>
    <w:qFormat/>
    <w:rsid w:val="004F0248"/>
    <w:pPr>
      <w:spacing w:before="20" w:after="20"/>
    </w:pPr>
  </w:style>
  <w:style w:type="character" w:customStyle="1" w:styleId="TabletextChar">
    <w:name w:val="Table text Char"/>
    <w:basedOn w:val="StandardChar"/>
    <w:link w:val="Tabletext0"/>
    <w:rsid w:val="004F0248"/>
    <w:rPr>
      <w:rFonts w:ascii="Cambria" w:eastAsia="Times New Roman" w:hAnsi="Cambria" w:cs="Times New Roman"/>
      <w:snapToGrid w:val="0"/>
      <w:kern w:val="16"/>
      <w:sz w:val="23"/>
      <w:szCs w:val="24"/>
    </w:rPr>
  </w:style>
  <w:style w:type="character" w:styleId="Mention">
    <w:name w:val="Mention"/>
    <w:basedOn w:val="DefaultParagraphFont"/>
    <w:uiPriority w:val="99"/>
    <w:unhideWhenUsed/>
    <w:rsid w:val="00BB5551"/>
    <w:rPr>
      <w:color w:val="2B579A"/>
      <w:shd w:val="clear" w:color="auto" w:fill="E1DFDD"/>
    </w:rPr>
  </w:style>
  <w:style w:type="character" w:customStyle="1" w:styleId="cf01">
    <w:name w:val="cf01"/>
    <w:basedOn w:val="DefaultParagraphFont"/>
    <w:rsid w:val="00B768A4"/>
    <w:rPr>
      <w:rFonts w:ascii="Segoe UI" w:hAnsi="Segoe UI" w:cs="Segoe UI" w:hint="default"/>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855803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tga.copyright@tga.gov.au" TargetMode="External"/><Relationship Id="rId26" Type="http://schemas.openxmlformats.org/officeDocument/2006/relationships/hyperlink" Target="https://www.ema.europa.eu/en/documents/regulatory-procedural-guideline/ich-guideline-e8-r1-general-considerations-clinical-studies_en.pdf" TargetMode="External"/><Relationship Id="rId39"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hyperlink" Target="https://www.tga.gov.au/products/australian-register-therapeutic-goods-artg/product-information-one" TargetMode="External"/><Relationship Id="rId34" Type="http://schemas.openxmlformats.org/officeDocument/2006/relationships/image" Target="media/image8.png"/><Relationship Id="rId42" Type="http://schemas.openxmlformats.org/officeDocument/2006/relationships/hyperlink" Target="https://www.tga.gov.au/picmi-search-facility" TargetMode="External"/><Relationship Id="rId47" Type="http://schemas.openxmlformats.org/officeDocument/2006/relationships/hyperlink" Target="mailto:info@tga.gov.au" TargetMode="External"/><Relationship Id="rId50" Type="http://schemas.openxmlformats.org/officeDocument/2006/relationships/footer" Target="footer8.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tga.gov.au/australian-public-assessment-report-auspar-guidance" TargetMode="External"/><Relationship Id="rId25" Type="http://schemas.openxmlformats.org/officeDocument/2006/relationships/hyperlink" Target="https://www.tga.gov.au/how-we-regulate/supply-therapeutic-good-0/supply-prescription-medicine/application-process/prescription-medicines-registration-process"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yperlink" Target="https://www.tga.gov.au" TargetMode="External"/><Relationship Id="rId20" Type="http://schemas.openxmlformats.org/officeDocument/2006/relationships/hyperlink" Target="https://www.tga.gov.au/publication/orphan-drug-designation" TargetMode="External"/><Relationship Id="rId29" Type="http://schemas.openxmlformats.org/officeDocument/2006/relationships/hyperlink" Target="https://www.ema.europa.eu/en/documents/scientific-guideline/ich-e-1-population-exposure-extent-population-exposure-assess-clinical-safety-step-5_en.pdf" TargetMode="External"/><Relationship Id="rId41" Type="http://schemas.openxmlformats.org/officeDocument/2006/relationships/hyperlink" Target="https://www.tga.gov.au/committee/advisory-committee-medicines-acm"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tga.gov.au/picmi-search-facility"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footer" Target="footer5.xm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www.tga.gov.au/products/australian-register-therapeutic-goods-artg/consumer-medicines-information-cmi" TargetMode="External"/><Relationship Id="rId28" Type="http://schemas.openxmlformats.org/officeDocument/2006/relationships/hyperlink" Target="https://www.ema.europa.eu/en/documents/scientific-guideline/ich-guideline-m3r2-non-clinical-safety-studies-conduct-human-clinical-trials-marketing-authorisation_en.pdf" TargetMode="External"/><Relationship Id="rId36" Type="http://schemas.openxmlformats.org/officeDocument/2006/relationships/image" Target="media/image10.png"/><Relationship Id="rId49"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hyperlink" Target="https://www.tga.gov.au/black-triangle-scheme" TargetMode="External"/><Relationship Id="rId31" Type="http://schemas.openxmlformats.org/officeDocument/2006/relationships/image" Target="media/image5.png"/><Relationship Id="rId44" Type="http://schemas.openxmlformats.org/officeDocument/2006/relationships/footer" Target="footer4.xml"/><Relationship Id="rId52"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tga.gov.au/products/australian-register-therapeutic-goods-artg/product-information-one" TargetMode="External"/><Relationship Id="rId27" Type="http://schemas.openxmlformats.org/officeDocument/2006/relationships/hyperlink" Target="https://www.ema.europa.eu/en/documents/scientific-guideline/guideline-clinical-trials-small-populations_en.pdf" TargetMode="Externa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header" Target="header3.xml"/><Relationship Id="rId48" Type="http://schemas.openxmlformats.org/officeDocument/2006/relationships/hyperlink" Target="https://www.tga.gov.au" TargetMode="External"/><Relationship Id="rId8" Type="http://schemas.openxmlformats.org/officeDocument/2006/relationships/webSettings" Target="webSettings.xml"/><Relationship Id="rId51" Type="http://schemas.openxmlformats.org/officeDocument/2006/relationships/header" Target="header4.xml"/></Relationships>
</file>

<file path=word/_rels/footnotes.xml.rels><?xml version="1.0" encoding="UTF-8" standalone="yes"?>
<Relationships xmlns="http://schemas.openxmlformats.org/package/2006/relationships"><Relationship Id="rId2" Type="http://schemas.openxmlformats.org/officeDocument/2006/relationships/hyperlink" Target="https://www.accessdata.fda.gov/drugsatfda_docs/nda/2021/214487Orig1s000MultidisciplineR.pdf" TargetMode="External"/><Relationship Id="rId1" Type="http://schemas.openxmlformats.org/officeDocument/2006/relationships/hyperlink" Target="https://tgldcdp.tg.org.au/viewTopic?etgAccess=true&amp;guidelinePage=Rheumatology&amp;topicfile=systemic-vasculitides&amp;guidelinename=Rheumatology&amp;sectionId=toc_d1e47"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1 6 " ? > < p r o p e r t i e s   x m l n s = " h t t p : / / w w w . i m a n a g e . c o m / w o r k / x m l s c h e m a " >  
     < d o c u m e n t i d > P R O J E C T S ! 5 5 7 8 7 9 . 4 < / d o c u m e n t i d >  
     < s e n d e r i d > M E L I S S A . E L L I S @ C O M M E R C I A L E Y E S . C O M . A U < / s e n d e r i d >  
     < s e n d e r e m a i l > M E L I S S A . E L L I S @ C O M M E R C I A L E Y E S . C O M . A U < / s e n d e r e m a i l >  
     < l a s t m o d i f i e d > 2 0 2 3 - 0 9 - 2 7 T 1 1 : 5 2 : 0 0 . 0 0 0 0 0 0 0 + 1 0 : 0 0 < / l a s t m o d i f i e d >  
     < d a t a b a s e > P R O J E C T S < / d a t a b a s e >  
 < / 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5F6311B44D8A9499DF0E6271EF20123" ma:contentTypeVersion="21" ma:contentTypeDescription="Create a new document." ma:contentTypeScope="" ma:versionID="b74ba2573dd634c638e9fbddb07ed172">
  <xsd:schema xmlns:xsd="http://www.w3.org/2001/XMLSchema" xmlns:xs="http://www.w3.org/2001/XMLSchema" xmlns:p="http://schemas.microsoft.com/office/2006/metadata/properties" xmlns:ns2="daa7a5ce-df53-452f-bda8-f1ecc8922c55" targetNamespace="http://schemas.microsoft.com/office/2006/metadata/properties" ma:root="true" ma:fieldsID="95235b5b0772f1f0ac24cadf81fb4ee9" ns2:_="">
    <xsd:import namespace="daa7a5ce-df53-452f-bda8-f1ecc8922c55"/>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a7a5ce-df53-452f-bda8-f1ecc8922c55" elementFormDefault="qualified">
    <xsd:import namespace="http://schemas.microsoft.com/office/2006/documentManagement/types"/>
    <xsd:import namespace="http://schemas.microsoft.com/office/infopath/2007/PartnerControls"/>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ServiceGenerationTime" ma:index="7" nillable="true" ma:displayName="MediaServiceGenerationTime" ma:hidden="true" ma:internalName="MediaServiceGenerationTime" ma:readOnly="true">
      <xsd:simpleType>
        <xsd:restriction base="dms:Text"/>
      </xsd:simpleType>
    </xsd:element>
    <xsd:element name="MediaServiceEventHashCode" ma:index="8" nillable="true" ma:displayName="MediaServiceEventHashCode" ma:hidden="true" ma:internalName="MediaServiceEventHashCode" ma:readOnly="true">
      <xsd:simpleType>
        <xsd:restriction base="dms:Text"/>
      </xsd:simpleType>
    </xsd:element>
    <xsd:element name="MediaServiceDateTaken" ma:index="9" nillable="true" ma:displayName="MediaServiceDateTaken" ma:description="" ma:hidden="true" ma:internalName="MediaServiceDateTaken" ma:readOnly="true">
      <xsd:simpleType>
        <xsd:restriction base="dms:Text"/>
      </xsd:simpleType>
    </xsd:element>
    <xsd:element name="MediaLengthInSeconds" ma:index="10" nillable="true" ma:displayName="MediaLengthInSeconds" ma:hidden="true" ma:internalName="MediaLengthInSeconds" ma:readOnly="true">
      <xsd:simpleType>
        <xsd:restriction base="dms:Unknown"/>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20853D-837B-45D3-BCFC-04D050535B5A}">
  <ds:schemaRefs>
    <ds:schemaRef ds:uri="http://schemas.microsoft.com/sharepoint/v3/contenttype/forms"/>
  </ds:schemaRefs>
</ds:datastoreItem>
</file>

<file path=customXml/itemProps2.xml><?xml version="1.0" encoding="utf-8"?>
<ds:datastoreItem xmlns:ds="http://schemas.openxmlformats.org/officeDocument/2006/customXml" ds:itemID="{E8B69656-9307-4B7D-B5C4-A3E5281B0B75}">
  <ds:schemaRefs>
    <ds:schemaRef ds:uri="http://www.imanage.com/work/xmlschema"/>
  </ds:schemaRefs>
</ds:datastoreItem>
</file>

<file path=customXml/itemProps3.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customXml/itemProps4.xml><?xml version="1.0" encoding="utf-8"?>
<ds:datastoreItem xmlns:ds="http://schemas.openxmlformats.org/officeDocument/2006/customXml" ds:itemID="{227BE4B6-A35C-4CE7-B635-72F2AB66CE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a7a5ce-df53-452f-bda8-f1ecc8922c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13222</Words>
  <Characters>75372</Characters>
  <Application>Microsoft Office Word</Application>
  <DocSecurity>0</DocSecurity>
  <Lines>628</Lines>
  <Paragraphs>176</Paragraphs>
  <ScaleCrop>false</ScaleCrop>
  <HeadingPairs>
    <vt:vector size="2" baseType="variant">
      <vt:variant>
        <vt:lpstr>Title</vt:lpstr>
      </vt:variant>
      <vt:variant>
        <vt:i4>1</vt:i4>
      </vt:variant>
    </vt:vector>
  </HeadingPairs>
  <TitlesOfParts>
    <vt:vector size="1" baseType="lpstr">
      <vt:lpstr>Australian Public Assessment Report for Tavneos</vt:lpstr>
    </vt:vector>
  </TitlesOfParts>
  <Manager/>
  <Company/>
  <LinksUpToDate>false</LinksUpToDate>
  <CharactersWithSpaces>88418</CharactersWithSpaces>
  <SharedDoc>false</SharedDoc>
  <HLinks>
    <vt:vector size="276" baseType="variant">
      <vt:variant>
        <vt:i4>3473445</vt:i4>
      </vt:variant>
      <vt:variant>
        <vt:i4>273</vt:i4>
      </vt:variant>
      <vt:variant>
        <vt:i4>0</vt:i4>
      </vt:variant>
      <vt:variant>
        <vt:i4>5</vt:i4>
      </vt:variant>
      <vt:variant>
        <vt:lpwstr>https://www.tga.gov.au/</vt:lpwstr>
      </vt:variant>
      <vt:variant>
        <vt:lpwstr/>
      </vt:variant>
      <vt:variant>
        <vt:i4>5242926</vt:i4>
      </vt:variant>
      <vt:variant>
        <vt:i4>270</vt:i4>
      </vt:variant>
      <vt:variant>
        <vt:i4>0</vt:i4>
      </vt:variant>
      <vt:variant>
        <vt:i4>5</vt:i4>
      </vt:variant>
      <vt:variant>
        <vt:lpwstr>mailto:info@tga.gov.au</vt:lpwstr>
      </vt:variant>
      <vt:variant>
        <vt:lpwstr/>
      </vt:variant>
      <vt:variant>
        <vt:i4>720961</vt:i4>
      </vt:variant>
      <vt:variant>
        <vt:i4>267</vt:i4>
      </vt:variant>
      <vt:variant>
        <vt:i4>0</vt:i4>
      </vt:variant>
      <vt:variant>
        <vt:i4>5</vt:i4>
      </vt:variant>
      <vt:variant>
        <vt:lpwstr>https://www.tga.gov.au/picmi-search-facility</vt:lpwstr>
      </vt:variant>
      <vt:variant>
        <vt:lpwstr/>
      </vt:variant>
      <vt:variant>
        <vt:i4>524365</vt:i4>
      </vt:variant>
      <vt:variant>
        <vt:i4>261</vt:i4>
      </vt:variant>
      <vt:variant>
        <vt:i4>0</vt:i4>
      </vt:variant>
      <vt:variant>
        <vt:i4>5</vt:i4>
      </vt:variant>
      <vt:variant>
        <vt:lpwstr>https://www.tga.gov.au/committee/advisory-committee-medicines-acm</vt:lpwstr>
      </vt:variant>
      <vt:variant>
        <vt:lpwstr/>
      </vt:variant>
      <vt:variant>
        <vt:i4>6946900</vt:i4>
      </vt:variant>
      <vt:variant>
        <vt:i4>186</vt:i4>
      </vt:variant>
      <vt:variant>
        <vt:i4>0</vt:i4>
      </vt:variant>
      <vt:variant>
        <vt:i4>5</vt:i4>
      </vt:variant>
      <vt:variant>
        <vt:lpwstr>https://www.ema.europa.eu/en/documents/scientific-guideline/ich-e-1-population-exposure-extent-population-exposure-assess-clinical-safety-step-5_en.pdf</vt:lpwstr>
      </vt:variant>
      <vt:variant>
        <vt:lpwstr/>
      </vt:variant>
      <vt:variant>
        <vt:i4>3604491</vt:i4>
      </vt:variant>
      <vt:variant>
        <vt:i4>183</vt:i4>
      </vt:variant>
      <vt:variant>
        <vt:i4>0</vt:i4>
      </vt:variant>
      <vt:variant>
        <vt:i4>5</vt:i4>
      </vt:variant>
      <vt:variant>
        <vt:lpwstr>https://www.ema.europa.eu/en/documents/scientific-guideline/ich-guideline-m3r2-non-clinical-safety-studies-conduct-human-clinical-trials-marketing-authorisation_en.pdf</vt:lpwstr>
      </vt:variant>
      <vt:variant>
        <vt:lpwstr>:~:text=The%20purpose%20of%20this%20document%20is%20to%20recommend,duration%20as%20well%20as%20marketing%20authorization%20for%20pharmaceuticals.</vt:lpwstr>
      </vt:variant>
      <vt:variant>
        <vt:i4>6160507</vt:i4>
      </vt:variant>
      <vt:variant>
        <vt:i4>180</vt:i4>
      </vt:variant>
      <vt:variant>
        <vt:i4>0</vt:i4>
      </vt:variant>
      <vt:variant>
        <vt:i4>5</vt:i4>
      </vt:variant>
      <vt:variant>
        <vt:lpwstr>https://www.ema.europa.eu/en/documents/scientific-guideline/guideline-clinical-trials-small-populations_en.pdf</vt:lpwstr>
      </vt:variant>
      <vt:variant>
        <vt:lpwstr/>
      </vt:variant>
      <vt:variant>
        <vt:i4>65580</vt:i4>
      </vt:variant>
      <vt:variant>
        <vt:i4>177</vt:i4>
      </vt:variant>
      <vt:variant>
        <vt:i4>0</vt:i4>
      </vt:variant>
      <vt:variant>
        <vt:i4>5</vt:i4>
      </vt:variant>
      <vt:variant>
        <vt:lpwstr>https://www.ema.europa.eu/en/documents/regulatory-procedural-guideline/ich-guideline-e8-r1-general-considerations-clinical-studies_en.pdf</vt:lpwstr>
      </vt:variant>
      <vt:variant>
        <vt:lpwstr/>
      </vt:variant>
      <vt:variant>
        <vt:i4>1835097</vt:i4>
      </vt:variant>
      <vt:variant>
        <vt:i4>171</vt:i4>
      </vt:variant>
      <vt:variant>
        <vt:i4>0</vt:i4>
      </vt:variant>
      <vt:variant>
        <vt:i4>5</vt:i4>
      </vt:variant>
      <vt:variant>
        <vt:lpwstr>https://www.tga.gov.au/how-we-regulate/supply-therapeutic-good-0/supply-prescription-medicine/application-process/prescription-medicines-registration-process</vt:lpwstr>
      </vt:variant>
      <vt:variant>
        <vt:lpwstr/>
      </vt:variant>
      <vt:variant>
        <vt:i4>720961</vt:i4>
      </vt:variant>
      <vt:variant>
        <vt:i4>168</vt:i4>
      </vt:variant>
      <vt:variant>
        <vt:i4>0</vt:i4>
      </vt:variant>
      <vt:variant>
        <vt:i4>5</vt:i4>
      </vt:variant>
      <vt:variant>
        <vt:lpwstr>https://www.tga.gov.au/picmi-search-facility</vt:lpwstr>
      </vt:variant>
      <vt:variant>
        <vt:lpwstr/>
      </vt:variant>
      <vt:variant>
        <vt:i4>983049</vt:i4>
      </vt:variant>
      <vt:variant>
        <vt:i4>165</vt:i4>
      </vt:variant>
      <vt:variant>
        <vt:i4>0</vt:i4>
      </vt:variant>
      <vt:variant>
        <vt:i4>5</vt:i4>
      </vt:variant>
      <vt:variant>
        <vt:lpwstr>https://www.tga.gov.au/products/australian-register-therapeutic-goods-artg/consumer-medicines-information-cmi</vt:lpwstr>
      </vt:variant>
      <vt:variant>
        <vt:lpwstr/>
      </vt:variant>
      <vt:variant>
        <vt:i4>2752617</vt:i4>
      </vt:variant>
      <vt:variant>
        <vt:i4>162</vt:i4>
      </vt:variant>
      <vt:variant>
        <vt:i4>0</vt:i4>
      </vt:variant>
      <vt:variant>
        <vt:i4>5</vt:i4>
      </vt:variant>
      <vt:variant>
        <vt:lpwstr>https://www.tga.gov.au/products/australian-register-therapeutic-goods-artg/product-information-one</vt:lpwstr>
      </vt:variant>
      <vt:variant>
        <vt:lpwstr/>
      </vt:variant>
      <vt:variant>
        <vt:i4>2752617</vt:i4>
      </vt:variant>
      <vt:variant>
        <vt:i4>159</vt:i4>
      </vt:variant>
      <vt:variant>
        <vt:i4>0</vt:i4>
      </vt:variant>
      <vt:variant>
        <vt:i4>5</vt:i4>
      </vt:variant>
      <vt:variant>
        <vt:lpwstr>https://www.tga.gov.au/products/australian-register-therapeutic-goods-artg/product-information-one</vt:lpwstr>
      </vt:variant>
      <vt:variant>
        <vt:lpwstr/>
      </vt:variant>
      <vt:variant>
        <vt:i4>7864437</vt:i4>
      </vt:variant>
      <vt:variant>
        <vt:i4>153</vt:i4>
      </vt:variant>
      <vt:variant>
        <vt:i4>0</vt:i4>
      </vt:variant>
      <vt:variant>
        <vt:i4>5</vt:i4>
      </vt:variant>
      <vt:variant>
        <vt:lpwstr>https://www.tga.gov.au/publication/orphan-drug-designation</vt:lpwstr>
      </vt:variant>
      <vt:variant>
        <vt:lpwstr/>
      </vt:variant>
      <vt:variant>
        <vt:i4>786511</vt:i4>
      </vt:variant>
      <vt:variant>
        <vt:i4>150</vt:i4>
      </vt:variant>
      <vt:variant>
        <vt:i4>0</vt:i4>
      </vt:variant>
      <vt:variant>
        <vt:i4>5</vt:i4>
      </vt:variant>
      <vt:variant>
        <vt:lpwstr>https://www.tga.gov.au/black-triangle-scheme</vt:lpwstr>
      </vt:variant>
      <vt:variant>
        <vt:lpwstr/>
      </vt:variant>
      <vt:variant>
        <vt:i4>1703988</vt:i4>
      </vt:variant>
      <vt:variant>
        <vt:i4>143</vt:i4>
      </vt:variant>
      <vt:variant>
        <vt:i4>0</vt:i4>
      </vt:variant>
      <vt:variant>
        <vt:i4>5</vt:i4>
      </vt:variant>
      <vt:variant>
        <vt:lpwstr/>
      </vt:variant>
      <vt:variant>
        <vt:lpwstr>_Toc144902126</vt:lpwstr>
      </vt:variant>
      <vt:variant>
        <vt:i4>1703988</vt:i4>
      </vt:variant>
      <vt:variant>
        <vt:i4>137</vt:i4>
      </vt:variant>
      <vt:variant>
        <vt:i4>0</vt:i4>
      </vt:variant>
      <vt:variant>
        <vt:i4>5</vt:i4>
      </vt:variant>
      <vt:variant>
        <vt:lpwstr/>
      </vt:variant>
      <vt:variant>
        <vt:lpwstr>_Toc144902125</vt:lpwstr>
      </vt:variant>
      <vt:variant>
        <vt:i4>1703988</vt:i4>
      </vt:variant>
      <vt:variant>
        <vt:i4>131</vt:i4>
      </vt:variant>
      <vt:variant>
        <vt:i4>0</vt:i4>
      </vt:variant>
      <vt:variant>
        <vt:i4>5</vt:i4>
      </vt:variant>
      <vt:variant>
        <vt:lpwstr/>
      </vt:variant>
      <vt:variant>
        <vt:lpwstr>_Toc144902124</vt:lpwstr>
      </vt:variant>
      <vt:variant>
        <vt:i4>1703988</vt:i4>
      </vt:variant>
      <vt:variant>
        <vt:i4>125</vt:i4>
      </vt:variant>
      <vt:variant>
        <vt:i4>0</vt:i4>
      </vt:variant>
      <vt:variant>
        <vt:i4>5</vt:i4>
      </vt:variant>
      <vt:variant>
        <vt:lpwstr/>
      </vt:variant>
      <vt:variant>
        <vt:lpwstr>_Toc144902123</vt:lpwstr>
      </vt:variant>
      <vt:variant>
        <vt:i4>1703988</vt:i4>
      </vt:variant>
      <vt:variant>
        <vt:i4>119</vt:i4>
      </vt:variant>
      <vt:variant>
        <vt:i4>0</vt:i4>
      </vt:variant>
      <vt:variant>
        <vt:i4>5</vt:i4>
      </vt:variant>
      <vt:variant>
        <vt:lpwstr/>
      </vt:variant>
      <vt:variant>
        <vt:lpwstr>_Toc144902122</vt:lpwstr>
      </vt:variant>
      <vt:variant>
        <vt:i4>1703988</vt:i4>
      </vt:variant>
      <vt:variant>
        <vt:i4>113</vt:i4>
      </vt:variant>
      <vt:variant>
        <vt:i4>0</vt:i4>
      </vt:variant>
      <vt:variant>
        <vt:i4>5</vt:i4>
      </vt:variant>
      <vt:variant>
        <vt:lpwstr/>
      </vt:variant>
      <vt:variant>
        <vt:lpwstr>_Toc144902121</vt:lpwstr>
      </vt:variant>
      <vt:variant>
        <vt:i4>1703988</vt:i4>
      </vt:variant>
      <vt:variant>
        <vt:i4>107</vt:i4>
      </vt:variant>
      <vt:variant>
        <vt:i4>0</vt:i4>
      </vt:variant>
      <vt:variant>
        <vt:i4>5</vt:i4>
      </vt:variant>
      <vt:variant>
        <vt:lpwstr/>
      </vt:variant>
      <vt:variant>
        <vt:lpwstr>_Toc144902120</vt:lpwstr>
      </vt:variant>
      <vt:variant>
        <vt:i4>1638452</vt:i4>
      </vt:variant>
      <vt:variant>
        <vt:i4>101</vt:i4>
      </vt:variant>
      <vt:variant>
        <vt:i4>0</vt:i4>
      </vt:variant>
      <vt:variant>
        <vt:i4>5</vt:i4>
      </vt:variant>
      <vt:variant>
        <vt:lpwstr/>
      </vt:variant>
      <vt:variant>
        <vt:lpwstr>_Toc144902119</vt:lpwstr>
      </vt:variant>
      <vt:variant>
        <vt:i4>1638452</vt:i4>
      </vt:variant>
      <vt:variant>
        <vt:i4>95</vt:i4>
      </vt:variant>
      <vt:variant>
        <vt:i4>0</vt:i4>
      </vt:variant>
      <vt:variant>
        <vt:i4>5</vt:i4>
      </vt:variant>
      <vt:variant>
        <vt:lpwstr/>
      </vt:variant>
      <vt:variant>
        <vt:lpwstr>_Toc144902118</vt:lpwstr>
      </vt:variant>
      <vt:variant>
        <vt:i4>1638452</vt:i4>
      </vt:variant>
      <vt:variant>
        <vt:i4>89</vt:i4>
      </vt:variant>
      <vt:variant>
        <vt:i4>0</vt:i4>
      </vt:variant>
      <vt:variant>
        <vt:i4>5</vt:i4>
      </vt:variant>
      <vt:variant>
        <vt:lpwstr/>
      </vt:variant>
      <vt:variant>
        <vt:lpwstr>_Toc144902117</vt:lpwstr>
      </vt:variant>
      <vt:variant>
        <vt:i4>1638452</vt:i4>
      </vt:variant>
      <vt:variant>
        <vt:i4>83</vt:i4>
      </vt:variant>
      <vt:variant>
        <vt:i4>0</vt:i4>
      </vt:variant>
      <vt:variant>
        <vt:i4>5</vt:i4>
      </vt:variant>
      <vt:variant>
        <vt:lpwstr/>
      </vt:variant>
      <vt:variant>
        <vt:lpwstr>_Toc144902116</vt:lpwstr>
      </vt:variant>
      <vt:variant>
        <vt:i4>1638452</vt:i4>
      </vt:variant>
      <vt:variant>
        <vt:i4>77</vt:i4>
      </vt:variant>
      <vt:variant>
        <vt:i4>0</vt:i4>
      </vt:variant>
      <vt:variant>
        <vt:i4>5</vt:i4>
      </vt:variant>
      <vt:variant>
        <vt:lpwstr/>
      </vt:variant>
      <vt:variant>
        <vt:lpwstr>_Toc144902115</vt:lpwstr>
      </vt:variant>
      <vt:variant>
        <vt:i4>1638452</vt:i4>
      </vt:variant>
      <vt:variant>
        <vt:i4>71</vt:i4>
      </vt:variant>
      <vt:variant>
        <vt:i4>0</vt:i4>
      </vt:variant>
      <vt:variant>
        <vt:i4>5</vt:i4>
      </vt:variant>
      <vt:variant>
        <vt:lpwstr/>
      </vt:variant>
      <vt:variant>
        <vt:lpwstr>_Toc144902114</vt:lpwstr>
      </vt:variant>
      <vt:variant>
        <vt:i4>1638452</vt:i4>
      </vt:variant>
      <vt:variant>
        <vt:i4>65</vt:i4>
      </vt:variant>
      <vt:variant>
        <vt:i4>0</vt:i4>
      </vt:variant>
      <vt:variant>
        <vt:i4>5</vt:i4>
      </vt:variant>
      <vt:variant>
        <vt:lpwstr/>
      </vt:variant>
      <vt:variant>
        <vt:lpwstr>_Toc144902113</vt:lpwstr>
      </vt:variant>
      <vt:variant>
        <vt:i4>1638452</vt:i4>
      </vt:variant>
      <vt:variant>
        <vt:i4>59</vt:i4>
      </vt:variant>
      <vt:variant>
        <vt:i4>0</vt:i4>
      </vt:variant>
      <vt:variant>
        <vt:i4>5</vt:i4>
      </vt:variant>
      <vt:variant>
        <vt:lpwstr/>
      </vt:variant>
      <vt:variant>
        <vt:lpwstr>_Toc144902112</vt:lpwstr>
      </vt:variant>
      <vt:variant>
        <vt:i4>1638452</vt:i4>
      </vt:variant>
      <vt:variant>
        <vt:i4>53</vt:i4>
      </vt:variant>
      <vt:variant>
        <vt:i4>0</vt:i4>
      </vt:variant>
      <vt:variant>
        <vt:i4>5</vt:i4>
      </vt:variant>
      <vt:variant>
        <vt:lpwstr/>
      </vt:variant>
      <vt:variant>
        <vt:lpwstr>_Toc144902111</vt:lpwstr>
      </vt:variant>
      <vt:variant>
        <vt:i4>1638452</vt:i4>
      </vt:variant>
      <vt:variant>
        <vt:i4>47</vt:i4>
      </vt:variant>
      <vt:variant>
        <vt:i4>0</vt:i4>
      </vt:variant>
      <vt:variant>
        <vt:i4>5</vt:i4>
      </vt:variant>
      <vt:variant>
        <vt:lpwstr/>
      </vt:variant>
      <vt:variant>
        <vt:lpwstr>_Toc144902110</vt:lpwstr>
      </vt:variant>
      <vt:variant>
        <vt:i4>1572916</vt:i4>
      </vt:variant>
      <vt:variant>
        <vt:i4>41</vt:i4>
      </vt:variant>
      <vt:variant>
        <vt:i4>0</vt:i4>
      </vt:variant>
      <vt:variant>
        <vt:i4>5</vt:i4>
      </vt:variant>
      <vt:variant>
        <vt:lpwstr/>
      </vt:variant>
      <vt:variant>
        <vt:lpwstr>_Toc144902109</vt:lpwstr>
      </vt:variant>
      <vt:variant>
        <vt:i4>1572916</vt:i4>
      </vt:variant>
      <vt:variant>
        <vt:i4>35</vt:i4>
      </vt:variant>
      <vt:variant>
        <vt:i4>0</vt:i4>
      </vt:variant>
      <vt:variant>
        <vt:i4>5</vt:i4>
      </vt:variant>
      <vt:variant>
        <vt:lpwstr/>
      </vt:variant>
      <vt:variant>
        <vt:lpwstr>_Toc144902108</vt:lpwstr>
      </vt:variant>
      <vt:variant>
        <vt:i4>1572916</vt:i4>
      </vt:variant>
      <vt:variant>
        <vt:i4>29</vt:i4>
      </vt:variant>
      <vt:variant>
        <vt:i4>0</vt:i4>
      </vt:variant>
      <vt:variant>
        <vt:i4>5</vt:i4>
      </vt:variant>
      <vt:variant>
        <vt:lpwstr/>
      </vt:variant>
      <vt:variant>
        <vt:lpwstr>_Toc144902107</vt:lpwstr>
      </vt:variant>
      <vt:variant>
        <vt:i4>1572916</vt:i4>
      </vt:variant>
      <vt:variant>
        <vt:i4>23</vt:i4>
      </vt:variant>
      <vt:variant>
        <vt:i4>0</vt:i4>
      </vt:variant>
      <vt:variant>
        <vt:i4>5</vt:i4>
      </vt:variant>
      <vt:variant>
        <vt:lpwstr/>
      </vt:variant>
      <vt:variant>
        <vt:lpwstr>_Toc144902106</vt:lpwstr>
      </vt:variant>
      <vt:variant>
        <vt:i4>1572916</vt:i4>
      </vt:variant>
      <vt:variant>
        <vt:i4>17</vt:i4>
      </vt:variant>
      <vt:variant>
        <vt:i4>0</vt:i4>
      </vt:variant>
      <vt:variant>
        <vt:i4>5</vt:i4>
      </vt:variant>
      <vt:variant>
        <vt:lpwstr/>
      </vt:variant>
      <vt:variant>
        <vt:lpwstr>_Toc144902105</vt:lpwstr>
      </vt:variant>
      <vt:variant>
        <vt:i4>1572916</vt:i4>
      </vt:variant>
      <vt:variant>
        <vt:i4>11</vt:i4>
      </vt:variant>
      <vt:variant>
        <vt:i4>0</vt:i4>
      </vt:variant>
      <vt:variant>
        <vt:i4>5</vt:i4>
      </vt:variant>
      <vt:variant>
        <vt:lpwstr/>
      </vt:variant>
      <vt:variant>
        <vt:lpwstr>_Toc144902104</vt:lpwstr>
      </vt:variant>
      <vt:variant>
        <vt:i4>6291548</vt:i4>
      </vt:variant>
      <vt:variant>
        <vt:i4>6</vt:i4>
      </vt:variant>
      <vt:variant>
        <vt:i4>0</vt:i4>
      </vt:variant>
      <vt:variant>
        <vt:i4>5</vt:i4>
      </vt:variant>
      <vt:variant>
        <vt:lpwstr>mailto:tga.copyright@tga.gov.au</vt:lpwstr>
      </vt:variant>
      <vt:variant>
        <vt:lpwstr/>
      </vt:variant>
      <vt:variant>
        <vt:i4>7995497</vt:i4>
      </vt:variant>
      <vt:variant>
        <vt:i4>3</vt:i4>
      </vt:variant>
      <vt:variant>
        <vt:i4>0</vt:i4>
      </vt:variant>
      <vt:variant>
        <vt:i4>5</vt:i4>
      </vt:variant>
      <vt:variant>
        <vt:lpwstr>https://www.tga.gov.au/australian-public-assessment-report-auspar-guidance</vt:lpwstr>
      </vt:variant>
      <vt:variant>
        <vt:lpwstr/>
      </vt:variant>
      <vt:variant>
        <vt:i4>3473445</vt:i4>
      </vt:variant>
      <vt:variant>
        <vt:i4>0</vt:i4>
      </vt:variant>
      <vt:variant>
        <vt:i4>0</vt:i4>
      </vt:variant>
      <vt:variant>
        <vt:i4>5</vt:i4>
      </vt:variant>
      <vt:variant>
        <vt:lpwstr>https://www.tga.gov.au/</vt:lpwstr>
      </vt:variant>
      <vt:variant>
        <vt:lpwstr/>
      </vt:variant>
      <vt:variant>
        <vt:i4>655458</vt:i4>
      </vt:variant>
      <vt:variant>
        <vt:i4>3</vt:i4>
      </vt:variant>
      <vt:variant>
        <vt:i4>0</vt:i4>
      </vt:variant>
      <vt:variant>
        <vt:i4>5</vt:i4>
      </vt:variant>
      <vt:variant>
        <vt:lpwstr>https://www.accessdata.fda.gov/drugsatfda_docs/nda/2021/214487Orig1s000MultidisciplineR.pdf</vt:lpwstr>
      </vt:variant>
      <vt:variant>
        <vt:lpwstr/>
      </vt:variant>
      <vt:variant>
        <vt:i4>8323118</vt:i4>
      </vt:variant>
      <vt:variant>
        <vt:i4>0</vt:i4>
      </vt:variant>
      <vt:variant>
        <vt:i4>0</vt:i4>
      </vt:variant>
      <vt:variant>
        <vt:i4>5</vt:i4>
      </vt:variant>
      <vt:variant>
        <vt:lpwstr>https://tgldcdp.tg.org.au/viewTopic?etgAccess=true&amp;guidelinePage=Rheumatology&amp;topicfile=systemic-vasculitides&amp;guidelinename=Rheumatology&amp;sectionId=toc_d1e47</vt:lpwstr>
      </vt:variant>
      <vt:variant>
        <vt:lpwstr>toc_d1e47</vt:lpwstr>
      </vt:variant>
      <vt:variant>
        <vt:i4>5636178</vt:i4>
      </vt:variant>
      <vt:variant>
        <vt:i4>6</vt:i4>
      </vt:variant>
      <vt:variant>
        <vt:i4>0</vt:i4>
      </vt:variant>
      <vt:variant>
        <vt:i4>5</vt:i4>
      </vt:variant>
      <vt:variant>
        <vt:lpwstr>https://www.ema.europa.eu/en/medicines/human/withdrawn-applications/vynpenta-previously-avacopanchemocentryx</vt:lpwstr>
      </vt:variant>
      <vt:variant>
        <vt:lpwstr/>
      </vt:variant>
      <vt:variant>
        <vt:i4>2818122</vt:i4>
      </vt:variant>
      <vt:variant>
        <vt:i4>3</vt:i4>
      </vt:variant>
      <vt:variant>
        <vt:i4>0</vt:i4>
      </vt:variant>
      <vt:variant>
        <vt:i4>5</vt:i4>
      </vt:variant>
      <vt:variant>
        <vt:lpwstr>https://www.accessdata.fda.gov/drugsatfda_docs/appletter/2021/214487Orig1s000ltr.pdf</vt:lpwstr>
      </vt:variant>
      <vt:variant>
        <vt:lpwstr/>
      </vt:variant>
      <vt:variant>
        <vt:i4>4194309</vt:i4>
      </vt:variant>
      <vt:variant>
        <vt:i4>0</vt:i4>
      </vt:variant>
      <vt:variant>
        <vt:i4>0</vt:i4>
      </vt:variant>
      <vt:variant>
        <vt:i4>5</vt:i4>
      </vt:variant>
      <vt:variant>
        <vt:lpwstr>https://www.tga.gov.au/resources/designations-determinations/notice-avacopan-vifor-pharma-pty-ltd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Tavneos</dc:title>
  <dc:subject>prescription medicines</dc:subject>
  <dc:creator/>
  <cp:keywords/>
  <dc:description/>
  <cp:lastModifiedBy/>
  <cp:revision>1</cp:revision>
  <dcterms:created xsi:type="dcterms:W3CDTF">2023-10-04T22:04:00Z</dcterms:created>
  <dcterms:modified xsi:type="dcterms:W3CDTF">2023-10-04T22:23:00Z</dcterms:modified>
</cp:coreProperties>
</file>