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D3A4" w14:textId="00181F83" w:rsidR="00256154" w:rsidRDefault="00256154" w:rsidP="00783BC6">
      <w:pPr>
        <w:spacing w:before="0"/>
      </w:pPr>
      <w:r w:rsidRPr="00256154">
        <w:rPr>
          <w:noProof/>
        </w:rPr>
        <mc:AlternateContent>
          <mc:Choice Requires="wps">
            <w:drawing>
              <wp:inline distT="0" distB="0" distL="0" distR="0" wp14:anchorId="7E6974C1" wp14:editId="2EB110EB">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DADB5" w14:textId="77777777" w:rsidR="007C5E0F" w:rsidRDefault="007C5E0F"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7E6974C1"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53EDADB5" w14:textId="77777777" w:rsidR="007C5E0F" w:rsidRDefault="007C5E0F"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256154">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256154">
          <w:rPr>
            <w:rStyle w:val="Hyperlink"/>
          </w:rPr>
          <w:t>https://www.tga.gov.au/reporting-problems</w:t>
        </w:r>
      </w:hyperlink>
    </w:p>
    <w:p w14:paraId="592AEC7B" w14:textId="14E06BBC" w:rsidR="004032BD" w:rsidRPr="00CF3CA1" w:rsidRDefault="004032BD" w:rsidP="00CF3CA1">
      <w:pPr>
        <w:pStyle w:val="Title"/>
      </w:pPr>
      <w:r w:rsidRPr="00CF3CA1">
        <w:t>Australian P</w:t>
      </w:r>
      <w:r w:rsidR="00677840" w:rsidRPr="00CF3CA1">
        <w:t xml:space="preserve">roduct </w:t>
      </w:r>
      <w:r w:rsidRPr="00CF3CA1">
        <w:t>I</w:t>
      </w:r>
      <w:r w:rsidR="00677840" w:rsidRPr="00CF3CA1">
        <w:t>nformation</w:t>
      </w:r>
      <w:r w:rsidRPr="00CF3CA1">
        <w:t xml:space="preserve"> – </w:t>
      </w:r>
      <w:r w:rsidR="007E693C" w:rsidRPr="00CF3CA1">
        <w:t>t</w:t>
      </w:r>
      <w:r w:rsidR="00E307DF">
        <w:t>avneos</w:t>
      </w:r>
      <w:r w:rsidR="00EC5AFA">
        <w:rPr>
          <w:vertAlign w:val="superscript"/>
        </w:rPr>
        <w:t>®</w:t>
      </w:r>
      <w:r w:rsidR="007E693C" w:rsidRPr="00CF3CA1">
        <w:t xml:space="preserve"> </w:t>
      </w:r>
      <w:r w:rsidRPr="00CF3CA1">
        <w:t>(</w:t>
      </w:r>
      <w:r w:rsidR="00E307DF">
        <w:t>avacopan</w:t>
      </w:r>
      <w:r w:rsidRPr="00CF3CA1">
        <w:t>)</w:t>
      </w:r>
      <w:r w:rsidR="00497C85" w:rsidRPr="00CF3CA1">
        <w:t xml:space="preserve"> </w:t>
      </w:r>
      <w:r w:rsidR="00E307DF">
        <w:t>capsules</w:t>
      </w:r>
    </w:p>
    <w:p w14:paraId="5EBF0379" w14:textId="6161BFE6" w:rsidR="001A3992" w:rsidRDefault="001A3992" w:rsidP="00CF3CA1">
      <w:pPr>
        <w:pStyle w:val="Heading1"/>
      </w:pPr>
      <w:r w:rsidRPr="00CF3CA1">
        <w:t>Name of the medicine</w:t>
      </w:r>
    </w:p>
    <w:p w14:paraId="7E0BCE51" w14:textId="247CA275" w:rsidR="00362995" w:rsidRPr="00362995" w:rsidRDefault="00121C83" w:rsidP="00362995">
      <w:r>
        <w:t>Avacopan</w:t>
      </w:r>
    </w:p>
    <w:p w14:paraId="60F51C29" w14:textId="77777777" w:rsidR="001A3992" w:rsidRPr="00497C85" w:rsidRDefault="001A3992" w:rsidP="00CF3CA1">
      <w:pPr>
        <w:pStyle w:val="Heading1"/>
      </w:pPr>
      <w:r w:rsidRPr="00497C85">
        <w:t>Qualitative and quantitative composition</w:t>
      </w:r>
    </w:p>
    <w:p w14:paraId="0FA312FD" w14:textId="77777777" w:rsidR="00362995" w:rsidRDefault="00362995" w:rsidP="00362995">
      <w:pPr>
        <w:rPr>
          <w:spacing w:val="-52"/>
        </w:rPr>
      </w:pPr>
      <w:r>
        <w:t xml:space="preserve">Each hard capsule contains 10 mg of </w:t>
      </w:r>
      <w:proofErr w:type="spellStart"/>
      <w:r>
        <w:t>avacopan</w:t>
      </w:r>
      <w:proofErr w:type="spellEnd"/>
      <w:r>
        <w:t>.</w:t>
      </w:r>
      <w:r>
        <w:rPr>
          <w:spacing w:val="-52"/>
        </w:rPr>
        <w:t xml:space="preserve"> </w:t>
      </w:r>
    </w:p>
    <w:p w14:paraId="36463D9E" w14:textId="1B82A549" w:rsidR="00497C85" w:rsidRPr="00CF3CA1" w:rsidRDefault="00497C85" w:rsidP="00CF3CA1">
      <w:r w:rsidRPr="00CF3CA1">
        <w:t xml:space="preserve">For the full list of excipients, see Section 6.1 List of excipients. </w:t>
      </w:r>
    </w:p>
    <w:p w14:paraId="3FB69F61" w14:textId="1CC60917" w:rsidR="001A3992" w:rsidRDefault="001A3992" w:rsidP="00CF3CA1">
      <w:pPr>
        <w:pStyle w:val="Heading1"/>
      </w:pPr>
      <w:r w:rsidRPr="00497C85">
        <w:t>Pharmaceutical form</w:t>
      </w:r>
    </w:p>
    <w:p w14:paraId="3EDF9CC4" w14:textId="0BF5DD8F" w:rsidR="00D56B0D" w:rsidRDefault="00D56B0D" w:rsidP="00D56B0D">
      <w:r>
        <w:t>Hard capsule</w:t>
      </w:r>
      <w:r w:rsidR="003D5CB3">
        <w:t>.</w:t>
      </w:r>
    </w:p>
    <w:p w14:paraId="0BED4C71" w14:textId="204DA9BF" w:rsidR="005F0644" w:rsidRDefault="00D56B0D" w:rsidP="005F0644">
      <w:r>
        <w:t xml:space="preserve">Capsules with </w:t>
      </w:r>
      <w:r w:rsidR="0075218D">
        <w:t xml:space="preserve">yellow body and </w:t>
      </w:r>
      <w:r>
        <w:t>light orange cap with “CCX168” in black ink.</w:t>
      </w:r>
    </w:p>
    <w:p w14:paraId="5C0D22EE" w14:textId="351D7633" w:rsidR="001A3992" w:rsidRPr="00497C85" w:rsidRDefault="001A3992" w:rsidP="00E1622A">
      <w:pPr>
        <w:pStyle w:val="Heading1"/>
      </w:pPr>
      <w:r w:rsidRPr="00497C85">
        <w:t>Clinical particulars</w:t>
      </w:r>
    </w:p>
    <w:p w14:paraId="7F01E45E" w14:textId="5FE24C08" w:rsidR="001A3992" w:rsidRDefault="001A3992" w:rsidP="00CF3CA1">
      <w:pPr>
        <w:pStyle w:val="Heading2"/>
      </w:pPr>
      <w:r w:rsidRPr="00CF3CA1">
        <w:t xml:space="preserve">Therapeutic indications </w:t>
      </w:r>
    </w:p>
    <w:p w14:paraId="078BC30D" w14:textId="1A99C32B" w:rsidR="00D56B0D" w:rsidRDefault="009821B1" w:rsidP="00D56B0D">
      <w:bookmarkStart w:id="0" w:name="OLE_LINK11"/>
      <w:r w:rsidRPr="009821B1">
        <w:t xml:space="preserve">Tavneos, </w:t>
      </w:r>
      <w:bookmarkStart w:id="1" w:name="OLE_LINK14"/>
      <w:r w:rsidRPr="009821B1">
        <w:t xml:space="preserve">in combination with </w:t>
      </w:r>
      <w:r w:rsidR="0000093D">
        <w:t xml:space="preserve">a rituximab or </w:t>
      </w:r>
      <w:proofErr w:type="gramStart"/>
      <w:r w:rsidR="0000093D">
        <w:t>cyclophosphamide based</w:t>
      </w:r>
      <w:proofErr w:type="gramEnd"/>
      <w:r w:rsidR="0000093D">
        <w:t xml:space="preserve"> regimen</w:t>
      </w:r>
      <w:bookmarkEnd w:id="1"/>
      <w:r w:rsidRPr="009821B1">
        <w:t xml:space="preserve">, is indicated for the treatment of </w:t>
      </w:r>
      <w:r w:rsidR="00614DB8">
        <w:t xml:space="preserve">adults </w:t>
      </w:r>
      <w:r w:rsidRPr="009821B1">
        <w:t>with anti-neutrophil cytoplasmic autoantibody (ANCA)-associated vasculitis (granulomatosis with polyangiitis [GPA] and microscopic polyangiitis [MPA])</w:t>
      </w:r>
      <w:r w:rsidR="00D56B0D" w:rsidRPr="00D56B0D">
        <w:t>.</w:t>
      </w:r>
      <w:r w:rsidR="00D56B0D">
        <w:t xml:space="preserve"> </w:t>
      </w:r>
    </w:p>
    <w:bookmarkEnd w:id="0"/>
    <w:p w14:paraId="06A2D72C" w14:textId="2601ED54" w:rsidR="001A3992" w:rsidRDefault="001A3992" w:rsidP="00CF3CA1">
      <w:pPr>
        <w:pStyle w:val="Heading2"/>
      </w:pPr>
      <w:r w:rsidRPr="00497C85">
        <w:t xml:space="preserve">Dose and method of administration </w:t>
      </w:r>
    </w:p>
    <w:p w14:paraId="1C422394" w14:textId="5CF27CA7" w:rsidR="00D56B0D" w:rsidRDefault="00D56B0D" w:rsidP="00D56B0D">
      <w:r>
        <w:t xml:space="preserve">Treatment should be initiated and monitored by healthcare professionals experienced in the diagnosis and treatment of </w:t>
      </w:r>
      <w:r w:rsidR="0075218D">
        <w:t xml:space="preserve">GPA </w:t>
      </w:r>
      <w:r w:rsidR="00187DCF">
        <w:t>or</w:t>
      </w:r>
      <w:r>
        <w:t xml:space="preserve"> </w:t>
      </w:r>
      <w:r w:rsidR="0075218D">
        <w:t>MPA</w:t>
      </w:r>
      <w:r>
        <w:t>.</w:t>
      </w:r>
    </w:p>
    <w:p w14:paraId="11F7F3E6" w14:textId="03BD99EB" w:rsidR="00CE5E0A" w:rsidRPr="00783BC6" w:rsidRDefault="00CE5E0A" w:rsidP="00783BC6">
      <w:pPr>
        <w:pStyle w:val="Heading3"/>
      </w:pPr>
      <w:r w:rsidRPr="00783BC6">
        <w:t>Dosage</w:t>
      </w:r>
    </w:p>
    <w:p w14:paraId="08FFFDAB" w14:textId="77777777" w:rsidR="00C74568" w:rsidRDefault="00C74568" w:rsidP="00C74568">
      <w:r>
        <w:t>The recommended dose of Tavneos is 30 mg (3 hard capsules of 10 mg each) taken orally twice daily, morning and evening, with food.</w:t>
      </w:r>
    </w:p>
    <w:p w14:paraId="03402964" w14:textId="27FD0452" w:rsidR="00011C74" w:rsidRDefault="00C74568" w:rsidP="00C74568">
      <w:bookmarkStart w:id="2" w:name="OLE_LINK4"/>
      <w:bookmarkStart w:id="3" w:name="OLE_LINK15"/>
      <w:bookmarkStart w:id="4" w:name="OLE_LINK12"/>
      <w:r>
        <w:lastRenderedPageBreak/>
        <w:t>Tavneos should be administered in combination with rituximab or cyclophosphamide</w:t>
      </w:r>
      <w:bookmarkEnd w:id="2"/>
      <w:r>
        <w:t xml:space="preserve">. </w:t>
      </w:r>
      <w:bookmarkStart w:id="5" w:name="OLE_LINK16"/>
      <w:r>
        <w:t xml:space="preserve">Suitable dosing regimens for these combinations </w:t>
      </w:r>
      <w:bookmarkEnd w:id="3"/>
      <w:r w:rsidR="00A610CF">
        <w:t>include</w:t>
      </w:r>
      <w:r>
        <w:t xml:space="preserve">: </w:t>
      </w:r>
      <w:bookmarkEnd w:id="5"/>
    </w:p>
    <w:bookmarkEnd w:id="4"/>
    <w:p w14:paraId="5C009A76" w14:textId="77777777" w:rsidR="00C74568" w:rsidRDefault="00C74568" w:rsidP="007331E6">
      <w:pPr>
        <w:keepNext/>
      </w:pPr>
      <w:r>
        <w:t xml:space="preserve">• </w:t>
      </w:r>
      <w:r>
        <w:tab/>
        <w:t xml:space="preserve">rituximab for 4 weekly intravenous doses or, </w:t>
      </w:r>
    </w:p>
    <w:p w14:paraId="1E328486" w14:textId="0AB0328D" w:rsidR="00C74568" w:rsidRDefault="00C74568" w:rsidP="007331E6">
      <w:pPr>
        <w:keepNext/>
        <w:spacing w:before="0"/>
      </w:pPr>
      <w:r>
        <w:t xml:space="preserve">• </w:t>
      </w:r>
      <w:r>
        <w:tab/>
      </w:r>
      <w:r w:rsidRPr="00C74568">
        <w:rPr>
          <w:rFonts w:eastAsiaTheme="minorHAnsi"/>
          <w:color w:val="auto"/>
          <w:lang w:val="en-GB"/>
        </w:rPr>
        <w:t xml:space="preserve">intravenous or oral cyclophosphamide for 13 or 14 weeks, followed by oral </w:t>
      </w:r>
      <w:r>
        <w:rPr>
          <w:rFonts w:eastAsiaTheme="minorHAnsi"/>
          <w:color w:val="auto"/>
          <w:lang w:val="en-GB"/>
        </w:rPr>
        <w:tab/>
      </w:r>
      <w:r w:rsidRPr="00C74568">
        <w:rPr>
          <w:rFonts w:eastAsiaTheme="minorHAnsi"/>
          <w:color w:val="auto"/>
          <w:lang w:val="en-GB"/>
        </w:rPr>
        <w:t>azathioprine or mycophenolate mofetil and,</w:t>
      </w:r>
      <w:r>
        <w:t xml:space="preserve"> </w:t>
      </w:r>
    </w:p>
    <w:p w14:paraId="1312D27D" w14:textId="77777777" w:rsidR="00C74568" w:rsidRDefault="00C74568" w:rsidP="007331E6">
      <w:pPr>
        <w:keepNext/>
        <w:spacing w:before="0"/>
      </w:pPr>
      <w:r>
        <w:t>•</w:t>
      </w:r>
      <w:r>
        <w:tab/>
        <w:t>glucocorticoids as clinically indicated.</w:t>
      </w:r>
    </w:p>
    <w:p w14:paraId="43F421A5" w14:textId="77777777" w:rsidR="00C74568" w:rsidRDefault="00C74568" w:rsidP="00C74568">
      <w:r>
        <w:t>For details on doses, concomitant glucocorticoids and data on efficacy and safety for the combinations, please see Sections 4.8 Adverse effects (Undesirable effects) and 5.1 Pharmacodynamic properties.</w:t>
      </w:r>
    </w:p>
    <w:p w14:paraId="41188A14" w14:textId="249003F2" w:rsidR="00D56B0D" w:rsidRDefault="00D56B0D" w:rsidP="00C74568">
      <w:r>
        <w:t xml:space="preserve">Clinical </w:t>
      </w:r>
      <w:r w:rsidR="0075218D">
        <w:t>study</w:t>
      </w:r>
      <w:r>
        <w:t xml:space="preserve"> data are limited to 52 weeks of exposure followed by 8 weeks of observation. </w:t>
      </w:r>
    </w:p>
    <w:p w14:paraId="7968B567" w14:textId="77777777" w:rsidR="00D56B0D" w:rsidRPr="00783BC6" w:rsidRDefault="00D56B0D" w:rsidP="00D56B0D">
      <w:pPr>
        <w:rPr>
          <w:b/>
          <w:bCs/>
          <w:i/>
          <w:iCs/>
        </w:rPr>
      </w:pPr>
      <w:r w:rsidRPr="00783BC6">
        <w:rPr>
          <w:b/>
          <w:bCs/>
          <w:i/>
          <w:iCs/>
        </w:rPr>
        <w:t>Missed doses</w:t>
      </w:r>
    </w:p>
    <w:p w14:paraId="55579D23" w14:textId="275F7FDB" w:rsidR="00D56B0D" w:rsidRDefault="00D56B0D" w:rsidP="00D56B0D">
      <w:r>
        <w:t xml:space="preserve">If a patient misses a dose, the missed dose </w:t>
      </w:r>
      <w:r w:rsidR="0075218D">
        <w:t>is to</w:t>
      </w:r>
      <w:r>
        <w:t xml:space="preserve"> be taken as soon as possible, unless within three hours of the next scheduled dose. If within three hours, then the missed dose </w:t>
      </w:r>
      <w:r w:rsidR="0075218D">
        <w:t>is</w:t>
      </w:r>
      <w:r>
        <w:t xml:space="preserve"> not</w:t>
      </w:r>
      <w:r w:rsidR="0075218D">
        <w:t xml:space="preserve"> to</w:t>
      </w:r>
      <w:r>
        <w:t xml:space="preserve"> be taken.</w:t>
      </w:r>
    </w:p>
    <w:p w14:paraId="73C73874" w14:textId="22ABD2C3" w:rsidR="00D56B0D" w:rsidRPr="00783BC6" w:rsidRDefault="00D56B0D" w:rsidP="00D56B0D">
      <w:pPr>
        <w:rPr>
          <w:b/>
          <w:bCs/>
          <w:i/>
          <w:iCs/>
        </w:rPr>
      </w:pPr>
      <w:r w:rsidRPr="00783BC6">
        <w:rPr>
          <w:b/>
          <w:bCs/>
          <w:i/>
          <w:iCs/>
        </w:rPr>
        <w:t>Dose management</w:t>
      </w:r>
    </w:p>
    <w:p w14:paraId="3A617FED" w14:textId="28B818EC" w:rsidR="00D56B0D" w:rsidRDefault="00675768" w:rsidP="00D56B0D">
      <w:r>
        <w:t>Treatment must be re-assessed</w:t>
      </w:r>
      <w:r w:rsidR="00D56B0D">
        <w:t xml:space="preserve"> clinically and </w:t>
      </w:r>
      <w:r w:rsidR="0075218D">
        <w:t>temporarily</w:t>
      </w:r>
      <w:r>
        <w:t xml:space="preserve"> stopped</w:t>
      </w:r>
      <w:r w:rsidR="00D56B0D">
        <w:t xml:space="preserve"> if:</w:t>
      </w:r>
    </w:p>
    <w:p w14:paraId="4975885B" w14:textId="5DB66B12" w:rsidR="00D56B0D" w:rsidRDefault="00D56B0D" w:rsidP="00121C83">
      <w:pPr>
        <w:pStyle w:val="ListParagraph"/>
      </w:pPr>
      <w:r>
        <w:t xml:space="preserve">alanine </w:t>
      </w:r>
      <w:r w:rsidRPr="00121C83">
        <w:t>aminotransferase</w:t>
      </w:r>
      <w:r>
        <w:t xml:space="preserve"> (ALT) or aspartate aminotransferase (AST) is more than 3 </w:t>
      </w:r>
      <w:r w:rsidR="004A6163">
        <w:t xml:space="preserve">× </w:t>
      </w:r>
      <w:r>
        <w:t>the upper limit of normal (ULN).</w:t>
      </w:r>
    </w:p>
    <w:p w14:paraId="2C9BED80" w14:textId="6AB80B64" w:rsidR="00DE32AC" w:rsidRDefault="00DE32AC" w:rsidP="00DE32AC">
      <w:pPr>
        <w:pStyle w:val="ListParagraph"/>
        <w:numPr>
          <w:ilvl w:val="0"/>
          <w:numId w:val="0"/>
        </w:numPr>
      </w:pPr>
    </w:p>
    <w:p w14:paraId="3199F3AA" w14:textId="0B47F4FE" w:rsidR="00DE32AC" w:rsidRPr="000757D7" w:rsidRDefault="00675768" w:rsidP="00DE32AC">
      <w:pPr>
        <w:pStyle w:val="ListParagraph"/>
        <w:numPr>
          <w:ilvl w:val="0"/>
          <w:numId w:val="0"/>
        </w:numPr>
      </w:pPr>
      <w:r w:rsidRPr="000757D7">
        <w:t>Treatment must be tempora</w:t>
      </w:r>
      <w:r w:rsidR="009F3879" w:rsidRPr="000757D7">
        <w:t>r</w:t>
      </w:r>
      <w:r w:rsidRPr="000757D7">
        <w:t>i</w:t>
      </w:r>
      <w:r w:rsidR="009F3879" w:rsidRPr="000757D7">
        <w:t>l</w:t>
      </w:r>
      <w:r w:rsidRPr="000757D7">
        <w:t>y stopped if:</w:t>
      </w:r>
    </w:p>
    <w:p w14:paraId="3D82A392" w14:textId="3A3674F9" w:rsidR="00DE32AC" w:rsidRPr="00121C83" w:rsidRDefault="00DE32AC" w:rsidP="000757D7">
      <w:pPr>
        <w:pStyle w:val="ListParagraph"/>
        <w:spacing w:before="0"/>
      </w:pPr>
      <w:r>
        <w:t>ALT or AST &gt;5</w:t>
      </w:r>
      <w:r w:rsidR="00FB3054" w:rsidRPr="00D11B09">
        <w:t> </w:t>
      </w:r>
      <w:r w:rsidR="004A6163">
        <w:t>×</w:t>
      </w:r>
      <w:r w:rsidR="00FB3054" w:rsidRPr="00D11B09">
        <w:t> </w:t>
      </w:r>
      <w:r>
        <w:t>ULN,</w:t>
      </w:r>
    </w:p>
    <w:p w14:paraId="3C8072EE" w14:textId="632B2413" w:rsidR="00D56B0D" w:rsidRDefault="00D56B0D" w:rsidP="00121C83">
      <w:pPr>
        <w:pStyle w:val="ListParagraph"/>
      </w:pPr>
      <w:r w:rsidRPr="00121C83">
        <w:t>a patient develops leukopenia (white blood cell count &lt;2 × 10</w:t>
      </w:r>
      <w:r w:rsidRPr="00783BC6">
        <w:rPr>
          <w:vertAlign w:val="superscript"/>
        </w:rPr>
        <w:t>9</w:t>
      </w:r>
      <w:r w:rsidRPr="00121C83">
        <w:t>/L) or neutropenia (</w:t>
      </w:r>
      <w:r w:rsidR="00DE32AC">
        <w:t xml:space="preserve">neutrophils &lt; </w:t>
      </w:r>
      <w:r w:rsidRPr="00121C83">
        <w:t>1 × 10</w:t>
      </w:r>
      <w:r w:rsidRPr="00783BC6">
        <w:rPr>
          <w:vertAlign w:val="superscript"/>
        </w:rPr>
        <w:t>9</w:t>
      </w:r>
      <w:r w:rsidRPr="00121C83">
        <w:t>/L), or lymphopenia (</w:t>
      </w:r>
      <w:r w:rsidR="00DE32AC">
        <w:t xml:space="preserve">lymphocytes &lt; </w:t>
      </w:r>
      <w:r w:rsidRPr="00121C83">
        <w:t>0.2 × 10</w:t>
      </w:r>
      <w:r w:rsidRPr="00783BC6">
        <w:rPr>
          <w:vertAlign w:val="superscript"/>
        </w:rPr>
        <w:t>9</w:t>
      </w:r>
      <w:r w:rsidRPr="00121C83">
        <w:t>/L)</w:t>
      </w:r>
      <w:r w:rsidR="00DE32AC">
        <w:t>.</w:t>
      </w:r>
    </w:p>
    <w:p w14:paraId="0D9ABD76" w14:textId="279E529C" w:rsidR="00DE32AC" w:rsidRPr="00121C83" w:rsidRDefault="00DE32AC" w:rsidP="00DE32AC">
      <w:pPr>
        <w:pStyle w:val="ListParagraph"/>
      </w:pPr>
      <w:r w:rsidRPr="00D05015">
        <w:t>a patient has an active, serious infection (</w:t>
      </w:r>
      <w:proofErr w:type="gramStart"/>
      <w:r w:rsidRPr="00D05015">
        <w:t>i.e.</w:t>
      </w:r>
      <w:proofErr w:type="gramEnd"/>
      <w:r w:rsidRPr="00D05015">
        <w:t xml:space="preserve"> requiring </w:t>
      </w:r>
      <w:proofErr w:type="spellStart"/>
      <w:r w:rsidRPr="009F3879">
        <w:t>hospitali</w:t>
      </w:r>
      <w:r w:rsidR="008E0073" w:rsidRPr="009F3879">
        <w:t>s</w:t>
      </w:r>
      <w:r w:rsidRPr="009F3879">
        <w:t>ation</w:t>
      </w:r>
      <w:proofErr w:type="spellEnd"/>
      <w:r w:rsidRPr="00D05015">
        <w:t xml:space="preserve"> or prolonged </w:t>
      </w:r>
      <w:proofErr w:type="spellStart"/>
      <w:r w:rsidRPr="009F3879">
        <w:t>hospitali</w:t>
      </w:r>
      <w:r w:rsidR="008E0073" w:rsidRPr="009F3879">
        <w:t>s</w:t>
      </w:r>
      <w:r w:rsidRPr="009F3879">
        <w:t>ation</w:t>
      </w:r>
      <w:proofErr w:type="spellEnd"/>
      <w:r w:rsidRPr="00D05015">
        <w:t>).</w:t>
      </w:r>
    </w:p>
    <w:p w14:paraId="126DB07C" w14:textId="21C8A0E9" w:rsidR="00D56B0D" w:rsidRDefault="00D56B0D" w:rsidP="00D56B0D">
      <w:r>
        <w:t>Treatment may be resumed:</w:t>
      </w:r>
    </w:p>
    <w:p w14:paraId="28D1D9FF" w14:textId="77777777" w:rsidR="000757D7" w:rsidRDefault="000757D7" w:rsidP="000757D7">
      <w:pPr>
        <w:spacing w:before="0"/>
      </w:pPr>
    </w:p>
    <w:p w14:paraId="4C4BB013" w14:textId="0BEFEBA4" w:rsidR="00223401" w:rsidRDefault="00D56B0D" w:rsidP="00150B7C">
      <w:pPr>
        <w:pStyle w:val="ListParagraph"/>
        <w:spacing w:before="0"/>
      </w:pPr>
      <w:r>
        <w:t xml:space="preserve">upon </w:t>
      </w:r>
      <w:proofErr w:type="spellStart"/>
      <w:r>
        <w:t>normalisation</w:t>
      </w:r>
      <w:proofErr w:type="spellEnd"/>
      <w:r>
        <w:t xml:space="preserve"> of </w:t>
      </w:r>
      <w:r w:rsidRPr="00121C83">
        <w:t>values</w:t>
      </w:r>
      <w:r>
        <w:t xml:space="preserve"> and based on an individual benefit/risk assessment.</w:t>
      </w:r>
    </w:p>
    <w:p w14:paraId="0E2FB737" w14:textId="55339D5F" w:rsidR="00223401" w:rsidRDefault="00223401" w:rsidP="00BE6858">
      <w:pPr>
        <w:pStyle w:val="ListParagraph"/>
        <w:numPr>
          <w:ilvl w:val="0"/>
          <w:numId w:val="0"/>
        </w:numPr>
        <w:ind w:left="720"/>
      </w:pPr>
      <w:r w:rsidRPr="00014320">
        <w:t>If treatment is resumed, hepatic transaminases and total bilirubin are to be monitored closely.</w:t>
      </w:r>
    </w:p>
    <w:p w14:paraId="4E9468E2" w14:textId="303D5F62" w:rsidR="00D56B0D" w:rsidRDefault="00675768" w:rsidP="00D56B0D">
      <w:r>
        <w:t>Permane</w:t>
      </w:r>
      <w:r w:rsidR="009F3879">
        <w:t>n</w:t>
      </w:r>
      <w:r>
        <w:t>t</w:t>
      </w:r>
      <w:r w:rsidR="00D56B0D">
        <w:t xml:space="preserve"> discontinuation </w:t>
      </w:r>
      <w:r w:rsidR="00DE7D28">
        <w:t xml:space="preserve">of treatment </w:t>
      </w:r>
      <w:r>
        <w:t xml:space="preserve">must be considered </w:t>
      </w:r>
      <w:r w:rsidR="00D56B0D">
        <w:t>if:</w:t>
      </w:r>
    </w:p>
    <w:p w14:paraId="2E887873" w14:textId="36D91E47" w:rsidR="00D56B0D" w:rsidRPr="00121C83" w:rsidRDefault="00D56B0D" w:rsidP="00121C83">
      <w:pPr>
        <w:pStyle w:val="ListParagraph"/>
      </w:pPr>
      <w:r w:rsidRPr="00121C83">
        <w:t>ALT or AST &gt;8 × ULN,</w:t>
      </w:r>
    </w:p>
    <w:p w14:paraId="44819F28" w14:textId="4E203025" w:rsidR="00D56B0D" w:rsidRPr="00121C83" w:rsidRDefault="00D56B0D" w:rsidP="00121C83">
      <w:pPr>
        <w:pStyle w:val="ListParagraph"/>
      </w:pPr>
      <w:r w:rsidRPr="00121C83">
        <w:t>ALT or AST &gt;5 × ULN for more than 2 weeks,</w:t>
      </w:r>
    </w:p>
    <w:p w14:paraId="3BC39108" w14:textId="3D80F49D" w:rsidR="00D56B0D" w:rsidRPr="00121C83" w:rsidRDefault="00D56B0D" w:rsidP="00121C83">
      <w:pPr>
        <w:pStyle w:val="ListParagraph"/>
      </w:pPr>
      <w:r w:rsidRPr="00121C83">
        <w:t xml:space="preserve">ALT or AST &gt;3 × ULN and total bilirubin &gt;2 × ULN or </w:t>
      </w:r>
      <w:r w:rsidR="00DE7D28">
        <w:t>inte</w:t>
      </w:r>
      <w:r w:rsidR="009F3879">
        <w:t>r</w:t>
      </w:r>
      <w:r w:rsidR="00DE7D28">
        <w:t>n</w:t>
      </w:r>
      <w:r w:rsidR="009F3879">
        <w:t>a</w:t>
      </w:r>
      <w:r w:rsidR="00DE7D28">
        <w:t xml:space="preserve">tional </w:t>
      </w:r>
      <w:proofErr w:type="spellStart"/>
      <w:r w:rsidR="00DE7D28">
        <w:t>normali</w:t>
      </w:r>
      <w:r w:rsidR="00675768">
        <w:t>s</w:t>
      </w:r>
      <w:r w:rsidR="00DE7D28">
        <w:t>ed</w:t>
      </w:r>
      <w:proofErr w:type="spellEnd"/>
      <w:r w:rsidR="00DE7D28">
        <w:t xml:space="preserve"> ratio (</w:t>
      </w:r>
      <w:r w:rsidRPr="00121C83">
        <w:t>INR</w:t>
      </w:r>
      <w:r w:rsidR="00DE7D28">
        <w:t>)</w:t>
      </w:r>
      <w:r w:rsidRPr="00121C83">
        <w:t xml:space="preserve"> &gt;</w:t>
      </w:r>
      <w:r w:rsidR="00DE7D28">
        <w:t xml:space="preserve"> </w:t>
      </w:r>
      <w:r w:rsidRPr="00121C83">
        <w:t>1.5,</w:t>
      </w:r>
    </w:p>
    <w:p w14:paraId="589FAF08" w14:textId="6588E909" w:rsidR="00D56B0D" w:rsidRDefault="00D56B0D" w:rsidP="00121C83">
      <w:pPr>
        <w:pStyle w:val="ListParagraph"/>
      </w:pPr>
      <w:r w:rsidRPr="00121C83">
        <w:t>ALT or AST &gt;3 × ULN with the appearance of fatigue, nausea, vomiting, right upper quadrant pain or tenderness, fever, rash, and/or eosinophilia (&gt;</w:t>
      </w:r>
      <w:r w:rsidR="00DE7D28">
        <w:t xml:space="preserve"> </w:t>
      </w:r>
      <w:r w:rsidRPr="00121C83">
        <w:t>5%).</w:t>
      </w:r>
    </w:p>
    <w:p w14:paraId="5060DFE7" w14:textId="56FBE93C" w:rsidR="00DE7D28" w:rsidRPr="00121C83" w:rsidRDefault="00DE7D28" w:rsidP="00121C83">
      <w:pPr>
        <w:pStyle w:val="ListParagraph"/>
      </w:pPr>
      <w:r w:rsidRPr="00D05015">
        <w:t xml:space="preserve">an association between </w:t>
      </w:r>
      <w:proofErr w:type="spellStart"/>
      <w:r w:rsidRPr="00D05015">
        <w:t>avacopan</w:t>
      </w:r>
      <w:proofErr w:type="spellEnd"/>
      <w:r w:rsidRPr="00D05015">
        <w:t xml:space="preserve"> and hepatic dysfunction has been established.</w:t>
      </w:r>
    </w:p>
    <w:p w14:paraId="584C70C1" w14:textId="77777777" w:rsidR="00CE5E0A" w:rsidRPr="00783BC6" w:rsidRDefault="00CE5E0A" w:rsidP="00783BC6">
      <w:pPr>
        <w:pStyle w:val="Heading3"/>
      </w:pPr>
      <w:r w:rsidRPr="00783BC6">
        <w:lastRenderedPageBreak/>
        <w:t>Method of administration</w:t>
      </w:r>
    </w:p>
    <w:p w14:paraId="078E93ED" w14:textId="115178C2" w:rsidR="00CE5E0A" w:rsidRDefault="00CA5D62" w:rsidP="00CE5E0A">
      <w:r>
        <w:t xml:space="preserve">Tavneos </w:t>
      </w:r>
      <w:r w:rsidR="00CE5E0A">
        <w:t>is for oral use.</w:t>
      </w:r>
    </w:p>
    <w:p w14:paraId="03CDAF96" w14:textId="173505DA" w:rsidR="00CE5E0A" w:rsidRDefault="00CE5E0A" w:rsidP="00CE5E0A">
      <w:r>
        <w:t xml:space="preserve">The hard capsules </w:t>
      </w:r>
      <w:r w:rsidR="00610466">
        <w:t>are to</w:t>
      </w:r>
      <w:r>
        <w:t xml:space="preserve"> be taken with food and swallowed whole with water and must not be crushed, chewed, or opened.</w:t>
      </w:r>
    </w:p>
    <w:p w14:paraId="04D5C1B9" w14:textId="682E355D" w:rsidR="00CE5E0A" w:rsidRPr="00D56B0D" w:rsidRDefault="00CE5E0A" w:rsidP="00CE5E0A">
      <w:r>
        <w:t xml:space="preserve">Grapefruit and grapefruit juice </w:t>
      </w:r>
      <w:r w:rsidR="00610466">
        <w:t>are to</w:t>
      </w:r>
      <w:r>
        <w:t xml:space="preserve"> be avoided in patients treated with </w:t>
      </w:r>
      <w:r w:rsidR="00CA5D62">
        <w:t>Tavneos</w:t>
      </w:r>
      <w:r>
        <w:t xml:space="preserve"> (see Section 4.5 Interactions with other medicines and other forms of interactions).</w:t>
      </w:r>
    </w:p>
    <w:p w14:paraId="0E8B407A" w14:textId="6232EDE6" w:rsidR="00D56B0D" w:rsidRPr="00783BC6" w:rsidRDefault="00D56B0D" w:rsidP="00D15ED7">
      <w:pPr>
        <w:keepNext/>
        <w:rPr>
          <w:b/>
          <w:bCs/>
          <w:i/>
          <w:iCs/>
        </w:rPr>
      </w:pPr>
      <w:r w:rsidRPr="00783BC6">
        <w:rPr>
          <w:b/>
          <w:bCs/>
          <w:i/>
          <w:iCs/>
        </w:rPr>
        <w:t>Special populations</w:t>
      </w:r>
    </w:p>
    <w:p w14:paraId="015D5353" w14:textId="77777777" w:rsidR="00CE5E0A" w:rsidRPr="00D56B0D" w:rsidRDefault="00CE5E0A" w:rsidP="00D15ED7">
      <w:pPr>
        <w:keepNext/>
        <w:rPr>
          <w:i/>
          <w:iCs/>
        </w:rPr>
      </w:pPr>
      <w:r w:rsidRPr="00D56B0D">
        <w:rPr>
          <w:i/>
          <w:iCs/>
        </w:rPr>
        <w:t>Renal impairment</w:t>
      </w:r>
    </w:p>
    <w:p w14:paraId="74524A53" w14:textId="0766457C" w:rsidR="00CE5E0A" w:rsidRDefault="00CE5E0A" w:rsidP="00CE5E0A">
      <w:r>
        <w:t>No dose adjustment is needed based on renal function (see Section 5.2 Pharmacokinetic properties).</w:t>
      </w:r>
    </w:p>
    <w:p w14:paraId="13FA54AE" w14:textId="49BE595F" w:rsidR="00CE5E0A" w:rsidRDefault="00CA5D62" w:rsidP="00CE5E0A">
      <w:r>
        <w:t>Tavneos</w:t>
      </w:r>
      <w:r w:rsidR="00CE5E0A">
        <w:t xml:space="preserve"> has not been studied in patients with anti-neutrophil cytoplasmic antibody (ANCA)- associated vasculitis with an </w:t>
      </w:r>
      <w:r w:rsidR="00DE7D28">
        <w:t>estimated glomerular filtration rate (</w:t>
      </w:r>
      <w:r w:rsidR="00CE5E0A">
        <w:t>eGFR</w:t>
      </w:r>
      <w:r w:rsidR="00DE7D28">
        <w:t>)</w:t>
      </w:r>
      <w:r w:rsidR="00CE5E0A">
        <w:t xml:space="preserve"> below 15</w:t>
      </w:r>
      <w:r w:rsidR="00B46B72">
        <w:t> </w:t>
      </w:r>
      <w:r w:rsidR="00CE5E0A">
        <w:t>mL/min/1.73</w:t>
      </w:r>
      <w:r w:rsidR="00B46B72">
        <w:t> </w:t>
      </w:r>
      <w:r w:rsidR="00CE5E0A">
        <w:t>m²</w:t>
      </w:r>
      <w:r w:rsidR="00DE7D28">
        <w:t>,</w:t>
      </w:r>
      <w:r w:rsidR="00CE5E0A">
        <w:t xml:space="preserve"> who are on dialysis</w:t>
      </w:r>
      <w:r w:rsidR="00DE7D28">
        <w:t>,</w:t>
      </w:r>
      <w:r w:rsidR="00CE5E0A">
        <w:t xml:space="preserve"> in need of dialysis or plasma exchange.</w:t>
      </w:r>
    </w:p>
    <w:p w14:paraId="4B10AC2E" w14:textId="0316FE45" w:rsidR="00DE7D28" w:rsidRPr="00DE7D28" w:rsidRDefault="00DE7D28" w:rsidP="00DE7D28">
      <w:pPr>
        <w:rPr>
          <w:i/>
          <w:iCs/>
          <w:lang w:val="en-GB"/>
        </w:rPr>
      </w:pPr>
      <w:r w:rsidRPr="00DE7D28">
        <w:rPr>
          <w:i/>
          <w:iCs/>
          <w:lang w:val="en-GB"/>
        </w:rPr>
        <w:t>Severe disease manifested as alveolar haemorrhage</w:t>
      </w:r>
    </w:p>
    <w:p w14:paraId="1E73EECC" w14:textId="1A04E172" w:rsidR="00DE7D28" w:rsidRPr="00BE6858" w:rsidRDefault="00DE7D28" w:rsidP="00C24455">
      <w:pPr>
        <w:ind w:right="-472"/>
        <w:rPr>
          <w:lang w:val="en-GB"/>
        </w:rPr>
      </w:pPr>
      <w:r>
        <w:rPr>
          <w:lang w:val="en-GB"/>
        </w:rPr>
        <w:t>Tavneos</w:t>
      </w:r>
      <w:r w:rsidRPr="00DE7D28">
        <w:rPr>
          <w:lang w:val="en-GB"/>
        </w:rPr>
        <w:t xml:space="preserve"> has not been studied in patients with severe disease manifested as alveolar haemorrhage.</w:t>
      </w:r>
    </w:p>
    <w:p w14:paraId="058F6644" w14:textId="77777777" w:rsidR="00CE5E0A" w:rsidRPr="00D56B0D" w:rsidRDefault="00CE5E0A" w:rsidP="00CE5E0A">
      <w:pPr>
        <w:rPr>
          <w:i/>
          <w:iCs/>
        </w:rPr>
      </w:pPr>
      <w:r w:rsidRPr="00D56B0D">
        <w:rPr>
          <w:i/>
          <w:iCs/>
        </w:rPr>
        <w:t>Hepatic impairment</w:t>
      </w:r>
    </w:p>
    <w:p w14:paraId="6952E404" w14:textId="2D90C019" w:rsidR="00CE5E0A" w:rsidRDefault="00CE5E0A" w:rsidP="00CE5E0A">
      <w:r>
        <w:t xml:space="preserve">No dose adjustment is required for patients with mild or moderate hepatic impairment (see </w:t>
      </w:r>
      <w:r w:rsidR="00FE13E9">
        <w:t xml:space="preserve">Section 4.4 Special warnings and precautions for use and </w:t>
      </w:r>
      <w:r>
        <w:t>Section 5.2 Pharmacokinetic properties).</w:t>
      </w:r>
    </w:p>
    <w:p w14:paraId="1E89E15E" w14:textId="73CF03F0" w:rsidR="00CE5E0A" w:rsidRDefault="00CA5D62" w:rsidP="00CE5E0A">
      <w:r>
        <w:t>Tavneos</w:t>
      </w:r>
      <w:r w:rsidR="00CE5E0A">
        <w:t xml:space="preserve"> has not been studied in subjects with severe hepatic impairment (Child-Pugh Class C) and it is therefore not recommended for use in these patient populations.</w:t>
      </w:r>
    </w:p>
    <w:p w14:paraId="09FE8A5F" w14:textId="3D967BC8" w:rsidR="00D56B0D" w:rsidRPr="00D56B0D" w:rsidRDefault="00D56B0D" w:rsidP="00D56B0D">
      <w:pPr>
        <w:rPr>
          <w:i/>
          <w:iCs/>
        </w:rPr>
      </w:pPr>
      <w:r w:rsidRPr="00D56B0D">
        <w:rPr>
          <w:i/>
          <w:iCs/>
        </w:rPr>
        <w:t xml:space="preserve">Elderly </w:t>
      </w:r>
    </w:p>
    <w:p w14:paraId="2D338407" w14:textId="655B129D" w:rsidR="00D56B0D" w:rsidRDefault="00D56B0D" w:rsidP="00D56B0D">
      <w:r>
        <w:t>No dose adjustment is required in elderly patients (see Section 5.2</w:t>
      </w:r>
      <w:r w:rsidR="00CE5E0A">
        <w:t xml:space="preserve"> Pharmacokinetic properties</w:t>
      </w:r>
      <w:r>
        <w:t>).</w:t>
      </w:r>
    </w:p>
    <w:p w14:paraId="75957868" w14:textId="77777777" w:rsidR="00D56B0D" w:rsidRPr="00D56B0D" w:rsidRDefault="00D56B0D" w:rsidP="00D56B0D">
      <w:pPr>
        <w:rPr>
          <w:i/>
          <w:iCs/>
        </w:rPr>
      </w:pPr>
      <w:proofErr w:type="spellStart"/>
      <w:r w:rsidRPr="00D56B0D">
        <w:rPr>
          <w:i/>
          <w:iCs/>
        </w:rPr>
        <w:t>Paediatric</w:t>
      </w:r>
      <w:proofErr w:type="spellEnd"/>
      <w:r w:rsidRPr="00D56B0D">
        <w:rPr>
          <w:i/>
          <w:iCs/>
        </w:rPr>
        <w:t xml:space="preserve"> population</w:t>
      </w:r>
    </w:p>
    <w:p w14:paraId="184CF7B6" w14:textId="5632405C" w:rsidR="00583A33" w:rsidRDefault="00D56B0D" w:rsidP="00D56B0D">
      <w:r>
        <w:t xml:space="preserve">The safety and efficacy of </w:t>
      </w:r>
      <w:r w:rsidR="00CA5D62">
        <w:t>Tavneos</w:t>
      </w:r>
      <w:r>
        <w:t xml:space="preserve"> in </w:t>
      </w:r>
      <w:r w:rsidR="00133946">
        <w:t>adole</w:t>
      </w:r>
      <w:r w:rsidR="00B46B72">
        <w:t>s</w:t>
      </w:r>
      <w:r w:rsidR="00133946">
        <w:t xml:space="preserve">cents (12 to 17 </w:t>
      </w:r>
      <w:r>
        <w:t>years</w:t>
      </w:r>
      <w:r w:rsidR="00133946">
        <w:t xml:space="preserve"> of age</w:t>
      </w:r>
      <w:r>
        <w:t xml:space="preserve">) have not yet been established. Currently available data are described in </w:t>
      </w:r>
      <w:r w:rsidR="00CE5E0A">
        <w:t>S</w:t>
      </w:r>
      <w:r>
        <w:t>ection</w:t>
      </w:r>
      <w:r w:rsidR="00133946">
        <w:t xml:space="preserve">s 4.8 </w:t>
      </w:r>
      <w:r w:rsidR="00133946" w:rsidRPr="00133946">
        <w:t>Adverse Effects (Undesirable Effects)</w:t>
      </w:r>
      <w:r w:rsidR="00133946">
        <w:t xml:space="preserve"> and</w:t>
      </w:r>
      <w:r>
        <w:t xml:space="preserve"> 5.1 </w:t>
      </w:r>
      <w:r w:rsidR="002506DF">
        <w:t xml:space="preserve">Pharmacodynamic properties </w:t>
      </w:r>
      <w:r>
        <w:t xml:space="preserve">but no recommendation on </w:t>
      </w:r>
      <w:r w:rsidR="001E632F">
        <w:t>dosage</w:t>
      </w:r>
      <w:r>
        <w:t xml:space="preserve"> can be made. </w:t>
      </w:r>
    </w:p>
    <w:p w14:paraId="1C2475FD" w14:textId="77777777" w:rsidR="00583A33" w:rsidRDefault="00133946" w:rsidP="00D56B0D">
      <w:r>
        <w:t>The safety and efficacy of Tavneos</w:t>
      </w:r>
      <w:r w:rsidR="00D56B0D">
        <w:t xml:space="preserve"> in children below 12 years of age</w:t>
      </w:r>
      <w:r>
        <w:t xml:space="preserve"> have not </w:t>
      </w:r>
      <w:r w:rsidR="00B46B72">
        <w:t xml:space="preserve">yet </w:t>
      </w:r>
      <w:r>
        <w:t>been established</w:t>
      </w:r>
      <w:r w:rsidR="00CA0659">
        <w:t xml:space="preserve">. </w:t>
      </w:r>
    </w:p>
    <w:p w14:paraId="67FEDEC6" w14:textId="4174CA17" w:rsidR="00D56B0D" w:rsidRDefault="00CA0659" w:rsidP="00D56B0D">
      <w:r>
        <w:t>Tavn</w:t>
      </w:r>
      <w:r w:rsidR="00CC6AA9">
        <w:t>e</w:t>
      </w:r>
      <w:r>
        <w:t>os is not recommended for use in adolescents and children below 17 years of age</w:t>
      </w:r>
      <w:r w:rsidR="00133946">
        <w:t xml:space="preserve">. </w:t>
      </w:r>
    </w:p>
    <w:p w14:paraId="3025718D" w14:textId="0E57517C" w:rsidR="001A3992" w:rsidRDefault="001A3992" w:rsidP="00CF3CA1">
      <w:pPr>
        <w:pStyle w:val="Heading2"/>
      </w:pPr>
      <w:r w:rsidRPr="00497C85">
        <w:lastRenderedPageBreak/>
        <w:t>Contraindications</w:t>
      </w:r>
    </w:p>
    <w:p w14:paraId="46DDA9E9" w14:textId="183861CC" w:rsidR="00D56B0D" w:rsidRDefault="00D56B0D" w:rsidP="00D56B0D">
      <w:r>
        <w:t>Hypersensitivity to the active substance or to any of the excipients listed in Section 6.1</w:t>
      </w:r>
      <w:r w:rsidR="00FE13E9">
        <w:t xml:space="preserve"> List of excipients</w:t>
      </w:r>
      <w:r>
        <w:t>.</w:t>
      </w:r>
    </w:p>
    <w:p w14:paraId="2781FB67" w14:textId="7169CE12" w:rsidR="001A3992" w:rsidRDefault="00E74A56" w:rsidP="00CF3CA1">
      <w:pPr>
        <w:pStyle w:val="Heading2"/>
      </w:pPr>
      <w:r w:rsidRPr="00497C85">
        <w:t>Special warnings and p</w:t>
      </w:r>
      <w:r w:rsidR="001A3992" w:rsidRPr="00497C85">
        <w:t xml:space="preserve">recautions </w:t>
      </w:r>
      <w:r w:rsidRPr="00497C85">
        <w:t>for use</w:t>
      </w:r>
    </w:p>
    <w:p w14:paraId="7DD94540" w14:textId="77777777" w:rsidR="00D56B0D" w:rsidRPr="00783BC6" w:rsidRDefault="00D56B0D" w:rsidP="00783BC6">
      <w:pPr>
        <w:pStyle w:val="Heading3"/>
      </w:pPr>
      <w:r w:rsidRPr="00783BC6">
        <w:t>Liver function test increased</w:t>
      </w:r>
    </w:p>
    <w:p w14:paraId="7CFAD644" w14:textId="628AD84B" w:rsidR="00D56B0D" w:rsidRDefault="00D56B0D" w:rsidP="00783BC6">
      <w:pPr>
        <w:keepNext/>
      </w:pPr>
      <w:r>
        <w:t xml:space="preserve">Serious </w:t>
      </w:r>
      <w:r w:rsidR="00610466">
        <w:t xml:space="preserve">adverse </w:t>
      </w:r>
      <w:r w:rsidR="00133946">
        <w:t xml:space="preserve">reactions </w:t>
      </w:r>
      <w:r>
        <w:t xml:space="preserve">of elevated hepatic transaminases with elevated </w:t>
      </w:r>
      <w:r w:rsidR="00610466">
        <w:t xml:space="preserve">total </w:t>
      </w:r>
      <w:r>
        <w:t xml:space="preserve">bilirubin have been observed in patients receiving </w:t>
      </w:r>
      <w:r w:rsidR="00CA5D62">
        <w:t>Tavneos</w:t>
      </w:r>
      <w:r>
        <w:t xml:space="preserve"> in combination with </w:t>
      </w:r>
      <w:r w:rsidR="00A41F15">
        <w:t xml:space="preserve">cyclophosphamide (followed by azathioprine or mycophenolate) or rituximab and </w:t>
      </w:r>
      <w:r w:rsidR="00A41F15" w:rsidRPr="001E53CA">
        <w:t>trimethoprim and sulfamethoxazole</w:t>
      </w:r>
      <w:r>
        <w:t>.</w:t>
      </w:r>
    </w:p>
    <w:p w14:paraId="4166AE6E" w14:textId="190B214C" w:rsidR="009B4CBE" w:rsidRPr="009B4CBE" w:rsidRDefault="009B4CBE" w:rsidP="00783BC6">
      <w:pPr>
        <w:keepNext/>
      </w:pPr>
      <w:r w:rsidRPr="009B4CBE">
        <w:rPr>
          <w:color w:val="auto"/>
        </w:rPr>
        <w:t xml:space="preserve">Liver function test (LFT) increased is considered as an adverse reaction (see </w:t>
      </w:r>
      <w:r>
        <w:rPr>
          <w:color w:val="auto"/>
        </w:rPr>
        <w:t>S</w:t>
      </w:r>
      <w:r w:rsidRPr="009B4CBE">
        <w:rPr>
          <w:color w:val="auto"/>
        </w:rPr>
        <w:t>ection 4.8</w:t>
      </w:r>
      <w:r>
        <w:rPr>
          <w:color w:val="auto"/>
        </w:rPr>
        <w:t xml:space="preserve"> Adverse effects (Undesirable effects)</w:t>
      </w:r>
      <w:r w:rsidRPr="009B4CBE">
        <w:rPr>
          <w:color w:val="auto"/>
        </w:rPr>
        <w:t>).</w:t>
      </w:r>
    </w:p>
    <w:p w14:paraId="5F27A68A" w14:textId="3879AE58" w:rsidR="00D56B0D" w:rsidRDefault="00CA5D62" w:rsidP="00D56B0D">
      <w:r>
        <w:t>Tavneos</w:t>
      </w:r>
      <w:r w:rsidR="00133946">
        <w:t xml:space="preserve"> must be avoided</w:t>
      </w:r>
      <w:r>
        <w:t xml:space="preserve"> </w:t>
      </w:r>
      <w:r w:rsidR="00D56B0D">
        <w:t xml:space="preserve">in patients with </w:t>
      </w:r>
      <w:r w:rsidR="00A41F15">
        <w:t>signs of</w:t>
      </w:r>
      <w:r w:rsidR="00D56B0D">
        <w:t xml:space="preserve"> liver disease</w:t>
      </w:r>
      <w:r w:rsidR="00133946">
        <w:t xml:space="preserve">, </w:t>
      </w:r>
      <w:r w:rsidR="00A41F15">
        <w:t>such as elevated AST, ALT, alkaline phosphatase (ALP), or total bilirubin &gt;</w:t>
      </w:r>
      <w:r w:rsidR="00FB3054" w:rsidRPr="00D11B09">
        <w:t> </w:t>
      </w:r>
      <w:r w:rsidR="00A41F15">
        <w:t>3</w:t>
      </w:r>
      <w:r w:rsidR="00FB3054" w:rsidRPr="00D11B09">
        <w:t> </w:t>
      </w:r>
      <w:r w:rsidR="004A6163">
        <w:t>×</w:t>
      </w:r>
      <w:r w:rsidR="00A41F15">
        <w:t xml:space="preserve"> ULN.</w:t>
      </w:r>
    </w:p>
    <w:p w14:paraId="02B9D41E" w14:textId="6AABD996" w:rsidR="00A41F15" w:rsidRDefault="00133946" w:rsidP="00D56B0D">
      <w:r>
        <w:t>Hepatic</w:t>
      </w:r>
      <w:r w:rsidR="00A41F15">
        <w:t xml:space="preserve"> transaminases and total bilirubin</w:t>
      </w:r>
      <w:r w:rsidR="00D56B0D">
        <w:t xml:space="preserve"> </w:t>
      </w:r>
      <w:r>
        <w:t xml:space="preserve">must be obtained </w:t>
      </w:r>
      <w:r w:rsidR="00D56B0D">
        <w:t xml:space="preserve">prior to initiation of therapy.  </w:t>
      </w:r>
    </w:p>
    <w:p w14:paraId="4A4F72A2" w14:textId="7D23D795" w:rsidR="00D56B0D" w:rsidRDefault="00133946" w:rsidP="00D56B0D">
      <w:r>
        <w:t>Patients must be monitored</w:t>
      </w:r>
      <w:r w:rsidR="00A41F15">
        <w:t xml:space="preserve"> </w:t>
      </w:r>
      <w:r w:rsidR="00D56B0D">
        <w:t xml:space="preserve">for </w:t>
      </w:r>
      <w:r w:rsidR="00A41F15">
        <w:t xml:space="preserve">hepatic transaminases and total bilirubin </w:t>
      </w:r>
      <w:r w:rsidR="00D56B0D">
        <w:t xml:space="preserve">as clinically indicated </w:t>
      </w:r>
      <w:r w:rsidR="00A41F15">
        <w:t xml:space="preserve">and as part of the routine follow-up of patient’s underlying condition </w:t>
      </w:r>
      <w:r w:rsidR="00D56B0D">
        <w:t>(see Section 4.2</w:t>
      </w:r>
      <w:r w:rsidR="00FE13E9">
        <w:t xml:space="preserve"> Dose and method of administration</w:t>
      </w:r>
      <w:r w:rsidR="00D56B0D">
        <w:t>).</w:t>
      </w:r>
    </w:p>
    <w:p w14:paraId="063C6D81" w14:textId="612E0033" w:rsidR="00D56B0D" w:rsidRPr="00783BC6" w:rsidRDefault="00706601" w:rsidP="00783BC6">
      <w:pPr>
        <w:pStyle w:val="Heading3"/>
      </w:pPr>
      <w:r>
        <w:t>B</w:t>
      </w:r>
      <w:r w:rsidR="00D56B0D" w:rsidRPr="00783BC6">
        <w:t xml:space="preserve">lood </w:t>
      </w:r>
      <w:r>
        <w:t>and immune system</w:t>
      </w:r>
    </w:p>
    <w:p w14:paraId="0D0AEA71" w14:textId="39398E3A" w:rsidR="00D56B0D" w:rsidRDefault="00133946" w:rsidP="00D56B0D">
      <w:r>
        <w:t>White</w:t>
      </w:r>
      <w:r w:rsidR="00706601">
        <w:t xml:space="preserve"> blood cell (WBC) count </w:t>
      </w:r>
      <w:r>
        <w:t xml:space="preserve">must be obtained </w:t>
      </w:r>
      <w:r w:rsidR="00D56B0D">
        <w:t xml:space="preserve">prior to initiation of therapy and </w:t>
      </w:r>
      <w:r w:rsidR="00706601">
        <w:t>patients</w:t>
      </w:r>
      <w:r>
        <w:t xml:space="preserve"> must be monitored</w:t>
      </w:r>
      <w:r w:rsidR="00706601">
        <w:t xml:space="preserve"> </w:t>
      </w:r>
      <w:r w:rsidR="00D56B0D">
        <w:t>as clinically indicated</w:t>
      </w:r>
      <w:r w:rsidR="00706601">
        <w:t xml:space="preserve"> and as part of the routine follow-up of patient’s underlying condition (see Section 4.2 Dose and method of administration).</w:t>
      </w:r>
    </w:p>
    <w:p w14:paraId="2B8F1F3E" w14:textId="70121BBD" w:rsidR="00706601" w:rsidRPr="00BE6858" w:rsidRDefault="00133946" w:rsidP="00706601">
      <w:pPr>
        <w:rPr>
          <w:rFonts w:eastAsia="SimSun"/>
          <w:color w:val="auto"/>
          <w:sz w:val="22"/>
          <w:szCs w:val="22"/>
          <w:lang w:val="en-GB"/>
        </w:rPr>
      </w:pPr>
      <w:r>
        <w:t>Treatment</w:t>
      </w:r>
      <w:r w:rsidR="00706601">
        <w:t xml:space="preserve"> with </w:t>
      </w:r>
      <w:proofErr w:type="spellStart"/>
      <w:r w:rsidR="00706601">
        <w:t>avacopan</w:t>
      </w:r>
      <w:proofErr w:type="spellEnd"/>
      <w:r w:rsidR="00706601">
        <w:t xml:space="preserve"> </w:t>
      </w:r>
      <w:r>
        <w:t xml:space="preserve">must not be initiated </w:t>
      </w:r>
      <w:r w:rsidR="00706601">
        <w:t>if WBC count is less than 3500/</w:t>
      </w:r>
      <w:proofErr w:type="spellStart"/>
      <w:r w:rsidR="00706601">
        <w:t>μL</w:t>
      </w:r>
      <w:proofErr w:type="spellEnd"/>
      <w:r w:rsidR="00706601">
        <w:t>, or neutrophil count less than 1500/</w:t>
      </w:r>
      <w:proofErr w:type="spellStart"/>
      <w:r w:rsidR="00706601">
        <w:t>μL</w:t>
      </w:r>
      <w:proofErr w:type="spellEnd"/>
      <w:r w:rsidR="00706601">
        <w:t>, or lymphocyte count less than 500/</w:t>
      </w:r>
      <w:proofErr w:type="spellStart"/>
      <w:r w:rsidR="00706601">
        <w:t>μL</w:t>
      </w:r>
      <w:proofErr w:type="spellEnd"/>
      <w:r w:rsidR="00706601">
        <w:t>.</w:t>
      </w:r>
    </w:p>
    <w:p w14:paraId="224A2DAB" w14:textId="01BF053E" w:rsidR="00706601" w:rsidRDefault="00133946" w:rsidP="00D56B0D">
      <w:r>
        <w:t>Patients</w:t>
      </w:r>
      <w:r w:rsidR="00706601">
        <w:t xml:space="preserve"> receiving </w:t>
      </w:r>
      <w:proofErr w:type="spellStart"/>
      <w:r w:rsidR="00706601">
        <w:t>avacopan</w:t>
      </w:r>
      <w:proofErr w:type="spellEnd"/>
      <w:r w:rsidR="00706601">
        <w:t xml:space="preserve"> </w:t>
      </w:r>
      <w:r>
        <w:t>must be instruct</w:t>
      </w:r>
      <w:r w:rsidR="00684DFF">
        <w:t>e</w:t>
      </w:r>
      <w:r>
        <w:t xml:space="preserve">d </w:t>
      </w:r>
      <w:r w:rsidR="00706601">
        <w:t>to report immediately any evidence of infection, unexpected bruising, bleeding, or any other manifestations of bone marrow failure.</w:t>
      </w:r>
    </w:p>
    <w:p w14:paraId="401BDFFF" w14:textId="77777777" w:rsidR="00D56B0D" w:rsidRPr="00783BC6" w:rsidRDefault="00D56B0D" w:rsidP="00783BC6">
      <w:pPr>
        <w:pStyle w:val="Heading3"/>
      </w:pPr>
      <w:r w:rsidRPr="00783BC6">
        <w:t>Serious infections</w:t>
      </w:r>
    </w:p>
    <w:p w14:paraId="5A7D0D68" w14:textId="1838DE70" w:rsidR="00D56B0D" w:rsidRDefault="00D56B0D" w:rsidP="00D56B0D">
      <w:r>
        <w:t xml:space="preserve">Serious infections have been reported in patients receiving combination agents for treatment of GPA </w:t>
      </w:r>
      <w:r w:rsidR="00133946">
        <w:t xml:space="preserve">or </w:t>
      </w:r>
      <w:r>
        <w:t xml:space="preserve">MPA, including </w:t>
      </w:r>
      <w:r w:rsidR="00CA5D62">
        <w:t>Tavneos</w:t>
      </w:r>
      <w:r>
        <w:t xml:space="preserve"> in combination with rituximab or cyclophosphamide (see Section 4.8</w:t>
      </w:r>
      <w:r w:rsidR="00FE13E9">
        <w:t xml:space="preserve"> Adverse effects (Undesirable effects)</w:t>
      </w:r>
      <w:r>
        <w:t>).</w:t>
      </w:r>
    </w:p>
    <w:p w14:paraId="6931440F" w14:textId="58BA2A08" w:rsidR="00706601" w:rsidRDefault="00133946" w:rsidP="00706601">
      <w:pPr>
        <w:rPr>
          <w:rFonts w:eastAsia="SimSun"/>
          <w:color w:val="auto"/>
          <w:sz w:val="22"/>
          <w:szCs w:val="22"/>
          <w:lang w:val="en-GB"/>
        </w:rPr>
      </w:pPr>
      <w:r>
        <w:t>Patients must be assessed</w:t>
      </w:r>
      <w:r w:rsidR="00706601">
        <w:t xml:space="preserve"> for any serious infections.</w:t>
      </w:r>
    </w:p>
    <w:p w14:paraId="4075D985" w14:textId="78DC48AA" w:rsidR="00D56B0D" w:rsidRDefault="00D56B0D" w:rsidP="00D56B0D">
      <w:r>
        <w:t xml:space="preserve">Avacopan has not been studied in patients with hepatitis B, hepatitis C, or human immunodeficiency virus (HIV) infections. Before and during treatment, patients </w:t>
      </w:r>
      <w:r w:rsidR="00706601">
        <w:t xml:space="preserve">must </w:t>
      </w:r>
      <w:r>
        <w:t xml:space="preserve">notify </w:t>
      </w:r>
      <w:r>
        <w:lastRenderedPageBreak/>
        <w:t xml:space="preserve">their physician if they have been diagnosed with </w:t>
      </w:r>
      <w:r w:rsidR="00706601">
        <w:t xml:space="preserve">tuberculosis, </w:t>
      </w:r>
      <w:r>
        <w:t xml:space="preserve">hepatitis B, hepatitis C, or HIV infection. </w:t>
      </w:r>
      <w:r w:rsidR="00706601">
        <w:t xml:space="preserve">Be cautious </w:t>
      </w:r>
      <w:r>
        <w:t xml:space="preserve">when treating patients with </w:t>
      </w:r>
      <w:r w:rsidR="00706601">
        <w:t xml:space="preserve">a </w:t>
      </w:r>
      <w:r>
        <w:t>history of tuberculosis, hepatitis B, hepatitis C, or HIV infection.</w:t>
      </w:r>
    </w:p>
    <w:p w14:paraId="55377DEE" w14:textId="286D6F1C" w:rsidR="00D56B0D" w:rsidRDefault="00D56B0D" w:rsidP="00D56B0D">
      <w:r>
        <w:t xml:space="preserve">Avacopan does not decrease the formation of the membrane attack complex (C5b-9) or terminal complement complex (TCC). No cases of </w:t>
      </w:r>
      <w:r w:rsidRPr="00150B7C">
        <w:rPr>
          <w:i/>
          <w:iCs/>
        </w:rPr>
        <w:t>Neisseria meningitidis</w:t>
      </w:r>
      <w:r>
        <w:t xml:space="preserve"> have been identified in the </w:t>
      </w:r>
      <w:proofErr w:type="spellStart"/>
      <w:r>
        <w:t>avacopan</w:t>
      </w:r>
      <w:proofErr w:type="spellEnd"/>
      <w:r>
        <w:t xml:space="preserve"> clinical </w:t>
      </w:r>
      <w:proofErr w:type="spellStart"/>
      <w:r>
        <w:t>programme</w:t>
      </w:r>
      <w:proofErr w:type="spellEnd"/>
      <w:r>
        <w:t xml:space="preserve">. </w:t>
      </w:r>
      <w:r w:rsidR="00706601">
        <w:t xml:space="preserve">Monitor patients </w:t>
      </w:r>
      <w:r>
        <w:t xml:space="preserve">treated for ANCA-associated vasculitis according to standard practice for clinical signs and symptoms of </w:t>
      </w:r>
      <w:r w:rsidRPr="00150B7C">
        <w:rPr>
          <w:i/>
          <w:iCs/>
        </w:rPr>
        <w:t>Neisseria</w:t>
      </w:r>
      <w:r>
        <w:t xml:space="preserve"> infections.</w:t>
      </w:r>
    </w:p>
    <w:p w14:paraId="550493CB" w14:textId="77777777" w:rsidR="00D56B0D" w:rsidRPr="00783BC6" w:rsidRDefault="00D56B0D" w:rsidP="00783BC6">
      <w:pPr>
        <w:pStyle w:val="Heading3"/>
      </w:pPr>
      <w:r w:rsidRPr="00150B7C">
        <w:rPr>
          <w:i/>
          <w:iCs/>
        </w:rPr>
        <w:t xml:space="preserve">Pneumocystis </w:t>
      </w:r>
      <w:proofErr w:type="spellStart"/>
      <w:r w:rsidRPr="00150B7C">
        <w:rPr>
          <w:i/>
          <w:iCs/>
        </w:rPr>
        <w:t>jirovecii</w:t>
      </w:r>
      <w:proofErr w:type="spellEnd"/>
      <w:r w:rsidRPr="00783BC6">
        <w:t xml:space="preserve"> pneumonia prophylaxis</w:t>
      </w:r>
    </w:p>
    <w:p w14:paraId="3842999C" w14:textId="3EF82771" w:rsidR="00D56B0D" w:rsidRDefault="00D56B0D" w:rsidP="00D56B0D">
      <w:r w:rsidRPr="00150B7C">
        <w:rPr>
          <w:i/>
          <w:iCs/>
        </w:rPr>
        <w:t xml:space="preserve">Pneumocystis </w:t>
      </w:r>
      <w:proofErr w:type="spellStart"/>
      <w:r w:rsidRPr="00150B7C">
        <w:rPr>
          <w:i/>
          <w:iCs/>
        </w:rPr>
        <w:t>jirovecii</w:t>
      </w:r>
      <w:proofErr w:type="spellEnd"/>
      <w:r>
        <w:t xml:space="preserve"> pneumonia prophylaxis is recommended for adult patients with GPA or MPA during </w:t>
      </w:r>
      <w:r w:rsidR="00CA5D62">
        <w:t>Tavneos</w:t>
      </w:r>
      <w:r>
        <w:t xml:space="preserve"> treatment, as appropriate according to local clinical practice guidelines.</w:t>
      </w:r>
    </w:p>
    <w:p w14:paraId="52369386" w14:textId="77777777" w:rsidR="00D56B0D" w:rsidRPr="00783BC6" w:rsidRDefault="00D56B0D" w:rsidP="00783BC6">
      <w:pPr>
        <w:pStyle w:val="Heading3"/>
      </w:pPr>
      <w:proofErr w:type="spellStart"/>
      <w:r w:rsidRPr="00783BC6">
        <w:t>Immunisation</w:t>
      </w:r>
      <w:proofErr w:type="spellEnd"/>
    </w:p>
    <w:p w14:paraId="6129FA30" w14:textId="4DFD74C4" w:rsidR="00D56B0D" w:rsidRDefault="00D56B0D" w:rsidP="00D56B0D">
      <w:r>
        <w:t xml:space="preserve">The safety of </w:t>
      </w:r>
      <w:proofErr w:type="spellStart"/>
      <w:r>
        <w:t>immunisation</w:t>
      </w:r>
      <w:proofErr w:type="spellEnd"/>
      <w:r>
        <w:t xml:space="preserve"> with live viral vaccines, following </w:t>
      </w:r>
      <w:r w:rsidR="00CA5D62">
        <w:t>Tavneos</w:t>
      </w:r>
      <w:r>
        <w:t xml:space="preserve"> therapy has not been studied. </w:t>
      </w:r>
      <w:r w:rsidR="006B62D6">
        <w:t xml:space="preserve">Administer vaccinations </w:t>
      </w:r>
      <w:r>
        <w:t xml:space="preserve">preferably prior to initiation of treatment with </w:t>
      </w:r>
      <w:r w:rsidR="00CA5D62">
        <w:t>Tavneos</w:t>
      </w:r>
      <w:r>
        <w:t xml:space="preserve"> or during quiescent phase of the disease.</w:t>
      </w:r>
    </w:p>
    <w:p w14:paraId="3CE9CC07" w14:textId="77777777" w:rsidR="00D56B0D" w:rsidRPr="00783BC6" w:rsidRDefault="00D56B0D" w:rsidP="00783BC6">
      <w:pPr>
        <w:pStyle w:val="Heading3"/>
      </w:pPr>
      <w:r w:rsidRPr="00783BC6">
        <w:t>Angioedema</w:t>
      </w:r>
    </w:p>
    <w:p w14:paraId="23033511" w14:textId="658F4439" w:rsidR="00D56B0D" w:rsidRDefault="00D56B0D" w:rsidP="00D56B0D">
      <w:r>
        <w:t xml:space="preserve">Angioedema has been reported in patients receiving </w:t>
      </w:r>
      <w:r w:rsidR="00CA5D62">
        <w:t>Tavneos</w:t>
      </w:r>
      <w:r w:rsidR="006B62D6">
        <w:t xml:space="preserve"> (see Section 4.8 Adverse effects (Undesirable effects))</w:t>
      </w:r>
      <w:r>
        <w:t>.</w:t>
      </w:r>
    </w:p>
    <w:p w14:paraId="65B10417" w14:textId="192350BD" w:rsidR="006B62D6" w:rsidRDefault="00D56B0D" w:rsidP="00D56B0D">
      <w:r>
        <w:t xml:space="preserve">Patients </w:t>
      </w:r>
      <w:r w:rsidR="006B62D6">
        <w:t xml:space="preserve">must </w:t>
      </w:r>
      <w:r>
        <w:t xml:space="preserve">notify their physician if they develop any symptoms such as swelling of the face, lips, or tongue, throat tightness, or difficulty breathing. </w:t>
      </w:r>
    </w:p>
    <w:p w14:paraId="1E7DA0FE" w14:textId="11D489CA" w:rsidR="00D56B0D" w:rsidRDefault="006B62D6" w:rsidP="00D56B0D">
      <w:r>
        <w:t>Tavneos</w:t>
      </w:r>
      <w:r w:rsidR="00133946">
        <w:t xml:space="preserve"> must be withhe</w:t>
      </w:r>
      <w:r w:rsidR="004A5DFB">
        <w:t>l</w:t>
      </w:r>
      <w:r w:rsidR="00133946">
        <w:t>d</w:t>
      </w:r>
      <w:r>
        <w:t xml:space="preserve"> </w:t>
      </w:r>
      <w:r w:rsidR="00D56B0D">
        <w:t>in cases of angioedema.</w:t>
      </w:r>
    </w:p>
    <w:p w14:paraId="15604DA6" w14:textId="77777777" w:rsidR="00D56B0D" w:rsidRPr="00783BC6" w:rsidRDefault="00D56B0D" w:rsidP="00783BC6">
      <w:pPr>
        <w:pStyle w:val="Heading3"/>
      </w:pPr>
      <w:r w:rsidRPr="00783BC6">
        <w:t>Interaction with strong CYP3A4 inducers</w:t>
      </w:r>
    </w:p>
    <w:p w14:paraId="68DA27C3" w14:textId="49FDAC12" w:rsidR="006B62D6" w:rsidRDefault="00D56B0D" w:rsidP="006B62D6">
      <w:pPr>
        <w:rPr>
          <w:rFonts w:eastAsia="SimSun"/>
          <w:color w:val="auto"/>
          <w:sz w:val="22"/>
          <w:szCs w:val="22"/>
          <w:lang w:val="en-GB"/>
        </w:rPr>
      </w:pPr>
      <w:r>
        <w:t xml:space="preserve">The use of strong CYP3A4 enzyme inducers (e.g., carbamazepine, enzalutamide, mitotane, phenobarbital, phenytoin, rifampicin, and St. John’s Wort) with </w:t>
      </w:r>
      <w:r w:rsidR="00CA5D62">
        <w:t>Tavneos</w:t>
      </w:r>
      <w:r>
        <w:t xml:space="preserve"> </w:t>
      </w:r>
      <w:r w:rsidR="006B62D6">
        <w:t xml:space="preserve">is to be avoided (see Section 4.5 Interactions with other medicines and other forms of interactions). </w:t>
      </w:r>
    </w:p>
    <w:p w14:paraId="14344134" w14:textId="40F08290" w:rsidR="006B62D6" w:rsidRDefault="006B62D6" w:rsidP="006B62D6">
      <w:r>
        <w:t xml:space="preserve">Patients anticipated to require long-term administration of these medicinal products are not to be treated with Tavneos. </w:t>
      </w:r>
    </w:p>
    <w:p w14:paraId="62128F91" w14:textId="0411E2B8" w:rsidR="00D56B0D" w:rsidRDefault="006B62D6" w:rsidP="00D56B0D">
      <w:r>
        <w:t xml:space="preserve">If short-term co-administration cannot be avoided in a patient already using Tavneos, the patient </w:t>
      </w:r>
      <w:r w:rsidR="00133946">
        <w:t xml:space="preserve">must be closely monitored </w:t>
      </w:r>
      <w:r>
        <w:t>in case of any reoccurrence of disease activity.</w:t>
      </w:r>
    </w:p>
    <w:p w14:paraId="21A995CC" w14:textId="530FA0A4" w:rsidR="00CA0659" w:rsidRPr="00783BC6" w:rsidRDefault="00CA0659" w:rsidP="00CA0659">
      <w:pPr>
        <w:pStyle w:val="Heading3"/>
      </w:pPr>
      <w:bookmarkStart w:id="6" w:name="OLE_LINK1"/>
      <w:r w:rsidRPr="00783BC6">
        <w:t>Interaction with strong CYP3A4 in</w:t>
      </w:r>
      <w:r>
        <w:t>hibitors</w:t>
      </w:r>
    </w:p>
    <w:p w14:paraId="5B0B8109" w14:textId="5713C0EB" w:rsidR="00CA0659" w:rsidRDefault="00C17020" w:rsidP="00CA0659">
      <w:r>
        <w:t>S</w:t>
      </w:r>
      <w:r w:rsidR="00CA0659">
        <w:t xml:space="preserve">trong CYP3A4 enzyme inhibitors (e.g., boceprevir, clarithromycin, itraconazole, ketoconazole, lopinavir/ritonavir, </w:t>
      </w:r>
      <w:proofErr w:type="spellStart"/>
      <w:r w:rsidR="00CA0659">
        <w:t>posaconazole</w:t>
      </w:r>
      <w:proofErr w:type="spellEnd"/>
      <w:r w:rsidR="00CA0659">
        <w:t xml:space="preserve">, ritonavir, saquinavir, telaprevir, </w:t>
      </w:r>
      <w:r w:rsidR="00CA0659">
        <w:lastRenderedPageBreak/>
        <w:t>telithromycin, and voriconazole) should be</w:t>
      </w:r>
      <w:r>
        <w:t xml:space="preserve"> used with cau</w:t>
      </w:r>
      <w:r w:rsidR="002D5D02">
        <w:t>t</w:t>
      </w:r>
      <w:r>
        <w:t>ion</w:t>
      </w:r>
      <w:r w:rsidR="002D5D02">
        <w:t xml:space="preserve"> </w:t>
      </w:r>
      <w:r w:rsidR="00CA0659">
        <w:t xml:space="preserve">in patients who are being treated with </w:t>
      </w:r>
      <w:proofErr w:type="spellStart"/>
      <w:r w:rsidR="00CA0659">
        <w:t>avacopan</w:t>
      </w:r>
      <w:proofErr w:type="spellEnd"/>
      <w:r w:rsidR="00FD486A">
        <w:t xml:space="preserve"> (see Section 4.5 Interactions with other medicines and other forms of interactions).</w:t>
      </w:r>
    </w:p>
    <w:p w14:paraId="63622EE7" w14:textId="77777777" w:rsidR="00CA0659" w:rsidRDefault="00CA0659" w:rsidP="00CA0659">
      <w:r>
        <w:t xml:space="preserve">Grapefruit and grapefruit juice can increase the concentration of </w:t>
      </w:r>
      <w:proofErr w:type="spellStart"/>
      <w:r>
        <w:t>avacopan</w:t>
      </w:r>
      <w:proofErr w:type="spellEnd"/>
      <w:r>
        <w:t xml:space="preserve">; therefore, grapefruit and grapefruit juice are to be avoided in patients treated with </w:t>
      </w:r>
      <w:proofErr w:type="spellStart"/>
      <w:r>
        <w:t>avacopan</w:t>
      </w:r>
      <w:proofErr w:type="spellEnd"/>
      <w:r>
        <w:t>.</w:t>
      </w:r>
    </w:p>
    <w:bookmarkEnd w:id="6"/>
    <w:p w14:paraId="7E465F31" w14:textId="72245A53" w:rsidR="00D56B0D" w:rsidRPr="00783BC6" w:rsidRDefault="00D56B0D" w:rsidP="00783BC6">
      <w:pPr>
        <w:pStyle w:val="Heading3"/>
      </w:pPr>
      <w:r w:rsidRPr="00783BC6">
        <w:t xml:space="preserve">PEG-40 </w:t>
      </w:r>
      <w:r w:rsidR="00F87C9E">
        <w:t xml:space="preserve">hydrogenated </w:t>
      </w:r>
      <w:r w:rsidRPr="00783BC6">
        <w:t>castor oil content</w:t>
      </w:r>
    </w:p>
    <w:p w14:paraId="6DE229C4" w14:textId="3E5E8300" w:rsidR="00D56B0D" w:rsidRDefault="00D56B0D" w:rsidP="00D56B0D">
      <w:r>
        <w:t xml:space="preserve">This medicinal product contains PEG-40 </w:t>
      </w:r>
      <w:r w:rsidR="00C74568">
        <w:t xml:space="preserve">hydrogenated </w:t>
      </w:r>
      <w:r>
        <w:t xml:space="preserve">castor oil, which may cause stomach upset and </w:t>
      </w:r>
      <w:proofErr w:type="spellStart"/>
      <w:r>
        <w:t>diarrhoea</w:t>
      </w:r>
      <w:proofErr w:type="spellEnd"/>
      <w:r>
        <w:t>.</w:t>
      </w:r>
    </w:p>
    <w:p w14:paraId="19389E1E" w14:textId="77777777" w:rsidR="00D56B0D" w:rsidRPr="00783BC6" w:rsidRDefault="00D56B0D" w:rsidP="00783BC6">
      <w:pPr>
        <w:pStyle w:val="Heading3"/>
      </w:pPr>
      <w:r w:rsidRPr="00783BC6">
        <w:t>Cardiac disorders</w:t>
      </w:r>
    </w:p>
    <w:p w14:paraId="3C5B1937" w14:textId="188B63E5" w:rsidR="006B62D6" w:rsidRDefault="006B62D6" w:rsidP="006B62D6">
      <w:pPr>
        <w:rPr>
          <w:rFonts w:eastAsia="SimSun"/>
          <w:color w:val="auto"/>
          <w:sz w:val="22"/>
          <w:szCs w:val="22"/>
          <w:lang w:val="en-GB"/>
        </w:rPr>
      </w:pPr>
      <w:r>
        <w:t xml:space="preserve">Patients with GPA </w:t>
      </w:r>
      <w:r w:rsidR="00FB3054">
        <w:t>or</w:t>
      </w:r>
      <w:r>
        <w:t xml:space="preserve"> MPA are at risk of cardiac disorders such as myocardial infarction, cardiac failure, and cardiac vasculitis. </w:t>
      </w:r>
    </w:p>
    <w:p w14:paraId="2532BAEF" w14:textId="368414C5" w:rsidR="006B62D6" w:rsidRDefault="006B62D6" w:rsidP="006B62D6">
      <w:r>
        <w:t xml:space="preserve">Serious adverse events (SAEs) of cardiac disorder have been reported in </w:t>
      </w:r>
      <w:r w:rsidR="00FB3054">
        <w:t>patients</w:t>
      </w:r>
      <w:r>
        <w:t xml:space="preserve"> treated with </w:t>
      </w:r>
      <w:proofErr w:type="spellStart"/>
      <w:r>
        <w:t>avacopan</w:t>
      </w:r>
      <w:proofErr w:type="spellEnd"/>
      <w:r>
        <w:t>. A treatment regimen based on the combination with cyclophosphamide followed by azathioprine may carry an increased risk for cardiac disorders as compared to a regimen based on the combination with rituximab.</w:t>
      </w:r>
    </w:p>
    <w:p w14:paraId="2147ADAD" w14:textId="46AA027B" w:rsidR="006B62D6" w:rsidRPr="006B62D6" w:rsidRDefault="006B62D6" w:rsidP="00BE6858">
      <w:pPr>
        <w:pStyle w:val="Heading3"/>
      </w:pPr>
      <w:r w:rsidRPr="00BE6858">
        <w:t>Malignancy</w:t>
      </w:r>
    </w:p>
    <w:p w14:paraId="55DE8B28" w14:textId="3EDDFD16" w:rsidR="006B62D6" w:rsidRDefault="006B62D6" w:rsidP="006B62D6">
      <w:bookmarkStart w:id="7" w:name="OLE_LINK5"/>
      <w:r>
        <w:t xml:space="preserve">Immunomodulatory medicinal products may increase the risk for malignancies. The clinical data are currently limited </w:t>
      </w:r>
      <w:bookmarkEnd w:id="7"/>
      <w:r>
        <w:t>(see section 5.1</w:t>
      </w:r>
      <w:r w:rsidR="00A81E06">
        <w:t xml:space="preserve"> Pharmacodynamic properties</w:t>
      </w:r>
      <w:r>
        <w:t>).</w:t>
      </w:r>
    </w:p>
    <w:p w14:paraId="6254C9EA" w14:textId="4794597E" w:rsidR="001A3992" w:rsidRPr="0074053F" w:rsidRDefault="001A3992" w:rsidP="0074053F">
      <w:pPr>
        <w:pStyle w:val="Heading3"/>
      </w:pPr>
      <w:r w:rsidRPr="0074053F">
        <w:t xml:space="preserve">Use in hepatic impairment </w:t>
      </w:r>
    </w:p>
    <w:p w14:paraId="0455C670" w14:textId="474AE5E5" w:rsidR="0086408B" w:rsidRDefault="0086408B" w:rsidP="0086408B">
      <w:r>
        <w:t xml:space="preserve">The pharmacokinetic properties of </w:t>
      </w:r>
      <w:proofErr w:type="spellStart"/>
      <w:r>
        <w:t>avacopan</w:t>
      </w:r>
      <w:proofErr w:type="spellEnd"/>
      <w:r>
        <w:t xml:space="preserve"> have been examined in 16 subjects with mild (Child-Pugh class A) or moderate (Child-Pugh class B) hepatic impairment. When compared to normal controls, no pharmacologically relevant differences in exposure (mean ratios of </w:t>
      </w:r>
      <w:proofErr w:type="spellStart"/>
      <w:r>
        <w:t>Cmax</w:t>
      </w:r>
      <w:proofErr w:type="spellEnd"/>
      <w:r>
        <w:t xml:space="preserve"> and </w:t>
      </w:r>
      <w:r w:rsidR="00D15ED7">
        <w:t>area under the curve (</w:t>
      </w:r>
      <w:r>
        <w:t>AUC</w:t>
      </w:r>
      <w:r w:rsidR="00D15ED7">
        <w:t>)</w:t>
      </w:r>
      <w:r>
        <w:t xml:space="preserve"> of ≤</w:t>
      </w:r>
      <w:r w:rsidR="003329DB">
        <w:t xml:space="preserve"> </w:t>
      </w:r>
      <w:r>
        <w:t xml:space="preserve">1.3) of </w:t>
      </w:r>
      <w:proofErr w:type="spellStart"/>
      <w:r>
        <w:t>avacopan</w:t>
      </w:r>
      <w:proofErr w:type="spellEnd"/>
      <w:r>
        <w:t xml:space="preserve"> or its major metabolite M1 was observed; therefore, no dose adjustment is necessary</w:t>
      </w:r>
      <w:r w:rsidR="003329DB">
        <w:t xml:space="preserve"> (see Section 4.2 Dose and method of administration</w:t>
      </w:r>
      <w:r w:rsidR="00481D5B">
        <w:t>)</w:t>
      </w:r>
      <w:r>
        <w:t>.</w:t>
      </w:r>
    </w:p>
    <w:p w14:paraId="37D64227" w14:textId="71FBD9DC" w:rsidR="0086408B" w:rsidRPr="0086408B" w:rsidRDefault="00CA5D62" w:rsidP="0086408B">
      <w:r>
        <w:t>Tavneos</w:t>
      </w:r>
      <w:r w:rsidR="0086408B">
        <w:t xml:space="preserve"> has not been studied in subjects with severe hepatic impairment (Child-Pugh class C) (see Section 4.2</w:t>
      </w:r>
      <w:r w:rsidR="00FE13E9">
        <w:t xml:space="preserve"> Dose and method of administration</w:t>
      </w:r>
      <w:r w:rsidR="0086408B">
        <w:t>).</w:t>
      </w:r>
    </w:p>
    <w:p w14:paraId="69D2F1A5" w14:textId="4B78BBA5" w:rsidR="001A3992" w:rsidRPr="0074053F" w:rsidRDefault="001A3992" w:rsidP="0074053F">
      <w:pPr>
        <w:pStyle w:val="Heading3"/>
      </w:pPr>
      <w:r w:rsidRPr="0074053F">
        <w:t xml:space="preserve">Use in renal impairment </w:t>
      </w:r>
    </w:p>
    <w:p w14:paraId="3DD8E0D7" w14:textId="4F442411" w:rsidR="0086408B" w:rsidRDefault="0086408B" w:rsidP="0086408B">
      <w:r>
        <w:t xml:space="preserve">Based on population pharmacokinetic analysis, the plasma exposure of </w:t>
      </w:r>
      <w:proofErr w:type="spellStart"/>
      <w:r>
        <w:t>avacopan</w:t>
      </w:r>
      <w:proofErr w:type="spellEnd"/>
      <w:r>
        <w:t xml:space="preserve"> is similar between patients with renal impairment and healthy subjects. Therefore, no dose adjustment is necessary based on renal function (see </w:t>
      </w:r>
      <w:r w:rsidR="00FE13E9">
        <w:t>S</w:t>
      </w:r>
      <w:r>
        <w:t>ection 4.2</w:t>
      </w:r>
      <w:r w:rsidR="00FE13E9">
        <w:t xml:space="preserve"> Dose and method of administration and Section 5.2 Pharmacokinetic properties</w:t>
      </w:r>
      <w:r>
        <w:t>).</w:t>
      </w:r>
    </w:p>
    <w:p w14:paraId="71C38B78" w14:textId="02BD30F4" w:rsidR="0086408B" w:rsidRPr="0086408B" w:rsidRDefault="00CA5D62" w:rsidP="0086408B">
      <w:r>
        <w:t>Tavneos</w:t>
      </w:r>
      <w:r w:rsidR="0086408B">
        <w:t xml:space="preserve"> has not been studied in patients with ANCA-associated vasculitis with an eGFR below 15 mL/min/1.73 m²</w:t>
      </w:r>
      <w:r w:rsidR="003329DB">
        <w:t>,</w:t>
      </w:r>
      <w:r w:rsidR="0086408B">
        <w:t xml:space="preserve"> who are on dialysis</w:t>
      </w:r>
      <w:r w:rsidR="003329DB">
        <w:t>,</w:t>
      </w:r>
      <w:r w:rsidR="0086408B">
        <w:t xml:space="preserve"> in need of dialysis or plasma exchange.</w:t>
      </w:r>
    </w:p>
    <w:p w14:paraId="5C8D2666" w14:textId="5073804B" w:rsidR="001A3992" w:rsidRDefault="001A3992" w:rsidP="00CF3CA1">
      <w:pPr>
        <w:pStyle w:val="Heading3"/>
      </w:pPr>
      <w:r w:rsidRPr="00CF3CA1">
        <w:lastRenderedPageBreak/>
        <w:t>Use in the elderly</w:t>
      </w:r>
    </w:p>
    <w:p w14:paraId="0E74E107" w14:textId="75C37563" w:rsidR="0086408B" w:rsidRDefault="0086408B" w:rsidP="00D97FB9">
      <w:r w:rsidRPr="0086408B">
        <w:t xml:space="preserve">Population pharmacokinetic analysis found no significant effect of age (among adults) on the plasma exposure of </w:t>
      </w:r>
      <w:proofErr w:type="spellStart"/>
      <w:r w:rsidRPr="0086408B">
        <w:t>avacopan</w:t>
      </w:r>
      <w:proofErr w:type="spellEnd"/>
      <w:r w:rsidRPr="0086408B">
        <w:t>; however, there were limited pharmacokinetic data in patients over 75 years of age in clinical</w:t>
      </w:r>
      <w:r w:rsidR="003329DB">
        <w:t xml:space="preserve"> studies</w:t>
      </w:r>
      <w:r w:rsidRPr="0086408B">
        <w:t xml:space="preserve">. No dose adjustment is necessary for elderly patients (see </w:t>
      </w:r>
      <w:r>
        <w:t>S</w:t>
      </w:r>
      <w:r w:rsidRPr="0086408B">
        <w:t>ection 4.2</w:t>
      </w:r>
      <w:r w:rsidR="00FE13E9">
        <w:t xml:space="preserve"> Dose and method of administration</w:t>
      </w:r>
      <w:r w:rsidRPr="0086408B">
        <w:t>).</w:t>
      </w:r>
    </w:p>
    <w:p w14:paraId="7A0D9895" w14:textId="5D7EBB58" w:rsidR="00D97FB9" w:rsidRPr="00D97FB9" w:rsidRDefault="00D97FB9" w:rsidP="00D97FB9">
      <w:r>
        <w:t>The safety profile was similar between patients ≥65 years of age and adult patients &lt;65 years of age in the clinical studies</w:t>
      </w:r>
      <w:r w:rsidR="0086408B">
        <w:t xml:space="preserve"> (See Section 4.8</w:t>
      </w:r>
      <w:r w:rsidR="00FE13E9">
        <w:t xml:space="preserve"> Adverse effects (Undesirable effects)</w:t>
      </w:r>
      <w:r w:rsidR="0086408B">
        <w:t>)</w:t>
      </w:r>
      <w:r>
        <w:t>.</w:t>
      </w:r>
    </w:p>
    <w:p w14:paraId="2E0700A1" w14:textId="0672D060" w:rsidR="001A3992" w:rsidRDefault="001A3992" w:rsidP="00CF3CA1">
      <w:pPr>
        <w:pStyle w:val="Heading3"/>
      </w:pPr>
      <w:proofErr w:type="spellStart"/>
      <w:r w:rsidRPr="00CF3CA1">
        <w:t>Paediatric</w:t>
      </w:r>
      <w:proofErr w:type="spellEnd"/>
      <w:r w:rsidRPr="00CF3CA1">
        <w:t xml:space="preserve"> use</w:t>
      </w:r>
    </w:p>
    <w:p w14:paraId="2E54AB53" w14:textId="415EA861" w:rsidR="00C35EB4" w:rsidRPr="00D97FB9" w:rsidRDefault="00F44926" w:rsidP="00D97FB9">
      <w:r>
        <w:t>A total of 3</w:t>
      </w:r>
      <w:r w:rsidR="00D97FB9">
        <w:t xml:space="preserve"> adolescents</w:t>
      </w:r>
      <w:r w:rsidRPr="00F44926">
        <w:t xml:space="preserve"> </w:t>
      </w:r>
      <w:r>
        <w:t>were studied in</w:t>
      </w:r>
      <w:r w:rsidR="00D97FB9">
        <w:t xml:space="preserve"> the </w:t>
      </w:r>
      <w:r>
        <w:t xml:space="preserve">phase 3 study, one in the prednisone group </w:t>
      </w:r>
      <w:r w:rsidR="00D97FB9">
        <w:t xml:space="preserve">and </w:t>
      </w:r>
      <w:r>
        <w:t xml:space="preserve">two in the </w:t>
      </w:r>
      <w:r w:rsidR="00CA5D62">
        <w:t>Tavneos</w:t>
      </w:r>
      <w:r>
        <w:t xml:space="preserve"> group</w:t>
      </w:r>
      <w:r w:rsidR="00D97FB9">
        <w:t>. There are no data in children below 12 years of age (see Section 5.1</w:t>
      </w:r>
      <w:r w:rsidR="002506DF">
        <w:t xml:space="preserve"> Pharmacodynamic properties</w:t>
      </w:r>
      <w:r w:rsidR="00D97FB9">
        <w:t>).</w:t>
      </w:r>
      <w:r w:rsidR="00FD486A">
        <w:t xml:space="preserve"> Tavneos is not recommended for use in adolescents and children below 17 years of age.</w:t>
      </w:r>
    </w:p>
    <w:p w14:paraId="5DAFF7B4" w14:textId="158D9FBE" w:rsidR="001A3992" w:rsidRDefault="001A3992" w:rsidP="007331E6">
      <w:pPr>
        <w:pStyle w:val="Heading3"/>
      </w:pPr>
      <w:r w:rsidRPr="00CF3CA1">
        <w:t>Effects on laboratory tests</w:t>
      </w:r>
    </w:p>
    <w:p w14:paraId="7535FFFB" w14:textId="1DBFD023" w:rsidR="00864353" w:rsidRPr="00864353" w:rsidRDefault="00995B81" w:rsidP="00864353">
      <w:r>
        <w:t>No data available.</w:t>
      </w:r>
    </w:p>
    <w:p w14:paraId="42BE9EB7" w14:textId="558BEB15" w:rsidR="001A3992" w:rsidRDefault="001A3992" w:rsidP="00CF3CA1">
      <w:pPr>
        <w:pStyle w:val="Heading2"/>
      </w:pPr>
      <w:r w:rsidRPr="00497C85">
        <w:t>Interactions with other medicines and other forms of interactions</w:t>
      </w:r>
    </w:p>
    <w:p w14:paraId="2FBFDFE6" w14:textId="62A088B5" w:rsidR="001E4904" w:rsidRDefault="001E4904" w:rsidP="001E4904">
      <w:r>
        <w:t xml:space="preserve">Avacopan is a substrate of CYP3A4. Co-administration of inducers or inhibitors of </w:t>
      </w:r>
      <w:r w:rsidR="00487C51">
        <w:t>CYP3A4</w:t>
      </w:r>
      <w:r w:rsidR="00E31EE9">
        <w:t xml:space="preserve"> </w:t>
      </w:r>
      <w:r>
        <w:t xml:space="preserve">may affect the pharmacokinetics of </w:t>
      </w:r>
      <w:proofErr w:type="spellStart"/>
      <w:r>
        <w:t>avacopan</w:t>
      </w:r>
      <w:proofErr w:type="spellEnd"/>
      <w:r>
        <w:t>.</w:t>
      </w:r>
    </w:p>
    <w:p w14:paraId="08257229" w14:textId="77777777" w:rsidR="001E4904" w:rsidRPr="00783BC6" w:rsidRDefault="001E4904" w:rsidP="00783BC6">
      <w:pPr>
        <w:pStyle w:val="Heading3"/>
      </w:pPr>
      <w:r w:rsidRPr="00783BC6">
        <w:t xml:space="preserve">Effect of strong CYP3A4 inducers on </w:t>
      </w:r>
      <w:proofErr w:type="spellStart"/>
      <w:r w:rsidRPr="00783BC6">
        <w:t>avacopan</w:t>
      </w:r>
      <w:proofErr w:type="spellEnd"/>
    </w:p>
    <w:p w14:paraId="54A2930C" w14:textId="5775EED5" w:rsidR="001E4904" w:rsidRDefault="001E4904" w:rsidP="001E4904">
      <w:r>
        <w:t xml:space="preserve">Co-administration of </w:t>
      </w:r>
      <w:proofErr w:type="spellStart"/>
      <w:r w:rsidR="0031191B">
        <w:t>avacopan</w:t>
      </w:r>
      <w:proofErr w:type="spellEnd"/>
      <w:r w:rsidR="0031191B">
        <w:t xml:space="preserve"> </w:t>
      </w:r>
      <w:r>
        <w:t>with rifampicin, a strong CYP3A4 enzyme inducer, resulted in a decrease in area-under-the-concentration time curve (AUC) and maximum plasma concentration (</w:t>
      </w:r>
      <w:proofErr w:type="spellStart"/>
      <w:r>
        <w:t>C</w:t>
      </w:r>
      <w:r w:rsidRPr="00864353">
        <w:rPr>
          <w:vertAlign w:val="subscript"/>
        </w:rPr>
        <w:t>max</w:t>
      </w:r>
      <w:proofErr w:type="spellEnd"/>
      <w:r>
        <w:t xml:space="preserve">) of </w:t>
      </w:r>
      <w:proofErr w:type="spellStart"/>
      <w:r>
        <w:t>avacopan</w:t>
      </w:r>
      <w:proofErr w:type="spellEnd"/>
      <w:r>
        <w:t xml:space="preserve"> by approximately 93% and 79%, respectively. Since this interaction may result in loss of efficacy of </w:t>
      </w:r>
      <w:proofErr w:type="spellStart"/>
      <w:r>
        <w:t>avacopan</w:t>
      </w:r>
      <w:proofErr w:type="spellEnd"/>
      <w:r>
        <w:t xml:space="preserve">, the use of strong CYP3A4 enzyme inducers (e.g., carbamazepine, enzalutamide, phenobarbital, phenytoin, rifampicin, and St. John’s Wort) with </w:t>
      </w:r>
      <w:proofErr w:type="spellStart"/>
      <w:r w:rsidR="00EC0EC8">
        <w:t>avacopan</w:t>
      </w:r>
      <w:proofErr w:type="spellEnd"/>
      <w:r>
        <w:t xml:space="preserve"> </w:t>
      </w:r>
      <w:r w:rsidR="00900A7E">
        <w:t>is to</w:t>
      </w:r>
      <w:r>
        <w:t xml:space="preserve"> be avoided</w:t>
      </w:r>
      <w:r w:rsidR="00900A7E">
        <w:t xml:space="preserve"> (see Section</w:t>
      </w:r>
      <w:r w:rsidR="00FB3054" w:rsidRPr="00D11B09">
        <w:t> </w:t>
      </w:r>
      <w:r w:rsidR="00900A7E">
        <w:t>4.4 Special warnings and precautions for use)</w:t>
      </w:r>
      <w:r w:rsidR="00E31EE9">
        <w:t>.</w:t>
      </w:r>
    </w:p>
    <w:p w14:paraId="7BF00DA5" w14:textId="4B0181E7" w:rsidR="001E4904" w:rsidRDefault="00900A7E" w:rsidP="001E4904">
      <w:r>
        <w:t>Patients</w:t>
      </w:r>
      <w:r w:rsidR="001E4904">
        <w:t xml:space="preserve"> anticipated to require long</w:t>
      </w:r>
      <w:r>
        <w:t>-</w:t>
      </w:r>
      <w:r w:rsidR="001E4904">
        <w:t xml:space="preserve">term administration of these </w:t>
      </w:r>
      <w:r>
        <w:t xml:space="preserve">medicinal products are </w:t>
      </w:r>
      <w:r w:rsidR="001E4904">
        <w:t xml:space="preserve">not </w:t>
      </w:r>
      <w:r>
        <w:t xml:space="preserve">to </w:t>
      </w:r>
      <w:r w:rsidR="001E4904">
        <w:t xml:space="preserve">be treated with </w:t>
      </w:r>
      <w:proofErr w:type="spellStart"/>
      <w:r w:rsidR="00EC0EC8">
        <w:t>avacopan</w:t>
      </w:r>
      <w:proofErr w:type="spellEnd"/>
      <w:r w:rsidR="001E4904">
        <w:t xml:space="preserve">. If short-term co-administration cannot be avoided in a patient already using </w:t>
      </w:r>
      <w:proofErr w:type="spellStart"/>
      <w:r w:rsidR="00EC0EC8">
        <w:t>avacopan</w:t>
      </w:r>
      <w:proofErr w:type="spellEnd"/>
      <w:r w:rsidR="001E4904">
        <w:t>,</w:t>
      </w:r>
      <w:r>
        <w:t xml:space="preserve"> </w:t>
      </w:r>
      <w:r w:rsidR="000E7925">
        <w:t xml:space="preserve">the patient must be closely monitored </w:t>
      </w:r>
      <w:r w:rsidR="001E4904">
        <w:t xml:space="preserve">for </w:t>
      </w:r>
      <w:r>
        <w:t>any reoccurrence</w:t>
      </w:r>
      <w:r w:rsidR="001E4904">
        <w:t xml:space="preserve"> of disease activity.</w:t>
      </w:r>
    </w:p>
    <w:p w14:paraId="4CC10C43" w14:textId="77777777" w:rsidR="001E4904" w:rsidRPr="00783BC6" w:rsidRDefault="001E4904" w:rsidP="00783BC6">
      <w:pPr>
        <w:pStyle w:val="Heading3"/>
      </w:pPr>
      <w:r w:rsidRPr="00783BC6">
        <w:lastRenderedPageBreak/>
        <w:t xml:space="preserve">Effect of moderate CYP3A4 inducers on </w:t>
      </w:r>
      <w:proofErr w:type="spellStart"/>
      <w:r w:rsidRPr="00783BC6">
        <w:t>avacopan</w:t>
      </w:r>
      <w:proofErr w:type="spellEnd"/>
    </w:p>
    <w:p w14:paraId="1443A68D" w14:textId="71AAF89E" w:rsidR="001E4904" w:rsidRDefault="00900A7E" w:rsidP="00783BC6">
      <w:pPr>
        <w:keepNext/>
      </w:pPr>
      <w:r>
        <w:t>Exercise caution</w:t>
      </w:r>
      <w:r w:rsidR="001E4904">
        <w:t xml:space="preserve"> when </w:t>
      </w:r>
      <w:r>
        <w:t xml:space="preserve">using </w:t>
      </w:r>
      <w:r w:rsidR="001E4904">
        <w:t xml:space="preserve">moderate CYP3A4 inducers (e.g., </w:t>
      </w:r>
      <w:proofErr w:type="spellStart"/>
      <w:r w:rsidR="001E4904">
        <w:t>bosentan</w:t>
      </w:r>
      <w:proofErr w:type="spellEnd"/>
      <w:r w:rsidR="001E4904">
        <w:t xml:space="preserve">, efavirenz, etravirine, and modafinil) prescribed as concomitant </w:t>
      </w:r>
      <w:r>
        <w:t>medicinal product</w:t>
      </w:r>
      <w:r w:rsidR="001C4C20">
        <w:t>s</w:t>
      </w:r>
      <w:r w:rsidR="001E4904">
        <w:t xml:space="preserve"> with </w:t>
      </w:r>
      <w:r w:rsidR="00CA5D62">
        <w:t>Tavneos</w:t>
      </w:r>
      <w:r w:rsidR="001E4904">
        <w:t xml:space="preserve"> and </w:t>
      </w:r>
      <w:r>
        <w:t xml:space="preserve">carefully evaluate </w:t>
      </w:r>
      <w:r w:rsidR="001E4904">
        <w:t xml:space="preserve">the </w:t>
      </w:r>
      <w:r>
        <w:t xml:space="preserve">benefit/risk </w:t>
      </w:r>
      <w:r w:rsidR="001E4904">
        <w:t xml:space="preserve">of </w:t>
      </w:r>
      <w:proofErr w:type="spellStart"/>
      <w:r w:rsidR="00EC0EC8">
        <w:t>avacopan</w:t>
      </w:r>
      <w:proofErr w:type="spellEnd"/>
      <w:r w:rsidR="001E4904">
        <w:t>.</w:t>
      </w:r>
    </w:p>
    <w:p w14:paraId="32F94327" w14:textId="77777777" w:rsidR="001E4904" w:rsidRPr="00783BC6" w:rsidRDefault="001E4904" w:rsidP="00783BC6">
      <w:pPr>
        <w:pStyle w:val="Heading3"/>
      </w:pPr>
      <w:r w:rsidRPr="00783BC6">
        <w:t xml:space="preserve">Effect of strong CYP3A4 inhibitors on </w:t>
      </w:r>
      <w:proofErr w:type="spellStart"/>
      <w:r w:rsidRPr="00783BC6">
        <w:t>avacopan</w:t>
      </w:r>
      <w:proofErr w:type="spellEnd"/>
    </w:p>
    <w:p w14:paraId="410E934A" w14:textId="02FF7861" w:rsidR="001E4904" w:rsidRDefault="001E4904" w:rsidP="001E4904">
      <w:r>
        <w:t xml:space="preserve">Co-administration of </w:t>
      </w:r>
      <w:proofErr w:type="spellStart"/>
      <w:r>
        <w:t>avacopan</w:t>
      </w:r>
      <w:proofErr w:type="spellEnd"/>
      <w:r>
        <w:t xml:space="preserve"> with itraconazole, a strong CYP3A4 enzyme inhibitor, resulted in an increase in AUC and </w:t>
      </w:r>
      <w:proofErr w:type="spellStart"/>
      <w:r>
        <w:t>C</w:t>
      </w:r>
      <w:r w:rsidRPr="00864353">
        <w:rPr>
          <w:vertAlign w:val="subscript"/>
        </w:rPr>
        <w:t>max</w:t>
      </w:r>
      <w:proofErr w:type="spellEnd"/>
      <w:r>
        <w:t xml:space="preserve"> of </w:t>
      </w:r>
      <w:proofErr w:type="spellStart"/>
      <w:r>
        <w:t>avacopan</w:t>
      </w:r>
      <w:proofErr w:type="spellEnd"/>
      <w:r>
        <w:t xml:space="preserve"> by approximately </w:t>
      </w:r>
      <w:r w:rsidR="00437026">
        <w:t>2.2-fold</w:t>
      </w:r>
      <w:r>
        <w:t xml:space="preserve"> and</w:t>
      </w:r>
      <w:r w:rsidR="00437026">
        <w:t>,</w:t>
      </w:r>
      <w:r>
        <w:t xml:space="preserve"> </w:t>
      </w:r>
      <w:r w:rsidR="00437026">
        <w:t>1.9-fold</w:t>
      </w:r>
      <w:r>
        <w:t xml:space="preserve">, respectively. Therefore, strong CYP3A4 enzyme inhibitors (e.g., boceprevir, </w:t>
      </w:r>
      <w:proofErr w:type="spellStart"/>
      <w:r>
        <w:t>clarithromycin,itraconazole</w:t>
      </w:r>
      <w:proofErr w:type="spellEnd"/>
      <w:r>
        <w:t xml:space="preserve">, ketoconazole, lopinavir/ritonavir, </w:t>
      </w:r>
      <w:proofErr w:type="spellStart"/>
      <w:r>
        <w:t>posaconazole</w:t>
      </w:r>
      <w:proofErr w:type="spellEnd"/>
      <w:r>
        <w:t xml:space="preserve">, ritonavir, saquinavir, telaprevir, telithromycin, and voriconazole) should be used with caution in patients who are being treated with </w:t>
      </w:r>
      <w:proofErr w:type="spellStart"/>
      <w:r w:rsidR="00EC0EC8">
        <w:t>avacopan</w:t>
      </w:r>
      <w:proofErr w:type="spellEnd"/>
      <w:r>
        <w:t xml:space="preserve">. </w:t>
      </w:r>
      <w:r w:rsidR="000E7925">
        <w:t>Patients must be monitored</w:t>
      </w:r>
      <w:r w:rsidR="00437026">
        <w:t xml:space="preserve"> </w:t>
      </w:r>
      <w:r>
        <w:t xml:space="preserve">for potential increase of side effects due to the increased exposure of </w:t>
      </w:r>
      <w:proofErr w:type="spellStart"/>
      <w:r>
        <w:t>avacopan</w:t>
      </w:r>
      <w:proofErr w:type="spellEnd"/>
      <w:r>
        <w:t>.</w:t>
      </w:r>
    </w:p>
    <w:p w14:paraId="038D303B" w14:textId="2D59CC1B" w:rsidR="001E4904" w:rsidRDefault="001E4904" w:rsidP="001E4904">
      <w:r>
        <w:t xml:space="preserve">Grapefruit and grapefruit juice can increase the concentration of </w:t>
      </w:r>
      <w:proofErr w:type="spellStart"/>
      <w:r>
        <w:t>avacopan</w:t>
      </w:r>
      <w:proofErr w:type="spellEnd"/>
      <w:r>
        <w:t xml:space="preserve">; therefore, grapefruit and grapefruit juice </w:t>
      </w:r>
      <w:r w:rsidR="00437026">
        <w:t>are to</w:t>
      </w:r>
      <w:r>
        <w:t xml:space="preserve"> be avoided in patients treated with </w:t>
      </w:r>
      <w:proofErr w:type="spellStart"/>
      <w:r w:rsidR="00EC0EC8">
        <w:t>avacopan</w:t>
      </w:r>
      <w:proofErr w:type="spellEnd"/>
      <w:r>
        <w:t>.</w:t>
      </w:r>
    </w:p>
    <w:p w14:paraId="786269FD" w14:textId="68F7FF53" w:rsidR="001E4904" w:rsidRPr="00783BC6" w:rsidRDefault="001E4904" w:rsidP="00783BC6">
      <w:pPr>
        <w:pStyle w:val="Heading3"/>
      </w:pPr>
      <w:r w:rsidRPr="00783BC6">
        <w:t xml:space="preserve">Effect of </w:t>
      </w:r>
      <w:proofErr w:type="spellStart"/>
      <w:r w:rsidRPr="00783BC6">
        <w:t>avacopan</w:t>
      </w:r>
      <w:proofErr w:type="spellEnd"/>
      <w:r w:rsidRPr="00783BC6">
        <w:t xml:space="preserve"> on other </w:t>
      </w:r>
      <w:r w:rsidR="00437026">
        <w:t>medicinal products</w:t>
      </w:r>
    </w:p>
    <w:p w14:paraId="73C65566" w14:textId="2C9F2B00" w:rsidR="001E4904" w:rsidRDefault="001E4904" w:rsidP="001E4904">
      <w:r>
        <w:t xml:space="preserve">Avacopan is a weak inhibitor of CYP3A4 in vivo and may increase the plasma exposures of concomitant </w:t>
      </w:r>
      <w:r w:rsidR="00437026">
        <w:t>medicinal products</w:t>
      </w:r>
      <w:r>
        <w:t xml:space="preserve"> that are CYP3A4 substrates with </w:t>
      </w:r>
      <w:r w:rsidR="00FB3054">
        <w:t xml:space="preserve">a </w:t>
      </w:r>
      <w:r>
        <w:t xml:space="preserve">narrow therapeutic index (e.g., alfentanil, </w:t>
      </w:r>
      <w:r w:rsidR="00437026">
        <w:t>ciclosporin</w:t>
      </w:r>
      <w:r>
        <w:t xml:space="preserve">, ergotamine, fentanyl, sirolimus and tacrolimus). </w:t>
      </w:r>
      <w:r w:rsidR="00437026">
        <w:t xml:space="preserve">Be cautious </w:t>
      </w:r>
      <w:r>
        <w:t xml:space="preserve">when these </w:t>
      </w:r>
      <w:r w:rsidR="00437026">
        <w:t>medicinal products</w:t>
      </w:r>
      <w:r>
        <w:t xml:space="preserve"> are used with </w:t>
      </w:r>
      <w:proofErr w:type="spellStart"/>
      <w:r w:rsidR="00EC0EC8">
        <w:t>avacopan</w:t>
      </w:r>
      <w:proofErr w:type="spellEnd"/>
      <w:r>
        <w:t xml:space="preserve">. </w:t>
      </w:r>
      <w:r w:rsidR="000E7925">
        <w:t>P</w:t>
      </w:r>
      <w:r w:rsidR="00437026">
        <w:t xml:space="preserve">atients </w:t>
      </w:r>
      <w:r w:rsidR="000E7925">
        <w:t xml:space="preserve">must be managed </w:t>
      </w:r>
      <w:r>
        <w:t xml:space="preserve">according to the </w:t>
      </w:r>
      <w:r w:rsidR="004132AE">
        <w:t>P</w:t>
      </w:r>
      <w:r w:rsidR="004A6163">
        <w:t xml:space="preserve">roduct </w:t>
      </w:r>
      <w:r w:rsidR="004132AE">
        <w:t>I</w:t>
      </w:r>
      <w:r w:rsidR="004A6163">
        <w:t>nformation</w:t>
      </w:r>
      <w:r w:rsidR="004132AE">
        <w:t xml:space="preserve"> documents</w:t>
      </w:r>
      <w:r w:rsidR="004A6163">
        <w:t xml:space="preserve"> </w:t>
      </w:r>
      <w:r>
        <w:t xml:space="preserve">of the respective </w:t>
      </w:r>
      <w:r w:rsidR="00437026">
        <w:t xml:space="preserve">medicinal products </w:t>
      </w:r>
      <w:r>
        <w:t xml:space="preserve">with </w:t>
      </w:r>
      <w:r w:rsidR="00FB3054">
        <w:t xml:space="preserve">a </w:t>
      </w:r>
      <w:r>
        <w:t>narrow therapeutic index.</w:t>
      </w:r>
    </w:p>
    <w:p w14:paraId="4EA76E16" w14:textId="1F61F013" w:rsidR="00437026" w:rsidRPr="00BE6858" w:rsidRDefault="00437026" w:rsidP="00291C24">
      <w:pPr>
        <w:keepNext/>
        <w:rPr>
          <w:rFonts w:ascii="Arial" w:eastAsia="MS Gothic" w:hAnsi="Arial" w:cs="Arial"/>
          <w:b/>
          <w:color w:val="auto"/>
          <w:kern w:val="32"/>
          <w:sz w:val="22"/>
          <w:szCs w:val="26"/>
        </w:rPr>
      </w:pPr>
      <w:r w:rsidRPr="00BE6858">
        <w:rPr>
          <w:rFonts w:ascii="Arial" w:eastAsia="MS Gothic" w:hAnsi="Arial" w:cs="Arial"/>
          <w:b/>
          <w:color w:val="auto"/>
          <w:kern w:val="32"/>
          <w:sz w:val="22"/>
          <w:szCs w:val="26"/>
        </w:rPr>
        <w:t xml:space="preserve">Effect of </w:t>
      </w:r>
      <w:r w:rsidR="000757D7" w:rsidRPr="000757D7">
        <w:rPr>
          <w:rFonts w:ascii="Arial" w:eastAsia="MS Gothic" w:hAnsi="Arial" w:cs="Arial"/>
          <w:b/>
          <w:color w:val="auto"/>
          <w:kern w:val="32"/>
          <w:sz w:val="22"/>
          <w:szCs w:val="26"/>
        </w:rPr>
        <w:t xml:space="preserve">PEG-40 hydrogenated castor oil </w:t>
      </w:r>
      <w:r w:rsidRPr="00BE6858">
        <w:rPr>
          <w:rFonts w:ascii="Arial" w:eastAsia="MS Gothic" w:hAnsi="Arial" w:cs="Arial"/>
          <w:b/>
          <w:color w:val="auto"/>
          <w:kern w:val="32"/>
          <w:sz w:val="22"/>
          <w:szCs w:val="26"/>
        </w:rPr>
        <w:t>on sensitive P-glycoprotein (P-</w:t>
      </w:r>
      <w:proofErr w:type="spellStart"/>
      <w:r w:rsidRPr="00BE6858">
        <w:rPr>
          <w:rFonts w:ascii="Arial" w:eastAsia="MS Gothic" w:hAnsi="Arial" w:cs="Arial"/>
          <w:b/>
          <w:color w:val="auto"/>
          <w:kern w:val="32"/>
          <w:sz w:val="22"/>
          <w:szCs w:val="26"/>
        </w:rPr>
        <w:t>gp</w:t>
      </w:r>
      <w:proofErr w:type="spellEnd"/>
      <w:r w:rsidRPr="00BE6858">
        <w:rPr>
          <w:rFonts w:ascii="Arial" w:eastAsia="MS Gothic" w:hAnsi="Arial" w:cs="Arial"/>
          <w:b/>
          <w:color w:val="auto"/>
          <w:kern w:val="32"/>
          <w:sz w:val="22"/>
          <w:szCs w:val="26"/>
        </w:rPr>
        <w:t>) substrates</w:t>
      </w:r>
    </w:p>
    <w:p w14:paraId="0580EB27" w14:textId="71417098" w:rsidR="00437026" w:rsidRPr="001E4904" w:rsidRDefault="00437026" w:rsidP="00291C24">
      <w:pPr>
        <w:keepNext/>
      </w:pPr>
      <w:r>
        <w:t xml:space="preserve">A clinically relevant effect of the excipient </w:t>
      </w:r>
      <w:r w:rsidR="000757D7" w:rsidRPr="000757D7">
        <w:t xml:space="preserve">PEG-40 hydrogenated castor oil </w:t>
      </w:r>
      <w:r>
        <w:t>on sensitive P-</w:t>
      </w:r>
      <w:proofErr w:type="spellStart"/>
      <w:r>
        <w:t>gp</w:t>
      </w:r>
      <w:proofErr w:type="spellEnd"/>
      <w:r>
        <w:t xml:space="preserve"> substrates with relatively low bioavailability (e.g., dabigatran </w:t>
      </w:r>
      <w:proofErr w:type="spellStart"/>
      <w:r>
        <w:t>etexilate</w:t>
      </w:r>
      <w:proofErr w:type="spellEnd"/>
      <w:r>
        <w:t>) cannot be excluded. Exercise caution when using low-bioavailability P-</w:t>
      </w:r>
      <w:proofErr w:type="spellStart"/>
      <w:r>
        <w:t>gp</w:t>
      </w:r>
      <w:proofErr w:type="spellEnd"/>
      <w:r>
        <w:t xml:space="preserve"> substrates in patients who are being treated with </w:t>
      </w:r>
      <w:proofErr w:type="spellStart"/>
      <w:r>
        <w:t>avacopan</w:t>
      </w:r>
      <w:proofErr w:type="spellEnd"/>
      <w:r>
        <w:t>.</w:t>
      </w:r>
    </w:p>
    <w:p w14:paraId="25DBA2A8" w14:textId="77777777" w:rsidR="001A3992" w:rsidRPr="00497C85" w:rsidRDefault="001A3992" w:rsidP="00CF3CA1">
      <w:pPr>
        <w:pStyle w:val="Heading2"/>
      </w:pPr>
      <w:r w:rsidRPr="00497C85">
        <w:t xml:space="preserve">Fertility, pregnancy and lactation </w:t>
      </w:r>
    </w:p>
    <w:p w14:paraId="75FBC824" w14:textId="4AEC1100" w:rsidR="001A3992" w:rsidRDefault="001A3992" w:rsidP="00CF3CA1">
      <w:pPr>
        <w:pStyle w:val="Heading3"/>
      </w:pPr>
      <w:r w:rsidRPr="00497C85">
        <w:t>Effects on fertility</w:t>
      </w:r>
    </w:p>
    <w:p w14:paraId="78D238A0" w14:textId="77777777" w:rsidR="00D06B90" w:rsidRDefault="001E4904" w:rsidP="001E4904">
      <w:r w:rsidRPr="001E4904">
        <w:t xml:space="preserve">There are no data on the effects of </w:t>
      </w:r>
      <w:proofErr w:type="spellStart"/>
      <w:r w:rsidR="002C5C5B">
        <w:t>avacopan</w:t>
      </w:r>
      <w:proofErr w:type="spellEnd"/>
      <w:r w:rsidRPr="001E4904">
        <w:t xml:space="preserve"> on human fertility. </w:t>
      </w:r>
    </w:p>
    <w:p w14:paraId="036113DD" w14:textId="572E6261" w:rsidR="00D06B90" w:rsidRDefault="00D06B90" w:rsidP="00D06B90">
      <w:r>
        <w:t xml:space="preserve">Avacopan produced no effects on male or female reproductive performance (fertility) in hamsters </w:t>
      </w:r>
      <w:r w:rsidR="00487C51">
        <w:t>up to</w:t>
      </w:r>
      <w:r w:rsidR="00B652CF">
        <w:t xml:space="preserve"> </w:t>
      </w:r>
      <w:r>
        <w:t>oral doses</w:t>
      </w:r>
      <w:r w:rsidR="00B07786">
        <w:t xml:space="preserve"> of </w:t>
      </w:r>
      <w:r w:rsidR="00FD5CD8" w:rsidRPr="00FD5CD8">
        <w:t>1,000 mg/kg/day administered as 500 mg/kg BID</w:t>
      </w:r>
      <w:r w:rsidR="0059746E">
        <w:t>,</w:t>
      </w:r>
      <w:r>
        <w:t xml:space="preserve"> equivalent </w:t>
      </w:r>
      <w:r w:rsidR="00B72EAC">
        <w:t xml:space="preserve">to </w:t>
      </w:r>
      <w:r>
        <w:t xml:space="preserve">up to </w:t>
      </w:r>
      <w:r w:rsidR="00487C51">
        <w:t>5</w:t>
      </w:r>
      <w:r>
        <w:t>.8-fold the clinical AUC</w:t>
      </w:r>
      <w:r w:rsidR="009E3BCF">
        <w:t xml:space="preserve"> </w:t>
      </w:r>
      <w:bookmarkStart w:id="8" w:name="OLE_LINK2"/>
      <w:r w:rsidR="009E3BCF" w:rsidRPr="00C72B7A">
        <w:rPr>
          <w:iCs/>
        </w:rPr>
        <w:t xml:space="preserve">based on the combined exposures of </w:t>
      </w:r>
      <w:proofErr w:type="spellStart"/>
      <w:r w:rsidR="009E3BCF" w:rsidRPr="00C72B7A">
        <w:rPr>
          <w:iCs/>
        </w:rPr>
        <w:t>avacopan</w:t>
      </w:r>
      <w:proofErr w:type="spellEnd"/>
      <w:r w:rsidR="009E3BCF" w:rsidRPr="00C72B7A">
        <w:rPr>
          <w:iCs/>
        </w:rPr>
        <w:t xml:space="preserve"> and active metabolite M1</w:t>
      </w:r>
      <w:bookmarkEnd w:id="8"/>
      <w:r w:rsidRPr="00CB6996">
        <w:t>.</w:t>
      </w:r>
    </w:p>
    <w:p w14:paraId="573A075C" w14:textId="60C9B284" w:rsidR="001A3992" w:rsidRDefault="001A3992" w:rsidP="00CF3CA1">
      <w:pPr>
        <w:pStyle w:val="Heading3"/>
      </w:pPr>
      <w:r w:rsidRPr="00497C85">
        <w:lastRenderedPageBreak/>
        <w:t xml:space="preserve">Use in pregnancy </w:t>
      </w:r>
      <w:r w:rsidR="00497C85" w:rsidRPr="00497C85">
        <w:t xml:space="preserve">– Pregnancy Category </w:t>
      </w:r>
      <w:r w:rsidR="00CD5797">
        <w:t>D</w:t>
      </w:r>
    </w:p>
    <w:p w14:paraId="30693A44" w14:textId="1ECD637B" w:rsidR="001E4904" w:rsidRDefault="001E4904" w:rsidP="001E4904">
      <w:r>
        <w:t xml:space="preserve">There are no data from the use of </w:t>
      </w:r>
      <w:r w:rsidR="002C5C5B">
        <w:t>Tavneos</w:t>
      </w:r>
      <w:r>
        <w:t xml:space="preserve"> in pregnant women.</w:t>
      </w:r>
    </w:p>
    <w:p w14:paraId="1DDEE75A" w14:textId="40561098" w:rsidR="00F548D4" w:rsidRPr="00A44E02" w:rsidRDefault="00487C51" w:rsidP="00487C51">
      <w:r>
        <w:t xml:space="preserve">In an embryofetal development study with pregnant hamsters, oral administration of </w:t>
      </w:r>
      <w:proofErr w:type="spellStart"/>
      <w:r>
        <w:t>avacopan</w:t>
      </w:r>
      <w:proofErr w:type="spellEnd"/>
      <w:r>
        <w:t xml:space="preserve"> during the period of organogenesis from </w:t>
      </w:r>
      <w:bookmarkStart w:id="9" w:name="OLE_LINK17"/>
      <w:r w:rsidR="00B72EAC">
        <w:t xml:space="preserve">gestation day </w:t>
      </w:r>
      <w:bookmarkEnd w:id="9"/>
      <w:r w:rsidR="00B72EAC">
        <w:t>(</w:t>
      </w:r>
      <w:r>
        <w:t>GD</w:t>
      </w:r>
      <w:r w:rsidR="00B72EAC">
        <w:t>)</w:t>
      </w:r>
      <w:r>
        <w:t xml:space="preserve"> 6 to 12, produced an increased incidence of skeletal variations (supernumerary rib) at a maternal oral dose of </w:t>
      </w:r>
      <w:r w:rsidRPr="00FD5CD8">
        <w:t>1,000 mg/kg/day administered as 500 mg/kg BID</w:t>
      </w:r>
      <w:r>
        <w:t xml:space="preserve">, equivalent to </w:t>
      </w:r>
      <w:r w:rsidR="00F548D4">
        <w:t>4.0</w:t>
      </w:r>
      <w:r>
        <w:t xml:space="preserve">-fold </w:t>
      </w:r>
      <w:r w:rsidRPr="00CB6996">
        <w:t>the clinical AUC</w:t>
      </w:r>
      <w:r w:rsidR="00D43464" w:rsidRPr="00A44E02">
        <w:t xml:space="preserve"> </w:t>
      </w:r>
      <w:bookmarkStart w:id="10" w:name="OLE_LINK6"/>
      <w:r w:rsidR="00D43464" w:rsidRPr="007331E6">
        <w:rPr>
          <w:iCs/>
        </w:rPr>
        <w:t xml:space="preserve">based on the combined exposures of </w:t>
      </w:r>
      <w:proofErr w:type="spellStart"/>
      <w:r w:rsidR="00D43464" w:rsidRPr="007331E6">
        <w:rPr>
          <w:iCs/>
        </w:rPr>
        <w:t>avacopan</w:t>
      </w:r>
      <w:proofErr w:type="spellEnd"/>
      <w:r w:rsidR="00D43464" w:rsidRPr="007331E6">
        <w:rPr>
          <w:iCs/>
        </w:rPr>
        <w:t xml:space="preserve"> and active metabolite M1</w:t>
      </w:r>
      <w:bookmarkEnd w:id="10"/>
      <w:r w:rsidRPr="00CB6996">
        <w:t xml:space="preserve">. </w:t>
      </w:r>
    </w:p>
    <w:p w14:paraId="45A36C97" w14:textId="0DA412A4" w:rsidR="00487C51" w:rsidRDefault="00487C51" w:rsidP="00487C51">
      <w:r w:rsidRPr="00CB6996">
        <w:t>In</w:t>
      </w:r>
      <w:r w:rsidR="00F548D4" w:rsidRPr="00CB6996">
        <w:t xml:space="preserve"> an embryofetal development study with pregnant </w:t>
      </w:r>
      <w:r w:rsidRPr="00CB6996">
        <w:t xml:space="preserve">rabbits, </w:t>
      </w:r>
      <w:r w:rsidR="00F548D4" w:rsidRPr="00CB6996">
        <w:t>oral administration</w:t>
      </w:r>
      <w:r w:rsidR="00F548D4">
        <w:t xml:space="preserve"> of </w:t>
      </w:r>
      <w:proofErr w:type="spellStart"/>
      <w:r>
        <w:t>avacopan</w:t>
      </w:r>
      <w:proofErr w:type="spellEnd"/>
      <w:r>
        <w:t xml:space="preserve"> </w:t>
      </w:r>
      <w:r w:rsidR="00F548D4">
        <w:t xml:space="preserve">(GD 6 to 18) </w:t>
      </w:r>
      <w:r>
        <w:t xml:space="preserve">caused </w:t>
      </w:r>
      <w:r w:rsidR="00F548D4">
        <w:t xml:space="preserve">an increase in the number of abortions at exposures 0.52 times the </w:t>
      </w:r>
      <w:r w:rsidR="00B72EAC">
        <w:t>maximum recommended human dose (</w:t>
      </w:r>
      <w:r w:rsidR="00F548D4">
        <w:t>MR</w:t>
      </w:r>
      <w:r w:rsidR="00B72EAC">
        <w:t>H</w:t>
      </w:r>
      <w:r w:rsidR="00F548D4">
        <w:t>D</w:t>
      </w:r>
      <w:r w:rsidR="00B72EAC">
        <w:t>)</w:t>
      </w:r>
      <w:r w:rsidR="00F548D4">
        <w:t xml:space="preserve"> (on an AUC basis with a maternal oral dose of 200 mg/kg/day), however </w:t>
      </w:r>
      <w:r>
        <w:t xml:space="preserve">no </w:t>
      </w:r>
      <w:r w:rsidR="00F548D4">
        <w:t xml:space="preserve">evidence of </w:t>
      </w:r>
      <w:r>
        <w:t>fetal toxicity at oral doses of 2</w:t>
      </w:r>
      <w:r w:rsidRPr="00FD5CD8">
        <w:t>00 mg/kg/day</w:t>
      </w:r>
      <w:r>
        <w:t>, equivalent to 0.</w:t>
      </w:r>
      <w:r w:rsidR="00F548D4">
        <w:t>52</w:t>
      </w:r>
      <w:r>
        <w:t>-fold the clinical AUC.</w:t>
      </w:r>
      <w:r w:rsidR="00F548D4">
        <w:t xml:space="preserve"> Maternal toxicity, as evidenced by decreased body weight gains, was observed at exposures 0.50 times and higher than the MRHD (on an AUC basis with maternal oral doses of &gt;30 mg/kg/day).</w:t>
      </w:r>
    </w:p>
    <w:p w14:paraId="20B1992E" w14:textId="6A6BD972" w:rsidR="00487C51" w:rsidRDefault="00F548D4" w:rsidP="00487C51">
      <w:r>
        <w:t>In</w:t>
      </w:r>
      <w:r w:rsidRPr="00F548D4">
        <w:t xml:space="preserve"> </w:t>
      </w:r>
      <w:r>
        <w:t xml:space="preserve">a prenatal and postnatal development study with pregnant hamsters, oral administration of </w:t>
      </w:r>
      <w:proofErr w:type="spellStart"/>
      <w:r>
        <w:t>a</w:t>
      </w:r>
      <w:r w:rsidR="00487C51">
        <w:t>vacopan</w:t>
      </w:r>
      <w:proofErr w:type="spellEnd"/>
      <w:r w:rsidR="00487C51">
        <w:t xml:space="preserve"> </w:t>
      </w:r>
      <w:r>
        <w:t xml:space="preserve">(GD 6 to 20) </w:t>
      </w:r>
      <w:r w:rsidR="00487C51">
        <w:t xml:space="preserve">did not result in adverse effects </w:t>
      </w:r>
      <w:r>
        <w:t xml:space="preserve">on growth and development of </w:t>
      </w:r>
      <w:r w:rsidR="00487C51">
        <w:t xml:space="preserve">offspring at </w:t>
      </w:r>
      <w:r>
        <w:t xml:space="preserve">maternal </w:t>
      </w:r>
      <w:r w:rsidR="00487C51">
        <w:t xml:space="preserve">oral doses of </w:t>
      </w:r>
      <w:r>
        <w:t xml:space="preserve">up to </w:t>
      </w:r>
      <w:r w:rsidR="00487C51" w:rsidRPr="00FD5CD8">
        <w:t>1,000 mg/kg/day administered as 500 mg/kg BID</w:t>
      </w:r>
      <w:r w:rsidR="00487C51">
        <w:t xml:space="preserve">, equivalent to </w:t>
      </w:r>
      <w:r>
        <w:t>3.6</w:t>
      </w:r>
      <w:r w:rsidR="00487C51">
        <w:t>-fold the clinical AUC</w:t>
      </w:r>
      <w:r>
        <w:t>.</w:t>
      </w:r>
    </w:p>
    <w:p w14:paraId="76FE8D35" w14:textId="62416DE4" w:rsidR="001E4904" w:rsidRPr="001E4904" w:rsidRDefault="002C5C5B" w:rsidP="001E4904">
      <w:r>
        <w:t>Tavneos</w:t>
      </w:r>
      <w:r w:rsidR="001E4904">
        <w:t xml:space="preserve"> is not recommended during pregnancy and in women of childbearing potential not using contraception.</w:t>
      </w:r>
    </w:p>
    <w:p w14:paraId="68393F0B" w14:textId="39032920" w:rsidR="001A3992" w:rsidRDefault="001A3992" w:rsidP="00CF3CA1">
      <w:pPr>
        <w:pStyle w:val="Heading3"/>
      </w:pPr>
      <w:r w:rsidRPr="00497C85">
        <w:t>Use in lactation</w:t>
      </w:r>
    </w:p>
    <w:p w14:paraId="28FA68C0" w14:textId="4294D675" w:rsidR="001E4904" w:rsidRDefault="001E4904" w:rsidP="00D06B90">
      <w:r>
        <w:t xml:space="preserve">Avacopan has not been measured in milk of lactating animals; however, </w:t>
      </w:r>
      <w:bookmarkStart w:id="11" w:name="_Hlk76132428"/>
      <w:r w:rsidR="00D06B90">
        <w:t xml:space="preserve">analysis of </w:t>
      </w:r>
      <w:proofErr w:type="spellStart"/>
      <w:r w:rsidR="00D06B90">
        <w:t>avacopan</w:t>
      </w:r>
      <w:proofErr w:type="spellEnd"/>
      <w:r w:rsidR="00D06B90">
        <w:t xml:space="preserve"> plasma levels in the lactating dams and the plasma levels in nursing offspring showed the presence of </w:t>
      </w:r>
      <w:proofErr w:type="spellStart"/>
      <w:r w:rsidR="00D06B90">
        <w:t>avacopan</w:t>
      </w:r>
      <w:proofErr w:type="spellEnd"/>
      <w:r w:rsidR="00F548D4">
        <w:t xml:space="preserve"> (at a pup to maternal level plasma ration of 0.37)</w:t>
      </w:r>
      <w:r w:rsidR="00D06B90">
        <w:t xml:space="preserve">, suggesting that </w:t>
      </w:r>
      <w:proofErr w:type="spellStart"/>
      <w:r w:rsidR="00D06B90">
        <w:t>avacopan</w:t>
      </w:r>
      <w:proofErr w:type="spellEnd"/>
      <w:r w:rsidR="00D06B90">
        <w:t xml:space="preserve"> is likely secreted into the milk of lactating hamsters.</w:t>
      </w:r>
      <w:bookmarkEnd w:id="11"/>
    </w:p>
    <w:p w14:paraId="494D8704" w14:textId="00C3F1BC" w:rsidR="001E4904" w:rsidRPr="001E4904" w:rsidRDefault="001E4904" w:rsidP="001E4904">
      <w:r>
        <w:t xml:space="preserve">A risk to newborns/infants cannot be excluded. A decision must be made whether to discontinue breast-feeding or to discontinue/abstain from therapy with </w:t>
      </w:r>
      <w:bookmarkStart w:id="12" w:name="_Hlk76132519"/>
      <w:r w:rsidR="002C5C5B">
        <w:t>Tavneos</w:t>
      </w:r>
      <w:bookmarkEnd w:id="12"/>
      <w:r>
        <w:t xml:space="preserve">, </w:t>
      </w:r>
      <w:proofErr w:type="gramStart"/>
      <w:r>
        <w:t>taking into account</w:t>
      </w:r>
      <w:proofErr w:type="gramEnd"/>
      <w:r>
        <w:t xml:space="preserve"> the benefit of breast-feeding for the child and the benefit of therapy for the woman.</w:t>
      </w:r>
    </w:p>
    <w:p w14:paraId="7734750A" w14:textId="77777777" w:rsidR="001A3992" w:rsidRPr="00497C85" w:rsidRDefault="001A3992" w:rsidP="00CF3CA1">
      <w:pPr>
        <w:pStyle w:val="Heading2"/>
      </w:pPr>
      <w:r w:rsidRPr="00497C85">
        <w:t xml:space="preserve">Effects on ability to drive and use machines </w:t>
      </w:r>
    </w:p>
    <w:p w14:paraId="327AFDFD" w14:textId="7A1736FE" w:rsidR="00497C85" w:rsidRPr="00497C85" w:rsidRDefault="002C5C5B" w:rsidP="00CF3CA1">
      <w:r>
        <w:t>Avacopan</w:t>
      </w:r>
      <w:r w:rsidR="001E4904" w:rsidRPr="001E4904">
        <w:rPr>
          <w:lang w:val="en"/>
        </w:rPr>
        <w:t xml:space="preserve"> has no or negligible influence on the ability to drive and use machines. </w:t>
      </w:r>
    </w:p>
    <w:p w14:paraId="336EA868" w14:textId="77777777" w:rsidR="001A3992" w:rsidRDefault="001A3992" w:rsidP="00CF3CA1">
      <w:pPr>
        <w:pStyle w:val="Heading2"/>
      </w:pPr>
      <w:r w:rsidRPr="00497C85">
        <w:t>Adverse effects (Undesirable effects)</w:t>
      </w:r>
    </w:p>
    <w:p w14:paraId="3C6AE127" w14:textId="5FDADA39" w:rsidR="002608F5" w:rsidRPr="00783BC6" w:rsidRDefault="002608F5" w:rsidP="00783BC6">
      <w:pPr>
        <w:pStyle w:val="Heading3"/>
      </w:pPr>
      <w:r w:rsidRPr="00783BC6">
        <w:t>Adverse effects</w:t>
      </w:r>
    </w:p>
    <w:p w14:paraId="62393900" w14:textId="786F9E8C" w:rsidR="007360CC" w:rsidRDefault="007360CC" w:rsidP="001E4904">
      <w:pPr>
        <w:rPr>
          <w:b/>
          <w:bCs/>
        </w:rPr>
      </w:pPr>
      <w:r w:rsidRPr="00150B7C">
        <w:t xml:space="preserve">An overview of AEs reported in the </w:t>
      </w:r>
      <w:r w:rsidRPr="007A047A">
        <w:t>pivotal</w:t>
      </w:r>
      <w:r w:rsidRPr="007A047A">
        <w:rPr>
          <w:spacing w:val="1"/>
        </w:rPr>
        <w:t xml:space="preserve"> </w:t>
      </w:r>
      <w:r w:rsidRPr="007A047A">
        <w:t>phase</w:t>
      </w:r>
      <w:r w:rsidRPr="007A047A">
        <w:rPr>
          <w:spacing w:val="-1"/>
        </w:rPr>
        <w:t xml:space="preserve"> </w:t>
      </w:r>
      <w:r w:rsidRPr="007A047A">
        <w:t>3 ADVOCATE</w:t>
      </w:r>
      <w:r w:rsidRPr="007A047A">
        <w:rPr>
          <w:spacing w:val="-4"/>
        </w:rPr>
        <w:t xml:space="preserve"> </w:t>
      </w:r>
      <w:r w:rsidRPr="007A047A">
        <w:t>study</w:t>
      </w:r>
      <w:r w:rsidRPr="007A047A">
        <w:rPr>
          <w:spacing w:val="-3"/>
        </w:rPr>
        <w:t xml:space="preserve"> (</w:t>
      </w:r>
      <w:r w:rsidRPr="00150B7C">
        <w:t>Study CL010_168)</w:t>
      </w:r>
      <w:r w:rsidRPr="00150B7C">
        <w:rPr>
          <w:b/>
          <w:bCs/>
        </w:rPr>
        <w:t xml:space="preserve"> </w:t>
      </w:r>
      <w:r w:rsidRPr="00150B7C">
        <w:t xml:space="preserve">is presented in </w:t>
      </w:r>
      <w:r w:rsidR="007A047A" w:rsidRPr="007A047A">
        <w:fldChar w:fldCharType="begin"/>
      </w:r>
      <w:r w:rsidR="007A047A" w:rsidRPr="007A047A">
        <w:instrText xml:space="preserve"> REF _Ref88558166 \h </w:instrText>
      </w:r>
      <w:r w:rsidR="007A047A" w:rsidRPr="00150B7C">
        <w:instrText xml:space="preserve"> \* MERGEFORMAT </w:instrText>
      </w:r>
      <w:r w:rsidR="007A047A" w:rsidRPr="007A047A">
        <w:fldChar w:fldCharType="separate"/>
      </w:r>
      <w:r w:rsidR="00F12523" w:rsidRPr="0037508F">
        <w:t xml:space="preserve">Table </w:t>
      </w:r>
      <w:r w:rsidR="00F12523" w:rsidRPr="0037508F">
        <w:rPr>
          <w:noProof/>
        </w:rPr>
        <w:t>1</w:t>
      </w:r>
      <w:r w:rsidR="007A047A" w:rsidRPr="007A047A">
        <w:fldChar w:fldCharType="end"/>
      </w:r>
      <w:r w:rsidRPr="00150B7C">
        <w:t xml:space="preserve">. A total of 1,779 treatment emergent adverse events (TEAEs) were </w:t>
      </w:r>
      <w:r w:rsidRPr="00150B7C">
        <w:lastRenderedPageBreak/>
        <w:t xml:space="preserve">reported by 164 subjects (98.8%) in the </w:t>
      </w:r>
      <w:r w:rsidR="002C5C5B" w:rsidRPr="007A047A">
        <w:t>Tavneos</w:t>
      </w:r>
      <w:r w:rsidRPr="00150B7C">
        <w:t xml:space="preserve"> group. A total of 2139 TEAEs (20.2% higher than in the </w:t>
      </w:r>
      <w:r w:rsidR="002C5C5B" w:rsidRPr="007A047A">
        <w:t>Tavneos</w:t>
      </w:r>
      <w:r w:rsidRPr="00150B7C">
        <w:t xml:space="preserve"> group) were reported by 161 subjects (98.2%) in the prednisone group</w:t>
      </w:r>
      <w:r>
        <w:rPr>
          <w:sz w:val="23"/>
          <w:szCs w:val="23"/>
        </w:rPr>
        <w:t>.</w:t>
      </w:r>
    </w:p>
    <w:p w14:paraId="3BCC0CF5" w14:textId="3CCAA7B3" w:rsidR="00D96F54" w:rsidRDefault="00D96F54" w:rsidP="00291C24">
      <w:pPr>
        <w:keepNext/>
        <w:rPr>
          <w:b/>
          <w:bCs/>
          <w:sz w:val="23"/>
          <w:szCs w:val="23"/>
        </w:rPr>
      </w:pPr>
      <w:bookmarkStart w:id="13" w:name="_Ref88558166"/>
      <w:r w:rsidRPr="001A4151">
        <w:rPr>
          <w:b/>
          <w:bCs/>
        </w:rPr>
        <w:t xml:space="preserve">Table </w:t>
      </w:r>
      <w:r w:rsidRPr="001A4151">
        <w:rPr>
          <w:b/>
          <w:bCs/>
        </w:rPr>
        <w:fldChar w:fldCharType="begin"/>
      </w:r>
      <w:r w:rsidRPr="001A4151">
        <w:rPr>
          <w:b/>
          <w:bCs/>
        </w:rPr>
        <w:instrText xml:space="preserve"> SEQ Table \* ARABIC </w:instrText>
      </w:r>
      <w:r w:rsidRPr="001A4151">
        <w:rPr>
          <w:b/>
          <w:bCs/>
        </w:rPr>
        <w:fldChar w:fldCharType="separate"/>
      </w:r>
      <w:r w:rsidR="00D607BF">
        <w:rPr>
          <w:b/>
          <w:bCs/>
          <w:noProof/>
        </w:rPr>
        <w:t>1</w:t>
      </w:r>
      <w:r w:rsidRPr="001A4151">
        <w:rPr>
          <w:b/>
          <w:bCs/>
        </w:rPr>
        <w:fldChar w:fldCharType="end"/>
      </w:r>
      <w:bookmarkEnd w:id="13"/>
      <w:r w:rsidRPr="001A4151">
        <w:rPr>
          <w:b/>
          <w:bCs/>
        </w:rPr>
        <w:t xml:space="preserve">:  </w:t>
      </w:r>
      <w:bookmarkStart w:id="14" w:name="OLE_LINK9"/>
      <w:r w:rsidRPr="001A4151">
        <w:rPr>
          <w:b/>
          <w:bCs/>
        </w:rPr>
        <w:t>Treatment-Emergent Adverse Events Reported in ≥5% of Subjects in Either Group by SOC/ Preferred Term in Study CL010_168 (Safety Population)</w:t>
      </w:r>
      <w:bookmarkEnd w:id="14"/>
    </w:p>
    <w:p w14:paraId="43DF60DA" w14:textId="77777777" w:rsidR="00AC73B2" w:rsidRDefault="00AC73B2" w:rsidP="00291C24">
      <w:pPr>
        <w:keepNext/>
        <w:spacing w:before="0"/>
        <w:rPr>
          <w:b/>
          <w:bCs/>
          <w:sz w:val="23"/>
          <w:szCs w:val="23"/>
        </w:rPr>
      </w:pP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836"/>
        <w:gridCol w:w="2836"/>
      </w:tblGrid>
      <w:tr w:rsidR="00A87676" w:rsidRPr="007360CC" w14:paraId="72CF2CE6" w14:textId="77777777" w:rsidTr="00A87676">
        <w:trPr>
          <w:trHeight w:val="266"/>
          <w:tblHeader/>
        </w:trPr>
        <w:tc>
          <w:tcPr>
            <w:tcW w:w="1664" w:type="pct"/>
            <w:vMerge w:val="restart"/>
            <w:shd w:val="clear" w:color="auto" w:fill="FFFFFF" w:themeFill="background1"/>
          </w:tcPr>
          <w:p w14:paraId="4BD50283" w14:textId="371C8D61" w:rsidR="00A87676" w:rsidRPr="007360CC" w:rsidRDefault="00A87676" w:rsidP="00291C24">
            <w:pPr>
              <w:keepNext/>
              <w:autoSpaceDE w:val="0"/>
              <w:autoSpaceDN w:val="0"/>
              <w:adjustRightInd w:val="0"/>
              <w:spacing w:before="0"/>
              <w:ind w:left="720" w:hanging="549"/>
              <w:rPr>
                <w:rFonts w:eastAsiaTheme="minorHAnsi"/>
                <w:sz w:val="20"/>
                <w:szCs w:val="20"/>
                <w:lang w:val="en-AU"/>
              </w:rPr>
            </w:pPr>
            <w:bookmarkStart w:id="15" w:name="_Hlk83135774"/>
            <w:r>
              <w:rPr>
                <w:rFonts w:eastAsiaTheme="minorHAnsi"/>
                <w:b/>
                <w:bCs/>
                <w:sz w:val="20"/>
                <w:szCs w:val="20"/>
                <w:lang w:val="en-AU"/>
              </w:rPr>
              <w:t>SOC</w:t>
            </w:r>
            <w:r w:rsidR="003029EA">
              <w:rPr>
                <w:rFonts w:eastAsiaTheme="minorHAnsi"/>
                <w:b/>
                <w:bCs/>
                <w:sz w:val="20"/>
                <w:szCs w:val="20"/>
                <w:lang w:val="en-AU"/>
              </w:rPr>
              <w:t>/</w:t>
            </w:r>
            <w:r w:rsidRPr="007360CC">
              <w:rPr>
                <w:rFonts w:eastAsiaTheme="minorHAnsi"/>
                <w:b/>
                <w:bCs/>
                <w:sz w:val="20"/>
                <w:szCs w:val="20"/>
                <w:lang w:val="en-AU"/>
              </w:rPr>
              <w:t xml:space="preserve">Preferred Term </w:t>
            </w:r>
          </w:p>
        </w:tc>
        <w:tc>
          <w:tcPr>
            <w:tcW w:w="1668" w:type="pct"/>
            <w:shd w:val="clear" w:color="auto" w:fill="FFFFFF" w:themeFill="background1"/>
          </w:tcPr>
          <w:p w14:paraId="3654E91A" w14:textId="0B589C22" w:rsidR="00A87676" w:rsidRPr="007360CC" w:rsidRDefault="00A87676" w:rsidP="00291C24">
            <w:pPr>
              <w:keepNext/>
              <w:autoSpaceDE w:val="0"/>
              <w:autoSpaceDN w:val="0"/>
              <w:adjustRightInd w:val="0"/>
              <w:spacing w:before="0"/>
              <w:jc w:val="center"/>
              <w:rPr>
                <w:rFonts w:eastAsiaTheme="minorHAnsi"/>
                <w:b/>
                <w:bCs/>
                <w:sz w:val="20"/>
                <w:szCs w:val="20"/>
                <w:lang w:val="en-AU"/>
              </w:rPr>
            </w:pPr>
            <w:r w:rsidRPr="002C5C5B">
              <w:rPr>
                <w:rFonts w:eastAsiaTheme="minorHAnsi"/>
                <w:b/>
                <w:bCs/>
                <w:sz w:val="20"/>
                <w:szCs w:val="20"/>
                <w:lang w:val="en-AU"/>
              </w:rPr>
              <w:t>Tavneos</w:t>
            </w:r>
            <w:r w:rsidRPr="007360CC">
              <w:rPr>
                <w:rFonts w:eastAsiaTheme="minorHAnsi"/>
                <w:b/>
                <w:bCs/>
                <w:sz w:val="20"/>
                <w:szCs w:val="20"/>
                <w:lang w:val="en-AU"/>
              </w:rPr>
              <w:t xml:space="preserve"> (N=166)</w:t>
            </w:r>
          </w:p>
        </w:tc>
        <w:tc>
          <w:tcPr>
            <w:tcW w:w="1668" w:type="pct"/>
            <w:shd w:val="clear" w:color="auto" w:fill="FFFFFF" w:themeFill="background1"/>
          </w:tcPr>
          <w:p w14:paraId="45CE3E92" w14:textId="7C5725DF" w:rsidR="00A87676" w:rsidRPr="007360CC" w:rsidRDefault="00A87676" w:rsidP="00291C24">
            <w:pPr>
              <w:keepNext/>
              <w:autoSpaceDE w:val="0"/>
              <w:autoSpaceDN w:val="0"/>
              <w:adjustRightInd w:val="0"/>
              <w:spacing w:before="0"/>
              <w:jc w:val="center"/>
              <w:rPr>
                <w:rFonts w:eastAsiaTheme="minorHAnsi"/>
                <w:sz w:val="20"/>
                <w:szCs w:val="20"/>
                <w:lang w:val="en-AU"/>
              </w:rPr>
            </w:pPr>
            <w:r w:rsidRPr="007360CC">
              <w:rPr>
                <w:rFonts w:eastAsiaTheme="minorHAnsi"/>
                <w:b/>
                <w:bCs/>
                <w:sz w:val="20"/>
                <w:szCs w:val="20"/>
                <w:lang w:val="en-AU"/>
              </w:rPr>
              <w:t>Prednisone (N=164)</w:t>
            </w:r>
          </w:p>
        </w:tc>
      </w:tr>
      <w:tr w:rsidR="00A87676" w:rsidRPr="007360CC" w14:paraId="76F606C2" w14:textId="77777777" w:rsidTr="00A87676">
        <w:trPr>
          <w:trHeight w:val="253"/>
          <w:tblHeader/>
        </w:trPr>
        <w:tc>
          <w:tcPr>
            <w:tcW w:w="1664" w:type="pct"/>
            <w:vMerge/>
            <w:shd w:val="clear" w:color="auto" w:fill="FFFFFF" w:themeFill="background1"/>
          </w:tcPr>
          <w:p w14:paraId="10FA6F7D"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shd w:val="clear" w:color="auto" w:fill="FFFFFF" w:themeFill="background1"/>
          </w:tcPr>
          <w:p w14:paraId="1C651420" w14:textId="4B1F61B9" w:rsidR="00A87676" w:rsidRDefault="00A87676" w:rsidP="00A87676">
            <w:pPr>
              <w:autoSpaceDE w:val="0"/>
              <w:autoSpaceDN w:val="0"/>
              <w:adjustRightInd w:val="0"/>
              <w:spacing w:before="0"/>
              <w:jc w:val="center"/>
              <w:rPr>
                <w:rFonts w:eastAsiaTheme="minorHAnsi"/>
                <w:b/>
                <w:bCs/>
                <w:sz w:val="20"/>
                <w:szCs w:val="20"/>
                <w:lang w:val="en-AU"/>
              </w:rPr>
            </w:pPr>
            <w:r>
              <w:rPr>
                <w:rFonts w:eastAsiaTheme="minorHAnsi"/>
                <w:b/>
                <w:bCs/>
                <w:sz w:val="20"/>
                <w:szCs w:val="20"/>
                <w:lang w:val="en-AU"/>
              </w:rPr>
              <w:br/>
            </w:r>
            <w:r w:rsidRPr="007360CC">
              <w:rPr>
                <w:rFonts w:eastAsiaTheme="minorHAnsi"/>
                <w:b/>
                <w:bCs/>
                <w:sz w:val="20"/>
                <w:szCs w:val="20"/>
                <w:lang w:val="en-AU"/>
              </w:rPr>
              <w:t>%</w:t>
            </w:r>
          </w:p>
        </w:tc>
        <w:tc>
          <w:tcPr>
            <w:tcW w:w="1668" w:type="pct"/>
            <w:shd w:val="clear" w:color="auto" w:fill="FFFFFF" w:themeFill="background1"/>
          </w:tcPr>
          <w:p w14:paraId="7293D2AB" w14:textId="727F657B" w:rsidR="00A87676" w:rsidRPr="007360CC" w:rsidRDefault="00A87676" w:rsidP="00A87676">
            <w:pPr>
              <w:autoSpaceDE w:val="0"/>
              <w:autoSpaceDN w:val="0"/>
              <w:adjustRightInd w:val="0"/>
              <w:spacing w:before="0"/>
              <w:jc w:val="center"/>
              <w:rPr>
                <w:rFonts w:eastAsiaTheme="minorHAnsi"/>
                <w:sz w:val="20"/>
                <w:szCs w:val="20"/>
                <w:lang w:val="en-AU"/>
              </w:rPr>
            </w:pPr>
            <w:r>
              <w:rPr>
                <w:rFonts w:eastAsiaTheme="minorHAnsi"/>
                <w:b/>
                <w:bCs/>
                <w:sz w:val="20"/>
                <w:szCs w:val="20"/>
                <w:lang w:val="en-AU"/>
              </w:rPr>
              <w:br/>
            </w:r>
            <w:r w:rsidRPr="007360CC">
              <w:rPr>
                <w:rFonts w:eastAsiaTheme="minorHAnsi"/>
                <w:b/>
                <w:bCs/>
                <w:sz w:val="20"/>
                <w:szCs w:val="20"/>
                <w:lang w:val="en-AU"/>
              </w:rPr>
              <w:t>%</w:t>
            </w:r>
          </w:p>
        </w:tc>
      </w:tr>
      <w:tr w:rsidR="00A87676" w:rsidRPr="007360CC" w14:paraId="24AF0C89" w14:textId="77777777" w:rsidTr="00A87676">
        <w:trPr>
          <w:trHeight w:val="134"/>
        </w:trPr>
        <w:tc>
          <w:tcPr>
            <w:tcW w:w="1664" w:type="pct"/>
          </w:tcPr>
          <w:p w14:paraId="576E4A32" w14:textId="77777777" w:rsidR="00A87676" w:rsidRPr="007360CC" w:rsidRDefault="00A87676" w:rsidP="00A87676">
            <w:pPr>
              <w:autoSpaceDE w:val="0"/>
              <w:autoSpaceDN w:val="0"/>
              <w:adjustRightInd w:val="0"/>
              <w:spacing w:before="0"/>
              <w:rPr>
                <w:rFonts w:eastAsiaTheme="minorHAnsi"/>
                <w:sz w:val="20"/>
                <w:szCs w:val="20"/>
                <w:lang w:val="en-AU"/>
              </w:rPr>
            </w:pPr>
            <w:r w:rsidRPr="007360CC">
              <w:rPr>
                <w:rFonts w:eastAsiaTheme="minorHAnsi"/>
                <w:sz w:val="20"/>
                <w:szCs w:val="20"/>
                <w:lang w:val="en-AU"/>
              </w:rPr>
              <w:t xml:space="preserve">Any TEAE </w:t>
            </w:r>
          </w:p>
        </w:tc>
        <w:tc>
          <w:tcPr>
            <w:tcW w:w="1668" w:type="pct"/>
          </w:tcPr>
          <w:p w14:paraId="61F8FC03" w14:textId="0DF4DBE3"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98.8</w:t>
            </w:r>
          </w:p>
        </w:tc>
        <w:tc>
          <w:tcPr>
            <w:tcW w:w="1668" w:type="pct"/>
          </w:tcPr>
          <w:p w14:paraId="3D21349C" w14:textId="6CC1CD97"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98.2</w:t>
            </w:r>
          </w:p>
        </w:tc>
      </w:tr>
      <w:tr w:rsidR="00A87676" w:rsidRPr="007360CC" w14:paraId="3B06DE68" w14:textId="77777777" w:rsidTr="00A87676">
        <w:trPr>
          <w:trHeight w:val="134"/>
        </w:trPr>
        <w:tc>
          <w:tcPr>
            <w:tcW w:w="5000" w:type="pct"/>
            <w:gridSpan w:val="3"/>
          </w:tcPr>
          <w:p w14:paraId="69DDD9CB" w14:textId="745E82B0" w:rsidR="00A87676" w:rsidRPr="007360CC" w:rsidRDefault="00A87676" w:rsidP="00382F02">
            <w:pPr>
              <w:autoSpaceDE w:val="0"/>
              <w:autoSpaceDN w:val="0"/>
              <w:adjustRightInd w:val="0"/>
              <w:spacing w:before="0"/>
              <w:rPr>
                <w:rFonts w:eastAsiaTheme="minorHAnsi"/>
                <w:sz w:val="20"/>
                <w:szCs w:val="20"/>
                <w:lang w:val="en-AU"/>
              </w:rPr>
            </w:pPr>
            <w:r w:rsidRPr="009C6293">
              <w:rPr>
                <w:rFonts w:eastAsiaTheme="minorHAnsi"/>
                <w:b/>
                <w:bCs/>
                <w:color w:val="auto"/>
                <w:sz w:val="20"/>
                <w:szCs w:val="20"/>
                <w:lang w:val="en-AU"/>
              </w:rPr>
              <w:t>Infections and Infestations</w:t>
            </w:r>
          </w:p>
        </w:tc>
      </w:tr>
      <w:tr w:rsidR="00A87676" w:rsidRPr="007360CC" w14:paraId="5819759C" w14:textId="77777777" w:rsidTr="00A87676">
        <w:trPr>
          <w:trHeight w:val="134"/>
        </w:trPr>
        <w:tc>
          <w:tcPr>
            <w:tcW w:w="1664" w:type="pct"/>
          </w:tcPr>
          <w:p w14:paraId="2CA292AB"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Nasopharyngitis </w:t>
            </w:r>
          </w:p>
        </w:tc>
        <w:tc>
          <w:tcPr>
            <w:tcW w:w="1668" w:type="pct"/>
          </w:tcPr>
          <w:p w14:paraId="2C35E362" w14:textId="05A4599A"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15.1</w:t>
            </w:r>
          </w:p>
        </w:tc>
        <w:tc>
          <w:tcPr>
            <w:tcW w:w="1668" w:type="pct"/>
          </w:tcPr>
          <w:p w14:paraId="73E17738" w14:textId="3CC6A85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18.3</w:t>
            </w:r>
          </w:p>
        </w:tc>
      </w:tr>
      <w:tr w:rsidR="00A87676" w:rsidRPr="007360CC" w14:paraId="13173104" w14:textId="77777777" w:rsidTr="00A87676">
        <w:trPr>
          <w:trHeight w:val="134"/>
        </w:trPr>
        <w:tc>
          <w:tcPr>
            <w:tcW w:w="1664" w:type="pct"/>
          </w:tcPr>
          <w:p w14:paraId="63C1BCEF"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Upper respiratory tract infection </w:t>
            </w:r>
          </w:p>
        </w:tc>
        <w:tc>
          <w:tcPr>
            <w:tcW w:w="1668" w:type="pct"/>
          </w:tcPr>
          <w:p w14:paraId="65694B96" w14:textId="0D0E1D06"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14.5</w:t>
            </w:r>
          </w:p>
        </w:tc>
        <w:tc>
          <w:tcPr>
            <w:tcW w:w="1668" w:type="pct"/>
          </w:tcPr>
          <w:p w14:paraId="1A79FFCF" w14:textId="2A60FA26"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14.6</w:t>
            </w:r>
          </w:p>
        </w:tc>
      </w:tr>
      <w:tr w:rsidR="00A87676" w:rsidRPr="007360CC" w14:paraId="205EB190"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7BC015A8"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Urinary tract infection </w:t>
            </w:r>
          </w:p>
        </w:tc>
        <w:tc>
          <w:tcPr>
            <w:tcW w:w="1668" w:type="pct"/>
            <w:tcBorders>
              <w:top w:val="single" w:sz="4" w:space="0" w:color="auto"/>
              <w:left w:val="single" w:sz="4" w:space="0" w:color="auto"/>
              <w:bottom w:val="single" w:sz="4" w:space="0" w:color="auto"/>
              <w:right w:val="single" w:sz="4" w:space="0" w:color="auto"/>
            </w:tcBorders>
          </w:tcPr>
          <w:p w14:paraId="068334C7" w14:textId="717C2BD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7.2</w:t>
            </w:r>
          </w:p>
        </w:tc>
        <w:tc>
          <w:tcPr>
            <w:tcW w:w="1668" w:type="pct"/>
            <w:tcBorders>
              <w:top w:val="single" w:sz="4" w:space="0" w:color="auto"/>
              <w:left w:val="single" w:sz="4" w:space="0" w:color="auto"/>
              <w:bottom w:val="single" w:sz="4" w:space="0" w:color="auto"/>
              <w:right w:val="single" w:sz="4" w:space="0" w:color="auto"/>
            </w:tcBorders>
          </w:tcPr>
          <w:p w14:paraId="130BB882" w14:textId="138593C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14.0</w:t>
            </w:r>
          </w:p>
        </w:tc>
      </w:tr>
      <w:tr w:rsidR="00A87676" w:rsidRPr="007360CC" w14:paraId="6FA14208"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BCEB1DC"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Sinusitis </w:t>
            </w:r>
          </w:p>
        </w:tc>
        <w:tc>
          <w:tcPr>
            <w:tcW w:w="1668" w:type="pct"/>
            <w:tcBorders>
              <w:top w:val="single" w:sz="4" w:space="0" w:color="auto"/>
              <w:left w:val="single" w:sz="4" w:space="0" w:color="auto"/>
              <w:bottom w:val="single" w:sz="4" w:space="0" w:color="auto"/>
              <w:right w:val="single" w:sz="4" w:space="0" w:color="auto"/>
            </w:tcBorders>
          </w:tcPr>
          <w:p w14:paraId="11BC657B" w14:textId="43ABE8C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6.0</w:t>
            </w:r>
          </w:p>
        </w:tc>
        <w:tc>
          <w:tcPr>
            <w:tcW w:w="1668" w:type="pct"/>
            <w:tcBorders>
              <w:top w:val="single" w:sz="4" w:space="0" w:color="auto"/>
              <w:left w:val="single" w:sz="4" w:space="0" w:color="auto"/>
              <w:bottom w:val="single" w:sz="4" w:space="0" w:color="auto"/>
              <w:right w:val="single" w:sz="4" w:space="0" w:color="auto"/>
            </w:tcBorders>
          </w:tcPr>
          <w:p w14:paraId="738A28E0" w14:textId="728C76F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7.3</w:t>
            </w:r>
          </w:p>
        </w:tc>
      </w:tr>
      <w:tr w:rsidR="00A87676" w:rsidRPr="007360CC" w14:paraId="6888FF40"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186F2C70"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Oropharyngeal pain </w:t>
            </w:r>
          </w:p>
        </w:tc>
        <w:tc>
          <w:tcPr>
            <w:tcW w:w="1668" w:type="pct"/>
            <w:tcBorders>
              <w:top w:val="single" w:sz="4" w:space="0" w:color="auto"/>
              <w:left w:val="single" w:sz="4" w:space="0" w:color="auto"/>
              <w:bottom w:val="single" w:sz="4" w:space="0" w:color="auto"/>
              <w:right w:val="single" w:sz="4" w:space="0" w:color="auto"/>
            </w:tcBorders>
          </w:tcPr>
          <w:p w14:paraId="736917E0" w14:textId="350EAB6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3.6</w:t>
            </w:r>
          </w:p>
        </w:tc>
        <w:tc>
          <w:tcPr>
            <w:tcW w:w="1668" w:type="pct"/>
            <w:tcBorders>
              <w:top w:val="single" w:sz="4" w:space="0" w:color="auto"/>
              <w:left w:val="single" w:sz="4" w:space="0" w:color="auto"/>
              <w:bottom w:val="single" w:sz="4" w:space="0" w:color="auto"/>
              <w:right w:val="single" w:sz="4" w:space="0" w:color="auto"/>
            </w:tcBorders>
          </w:tcPr>
          <w:p w14:paraId="7C087E27" w14:textId="038DD676"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7.3 </w:t>
            </w:r>
          </w:p>
        </w:tc>
      </w:tr>
      <w:tr w:rsidR="00A87676" w:rsidRPr="007360CC" w14:paraId="1724EFA6"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AB53475"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Pneumonia </w:t>
            </w:r>
          </w:p>
        </w:tc>
        <w:tc>
          <w:tcPr>
            <w:tcW w:w="1668" w:type="pct"/>
            <w:tcBorders>
              <w:top w:val="single" w:sz="4" w:space="0" w:color="auto"/>
              <w:left w:val="single" w:sz="4" w:space="0" w:color="auto"/>
              <w:bottom w:val="single" w:sz="4" w:space="0" w:color="auto"/>
              <w:right w:val="single" w:sz="4" w:space="0" w:color="auto"/>
            </w:tcBorders>
          </w:tcPr>
          <w:p w14:paraId="3CD32C66" w14:textId="0ED291B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6.6</w:t>
            </w:r>
          </w:p>
        </w:tc>
        <w:tc>
          <w:tcPr>
            <w:tcW w:w="1668" w:type="pct"/>
            <w:tcBorders>
              <w:top w:val="single" w:sz="4" w:space="0" w:color="auto"/>
              <w:left w:val="single" w:sz="4" w:space="0" w:color="auto"/>
              <w:bottom w:val="single" w:sz="4" w:space="0" w:color="auto"/>
              <w:right w:val="single" w:sz="4" w:space="0" w:color="auto"/>
            </w:tcBorders>
          </w:tcPr>
          <w:p w14:paraId="44AA5029" w14:textId="21C5D04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6.7</w:t>
            </w:r>
          </w:p>
        </w:tc>
      </w:tr>
      <w:tr w:rsidR="00A87676" w:rsidRPr="007360CC" w14:paraId="60F77AD0"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7F0A65E1" w14:textId="77777777" w:rsidR="00A87676" w:rsidRPr="007360CC" w:rsidRDefault="00A87676" w:rsidP="00A87676">
            <w:pPr>
              <w:autoSpaceDE w:val="0"/>
              <w:autoSpaceDN w:val="0"/>
              <w:adjustRightInd w:val="0"/>
              <w:spacing w:before="0"/>
              <w:ind w:left="171"/>
              <w:rPr>
                <w:rFonts w:eastAsiaTheme="minorHAnsi"/>
                <w:sz w:val="20"/>
                <w:szCs w:val="20"/>
                <w:lang w:val="en-AU"/>
              </w:rPr>
            </w:pPr>
            <w:r w:rsidRPr="007360CC">
              <w:rPr>
                <w:rFonts w:eastAsiaTheme="minorHAnsi"/>
                <w:sz w:val="20"/>
                <w:szCs w:val="20"/>
                <w:lang w:val="en-AU"/>
              </w:rPr>
              <w:t xml:space="preserve">Bronchitis </w:t>
            </w:r>
          </w:p>
        </w:tc>
        <w:tc>
          <w:tcPr>
            <w:tcW w:w="1668" w:type="pct"/>
            <w:tcBorders>
              <w:top w:val="single" w:sz="4" w:space="0" w:color="auto"/>
              <w:left w:val="single" w:sz="4" w:space="0" w:color="auto"/>
              <w:bottom w:val="single" w:sz="4" w:space="0" w:color="auto"/>
              <w:right w:val="single" w:sz="4" w:space="0" w:color="auto"/>
            </w:tcBorders>
          </w:tcPr>
          <w:p w14:paraId="1D7277BD" w14:textId="3F2C162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3.0</w:t>
            </w:r>
          </w:p>
        </w:tc>
        <w:tc>
          <w:tcPr>
            <w:tcW w:w="1668" w:type="pct"/>
            <w:tcBorders>
              <w:top w:val="single" w:sz="4" w:space="0" w:color="auto"/>
              <w:left w:val="single" w:sz="4" w:space="0" w:color="auto"/>
              <w:bottom w:val="single" w:sz="4" w:space="0" w:color="auto"/>
              <w:right w:val="single" w:sz="4" w:space="0" w:color="auto"/>
            </w:tcBorders>
          </w:tcPr>
          <w:p w14:paraId="4CF359E1" w14:textId="0C5B164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6.1</w:t>
            </w:r>
          </w:p>
        </w:tc>
      </w:tr>
      <w:tr w:rsidR="00A87676" w:rsidRPr="007360CC" w14:paraId="6321B933" w14:textId="77777777" w:rsidTr="00291C24">
        <w:trPr>
          <w:trHeight w:val="134"/>
        </w:trPr>
        <w:tc>
          <w:tcPr>
            <w:tcW w:w="1664" w:type="pct"/>
            <w:tcBorders>
              <w:top w:val="single" w:sz="4" w:space="0" w:color="auto"/>
              <w:left w:val="single" w:sz="4" w:space="0" w:color="auto"/>
              <w:bottom w:val="single" w:sz="4" w:space="0" w:color="auto"/>
              <w:right w:val="nil"/>
            </w:tcBorders>
          </w:tcPr>
          <w:p w14:paraId="260911CD" w14:textId="77777777" w:rsidR="00A87676" w:rsidRPr="007360CC" w:rsidRDefault="00A87676" w:rsidP="00A87676">
            <w:pPr>
              <w:autoSpaceDE w:val="0"/>
              <w:autoSpaceDN w:val="0"/>
              <w:adjustRightInd w:val="0"/>
              <w:spacing w:before="0"/>
              <w:ind w:left="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7B8EB6C0"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44FC9CB2" w14:textId="4B684E3F"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382F02" w14:paraId="4ECBED0C" w14:textId="77777777" w:rsidTr="00382F02">
        <w:trPr>
          <w:trHeight w:val="134"/>
        </w:trPr>
        <w:tc>
          <w:tcPr>
            <w:tcW w:w="5000" w:type="pct"/>
            <w:gridSpan w:val="3"/>
          </w:tcPr>
          <w:p w14:paraId="5E455352" w14:textId="4D57D7DE" w:rsidR="00382F02" w:rsidRPr="00382F02" w:rsidRDefault="00382F02" w:rsidP="00382F02">
            <w:pPr>
              <w:autoSpaceDE w:val="0"/>
              <w:autoSpaceDN w:val="0"/>
              <w:adjustRightInd w:val="0"/>
              <w:spacing w:before="0"/>
              <w:rPr>
                <w:rFonts w:eastAsiaTheme="minorHAnsi"/>
                <w:b/>
                <w:bCs/>
                <w:color w:val="auto"/>
                <w:sz w:val="20"/>
                <w:szCs w:val="20"/>
                <w:lang w:val="en-AU"/>
              </w:rPr>
            </w:pPr>
            <w:r w:rsidRPr="009C6293">
              <w:rPr>
                <w:rFonts w:eastAsiaTheme="minorHAnsi"/>
                <w:b/>
                <w:bCs/>
                <w:color w:val="auto"/>
                <w:sz w:val="20"/>
                <w:szCs w:val="20"/>
                <w:lang w:val="en-AU"/>
              </w:rPr>
              <w:t>Gastrointestinal Disorders</w:t>
            </w:r>
          </w:p>
        </w:tc>
      </w:tr>
      <w:tr w:rsidR="00A87676" w:rsidRPr="007360CC" w14:paraId="7DDB394A" w14:textId="77777777" w:rsidTr="00A87676">
        <w:trPr>
          <w:trHeight w:val="134"/>
        </w:trPr>
        <w:tc>
          <w:tcPr>
            <w:tcW w:w="1664" w:type="pct"/>
          </w:tcPr>
          <w:p w14:paraId="5FA4E2F0"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Nausea </w:t>
            </w:r>
          </w:p>
        </w:tc>
        <w:tc>
          <w:tcPr>
            <w:tcW w:w="1668" w:type="pct"/>
          </w:tcPr>
          <w:p w14:paraId="6367B308" w14:textId="1959E03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23.5</w:t>
            </w:r>
          </w:p>
        </w:tc>
        <w:tc>
          <w:tcPr>
            <w:tcW w:w="1668" w:type="pct"/>
          </w:tcPr>
          <w:p w14:paraId="53A3088C" w14:textId="2879CAD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20.7</w:t>
            </w:r>
          </w:p>
        </w:tc>
      </w:tr>
      <w:tr w:rsidR="00A87676" w:rsidRPr="007360CC" w14:paraId="2ED13C91" w14:textId="77777777" w:rsidTr="00A87676">
        <w:trPr>
          <w:trHeight w:val="134"/>
        </w:trPr>
        <w:tc>
          <w:tcPr>
            <w:tcW w:w="1664" w:type="pct"/>
          </w:tcPr>
          <w:p w14:paraId="5E31BAA0"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Diarrhoea </w:t>
            </w:r>
          </w:p>
        </w:tc>
        <w:tc>
          <w:tcPr>
            <w:tcW w:w="1668" w:type="pct"/>
          </w:tcPr>
          <w:p w14:paraId="31CE87D2" w14:textId="27FC1505"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15.1</w:t>
            </w:r>
          </w:p>
        </w:tc>
        <w:tc>
          <w:tcPr>
            <w:tcW w:w="1668" w:type="pct"/>
          </w:tcPr>
          <w:p w14:paraId="34D177F3" w14:textId="1C4C2FB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14.6</w:t>
            </w:r>
          </w:p>
        </w:tc>
      </w:tr>
      <w:tr w:rsidR="00A87676" w:rsidRPr="007360CC" w14:paraId="27E5D270" w14:textId="77777777" w:rsidTr="00A87676">
        <w:trPr>
          <w:trHeight w:val="134"/>
        </w:trPr>
        <w:tc>
          <w:tcPr>
            <w:tcW w:w="1664" w:type="pct"/>
          </w:tcPr>
          <w:p w14:paraId="2C0D6217"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Vomiting </w:t>
            </w:r>
          </w:p>
        </w:tc>
        <w:tc>
          <w:tcPr>
            <w:tcW w:w="1668" w:type="pct"/>
          </w:tcPr>
          <w:p w14:paraId="5BB4B1F6" w14:textId="0CBF35A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15.1</w:t>
            </w:r>
          </w:p>
        </w:tc>
        <w:tc>
          <w:tcPr>
            <w:tcW w:w="1668" w:type="pct"/>
          </w:tcPr>
          <w:p w14:paraId="1878D6E9" w14:textId="5B3D5A0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12.8</w:t>
            </w:r>
          </w:p>
        </w:tc>
      </w:tr>
      <w:tr w:rsidR="00A87676" w:rsidRPr="007360CC" w14:paraId="296753D3"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36C6E14A"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Constipation </w:t>
            </w:r>
          </w:p>
        </w:tc>
        <w:tc>
          <w:tcPr>
            <w:tcW w:w="1668" w:type="pct"/>
            <w:tcBorders>
              <w:top w:val="single" w:sz="4" w:space="0" w:color="auto"/>
              <w:left w:val="single" w:sz="4" w:space="0" w:color="auto"/>
              <w:bottom w:val="single" w:sz="4" w:space="0" w:color="auto"/>
              <w:right w:val="single" w:sz="4" w:space="0" w:color="auto"/>
            </w:tcBorders>
          </w:tcPr>
          <w:p w14:paraId="561BFCEE" w14:textId="1E79795F"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6.6 </w:t>
            </w:r>
          </w:p>
        </w:tc>
        <w:tc>
          <w:tcPr>
            <w:tcW w:w="1668" w:type="pct"/>
            <w:tcBorders>
              <w:top w:val="single" w:sz="4" w:space="0" w:color="auto"/>
              <w:left w:val="single" w:sz="4" w:space="0" w:color="auto"/>
              <w:bottom w:val="single" w:sz="4" w:space="0" w:color="auto"/>
              <w:right w:val="single" w:sz="4" w:space="0" w:color="auto"/>
            </w:tcBorders>
          </w:tcPr>
          <w:p w14:paraId="06BD9C1E" w14:textId="3E1C134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6.7</w:t>
            </w:r>
          </w:p>
        </w:tc>
      </w:tr>
      <w:tr w:rsidR="00A87676" w:rsidRPr="007360CC" w14:paraId="228FEB04"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7C07888F"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Abdominal pain upper </w:t>
            </w:r>
          </w:p>
        </w:tc>
        <w:tc>
          <w:tcPr>
            <w:tcW w:w="1668" w:type="pct"/>
            <w:tcBorders>
              <w:top w:val="single" w:sz="4" w:space="0" w:color="auto"/>
              <w:left w:val="single" w:sz="4" w:space="0" w:color="auto"/>
              <w:bottom w:val="single" w:sz="4" w:space="0" w:color="auto"/>
              <w:right w:val="single" w:sz="4" w:space="0" w:color="auto"/>
            </w:tcBorders>
          </w:tcPr>
          <w:p w14:paraId="7A9CB163" w14:textId="3531EC1B"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6.6 </w:t>
            </w:r>
          </w:p>
        </w:tc>
        <w:tc>
          <w:tcPr>
            <w:tcW w:w="1668" w:type="pct"/>
            <w:tcBorders>
              <w:top w:val="single" w:sz="4" w:space="0" w:color="auto"/>
              <w:left w:val="single" w:sz="4" w:space="0" w:color="auto"/>
              <w:bottom w:val="single" w:sz="4" w:space="0" w:color="auto"/>
              <w:right w:val="single" w:sz="4" w:space="0" w:color="auto"/>
            </w:tcBorders>
          </w:tcPr>
          <w:p w14:paraId="480EDE05" w14:textId="0AC31F8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6.1 </w:t>
            </w:r>
          </w:p>
        </w:tc>
      </w:tr>
      <w:tr w:rsidR="00A87676" w:rsidRPr="007360CC" w14:paraId="1BA412AE"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0637C7CE"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Dyspepsia </w:t>
            </w:r>
          </w:p>
        </w:tc>
        <w:tc>
          <w:tcPr>
            <w:tcW w:w="1668" w:type="pct"/>
            <w:tcBorders>
              <w:top w:val="single" w:sz="4" w:space="0" w:color="auto"/>
              <w:left w:val="single" w:sz="4" w:space="0" w:color="auto"/>
              <w:bottom w:val="single" w:sz="4" w:space="0" w:color="auto"/>
              <w:right w:val="single" w:sz="4" w:space="0" w:color="auto"/>
            </w:tcBorders>
          </w:tcPr>
          <w:p w14:paraId="19B34E45" w14:textId="573BA34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3.0</w:t>
            </w:r>
          </w:p>
        </w:tc>
        <w:tc>
          <w:tcPr>
            <w:tcW w:w="1668" w:type="pct"/>
            <w:tcBorders>
              <w:top w:val="single" w:sz="4" w:space="0" w:color="auto"/>
              <w:left w:val="single" w:sz="4" w:space="0" w:color="auto"/>
              <w:bottom w:val="single" w:sz="4" w:space="0" w:color="auto"/>
              <w:right w:val="single" w:sz="4" w:space="0" w:color="auto"/>
            </w:tcBorders>
          </w:tcPr>
          <w:p w14:paraId="24F8EB07" w14:textId="684E2A2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6.1</w:t>
            </w:r>
          </w:p>
        </w:tc>
      </w:tr>
      <w:tr w:rsidR="00A87676" w:rsidRPr="007360CC" w14:paraId="32570CF0" w14:textId="77777777" w:rsidTr="00291C24">
        <w:trPr>
          <w:trHeight w:val="134"/>
        </w:trPr>
        <w:tc>
          <w:tcPr>
            <w:tcW w:w="1664" w:type="pct"/>
            <w:tcBorders>
              <w:right w:val="nil"/>
            </w:tcBorders>
          </w:tcPr>
          <w:p w14:paraId="006D6346"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1E57A64D"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tcBorders>
          </w:tcPr>
          <w:p w14:paraId="7F862188" w14:textId="0ECE6078"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0D2F6E19" w14:textId="77777777" w:rsidTr="00382F02">
        <w:trPr>
          <w:trHeight w:val="134"/>
        </w:trPr>
        <w:tc>
          <w:tcPr>
            <w:tcW w:w="5000" w:type="pct"/>
            <w:gridSpan w:val="3"/>
          </w:tcPr>
          <w:p w14:paraId="09E093B2" w14:textId="324AE9C8"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Musculoskeletal and Connective Tissue Disorders</w:t>
            </w:r>
          </w:p>
        </w:tc>
      </w:tr>
      <w:tr w:rsidR="00A87676" w:rsidRPr="007360CC" w14:paraId="39788854" w14:textId="77777777" w:rsidTr="00A87676">
        <w:trPr>
          <w:trHeight w:val="134"/>
        </w:trPr>
        <w:tc>
          <w:tcPr>
            <w:tcW w:w="1664" w:type="pct"/>
          </w:tcPr>
          <w:p w14:paraId="6ECD9F2A"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Muscle spasms </w:t>
            </w:r>
          </w:p>
        </w:tc>
        <w:tc>
          <w:tcPr>
            <w:tcW w:w="1668" w:type="pct"/>
          </w:tcPr>
          <w:p w14:paraId="426526EF" w14:textId="25F46C2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10.8</w:t>
            </w:r>
          </w:p>
        </w:tc>
        <w:tc>
          <w:tcPr>
            <w:tcW w:w="1668" w:type="pct"/>
          </w:tcPr>
          <w:p w14:paraId="616006F7" w14:textId="17E835D0"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22.6</w:t>
            </w:r>
          </w:p>
        </w:tc>
      </w:tr>
      <w:tr w:rsidR="00A87676" w:rsidRPr="007360CC" w14:paraId="798D853A" w14:textId="77777777" w:rsidTr="00A87676">
        <w:trPr>
          <w:trHeight w:val="134"/>
        </w:trPr>
        <w:tc>
          <w:tcPr>
            <w:tcW w:w="1664" w:type="pct"/>
          </w:tcPr>
          <w:p w14:paraId="6012C984"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Arthralgia </w:t>
            </w:r>
          </w:p>
        </w:tc>
        <w:tc>
          <w:tcPr>
            <w:tcW w:w="1668" w:type="pct"/>
          </w:tcPr>
          <w:p w14:paraId="5AA624AA" w14:textId="2CE51FC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18.7</w:t>
            </w:r>
          </w:p>
        </w:tc>
        <w:tc>
          <w:tcPr>
            <w:tcW w:w="1668" w:type="pct"/>
          </w:tcPr>
          <w:p w14:paraId="4BC9C656" w14:textId="3D93656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22.0</w:t>
            </w:r>
          </w:p>
        </w:tc>
      </w:tr>
      <w:tr w:rsidR="00A87676" w:rsidRPr="007360CC" w14:paraId="2CE6ACFD" w14:textId="77777777" w:rsidTr="00A87676">
        <w:trPr>
          <w:trHeight w:val="134"/>
        </w:trPr>
        <w:tc>
          <w:tcPr>
            <w:tcW w:w="1664" w:type="pct"/>
          </w:tcPr>
          <w:p w14:paraId="453CFAEE"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Back pain </w:t>
            </w:r>
          </w:p>
        </w:tc>
        <w:tc>
          <w:tcPr>
            <w:tcW w:w="1668" w:type="pct"/>
          </w:tcPr>
          <w:p w14:paraId="5CD4E2CF" w14:textId="6D01F84D"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9.6</w:t>
            </w:r>
          </w:p>
        </w:tc>
        <w:tc>
          <w:tcPr>
            <w:tcW w:w="1668" w:type="pct"/>
          </w:tcPr>
          <w:p w14:paraId="4F7355DA" w14:textId="32D97E73"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13.4</w:t>
            </w:r>
          </w:p>
        </w:tc>
      </w:tr>
      <w:tr w:rsidR="00A87676" w:rsidRPr="007360CC" w14:paraId="73B984D6"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288731E4"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Myalgia </w:t>
            </w:r>
          </w:p>
        </w:tc>
        <w:tc>
          <w:tcPr>
            <w:tcW w:w="1668" w:type="pct"/>
            <w:tcBorders>
              <w:top w:val="single" w:sz="4" w:space="0" w:color="auto"/>
              <w:left w:val="single" w:sz="4" w:space="0" w:color="auto"/>
              <w:bottom w:val="single" w:sz="4" w:space="0" w:color="auto"/>
              <w:right w:val="single" w:sz="4" w:space="0" w:color="auto"/>
            </w:tcBorders>
          </w:tcPr>
          <w:p w14:paraId="2A62576F" w14:textId="7F9F9356"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9.6</w:t>
            </w:r>
          </w:p>
        </w:tc>
        <w:tc>
          <w:tcPr>
            <w:tcW w:w="1668" w:type="pct"/>
            <w:tcBorders>
              <w:top w:val="single" w:sz="4" w:space="0" w:color="auto"/>
              <w:left w:val="single" w:sz="4" w:space="0" w:color="auto"/>
              <w:bottom w:val="single" w:sz="4" w:space="0" w:color="auto"/>
              <w:right w:val="single" w:sz="4" w:space="0" w:color="auto"/>
            </w:tcBorders>
          </w:tcPr>
          <w:p w14:paraId="6591B258" w14:textId="6E0E01A7"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13.4</w:t>
            </w:r>
          </w:p>
        </w:tc>
      </w:tr>
      <w:tr w:rsidR="00A87676" w:rsidRPr="007360CC" w14:paraId="27ED8551"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2F29F72F"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Pain in extremity </w:t>
            </w:r>
          </w:p>
        </w:tc>
        <w:tc>
          <w:tcPr>
            <w:tcW w:w="1668" w:type="pct"/>
            <w:tcBorders>
              <w:top w:val="single" w:sz="4" w:space="0" w:color="auto"/>
              <w:left w:val="single" w:sz="4" w:space="0" w:color="auto"/>
              <w:bottom w:val="single" w:sz="4" w:space="0" w:color="auto"/>
              <w:right w:val="single" w:sz="4" w:space="0" w:color="auto"/>
            </w:tcBorders>
          </w:tcPr>
          <w:p w14:paraId="1D8BCFFD" w14:textId="27E443B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7.8</w:t>
            </w:r>
          </w:p>
        </w:tc>
        <w:tc>
          <w:tcPr>
            <w:tcW w:w="1668" w:type="pct"/>
            <w:tcBorders>
              <w:top w:val="single" w:sz="4" w:space="0" w:color="auto"/>
              <w:left w:val="single" w:sz="4" w:space="0" w:color="auto"/>
              <w:bottom w:val="single" w:sz="4" w:space="0" w:color="auto"/>
              <w:right w:val="single" w:sz="4" w:space="0" w:color="auto"/>
            </w:tcBorders>
          </w:tcPr>
          <w:p w14:paraId="77FCA036" w14:textId="19C1093B"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7.9</w:t>
            </w:r>
          </w:p>
        </w:tc>
      </w:tr>
      <w:tr w:rsidR="00A87676" w:rsidRPr="007360CC" w14:paraId="2B937574"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5E202BB9"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Tremor </w:t>
            </w:r>
          </w:p>
        </w:tc>
        <w:tc>
          <w:tcPr>
            <w:tcW w:w="1668" w:type="pct"/>
            <w:tcBorders>
              <w:top w:val="single" w:sz="4" w:space="0" w:color="auto"/>
              <w:left w:val="single" w:sz="4" w:space="0" w:color="auto"/>
              <w:bottom w:val="single" w:sz="4" w:space="0" w:color="auto"/>
              <w:right w:val="single" w:sz="4" w:space="0" w:color="auto"/>
            </w:tcBorders>
          </w:tcPr>
          <w:p w14:paraId="5B3739B4" w14:textId="7B0614C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1.2</w:t>
            </w:r>
          </w:p>
        </w:tc>
        <w:tc>
          <w:tcPr>
            <w:tcW w:w="1668" w:type="pct"/>
            <w:tcBorders>
              <w:top w:val="single" w:sz="4" w:space="0" w:color="auto"/>
              <w:left w:val="single" w:sz="4" w:space="0" w:color="auto"/>
              <w:bottom w:val="single" w:sz="4" w:space="0" w:color="auto"/>
              <w:right w:val="single" w:sz="4" w:space="0" w:color="auto"/>
            </w:tcBorders>
          </w:tcPr>
          <w:p w14:paraId="133A33FF" w14:textId="17B6CF31"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6.1</w:t>
            </w:r>
          </w:p>
        </w:tc>
      </w:tr>
      <w:tr w:rsidR="00A87676" w:rsidRPr="007360CC" w14:paraId="65832F6E"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530DBB1B"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Paraesthesia </w:t>
            </w:r>
          </w:p>
        </w:tc>
        <w:tc>
          <w:tcPr>
            <w:tcW w:w="1668" w:type="pct"/>
            <w:tcBorders>
              <w:top w:val="single" w:sz="4" w:space="0" w:color="auto"/>
              <w:left w:val="single" w:sz="4" w:space="0" w:color="auto"/>
              <w:bottom w:val="single" w:sz="4" w:space="0" w:color="auto"/>
              <w:right w:val="single" w:sz="4" w:space="0" w:color="auto"/>
            </w:tcBorders>
          </w:tcPr>
          <w:p w14:paraId="5060A24A" w14:textId="3358D01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5.4</w:t>
            </w:r>
          </w:p>
        </w:tc>
        <w:tc>
          <w:tcPr>
            <w:tcW w:w="1668" w:type="pct"/>
            <w:tcBorders>
              <w:top w:val="single" w:sz="4" w:space="0" w:color="auto"/>
              <w:left w:val="single" w:sz="4" w:space="0" w:color="auto"/>
              <w:bottom w:val="single" w:sz="4" w:space="0" w:color="auto"/>
              <w:right w:val="single" w:sz="4" w:space="0" w:color="auto"/>
            </w:tcBorders>
          </w:tcPr>
          <w:p w14:paraId="50CFDE16" w14:textId="70ADA35A"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4.3</w:t>
            </w:r>
          </w:p>
        </w:tc>
      </w:tr>
      <w:tr w:rsidR="00A87676" w:rsidRPr="007360CC" w14:paraId="435D1FDD" w14:textId="77777777" w:rsidTr="00291C24">
        <w:trPr>
          <w:trHeight w:val="134"/>
        </w:trPr>
        <w:tc>
          <w:tcPr>
            <w:tcW w:w="1664" w:type="pct"/>
            <w:tcBorders>
              <w:right w:val="nil"/>
            </w:tcBorders>
          </w:tcPr>
          <w:p w14:paraId="74BF8C63"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52896627"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tcBorders>
          </w:tcPr>
          <w:p w14:paraId="7379B4B6" w14:textId="263ECE9F"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45C51AA4" w14:textId="77777777" w:rsidTr="00382F02">
        <w:trPr>
          <w:trHeight w:val="134"/>
        </w:trPr>
        <w:tc>
          <w:tcPr>
            <w:tcW w:w="5000" w:type="pct"/>
            <w:gridSpan w:val="3"/>
          </w:tcPr>
          <w:p w14:paraId="5B4B9644" w14:textId="43DCA4E3"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General Disorders and Administration Site Conditions</w:t>
            </w:r>
          </w:p>
        </w:tc>
      </w:tr>
      <w:tr w:rsidR="00A87676" w:rsidRPr="007360CC" w14:paraId="64560BAB" w14:textId="77777777" w:rsidTr="00A87676">
        <w:trPr>
          <w:trHeight w:val="134"/>
        </w:trPr>
        <w:tc>
          <w:tcPr>
            <w:tcW w:w="1664" w:type="pct"/>
          </w:tcPr>
          <w:p w14:paraId="4F998534"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Oedema peripheral </w:t>
            </w:r>
          </w:p>
        </w:tc>
        <w:tc>
          <w:tcPr>
            <w:tcW w:w="1668" w:type="pct"/>
          </w:tcPr>
          <w:p w14:paraId="59E11568" w14:textId="7133F777"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21.1</w:t>
            </w:r>
          </w:p>
        </w:tc>
        <w:tc>
          <w:tcPr>
            <w:tcW w:w="1668" w:type="pct"/>
          </w:tcPr>
          <w:p w14:paraId="4F97FDF9" w14:textId="0173FDED"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24.4</w:t>
            </w:r>
          </w:p>
        </w:tc>
      </w:tr>
      <w:tr w:rsidR="00A87676" w:rsidRPr="007360CC" w14:paraId="7A63887F"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540A968E"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Pyrexia </w:t>
            </w:r>
          </w:p>
        </w:tc>
        <w:tc>
          <w:tcPr>
            <w:tcW w:w="1668" w:type="pct"/>
            <w:tcBorders>
              <w:top w:val="single" w:sz="4" w:space="0" w:color="auto"/>
              <w:left w:val="single" w:sz="4" w:space="0" w:color="auto"/>
              <w:bottom w:val="single" w:sz="4" w:space="0" w:color="auto"/>
              <w:right w:val="single" w:sz="4" w:space="0" w:color="auto"/>
            </w:tcBorders>
          </w:tcPr>
          <w:p w14:paraId="1A55110D" w14:textId="71A98CC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9.0</w:t>
            </w:r>
          </w:p>
        </w:tc>
        <w:tc>
          <w:tcPr>
            <w:tcW w:w="1668" w:type="pct"/>
            <w:tcBorders>
              <w:top w:val="single" w:sz="4" w:space="0" w:color="auto"/>
              <w:left w:val="single" w:sz="4" w:space="0" w:color="auto"/>
              <w:bottom w:val="single" w:sz="4" w:space="0" w:color="auto"/>
              <w:right w:val="single" w:sz="4" w:space="0" w:color="auto"/>
            </w:tcBorders>
          </w:tcPr>
          <w:p w14:paraId="353EB3F5" w14:textId="2AFF2C5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11.6</w:t>
            </w:r>
          </w:p>
        </w:tc>
      </w:tr>
      <w:tr w:rsidR="00A87676" w:rsidRPr="007360CC" w14:paraId="08DCA7FF" w14:textId="77777777" w:rsidTr="00A87676">
        <w:trPr>
          <w:trHeight w:val="134"/>
        </w:trPr>
        <w:tc>
          <w:tcPr>
            <w:tcW w:w="1664" w:type="pct"/>
          </w:tcPr>
          <w:p w14:paraId="57785849"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Fatigue </w:t>
            </w:r>
          </w:p>
        </w:tc>
        <w:tc>
          <w:tcPr>
            <w:tcW w:w="1668" w:type="pct"/>
          </w:tcPr>
          <w:p w14:paraId="4592FB00" w14:textId="1089EA7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10.2</w:t>
            </w:r>
          </w:p>
        </w:tc>
        <w:tc>
          <w:tcPr>
            <w:tcW w:w="1668" w:type="pct"/>
          </w:tcPr>
          <w:p w14:paraId="3EDFD4F1" w14:textId="4C7BD47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9.1</w:t>
            </w:r>
          </w:p>
        </w:tc>
      </w:tr>
      <w:tr w:rsidR="00A87676" w:rsidRPr="007360CC" w14:paraId="237DE98A"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142599B0"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top w:val="single" w:sz="4" w:space="0" w:color="auto"/>
              <w:left w:val="single" w:sz="4" w:space="0" w:color="auto"/>
              <w:bottom w:val="single" w:sz="4" w:space="0" w:color="auto"/>
              <w:right w:val="single" w:sz="4" w:space="0" w:color="auto"/>
            </w:tcBorders>
          </w:tcPr>
          <w:p w14:paraId="40B2870B"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single" w:sz="4" w:space="0" w:color="auto"/>
              <w:bottom w:val="single" w:sz="4" w:space="0" w:color="auto"/>
              <w:right w:val="single" w:sz="4" w:space="0" w:color="auto"/>
            </w:tcBorders>
          </w:tcPr>
          <w:p w14:paraId="0185A352" w14:textId="32B40F0F"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3EA0F2CB" w14:textId="77777777" w:rsidTr="00382F02">
        <w:trPr>
          <w:trHeight w:val="134"/>
        </w:trPr>
        <w:tc>
          <w:tcPr>
            <w:tcW w:w="5000" w:type="pct"/>
            <w:gridSpan w:val="3"/>
            <w:tcBorders>
              <w:top w:val="single" w:sz="4" w:space="0" w:color="auto"/>
              <w:left w:val="single" w:sz="4" w:space="0" w:color="auto"/>
              <w:bottom w:val="single" w:sz="4" w:space="0" w:color="auto"/>
              <w:right w:val="single" w:sz="4" w:space="0" w:color="auto"/>
            </w:tcBorders>
          </w:tcPr>
          <w:p w14:paraId="4C27E50D" w14:textId="108AB21E"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Skin And Subcutaneous Tissue Disorders</w:t>
            </w:r>
          </w:p>
        </w:tc>
      </w:tr>
      <w:tr w:rsidR="00A87676" w:rsidRPr="007360CC" w14:paraId="694A9755" w14:textId="77777777" w:rsidTr="00A87676">
        <w:trPr>
          <w:trHeight w:val="134"/>
        </w:trPr>
        <w:tc>
          <w:tcPr>
            <w:tcW w:w="1664" w:type="pct"/>
          </w:tcPr>
          <w:p w14:paraId="594B0E8D"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Rash </w:t>
            </w:r>
          </w:p>
        </w:tc>
        <w:tc>
          <w:tcPr>
            <w:tcW w:w="1668" w:type="pct"/>
          </w:tcPr>
          <w:p w14:paraId="16CFB949" w14:textId="15F5623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11.4</w:t>
            </w:r>
          </w:p>
        </w:tc>
        <w:tc>
          <w:tcPr>
            <w:tcW w:w="1668" w:type="pct"/>
          </w:tcPr>
          <w:p w14:paraId="2F7A1F86" w14:textId="4963DADA"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7.9</w:t>
            </w:r>
          </w:p>
        </w:tc>
      </w:tr>
      <w:tr w:rsidR="00A87676" w:rsidRPr="007360CC" w14:paraId="6B2EF0C3"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D9C8832"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Alopecia </w:t>
            </w:r>
          </w:p>
        </w:tc>
        <w:tc>
          <w:tcPr>
            <w:tcW w:w="1668" w:type="pct"/>
            <w:tcBorders>
              <w:top w:val="single" w:sz="4" w:space="0" w:color="auto"/>
              <w:left w:val="single" w:sz="4" w:space="0" w:color="auto"/>
              <w:bottom w:val="single" w:sz="4" w:space="0" w:color="auto"/>
              <w:right w:val="single" w:sz="4" w:space="0" w:color="auto"/>
            </w:tcBorders>
          </w:tcPr>
          <w:p w14:paraId="420450A9" w14:textId="01C51F7D"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4.2</w:t>
            </w:r>
          </w:p>
        </w:tc>
        <w:tc>
          <w:tcPr>
            <w:tcW w:w="1668" w:type="pct"/>
            <w:tcBorders>
              <w:top w:val="single" w:sz="4" w:space="0" w:color="auto"/>
              <w:left w:val="single" w:sz="4" w:space="0" w:color="auto"/>
              <w:bottom w:val="single" w:sz="4" w:space="0" w:color="auto"/>
              <w:right w:val="single" w:sz="4" w:space="0" w:color="auto"/>
            </w:tcBorders>
          </w:tcPr>
          <w:p w14:paraId="2921CAB8" w14:textId="3A03E210"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7.3</w:t>
            </w:r>
          </w:p>
        </w:tc>
      </w:tr>
      <w:tr w:rsidR="00A87676" w:rsidRPr="007360CC" w14:paraId="684EF523"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02D76467"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Pruritus </w:t>
            </w:r>
          </w:p>
        </w:tc>
        <w:tc>
          <w:tcPr>
            <w:tcW w:w="1668" w:type="pct"/>
            <w:tcBorders>
              <w:top w:val="single" w:sz="4" w:space="0" w:color="auto"/>
              <w:left w:val="single" w:sz="4" w:space="0" w:color="auto"/>
              <w:bottom w:val="single" w:sz="4" w:space="0" w:color="auto"/>
              <w:right w:val="single" w:sz="4" w:space="0" w:color="auto"/>
            </w:tcBorders>
          </w:tcPr>
          <w:p w14:paraId="5706991D" w14:textId="0255B38A"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6.0</w:t>
            </w:r>
          </w:p>
        </w:tc>
        <w:tc>
          <w:tcPr>
            <w:tcW w:w="1668" w:type="pct"/>
            <w:tcBorders>
              <w:top w:val="single" w:sz="4" w:space="0" w:color="auto"/>
              <w:left w:val="single" w:sz="4" w:space="0" w:color="auto"/>
              <w:bottom w:val="single" w:sz="4" w:space="0" w:color="auto"/>
              <w:right w:val="single" w:sz="4" w:space="0" w:color="auto"/>
            </w:tcBorders>
          </w:tcPr>
          <w:p w14:paraId="1C3364C3" w14:textId="3A973CD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6.1</w:t>
            </w:r>
          </w:p>
        </w:tc>
      </w:tr>
      <w:tr w:rsidR="00A87676" w:rsidRPr="007360CC" w14:paraId="11A5FCA8" w14:textId="77777777" w:rsidTr="00291C24">
        <w:trPr>
          <w:trHeight w:val="134"/>
        </w:trPr>
        <w:tc>
          <w:tcPr>
            <w:tcW w:w="1664" w:type="pct"/>
            <w:tcBorders>
              <w:top w:val="single" w:sz="4" w:space="0" w:color="auto"/>
              <w:left w:val="single" w:sz="4" w:space="0" w:color="auto"/>
              <w:bottom w:val="single" w:sz="4" w:space="0" w:color="auto"/>
              <w:right w:val="nil"/>
            </w:tcBorders>
          </w:tcPr>
          <w:p w14:paraId="3C9BD28F" w14:textId="77777777" w:rsidR="00A87676" w:rsidRPr="007360CC" w:rsidRDefault="00A87676" w:rsidP="00A87676">
            <w:pPr>
              <w:autoSpaceDE w:val="0"/>
              <w:autoSpaceDN w:val="0"/>
              <w:adjustRightInd w:val="0"/>
              <w:spacing w:before="0"/>
              <w:ind w:firstLine="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5AEEBCC2"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40E97D1C" w14:textId="332CDB88"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5691F803" w14:textId="77777777" w:rsidTr="00382F02">
        <w:trPr>
          <w:trHeight w:val="134"/>
        </w:trPr>
        <w:tc>
          <w:tcPr>
            <w:tcW w:w="5000" w:type="pct"/>
            <w:gridSpan w:val="3"/>
            <w:tcBorders>
              <w:top w:val="single" w:sz="4" w:space="0" w:color="auto"/>
              <w:left w:val="single" w:sz="4" w:space="0" w:color="auto"/>
              <w:bottom w:val="single" w:sz="4" w:space="0" w:color="auto"/>
              <w:right w:val="single" w:sz="4" w:space="0" w:color="auto"/>
            </w:tcBorders>
          </w:tcPr>
          <w:p w14:paraId="79F78B64" w14:textId="5C19E001"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Nervous System Disorders</w:t>
            </w:r>
          </w:p>
        </w:tc>
      </w:tr>
      <w:tr w:rsidR="00A87676" w:rsidRPr="007360CC" w14:paraId="518F380E" w14:textId="77777777" w:rsidTr="00A87676">
        <w:trPr>
          <w:trHeight w:val="134"/>
        </w:trPr>
        <w:tc>
          <w:tcPr>
            <w:tcW w:w="1664" w:type="pct"/>
          </w:tcPr>
          <w:p w14:paraId="166C0CD1"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Headache </w:t>
            </w:r>
          </w:p>
        </w:tc>
        <w:tc>
          <w:tcPr>
            <w:tcW w:w="1668" w:type="pct"/>
          </w:tcPr>
          <w:p w14:paraId="16EF56B7" w14:textId="2CD5604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20.5</w:t>
            </w:r>
          </w:p>
        </w:tc>
        <w:tc>
          <w:tcPr>
            <w:tcW w:w="1668" w:type="pct"/>
          </w:tcPr>
          <w:p w14:paraId="4A347C9A" w14:textId="7F1D025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14.0</w:t>
            </w:r>
          </w:p>
        </w:tc>
      </w:tr>
      <w:tr w:rsidR="00A87676" w:rsidRPr="007360CC" w14:paraId="2F09731D"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7E665436"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Dizziness </w:t>
            </w:r>
          </w:p>
        </w:tc>
        <w:tc>
          <w:tcPr>
            <w:tcW w:w="1668" w:type="pct"/>
            <w:tcBorders>
              <w:top w:val="single" w:sz="4" w:space="0" w:color="auto"/>
              <w:left w:val="single" w:sz="4" w:space="0" w:color="auto"/>
              <w:bottom w:val="single" w:sz="4" w:space="0" w:color="auto"/>
              <w:right w:val="single" w:sz="4" w:space="0" w:color="auto"/>
            </w:tcBorders>
          </w:tcPr>
          <w:p w14:paraId="4D9EBC77" w14:textId="10DBFFB3"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6.6</w:t>
            </w:r>
          </w:p>
        </w:tc>
        <w:tc>
          <w:tcPr>
            <w:tcW w:w="1668" w:type="pct"/>
            <w:tcBorders>
              <w:top w:val="single" w:sz="4" w:space="0" w:color="auto"/>
              <w:left w:val="single" w:sz="4" w:space="0" w:color="auto"/>
              <w:bottom w:val="single" w:sz="4" w:space="0" w:color="auto"/>
              <w:right w:val="single" w:sz="4" w:space="0" w:color="auto"/>
            </w:tcBorders>
          </w:tcPr>
          <w:p w14:paraId="36B9A7BC" w14:textId="76DE6A3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6.1 </w:t>
            </w:r>
          </w:p>
        </w:tc>
      </w:tr>
      <w:tr w:rsidR="00A87676" w:rsidRPr="007360CC" w14:paraId="4D1281AF" w14:textId="77777777" w:rsidTr="00291C24">
        <w:trPr>
          <w:trHeight w:val="134"/>
        </w:trPr>
        <w:tc>
          <w:tcPr>
            <w:tcW w:w="1664" w:type="pct"/>
            <w:tcBorders>
              <w:top w:val="single" w:sz="4" w:space="0" w:color="auto"/>
              <w:left w:val="single" w:sz="4" w:space="0" w:color="auto"/>
              <w:bottom w:val="single" w:sz="4" w:space="0" w:color="auto"/>
              <w:right w:val="nil"/>
            </w:tcBorders>
          </w:tcPr>
          <w:p w14:paraId="752437CB" w14:textId="77777777" w:rsidR="00A87676" w:rsidRPr="007360CC" w:rsidRDefault="00A87676" w:rsidP="00A87676">
            <w:pPr>
              <w:autoSpaceDE w:val="0"/>
              <w:autoSpaceDN w:val="0"/>
              <w:adjustRightInd w:val="0"/>
              <w:spacing w:before="0"/>
              <w:ind w:firstLine="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6BC49A61"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097D67A0" w14:textId="5DB10974"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2157BE21" w14:textId="77777777" w:rsidTr="00382F02">
        <w:trPr>
          <w:trHeight w:val="134"/>
        </w:trPr>
        <w:tc>
          <w:tcPr>
            <w:tcW w:w="5000" w:type="pct"/>
            <w:gridSpan w:val="3"/>
          </w:tcPr>
          <w:p w14:paraId="334C6738" w14:textId="4084217A"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Investigations</w:t>
            </w:r>
          </w:p>
        </w:tc>
      </w:tr>
      <w:tr w:rsidR="00A87676" w:rsidRPr="007360CC" w14:paraId="7E0A791B"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307E566"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Weight increased </w:t>
            </w:r>
          </w:p>
        </w:tc>
        <w:tc>
          <w:tcPr>
            <w:tcW w:w="1668" w:type="pct"/>
            <w:tcBorders>
              <w:top w:val="single" w:sz="4" w:space="0" w:color="auto"/>
              <w:left w:val="single" w:sz="4" w:space="0" w:color="auto"/>
              <w:bottom w:val="single" w:sz="4" w:space="0" w:color="auto"/>
              <w:right w:val="single" w:sz="4" w:space="0" w:color="auto"/>
            </w:tcBorders>
          </w:tcPr>
          <w:p w14:paraId="05CD1478" w14:textId="62ED3BC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0.6</w:t>
            </w:r>
          </w:p>
        </w:tc>
        <w:tc>
          <w:tcPr>
            <w:tcW w:w="1668" w:type="pct"/>
            <w:tcBorders>
              <w:top w:val="single" w:sz="4" w:space="0" w:color="auto"/>
              <w:left w:val="single" w:sz="4" w:space="0" w:color="auto"/>
              <w:bottom w:val="single" w:sz="4" w:space="0" w:color="auto"/>
              <w:right w:val="single" w:sz="4" w:space="0" w:color="auto"/>
            </w:tcBorders>
          </w:tcPr>
          <w:p w14:paraId="40F86AE6" w14:textId="66B9ED2F"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10.4</w:t>
            </w:r>
          </w:p>
        </w:tc>
      </w:tr>
      <w:tr w:rsidR="00A87676" w:rsidRPr="007360CC" w14:paraId="626202DD"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72D4F552"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lastRenderedPageBreak/>
              <w:t xml:space="preserve">Blood creatinine increased </w:t>
            </w:r>
          </w:p>
        </w:tc>
        <w:tc>
          <w:tcPr>
            <w:tcW w:w="1668" w:type="pct"/>
            <w:tcBorders>
              <w:top w:val="single" w:sz="4" w:space="0" w:color="auto"/>
              <w:left w:val="single" w:sz="4" w:space="0" w:color="auto"/>
              <w:bottom w:val="single" w:sz="4" w:space="0" w:color="auto"/>
              <w:right w:val="single" w:sz="4" w:space="0" w:color="auto"/>
            </w:tcBorders>
          </w:tcPr>
          <w:p w14:paraId="679E2CB0" w14:textId="421B6BFB"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6.0 </w:t>
            </w:r>
          </w:p>
        </w:tc>
        <w:tc>
          <w:tcPr>
            <w:tcW w:w="1668" w:type="pct"/>
            <w:tcBorders>
              <w:top w:val="single" w:sz="4" w:space="0" w:color="auto"/>
              <w:left w:val="single" w:sz="4" w:space="0" w:color="auto"/>
              <w:bottom w:val="single" w:sz="4" w:space="0" w:color="auto"/>
              <w:right w:val="single" w:sz="4" w:space="0" w:color="auto"/>
            </w:tcBorders>
          </w:tcPr>
          <w:p w14:paraId="6ED43602" w14:textId="279704C1"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4.9</w:t>
            </w:r>
          </w:p>
        </w:tc>
      </w:tr>
      <w:tr w:rsidR="00A87676" w:rsidRPr="007360CC" w14:paraId="79804019" w14:textId="77777777" w:rsidTr="00291C24">
        <w:trPr>
          <w:trHeight w:val="134"/>
        </w:trPr>
        <w:tc>
          <w:tcPr>
            <w:tcW w:w="1664" w:type="pct"/>
            <w:tcBorders>
              <w:top w:val="single" w:sz="4" w:space="0" w:color="auto"/>
              <w:left w:val="single" w:sz="4" w:space="0" w:color="auto"/>
              <w:bottom w:val="single" w:sz="4" w:space="0" w:color="auto"/>
              <w:right w:val="nil"/>
            </w:tcBorders>
          </w:tcPr>
          <w:p w14:paraId="6D31AABE" w14:textId="77777777" w:rsidR="00A87676" w:rsidRPr="007360CC" w:rsidRDefault="00A87676" w:rsidP="00A87676">
            <w:pPr>
              <w:autoSpaceDE w:val="0"/>
              <w:autoSpaceDN w:val="0"/>
              <w:adjustRightInd w:val="0"/>
              <w:spacing w:before="0"/>
              <w:ind w:firstLine="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4435FACE"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25701B3C" w14:textId="3A254E34"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3BD47841" w14:textId="77777777" w:rsidTr="00382F02">
        <w:trPr>
          <w:trHeight w:val="134"/>
        </w:trPr>
        <w:tc>
          <w:tcPr>
            <w:tcW w:w="5000" w:type="pct"/>
            <w:gridSpan w:val="3"/>
            <w:tcBorders>
              <w:top w:val="single" w:sz="4" w:space="0" w:color="auto"/>
              <w:left w:val="single" w:sz="4" w:space="0" w:color="auto"/>
              <w:bottom w:val="single" w:sz="4" w:space="0" w:color="auto"/>
              <w:right w:val="single" w:sz="4" w:space="0" w:color="auto"/>
            </w:tcBorders>
          </w:tcPr>
          <w:p w14:paraId="3B4D8AA2" w14:textId="6517DEE2" w:rsidR="00382F02" w:rsidRPr="007360CC" w:rsidRDefault="00382F02" w:rsidP="00382F02">
            <w:pPr>
              <w:autoSpaceDE w:val="0"/>
              <w:autoSpaceDN w:val="0"/>
              <w:adjustRightInd w:val="0"/>
              <w:spacing w:before="0"/>
              <w:rPr>
                <w:rFonts w:eastAsiaTheme="minorHAnsi"/>
                <w:sz w:val="20"/>
                <w:szCs w:val="20"/>
                <w:lang w:val="en-AU"/>
              </w:rPr>
            </w:pPr>
            <w:r w:rsidRPr="007C1E4A">
              <w:rPr>
                <w:rFonts w:eastAsiaTheme="minorHAnsi"/>
                <w:b/>
                <w:bCs/>
                <w:color w:val="auto"/>
                <w:sz w:val="20"/>
                <w:szCs w:val="20"/>
                <w:lang w:val="en-AU"/>
              </w:rPr>
              <w:t>Respiratory, Thoracic and Mediastinal Disorders</w:t>
            </w:r>
          </w:p>
        </w:tc>
      </w:tr>
      <w:tr w:rsidR="00A87676" w:rsidRPr="007360CC" w14:paraId="49C47F92" w14:textId="77777777" w:rsidTr="00A87676">
        <w:trPr>
          <w:trHeight w:val="134"/>
        </w:trPr>
        <w:tc>
          <w:tcPr>
            <w:tcW w:w="1664" w:type="pct"/>
          </w:tcPr>
          <w:p w14:paraId="4BD496D5"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Cough </w:t>
            </w:r>
          </w:p>
        </w:tc>
        <w:tc>
          <w:tcPr>
            <w:tcW w:w="1668" w:type="pct"/>
          </w:tcPr>
          <w:p w14:paraId="4BC815BC" w14:textId="310A4D7B"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15.7</w:t>
            </w:r>
          </w:p>
        </w:tc>
        <w:tc>
          <w:tcPr>
            <w:tcW w:w="1668" w:type="pct"/>
          </w:tcPr>
          <w:p w14:paraId="35AB53DA" w14:textId="468A8975"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15.9</w:t>
            </w:r>
          </w:p>
        </w:tc>
      </w:tr>
      <w:tr w:rsidR="00A87676" w:rsidRPr="007360CC" w14:paraId="5840BB01"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125ED8B6"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Epistaxis </w:t>
            </w:r>
          </w:p>
        </w:tc>
        <w:tc>
          <w:tcPr>
            <w:tcW w:w="1668" w:type="pct"/>
            <w:tcBorders>
              <w:top w:val="single" w:sz="4" w:space="0" w:color="auto"/>
              <w:left w:val="single" w:sz="4" w:space="0" w:color="auto"/>
              <w:bottom w:val="single" w:sz="4" w:space="0" w:color="auto"/>
              <w:right w:val="single" w:sz="4" w:space="0" w:color="auto"/>
            </w:tcBorders>
          </w:tcPr>
          <w:p w14:paraId="730C34A9" w14:textId="734B449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8.4</w:t>
            </w:r>
          </w:p>
        </w:tc>
        <w:tc>
          <w:tcPr>
            <w:tcW w:w="1668" w:type="pct"/>
            <w:tcBorders>
              <w:top w:val="single" w:sz="4" w:space="0" w:color="auto"/>
              <w:left w:val="single" w:sz="4" w:space="0" w:color="auto"/>
              <w:bottom w:val="single" w:sz="4" w:space="0" w:color="auto"/>
              <w:right w:val="single" w:sz="4" w:space="0" w:color="auto"/>
            </w:tcBorders>
          </w:tcPr>
          <w:p w14:paraId="5BAC7B55" w14:textId="55F6AB0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12.8</w:t>
            </w:r>
          </w:p>
        </w:tc>
      </w:tr>
      <w:tr w:rsidR="00A87676" w:rsidRPr="007360CC" w14:paraId="1EE830AE"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4652EDEE"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Dyspnoea </w:t>
            </w:r>
          </w:p>
        </w:tc>
        <w:tc>
          <w:tcPr>
            <w:tcW w:w="1668" w:type="pct"/>
            <w:tcBorders>
              <w:top w:val="single" w:sz="4" w:space="0" w:color="auto"/>
              <w:left w:val="single" w:sz="4" w:space="0" w:color="auto"/>
              <w:bottom w:val="single" w:sz="4" w:space="0" w:color="auto"/>
              <w:right w:val="single" w:sz="4" w:space="0" w:color="auto"/>
            </w:tcBorders>
          </w:tcPr>
          <w:p w14:paraId="47EB21E7" w14:textId="29935E0D"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4.8 </w:t>
            </w:r>
          </w:p>
        </w:tc>
        <w:tc>
          <w:tcPr>
            <w:tcW w:w="1668" w:type="pct"/>
            <w:tcBorders>
              <w:top w:val="single" w:sz="4" w:space="0" w:color="auto"/>
              <w:left w:val="single" w:sz="4" w:space="0" w:color="auto"/>
              <w:bottom w:val="single" w:sz="4" w:space="0" w:color="auto"/>
              <w:right w:val="single" w:sz="4" w:space="0" w:color="auto"/>
            </w:tcBorders>
          </w:tcPr>
          <w:p w14:paraId="767EA8C3" w14:textId="364D20AB"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6.7</w:t>
            </w:r>
          </w:p>
        </w:tc>
      </w:tr>
      <w:tr w:rsidR="00A87676" w:rsidRPr="007360CC" w14:paraId="4FB8CA10" w14:textId="77777777" w:rsidTr="00291C24">
        <w:trPr>
          <w:trHeight w:val="134"/>
        </w:trPr>
        <w:tc>
          <w:tcPr>
            <w:tcW w:w="1664" w:type="pct"/>
            <w:tcBorders>
              <w:top w:val="single" w:sz="4" w:space="0" w:color="auto"/>
              <w:left w:val="single" w:sz="4" w:space="0" w:color="auto"/>
              <w:bottom w:val="single" w:sz="4" w:space="0" w:color="auto"/>
              <w:right w:val="nil"/>
            </w:tcBorders>
          </w:tcPr>
          <w:p w14:paraId="22695097" w14:textId="77777777" w:rsidR="00A87676" w:rsidRPr="007360CC" w:rsidRDefault="00A87676" w:rsidP="00A87676">
            <w:pPr>
              <w:autoSpaceDE w:val="0"/>
              <w:autoSpaceDN w:val="0"/>
              <w:adjustRightInd w:val="0"/>
              <w:spacing w:before="0"/>
              <w:ind w:firstLine="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3548656F"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3D457C02" w14:textId="22807655"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42BEC1F9" w14:textId="77777777" w:rsidTr="00382F02">
        <w:trPr>
          <w:trHeight w:val="134"/>
        </w:trPr>
        <w:tc>
          <w:tcPr>
            <w:tcW w:w="5000" w:type="pct"/>
            <w:gridSpan w:val="3"/>
            <w:tcBorders>
              <w:top w:val="single" w:sz="4" w:space="0" w:color="auto"/>
              <w:left w:val="single" w:sz="4" w:space="0" w:color="auto"/>
              <w:bottom w:val="single" w:sz="4" w:space="0" w:color="auto"/>
              <w:right w:val="single" w:sz="4" w:space="0" w:color="auto"/>
            </w:tcBorders>
          </w:tcPr>
          <w:p w14:paraId="42A23367" w14:textId="7EB28A5A"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Metabolism and Nutrition Disorders</w:t>
            </w:r>
          </w:p>
        </w:tc>
      </w:tr>
      <w:tr w:rsidR="00A87676" w:rsidRPr="007360CC" w14:paraId="67B6AB14"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4BC34B3B"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Hypercholesterolaemia </w:t>
            </w:r>
          </w:p>
        </w:tc>
        <w:tc>
          <w:tcPr>
            <w:tcW w:w="1668" w:type="pct"/>
            <w:tcBorders>
              <w:top w:val="single" w:sz="4" w:space="0" w:color="auto"/>
              <w:left w:val="single" w:sz="4" w:space="0" w:color="auto"/>
              <w:bottom w:val="single" w:sz="4" w:space="0" w:color="auto"/>
              <w:right w:val="single" w:sz="4" w:space="0" w:color="auto"/>
            </w:tcBorders>
          </w:tcPr>
          <w:p w14:paraId="324601A5" w14:textId="158BE2A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7.2 </w:t>
            </w:r>
          </w:p>
        </w:tc>
        <w:tc>
          <w:tcPr>
            <w:tcW w:w="1668" w:type="pct"/>
            <w:tcBorders>
              <w:top w:val="single" w:sz="4" w:space="0" w:color="auto"/>
              <w:left w:val="single" w:sz="4" w:space="0" w:color="auto"/>
              <w:bottom w:val="single" w:sz="4" w:space="0" w:color="auto"/>
              <w:right w:val="single" w:sz="4" w:space="0" w:color="auto"/>
            </w:tcBorders>
          </w:tcPr>
          <w:p w14:paraId="1E2A03FB" w14:textId="2E9F59D5"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12.2 </w:t>
            </w:r>
          </w:p>
        </w:tc>
      </w:tr>
      <w:tr w:rsidR="00A87676" w:rsidRPr="007360CC" w14:paraId="3FD3C7B4" w14:textId="77777777" w:rsidTr="00291C24">
        <w:trPr>
          <w:trHeight w:val="134"/>
        </w:trPr>
        <w:tc>
          <w:tcPr>
            <w:tcW w:w="1664" w:type="pct"/>
            <w:tcBorders>
              <w:right w:val="nil"/>
            </w:tcBorders>
          </w:tcPr>
          <w:p w14:paraId="65CE024B"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6DCACEB4"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tcBorders>
          </w:tcPr>
          <w:p w14:paraId="2B3AE3E5" w14:textId="42B9D26F"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2A49D4BB" w14:textId="77777777" w:rsidTr="00382F02">
        <w:trPr>
          <w:trHeight w:val="134"/>
        </w:trPr>
        <w:tc>
          <w:tcPr>
            <w:tcW w:w="5000" w:type="pct"/>
            <w:gridSpan w:val="3"/>
          </w:tcPr>
          <w:p w14:paraId="56DC4BB3" w14:textId="7821388B"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Vascular Disorders</w:t>
            </w:r>
          </w:p>
        </w:tc>
      </w:tr>
      <w:tr w:rsidR="00A87676" w:rsidRPr="007360CC" w14:paraId="7C2E2283" w14:textId="77777777" w:rsidTr="00291C24">
        <w:trPr>
          <w:trHeight w:val="134"/>
        </w:trPr>
        <w:tc>
          <w:tcPr>
            <w:tcW w:w="1664" w:type="pct"/>
          </w:tcPr>
          <w:p w14:paraId="439347E3"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Hypertension </w:t>
            </w:r>
          </w:p>
        </w:tc>
        <w:tc>
          <w:tcPr>
            <w:tcW w:w="1668" w:type="pct"/>
            <w:tcBorders>
              <w:bottom w:val="single" w:sz="4" w:space="0" w:color="auto"/>
            </w:tcBorders>
          </w:tcPr>
          <w:p w14:paraId="167AE50E" w14:textId="3283EB67"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18.1</w:t>
            </w:r>
          </w:p>
        </w:tc>
        <w:tc>
          <w:tcPr>
            <w:tcW w:w="1668" w:type="pct"/>
          </w:tcPr>
          <w:p w14:paraId="0439BA2B" w14:textId="2A8DA18A"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17.7</w:t>
            </w:r>
          </w:p>
        </w:tc>
      </w:tr>
      <w:tr w:rsidR="00A87676" w:rsidRPr="007360CC" w14:paraId="280D3D82" w14:textId="77777777" w:rsidTr="00291C24">
        <w:trPr>
          <w:trHeight w:val="134"/>
        </w:trPr>
        <w:tc>
          <w:tcPr>
            <w:tcW w:w="1664" w:type="pct"/>
            <w:tcBorders>
              <w:right w:val="nil"/>
            </w:tcBorders>
          </w:tcPr>
          <w:p w14:paraId="10EEF7C0"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60B213F4"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tcBorders>
          </w:tcPr>
          <w:p w14:paraId="3AA3337A" w14:textId="03B20D3A"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7E12507F" w14:textId="77777777" w:rsidTr="00382F02">
        <w:trPr>
          <w:trHeight w:val="134"/>
        </w:trPr>
        <w:tc>
          <w:tcPr>
            <w:tcW w:w="5000" w:type="pct"/>
            <w:gridSpan w:val="3"/>
          </w:tcPr>
          <w:p w14:paraId="3448C6B9" w14:textId="4F1277D8"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Blood and Lymphatic System Disorders</w:t>
            </w:r>
          </w:p>
        </w:tc>
      </w:tr>
      <w:tr w:rsidR="00A87676" w:rsidRPr="007360CC" w14:paraId="3D4892EC"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63B49A2"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Anaemia </w:t>
            </w:r>
          </w:p>
        </w:tc>
        <w:tc>
          <w:tcPr>
            <w:tcW w:w="1668" w:type="pct"/>
            <w:tcBorders>
              <w:top w:val="single" w:sz="4" w:space="0" w:color="auto"/>
              <w:left w:val="single" w:sz="4" w:space="0" w:color="auto"/>
              <w:bottom w:val="single" w:sz="4" w:space="0" w:color="auto"/>
              <w:right w:val="single" w:sz="4" w:space="0" w:color="auto"/>
            </w:tcBorders>
          </w:tcPr>
          <w:p w14:paraId="02B612C4" w14:textId="09EA9F1F"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7.8</w:t>
            </w:r>
          </w:p>
        </w:tc>
        <w:tc>
          <w:tcPr>
            <w:tcW w:w="1668" w:type="pct"/>
            <w:tcBorders>
              <w:top w:val="single" w:sz="4" w:space="0" w:color="auto"/>
              <w:left w:val="single" w:sz="4" w:space="0" w:color="auto"/>
              <w:bottom w:val="single" w:sz="4" w:space="0" w:color="auto"/>
              <w:right w:val="single" w:sz="4" w:space="0" w:color="auto"/>
            </w:tcBorders>
          </w:tcPr>
          <w:p w14:paraId="0B84C05E" w14:textId="24F91562"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11.0</w:t>
            </w:r>
          </w:p>
        </w:tc>
      </w:tr>
      <w:tr w:rsidR="00A87676" w:rsidRPr="007360CC" w14:paraId="5F838DB8"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24394852"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Lymphopenia </w:t>
            </w:r>
          </w:p>
        </w:tc>
        <w:tc>
          <w:tcPr>
            <w:tcW w:w="1668" w:type="pct"/>
            <w:tcBorders>
              <w:top w:val="single" w:sz="4" w:space="0" w:color="auto"/>
              <w:left w:val="single" w:sz="4" w:space="0" w:color="auto"/>
              <w:bottom w:val="single" w:sz="4" w:space="0" w:color="auto"/>
              <w:right w:val="single" w:sz="4" w:space="0" w:color="auto"/>
            </w:tcBorders>
          </w:tcPr>
          <w:p w14:paraId="34959726" w14:textId="08E70D6E"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3.6 </w:t>
            </w:r>
          </w:p>
        </w:tc>
        <w:tc>
          <w:tcPr>
            <w:tcW w:w="1668" w:type="pct"/>
            <w:tcBorders>
              <w:top w:val="single" w:sz="4" w:space="0" w:color="auto"/>
              <w:left w:val="single" w:sz="4" w:space="0" w:color="auto"/>
              <w:bottom w:val="single" w:sz="4" w:space="0" w:color="auto"/>
              <w:right w:val="single" w:sz="4" w:space="0" w:color="auto"/>
            </w:tcBorders>
          </w:tcPr>
          <w:p w14:paraId="44982A6F" w14:textId="1DFAAB9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11.0</w:t>
            </w:r>
          </w:p>
        </w:tc>
      </w:tr>
      <w:tr w:rsidR="00A87676" w:rsidRPr="007360CC" w14:paraId="35E1B68B"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54E0B3EB"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Leukopenia </w:t>
            </w:r>
          </w:p>
        </w:tc>
        <w:tc>
          <w:tcPr>
            <w:tcW w:w="1668" w:type="pct"/>
            <w:tcBorders>
              <w:top w:val="single" w:sz="4" w:space="0" w:color="auto"/>
              <w:left w:val="single" w:sz="4" w:space="0" w:color="auto"/>
              <w:bottom w:val="single" w:sz="4" w:space="0" w:color="auto"/>
              <w:right w:val="single" w:sz="4" w:space="0" w:color="auto"/>
            </w:tcBorders>
          </w:tcPr>
          <w:p w14:paraId="15A90BA6" w14:textId="22FAEC0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7.2</w:t>
            </w:r>
          </w:p>
        </w:tc>
        <w:tc>
          <w:tcPr>
            <w:tcW w:w="1668" w:type="pct"/>
            <w:tcBorders>
              <w:top w:val="single" w:sz="4" w:space="0" w:color="auto"/>
              <w:left w:val="single" w:sz="4" w:space="0" w:color="auto"/>
              <w:bottom w:val="single" w:sz="4" w:space="0" w:color="auto"/>
              <w:right w:val="single" w:sz="4" w:space="0" w:color="auto"/>
            </w:tcBorders>
          </w:tcPr>
          <w:p w14:paraId="4B6323AC" w14:textId="69D46EB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8.5</w:t>
            </w:r>
          </w:p>
        </w:tc>
      </w:tr>
      <w:tr w:rsidR="00A87676" w:rsidRPr="007360CC" w14:paraId="37A11D27"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2F24D3AE"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Increased tendency to bruise </w:t>
            </w:r>
          </w:p>
        </w:tc>
        <w:tc>
          <w:tcPr>
            <w:tcW w:w="1668" w:type="pct"/>
            <w:tcBorders>
              <w:top w:val="single" w:sz="4" w:space="0" w:color="auto"/>
              <w:left w:val="single" w:sz="4" w:space="0" w:color="auto"/>
              <w:bottom w:val="single" w:sz="4" w:space="0" w:color="auto"/>
              <w:right w:val="single" w:sz="4" w:space="0" w:color="auto"/>
            </w:tcBorders>
          </w:tcPr>
          <w:p w14:paraId="11B4FABA" w14:textId="0F3DDC28"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 xml:space="preserve">4.2 </w:t>
            </w:r>
          </w:p>
        </w:tc>
        <w:tc>
          <w:tcPr>
            <w:tcW w:w="1668" w:type="pct"/>
            <w:tcBorders>
              <w:top w:val="single" w:sz="4" w:space="0" w:color="auto"/>
              <w:left w:val="single" w:sz="4" w:space="0" w:color="auto"/>
              <w:bottom w:val="single" w:sz="4" w:space="0" w:color="auto"/>
              <w:right w:val="single" w:sz="4" w:space="0" w:color="auto"/>
            </w:tcBorders>
          </w:tcPr>
          <w:p w14:paraId="32D9843E" w14:textId="1130A19F"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6.1</w:t>
            </w:r>
          </w:p>
        </w:tc>
      </w:tr>
      <w:tr w:rsidR="00A87676" w:rsidRPr="007360CC" w14:paraId="583280F0" w14:textId="77777777" w:rsidTr="00291C24">
        <w:trPr>
          <w:trHeight w:val="134"/>
        </w:trPr>
        <w:tc>
          <w:tcPr>
            <w:tcW w:w="1664" w:type="pct"/>
            <w:tcBorders>
              <w:top w:val="single" w:sz="4" w:space="0" w:color="auto"/>
              <w:left w:val="single" w:sz="4" w:space="0" w:color="auto"/>
              <w:bottom w:val="single" w:sz="4" w:space="0" w:color="auto"/>
              <w:right w:val="nil"/>
            </w:tcBorders>
          </w:tcPr>
          <w:p w14:paraId="38130D71" w14:textId="77777777" w:rsidR="00A87676" w:rsidRPr="007360CC" w:rsidRDefault="00A87676" w:rsidP="00A87676">
            <w:pPr>
              <w:autoSpaceDE w:val="0"/>
              <w:autoSpaceDN w:val="0"/>
              <w:adjustRightInd w:val="0"/>
              <w:spacing w:before="0"/>
              <w:ind w:firstLine="171"/>
              <w:rPr>
                <w:rFonts w:eastAsiaTheme="minorHAnsi"/>
                <w:sz w:val="20"/>
                <w:szCs w:val="20"/>
                <w:lang w:val="en-AU"/>
              </w:rPr>
            </w:pPr>
          </w:p>
        </w:tc>
        <w:tc>
          <w:tcPr>
            <w:tcW w:w="1668" w:type="pct"/>
            <w:tcBorders>
              <w:top w:val="single" w:sz="4" w:space="0" w:color="auto"/>
              <w:left w:val="nil"/>
              <w:bottom w:val="single" w:sz="4" w:space="0" w:color="auto"/>
              <w:right w:val="nil"/>
            </w:tcBorders>
          </w:tcPr>
          <w:p w14:paraId="06AA61A8"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top w:val="single" w:sz="4" w:space="0" w:color="auto"/>
              <w:left w:val="nil"/>
              <w:bottom w:val="single" w:sz="4" w:space="0" w:color="auto"/>
              <w:right w:val="single" w:sz="4" w:space="0" w:color="auto"/>
            </w:tcBorders>
          </w:tcPr>
          <w:p w14:paraId="4DF788B5" w14:textId="67035A41"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38825B5D" w14:textId="77777777" w:rsidTr="00382F02">
        <w:trPr>
          <w:trHeight w:val="134"/>
        </w:trPr>
        <w:tc>
          <w:tcPr>
            <w:tcW w:w="5000" w:type="pct"/>
            <w:gridSpan w:val="3"/>
            <w:tcBorders>
              <w:top w:val="single" w:sz="4" w:space="0" w:color="auto"/>
              <w:left w:val="single" w:sz="4" w:space="0" w:color="auto"/>
              <w:bottom w:val="single" w:sz="4" w:space="0" w:color="auto"/>
              <w:right w:val="single" w:sz="4" w:space="0" w:color="auto"/>
            </w:tcBorders>
          </w:tcPr>
          <w:p w14:paraId="4BB3B2DD" w14:textId="5BDDF357"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Psychiatric Disorders</w:t>
            </w:r>
          </w:p>
        </w:tc>
      </w:tr>
      <w:tr w:rsidR="00A87676" w:rsidRPr="007360CC" w14:paraId="2CBC2672" w14:textId="77777777" w:rsidTr="00291C24">
        <w:trPr>
          <w:trHeight w:val="134"/>
        </w:trPr>
        <w:tc>
          <w:tcPr>
            <w:tcW w:w="1664" w:type="pct"/>
            <w:tcBorders>
              <w:top w:val="single" w:sz="4" w:space="0" w:color="auto"/>
              <w:left w:val="single" w:sz="4" w:space="0" w:color="auto"/>
              <w:bottom w:val="single" w:sz="4" w:space="0" w:color="auto"/>
              <w:right w:val="single" w:sz="4" w:space="0" w:color="auto"/>
            </w:tcBorders>
          </w:tcPr>
          <w:p w14:paraId="6810AEA4"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Insomnia </w:t>
            </w:r>
          </w:p>
        </w:tc>
        <w:tc>
          <w:tcPr>
            <w:tcW w:w="1668" w:type="pct"/>
            <w:tcBorders>
              <w:top w:val="single" w:sz="4" w:space="0" w:color="auto"/>
              <w:left w:val="single" w:sz="4" w:space="0" w:color="auto"/>
              <w:bottom w:val="single" w:sz="4" w:space="0" w:color="auto"/>
              <w:right w:val="single" w:sz="4" w:space="0" w:color="auto"/>
            </w:tcBorders>
          </w:tcPr>
          <w:p w14:paraId="3A57AEAA" w14:textId="53339790"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7.8</w:t>
            </w:r>
          </w:p>
        </w:tc>
        <w:tc>
          <w:tcPr>
            <w:tcW w:w="1668" w:type="pct"/>
            <w:tcBorders>
              <w:top w:val="single" w:sz="4" w:space="0" w:color="auto"/>
              <w:left w:val="single" w:sz="4" w:space="0" w:color="auto"/>
              <w:bottom w:val="single" w:sz="4" w:space="0" w:color="auto"/>
              <w:right w:val="single" w:sz="4" w:space="0" w:color="auto"/>
            </w:tcBorders>
          </w:tcPr>
          <w:p w14:paraId="6308BB05" w14:textId="24C87C5C"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15.2</w:t>
            </w:r>
          </w:p>
        </w:tc>
      </w:tr>
      <w:tr w:rsidR="00A87676" w:rsidRPr="007360CC" w14:paraId="79915E58" w14:textId="77777777" w:rsidTr="00291C24">
        <w:trPr>
          <w:trHeight w:val="134"/>
        </w:trPr>
        <w:tc>
          <w:tcPr>
            <w:tcW w:w="1664" w:type="pct"/>
            <w:tcBorders>
              <w:right w:val="nil"/>
            </w:tcBorders>
          </w:tcPr>
          <w:p w14:paraId="491BB490"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00DB505C"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right w:val="single" w:sz="4" w:space="0" w:color="auto"/>
            </w:tcBorders>
          </w:tcPr>
          <w:p w14:paraId="46EAC749" w14:textId="50D4700C"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3D68B5E5" w14:textId="77777777" w:rsidTr="00382F02">
        <w:trPr>
          <w:trHeight w:val="134"/>
        </w:trPr>
        <w:tc>
          <w:tcPr>
            <w:tcW w:w="5000" w:type="pct"/>
            <w:gridSpan w:val="3"/>
          </w:tcPr>
          <w:p w14:paraId="63D91D89" w14:textId="268C08BE"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Immune System Disorders</w:t>
            </w:r>
          </w:p>
        </w:tc>
      </w:tr>
      <w:tr w:rsidR="00A87676" w:rsidRPr="007360CC" w14:paraId="2B9B85A3" w14:textId="77777777" w:rsidTr="00291C24">
        <w:trPr>
          <w:trHeight w:val="134"/>
        </w:trPr>
        <w:tc>
          <w:tcPr>
            <w:tcW w:w="1664" w:type="pct"/>
          </w:tcPr>
          <w:p w14:paraId="32AE218C" w14:textId="77777777" w:rsidR="00A87676" w:rsidRPr="007360CC" w:rsidRDefault="00A87676" w:rsidP="00A87676">
            <w:pPr>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ANCA-positive vasculitis </w:t>
            </w:r>
          </w:p>
        </w:tc>
        <w:tc>
          <w:tcPr>
            <w:tcW w:w="1668" w:type="pct"/>
            <w:tcBorders>
              <w:bottom w:val="single" w:sz="4" w:space="0" w:color="auto"/>
            </w:tcBorders>
          </w:tcPr>
          <w:p w14:paraId="37B02082" w14:textId="7D4A4F84"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15.7</w:t>
            </w:r>
          </w:p>
        </w:tc>
        <w:tc>
          <w:tcPr>
            <w:tcW w:w="1668" w:type="pct"/>
          </w:tcPr>
          <w:p w14:paraId="5D49D18C" w14:textId="24965E65"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20.7</w:t>
            </w:r>
          </w:p>
        </w:tc>
      </w:tr>
      <w:tr w:rsidR="00A87676" w:rsidRPr="007360CC" w14:paraId="658BC29E" w14:textId="77777777" w:rsidTr="00291C24">
        <w:trPr>
          <w:trHeight w:val="134"/>
        </w:trPr>
        <w:tc>
          <w:tcPr>
            <w:tcW w:w="1664" w:type="pct"/>
            <w:tcBorders>
              <w:right w:val="nil"/>
            </w:tcBorders>
          </w:tcPr>
          <w:p w14:paraId="08628BC5" w14:textId="77777777" w:rsidR="00A87676" w:rsidRPr="007360CC" w:rsidRDefault="00A87676" w:rsidP="00A87676">
            <w:pPr>
              <w:autoSpaceDE w:val="0"/>
              <w:autoSpaceDN w:val="0"/>
              <w:adjustRightInd w:val="0"/>
              <w:spacing w:before="0"/>
              <w:rPr>
                <w:rFonts w:eastAsiaTheme="minorHAnsi"/>
                <w:sz w:val="20"/>
                <w:szCs w:val="20"/>
                <w:lang w:val="en-AU"/>
              </w:rPr>
            </w:pPr>
          </w:p>
        </w:tc>
        <w:tc>
          <w:tcPr>
            <w:tcW w:w="1668" w:type="pct"/>
            <w:tcBorders>
              <w:left w:val="nil"/>
              <w:right w:val="nil"/>
            </w:tcBorders>
          </w:tcPr>
          <w:p w14:paraId="62A8E69B" w14:textId="77777777" w:rsidR="00A87676" w:rsidRPr="007360CC" w:rsidRDefault="00A87676" w:rsidP="00A87676">
            <w:pPr>
              <w:autoSpaceDE w:val="0"/>
              <w:autoSpaceDN w:val="0"/>
              <w:adjustRightInd w:val="0"/>
              <w:spacing w:before="0"/>
              <w:jc w:val="center"/>
              <w:rPr>
                <w:rFonts w:eastAsiaTheme="minorHAnsi"/>
                <w:sz w:val="20"/>
                <w:szCs w:val="20"/>
                <w:lang w:val="en-AU"/>
              </w:rPr>
            </w:pPr>
          </w:p>
        </w:tc>
        <w:tc>
          <w:tcPr>
            <w:tcW w:w="1668" w:type="pct"/>
            <w:tcBorders>
              <w:left w:val="nil"/>
            </w:tcBorders>
          </w:tcPr>
          <w:p w14:paraId="4798B7F8" w14:textId="7ADBF091" w:rsidR="00A87676" w:rsidRPr="007360CC" w:rsidRDefault="00A87676" w:rsidP="00A87676">
            <w:pPr>
              <w:autoSpaceDE w:val="0"/>
              <w:autoSpaceDN w:val="0"/>
              <w:adjustRightInd w:val="0"/>
              <w:spacing w:before="0"/>
              <w:jc w:val="center"/>
              <w:rPr>
                <w:rFonts w:eastAsiaTheme="minorHAnsi"/>
                <w:sz w:val="20"/>
                <w:szCs w:val="20"/>
                <w:lang w:val="en-AU"/>
              </w:rPr>
            </w:pPr>
          </w:p>
        </w:tc>
      </w:tr>
      <w:tr w:rsidR="00382F02" w:rsidRPr="007360CC" w14:paraId="406AEECB" w14:textId="77777777" w:rsidTr="00382F02">
        <w:trPr>
          <w:trHeight w:val="134"/>
        </w:trPr>
        <w:tc>
          <w:tcPr>
            <w:tcW w:w="5000" w:type="pct"/>
            <w:gridSpan w:val="3"/>
          </w:tcPr>
          <w:p w14:paraId="6D8DF02E" w14:textId="494248FD" w:rsidR="00382F02" w:rsidRPr="007360CC" w:rsidRDefault="00382F02" w:rsidP="00382F02">
            <w:pPr>
              <w:autoSpaceDE w:val="0"/>
              <w:autoSpaceDN w:val="0"/>
              <w:adjustRightInd w:val="0"/>
              <w:spacing w:before="0"/>
              <w:rPr>
                <w:rFonts w:eastAsiaTheme="minorHAnsi"/>
                <w:sz w:val="20"/>
                <w:szCs w:val="20"/>
                <w:lang w:val="en-AU"/>
              </w:rPr>
            </w:pPr>
            <w:r w:rsidRPr="00562DB7">
              <w:rPr>
                <w:rFonts w:eastAsiaTheme="minorHAnsi"/>
                <w:b/>
                <w:bCs/>
                <w:color w:val="auto"/>
                <w:sz w:val="20"/>
                <w:szCs w:val="20"/>
                <w:lang w:val="en-AU"/>
              </w:rPr>
              <w:t>Endocrine Disorders</w:t>
            </w:r>
          </w:p>
        </w:tc>
      </w:tr>
      <w:tr w:rsidR="00A87676" w:rsidRPr="007360CC" w14:paraId="08D5E58C" w14:textId="77777777" w:rsidTr="00A87676">
        <w:trPr>
          <w:trHeight w:val="134"/>
        </w:trPr>
        <w:tc>
          <w:tcPr>
            <w:tcW w:w="1664" w:type="pct"/>
            <w:tcBorders>
              <w:top w:val="single" w:sz="4" w:space="0" w:color="auto"/>
              <w:left w:val="single" w:sz="4" w:space="0" w:color="auto"/>
              <w:bottom w:val="single" w:sz="4" w:space="0" w:color="auto"/>
              <w:right w:val="single" w:sz="4" w:space="0" w:color="auto"/>
            </w:tcBorders>
          </w:tcPr>
          <w:p w14:paraId="66FA2848" w14:textId="77777777" w:rsidR="00A87676" w:rsidRPr="007360CC" w:rsidRDefault="00A87676" w:rsidP="00A87676">
            <w:pPr>
              <w:keepNext/>
              <w:autoSpaceDE w:val="0"/>
              <w:autoSpaceDN w:val="0"/>
              <w:adjustRightInd w:val="0"/>
              <w:spacing w:before="0"/>
              <w:ind w:firstLine="171"/>
              <w:rPr>
                <w:rFonts w:eastAsiaTheme="minorHAnsi"/>
                <w:sz w:val="20"/>
                <w:szCs w:val="20"/>
                <w:lang w:val="en-AU"/>
              </w:rPr>
            </w:pPr>
            <w:r w:rsidRPr="007360CC">
              <w:rPr>
                <w:rFonts w:eastAsiaTheme="minorHAnsi"/>
                <w:sz w:val="20"/>
                <w:szCs w:val="20"/>
                <w:lang w:val="en-AU"/>
              </w:rPr>
              <w:t xml:space="preserve">Cushingoid </w:t>
            </w:r>
          </w:p>
        </w:tc>
        <w:tc>
          <w:tcPr>
            <w:tcW w:w="1668" w:type="pct"/>
            <w:tcBorders>
              <w:top w:val="single" w:sz="4" w:space="0" w:color="auto"/>
              <w:left w:val="single" w:sz="4" w:space="0" w:color="auto"/>
              <w:bottom w:val="single" w:sz="4" w:space="0" w:color="auto"/>
              <w:right w:val="single" w:sz="4" w:space="0" w:color="auto"/>
            </w:tcBorders>
          </w:tcPr>
          <w:p w14:paraId="142543C4" w14:textId="26D983D9"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1.8</w:t>
            </w:r>
          </w:p>
        </w:tc>
        <w:tc>
          <w:tcPr>
            <w:tcW w:w="1668" w:type="pct"/>
            <w:tcBorders>
              <w:top w:val="single" w:sz="4" w:space="0" w:color="auto"/>
              <w:left w:val="single" w:sz="4" w:space="0" w:color="auto"/>
              <w:bottom w:val="single" w:sz="4" w:space="0" w:color="auto"/>
              <w:right w:val="single" w:sz="4" w:space="0" w:color="auto"/>
            </w:tcBorders>
          </w:tcPr>
          <w:p w14:paraId="25E8312B" w14:textId="7EFB9237" w:rsidR="00A87676" w:rsidRPr="007360CC" w:rsidRDefault="00A87676" w:rsidP="00A87676">
            <w:pPr>
              <w:autoSpaceDE w:val="0"/>
              <w:autoSpaceDN w:val="0"/>
              <w:adjustRightInd w:val="0"/>
              <w:spacing w:before="0"/>
              <w:jc w:val="center"/>
              <w:rPr>
                <w:rFonts w:eastAsiaTheme="minorHAnsi"/>
                <w:sz w:val="20"/>
                <w:szCs w:val="20"/>
                <w:lang w:val="en-AU"/>
              </w:rPr>
            </w:pPr>
            <w:r w:rsidRPr="007360CC">
              <w:rPr>
                <w:rFonts w:eastAsiaTheme="minorHAnsi"/>
                <w:sz w:val="20"/>
                <w:szCs w:val="20"/>
                <w:lang w:val="en-AU"/>
              </w:rPr>
              <w:t>5.5</w:t>
            </w:r>
          </w:p>
        </w:tc>
      </w:tr>
    </w:tbl>
    <w:bookmarkEnd w:id="15"/>
    <w:p w14:paraId="55AD3C58" w14:textId="6B4C5B4C" w:rsidR="001E4904" w:rsidRPr="00783BC6" w:rsidRDefault="001E4904" w:rsidP="00783BC6">
      <w:pPr>
        <w:pStyle w:val="Heading3"/>
      </w:pPr>
      <w:r w:rsidRPr="00783BC6">
        <w:t>Summary of the safety profile</w:t>
      </w:r>
    </w:p>
    <w:p w14:paraId="16BB3181" w14:textId="39BC20B7" w:rsidR="000E7925" w:rsidRDefault="001E4904" w:rsidP="00787FCF">
      <w:r>
        <w:t>The most common adverse reactions are nausea (</w:t>
      </w:r>
      <w:r w:rsidR="00AD6729">
        <w:t xml:space="preserve">23.5%), headache (20.5%), white blood cell count decreased (18.7 </w:t>
      </w:r>
      <w:r>
        <w:t>%), upper respiratory tract infection (</w:t>
      </w:r>
      <w:r w:rsidR="00787FCF">
        <w:t xml:space="preserve">14.5%), </w:t>
      </w:r>
      <w:proofErr w:type="spellStart"/>
      <w:r w:rsidR="00787FCF">
        <w:t>diarrhoea</w:t>
      </w:r>
      <w:proofErr w:type="spellEnd"/>
      <w:r w:rsidR="00787FCF">
        <w:t xml:space="preserve"> (15.1</w:t>
      </w:r>
      <w:r>
        <w:t>%), vomiting (</w:t>
      </w:r>
      <w:r w:rsidR="00787FCF">
        <w:t>15.1%), and</w:t>
      </w:r>
      <w:r>
        <w:t xml:space="preserve"> nasopharyngitis (</w:t>
      </w:r>
      <w:r w:rsidR="00787FCF">
        <w:t>15.1</w:t>
      </w:r>
      <w:r>
        <w:t>%).</w:t>
      </w:r>
      <w:r w:rsidR="00787FCF">
        <w:t xml:space="preserve"> </w:t>
      </w:r>
    </w:p>
    <w:p w14:paraId="009EC33F" w14:textId="013FDBFC" w:rsidR="00787FCF" w:rsidRDefault="000E7925" w:rsidP="00787FCF">
      <w:pPr>
        <w:rPr>
          <w:rFonts w:eastAsia="SimSun"/>
          <w:color w:val="auto"/>
          <w:sz w:val="22"/>
          <w:szCs w:val="22"/>
          <w:lang w:val="en-GB"/>
        </w:rPr>
      </w:pPr>
      <w:r>
        <w:t>The m</w:t>
      </w:r>
      <w:r w:rsidR="00787FCF">
        <w:t>ost common serious adverse reactions are liver function abnormalities (5.4%) and pneumonia (4.8%).</w:t>
      </w:r>
    </w:p>
    <w:p w14:paraId="40300D65" w14:textId="65B4E8EE" w:rsidR="001E4904" w:rsidRDefault="001E4904" w:rsidP="00150B7C">
      <w:pPr>
        <w:spacing w:before="0"/>
      </w:pPr>
    </w:p>
    <w:p w14:paraId="2FB060F0" w14:textId="77777777" w:rsidR="001E4904" w:rsidRPr="00783BC6" w:rsidRDefault="001E4904" w:rsidP="00150B7C">
      <w:pPr>
        <w:pStyle w:val="Heading3"/>
        <w:spacing w:before="0"/>
      </w:pPr>
      <w:r w:rsidRPr="00783BC6">
        <w:t>Tabulated list of adverse reactions</w:t>
      </w:r>
    </w:p>
    <w:p w14:paraId="03AF6545" w14:textId="012FA521" w:rsidR="001E4904" w:rsidRDefault="001E4904" w:rsidP="001E4904">
      <w:r>
        <w:t xml:space="preserve">The adverse reactions observed in the ANCA-associated vasculitis pivotal phase 3 study in patients treated with </w:t>
      </w:r>
      <w:r w:rsidR="002C5C5B">
        <w:t>Tavneos</w:t>
      </w:r>
      <w:r>
        <w:t xml:space="preserve"> are listed in</w:t>
      </w:r>
      <w:r w:rsidRPr="007A047A">
        <w:t xml:space="preserve"> </w:t>
      </w:r>
      <w:r w:rsidR="007A047A" w:rsidRPr="007A047A">
        <w:fldChar w:fldCharType="begin"/>
      </w:r>
      <w:r w:rsidR="007A047A" w:rsidRPr="007A047A">
        <w:instrText xml:space="preserve"> REF _Ref88558048 \h  \* MERGEFORMAT </w:instrText>
      </w:r>
      <w:r w:rsidR="007A047A" w:rsidRPr="007A047A">
        <w:fldChar w:fldCharType="separate"/>
      </w:r>
      <w:r w:rsidR="00F12523" w:rsidRPr="0037508F">
        <w:t>Table</w:t>
      </w:r>
      <w:r w:rsidR="00F12523" w:rsidRPr="007A047A">
        <w:t xml:space="preserve"> </w:t>
      </w:r>
      <w:r w:rsidR="00F12523" w:rsidRPr="0037508F">
        <w:rPr>
          <w:noProof/>
        </w:rPr>
        <w:t>2</w:t>
      </w:r>
      <w:r w:rsidR="007A047A" w:rsidRPr="007A047A">
        <w:fldChar w:fldCharType="end"/>
      </w:r>
      <w:r w:rsidR="007A047A" w:rsidRPr="007A047A">
        <w:t xml:space="preserve"> </w:t>
      </w:r>
      <w:r>
        <w:t>by system organ class (SOC) and by frequency.</w:t>
      </w:r>
    </w:p>
    <w:p w14:paraId="7ACCBD56" w14:textId="6D6F78E8" w:rsidR="001E4904" w:rsidRDefault="001E4904" w:rsidP="001E4904">
      <w:r>
        <w:t xml:space="preserve">Frequencies are defined as: </w:t>
      </w:r>
      <w:r w:rsidR="00787FCF">
        <w:t xml:space="preserve">very </w:t>
      </w:r>
      <w:r>
        <w:t>common (≥</w:t>
      </w:r>
      <w:r w:rsidR="0016558F">
        <w:t> </w:t>
      </w:r>
      <w:r w:rsidR="00787FCF">
        <w:t>1/10), common (≥ </w:t>
      </w:r>
      <w:r>
        <w:t>1/100 to &lt;</w:t>
      </w:r>
      <w:r w:rsidR="0016558F">
        <w:t> </w:t>
      </w:r>
      <w:r>
        <w:t>1/10) and uncommon (≥</w:t>
      </w:r>
      <w:r w:rsidR="0016558F">
        <w:t> </w:t>
      </w:r>
      <w:r>
        <w:t>1/1,000 to &lt;</w:t>
      </w:r>
      <w:r w:rsidR="0016558F">
        <w:t> </w:t>
      </w:r>
      <w:r>
        <w:t xml:space="preserve">1/100). </w:t>
      </w:r>
      <w:bookmarkStart w:id="16" w:name="OLE_LINK3"/>
      <w:r>
        <w:t xml:space="preserve">Within each frequency grouping, </w:t>
      </w:r>
      <w:r w:rsidR="00787FCF">
        <w:t>adverse reactions</w:t>
      </w:r>
      <w:r>
        <w:t xml:space="preserve"> are presented in </w:t>
      </w:r>
      <w:r w:rsidR="00787FCF">
        <w:t xml:space="preserve">the </w:t>
      </w:r>
      <w:r>
        <w:t>order of decreasing seriousness.</w:t>
      </w:r>
      <w:bookmarkEnd w:id="16"/>
    </w:p>
    <w:p w14:paraId="61585989" w14:textId="126D0C3E" w:rsidR="001E4904" w:rsidRPr="00D97FB9" w:rsidRDefault="007A047A" w:rsidP="00C24455">
      <w:pPr>
        <w:pageBreakBefore/>
        <w:rPr>
          <w:b/>
          <w:bCs/>
        </w:rPr>
      </w:pPr>
      <w:bookmarkStart w:id="17" w:name="_Ref88558048"/>
      <w:r w:rsidRPr="001A4151">
        <w:rPr>
          <w:b/>
          <w:bCs/>
        </w:rPr>
        <w:lastRenderedPageBreak/>
        <w:t>Table</w:t>
      </w:r>
      <w:r w:rsidRPr="007A047A">
        <w:t xml:space="preserve"> </w:t>
      </w:r>
      <w:r w:rsidRPr="001A4151">
        <w:rPr>
          <w:b/>
          <w:bCs/>
        </w:rPr>
        <w:fldChar w:fldCharType="begin"/>
      </w:r>
      <w:r w:rsidRPr="001A4151">
        <w:rPr>
          <w:b/>
          <w:bCs/>
        </w:rPr>
        <w:instrText xml:space="preserve"> SEQ Table \* ARABIC </w:instrText>
      </w:r>
      <w:r w:rsidRPr="001A4151">
        <w:rPr>
          <w:b/>
          <w:bCs/>
        </w:rPr>
        <w:fldChar w:fldCharType="separate"/>
      </w:r>
      <w:r w:rsidR="00D607BF">
        <w:rPr>
          <w:b/>
          <w:bCs/>
          <w:noProof/>
        </w:rPr>
        <w:t>2</w:t>
      </w:r>
      <w:r w:rsidRPr="001A4151">
        <w:rPr>
          <w:b/>
          <w:bCs/>
        </w:rPr>
        <w:fldChar w:fldCharType="end"/>
      </w:r>
      <w:bookmarkEnd w:id="17"/>
      <w:r w:rsidR="001E4904" w:rsidRPr="007A047A">
        <w:rPr>
          <w:b/>
          <w:bCs/>
        </w:rPr>
        <w:t>:</w:t>
      </w:r>
      <w:r>
        <w:rPr>
          <w:b/>
          <w:bCs/>
        </w:rPr>
        <w:t xml:space="preserve"> </w:t>
      </w:r>
      <w:r w:rsidR="00D97FB9" w:rsidRPr="00D97FB9">
        <w:rPr>
          <w:b/>
          <w:bCs/>
        </w:rPr>
        <w:t xml:space="preserve"> </w:t>
      </w:r>
      <w:r w:rsidR="001E4904" w:rsidRPr="00D97FB9">
        <w:rPr>
          <w:b/>
          <w:bCs/>
        </w:rPr>
        <w:t>Adverse reactions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1"/>
        <w:gridCol w:w="1924"/>
        <w:gridCol w:w="2973"/>
        <w:gridCol w:w="2198"/>
      </w:tblGrid>
      <w:tr w:rsidR="00554585" w:rsidRPr="00A72D9F" w14:paraId="0B203B99" w14:textId="77777777" w:rsidTr="35D17F64">
        <w:trPr>
          <w:trHeight w:val="534"/>
          <w:tblHeader/>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22EBF" w14:textId="77777777" w:rsidR="00787FCF" w:rsidRPr="00A72D9F" w:rsidRDefault="00787FCF">
            <w:pPr>
              <w:pStyle w:val="TableParagraph"/>
              <w:spacing w:before="13"/>
              <w:ind w:left="71"/>
              <w:rPr>
                <w:b/>
                <w:sz w:val="20"/>
                <w:szCs w:val="20"/>
              </w:rPr>
            </w:pPr>
            <w:r w:rsidRPr="00A72D9F">
              <w:rPr>
                <w:b/>
                <w:sz w:val="20"/>
                <w:szCs w:val="20"/>
              </w:rPr>
              <w:t>System</w:t>
            </w:r>
            <w:r w:rsidRPr="00A72D9F">
              <w:rPr>
                <w:b/>
                <w:spacing w:val="-3"/>
                <w:sz w:val="20"/>
                <w:szCs w:val="20"/>
              </w:rPr>
              <w:t xml:space="preserve"> </w:t>
            </w:r>
            <w:r w:rsidRPr="00A72D9F">
              <w:rPr>
                <w:b/>
                <w:sz w:val="20"/>
                <w:szCs w:val="20"/>
              </w:rPr>
              <w:t>Organ</w:t>
            </w:r>
            <w:r w:rsidRPr="00A72D9F">
              <w:rPr>
                <w:b/>
                <w:spacing w:val="-2"/>
                <w:sz w:val="20"/>
                <w:szCs w:val="20"/>
              </w:rPr>
              <w:t xml:space="preserve"> </w:t>
            </w:r>
            <w:r w:rsidRPr="00A72D9F">
              <w:rPr>
                <w:b/>
                <w:sz w:val="20"/>
                <w:szCs w:val="20"/>
              </w:rPr>
              <w:t>Class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4F5AE" w14:textId="3EF224F7" w:rsidR="00787FCF" w:rsidRPr="00A72D9F" w:rsidRDefault="00787FCF" w:rsidP="00554585">
            <w:pPr>
              <w:pStyle w:val="TableParagraph"/>
              <w:spacing w:before="13"/>
              <w:ind w:left="71"/>
              <w:rPr>
                <w:b/>
                <w:sz w:val="20"/>
                <w:szCs w:val="20"/>
              </w:rPr>
            </w:pPr>
            <w:r>
              <w:rPr>
                <w:b/>
                <w:sz w:val="20"/>
                <w:szCs w:val="20"/>
              </w:rPr>
              <w:t xml:space="preserve">Very Common </w:t>
            </w:r>
            <w:r w:rsidRPr="00554585">
              <w:rPr>
                <w:b/>
                <w:sz w:val="20"/>
                <w:szCs w:val="20"/>
              </w:rPr>
              <w:t>(≥ 1/10)</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82423" w14:textId="6737D318" w:rsidR="00787FCF" w:rsidRPr="00A72D9F" w:rsidRDefault="00787FCF" w:rsidP="00A72D9F">
            <w:pPr>
              <w:pStyle w:val="TableParagraph"/>
              <w:spacing w:before="10" w:line="252" w:lineRule="exact"/>
              <w:ind w:left="72" w:right="1127"/>
              <w:rPr>
                <w:b/>
                <w:bCs/>
                <w:sz w:val="20"/>
                <w:szCs w:val="20"/>
              </w:rPr>
            </w:pPr>
            <w:r w:rsidRPr="00A72D9F">
              <w:rPr>
                <w:b/>
                <w:sz w:val="20"/>
                <w:szCs w:val="20"/>
              </w:rPr>
              <w:t xml:space="preserve">Common </w:t>
            </w:r>
            <w:r w:rsidRPr="00A72D9F">
              <w:rPr>
                <w:b/>
                <w:sz w:val="20"/>
                <w:szCs w:val="20"/>
              </w:rPr>
              <w:br/>
              <w:t>(≥</w:t>
            </w:r>
            <w:r w:rsidR="0016558F">
              <w:rPr>
                <w:b/>
                <w:sz w:val="20"/>
                <w:szCs w:val="20"/>
              </w:rPr>
              <w:t> </w:t>
            </w:r>
            <w:r w:rsidRPr="00A72D9F">
              <w:rPr>
                <w:b/>
                <w:sz w:val="20"/>
                <w:szCs w:val="20"/>
              </w:rPr>
              <w:t>1/100 to 1/10)</w:t>
            </w: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F28E2" w14:textId="70970C94" w:rsidR="00787FCF" w:rsidRPr="00A72D9F" w:rsidRDefault="00787FCF">
            <w:pPr>
              <w:pStyle w:val="TableParagraph"/>
              <w:spacing w:before="10" w:line="252" w:lineRule="exact"/>
              <w:ind w:left="72" w:right="1127"/>
              <w:rPr>
                <w:b/>
                <w:sz w:val="20"/>
                <w:szCs w:val="20"/>
              </w:rPr>
            </w:pPr>
            <w:r w:rsidRPr="00A72D9F">
              <w:rPr>
                <w:b/>
                <w:sz w:val="20"/>
                <w:szCs w:val="20"/>
              </w:rPr>
              <w:t>Uncommon</w:t>
            </w:r>
            <w:r w:rsidRPr="00A72D9F">
              <w:rPr>
                <w:b/>
                <w:spacing w:val="1"/>
                <w:sz w:val="20"/>
                <w:szCs w:val="20"/>
              </w:rPr>
              <w:t xml:space="preserve"> </w:t>
            </w:r>
            <w:r w:rsidRPr="00A72D9F">
              <w:rPr>
                <w:b/>
                <w:sz w:val="20"/>
                <w:szCs w:val="20"/>
              </w:rPr>
              <w:t>(≥</w:t>
            </w:r>
            <w:r w:rsidR="0016558F">
              <w:rPr>
                <w:b/>
                <w:sz w:val="20"/>
                <w:szCs w:val="20"/>
              </w:rPr>
              <w:t> </w:t>
            </w:r>
            <w:r w:rsidRPr="00A72D9F">
              <w:rPr>
                <w:b/>
                <w:sz w:val="20"/>
                <w:szCs w:val="20"/>
              </w:rPr>
              <w:t>1/1,000</w:t>
            </w:r>
            <w:r w:rsidRPr="00A72D9F">
              <w:rPr>
                <w:b/>
                <w:spacing w:val="-7"/>
                <w:sz w:val="20"/>
                <w:szCs w:val="20"/>
              </w:rPr>
              <w:t xml:space="preserve"> </w:t>
            </w:r>
            <w:r w:rsidRPr="00A72D9F">
              <w:rPr>
                <w:b/>
                <w:sz w:val="20"/>
                <w:szCs w:val="20"/>
              </w:rPr>
              <w:t>to</w:t>
            </w:r>
            <w:r w:rsidRPr="00A72D9F">
              <w:rPr>
                <w:b/>
                <w:spacing w:val="-7"/>
                <w:sz w:val="20"/>
                <w:szCs w:val="20"/>
              </w:rPr>
              <w:t xml:space="preserve"> </w:t>
            </w:r>
            <w:r w:rsidRPr="00A72D9F">
              <w:rPr>
                <w:b/>
                <w:sz w:val="20"/>
                <w:szCs w:val="20"/>
              </w:rPr>
              <w:t>1/100)</w:t>
            </w:r>
          </w:p>
        </w:tc>
      </w:tr>
      <w:tr w:rsidR="00554585" w:rsidRPr="00F54982" w14:paraId="5ABAEC69" w14:textId="77777777" w:rsidTr="35D17F64">
        <w:trPr>
          <w:trHeight w:val="1122"/>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B19B9" w14:textId="77777777" w:rsidR="00787FCF" w:rsidRPr="00A72D9F" w:rsidRDefault="00787FCF">
            <w:pPr>
              <w:pStyle w:val="TableParagraph"/>
              <w:ind w:left="71"/>
              <w:rPr>
                <w:sz w:val="20"/>
                <w:szCs w:val="20"/>
              </w:rPr>
            </w:pPr>
            <w:r w:rsidRPr="00A72D9F">
              <w:rPr>
                <w:sz w:val="20"/>
                <w:szCs w:val="20"/>
              </w:rPr>
              <w:t>Infections</w:t>
            </w:r>
            <w:r w:rsidRPr="00A72D9F">
              <w:rPr>
                <w:spacing w:val="-3"/>
                <w:sz w:val="20"/>
                <w:szCs w:val="20"/>
              </w:rPr>
              <w:t xml:space="preserve"> </w:t>
            </w:r>
            <w:r w:rsidRPr="00A72D9F">
              <w:rPr>
                <w:sz w:val="20"/>
                <w:szCs w:val="20"/>
              </w:rPr>
              <w:t>and</w:t>
            </w:r>
            <w:r w:rsidRPr="00A72D9F">
              <w:rPr>
                <w:spacing w:val="-3"/>
                <w:sz w:val="20"/>
                <w:szCs w:val="20"/>
              </w:rPr>
              <w:t xml:space="preserve"> </w:t>
            </w:r>
            <w:r w:rsidRPr="00A72D9F">
              <w:rPr>
                <w:sz w:val="20"/>
                <w:szCs w:val="20"/>
              </w:rPr>
              <w:t>infestations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F878" w14:textId="3E243849" w:rsidR="00787FCF" w:rsidRPr="001A4151" w:rsidRDefault="00554585">
            <w:pPr>
              <w:pStyle w:val="TableParagraph"/>
              <w:spacing w:line="264" w:lineRule="auto"/>
              <w:ind w:left="71" w:right="132"/>
              <w:rPr>
                <w:sz w:val="20"/>
                <w:szCs w:val="20"/>
              </w:rPr>
            </w:pPr>
            <w:r w:rsidRPr="001A4151">
              <w:rPr>
                <w:sz w:val="20"/>
                <w:szCs w:val="20"/>
              </w:rPr>
              <w:t>Upper respiratory</w:t>
            </w:r>
            <w:r w:rsidR="00E31EE9">
              <w:rPr>
                <w:sz w:val="20"/>
                <w:szCs w:val="20"/>
              </w:rPr>
              <w:t>,</w:t>
            </w:r>
            <w:r w:rsidRPr="001A4151">
              <w:rPr>
                <w:sz w:val="20"/>
                <w:szCs w:val="20"/>
              </w:rPr>
              <w:t xml:space="preserve"> tract infection</w:t>
            </w:r>
            <w:r w:rsidR="0016558F">
              <w:rPr>
                <w:sz w:val="20"/>
                <w:szCs w:val="20"/>
              </w:rPr>
              <w:t>,</w:t>
            </w:r>
          </w:p>
          <w:p w14:paraId="03732F05" w14:textId="4173D320" w:rsidR="00554585" w:rsidRPr="00A72D9F" w:rsidRDefault="00554585">
            <w:pPr>
              <w:pStyle w:val="TableParagraph"/>
              <w:spacing w:line="264" w:lineRule="auto"/>
              <w:ind w:left="71" w:right="132"/>
              <w:rPr>
                <w:sz w:val="20"/>
                <w:szCs w:val="20"/>
              </w:rPr>
            </w:pPr>
            <w:r w:rsidRPr="001A4151">
              <w:rPr>
                <w:sz w:val="20"/>
                <w:szCs w:val="20"/>
              </w:rPr>
              <w:t>Nasopharyngitis</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B97A0" w14:textId="1E944701" w:rsidR="00787FCF" w:rsidRDefault="00787FCF">
            <w:pPr>
              <w:pStyle w:val="TableParagraph"/>
              <w:spacing w:before="0"/>
              <w:ind w:left="71"/>
              <w:rPr>
                <w:sz w:val="20"/>
                <w:szCs w:val="20"/>
              </w:rPr>
            </w:pPr>
            <w:r w:rsidRPr="00A72D9F">
              <w:rPr>
                <w:sz w:val="20"/>
                <w:szCs w:val="20"/>
              </w:rPr>
              <w:t>Pneumonia</w:t>
            </w:r>
            <w:r w:rsidR="00FB3054">
              <w:rPr>
                <w:sz w:val="20"/>
                <w:szCs w:val="20"/>
              </w:rPr>
              <w:t>,</w:t>
            </w:r>
          </w:p>
          <w:p w14:paraId="7694E22A" w14:textId="77777777" w:rsidR="000275B1" w:rsidRPr="000275B1" w:rsidRDefault="000275B1" w:rsidP="000275B1">
            <w:pPr>
              <w:pStyle w:val="TableParagraph"/>
              <w:spacing w:before="0"/>
              <w:ind w:left="71"/>
              <w:rPr>
                <w:sz w:val="20"/>
                <w:szCs w:val="20"/>
              </w:rPr>
            </w:pPr>
            <w:r w:rsidRPr="000275B1">
              <w:rPr>
                <w:sz w:val="20"/>
                <w:szCs w:val="20"/>
              </w:rPr>
              <w:t xml:space="preserve">Lower respiratory tract infection, </w:t>
            </w:r>
          </w:p>
          <w:p w14:paraId="48B56BC1" w14:textId="77777777" w:rsidR="000275B1" w:rsidRPr="000275B1" w:rsidRDefault="000275B1" w:rsidP="000275B1">
            <w:pPr>
              <w:pStyle w:val="TableParagraph"/>
              <w:spacing w:before="0"/>
              <w:ind w:left="71"/>
              <w:rPr>
                <w:sz w:val="20"/>
                <w:szCs w:val="20"/>
              </w:rPr>
            </w:pPr>
            <w:r w:rsidRPr="000275B1">
              <w:rPr>
                <w:sz w:val="20"/>
                <w:szCs w:val="20"/>
              </w:rPr>
              <w:t>Influenza,</w:t>
            </w:r>
          </w:p>
          <w:p w14:paraId="72F3A6BF" w14:textId="77777777" w:rsidR="000275B1" w:rsidRPr="000275B1" w:rsidRDefault="000275B1" w:rsidP="000275B1">
            <w:pPr>
              <w:pStyle w:val="TableParagraph"/>
              <w:spacing w:before="0"/>
              <w:ind w:left="71"/>
              <w:rPr>
                <w:sz w:val="20"/>
                <w:szCs w:val="20"/>
              </w:rPr>
            </w:pPr>
            <w:r w:rsidRPr="000275B1">
              <w:rPr>
                <w:sz w:val="20"/>
                <w:szCs w:val="20"/>
              </w:rPr>
              <w:t>Bronchitis,</w:t>
            </w:r>
          </w:p>
          <w:p w14:paraId="15F8897C" w14:textId="46F70F0B" w:rsidR="000275B1" w:rsidRPr="00A72D9F" w:rsidRDefault="000275B1" w:rsidP="000275B1">
            <w:pPr>
              <w:pStyle w:val="TableParagraph"/>
              <w:spacing w:before="0"/>
              <w:ind w:left="71"/>
              <w:rPr>
                <w:sz w:val="20"/>
                <w:szCs w:val="20"/>
              </w:rPr>
            </w:pPr>
            <w:r w:rsidRPr="000275B1">
              <w:rPr>
                <w:sz w:val="20"/>
                <w:szCs w:val="20"/>
              </w:rPr>
              <w:t>Cellulitis</w:t>
            </w:r>
            <w:r w:rsidR="00E31EE9">
              <w:rPr>
                <w:sz w:val="20"/>
                <w:szCs w:val="20"/>
              </w:rPr>
              <w:t>,</w:t>
            </w:r>
          </w:p>
          <w:p w14:paraId="0030944F" w14:textId="2C070687" w:rsidR="00554585" w:rsidRDefault="00554585" w:rsidP="00554585">
            <w:pPr>
              <w:pStyle w:val="TableParagraph"/>
              <w:spacing w:before="28" w:line="252" w:lineRule="exact"/>
              <w:ind w:left="71"/>
              <w:rPr>
                <w:iCs/>
                <w:sz w:val="20"/>
                <w:szCs w:val="20"/>
                <w:lang w:val="en-GB"/>
              </w:rPr>
            </w:pPr>
            <w:r w:rsidRPr="00554585">
              <w:rPr>
                <w:iCs/>
                <w:sz w:val="20"/>
                <w:szCs w:val="20"/>
                <w:lang w:val="en-GB"/>
              </w:rPr>
              <w:t>Urinary tract infection</w:t>
            </w:r>
            <w:r w:rsidR="00FB3054">
              <w:rPr>
                <w:iCs/>
                <w:sz w:val="20"/>
                <w:szCs w:val="20"/>
                <w:lang w:val="en-GB"/>
              </w:rPr>
              <w:t>,</w:t>
            </w:r>
          </w:p>
          <w:p w14:paraId="05B56870" w14:textId="16F29A7A" w:rsidR="00B94A13" w:rsidRPr="00554585" w:rsidRDefault="00B94A13" w:rsidP="00554585">
            <w:pPr>
              <w:pStyle w:val="TableParagraph"/>
              <w:spacing w:before="28" w:line="252" w:lineRule="exact"/>
              <w:ind w:left="71"/>
              <w:rPr>
                <w:iCs/>
                <w:sz w:val="20"/>
                <w:szCs w:val="20"/>
                <w:lang w:val="en-GB"/>
              </w:rPr>
            </w:pPr>
            <w:r w:rsidRPr="00B94A13">
              <w:rPr>
                <w:iCs/>
                <w:sz w:val="20"/>
                <w:szCs w:val="20"/>
                <w:lang w:val="en-GB"/>
              </w:rPr>
              <w:t>Herpes zoster</w:t>
            </w:r>
            <w:r w:rsidR="00E31EE9">
              <w:rPr>
                <w:iCs/>
                <w:sz w:val="20"/>
                <w:szCs w:val="20"/>
                <w:lang w:val="en-GB"/>
              </w:rPr>
              <w:t>,</w:t>
            </w:r>
          </w:p>
          <w:p w14:paraId="62B64B8D" w14:textId="249233AC" w:rsidR="00554585" w:rsidRDefault="00554585" w:rsidP="00554585">
            <w:pPr>
              <w:pStyle w:val="TableParagraph"/>
              <w:spacing w:before="28" w:line="252" w:lineRule="exact"/>
              <w:ind w:left="71"/>
              <w:rPr>
                <w:iCs/>
                <w:sz w:val="20"/>
                <w:szCs w:val="20"/>
                <w:lang w:val="en-GB"/>
              </w:rPr>
            </w:pPr>
            <w:r w:rsidRPr="00554585">
              <w:rPr>
                <w:iCs/>
                <w:sz w:val="20"/>
                <w:szCs w:val="20"/>
                <w:lang w:val="en-GB"/>
              </w:rPr>
              <w:t>Sinusitis</w:t>
            </w:r>
            <w:r w:rsidR="00FB3054">
              <w:rPr>
                <w:iCs/>
                <w:sz w:val="20"/>
                <w:szCs w:val="20"/>
                <w:lang w:val="en-GB"/>
              </w:rPr>
              <w:t>,</w:t>
            </w:r>
          </w:p>
          <w:p w14:paraId="05FC113A" w14:textId="5AC5FA77" w:rsidR="00B8047F" w:rsidRPr="00554585" w:rsidRDefault="00B8047F" w:rsidP="00554585">
            <w:pPr>
              <w:pStyle w:val="TableParagraph"/>
              <w:spacing w:before="28" w:line="252" w:lineRule="exact"/>
              <w:ind w:left="71"/>
              <w:rPr>
                <w:iCs/>
                <w:sz w:val="20"/>
                <w:szCs w:val="20"/>
                <w:lang w:val="en-GB"/>
              </w:rPr>
            </w:pPr>
            <w:r w:rsidRPr="00B8047F">
              <w:rPr>
                <w:iCs/>
                <w:sz w:val="20"/>
                <w:szCs w:val="20"/>
                <w:lang w:val="en-GB"/>
              </w:rPr>
              <w:t>Oral candidiasis,</w:t>
            </w:r>
          </w:p>
          <w:p w14:paraId="0A14E3B3" w14:textId="5268D0F6" w:rsidR="00554585" w:rsidRPr="007C09F5" w:rsidRDefault="00554585" w:rsidP="00554585">
            <w:pPr>
              <w:pStyle w:val="TableParagraph"/>
              <w:spacing w:before="28" w:line="252" w:lineRule="exact"/>
              <w:ind w:left="71"/>
              <w:rPr>
                <w:iCs/>
                <w:sz w:val="20"/>
                <w:szCs w:val="20"/>
                <w:lang w:val="es-ES"/>
              </w:rPr>
            </w:pPr>
            <w:r w:rsidRPr="007C09F5">
              <w:rPr>
                <w:iCs/>
                <w:sz w:val="20"/>
                <w:szCs w:val="20"/>
                <w:lang w:val="es-ES"/>
              </w:rPr>
              <w:t>Oral herpes</w:t>
            </w:r>
            <w:r w:rsidR="00FB3054" w:rsidRPr="007C09F5">
              <w:rPr>
                <w:iCs/>
                <w:sz w:val="20"/>
                <w:szCs w:val="20"/>
                <w:lang w:val="es-ES"/>
              </w:rPr>
              <w:t>,</w:t>
            </w:r>
          </w:p>
          <w:p w14:paraId="0CC3DEF1" w14:textId="53CA650B" w:rsidR="00F54982" w:rsidRPr="00F54982" w:rsidRDefault="00F54982" w:rsidP="00F54982">
            <w:pPr>
              <w:pStyle w:val="TableParagraph"/>
              <w:spacing w:before="28" w:line="252" w:lineRule="exact"/>
              <w:ind w:left="71"/>
              <w:rPr>
                <w:iCs/>
                <w:sz w:val="20"/>
                <w:szCs w:val="20"/>
                <w:lang w:val="es-ES"/>
              </w:rPr>
            </w:pPr>
            <w:r w:rsidRPr="00F54982">
              <w:rPr>
                <w:iCs/>
                <w:sz w:val="20"/>
                <w:szCs w:val="20"/>
                <w:lang w:val="es-ES"/>
              </w:rPr>
              <w:t>Otitis media</w:t>
            </w:r>
            <w:r w:rsidR="00E31EE9">
              <w:rPr>
                <w:iCs/>
                <w:sz w:val="20"/>
                <w:szCs w:val="20"/>
                <w:lang w:val="es-ES"/>
              </w:rPr>
              <w:t>,</w:t>
            </w:r>
          </w:p>
          <w:p w14:paraId="514C8137" w14:textId="77777777" w:rsidR="00F54982" w:rsidRPr="00F54982" w:rsidRDefault="00F54982" w:rsidP="00F54982">
            <w:pPr>
              <w:pStyle w:val="TableParagraph"/>
              <w:spacing w:before="28" w:line="252" w:lineRule="exact"/>
              <w:ind w:left="71"/>
              <w:rPr>
                <w:iCs/>
                <w:sz w:val="20"/>
                <w:szCs w:val="20"/>
                <w:lang w:val="es-ES"/>
              </w:rPr>
            </w:pPr>
            <w:proofErr w:type="spellStart"/>
            <w:r w:rsidRPr="00F54982">
              <w:rPr>
                <w:iCs/>
                <w:sz w:val="20"/>
                <w:szCs w:val="20"/>
                <w:lang w:val="es-ES"/>
              </w:rPr>
              <w:t>Rhinitis</w:t>
            </w:r>
            <w:proofErr w:type="spellEnd"/>
            <w:r w:rsidRPr="00F54982">
              <w:rPr>
                <w:iCs/>
                <w:sz w:val="20"/>
                <w:szCs w:val="20"/>
                <w:lang w:val="es-ES"/>
              </w:rPr>
              <w:t xml:space="preserve">, </w:t>
            </w:r>
          </w:p>
          <w:p w14:paraId="3666D9F3" w14:textId="61D462B5" w:rsidR="00F54982" w:rsidRPr="00F54982" w:rsidRDefault="00F54982" w:rsidP="00F54982">
            <w:pPr>
              <w:pStyle w:val="TableParagraph"/>
              <w:spacing w:before="28" w:line="252" w:lineRule="exact"/>
              <w:ind w:left="71"/>
              <w:rPr>
                <w:iCs/>
                <w:sz w:val="20"/>
                <w:szCs w:val="20"/>
                <w:lang w:val="es-ES"/>
              </w:rPr>
            </w:pPr>
            <w:r w:rsidRPr="00F54982">
              <w:rPr>
                <w:iCs/>
                <w:sz w:val="20"/>
                <w:szCs w:val="20"/>
                <w:lang w:val="es-ES"/>
              </w:rPr>
              <w:t>Gastroenteritis</w:t>
            </w:r>
          </w:p>
          <w:p w14:paraId="3D948DEC" w14:textId="517D4F5D" w:rsidR="00554585" w:rsidRPr="00F54982" w:rsidRDefault="00554585" w:rsidP="00554585">
            <w:pPr>
              <w:pStyle w:val="TableParagraph"/>
              <w:spacing w:before="28" w:line="252" w:lineRule="exact"/>
              <w:ind w:left="71"/>
              <w:rPr>
                <w:sz w:val="20"/>
                <w:szCs w:val="20"/>
                <w:lang w:val="es-ES"/>
              </w:rPr>
            </w:pP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6471" w14:textId="77777777" w:rsidR="00787FCF" w:rsidRPr="00F54982" w:rsidRDefault="00787FCF">
            <w:pPr>
              <w:pStyle w:val="TableParagraph"/>
              <w:spacing w:before="0"/>
              <w:rPr>
                <w:sz w:val="20"/>
                <w:szCs w:val="20"/>
                <w:lang w:val="es-ES"/>
              </w:rPr>
            </w:pPr>
          </w:p>
        </w:tc>
      </w:tr>
      <w:tr w:rsidR="00554585" w:rsidRPr="00A72D9F" w14:paraId="29B6511A" w14:textId="77777777" w:rsidTr="35D17F64">
        <w:trPr>
          <w:trHeight w:val="534"/>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C5C2C" w14:textId="77777777" w:rsidR="00787FCF" w:rsidRPr="00A72D9F" w:rsidRDefault="00787FCF">
            <w:pPr>
              <w:pStyle w:val="TableParagraph"/>
              <w:ind w:left="71" w:right="459"/>
              <w:rPr>
                <w:sz w:val="20"/>
                <w:szCs w:val="20"/>
              </w:rPr>
            </w:pPr>
            <w:r w:rsidRPr="00A72D9F">
              <w:rPr>
                <w:sz w:val="20"/>
                <w:szCs w:val="20"/>
              </w:rPr>
              <w:t>Blood and lymphatic system</w:t>
            </w:r>
            <w:r w:rsidRPr="00A72D9F">
              <w:rPr>
                <w:spacing w:val="-52"/>
                <w:sz w:val="20"/>
                <w:szCs w:val="20"/>
              </w:rPr>
              <w:t xml:space="preserve"> </w:t>
            </w:r>
            <w:r w:rsidRPr="00A72D9F">
              <w:rPr>
                <w:sz w:val="20"/>
                <w:szCs w:val="20"/>
              </w:rPr>
              <w:t>disorders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5B70" w14:textId="77777777" w:rsidR="00787FCF" w:rsidRPr="00A72D9F" w:rsidRDefault="00787FCF">
            <w:pPr>
              <w:pStyle w:val="TableParagraph"/>
              <w:ind w:left="71"/>
              <w:rPr>
                <w:sz w:val="20"/>
                <w:szCs w:val="20"/>
              </w:rPr>
            </w:pP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8F0A2" w14:textId="74DF749B" w:rsidR="00787FCF" w:rsidRPr="00A72D9F" w:rsidRDefault="00787FCF">
            <w:pPr>
              <w:pStyle w:val="TableParagraph"/>
              <w:ind w:left="71"/>
              <w:rPr>
                <w:sz w:val="20"/>
                <w:szCs w:val="20"/>
              </w:rPr>
            </w:pPr>
            <w:r w:rsidRPr="00A72D9F">
              <w:rPr>
                <w:sz w:val="20"/>
                <w:szCs w:val="20"/>
              </w:rPr>
              <w:t>Neutropenia</w:t>
            </w: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438DC" w14:textId="77777777" w:rsidR="00787FCF" w:rsidRPr="00A72D9F" w:rsidRDefault="00787FCF">
            <w:pPr>
              <w:pStyle w:val="TableParagraph"/>
              <w:spacing w:before="0"/>
              <w:rPr>
                <w:sz w:val="20"/>
                <w:szCs w:val="20"/>
              </w:rPr>
            </w:pPr>
          </w:p>
        </w:tc>
      </w:tr>
      <w:tr w:rsidR="00554585" w:rsidRPr="00A72D9F" w14:paraId="7293889E" w14:textId="77777777" w:rsidTr="35D17F64">
        <w:trPr>
          <w:trHeight w:val="280"/>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20B9D" w14:textId="77777777" w:rsidR="00787FCF" w:rsidRPr="00A72D9F" w:rsidRDefault="00787FCF">
            <w:pPr>
              <w:pStyle w:val="TableParagraph"/>
              <w:spacing w:line="252" w:lineRule="exact"/>
              <w:ind w:left="71"/>
              <w:rPr>
                <w:sz w:val="20"/>
                <w:szCs w:val="20"/>
              </w:rPr>
            </w:pPr>
            <w:r w:rsidRPr="00A72D9F">
              <w:rPr>
                <w:sz w:val="20"/>
                <w:szCs w:val="20"/>
              </w:rPr>
              <w:t>Nervous</w:t>
            </w:r>
            <w:r w:rsidRPr="00A72D9F">
              <w:rPr>
                <w:spacing w:val="-2"/>
                <w:sz w:val="20"/>
                <w:szCs w:val="20"/>
              </w:rPr>
              <w:t xml:space="preserve"> </w:t>
            </w:r>
            <w:r w:rsidRPr="00A72D9F">
              <w:rPr>
                <w:sz w:val="20"/>
                <w:szCs w:val="20"/>
              </w:rPr>
              <w:t>system</w:t>
            </w:r>
            <w:r w:rsidRPr="00A72D9F">
              <w:rPr>
                <w:spacing w:val="-4"/>
                <w:sz w:val="20"/>
                <w:szCs w:val="20"/>
              </w:rPr>
              <w:t xml:space="preserve"> </w:t>
            </w:r>
            <w:r w:rsidRPr="00A72D9F">
              <w:rPr>
                <w:sz w:val="20"/>
                <w:szCs w:val="20"/>
              </w:rPr>
              <w:t>disorders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42F4" w14:textId="151D9AE5" w:rsidR="00787FCF" w:rsidRPr="00A72D9F" w:rsidRDefault="00FB3054">
            <w:pPr>
              <w:pStyle w:val="TableParagraph"/>
              <w:spacing w:line="252" w:lineRule="exact"/>
              <w:ind w:left="71"/>
              <w:rPr>
                <w:sz w:val="20"/>
                <w:szCs w:val="20"/>
              </w:rPr>
            </w:pPr>
            <w:r w:rsidRPr="00A72D9F">
              <w:rPr>
                <w:sz w:val="20"/>
                <w:szCs w:val="20"/>
              </w:rPr>
              <w:t>Headache</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47694" w14:textId="1A25488F" w:rsidR="00787FCF" w:rsidRPr="00A72D9F" w:rsidRDefault="00787FCF">
            <w:pPr>
              <w:pStyle w:val="TableParagraph"/>
              <w:spacing w:line="252" w:lineRule="exact"/>
              <w:ind w:left="71"/>
              <w:rPr>
                <w:sz w:val="20"/>
                <w:szCs w:val="20"/>
              </w:rPr>
            </w:pP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DEDC" w14:textId="77777777" w:rsidR="00787FCF" w:rsidRPr="00A72D9F" w:rsidRDefault="00787FCF">
            <w:pPr>
              <w:pStyle w:val="TableParagraph"/>
              <w:spacing w:before="0"/>
              <w:rPr>
                <w:sz w:val="20"/>
                <w:szCs w:val="20"/>
              </w:rPr>
            </w:pPr>
          </w:p>
        </w:tc>
      </w:tr>
      <w:tr w:rsidR="00554585" w:rsidRPr="00A72D9F" w14:paraId="4A8C26AF" w14:textId="77777777" w:rsidTr="35D17F64">
        <w:trPr>
          <w:trHeight w:val="904"/>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D086A" w14:textId="77777777" w:rsidR="00787FCF" w:rsidRPr="00A72D9F" w:rsidRDefault="00787FCF">
            <w:pPr>
              <w:pStyle w:val="TableParagraph"/>
              <w:ind w:left="71"/>
              <w:rPr>
                <w:sz w:val="20"/>
                <w:szCs w:val="20"/>
              </w:rPr>
            </w:pPr>
            <w:r w:rsidRPr="00A72D9F">
              <w:rPr>
                <w:sz w:val="20"/>
                <w:szCs w:val="20"/>
              </w:rPr>
              <w:t>Gastrointestinal</w:t>
            </w:r>
            <w:r w:rsidRPr="00A72D9F">
              <w:rPr>
                <w:spacing w:val="-3"/>
                <w:sz w:val="20"/>
                <w:szCs w:val="20"/>
              </w:rPr>
              <w:t xml:space="preserve"> </w:t>
            </w:r>
            <w:r w:rsidRPr="00A72D9F">
              <w:rPr>
                <w:sz w:val="20"/>
                <w:szCs w:val="20"/>
              </w:rPr>
              <w:t>disorders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D6E8D" w14:textId="6ED380F4" w:rsidR="0017449F" w:rsidRPr="0017449F" w:rsidRDefault="0017449F" w:rsidP="0017449F">
            <w:pPr>
              <w:pStyle w:val="TableParagraph"/>
              <w:spacing w:line="264" w:lineRule="auto"/>
              <w:ind w:left="71" w:right="132"/>
              <w:rPr>
                <w:sz w:val="20"/>
                <w:szCs w:val="20"/>
              </w:rPr>
            </w:pPr>
            <w:r w:rsidRPr="0017449F">
              <w:rPr>
                <w:sz w:val="20"/>
                <w:szCs w:val="20"/>
              </w:rPr>
              <w:t>Vomiting</w:t>
            </w:r>
            <w:r w:rsidR="00E31EE9">
              <w:rPr>
                <w:sz w:val="20"/>
                <w:szCs w:val="20"/>
              </w:rPr>
              <w:t>,</w:t>
            </w:r>
          </w:p>
          <w:p w14:paraId="324728E5" w14:textId="2566C95A" w:rsidR="0017449F" w:rsidRDefault="0017449F" w:rsidP="0017449F">
            <w:pPr>
              <w:pStyle w:val="TableParagraph"/>
              <w:spacing w:line="264" w:lineRule="auto"/>
              <w:ind w:left="71" w:right="132"/>
              <w:rPr>
                <w:sz w:val="20"/>
                <w:szCs w:val="20"/>
              </w:rPr>
            </w:pPr>
            <w:proofErr w:type="spellStart"/>
            <w:r w:rsidRPr="0017449F">
              <w:rPr>
                <w:sz w:val="20"/>
                <w:szCs w:val="20"/>
              </w:rPr>
              <w:t>Diarrhoea</w:t>
            </w:r>
            <w:proofErr w:type="spellEnd"/>
            <w:r w:rsidRPr="0017449F">
              <w:rPr>
                <w:sz w:val="20"/>
                <w:szCs w:val="20"/>
              </w:rPr>
              <w:t>,</w:t>
            </w:r>
          </w:p>
          <w:p w14:paraId="51374EEC" w14:textId="3B737D1F" w:rsidR="00554585" w:rsidRPr="00A72D9F" w:rsidRDefault="00554585" w:rsidP="00E31EE9">
            <w:pPr>
              <w:pStyle w:val="TableParagraph"/>
              <w:spacing w:line="264" w:lineRule="auto"/>
              <w:ind w:left="71" w:right="132"/>
              <w:rPr>
                <w:sz w:val="20"/>
                <w:szCs w:val="20"/>
              </w:rPr>
            </w:pPr>
            <w:r w:rsidRPr="001A4151">
              <w:rPr>
                <w:sz w:val="20"/>
                <w:szCs w:val="20"/>
              </w:rPr>
              <w:t>Nausea</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D47E8" w14:textId="77777777" w:rsidR="00787FCF" w:rsidRPr="00A72D9F" w:rsidRDefault="00787FCF">
            <w:pPr>
              <w:pStyle w:val="TableParagraph"/>
              <w:spacing w:before="0" w:line="252" w:lineRule="exact"/>
              <w:ind w:left="71"/>
              <w:rPr>
                <w:sz w:val="20"/>
                <w:szCs w:val="20"/>
              </w:rPr>
            </w:pPr>
            <w:r w:rsidRPr="00A72D9F">
              <w:rPr>
                <w:sz w:val="20"/>
                <w:szCs w:val="20"/>
              </w:rPr>
              <w:t>Abdominal pain</w:t>
            </w:r>
            <w:r w:rsidRPr="00A72D9F">
              <w:rPr>
                <w:spacing w:val="-1"/>
                <w:sz w:val="20"/>
                <w:szCs w:val="20"/>
              </w:rPr>
              <w:t xml:space="preserve"> </w:t>
            </w:r>
            <w:r w:rsidRPr="00A72D9F">
              <w:rPr>
                <w:sz w:val="20"/>
                <w:szCs w:val="20"/>
              </w:rPr>
              <w:t>upper</w:t>
            </w: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C3DCF" w14:textId="77777777" w:rsidR="00787FCF" w:rsidRPr="00A72D9F" w:rsidRDefault="00787FCF">
            <w:pPr>
              <w:pStyle w:val="TableParagraph"/>
              <w:spacing w:before="0"/>
              <w:rPr>
                <w:sz w:val="20"/>
                <w:szCs w:val="20"/>
              </w:rPr>
            </w:pPr>
          </w:p>
        </w:tc>
      </w:tr>
      <w:tr w:rsidR="00554585" w:rsidRPr="00A72D9F" w14:paraId="6120BA85" w14:textId="77777777" w:rsidTr="35D17F64">
        <w:trPr>
          <w:trHeight w:val="282"/>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4E468" w14:textId="65508F33" w:rsidR="00787FCF" w:rsidRPr="00A72D9F" w:rsidRDefault="00787FCF">
            <w:pPr>
              <w:pStyle w:val="TableParagraph"/>
              <w:ind w:left="71"/>
              <w:rPr>
                <w:sz w:val="20"/>
                <w:szCs w:val="20"/>
              </w:rPr>
            </w:pPr>
            <w:r w:rsidRPr="00A72D9F">
              <w:rPr>
                <w:sz w:val="20"/>
                <w:szCs w:val="20"/>
              </w:rPr>
              <w:t>Hepatobiliary</w:t>
            </w:r>
            <w:r w:rsidRPr="00A72D9F">
              <w:rPr>
                <w:spacing w:val="-5"/>
                <w:sz w:val="20"/>
                <w:szCs w:val="20"/>
              </w:rPr>
              <w:t xml:space="preserve"> </w:t>
            </w:r>
            <w:r w:rsidR="00FB3054">
              <w:rPr>
                <w:sz w:val="20"/>
                <w:szCs w:val="20"/>
              </w:rPr>
              <w:t>d</w:t>
            </w:r>
            <w:r w:rsidRPr="00A72D9F">
              <w:rPr>
                <w:sz w:val="20"/>
                <w:szCs w:val="20"/>
              </w:rPr>
              <w:t>isorders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07284" w14:textId="299158AA" w:rsidR="00787FCF" w:rsidRPr="00A72D9F" w:rsidRDefault="00554585">
            <w:pPr>
              <w:pStyle w:val="TableParagraph"/>
              <w:ind w:left="71"/>
              <w:rPr>
                <w:sz w:val="20"/>
                <w:szCs w:val="20"/>
              </w:rPr>
            </w:pPr>
            <w:r w:rsidRPr="00A72D9F">
              <w:rPr>
                <w:sz w:val="20"/>
                <w:szCs w:val="20"/>
              </w:rPr>
              <w:t>Liver</w:t>
            </w:r>
            <w:r w:rsidRPr="00A72D9F">
              <w:rPr>
                <w:spacing w:val="-1"/>
                <w:sz w:val="20"/>
                <w:szCs w:val="20"/>
              </w:rPr>
              <w:t xml:space="preserve"> </w:t>
            </w:r>
            <w:r w:rsidRPr="00A72D9F">
              <w:rPr>
                <w:sz w:val="20"/>
                <w:szCs w:val="20"/>
              </w:rPr>
              <w:t>function</w:t>
            </w:r>
            <w:r w:rsidRPr="00A72D9F">
              <w:rPr>
                <w:spacing w:val="-5"/>
                <w:sz w:val="20"/>
                <w:szCs w:val="20"/>
              </w:rPr>
              <w:t xml:space="preserve"> </w:t>
            </w:r>
            <w:r w:rsidRPr="00A72D9F">
              <w:rPr>
                <w:sz w:val="20"/>
                <w:szCs w:val="20"/>
              </w:rPr>
              <w:t>test</w:t>
            </w:r>
            <w:r w:rsidRPr="00A72D9F">
              <w:rPr>
                <w:spacing w:val="-1"/>
                <w:sz w:val="20"/>
                <w:szCs w:val="20"/>
              </w:rPr>
              <w:t xml:space="preserve"> </w:t>
            </w:r>
            <w:r w:rsidRPr="00A72D9F">
              <w:rPr>
                <w:sz w:val="20"/>
                <w:szCs w:val="20"/>
              </w:rPr>
              <w:t>increased*</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B6C02" w14:textId="4BF4E9D8" w:rsidR="00787FCF" w:rsidRPr="00A72D9F" w:rsidRDefault="00787FCF">
            <w:pPr>
              <w:pStyle w:val="TableParagraph"/>
              <w:ind w:left="71"/>
              <w:rPr>
                <w:sz w:val="20"/>
                <w:szCs w:val="20"/>
              </w:rPr>
            </w:pP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B56E1" w14:textId="77777777" w:rsidR="00787FCF" w:rsidRPr="00A72D9F" w:rsidRDefault="00787FCF">
            <w:pPr>
              <w:pStyle w:val="TableParagraph"/>
              <w:spacing w:before="0"/>
              <w:rPr>
                <w:sz w:val="20"/>
                <w:szCs w:val="20"/>
              </w:rPr>
            </w:pPr>
          </w:p>
        </w:tc>
      </w:tr>
      <w:tr w:rsidR="00554585" w:rsidRPr="00A72D9F" w14:paraId="7595EBD6" w14:textId="77777777" w:rsidTr="35D17F64">
        <w:trPr>
          <w:trHeight w:val="532"/>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076C7" w14:textId="77777777" w:rsidR="00787FCF" w:rsidRPr="00A72D9F" w:rsidRDefault="00787FCF">
            <w:pPr>
              <w:pStyle w:val="TableParagraph"/>
              <w:spacing w:line="252" w:lineRule="exact"/>
              <w:ind w:left="71" w:right="398"/>
              <w:rPr>
                <w:sz w:val="20"/>
                <w:szCs w:val="20"/>
              </w:rPr>
            </w:pPr>
            <w:r w:rsidRPr="00A72D9F">
              <w:rPr>
                <w:sz w:val="20"/>
                <w:szCs w:val="20"/>
              </w:rPr>
              <w:t>Skin and subcutaneous tissue</w:t>
            </w:r>
            <w:r w:rsidRPr="00A72D9F">
              <w:rPr>
                <w:spacing w:val="-52"/>
                <w:sz w:val="20"/>
                <w:szCs w:val="20"/>
              </w:rPr>
              <w:t xml:space="preserve"> </w:t>
            </w:r>
            <w:r w:rsidRPr="00A72D9F">
              <w:rPr>
                <w:sz w:val="20"/>
                <w:szCs w:val="20"/>
              </w:rPr>
              <w:t>disorders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4906" w14:textId="77777777" w:rsidR="00787FCF" w:rsidRPr="00A72D9F" w:rsidRDefault="00787FCF">
            <w:pPr>
              <w:pStyle w:val="TableParagraph"/>
              <w:spacing w:before="0"/>
              <w:rPr>
                <w:sz w:val="20"/>
                <w:szCs w:val="20"/>
              </w:rPr>
            </w:pP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90CE" w14:textId="4D86299D" w:rsidR="00787FCF" w:rsidRPr="00A72D9F" w:rsidRDefault="00787FCF">
            <w:pPr>
              <w:pStyle w:val="TableParagraph"/>
              <w:spacing w:before="0"/>
              <w:rPr>
                <w:sz w:val="20"/>
                <w:szCs w:val="20"/>
              </w:rPr>
            </w:pP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4E083" w14:textId="77777777" w:rsidR="00787FCF" w:rsidRPr="00A72D9F" w:rsidRDefault="00787FCF">
            <w:pPr>
              <w:pStyle w:val="TableParagraph"/>
              <w:ind w:left="72"/>
              <w:rPr>
                <w:sz w:val="20"/>
                <w:szCs w:val="20"/>
              </w:rPr>
            </w:pPr>
            <w:r w:rsidRPr="00A72D9F">
              <w:rPr>
                <w:sz w:val="20"/>
                <w:szCs w:val="20"/>
              </w:rPr>
              <w:t>Angioedema</w:t>
            </w:r>
          </w:p>
        </w:tc>
      </w:tr>
      <w:tr w:rsidR="00554585" w:rsidRPr="00A72D9F" w14:paraId="4BC86E8E" w14:textId="77777777" w:rsidTr="35D17F64">
        <w:trPr>
          <w:trHeight w:val="594"/>
        </w:trPr>
        <w:tc>
          <w:tcPr>
            <w:tcW w:w="10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56050" w14:textId="77777777" w:rsidR="00787FCF" w:rsidRPr="00A72D9F" w:rsidRDefault="00787FCF">
            <w:pPr>
              <w:pStyle w:val="TableParagraph"/>
              <w:ind w:left="71"/>
              <w:rPr>
                <w:sz w:val="20"/>
                <w:szCs w:val="20"/>
              </w:rPr>
            </w:pPr>
            <w:r w:rsidRPr="00A72D9F">
              <w:rPr>
                <w:sz w:val="20"/>
                <w:szCs w:val="20"/>
              </w:rPr>
              <w:t>Investigations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2928" w14:textId="14BDB7E6" w:rsidR="00787FCF" w:rsidRPr="00A72D9F" w:rsidRDefault="00554585">
            <w:pPr>
              <w:pStyle w:val="TableParagraph"/>
              <w:ind w:left="71" w:right="321"/>
              <w:rPr>
                <w:sz w:val="20"/>
                <w:szCs w:val="20"/>
              </w:rPr>
            </w:pPr>
            <w:r w:rsidRPr="00A72D9F">
              <w:rPr>
                <w:sz w:val="20"/>
                <w:szCs w:val="20"/>
              </w:rPr>
              <w:t>White blood cell count</w:t>
            </w:r>
            <w:r w:rsidRPr="00A72D9F">
              <w:rPr>
                <w:spacing w:val="-52"/>
                <w:sz w:val="20"/>
                <w:szCs w:val="20"/>
              </w:rPr>
              <w:t xml:space="preserve"> </w:t>
            </w:r>
            <w:r w:rsidRPr="00A72D9F">
              <w:rPr>
                <w:sz w:val="20"/>
                <w:szCs w:val="20"/>
              </w:rPr>
              <w:t>decreased</w:t>
            </w:r>
            <w:r>
              <w:rPr>
                <w:sz w:val="20"/>
                <w:szCs w:val="20"/>
              </w:rPr>
              <w:t>**</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DF107" w14:textId="2CB3C15A" w:rsidR="00787FCF" w:rsidRPr="00A72D9F" w:rsidRDefault="00787FCF" w:rsidP="00150B7C">
            <w:pPr>
              <w:pStyle w:val="TableParagraph"/>
              <w:ind w:left="71" w:right="321"/>
              <w:rPr>
                <w:sz w:val="20"/>
                <w:szCs w:val="20"/>
              </w:rPr>
            </w:pPr>
            <w:r w:rsidRPr="00A72D9F">
              <w:rPr>
                <w:sz w:val="20"/>
                <w:szCs w:val="20"/>
              </w:rPr>
              <w:t>Blood creatine phosphokinase</w:t>
            </w:r>
            <w:r w:rsidRPr="00A72D9F">
              <w:rPr>
                <w:spacing w:val="-52"/>
                <w:sz w:val="20"/>
                <w:szCs w:val="20"/>
              </w:rPr>
              <w:t xml:space="preserve"> </w:t>
            </w:r>
            <w:r w:rsidRPr="00A72D9F">
              <w:rPr>
                <w:sz w:val="20"/>
                <w:szCs w:val="20"/>
              </w:rPr>
              <w:t>increased</w:t>
            </w:r>
          </w:p>
        </w:tc>
        <w:tc>
          <w:tcPr>
            <w:tcW w:w="12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45D33" w14:textId="77777777" w:rsidR="00787FCF" w:rsidRPr="00A72D9F" w:rsidRDefault="00787FCF">
            <w:pPr>
              <w:pStyle w:val="TableParagraph"/>
              <w:spacing w:before="0"/>
              <w:rPr>
                <w:sz w:val="20"/>
                <w:szCs w:val="20"/>
              </w:rPr>
            </w:pPr>
          </w:p>
        </w:tc>
      </w:tr>
    </w:tbl>
    <w:p w14:paraId="365766D2" w14:textId="070D7436" w:rsidR="0016558F" w:rsidRDefault="001E4904" w:rsidP="0016558F">
      <w:pPr>
        <w:pStyle w:val="TableFootnote"/>
        <w:ind w:left="0" w:firstLine="0"/>
        <w:rPr>
          <w:b/>
          <w:bCs/>
        </w:rPr>
      </w:pPr>
      <w:r w:rsidRPr="00A72D9F">
        <w:t xml:space="preserve">* Alanine aminotransferase increased, </w:t>
      </w:r>
      <w:r w:rsidR="00554585">
        <w:t xml:space="preserve">total </w:t>
      </w:r>
      <w:r w:rsidRPr="00A72D9F">
        <w:t>blood bilirubin increased, hepatic function abnormal, gamma glutamyl transferase increased, hepatic enzyme increased, transaminases increased.</w:t>
      </w:r>
    </w:p>
    <w:p w14:paraId="02147940" w14:textId="0717C7C4" w:rsidR="00554585" w:rsidRDefault="00554585" w:rsidP="001A4151">
      <w:pPr>
        <w:pStyle w:val="TableFootnote"/>
        <w:ind w:left="0" w:firstLine="0"/>
      </w:pPr>
      <w:r>
        <w:rPr>
          <w:b/>
          <w:bCs/>
        </w:rPr>
        <w:t>**</w:t>
      </w:r>
      <w:r>
        <w:t xml:space="preserve"> Includes leukopenia.</w:t>
      </w:r>
    </w:p>
    <w:p w14:paraId="348B8014" w14:textId="7B10C96E" w:rsidR="001E4904" w:rsidRPr="00783BC6" w:rsidRDefault="001E4904" w:rsidP="00150B7C">
      <w:pPr>
        <w:pStyle w:val="Heading3"/>
        <w:keepNext w:val="0"/>
      </w:pPr>
      <w:r w:rsidRPr="00783BC6">
        <w:t>Description of selected adverse reactions</w:t>
      </w:r>
    </w:p>
    <w:p w14:paraId="06C5CCDE" w14:textId="77777777" w:rsidR="001E4904" w:rsidRPr="00783BC6" w:rsidRDefault="001E4904" w:rsidP="00203F70">
      <w:pPr>
        <w:rPr>
          <w:b/>
          <w:bCs/>
          <w:i/>
          <w:iCs/>
        </w:rPr>
      </w:pPr>
      <w:r w:rsidRPr="00783BC6">
        <w:rPr>
          <w:b/>
          <w:bCs/>
          <w:i/>
          <w:iCs/>
        </w:rPr>
        <w:t>Liver function test increased</w:t>
      </w:r>
    </w:p>
    <w:p w14:paraId="59EE27C3" w14:textId="151352DF" w:rsidR="001E4904" w:rsidRDefault="001E4904" w:rsidP="00203F70">
      <w:r>
        <w:t xml:space="preserve">In the pivotal phase 3 study in which 330 patients were dosed, </w:t>
      </w:r>
      <w:r w:rsidR="00554585">
        <w:t xml:space="preserve">13.3% of patients in the </w:t>
      </w:r>
      <w:proofErr w:type="spellStart"/>
      <w:r w:rsidR="00554585">
        <w:t>avacopan</w:t>
      </w:r>
      <w:proofErr w:type="spellEnd"/>
      <w:r w:rsidR="00554585">
        <w:t xml:space="preserve"> group and </w:t>
      </w:r>
      <w:r>
        <w:t>11.6% of patients in the prednisone group had an adverse reaction of elevated liver function test</w:t>
      </w:r>
      <w:r w:rsidR="00554585" w:rsidRPr="00554585">
        <w:t xml:space="preserve"> </w:t>
      </w:r>
      <w:r w:rsidR="00554585">
        <w:t>(LFT).</w:t>
      </w:r>
    </w:p>
    <w:p w14:paraId="20784B78" w14:textId="6EF8DA15" w:rsidR="001E4904" w:rsidRDefault="001E4904" w:rsidP="00203F70">
      <w:r>
        <w:t xml:space="preserve">In the </w:t>
      </w:r>
      <w:r w:rsidR="002C5C5B">
        <w:t>Tavneos</w:t>
      </w:r>
      <w:r>
        <w:t xml:space="preserve"> group, </w:t>
      </w:r>
      <w:r w:rsidR="00554585">
        <w:t xml:space="preserve">LFT increased was reported </w:t>
      </w:r>
      <w:r>
        <w:t xml:space="preserve">in the phase 3 study </w:t>
      </w:r>
      <w:r w:rsidR="004540A0">
        <w:t xml:space="preserve">and </w:t>
      </w:r>
      <w:r>
        <w:t>included hepatitis (</w:t>
      </w:r>
      <w:r w:rsidR="004540A0">
        <w:t>1.2</w:t>
      </w:r>
      <w:r>
        <w:t>%), hepatitis cholestatic (0.6%) of which one patient reported both hepatitis and hepati</w:t>
      </w:r>
      <w:r w:rsidR="004540A0">
        <w:t>tis</w:t>
      </w:r>
      <w:r>
        <w:t xml:space="preserve"> cholestatic as a diagnosis</w:t>
      </w:r>
      <w:r w:rsidR="00FB3054">
        <w:t>,</w:t>
      </w:r>
      <w:r>
        <w:t xml:space="preserve"> hepatocellular injury (0.6%) in one patient diagnosed with asymptomatic hepatitis, </w:t>
      </w:r>
      <w:proofErr w:type="gramStart"/>
      <w:r>
        <w:t>cytolysis</w:t>
      </w:r>
      <w:proofErr w:type="gramEnd"/>
      <w:r>
        <w:t xml:space="preserve"> and anicteric cholestasis without hepatocellular insufficiency.</w:t>
      </w:r>
    </w:p>
    <w:p w14:paraId="76AD05F0" w14:textId="51DE062A" w:rsidR="004540A0" w:rsidRDefault="004540A0" w:rsidP="00203F70">
      <w:pPr>
        <w:rPr>
          <w:rFonts w:eastAsia="SimSun"/>
          <w:color w:val="auto"/>
          <w:sz w:val="22"/>
          <w:szCs w:val="22"/>
          <w:lang w:val="en-GB"/>
        </w:rPr>
      </w:pPr>
      <w:r>
        <w:lastRenderedPageBreak/>
        <w:t>In the pivotal phase</w:t>
      </w:r>
      <w:r w:rsidR="00FB3054">
        <w:t> </w:t>
      </w:r>
      <w:r>
        <w:t xml:space="preserve">3 study, adverse events of hepatobiliary disorders were more frequent in </w:t>
      </w:r>
      <w:r w:rsidR="00FB3054">
        <w:t>patients</w:t>
      </w:r>
      <w:r>
        <w:t xml:space="preserve"> treated with a regimen based on a combination with cyclophosphamide followed by azathioprine (10.2%) as compared to those treated with a regimen based on a combination with rituximab (3.7%).</w:t>
      </w:r>
    </w:p>
    <w:p w14:paraId="47348C5F" w14:textId="07E15C2D" w:rsidR="001E4904" w:rsidRDefault="001E4904" w:rsidP="001E4904">
      <w:r>
        <w:t xml:space="preserve">Study </w:t>
      </w:r>
      <w:r w:rsidR="00557C1F">
        <w:t>medicinal product</w:t>
      </w:r>
      <w:r>
        <w:t xml:space="preserve"> was paused or discontinued permanently due to </w:t>
      </w:r>
      <w:r w:rsidR="00557C1F">
        <w:t xml:space="preserve">LFT increased in 5.4% of patients in the </w:t>
      </w:r>
      <w:proofErr w:type="spellStart"/>
      <w:r w:rsidR="00557C1F">
        <w:t>avacopan</w:t>
      </w:r>
      <w:proofErr w:type="spellEnd"/>
      <w:r w:rsidR="00557C1F">
        <w:t xml:space="preserve"> group and </w:t>
      </w:r>
      <w:r>
        <w:t xml:space="preserve">3.0% of patients in the prednisone group. Serious adverse reactions of </w:t>
      </w:r>
      <w:r w:rsidR="00557C1F">
        <w:t xml:space="preserve">LFT </w:t>
      </w:r>
      <w:r>
        <w:t xml:space="preserve">increased were reported in </w:t>
      </w:r>
      <w:r w:rsidR="00557C1F">
        <w:t xml:space="preserve">5.4% of patients in the </w:t>
      </w:r>
      <w:proofErr w:type="spellStart"/>
      <w:r w:rsidR="00557C1F">
        <w:t>avacopan</w:t>
      </w:r>
      <w:proofErr w:type="spellEnd"/>
      <w:r w:rsidR="00557C1F">
        <w:t xml:space="preserve"> group and </w:t>
      </w:r>
      <w:r>
        <w:t>3.7% of patients in the prednisone group</w:t>
      </w:r>
      <w:r w:rsidR="00D9719F">
        <w:t>.</w:t>
      </w:r>
      <w:r>
        <w:t xml:space="preserve"> All </w:t>
      </w:r>
      <w:r w:rsidR="00557C1F">
        <w:t xml:space="preserve">serious hepatic </w:t>
      </w:r>
      <w:r>
        <w:t xml:space="preserve">events resolved </w:t>
      </w:r>
      <w:r w:rsidR="00557C1F">
        <w:t xml:space="preserve">with either the withdrawal of </w:t>
      </w:r>
      <w:proofErr w:type="spellStart"/>
      <w:r w:rsidR="00557C1F">
        <w:t>avacopan</w:t>
      </w:r>
      <w:proofErr w:type="spellEnd"/>
      <w:r w:rsidR="00557C1F">
        <w:t xml:space="preserve"> and/or other potentially hepatotoxic medicinal products, including trimethoprim and sulfamethoxazole</w:t>
      </w:r>
      <w:r>
        <w:t>.</w:t>
      </w:r>
    </w:p>
    <w:p w14:paraId="23AA77A6" w14:textId="77777777" w:rsidR="001E4904" w:rsidRPr="00A520B2" w:rsidRDefault="001E4904" w:rsidP="001E4904">
      <w:pPr>
        <w:rPr>
          <w:b/>
          <w:bCs/>
          <w:i/>
          <w:iCs/>
        </w:rPr>
      </w:pPr>
      <w:r w:rsidRPr="00501745">
        <w:rPr>
          <w:b/>
          <w:bCs/>
          <w:i/>
          <w:iCs/>
        </w:rPr>
        <w:t>Neutropenia</w:t>
      </w:r>
    </w:p>
    <w:p w14:paraId="33FE8AA9" w14:textId="4A512573" w:rsidR="001E4904" w:rsidRDefault="001E4904" w:rsidP="001E4904">
      <w:r>
        <w:t>In the pivotal phase 3</w:t>
      </w:r>
      <w:r w:rsidR="006E4ED9">
        <w:t xml:space="preserve"> </w:t>
      </w:r>
      <w:r>
        <w:t xml:space="preserve">study, neutropenia </w:t>
      </w:r>
      <w:r w:rsidR="000E7925">
        <w:t xml:space="preserve">was reported </w:t>
      </w:r>
      <w:r>
        <w:t xml:space="preserve">in </w:t>
      </w:r>
      <w:r w:rsidR="000E7925">
        <w:t xml:space="preserve">4 </w:t>
      </w:r>
      <w:r w:rsidR="00FB3054">
        <w:t>patients</w:t>
      </w:r>
      <w:r w:rsidR="000E7925">
        <w:t xml:space="preserve"> (</w:t>
      </w:r>
      <w:r>
        <w:t>2</w:t>
      </w:r>
      <w:r w:rsidR="000E7925">
        <w:t>.4%)</w:t>
      </w:r>
      <w:r>
        <w:t xml:space="preserve"> in </w:t>
      </w:r>
      <w:r w:rsidR="000E7925">
        <w:t>each treatment</w:t>
      </w:r>
      <w:r>
        <w:t xml:space="preserve"> group.</w:t>
      </w:r>
    </w:p>
    <w:p w14:paraId="53F789A7" w14:textId="5647BC34" w:rsidR="001E4904" w:rsidRDefault="001E4904" w:rsidP="001E4904">
      <w:r>
        <w:t xml:space="preserve">A single case of agranulocytosis was reported each in the prednisone group and in the </w:t>
      </w:r>
      <w:r w:rsidR="002C5C5B">
        <w:t>Tavneos</w:t>
      </w:r>
      <w:r>
        <w:t xml:space="preserve"> group.</w:t>
      </w:r>
    </w:p>
    <w:p w14:paraId="7EB8BA55" w14:textId="7927D2B9" w:rsidR="001E4904" w:rsidRDefault="001E4904" w:rsidP="001E4904">
      <w:r>
        <w:t xml:space="preserve">The patient in the </w:t>
      </w:r>
      <w:r w:rsidR="002C5C5B">
        <w:t>Tavneos</w:t>
      </w:r>
      <w:r>
        <w:t xml:space="preserve"> group was noted to have central neutropenia on a bone marrow biopsy which resolved spontaneously without additional treatment.</w:t>
      </w:r>
    </w:p>
    <w:p w14:paraId="68A62EE6" w14:textId="77777777" w:rsidR="001E4904" w:rsidRPr="00783BC6" w:rsidRDefault="001E4904" w:rsidP="00783BC6">
      <w:pPr>
        <w:keepNext/>
        <w:rPr>
          <w:b/>
          <w:bCs/>
          <w:i/>
          <w:iCs/>
        </w:rPr>
      </w:pPr>
      <w:r w:rsidRPr="00783BC6">
        <w:rPr>
          <w:b/>
          <w:bCs/>
          <w:i/>
          <w:iCs/>
        </w:rPr>
        <w:t>Creatine phosphokinase increased</w:t>
      </w:r>
    </w:p>
    <w:p w14:paraId="2FFE85A1" w14:textId="780808C1" w:rsidR="001E4904" w:rsidRDefault="001E4904" w:rsidP="00783BC6">
      <w:pPr>
        <w:keepNext/>
      </w:pPr>
      <w:r>
        <w:t xml:space="preserve">In the pivotal phase 3 study, 6 patients </w:t>
      </w:r>
      <w:r w:rsidR="00F44926">
        <w:t xml:space="preserve">(3.6%) in the </w:t>
      </w:r>
      <w:proofErr w:type="spellStart"/>
      <w:r w:rsidR="00F44926">
        <w:t>avacopan</w:t>
      </w:r>
      <w:proofErr w:type="spellEnd"/>
      <w:r w:rsidR="00F44926">
        <w:t xml:space="preserve"> group and 1 patient (0.6%) </w:t>
      </w:r>
      <w:r>
        <w:t>in the prednisone group had adverse reactions of increased creatine phosphokinase (CPK).</w:t>
      </w:r>
    </w:p>
    <w:p w14:paraId="446FA0EC" w14:textId="6BE38961" w:rsidR="001E4904" w:rsidRPr="00783BC6" w:rsidRDefault="001E4904" w:rsidP="001E4904">
      <w:pPr>
        <w:rPr>
          <w:b/>
          <w:bCs/>
          <w:i/>
          <w:iCs/>
        </w:rPr>
      </w:pPr>
      <w:r w:rsidRPr="00783BC6">
        <w:rPr>
          <w:b/>
          <w:bCs/>
          <w:i/>
          <w:iCs/>
        </w:rPr>
        <w:t>Hypersensitivity including angioedema</w:t>
      </w:r>
    </w:p>
    <w:p w14:paraId="2AAEFBE4" w14:textId="6744D6C9" w:rsidR="001E4904" w:rsidRDefault="001E4904" w:rsidP="001E4904">
      <w:r>
        <w:t xml:space="preserve">In the pivotal phase 3 study, </w:t>
      </w:r>
      <w:r w:rsidR="00F44926">
        <w:t>2</w:t>
      </w:r>
      <w:r>
        <w:t xml:space="preserve"> of patients</w:t>
      </w:r>
      <w:r w:rsidR="00F44926">
        <w:t xml:space="preserve"> (1.2%)</w:t>
      </w:r>
      <w:r>
        <w:t xml:space="preserve"> in the </w:t>
      </w:r>
      <w:r w:rsidR="002C5C5B">
        <w:t>Tavneos</w:t>
      </w:r>
      <w:r>
        <w:t xml:space="preserve"> group had an adverse reaction of angioedema. One patient was </w:t>
      </w:r>
      <w:proofErr w:type="spellStart"/>
      <w:r>
        <w:t>hospitalised</w:t>
      </w:r>
      <w:proofErr w:type="spellEnd"/>
      <w:r>
        <w:t xml:space="preserve"> for the event. </w:t>
      </w:r>
      <w:r w:rsidR="002C5C5B">
        <w:t>Tavneos</w:t>
      </w:r>
      <w:r>
        <w:t xml:space="preserve"> was paused and both events resolved without sequelae. </w:t>
      </w:r>
      <w:r w:rsidR="002C5C5B">
        <w:t>Tavneos</w:t>
      </w:r>
      <w:r>
        <w:t xml:space="preserve"> was restarted in one patient and angioedema did not reoccur.</w:t>
      </w:r>
    </w:p>
    <w:p w14:paraId="0829B667" w14:textId="77777777" w:rsidR="00F44926" w:rsidRPr="00F44926" w:rsidRDefault="00F44926" w:rsidP="00F44926">
      <w:pPr>
        <w:rPr>
          <w:b/>
          <w:bCs/>
          <w:i/>
          <w:iCs/>
        </w:rPr>
      </w:pPr>
      <w:r w:rsidRPr="00D15ED7">
        <w:rPr>
          <w:b/>
          <w:bCs/>
          <w:i/>
          <w:iCs/>
        </w:rPr>
        <w:t>Gastrointestinal disorders</w:t>
      </w:r>
    </w:p>
    <w:p w14:paraId="5E239DC0" w14:textId="57FDFFDF" w:rsidR="00F44926" w:rsidRDefault="00F44926" w:rsidP="001E4904">
      <w:r>
        <w:t>In the pivotal phase</w:t>
      </w:r>
      <w:r w:rsidR="00FB3054">
        <w:t> </w:t>
      </w:r>
      <w:r>
        <w:t xml:space="preserve">3 study, adverse </w:t>
      </w:r>
      <w:r w:rsidR="000E7925">
        <w:t>reactions</w:t>
      </w:r>
      <w:r>
        <w:t xml:space="preserve"> of gastrointestinal disorders were observed in 74.6% of </w:t>
      </w:r>
      <w:r w:rsidR="00FB3054">
        <w:t>patients</w:t>
      </w:r>
      <w:r>
        <w:t xml:space="preserve"> treated with </w:t>
      </w:r>
      <w:proofErr w:type="spellStart"/>
      <w:r>
        <w:t>avacopan</w:t>
      </w:r>
      <w:proofErr w:type="spellEnd"/>
      <w:r>
        <w:t xml:space="preserve"> and a regimen based on a combination with cyclophosphamide followed by azathioprine as compared to those treated with a regimen based on a combination with rituximab (53.3%).</w:t>
      </w:r>
    </w:p>
    <w:p w14:paraId="373F5AEC" w14:textId="4A368DEF" w:rsidR="002B424E" w:rsidRPr="002B424E" w:rsidRDefault="002B424E" w:rsidP="00CF3CA1">
      <w:pPr>
        <w:pStyle w:val="Heading3"/>
      </w:pPr>
      <w:r>
        <w:t>Reporting suspected adverse effects</w:t>
      </w:r>
    </w:p>
    <w:p w14:paraId="148FF1F8" w14:textId="387D8316" w:rsidR="00497C85" w:rsidRPr="00497C85" w:rsidRDefault="00497C85" w:rsidP="00CF3CA1">
      <w:r w:rsidRPr="00497C8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97C85">
          <w:rPr>
            <w:rStyle w:val="Hyperlink"/>
            <w:rFonts w:asciiTheme="majorHAnsi" w:hAnsiTheme="majorHAnsi" w:cstheme="minorHAnsi"/>
            <w:lang w:val="en"/>
          </w:rPr>
          <w:t>www.tga.gov.au/reporting-problems</w:t>
        </w:r>
      </w:hyperlink>
      <w:r w:rsidRPr="00497C85">
        <w:rPr>
          <w:lang w:val="en"/>
        </w:rPr>
        <w:t>.</w:t>
      </w:r>
    </w:p>
    <w:p w14:paraId="71426F96" w14:textId="77777777" w:rsidR="001A3992" w:rsidRPr="00497C85" w:rsidRDefault="001A3992" w:rsidP="00CF3CA1">
      <w:pPr>
        <w:pStyle w:val="Heading2"/>
      </w:pPr>
      <w:r w:rsidRPr="00497C85">
        <w:lastRenderedPageBreak/>
        <w:t>Overdose</w:t>
      </w:r>
    </w:p>
    <w:p w14:paraId="1C1708C5" w14:textId="0BFAE3E5" w:rsidR="00D97FB9" w:rsidRDefault="002C5C5B" w:rsidP="00CF3CA1">
      <w:pPr>
        <w:rPr>
          <w:lang w:val="en"/>
        </w:rPr>
      </w:pPr>
      <w:r>
        <w:t>Tavneos</w:t>
      </w:r>
      <w:r w:rsidR="00D97FB9" w:rsidRPr="00D97FB9">
        <w:rPr>
          <w:lang w:val="en"/>
        </w:rPr>
        <w:t xml:space="preserve"> was studied in healthy subjects at a maximum total daily dose of 200 mg (given as 100 mg twice daily) for 7 days without evidence of dose limiting toxicities. In case of an overdose, it is recommended that the patient is monitored for any signs or symptoms of adverse effects, and appropriate symptomatic treatment and supportive care are provided.</w:t>
      </w:r>
    </w:p>
    <w:p w14:paraId="1CBFCC0C" w14:textId="279862E7" w:rsidR="00497C85" w:rsidRPr="00497C85" w:rsidRDefault="00497C85" w:rsidP="00CF3CA1">
      <w:r w:rsidRPr="00497C85">
        <w:rPr>
          <w:lang w:val="en"/>
        </w:rPr>
        <w:t>For information on the management of overdose, contact the Poisons Information Centre on 13 11 26 (Australia).</w:t>
      </w:r>
    </w:p>
    <w:p w14:paraId="0503BA43" w14:textId="77777777" w:rsidR="001A3992" w:rsidRPr="00497C85" w:rsidRDefault="001A3992" w:rsidP="00CF3CA1">
      <w:pPr>
        <w:pStyle w:val="Heading1"/>
      </w:pPr>
      <w:r w:rsidRPr="00497C85">
        <w:t>Pharmacological properties</w:t>
      </w:r>
    </w:p>
    <w:p w14:paraId="7B0D3DE8" w14:textId="77777777" w:rsidR="001A3992" w:rsidRPr="00497C85" w:rsidRDefault="001A3992" w:rsidP="00CF3CA1">
      <w:pPr>
        <w:pStyle w:val="Heading2"/>
      </w:pPr>
      <w:r w:rsidRPr="00497C85">
        <w:t xml:space="preserve">Pharmacodynamic properties </w:t>
      </w:r>
    </w:p>
    <w:p w14:paraId="25280725" w14:textId="1DB9CECC" w:rsidR="00D607BF" w:rsidRDefault="00D97FB9" w:rsidP="005774F0">
      <w:bookmarkStart w:id="18" w:name="OLE_LINK7"/>
      <w:r w:rsidRPr="00D97FB9">
        <w:t xml:space="preserve">Pharmacotherapeutic group: </w:t>
      </w:r>
      <w:r w:rsidRPr="00783BC6">
        <w:t>not yet assigned</w:t>
      </w:r>
      <w:r w:rsidRPr="0074053F">
        <w:t xml:space="preserve">, ATC code: </w:t>
      </w:r>
      <w:r w:rsidR="00A25850">
        <w:t>not yet assigned</w:t>
      </w:r>
    </w:p>
    <w:bookmarkEnd w:id="18"/>
    <w:p w14:paraId="460CD582" w14:textId="5F7BA2F9" w:rsidR="001A3992" w:rsidRDefault="001A3992" w:rsidP="00D607BF">
      <w:pPr>
        <w:pStyle w:val="Heading3"/>
      </w:pPr>
      <w:r w:rsidRPr="00497C85">
        <w:t>Mechanism of action</w:t>
      </w:r>
    </w:p>
    <w:p w14:paraId="028BF2BF" w14:textId="77777777" w:rsidR="00D97FB9" w:rsidRDefault="00D97FB9" w:rsidP="00D97FB9">
      <w:r>
        <w:t>Avacopan is a selective antagonist of the human complement 5a receptor (C5aR1 or CD88) and competitively inhibits the interaction between C5aR1 and the anaphylatoxin C5a.</w:t>
      </w:r>
    </w:p>
    <w:p w14:paraId="76CA678E" w14:textId="39B92E3E" w:rsidR="00D97FB9" w:rsidRDefault="00D97FB9" w:rsidP="00D97FB9">
      <w:r>
        <w:t xml:space="preserve">The specific and selective blockade of C5aR1 by </w:t>
      </w:r>
      <w:proofErr w:type="spellStart"/>
      <w:r>
        <w:t>avacopan</w:t>
      </w:r>
      <w:proofErr w:type="spellEnd"/>
      <w:r>
        <w:t xml:space="preserve"> reduces the pro-inflammatory effects of C5a, which include neutrophil activation</w:t>
      </w:r>
      <w:r w:rsidR="000E7925">
        <w:t>,</w:t>
      </w:r>
      <w:r>
        <w:t xml:space="preserve"> migration,</w:t>
      </w:r>
      <w:r w:rsidR="000E7925">
        <w:t xml:space="preserve"> and</w:t>
      </w:r>
      <w:r>
        <w:t xml:space="preserve"> adherence to sites of small blood vessel inflammation, vascular endothelial cell retraction and permeability.</w:t>
      </w:r>
    </w:p>
    <w:p w14:paraId="6E0140AC" w14:textId="579BB0D8" w:rsidR="00833E42" w:rsidRPr="00724A68" w:rsidRDefault="00347059" w:rsidP="00347059">
      <w:pPr>
        <w:autoSpaceDE w:val="0"/>
        <w:autoSpaceDN w:val="0"/>
        <w:rPr>
          <w:szCs w:val="22"/>
        </w:rPr>
      </w:pPr>
      <w:r>
        <w:rPr>
          <w:szCs w:val="22"/>
        </w:rPr>
        <w:t>Avacopan</w:t>
      </w:r>
      <w:r w:rsidRPr="00724A68">
        <w:rPr>
          <w:szCs w:val="22"/>
        </w:rPr>
        <w:t xml:space="preserve"> does not decrease the formation of the membrane attack complex (C5b-9) or terminal complement complex (TCC), which is important in fighting infections with encapsulated bacteria such as </w:t>
      </w:r>
      <w:r>
        <w:rPr>
          <w:i/>
          <w:iCs/>
          <w:szCs w:val="22"/>
        </w:rPr>
        <w:t>Neisseria meningitidi</w:t>
      </w:r>
      <w:r w:rsidRPr="00724A68">
        <w:rPr>
          <w:i/>
          <w:iCs/>
          <w:szCs w:val="22"/>
        </w:rPr>
        <w:t>s</w:t>
      </w:r>
      <w:r w:rsidRPr="00724A68">
        <w:rPr>
          <w:szCs w:val="22"/>
        </w:rPr>
        <w:t>.</w:t>
      </w:r>
    </w:p>
    <w:p w14:paraId="7DA079EC" w14:textId="550CABF6" w:rsidR="00D97FB9" w:rsidRPr="00783BC6" w:rsidRDefault="00D97FB9" w:rsidP="00645136">
      <w:pPr>
        <w:keepNext/>
        <w:rPr>
          <w:b/>
          <w:bCs/>
          <w:i/>
          <w:iCs/>
        </w:rPr>
      </w:pPr>
      <w:r w:rsidRPr="00783BC6">
        <w:rPr>
          <w:b/>
          <w:bCs/>
          <w:i/>
          <w:iCs/>
        </w:rPr>
        <w:t>Pharmacodynamic effects</w:t>
      </w:r>
    </w:p>
    <w:p w14:paraId="40589FA8" w14:textId="0D3D8253" w:rsidR="00D97FB9" w:rsidRPr="00D97FB9" w:rsidRDefault="00D97FB9" w:rsidP="00645136">
      <w:pPr>
        <w:keepNext/>
      </w:pPr>
      <w:r w:rsidRPr="00D97FB9">
        <w:t xml:space="preserve">Avacopan blocks the C5a-induced upregulation of CD11b (integrin alpha M) on neutrophils taken from humans dosed with </w:t>
      </w:r>
      <w:proofErr w:type="spellStart"/>
      <w:r w:rsidRPr="00D97FB9">
        <w:t>avacopan</w:t>
      </w:r>
      <w:proofErr w:type="spellEnd"/>
      <w:r w:rsidRPr="00D97FB9">
        <w:t>. CD11b facilitates neutrophil adherence to vascular endothelial surfaces, one of the steps in the vasculitis disease process.</w:t>
      </w:r>
    </w:p>
    <w:p w14:paraId="7567A92D" w14:textId="622DF0E1" w:rsidR="001A3992" w:rsidRDefault="001A3992" w:rsidP="00CF3CA1">
      <w:pPr>
        <w:pStyle w:val="Heading3"/>
      </w:pPr>
      <w:r w:rsidRPr="00497C85">
        <w:t>Clinical trials</w:t>
      </w:r>
    </w:p>
    <w:p w14:paraId="6FC170B9" w14:textId="77777777" w:rsidR="00D97FB9" w:rsidRPr="00783BC6" w:rsidRDefault="00D97FB9" w:rsidP="00D97FB9">
      <w:pPr>
        <w:rPr>
          <w:rFonts w:eastAsia="Times New Roman"/>
          <w:b/>
          <w:bCs/>
          <w:i/>
          <w:iCs/>
          <w:color w:val="auto"/>
          <w:sz w:val="22"/>
          <w:szCs w:val="22"/>
        </w:rPr>
      </w:pPr>
      <w:r w:rsidRPr="00783BC6">
        <w:rPr>
          <w:b/>
          <w:bCs/>
          <w:i/>
          <w:iCs/>
        </w:rPr>
        <w:t>Clinical</w:t>
      </w:r>
      <w:r w:rsidRPr="00783BC6">
        <w:rPr>
          <w:b/>
          <w:bCs/>
          <w:i/>
          <w:iCs/>
          <w:spacing w:val="-1"/>
        </w:rPr>
        <w:t xml:space="preserve"> </w:t>
      </w:r>
      <w:r w:rsidRPr="00783BC6">
        <w:rPr>
          <w:b/>
          <w:bCs/>
          <w:i/>
          <w:iCs/>
        </w:rPr>
        <w:t>efficacy</w:t>
      </w:r>
      <w:r w:rsidRPr="00783BC6">
        <w:rPr>
          <w:b/>
          <w:bCs/>
          <w:i/>
          <w:iCs/>
          <w:spacing w:val="-4"/>
        </w:rPr>
        <w:t xml:space="preserve"> </w:t>
      </w:r>
      <w:r w:rsidRPr="00783BC6">
        <w:rPr>
          <w:b/>
          <w:bCs/>
          <w:i/>
          <w:iCs/>
        </w:rPr>
        <w:t>and</w:t>
      </w:r>
      <w:r w:rsidRPr="00783BC6">
        <w:rPr>
          <w:b/>
          <w:bCs/>
          <w:i/>
          <w:iCs/>
          <w:spacing w:val="-1"/>
        </w:rPr>
        <w:t xml:space="preserve"> </w:t>
      </w:r>
      <w:r w:rsidRPr="00783BC6">
        <w:rPr>
          <w:b/>
          <w:bCs/>
          <w:i/>
          <w:iCs/>
        </w:rPr>
        <w:t>safety</w:t>
      </w:r>
    </w:p>
    <w:p w14:paraId="1F739AFC" w14:textId="46E084AD" w:rsidR="00D97FB9" w:rsidRDefault="00D97FB9" w:rsidP="00D97FB9">
      <w:r>
        <w:t xml:space="preserve">A total of 330 patients </w:t>
      </w:r>
      <w:r w:rsidR="00FE03F5">
        <w:t>including three females aged 13, 15 and 17 years respectively,</w:t>
      </w:r>
      <w:r>
        <w:t xml:space="preserve"> with granulomatosis with polyangiitis (GPA) (54.8%) </w:t>
      </w:r>
      <w:proofErr w:type="gramStart"/>
      <w:r>
        <w:t>or</w:t>
      </w:r>
      <w:r w:rsidR="00893747">
        <w:t xml:space="preserve"> </w:t>
      </w:r>
      <w:r>
        <w:rPr>
          <w:spacing w:val="-52"/>
        </w:rPr>
        <w:t xml:space="preserve"> </w:t>
      </w:r>
      <w:r>
        <w:t>microscopic</w:t>
      </w:r>
      <w:proofErr w:type="gramEnd"/>
      <w:r>
        <w:t xml:space="preserve"> polyangiitis (MPA) (45.2%) were treated in the active-comparator, </w:t>
      </w:r>
      <w:proofErr w:type="spellStart"/>
      <w:r>
        <w:t>randomised</w:t>
      </w:r>
      <w:proofErr w:type="spellEnd"/>
      <w:r>
        <w:t>, double-blind,</w:t>
      </w:r>
      <w:r>
        <w:rPr>
          <w:spacing w:val="-1"/>
        </w:rPr>
        <w:t xml:space="preserve"> </w:t>
      </w:r>
      <w:r>
        <w:t>double</w:t>
      </w:r>
      <w:r>
        <w:rPr>
          <w:spacing w:val="-1"/>
        </w:rPr>
        <w:t xml:space="preserve"> </w:t>
      </w:r>
      <w:r>
        <w:t>dummy,</w:t>
      </w:r>
      <w:r>
        <w:rPr>
          <w:spacing w:val="2"/>
        </w:rPr>
        <w:t xml:space="preserve"> </w:t>
      </w:r>
      <w:proofErr w:type="spellStart"/>
      <w:r>
        <w:t>multicentre</w:t>
      </w:r>
      <w:proofErr w:type="spellEnd"/>
      <w:r>
        <w:t>,</w:t>
      </w:r>
      <w:r>
        <w:rPr>
          <w:spacing w:val="-1"/>
        </w:rPr>
        <w:t xml:space="preserve"> </w:t>
      </w:r>
      <w:r>
        <w:t>pivotal</w:t>
      </w:r>
      <w:r>
        <w:rPr>
          <w:spacing w:val="1"/>
        </w:rPr>
        <w:t xml:space="preserve"> </w:t>
      </w:r>
      <w:r>
        <w:t>phase</w:t>
      </w:r>
      <w:r>
        <w:rPr>
          <w:spacing w:val="-1"/>
        </w:rPr>
        <w:t xml:space="preserve"> </w:t>
      </w:r>
      <w:r>
        <w:t>3 ADVOCATE</w:t>
      </w:r>
      <w:r>
        <w:rPr>
          <w:spacing w:val="-4"/>
        </w:rPr>
        <w:t xml:space="preserve"> </w:t>
      </w:r>
      <w:r>
        <w:t>study</w:t>
      </w:r>
      <w:r>
        <w:rPr>
          <w:spacing w:val="-3"/>
        </w:rPr>
        <w:t xml:space="preserve"> </w:t>
      </w:r>
      <w:r>
        <w:t>for 52 weeks.</w:t>
      </w:r>
    </w:p>
    <w:p w14:paraId="288D6B73" w14:textId="1EE47069" w:rsidR="000E7925" w:rsidRDefault="000E7925" w:rsidP="000E7925">
      <w:r>
        <w:t xml:space="preserve">The ADVOCATE study design is depicted in </w:t>
      </w:r>
      <w:r>
        <w:fldChar w:fldCharType="begin"/>
      </w:r>
      <w:r>
        <w:instrText xml:space="preserve"> REF _Ref85398902 \h </w:instrText>
      </w:r>
      <w:r>
        <w:fldChar w:fldCharType="separate"/>
      </w:r>
      <w:r w:rsidR="00F12523" w:rsidRPr="001A4151">
        <w:rPr>
          <w:b/>
          <w:bCs/>
        </w:rPr>
        <w:t>Figure </w:t>
      </w:r>
      <w:r w:rsidR="00F12523">
        <w:rPr>
          <w:b/>
          <w:bCs/>
          <w:noProof/>
        </w:rPr>
        <w:t>1</w:t>
      </w:r>
      <w:r>
        <w:fldChar w:fldCharType="end"/>
      </w:r>
      <w:r>
        <w:t>.</w:t>
      </w:r>
    </w:p>
    <w:p w14:paraId="000D0504" w14:textId="66473F64" w:rsidR="000E7925" w:rsidRPr="00FE17C6" w:rsidRDefault="000E7925" w:rsidP="001A4151">
      <w:pPr>
        <w:keepNext/>
        <w:keepLines/>
      </w:pPr>
      <w:bookmarkStart w:id="19" w:name="_Ref85398902"/>
      <w:r w:rsidRPr="001A4151">
        <w:rPr>
          <w:b/>
          <w:bCs/>
        </w:rPr>
        <w:lastRenderedPageBreak/>
        <w:t>Figure </w:t>
      </w:r>
      <w:r w:rsidRPr="001A4151">
        <w:rPr>
          <w:b/>
          <w:bCs/>
        </w:rPr>
        <w:fldChar w:fldCharType="begin"/>
      </w:r>
      <w:r w:rsidRPr="001A4151">
        <w:rPr>
          <w:b/>
          <w:bCs/>
        </w:rPr>
        <w:instrText xml:space="preserve"> SEQ Figure \* ARABIC </w:instrText>
      </w:r>
      <w:r w:rsidRPr="001A4151">
        <w:rPr>
          <w:b/>
          <w:bCs/>
        </w:rPr>
        <w:fldChar w:fldCharType="separate"/>
      </w:r>
      <w:r w:rsidR="00F12523">
        <w:rPr>
          <w:b/>
          <w:bCs/>
          <w:noProof/>
        </w:rPr>
        <w:t>1</w:t>
      </w:r>
      <w:r w:rsidRPr="001A4151">
        <w:rPr>
          <w:b/>
          <w:bCs/>
        </w:rPr>
        <w:fldChar w:fldCharType="end"/>
      </w:r>
      <w:bookmarkEnd w:id="19"/>
      <w:r w:rsidR="007A047A">
        <w:rPr>
          <w:b/>
          <w:bCs/>
        </w:rPr>
        <w:t xml:space="preserve">:  </w:t>
      </w:r>
      <w:r w:rsidRPr="001A4151">
        <w:rPr>
          <w:b/>
          <w:bCs/>
        </w:rPr>
        <w:t>ADVOCATE study design</w:t>
      </w:r>
    </w:p>
    <w:p w14:paraId="47E9BFA5" w14:textId="2A65C4FA" w:rsidR="000E7925" w:rsidRPr="006D5C66" w:rsidRDefault="00FB3054" w:rsidP="00C24455">
      <w:r>
        <w:rPr>
          <w:noProof/>
        </w:rPr>
        <w:drawing>
          <wp:inline distT="0" distB="0" distL="0" distR="0" wp14:anchorId="1D427500" wp14:editId="4195DD1F">
            <wp:extent cx="5731510" cy="296145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138"/>
                    <a:stretch/>
                  </pic:blipFill>
                  <pic:spPr bwMode="auto">
                    <a:xfrm>
                      <a:off x="0" y="0"/>
                      <a:ext cx="5731510" cy="2961459"/>
                    </a:xfrm>
                    <a:prstGeom prst="rect">
                      <a:avLst/>
                    </a:prstGeom>
                    <a:ln>
                      <a:noFill/>
                    </a:ln>
                    <a:extLst>
                      <a:ext uri="{53640926-AAD7-44D8-BBD7-CCE9431645EC}">
                        <a14:shadowObscured xmlns:a14="http://schemas.microsoft.com/office/drawing/2010/main"/>
                      </a:ext>
                    </a:extLst>
                  </pic:spPr>
                </pic:pic>
              </a:graphicData>
            </a:graphic>
          </wp:inline>
        </w:drawing>
      </w:r>
    </w:p>
    <w:p w14:paraId="6D6A04CF" w14:textId="77777777" w:rsidR="000E7925" w:rsidRDefault="000E7925" w:rsidP="001A4151">
      <w:pPr>
        <w:pStyle w:val="TableFootnote"/>
        <w:keepNext/>
        <w:keepLines/>
        <w:ind w:left="0" w:firstLine="0"/>
      </w:pPr>
      <w:r>
        <w:t>AZA = azathioprine; CYC = cyclophosphamide; IV = intravenous; MMF = </w:t>
      </w:r>
      <w:r w:rsidRPr="00141F10">
        <w:t>mycophenolate mofetil</w:t>
      </w:r>
      <w:r>
        <w:t>; RTX =rituximab</w:t>
      </w:r>
    </w:p>
    <w:p w14:paraId="6D3A7D8D" w14:textId="15364CE6" w:rsidR="00D97FB9" w:rsidRDefault="00D97FB9" w:rsidP="00D97FB9">
      <w:r>
        <w:t>Patients</w:t>
      </w:r>
      <w:r>
        <w:rPr>
          <w:spacing w:val="-1"/>
        </w:rPr>
        <w:t xml:space="preserve"> </w:t>
      </w:r>
      <w:r>
        <w:t>were</w:t>
      </w:r>
      <w:r>
        <w:rPr>
          <w:spacing w:val="-1"/>
        </w:rPr>
        <w:t xml:space="preserve"> </w:t>
      </w:r>
      <w:proofErr w:type="spellStart"/>
      <w:r>
        <w:t>randomised</w:t>
      </w:r>
      <w:proofErr w:type="spellEnd"/>
      <w:r>
        <w:rPr>
          <w:spacing w:val="-4"/>
        </w:rPr>
        <w:t xml:space="preserve"> </w:t>
      </w:r>
      <w:r>
        <w:t>in</w:t>
      </w:r>
      <w:r>
        <w:rPr>
          <w:spacing w:val="-1"/>
        </w:rPr>
        <w:t xml:space="preserve"> </w:t>
      </w:r>
      <w:r>
        <w:t>a</w:t>
      </w:r>
      <w:r>
        <w:rPr>
          <w:spacing w:val="-1"/>
        </w:rPr>
        <w:t xml:space="preserve"> </w:t>
      </w:r>
      <w:r>
        <w:t>1:1</w:t>
      </w:r>
      <w:r>
        <w:rPr>
          <w:spacing w:val="-3"/>
        </w:rPr>
        <w:t xml:space="preserve"> </w:t>
      </w:r>
      <w:r>
        <w:t>ratio</w:t>
      </w:r>
      <w:r>
        <w:rPr>
          <w:spacing w:val="-1"/>
        </w:rPr>
        <w:t xml:space="preserve"> </w:t>
      </w:r>
      <w:r>
        <w:t>to</w:t>
      </w:r>
      <w:r>
        <w:rPr>
          <w:spacing w:val="-4"/>
        </w:rPr>
        <w:t xml:space="preserve"> </w:t>
      </w:r>
      <w:r>
        <w:t>one</w:t>
      </w:r>
      <w:r>
        <w:rPr>
          <w:spacing w:val="-1"/>
        </w:rPr>
        <w:t xml:space="preserve"> </w:t>
      </w:r>
      <w:r>
        <w:t>of the</w:t>
      </w:r>
      <w:r>
        <w:rPr>
          <w:spacing w:val="-1"/>
        </w:rPr>
        <w:t xml:space="preserve"> </w:t>
      </w:r>
      <w:r>
        <w:t>two groups</w:t>
      </w:r>
      <w:r w:rsidR="004B61FA">
        <w:t>:</w:t>
      </w:r>
    </w:p>
    <w:p w14:paraId="77EF8A1F" w14:textId="71189815" w:rsidR="00D97FB9" w:rsidRPr="002608F5" w:rsidRDefault="00D97FB9" w:rsidP="007331E6">
      <w:pPr>
        <w:pStyle w:val="ListParagraph"/>
        <w:spacing w:before="120"/>
      </w:pPr>
      <w:r w:rsidRPr="002608F5">
        <w:t>Avacopan group (N=166): Patients received 30</w:t>
      </w:r>
      <w:r w:rsidR="00D96F54">
        <w:t> </w:t>
      </w:r>
      <w:r w:rsidRPr="002608F5">
        <w:t xml:space="preserve">mg </w:t>
      </w:r>
      <w:proofErr w:type="spellStart"/>
      <w:r w:rsidRPr="002608F5">
        <w:t>avacopan</w:t>
      </w:r>
      <w:proofErr w:type="spellEnd"/>
      <w:r w:rsidRPr="002608F5">
        <w:t xml:space="preserve"> twice daily for 52</w:t>
      </w:r>
      <w:r w:rsidR="00D96F54">
        <w:t> </w:t>
      </w:r>
      <w:r w:rsidRPr="002608F5">
        <w:t>weeks plus prednisone-matching placebo tapering regimen over 20</w:t>
      </w:r>
      <w:r w:rsidR="00D96F54">
        <w:t> </w:t>
      </w:r>
      <w:r w:rsidRPr="002608F5">
        <w:t>weeks,</w:t>
      </w:r>
    </w:p>
    <w:p w14:paraId="3B92C9DD" w14:textId="2E5EC5B8" w:rsidR="00D97FB9" w:rsidRPr="002608F5" w:rsidRDefault="004B61FA" w:rsidP="002608F5">
      <w:pPr>
        <w:pStyle w:val="ListParagraph"/>
      </w:pPr>
      <w:r>
        <w:t>Comparator</w:t>
      </w:r>
      <w:r w:rsidR="00D97FB9" w:rsidRPr="002608F5">
        <w:t xml:space="preserve"> group (N=164): Patients received </w:t>
      </w:r>
      <w:proofErr w:type="spellStart"/>
      <w:r w:rsidR="00D97FB9" w:rsidRPr="002608F5">
        <w:t>avacopan</w:t>
      </w:r>
      <w:proofErr w:type="spellEnd"/>
      <w:r w:rsidR="00D97FB9" w:rsidRPr="002608F5">
        <w:t>-matching placebo twice daily for 52</w:t>
      </w:r>
      <w:r w:rsidR="00D96F54">
        <w:t> </w:t>
      </w:r>
      <w:r w:rsidR="00D97FB9" w:rsidRPr="002608F5">
        <w:t>weeks plus prednisone (tapered from 60</w:t>
      </w:r>
      <w:r w:rsidR="00D96F54">
        <w:t> </w:t>
      </w:r>
      <w:r w:rsidR="00D97FB9" w:rsidRPr="002608F5">
        <w:t>mg/day to 0 over 20</w:t>
      </w:r>
      <w:r w:rsidR="00D96F54">
        <w:t> </w:t>
      </w:r>
      <w:r w:rsidR="00D97FB9" w:rsidRPr="002608F5">
        <w:t>weeks).</w:t>
      </w:r>
    </w:p>
    <w:p w14:paraId="4606CC8C" w14:textId="45996764" w:rsidR="00D97FB9" w:rsidRDefault="00D97FB9" w:rsidP="00150B7C">
      <w:r>
        <w:t>All</w:t>
      </w:r>
      <w:r>
        <w:rPr>
          <w:spacing w:val="-1"/>
        </w:rPr>
        <w:t xml:space="preserve"> </w:t>
      </w:r>
      <w:r>
        <w:t>patients</w:t>
      </w:r>
      <w:r>
        <w:rPr>
          <w:spacing w:val="-2"/>
        </w:rPr>
        <w:t xml:space="preserve"> </w:t>
      </w:r>
      <w:r>
        <w:t>in</w:t>
      </w:r>
      <w:r>
        <w:rPr>
          <w:spacing w:val="-2"/>
        </w:rPr>
        <w:t xml:space="preserve"> </w:t>
      </w:r>
      <w:r>
        <w:t>both</w:t>
      </w:r>
      <w:r>
        <w:rPr>
          <w:spacing w:val="-2"/>
        </w:rPr>
        <w:t xml:space="preserve"> </w:t>
      </w:r>
      <w:r>
        <w:t>groups</w:t>
      </w:r>
      <w:r>
        <w:rPr>
          <w:spacing w:val="-3"/>
        </w:rPr>
        <w:t xml:space="preserve"> </w:t>
      </w:r>
      <w:r>
        <w:t>received</w:t>
      </w:r>
      <w:r>
        <w:rPr>
          <w:spacing w:val="-2"/>
        </w:rPr>
        <w:t xml:space="preserve"> </w:t>
      </w:r>
      <w:r>
        <w:t>standard</w:t>
      </w:r>
      <w:r>
        <w:rPr>
          <w:spacing w:val="-5"/>
        </w:rPr>
        <w:t xml:space="preserve"> </w:t>
      </w:r>
      <w:r>
        <w:t>immunosuppressive</w:t>
      </w:r>
      <w:r>
        <w:rPr>
          <w:spacing w:val="-2"/>
        </w:rPr>
        <w:t xml:space="preserve"> </w:t>
      </w:r>
      <w:r>
        <w:t>regimens</w:t>
      </w:r>
      <w:r>
        <w:rPr>
          <w:spacing w:val="-2"/>
        </w:rPr>
        <w:t xml:space="preserve"> </w:t>
      </w:r>
      <w:r>
        <w:t>of either:</w:t>
      </w:r>
    </w:p>
    <w:p w14:paraId="006DE198" w14:textId="7AAC7B0F" w:rsidR="004B61FA" w:rsidRPr="00816467" w:rsidRDefault="004B61FA" w:rsidP="007331E6">
      <w:pPr>
        <w:pStyle w:val="Bullet"/>
        <w:numPr>
          <w:ilvl w:val="0"/>
          <w:numId w:val="25"/>
        </w:numPr>
        <w:spacing w:before="120"/>
        <w:rPr>
          <w:sz w:val="24"/>
        </w:rPr>
      </w:pPr>
      <w:r w:rsidRPr="00816467">
        <w:rPr>
          <w:rFonts w:eastAsia="MS Mincho"/>
          <w:color w:val="000000"/>
          <w:sz w:val="24"/>
          <w:szCs w:val="24"/>
          <w:lang w:val="en-US" w:eastAsia="en-US"/>
        </w:rPr>
        <w:t xml:space="preserve">Rituximab at the dose of 375 mg/m² for 4 weekly </w:t>
      </w:r>
      <w:r w:rsidR="000E7925">
        <w:rPr>
          <w:rFonts w:eastAsia="MS Mincho"/>
          <w:color w:val="000000"/>
          <w:sz w:val="24"/>
          <w:szCs w:val="24"/>
          <w:lang w:val="en-US" w:eastAsia="en-US"/>
        </w:rPr>
        <w:t>intravenous</w:t>
      </w:r>
      <w:r w:rsidRPr="00816467">
        <w:rPr>
          <w:rFonts w:eastAsia="MS Mincho"/>
          <w:color w:val="000000"/>
          <w:sz w:val="24"/>
          <w:szCs w:val="24"/>
          <w:lang w:val="en-US" w:eastAsia="en-US"/>
        </w:rPr>
        <w:t xml:space="preserve"> doses, or</w:t>
      </w:r>
    </w:p>
    <w:p w14:paraId="4458F1B3" w14:textId="20DDA79A" w:rsidR="004B61FA" w:rsidRPr="004B61FA" w:rsidRDefault="000E7925" w:rsidP="00816467">
      <w:pPr>
        <w:pStyle w:val="Bullet"/>
        <w:numPr>
          <w:ilvl w:val="0"/>
          <w:numId w:val="25"/>
        </w:numPr>
      </w:pPr>
      <w:r>
        <w:rPr>
          <w:rFonts w:eastAsia="MS Mincho"/>
          <w:color w:val="000000"/>
          <w:sz w:val="24"/>
          <w:szCs w:val="24"/>
          <w:lang w:val="en-US" w:eastAsia="en-US"/>
        </w:rPr>
        <w:t>Intravenous</w:t>
      </w:r>
      <w:r w:rsidRPr="00816467">
        <w:rPr>
          <w:rFonts w:eastAsia="MS Mincho"/>
          <w:color w:val="000000"/>
          <w:sz w:val="24"/>
          <w:szCs w:val="24"/>
          <w:lang w:val="en-US" w:eastAsia="en-US"/>
        </w:rPr>
        <w:t xml:space="preserve"> </w:t>
      </w:r>
      <w:r w:rsidR="00D97FB9" w:rsidRPr="00816467">
        <w:rPr>
          <w:rFonts w:eastAsia="MS Mincho"/>
          <w:color w:val="000000"/>
          <w:sz w:val="24"/>
          <w:szCs w:val="24"/>
          <w:lang w:val="en-US" w:eastAsia="en-US"/>
        </w:rPr>
        <w:t>cyclophosphamide for 13 weeks (15</w:t>
      </w:r>
      <w:r w:rsidR="00D96F54">
        <w:rPr>
          <w:rFonts w:eastAsia="MS Mincho"/>
          <w:color w:val="000000"/>
          <w:sz w:val="24"/>
          <w:szCs w:val="24"/>
          <w:lang w:val="en-US" w:eastAsia="en-US"/>
        </w:rPr>
        <w:t> </w:t>
      </w:r>
      <w:r w:rsidR="00D97FB9" w:rsidRPr="00816467">
        <w:rPr>
          <w:rFonts w:eastAsia="MS Mincho"/>
          <w:color w:val="000000"/>
          <w:sz w:val="24"/>
          <w:szCs w:val="24"/>
          <w:lang w:val="en-US" w:eastAsia="en-US"/>
        </w:rPr>
        <w:t>mg/kg up to 1.2</w:t>
      </w:r>
      <w:r w:rsidR="00D96F54">
        <w:rPr>
          <w:rFonts w:eastAsia="MS Mincho"/>
          <w:color w:val="000000"/>
          <w:sz w:val="24"/>
          <w:szCs w:val="24"/>
          <w:lang w:val="en-US" w:eastAsia="en-US"/>
        </w:rPr>
        <w:t> </w:t>
      </w:r>
      <w:r w:rsidR="00D97FB9" w:rsidRPr="00816467">
        <w:rPr>
          <w:rFonts w:eastAsia="MS Mincho"/>
          <w:color w:val="000000"/>
          <w:sz w:val="24"/>
          <w:szCs w:val="24"/>
          <w:lang w:val="en-US" w:eastAsia="en-US"/>
        </w:rPr>
        <w:t>g every 2 to 3</w:t>
      </w:r>
      <w:r w:rsidR="00D96F54">
        <w:rPr>
          <w:rFonts w:eastAsia="MS Mincho"/>
          <w:color w:val="000000"/>
          <w:sz w:val="24"/>
          <w:szCs w:val="24"/>
          <w:lang w:val="en-US" w:eastAsia="en-US"/>
        </w:rPr>
        <w:t> </w:t>
      </w:r>
      <w:r w:rsidR="00D97FB9" w:rsidRPr="00816467">
        <w:rPr>
          <w:rFonts w:eastAsia="MS Mincho"/>
          <w:color w:val="000000"/>
          <w:sz w:val="24"/>
          <w:szCs w:val="24"/>
          <w:lang w:val="en-US" w:eastAsia="en-US"/>
        </w:rPr>
        <w:t>weeks</w:t>
      </w:r>
      <w:r w:rsidR="004B61FA">
        <w:rPr>
          <w:rFonts w:eastAsia="MS Mincho"/>
          <w:color w:val="000000"/>
          <w:sz w:val="24"/>
          <w:szCs w:val="24"/>
          <w:lang w:val="en-US" w:eastAsia="en-US"/>
        </w:rPr>
        <w:t>)</w:t>
      </w:r>
      <w:r w:rsidR="00D97FB9" w:rsidRPr="00150B7C">
        <w:rPr>
          <w:rFonts w:eastAsia="MS Mincho"/>
          <w:color w:val="000000"/>
          <w:sz w:val="24"/>
          <w:szCs w:val="24"/>
          <w:lang w:val="en-US" w:eastAsia="en-US"/>
        </w:rPr>
        <w:t>, and then starting on week 15 oral azathioprine 1</w:t>
      </w:r>
      <w:r w:rsidR="00D96F54">
        <w:rPr>
          <w:rFonts w:eastAsia="MS Mincho"/>
          <w:color w:val="000000"/>
          <w:sz w:val="24"/>
          <w:szCs w:val="24"/>
          <w:lang w:val="en-US" w:eastAsia="en-US"/>
        </w:rPr>
        <w:t> </w:t>
      </w:r>
      <w:r w:rsidR="00D97FB9" w:rsidRPr="00150B7C">
        <w:rPr>
          <w:rFonts w:eastAsia="MS Mincho"/>
          <w:color w:val="000000"/>
          <w:sz w:val="24"/>
          <w:szCs w:val="24"/>
          <w:lang w:val="en-US" w:eastAsia="en-US"/>
        </w:rPr>
        <w:t>mg/kg daily with titration up to 2</w:t>
      </w:r>
      <w:r w:rsidR="00D96F54">
        <w:rPr>
          <w:rFonts w:eastAsia="MS Mincho"/>
          <w:color w:val="000000"/>
          <w:sz w:val="24"/>
          <w:szCs w:val="24"/>
          <w:lang w:val="en-US" w:eastAsia="en-US"/>
        </w:rPr>
        <w:t> </w:t>
      </w:r>
      <w:r w:rsidR="00D97FB9" w:rsidRPr="00150B7C">
        <w:rPr>
          <w:rFonts w:eastAsia="MS Mincho"/>
          <w:color w:val="000000"/>
          <w:sz w:val="24"/>
          <w:szCs w:val="24"/>
          <w:lang w:val="en-US" w:eastAsia="en-US"/>
        </w:rPr>
        <w:t>mg/kg daily (</w:t>
      </w:r>
      <w:r w:rsidR="00FB3054">
        <w:rPr>
          <w:rFonts w:eastAsia="MS Mincho"/>
          <w:color w:val="000000"/>
          <w:sz w:val="24"/>
          <w:szCs w:val="24"/>
          <w:lang w:val="en-US" w:eastAsia="en-US"/>
        </w:rPr>
        <w:t>M</w:t>
      </w:r>
      <w:r w:rsidR="00D97FB9" w:rsidRPr="00150B7C">
        <w:rPr>
          <w:rFonts w:eastAsia="MS Mincho"/>
          <w:color w:val="000000"/>
          <w:sz w:val="24"/>
          <w:szCs w:val="24"/>
          <w:lang w:val="en-US" w:eastAsia="en-US"/>
        </w:rPr>
        <w:t>ycophenolate mofetil 2 g daily was allowed in place of azathioprine</w:t>
      </w:r>
      <w:r w:rsidR="00D662B7">
        <w:rPr>
          <w:rFonts w:eastAsia="MS Mincho"/>
          <w:color w:val="000000"/>
          <w:sz w:val="24"/>
          <w:szCs w:val="24"/>
          <w:lang w:val="en-US" w:eastAsia="en-US"/>
        </w:rPr>
        <w:t>)</w:t>
      </w:r>
      <w:r w:rsidR="004B61FA">
        <w:rPr>
          <w:rFonts w:eastAsia="MS Mincho"/>
          <w:color w:val="000000"/>
          <w:sz w:val="24"/>
          <w:szCs w:val="24"/>
          <w:lang w:val="en-US" w:eastAsia="en-US"/>
        </w:rPr>
        <w:t>.</w:t>
      </w:r>
      <w:r w:rsidR="00D662B7">
        <w:rPr>
          <w:rFonts w:eastAsia="MS Mincho"/>
          <w:color w:val="000000"/>
          <w:sz w:val="24"/>
          <w:szCs w:val="24"/>
          <w:lang w:val="en-US" w:eastAsia="en-US"/>
        </w:rPr>
        <w:t xml:space="preserve"> </w:t>
      </w:r>
      <w:r w:rsidR="00D662B7" w:rsidRPr="00816467">
        <w:rPr>
          <w:sz w:val="24"/>
          <w:szCs w:val="24"/>
        </w:rPr>
        <w:t>If mycophenolate mofetil was not tolerated or not available, enteric coated mycophenolate sodium could be given at a target dose of 1,440 mg/day),</w:t>
      </w:r>
      <w:r w:rsidR="00D97FB9" w:rsidRPr="00150B7C">
        <w:rPr>
          <w:rFonts w:eastAsia="MS Mincho"/>
          <w:color w:val="000000"/>
          <w:sz w:val="24"/>
          <w:szCs w:val="24"/>
          <w:lang w:val="en-US" w:eastAsia="en-US"/>
        </w:rPr>
        <w:t xml:space="preserve"> or</w:t>
      </w:r>
    </w:p>
    <w:p w14:paraId="1A2447C2" w14:textId="40DE3018" w:rsidR="004B61FA" w:rsidRPr="004B61FA" w:rsidRDefault="004B61FA" w:rsidP="00816467">
      <w:pPr>
        <w:pStyle w:val="Bullet"/>
        <w:numPr>
          <w:ilvl w:val="0"/>
          <w:numId w:val="25"/>
        </w:numPr>
      </w:pPr>
      <w:r w:rsidRPr="00816467">
        <w:rPr>
          <w:rFonts w:eastAsia="MS Mincho"/>
          <w:color w:val="000000"/>
          <w:sz w:val="24"/>
          <w:szCs w:val="24"/>
          <w:lang w:val="en-US" w:eastAsia="en-US"/>
        </w:rPr>
        <w:t>O</w:t>
      </w:r>
      <w:r w:rsidR="00D97FB9" w:rsidRPr="00816467">
        <w:rPr>
          <w:rFonts w:eastAsia="MS Mincho"/>
          <w:color w:val="000000"/>
          <w:sz w:val="24"/>
          <w:szCs w:val="24"/>
          <w:lang w:val="en-US" w:eastAsia="en-US"/>
        </w:rPr>
        <w:t>ral cyclophosphamide for 14</w:t>
      </w:r>
      <w:r w:rsidR="00D96F54">
        <w:rPr>
          <w:rFonts w:eastAsia="MS Mincho"/>
          <w:color w:val="000000"/>
          <w:sz w:val="24"/>
          <w:szCs w:val="24"/>
          <w:lang w:val="en-US" w:eastAsia="en-US"/>
        </w:rPr>
        <w:t> </w:t>
      </w:r>
      <w:r w:rsidR="00D97FB9" w:rsidRPr="00816467">
        <w:rPr>
          <w:rFonts w:eastAsia="MS Mincho"/>
          <w:color w:val="000000"/>
          <w:sz w:val="24"/>
          <w:szCs w:val="24"/>
          <w:lang w:val="en-US" w:eastAsia="en-US"/>
        </w:rPr>
        <w:t>weeks (2</w:t>
      </w:r>
      <w:r w:rsidR="00D96F54">
        <w:rPr>
          <w:rFonts w:eastAsia="MS Mincho"/>
          <w:color w:val="000000"/>
          <w:sz w:val="24"/>
          <w:szCs w:val="24"/>
          <w:lang w:val="en-US" w:eastAsia="en-US"/>
        </w:rPr>
        <w:t> </w:t>
      </w:r>
      <w:r w:rsidR="00D97FB9" w:rsidRPr="00816467">
        <w:rPr>
          <w:rFonts w:eastAsia="MS Mincho"/>
          <w:color w:val="000000"/>
          <w:sz w:val="24"/>
          <w:szCs w:val="24"/>
          <w:lang w:val="en-US" w:eastAsia="en-US"/>
        </w:rPr>
        <w:t>mg/kg daily</w:t>
      </w:r>
      <w:r w:rsidR="00D662B7">
        <w:rPr>
          <w:rFonts w:eastAsia="MS Mincho"/>
          <w:color w:val="000000"/>
          <w:sz w:val="24"/>
          <w:szCs w:val="24"/>
          <w:lang w:val="en-US" w:eastAsia="en-US"/>
        </w:rPr>
        <w:t>)</w:t>
      </w:r>
      <w:r w:rsidR="00D97FB9" w:rsidRPr="00150B7C">
        <w:rPr>
          <w:rFonts w:eastAsia="MS Mincho"/>
          <w:color w:val="000000"/>
          <w:sz w:val="24"/>
          <w:szCs w:val="24"/>
          <w:lang w:val="en-US" w:eastAsia="en-US"/>
        </w:rPr>
        <w:t xml:space="preserve"> followed by oral azathioprine or mycophenolate mofetil</w:t>
      </w:r>
      <w:r w:rsidR="00D662B7">
        <w:rPr>
          <w:rFonts w:eastAsia="MS Mincho"/>
          <w:color w:val="000000"/>
          <w:sz w:val="24"/>
          <w:szCs w:val="24"/>
          <w:lang w:val="en-US" w:eastAsia="en-US"/>
        </w:rPr>
        <w:t>/sodium</w:t>
      </w:r>
      <w:r w:rsidR="00D97FB9" w:rsidRPr="00816467">
        <w:rPr>
          <w:rFonts w:eastAsia="MS Mincho"/>
          <w:color w:val="000000"/>
          <w:sz w:val="24"/>
          <w:szCs w:val="24"/>
          <w:lang w:val="en-US" w:eastAsia="en-US"/>
        </w:rPr>
        <w:t xml:space="preserve"> starting at </w:t>
      </w:r>
      <w:r w:rsidR="00D662B7">
        <w:rPr>
          <w:rFonts w:eastAsia="MS Mincho"/>
          <w:color w:val="000000"/>
          <w:sz w:val="24"/>
          <w:szCs w:val="24"/>
          <w:lang w:val="en-US" w:eastAsia="en-US"/>
        </w:rPr>
        <w:t>w</w:t>
      </w:r>
      <w:r w:rsidR="00D97FB9" w:rsidRPr="00150B7C">
        <w:rPr>
          <w:rFonts w:eastAsia="MS Mincho"/>
          <w:color w:val="000000"/>
          <w:sz w:val="24"/>
          <w:szCs w:val="24"/>
          <w:lang w:val="en-US" w:eastAsia="en-US"/>
        </w:rPr>
        <w:t>eek</w:t>
      </w:r>
      <w:r w:rsidR="00D96F54">
        <w:rPr>
          <w:rFonts w:eastAsia="MS Mincho"/>
          <w:color w:val="000000"/>
          <w:sz w:val="24"/>
          <w:szCs w:val="24"/>
          <w:lang w:val="en-US" w:eastAsia="en-US"/>
        </w:rPr>
        <w:t> </w:t>
      </w:r>
      <w:r w:rsidR="00D97FB9" w:rsidRPr="00150B7C">
        <w:rPr>
          <w:rFonts w:eastAsia="MS Mincho"/>
          <w:color w:val="000000"/>
          <w:sz w:val="24"/>
          <w:szCs w:val="24"/>
          <w:lang w:val="en-US" w:eastAsia="en-US"/>
        </w:rPr>
        <w:t xml:space="preserve">15 (same dosing regimen as </w:t>
      </w:r>
      <w:r w:rsidR="000E7925">
        <w:rPr>
          <w:rFonts w:eastAsia="MS Mincho"/>
          <w:color w:val="000000"/>
          <w:sz w:val="24"/>
          <w:szCs w:val="24"/>
          <w:lang w:val="en-US" w:eastAsia="en-US"/>
        </w:rPr>
        <w:t>intravenous</w:t>
      </w:r>
      <w:r w:rsidR="00D97FB9" w:rsidRPr="00150B7C">
        <w:rPr>
          <w:rFonts w:eastAsia="MS Mincho"/>
          <w:color w:val="000000"/>
          <w:sz w:val="24"/>
          <w:szCs w:val="24"/>
          <w:lang w:val="en-US" w:eastAsia="en-US"/>
        </w:rPr>
        <w:t xml:space="preserve"> cyclophosphamide)</w:t>
      </w:r>
      <w:r w:rsidR="00D662B7">
        <w:rPr>
          <w:rFonts w:eastAsia="MS Mincho"/>
          <w:color w:val="000000"/>
          <w:sz w:val="24"/>
          <w:szCs w:val="24"/>
          <w:lang w:val="en-US" w:eastAsia="en-US"/>
        </w:rPr>
        <w:t>.</w:t>
      </w:r>
    </w:p>
    <w:p w14:paraId="7DF01326" w14:textId="7CE2B546" w:rsidR="00D97FB9" w:rsidRDefault="00D97FB9" w:rsidP="0086408B">
      <w:r w:rsidRPr="0086408B">
        <w:t>For the first rituximab infusion, 100 mg methylprednisolone, or equivalent was given</w:t>
      </w:r>
      <w:r w:rsidR="00F71049">
        <w:t xml:space="preserve"> before starting the infusion with rituximab.</w:t>
      </w:r>
      <w:r w:rsidRPr="0086408B">
        <w:t xml:space="preserve"> Glucocorticoid</w:t>
      </w:r>
      <w:r w:rsidR="00D9719F" w:rsidRPr="0086408B">
        <w:t xml:space="preserve"> </w:t>
      </w:r>
      <w:r w:rsidRPr="0086408B">
        <w:t>pre-medication</w:t>
      </w:r>
      <w:r w:rsidRPr="0086408B">
        <w:rPr>
          <w:spacing w:val="-4"/>
        </w:rPr>
        <w:t xml:space="preserve"> </w:t>
      </w:r>
      <w:r w:rsidRPr="0086408B">
        <w:t>for</w:t>
      </w:r>
      <w:r w:rsidRPr="0086408B">
        <w:rPr>
          <w:spacing w:val="-2"/>
        </w:rPr>
        <w:t xml:space="preserve"> </w:t>
      </w:r>
      <w:r w:rsidRPr="0086408B">
        <w:t>the</w:t>
      </w:r>
      <w:r w:rsidRPr="0086408B">
        <w:rPr>
          <w:spacing w:val="-2"/>
        </w:rPr>
        <w:t xml:space="preserve"> </w:t>
      </w:r>
      <w:r w:rsidRPr="0086408B">
        <w:t>second,</w:t>
      </w:r>
      <w:r w:rsidRPr="0086408B">
        <w:rPr>
          <w:spacing w:val="-1"/>
        </w:rPr>
        <w:t xml:space="preserve"> </w:t>
      </w:r>
      <w:r w:rsidRPr="0086408B">
        <w:t>third,</w:t>
      </w:r>
      <w:r w:rsidRPr="0086408B">
        <w:rPr>
          <w:spacing w:val="-3"/>
        </w:rPr>
        <w:t xml:space="preserve"> </w:t>
      </w:r>
      <w:r w:rsidRPr="0086408B">
        <w:t>and</w:t>
      </w:r>
      <w:r w:rsidRPr="0086408B">
        <w:rPr>
          <w:spacing w:val="-3"/>
        </w:rPr>
        <w:t xml:space="preserve"> </w:t>
      </w:r>
      <w:r w:rsidRPr="0086408B">
        <w:t>fourth</w:t>
      </w:r>
      <w:r w:rsidRPr="0086408B">
        <w:rPr>
          <w:spacing w:val="-3"/>
        </w:rPr>
        <w:t xml:space="preserve"> </w:t>
      </w:r>
      <w:r w:rsidRPr="0086408B">
        <w:t>rituximab</w:t>
      </w:r>
      <w:r w:rsidRPr="0086408B">
        <w:rPr>
          <w:spacing w:val="-1"/>
        </w:rPr>
        <w:t xml:space="preserve"> </w:t>
      </w:r>
      <w:r w:rsidRPr="0086408B">
        <w:t>infusions was allowed.</w:t>
      </w:r>
    </w:p>
    <w:p w14:paraId="40D88202" w14:textId="20512F33" w:rsidR="00F71049" w:rsidRDefault="00F71049" w:rsidP="0086408B">
      <w:r>
        <w:t>Dose reductions or adjustments in cyclophosphamide, azathioprine, and mycophenolate were allowed</w:t>
      </w:r>
      <w:r>
        <w:rPr>
          <w:rFonts w:eastAsia="SimSun"/>
          <w:color w:val="auto"/>
          <w:sz w:val="22"/>
          <w:szCs w:val="22"/>
          <w:lang w:val="en-GB"/>
        </w:rPr>
        <w:t xml:space="preserve"> </w:t>
      </w:r>
      <w:r>
        <w:t xml:space="preserve">to conform to standard approaches to </w:t>
      </w:r>
      <w:proofErr w:type="spellStart"/>
      <w:r>
        <w:t>maximi</w:t>
      </w:r>
      <w:r w:rsidR="00816467">
        <w:t>s</w:t>
      </w:r>
      <w:r>
        <w:t>e</w:t>
      </w:r>
      <w:proofErr w:type="spellEnd"/>
      <w:r>
        <w:t xml:space="preserve"> safety of these medicinal products.</w:t>
      </w:r>
    </w:p>
    <w:p w14:paraId="6142716A" w14:textId="0BE1A461" w:rsidR="000E7925" w:rsidRPr="00C8259F" w:rsidRDefault="000E7925" w:rsidP="000E7925">
      <w:r w:rsidRPr="00C8259F">
        <w:t xml:space="preserve">The following </w:t>
      </w:r>
      <w:r>
        <w:t xml:space="preserve">study-supplied </w:t>
      </w:r>
      <w:r w:rsidRPr="00C8259F">
        <w:t>glucocorticoid tapering schedule was used (</w:t>
      </w:r>
      <w:r w:rsidR="007A047A" w:rsidRPr="007A047A">
        <w:fldChar w:fldCharType="begin"/>
      </w:r>
      <w:r w:rsidR="007A047A" w:rsidRPr="007A047A">
        <w:instrText xml:space="preserve"> REF _Ref88558406 \h </w:instrText>
      </w:r>
      <w:r w:rsidR="007A047A" w:rsidRPr="00150B7C">
        <w:instrText xml:space="preserve"> \* MERGEFORMAT </w:instrText>
      </w:r>
      <w:r w:rsidR="007A047A" w:rsidRPr="007A047A">
        <w:fldChar w:fldCharType="separate"/>
      </w:r>
      <w:r w:rsidR="00F12523" w:rsidRPr="0037508F">
        <w:t xml:space="preserve">Table </w:t>
      </w:r>
      <w:r w:rsidR="00F12523" w:rsidRPr="0037508F">
        <w:rPr>
          <w:noProof/>
        </w:rPr>
        <w:t>3</w:t>
      </w:r>
      <w:r w:rsidR="007A047A" w:rsidRPr="007A047A">
        <w:fldChar w:fldCharType="end"/>
      </w:r>
      <w:r w:rsidRPr="00C8259F">
        <w:t>)</w:t>
      </w:r>
      <w:r>
        <w:t>.</w:t>
      </w:r>
    </w:p>
    <w:p w14:paraId="4276F7FF" w14:textId="620923FF" w:rsidR="007A047A" w:rsidRPr="00FE17C6" w:rsidRDefault="00D96F54" w:rsidP="00542B2D">
      <w:pPr>
        <w:keepNext/>
        <w:keepLines/>
        <w:spacing w:after="240"/>
      </w:pPr>
      <w:bookmarkStart w:id="20" w:name="_Ref88558406"/>
      <w:r w:rsidRPr="001A4151">
        <w:rPr>
          <w:b/>
          <w:bCs/>
        </w:rPr>
        <w:lastRenderedPageBreak/>
        <w:t xml:space="preserve">Table </w:t>
      </w:r>
      <w:r w:rsidRPr="001A4151">
        <w:rPr>
          <w:b/>
          <w:bCs/>
        </w:rPr>
        <w:fldChar w:fldCharType="begin"/>
      </w:r>
      <w:r w:rsidRPr="001A4151">
        <w:rPr>
          <w:b/>
          <w:bCs/>
        </w:rPr>
        <w:instrText xml:space="preserve"> SEQ Table \* ARABIC </w:instrText>
      </w:r>
      <w:r w:rsidRPr="001A4151">
        <w:rPr>
          <w:b/>
          <w:bCs/>
        </w:rPr>
        <w:fldChar w:fldCharType="separate"/>
      </w:r>
      <w:r w:rsidR="00D607BF">
        <w:rPr>
          <w:b/>
          <w:bCs/>
          <w:noProof/>
        </w:rPr>
        <w:t>3</w:t>
      </w:r>
      <w:r w:rsidRPr="001A4151">
        <w:rPr>
          <w:b/>
          <w:bCs/>
        </w:rPr>
        <w:fldChar w:fldCharType="end"/>
      </w:r>
      <w:bookmarkEnd w:id="20"/>
      <w:r w:rsidR="000E7925" w:rsidRPr="001A4151">
        <w:rPr>
          <w:b/>
          <w:bCs/>
        </w:rPr>
        <w:t>:</w:t>
      </w:r>
      <w:r w:rsidR="007A047A">
        <w:rPr>
          <w:b/>
          <w:bCs/>
        </w:rPr>
        <w:t xml:space="preserve">  </w:t>
      </w:r>
      <w:r w:rsidR="000E7925" w:rsidRPr="001A4151">
        <w:rPr>
          <w:b/>
          <w:bCs/>
        </w:rPr>
        <w:t>Glucocorticoid tapering schedule – Prednisone dose (mg per day)</w:t>
      </w:r>
    </w:p>
    <w:tbl>
      <w:tblPr>
        <w:tblStyle w:val="Standard"/>
        <w:tblW w:w="0" w:type="auto"/>
        <w:tblLook w:val="04A0" w:firstRow="1" w:lastRow="0" w:firstColumn="1" w:lastColumn="0" w:noHBand="0" w:noVBand="1"/>
      </w:tblPr>
      <w:tblGrid>
        <w:gridCol w:w="2252"/>
        <w:gridCol w:w="2256"/>
        <w:gridCol w:w="2254"/>
        <w:gridCol w:w="2254"/>
      </w:tblGrid>
      <w:tr w:rsidR="000E7925" w14:paraId="35FC1009" w14:textId="77777777" w:rsidTr="00FB3054">
        <w:trPr>
          <w:tblHeader/>
        </w:trPr>
        <w:tc>
          <w:tcPr>
            <w:tcW w:w="2265" w:type="dxa"/>
          </w:tcPr>
          <w:p w14:paraId="227E43BC" w14:textId="77777777" w:rsidR="000E7925" w:rsidRPr="00C8259F" w:rsidRDefault="000E7925" w:rsidP="00542B2D">
            <w:pPr>
              <w:pStyle w:val="HeadingStrong"/>
            </w:pPr>
            <w:r w:rsidRPr="00C8259F">
              <w:t xml:space="preserve">Study </w:t>
            </w:r>
            <w:r>
              <w:t>Day</w:t>
            </w:r>
          </w:p>
        </w:tc>
        <w:tc>
          <w:tcPr>
            <w:tcW w:w="2266" w:type="dxa"/>
          </w:tcPr>
          <w:p w14:paraId="60F94FA6" w14:textId="77777777" w:rsidR="000E7925" w:rsidRPr="00C8259F" w:rsidRDefault="000E7925" w:rsidP="00542B2D">
            <w:pPr>
              <w:pStyle w:val="HeadingStrong"/>
              <w:jc w:val="center"/>
            </w:pPr>
            <w:r w:rsidRPr="00C8259F">
              <w:t>Avacopan</w:t>
            </w:r>
          </w:p>
        </w:tc>
        <w:tc>
          <w:tcPr>
            <w:tcW w:w="4532" w:type="dxa"/>
            <w:gridSpan w:val="2"/>
          </w:tcPr>
          <w:p w14:paraId="577170AA" w14:textId="77777777" w:rsidR="000E7925" w:rsidRPr="00C8259F" w:rsidRDefault="000E7925" w:rsidP="00542B2D">
            <w:pPr>
              <w:pStyle w:val="HeadingStrong"/>
              <w:jc w:val="center"/>
            </w:pPr>
            <w:r>
              <w:t>Comparator</w:t>
            </w:r>
          </w:p>
        </w:tc>
      </w:tr>
      <w:tr w:rsidR="000E7925" w14:paraId="27A2C7DD" w14:textId="77777777" w:rsidTr="001A4151">
        <w:trPr>
          <w:trHeight w:val="158"/>
        </w:trPr>
        <w:tc>
          <w:tcPr>
            <w:tcW w:w="2265" w:type="dxa"/>
          </w:tcPr>
          <w:p w14:paraId="220000CA" w14:textId="77777777" w:rsidR="000E7925" w:rsidRPr="00EC4151" w:rsidRDefault="000E7925" w:rsidP="00291C24">
            <w:pPr>
              <w:keepNext/>
              <w:spacing w:before="0"/>
              <w:jc w:val="center"/>
            </w:pPr>
          </w:p>
        </w:tc>
        <w:tc>
          <w:tcPr>
            <w:tcW w:w="2266" w:type="dxa"/>
          </w:tcPr>
          <w:p w14:paraId="752AFEDA" w14:textId="77777777" w:rsidR="000E7925" w:rsidRPr="00C8259F" w:rsidRDefault="000E7925" w:rsidP="00291C24">
            <w:pPr>
              <w:pStyle w:val="NormalCentred"/>
              <w:keepNext/>
            </w:pPr>
            <w:r>
              <w:t>All</w:t>
            </w:r>
          </w:p>
        </w:tc>
        <w:tc>
          <w:tcPr>
            <w:tcW w:w="2266" w:type="dxa"/>
          </w:tcPr>
          <w:p w14:paraId="0D7FD740" w14:textId="77777777" w:rsidR="000E7925" w:rsidRPr="00C8259F" w:rsidRDefault="000E7925" w:rsidP="00291C24">
            <w:pPr>
              <w:pStyle w:val="NormalCentred"/>
              <w:keepNext/>
            </w:pPr>
            <w:r w:rsidRPr="00C8259F">
              <w:t>≥</w:t>
            </w:r>
            <w:r>
              <w:t> </w:t>
            </w:r>
            <w:r w:rsidRPr="00C8259F">
              <w:t>55 kg</w:t>
            </w:r>
          </w:p>
        </w:tc>
        <w:tc>
          <w:tcPr>
            <w:tcW w:w="2266" w:type="dxa"/>
          </w:tcPr>
          <w:p w14:paraId="7C717502" w14:textId="77777777" w:rsidR="000E7925" w:rsidRPr="00C8259F" w:rsidRDefault="000E7925" w:rsidP="00291C24">
            <w:pPr>
              <w:pStyle w:val="NormalCentred"/>
              <w:keepNext/>
            </w:pPr>
            <w:r w:rsidRPr="00C8259F">
              <w:t>&lt;</w:t>
            </w:r>
            <w:r>
              <w:t> </w:t>
            </w:r>
            <w:r w:rsidRPr="00C8259F">
              <w:t>55 kg</w:t>
            </w:r>
          </w:p>
        </w:tc>
      </w:tr>
      <w:tr w:rsidR="000E7925" w14:paraId="28F9E5A9" w14:textId="77777777" w:rsidTr="00FB3054">
        <w:tc>
          <w:tcPr>
            <w:tcW w:w="2265" w:type="dxa"/>
          </w:tcPr>
          <w:p w14:paraId="2ADA1FC2" w14:textId="77777777" w:rsidR="000E7925" w:rsidRPr="00EC4151" w:rsidRDefault="000E7925" w:rsidP="00291C24">
            <w:pPr>
              <w:keepNext/>
              <w:spacing w:before="0"/>
            </w:pPr>
            <w:r w:rsidRPr="00EC4151">
              <w:t>1 to 7</w:t>
            </w:r>
          </w:p>
        </w:tc>
        <w:tc>
          <w:tcPr>
            <w:tcW w:w="2266" w:type="dxa"/>
          </w:tcPr>
          <w:p w14:paraId="0D013158" w14:textId="77777777" w:rsidR="000E7925" w:rsidRPr="00C8259F" w:rsidRDefault="000E7925" w:rsidP="00291C24">
            <w:pPr>
              <w:pStyle w:val="NormalCentred"/>
              <w:keepNext/>
            </w:pPr>
            <w:r w:rsidRPr="00C8259F">
              <w:t>0</w:t>
            </w:r>
          </w:p>
        </w:tc>
        <w:tc>
          <w:tcPr>
            <w:tcW w:w="2266" w:type="dxa"/>
          </w:tcPr>
          <w:p w14:paraId="01CEA49C" w14:textId="77777777" w:rsidR="000E7925" w:rsidRPr="00C8259F" w:rsidRDefault="000E7925" w:rsidP="00291C24">
            <w:pPr>
              <w:pStyle w:val="NormalCentred"/>
              <w:keepNext/>
            </w:pPr>
            <w:r w:rsidRPr="00C8259F">
              <w:t>60</w:t>
            </w:r>
          </w:p>
        </w:tc>
        <w:tc>
          <w:tcPr>
            <w:tcW w:w="2266" w:type="dxa"/>
          </w:tcPr>
          <w:p w14:paraId="6F8DAB84" w14:textId="77777777" w:rsidR="000E7925" w:rsidRPr="00C8259F" w:rsidRDefault="000E7925" w:rsidP="00291C24">
            <w:pPr>
              <w:pStyle w:val="NormalCentred"/>
              <w:keepNext/>
            </w:pPr>
            <w:r w:rsidRPr="00C8259F">
              <w:t>45</w:t>
            </w:r>
          </w:p>
        </w:tc>
      </w:tr>
      <w:tr w:rsidR="000E7925" w14:paraId="628D6130" w14:textId="77777777" w:rsidTr="00FB3054">
        <w:tc>
          <w:tcPr>
            <w:tcW w:w="2265" w:type="dxa"/>
          </w:tcPr>
          <w:p w14:paraId="15EC54CC" w14:textId="77777777" w:rsidR="000E7925" w:rsidRPr="00EC4151" w:rsidRDefault="000E7925" w:rsidP="001A4151">
            <w:pPr>
              <w:spacing w:before="0"/>
            </w:pPr>
            <w:r w:rsidRPr="00EC4151">
              <w:t>8 to 14</w:t>
            </w:r>
          </w:p>
        </w:tc>
        <w:tc>
          <w:tcPr>
            <w:tcW w:w="2266" w:type="dxa"/>
          </w:tcPr>
          <w:p w14:paraId="267DC5C4" w14:textId="77777777" w:rsidR="000E7925" w:rsidRPr="00C8259F" w:rsidRDefault="000E7925">
            <w:pPr>
              <w:pStyle w:val="NormalCentred"/>
            </w:pPr>
            <w:r w:rsidRPr="00C8259F">
              <w:t>0</w:t>
            </w:r>
          </w:p>
        </w:tc>
        <w:tc>
          <w:tcPr>
            <w:tcW w:w="2266" w:type="dxa"/>
          </w:tcPr>
          <w:p w14:paraId="4218B7C3" w14:textId="77777777" w:rsidR="000E7925" w:rsidRPr="00C8259F" w:rsidRDefault="000E7925">
            <w:pPr>
              <w:pStyle w:val="NormalCentred"/>
            </w:pPr>
            <w:r w:rsidRPr="00C8259F">
              <w:t>45</w:t>
            </w:r>
          </w:p>
        </w:tc>
        <w:tc>
          <w:tcPr>
            <w:tcW w:w="2266" w:type="dxa"/>
          </w:tcPr>
          <w:p w14:paraId="494E7939" w14:textId="77777777" w:rsidR="000E7925" w:rsidRPr="00C8259F" w:rsidRDefault="000E7925">
            <w:pPr>
              <w:pStyle w:val="NormalCentred"/>
            </w:pPr>
            <w:r w:rsidRPr="00C8259F">
              <w:t>45</w:t>
            </w:r>
          </w:p>
        </w:tc>
      </w:tr>
      <w:tr w:rsidR="000E7925" w14:paraId="29E15413" w14:textId="77777777" w:rsidTr="00FB3054">
        <w:tc>
          <w:tcPr>
            <w:tcW w:w="2265" w:type="dxa"/>
          </w:tcPr>
          <w:p w14:paraId="64D65457" w14:textId="77777777" w:rsidR="000E7925" w:rsidRPr="00EC4151" w:rsidRDefault="000E7925" w:rsidP="001A4151">
            <w:pPr>
              <w:spacing w:before="0"/>
            </w:pPr>
            <w:r w:rsidRPr="00EC4151">
              <w:t>15 to 21</w:t>
            </w:r>
          </w:p>
        </w:tc>
        <w:tc>
          <w:tcPr>
            <w:tcW w:w="2266" w:type="dxa"/>
          </w:tcPr>
          <w:p w14:paraId="0D6E68A6" w14:textId="77777777" w:rsidR="000E7925" w:rsidRPr="00C8259F" w:rsidRDefault="000E7925">
            <w:pPr>
              <w:pStyle w:val="NormalCentred"/>
            </w:pPr>
            <w:r w:rsidRPr="00C8259F">
              <w:t>0</w:t>
            </w:r>
          </w:p>
        </w:tc>
        <w:tc>
          <w:tcPr>
            <w:tcW w:w="2266" w:type="dxa"/>
          </w:tcPr>
          <w:p w14:paraId="5FB15004" w14:textId="77777777" w:rsidR="000E7925" w:rsidRPr="00C8259F" w:rsidRDefault="000E7925">
            <w:pPr>
              <w:pStyle w:val="NormalCentred"/>
            </w:pPr>
            <w:r w:rsidRPr="00C8259F">
              <w:t>30</w:t>
            </w:r>
          </w:p>
        </w:tc>
        <w:tc>
          <w:tcPr>
            <w:tcW w:w="2266" w:type="dxa"/>
          </w:tcPr>
          <w:p w14:paraId="30578DA2" w14:textId="77777777" w:rsidR="000E7925" w:rsidRPr="00C8259F" w:rsidRDefault="000E7925">
            <w:pPr>
              <w:pStyle w:val="NormalCentred"/>
            </w:pPr>
            <w:r w:rsidRPr="00C8259F">
              <w:t>30</w:t>
            </w:r>
          </w:p>
        </w:tc>
      </w:tr>
      <w:tr w:rsidR="000E7925" w14:paraId="52325FE2" w14:textId="77777777" w:rsidTr="00FB3054">
        <w:tc>
          <w:tcPr>
            <w:tcW w:w="2265" w:type="dxa"/>
          </w:tcPr>
          <w:p w14:paraId="446316AC" w14:textId="77777777" w:rsidR="000E7925" w:rsidRPr="00EC4151" w:rsidRDefault="000E7925" w:rsidP="001A4151">
            <w:pPr>
              <w:spacing w:before="0"/>
            </w:pPr>
            <w:r w:rsidRPr="00EC4151">
              <w:t>22 to 42</w:t>
            </w:r>
          </w:p>
        </w:tc>
        <w:tc>
          <w:tcPr>
            <w:tcW w:w="2266" w:type="dxa"/>
          </w:tcPr>
          <w:p w14:paraId="2869A00C" w14:textId="77777777" w:rsidR="000E7925" w:rsidRPr="00C8259F" w:rsidRDefault="000E7925">
            <w:pPr>
              <w:pStyle w:val="NormalCentred"/>
            </w:pPr>
            <w:r w:rsidRPr="00C8259F">
              <w:t>0</w:t>
            </w:r>
          </w:p>
        </w:tc>
        <w:tc>
          <w:tcPr>
            <w:tcW w:w="2266" w:type="dxa"/>
          </w:tcPr>
          <w:p w14:paraId="772DC4D9" w14:textId="77777777" w:rsidR="000E7925" w:rsidRPr="00C8259F" w:rsidRDefault="000E7925">
            <w:pPr>
              <w:pStyle w:val="NormalCentred"/>
            </w:pPr>
            <w:r w:rsidRPr="00C8259F">
              <w:t>25</w:t>
            </w:r>
          </w:p>
        </w:tc>
        <w:tc>
          <w:tcPr>
            <w:tcW w:w="2266" w:type="dxa"/>
          </w:tcPr>
          <w:p w14:paraId="31E5A687" w14:textId="77777777" w:rsidR="000E7925" w:rsidRPr="00C8259F" w:rsidRDefault="000E7925">
            <w:pPr>
              <w:pStyle w:val="NormalCentred"/>
            </w:pPr>
            <w:r w:rsidRPr="00C8259F">
              <w:t>25</w:t>
            </w:r>
          </w:p>
        </w:tc>
      </w:tr>
      <w:tr w:rsidR="000E7925" w14:paraId="2C876DDE" w14:textId="77777777" w:rsidTr="00FB3054">
        <w:tc>
          <w:tcPr>
            <w:tcW w:w="2265" w:type="dxa"/>
          </w:tcPr>
          <w:p w14:paraId="71954EF2" w14:textId="77777777" w:rsidR="000E7925" w:rsidRPr="00EC4151" w:rsidRDefault="000E7925" w:rsidP="001A4151">
            <w:pPr>
              <w:spacing w:before="0"/>
            </w:pPr>
            <w:r w:rsidRPr="00EC4151">
              <w:t>43 to 56</w:t>
            </w:r>
          </w:p>
        </w:tc>
        <w:tc>
          <w:tcPr>
            <w:tcW w:w="2266" w:type="dxa"/>
          </w:tcPr>
          <w:p w14:paraId="08027EB2" w14:textId="77777777" w:rsidR="000E7925" w:rsidRPr="00C8259F" w:rsidRDefault="000E7925">
            <w:pPr>
              <w:pStyle w:val="NormalCentred"/>
            </w:pPr>
            <w:r w:rsidRPr="00C8259F">
              <w:t>0</w:t>
            </w:r>
          </w:p>
        </w:tc>
        <w:tc>
          <w:tcPr>
            <w:tcW w:w="2266" w:type="dxa"/>
          </w:tcPr>
          <w:p w14:paraId="62C331FA" w14:textId="77777777" w:rsidR="000E7925" w:rsidRPr="00C8259F" w:rsidRDefault="000E7925">
            <w:pPr>
              <w:pStyle w:val="NormalCentred"/>
            </w:pPr>
            <w:r w:rsidRPr="00C8259F">
              <w:t>20</w:t>
            </w:r>
          </w:p>
        </w:tc>
        <w:tc>
          <w:tcPr>
            <w:tcW w:w="2266" w:type="dxa"/>
          </w:tcPr>
          <w:p w14:paraId="75613050" w14:textId="77777777" w:rsidR="000E7925" w:rsidRPr="00C8259F" w:rsidRDefault="000E7925">
            <w:pPr>
              <w:pStyle w:val="NormalCentred"/>
            </w:pPr>
            <w:r w:rsidRPr="00C8259F">
              <w:t>20</w:t>
            </w:r>
          </w:p>
        </w:tc>
      </w:tr>
      <w:tr w:rsidR="000E7925" w14:paraId="5D04FB94" w14:textId="77777777" w:rsidTr="00FB3054">
        <w:tc>
          <w:tcPr>
            <w:tcW w:w="2265" w:type="dxa"/>
          </w:tcPr>
          <w:p w14:paraId="628E9A6A" w14:textId="77777777" w:rsidR="000E7925" w:rsidRPr="00EC4151" w:rsidRDefault="000E7925" w:rsidP="001A4151">
            <w:pPr>
              <w:spacing w:before="0"/>
            </w:pPr>
            <w:r w:rsidRPr="00EC4151">
              <w:t>57 to 70</w:t>
            </w:r>
          </w:p>
        </w:tc>
        <w:tc>
          <w:tcPr>
            <w:tcW w:w="2266" w:type="dxa"/>
          </w:tcPr>
          <w:p w14:paraId="13C6BA43" w14:textId="77777777" w:rsidR="000E7925" w:rsidRPr="00C8259F" w:rsidRDefault="000E7925">
            <w:pPr>
              <w:pStyle w:val="NormalCentred"/>
            </w:pPr>
            <w:r w:rsidRPr="00C8259F">
              <w:t>0</w:t>
            </w:r>
          </w:p>
        </w:tc>
        <w:tc>
          <w:tcPr>
            <w:tcW w:w="2266" w:type="dxa"/>
          </w:tcPr>
          <w:p w14:paraId="49E46971" w14:textId="77777777" w:rsidR="000E7925" w:rsidRPr="00C8259F" w:rsidRDefault="000E7925">
            <w:pPr>
              <w:pStyle w:val="NormalCentred"/>
            </w:pPr>
            <w:r w:rsidRPr="00C8259F">
              <w:t>15</w:t>
            </w:r>
          </w:p>
        </w:tc>
        <w:tc>
          <w:tcPr>
            <w:tcW w:w="2266" w:type="dxa"/>
          </w:tcPr>
          <w:p w14:paraId="5AADEA5E" w14:textId="77777777" w:rsidR="000E7925" w:rsidRPr="00C8259F" w:rsidRDefault="000E7925">
            <w:pPr>
              <w:pStyle w:val="NormalCentred"/>
            </w:pPr>
            <w:r w:rsidRPr="00C8259F">
              <w:t>15</w:t>
            </w:r>
          </w:p>
        </w:tc>
      </w:tr>
      <w:tr w:rsidR="000E7925" w14:paraId="06BD3C55" w14:textId="77777777" w:rsidTr="00FB3054">
        <w:tc>
          <w:tcPr>
            <w:tcW w:w="2265" w:type="dxa"/>
          </w:tcPr>
          <w:p w14:paraId="23343808" w14:textId="77777777" w:rsidR="000E7925" w:rsidRPr="00EC4151" w:rsidRDefault="000E7925" w:rsidP="001A4151">
            <w:pPr>
              <w:spacing w:before="0"/>
            </w:pPr>
            <w:r w:rsidRPr="00EC4151">
              <w:t>71 to 98</w:t>
            </w:r>
          </w:p>
        </w:tc>
        <w:tc>
          <w:tcPr>
            <w:tcW w:w="2266" w:type="dxa"/>
          </w:tcPr>
          <w:p w14:paraId="25564786" w14:textId="77777777" w:rsidR="000E7925" w:rsidRPr="00C8259F" w:rsidRDefault="000E7925">
            <w:pPr>
              <w:pStyle w:val="NormalCentred"/>
            </w:pPr>
            <w:r w:rsidRPr="00C8259F">
              <w:t>0</w:t>
            </w:r>
          </w:p>
        </w:tc>
        <w:tc>
          <w:tcPr>
            <w:tcW w:w="2266" w:type="dxa"/>
          </w:tcPr>
          <w:p w14:paraId="7A02B77E" w14:textId="77777777" w:rsidR="000E7925" w:rsidRPr="00C8259F" w:rsidRDefault="000E7925">
            <w:pPr>
              <w:pStyle w:val="NormalCentred"/>
            </w:pPr>
            <w:r w:rsidRPr="00C8259F">
              <w:t>10</w:t>
            </w:r>
          </w:p>
        </w:tc>
        <w:tc>
          <w:tcPr>
            <w:tcW w:w="2266" w:type="dxa"/>
          </w:tcPr>
          <w:p w14:paraId="5546587B" w14:textId="77777777" w:rsidR="000E7925" w:rsidRPr="00C8259F" w:rsidRDefault="000E7925">
            <w:pPr>
              <w:pStyle w:val="NormalCentred"/>
            </w:pPr>
            <w:r w:rsidRPr="00C8259F">
              <w:t>10</w:t>
            </w:r>
          </w:p>
        </w:tc>
      </w:tr>
      <w:tr w:rsidR="000E7925" w14:paraId="20A8764D" w14:textId="77777777" w:rsidTr="00FB3054">
        <w:tc>
          <w:tcPr>
            <w:tcW w:w="2265" w:type="dxa"/>
          </w:tcPr>
          <w:p w14:paraId="24C02D99" w14:textId="77777777" w:rsidR="000E7925" w:rsidRPr="00EC4151" w:rsidRDefault="000E7925" w:rsidP="001A4151">
            <w:pPr>
              <w:spacing w:before="0"/>
            </w:pPr>
            <w:r w:rsidRPr="00EC4151">
              <w:t>99 to 140</w:t>
            </w:r>
          </w:p>
        </w:tc>
        <w:tc>
          <w:tcPr>
            <w:tcW w:w="2266" w:type="dxa"/>
          </w:tcPr>
          <w:p w14:paraId="7BA1FA34" w14:textId="77777777" w:rsidR="000E7925" w:rsidRPr="00C8259F" w:rsidRDefault="000E7925">
            <w:pPr>
              <w:pStyle w:val="NormalCentred"/>
            </w:pPr>
            <w:r w:rsidRPr="00C8259F">
              <w:t>0</w:t>
            </w:r>
          </w:p>
        </w:tc>
        <w:tc>
          <w:tcPr>
            <w:tcW w:w="2266" w:type="dxa"/>
          </w:tcPr>
          <w:p w14:paraId="1008A2DE" w14:textId="77777777" w:rsidR="000E7925" w:rsidRPr="00C8259F" w:rsidRDefault="000E7925">
            <w:pPr>
              <w:pStyle w:val="NormalCentred"/>
            </w:pPr>
            <w:r w:rsidRPr="00C8259F">
              <w:t>5</w:t>
            </w:r>
          </w:p>
        </w:tc>
        <w:tc>
          <w:tcPr>
            <w:tcW w:w="2266" w:type="dxa"/>
          </w:tcPr>
          <w:p w14:paraId="365CC96F" w14:textId="77777777" w:rsidR="000E7925" w:rsidRPr="00C8259F" w:rsidRDefault="000E7925">
            <w:pPr>
              <w:pStyle w:val="NormalCentred"/>
            </w:pPr>
            <w:r w:rsidRPr="00C8259F">
              <w:t>5</w:t>
            </w:r>
          </w:p>
        </w:tc>
      </w:tr>
      <w:tr w:rsidR="000E7925" w14:paraId="4AD67B74" w14:textId="77777777" w:rsidTr="00FB3054">
        <w:tc>
          <w:tcPr>
            <w:tcW w:w="2265" w:type="dxa"/>
          </w:tcPr>
          <w:p w14:paraId="79CF2CAE" w14:textId="77777777" w:rsidR="000E7925" w:rsidRPr="00C8259F" w:rsidRDefault="000E7925" w:rsidP="001A4151">
            <w:pPr>
              <w:spacing w:before="0"/>
            </w:pPr>
            <w:r w:rsidRPr="00C8259F">
              <w:t>≥141</w:t>
            </w:r>
          </w:p>
        </w:tc>
        <w:tc>
          <w:tcPr>
            <w:tcW w:w="2266" w:type="dxa"/>
          </w:tcPr>
          <w:p w14:paraId="1BF1FEB5" w14:textId="77777777" w:rsidR="000E7925" w:rsidRPr="00C8259F" w:rsidRDefault="000E7925">
            <w:pPr>
              <w:pStyle w:val="NormalCentred"/>
            </w:pPr>
            <w:r w:rsidRPr="00C8259F">
              <w:t>0</w:t>
            </w:r>
          </w:p>
        </w:tc>
        <w:tc>
          <w:tcPr>
            <w:tcW w:w="2266" w:type="dxa"/>
          </w:tcPr>
          <w:p w14:paraId="2DC52405" w14:textId="77777777" w:rsidR="000E7925" w:rsidRPr="00C8259F" w:rsidRDefault="000E7925">
            <w:pPr>
              <w:pStyle w:val="NormalCentred"/>
            </w:pPr>
            <w:r w:rsidRPr="00C8259F">
              <w:t>0</w:t>
            </w:r>
          </w:p>
        </w:tc>
        <w:tc>
          <w:tcPr>
            <w:tcW w:w="2266" w:type="dxa"/>
          </w:tcPr>
          <w:p w14:paraId="7F03AB7B" w14:textId="77777777" w:rsidR="000E7925" w:rsidRPr="00C8259F" w:rsidRDefault="000E7925">
            <w:pPr>
              <w:pStyle w:val="NormalCentred"/>
            </w:pPr>
            <w:r w:rsidRPr="00C8259F">
              <w:t>0</w:t>
            </w:r>
          </w:p>
        </w:tc>
      </w:tr>
    </w:tbl>
    <w:p w14:paraId="07658A8F" w14:textId="27EC5F76" w:rsidR="000E7925" w:rsidRPr="00816467" w:rsidRDefault="000E7925" w:rsidP="000E7925">
      <w:pPr>
        <w:rPr>
          <w:rFonts w:eastAsia="SimSun"/>
          <w:color w:val="auto"/>
          <w:sz w:val="22"/>
          <w:szCs w:val="22"/>
          <w:lang w:val="en-GB"/>
        </w:rPr>
      </w:pPr>
      <w:r w:rsidRPr="00EC4151">
        <w:t>Non-study supplied glucocorticoid</w:t>
      </w:r>
      <w:r w:rsidR="00FB3054">
        <w:t>s</w:t>
      </w:r>
      <w:r w:rsidRPr="00EC4151">
        <w:t>, unless strictly necessary due to a condition requiring the use of glucocorticoid</w:t>
      </w:r>
      <w:r w:rsidR="00FB3054">
        <w:t>s</w:t>
      </w:r>
      <w:r w:rsidRPr="00EC4151">
        <w:t xml:space="preserve"> (such as adrenal insufficiency), had to be avoided as much as possible during the study. However, patients who experienced worsening or a relapse of their ANCA-associated vasculitis during the study could be treated with a limited course of glucocorticoid</w:t>
      </w:r>
      <w:r w:rsidR="00FB3054">
        <w:t>s</w:t>
      </w:r>
      <w:r w:rsidRPr="00EC4151">
        <w:t>.</w:t>
      </w:r>
    </w:p>
    <w:p w14:paraId="01FDC82B" w14:textId="5F021C2D" w:rsidR="00D97FB9" w:rsidRPr="0086408B" w:rsidRDefault="00D97FB9" w:rsidP="0086408B">
      <w:pPr>
        <w:rPr>
          <w:sz w:val="22"/>
        </w:rPr>
      </w:pPr>
      <w:r w:rsidRPr="0086408B">
        <w:t xml:space="preserve">Patients were stratified at time of </w:t>
      </w:r>
      <w:proofErr w:type="spellStart"/>
      <w:r w:rsidRPr="0086408B">
        <w:t>randomisation</w:t>
      </w:r>
      <w:proofErr w:type="spellEnd"/>
      <w:r w:rsidRPr="0086408B">
        <w:t xml:space="preserve"> to obtain balance across treatment groups based on </w:t>
      </w:r>
      <w:proofErr w:type="gramStart"/>
      <w:r w:rsidRPr="0086408B">
        <w:t>3</w:t>
      </w:r>
      <w:r w:rsidR="008340DB" w:rsidRPr="0086408B">
        <w:t xml:space="preserve"> </w:t>
      </w:r>
      <w:r w:rsidRPr="0086408B">
        <w:rPr>
          <w:spacing w:val="-52"/>
        </w:rPr>
        <w:t xml:space="preserve"> </w:t>
      </w:r>
      <w:r w:rsidRPr="0086408B">
        <w:t>factors</w:t>
      </w:r>
      <w:proofErr w:type="gramEnd"/>
      <w:r w:rsidRPr="0086408B">
        <w:t>:</w:t>
      </w:r>
    </w:p>
    <w:p w14:paraId="7FF4DAE1" w14:textId="77777777" w:rsidR="00D97FB9" w:rsidRPr="002608F5" w:rsidRDefault="00D97FB9" w:rsidP="002608F5">
      <w:pPr>
        <w:pStyle w:val="ListParagraph"/>
      </w:pPr>
      <w:proofErr w:type="gramStart"/>
      <w:r w:rsidRPr="002608F5">
        <w:t>Newly-diagnosed</w:t>
      </w:r>
      <w:proofErr w:type="gramEnd"/>
      <w:r w:rsidRPr="002608F5">
        <w:t xml:space="preserve"> or relapsed ANCA-associated vasculitis,</w:t>
      </w:r>
    </w:p>
    <w:p w14:paraId="6F7DF1F5" w14:textId="32170770" w:rsidR="00D97FB9" w:rsidRPr="002608F5" w:rsidRDefault="00D97FB9" w:rsidP="002608F5">
      <w:pPr>
        <w:pStyle w:val="ListParagraph"/>
      </w:pPr>
      <w:r w:rsidRPr="002608F5">
        <w:t>Proteinase</w:t>
      </w:r>
      <w:r w:rsidR="00F71049">
        <w:t>-</w:t>
      </w:r>
      <w:r w:rsidRPr="002608F5">
        <w:t xml:space="preserve">3 </w:t>
      </w:r>
      <w:r w:rsidR="00F71049">
        <w:t xml:space="preserve">(PR3) </w:t>
      </w:r>
      <w:r w:rsidRPr="002608F5">
        <w:t>positive or myeloperoxidase</w:t>
      </w:r>
      <w:r w:rsidR="00F71049">
        <w:t xml:space="preserve"> (MPO)</w:t>
      </w:r>
      <w:r w:rsidRPr="002608F5">
        <w:t xml:space="preserve"> positive ANCA-associated vasculitis,</w:t>
      </w:r>
    </w:p>
    <w:p w14:paraId="4DB83D76" w14:textId="37F70294" w:rsidR="00D97FB9" w:rsidRPr="002608F5" w:rsidRDefault="00D97FB9" w:rsidP="002608F5">
      <w:pPr>
        <w:pStyle w:val="ListParagraph"/>
      </w:pPr>
      <w:r w:rsidRPr="002608F5">
        <w:t xml:space="preserve">Receiving either </w:t>
      </w:r>
      <w:r w:rsidR="005F1235">
        <w:t>intravenous</w:t>
      </w:r>
      <w:r w:rsidR="005F1235" w:rsidRPr="002608F5">
        <w:t xml:space="preserve"> </w:t>
      </w:r>
      <w:r w:rsidR="00F71049">
        <w:t xml:space="preserve">rituximab, </w:t>
      </w:r>
      <w:r w:rsidR="005F1235">
        <w:t>intravenous</w:t>
      </w:r>
      <w:r w:rsidR="00F71049">
        <w:t xml:space="preserve"> </w:t>
      </w:r>
      <w:r w:rsidRPr="002608F5">
        <w:t>cyclophosphamide,</w:t>
      </w:r>
      <w:r w:rsidR="00F71049">
        <w:t xml:space="preserve"> or</w:t>
      </w:r>
      <w:r w:rsidRPr="002608F5">
        <w:t xml:space="preserve"> oral cyclophosphamide.</w:t>
      </w:r>
    </w:p>
    <w:p w14:paraId="0DA9E134" w14:textId="22131062" w:rsidR="00D97FB9" w:rsidRDefault="00D97FB9" w:rsidP="00D97FB9">
      <w:r>
        <w:t>The two treatment groups were well balanced regarding baseline demographics and disease</w:t>
      </w:r>
      <w:r>
        <w:rPr>
          <w:spacing w:val="-52"/>
        </w:rPr>
        <w:t xml:space="preserve"> </w:t>
      </w:r>
      <w:r>
        <w:t>characteristics</w:t>
      </w:r>
      <w:r>
        <w:rPr>
          <w:spacing w:val="-1"/>
        </w:rPr>
        <w:t xml:space="preserve"> </w:t>
      </w:r>
      <w:r>
        <w:t>of</w:t>
      </w:r>
      <w:r>
        <w:rPr>
          <w:spacing w:val="-2"/>
        </w:rPr>
        <w:t xml:space="preserve"> </w:t>
      </w:r>
      <w:r>
        <w:t>patients</w:t>
      </w:r>
      <w:r>
        <w:rPr>
          <w:spacing w:val="-2"/>
        </w:rPr>
        <w:t xml:space="preserve"> </w:t>
      </w:r>
      <w:r>
        <w:t>(</w:t>
      </w:r>
      <w:r w:rsidR="007A047A" w:rsidRPr="007A047A">
        <w:fldChar w:fldCharType="begin"/>
      </w:r>
      <w:r w:rsidR="007A047A" w:rsidRPr="007A047A">
        <w:rPr>
          <w:spacing w:val="-2"/>
        </w:rPr>
        <w:instrText xml:space="preserve"> REF _Ref88558451 \h </w:instrText>
      </w:r>
      <w:r w:rsidR="007A047A" w:rsidRPr="00150B7C">
        <w:instrText xml:space="preserve"> \* MERGEFORMAT </w:instrText>
      </w:r>
      <w:r w:rsidR="007A047A" w:rsidRPr="007A047A">
        <w:fldChar w:fldCharType="separate"/>
      </w:r>
      <w:r w:rsidR="00F12523" w:rsidRPr="0037508F">
        <w:t xml:space="preserve">Table </w:t>
      </w:r>
      <w:r w:rsidR="00F12523" w:rsidRPr="0037508F">
        <w:rPr>
          <w:noProof/>
        </w:rPr>
        <w:t>4</w:t>
      </w:r>
      <w:r w:rsidR="007A047A" w:rsidRPr="007A047A">
        <w:fldChar w:fldCharType="end"/>
      </w:r>
      <w:r>
        <w:t>).</w:t>
      </w:r>
    </w:p>
    <w:p w14:paraId="177ED2E3" w14:textId="6362BC5B" w:rsidR="00D97FB9" w:rsidRDefault="007A047A" w:rsidP="00C74568">
      <w:pPr>
        <w:keepNext/>
        <w:rPr>
          <w:b/>
          <w:bCs/>
        </w:rPr>
      </w:pPr>
      <w:bookmarkStart w:id="21" w:name="_Ref88558451"/>
      <w:r w:rsidRPr="002A7954">
        <w:rPr>
          <w:b/>
          <w:bCs/>
        </w:rPr>
        <w:t xml:space="preserve">Table </w:t>
      </w:r>
      <w:r w:rsidRPr="002A7954">
        <w:rPr>
          <w:b/>
          <w:bCs/>
        </w:rPr>
        <w:fldChar w:fldCharType="begin"/>
      </w:r>
      <w:r w:rsidRPr="002A7954">
        <w:rPr>
          <w:b/>
          <w:bCs/>
        </w:rPr>
        <w:instrText xml:space="preserve"> SEQ Table \* ARABIC </w:instrText>
      </w:r>
      <w:r w:rsidRPr="002A7954">
        <w:rPr>
          <w:b/>
          <w:bCs/>
        </w:rPr>
        <w:fldChar w:fldCharType="separate"/>
      </w:r>
      <w:r w:rsidR="00D607BF">
        <w:rPr>
          <w:b/>
          <w:bCs/>
          <w:noProof/>
        </w:rPr>
        <w:t>4</w:t>
      </w:r>
      <w:r w:rsidRPr="002A7954">
        <w:rPr>
          <w:b/>
          <w:bCs/>
        </w:rPr>
        <w:fldChar w:fldCharType="end"/>
      </w:r>
      <w:bookmarkEnd w:id="21"/>
      <w:r w:rsidR="008340DB" w:rsidRPr="008340DB">
        <w:rPr>
          <w:b/>
          <w:bCs/>
        </w:rPr>
        <w:t>:  Selected baseline characteristics in the pivotal phase 3 ADVOCATE study (Intent- to-Treat Population)</w:t>
      </w:r>
      <w:r w:rsidR="008340DB">
        <w:rPr>
          <w:b/>
          <w:bCs/>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00"/>
        <w:gridCol w:w="1976"/>
        <w:gridCol w:w="1940"/>
      </w:tblGrid>
      <w:tr w:rsidR="00703A8D" w14:paraId="70301BEC" w14:textId="77777777" w:rsidTr="00291C24">
        <w:trPr>
          <w:trHeight w:val="534"/>
          <w:tblHeader/>
        </w:trPr>
        <w:tc>
          <w:tcPr>
            <w:tcW w:w="2827" w:type="pct"/>
            <w:tcBorders>
              <w:top w:val="single" w:sz="4" w:space="0" w:color="000000"/>
              <w:left w:val="single" w:sz="4" w:space="0" w:color="000000"/>
              <w:bottom w:val="single" w:sz="4" w:space="0" w:color="000000"/>
              <w:right w:val="single" w:sz="4" w:space="0" w:color="000000"/>
            </w:tcBorders>
            <w:hideMark/>
          </w:tcPr>
          <w:p w14:paraId="7359C3F4" w14:textId="77777777" w:rsidR="008340DB" w:rsidRPr="00A72D9F" w:rsidRDefault="008340DB" w:rsidP="00C74568">
            <w:pPr>
              <w:pStyle w:val="TableParagraph"/>
              <w:keepNext/>
              <w:spacing w:before="13"/>
              <w:ind w:left="71"/>
              <w:rPr>
                <w:b/>
                <w:sz w:val="20"/>
                <w:szCs w:val="20"/>
              </w:rPr>
            </w:pPr>
            <w:r w:rsidRPr="00A72D9F">
              <w:rPr>
                <w:b/>
                <w:sz w:val="20"/>
                <w:szCs w:val="20"/>
              </w:rPr>
              <w:t>Demographic</w:t>
            </w:r>
            <w:r w:rsidRPr="00A72D9F">
              <w:rPr>
                <w:b/>
                <w:spacing w:val="-5"/>
                <w:sz w:val="20"/>
                <w:szCs w:val="20"/>
              </w:rPr>
              <w:t xml:space="preserve"> </w:t>
            </w:r>
            <w:r w:rsidRPr="00A72D9F">
              <w:rPr>
                <w:b/>
                <w:sz w:val="20"/>
                <w:szCs w:val="20"/>
              </w:rPr>
              <w:t>characteristic</w:t>
            </w:r>
          </w:p>
        </w:tc>
        <w:tc>
          <w:tcPr>
            <w:tcW w:w="1096" w:type="pct"/>
            <w:tcBorders>
              <w:top w:val="single" w:sz="4" w:space="0" w:color="000000"/>
              <w:left w:val="single" w:sz="4" w:space="0" w:color="000000"/>
              <w:bottom w:val="single" w:sz="4" w:space="0" w:color="000000"/>
              <w:right w:val="single" w:sz="4" w:space="0" w:color="000000"/>
            </w:tcBorders>
            <w:hideMark/>
          </w:tcPr>
          <w:p w14:paraId="55BF5B1B" w14:textId="2E682CB8" w:rsidR="008340DB" w:rsidRPr="00A72D9F" w:rsidRDefault="008340DB" w:rsidP="00C74568">
            <w:pPr>
              <w:pStyle w:val="TableParagraph"/>
              <w:keepNext/>
              <w:spacing w:before="9" w:line="250" w:lineRule="atLeast"/>
              <w:ind w:left="611" w:right="496" w:hanging="92"/>
              <w:rPr>
                <w:b/>
                <w:sz w:val="20"/>
                <w:szCs w:val="20"/>
              </w:rPr>
            </w:pPr>
            <w:r w:rsidRPr="00A72D9F">
              <w:rPr>
                <w:b/>
                <w:sz w:val="20"/>
                <w:szCs w:val="20"/>
              </w:rPr>
              <w:t>Avacopan</w:t>
            </w:r>
            <w:r w:rsidRPr="00A72D9F">
              <w:rPr>
                <w:b/>
                <w:spacing w:val="-52"/>
                <w:sz w:val="20"/>
                <w:szCs w:val="20"/>
              </w:rPr>
              <w:t xml:space="preserve"> </w:t>
            </w:r>
            <w:r w:rsidRPr="00A72D9F">
              <w:rPr>
                <w:b/>
                <w:sz w:val="20"/>
                <w:szCs w:val="20"/>
              </w:rPr>
              <w:t>(N</w:t>
            </w:r>
            <w:r w:rsidR="00FB3054" w:rsidRPr="00D11B09">
              <w:t> </w:t>
            </w:r>
            <w:r w:rsidRPr="00A72D9F">
              <w:rPr>
                <w:b/>
                <w:sz w:val="20"/>
                <w:szCs w:val="20"/>
              </w:rPr>
              <w:t>=</w:t>
            </w:r>
            <w:r w:rsidR="00FB3054" w:rsidRPr="00D11B09">
              <w:t> </w:t>
            </w:r>
            <w:r w:rsidRPr="00A72D9F">
              <w:rPr>
                <w:b/>
                <w:sz w:val="20"/>
                <w:szCs w:val="20"/>
              </w:rPr>
              <w:t>166)</w:t>
            </w:r>
          </w:p>
        </w:tc>
        <w:tc>
          <w:tcPr>
            <w:tcW w:w="1076" w:type="pct"/>
            <w:tcBorders>
              <w:top w:val="single" w:sz="4" w:space="0" w:color="000000"/>
              <w:left w:val="single" w:sz="4" w:space="0" w:color="000000"/>
              <w:bottom w:val="single" w:sz="4" w:space="0" w:color="000000"/>
              <w:right w:val="single" w:sz="4" w:space="0" w:color="000000"/>
            </w:tcBorders>
            <w:hideMark/>
          </w:tcPr>
          <w:p w14:paraId="2916F134" w14:textId="5E2D7481" w:rsidR="008340DB" w:rsidRPr="00A72D9F" w:rsidRDefault="00F71049" w:rsidP="00C74568">
            <w:pPr>
              <w:pStyle w:val="TableParagraph"/>
              <w:keepNext/>
              <w:spacing w:before="9" w:line="250" w:lineRule="atLeast"/>
              <w:ind w:left="573" w:right="402" w:hanging="144"/>
              <w:rPr>
                <w:b/>
                <w:sz w:val="20"/>
                <w:szCs w:val="20"/>
              </w:rPr>
            </w:pPr>
            <w:r>
              <w:rPr>
                <w:b/>
                <w:sz w:val="20"/>
                <w:szCs w:val="20"/>
              </w:rPr>
              <w:t>Comparator</w:t>
            </w:r>
            <w:r>
              <w:rPr>
                <w:b/>
                <w:sz w:val="20"/>
                <w:szCs w:val="20"/>
              </w:rPr>
              <w:br/>
            </w:r>
            <w:r w:rsidR="008340DB" w:rsidRPr="00A72D9F">
              <w:rPr>
                <w:b/>
                <w:spacing w:val="-52"/>
                <w:sz w:val="20"/>
                <w:szCs w:val="20"/>
              </w:rPr>
              <w:t xml:space="preserve"> </w:t>
            </w:r>
            <w:r w:rsidR="008340DB" w:rsidRPr="00A72D9F">
              <w:rPr>
                <w:b/>
                <w:sz w:val="20"/>
                <w:szCs w:val="20"/>
              </w:rPr>
              <w:t>(N</w:t>
            </w:r>
            <w:r w:rsidR="00FB3054" w:rsidRPr="00D11B09">
              <w:t> </w:t>
            </w:r>
            <w:r w:rsidR="008340DB" w:rsidRPr="00A72D9F">
              <w:rPr>
                <w:b/>
                <w:sz w:val="20"/>
                <w:szCs w:val="20"/>
              </w:rPr>
              <w:t>=</w:t>
            </w:r>
            <w:r w:rsidR="00FB3054" w:rsidRPr="00D11B09">
              <w:t> </w:t>
            </w:r>
            <w:r w:rsidR="008340DB" w:rsidRPr="00A72D9F">
              <w:rPr>
                <w:b/>
                <w:sz w:val="20"/>
                <w:szCs w:val="20"/>
              </w:rPr>
              <w:t>164)</w:t>
            </w:r>
          </w:p>
        </w:tc>
      </w:tr>
      <w:tr w:rsidR="00703A8D" w14:paraId="1E00CA58"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00AC2A3E" w14:textId="77777777" w:rsidR="008340DB" w:rsidRPr="00A72D9F" w:rsidRDefault="008340DB">
            <w:pPr>
              <w:pStyle w:val="TableParagraph"/>
              <w:spacing w:line="252" w:lineRule="exact"/>
              <w:ind w:left="71"/>
              <w:rPr>
                <w:sz w:val="20"/>
                <w:szCs w:val="20"/>
              </w:rPr>
            </w:pPr>
            <w:r w:rsidRPr="00A72D9F">
              <w:rPr>
                <w:sz w:val="20"/>
                <w:szCs w:val="20"/>
              </w:rPr>
              <w:t>Age</w:t>
            </w:r>
            <w:r w:rsidRPr="00A72D9F">
              <w:rPr>
                <w:spacing w:val="-2"/>
                <w:sz w:val="20"/>
                <w:szCs w:val="20"/>
              </w:rPr>
              <w:t xml:space="preserve"> </w:t>
            </w:r>
            <w:r w:rsidRPr="00A72D9F">
              <w:rPr>
                <w:sz w:val="20"/>
                <w:szCs w:val="20"/>
              </w:rPr>
              <w:t>at screening</w:t>
            </w:r>
          </w:p>
        </w:tc>
        <w:tc>
          <w:tcPr>
            <w:tcW w:w="1096" w:type="pct"/>
            <w:tcBorders>
              <w:top w:val="single" w:sz="4" w:space="0" w:color="000000"/>
              <w:left w:val="single" w:sz="4" w:space="0" w:color="000000"/>
              <w:bottom w:val="single" w:sz="4" w:space="0" w:color="000000"/>
              <w:right w:val="single" w:sz="4" w:space="0" w:color="000000"/>
            </w:tcBorders>
          </w:tcPr>
          <w:p w14:paraId="67DD4997" w14:textId="77777777" w:rsidR="008340DB" w:rsidRPr="00A72D9F" w:rsidRDefault="008340DB">
            <w:pPr>
              <w:pStyle w:val="TableParagraph"/>
              <w:spacing w:before="0"/>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2F5D011F" w14:textId="77777777" w:rsidR="008340DB" w:rsidRPr="00A72D9F" w:rsidRDefault="008340DB">
            <w:pPr>
              <w:pStyle w:val="TableParagraph"/>
              <w:spacing w:before="0"/>
              <w:rPr>
                <w:sz w:val="20"/>
                <w:szCs w:val="20"/>
              </w:rPr>
            </w:pPr>
          </w:p>
        </w:tc>
      </w:tr>
      <w:tr w:rsidR="00703A8D" w14:paraId="54EF1379"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1F5F61C5" w14:textId="61C8403E" w:rsidR="008340DB" w:rsidRPr="00A72D9F" w:rsidRDefault="008340DB">
            <w:pPr>
              <w:pStyle w:val="TableParagraph"/>
              <w:spacing w:line="252" w:lineRule="exact"/>
              <w:ind w:left="633"/>
              <w:rPr>
                <w:sz w:val="20"/>
                <w:szCs w:val="20"/>
              </w:rPr>
            </w:pPr>
            <w:r w:rsidRPr="00A72D9F">
              <w:rPr>
                <w:sz w:val="20"/>
                <w:szCs w:val="20"/>
              </w:rPr>
              <w:t>Mean</w:t>
            </w:r>
            <w:r w:rsidRPr="00A72D9F">
              <w:rPr>
                <w:spacing w:val="-3"/>
                <w:sz w:val="20"/>
                <w:szCs w:val="20"/>
              </w:rPr>
              <w:t xml:space="preserve"> </w:t>
            </w:r>
            <w:r w:rsidRPr="00A72D9F">
              <w:rPr>
                <w:sz w:val="20"/>
                <w:szCs w:val="20"/>
              </w:rPr>
              <w:t>(SD)</w:t>
            </w:r>
            <w:r w:rsidR="00F71049">
              <w:rPr>
                <w:sz w:val="20"/>
                <w:szCs w:val="20"/>
              </w:rPr>
              <w:t>, years</w:t>
            </w:r>
          </w:p>
        </w:tc>
        <w:tc>
          <w:tcPr>
            <w:tcW w:w="1096" w:type="pct"/>
            <w:tcBorders>
              <w:top w:val="single" w:sz="4" w:space="0" w:color="000000"/>
              <w:left w:val="single" w:sz="4" w:space="0" w:color="000000"/>
              <w:bottom w:val="single" w:sz="4" w:space="0" w:color="000000"/>
              <w:right w:val="single" w:sz="4" w:space="0" w:color="000000"/>
            </w:tcBorders>
            <w:hideMark/>
          </w:tcPr>
          <w:p w14:paraId="29368734" w14:textId="77777777" w:rsidR="008340DB" w:rsidRPr="00A72D9F" w:rsidRDefault="008340DB">
            <w:pPr>
              <w:pStyle w:val="TableParagraph"/>
              <w:spacing w:line="252" w:lineRule="exact"/>
              <w:ind w:left="513" w:right="507"/>
              <w:jc w:val="center"/>
              <w:rPr>
                <w:sz w:val="20"/>
                <w:szCs w:val="20"/>
              </w:rPr>
            </w:pPr>
            <w:r w:rsidRPr="00A72D9F">
              <w:rPr>
                <w:sz w:val="20"/>
                <w:szCs w:val="20"/>
              </w:rPr>
              <w:t>61</w:t>
            </w:r>
            <w:r w:rsidRPr="00A72D9F">
              <w:rPr>
                <w:spacing w:val="-1"/>
                <w:sz w:val="20"/>
                <w:szCs w:val="20"/>
              </w:rPr>
              <w:t xml:space="preserve"> </w:t>
            </w:r>
            <w:r w:rsidRPr="00A72D9F">
              <w:rPr>
                <w:sz w:val="20"/>
                <w:szCs w:val="20"/>
              </w:rPr>
              <w:t>(14.6)</w:t>
            </w:r>
          </w:p>
        </w:tc>
        <w:tc>
          <w:tcPr>
            <w:tcW w:w="1076" w:type="pct"/>
            <w:tcBorders>
              <w:top w:val="single" w:sz="4" w:space="0" w:color="000000"/>
              <w:left w:val="single" w:sz="4" w:space="0" w:color="000000"/>
              <w:bottom w:val="single" w:sz="4" w:space="0" w:color="000000"/>
              <w:right w:val="single" w:sz="4" w:space="0" w:color="000000"/>
            </w:tcBorders>
            <w:hideMark/>
          </w:tcPr>
          <w:p w14:paraId="2BED980E" w14:textId="77777777" w:rsidR="008340DB" w:rsidRPr="00A72D9F" w:rsidRDefault="008340DB">
            <w:pPr>
              <w:pStyle w:val="TableParagraph"/>
              <w:spacing w:line="252" w:lineRule="exact"/>
              <w:ind w:left="193" w:right="185"/>
              <w:jc w:val="center"/>
              <w:rPr>
                <w:sz w:val="20"/>
                <w:szCs w:val="20"/>
              </w:rPr>
            </w:pPr>
            <w:r w:rsidRPr="00A72D9F">
              <w:rPr>
                <w:sz w:val="20"/>
                <w:szCs w:val="20"/>
              </w:rPr>
              <w:t>61</w:t>
            </w:r>
            <w:r w:rsidRPr="00A72D9F">
              <w:rPr>
                <w:spacing w:val="-1"/>
                <w:sz w:val="20"/>
                <w:szCs w:val="20"/>
              </w:rPr>
              <w:t xml:space="preserve"> </w:t>
            </w:r>
            <w:r w:rsidRPr="00A72D9F">
              <w:rPr>
                <w:sz w:val="20"/>
                <w:szCs w:val="20"/>
              </w:rPr>
              <w:t>(14.5)</w:t>
            </w:r>
          </w:p>
        </w:tc>
      </w:tr>
      <w:tr w:rsidR="00703A8D" w14:paraId="4DF940E2"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12ABA664" w14:textId="10DB7433" w:rsidR="008340DB" w:rsidRPr="00A72D9F" w:rsidRDefault="00F71049">
            <w:pPr>
              <w:pStyle w:val="TableParagraph"/>
              <w:spacing w:line="252" w:lineRule="exact"/>
              <w:ind w:left="633"/>
              <w:rPr>
                <w:sz w:val="20"/>
                <w:szCs w:val="20"/>
              </w:rPr>
            </w:pPr>
            <w:r>
              <w:rPr>
                <w:sz w:val="20"/>
                <w:szCs w:val="20"/>
              </w:rPr>
              <w:t>Range,</w:t>
            </w:r>
            <w:r w:rsidR="008340DB" w:rsidRPr="00A72D9F">
              <w:rPr>
                <w:spacing w:val="-1"/>
                <w:sz w:val="20"/>
                <w:szCs w:val="20"/>
              </w:rPr>
              <w:t xml:space="preserve"> </w:t>
            </w:r>
            <w:r w:rsidR="008340DB" w:rsidRPr="00A72D9F">
              <w:rPr>
                <w:sz w:val="20"/>
                <w:szCs w:val="20"/>
              </w:rPr>
              <w:t>years</w:t>
            </w:r>
          </w:p>
        </w:tc>
        <w:tc>
          <w:tcPr>
            <w:tcW w:w="1096" w:type="pct"/>
            <w:tcBorders>
              <w:top w:val="single" w:sz="4" w:space="0" w:color="000000"/>
              <w:left w:val="single" w:sz="4" w:space="0" w:color="000000"/>
              <w:bottom w:val="single" w:sz="4" w:space="0" w:color="000000"/>
              <w:right w:val="single" w:sz="4" w:space="0" w:color="000000"/>
            </w:tcBorders>
            <w:hideMark/>
          </w:tcPr>
          <w:p w14:paraId="5E1AFFAD" w14:textId="5FAE83C0" w:rsidR="008340DB" w:rsidRPr="00A72D9F" w:rsidRDefault="00F71049">
            <w:pPr>
              <w:pStyle w:val="TableParagraph"/>
              <w:spacing w:line="252" w:lineRule="exact"/>
              <w:ind w:left="513" w:right="507"/>
              <w:jc w:val="center"/>
              <w:rPr>
                <w:sz w:val="20"/>
                <w:szCs w:val="20"/>
              </w:rPr>
            </w:pPr>
            <w:r>
              <w:rPr>
                <w:sz w:val="20"/>
                <w:szCs w:val="20"/>
              </w:rPr>
              <w:t>13-83</w:t>
            </w:r>
          </w:p>
        </w:tc>
        <w:tc>
          <w:tcPr>
            <w:tcW w:w="1076" w:type="pct"/>
            <w:tcBorders>
              <w:top w:val="single" w:sz="4" w:space="0" w:color="000000"/>
              <w:left w:val="single" w:sz="4" w:space="0" w:color="000000"/>
              <w:bottom w:val="single" w:sz="4" w:space="0" w:color="000000"/>
              <w:right w:val="single" w:sz="4" w:space="0" w:color="000000"/>
            </w:tcBorders>
            <w:hideMark/>
          </w:tcPr>
          <w:p w14:paraId="4CCF7646" w14:textId="552FE0DD" w:rsidR="008340DB" w:rsidRPr="00A72D9F" w:rsidRDefault="00F71049">
            <w:pPr>
              <w:pStyle w:val="TableParagraph"/>
              <w:spacing w:line="252" w:lineRule="exact"/>
              <w:ind w:left="193" w:right="185"/>
              <w:jc w:val="center"/>
              <w:rPr>
                <w:sz w:val="20"/>
                <w:szCs w:val="20"/>
              </w:rPr>
            </w:pPr>
            <w:r>
              <w:rPr>
                <w:sz w:val="20"/>
                <w:szCs w:val="20"/>
              </w:rPr>
              <w:t>15-88</w:t>
            </w:r>
          </w:p>
        </w:tc>
      </w:tr>
      <w:tr w:rsidR="00703A8D" w14:paraId="763EBF67"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1E85C06D" w14:textId="77777777" w:rsidR="008340DB" w:rsidRPr="00A72D9F" w:rsidRDefault="008340DB">
            <w:pPr>
              <w:pStyle w:val="TableParagraph"/>
              <w:spacing w:line="252" w:lineRule="exact"/>
              <w:ind w:left="71"/>
              <w:rPr>
                <w:sz w:val="20"/>
                <w:szCs w:val="20"/>
              </w:rPr>
            </w:pPr>
            <w:r w:rsidRPr="00A72D9F">
              <w:rPr>
                <w:sz w:val="20"/>
                <w:szCs w:val="20"/>
              </w:rPr>
              <w:t>ANCA-associated</w:t>
            </w:r>
            <w:r w:rsidRPr="00A72D9F">
              <w:rPr>
                <w:spacing w:val="-3"/>
                <w:sz w:val="20"/>
                <w:szCs w:val="20"/>
              </w:rPr>
              <w:t xml:space="preserve"> </w:t>
            </w:r>
            <w:r w:rsidRPr="00A72D9F">
              <w:rPr>
                <w:sz w:val="20"/>
                <w:szCs w:val="20"/>
              </w:rPr>
              <w:t>vasculitis</w:t>
            </w:r>
            <w:r w:rsidRPr="00A72D9F">
              <w:rPr>
                <w:spacing w:val="-2"/>
                <w:sz w:val="20"/>
                <w:szCs w:val="20"/>
              </w:rPr>
              <w:t xml:space="preserve"> </w:t>
            </w:r>
            <w:r w:rsidRPr="00A72D9F">
              <w:rPr>
                <w:sz w:val="20"/>
                <w:szCs w:val="20"/>
              </w:rPr>
              <w:t>status,</w:t>
            </w:r>
            <w:r w:rsidRPr="00A72D9F">
              <w:rPr>
                <w:spacing w:val="-3"/>
                <w:sz w:val="20"/>
                <w:szCs w:val="20"/>
              </w:rPr>
              <w:t xml:space="preserve"> </w:t>
            </w:r>
            <w:r w:rsidRPr="00A72D9F">
              <w:rPr>
                <w:sz w:val="20"/>
                <w:szCs w:val="20"/>
              </w:rPr>
              <w:t>n</w:t>
            </w:r>
            <w:r w:rsidRPr="00A72D9F">
              <w:rPr>
                <w:spacing w:val="-2"/>
                <w:sz w:val="20"/>
                <w:szCs w:val="20"/>
              </w:rPr>
              <w:t xml:space="preserve"> </w:t>
            </w:r>
            <w:r w:rsidRPr="00A72D9F">
              <w:rPr>
                <w:sz w:val="20"/>
                <w:szCs w:val="20"/>
              </w:rPr>
              <w:t>(%)</w:t>
            </w:r>
          </w:p>
        </w:tc>
        <w:tc>
          <w:tcPr>
            <w:tcW w:w="1096" w:type="pct"/>
            <w:tcBorders>
              <w:top w:val="single" w:sz="4" w:space="0" w:color="000000"/>
              <w:left w:val="single" w:sz="4" w:space="0" w:color="000000"/>
              <w:bottom w:val="single" w:sz="4" w:space="0" w:color="000000"/>
              <w:right w:val="single" w:sz="4" w:space="0" w:color="000000"/>
            </w:tcBorders>
          </w:tcPr>
          <w:p w14:paraId="0C33D032" w14:textId="77777777" w:rsidR="008340DB" w:rsidRPr="00A72D9F" w:rsidRDefault="008340DB">
            <w:pPr>
              <w:pStyle w:val="TableParagraph"/>
              <w:spacing w:before="0"/>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3AC6C34A" w14:textId="77777777" w:rsidR="008340DB" w:rsidRPr="00A72D9F" w:rsidRDefault="008340DB">
            <w:pPr>
              <w:pStyle w:val="TableParagraph"/>
              <w:spacing w:before="0"/>
              <w:rPr>
                <w:sz w:val="20"/>
                <w:szCs w:val="20"/>
              </w:rPr>
            </w:pPr>
          </w:p>
        </w:tc>
      </w:tr>
      <w:tr w:rsidR="00703A8D" w14:paraId="2619D3AB"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6041C43B" w14:textId="77777777" w:rsidR="008340DB" w:rsidRPr="00A72D9F" w:rsidRDefault="008340DB">
            <w:pPr>
              <w:pStyle w:val="TableParagraph"/>
              <w:spacing w:line="252" w:lineRule="exact"/>
              <w:ind w:left="633"/>
              <w:rPr>
                <w:sz w:val="20"/>
                <w:szCs w:val="20"/>
              </w:rPr>
            </w:pPr>
            <w:r w:rsidRPr="00A72D9F">
              <w:rPr>
                <w:sz w:val="20"/>
                <w:szCs w:val="20"/>
              </w:rPr>
              <w:t>Newly</w:t>
            </w:r>
            <w:r w:rsidRPr="00A72D9F">
              <w:rPr>
                <w:spacing w:val="-3"/>
                <w:sz w:val="20"/>
                <w:szCs w:val="20"/>
              </w:rPr>
              <w:t xml:space="preserve"> </w:t>
            </w:r>
            <w:r w:rsidRPr="00A72D9F">
              <w:rPr>
                <w:sz w:val="20"/>
                <w:szCs w:val="20"/>
              </w:rPr>
              <w:t>diagnosed</w:t>
            </w:r>
          </w:p>
        </w:tc>
        <w:tc>
          <w:tcPr>
            <w:tcW w:w="1096" w:type="pct"/>
            <w:tcBorders>
              <w:top w:val="single" w:sz="4" w:space="0" w:color="000000"/>
              <w:left w:val="single" w:sz="4" w:space="0" w:color="000000"/>
              <w:bottom w:val="single" w:sz="4" w:space="0" w:color="000000"/>
              <w:right w:val="single" w:sz="4" w:space="0" w:color="000000"/>
            </w:tcBorders>
            <w:hideMark/>
          </w:tcPr>
          <w:p w14:paraId="56120857" w14:textId="77777777" w:rsidR="008340DB" w:rsidRPr="00A72D9F" w:rsidRDefault="008340DB">
            <w:pPr>
              <w:pStyle w:val="TableParagraph"/>
              <w:spacing w:line="252" w:lineRule="exact"/>
              <w:ind w:left="513" w:right="507"/>
              <w:jc w:val="center"/>
              <w:rPr>
                <w:sz w:val="20"/>
                <w:szCs w:val="20"/>
              </w:rPr>
            </w:pPr>
            <w:r w:rsidRPr="00A72D9F">
              <w:rPr>
                <w:sz w:val="20"/>
                <w:szCs w:val="20"/>
              </w:rPr>
              <w:t>115 (69.3)</w:t>
            </w:r>
          </w:p>
        </w:tc>
        <w:tc>
          <w:tcPr>
            <w:tcW w:w="1076" w:type="pct"/>
            <w:tcBorders>
              <w:top w:val="single" w:sz="4" w:space="0" w:color="000000"/>
              <w:left w:val="single" w:sz="4" w:space="0" w:color="000000"/>
              <w:bottom w:val="single" w:sz="4" w:space="0" w:color="000000"/>
              <w:right w:val="single" w:sz="4" w:space="0" w:color="000000"/>
            </w:tcBorders>
            <w:hideMark/>
          </w:tcPr>
          <w:p w14:paraId="0CD6C395" w14:textId="77777777" w:rsidR="008340DB" w:rsidRPr="00A72D9F" w:rsidRDefault="008340DB">
            <w:pPr>
              <w:pStyle w:val="TableParagraph"/>
              <w:spacing w:line="252" w:lineRule="exact"/>
              <w:ind w:left="193" w:right="185"/>
              <w:jc w:val="center"/>
              <w:rPr>
                <w:sz w:val="20"/>
                <w:szCs w:val="20"/>
              </w:rPr>
            </w:pPr>
            <w:r w:rsidRPr="00A72D9F">
              <w:rPr>
                <w:sz w:val="20"/>
                <w:szCs w:val="20"/>
              </w:rPr>
              <w:t>114 (69.5)</w:t>
            </w:r>
          </w:p>
        </w:tc>
      </w:tr>
      <w:tr w:rsidR="00703A8D" w14:paraId="0528945F" w14:textId="77777777" w:rsidTr="00703A8D">
        <w:trPr>
          <w:trHeight w:val="282"/>
        </w:trPr>
        <w:tc>
          <w:tcPr>
            <w:tcW w:w="2827" w:type="pct"/>
            <w:tcBorders>
              <w:top w:val="single" w:sz="4" w:space="0" w:color="000000"/>
              <w:left w:val="single" w:sz="4" w:space="0" w:color="000000"/>
              <w:bottom w:val="single" w:sz="4" w:space="0" w:color="000000"/>
              <w:right w:val="single" w:sz="4" w:space="0" w:color="000000"/>
            </w:tcBorders>
            <w:hideMark/>
          </w:tcPr>
          <w:p w14:paraId="47DA04DD" w14:textId="77777777" w:rsidR="008340DB" w:rsidRPr="00A72D9F" w:rsidRDefault="008340DB">
            <w:pPr>
              <w:pStyle w:val="TableParagraph"/>
              <w:ind w:left="633"/>
              <w:rPr>
                <w:sz w:val="20"/>
                <w:szCs w:val="20"/>
              </w:rPr>
            </w:pPr>
            <w:r w:rsidRPr="00A72D9F">
              <w:rPr>
                <w:sz w:val="20"/>
                <w:szCs w:val="20"/>
              </w:rPr>
              <w:t>Relapsed</w:t>
            </w:r>
          </w:p>
        </w:tc>
        <w:tc>
          <w:tcPr>
            <w:tcW w:w="1096" w:type="pct"/>
            <w:tcBorders>
              <w:top w:val="single" w:sz="4" w:space="0" w:color="000000"/>
              <w:left w:val="single" w:sz="4" w:space="0" w:color="000000"/>
              <w:bottom w:val="single" w:sz="4" w:space="0" w:color="000000"/>
              <w:right w:val="single" w:sz="4" w:space="0" w:color="000000"/>
            </w:tcBorders>
            <w:hideMark/>
          </w:tcPr>
          <w:p w14:paraId="11F95F8A" w14:textId="77777777" w:rsidR="008340DB" w:rsidRPr="00A72D9F" w:rsidRDefault="008340DB">
            <w:pPr>
              <w:pStyle w:val="TableParagraph"/>
              <w:ind w:left="513" w:right="507"/>
              <w:jc w:val="center"/>
              <w:rPr>
                <w:sz w:val="20"/>
                <w:szCs w:val="20"/>
              </w:rPr>
            </w:pPr>
            <w:r w:rsidRPr="00A72D9F">
              <w:rPr>
                <w:sz w:val="20"/>
                <w:szCs w:val="20"/>
              </w:rPr>
              <w:t>51</w:t>
            </w:r>
            <w:r w:rsidRPr="00A72D9F">
              <w:rPr>
                <w:spacing w:val="-1"/>
                <w:sz w:val="20"/>
                <w:szCs w:val="20"/>
              </w:rPr>
              <w:t xml:space="preserve"> </w:t>
            </w:r>
            <w:r w:rsidRPr="00A72D9F">
              <w:rPr>
                <w:sz w:val="20"/>
                <w:szCs w:val="20"/>
              </w:rPr>
              <w:t>(30.7)</w:t>
            </w:r>
          </w:p>
        </w:tc>
        <w:tc>
          <w:tcPr>
            <w:tcW w:w="1076" w:type="pct"/>
            <w:tcBorders>
              <w:top w:val="single" w:sz="4" w:space="0" w:color="000000"/>
              <w:left w:val="single" w:sz="4" w:space="0" w:color="000000"/>
              <w:bottom w:val="single" w:sz="4" w:space="0" w:color="000000"/>
              <w:right w:val="single" w:sz="4" w:space="0" w:color="000000"/>
            </w:tcBorders>
            <w:hideMark/>
          </w:tcPr>
          <w:p w14:paraId="26D2EF07" w14:textId="77777777" w:rsidR="008340DB" w:rsidRPr="00A72D9F" w:rsidRDefault="008340DB">
            <w:pPr>
              <w:pStyle w:val="TableParagraph"/>
              <w:ind w:left="193" w:right="185"/>
              <w:jc w:val="center"/>
              <w:rPr>
                <w:sz w:val="20"/>
                <w:szCs w:val="20"/>
              </w:rPr>
            </w:pPr>
            <w:r w:rsidRPr="00A72D9F">
              <w:rPr>
                <w:sz w:val="20"/>
                <w:szCs w:val="20"/>
              </w:rPr>
              <w:t>50</w:t>
            </w:r>
            <w:r w:rsidRPr="00A72D9F">
              <w:rPr>
                <w:spacing w:val="-1"/>
                <w:sz w:val="20"/>
                <w:szCs w:val="20"/>
              </w:rPr>
              <w:t xml:space="preserve"> </w:t>
            </w:r>
            <w:r w:rsidRPr="00A72D9F">
              <w:rPr>
                <w:sz w:val="20"/>
                <w:szCs w:val="20"/>
              </w:rPr>
              <w:t>(30.5)</w:t>
            </w:r>
          </w:p>
        </w:tc>
      </w:tr>
      <w:tr w:rsidR="00703A8D" w14:paraId="0069FEED" w14:textId="77777777" w:rsidTr="00703A8D">
        <w:trPr>
          <w:trHeight w:val="282"/>
        </w:trPr>
        <w:tc>
          <w:tcPr>
            <w:tcW w:w="2827" w:type="pct"/>
            <w:tcBorders>
              <w:top w:val="single" w:sz="4" w:space="0" w:color="000000"/>
              <w:left w:val="single" w:sz="4" w:space="0" w:color="000000"/>
              <w:bottom w:val="single" w:sz="4" w:space="0" w:color="000000"/>
              <w:right w:val="single" w:sz="4" w:space="0" w:color="000000"/>
            </w:tcBorders>
            <w:hideMark/>
          </w:tcPr>
          <w:p w14:paraId="25E2F512" w14:textId="77777777" w:rsidR="008340DB" w:rsidRPr="00A72D9F" w:rsidRDefault="008340DB">
            <w:pPr>
              <w:pStyle w:val="TableParagraph"/>
              <w:ind w:left="71"/>
              <w:rPr>
                <w:sz w:val="20"/>
                <w:szCs w:val="20"/>
              </w:rPr>
            </w:pPr>
            <w:r w:rsidRPr="00A72D9F">
              <w:rPr>
                <w:sz w:val="20"/>
                <w:szCs w:val="20"/>
              </w:rPr>
              <w:t>ANCA</w:t>
            </w:r>
            <w:r w:rsidRPr="00A72D9F">
              <w:rPr>
                <w:spacing w:val="-2"/>
                <w:sz w:val="20"/>
                <w:szCs w:val="20"/>
              </w:rPr>
              <w:t xml:space="preserve"> </w:t>
            </w:r>
            <w:r w:rsidRPr="00A72D9F">
              <w:rPr>
                <w:sz w:val="20"/>
                <w:szCs w:val="20"/>
              </w:rPr>
              <w:t>positivity,</w:t>
            </w:r>
            <w:r w:rsidRPr="00A72D9F">
              <w:rPr>
                <w:spacing w:val="-1"/>
                <w:sz w:val="20"/>
                <w:szCs w:val="20"/>
              </w:rPr>
              <w:t xml:space="preserve"> </w:t>
            </w:r>
            <w:r w:rsidRPr="00A72D9F">
              <w:rPr>
                <w:sz w:val="20"/>
                <w:szCs w:val="20"/>
              </w:rPr>
              <w:t>n</w:t>
            </w:r>
            <w:r w:rsidRPr="00A72D9F">
              <w:rPr>
                <w:spacing w:val="-1"/>
                <w:sz w:val="20"/>
                <w:szCs w:val="20"/>
              </w:rPr>
              <w:t xml:space="preserve"> </w:t>
            </w:r>
            <w:r w:rsidRPr="00A72D9F">
              <w:rPr>
                <w:sz w:val="20"/>
                <w:szCs w:val="20"/>
              </w:rPr>
              <w:t>(%)</w:t>
            </w:r>
          </w:p>
        </w:tc>
        <w:tc>
          <w:tcPr>
            <w:tcW w:w="1096" w:type="pct"/>
            <w:tcBorders>
              <w:top w:val="single" w:sz="4" w:space="0" w:color="000000"/>
              <w:left w:val="single" w:sz="4" w:space="0" w:color="000000"/>
              <w:bottom w:val="single" w:sz="4" w:space="0" w:color="000000"/>
              <w:right w:val="single" w:sz="4" w:space="0" w:color="000000"/>
            </w:tcBorders>
          </w:tcPr>
          <w:p w14:paraId="0EE06C90" w14:textId="77777777" w:rsidR="008340DB" w:rsidRPr="00A72D9F" w:rsidRDefault="008340DB">
            <w:pPr>
              <w:pStyle w:val="TableParagraph"/>
              <w:spacing w:before="0"/>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52B18C8E" w14:textId="77777777" w:rsidR="008340DB" w:rsidRPr="00A72D9F" w:rsidRDefault="008340DB">
            <w:pPr>
              <w:pStyle w:val="TableParagraph"/>
              <w:spacing w:before="0"/>
              <w:rPr>
                <w:sz w:val="20"/>
                <w:szCs w:val="20"/>
              </w:rPr>
            </w:pPr>
          </w:p>
        </w:tc>
      </w:tr>
      <w:tr w:rsidR="00703A8D" w14:paraId="3EAEAA1B"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7D658DAE" w14:textId="77777777" w:rsidR="008340DB" w:rsidRPr="00A72D9F" w:rsidRDefault="008340DB">
            <w:pPr>
              <w:pStyle w:val="TableParagraph"/>
              <w:spacing w:line="252" w:lineRule="exact"/>
              <w:ind w:left="633"/>
              <w:rPr>
                <w:sz w:val="20"/>
                <w:szCs w:val="20"/>
              </w:rPr>
            </w:pPr>
            <w:r w:rsidRPr="00A72D9F">
              <w:rPr>
                <w:sz w:val="20"/>
                <w:szCs w:val="20"/>
              </w:rPr>
              <w:t>PR3</w:t>
            </w:r>
          </w:p>
        </w:tc>
        <w:tc>
          <w:tcPr>
            <w:tcW w:w="1096" w:type="pct"/>
            <w:tcBorders>
              <w:top w:val="single" w:sz="4" w:space="0" w:color="000000"/>
              <w:left w:val="single" w:sz="4" w:space="0" w:color="000000"/>
              <w:bottom w:val="single" w:sz="4" w:space="0" w:color="000000"/>
              <w:right w:val="single" w:sz="4" w:space="0" w:color="000000"/>
            </w:tcBorders>
            <w:hideMark/>
          </w:tcPr>
          <w:p w14:paraId="3BF94645" w14:textId="77777777" w:rsidR="008340DB" w:rsidRPr="00A72D9F" w:rsidRDefault="008340DB">
            <w:pPr>
              <w:pStyle w:val="TableParagraph"/>
              <w:spacing w:line="252" w:lineRule="exact"/>
              <w:ind w:left="513" w:right="507"/>
              <w:jc w:val="center"/>
              <w:rPr>
                <w:sz w:val="20"/>
                <w:szCs w:val="20"/>
              </w:rPr>
            </w:pPr>
            <w:r w:rsidRPr="00A72D9F">
              <w:rPr>
                <w:sz w:val="20"/>
                <w:szCs w:val="20"/>
              </w:rPr>
              <w:t>72</w:t>
            </w:r>
            <w:r w:rsidRPr="00A72D9F">
              <w:rPr>
                <w:spacing w:val="-1"/>
                <w:sz w:val="20"/>
                <w:szCs w:val="20"/>
              </w:rPr>
              <w:t xml:space="preserve"> </w:t>
            </w:r>
            <w:r w:rsidRPr="00A72D9F">
              <w:rPr>
                <w:sz w:val="20"/>
                <w:szCs w:val="20"/>
              </w:rPr>
              <w:t>(43.4)</w:t>
            </w:r>
          </w:p>
        </w:tc>
        <w:tc>
          <w:tcPr>
            <w:tcW w:w="1076" w:type="pct"/>
            <w:tcBorders>
              <w:top w:val="single" w:sz="4" w:space="0" w:color="000000"/>
              <w:left w:val="single" w:sz="4" w:space="0" w:color="000000"/>
              <w:bottom w:val="single" w:sz="4" w:space="0" w:color="000000"/>
              <w:right w:val="single" w:sz="4" w:space="0" w:color="000000"/>
            </w:tcBorders>
            <w:hideMark/>
          </w:tcPr>
          <w:p w14:paraId="6509A93E" w14:textId="77777777" w:rsidR="008340DB" w:rsidRPr="00A72D9F" w:rsidRDefault="008340DB">
            <w:pPr>
              <w:pStyle w:val="TableParagraph"/>
              <w:spacing w:line="252" w:lineRule="exact"/>
              <w:ind w:left="193" w:right="185"/>
              <w:jc w:val="center"/>
              <w:rPr>
                <w:sz w:val="20"/>
                <w:szCs w:val="20"/>
              </w:rPr>
            </w:pPr>
            <w:r w:rsidRPr="00A72D9F">
              <w:rPr>
                <w:sz w:val="20"/>
                <w:szCs w:val="20"/>
              </w:rPr>
              <w:t>70</w:t>
            </w:r>
            <w:r w:rsidRPr="00A72D9F">
              <w:rPr>
                <w:spacing w:val="-1"/>
                <w:sz w:val="20"/>
                <w:szCs w:val="20"/>
              </w:rPr>
              <w:t xml:space="preserve"> </w:t>
            </w:r>
            <w:r w:rsidRPr="00A72D9F">
              <w:rPr>
                <w:sz w:val="20"/>
                <w:szCs w:val="20"/>
              </w:rPr>
              <w:t>(42.7)</w:t>
            </w:r>
          </w:p>
        </w:tc>
      </w:tr>
      <w:tr w:rsidR="00703A8D" w14:paraId="68C682F3"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4DC0ADF1" w14:textId="77777777" w:rsidR="008340DB" w:rsidRPr="00A72D9F" w:rsidRDefault="008340DB">
            <w:pPr>
              <w:pStyle w:val="TableParagraph"/>
              <w:spacing w:line="252" w:lineRule="exact"/>
              <w:ind w:left="633"/>
              <w:rPr>
                <w:sz w:val="20"/>
                <w:szCs w:val="20"/>
              </w:rPr>
            </w:pPr>
            <w:r w:rsidRPr="00A72D9F">
              <w:rPr>
                <w:sz w:val="20"/>
                <w:szCs w:val="20"/>
              </w:rPr>
              <w:t>MPO</w:t>
            </w:r>
          </w:p>
        </w:tc>
        <w:tc>
          <w:tcPr>
            <w:tcW w:w="1096" w:type="pct"/>
            <w:tcBorders>
              <w:top w:val="single" w:sz="4" w:space="0" w:color="000000"/>
              <w:left w:val="single" w:sz="4" w:space="0" w:color="000000"/>
              <w:bottom w:val="single" w:sz="4" w:space="0" w:color="000000"/>
              <w:right w:val="single" w:sz="4" w:space="0" w:color="000000"/>
            </w:tcBorders>
            <w:hideMark/>
          </w:tcPr>
          <w:p w14:paraId="73DDD21C" w14:textId="77777777" w:rsidR="008340DB" w:rsidRPr="00A72D9F" w:rsidRDefault="008340DB">
            <w:pPr>
              <w:pStyle w:val="TableParagraph"/>
              <w:spacing w:line="252" w:lineRule="exact"/>
              <w:ind w:left="513" w:right="507"/>
              <w:jc w:val="center"/>
              <w:rPr>
                <w:sz w:val="20"/>
                <w:szCs w:val="20"/>
              </w:rPr>
            </w:pPr>
            <w:r w:rsidRPr="00A72D9F">
              <w:rPr>
                <w:sz w:val="20"/>
                <w:szCs w:val="20"/>
              </w:rPr>
              <w:t>94</w:t>
            </w:r>
            <w:r w:rsidRPr="00A72D9F">
              <w:rPr>
                <w:spacing w:val="-1"/>
                <w:sz w:val="20"/>
                <w:szCs w:val="20"/>
              </w:rPr>
              <w:t xml:space="preserve"> </w:t>
            </w:r>
            <w:r w:rsidRPr="00A72D9F">
              <w:rPr>
                <w:sz w:val="20"/>
                <w:szCs w:val="20"/>
              </w:rPr>
              <w:t>(56.6)</w:t>
            </w:r>
          </w:p>
        </w:tc>
        <w:tc>
          <w:tcPr>
            <w:tcW w:w="1076" w:type="pct"/>
            <w:tcBorders>
              <w:top w:val="single" w:sz="4" w:space="0" w:color="000000"/>
              <w:left w:val="single" w:sz="4" w:space="0" w:color="000000"/>
              <w:bottom w:val="single" w:sz="4" w:space="0" w:color="000000"/>
              <w:right w:val="single" w:sz="4" w:space="0" w:color="000000"/>
            </w:tcBorders>
            <w:hideMark/>
          </w:tcPr>
          <w:p w14:paraId="1FD27B07" w14:textId="77777777" w:rsidR="008340DB" w:rsidRPr="00A72D9F" w:rsidRDefault="008340DB">
            <w:pPr>
              <w:pStyle w:val="TableParagraph"/>
              <w:spacing w:line="252" w:lineRule="exact"/>
              <w:ind w:left="193" w:right="185"/>
              <w:jc w:val="center"/>
              <w:rPr>
                <w:sz w:val="20"/>
                <w:szCs w:val="20"/>
              </w:rPr>
            </w:pPr>
            <w:r w:rsidRPr="00A72D9F">
              <w:rPr>
                <w:sz w:val="20"/>
                <w:szCs w:val="20"/>
              </w:rPr>
              <w:t>94</w:t>
            </w:r>
            <w:r w:rsidRPr="00A72D9F">
              <w:rPr>
                <w:spacing w:val="-1"/>
                <w:sz w:val="20"/>
                <w:szCs w:val="20"/>
              </w:rPr>
              <w:t xml:space="preserve"> </w:t>
            </w:r>
            <w:r w:rsidRPr="00A72D9F">
              <w:rPr>
                <w:sz w:val="20"/>
                <w:szCs w:val="20"/>
              </w:rPr>
              <w:t>(57.3)</w:t>
            </w:r>
          </w:p>
        </w:tc>
      </w:tr>
      <w:tr w:rsidR="00703A8D" w14:paraId="3F3FBCEF"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229A8217" w14:textId="77777777" w:rsidR="008340DB" w:rsidRPr="00A72D9F" w:rsidRDefault="008340DB">
            <w:pPr>
              <w:pStyle w:val="TableParagraph"/>
              <w:spacing w:line="252" w:lineRule="exact"/>
              <w:ind w:left="71"/>
              <w:rPr>
                <w:sz w:val="20"/>
                <w:szCs w:val="20"/>
              </w:rPr>
            </w:pPr>
            <w:r w:rsidRPr="00A72D9F">
              <w:rPr>
                <w:sz w:val="20"/>
                <w:szCs w:val="20"/>
              </w:rPr>
              <w:lastRenderedPageBreak/>
              <w:t>Type</w:t>
            </w:r>
            <w:r w:rsidRPr="00A72D9F">
              <w:rPr>
                <w:spacing w:val="-2"/>
                <w:sz w:val="20"/>
                <w:szCs w:val="20"/>
              </w:rPr>
              <w:t xml:space="preserve"> </w:t>
            </w:r>
            <w:r w:rsidRPr="00A72D9F">
              <w:rPr>
                <w:sz w:val="20"/>
                <w:szCs w:val="20"/>
              </w:rPr>
              <w:t>of ANCA-associated</w:t>
            </w:r>
            <w:r w:rsidRPr="00A72D9F">
              <w:rPr>
                <w:spacing w:val="-6"/>
                <w:sz w:val="20"/>
                <w:szCs w:val="20"/>
              </w:rPr>
              <w:t xml:space="preserve"> </w:t>
            </w:r>
            <w:r w:rsidRPr="00A72D9F">
              <w:rPr>
                <w:sz w:val="20"/>
                <w:szCs w:val="20"/>
              </w:rPr>
              <w:t>vasculitis,</w:t>
            </w:r>
            <w:r w:rsidRPr="00A72D9F">
              <w:rPr>
                <w:spacing w:val="-1"/>
                <w:sz w:val="20"/>
                <w:szCs w:val="20"/>
              </w:rPr>
              <w:t xml:space="preserve"> </w:t>
            </w:r>
            <w:r w:rsidRPr="00A72D9F">
              <w:rPr>
                <w:sz w:val="20"/>
                <w:szCs w:val="20"/>
              </w:rPr>
              <w:t>n</w:t>
            </w:r>
            <w:r w:rsidRPr="00A72D9F">
              <w:rPr>
                <w:spacing w:val="-4"/>
                <w:sz w:val="20"/>
                <w:szCs w:val="20"/>
              </w:rPr>
              <w:t xml:space="preserve"> </w:t>
            </w:r>
            <w:r w:rsidRPr="00A72D9F">
              <w:rPr>
                <w:sz w:val="20"/>
                <w:szCs w:val="20"/>
              </w:rPr>
              <w:t>(%)</w:t>
            </w:r>
          </w:p>
        </w:tc>
        <w:tc>
          <w:tcPr>
            <w:tcW w:w="1096" w:type="pct"/>
            <w:tcBorders>
              <w:top w:val="single" w:sz="4" w:space="0" w:color="000000"/>
              <w:left w:val="single" w:sz="4" w:space="0" w:color="000000"/>
              <w:bottom w:val="single" w:sz="4" w:space="0" w:color="000000"/>
              <w:right w:val="single" w:sz="4" w:space="0" w:color="000000"/>
            </w:tcBorders>
          </w:tcPr>
          <w:p w14:paraId="1C7D6FB8" w14:textId="77777777" w:rsidR="008340DB" w:rsidRPr="00A72D9F" w:rsidRDefault="008340DB">
            <w:pPr>
              <w:pStyle w:val="TableParagraph"/>
              <w:spacing w:before="0"/>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1333A4A3" w14:textId="77777777" w:rsidR="008340DB" w:rsidRPr="00A72D9F" w:rsidRDefault="008340DB">
            <w:pPr>
              <w:pStyle w:val="TableParagraph"/>
              <w:spacing w:before="0"/>
              <w:rPr>
                <w:sz w:val="20"/>
                <w:szCs w:val="20"/>
              </w:rPr>
            </w:pPr>
          </w:p>
        </w:tc>
      </w:tr>
      <w:tr w:rsidR="00703A8D" w14:paraId="44C694CB"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0B3FEDC0" w14:textId="77777777" w:rsidR="008340DB" w:rsidRPr="00A72D9F" w:rsidRDefault="008340DB">
            <w:pPr>
              <w:pStyle w:val="TableParagraph"/>
              <w:spacing w:line="252" w:lineRule="exact"/>
              <w:ind w:left="633"/>
              <w:rPr>
                <w:sz w:val="20"/>
                <w:szCs w:val="20"/>
              </w:rPr>
            </w:pPr>
            <w:r w:rsidRPr="00A72D9F">
              <w:rPr>
                <w:sz w:val="20"/>
                <w:szCs w:val="20"/>
              </w:rPr>
              <w:t>Granulomatosis</w:t>
            </w:r>
            <w:r w:rsidRPr="00A72D9F">
              <w:rPr>
                <w:spacing w:val="-4"/>
                <w:sz w:val="20"/>
                <w:szCs w:val="20"/>
              </w:rPr>
              <w:t xml:space="preserve"> </w:t>
            </w:r>
            <w:r w:rsidRPr="00A72D9F">
              <w:rPr>
                <w:sz w:val="20"/>
                <w:szCs w:val="20"/>
              </w:rPr>
              <w:t>with</w:t>
            </w:r>
            <w:r w:rsidRPr="00A72D9F">
              <w:rPr>
                <w:spacing w:val="-3"/>
                <w:sz w:val="20"/>
                <w:szCs w:val="20"/>
              </w:rPr>
              <w:t xml:space="preserve"> </w:t>
            </w:r>
            <w:r w:rsidRPr="00A72D9F">
              <w:rPr>
                <w:sz w:val="20"/>
                <w:szCs w:val="20"/>
              </w:rPr>
              <w:t>polyangiitis</w:t>
            </w:r>
            <w:r w:rsidRPr="00A72D9F">
              <w:rPr>
                <w:spacing w:val="-2"/>
                <w:sz w:val="20"/>
                <w:szCs w:val="20"/>
              </w:rPr>
              <w:t xml:space="preserve"> </w:t>
            </w:r>
            <w:r w:rsidRPr="00A72D9F">
              <w:rPr>
                <w:sz w:val="20"/>
                <w:szCs w:val="20"/>
              </w:rPr>
              <w:t>(GPA)</w:t>
            </w:r>
          </w:p>
        </w:tc>
        <w:tc>
          <w:tcPr>
            <w:tcW w:w="1096" w:type="pct"/>
            <w:tcBorders>
              <w:top w:val="single" w:sz="4" w:space="0" w:color="000000"/>
              <w:left w:val="single" w:sz="4" w:space="0" w:color="000000"/>
              <w:bottom w:val="single" w:sz="4" w:space="0" w:color="000000"/>
              <w:right w:val="single" w:sz="4" w:space="0" w:color="000000"/>
            </w:tcBorders>
            <w:hideMark/>
          </w:tcPr>
          <w:p w14:paraId="2E9098D2" w14:textId="77777777" w:rsidR="008340DB" w:rsidRPr="00A72D9F" w:rsidRDefault="008340DB">
            <w:pPr>
              <w:pStyle w:val="TableParagraph"/>
              <w:spacing w:line="252" w:lineRule="exact"/>
              <w:ind w:left="513" w:right="507"/>
              <w:jc w:val="center"/>
              <w:rPr>
                <w:sz w:val="20"/>
                <w:szCs w:val="20"/>
              </w:rPr>
            </w:pPr>
            <w:r w:rsidRPr="00A72D9F">
              <w:rPr>
                <w:sz w:val="20"/>
                <w:szCs w:val="20"/>
              </w:rPr>
              <w:t>91</w:t>
            </w:r>
            <w:r w:rsidRPr="00A72D9F">
              <w:rPr>
                <w:spacing w:val="-1"/>
                <w:sz w:val="20"/>
                <w:szCs w:val="20"/>
              </w:rPr>
              <w:t xml:space="preserve"> </w:t>
            </w:r>
            <w:r w:rsidRPr="00A72D9F">
              <w:rPr>
                <w:sz w:val="20"/>
                <w:szCs w:val="20"/>
              </w:rPr>
              <w:t>(54.8)</w:t>
            </w:r>
          </w:p>
        </w:tc>
        <w:tc>
          <w:tcPr>
            <w:tcW w:w="1076" w:type="pct"/>
            <w:tcBorders>
              <w:top w:val="single" w:sz="4" w:space="0" w:color="000000"/>
              <w:left w:val="single" w:sz="4" w:space="0" w:color="000000"/>
              <w:bottom w:val="single" w:sz="4" w:space="0" w:color="000000"/>
              <w:right w:val="single" w:sz="4" w:space="0" w:color="000000"/>
            </w:tcBorders>
            <w:hideMark/>
          </w:tcPr>
          <w:p w14:paraId="7C43815C" w14:textId="77777777" w:rsidR="008340DB" w:rsidRPr="00A72D9F" w:rsidRDefault="008340DB">
            <w:pPr>
              <w:pStyle w:val="TableParagraph"/>
              <w:spacing w:line="252" w:lineRule="exact"/>
              <w:ind w:left="193" w:right="185"/>
              <w:jc w:val="center"/>
              <w:rPr>
                <w:sz w:val="20"/>
                <w:szCs w:val="20"/>
              </w:rPr>
            </w:pPr>
            <w:r w:rsidRPr="00A72D9F">
              <w:rPr>
                <w:sz w:val="20"/>
                <w:szCs w:val="20"/>
              </w:rPr>
              <w:t>90</w:t>
            </w:r>
            <w:r w:rsidRPr="00A72D9F">
              <w:rPr>
                <w:spacing w:val="-1"/>
                <w:sz w:val="20"/>
                <w:szCs w:val="20"/>
              </w:rPr>
              <w:t xml:space="preserve"> </w:t>
            </w:r>
            <w:r w:rsidRPr="00A72D9F">
              <w:rPr>
                <w:sz w:val="20"/>
                <w:szCs w:val="20"/>
              </w:rPr>
              <w:t>(54.9)</w:t>
            </w:r>
          </w:p>
        </w:tc>
      </w:tr>
      <w:tr w:rsidR="00703A8D" w14:paraId="3150CDB5" w14:textId="77777777" w:rsidTr="00703A8D">
        <w:trPr>
          <w:trHeight w:val="282"/>
        </w:trPr>
        <w:tc>
          <w:tcPr>
            <w:tcW w:w="2827" w:type="pct"/>
            <w:tcBorders>
              <w:top w:val="single" w:sz="4" w:space="0" w:color="000000"/>
              <w:left w:val="single" w:sz="4" w:space="0" w:color="000000"/>
              <w:bottom w:val="single" w:sz="4" w:space="0" w:color="000000"/>
              <w:right w:val="single" w:sz="4" w:space="0" w:color="000000"/>
            </w:tcBorders>
            <w:hideMark/>
          </w:tcPr>
          <w:p w14:paraId="1146F8A8" w14:textId="77777777" w:rsidR="008340DB" w:rsidRPr="00A72D9F" w:rsidRDefault="008340DB">
            <w:pPr>
              <w:pStyle w:val="TableParagraph"/>
              <w:ind w:left="633"/>
              <w:rPr>
                <w:sz w:val="20"/>
                <w:szCs w:val="20"/>
              </w:rPr>
            </w:pPr>
            <w:r w:rsidRPr="00A72D9F">
              <w:rPr>
                <w:sz w:val="20"/>
                <w:szCs w:val="20"/>
              </w:rPr>
              <w:t>Microscopic</w:t>
            </w:r>
            <w:r w:rsidRPr="00A72D9F">
              <w:rPr>
                <w:spacing w:val="-3"/>
                <w:sz w:val="20"/>
                <w:szCs w:val="20"/>
              </w:rPr>
              <w:t xml:space="preserve"> </w:t>
            </w:r>
            <w:r w:rsidRPr="00A72D9F">
              <w:rPr>
                <w:sz w:val="20"/>
                <w:szCs w:val="20"/>
              </w:rPr>
              <w:t>polyangiitis</w:t>
            </w:r>
            <w:r w:rsidRPr="00A72D9F">
              <w:rPr>
                <w:spacing w:val="-4"/>
                <w:sz w:val="20"/>
                <w:szCs w:val="20"/>
              </w:rPr>
              <w:t xml:space="preserve"> </w:t>
            </w:r>
            <w:r w:rsidRPr="00A72D9F">
              <w:rPr>
                <w:sz w:val="20"/>
                <w:szCs w:val="20"/>
              </w:rPr>
              <w:t>(MPA)</w:t>
            </w:r>
          </w:p>
        </w:tc>
        <w:tc>
          <w:tcPr>
            <w:tcW w:w="1096" w:type="pct"/>
            <w:tcBorders>
              <w:top w:val="single" w:sz="4" w:space="0" w:color="000000"/>
              <w:left w:val="single" w:sz="4" w:space="0" w:color="000000"/>
              <w:bottom w:val="single" w:sz="4" w:space="0" w:color="000000"/>
              <w:right w:val="single" w:sz="4" w:space="0" w:color="000000"/>
            </w:tcBorders>
            <w:hideMark/>
          </w:tcPr>
          <w:p w14:paraId="6ABDEE64" w14:textId="77777777" w:rsidR="008340DB" w:rsidRPr="00A72D9F" w:rsidRDefault="008340DB">
            <w:pPr>
              <w:pStyle w:val="TableParagraph"/>
              <w:ind w:left="513" w:right="507"/>
              <w:jc w:val="center"/>
              <w:rPr>
                <w:sz w:val="20"/>
                <w:szCs w:val="20"/>
              </w:rPr>
            </w:pPr>
            <w:r w:rsidRPr="00A72D9F">
              <w:rPr>
                <w:sz w:val="20"/>
                <w:szCs w:val="20"/>
              </w:rPr>
              <w:t>75</w:t>
            </w:r>
            <w:r w:rsidRPr="00A72D9F">
              <w:rPr>
                <w:spacing w:val="-1"/>
                <w:sz w:val="20"/>
                <w:szCs w:val="20"/>
              </w:rPr>
              <w:t xml:space="preserve"> </w:t>
            </w:r>
            <w:r w:rsidRPr="00A72D9F">
              <w:rPr>
                <w:sz w:val="20"/>
                <w:szCs w:val="20"/>
              </w:rPr>
              <w:t>(45.2)</w:t>
            </w:r>
          </w:p>
        </w:tc>
        <w:tc>
          <w:tcPr>
            <w:tcW w:w="1076" w:type="pct"/>
            <w:tcBorders>
              <w:top w:val="single" w:sz="4" w:space="0" w:color="000000"/>
              <w:left w:val="single" w:sz="4" w:space="0" w:color="000000"/>
              <w:bottom w:val="single" w:sz="4" w:space="0" w:color="000000"/>
              <w:right w:val="single" w:sz="4" w:space="0" w:color="000000"/>
            </w:tcBorders>
            <w:hideMark/>
          </w:tcPr>
          <w:p w14:paraId="136F565C" w14:textId="77777777" w:rsidR="008340DB" w:rsidRPr="00A72D9F" w:rsidRDefault="008340DB">
            <w:pPr>
              <w:pStyle w:val="TableParagraph"/>
              <w:ind w:left="193" w:right="185"/>
              <w:jc w:val="center"/>
              <w:rPr>
                <w:sz w:val="20"/>
                <w:szCs w:val="20"/>
              </w:rPr>
            </w:pPr>
            <w:r w:rsidRPr="00A72D9F">
              <w:rPr>
                <w:sz w:val="20"/>
                <w:szCs w:val="20"/>
              </w:rPr>
              <w:t>74</w:t>
            </w:r>
            <w:r w:rsidRPr="00A72D9F">
              <w:rPr>
                <w:spacing w:val="-1"/>
                <w:sz w:val="20"/>
                <w:szCs w:val="20"/>
              </w:rPr>
              <w:t xml:space="preserve"> </w:t>
            </w:r>
            <w:r w:rsidRPr="00A72D9F">
              <w:rPr>
                <w:sz w:val="20"/>
                <w:szCs w:val="20"/>
              </w:rPr>
              <w:t>(45.1)</w:t>
            </w:r>
          </w:p>
        </w:tc>
      </w:tr>
      <w:tr w:rsidR="00703A8D" w14:paraId="3DE29817"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03F05AC5" w14:textId="77777777" w:rsidR="008340DB" w:rsidRPr="00A72D9F" w:rsidRDefault="008340DB">
            <w:pPr>
              <w:pStyle w:val="TableParagraph"/>
              <w:spacing w:line="252" w:lineRule="exact"/>
              <w:ind w:left="71"/>
              <w:rPr>
                <w:sz w:val="20"/>
                <w:szCs w:val="20"/>
              </w:rPr>
            </w:pPr>
            <w:r w:rsidRPr="00A72D9F">
              <w:rPr>
                <w:sz w:val="20"/>
                <w:szCs w:val="20"/>
              </w:rPr>
              <w:t>BVAS</w:t>
            </w:r>
            <w:r w:rsidRPr="00A72D9F">
              <w:rPr>
                <w:spacing w:val="-2"/>
                <w:sz w:val="20"/>
                <w:szCs w:val="20"/>
              </w:rPr>
              <w:t xml:space="preserve"> </w:t>
            </w:r>
            <w:r w:rsidRPr="00A72D9F">
              <w:rPr>
                <w:sz w:val="20"/>
                <w:szCs w:val="20"/>
              </w:rPr>
              <w:t>score</w:t>
            </w:r>
          </w:p>
        </w:tc>
        <w:tc>
          <w:tcPr>
            <w:tcW w:w="1096" w:type="pct"/>
            <w:tcBorders>
              <w:top w:val="single" w:sz="4" w:space="0" w:color="000000"/>
              <w:left w:val="single" w:sz="4" w:space="0" w:color="000000"/>
              <w:bottom w:val="single" w:sz="4" w:space="0" w:color="000000"/>
              <w:right w:val="single" w:sz="4" w:space="0" w:color="000000"/>
            </w:tcBorders>
          </w:tcPr>
          <w:p w14:paraId="36D6EC04" w14:textId="77777777" w:rsidR="008340DB" w:rsidRPr="00A72D9F" w:rsidRDefault="008340DB">
            <w:pPr>
              <w:pStyle w:val="TableParagraph"/>
              <w:spacing w:before="0"/>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6E2934FC" w14:textId="77777777" w:rsidR="008340DB" w:rsidRPr="00A72D9F" w:rsidRDefault="008340DB">
            <w:pPr>
              <w:pStyle w:val="TableParagraph"/>
              <w:spacing w:before="0"/>
              <w:rPr>
                <w:sz w:val="20"/>
                <w:szCs w:val="20"/>
              </w:rPr>
            </w:pPr>
          </w:p>
        </w:tc>
      </w:tr>
      <w:tr w:rsidR="00703A8D" w14:paraId="4D264EBC" w14:textId="77777777" w:rsidTr="00703A8D">
        <w:trPr>
          <w:trHeight w:val="280"/>
        </w:trPr>
        <w:tc>
          <w:tcPr>
            <w:tcW w:w="2827" w:type="pct"/>
            <w:tcBorders>
              <w:top w:val="single" w:sz="4" w:space="0" w:color="000000"/>
              <w:left w:val="single" w:sz="4" w:space="0" w:color="000000"/>
              <w:bottom w:val="single" w:sz="4" w:space="0" w:color="000000"/>
              <w:right w:val="single" w:sz="4" w:space="0" w:color="000000"/>
            </w:tcBorders>
            <w:hideMark/>
          </w:tcPr>
          <w:p w14:paraId="38F17D9A" w14:textId="77777777" w:rsidR="008340DB" w:rsidRPr="00A72D9F" w:rsidRDefault="008340DB">
            <w:pPr>
              <w:pStyle w:val="TableParagraph"/>
              <w:spacing w:line="252" w:lineRule="exact"/>
              <w:ind w:left="633"/>
              <w:rPr>
                <w:sz w:val="20"/>
                <w:szCs w:val="20"/>
              </w:rPr>
            </w:pPr>
            <w:r w:rsidRPr="00A72D9F">
              <w:rPr>
                <w:sz w:val="20"/>
                <w:szCs w:val="20"/>
              </w:rPr>
              <w:t>Mean</w:t>
            </w:r>
            <w:r w:rsidRPr="00816467">
              <w:rPr>
                <w:sz w:val="20"/>
                <w:szCs w:val="20"/>
              </w:rPr>
              <w:t xml:space="preserve"> </w:t>
            </w:r>
            <w:r w:rsidRPr="00A72D9F">
              <w:rPr>
                <w:sz w:val="20"/>
                <w:szCs w:val="20"/>
              </w:rPr>
              <w:t>(SD)</w:t>
            </w:r>
          </w:p>
        </w:tc>
        <w:tc>
          <w:tcPr>
            <w:tcW w:w="1096" w:type="pct"/>
            <w:tcBorders>
              <w:top w:val="single" w:sz="4" w:space="0" w:color="000000"/>
              <w:left w:val="single" w:sz="4" w:space="0" w:color="000000"/>
              <w:bottom w:val="single" w:sz="4" w:space="0" w:color="000000"/>
              <w:right w:val="single" w:sz="4" w:space="0" w:color="000000"/>
            </w:tcBorders>
            <w:hideMark/>
          </w:tcPr>
          <w:p w14:paraId="236C4F38" w14:textId="3DB2CEA6" w:rsidR="008340DB" w:rsidRPr="00A72D9F" w:rsidRDefault="008340DB">
            <w:pPr>
              <w:pStyle w:val="TableParagraph"/>
              <w:spacing w:line="252" w:lineRule="exact"/>
              <w:ind w:left="513" w:right="507"/>
              <w:jc w:val="center"/>
              <w:rPr>
                <w:sz w:val="20"/>
                <w:szCs w:val="20"/>
              </w:rPr>
            </w:pPr>
            <w:r w:rsidRPr="00A72D9F">
              <w:rPr>
                <w:sz w:val="20"/>
                <w:szCs w:val="20"/>
              </w:rPr>
              <w:t>16.3</w:t>
            </w:r>
            <w:r w:rsidR="00703A8D">
              <w:rPr>
                <w:sz w:val="20"/>
                <w:szCs w:val="20"/>
              </w:rPr>
              <w:t xml:space="preserve"> </w:t>
            </w:r>
            <w:r w:rsidRPr="00A72D9F">
              <w:rPr>
                <w:sz w:val="20"/>
                <w:szCs w:val="20"/>
              </w:rPr>
              <w:t>(5.87)</w:t>
            </w:r>
          </w:p>
        </w:tc>
        <w:tc>
          <w:tcPr>
            <w:tcW w:w="1076" w:type="pct"/>
            <w:tcBorders>
              <w:top w:val="single" w:sz="4" w:space="0" w:color="000000"/>
              <w:left w:val="single" w:sz="4" w:space="0" w:color="000000"/>
              <w:bottom w:val="single" w:sz="4" w:space="0" w:color="000000"/>
              <w:right w:val="single" w:sz="4" w:space="0" w:color="000000"/>
            </w:tcBorders>
            <w:hideMark/>
          </w:tcPr>
          <w:p w14:paraId="0D27DBC2" w14:textId="77777777" w:rsidR="008340DB" w:rsidRPr="00A72D9F" w:rsidRDefault="008340DB">
            <w:pPr>
              <w:pStyle w:val="TableParagraph"/>
              <w:spacing w:line="252" w:lineRule="exact"/>
              <w:ind w:left="193" w:right="187"/>
              <w:jc w:val="center"/>
              <w:rPr>
                <w:sz w:val="20"/>
                <w:szCs w:val="20"/>
              </w:rPr>
            </w:pPr>
            <w:r w:rsidRPr="00A72D9F">
              <w:rPr>
                <w:sz w:val="20"/>
                <w:szCs w:val="20"/>
              </w:rPr>
              <w:t>16.2 (5.69)</w:t>
            </w:r>
          </w:p>
        </w:tc>
      </w:tr>
      <w:tr w:rsidR="00F71049" w14:paraId="71EAA337" w14:textId="77777777" w:rsidTr="00816467">
        <w:trPr>
          <w:trHeight w:val="280"/>
        </w:trPr>
        <w:tc>
          <w:tcPr>
            <w:tcW w:w="2827" w:type="pct"/>
            <w:tcBorders>
              <w:top w:val="single" w:sz="4" w:space="0" w:color="000000"/>
              <w:left w:val="single" w:sz="4" w:space="0" w:color="000000"/>
              <w:bottom w:val="single" w:sz="4" w:space="0" w:color="000000"/>
              <w:right w:val="single" w:sz="4" w:space="0" w:color="000000"/>
            </w:tcBorders>
          </w:tcPr>
          <w:p w14:paraId="71B98FD2" w14:textId="4C75A3B5" w:rsidR="00F71049" w:rsidRPr="00A72D9F" w:rsidRDefault="00703A8D" w:rsidP="00816467">
            <w:pPr>
              <w:pStyle w:val="TableParagraph"/>
              <w:spacing w:line="252" w:lineRule="exact"/>
              <w:rPr>
                <w:sz w:val="20"/>
                <w:szCs w:val="20"/>
              </w:rPr>
            </w:pPr>
            <w:r>
              <w:rPr>
                <w:sz w:val="20"/>
                <w:szCs w:val="20"/>
              </w:rPr>
              <w:t xml:space="preserve"> eGFR</w:t>
            </w:r>
          </w:p>
        </w:tc>
        <w:tc>
          <w:tcPr>
            <w:tcW w:w="1096" w:type="pct"/>
            <w:tcBorders>
              <w:top w:val="single" w:sz="4" w:space="0" w:color="000000"/>
              <w:left w:val="single" w:sz="4" w:space="0" w:color="000000"/>
              <w:bottom w:val="single" w:sz="4" w:space="0" w:color="000000"/>
              <w:right w:val="single" w:sz="4" w:space="0" w:color="000000"/>
            </w:tcBorders>
          </w:tcPr>
          <w:p w14:paraId="76CF6C8A" w14:textId="77777777" w:rsidR="00F71049" w:rsidRPr="00A72D9F" w:rsidRDefault="00F71049" w:rsidP="001A4151">
            <w:pPr>
              <w:pStyle w:val="TableParagraph"/>
              <w:spacing w:line="252" w:lineRule="exact"/>
              <w:ind w:left="145"/>
              <w:jc w:val="center"/>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0E83D0B7" w14:textId="77777777" w:rsidR="00F71049" w:rsidRPr="00A72D9F" w:rsidRDefault="00F71049" w:rsidP="00816467">
            <w:pPr>
              <w:pStyle w:val="TableParagraph"/>
              <w:spacing w:line="252" w:lineRule="exact"/>
              <w:ind w:left="633" w:right="187"/>
              <w:jc w:val="center"/>
              <w:rPr>
                <w:sz w:val="20"/>
                <w:szCs w:val="20"/>
              </w:rPr>
            </w:pPr>
          </w:p>
        </w:tc>
      </w:tr>
      <w:tr w:rsidR="00F71049" w14:paraId="1EBF1BE7" w14:textId="77777777" w:rsidTr="00816467">
        <w:trPr>
          <w:trHeight w:val="280"/>
        </w:trPr>
        <w:tc>
          <w:tcPr>
            <w:tcW w:w="2827" w:type="pct"/>
            <w:tcBorders>
              <w:top w:val="single" w:sz="4" w:space="0" w:color="000000"/>
              <w:left w:val="single" w:sz="4" w:space="0" w:color="000000"/>
              <w:bottom w:val="single" w:sz="4" w:space="0" w:color="000000"/>
              <w:right w:val="single" w:sz="4" w:space="0" w:color="000000"/>
            </w:tcBorders>
          </w:tcPr>
          <w:p w14:paraId="632902DC" w14:textId="3C4187DF" w:rsidR="00F71049" w:rsidRPr="00816467" w:rsidRDefault="00703A8D" w:rsidP="00816467">
            <w:pPr>
              <w:pStyle w:val="TableParagraph"/>
              <w:spacing w:line="252" w:lineRule="exact"/>
              <w:ind w:left="633"/>
              <w:rPr>
                <w:sz w:val="20"/>
                <w:szCs w:val="20"/>
                <w:lang w:val="sv-SE"/>
              </w:rPr>
            </w:pPr>
            <w:r w:rsidRPr="00816467">
              <w:rPr>
                <w:sz w:val="20"/>
                <w:szCs w:val="20"/>
                <w:lang w:val="sv-SE"/>
              </w:rPr>
              <w:t>Mean (SD), mL/min/1.73 m</w:t>
            </w:r>
            <w:r w:rsidRPr="00816467">
              <w:rPr>
                <w:sz w:val="20"/>
                <w:szCs w:val="20"/>
                <w:vertAlign w:val="superscript"/>
                <w:lang w:val="sv-SE"/>
              </w:rPr>
              <w:t>2</w:t>
            </w:r>
          </w:p>
        </w:tc>
        <w:tc>
          <w:tcPr>
            <w:tcW w:w="1096" w:type="pct"/>
            <w:tcBorders>
              <w:top w:val="single" w:sz="4" w:space="0" w:color="000000"/>
              <w:left w:val="single" w:sz="4" w:space="0" w:color="000000"/>
              <w:bottom w:val="single" w:sz="4" w:space="0" w:color="000000"/>
              <w:right w:val="single" w:sz="4" w:space="0" w:color="000000"/>
            </w:tcBorders>
          </w:tcPr>
          <w:p w14:paraId="375F8D2F" w14:textId="6D801387" w:rsidR="00F71049" w:rsidRPr="00A72D9F" w:rsidRDefault="00703A8D" w:rsidP="001A4151">
            <w:pPr>
              <w:pStyle w:val="TableParagraph"/>
              <w:spacing w:line="252" w:lineRule="exact"/>
              <w:ind w:left="145"/>
              <w:jc w:val="center"/>
              <w:rPr>
                <w:sz w:val="20"/>
                <w:szCs w:val="20"/>
              </w:rPr>
            </w:pPr>
            <w:r>
              <w:rPr>
                <w:sz w:val="20"/>
                <w:szCs w:val="20"/>
              </w:rPr>
              <w:t>50.7</w:t>
            </w:r>
            <w:r w:rsidR="00D9719F">
              <w:rPr>
                <w:sz w:val="20"/>
                <w:szCs w:val="20"/>
              </w:rPr>
              <w:t xml:space="preserve"> </w:t>
            </w:r>
            <w:r w:rsidRPr="00A72D9F">
              <w:rPr>
                <w:sz w:val="20"/>
                <w:szCs w:val="20"/>
              </w:rPr>
              <w:t>(</w:t>
            </w:r>
            <w:r>
              <w:rPr>
                <w:sz w:val="20"/>
                <w:szCs w:val="20"/>
              </w:rPr>
              <w:t>30</w:t>
            </w:r>
            <w:r w:rsidRPr="00A72D9F">
              <w:rPr>
                <w:sz w:val="20"/>
                <w:szCs w:val="20"/>
              </w:rPr>
              <w:t>.</w:t>
            </w:r>
            <w:r>
              <w:rPr>
                <w:sz w:val="20"/>
                <w:szCs w:val="20"/>
              </w:rPr>
              <w:t>96</w:t>
            </w:r>
            <w:r w:rsidRPr="00A72D9F">
              <w:rPr>
                <w:sz w:val="20"/>
                <w:szCs w:val="20"/>
              </w:rPr>
              <w:t>)</w:t>
            </w:r>
          </w:p>
        </w:tc>
        <w:tc>
          <w:tcPr>
            <w:tcW w:w="1076" w:type="pct"/>
            <w:tcBorders>
              <w:top w:val="single" w:sz="4" w:space="0" w:color="000000"/>
              <w:left w:val="single" w:sz="4" w:space="0" w:color="000000"/>
              <w:bottom w:val="single" w:sz="4" w:space="0" w:color="000000"/>
              <w:right w:val="single" w:sz="4" w:space="0" w:color="000000"/>
            </w:tcBorders>
          </w:tcPr>
          <w:p w14:paraId="67B8270D" w14:textId="6A8453B9" w:rsidR="00F71049" w:rsidRPr="00A72D9F" w:rsidRDefault="00703A8D" w:rsidP="00703A8D">
            <w:pPr>
              <w:pStyle w:val="TableParagraph"/>
              <w:spacing w:line="252" w:lineRule="exact"/>
              <w:ind w:left="193" w:right="187"/>
              <w:jc w:val="center"/>
              <w:rPr>
                <w:sz w:val="20"/>
                <w:szCs w:val="20"/>
              </w:rPr>
            </w:pPr>
            <w:r>
              <w:rPr>
                <w:sz w:val="20"/>
                <w:szCs w:val="20"/>
              </w:rPr>
              <w:t>52.9 (32.67)</w:t>
            </w:r>
          </w:p>
        </w:tc>
      </w:tr>
      <w:tr w:rsidR="00F71049" w14:paraId="588F6139" w14:textId="77777777" w:rsidTr="00816467">
        <w:trPr>
          <w:trHeight w:val="280"/>
        </w:trPr>
        <w:tc>
          <w:tcPr>
            <w:tcW w:w="2827" w:type="pct"/>
            <w:tcBorders>
              <w:top w:val="single" w:sz="4" w:space="0" w:color="000000"/>
              <w:left w:val="single" w:sz="4" w:space="0" w:color="000000"/>
              <w:bottom w:val="single" w:sz="4" w:space="0" w:color="000000"/>
              <w:right w:val="single" w:sz="4" w:space="0" w:color="000000"/>
            </w:tcBorders>
          </w:tcPr>
          <w:p w14:paraId="249E4243" w14:textId="0960C529" w:rsidR="00F71049" w:rsidRPr="00A72D9F" w:rsidRDefault="00703A8D" w:rsidP="00C32DE6">
            <w:pPr>
              <w:pStyle w:val="TableParagraph"/>
              <w:spacing w:line="252" w:lineRule="exact"/>
              <w:rPr>
                <w:sz w:val="20"/>
                <w:szCs w:val="20"/>
              </w:rPr>
            </w:pPr>
            <w:r>
              <w:rPr>
                <w:sz w:val="20"/>
                <w:szCs w:val="20"/>
              </w:rPr>
              <w:t xml:space="preserve"> </w:t>
            </w:r>
            <w:r w:rsidRPr="00816467">
              <w:rPr>
                <w:sz w:val="20"/>
                <w:szCs w:val="20"/>
              </w:rPr>
              <w:t>Prior Glucocorticoid Use (during Screening)</w:t>
            </w:r>
          </w:p>
        </w:tc>
        <w:tc>
          <w:tcPr>
            <w:tcW w:w="1096" w:type="pct"/>
            <w:tcBorders>
              <w:top w:val="single" w:sz="4" w:space="0" w:color="000000"/>
              <w:left w:val="single" w:sz="4" w:space="0" w:color="000000"/>
              <w:bottom w:val="single" w:sz="4" w:space="0" w:color="000000"/>
              <w:right w:val="single" w:sz="4" w:space="0" w:color="000000"/>
            </w:tcBorders>
          </w:tcPr>
          <w:p w14:paraId="6660D9E8" w14:textId="77777777" w:rsidR="00F71049" w:rsidRPr="00A72D9F" w:rsidRDefault="00F71049" w:rsidP="00816467">
            <w:pPr>
              <w:pStyle w:val="TableParagraph"/>
              <w:spacing w:line="252" w:lineRule="exact"/>
              <w:ind w:left="633" w:right="507"/>
              <w:jc w:val="center"/>
              <w:rPr>
                <w:sz w:val="20"/>
                <w:szCs w:val="20"/>
              </w:rPr>
            </w:pPr>
          </w:p>
        </w:tc>
        <w:tc>
          <w:tcPr>
            <w:tcW w:w="1076" w:type="pct"/>
            <w:tcBorders>
              <w:top w:val="single" w:sz="4" w:space="0" w:color="000000"/>
              <w:left w:val="single" w:sz="4" w:space="0" w:color="000000"/>
              <w:bottom w:val="single" w:sz="4" w:space="0" w:color="000000"/>
              <w:right w:val="single" w:sz="4" w:space="0" w:color="000000"/>
            </w:tcBorders>
          </w:tcPr>
          <w:p w14:paraId="2C9483C2" w14:textId="77777777" w:rsidR="00F71049" w:rsidRPr="00A72D9F" w:rsidRDefault="00F71049" w:rsidP="00816467">
            <w:pPr>
              <w:pStyle w:val="TableParagraph"/>
              <w:spacing w:line="252" w:lineRule="exact"/>
              <w:ind w:left="633" w:right="187"/>
              <w:jc w:val="center"/>
              <w:rPr>
                <w:sz w:val="20"/>
                <w:szCs w:val="20"/>
              </w:rPr>
            </w:pPr>
          </w:p>
        </w:tc>
      </w:tr>
      <w:tr w:rsidR="00F71049" w14:paraId="0E1551F0" w14:textId="77777777" w:rsidTr="00816467">
        <w:trPr>
          <w:trHeight w:val="280"/>
        </w:trPr>
        <w:tc>
          <w:tcPr>
            <w:tcW w:w="2827" w:type="pct"/>
            <w:tcBorders>
              <w:top w:val="single" w:sz="4" w:space="0" w:color="000000"/>
              <w:left w:val="single" w:sz="4" w:space="0" w:color="000000"/>
              <w:bottom w:val="single" w:sz="4" w:space="0" w:color="000000"/>
              <w:right w:val="single" w:sz="4" w:space="0" w:color="000000"/>
            </w:tcBorders>
          </w:tcPr>
          <w:p w14:paraId="0F91A6F2" w14:textId="1C2574F0" w:rsidR="00F71049" w:rsidRPr="00A72D9F" w:rsidRDefault="00703A8D" w:rsidP="00816467">
            <w:pPr>
              <w:pStyle w:val="TableParagraph"/>
              <w:spacing w:line="252" w:lineRule="exact"/>
              <w:ind w:left="633"/>
              <w:rPr>
                <w:sz w:val="20"/>
                <w:szCs w:val="20"/>
              </w:rPr>
            </w:pPr>
            <w:r>
              <w:rPr>
                <w:sz w:val="20"/>
                <w:szCs w:val="20"/>
              </w:rPr>
              <w:t>n (%)</w:t>
            </w:r>
          </w:p>
        </w:tc>
        <w:tc>
          <w:tcPr>
            <w:tcW w:w="1096" w:type="pct"/>
            <w:tcBorders>
              <w:top w:val="single" w:sz="4" w:space="0" w:color="000000"/>
              <w:left w:val="single" w:sz="4" w:space="0" w:color="000000"/>
              <w:bottom w:val="single" w:sz="4" w:space="0" w:color="000000"/>
              <w:right w:val="single" w:sz="4" w:space="0" w:color="000000"/>
            </w:tcBorders>
          </w:tcPr>
          <w:p w14:paraId="61BE4038" w14:textId="61CCA338" w:rsidR="00F71049" w:rsidRPr="00A72D9F" w:rsidRDefault="00703A8D" w:rsidP="00816467">
            <w:pPr>
              <w:pStyle w:val="TableParagraph"/>
              <w:spacing w:line="252" w:lineRule="exact"/>
              <w:ind w:right="507"/>
              <w:jc w:val="right"/>
              <w:rPr>
                <w:sz w:val="20"/>
                <w:szCs w:val="20"/>
              </w:rPr>
            </w:pPr>
            <w:r w:rsidRPr="00816467">
              <w:rPr>
                <w:sz w:val="20"/>
                <w:szCs w:val="20"/>
              </w:rPr>
              <w:t>125 (75.3)</w:t>
            </w:r>
          </w:p>
        </w:tc>
        <w:tc>
          <w:tcPr>
            <w:tcW w:w="1076" w:type="pct"/>
            <w:tcBorders>
              <w:top w:val="single" w:sz="4" w:space="0" w:color="000000"/>
              <w:left w:val="single" w:sz="4" w:space="0" w:color="000000"/>
              <w:bottom w:val="single" w:sz="4" w:space="0" w:color="000000"/>
              <w:right w:val="single" w:sz="4" w:space="0" w:color="000000"/>
            </w:tcBorders>
          </w:tcPr>
          <w:p w14:paraId="5AB287EC" w14:textId="6818DA65" w:rsidR="00F71049" w:rsidRPr="00A72D9F" w:rsidRDefault="00703A8D" w:rsidP="00816467">
            <w:pPr>
              <w:pStyle w:val="TableParagraph"/>
              <w:spacing w:line="252" w:lineRule="exact"/>
              <w:ind w:left="633" w:right="187"/>
              <w:rPr>
                <w:sz w:val="20"/>
                <w:szCs w:val="20"/>
              </w:rPr>
            </w:pPr>
            <w:r w:rsidRPr="00816467">
              <w:rPr>
                <w:sz w:val="20"/>
                <w:szCs w:val="20"/>
              </w:rPr>
              <w:t>135 (82.3)</w:t>
            </w:r>
          </w:p>
        </w:tc>
      </w:tr>
      <w:tr w:rsidR="00F71049" w14:paraId="0493C9E8" w14:textId="77777777" w:rsidTr="00816467">
        <w:trPr>
          <w:trHeight w:val="280"/>
        </w:trPr>
        <w:tc>
          <w:tcPr>
            <w:tcW w:w="2827" w:type="pct"/>
            <w:tcBorders>
              <w:top w:val="single" w:sz="4" w:space="0" w:color="000000"/>
              <w:left w:val="single" w:sz="4" w:space="0" w:color="000000"/>
              <w:bottom w:val="single" w:sz="4" w:space="0" w:color="000000"/>
              <w:right w:val="single" w:sz="4" w:space="0" w:color="000000"/>
            </w:tcBorders>
          </w:tcPr>
          <w:p w14:paraId="6025446D" w14:textId="6439E579" w:rsidR="00F71049" w:rsidRPr="00A72D9F" w:rsidRDefault="00703A8D" w:rsidP="00816467">
            <w:pPr>
              <w:pStyle w:val="TableParagraph"/>
              <w:spacing w:line="252" w:lineRule="exact"/>
              <w:ind w:left="633"/>
              <w:rPr>
                <w:sz w:val="20"/>
                <w:szCs w:val="20"/>
              </w:rPr>
            </w:pPr>
            <w:r w:rsidRPr="00816467">
              <w:rPr>
                <w:sz w:val="20"/>
                <w:szCs w:val="20"/>
              </w:rPr>
              <w:t>Mean (SD), prednisone-equivalent dose (mg)</w:t>
            </w:r>
          </w:p>
        </w:tc>
        <w:tc>
          <w:tcPr>
            <w:tcW w:w="1096" w:type="pct"/>
            <w:tcBorders>
              <w:top w:val="single" w:sz="4" w:space="0" w:color="000000"/>
              <w:left w:val="single" w:sz="4" w:space="0" w:color="000000"/>
              <w:bottom w:val="single" w:sz="4" w:space="0" w:color="000000"/>
              <w:right w:val="single" w:sz="4" w:space="0" w:color="000000"/>
            </w:tcBorders>
          </w:tcPr>
          <w:p w14:paraId="10BEFECA" w14:textId="28C0C107" w:rsidR="00F71049" w:rsidRPr="00A72D9F" w:rsidRDefault="00703A8D" w:rsidP="00816467">
            <w:pPr>
              <w:pStyle w:val="TableParagraph"/>
              <w:spacing w:line="252" w:lineRule="exact"/>
              <w:ind w:right="507"/>
              <w:jc w:val="right"/>
              <w:rPr>
                <w:sz w:val="20"/>
                <w:szCs w:val="20"/>
              </w:rPr>
            </w:pPr>
            <w:r w:rsidRPr="00816467">
              <w:rPr>
                <w:sz w:val="20"/>
                <w:szCs w:val="20"/>
              </w:rPr>
              <w:t>654 (744.4)</w:t>
            </w:r>
          </w:p>
        </w:tc>
        <w:tc>
          <w:tcPr>
            <w:tcW w:w="1076" w:type="pct"/>
            <w:tcBorders>
              <w:top w:val="single" w:sz="4" w:space="0" w:color="000000"/>
              <w:left w:val="single" w:sz="4" w:space="0" w:color="000000"/>
              <w:bottom w:val="single" w:sz="4" w:space="0" w:color="000000"/>
              <w:right w:val="single" w:sz="4" w:space="0" w:color="000000"/>
            </w:tcBorders>
          </w:tcPr>
          <w:p w14:paraId="0A414229" w14:textId="3F356EA3" w:rsidR="00F71049" w:rsidRPr="00A72D9F" w:rsidRDefault="00703A8D" w:rsidP="00816467">
            <w:pPr>
              <w:pStyle w:val="TableParagraph"/>
              <w:spacing w:line="252" w:lineRule="exact"/>
              <w:ind w:left="633" w:right="187"/>
              <w:rPr>
                <w:sz w:val="20"/>
                <w:szCs w:val="20"/>
              </w:rPr>
            </w:pPr>
            <w:r w:rsidRPr="00816467">
              <w:rPr>
                <w:sz w:val="20"/>
                <w:szCs w:val="20"/>
              </w:rPr>
              <w:t>728 (787.8)</w:t>
            </w:r>
          </w:p>
        </w:tc>
      </w:tr>
    </w:tbl>
    <w:p w14:paraId="46D8B927" w14:textId="67D69F13" w:rsidR="008340DB" w:rsidRPr="00A72D9F" w:rsidRDefault="008340DB" w:rsidP="008340DB">
      <w:pPr>
        <w:rPr>
          <w:sz w:val="20"/>
          <w:szCs w:val="20"/>
        </w:rPr>
      </w:pPr>
      <w:r w:rsidRPr="00A72D9F">
        <w:rPr>
          <w:sz w:val="20"/>
          <w:szCs w:val="20"/>
        </w:rPr>
        <w:t xml:space="preserve">ANCA = antineutrophil cytoplasmic autoantibody; BVAS = Birmingham Vasculitis Activity Score; MPO = myeloperoxidase; PR3 = proteinase-3, SD = </w:t>
      </w:r>
      <w:r w:rsidR="00703A8D">
        <w:rPr>
          <w:sz w:val="20"/>
          <w:szCs w:val="20"/>
        </w:rPr>
        <w:t>s</w:t>
      </w:r>
      <w:r w:rsidRPr="00A72D9F">
        <w:rPr>
          <w:sz w:val="20"/>
          <w:szCs w:val="20"/>
        </w:rPr>
        <w:t xml:space="preserve">tandard </w:t>
      </w:r>
      <w:r w:rsidR="00703A8D">
        <w:rPr>
          <w:sz w:val="20"/>
          <w:szCs w:val="20"/>
        </w:rPr>
        <w:t>d</w:t>
      </w:r>
      <w:r w:rsidRPr="00A72D9F">
        <w:rPr>
          <w:sz w:val="20"/>
          <w:szCs w:val="20"/>
        </w:rPr>
        <w:t>eviation</w:t>
      </w:r>
    </w:p>
    <w:p w14:paraId="482585E1" w14:textId="228F07D9" w:rsidR="00744AEF" w:rsidRDefault="00744AEF" w:rsidP="00744AEF">
      <w:pPr>
        <w:rPr>
          <w:rFonts w:eastAsia="Times New Roman"/>
          <w:color w:val="auto"/>
          <w:sz w:val="22"/>
          <w:szCs w:val="22"/>
        </w:rPr>
      </w:pPr>
      <w:r>
        <w:t xml:space="preserve">The aim of the </w:t>
      </w:r>
      <w:r w:rsidR="00703A8D">
        <w:t>study</w:t>
      </w:r>
      <w:r>
        <w:t xml:space="preserve"> was to determine if </w:t>
      </w:r>
      <w:proofErr w:type="spellStart"/>
      <w:r>
        <w:t>avacopan</w:t>
      </w:r>
      <w:proofErr w:type="spellEnd"/>
      <w:r>
        <w:t xml:space="preserve"> could provide an effective treatment for patients </w:t>
      </w:r>
      <w:proofErr w:type="gramStart"/>
      <w:r>
        <w:t>with</w:t>
      </w:r>
      <w:r w:rsidR="00893747">
        <w:t xml:space="preserve"> </w:t>
      </w:r>
      <w:r>
        <w:rPr>
          <w:spacing w:val="-52"/>
        </w:rPr>
        <w:t xml:space="preserve"> </w:t>
      </w:r>
      <w:r>
        <w:t>ANCA</w:t>
      </w:r>
      <w:proofErr w:type="gramEnd"/>
      <w:r>
        <w:t>-associated vasculitis, while also allowing for the reduction of glucocorticoids use without</w:t>
      </w:r>
      <w:r>
        <w:rPr>
          <w:spacing w:val="1"/>
        </w:rPr>
        <w:t xml:space="preserve"> </w:t>
      </w:r>
      <w:r>
        <w:t>compromising</w:t>
      </w:r>
      <w:r>
        <w:rPr>
          <w:spacing w:val="-4"/>
        </w:rPr>
        <w:t xml:space="preserve"> </w:t>
      </w:r>
      <w:r>
        <w:t>safety</w:t>
      </w:r>
      <w:r>
        <w:rPr>
          <w:spacing w:val="-3"/>
        </w:rPr>
        <w:t xml:space="preserve"> </w:t>
      </w:r>
      <w:r>
        <w:t>or</w:t>
      </w:r>
      <w:r>
        <w:rPr>
          <w:spacing w:val="-2"/>
        </w:rPr>
        <w:t xml:space="preserve"> </w:t>
      </w:r>
      <w:r>
        <w:t>efficacy.</w:t>
      </w:r>
    </w:p>
    <w:p w14:paraId="75E9F413" w14:textId="54C41552" w:rsidR="00744AEF" w:rsidRDefault="00744AEF" w:rsidP="00744AEF">
      <w:r>
        <w:t xml:space="preserve">The primary objective was to evaluate the efficacy of </w:t>
      </w:r>
      <w:r w:rsidR="005F1235">
        <w:t xml:space="preserve">the </w:t>
      </w:r>
      <w:proofErr w:type="gramStart"/>
      <w:r w:rsidR="005F1235">
        <w:t>above described</w:t>
      </w:r>
      <w:proofErr w:type="gramEnd"/>
      <w:r w:rsidR="005F1235">
        <w:t xml:space="preserve"> treatment regimens</w:t>
      </w:r>
      <w:r>
        <w:t xml:space="preserve"> to induce and sustain remission in</w:t>
      </w:r>
      <w:r>
        <w:rPr>
          <w:spacing w:val="-52"/>
        </w:rPr>
        <w:t xml:space="preserve"> </w:t>
      </w:r>
      <w:r>
        <w:t>patients</w:t>
      </w:r>
      <w:r>
        <w:rPr>
          <w:spacing w:val="-1"/>
        </w:rPr>
        <w:t xml:space="preserve"> </w:t>
      </w:r>
      <w:r>
        <w:t>with</w:t>
      </w:r>
      <w:r>
        <w:rPr>
          <w:spacing w:val="-1"/>
        </w:rPr>
        <w:t xml:space="preserve"> </w:t>
      </w:r>
      <w:r>
        <w:t>ANCA-associated</w:t>
      </w:r>
      <w:r>
        <w:rPr>
          <w:spacing w:val="-1"/>
        </w:rPr>
        <w:t xml:space="preserve"> </w:t>
      </w:r>
      <w:r>
        <w:t>vasculitis based</w:t>
      </w:r>
      <w:r>
        <w:rPr>
          <w:spacing w:val="-4"/>
        </w:rPr>
        <w:t xml:space="preserve"> </w:t>
      </w:r>
      <w:r>
        <w:t>on</w:t>
      </w:r>
      <w:r>
        <w:rPr>
          <w:spacing w:val="-1"/>
        </w:rPr>
        <w:t xml:space="preserve"> </w:t>
      </w:r>
      <w:r>
        <w:t>the</w:t>
      </w:r>
      <w:r>
        <w:rPr>
          <w:spacing w:val="-3"/>
        </w:rPr>
        <w:t xml:space="preserve"> </w:t>
      </w:r>
      <w:r>
        <w:t>following</w:t>
      </w:r>
      <w:r>
        <w:rPr>
          <w:spacing w:val="-3"/>
        </w:rPr>
        <w:t xml:space="preserve"> </w:t>
      </w:r>
      <w:r>
        <w:t>two</w:t>
      </w:r>
      <w:r>
        <w:rPr>
          <w:spacing w:val="-1"/>
        </w:rPr>
        <w:t xml:space="preserve"> </w:t>
      </w:r>
      <w:r>
        <w:t>primary</w:t>
      </w:r>
      <w:r>
        <w:rPr>
          <w:spacing w:val="-4"/>
        </w:rPr>
        <w:t xml:space="preserve"> </w:t>
      </w:r>
      <w:r>
        <w:t>endpoints:</w:t>
      </w:r>
    </w:p>
    <w:p w14:paraId="2489BECC" w14:textId="64CA4CC8" w:rsidR="00744AEF" w:rsidRPr="00F87C9E" w:rsidRDefault="00744AEF" w:rsidP="00816467">
      <w:pPr>
        <w:pStyle w:val="ListParagraph"/>
        <w:numPr>
          <w:ilvl w:val="0"/>
          <w:numId w:val="23"/>
        </w:numPr>
        <w:rPr>
          <w:sz w:val="22"/>
        </w:rPr>
      </w:pPr>
      <w:r>
        <w:t>the proportion of patients in disease remission defined as achieving a Birmingham Vasculitis</w:t>
      </w:r>
      <w:r w:rsidRPr="00F87C9E">
        <w:rPr>
          <w:spacing w:val="1"/>
        </w:rPr>
        <w:t xml:space="preserve"> </w:t>
      </w:r>
      <w:r>
        <w:t>Activity Score (BVAS) of 0 and not taking glucocorticoids for treatment of ANCA-associated</w:t>
      </w:r>
      <w:r w:rsidR="00831970">
        <w:t xml:space="preserve"> </w:t>
      </w:r>
      <w:r w:rsidRPr="00F87C9E">
        <w:rPr>
          <w:spacing w:val="-52"/>
        </w:rPr>
        <w:t xml:space="preserve"> </w:t>
      </w:r>
      <w:r w:rsidR="00831970">
        <w:rPr>
          <w:spacing w:val="-52"/>
        </w:rPr>
        <w:t xml:space="preserve"> </w:t>
      </w:r>
      <w:r>
        <w:t>vasculitis</w:t>
      </w:r>
      <w:r w:rsidRPr="00F87C9E">
        <w:rPr>
          <w:spacing w:val="-1"/>
        </w:rPr>
        <w:t xml:space="preserve"> </w:t>
      </w:r>
      <w:r>
        <w:t>within 4 weeks prior</w:t>
      </w:r>
      <w:r w:rsidRPr="00F87C9E">
        <w:rPr>
          <w:spacing w:val="1"/>
        </w:rPr>
        <w:t xml:space="preserve"> </w:t>
      </w:r>
      <w:r>
        <w:t>to week</w:t>
      </w:r>
      <w:r w:rsidRPr="00F87C9E">
        <w:rPr>
          <w:spacing w:val="-3"/>
        </w:rPr>
        <w:t xml:space="preserve"> </w:t>
      </w:r>
      <w:r>
        <w:t>26,</w:t>
      </w:r>
    </w:p>
    <w:p w14:paraId="53696762" w14:textId="165A2E61" w:rsidR="00744AEF" w:rsidRDefault="00744AEF" w:rsidP="00816467">
      <w:pPr>
        <w:pStyle w:val="ListParagraph"/>
        <w:numPr>
          <w:ilvl w:val="0"/>
          <w:numId w:val="23"/>
        </w:numPr>
      </w:pPr>
      <w:r>
        <w:t>the proportion of patients in sustained remission defined as remission at week 26 without</w:t>
      </w:r>
      <w:r w:rsidRPr="00F87C9E">
        <w:rPr>
          <w:spacing w:val="1"/>
        </w:rPr>
        <w:t xml:space="preserve"> </w:t>
      </w:r>
      <w:r>
        <w:t>relapse to week 52</w:t>
      </w:r>
      <w:r w:rsidR="00161442">
        <w:t>,</w:t>
      </w:r>
      <w:r>
        <w:t xml:space="preserve"> and BVAS of 0 and not taking glucocorticoids for treatment of ANCA-</w:t>
      </w:r>
      <w:r w:rsidRPr="00F87C9E">
        <w:rPr>
          <w:spacing w:val="-52"/>
        </w:rPr>
        <w:t xml:space="preserve"> </w:t>
      </w:r>
      <w:r>
        <w:t>associated</w:t>
      </w:r>
      <w:r w:rsidRPr="00F87C9E">
        <w:rPr>
          <w:spacing w:val="-1"/>
        </w:rPr>
        <w:t xml:space="preserve"> </w:t>
      </w:r>
      <w:r>
        <w:t>vasculitis within</w:t>
      </w:r>
      <w:r w:rsidRPr="00F87C9E">
        <w:rPr>
          <w:spacing w:val="-3"/>
        </w:rPr>
        <w:t xml:space="preserve"> </w:t>
      </w:r>
      <w:r>
        <w:t>4 weeks prior</w:t>
      </w:r>
      <w:r w:rsidRPr="00F87C9E">
        <w:rPr>
          <w:spacing w:val="-2"/>
        </w:rPr>
        <w:t xml:space="preserve"> </w:t>
      </w:r>
      <w:r>
        <w:t>to week</w:t>
      </w:r>
      <w:r w:rsidRPr="00F87C9E">
        <w:rPr>
          <w:spacing w:val="-4"/>
        </w:rPr>
        <w:t xml:space="preserve"> </w:t>
      </w:r>
      <w:r>
        <w:t>52.</w:t>
      </w:r>
    </w:p>
    <w:p w14:paraId="33441916" w14:textId="169C600A" w:rsidR="00744AEF" w:rsidRDefault="00744AEF" w:rsidP="00744AEF">
      <w:r>
        <w:t xml:space="preserve">The two primary endpoints were tested sequentially for non-inferiority and superiority using </w:t>
      </w:r>
      <w:proofErr w:type="gramStart"/>
      <w:r>
        <w:t>a</w:t>
      </w:r>
      <w:r w:rsidR="009A0E42">
        <w:t xml:space="preserve"> </w:t>
      </w:r>
      <w:r>
        <w:rPr>
          <w:spacing w:val="-52"/>
        </w:rPr>
        <w:t xml:space="preserve"> </w:t>
      </w:r>
      <w:bookmarkStart w:id="22" w:name="OLE_LINK18"/>
      <w:r>
        <w:t>gatekeepin</w:t>
      </w:r>
      <w:bookmarkEnd w:id="22"/>
      <w:r>
        <w:t>g</w:t>
      </w:r>
      <w:proofErr w:type="gramEnd"/>
      <w:r>
        <w:rPr>
          <w:spacing w:val="-4"/>
        </w:rPr>
        <w:t xml:space="preserve"> </w:t>
      </w:r>
      <w:r>
        <w:t>procedure to preserve the</w:t>
      </w:r>
      <w:r>
        <w:rPr>
          <w:spacing w:val="-5"/>
        </w:rPr>
        <w:t xml:space="preserve"> </w:t>
      </w:r>
      <w:r>
        <w:t>Type</w:t>
      </w:r>
      <w:r>
        <w:rPr>
          <w:spacing w:val="-1"/>
        </w:rPr>
        <w:t xml:space="preserve"> </w:t>
      </w:r>
      <w:r>
        <w:t>I</w:t>
      </w:r>
      <w:r>
        <w:rPr>
          <w:spacing w:val="-4"/>
        </w:rPr>
        <w:t xml:space="preserve"> </w:t>
      </w:r>
      <w:r>
        <w:t>error</w:t>
      </w:r>
      <w:r>
        <w:rPr>
          <w:spacing w:val="1"/>
        </w:rPr>
        <w:t xml:space="preserve"> </w:t>
      </w:r>
      <w:r>
        <w:t>rate at</w:t>
      </w:r>
      <w:r>
        <w:rPr>
          <w:spacing w:val="1"/>
        </w:rPr>
        <w:t xml:space="preserve"> </w:t>
      </w:r>
      <w:r>
        <w:t>0.05.</w:t>
      </w:r>
    </w:p>
    <w:p w14:paraId="5D2579D8" w14:textId="77777777" w:rsidR="00347059" w:rsidRPr="00C8259F" w:rsidRDefault="00347059" w:rsidP="00347059">
      <w:bookmarkStart w:id="23" w:name="OLE_LINK19"/>
      <w:r w:rsidRPr="00C8259F">
        <w:t>The prespecified non-inferiority margin for the treatment difference was −20 percentage points.</w:t>
      </w:r>
    </w:p>
    <w:bookmarkEnd w:id="23"/>
    <w:p w14:paraId="081D0A6C" w14:textId="157BDB14" w:rsidR="00347059" w:rsidRDefault="00347059" w:rsidP="00347059">
      <w:pPr>
        <w:rPr>
          <w:sz w:val="22"/>
        </w:rPr>
      </w:pPr>
      <w:r w:rsidRPr="00C8259F">
        <w:t xml:space="preserve">Results from this study showed that </w:t>
      </w:r>
      <w:proofErr w:type="spellStart"/>
      <w:r w:rsidRPr="00C8259F">
        <w:t>avacopan</w:t>
      </w:r>
      <w:proofErr w:type="spellEnd"/>
      <w:r w:rsidRPr="00C8259F">
        <w:t xml:space="preserve"> was non-inferior to prednisone in achieving remission at week 26 and superior to the prednisone group in sustaining remission at week </w:t>
      </w:r>
      <w:r>
        <w:t>52</w:t>
      </w:r>
    </w:p>
    <w:p w14:paraId="777C05C8" w14:textId="3BC16108" w:rsidR="00347059" w:rsidRDefault="007A047A" w:rsidP="004E2D7E">
      <w:pPr>
        <w:keepNext/>
        <w:rPr>
          <w:b/>
          <w:bCs/>
          <w:sz w:val="20"/>
          <w:szCs w:val="20"/>
        </w:rPr>
      </w:pPr>
      <w:bookmarkStart w:id="24" w:name="_Ref88558585"/>
      <w:r w:rsidRPr="002A7954">
        <w:rPr>
          <w:b/>
          <w:bCs/>
        </w:rPr>
        <w:t xml:space="preserve">Table </w:t>
      </w:r>
      <w:r w:rsidRPr="002A7954">
        <w:rPr>
          <w:b/>
          <w:bCs/>
        </w:rPr>
        <w:fldChar w:fldCharType="begin"/>
      </w:r>
      <w:r w:rsidRPr="002A7954">
        <w:rPr>
          <w:b/>
          <w:bCs/>
        </w:rPr>
        <w:instrText xml:space="preserve"> SEQ Table \* ARABIC </w:instrText>
      </w:r>
      <w:r w:rsidRPr="002A7954">
        <w:rPr>
          <w:b/>
          <w:bCs/>
        </w:rPr>
        <w:fldChar w:fldCharType="separate"/>
      </w:r>
      <w:r w:rsidR="00D607BF">
        <w:rPr>
          <w:b/>
          <w:bCs/>
          <w:noProof/>
        </w:rPr>
        <w:t>5</w:t>
      </w:r>
      <w:r w:rsidRPr="002A7954">
        <w:rPr>
          <w:b/>
          <w:bCs/>
        </w:rPr>
        <w:fldChar w:fldCharType="end"/>
      </w:r>
      <w:bookmarkEnd w:id="24"/>
      <w:r w:rsidR="00744AEF" w:rsidRPr="00744AEF">
        <w:rPr>
          <w:b/>
          <w:bCs/>
        </w:rPr>
        <w:t>:</w:t>
      </w:r>
      <w:r w:rsidR="00744AEF">
        <w:rPr>
          <w:b/>
          <w:bCs/>
        </w:rPr>
        <w:t xml:space="preserve">  </w:t>
      </w:r>
      <w:r w:rsidR="00744AEF" w:rsidRPr="00744AEF">
        <w:rPr>
          <w:b/>
          <w:bCs/>
        </w:rPr>
        <w:t>Remission at week 26 and sustained remission at week 52 in the pivotal phase 3 ADVOCATE study (Intent-to-Treat Population)</w:t>
      </w:r>
      <w:r w:rsidR="00744AEF">
        <w:rPr>
          <w:b/>
          <w:bCs/>
        </w:rPr>
        <w:br/>
      </w:r>
    </w:p>
    <w:tbl>
      <w:tblPr>
        <w:tblStyle w:val="Standard"/>
        <w:tblW w:w="0" w:type="auto"/>
        <w:tblLook w:val="04A0" w:firstRow="1" w:lastRow="0" w:firstColumn="1" w:lastColumn="0" w:noHBand="0" w:noVBand="1"/>
      </w:tblPr>
      <w:tblGrid>
        <w:gridCol w:w="1839"/>
        <w:gridCol w:w="1454"/>
        <w:gridCol w:w="1491"/>
        <w:gridCol w:w="1474"/>
        <w:gridCol w:w="1364"/>
        <w:gridCol w:w="1394"/>
      </w:tblGrid>
      <w:tr w:rsidR="00347059" w:rsidRPr="000F3881" w14:paraId="00476D0D" w14:textId="77777777" w:rsidTr="00347059">
        <w:trPr>
          <w:tblHeader/>
        </w:trPr>
        <w:tc>
          <w:tcPr>
            <w:tcW w:w="1915" w:type="dxa"/>
            <w:vAlign w:val="bottom"/>
          </w:tcPr>
          <w:p w14:paraId="5D7D94BC" w14:textId="77777777" w:rsidR="00347059" w:rsidRPr="000F3881" w:rsidRDefault="00347059" w:rsidP="00347059">
            <w:pPr>
              <w:pStyle w:val="NormalKeep"/>
              <w:rPr>
                <w:sz w:val="20"/>
                <w:szCs w:val="20"/>
                <w:lang w:val="en-US"/>
              </w:rPr>
            </w:pPr>
          </w:p>
        </w:tc>
        <w:tc>
          <w:tcPr>
            <w:tcW w:w="1559" w:type="dxa"/>
            <w:vAlign w:val="bottom"/>
          </w:tcPr>
          <w:p w14:paraId="35BFD2FA"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Avacopan</w:t>
            </w:r>
          </w:p>
          <w:p w14:paraId="1B0DA321"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N=166</w:t>
            </w:r>
          </w:p>
          <w:p w14:paraId="7537E873"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n (%)</w:t>
            </w:r>
          </w:p>
        </w:tc>
        <w:tc>
          <w:tcPr>
            <w:tcW w:w="1560" w:type="dxa"/>
            <w:vAlign w:val="bottom"/>
          </w:tcPr>
          <w:p w14:paraId="7CDD7E35"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Prednisone</w:t>
            </w:r>
          </w:p>
          <w:p w14:paraId="583FAFF6"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N=164</w:t>
            </w:r>
          </w:p>
          <w:p w14:paraId="1E4E6230"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n (%)</w:t>
            </w:r>
          </w:p>
        </w:tc>
        <w:tc>
          <w:tcPr>
            <w:tcW w:w="1559" w:type="dxa"/>
            <w:vAlign w:val="bottom"/>
          </w:tcPr>
          <w:p w14:paraId="40197B8B"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Estimate of Treatment Difference in %</w:t>
            </w:r>
            <w:r w:rsidRPr="000F3881">
              <w:rPr>
                <w:sz w:val="20"/>
                <w:szCs w:val="20"/>
              </w:rPr>
              <w:t>a</w:t>
            </w:r>
          </w:p>
        </w:tc>
        <w:tc>
          <w:tcPr>
            <w:tcW w:w="1404" w:type="dxa"/>
            <w:vAlign w:val="bottom"/>
          </w:tcPr>
          <w:p w14:paraId="2CA54E80"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Non-inferiority p</w:t>
            </w:r>
            <w:r w:rsidRPr="000F3881">
              <w:rPr>
                <w:b/>
                <w:sz w:val="20"/>
                <w:szCs w:val="20"/>
              </w:rPr>
              <w:noBreakHyphen/>
              <w:t>value</w:t>
            </w:r>
          </w:p>
        </w:tc>
        <w:tc>
          <w:tcPr>
            <w:tcW w:w="1220" w:type="dxa"/>
            <w:vAlign w:val="bottom"/>
          </w:tcPr>
          <w:p w14:paraId="5CC15785" w14:textId="77777777" w:rsidR="00347059" w:rsidRPr="000F3881" w:rsidRDefault="00347059" w:rsidP="00347059">
            <w:pPr>
              <w:pStyle w:val="TableParagraph"/>
              <w:spacing w:before="0"/>
              <w:ind w:left="138" w:right="134"/>
              <w:jc w:val="center"/>
              <w:rPr>
                <w:sz w:val="20"/>
                <w:szCs w:val="20"/>
                <w:lang w:eastAsia="en-US"/>
              </w:rPr>
            </w:pPr>
            <w:r w:rsidRPr="000F3881">
              <w:rPr>
                <w:b/>
                <w:sz w:val="20"/>
                <w:szCs w:val="20"/>
              </w:rPr>
              <w:t>Superiority p</w:t>
            </w:r>
            <w:r w:rsidRPr="000F3881">
              <w:rPr>
                <w:b/>
                <w:sz w:val="20"/>
                <w:szCs w:val="20"/>
              </w:rPr>
              <w:noBreakHyphen/>
              <w:t>value</w:t>
            </w:r>
          </w:p>
        </w:tc>
      </w:tr>
      <w:tr w:rsidR="00347059" w:rsidRPr="000F3881" w14:paraId="101B5863" w14:textId="77777777" w:rsidTr="00347059">
        <w:tc>
          <w:tcPr>
            <w:tcW w:w="1915" w:type="dxa"/>
            <w:vAlign w:val="center"/>
          </w:tcPr>
          <w:p w14:paraId="4F2F3622" w14:textId="77777777" w:rsidR="00347059" w:rsidRPr="000F3881" w:rsidRDefault="00347059" w:rsidP="00347059">
            <w:pPr>
              <w:pStyle w:val="TableParagraph"/>
              <w:spacing w:before="0" w:line="250" w:lineRule="atLeast"/>
              <w:ind w:left="71" w:right="610"/>
              <w:rPr>
                <w:sz w:val="20"/>
                <w:szCs w:val="20"/>
              </w:rPr>
            </w:pPr>
            <w:r w:rsidRPr="000F3881">
              <w:rPr>
                <w:b/>
                <w:sz w:val="20"/>
                <w:szCs w:val="20"/>
                <w:lang w:eastAsia="en-US"/>
              </w:rPr>
              <w:t>Remission at Week 26</w:t>
            </w:r>
          </w:p>
        </w:tc>
        <w:tc>
          <w:tcPr>
            <w:tcW w:w="1559" w:type="dxa"/>
            <w:vAlign w:val="center"/>
          </w:tcPr>
          <w:p w14:paraId="613C88D9" w14:textId="77777777" w:rsidR="00347059" w:rsidRPr="000F3881" w:rsidRDefault="00347059" w:rsidP="00347059">
            <w:pPr>
              <w:pStyle w:val="NormalCentred"/>
              <w:rPr>
                <w:sz w:val="20"/>
                <w:szCs w:val="20"/>
              </w:rPr>
            </w:pPr>
            <w:r w:rsidRPr="000F3881">
              <w:rPr>
                <w:sz w:val="20"/>
                <w:szCs w:val="20"/>
              </w:rPr>
              <w:t>120 (72.3)</w:t>
            </w:r>
          </w:p>
        </w:tc>
        <w:tc>
          <w:tcPr>
            <w:tcW w:w="1560" w:type="dxa"/>
            <w:vAlign w:val="center"/>
          </w:tcPr>
          <w:p w14:paraId="6A5AD488" w14:textId="77777777" w:rsidR="00347059" w:rsidRPr="000F3881" w:rsidRDefault="00347059" w:rsidP="00347059">
            <w:pPr>
              <w:pStyle w:val="NormalCentred"/>
              <w:rPr>
                <w:sz w:val="20"/>
                <w:szCs w:val="20"/>
              </w:rPr>
            </w:pPr>
            <w:r w:rsidRPr="000F3881">
              <w:rPr>
                <w:sz w:val="20"/>
                <w:szCs w:val="20"/>
              </w:rPr>
              <w:t>115 (70.1)</w:t>
            </w:r>
          </w:p>
        </w:tc>
        <w:tc>
          <w:tcPr>
            <w:tcW w:w="1559" w:type="dxa"/>
            <w:vAlign w:val="center"/>
          </w:tcPr>
          <w:p w14:paraId="39984E3B" w14:textId="77777777" w:rsidR="00347059" w:rsidRPr="000F3881" w:rsidRDefault="00347059" w:rsidP="00347059">
            <w:pPr>
              <w:pStyle w:val="NormalCentred"/>
              <w:rPr>
                <w:sz w:val="20"/>
                <w:szCs w:val="20"/>
              </w:rPr>
            </w:pPr>
            <w:r w:rsidRPr="000F3881">
              <w:rPr>
                <w:sz w:val="20"/>
                <w:szCs w:val="20"/>
              </w:rPr>
              <w:t>3.4</w:t>
            </w:r>
          </w:p>
        </w:tc>
        <w:tc>
          <w:tcPr>
            <w:tcW w:w="1404" w:type="dxa"/>
            <w:vAlign w:val="center"/>
          </w:tcPr>
          <w:p w14:paraId="22FE0BB2" w14:textId="77777777" w:rsidR="00347059" w:rsidRPr="000F3881" w:rsidRDefault="00347059" w:rsidP="00347059">
            <w:pPr>
              <w:pStyle w:val="NormalCentred"/>
              <w:rPr>
                <w:sz w:val="20"/>
                <w:szCs w:val="20"/>
              </w:rPr>
            </w:pPr>
            <w:r w:rsidRPr="000F3881">
              <w:rPr>
                <w:sz w:val="20"/>
                <w:szCs w:val="20"/>
              </w:rPr>
              <w:t>&lt;0.0001</w:t>
            </w:r>
          </w:p>
        </w:tc>
        <w:tc>
          <w:tcPr>
            <w:tcW w:w="1220" w:type="dxa"/>
            <w:vAlign w:val="center"/>
          </w:tcPr>
          <w:p w14:paraId="0713727A" w14:textId="77777777" w:rsidR="00347059" w:rsidRPr="000F3881" w:rsidRDefault="00347059" w:rsidP="00347059">
            <w:pPr>
              <w:pStyle w:val="NormalCentred"/>
              <w:rPr>
                <w:sz w:val="20"/>
                <w:szCs w:val="20"/>
              </w:rPr>
            </w:pPr>
            <w:r w:rsidRPr="000F3881">
              <w:rPr>
                <w:sz w:val="20"/>
                <w:szCs w:val="20"/>
              </w:rPr>
              <w:t>0.2387</w:t>
            </w:r>
          </w:p>
        </w:tc>
      </w:tr>
      <w:tr w:rsidR="00347059" w:rsidRPr="000F3881" w14:paraId="36A391E8" w14:textId="77777777" w:rsidTr="00347059">
        <w:tc>
          <w:tcPr>
            <w:tcW w:w="1915" w:type="dxa"/>
            <w:vAlign w:val="center"/>
          </w:tcPr>
          <w:p w14:paraId="041A8BEF" w14:textId="77777777" w:rsidR="00347059" w:rsidRPr="000F3881" w:rsidRDefault="00347059" w:rsidP="00347059">
            <w:pPr>
              <w:pStyle w:val="NormalIndent"/>
              <w:keepNext/>
              <w:rPr>
                <w:sz w:val="20"/>
                <w:szCs w:val="20"/>
              </w:rPr>
            </w:pPr>
            <w:r w:rsidRPr="000F3881">
              <w:rPr>
                <w:sz w:val="20"/>
                <w:szCs w:val="20"/>
              </w:rPr>
              <w:lastRenderedPageBreak/>
              <w:t>95% CI</w:t>
            </w:r>
          </w:p>
        </w:tc>
        <w:tc>
          <w:tcPr>
            <w:tcW w:w="1559" w:type="dxa"/>
            <w:vAlign w:val="center"/>
          </w:tcPr>
          <w:p w14:paraId="09770B9F" w14:textId="77777777" w:rsidR="00347059" w:rsidRPr="000F3881" w:rsidRDefault="00347059" w:rsidP="00347059">
            <w:pPr>
              <w:pStyle w:val="NormalCentred"/>
              <w:rPr>
                <w:sz w:val="20"/>
                <w:szCs w:val="20"/>
              </w:rPr>
            </w:pPr>
            <w:r w:rsidRPr="000F3881">
              <w:rPr>
                <w:sz w:val="20"/>
                <w:szCs w:val="20"/>
              </w:rPr>
              <w:t>64.8, 78.9</w:t>
            </w:r>
          </w:p>
        </w:tc>
        <w:tc>
          <w:tcPr>
            <w:tcW w:w="1560" w:type="dxa"/>
            <w:vAlign w:val="center"/>
          </w:tcPr>
          <w:p w14:paraId="3705844A" w14:textId="77777777" w:rsidR="00347059" w:rsidRPr="000F3881" w:rsidRDefault="00347059" w:rsidP="00347059">
            <w:pPr>
              <w:pStyle w:val="NormalCentred"/>
              <w:rPr>
                <w:sz w:val="20"/>
                <w:szCs w:val="20"/>
              </w:rPr>
            </w:pPr>
            <w:r w:rsidRPr="000F3881">
              <w:rPr>
                <w:sz w:val="20"/>
                <w:szCs w:val="20"/>
              </w:rPr>
              <w:t>62.5, 77.0</w:t>
            </w:r>
          </w:p>
        </w:tc>
        <w:tc>
          <w:tcPr>
            <w:tcW w:w="1559" w:type="dxa"/>
            <w:vAlign w:val="center"/>
          </w:tcPr>
          <w:p w14:paraId="69B0E731" w14:textId="77777777" w:rsidR="00347059" w:rsidRPr="000F3881" w:rsidRDefault="00347059" w:rsidP="00347059">
            <w:pPr>
              <w:pStyle w:val="NormalCentred"/>
              <w:rPr>
                <w:sz w:val="20"/>
                <w:szCs w:val="20"/>
              </w:rPr>
            </w:pPr>
            <w:r w:rsidRPr="000F3881">
              <w:rPr>
                <w:sz w:val="20"/>
                <w:szCs w:val="20"/>
              </w:rPr>
              <w:t>−6.0, 12.8</w:t>
            </w:r>
          </w:p>
        </w:tc>
        <w:tc>
          <w:tcPr>
            <w:tcW w:w="1404" w:type="dxa"/>
            <w:vAlign w:val="center"/>
          </w:tcPr>
          <w:p w14:paraId="42A23A9C" w14:textId="77777777" w:rsidR="00347059" w:rsidRPr="000F3881" w:rsidRDefault="00347059" w:rsidP="00347059">
            <w:pPr>
              <w:pStyle w:val="NormalCentred"/>
              <w:rPr>
                <w:sz w:val="20"/>
                <w:szCs w:val="20"/>
              </w:rPr>
            </w:pPr>
          </w:p>
        </w:tc>
        <w:tc>
          <w:tcPr>
            <w:tcW w:w="1220" w:type="dxa"/>
            <w:vAlign w:val="center"/>
          </w:tcPr>
          <w:p w14:paraId="64AF5D85" w14:textId="77777777" w:rsidR="00347059" w:rsidRPr="000F3881" w:rsidRDefault="00347059" w:rsidP="00347059">
            <w:pPr>
              <w:pStyle w:val="NormalCentred"/>
              <w:rPr>
                <w:sz w:val="20"/>
                <w:szCs w:val="20"/>
              </w:rPr>
            </w:pPr>
          </w:p>
        </w:tc>
      </w:tr>
      <w:tr w:rsidR="00347059" w:rsidRPr="000F3881" w14:paraId="39C32EEB" w14:textId="77777777" w:rsidTr="00347059">
        <w:tc>
          <w:tcPr>
            <w:tcW w:w="1915" w:type="dxa"/>
            <w:vAlign w:val="center"/>
          </w:tcPr>
          <w:p w14:paraId="3C213BE9" w14:textId="77777777" w:rsidR="00347059" w:rsidRPr="000F3881" w:rsidRDefault="00347059" w:rsidP="00347059">
            <w:pPr>
              <w:pStyle w:val="TableParagraph"/>
              <w:spacing w:before="0" w:line="250" w:lineRule="atLeast"/>
              <w:ind w:left="71" w:right="610"/>
              <w:rPr>
                <w:sz w:val="20"/>
                <w:szCs w:val="20"/>
              </w:rPr>
            </w:pPr>
            <w:r w:rsidRPr="000F3881">
              <w:rPr>
                <w:b/>
                <w:sz w:val="20"/>
                <w:szCs w:val="20"/>
                <w:lang w:eastAsia="en-US"/>
              </w:rPr>
              <w:t>Sustained Remission at Week 52</w:t>
            </w:r>
          </w:p>
        </w:tc>
        <w:tc>
          <w:tcPr>
            <w:tcW w:w="1559" w:type="dxa"/>
            <w:vAlign w:val="center"/>
          </w:tcPr>
          <w:p w14:paraId="6204302F" w14:textId="77777777" w:rsidR="00347059" w:rsidRPr="000F3881" w:rsidRDefault="00347059" w:rsidP="00347059">
            <w:pPr>
              <w:pStyle w:val="NormalCentred"/>
              <w:rPr>
                <w:sz w:val="20"/>
                <w:szCs w:val="20"/>
              </w:rPr>
            </w:pPr>
            <w:r w:rsidRPr="000F3881">
              <w:rPr>
                <w:sz w:val="20"/>
                <w:szCs w:val="20"/>
              </w:rPr>
              <w:t>109 (65.7)</w:t>
            </w:r>
          </w:p>
        </w:tc>
        <w:tc>
          <w:tcPr>
            <w:tcW w:w="1560" w:type="dxa"/>
            <w:vAlign w:val="center"/>
          </w:tcPr>
          <w:p w14:paraId="55B97368" w14:textId="77777777" w:rsidR="00347059" w:rsidRPr="000F3881" w:rsidRDefault="00347059" w:rsidP="00347059">
            <w:pPr>
              <w:pStyle w:val="NormalCentred"/>
              <w:rPr>
                <w:sz w:val="20"/>
                <w:szCs w:val="20"/>
              </w:rPr>
            </w:pPr>
            <w:r w:rsidRPr="000F3881">
              <w:rPr>
                <w:sz w:val="20"/>
                <w:szCs w:val="20"/>
              </w:rPr>
              <w:t>90 (54.9)</w:t>
            </w:r>
          </w:p>
        </w:tc>
        <w:tc>
          <w:tcPr>
            <w:tcW w:w="1559" w:type="dxa"/>
            <w:vAlign w:val="center"/>
          </w:tcPr>
          <w:p w14:paraId="468D520B" w14:textId="77777777" w:rsidR="00347059" w:rsidRPr="000F3881" w:rsidRDefault="00347059" w:rsidP="00347059">
            <w:pPr>
              <w:pStyle w:val="NormalCentred"/>
              <w:rPr>
                <w:sz w:val="20"/>
                <w:szCs w:val="20"/>
              </w:rPr>
            </w:pPr>
            <w:r w:rsidRPr="000F3881">
              <w:rPr>
                <w:sz w:val="20"/>
                <w:szCs w:val="20"/>
              </w:rPr>
              <w:t>12.5</w:t>
            </w:r>
          </w:p>
        </w:tc>
        <w:tc>
          <w:tcPr>
            <w:tcW w:w="1404" w:type="dxa"/>
            <w:vAlign w:val="center"/>
          </w:tcPr>
          <w:p w14:paraId="3691541A" w14:textId="77777777" w:rsidR="00347059" w:rsidRPr="000F3881" w:rsidRDefault="00347059" w:rsidP="00347059">
            <w:pPr>
              <w:pStyle w:val="NormalCentred"/>
              <w:rPr>
                <w:sz w:val="20"/>
                <w:szCs w:val="20"/>
              </w:rPr>
            </w:pPr>
            <w:r w:rsidRPr="000F3881">
              <w:rPr>
                <w:sz w:val="20"/>
                <w:szCs w:val="20"/>
              </w:rPr>
              <w:t>&lt;0.0001</w:t>
            </w:r>
          </w:p>
        </w:tc>
        <w:tc>
          <w:tcPr>
            <w:tcW w:w="1220" w:type="dxa"/>
            <w:vAlign w:val="center"/>
          </w:tcPr>
          <w:p w14:paraId="005436B3" w14:textId="77777777" w:rsidR="00347059" w:rsidRPr="000F3881" w:rsidRDefault="00347059" w:rsidP="00347059">
            <w:pPr>
              <w:pStyle w:val="NormalCentred"/>
              <w:rPr>
                <w:sz w:val="20"/>
                <w:szCs w:val="20"/>
              </w:rPr>
            </w:pPr>
            <w:r w:rsidRPr="000F3881">
              <w:rPr>
                <w:sz w:val="20"/>
                <w:szCs w:val="20"/>
              </w:rPr>
              <w:t>0.0066</w:t>
            </w:r>
          </w:p>
        </w:tc>
      </w:tr>
      <w:tr w:rsidR="00347059" w:rsidRPr="000F3881" w14:paraId="46EB246A" w14:textId="77777777" w:rsidTr="00347059">
        <w:tc>
          <w:tcPr>
            <w:tcW w:w="1915" w:type="dxa"/>
            <w:vAlign w:val="center"/>
          </w:tcPr>
          <w:p w14:paraId="0FEBC890" w14:textId="77777777" w:rsidR="00347059" w:rsidRPr="000F3881" w:rsidRDefault="00347059" w:rsidP="00347059">
            <w:pPr>
              <w:pStyle w:val="NormalIndent"/>
              <w:keepNext/>
              <w:rPr>
                <w:sz w:val="20"/>
                <w:szCs w:val="20"/>
              </w:rPr>
            </w:pPr>
            <w:r w:rsidRPr="000F3881">
              <w:rPr>
                <w:sz w:val="20"/>
                <w:szCs w:val="20"/>
              </w:rPr>
              <w:t>95% CI</w:t>
            </w:r>
          </w:p>
        </w:tc>
        <w:tc>
          <w:tcPr>
            <w:tcW w:w="1559" w:type="dxa"/>
            <w:vAlign w:val="center"/>
          </w:tcPr>
          <w:p w14:paraId="637A0058" w14:textId="77777777" w:rsidR="00347059" w:rsidRPr="000F3881" w:rsidRDefault="00347059" w:rsidP="00347059">
            <w:pPr>
              <w:pStyle w:val="NormalCentred"/>
              <w:rPr>
                <w:sz w:val="20"/>
                <w:szCs w:val="20"/>
              </w:rPr>
            </w:pPr>
            <w:r w:rsidRPr="000F3881">
              <w:rPr>
                <w:sz w:val="20"/>
                <w:szCs w:val="20"/>
              </w:rPr>
              <w:t>57.9, 72.8</w:t>
            </w:r>
          </w:p>
        </w:tc>
        <w:tc>
          <w:tcPr>
            <w:tcW w:w="1560" w:type="dxa"/>
            <w:vAlign w:val="center"/>
          </w:tcPr>
          <w:p w14:paraId="5A6C2D79" w14:textId="77777777" w:rsidR="00347059" w:rsidRPr="000F3881" w:rsidRDefault="00347059" w:rsidP="00347059">
            <w:pPr>
              <w:pStyle w:val="NormalCentred"/>
              <w:rPr>
                <w:sz w:val="20"/>
                <w:szCs w:val="20"/>
              </w:rPr>
            </w:pPr>
            <w:r w:rsidRPr="000F3881">
              <w:rPr>
                <w:sz w:val="20"/>
                <w:szCs w:val="20"/>
              </w:rPr>
              <w:t>46.9, 62.6</w:t>
            </w:r>
          </w:p>
        </w:tc>
        <w:tc>
          <w:tcPr>
            <w:tcW w:w="1559" w:type="dxa"/>
            <w:vAlign w:val="center"/>
          </w:tcPr>
          <w:p w14:paraId="03195E51" w14:textId="77777777" w:rsidR="00347059" w:rsidRPr="000F3881" w:rsidRDefault="00347059" w:rsidP="00347059">
            <w:pPr>
              <w:pStyle w:val="NormalCentred"/>
              <w:rPr>
                <w:sz w:val="20"/>
                <w:szCs w:val="20"/>
              </w:rPr>
            </w:pPr>
            <w:r w:rsidRPr="000F3881">
              <w:rPr>
                <w:sz w:val="20"/>
                <w:szCs w:val="20"/>
              </w:rPr>
              <w:t>2.6, 22.3</w:t>
            </w:r>
          </w:p>
        </w:tc>
        <w:tc>
          <w:tcPr>
            <w:tcW w:w="1404" w:type="dxa"/>
            <w:vAlign w:val="center"/>
          </w:tcPr>
          <w:p w14:paraId="7F43F75A" w14:textId="77777777" w:rsidR="00347059" w:rsidRPr="000F3881" w:rsidRDefault="00347059" w:rsidP="00347059">
            <w:pPr>
              <w:pStyle w:val="NormalCentred"/>
              <w:rPr>
                <w:sz w:val="20"/>
                <w:szCs w:val="20"/>
              </w:rPr>
            </w:pPr>
          </w:p>
        </w:tc>
        <w:tc>
          <w:tcPr>
            <w:tcW w:w="1220" w:type="dxa"/>
            <w:vAlign w:val="center"/>
          </w:tcPr>
          <w:p w14:paraId="6D754529" w14:textId="77777777" w:rsidR="00347059" w:rsidRPr="000F3881" w:rsidRDefault="00347059" w:rsidP="00347059">
            <w:pPr>
              <w:pStyle w:val="NormalCentred"/>
              <w:rPr>
                <w:sz w:val="20"/>
                <w:szCs w:val="20"/>
              </w:rPr>
            </w:pPr>
          </w:p>
        </w:tc>
      </w:tr>
    </w:tbl>
    <w:p w14:paraId="28E97992" w14:textId="77777777" w:rsidR="00F555A4" w:rsidRDefault="00744AEF" w:rsidP="00F555A4">
      <w:pPr>
        <w:rPr>
          <w:sz w:val="20"/>
          <w:szCs w:val="20"/>
        </w:rPr>
      </w:pPr>
      <w:r w:rsidRPr="00744AEF">
        <w:rPr>
          <w:sz w:val="20"/>
          <w:szCs w:val="20"/>
        </w:rPr>
        <w:t>CI = confidence interval</w:t>
      </w:r>
      <w:r>
        <w:rPr>
          <w:sz w:val="20"/>
          <w:szCs w:val="20"/>
        </w:rPr>
        <w:br/>
      </w:r>
      <w:r w:rsidRPr="00744AEF">
        <w:rPr>
          <w:sz w:val="20"/>
          <w:szCs w:val="20"/>
          <w:vertAlign w:val="superscript"/>
        </w:rPr>
        <w:t>a</w:t>
      </w:r>
      <w:r>
        <w:rPr>
          <w:sz w:val="20"/>
          <w:szCs w:val="20"/>
        </w:rPr>
        <w:t xml:space="preserve"> </w:t>
      </w:r>
      <w:r w:rsidRPr="00744AEF">
        <w:rPr>
          <w:sz w:val="20"/>
          <w:szCs w:val="20"/>
        </w:rPr>
        <w:t xml:space="preserve">Two-sided 95% CIs are calculated by adjusting for </w:t>
      </w:r>
      <w:proofErr w:type="spellStart"/>
      <w:r w:rsidRPr="00744AEF">
        <w:rPr>
          <w:sz w:val="20"/>
          <w:szCs w:val="20"/>
        </w:rPr>
        <w:t>randomisation</w:t>
      </w:r>
      <w:proofErr w:type="spellEnd"/>
      <w:r w:rsidRPr="00744AEF">
        <w:rPr>
          <w:sz w:val="20"/>
          <w:szCs w:val="20"/>
        </w:rPr>
        <w:t xml:space="preserve"> stratification factors. </w:t>
      </w:r>
      <w:r w:rsidR="00F555A4" w:rsidRPr="004E5A61">
        <w:rPr>
          <w:sz w:val="20"/>
          <w:szCs w:val="20"/>
        </w:rPr>
        <w:t>Non-inferiority and superiority p values are one-sided.</w:t>
      </w:r>
    </w:p>
    <w:p w14:paraId="3E340574" w14:textId="284EA809" w:rsidR="00A946F0" w:rsidRPr="00A946F0" w:rsidRDefault="00A946F0" w:rsidP="00A946F0">
      <w:pPr>
        <w:keepNext/>
        <w:keepLines/>
        <w:suppressAutoHyphens/>
        <w:spacing w:before="0"/>
        <w:rPr>
          <w:rFonts w:eastAsia="SimSun"/>
          <w:i/>
          <w:iCs/>
          <w:color w:val="auto"/>
          <w:sz w:val="22"/>
          <w:szCs w:val="22"/>
          <w:lang w:val="en-GB" w:eastAsia="zh-CN"/>
        </w:rPr>
      </w:pPr>
      <w:r>
        <w:rPr>
          <w:rFonts w:eastAsia="SimSun"/>
          <w:i/>
          <w:iCs/>
          <w:color w:val="auto"/>
          <w:sz w:val="22"/>
          <w:szCs w:val="22"/>
          <w:lang w:val="en-GB" w:eastAsia="zh-CN"/>
        </w:rPr>
        <w:t>Secondary endpoints</w:t>
      </w:r>
    </w:p>
    <w:p w14:paraId="525029AB" w14:textId="765C7D6B" w:rsidR="00A946F0" w:rsidRDefault="00A946F0" w:rsidP="00744AEF">
      <w:r>
        <w:t xml:space="preserve">Statistical analyses of secondary and subsequent endpoints showed nominal improvements over treatment with prednisolone. </w:t>
      </w:r>
      <w:r w:rsidR="00744AEF" w:rsidRPr="00744AEF">
        <w:t xml:space="preserve">The efficacy observed was consistent across pertinent subgroups, i.e., those with </w:t>
      </w:r>
      <w:proofErr w:type="gramStart"/>
      <w:r w:rsidR="00744AEF" w:rsidRPr="00744AEF">
        <w:t>newly-diagnosed</w:t>
      </w:r>
      <w:proofErr w:type="gramEnd"/>
      <w:r w:rsidR="00744AEF" w:rsidRPr="00744AEF">
        <w:t xml:space="preserve"> and relapsed disease, PR3 and MPO ANCA, GPA and MPA, those receiving cyclophosphamide and those receiving rituximab, and men and women. </w:t>
      </w:r>
    </w:p>
    <w:p w14:paraId="039B6B56" w14:textId="77777777" w:rsidR="00F555A4" w:rsidRDefault="00F555A4" w:rsidP="00F555A4">
      <w:pPr>
        <w:pStyle w:val="HeadingEmphasis"/>
      </w:pPr>
    </w:p>
    <w:p w14:paraId="6D718450" w14:textId="700B7BDB" w:rsidR="00F555A4" w:rsidRPr="00C8259F" w:rsidRDefault="00F555A4" w:rsidP="00F555A4">
      <w:pPr>
        <w:pStyle w:val="HeadingEmphasis"/>
      </w:pPr>
      <w:r w:rsidRPr="00C8259F">
        <w:t>Disease relapse</w:t>
      </w:r>
    </w:p>
    <w:p w14:paraId="36EDE19B" w14:textId="77777777" w:rsidR="00F555A4" w:rsidRDefault="00F555A4" w:rsidP="00F555A4">
      <w:pPr>
        <w:pStyle w:val="NormalKeep"/>
      </w:pPr>
    </w:p>
    <w:p w14:paraId="5EF4CA8D" w14:textId="0B50DAEB" w:rsidR="00F555A4" w:rsidRDefault="00F555A4" w:rsidP="00F555A4">
      <w:pPr>
        <w:pStyle w:val="NormalKeep"/>
        <w:rPr>
          <w:sz w:val="24"/>
          <w:szCs w:val="24"/>
        </w:rPr>
      </w:pPr>
      <w:r w:rsidRPr="000F3881">
        <w:rPr>
          <w:sz w:val="24"/>
          <w:szCs w:val="24"/>
        </w:rPr>
        <w:t xml:space="preserve">The hazard ratio of the difference in time to relapse was estimated as 0.46, 95% CI (0.25, 0.84). Consequently, the estimated reduction in risk of relapse was 54% in the </w:t>
      </w:r>
      <w:proofErr w:type="spellStart"/>
      <w:r w:rsidRPr="000F3881">
        <w:rPr>
          <w:sz w:val="24"/>
          <w:szCs w:val="24"/>
        </w:rPr>
        <w:t>avacopan</w:t>
      </w:r>
      <w:proofErr w:type="spellEnd"/>
      <w:r w:rsidR="00D20015">
        <w:rPr>
          <w:sz w:val="24"/>
          <w:szCs w:val="24"/>
        </w:rPr>
        <w:t xml:space="preserve"> </w:t>
      </w:r>
      <w:r w:rsidRPr="004565FE">
        <w:rPr>
          <w:rFonts w:eastAsiaTheme="minorHAnsi"/>
          <w:sz w:val="24"/>
          <w:szCs w:val="24"/>
          <w:lang w:eastAsia="en-US"/>
        </w:rPr>
        <w:lastRenderedPageBreak/>
        <w:t xml:space="preserve">compared with </w:t>
      </w:r>
      <w:r w:rsidRPr="00D20015">
        <w:rPr>
          <w:sz w:val="24"/>
          <w:szCs w:val="24"/>
        </w:rPr>
        <w:t xml:space="preserve">the prednisone </w:t>
      </w:r>
      <w:r w:rsidRPr="000F3881">
        <w:rPr>
          <w:sz w:val="24"/>
          <w:szCs w:val="24"/>
        </w:rPr>
        <w:t xml:space="preserve">group. A Kaplan-Meier plot of time to relapse is shown in </w:t>
      </w:r>
      <w:r w:rsidR="0001661A" w:rsidRPr="0001661A">
        <w:rPr>
          <w:sz w:val="28"/>
          <w:szCs w:val="28"/>
        </w:rPr>
        <w:fldChar w:fldCharType="begin"/>
      </w:r>
      <w:r w:rsidR="0001661A" w:rsidRPr="004565FE">
        <w:rPr>
          <w:sz w:val="28"/>
          <w:szCs w:val="28"/>
        </w:rPr>
        <w:instrText xml:space="preserve"> REF _Ref89436909 \h </w:instrText>
      </w:r>
      <w:r w:rsidR="0001661A" w:rsidRPr="00291C24">
        <w:rPr>
          <w:sz w:val="28"/>
          <w:szCs w:val="28"/>
        </w:rPr>
        <w:instrText xml:space="preserve"> \* MERGEFORMAT </w:instrText>
      </w:r>
      <w:r w:rsidR="0001661A" w:rsidRPr="0001661A">
        <w:rPr>
          <w:sz w:val="28"/>
          <w:szCs w:val="28"/>
        </w:rPr>
      </w:r>
      <w:r w:rsidR="0001661A" w:rsidRPr="0001661A">
        <w:rPr>
          <w:sz w:val="28"/>
          <w:szCs w:val="28"/>
        </w:rPr>
        <w:fldChar w:fldCharType="separate"/>
      </w:r>
      <w:r w:rsidR="00F12523" w:rsidRPr="0037508F">
        <w:rPr>
          <w:sz w:val="24"/>
          <w:szCs w:val="24"/>
        </w:rPr>
        <w:t>Figure 2</w:t>
      </w:r>
      <w:r w:rsidR="0001661A" w:rsidRPr="0001661A">
        <w:rPr>
          <w:sz w:val="28"/>
          <w:szCs w:val="28"/>
        </w:rPr>
        <w:fldChar w:fldCharType="end"/>
      </w:r>
      <w:r w:rsidRPr="000F3881">
        <w:rPr>
          <w:sz w:val="24"/>
          <w:szCs w:val="24"/>
        </w:rPr>
        <w:t>.</w:t>
      </w:r>
    </w:p>
    <w:p w14:paraId="48D4488C" w14:textId="53736ED1" w:rsidR="00F555A4" w:rsidRPr="004565FE" w:rsidRDefault="0001661A" w:rsidP="004565FE">
      <w:pPr>
        <w:keepNext/>
        <w:keepLines/>
        <w:rPr>
          <w:b/>
          <w:bCs/>
        </w:rPr>
      </w:pPr>
      <w:bookmarkStart w:id="25" w:name="_Ref89436909"/>
      <w:r w:rsidRPr="004565FE">
        <w:rPr>
          <w:b/>
          <w:bCs/>
        </w:rPr>
        <w:t xml:space="preserve">Figure </w:t>
      </w:r>
      <w:r w:rsidRPr="004565FE">
        <w:rPr>
          <w:b/>
          <w:bCs/>
        </w:rPr>
        <w:fldChar w:fldCharType="begin"/>
      </w:r>
      <w:r w:rsidRPr="004565FE">
        <w:rPr>
          <w:b/>
          <w:bCs/>
        </w:rPr>
        <w:instrText xml:space="preserve"> SEQ Figure \* ARABIC </w:instrText>
      </w:r>
      <w:r w:rsidRPr="004565FE">
        <w:rPr>
          <w:b/>
          <w:bCs/>
        </w:rPr>
        <w:fldChar w:fldCharType="separate"/>
      </w:r>
      <w:r w:rsidR="00F12523">
        <w:rPr>
          <w:b/>
          <w:bCs/>
          <w:noProof/>
        </w:rPr>
        <w:t>2</w:t>
      </w:r>
      <w:r w:rsidRPr="004565FE">
        <w:rPr>
          <w:b/>
          <w:bCs/>
        </w:rPr>
        <w:fldChar w:fldCharType="end"/>
      </w:r>
      <w:bookmarkEnd w:id="25"/>
      <w:r>
        <w:rPr>
          <w:b/>
          <w:bCs/>
        </w:rPr>
        <w:t>:</w:t>
      </w:r>
      <w:r w:rsidR="00F555A4" w:rsidRPr="004565FE">
        <w:rPr>
          <w:b/>
          <w:bCs/>
        </w:rPr>
        <w:tab/>
        <w:t>Kaplan-Meier Plot of Time to Relapse in Phase 3 Study CL010_168</w:t>
      </w:r>
    </w:p>
    <w:p w14:paraId="50AC9EBB" w14:textId="3A4A4517" w:rsidR="00F555A4" w:rsidRPr="000F3881" w:rsidRDefault="00F555A4" w:rsidP="00F555A4">
      <w:pPr>
        <w:pStyle w:val="NormalKeep"/>
        <w:rPr>
          <w:sz w:val="24"/>
          <w:szCs w:val="24"/>
        </w:rPr>
      </w:pPr>
      <w:r w:rsidRPr="00CD1448">
        <w:rPr>
          <w:noProof/>
        </w:rPr>
        <w:drawing>
          <wp:inline distT="0" distB="0" distL="0" distR="0" wp14:anchorId="4E49667C" wp14:editId="70ED88CC">
            <wp:extent cx="5448300" cy="4086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3259" cy="4089944"/>
                    </a:xfrm>
                    <a:prstGeom prst="rect">
                      <a:avLst/>
                    </a:prstGeom>
                    <a:noFill/>
                    <a:ln>
                      <a:noFill/>
                    </a:ln>
                  </pic:spPr>
                </pic:pic>
              </a:graphicData>
            </a:graphic>
          </wp:inline>
        </w:drawing>
      </w:r>
    </w:p>
    <w:p w14:paraId="4F48A3F8" w14:textId="45E286D9" w:rsidR="00F555A4" w:rsidRDefault="00F555A4" w:rsidP="00742C5B">
      <w:pPr>
        <w:rPr>
          <w:i/>
          <w:iCs/>
        </w:rPr>
      </w:pPr>
    </w:p>
    <w:p w14:paraId="5C727FDA" w14:textId="77777777" w:rsidR="000A704F" w:rsidRPr="00C8259F" w:rsidRDefault="000A704F" w:rsidP="000A704F">
      <w:pPr>
        <w:pStyle w:val="HeadingEmphasis"/>
      </w:pPr>
      <w:bookmarkStart w:id="26" w:name="_Hlk89360111"/>
      <w:r w:rsidRPr="00C8259F">
        <w:t>Estimated glomerular filtration rate (eGFR)</w:t>
      </w:r>
    </w:p>
    <w:p w14:paraId="1D8DAC76" w14:textId="77777777" w:rsidR="000A704F" w:rsidRPr="00C8259F" w:rsidRDefault="000A704F" w:rsidP="000A704F">
      <w:r w:rsidRPr="00C8259F">
        <w:t xml:space="preserve">At week 52, the least squares mean (LSM) increase from baseline in estimated glomerular filtration rate (eGFR) was 7.3 mL/min/1.73 m² in the </w:t>
      </w:r>
      <w:proofErr w:type="spellStart"/>
      <w:r w:rsidRPr="00C8259F">
        <w:t>avacopan</w:t>
      </w:r>
      <w:proofErr w:type="spellEnd"/>
      <w:r w:rsidRPr="00C8259F">
        <w:t xml:space="preserve"> group (from a baseline of 44.6 mL/min/1.73 m²) and 4.1 mL/min/1.73 m² in the prednisone group (from a baseline of 45.6 mL/min/1.73 m²) (LSM difference 3.2, [95% CI 0.3, 6.1]).</w:t>
      </w:r>
    </w:p>
    <w:bookmarkEnd w:id="26"/>
    <w:p w14:paraId="3846F18E" w14:textId="30C74978" w:rsidR="00744AEF" w:rsidRPr="00742C5B" w:rsidRDefault="00744AEF" w:rsidP="007331E6">
      <w:pPr>
        <w:keepNext/>
        <w:rPr>
          <w:i/>
          <w:iCs/>
        </w:rPr>
      </w:pPr>
      <w:r w:rsidRPr="00742C5B">
        <w:rPr>
          <w:i/>
          <w:iCs/>
        </w:rPr>
        <w:t>Glucocorticoid toxicity</w:t>
      </w:r>
    </w:p>
    <w:p w14:paraId="63743B03" w14:textId="2DDF2412" w:rsidR="00744AEF" w:rsidRDefault="00744AEF" w:rsidP="007331E6">
      <w:pPr>
        <w:keepNext/>
      </w:pPr>
      <w:r w:rsidRPr="00744AEF">
        <w:t xml:space="preserve">In the pivotal phase 3 ADVOCATE study, the mean total cumulative prednisone-equivalent dose from day 1 to end-of-treatment was approximately 2.7-fold higher in the </w:t>
      </w:r>
      <w:r w:rsidR="00154B23">
        <w:t>comparator</w:t>
      </w:r>
      <w:r w:rsidRPr="00744AEF">
        <w:t xml:space="preserve"> group </w:t>
      </w:r>
      <w:r w:rsidR="00154B23">
        <w:t>versus</w:t>
      </w:r>
      <w:r w:rsidRPr="00744AEF">
        <w:t xml:space="preserve"> the </w:t>
      </w:r>
      <w:proofErr w:type="spellStart"/>
      <w:r w:rsidRPr="00744AEF">
        <w:t>avacopan</w:t>
      </w:r>
      <w:proofErr w:type="spellEnd"/>
      <w:r w:rsidRPr="00744AEF">
        <w:t xml:space="preserve"> group (3654.5 mg vs 1348.9 mg, respectively).</w:t>
      </w:r>
      <w:r w:rsidR="00A12245">
        <w:t xml:space="preserve"> </w:t>
      </w:r>
    </w:p>
    <w:p w14:paraId="571DBD17" w14:textId="0B8008A7" w:rsidR="00744AEF" w:rsidRPr="00744AEF" w:rsidRDefault="00744AEF" w:rsidP="00742C5B">
      <w:r w:rsidRPr="00744AEF">
        <w:t xml:space="preserve">The Glucocorticoid Toxicity Index (GTI) </w:t>
      </w:r>
      <w:r w:rsidR="00154B23">
        <w:t xml:space="preserve">assesses </w:t>
      </w:r>
      <w:r w:rsidRPr="00744AEF">
        <w:t xml:space="preserve">glucocorticoid-related morbidity </w:t>
      </w:r>
      <w:r w:rsidR="00154B23">
        <w:t xml:space="preserve">including measures </w:t>
      </w:r>
      <w:r w:rsidRPr="00744AEF">
        <w:t>of body mass index, glucose tolerance, lipids, steroid myopathy, skin toxicity, neuropsychiatric toxicity, and infection. A higher GTI indicates greater glucocorticoid toxicity.</w:t>
      </w:r>
      <w:r w:rsidR="00154B23">
        <w:t xml:space="preserve"> The GTI contains the Cumulative Worsening Score (CWS) that captures cumulative toxicity over the course of time, and the Aggregate Improvement Score (AIS) that captures both improvement and worsening of toxicity over time.</w:t>
      </w:r>
    </w:p>
    <w:p w14:paraId="2AEC11F8" w14:textId="713A38F3" w:rsidR="00744AEF" w:rsidRDefault="00902B7E" w:rsidP="00742C5B">
      <w:r>
        <w:lastRenderedPageBreak/>
        <w:t xml:space="preserve">The </w:t>
      </w:r>
      <w:r w:rsidRPr="00C8259F">
        <w:t>two GTI scores</w:t>
      </w:r>
      <w:r>
        <w:t xml:space="preserve"> (CWS and AIS) of </w:t>
      </w:r>
      <w:r w:rsidR="00744AEF" w:rsidRPr="00744AEF">
        <w:t xml:space="preserve">the </w:t>
      </w:r>
      <w:proofErr w:type="spellStart"/>
      <w:r w:rsidR="00744AEF" w:rsidRPr="00744AEF">
        <w:t>avacopan</w:t>
      </w:r>
      <w:proofErr w:type="spellEnd"/>
      <w:r w:rsidR="00744AEF" w:rsidRPr="00744AEF">
        <w:t xml:space="preserve"> group </w:t>
      </w:r>
      <w:r w:rsidR="00154B23">
        <w:t xml:space="preserve">versus </w:t>
      </w:r>
      <w:r w:rsidR="00744AEF" w:rsidRPr="00744AEF">
        <w:t xml:space="preserve">the </w:t>
      </w:r>
      <w:r w:rsidR="00154B23">
        <w:t>comparator</w:t>
      </w:r>
      <w:r w:rsidR="00744AEF" w:rsidRPr="00744AEF">
        <w:t xml:space="preserve"> group </w:t>
      </w:r>
      <w:r>
        <w:t xml:space="preserve">are summarized in </w:t>
      </w:r>
      <w:r w:rsidR="00D607BF">
        <w:fldChar w:fldCharType="begin"/>
      </w:r>
      <w:r w:rsidR="00D607BF">
        <w:instrText xml:space="preserve"> REF _Ref123628663 \h </w:instrText>
      </w:r>
      <w:r w:rsidR="00D607BF">
        <w:fldChar w:fldCharType="separate"/>
      </w:r>
      <w:r w:rsidR="00D607BF">
        <w:t xml:space="preserve">Table </w:t>
      </w:r>
      <w:r w:rsidR="00D607BF">
        <w:rPr>
          <w:noProof/>
        </w:rPr>
        <w:t>6</w:t>
      </w:r>
      <w:r w:rsidR="00D607BF">
        <w:fldChar w:fldCharType="end"/>
      </w:r>
      <w:r w:rsidR="00744AEF" w:rsidRPr="00744AEF">
        <w:t>.</w:t>
      </w:r>
      <w:r w:rsidR="00E63E61">
        <w:t xml:space="preserve"> </w:t>
      </w:r>
      <w:r w:rsidR="00E63E61" w:rsidRPr="00D11B09">
        <w:t>The GTI measures were secondary endpoints in the study and not controlled for multiplicity</w:t>
      </w:r>
      <w:r w:rsidR="00E63E61">
        <w:t>.</w:t>
      </w:r>
    </w:p>
    <w:p w14:paraId="7ADC8FCC" w14:textId="77777777" w:rsidR="00D20015" w:rsidRPr="00744AEF" w:rsidRDefault="00D20015" w:rsidP="00291C24">
      <w:pPr>
        <w:spacing w:before="0"/>
      </w:pPr>
    </w:p>
    <w:p w14:paraId="38E8EEEE" w14:textId="32815D8B" w:rsidR="00721E8C" w:rsidRPr="00D607BF" w:rsidRDefault="00D607BF" w:rsidP="00D607BF">
      <w:pPr>
        <w:keepNext/>
        <w:spacing w:before="0"/>
        <w:rPr>
          <w:i/>
          <w:iCs/>
        </w:rPr>
      </w:pPr>
      <w:bookmarkStart w:id="27" w:name="_Ref123628663"/>
      <w:bookmarkStart w:id="28" w:name="_Ref88558693"/>
      <w:r w:rsidRPr="0037508F">
        <w:rPr>
          <w:b/>
          <w:bCs/>
        </w:rPr>
        <w:t xml:space="preserve">Table </w:t>
      </w:r>
      <w:r w:rsidRPr="0037508F">
        <w:rPr>
          <w:b/>
          <w:bCs/>
        </w:rPr>
        <w:fldChar w:fldCharType="begin"/>
      </w:r>
      <w:r w:rsidRPr="0037508F">
        <w:rPr>
          <w:b/>
          <w:bCs/>
        </w:rPr>
        <w:instrText xml:space="preserve"> SEQ Table \* ARABIC </w:instrText>
      </w:r>
      <w:r w:rsidRPr="0037508F">
        <w:rPr>
          <w:b/>
          <w:bCs/>
        </w:rPr>
        <w:fldChar w:fldCharType="separate"/>
      </w:r>
      <w:r w:rsidRPr="0037508F">
        <w:rPr>
          <w:b/>
          <w:bCs/>
          <w:noProof/>
        </w:rPr>
        <w:t>6</w:t>
      </w:r>
      <w:r w:rsidRPr="0037508F">
        <w:rPr>
          <w:b/>
          <w:bCs/>
        </w:rPr>
        <w:fldChar w:fldCharType="end"/>
      </w:r>
      <w:bookmarkEnd w:id="27"/>
      <w:bookmarkEnd w:id="28"/>
      <w:r w:rsidR="001961D9" w:rsidRPr="00D607BF">
        <w:rPr>
          <w:b/>
          <w:bCs/>
        </w:rPr>
        <w:t xml:space="preserve">:  </w:t>
      </w:r>
      <w:bookmarkStart w:id="29" w:name="OLE_LINK10"/>
      <w:r w:rsidR="00744AEF" w:rsidRPr="00D607BF">
        <w:rPr>
          <w:b/>
          <w:bCs/>
        </w:rPr>
        <w:t xml:space="preserve">Glucocorticoid Toxicity Index </w:t>
      </w:r>
      <w:r w:rsidR="00154B23" w:rsidRPr="00D607BF">
        <w:rPr>
          <w:b/>
          <w:bCs/>
        </w:rPr>
        <w:t>r</w:t>
      </w:r>
      <w:r w:rsidR="00744AEF" w:rsidRPr="00D607BF">
        <w:rPr>
          <w:b/>
          <w:bCs/>
        </w:rPr>
        <w:t xml:space="preserve">esults in the pivotal phase 3 ADVOCATE </w:t>
      </w:r>
      <w:r w:rsidR="00154B23" w:rsidRPr="00D607BF">
        <w:rPr>
          <w:b/>
          <w:bCs/>
        </w:rPr>
        <w:t xml:space="preserve">study </w:t>
      </w:r>
      <w:r w:rsidR="00744AEF" w:rsidRPr="00D607BF">
        <w:rPr>
          <w:b/>
          <w:bCs/>
        </w:rPr>
        <w:t>(Intent-to-Treat Population</w:t>
      </w:r>
      <w:bookmarkEnd w:id="29"/>
      <w:r w:rsidR="00744AEF" w:rsidRPr="00D607BF">
        <w:rPr>
          <w:b/>
          <w:bCs/>
        </w:rPr>
        <w:t>)</w:t>
      </w:r>
      <w:r w:rsidR="00744AEF" w:rsidRPr="0037508F">
        <w:rPr>
          <w:b/>
          <w:bCs/>
        </w:rPr>
        <w:br/>
      </w:r>
    </w:p>
    <w:tbl>
      <w:tblPr>
        <w:tblStyle w:val="Standard"/>
        <w:tblW w:w="0" w:type="auto"/>
        <w:tblLook w:val="04A0" w:firstRow="1" w:lastRow="0" w:firstColumn="1" w:lastColumn="0" w:noHBand="0" w:noVBand="1"/>
      </w:tblPr>
      <w:tblGrid>
        <w:gridCol w:w="2675"/>
        <w:gridCol w:w="1532"/>
        <w:gridCol w:w="1402"/>
        <w:gridCol w:w="1939"/>
      </w:tblGrid>
      <w:tr w:rsidR="00D607BF" w:rsidRPr="007257F7" w14:paraId="49781EA9" w14:textId="77777777" w:rsidTr="007C5E0F">
        <w:tc>
          <w:tcPr>
            <w:tcW w:w="2675" w:type="dxa"/>
            <w:vAlign w:val="bottom"/>
          </w:tcPr>
          <w:p w14:paraId="187CDFAE" w14:textId="77777777" w:rsidR="00D607BF" w:rsidRPr="000F3881" w:rsidRDefault="00D607BF" w:rsidP="007C5E0F">
            <w:pPr>
              <w:pStyle w:val="NormalKeep"/>
              <w:rPr>
                <w:sz w:val="20"/>
                <w:szCs w:val="20"/>
                <w:lang w:val="en-US"/>
              </w:rPr>
            </w:pPr>
          </w:p>
        </w:tc>
        <w:tc>
          <w:tcPr>
            <w:tcW w:w="1532" w:type="dxa"/>
            <w:vAlign w:val="bottom"/>
          </w:tcPr>
          <w:p w14:paraId="099DC81E" w14:textId="77777777" w:rsidR="00D607BF" w:rsidRPr="000F3881" w:rsidRDefault="00D607BF" w:rsidP="007C5E0F">
            <w:pPr>
              <w:keepNext/>
              <w:spacing w:before="0"/>
              <w:jc w:val="center"/>
              <w:rPr>
                <w:sz w:val="20"/>
                <w:szCs w:val="20"/>
                <w:lang w:eastAsia="en-US"/>
              </w:rPr>
            </w:pPr>
            <w:r w:rsidRPr="000F3881">
              <w:rPr>
                <w:b/>
                <w:sz w:val="20"/>
                <w:szCs w:val="20"/>
              </w:rPr>
              <w:t>Avacopan</w:t>
            </w:r>
          </w:p>
          <w:p w14:paraId="0512D954" w14:textId="77777777" w:rsidR="00D607BF" w:rsidRPr="000F3881" w:rsidRDefault="00D607BF" w:rsidP="007C5E0F">
            <w:pPr>
              <w:keepNext/>
              <w:spacing w:before="0"/>
              <w:jc w:val="center"/>
              <w:rPr>
                <w:sz w:val="20"/>
                <w:szCs w:val="20"/>
                <w:lang w:eastAsia="en-US"/>
              </w:rPr>
            </w:pPr>
            <w:r w:rsidRPr="000F3881">
              <w:rPr>
                <w:b/>
                <w:sz w:val="20"/>
                <w:szCs w:val="20"/>
              </w:rPr>
              <w:t>N=166</w:t>
            </w:r>
          </w:p>
          <w:p w14:paraId="3F28285C" w14:textId="77777777" w:rsidR="00D607BF" w:rsidRPr="000F3881" w:rsidRDefault="00D607BF" w:rsidP="007C5E0F">
            <w:pPr>
              <w:keepNext/>
              <w:spacing w:before="0"/>
              <w:jc w:val="center"/>
              <w:rPr>
                <w:sz w:val="20"/>
                <w:szCs w:val="20"/>
                <w:lang w:eastAsia="en-US"/>
              </w:rPr>
            </w:pPr>
            <w:r w:rsidRPr="000F3881">
              <w:rPr>
                <w:b/>
                <w:sz w:val="20"/>
                <w:szCs w:val="20"/>
              </w:rPr>
              <w:t>n (%)</w:t>
            </w:r>
          </w:p>
        </w:tc>
        <w:tc>
          <w:tcPr>
            <w:tcW w:w="1402" w:type="dxa"/>
            <w:vAlign w:val="bottom"/>
          </w:tcPr>
          <w:p w14:paraId="02A117C9" w14:textId="77777777" w:rsidR="00D607BF" w:rsidRPr="000F3881" w:rsidRDefault="00D607BF" w:rsidP="007C5E0F">
            <w:pPr>
              <w:keepNext/>
              <w:spacing w:before="0"/>
              <w:jc w:val="center"/>
              <w:rPr>
                <w:sz w:val="20"/>
                <w:szCs w:val="20"/>
                <w:lang w:eastAsia="en-US"/>
              </w:rPr>
            </w:pPr>
            <w:r w:rsidRPr="000F3881">
              <w:rPr>
                <w:b/>
                <w:sz w:val="20"/>
                <w:szCs w:val="20"/>
              </w:rPr>
              <w:t>Prednisone</w:t>
            </w:r>
          </w:p>
          <w:p w14:paraId="791A1CA2" w14:textId="77777777" w:rsidR="00D607BF" w:rsidRPr="000F3881" w:rsidRDefault="00D607BF" w:rsidP="007C5E0F">
            <w:pPr>
              <w:keepNext/>
              <w:spacing w:before="0"/>
              <w:jc w:val="center"/>
              <w:rPr>
                <w:sz w:val="20"/>
                <w:szCs w:val="20"/>
                <w:lang w:eastAsia="en-US"/>
              </w:rPr>
            </w:pPr>
            <w:r w:rsidRPr="000F3881">
              <w:rPr>
                <w:b/>
                <w:sz w:val="20"/>
                <w:szCs w:val="20"/>
              </w:rPr>
              <w:t>N=164</w:t>
            </w:r>
          </w:p>
          <w:p w14:paraId="79C96FE8" w14:textId="77777777" w:rsidR="00D607BF" w:rsidRPr="000F3881" w:rsidRDefault="00D607BF" w:rsidP="007C5E0F">
            <w:pPr>
              <w:keepNext/>
              <w:spacing w:before="0"/>
              <w:jc w:val="center"/>
              <w:rPr>
                <w:sz w:val="20"/>
                <w:szCs w:val="20"/>
                <w:lang w:eastAsia="en-US"/>
              </w:rPr>
            </w:pPr>
            <w:r w:rsidRPr="000F3881">
              <w:rPr>
                <w:b/>
                <w:sz w:val="20"/>
                <w:szCs w:val="20"/>
              </w:rPr>
              <w:t>n (%)</w:t>
            </w:r>
          </w:p>
        </w:tc>
        <w:tc>
          <w:tcPr>
            <w:tcW w:w="1939" w:type="dxa"/>
            <w:vAlign w:val="bottom"/>
          </w:tcPr>
          <w:p w14:paraId="3FD70E31" w14:textId="77777777" w:rsidR="00D607BF" w:rsidRPr="000F3881" w:rsidRDefault="00D607BF" w:rsidP="007C5E0F">
            <w:pPr>
              <w:keepNext/>
              <w:spacing w:before="0"/>
              <w:jc w:val="center"/>
              <w:rPr>
                <w:sz w:val="20"/>
                <w:szCs w:val="20"/>
                <w:lang w:eastAsia="en-US"/>
              </w:rPr>
            </w:pPr>
            <w:r w:rsidRPr="000F3881">
              <w:rPr>
                <w:b/>
                <w:sz w:val="20"/>
                <w:szCs w:val="20"/>
              </w:rPr>
              <w:t>Difference between Groups, 95% CI</w:t>
            </w:r>
          </w:p>
        </w:tc>
      </w:tr>
      <w:tr w:rsidR="00D607BF" w:rsidRPr="007257F7" w14:paraId="64455D61" w14:textId="77777777" w:rsidTr="00AF3D6E">
        <w:tc>
          <w:tcPr>
            <w:tcW w:w="7548" w:type="dxa"/>
            <w:gridSpan w:val="4"/>
          </w:tcPr>
          <w:p w14:paraId="7025B564" w14:textId="73AE6B15" w:rsidR="00D607BF" w:rsidRPr="000F3881" w:rsidRDefault="00D607BF" w:rsidP="007C5E0F">
            <w:pPr>
              <w:pStyle w:val="HeadingStrong"/>
              <w:rPr>
                <w:sz w:val="20"/>
                <w:szCs w:val="20"/>
              </w:rPr>
            </w:pPr>
            <w:r w:rsidRPr="000F3881">
              <w:rPr>
                <w:sz w:val="20"/>
                <w:szCs w:val="20"/>
              </w:rPr>
              <w:t>Cumulative Worsening Score</w:t>
            </w:r>
          </w:p>
        </w:tc>
      </w:tr>
      <w:tr w:rsidR="00D607BF" w:rsidRPr="007257F7" w14:paraId="73C35068" w14:textId="77777777" w:rsidTr="007C5E0F">
        <w:tc>
          <w:tcPr>
            <w:tcW w:w="2675" w:type="dxa"/>
          </w:tcPr>
          <w:p w14:paraId="541C31C5" w14:textId="77777777" w:rsidR="00D607BF" w:rsidRPr="000F3881" w:rsidRDefault="00D607BF" w:rsidP="007C5E0F">
            <w:pPr>
              <w:pStyle w:val="NormalKeep"/>
              <w:rPr>
                <w:sz w:val="20"/>
                <w:szCs w:val="20"/>
              </w:rPr>
            </w:pPr>
            <w:r w:rsidRPr="000F3881">
              <w:rPr>
                <w:sz w:val="20"/>
                <w:szCs w:val="20"/>
              </w:rPr>
              <w:t>Week 13 (least squares mean)</w:t>
            </w:r>
          </w:p>
        </w:tc>
        <w:tc>
          <w:tcPr>
            <w:tcW w:w="1532" w:type="dxa"/>
          </w:tcPr>
          <w:p w14:paraId="58AE431C" w14:textId="77777777" w:rsidR="00D607BF" w:rsidRPr="000F3881" w:rsidRDefault="00D607BF" w:rsidP="007C5E0F">
            <w:pPr>
              <w:pStyle w:val="NormalCentred"/>
              <w:rPr>
                <w:sz w:val="20"/>
                <w:szCs w:val="20"/>
              </w:rPr>
            </w:pPr>
            <w:r w:rsidRPr="000F3881">
              <w:rPr>
                <w:sz w:val="20"/>
                <w:szCs w:val="20"/>
              </w:rPr>
              <w:t>25.7</w:t>
            </w:r>
          </w:p>
        </w:tc>
        <w:tc>
          <w:tcPr>
            <w:tcW w:w="1402" w:type="dxa"/>
          </w:tcPr>
          <w:p w14:paraId="30515C45" w14:textId="77777777" w:rsidR="00D607BF" w:rsidRPr="000F3881" w:rsidRDefault="00D607BF" w:rsidP="007C5E0F">
            <w:pPr>
              <w:pStyle w:val="NormalCentred"/>
              <w:rPr>
                <w:sz w:val="20"/>
                <w:szCs w:val="20"/>
              </w:rPr>
            </w:pPr>
            <w:r w:rsidRPr="000F3881">
              <w:rPr>
                <w:sz w:val="20"/>
                <w:szCs w:val="20"/>
              </w:rPr>
              <w:t>36.6</w:t>
            </w:r>
          </w:p>
        </w:tc>
        <w:tc>
          <w:tcPr>
            <w:tcW w:w="1939" w:type="dxa"/>
          </w:tcPr>
          <w:p w14:paraId="3C4D8767" w14:textId="77777777" w:rsidR="00D607BF" w:rsidRPr="000F3881" w:rsidRDefault="00D607BF" w:rsidP="007C5E0F">
            <w:pPr>
              <w:pStyle w:val="NormalCentred"/>
              <w:rPr>
                <w:sz w:val="20"/>
                <w:szCs w:val="20"/>
              </w:rPr>
            </w:pPr>
            <w:r w:rsidRPr="000F3881">
              <w:rPr>
                <w:sz w:val="20"/>
                <w:szCs w:val="20"/>
              </w:rPr>
              <w:t>−11.0 (−19.7, −2.2)</w:t>
            </w:r>
          </w:p>
        </w:tc>
      </w:tr>
      <w:tr w:rsidR="00D607BF" w:rsidRPr="007257F7" w14:paraId="326169E0" w14:textId="77777777" w:rsidTr="007C5E0F">
        <w:tc>
          <w:tcPr>
            <w:tcW w:w="2675" w:type="dxa"/>
          </w:tcPr>
          <w:p w14:paraId="26F0A1F0" w14:textId="77777777" w:rsidR="00D607BF" w:rsidRPr="000F3881" w:rsidRDefault="00D607BF" w:rsidP="007C5E0F">
            <w:pPr>
              <w:pStyle w:val="NormalKeep"/>
              <w:rPr>
                <w:sz w:val="20"/>
                <w:szCs w:val="20"/>
              </w:rPr>
            </w:pPr>
            <w:r w:rsidRPr="000F3881">
              <w:rPr>
                <w:sz w:val="20"/>
                <w:szCs w:val="20"/>
              </w:rPr>
              <w:t>Week 26 (least squares mean)</w:t>
            </w:r>
          </w:p>
        </w:tc>
        <w:tc>
          <w:tcPr>
            <w:tcW w:w="1532" w:type="dxa"/>
          </w:tcPr>
          <w:p w14:paraId="78814D46" w14:textId="77777777" w:rsidR="00D607BF" w:rsidRPr="000F3881" w:rsidRDefault="00D607BF" w:rsidP="007C5E0F">
            <w:pPr>
              <w:pStyle w:val="NormalCentred"/>
              <w:rPr>
                <w:sz w:val="20"/>
                <w:szCs w:val="20"/>
              </w:rPr>
            </w:pPr>
            <w:r w:rsidRPr="000F3881">
              <w:rPr>
                <w:sz w:val="20"/>
                <w:szCs w:val="20"/>
              </w:rPr>
              <w:t>39.7</w:t>
            </w:r>
          </w:p>
        </w:tc>
        <w:tc>
          <w:tcPr>
            <w:tcW w:w="1402" w:type="dxa"/>
          </w:tcPr>
          <w:p w14:paraId="137E7583" w14:textId="77777777" w:rsidR="00D607BF" w:rsidRPr="000F3881" w:rsidRDefault="00D607BF" w:rsidP="007C5E0F">
            <w:pPr>
              <w:pStyle w:val="NormalCentred"/>
              <w:rPr>
                <w:sz w:val="20"/>
                <w:szCs w:val="20"/>
              </w:rPr>
            </w:pPr>
            <w:r w:rsidRPr="000F3881">
              <w:rPr>
                <w:sz w:val="20"/>
                <w:szCs w:val="20"/>
              </w:rPr>
              <w:t>56.6</w:t>
            </w:r>
          </w:p>
        </w:tc>
        <w:tc>
          <w:tcPr>
            <w:tcW w:w="1939" w:type="dxa"/>
          </w:tcPr>
          <w:p w14:paraId="756ED876" w14:textId="77777777" w:rsidR="00D607BF" w:rsidRPr="000F3881" w:rsidRDefault="00D607BF" w:rsidP="007C5E0F">
            <w:pPr>
              <w:pStyle w:val="NormalCentred"/>
              <w:rPr>
                <w:sz w:val="20"/>
                <w:szCs w:val="20"/>
              </w:rPr>
            </w:pPr>
            <w:r w:rsidRPr="000F3881">
              <w:rPr>
                <w:sz w:val="20"/>
                <w:szCs w:val="20"/>
              </w:rPr>
              <w:t>−16.8 (−25.6, −8.0)</w:t>
            </w:r>
          </w:p>
        </w:tc>
      </w:tr>
      <w:tr w:rsidR="00D607BF" w:rsidRPr="007257F7" w14:paraId="2B39A92B" w14:textId="77777777" w:rsidTr="00AF3D6E">
        <w:tc>
          <w:tcPr>
            <w:tcW w:w="7548" w:type="dxa"/>
            <w:gridSpan w:val="4"/>
          </w:tcPr>
          <w:p w14:paraId="7F766AD9" w14:textId="267B7A42" w:rsidR="00D607BF" w:rsidRPr="000F3881" w:rsidRDefault="00D607BF" w:rsidP="007C5E0F">
            <w:pPr>
              <w:pStyle w:val="HeadingStrong"/>
              <w:rPr>
                <w:sz w:val="20"/>
                <w:szCs w:val="20"/>
              </w:rPr>
            </w:pPr>
            <w:r w:rsidRPr="000F3881">
              <w:rPr>
                <w:sz w:val="20"/>
                <w:szCs w:val="20"/>
              </w:rPr>
              <w:t>Aggregate Improvement Score</w:t>
            </w:r>
          </w:p>
        </w:tc>
      </w:tr>
      <w:tr w:rsidR="00D607BF" w:rsidRPr="007257F7" w14:paraId="1488269B" w14:textId="77777777" w:rsidTr="007C5E0F">
        <w:tc>
          <w:tcPr>
            <w:tcW w:w="2675" w:type="dxa"/>
          </w:tcPr>
          <w:p w14:paraId="5E1B9C27" w14:textId="77777777" w:rsidR="00D607BF" w:rsidRPr="000F3881" w:rsidRDefault="00D607BF" w:rsidP="007C5E0F">
            <w:pPr>
              <w:pStyle w:val="NormalKeep"/>
              <w:rPr>
                <w:sz w:val="20"/>
                <w:szCs w:val="20"/>
              </w:rPr>
            </w:pPr>
            <w:r w:rsidRPr="000F3881">
              <w:rPr>
                <w:sz w:val="20"/>
                <w:szCs w:val="20"/>
              </w:rPr>
              <w:t>Week 13 (least squares mean)</w:t>
            </w:r>
          </w:p>
        </w:tc>
        <w:tc>
          <w:tcPr>
            <w:tcW w:w="1532" w:type="dxa"/>
          </w:tcPr>
          <w:p w14:paraId="64427396" w14:textId="77777777" w:rsidR="00D607BF" w:rsidRPr="000F3881" w:rsidRDefault="00D607BF" w:rsidP="007C5E0F">
            <w:pPr>
              <w:pStyle w:val="NormalCentred"/>
              <w:rPr>
                <w:sz w:val="20"/>
                <w:szCs w:val="20"/>
              </w:rPr>
            </w:pPr>
            <w:r w:rsidRPr="000F3881">
              <w:rPr>
                <w:sz w:val="20"/>
                <w:szCs w:val="20"/>
              </w:rPr>
              <w:t>9.9</w:t>
            </w:r>
          </w:p>
        </w:tc>
        <w:tc>
          <w:tcPr>
            <w:tcW w:w="1402" w:type="dxa"/>
          </w:tcPr>
          <w:p w14:paraId="64591F27" w14:textId="77777777" w:rsidR="00D607BF" w:rsidRPr="000F3881" w:rsidRDefault="00D607BF" w:rsidP="007C5E0F">
            <w:pPr>
              <w:pStyle w:val="NormalCentred"/>
              <w:rPr>
                <w:sz w:val="20"/>
                <w:szCs w:val="20"/>
              </w:rPr>
            </w:pPr>
            <w:r w:rsidRPr="000F3881">
              <w:rPr>
                <w:sz w:val="20"/>
                <w:szCs w:val="20"/>
              </w:rPr>
              <w:t>23.2</w:t>
            </w:r>
          </w:p>
        </w:tc>
        <w:tc>
          <w:tcPr>
            <w:tcW w:w="1939" w:type="dxa"/>
          </w:tcPr>
          <w:p w14:paraId="4A0CF6F4" w14:textId="77777777" w:rsidR="00D607BF" w:rsidRPr="000F3881" w:rsidRDefault="00D607BF" w:rsidP="007C5E0F">
            <w:pPr>
              <w:pStyle w:val="NormalCentred"/>
              <w:rPr>
                <w:sz w:val="20"/>
                <w:szCs w:val="20"/>
              </w:rPr>
            </w:pPr>
            <w:r w:rsidRPr="000F3881">
              <w:rPr>
                <w:sz w:val="20"/>
                <w:szCs w:val="20"/>
              </w:rPr>
              <w:t>−13.3 (−22.2, −4.4)</w:t>
            </w:r>
          </w:p>
        </w:tc>
      </w:tr>
      <w:tr w:rsidR="00D607BF" w:rsidRPr="007257F7" w14:paraId="1C722456" w14:textId="77777777" w:rsidTr="007C5E0F">
        <w:tc>
          <w:tcPr>
            <w:tcW w:w="2675" w:type="dxa"/>
          </w:tcPr>
          <w:p w14:paraId="463DB9FC" w14:textId="77777777" w:rsidR="00D607BF" w:rsidRPr="000F3881" w:rsidRDefault="00D607BF" w:rsidP="007C5E0F">
            <w:pPr>
              <w:pStyle w:val="NormalKeep"/>
              <w:rPr>
                <w:sz w:val="20"/>
                <w:szCs w:val="20"/>
              </w:rPr>
            </w:pPr>
            <w:r w:rsidRPr="000F3881">
              <w:rPr>
                <w:sz w:val="20"/>
                <w:szCs w:val="20"/>
              </w:rPr>
              <w:t>Week 26 (least squares mean)</w:t>
            </w:r>
          </w:p>
        </w:tc>
        <w:tc>
          <w:tcPr>
            <w:tcW w:w="1532" w:type="dxa"/>
          </w:tcPr>
          <w:p w14:paraId="4914E2CC" w14:textId="77777777" w:rsidR="00D607BF" w:rsidRPr="000F3881" w:rsidRDefault="00D607BF" w:rsidP="007C5E0F">
            <w:pPr>
              <w:pStyle w:val="NormalCentred"/>
              <w:rPr>
                <w:sz w:val="20"/>
                <w:szCs w:val="20"/>
              </w:rPr>
            </w:pPr>
            <w:r w:rsidRPr="000F3881">
              <w:rPr>
                <w:sz w:val="20"/>
                <w:szCs w:val="20"/>
              </w:rPr>
              <w:t>11.2</w:t>
            </w:r>
          </w:p>
        </w:tc>
        <w:tc>
          <w:tcPr>
            <w:tcW w:w="1402" w:type="dxa"/>
          </w:tcPr>
          <w:p w14:paraId="414D7551" w14:textId="77777777" w:rsidR="00D607BF" w:rsidRPr="000F3881" w:rsidRDefault="00D607BF" w:rsidP="007C5E0F">
            <w:pPr>
              <w:pStyle w:val="NormalCentred"/>
              <w:rPr>
                <w:sz w:val="20"/>
                <w:szCs w:val="20"/>
              </w:rPr>
            </w:pPr>
            <w:r w:rsidRPr="000F3881">
              <w:rPr>
                <w:sz w:val="20"/>
                <w:szCs w:val="20"/>
              </w:rPr>
              <w:t>23.4</w:t>
            </w:r>
          </w:p>
        </w:tc>
        <w:tc>
          <w:tcPr>
            <w:tcW w:w="1939" w:type="dxa"/>
          </w:tcPr>
          <w:p w14:paraId="539A69A9" w14:textId="77777777" w:rsidR="00D607BF" w:rsidRPr="000F3881" w:rsidRDefault="00D607BF" w:rsidP="007C5E0F">
            <w:pPr>
              <w:pStyle w:val="NormalCentred"/>
              <w:rPr>
                <w:sz w:val="20"/>
                <w:szCs w:val="20"/>
              </w:rPr>
            </w:pPr>
            <w:r w:rsidRPr="000F3881">
              <w:rPr>
                <w:sz w:val="20"/>
                <w:szCs w:val="20"/>
              </w:rPr>
              <w:t>−12.1 (−21.1, −3.2)</w:t>
            </w:r>
          </w:p>
        </w:tc>
      </w:tr>
    </w:tbl>
    <w:p w14:paraId="61E8AB2A" w14:textId="77777777" w:rsidR="00721E8C" w:rsidRPr="00C8259F" w:rsidRDefault="00721E8C" w:rsidP="00721E8C">
      <w:pPr>
        <w:pStyle w:val="TableFootnote"/>
      </w:pPr>
      <w:r w:rsidRPr="00C8259F">
        <w:t>*</w:t>
      </w:r>
      <w:r>
        <w:tab/>
      </w:r>
      <w:r w:rsidRPr="00C8259F">
        <w:t>Not adjusted for multiplicity</w:t>
      </w:r>
    </w:p>
    <w:p w14:paraId="5296B2DC" w14:textId="77777777" w:rsidR="00721E8C" w:rsidRPr="008618A3" w:rsidRDefault="00721E8C" w:rsidP="00721E8C">
      <w:pPr>
        <w:rPr>
          <w:i/>
          <w:iCs/>
        </w:rPr>
      </w:pPr>
      <w:r w:rsidRPr="008618A3">
        <w:rPr>
          <w:i/>
          <w:iCs/>
        </w:rPr>
        <w:t>Incidence of TEAEs considered possibly related to glucocorticoids use based on EULAR-recommended event terms</w:t>
      </w:r>
    </w:p>
    <w:p w14:paraId="7A589502" w14:textId="17D5B6D7" w:rsidR="00721E8C" w:rsidRDefault="00721E8C" w:rsidP="00721E8C">
      <w:r w:rsidRPr="000F3881">
        <w:t xml:space="preserve">Consistent with the GTI results, the incidence of pre-identified adverse events considered possibly related to glucocorticoids use based on EULAR-recommended search terms was 80.5% in the prednisone group compared with 66.3% in the </w:t>
      </w:r>
      <w:proofErr w:type="spellStart"/>
      <w:r w:rsidRPr="000F3881">
        <w:t>avacopan</w:t>
      </w:r>
      <w:proofErr w:type="spellEnd"/>
      <w:r w:rsidRPr="000F3881">
        <w:t xml:space="preserve"> group (difference −14.2%; [95% CI −23.7%, −3.8%]).</w:t>
      </w:r>
    </w:p>
    <w:p w14:paraId="52D0A23E" w14:textId="55A71FB4" w:rsidR="00721E8C" w:rsidRPr="004E2D7E" w:rsidRDefault="00721E8C" w:rsidP="00721E8C">
      <w:pPr>
        <w:pStyle w:val="HeadingEmphasis"/>
        <w:rPr>
          <w:sz w:val="24"/>
          <w:szCs w:val="24"/>
        </w:rPr>
      </w:pPr>
      <w:r w:rsidRPr="004E2D7E">
        <w:rPr>
          <w:sz w:val="24"/>
          <w:szCs w:val="24"/>
        </w:rPr>
        <w:t>Health-related quality of life outcomes</w:t>
      </w:r>
    </w:p>
    <w:p w14:paraId="27DE3C56" w14:textId="5AAAC2EA" w:rsidR="00721E8C" w:rsidRPr="00C8259F" w:rsidRDefault="00AB06E2" w:rsidP="00721E8C">
      <w:r>
        <w:t>I</w:t>
      </w:r>
      <w:r w:rsidR="00721E8C" w:rsidRPr="00C8259F">
        <w:t>mprovements in physical component score (PCS) of the SF</w:t>
      </w:r>
      <w:r w:rsidR="00721E8C" w:rsidRPr="00C8259F">
        <w:noBreakHyphen/>
        <w:t xml:space="preserve">36 including physical functioning and general health perception at both week 26 and week 52 were observed in the </w:t>
      </w:r>
      <w:proofErr w:type="spellStart"/>
      <w:r w:rsidR="00721E8C" w:rsidRPr="00C8259F">
        <w:t>avacopan</w:t>
      </w:r>
      <w:proofErr w:type="spellEnd"/>
      <w:r w:rsidR="00721E8C" w:rsidRPr="00C8259F">
        <w:t xml:space="preserve"> group compared to the prednisone group. The minimum </w:t>
      </w:r>
      <w:proofErr w:type="gramStart"/>
      <w:r w:rsidR="00721E8C" w:rsidRPr="00C8259F">
        <w:t>clinically-important</w:t>
      </w:r>
      <w:proofErr w:type="gramEnd"/>
      <w:r w:rsidR="00721E8C" w:rsidRPr="00C8259F">
        <w:t xml:space="preserve"> difference (MCID) was reached or exceeded for physical functioning, role physical, and bodily pain domains at week 26 and week 52, and for general health perception at week 52 in the </w:t>
      </w:r>
      <w:proofErr w:type="spellStart"/>
      <w:r w:rsidR="00721E8C" w:rsidRPr="00C8259F">
        <w:t>avacopan</w:t>
      </w:r>
      <w:proofErr w:type="spellEnd"/>
      <w:r w:rsidR="00721E8C" w:rsidRPr="00C8259F">
        <w:t xml:space="preserve"> group.</w:t>
      </w:r>
    </w:p>
    <w:p w14:paraId="13BD7F7E" w14:textId="77777777" w:rsidR="00721E8C" w:rsidRPr="00C8259F" w:rsidRDefault="00721E8C" w:rsidP="00721E8C">
      <w:r w:rsidRPr="00C8259F">
        <w:t>The mental component score (MCS) of the SF</w:t>
      </w:r>
      <w:r w:rsidRPr="00C8259F">
        <w:noBreakHyphen/>
        <w:t xml:space="preserve">36 and all other domains showed a numerical improvement in the </w:t>
      </w:r>
      <w:proofErr w:type="spellStart"/>
      <w:r w:rsidRPr="00C8259F">
        <w:t>avacopan</w:t>
      </w:r>
      <w:proofErr w:type="spellEnd"/>
      <w:r w:rsidRPr="00C8259F">
        <w:t xml:space="preserve"> group. The MCID was achieved in the </w:t>
      </w:r>
      <w:proofErr w:type="spellStart"/>
      <w:r w:rsidRPr="00C8259F">
        <w:t>avacopan</w:t>
      </w:r>
      <w:proofErr w:type="spellEnd"/>
      <w:r w:rsidRPr="00C8259F">
        <w:t xml:space="preserve"> group for MCS at week 52, and for the mental health, role emotional, social functioning, and vitality domains at week 26 and week 52.</w:t>
      </w:r>
    </w:p>
    <w:p w14:paraId="67D0CCDA" w14:textId="64046E70" w:rsidR="00721E8C" w:rsidRPr="00C8259F" w:rsidRDefault="00721E8C" w:rsidP="00721E8C">
      <w:proofErr w:type="spellStart"/>
      <w:r w:rsidRPr="00C8259F">
        <w:t>EuroQuality</w:t>
      </w:r>
      <w:proofErr w:type="spellEnd"/>
      <w:r w:rsidRPr="00C8259F">
        <w:t xml:space="preserve"> of Life</w:t>
      </w:r>
      <w:r w:rsidRPr="00C8259F">
        <w:noBreakHyphen/>
        <w:t>5 domains-5</w:t>
      </w:r>
      <w:r w:rsidRPr="00C8259F">
        <w:noBreakHyphen/>
        <w:t xml:space="preserve">levels (EQ-5D-5L) visual analogue scale (VAS) was improved from baseline in the </w:t>
      </w:r>
      <w:proofErr w:type="spellStart"/>
      <w:r w:rsidRPr="00C8259F">
        <w:t>avacopan</w:t>
      </w:r>
      <w:proofErr w:type="spellEnd"/>
      <w:r w:rsidRPr="00C8259F">
        <w:t xml:space="preserve"> group compared to the prednisone group at week 52. The MCID was achieved in the </w:t>
      </w:r>
      <w:proofErr w:type="spellStart"/>
      <w:r w:rsidRPr="00C8259F">
        <w:t>avacopan</w:t>
      </w:r>
      <w:proofErr w:type="spellEnd"/>
      <w:r w:rsidRPr="00C8259F">
        <w:t xml:space="preserve"> group for VAS and index scores at week 52.</w:t>
      </w:r>
    </w:p>
    <w:p w14:paraId="2E154282" w14:textId="0DABDC1B" w:rsidR="00744AEF" w:rsidRPr="00645136" w:rsidRDefault="00744AEF" w:rsidP="00744AEF">
      <w:pPr>
        <w:rPr>
          <w:i/>
          <w:iCs/>
        </w:rPr>
      </w:pPr>
      <w:proofErr w:type="spellStart"/>
      <w:r w:rsidRPr="00645136">
        <w:rPr>
          <w:i/>
          <w:iCs/>
        </w:rPr>
        <w:t>Paediatric</w:t>
      </w:r>
      <w:proofErr w:type="spellEnd"/>
      <w:r w:rsidRPr="00645136">
        <w:rPr>
          <w:i/>
          <w:iCs/>
          <w:spacing w:val="-3"/>
        </w:rPr>
        <w:t xml:space="preserve"> </w:t>
      </w:r>
      <w:r w:rsidRPr="00645136">
        <w:rPr>
          <w:i/>
          <w:iCs/>
        </w:rPr>
        <w:t>population</w:t>
      </w:r>
    </w:p>
    <w:p w14:paraId="5F7860A0" w14:textId="695ADA40" w:rsidR="00744AEF" w:rsidRDefault="00744AEF" w:rsidP="00744AEF">
      <w:pPr>
        <w:rPr>
          <w:sz w:val="22"/>
        </w:rPr>
      </w:pPr>
      <w:r>
        <w:t xml:space="preserve">A total of 3 adolescents were </w:t>
      </w:r>
      <w:r w:rsidR="003329DB">
        <w:t>studied</w:t>
      </w:r>
      <w:r>
        <w:t xml:space="preserve"> in the pivotal phase 3 ADVOCATE study, two in the </w:t>
      </w:r>
      <w:proofErr w:type="spellStart"/>
      <w:r>
        <w:t>avacopan</w:t>
      </w:r>
      <w:proofErr w:type="spellEnd"/>
      <w:r>
        <w:t xml:space="preserve"> group</w:t>
      </w:r>
      <w:r w:rsidR="003329DB">
        <w:t xml:space="preserve"> and one in the comparator group</w:t>
      </w:r>
      <w:r>
        <w:t xml:space="preserve">. One adolescent in the </w:t>
      </w:r>
      <w:proofErr w:type="spellStart"/>
      <w:r>
        <w:t>avacopan</w:t>
      </w:r>
      <w:proofErr w:type="spellEnd"/>
      <w:r>
        <w:t xml:space="preserve"> group discontinued treatment</w:t>
      </w:r>
      <w:r>
        <w:rPr>
          <w:spacing w:val="1"/>
        </w:rPr>
        <w:t xml:space="preserve"> </w:t>
      </w:r>
      <w:r>
        <w:t xml:space="preserve">due to worsening renal vasculitis. The second adolescent patient who </w:t>
      </w:r>
      <w:r>
        <w:lastRenderedPageBreak/>
        <w:t xml:space="preserve">received </w:t>
      </w:r>
      <w:proofErr w:type="spellStart"/>
      <w:r>
        <w:t>avacopan</w:t>
      </w:r>
      <w:proofErr w:type="spellEnd"/>
      <w:r>
        <w:t xml:space="preserve"> completed</w:t>
      </w:r>
      <w:r>
        <w:rPr>
          <w:spacing w:val="1"/>
        </w:rPr>
        <w:t xml:space="preserve"> </w:t>
      </w:r>
      <w:r>
        <w:t>treatment,</w:t>
      </w:r>
      <w:r>
        <w:rPr>
          <w:spacing w:val="-1"/>
        </w:rPr>
        <w:t xml:space="preserve"> </w:t>
      </w:r>
      <w:r>
        <w:t xml:space="preserve">achieved </w:t>
      </w:r>
      <w:r w:rsidR="003329DB">
        <w:t xml:space="preserve">both </w:t>
      </w:r>
      <w:r>
        <w:t>remission</w:t>
      </w:r>
      <w:r>
        <w:rPr>
          <w:spacing w:val="-1"/>
        </w:rPr>
        <w:t xml:space="preserve"> </w:t>
      </w:r>
      <w:r>
        <w:t>at</w:t>
      </w:r>
      <w:r>
        <w:rPr>
          <w:spacing w:val="1"/>
        </w:rPr>
        <w:t xml:space="preserve"> </w:t>
      </w:r>
      <w:r>
        <w:t>week</w:t>
      </w:r>
      <w:r>
        <w:rPr>
          <w:spacing w:val="-3"/>
        </w:rPr>
        <w:t xml:space="preserve"> </w:t>
      </w:r>
      <w:r>
        <w:t>26</w:t>
      </w:r>
      <w:r>
        <w:rPr>
          <w:spacing w:val="-1"/>
        </w:rPr>
        <w:t xml:space="preserve"> </w:t>
      </w:r>
      <w:r>
        <w:t>and sustained remission</w:t>
      </w:r>
      <w:r>
        <w:rPr>
          <w:spacing w:val="-1"/>
        </w:rPr>
        <w:t xml:space="preserve"> </w:t>
      </w:r>
      <w:r>
        <w:t>at</w:t>
      </w:r>
      <w:r>
        <w:rPr>
          <w:spacing w:val="1"/>
        </w:rPr>
        <w:t xml:space="preserve"> </w:t>
      </w:r>
      <w:r>
        <w:t>week</w:t>
      </w:r>
      <w:r>
        <w:rPr>
          <w:spacing w:val="-3"/>
        </w:rPr>
        <w:t xml:space="preserve"> </w:t>
      </w:r>
      <w:r>
        <w:t>52.</w:t>
      </w:r>
    </w:p>
    <w:p w14:paraId="281FB790" w14:textId="3A7AC18D" w:rsidR="00744AEF" w:rsidRDefault="00744AEF" w:rsidP="00744AEF">
      <w:r>
        <w:t>The</w:t>
      </w:r>
      <w:r>
        <w:rPr>
          <w:spacing w:val="-4"/>
        </w:rPr>
        <w:t xml:space="preserve"> </w:t>
      </w:r>
      <w:r>
        <w:t>adolescent in</w:t>
      </w:r>
      <w:r>
        <w:rPr>
          <w:spacing w:val="-4"/>
        </w:rPr>
        <w:t xml:space="preserve"> </w:t>
      </w:r>
      <w:r>
        <w:t>the</w:t>
      </w:r>
      <w:r>
        <w:rPr>
          <w:spacing w:val="-2"/>
        </w:rPr>
        <w:t xml:space="preserve"> </w:t>
      </w:r>
      <w:r w:rsidR="003329DB">
        <w:t xml:space="preserve">comparator </w:t>
      </w:r>
      <w:r>
        <w:t>group</w:t>
      </w:r>
      <w:r>
        <w:rPr>
          <w:spacing w:val="-1"/>
        </w:rPr>
        <w:t xml:space="preserve"> </w:t>
      </w:r>
      <w:r>
        <w:t>discontinued</w:t>
      </w:r>
      <w:r>
        <w:rPr>
          <w:spacing w:val="-4"/>
        </w:rPr>
        <w:t xml:space="preserve"> </w:t>
      </w:r>
      <w:r w:rsidR="003329DB">
        <w:rPr>
          <w:spacing w:val="-4"/>
        </w:rPr>
        <w:t xml:space="preserve">treatment </w:t>
      </w:r>
      <w:r>
        <w:t>due</w:t>
      </w:r>
      <w:r>
        <w:rPr>
          <w:spacing w:val="-2"/>
        </w:rPr>
        <w:t xml:space="preserve"> </w:t>
      </w:r>
      <w:r>
        <w:t>to</w:t>
      </w:r>
      <w:r>
        <w:rPr>
          <w:spacing w:val="-1"/>
        </w:rPr>
        <w:t xml:space="preserve"> </w:t>
      </w:r>
      <w:r>
        <w:t>non-adherence</w:t>
      </w:r>
      <w:r>
        <w:rPr>
          <w:spacing w:val="-1"/>
        </w:rPr>
        <w:t xml:space="preserve"> </w:t>
      </w:r>
      <w:r>
        <w:t>to</w:t>
      </w:r>
      <w:r>
        <w:rPr>
          <w:spacing w:val="-2"/>
        </w:rPr>
        <w:t xml:space="preserve"> </w:t>
      </w:r>
      <w:r>
        <w:t>contraception.</w:t>
      </w:r>
    </w:p>
    <w:p w14:paraId="24D21218" w14:textId="77777777" w:rsidR="001A3992" w:rsidRPr="00497C85" w:rsidRDefault="001A3992" w:rsidP="00CF3CA1">
      <w:pPr>
        <w:pStyle w:val="Heading2"/>
      </w:pPr>
      <w:r w:rsidRPr="00497C85">
        <w:t xml:space="preserve">Pharmacokinetic properties </w:t>
      </w:r>
    </w:p>
    <w:p w14:paraId="2A0CE82E" w14:textId="7FFF7944" w:rsidR="001A3992" w:rsidRDefault="001A3992" w:rsidP="00CF3CA1">
      <w:pPr>
        <w:pStyle w:val="Heading3"/>
      </w:pPr>
      <w:r w:rsidRPr="00497C85">
        <w:t>Absorption</w:t>
      </w:r>
      <w:r w:rsidR="00677840">
        <w:t xml:space="preserve"> </w:t>
      </w:r>
    </w:p>
    <w:p w14:paraId="3CCC9396" w14:textId="77777777" w:rsidR="0086408B" w:rsidRDefault="0086408B" w:rsidP="0086408B">
      <w:r>
        <w:t xml:space="preserve">When administered without food, </w:t>
      </w:r>
      <w:proofErr w:type="spellStart"/>
      <w:r>
        <w:t>avacopan</w:t>
      </w:r>
      <w:proofErr w:type="spellEnd"/>
      <w:r>
        <w:t xml:space="preserve"> peak plasma concentration (</w:t>
      </w:r>
      <w:proofErr w:type="spellStart"/>
      <w:r>
        <w:t>C</w:t>
      </w:r>
      <w:r w:rsidRPr="00F73436">
        <w:rPr>
          <w:vertAlign w:val="subscript"/>
        </w:rPr>
        <w:t>max</w:t>
      </w:r>
      <w:proofErr w:type="spellEnd"/>
      <w:r>
        <w:t>) occurs at a median time (</w:t>
      </w:r>
      <w:proofErr w:type="spellStart"/>
      <w:r>
        <w:t>t</w:t>
      </w:r>
      <w:r w:rsidRPr="00F73436">
        <w:rPr>
          <w:vertAlign w:val="subscript"/>
        </w:rPr>
        <w:t>max</w:t>
      </w:r>
      <w:proofErr w:type="spellEnd"/>
      <w:r>
        <w:t>) of approximately 2 hours. Avacopan has shown an approximate dose-proportional increase in systemic exposure in the dose range of 10 to 30 mg.</w:t>
      </w:r>
    </w:p>
    <w:p w14:paraId="06DC2E00" w14:textId="280917FE" w:rsidR="00744AEF" w:rsidRPr="00744AEF" w:rsidRDefault="0086408B" w:rsidP="0086408B">
      <w:r>
        <w:t xml:space="preserve">Co-administration of 30 mg in capsule formulation with a high-fat, high-calorie meal increases the plasma exposure (AUC) of </w:t>
      </w:r>
      <w:proofErr w:type="spellStart"/>
      <w:r>
        <w:t>avacopan</w:t>
      </w:r>
      <w:proofErr w:type="spellEnd"/>
      <w:r>
        <w:t xml:space="preserve"> by approximately 72% and delays </w:t>
      </w:r>
      <w:proofErr w:type="spellStart"/>
      <w:r>
        <w:t>t</w:t>
      </w:r>
      <w:r w:rsidRPr="00F73436">
        <w:rPr>
          <w:vertAlign w:val="subscript"/>
        </w:rPr>
        <w:t>max</w:t>
      </w:r>
      <w:proofErr w:type="spellEnd"/>
      <w:r>
        <w:t xml:space="preserve"> by approximately 3 hours; however, the </w:t>
      </w:r>
      <w:proofErr w:type="spellStart"/>
      <w:r>
        <w:t>C</w:t>
      </w:r>
      <w:r w:rsidRPr="00F73436">
        <w:rPr>
          <w:vertAlign w:val="subscript"/>
        </w:rPr>
        <w:t>max</w:t>
      </w:r>
      <w:proofErr w:type="spellEnd"/>
      <w:r>
        <w:t xml:space="preserve"> is not affected.</w:t>
      </w:r>
    </w:p>
    <w:p w14:paraId="4C33EECC" w14:textId="07AAAFAB" w:rsidR="001A3992" w:rsidRDefault="001A3992" w:rsidP="00CF3CA1">
      <w:pPr>
        <w:pStyle w:val="Heading3"/>
      </w:pPr>
      <w:r w:rsidRPr="00497C85">
        <w:t>Distribution</w:t>
      </w:r>
    </w:p>
    <w:p w14:paraId="3A21D956" w14:textId="190D99F4" w:rsidR="0086408B" w:rsidRDefault="0086408B" w:rsidP="0086408B">
      <w:r w:rsidRPr="0086408B">
        <w:t xml:space="preserve">The plasma protein binding (e.g., to albumin and α1-acid glycoprotein) of </w:t>
      </w:r>
      <w:proofErr w:type="spellStart"/>
      <w:r w:rsidRPr="0086408B">
        <w:t>avacopan</w:t>
      </w:r>
      <w:proofErr w:type="spellEnd"/>
      <w:r w:rsidRPr="0086408B">
        <w:t xml:space="preserve"> and metabolite M1 is greater than 99.9%. The apparent volume of distribution is high (</w:t>
      </w:r>
      <w:proofErr w:type="spellStart"/>
      <w:r w:rsidRPr="0086408B">
        <w:t>Vz</w:t>
      </w:r>
      <w:proofErr w:type="spellEnd"/>
      <w:r w:rsidRPr="0086408B">
        <w:t xml:space="preserve">/F 3,000 – 11,000 L), indicating broad tissue distribution of the </w:t>
      </w:r>
      <w:r w:rsidR="003329DB">
        <w:t>active substance</w:t>
      </w:r>
      <w:r w:rsidRPr="0086408B">
        <w:t>.</w:t>
      </w:r>
    </w:p>
    <w:p w14:paraId="7F5CE9E3" w14:textId="594B6AE0" w:rsidR="001A3992" w:rsidRDefault="001A3992" w:rsidP="00CF3CA1">
      <w:pPr>
        <w:pStyle w:val="Heading3"/>
      </w:pPr>
      <w:r w:rsidRPr="00497C85">
        <w:t>Metabolism</w:t>
      </w:r>
      <w:r w:rsidR="00677840">
        <w:t xml:space="preserve"> </w:t>
      </w:r>
    </w:p>
    <w:p w14:paraId="41E6899C" w14:textId="2FEFD8C4" w:rsidR="0086408B" w:rsidRDefault="0086408B" w:rsidP="0086408B">
      <w:r>
        <w:t xml:space="preserve">Avacopan is eliminated mainly through phase I metabolism. Following oral administration of </w:t>
      </w:r>
      <w:proofErr w:type="spellStart"/>
      <w:r>
        <w:t>radiolabelled</w:t>
      </w:r>
      <w:proofErr w:type="spellEnd"/>
      <w:r>
        <w:t xml:space="preserve"> </w:t>
      </w:r>
      <w:proofErr w:type="spellStart"/>
      <w:r>
        <w:t>avacopan</w:t>
      </w:r>
      <w:proofErr w:type="spellEnd"/>
      <w:r>
        <w:t xml:space="preserve">, the bulk of the </w:t>
      </w:r>
      <w:r w:rsidR="003329DB">
        <w:t>active substance</w:t>
      </w:r>
      <w:r>
        <w:t xml:space="preserve">-related materials was recovered in </w:t>
      </w:r>
      <w:proofErr w:type="spellStart"/>
      <w:r>
        <w:t>faeces</w:t>
      </w:r>
      <w:proofErr w:type="spellEnd"/>
      <w:r>
        <w:t xml:space="preserve"> in the form of </w:t>
      </w:r>
      <w:r w:rsidR="003329DB">
        <w:t>p</w:t>
      </w:r>
      <w:r>
        <w:t xml:space="preserve">hase I metabolites. One major circulating metabolite (M1), a mono-hydroxylated product of </w:t>
      </w:r>
      <w:proofErr w:type="spellStart"/>
      <w:r>
        <w:t>avacopan</w:t>
      </w:r>
      <w:proofErr w:type="spellEnd"/>
      <w:r>
        <w:t xml:space="preserve">, was present at ~12% of the total </w:t>
      </w:r>
      <w:r w:rsidR="003329DB">
        <w:t>active substance</w:t>
      </w:r>
      <w:r>
        <w:t xml:space="preserve">-related materials in plasma. This metabolite constitutes 30 to 50% of the parent exposure and has approximately the same activity as </w:t>
      </w:r>
      <w:proofErr w:type="spellStart"/>
      <w:r>
        <w:t>avacopan</w:t>
      </w:r>
      <w:proofErr w:type="spellEnd"/>
      <w:r>
        <w:t xml:space="preserve"> on C5aR1. Cytochrome P450 (CYP) 3A4 is the major enzyme responsible for the clearance of </w:t>
      </w:r>
      <w:proofErr w:type="spellStart"/>
      <w:r>
        <w:t>avacopan</w:t>
      </w:r>
      <w:proofErr w:type="spellEnd"/>
      <w:r>
        <w:t xml:space="preserve"> and for the formation and clearance of </w:t>
      </w:r>
      <w:r w:rsidR="00F548D4">
        <w:t xml:space="preserve">the major circulating </w:t>
      </w:r>
      <w:r>
        <w:t>metabolite M1</w:t>
      </w:r>
      <w:r w:rsidR="00F548D4">
        <w:t xml:space="preserve">, a mono-hydroxylated product of </w:t>
      </w:r>
      <w:proofErr w:type="spellStart"/>
      <w:r w:rsidR="00F548D4">
        <w:t>avacopan</w:t>
      </w:r>
      <w:proofErr w:type="spellEnd"/>
      <w:r>
        <w:t>.</w:t>
      </w:r>
    </w:p>
    <w:p w14:paraId="7F0961E6" w14:textId="3150B925" w:rsidR="0086408B" w:rsidRDefault="0086408B" w:rsidP="0086408B">
      <w:r>
        <w:t xml:space="preserve">Avacopan is a weak inhibitor of CYP3A4 and CYP2C9 as indicated by a modest increase in the AUC of the probe </w:t>
      </w:r>
      <w:r w:rsidR="003329DB">
        <w:t>active substances</w:t>
      </w:r>
      <w:r>
        <w:t xml:space="preserve"> midazolam (1.81-fold) and celecoxib (1.15-fold), respectively.</w:t>
      </w:r>
    </w:p>
    <w:p w14:paraId="25FDA792" w14:textId="77777777" w:rsidR="0086408B" w:rsidRDefault="0086408B" w:rsidP="0086408B">
      <w:r w:rsidRPr="007331E6">
        <w:rPr>
          <w:i/>
          <w:iCs/>
        </w:rPr>
        <w:t>In vitro</w:t>
      </w:r>
      <w:r>
        <w:t xml:space="preserve">, </w:t>
      </w:r>
      <w:proofErr w:type="spellStart"/>
      <w:r>
        <w:t>avacopan</w:t>
      </w:r>
      <w:proofErr w:type="spellEnd"/>
      <w:r>
        <w:t xml:space="preserve"> is not an inhibitor or an inducer of other CYP enzymes.</w:t>
      </w:r>
    </w:p>
    <w:p w14:paraId="4ED2C64F" w14:textId="02CBF891" w:rsidR="0086408B" w:rsidRDefault="0086408B" w:rsidP="0086408B">
      <w:r>
        <w:t xml:space="preserve">Avacopan showed negligible to weak inhibition of common transporters </w:t>
      </w:r>
      <w:r w:rsidRPr="00150B7C">
        <w:rPr>
          <w:i/>
          <w:iCs/>
        </w:rPr>
        <w:t>in vitro</w:t>
      </w:r>
      <w:r>
        <w:t xml:space="preserve">. Therefore, clinically relevant interactions are unlikely when </w:t>
      </w:r>
      <w:proofErr w:type="spellStart"/>
      <w:r>
        <w:t>avacopan</w:t>
      </w:r>
      <w:proofErr w:type="spellEnd"/>
      <w:r>
        <w:t xml:space="preserve"> is co-administered with substances that are substrates or inhibitors of these transporters.</w:t>
      </w:r>
    </w:p>
    <w:p w14:paraId="2A85AB3E" w14:textId="56272E57" w:rsidR="001A3992" w:rsidRDefault="001A3992" w:rsidP="00CF3CA1">
      <w:pPr>
        <w:pStyle w:val="Heading3"/>
      </w:pPr>
      <w:r w:rsidRPr="00497C85">
        <w:lastRenderedPageBreak/>
        <w:t>Excretion</w:t>
      </w:r>
      <w:r w:rsidR="00677840">
        <w:t xml:space="preserve"> </w:t>
      </w:r>
    </w:p>
    <w:p w14:paraId="69B0F5D8" w14:textId="35866E48" w:rsidR="0086408B" w:rsidRDefault="0086408B" w:rsidP="0086408B">
      <w:r>
        <w:t xml:space="preserve">Based on population pharmacokinetic analysis, the total apparent body clearance (CL/F) of </w:t>
      </w:r>
      <w:proofErr w:type="spellStart"/>
      <w:r>
        <w:t>avacopan</w:t>
      </w:r>
      <w:proofErr w:type="spellEnd"/>
      <w:r>
        <w:t xml:space="preserve"> is 16.3</w:t>
      </w:r>
      <w:r w:rsidR="00AB33FD">
        <w:t> </w:t>
      </w:r>
      <w:r>
        <w:t>L/h (95% CI: 13.1 – 21.1</w:t>
      </w:r>
      <w:r w:rsidR="00AB33FD">
        <w:t> </w:t>
      </w:r>
      <w:r>
        <w:t>L/h). The median terminal elimination half-life is 510</w:t>
      </w:r>
      <w:r w:rsidR="00AB33FD">
        <w:t> </w:t>
      </w:r>
      <w:r>
        <w:t>hours (21</w:t>
      </w:r>
      <w:r w:rsidR="00AB33FD">
        <w:t> </w:t>
      </w:r>
      <w:r>
        <w:t xml:space="preserve">days) based on population pharmacokinetic analysis. When </w:t>
      </w:r>
      <w:proofErr w:type="spellStart"/>
      <w:r>
        <w:t>avacopan</w:t>
      </w:r>
      <w:proofErr w:type="spellEnd"/>
      <w:r>
        <w:t xml:space="preserve"> is stopped after steady state has been reached, the residual plasma concentration of </w:t>
      </w:r>
      <w:proofErr w:type="spellStart"/>
      <w:r>
        <w:t>avacopan</w:t>
      </w:r>
      <w:proofErr w:type="spellEnd"/>
      <w:r>
        <w:t xml:space="preserve"> is projected to decrease to ~20%, &lt;10%, and &lt;5% of the steady state maximum concentration approximately 4 weeks, 7 weeks, and 10 weeks, respectively, after the last dose.</w:t>
      </w:r>
    </w:p>
    <w:p w14:paraId="0EF1172F" w14:textId="49ACC12B" w:rsidR="00E63E61" w:rsidRPr="0086408B" w:rsidRDefault="0086408B" w:rsidP="00E63E61">
      <w:r>
        <w:t xml:space="preserve">Following oral administration of </w:t>
      </w:r>
      <w:proofErr w:type="spellStart"/>
      <w:r>
        <w:t>radiolabelled</w:t>
      </w:r>
      <w:proofErr w:type="spellEnd"/>
      <w:r>
        <w:t xml:space="preserve"> </w:t>
      </w:r>
      <w:proofErr w:type="spellStart"/>
      <w:r>
        <w:t>avacopan</w:t>
      </w:r>
      <w:proofErr w:type="spellEnd"/>
      <w:r>
        <w:t xml:space="preserve">, about 77% and 10% of the radioactivity was recovered in </w:t>
      </w:r>
      <w:proofErr w:type="spellStart"/>
      <w:r>
        <w:t>faeces</w:t>
      </w:r>
      <w:proofErr w:type="spellEnd"/>
      <w:r>
        <w:t xml:space="preserve"> and urine, respectively, and 7% and &lt;0.1% of the radioactive dose was recovered as unchanged </w:t>
      </w:r>
      <w:proofErr w:type="spellStart"/>
      <w:r>
        <w:t>avacopan</w:t>
      </w:r>
      <w:proofErr w:type="spellEnd"/>
      <w:r>
        <w:t xml:space="preserve"> in </w:t>
      </w:r>
      <w:proofErr w:type="spellStart"/>
      <w:r>
        <w:t>faeces</w:t>
      </w:r>
      <w:proofErr w:type="spellEnd"/>
      <w:r>
        <w:t xml:space="preserve"> and urine, respectively. These results suggest that the main route of clearance of </w:t>
      </w:r>
      <w:proofErr w:type="spellStart"/>
      <w:r>
        <w:t>avacopan</w:t>
      </w:r>
      <w:proofErr w:type="spellEnd"/>
      <w:r>
        <w:t xml:space="preserve"> is metabolism followed by biliary excretion of the metabolites into </w:t>
      </w:r>
      <w:proofErr w:type="spellStart"/>
      <w:r>
        <w:t>faeces</w:t>
      </w:r>
      <w:proofErr w:type="spellEnd"/>
      <w:r>
        <w:t>, and that direct excretion</w:t>
      </w:r>
      <w:r w:rsidR="003329DB">
        <w:t xml:space="preserve"> of </w:t>
      </w:r>
      <w:proofErr w:type="spellStart"/>
      <w:r w:rsidR="003329DB">
        <w:t>avacopan</w:t>
      </w:r>
      <w:proofErr w:type="spellEnd"/>
      <w:r>
        <w:t xml:space="preserve"> into urine or </w:t>
      </w:r>
      <w:proofErr w:type="spellStart"/>
      <w:r>
        <w:t>faeces</w:t>
      </w:r>
      <w:proofErr w:type="spellEnd"/>
      <w:r>
        <w:t xml:space="preserve"> via bile is negligible.</w:t>
      </w:r>
    </w:p>
    <w:p w14:paraId="65073413" w14:textId="54056E75" w:rsidR="001A3992" w:rsidRDefault="001A3992" w:rsidP="00CF3CA1">
      <w:pPr>
        <w:pStyle w:val="Heading2"/>
      </w:pPr>
      <w:r w:rsidRPr="00497C85">
        <w:t>Preclinical safety data</w:t>
      </w:r>
    </w:p>
    <w:p w14:paraId="6065B2D6" w14:textId="79D0EC45" w:rsidR="001A3992" w:rsidRDefault="001A3992" w:rsidP="00CF3CA1">
      <w:pPr>
        <w:pStyle w:val="Heading3"/>
      </w:pPr>
      <w:r w:rsidRPr="00497C85">
        <w:t>Genotoxicity</w:t>
      </w:r>
    </w:p>
    <w:p w14:paraId="7E9B3F8D" w14:textId="5969A829" w:rsidR="00827488" w:rsidRPr="00BD4C8D" w:rsidRDefault="00827488" w:rsidP="00BD4C8D">
      <w:r>
        <w:t>Avacopan wa</w:t>
      </w:r>
      <w:r w:rsidR="00AF3BB6">
        <w:t xml:space="preserve">s not </w:t>
      </w:r>
      <w:r w:rsidR="0009532C">
        <w:t>mutagenic or clastogenic in</w:t>
      </w:r>
      <w:r w:rsidR="00AF3BB6">
        <w:t xml:space="preserve"> </w:t>
      </w:r>
      <w:r w:rsidR="00AF3BB6" w:rsidRPr="00501745">
        <w:rPr>
          <w:i/>
          <w:iCs/>
        </w:rPr>
        <w:t xml:space="preserve">in </w:t>
      </w:r>
      <w:r w:rsidR="00E82BF2" w:rsidRPr="00501745">
        <w:rPr>
          <w:i/>
          <w:iCs/>
        </w:rPr>
        <w:t>vitro</w:t>
      </w:r>
      <w:r w:rsidR="00AF3BB6">
        <w:t xml:space="preserve"> bacterial reverse mutation test (</w:t>
      </w:r>
      <w:proofErr w:type="gramStart"/>
      <w:r w:rsidR="00AF3BB6">
        <w:t>Ames</w:t>
      </w:r>
      <w:proofErr w:type="gramEnd"/>
      <w:r w:rsidR="00AF3BB6">
        <w:t xml:space="preserve"> assay)</w:t>
      </w:r>
      <w:r w:rsidR="0009532C">
        <w:t>,</w:t>
      </w:r>
      <w:r w:rsidR="00E82BF2">
        <w:t xml:space="preserve"> </w:t>
      </w:r>
      <w:r w:rsidR="00AF3BB6" w:rsidRPr="00BC2819">
        <w:rPr>
          <w:i/>
          <w:iCs/>
        </w:rPr>
        <w:t xml:space="preserve">in </w:t>
      </w:r>
      <w:r w:rsidR="0009532C" w:rsidRPr="00BC2819">
        <w:rPr>
          <w:i/>
          <w:iCs/>
        </w:rPr>
        <w:t>vitro</w:t>
      </w:r>
      <w:r w:rsidR="00AF3BB6">
        <w:t xml:space="preserve"> </w:t>
      </w:r>
      <w:r w:rsidR="00FB619E">
        <w:t>mouse lymphoma assay</w:t>
      </w:r>
      <w:r w:rsidR="00E82BF2">
        <w:t xml:space="preserve">, and </w:t>
      </w:r>
      <w:r w:rsidR="00E82BF2" w:rsidRPr="00501745">
        <w:rPr>
          <w:i/>
          <w:iCs/>
        </w:rPr>
        <w:t>in vivo</w:t>
      </w:r>
      <w:r w:rsidR="00E82BF2">
        <w:t xml:space="preserve"> </w:t>
      </w:r>
      <w:r w:rsidR="0065380D">
        <w:t xml:space="preserve">rat bone marrow micronucleus test. </w:t>
      </w:r>
    </w:p>
    <w:p w14:paraId="388AB833" w14:textId="0EBCF808" w:rsidR="001A3992" w:rsidRDefault="001A3992" w:rsidP="00CF3CA1">
      <w:pPr>
        <w:pStyle w:val="Heading3"/>
      </w:pPr>
      <w:r w:rsidRPr="00497C85">
        <w:t>Carcinogenicity</w:t>
      </w:r>
    </w:p>
    <w:p w14:paraId="018244E0" w14:textId="3D4DEF03" w:rsidR="00BD4C8D" w:rsidRDefault="00BD4C8D" w:rsidP="00BD4C8D">
      <w:r>
        <w:t xml:space="preserve">The carcinogenic potential of </w:t>
      </w:r>
      <w:proofErr w:type="spellStart"/>
      <w:r>
        <w:t>avacopan</w:t>
      </w:r>
      <w:proofErr w:type="spellEnd"/>
      <w:r>
        <w:t xml:space="preserve"> was evaluated in a 2-year study in both rats and hamsters.</w:t>
      </w:r>
    </w:p>
    <w:p w14:paraId="49D26FC0" w14:textId="01B5933E" w:rsidR="00BD4C8D" w:rsidRPr="00BD4C8D" w:rsidRDefault="00BD4C8D" w:rsidP="00BD4C8D">
      <w:r>
        <w:t>Avacopan was not carcinogenic in hamsters, the pharmacologically relevant species</w:t>
      </w:r>
      <w:r w:rsidR="004C3A29">
        <w:t>,</w:t>
      </w:r>
      <w:r w:rsidR="004C3A29" w:rsidRPr="004C3A29">
        <w:t xml:space="preserve"> </w:t>
      </w:r>
      <w:r w:rsidR="004C3A29">
        <w:t xml:space="preserve">at oral doses of 100 mg/kg/day, equivalent to </w:t>
      </w:r>
      <w:r w:rsidR="0009532C">
        <w:t>4.4</w:t>
      </w:r>
      <w:r w:rsidR="004C3A29">
        <w:t>-fold the clinical AUC</w:t>
      </w:r>
      <w:r w:rsidR="00F94B27">
        <w:t xml:space="preserve"> </w:t>
      </w:r>
      <w:r w:rsidR="00F94B27" w:rsidRPr="007331E6">
        <w:rPr>
          <w:iCs/>
        </w:rPr>
        <w:t xml:space="preserve">based on the combined exposures of </w:t>
      </w:r>
      <w:proofErr w:type="spellStart"/>
      <w:r w:rsidR="00F94B27" w:rsidRPr="007331E6">
        <w:rPr>
          <w:iCs/>
        </w:rPr>
        <w:t>avacopan</w:t>
      </w:r>
      <w:proofErr w:type="spellEnd"/>
      <w:r w:rsidR="00F94B27" w:rsidRPr="007331E6">
        <w:rPr>
          <w:iCs/>
        </w:rPr>
        <w:t xml:space="preserve"> and active metabolite M1</w:t>
      </w:r>
      <w:r w:rsidRPr="00C35EB4">
        <w:t>.</w:t>
      </w:r>
      <w:r w:rsidR="0009532C">
        <w:t xml:space="preserve"> Avacopan demonstrated no tumorigenic potential in rats following oral doses up to 100 mg/kg/</w:t>
      </w:r>
      <w:r w:rsidR="0036223E">
        <w:t xml:space="preserve">day </w:t>
      </w:r>
      <w:r w:rsidR="0009532C">
        <w:t>(2.2-fold the clinical AUC).</w:t>
      </w:r>
      <w:r w:rsidR="00A67AAA" w:rsidRPr="00A67AAA">
        <w:t xml:space="preserve"> </w:t>
      </w:r>
    </w:p>
    <w:p w14:paraId="3CC94B0D" w14:textId="77777777" w:rsidR="001A3992" w:rsidRPr="00497C85" w:rsidRDefault="001A3992" w:rsidP="00CF3CA1">
      <w:pPr>
        <w:pStyle w:val="Heading1"/>
      </w:pPr>
      <w:r w:rsidRPr="00497C85">
        <w:t>Pharmaceutical particulars</w:t>
      </w:r>
    </w:p>
    <w:p w14:paraId="1151195A" w14:textId="77777777" w:rsidR="001A3992" w:rsidRPr="00497C85" w:rsidRDefault="001A3992" w:rsidP="00CF3CA1">
      <w:pPr>
        <w:pStyle w:val="Heading2"/>
      </w:pPr>
      <w:r w:rsidRPr="00497C85">
        <w:t xml:space="preserve">List of excipients </w:t>
      </w:r>
    </w:p>
    <w:p w14:paraId="4EE3F5E8" w14:textId="08C91125" w:rsidR="00BD4C8D" w:rsidRPr="00150B7C" w:rsidRDefault="00BD4C8D" w:rsidP="00BD4C8D">
      <w:pPr>
        <w:rPr>
          <w:u w:val="single"/>
          <w:lang w:val="en"/>
        </w:rPr>
      </w:pPr>
      <w:r w:rsidRPr="00150B7C">
        <w:rPr>
          <w:u w:val="single"/>
          <w:lang w:val="en"/>
        </w:rPr>
        <w:t>Capsule content</w:t>
      </w:r>
      <w:r w:rsidR="0074053F" w:rsidRPr="00150B7C">
        <w:rPr>
          <w:u w:val="single"/>
          <w:lang w:val="en"/>
        </w:rPr>
        <w:t>:</w:t>
      </w:r>
    </w:p>
    <w:p w14:paraId="3F2C6228" w14:textId="582C798A" w:rsidR="0074053F" w:rsidRPr="00783BC6" w:rsidRDefault="00742C5B" w:rsidP="0074053F">
      <w:pPr>
        <w:pStyle w:val="ListParagraph"/>
        <w:numPr>
          <w:ilvl w:val="0"/>
          <w:numId w:val="22"/>
        </w:numPr>
        <w:rPr>
          <w:lang w:val="en"/>
        </w:rPr>
      </w:pPr>
      <w:bookmarkStart w:id="30" w:name="_Hlk89430632"/>
      <w:r>
        <w:t xml:space="preserve">PEG-40 </w:t>
      </w:r>
      <w:r w:rsidR="004921A2">
        <w:t xml:space="preserve">hydrogenated </w:t>
      </w:r>
      <w:r>
        <w:t>castor oil</w:t>
      </w:r>
      <w:r w:rsidR="0074053F">
        <w:t xml:space="preserve"> </w:t>
      </w:r>
    </w:p>
    <w:bookmarkEnd w:id="30"/>
    <w:p w14:paraId="131BCC0B" w14:textId="3E167D9F" w:rsidR="00BD4C8D" w:rsidRPr="00783BC6" w:rsidRDefault="00BD4C8D" w:rsidP="00783BC6">
      <w:pPr>
        <w:pStyle w:val="ListParagraph"/>
        <w:numPr>
          <w:ilvl w:val="0"/>
          <w:numId w:val="22"/>
        </w:numPr>
        <w:rPr>
          <w:lang w:val="en"/>
        </w:rPr>
      </w:pPr>
      <w:r w:rsidRPr="00783BC6">
        <w:rPr>
          <w:lang w:val="en"/>
        </w:rPr>
        <w:t>Macrogol 4000</w:t>
      </w:r>
    </w:p>
    <w:p w14:paraId="4B22B2D1" w14:textId="77777777" w:rsidR="00BD4C8D" w:rsidRPr="00150B7C" w:rsidRDefault="00BD4C8D" w:rsidP="00C24455">
      <w:pPr>
        <w:pageBreakBefore/>
        <w:rPr>
          <w:u w:val="single"/>
          <w:lang w:val="en"/>
        </w:rPr>
      </w:pPr>
      <w:r w:rsidRPr="00150B7C">
        <w:rPr>
          <w:u w:val="single"/>
          <w:lang w:val="en"/>
        </w:rPr>
        <w:lastRenderedPageBreak/>
        <w:t>Capsule shell</w:t>
      </w:r>
    </w:p>
    <w:p w14:paraId="74CD30C4" w14:textId="77777777" w:rsidR="006C53EB" w:rsidRDefault="00BD4C8D" w:rsidP="0074053F">
      <w:pPr>
        <w:pStyle w:val="ListParagraph"/>
        <w:numPr>
          <w:ilvl w:val="0"/>
          <w:numId w:val="22"/>
        </w:numPr>
        <w:rPr>
          <w:lang w:val="en"/>
        </w:rPr>
      </w:pPr>
      <w:r w:rsidRPr="00301505">
        <w:rPr>
          <w:lang w:val="en"/>
        </w:rPr>
        <w:t>Gelatin</w:t>
      </w:r>
      <w:r w:rsidR="0074053F" w:rsidRPr="00783BC6">
        <w:rPr>
          <w:lang w:val="en"/>
        </w:rPr>
        <w:t xml:space="preserve"> </w:t>
      </w:r>
    </w:p>
    <w:p w14:paraId="45FA50F5" w14:textId="05EFCF62" w:rsidR="006C53EB" w:rsidRDefault="00742C5B" w:rsidP="0074053F">
      <w:pPr>
        <w:pStyle w:val="ListParagraph"/>
        <w:numPr>
          <w:ilvl w:val="0"/>
          <w:numId w:val="22"/>
        </w:numPr>
        <w:rPr>
          <w:lang w:val="en"/>
        </w:rPr>
      </w:pPr>
      <w:r w:rsidRPr="00783BC6">
        <w:rPr>
          <w:lang w:val="en"/>
        </w:rPr>
        <w:t>I</w:t>
      </w:r>
      <w:r w:rsidR="00BD4C8D" w:rsidRPr="00783BC6">
        <w:rPr>
          <w:lang w:val="en"/>
        </w:rPr>
        <w:t>ron oxide</w:t>
      </w:r>
      <w:r w:rsidRPr="00783BC6">
        <w:rPr>
          <w:lang w:val="en"/>
        </w:rPr>
        <w:t xml:space="preserve"> red</w:t>
      </w:r>
      <w:r w:rsidR="00BD4C8D" w:rsidRPr="00783BC6">
        <w:rPr>
          <w:lang w:val="en"/>
        </w:rPr>
        <w:t xml:space="preserve"> </w:t>
      </w:r>
    </w:p>
    <w:p w14:paraId="476F0166" w14:textId="2B94C625" w:rsidR="006C53EB" w:rsidRDefault="00742C5B" w:rsidP="0074053F">
      <w:pPr>
        <w:pStyle w:val="ListParagraph"/>
        <w:numPr>
          <w:ilvl w:val="0"/>
          <w:numId w:val="22"/>
        </w:numPr>
        <w:rPr>
          <w:lang w:val="en"/>
        </w:rPr>
      </w:pPr>
      <w:r w:rsidRPr="00783BC6">
        <w:rPr>
          <w:lang w:val="en"/>
        </w:rPr>
        <w:t>I</w:t>
      </w:r>
      <w:r w:rsidR="00BD4C8D" w:rsidRPr="00783BC6">
        <w:rPr>
          <w:lang w:val="en"/>
        </w:rPr>
        <w:t>ron oxide</w:t>
      </w:r>
      <w:r w:rsidRPr="00783BC6">
        <w:rPr>
          <w:lang w:val="en"/>
        </w:rPr>
        <w:t xml:space="preserve"> yellow</w:t>
      </w:r>
      <w:r w:rsidR="00BD4C8D" w:rsidRPr="00783BC6">
        <w:rPr>
          <w:lang w:val="en"/>
        </w:rPr>
        <w:t xml:space="preserve">  </w:t>
      </w:r>
    </w:p>
    <w:p w14:paraId="3F69484F" w14:textId="05824725" w:rsidR="006C53EB" w:rsidRDefault="00BD4C8D" w:rsidP="0074053F">
      <w:pPr>
        <w:pStyle w:val="ListParagraph"/>
        <w:numPr>
          <w:ilvl w:val="0"/>
          <w:numId w:val="22"/>
        </w:numPr>
        <w:rPr>
          <w:lang w:val="en"/>
        </w:rPr>
      </w:pPr>
      <w:r w:rsidRPr="00783BC6">
        <w:rPr>
          <w:lang w:val="en"/>
        </w:rPr>
        <w:t xml:space="preserve">Titanium dioxide </w:t>
      </w:r>
    </w:p>
    <w:p w14:paraId="105366EC" w14:textId="55E6A397" w:rsidR="00BD4C8D" w:rsidRDefault="00BD4C8D" w:rsidP="00783BC6">
      <w:pPr>
        <w:pStyle w:val="ListParagraph"/>
        <w:numPr>
          <w:ilvl w:val="0"/>
          <w:numId w:val="22"/>
        </w:numPr>
        <w:rPr>
          <w:lang w:val="en"/>
        </w:rPr>
      </w:pPr>
      <w:r w:rsidRPr="00783BC6">
        <w:rPr>
          <w:lang w:val="en"/>
        </w:rPr>
        <w:t>Polysorbate 80</w:t>
      </w:r>
    </w:p>
    <w:p w14:paraId="5AA87462" w14:textId="77777777" w:rsidR="003925F0" w:rsidRDefault="003925F0" w:rsidP="003925F0">
      <w:pPr>
        <w:spacing w:before="0"/>
        <w:rPr>
          <w:lang w:val="en"/>
        </w:rPr>
      </w:pPr>
    </w:p>
    <w:p w14:paraId="46C1F1A1" w14:textId="35856CB7" w:rsidR="003925F0" w:rsidRPr="001A4151" w:rsidRDefault="003925F0" w:rsidP="001A4151">
      <w:pPr>
        <w:spacing w:before="0"/>
        <w:rPr>
          <w:u w:val="single"/>
          <w:lang w:val="en"/>
        </w:rPr>
      </w:pPr>
      <w:r w:rsidRPr="001A4151">
        <w:rPr>
          <w:u w:val="single"/>
          <w:lang w:val="en"/>
        </w:rPr>
        <w:t>Imprinting ink</w:t>
      </w:r>
    </w:p>
    <w:p w14:paraId="02220452" w14:textId="4BEF4E45" w:rsidR="003925F0" w:rsidRPr="001E7154" w:rsidRDefault="00E35922" w:rsidP="007331E6">
      <w:pPr>
        <w:pStyle w:val="ListParagraph"/>
        <w:numPr>
          <w:ilvl w:val="0"/>
          <w:numId w:val="29"/>
        </w:numPr>
        <w:rPr>
          <w:lang w:val="en"/>
        </w:rPr>
      </w:pPr>
      <w:r w:rsidRPr="007C5E0F">
        <w:rPr>
          <w:lang w:val="en"/>
        </w:rPr>
        <w:t>I</w:t>
      </w:r>
      <w:r w:rsidR="003925F0" w:rsidRPr="001E7154">
        <w:rPr>
          <w:lang w:val="en"/>
        </w:rPr>
        <w:t>ron oxide</w:t>
      </w:r>
      <w:r w:rsidRPr="001E7154">
        <w:rPr>
          <w:lang w:val="en"/>
        </w:rPr>
        <w:t xml:space="preserve"> black</w:t>
      </w:r>
    </w:p>
    <w:p w14:paraId="6E0C6340" w14:textId="77777777" w:rsidR="003925F0" w:rsidRPr="001E7154" w:rsidRDefault="003925F0" w:rsidP="00291C24">
      <w:pPr>
        <w:pStyle w:val="ListParagraph"/>
        <w:numPr>
          <w:ilvl w:val="0"/>
          <w:numId w:val="29"/>
        </w:numPr>
        <w:spacing w:before="0"/>
        <w:rPr>
          <w:lang w:val="en"/>
        </w:rPr>
      </w:pPr>
      <w:r w:rsidRPr="001E7154">
        <w:rPr>
          <w:lang w:val="en"/>
        </w:rPr>
        <w:t>Shellac</w:t>
      </w:r>
    </w:p>
    <w:p w14:paraId="0C1EBE49" w14:textId="6C48878F" w:rsidR="003925F0" w:rsidRPr="007C5E0F" w:rsidRDefault="003925F0" w:rsidP="00291C24">
      <w:pPr>
        <w:pStyle w:val="ListParagraph"/>
        <w:numPr>
          <w:ilvl w:val="0"/>
          <w:numId w:val="29"/>
        </w:numPr>
        <w:spacing w:before="0"/>
        <w:rPr>
          <w:lang w:val="en"/>
        </w:rPr>
      </w:pPr>
      <w:r w:rsidRPr="001E7154">
        <w:rPr>
          <w:lang w:val="en"/>
        </w:rPr>
        <w:t>Potassium hydroxide</w:t>
      </w:r>
    </w:p>
    <w:p w14:paraId="770C0CD1" w14:textId="77777777" w:rsidR="001A3992" w:rsidRPr="00497C85" w:rsidRDefault="001A3992" w:rsidP="00CF3CA1">
      <w:pPr>
        <w:pStyle w:val="Heading2"/>
      </w:pPr>
      <w:r w:rsidRPr="00497C85">
        <w:t xml:space="preserve">Incompatibilities </w:t>
      </w:r>
    </w:p>
    <w:p w14:paraId="24549ACC" w14:textId="5B65A188" w:rsidR="00497C85" w:rsidRPr="00497C85" w:rsidRDefault="00BD4C8D" w:rsidP="00CF3CA1">
      <w:r>
        <w:rPr>
          <w:lang w:val="en"/>
        </w:rPr>
        <w:t>Not applicable.</w:t>
      </w:r>
    </w:p>
    <w:p w14:paraId="5CC35B1A" w14:textId="77777777" w:rsidR="001A3992" w:rsidRPr="00497C85" w:rsidRDefault="001A3992" w:rsidP="00CF3CA1">
      <w:pPr>
        <w:pStyle w:val="Heading2"/>
      </w:pPr>
      <w:r w:rsidRPr="00497C85">
        <w:t xml:space="preserve">Shelf life </w:t>
      </w:r>
    </w:p>
    <w:p w14:paraId="4D8AC9DD" w14:textId="64F2CB5A" w:rsidR="00497C85" w:rsidRPr="00497C85" w:rsidRDefault="00497C85" w:rsidP="00CF3CA1">
      <w:r w:rsidRPr="00497C85">
        <w:rPr>
          <w:lang w:val="en"/>
        </w:rPr>
        <w:t xml:space="preserve">In Australia, information on the shelf life can be found on the public summary of the Australian Register of Therapeutic Goods (ARTG). The expiry date can be found on the packaging. </w:t>
      </w:r>
    </w:p>
    <w:p w14:paraId="606EFFD2" w14:textId="51701994" w:rsidR="001A3992" w:rsidRDefault="001A3992" w:rsidP="00CF3CA1">
      <w:pPr>
        <w:pStyle w:val="Heading2"/>
      </w:pPr>
      <w:r w:rsidRPr="00497C85">
        <w:t xml:space="preserve">Special precautions for storage </w:t>
      </w:r>
    </w:p>
    <w:p w14:paraId="54923375" w14:textId="5A732E94" w:rsidR="00BD4C8D" w:rsidRPr="00BD4C8D" w:rsidRDefault="00742C5B" w:rsidP="007331E6">
      <w:r>
        <w:rPr>
          <w:iCs/>
          <w:szCs w:val="22"/>
        </w:rPr>
        <w:t>Store below 30</w:t>
      </w:r>
      <w:r>
        <w:rPr>
          <w:rFonts w:ascii="Symbol" w:eastAsia="Symbol" w:hAnsi="Symbol" w:cs="Symbol"/>
          <w:iCs/>
          <w:szCs w:val="22"/>
        </w:rPr>
        <w:t>°</w:t>
      </w:r>
      <w:r>
        <w:rPr>
          <w:iCs/>
          <w:szCs w:val="22"/>
        </w:rPr>
        <w:t xml:space="preserve">C. </w:t>
      </w:r>
      <w:r w:rsidRPr="00D84542">
        <w:rPr>
          <w:iCs/>
          <w:szCs w:val="22"/>
        </w:rPr>
        <w:t xml:space="preserve"> </w:t>
      </w:r>
      <w:r w:rsidR="00944486">
        <w:rPr>
          <w:sz w:val="22"/>
          <w:szCs w:val="22"/>
        </w:rPr>
        <w:br/>
      </w:r>
      <w:r w:rsidR="00BD4C8D" w:rsidRPr="00BD4C8D">
        <w:t xml:space="preserve">Store in the original bottle </w:t>
      </w:r>
      <w:proofErr w:type="gramStart"/>
      <w:r w:rsidR="00BD4C8D" w:rsidRPr="00BD4C8D">
        <w:t>in order to</w:t>
      </w:r>
      <w:proofErr w:type="gramEnd"/>
      <w:r w:rsidR="00BD4C8D" w:rsidRPr="00BD4C8D">
        <w:t xml:space="preserve"> protect from light.</w:t>
      </w:r>
    </w:p>
    <w:p w14:paraId="1D5901A5" w14:textId="40572C69" w:rsidR="001A3992" w:rsidRDefault="001A3992" w:rsidP="00CF3CA1">
      <w:pPr>
        <w:pStyle w:val="Heading2"/>
      </w:pPr>
      <w:r w:rsidRPr="00497C85">
        <w:t xml:space="preserve">Nature and contents of container </w:t>
      </w:r>
    </w:p>
    <w:p w14:paraId="1EA736A3" w14:textId="77777777" w:rsidR="0086752C" w:rsidRDefault="00BD4C8D" w:rsidP="00BD4C8D">
      <w:r>
        <w:t xml:space="preserve">High density polyethylene (HDPE) bottle with child-resistant closure and induction seal. </w:t>
      </w:r>
    </w:p>
    <w:p w14:paraId="46245AF3" w14:textId="6B650CC1" w:rsidR="00BD4C8D" w:rsidRDefault="00BD4C8D" w:rsidP="00BD4C8D">
      <w:r>
        <w:t>Pack sizes of 30 or 180 hard capsules.</w:t>
      </w:r>
    </w:p>
    <w:p w14:paraId="6B4F86BE" w14:textId="7BC1EA6D" w:rsidR="00BD4C8D" w:rsidRPr="00BD4C8D" w:rsidRDefault="00BD4C8D" w:rsidP="00BD4C8D">
      <w:r>
        <w:t>Not all pack sizes may be marketed.</w:t>
      </w:r>
    </w:p>
    <w:p w14:paraId="7AA0CF0F" w14:textId="77777777" w:rsidR="001A3992" w:rsidRPr="00497C85" w:rsidRDefault="001A3992" w:rsidP="00CF3CA1">
      <w:pPr>
        <w:pStyle w:val="Heading2"/>
      </w:pPr>
      <w:r w:rsidRPr="00497C85">
        <w:t xml:space="preserve">Special precautions for disposal </w:t>
      </w:r>
    </w:p>
    <w:p w14:paraId="69BC55AB" w14:textId="132C736E" w:rsidR="008B3F90" w:rsidRDefault="008B3F90" w:rsidP="00CF3CA1">
      <w:pPr>
        <w:rPr>
          <w:lang w:val="en"/>
        </w:rPr>
      </w:pPr>
      <w:r w:rsidRPr="008B3F90">
        <w:rPr>
          <w:lang w:val="en"/>
        </w:rPr>
        <w:t>No special requirements.</w:t>
      </w:r>
    </w:p>
    <w:p w14:paraId="25671F1C" w14:textId="706B9191" w:rsidR="002B424E" w:rsidRPr="00497C85" w:rsidRDefault="002B424E" w:rsidP="00CF3CA1">
      <w:r w:rsidRPr="00497C85">
        <w:rPr>
          <w:lang w:val="en"/>
        </w:rPr>
        <w:t>In Australia, any unused medicine or waste material should be disposed of</w:t>
      </w:r>
      <w:r>
        <w:rPr>
          <w:lang w:val="en"/>
        </w:rPr>
        <w:t xml:space="preserve"> in accordance with local requirements. </w:t>
      </w:r>
    </w:p>
    <w:p w14:paraId="00213444" w14:textId="77777777" w:rsidR="001A3992" w:rsidRPr="00497C85" w:rsidRDefault="001A3992" w:rsidP="00CF3CA1">
      <w:pPr>
        <w:pStyle w:val="Heading2"/>
      </w:pPr>
      <w:r w:rsidRPr="00497C85">
        <w:lastRenderedPageBreak/>
        <w:t>Physicochemical properties</w:t>
      </w:r>
    </w:p>
    <w:p w14:paraId="14DEC5EF" w14:textId="0FE7BBB2" w:rsidR="001A3992" w:rsidRDefault="001A3992" w:rsidP="00CF3CA1">
      <w:pPr>
        <w:pStyle w:val="Heading3"/>
      </w:pPr>
      <w:r w:rsidRPr="00497C85">
        <w:t>Chemical structure</w:t>
      </w:r>
    </w:p>
    <w:p w14:paraId="48186325" w14:textId="22D86C01" w:rsidR="0086752C" w:rsidRPr="0086752C" w:rsidRDefault="0086752C" w:rsidP="0086752C">
      <w:r>
        <w:rPr>
          <w:noProof/>
        </w:rPr>
        <w:drawing>
          <wp:inline distT="0" distB="0" distL="0" distR="0" wp14:anchorId="63B421D3" wp14:editId="037E08BA">
            <wp:extent cx="2527540" cy="1476225"/>
            <wp:effectExtent l="0" t="0" r="6350"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rotWithShape="1">
                    <a:blip r:embed="rId16"/>
                    <a:srcRect l="18307"/>
                    <a:stretch/>
                  </pic:blipFill>
                  <pic:spPr bwMode="auto">
                    <a:xfrm>
                      <a:off x="0" y="0"/>
                      <a:ext cx="2543217" cy="1485381"/>
                    </a:xfrm>
                    <a:prstGeom prst="rect">
                      <a:avLst/>
                    </a:prstGeom>
                    <a:ln>
                      <a:noFill/>
                    </a:ln>
                    <a:extLst>
                      <a:ext uri="{53640926-AAD7-44D8-BBD7-CCE9431645EC}">
                        <a14:shadowObscured xmlns:a14="http://schemas.microsoft.com/office/drawing/2010/main"/>
                      </a:ext>
                    </a:extLst>
                  </pic:spPr>
                </pic:pic>
              </a:graphicData>
            </a:graphic>
          </wp:inline>
        </w:drawing>
      </w:r>
    </w:p>
    <w:p w14:paraId="415C2244" w14:textId="6BDB72BF" w:rsidR="001A3992" w:rsidRDefault="001A3992" w:rsidP="00CF3CA1">
      <w:pPr>
        <w:pStyle w:val="Heading3"/>
      </w:pPr>
      <w:r w:rsidRPr="00497C85">
        <w:t>CAS number</w:t>
      </w:r>
    </w:p>
    <w:p w14:paraId="5CCDFC7A" w14:textId="77DFCAA6" w:rsidR="0086752C" w:rsidRPr="0086752C" w:rsidRDefault="0086752C" w:rsidP="0086752C">
      <w:r w:rsidRPr="0086752C">
        <w:t>346623-17-3</w:t>
      </w:r>
    </w:p>
    <w:p w14:paraId="069B54A4" w14:textId="2B54FCA8" w:rsidR="001A3992" w:rsidRDefault="001A3992" w:rsidP="00CF3CA1">
      <w:pPr>
        <w:pStyle w:val="Heading1"/>
      </w:pPr>
      <w:r w:rsidRPr="00497C85">
        <w:t>Medicine schedule (Poisons Standard)</w:t>
      </w:r>
    </w:p>
    <w:p w14:paraId="766D8D9F" w14:textId="27AE45F2" w:rsidR="008B3F90" w:rsidRPr="008B3F90" w:rsidRDefault="008B3F90" w:rsidP="008B3F90">
      <w:r>
        <w:t>Schedule 4</w:t>
      </w:r>
    </w:p>
    <w:p w14:paraId="100ADDA4" w14:textId="74319BCA" w:rsidR="001A3992" w:rsidRDefault="001A3992" w:rsidP="00CF3CA1">
      <w:pPr>
        <w:pStyle w:val="Heading1"/>
      </w:pPr>
      <w:r w:rsidRPr="00497C85">
        <w:t>Sponsor</w:t>
      </w:r>
    </w:p>
    <w:p w14:paraId="3481709E" w14:textId="4510429A" w:rsidR="008B3F90" w:rsidRDefault="008B3F90" w:rsidP="008B3F90">
      <w:r w:rsidRPr="008B3F90">
        <w:t>Vifor Pharma Pty Ltd</w:t>
      </w:r>
      <w:r>
        <w:br/>
        <w:t>Level 9, 140 William Street</w:t>
      </w:r>
      <w:r>
        <w:br/>
        <w:t>Melbourne VIC 3000</w:t>
      </w:r>
      <w:r>
        <w:br/>
        <w:t>Australia</w:t>
      </w:r>
    </w:p>
    <w:p w14:paraId="64CA2E18" w14:textId="77777777" w:rsidR="008B3F90" w:rsidRDefault="008B3F90" w:rsidP="008B3F90">
      <w:r>
        <w:t>Tel: 1800 202 674 (Australia)</w:t>
      </w:r>
    </w:p>
    <w:p w14:paraId="0BE589B0" w14:textId="63BE101B" w:rsidR="001A3992" w:rsidRDefault="001A3992" w:rsidP="00CF3CA1">
      <w:pPr>
        <w:pStyle w:val="Heading1"/>
      </w:pPr>
      <w:r w:rsidRPr="00497C85">
        <w:t xml:space="preserve">Date of first approval  </w:t>
      </w:r>
    </w:p>
    <w:p w14:paraId="0D7CD712" w14:textId="596F02BE" w:rsidR="008B3F90" w:rsidRPr="008B3F90" w:rsidRDefault="000F2FE2" w:rsidP="008B3F90">
      <w:r>
        <w:t>31 January 2023</w:t>
      </w:r>
    </w:p>
    <w:p w14:paraId="7FDFE5BF" w14:textId="77777777" w:rsidR="001A3992" w:rsidRPr="00497C85" w:rsidRDefault="001A3992" w:rsidP="00CF3CA1">
      <w:pPr>
        <w:pStyle w:val="Heading1"/>
      </w:pPr>
      <w:r w:rsidRPr="00497C85">
        <w:t xml:space="preserve">Date of revision </w:t>
      </w:r>
    </w:p>
    <w:p w14:paraId="75133F1F" w14:textId="033B6EAA" w:rsidR="00960CD5" w:rsidRDefault="0086752C" w:rsidP="0092304A">
      <w:r>
        <w:t>Not applicable.</w:t>
      </w:r>
    </w:p>
    <w:p w14:paraId="1A111FF0" w14:textId="46D531CA" w:rsidR="00C0514D" w:rsidRDefault="00C0514D" w:rsidP="0092304A"/>
    <w:p w14:paraId="553890EC" w14:textId="77777777" w:rsidR="00C0514D" w:rsidRPr="00C0514D" w:rsidRDefault="00C0514D" w:rsidP="00C0514D">
      <w:pPr>
        <w:pStyle w:val="Heading3"/>
        <w:rPr>
          <w:rFonts w:ascii="Times New Roman" w:hAnsi="Times New Roman" w:cs="Times New Roman"/>
          <w:sz w:val="24"/>
          <w:szCs w:val="32"/>
        </w:rPr>
      </w:pPr>
      <w:r w:rsidRPr="00C0514D">
        <w:rPr>
          <w:rFonts w:ascii="Times New Roman" w:hAnsi="Times New Roman" w:cs="Times New Roman"/>
          <w:sz w:val="24"/>
          <w:szCs w:val="32"/>
        </w:rPr>
        <w:lastRenderedPageBreak/>
        <w:t>Summary table of changes</w:t>
      </w:r>
    </w:p>
    <w:p w14:paraId="761C94D5" w14:textId="77777777" w:rsidR="00C0514D" w:rsidRPr="0098782E" w:rsidRDefault="00C0514D" w:rsidP="00C0514D">
      <w:pPr>
        <w:keepNext/>
        <w:rPr>
          <w:b/>
        </w:rPr>
      </w:pPr>
    </w:p>
    <w:tbl>
      <w:tblPr>
        <w:tblStyle w:val="TableGrid"/>
        <w:tblW w:w="0" w:type="auto"/>
        <w:tblLook w:val="04A0" w:firstRow="1" w:lastRow="0" w:firstColumn="1" w:lastColumn="0" w:noHBand="0" w:noVBand="1"/>
      </w:tblPr>
      <w:tblGrid>
        <w:gridCol w:w="2122"/>
        <w:gridCol w:w="6894"/>
      </w:tblGrid>
      <w:tr w:rsidR="00C0514D" w:rsidRPr="0098782E" w14:paraId="58960D3B" w14:textId="77777777" w:rsidTr="00AF3D6E">
        <w:tc>
          <w:tcPr>
            <w:tcW w:w="2122" w:type="dxa"/>
          </w:tcPr>
          <w:p w14:paraId="4186AD2F" w14:textId="77777777" w:rsidR="00C0514D" w:rsidRPr="0098782E" w:rsidRDefault="00C0514D" w:rsidP="00AF3D6E">
            <w:pPr>
              <w:keepNext/>
              <w:rPr>
                <w:b/>
              </w:rPr>
            </w:pPr>
            <w:r w:rsidRPr="0098782E">
              <w:rPr>
                <w:b/>
              </w:rPr>
              <w:t>Section changed</w:t>
            </w:r>
          </w:p>
        </w:tc>
        <w:tc>
          <w:tcPr>
            <w:tcW w:w="6894" w:type="dxa"/>
          </w:tcPr>
          <w:p w14:paraId="66AEBD03" w14:textId="77777777" w:rsidR="00C0514D" w:rsidRPr="0098782E" w:rsidRDefault="00C0514D" w:rsidP="00AF3D6E">
            <w:pPr>
              <w:keepNext/>
              <w:rPr>
                <w:b/>
              </w:rPr>
            </w:pPr>
            <w:r w:rsidRPr="0098782E">
              <w:rPr>
                <w:b/>
              </w:rPr>
              <w:t>Summary of new information</w:t>
            </w:r>
          </w:p>
        </w:tc>
      </w:tr>
      <w:tr w:rsidR="00C0514D" w:rsidRPr="004A575B" w14:paraId="161C6850" w14:textId="77777777" w:rsidTr="00AF3D6E">
        <w:tc>
          <w:tcPr>
            <w:tcW w:w="2122" w:type="dxa"/>
          </w:tcPr>
          <w:p w14:paraId="0F8674EA" w14:textId="77777777" w:rsidR="00C0514D" w:rsidRPr="004A575B" w:rsidRDefault="00C0514D" w:rsidP="00AF3D6E">
            <w:pPr>
              <w:rPr>
                <w:bCs/>
              </w:rPr>
            </w:pPr>
          </w:p>
        </w:tc>
        <w:tc>
          <w:tcPr>
            <w:tcW w:w="6894" w:type="dxa"/>
          </w:tcPr>
          <w:p w14:paraId="343FFEBD" w14:textId="77777777" w:rsidR="00C0514D" w:rsidRPr="004A575B" w:rsidRDefault="00C0514D" w:rsidP="00AF3D6E">
            <w:pPr>
              <w:rPr>
                <w:bCs/>
              </w:rPr>
            </w:pPr>
            <w:r>
              <w:rPr>
                <w:bCs/>
              </w:rPr>
              <w:t>New Product Information</w:t>
            </w:r>
          </w:p>
        </w:tc>
      </w:tr>
    </w:tbl>
    <w:p w14:paraId="7BE3E27A" w14:textId="77777777" w:rsidR="00C0514D" w:rsidRPr="00497C85" w:rsidRDefault="00C0514D" w:rsidP="00583A33"/>
    <w:sectPr w:rsidR="00C0514D" w:rsidRPr="00497C85" w:rsidSect="00C24455">
      <w:headerReference w:type="even" r:id="rId17"/>
      <w:headerReference w:type="default" r:id="rId18"/>
      <w:footerReference w:type="even" r:id="rId19"/>
      <w:footerReference w:type="default" r:id="rId20"/>
      <w:pgSz w:w="11906" w:h="16838"/>
      <w:pgMar w:top="1135" w:right="1440" w:bottom="1440" w:left="1440" w:header="6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5B8D" w14:textId="77777777" w:rsidR="00B66BF1" w:rsidRDefault="00B66BF1" w:rsidP="00CF3CA1">
      <w:r>
        <w:separator/>
      </w:r>
    </w:p>
  </w:endnote>
  <w:endnote w:type="continuationSeparator" w:id="0">
    <w:p w14:paraId="329DAE08" w14:textId="77777777" w:rsidR="00B66BF1" w:rsidRDefault="00B66BF1" w:rsidP="00CF3CA1">
      <w:r>
        <w:continuationSeparator/>
      </w:r>
    </w:p>
  </w:endnote>
  <w:endnote w:type="continuationNotice" w:id="1">
    <w:p w14:paraId="7DB4320A" w14:textId="77777777" w:rsidR="00B66BF1" w:rsidRDefault="00B66B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9BCB" w14:textId="60E39C90" w:rsidR="007C5E0F" w:rsidRDefault="007C5E0F" w:rsidP="00CF3CA1">
    <w:pPr>
      <w:pStyle w:val="Footer"/>
    </w:pPr>
  </w:p>
  <w:p w14:paraId="377BD24B" w14:textId="77777777" w:rsidR="007C5E0F" w:rsidRDefault="007C5E0F"/>
  <w:p w14:paraId="3523BBE6" w14:textId="77777777" w:rsidR="007C5E0F" w:rsidRDefault="007C5E0F"/>
  <w:p w14:paraId="5192720F" w14:textId="77777777" w:rsidR="007C5E0F" w:rsidRDefault="007C5E0F"/>
  <w:p w14:paraId="6A5ED071" w14:textId="77777777" w:rsidR="007C5E0F" w:rsidRDefault="007C5E0F"/>
  <w:p w14:paraId="399B3CEB" w14:textId="77777777" w:rsidR="007C5E0F" w:rsidRDefault="007C5E0F"/>
  <w:p w14:paraId="20982A6E" w14:textId="77777777" w:rsidR="007C5E0F" w:rsidRDefault="007C5E0F"/>
  <w:p w14:paraId="20F3C1E6" w14:textId="77777777" w:rsidR="007C5E0F" w:rsidRDefault="007C5E0F"/>
  <w:p w14:paraId="3BCF180D" w14:textId="77777777" w:rsidR="007C5E0F" w:rsidRDefault="007C5E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4673" w14:textId="32058BD8" w:rsidR="00590F88" w:rsidRDefault="00590F88" w:rsidP="00CF3CA1">
    <w:pPr>
      <w:pStyle w:val="Footer"/>
      <w:pBdr>
        <w:bottom w:val="single" w:sz="12" w:space="1" w:color="auto"/>
      </w:pBdr>
    </w:pPr>
  </w:p>
  <w:sdt>
    <w:sdtPr>
      <w:id w:val="-593163430"/>
      <w:docPartObj>
        <w:docPartGallery w:val="Page Numbers (Bottom of Page)"/>
        <w:docPartUnique/>
      </w:docPartObj>
    </w:sdtPr>
    <w:sdtEndPr>
      <w:rPr>
        <w:rFonts w:ascii="Arial" w:hAnsi="Arial" w:cs="Arial"/>
        <w:noProof/>
        <w:sz w:val="18"/>
      </w:rPr>
    </w:sdtEndPr>
    <w:sdtContent>
      <w:p w14:paraId="57F86A66" w14:textId="228B4619" w:rsidR="007C5E0F" w:rsidRDefault="007C5E0F" w:rsidP="00CF3CA1">
        <w:pPr>
          <w:pStyle w:val="Footer"/>
          <w:pBdr>
            <w:bottom w:val="single" w:sz="12" w:space="1" w:color="auto"/>
          </w:pBdr>
        </w:pPr>
      </w:p>
      <w:p w14:paraId="7016BCB8" w14:textId="06256101" w:rsidR="007C5E0F" w:rsidRPr="00383A26" w:rsidRDefault="006F03DA" w:rsidP="00CF3CA1">
        <w:pPr>
          <w:pStyle w:val="Footer"/>
          <w:spacing w:before="0"/>
          <w:rPr>
            <w:rFonts w:ascii="Arial" w:hAnsi="Arial" w:cs="Arial"/>
            <w:noProof/>
            <w:sz w:val="18"/>
          </w:rPr>
        </w:pPr>
        <w:r w:rsidRPr="00383A26">
          <w:rPr>
            <w:rFonts w:ascii="Arial" w:hAnsi="Arial" w:cs="Arial"/>
            <w:sz w:val="18"/>
          </w:rPr>
          <w:t xml:space="preserve">Tavneos </w:t>
        </w:r>
        <w:r w:rsidR="00D607BF">
          <w:rPr>
            <w:rFonts w:ascii="Arial" w:hAnsi="Arial" w:cs="Arial"/>
            <w:sz w:val="18"/>
          </w:rPr>
          <w:t>2023-01-</w:t>
        </w:r>
        <w:r w:rsidR="000F2FE2">
          <w:rPr>
            <w:rFonts w:ascii="Arial" w:hAnsi="Arial" w:cs="Arial"/>
            <w:sz w:val="18"/>
          </w:rPr>
          <w:t>31</w:t>
        </w:r>
        <w:r w:rsidRPr="00383A26">
          <w:rPr>
            <w:rFonts w:ascii="Arial" w:hAnsi="Arial" w:cs="Arial"/>
            <w:sz w:val="18"/>
          </w:rPr>
          <w:t xml:space="preserve"> AVA_AUS_PI</w:t>
        </w:r>
        <w:r w:rsidR="007C5E0F" w:rsidRPr="00383A26">
          <w:rPr>
            <w:rFonts w:ascii="Arial" w:hAnsi="Arial" w:cs="Arial"/>
            <w:sz w:val="18"/>
          </w:rPr>
          <w:tab/>
        </w:r>
        <w:r w:rsidR="007C5E0F" w:rsidRPr="00383A26">
          <w:rPr>
            <w:rFonts w:ascii="Arial" w:hAnsi="Arial" w:cs="Arial"/>
            <w:sz w:val="18"/>
          </w:rPr>
          <w:tab/>
        </w:r>
        <w:r w:rsidR="007C5E0F" w:rsidRPr="00CF3CA1">
          <w:rPr>
            <w:rFonts w:ascii="Arial" w:hAnsi="Arial" w:cs="Arial"/>
            <w:sz w:val="18"/>
          </w:rPr>
          <w:fldChar w:fldCharType="begin"/>
        </w:r>
        <w:r w:rsidR="007C5E0F" w:rsidRPr="007331E6">
          <w:rPr>
            <w:rFonts w:ascii="Arial" w:hAnsi="Arial" w:cs="Arial"/>
            <w:sz w:val="18"/>
            <w:lang w:val="pt-PT"/>
          </w:rPr>
          <w:instrText xml:space="preserve"> PAGE   \* MERGEFORMAT </w:instrText>
        </w:r>
        <w:r w:rsidR="007C5E0F" w:rsidRPr="00CF3CA1">
          <w:rPr>
            <w:rFonts w:ascii="Arial" w:hAnsi="Arial" w:cs="Arial"/>
            <w:sz w:val="18"/>
          </w:rPr>
          <w:fldChar w:fldCharType="separate"/>
        </w:r>
        <w:r w:rsidR="007C5E0F" w:rsidRPr="007331E6">
          <w:rPr>
            <w:rFonts w:ascii="Arial" w:hAnsi="Arial" w:cs="Arial"/>
            <w:sz w:val="18"/>
            <w:lang w:val="pt-PT"/>
          </w:rPr>
          <w:t>2</w:t>
        </w:r>
        <w:r w:rsidR="007C5E0F" w:rsidRPr="00CF3CA1">
          <w:rPr>
            <w:rFonts w:ascii="Arial" w:hAnsi="Arial" w:cs="Arial"/>
            <w:noProof/>
            <w:sz w:val="18"/>
          </w:rPr>
          <w:fldChar w:fldCharType="end"/>
        </w:r>
      </w:p>
    </w:sdtContent>
  </w:sdt>
  <w:p w14:paraId="73374316" w14:textId="77777777" w:rsidR="00D20015" w:rsidRPr="00383A26" w:rsidRDefault="00D20015" w:rsidP="00CF3CA1">
    <w:pPr>
      <w:pStyle w:val="Footer"/>
      <w:spacing w:before="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9022" w14:textId="77777777" w:rsidR="00B66BF1" w:rsidRDefault="00B66BF1" w:rsidP="00CF3CA1">
      <w:r>
        <w:separator/>
      </w:r>
    </w:p>
  </w:footnote>
  <w:footnote w:type="continuationSeparator" w:id="0">
    <w:p w14:paraId="091EAD4E" w14:textId="77777777" w:rsidR="00B66BF1" w:rsidRDefault="00B66BF1" w:rsidP="00CF3CA1">
      <w:r>
        <w:continuationSeparator/>
      </w:r>
    </w:p>
  </w:footnote>
  <w:footnote w:type="continuationNotice" w:id="1">
    <w:p w14:paraId="7468FF25" w14:textId="77777777" w:rsidR="00B66BF1" w:rsidRDefault="00B66BF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F0BD" w14:textId="17E0A012" w:rsidR="007C5E0F" w:rsidRDefault="007C5E0F" w:rsidP="00CF3CA1">
    <w:pPr>
      <w:pStyle w:val="Header"/>
    </w:pPr>
  </w:p>
  <w:p w14:paraId="02F45513" w14:textId="77777777" w:rsidR="007C5E0F" w:rsidRDefault="007C5E0F"/>
  <w:p w14:paraId="014A1E45" w14:textId="77777777" w:rsidR="007C5E0F" w:rsidRDefault="007C5E0F"/>
  <w:p w14:paraId="1AB83F85" w14:textId="77777777" w:rsidR="007C5E0F" w:rsidRDefault="007C5E0F"/>
  <w:p w14:paraId="71AB7380" w14:textId="77777777" w:rsidR="007C5E0F" w:rsidRDefault="007C5E0F"/>
  <w:p w14:paraId="2045B1BE" w14:textId="77777777" w:rsidR="007C5E0F" w:rsidRDefault="007C5E0F"/>
  <w:p w14:paraId="19DF2AB3" w14:textId="77777777" w:rsidR="007C5E0F" w:rsidRDefault="007C5E0F"/>
  <w:p w14:paraId="397474C5" w14:textId="77777777" w:rsidR="007C5E0F" w:rsidRDefault="007C5E0F"/>
  <w:p w14:paraId="7657153B" w14:textId="77777777" w:rsidR="007C5E0F" w:rsidRDefault="007C5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24455" w:rsidRPr="000B2145" w14:paraId="1E95D8B7" w14:textId="77777777" w:rsidTr="004436D8">
      <w:trPr>
        <w:trHeight w:val="1012"/>
      </w:trPr>
      <w:tc>
        <w:tcPr>
          <w:tcW w:w="9180" w:type="dxa"/>
          <w:shd w:val="clear" w:color="auto" w:fill="E4F2E0"/>
        </w:tcPr>
        <w:p w14:paraId="5B747ABF" w14:textId="77777777" w:rsidR="00C24455" w:rsidRPr="000E4791" w:rsidRDefault="00C24455" w:rsidP="00C24455">
          <w:pPr>
            <w:pStyle w:val="Footer"/>
            <w:rPr>
              <w:b/>
              <w:sz w:val="18"/>
              <w:szCs w:val="18"/>
            </w:rPr>
          </w:pPr>
          <w:bookmarkStart w:id="31" w:name="_Hlk109054010"/>
          <w:r w:rsidRPr="00EE2A41">
            <w:rPr>
              <w:b/>
              <w:sz w:val="18"/>
              <w:szCs w:val="18"/>
            </w:rPr>
            <w:t xml:space="preserve">Attachment </w:t>
          </w:r>
          <w:r w:rsidRPr="00D83520">
            <w:rPr>
              <w:b/>
              <w:sz w:val="18"/>
              <w:szCs w:val="18"/>
            </w:rPr>
            <w:t xml:space="preserve">AusPAR – Tavneos – </w:t>
          </w:r>
          <w:proofErr w:type="spellStart"/>
          <w:r w:rsidRPr="00D83520">
            <w:rPr>
              <w:b/>
              <w:sz w:val="18"/>
              <w:szCs w:val="18"/>
            </w:rPr>
            <w:t>avacopan</w:t>
          </w:r>
          <w:proofErr w:type="spellEnd"/>
          <w:r w:rsidRPr="00D83520">
            <w:rPr>
              <w:b/>
              <w:sz w:val="18"/>
              <w:szCs w:val="18"/>
            </w:rPr>
            <w:t xml:space="preserve"> – Vifor Pharma Pty Ltd – PM-2021-05913-1-3</w:t>
          </w:r>
          <w:r>
            <w:rPr>
              <w:b/>
              <w:sz w:val="18"/>
              <w:szCs w:val="18"/>
            </w:rPr>
            <w:t xml:space="preserve"> </w:t>
          </w:r>
          <w:r w:rsidRPr="00D83520">
            <w:rPr>
              <w:b/>
              <w:sz w:val="18"/>
              <w:szCs w:val="18"/>
            </w:rPr>
            <w:t>Final 4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1"/>
  </w:tbl>
  <w:p w14:paraId="5348F635" w14:textId="77777777" w:rsidR="00C24455" w:rsidRDefault="00C24455" w:rsidP="00C24455">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66EEB"/>
    <w:multiLevelType w:val="hybridMultilevel"/>
    <w:tmpl w:val="1166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9428C"/>
    <w:multiLevelType w:val="hybridMultilevel"/>
    <w:tmpl w:val="02A6FD94"/>
    <w:lvl w:ilvl="0" w:tplc="BA8AB908">
      <w:start w:val="10"/>
      <w:numFmt w:val="bullet"/>
      <w:lvlText w:val=""/>
      <w:lvlJc w:val="left"/>
      <w:pPr>
        <w:ind w:left="720" w:hanging="360"/>
      </w:pPr>
      <w:rPr>
        <w:rFonts w:ascii="Wingdings" w:eastAsiaTheme="minorEastAsia" w:hAnsi="Wingdings" w:cs="Aria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0357DC"/>
    <w:multiLevelType w:val="hybridMultilevel"/>
    <w:tmpl w:val="DBE22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2B4AE4"/>
    <w:multiLevelType w:val="hybridMultilevel"/>
    <w:tmpl w:val="14F41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8744E"/>
    <w:multiLevelType w:val="hybridMultilevel"/>
    <w:tmpl w:val="31A01AD8"/>
    <w:lvl w:ilvl="0" w:tplc="DFC8B400">
      <w:numFmt w:val="bullet"/>
      <w:lvlText w:val="•"/>
      <w:lvlJc w:val="left"/>
      <w:pPr>
        <w:ind w:left="1146" w:hanging="720"/>
      </w:pPr>
      <w:rPr>
        <w:rFonts w:ascii="Times New Roman" w:eastAsia="MS Mincho"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0E8F4557"/>
    <w:multiLevelType w:val="hybridMultilevel"/>
    <w:tmpl w:val="BBF404BE"/>
    <w:lvl w:ilvl="0" w:tplc="2BB8A3C4">
      <w:numFmt w:val="bullet"/>
      <w:lvlText w:val="•"/>
      <w:lvlJc w:val="left"/>
      <w:pPr>
        <w:ind w:left="784" w:hanging="567"/>
      </w:pPr>
      <w:rPr>
        <w:rFonts w:ascii="Times New Roman" w:eastAsia="Times New Roman" w:hAnsi="Times New Roman" w:cs="Times New Roman" w:hint="default"/>
        <w:b w:val="0"/>
        <w:bCs w:val="0"/>
        <w:i w:val="0"/>
        <w:iCs w:val="0"/>
        <w:w w:val="100"/>
        <w:sz w:val="22"/>
        <w:szCs w:val="22"/>
      </w:rPr>
    </w:lvl>
    <w:lvl w:ilvl="1" w:tplc="396A018E">
      <w:numFmt w:val="bullet"/>
      <w:lvlText w:val="–"/>
      <w:lvlJc w:val="left"/>
      <w:pPr>
        <w:ind w:left="1350" w:hanging="567"/>
      </w:pPr>
      <w:rPr>
        <w:rFonts w:ascii="Times New Roman" w:eastAsia="Times New Roman" w:hAnsi="Times New Roman" w:cs="Times New Roman" w:hint="default"/>
        <w:b w:val="0"/>
        <w:bCs w:val="0"/>
        <w:i w:val="0"/>
        <w:iCs w:val="0"/>
        <w:w w:val="100"/>
        <w:sz w:val="22"/>
        <w:szCs w:val="22"/>
      </w:rPr>
    </w:lvl>
    <w:lvl w:ilvl="2" w:tplc="F322EF34">
      <w:numFmt w:val="bullet"/>
      <w:lvlText w:val="•"/>
      <w:lvlJc w:val="left"/>
      <w:pPr>
        <w:ind w:left="2265" w:hanging="567"/>
      </w:pPr>
    </w:lvl>
    <w:lvl w:ilvl="3" w:tplc="60565A88">
      <w:numFmt w:val="bullet"/>
      <w:lvlText w:val="•"/>
      <w:lvlJc w:val="left"/>
      <w:pPr>
        <w:ind w:left="3170" w:hanging="567"/>
      </w:pPr>
    </w:lvl>
    <w:lvl w:ilvl="4" w:tplc="8E50371E">
      <w:numFmt w:val="bullet"/>
      <w:lvlText w:val="•"/>
      <w:lvlJc w:val="left"/>
      <w:pPr>
        <w:ind w:left="4076" w:hanging="567"/>
      </w:pPr>
    </w:lvl>
    <w:lvl w:ilvl="5" w:tplc="E3ACD6B8">
      <w:numFmt w:val="bullet"/>
      <w:lvlText w:val="•"/>
      <w:lvlJc w:val="left"/>
      <w:pPr>
        <w:ind w:left="4981" w:hanging="567"/>
      </w:pPr>
    </w:lvl>
    <w:lvl w:ilvl="6" w:tplc="0F18735C">
      <w:numFmt w:val="bullet"/>
      <w:lvlText w:val="•"/>
      <w:lvlJc w:val="left"/>
      <w:pPr>
        <w:ind w:left="5887" w:hanging="567"/>
      </w:pPr>
    </w:lvl>
    <w:lvl w:ilvl="7" w:tplc="2C6CB0AC">
      <w:numFmt w:val="bullet"/>
      <w:lvlText w:val="•"/>
      <w:lvlJc w:val="left"/>
      <w:pPr>
        <w:ind w:left="6792" w:hanging="567"/>
      </w:pPr>
    </w:lvl>
    <w:lvl w:ilvl="8" w:tplc="63341B70">
      <w:numFmt w:val="bullet"/>
      <w:lvlText w:val="•"/>
      <w:lvlJc w:val="left"/>
      <w:pPr>
        <w:ind w:left="7697" w:hanging="567"/>
      </w:pPr>
    </w:lvl>
  </w:abstractNum>
  <w:abstractNum w:abstractNumId="8" w15:restartNumberingAfterBreak="0">
    <w:nsid w:val="162B3670"/>
    <w:multiLevelType w:val="hybridMultilevel"/>
    <w:tmpl w:val="33721D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6287E"/>
    <w:multiLevelType w:val="hybridMultilevel"/>
    <w:tmpl w:val="2660A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8297F"/>
    <w:multiLevelType w:val="hybridMultilevel"/>
    <w:tmpl w:val="06FA0548"/>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2B37D6"/>
    <w:multiLevelType w:val="hybridMultilevel"/>
    <w:tmpl w:val="B154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B298F8EE"/>
    <w:lvl w:ilvl="0" w:tplc="3FBED7BA">
      <w:start w:val="1"/>
      <w:numFmt w:val="bullet"/>
      <w:pStyle w:val="Bullet"/>
      <w:lvlText w:val="•"/>
      <w:lvlJc w:val="left"/>
      <w:pPr>
        <w:ind w:left="567" w:hanging="567"/>
      </w:pPr>
      <w:rPr>
        <w:rFonts w:ascii="Times New Roman" w:eastAsia="SimSu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78D2A42C" w:tentative="1">
      <w:start w:val="1"/>
      <w:numFmt w:val="bullet"/>
      <w:lvlText w:val="o"/>
      <w:lvlJc w:val="left"/>
      <w:pPr>
        <w:ind w:left="1440" w:hanging="360"/>
      </w:pPr>
      <w:rPr>
        <w:rFonts w:ascii="Courier New" w:hAnsi="Courier New" w:hint="default"/>
      </w:rPr>
    </w:lvl>
    <w:lvl w:ilvl="2" w:tplc="BD1ECE8E" w:tentative="1">
      <w:start w:val="1"/>
      <w:numFmt w:val="bullet"/>
      <w:lvlText w:val=""/>
      <w:lvlJc w:val="left"/>
      <w:pPr>
        <w:ind w:left="2160" w:hanging="360"/>
      </w:pPr>
      <w:rPr>
        <w:rFonts w:ascii="Wingdings" w:hAnsi="Wingdings" w:hint="default"/>
      </w:rPr>
    </w:lvl>
    <w:lvl w:ilvl="3" w:tplc="AC8E2F54" w:tentative="1">
      <w:start w:val="1"/>
      <w:numFmt w:val="bullet"/>
      <w:lvlText w:val=""/>
      <w:lvlJc w:val="left"/>
      <w:pPr>
        <w:ind w:left="2880" w:hanging="360"/>
      </w:pPr>
      <w:rPr>
        <w:rFonts w:ascii="Symbol" w:hAnsi="Symbol" w:hint="default"/>
      </w:rPr>
    </w:lvl>
    <w:lvl w:ilvl="4" w:tplc="F94456B2" w:tentative="1">
      <w:start w:val="1"/>
      <w:numFmt w:val="bullet"/>
      <w:lvlText w:val="o"/>
      <w:lvlJc w:val="left"/>
      <w:pPr>
        <w:ind w:left="3600" w:hanging="360"/>
      </w:pPr>
      <w:rPr>
        <w:rFonts w:ascii="Courier New" w:hAnsi="Courier New" w:hint="default"/>
      </w:rPr>
    </w:lvl>
    <w:lvl w:ilvl="5" w:tplc="83028CA6" w:tentative="1">
      <w:start w:val="1"/>
      <w:numFmt w:val="bullet"/>
      <w:lvlText w:val=""/>
      <w:lvlJc w:val="left"/>
      <w:pPr>
        <w:ind w:left="4320" w:hanging="360"/>
      </w:pPr>
      <w:rPr>
        <w:rFonts w:ascii="Wingdings" w:hAnsi="Wingdings" w:hint="default"/>
      </w:rPr>
    </w:lvl>
    <w:lvl w:ilvl="6" w:tplc="49C4592C" w:tentative="1">
      <w:start w:val="1"/>
      <w:numFmt w:val="bullet"/>
      <w:lvlText w:val=""/>
      <w:lvlJc w:val="left"/>
      <w:pPr>
        <w:ind w:left="5040" w:hanging="360"/>
      </w:pPr>
      <w:rPr>
        <w:rFonts w:ascii="Symbol" w:hAnsi="Symbol" w:hint="default"/>
      </w:rPr>
    </w:lvl>
    <w:lvl w:ilvl="7" w:tplc="3F645040" w:tentative="1">
      <w:start w:val="1"/>
      <w:numFmt w:val="bullet"/>
      <w:lvlText w:val="o"/>
      <w:lvlJc w:val="left"/>
      <w:pPr>
        <w:ind w:left="5760" w:hanging="360"/>
      </w:pPr>
      <w:rPr>
        <w:rFonts w:ascii="Courier New" w:hAnsi="Courier New" w:hint="default"/>
      </w:rPr>
    </w:lvl>
    <w:lvl w:ilvl="8" w:tplc="2ABA7C60" w:tentative="1">
      <w:start w:val="1"/>
      <w:numFmt w:val="bullet"/>
      <w:lvlText w:val=""/>
      <w:lvlJc w:val="left"/>
      <w:pPr>
        <w:ind w:left="6480" w:hanging="360"/>
      </w:pPr>
      <w:rPr>
        <w:rFonts w:ascii="Wingdings" w:hAnsi="Wingdings" w:hint="default"/>
      </w:rPr>
    </w:lvl>
  </w:abstractNum>
  <w:abstractNum w:abstractNumId="14" w15:restartNumberingAfterBreak="0">
    <w:nsid w:val="414B2F07"/>
    <w:multiLevelType w:val="hybridMultilevel"/>
    <w:tmpl w:val="BAC6E250"/>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865A1B"/>
    <w:multiLevelType w:val="hybridMultilevel"/>
    <w:tmpl w:val="F48415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3E71945"/>
    <w:multiLevelType w:val="hybridMultilevel"/>
    <w:tmpl w:val="3D705BA0"/>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42D09"/>
    <w:multiLevelType w:val="hybridMultilevel"/>
    <w:tmpl w:val="F7703B32"/>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5D5978"/>
    <w:multiLevelType w:val="hybridMultilevel"/>
    <w:tmpl w:val="F0D481A6"/>
    <w:lvl w:ilvl="0" w:tplc="00C6EA94">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E64B3"/>
    <w:multiLevelType w:val="hybridMultilevel"/>
    <w:tmpl w:val="F5E4ABBC"/>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01601"/>
    <w:multiLevelType w:val="hybridMultilevel"/>
    <w:tmpl w:val="9AF65984"/>
    <w:lvl w:ilvl="0" w:tplc="DFC8B400">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768635">
    <w:abstractNumId w:val="23"/>
  </w:num>
  <w:num w:numId="2" w16cid:durableId="1349483840">
    <w:abstractNumId w:val="5"/>
  </w:num>
  <w:num w:numId="3" w16cid:durableId="893197982">
    <w:abstractNumId w:val="0"/>
  </w:num>
  <w:num w:numId="4" w16cid:durableId="833491423">
    <w:abstractNumId w:val="17"/>
  </w:num>
  <w:num w:numId="5" w16cid:durableId="1982883571">
    <w:abstractNumId w:val="27"/>
  </w:num>
  <w:num w:numId="6" w16cid:durableId="2027900980">
    <w:abstractNumId w:val="24"/>
  </w:num>
  <w:num w:numId="7" w16cid:durableId="1833717171">
    <w:abstractNumId w:val="21"/>
  </w:num>
  <w:num w:numId="8" w16cid:durableId="1704330734">
    <w:abstractNumId w:val="25"/>
  </w:num>
  <w:num w:numId="9" w16cid:durableId="895312512">
    <w:abstractNumId w:val="9"/>
  </w:num>
  <w:num w:numId="10" w16cid:durableId="1548293599">
    <w:abstractNumId w:val="20"/>
  </w:num>
  <w:num w:numId="11" w16cid:durableId="420948900">
    <w:abstractNumId w:val="12"/>
  </w:num>
  <w:num w:numId="12" w16cid:durableId="1993371013">
    <w:abstractNumId w:val="11"/>
  </w:num>
  <w:num w:numId="13" w16cid:durableId="1201820061">
    <w:abstractNumId w:val="16"/>
  </w:num>
  <w:num w:numId="14" w16cid:durableId="1064646745">
    <w:abstractNumId w:val="7"/>
  </w:num>
  <w:num w:numId="15" w16cid:durableId="1205480643">
    <w:abstractNumId w:val="14"/>
  </w:num>
  <w:num w:numId="16" w16cid:durableId="463230400">
    <w:abstractNumId w:val="26"/>
  </w:num>
  <w:num w:numId="17" w16cid:durableId="199245328">
    <w:abstractNumId w:val="22"/>
  </w:num>
  <w:num w:numId="18" w16cid:durableId="1664506112">
    <w:abstractNumId w:val="18"/>
  </w:num>
  <w:num w:numId="19" w16cid:durableId="1979991656">
    <w:abstractNumId w:val="6"/>
  </w:num>
  <w:num w:numId="20" w16cid:durableId="1979871474">
    <w:abstractNumId w:val="19"/>
  </w:num>
  <w:num w:numId="21" w16cid:durableId="2051413502">
    <w:abstractNumId w:val="23"/>
  </w:num>
  <w:num w:numId="22" w16cid:durableId="1148010918">
    <w:abstractNumId w:val="4"/>
  </w:num>
  <w:num w:numId="23" w16cid:durableId="930624683">
    <w:abstractNumId w:val="15"/>
  </w:num>
  <w:num w:numId="24" w16cid:durableId="266274104">
    <w:abstractNumId w:val="13"/>
  </w:num>
  <w:num w:numId="25" w16cid:durableId="103691092">
    <w:abstractNumId w:val="3"/>
  </w:num>
  <w:num w:numId="26" w16cid:durableId="751658325">
    <w:abstractNumId w:val="13"/>
  </w:num>
  <w:num w:numId="27" w16cid:durableId="646741462">
    <w:abstractNumId w:val="10"/>
  </w:num>
  <w:num w:numId="28" w16cid:durableId="266618564">
    <w:abstractNumId w:val="1"/>
  </w:num>
  <w:num w:numId="29" w16cid:durableId="181745247">
    <w:abstractNumId w:val="8"/>
  </w:num>
  <w:num w:numId="30" w16cid:durableId="650982143">
    <w:abstractNumId w:val="19"/>
  </w:num>
  <w:num w:numId="31" w16cid:durableId="23547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88"/>
    <w:rsid w:val="0000093D"/>
    <w:rsid w:val="000009C1"/>
    <w:rsid w:val="00006EDD"/>
    <w:rsid w:val="00007F17"/>
    <w:rsid w:val="00011C74"/>
    <w:rsid w:val="000121A5"/>
    <w:rsid w:val="00014FF1"/>
    <w:rsid w:val="0001595E"/>
    <w:rsid w:val="0001661A"/>
    <w:rsid w:val="000275B1"/>
    <w:rsid w:val="00040B9F"/>
    <w:rsid w:val="000453A4"/>
    <w:rsid w:val="000509C9"/>
    <w:rsid w:val="0006377B"/>
    <w:rsid w:val="00071F98"/>
    <w:rsid w:val="000757D7"/>
    <w:rsid w:val="00077F1C"/>
    <w:rsid w:val="00077FF5"/>
    <w:rsid w:val="000808E2"/>
    <w:rsid w:val="00085C70"/>
    <w:rsid w:val="00094583"/>
    <w:rsid w:val="0009532C"/>
    <w:rsid w:val="000A00C8"/>
    <w:rsid w:val="000A28F1"/>
    <w:rsid w:val="000A704F"/>
    <w:rsid w:val="000B3B6A"/>
    <w:rsid w:val="000C3B50"/>
    <w:rsid w:val="000D5F37"/>
    <w:rsid w:val="000E3C54"/>
    <w:rsid w:val="000E530E"/>
    <w:rsid w:val="000E7925"/>
    <w:rsid w:val="000F1A99"/>
    <w:rsid w:val="000F296A"/>
    <w:rsid w:val="000F2A3C"/>
    <w:rsid w:val="000F2FE2"/>
    <w:rsid w:val="000F3AD3"/>
    <w:rsid w:val="000F457F"/>
    <w:rsid w:val="00113F28"/>
    <w:rsid w:val="00121C83"/>
    <w:rsid w:val="0012458C"/>
    <w:rsid w:val="00133946"/>
    <w:rsid w:val="00135147"/>
    <w:rsid w:val="00150586"/>
    <w:rsid w:val="00150B7C"/>
    <w:rsid w:val="00154B23"/>
    <w:rsid w:val="00157D09"/>
    <w:rsid w:val="00160408"/>
    <w:rsid w:val="00161442"/>
    <w:rsid w:val="00161E76"/>
    <w:rsid w:val="0016558F"/>
    <w:rsid w:val="001741EC"/>
    <w:rsid w:val="0017449F"/>
    <w:rsid w:val="001749F1"/>
    <w:rsid w:val="00177702"/>
    <w:rsid w:val="00181713"/>
    <w:rsid w:val="00187DCF"/>
    <w:rsid w:val="0019330B"/>
    <w:rsid w:val="001961D9"/>
    <w:rsid w:val="001A3992"/>
    <w:rsid w:val="001A4151"/>
    <w:rsid w:val="001B1752"/>
    <w:rsid w:val="001B36A6"/>
    <w:rsid w:val="001B5741"/>
    <w:rsid w:val="001C2028"/>
    <w:rsid w:val="001C4C20"/>
    <w:rsid w:val="001D0448"/>
    <w:rsid w:val="001D2F21"/>
    <w:rsid w:val="001D56BD"/>
    <w:rsid w:val="001E1DAB"/>
    <w:rsid w:val="001E25EE"/>
    <w:rsid w:val="001E4904"/>
    <w:rsid w:val="001E55EA"/>
    <w:rsid w:val="001E580E"/>
    <w:rsid w:val="001E632F"/>
    <w:rsid w:val="001E706D"/>
    <w:rsid w:val="001E7154"/>
    <w:rsid w:val="001F1544"/>
    <w:rsid w:val="001F5867"/>
    <w:rsid w:val="001F5A45"/>
    <w:rsid w:val="001F5C40"/>
    <w:rsid w:val="00203F70"/>
    <w:rsid w:val="00210050"/>
    <w:rsid w:val="00216329"/>
    <w:rsid w:val="00223401"/>
    <w:rsid w:val="00227D98"/>
    <w:rsid w:val="00231911"/>
    <w:rsid w:val="002506DF"/>
    <w:rsid w:val="00256154"/>
    <w:rsid w:val="002608F5"/>
    <w:rsid w:val="00266E25"/>
    <w:rsid w:val="00271756"/>
    <w:rsid w:val="00277487"/>
    <w:rsid w:val="002868C4"/>
    <w:rsid w:val="00291C24"/>
    <w:rsid w:val="0029425C"/>
    <w:rsid w:val="002A52ED"/>
    <w:rsid w:val="002A563F"/>
    <w:rsid w:val="002B424E"/>
    <w:rsid w:val="002B457C"/>
    <w:rsid w:val="002C008F"/>
    <w:rsid w:val="002C03AF"/>
    <w:rsid w:val="002C0519"/>
    <w:rsid w:val="002C5C5B"/>
    <w:rsid w:val="002D1E39"/>
    <w:rsid w:val="002D5D02"/>
    <w:rsid w:val="002D61F9"/>
    <w:rsid w:val="002D75E0"/>
    <w:rsid w:val="002D7A75"/>
    <w:rsid w:val="002E277D"/>
    <w:rsid w:val="002E29C1"/>
    <w:rsid w:val="002E3F6B"/>
    <w:rsid w:val="002E5899"/>
    <w:rsid w:val="00301505"/>
    <w:rsid w:val="00301BA8"/>
    <w:rsid w:val="003029EA"/>
    <w:rsid w:val="00304E5E"/>
    <w:rsid w:val="0031013E"/>
    <w:rsid w:val="003118B3"/>
    <w:rsid w:val="0031191B"/>
    <w:rsid w:val="00311FC9"/>
    <w:rsid w:val="00316607"/>
    <w:rsid w:val="003179E8"/>
    <w:rsid w:val="00327719"/>
    <w:rsid w:val="003329DB"/>
    <w:rsid w:val="00335733"/>
    <w:rsid w:val="003404EE"/>
    <w:rsid w:val="003466A4"/>
    <w:rsid w:val="00346C32"/>
    <w:rsid w:val="00347059"/>
    <w:rsid w:val="00347BE6"/>
    <w:rsid w:val="00354658"/>
    <w:rsid w:val="00355E66"/>
    <w:rsid w:val="0036223E"/>
    <w:rsid w:val="00362995"/>
    <w:rsid w:val="003653BC"/>
    <w:rsid w:val="003664A9"/>
    <w:rsid w:val="00367CDC"/>
    <w:rsid w:val="0037508F"/>
    <w:rsid w:val="00380A4F"/>
    <w:rsid w:val="00382F02"/>
    <w:rsid w:val="00383058"/>
    <w:rsid w:val="00383A26"/>
    <w:rsid w:val="00387534"/>
    <w:rsid w:val="003925F0"/>
    <w:rsid w:val="00392DA8"/>
    <w:rsid w:val="003A11E8"/>
    <w:rsid w:val="003A620B"/>
    <w:rsid w:val="003B2CEE"/>
    <w:rsid w:val="003B48EE"/>
    <w:rsid w:val="003B5DB4"/>
    <w:rsid w:val="003C6687"/>
    <w:rsid w:val="003D455D"/>
    <w:rsid w:val="003D5CB3"/>
    <w:rsid w:val="003F05D1"/>
    <w:rsid w:val="003F09C8"/>
    <w:rsid w:val="003F38BE"/>
    <w:rsid w:val="003F429C"/>
    <w:rsid w:val="003F4DE6"/>
    <w:rsid w:val="003F5ADC"/>
    <w:rsid w:val="004032BD"/>
    <w:rsid w:val="004076E1"/>
    <w:rsid w:val="004110A7"/>
    <w:rsid w:val="004132AE"/>
    <w:rsid w:val="004208A3"/>
    <w:rsid w:val="004218D5"/>
    <w:rsid w:val="004232AC"/>
    <w:rsid w:val="00431ACD"/>
    <w:rsid w:val="004344F7"/>
    <w:rsid w:val="0043483B"/>
    <w:rsid w:val="0043499E"/>
    <w:rsid w:val="00437026"/>
    <w:rsid w:val="004417F7"/>
    <w:rsid w:val="00445045"/>
    <w:rsid w:val="00453300"/>
    <w:rsid w:val="004540A0"/>
    <w:rsid w:val="00455F94"/>
    <w:rsid w:val="004565FE"/>
    <w:rsid w:val="00456FCD"/>
    <w:rsid w:val="00462B44"/>
    <w:rsid w:val="00465D37"/>
    <w:rsid w:val="00467390"/>
    <w:rsid w:val="0047096A"/>
    <w:rsid w:val="00476937"/>
    <w:rsid w:val="00481D5B"/>
    <w:rsid w:val="00487C51"/>
    <w:rsid w:val="004907AF"/>
    <w:rsid w:val="004921A2"/>
    <w:rsid w:val="004924AE"/>
    <w:rsid w:val="00493C9A"/>
    <w:rsid w:val="00493DD3"/>
    <w:rsid w:val="0049574E"/>
    <w:rsid w:val="00497C85"/>
    <w:rsid w:val="004A1654"/>
    <w:rsid w:val="004A2070"/>
    <w:rsid w:val="004A23B2"/>
    <w:rsid w:val="004A2FBC"/>
    <w:rsid w:val="004A311B"/>
    <w:rsid w:val="004A5DFB"/>
    <w:rsid w:val="004A6163"/>
    <w:rsid w:val="004B5AFB"/>
    <w:rsid w:val="004B61FA"/>
    <w:rsid w:val="004C00CC"/>
    <w:rsid w:val="004C16A4"/>
    <w:rsid w:val="004C1798"/>
    <w:rsid w:val="004C3A29"/>
    <w:rsid w:val="004C526D"/>
    <w:rsid w:val="004C6AE3"/>
    <w:rsid w:val="004D2C3C"/>
    <w:rsid w:val="004D3634"/>
    <w:rsid w:val="004E2D7E"/>
    <w:rsid w:val="004E371A"/>
    <w:rsid w:val="004F1A77"/>
    <w:rsid w:val="004F1C40"/>
    <w:rsid w:val="004F2927"/>
    <w:rsid w:val="004F4742"/>
    <w:rsid w:val="004F798A"/>
    <w:rsid w:val="00501745"/>
    <w:rsid w:val="00503BB2"/>
    <w:rsid w:val="00506582"/>
    <w:rsid w:val="00507800"/>
    <w:rsid w:val="005123B8"/>
    <w:rsid w:val="00512BA0"/>
    <w:rsid w:val="00522C22"/>
    <w:rsid w:val="005237A9"/>
    <w:rsid w:val="00531067"/>
    <w:rsid w:val="00532177"/>
    <w:rsid w:val="00536DD9"/>
    <w:rsid w:val="00542B2D"/>
    <w:rsid w:val="00542B51"/>
    <w:rsid w:val="00542C38"/>
    <w:rsid w:val="00552A6F"/>
    <w:rsid w:val="00554585"/>
    <w:rsid w:val="00557C1F"/>
    <w:rsid w:val="005644FC"/>
    <w:rsid w:val="005705E0"/>
    <w:rsid w:val="005716FC"/>
    <w:rsid w:val="0057576E"/>
    <w:rsid w:val="005774F0"/>
    <w:rsid w:val="00577DD1"/>
    <w:rsid w:val="0058383B"/>
    <w:rsid w:val="00583A33"/>
    <w:rsid w:val="005902A8"/>
    <w:rsid w:val="00590F88"/>
    <w:rsid w:val="00592078"/>
    <w:rsid w:val="005938DB"/>
    <w:rsid w:val="00594499"/>
    <w:rsid w:val="005973DD"/>
    <w:rsid w:val="0059746E"/>
    <w:rsid w:val="005A4D6A"/>
    <w:rsid w:val="005A5186"/>
    <w:rsid w:val="005B2F3A"/>
    <w:rsid w:val="005C0294"/>
    <w:rsid w:val="005D0541"/>
    <w:rsid w:val="005D4138"/>
    <w:rsid w:val="005D5D75"/>
    <w:rsid w:val="005D5D84"/>
    <w:rsid w:val="005E0D0C"/>
    <w:rsid w:val="005E1349"/>
    <w:rsid w:val="005E23F2"/>
    <w:rsid w:val="005E6969"/>
    <w:rsid w:val="005F0644"/>
    <w:rsid w:val="005F1235"/>
    <w:rsid w:val="005F392C"/>
    <w:rsid w:val="005F56E9"/>
    <w:rsid w:val="00601ECF"/>
    <w:rsid w:val="006063AF"/>
    <w:rsid w:val="00610466"/>
    <w:rsid w:val="00611FE8"/>
    <w:rsid w:val="0061256A"/>
    <w:rsid w:val="00614DB8"/>
    <w:rsid w:val="00616AA6"/>
    <w:rsid w:val="00620302"/>
    <w:rsid w:val="00620F7A"/>
    <w:rsid w:val="00622FAC"/>
    <w:rsid w:val="006252CF"/>
    <w:rsid w:val="00631C1F"/>
    <w:rsid w:val="00640D3E"/>
    <w:rsid w:val="00645136"/>
    <w:rsid w:val="00653328"/>
    <w:rsid w:val="006537A8"/>
    <w:rsid w:val="0065380D"/>
    <w:rsid w:val="00655838"/>
    <w:rsid w:val="00660674"/>
    <w:rsid w:val="00661FF6"/>
    <w:rsid w:val="00666408"/>
    <w:rsid w:val="006671D1"/>
    <w:rsid w:val="0067305E"/>
    <w:rsid w:val="00674178"/>
    <w:rsid w:val="00675768"/>
    <w:rsid w:val="00677840"/>
    <w:rsid w:val="00682492"/>
    <w:rsid w:val="00684DFF"/>
    <w:rsid w:val="00692188"/>
    <w:rsid w:val="006A06FE"/>
    <w:rsid w:val="006A45CB"/>
    <w:rsid w:val="006B4F06"/>
    <w:rsid w:val="006B62D6"/>
    <w:rsid w:val="006C53EB"/>
    <w:rsid w:val="006C71FD"/>
    <w:rsid w:val="006D1130"/>
    <w:rsid w:val="006D1881"/>
    <w:rsid w:val="006D5E92"/>
    <w:rsid w:val="006D6027"/>
    <w:rsid w:val="006E1888"/>
    <w:rsid w:val="006E4ED9"/>
    <w:rsid w:val="006E66F0"/>
    <w:rsid w:val="006E6F84"/>
    <w:rsid w:val="006F03DA"/>
    <w:rsid w:val="006F1712"/>
    <w:rsid w:val="006F257B"/>
    <w:rsid w:val="006F26AE"/>
    <w:rsid w:val="006F3C0E"/>
    <w:rsid w:val="00702BC2"/>
    <w:rsid w:val="00703A8D"/>
    <w:rsid w:val="00706504"/>
    <w:rsid w:val="00706601"/>
    <w:rsid w:val="0071543E"/>
    <w:rsid w:val="00721E8C"/>
    <w:rsid w:val="007250BD"/>
    <w:rsid w:val="00730A4B"/>
    <w:rsid w:val="007331E6"/>
    <w:rsid w:val="0073356D"/>
    <w:rsid w:val="00735F4A"/>
    <w:rsid w:val="007360CC"/>
    <w:rsid w:val="00737111"/>
    <w:rsid w:val="0074053F"/>
    <w:rsid w:val="00742C5B"/>
    <w:rsid w:val="007435E7"/>
    <w:rsid w:val="00744AEF"/>
    <w:rsid w:val="00744C9D"/>
    <w:rsid w:val="0075218D"/>
    <w:rsid w:val="00754BA0"/>
    <w:rsid w:val="00764DCF"/>
    <w:rsid w:val="00766A05"/>
    <w:rsid w:val="00770D7B"/>
    <w:rsid w:val="0077251B"/>
    <w:rsid w:val="00773640"/>
    <w:rsid w:val="0078033D"/>
    <w:rsid w:val="00783BC6"/>
    <w:rsid w:val="00783CD5"/>
    <w:rsid w:val="00787FCF"/>
    <w:rsid w:val="00791B7B"/>
    <w:rsid w:val="0079594D"/>
    <w:rsid w:val="0079654D"/>
    <w:rsid w:val="00796661"/>
    <w:rsid w:val="007A047A"/>
    <w:rsid w:val="007A128A"/>
    <w:rsid w:val="007A2365"/>
    <w:rsid w:val="007A3784"/>
    <w:rsid w:val="007A7EC7"/>
    <w:rsid w:val="007B0806"/>
    <w:rsid w:val="007B55A7"/>
    <w:rsid w:val="007B73C2"/>
    <w:rsid w:val="007C04FE"/>
    <w:rsid w:val="007C09F5"/>
    <w:rsid w:val="007C1904"/>
    <w:rsid w:val="007C26CA"/>
    <w:rsid w:val="007C5E0F"/>
    <w:rsid w:val="007D01E1"/>
    <w:rsid w:val="007D10CE"/>
    <w:rsid w:val="007D11ED"/>
    <w:rsid w:val="007D75BB"/>
    <w:rsid w:val="007E693C"/>
    <w:rsid w:val="007E7883"/>
    <w:rsid w:val="007F0029"/>
    <w:rsid w:val="007F0C35"/>
    <w:rsid w:val="007F1604"/>
    <w:rsid w:val="007F2F58"/>
    <w:rsid w:val="007F3412"/>
    <w:rsid w:val="00802127"/>
    <w:rsid w:val="00812ECD"/>
    <w:rsid w:val="00815E99"/>
    <w:rsid w:val="00816467"/>
    <w:rsid w:val="00816DA9"/>
    <w:rsid w:val="00817CCA"/>
    <w:rsid w:val="00821018"/>
    <w:rsid w:val="00826485"/>
    <w:rsid w:val="008265B4"/>
    <w:rsid w:val="00827488"/>
    <w:rsid w:val="00831970"/>
    <w:rsid w:val="00833E42"/>
    <w:rsid w:val="008340DB"/>
    <w:rsid w:val="00844EE6"/>
    <w:rsid w:val="00852E4D"/>
    <w:rsid w:val="008550F5"/>
    <w:rsid w:val="00855A86"/>
    <w:rsid w:val="0086408B"/>
    <w:rsid w:val="00864353"/>
    <w:rsid w:val="0086752C"/>
    <w:rsid w:val="00872C6A"/>
    <w:rsid w:val="00877577"/>
    <w:rsid w:val="008804C0"/>
    <w:rsid w:val="00893747"/>
    <w:rsid w:val="00895CEE"/>
    <w:rsid w:val="00897A3A"/>
    <w:rsid w:val="008A3DF0"/>
    <w:rsid w:val="008B3F90"/>
    <w:rsid w:val="008B5ABB"/>
    <w:rsid w:val="008B6A63"/>
    <w:rsid w:val="008D250A"/>
    <w:rsid w:val="008D5588"/>
    <w:rsid w:val="008D70F1"/>
    <w:rsid w:val="008E0073"/>
    <w:rsid w:val="008E06FF"/>
    <w:rsid w:val="008E08F7"/>
    <w:rsid w:val="008F3FFB"/>
    <w:rsid w:val="008F6CBA"/>
    <w:rsid w:val="00900A7E"/>
    <w:rsid w:val="00902B7E"/>
    <w:rsid w:val="00905BE4"/>
    <w:rsid w:val="00905F35"/>
    <w:rsid w:val="00911327"/>
    <w:rsid w:val="00915F25"/>
    <w:rsid w:val="0091641C"/>
    <w:rsid w:val="00916F37"/>
    <w:rsid w:val="009209D5"/>
    <w:rsid w:val="0092164C"/>
    <w:rsid w:val="0092304A"/>
    <w:rsid w:val="00923F7C"/>
    <w:rsid w:val="00925FBE"/>
    <w:rsid w:val="0092755C"/>
    <w:rsid w:val="0094400D"/>
    <w:rsid w:val="00944486"/>
    <w:rsid w:val="009445B8"/>
    <w:rsid w:val="009448E8"/>
    <w:rsid w:val="00951790"/>
    <w:rsid w:val="009566B4"/>
    <w:rsid w:val="00960CD5"/>
    <w:rsid w:val="009641CE"/>
    <w:rsid w:val="009654EB"/>
    <w:rsid w:val="00965928"/>
    <w:rsid w:val="00967212"/>
    <w:rsid w:val="00975849"/>
    <w:rsid w:val="009821B1"/>
    <w:rsid w:val="009833BC"/>
    <w:rsid w:val="0098743D"/>
    <w:rsid w:val="00991D58"/>
    <w:rsid w:val="009942B0"/>
    <w:rsid w:val="009953C9"/>
    <w:rsid w:val="00995B81"/>
    <w:rsid w:val="00996940"/>
    <w:rsid w:val="009A0E42"/>
    <w:rsid w:val="009A240C"/>
    <w:rsid w:val="009A577E"/>
    <w:rsid w:val="009A6CDC"/>
    <w:rsid w:val="009B02F5"/>
    <w:rsid w:val="009B4CBE"/>
    <w:rsid w:val="009C0700"/>
    <w:rsid w:val="009C35BE"/>
    <w:rsid w:val="009C4786"/>
    <w:rsid w:val="009D05E9"/>
    <w:rsid w:val="009D22B1"/>
    <w:rsid w:val="009D404A"/>
    <w:rsid w:val="009E1709"/>
    <w:rsid w:val="009E3BCF"/>
    <w:rsid w:val="009E3FB2"/>
    <w:rsid w:val="009E7C00"/>
    <w:rsid w:val="009F3833"/>
    <w:rsid w:val="009F3879"/>
    <w:rsid w:val="00A003F2"/>
    <w:rsid w:val="00A03664"/>
    <w:rsid w:val="00A07100"/>
    <w:rsid w:val="00A12245"/>
    <w:rsid w:val="00A17FE4"/>
    <w:rsid w:val="00A25850"/>
    <w:rsid w:val="00A27654"/>
    <w:rsid w:val="00A3317D"/>
    <w:rsid w:val="00A40B09"/>
    <w:rsid w:val="00A40DEF"/>
    <w:rsid w:val="00A41F15"/>
    <w:rsid w:val="00A42FD4"/>
    <w:rsid w:val="00A44E02"/>
    <w:rsid w:val="00A51CFB"/>
    <w:rsid w:val="00A520B2"/>
    <w:rsid w:val="00A5223C"/>
    <w:rsid w:val="00A610CF"/>
    <w:rsid w:val="00A6174E"/>
    <w:rsid w:val="00A62AE4"/>
    <w:rsid w:val="00A67AAA"/>
    <w:rsid w:val="00A72D9F"/>
    <w:rsid w:val="00A81527"/>
    <w:rsid w:val="00A81E06"/>
    <w:rsid w:val="00A852A8"/>
    <w:rsid w:val="00A87676"/>
    <w:rsid w:val="00A946F0"/>
    <w:rsid w:val="00A9709D"/>
    <w:rsid w:val="00AA3A09"/>
    <w:rsid w:val="00AB06E2"/>
    <w:rsid w:val="00AB243C"/>
    <w:rsid w:val="00AB33FD"/>
    <w:rsid w:val="00AB36A4"/>
    <w:rsid w:val="00AB7B7F"/>
    <w:rsid w:val="00AC0891"/>
    <w:rsid w:val="00AC1BFC"/>
    <w:rsid w:val="00AC5BAA"/>
    <w:rsid w:val="00AC73B2"/>
    <w:rsid w:val="00AC76C1"/>
    <w:rsid w:val="00AD0472"/>
    <w:rsid w:val="00AD150D"/>
    <w:rsid w:val="00AD2823"/>
    <w:rsid w:val="00AD2E02"/>
    <w:rsid w:val="00AD3FAB"/>
    <w:rsid w:val="00AD6729"/>
    <w:rsid w:val="00AD769B"/>
    <w:rsid w:val="00AE0295"/>
    <w:rsid w:val="00AE2D6F"/>
    <w:rsid w:val="00AF3BB6"/>
    <w:rsid w:val="00AF3D6E"/>
    <w:rsid w:val="00AF4AD6"/>
    <w:rsid w:val="00AF59F7"/>
    <w:rsid w:val="00B0721C"/>
    <w:rsid w:val="00B07786"/>
    <w:rsid w:val="00B15030"/>
    <w:rsid w:val="00B20C97"/>
    <w:rsid w:val="00B251A9"/>
    <w:rsid w:val="00B4305B"/>
    <w:rsid w:val="00B43A4E"/>
    <w:rsid w:val="00B4411B"/>
    <w:rsid w:val="00B462C7"/>
    <w:rsid w:val="00B46B72"/>
    <w:rsid w:val="00B47D58"/>
    <w:rsid w:val="00B55E3B"/>
    <w:rsid w:val="00B570D4"/>
    <w:rsid w:val="00B652CF"/>
    <w:rsid w:val="00B66BF1"/>
    <w:rsid w:val="00B67037"/>
    <w:rsid w:val="00B7155E"/>
    <w:rsid w:val="00B72EAC"/>
    <w:rsid w:val="00B73317"/>
    <w:rsid w:val="00B74EBC"/>
    <w:rsid w:val="00B8047F"/>
    <w:rsid w:val="00B82CF2"/>
    <w:rsid w:val="00B91EDE"/>
    <w:rsid w:val="00B92330"/>
    <w:rsid w:val="00B92D41"/>
    <w:rsid w:val="00B94A13"/>
    <w:rsid w:val="00BA19F8"/>
    <w:rsid w:val="00BB09D1"/>
    <w:rsid w:val="00BC0DC5"/>
    <w:rsid w:val="00BC2819"/>
    <w:rsid w:val="00BC7478"/>
    <w:rsid w:val="00BD0718"/>
    <w:rsid w:val="00BD4C8D"/>
    <w:rsid w:val="00BE2DF6"/>
    <w:rsid w:val="00BE3462"/>
    <w:rsid w:val="00BE39B6"/>
    <w:rsid w:val="00BE6858"/>
    <w:rsid w:val="00BE6DAC"/>
    <w:rsid w:val="00BF3D69"/>
    <w:rsid w:val="00C0514D"/>
    <w:rsid w:val="00C05A6B"/>
    <w:rsid w:val="00C06FEB"/>
    <w:rsid w:val="00C17020"/>
    <w:rsid w:val="00C20121"/>
    <w:rsid w:val="00C21E91"/>
    <w:rsid w:val="00C24455"/>
    <w:rsid w:val="00C304CA"/>
    <w:rsid w:val="00C32DE6"/>
    <w:rsid w:val="00C33164"/>
    <w:rsid w:val="00C350E6"/>
    <w:rsid w:val="00C35EB4"/>
    <w:rsid w:val="00C36550"/>
    <w:rsid w:val="00C44034"/>
    <w:rsid w:val="00C45892"/>
    <w:rsid w:val="00C47CD7"/>
    <w:rsid w:val="00C54160"/>
    <w:rsid w:val="00C56F33"/>
    <w:rsid w:val="00C605DE"/>
    <w:rsid w:val="00C61172"/>
    <w:rsid w:val="00C6122D"/>
    <w:rsid w:val="00C72B7A"/>
    <w:rsid w:val="00C74568"/>
    <w:rsid w:val="00C877BF"/>
    <w:rsid w:val="00C945D9"/>
    <w:rsid w:val="00C967BC"/>
    <w:rsid w:val="00CA0659"/>
    <w:rsid w:val="00CA1FDD"/>
    <w:rsid w:val="00CA403E"/>
    <w:rsid w:val="00CA5D62"/>
    <w:rsid w:val="00CA6CCF"/>
    <w:rsid w:val="00CA7EE9"/>
    <w:rsid w:val="00CB6996"/>
    <w:rsid w:val="00CC2739"/>
    <w:rsid w:val="00CC2C31"/>
    <w:rsid w:val="00CC2C63"/>
    <w:rsid w:val="00CC6AA9"/>
    <w:rsid w:val="00CC73ED"/>
    <w:rsid w:val="00CC789F"/>
    <w:rsid w:val="00CD0046"/>
    <w:rsid w:val="00CD184F"/>
    <w:rsid w:val="00CD413E"/>
    <w:rsid w:val="00CD5797"/>
    <w:rsid w:val="00CE2A16"/>
    <w:rsid w:val="00CE3BA0"/>
    <w:rsid w:val="00CE5E0A"/>
    <w:rsid w:val="00CF27C2"/>
    <w:rsid w:val="00CF3CA1"/>
    <w:rsid w:val="00D01C5A"/>
    <w:rsid w:val="00D06B90"/>
    <w:rsid w:val="00D149FD"/>
    <w:rsid w:val="00D15ED7"/>
    <w:rsid w:val="00D20015"/>
    <w:rsid w:val="00D2442E"/>
    <w:rsid w:val="00D2506B"/>
    <w:rsid w:val="00D32683"/>
    <w:rsid w:val="00D43464"/>
    <w:rsid w:val="00D44BA0"/>
    <w:rsid w:val="00D50C2E"/>
    <w:rsid w:val="00D5350E"/>
    <w:rsid w:val="00D56B0D"/>
    <w:rsid w:val="00D607BF"/>
    <w:rsid w:val="00D60C37"/>
    <w:rsid w:val="00D61392"/>
    <w:rsid w:val="00D61B95"/>
    <w:rsid w:val="00D660B0"/>
    <w:rsid w:val="00D662B7"/>
    <w:rsid w:val="00D843BF"/>
    <w:rsid w:val="00D84780"/>
    <w:rsid w:val="00D94437"/>
    <w:rsid w:val="00D96F54"/>
    <w:rsid w:val="00D9719F"/>
    <w:rsid w:val="00D97FB9"/>
    <w:rsid w:val="00DA0A93"/>
    <w:rsid w:val="00DA42D1"/>
    <w:rsid w:val="00DA6D34"/>
    <w:rsid w:val="00DB64E4"/>
    <w:rsid w:val="00DB79DA"/>
    <w:rsid w:val="00DC33C6"/>
    <w:rsid w:val="00DD5635"/>
    <w:rsid w:val="00DE32AC"/>
    <w:rsid w:val="00DE5C55"/>
    <w:rsid w:val="00DE7D28"/>
    <w:rsid w:val="00DF56D4"/>
    <w:rsid w:val="00DF5E99"/>
    <w:rsid w:val="00DF6DAB"/>
    <w:rsid w:val="00E0428E"/>
    <w:rsid w:val="00E1622A"/>
    <w:rsid w:val="00E17D9F"/>
    <w:rsid w:val="00E22513"/>
    <w:rsid w:val="00E27309"/>
    <w:rsid w:val="00E27D22"/>
    <w:rsid w:val="00E307DF"/>
    <w:rsid w:val="00E3141C"/>
    <w:rsid w:val="00E31EE9"/>
    <w:rsid w:val="00E35922"/>
    <w:rsid w:val="00E37F1F"/>
    <w:rsid w:val="00E4549E"/>
    <w:rsid w:val="00E500BB"/>
    <w:rsid w:val="00E57401"/>
    <w:rsid w:val="00E61082"/>
    <w:rsid w:val="00E63E61"/>
    <w:rsid w:val="00E65569"/>
    <w:rsid w:val="00E72EBE"/>
    <w:rsid w:val="00E74A56"/>
    <w:rsid w:val="00E76B7A"/>
    <w:rsid w:val="00E8240B"/>
    <w:rsid w:val="00E82BF2"/>
    <w:rsid w:val="00E872B3"/>
    <w:rsid w:val="00E87E4A"/>
    <w:rsid w:val="00E9368D"/>
    <w:rsid w:val="00EB10DD"/>
    <w:rsid w:val="00EB3B08"/>
    <w:rsid w:val="00EB3D4F"/>
    <w:rsid w:val="00EC0EC8"/>
    <w:rsid w:val="00EC5A68"/>
    <w:rsid w:val="00EC5AFA"/>
    <w:rsid w:val="00ED0937"/>
    <w:rsid w:val="00ED1284"/>
    <w:rsid w:val="00ED6C31"/>
    <w:rsid w:val="00ED71C8"/>
    <w:rsid w:val="00EE4218"/>
    <w:rsid w:val="00EF2E1F"/>
    <w:rsid w:val="00EF6809"/>
    <w:rsid w:val="00F0747C"/>
    <w:rsid w:val="00F109DC"/>
    <w:rsid w:val="00F12523"/>
    <w:rsid w:val="00F13AB4"/>
    <w:rsid w:val="00F15A6D"/>
    <w:rsid w:val="00F1721B"/>
    <w:rsid w:val="00F40FFA"/>
    <w:rsid w:val="00F417CA"/>
    <w:rsid w:val="00F44926"/>
    <w:rsid w:val="00F46861"/>
    <w:rsid w:val="00F52151"/>
    <w:rsid w:val="00F548D4"/>
    <w:rsid w:val="00F54982"/>
    <w:rsid w:val="00F555A4"/>
    <w:rsid w:val="00F61035"/>
    <w:rsid w:val="00F71049"/>
    <w:rsid w:val="00F72240"/>
    <w:rsid w:val="00F73436"/>
    <w:rsid w:val="00F73BB9"/>
    <w:rsid w:val="00F74BB3"/>
    <w:rsid w:val="00F813F9"/>
    <w:rsid w:val="00F81A7C"/>
    <w:rsid w:val="00F8298A"/>
    <w:rsid w:val="00F87C9E"/>
    <w:rsid w:val="00F90867"/>
    <w:rsid w:val="00F94B27"/>
    <w:rsid w:val="00F953D9"/>
    <w:rsid w:val="00F95CB9"/>
    <w:rsid w:val="00FA7E67"/>
    <w:rsid w:val="00FB3054"/>
    <w:rsid w:val="00FB5087"/>
    <w:rsid w:val="00FB5815"/>
    <w:rsid w:val="00FB619E"/>
    <w:rsid w:val="00FB7B9D"/>
    <w:rsid w:val="00FC11E8"/>
    <w:rsid w:val="00FC128F"/>
    <w:rsid w:val="00FC2237"/>
    <w:rsid w:val="00FC3DC2"/>
    <w:rsid w:val="00FC57F0"/>
    <w:rsid w:val="00FC6102"/>
    <w:rsid w:val="00FC6329"/>
    <w:rsid w:val="00FD36B3"/>
    <w:rsid w:val="00FD486A"/>
    <w:rsid w:val="00FD547D"/>
    <w:rsid w:val="00FD5CD8"/>
    <w:rsid w:val="00FE03F5"/>
    <w:rsid w:val="00FE10F3"/>
    <w:rsid w:val="00FE13E9"/>
    <w:rsid w:val="00FE17C6"/>
    <w:rsid w:val="00FF0E7D"/>
    <w:rsid w:val="00FF1B16"/>
    <w:rsid w:val="00FF21F2"/>
    <w:rsid w:val="00FF401F"/>
    <w:rsid w:val="00FF4BBE"/>
    <w:rsid w:val="00FF4E5C"/>
    <w:rsid w:val="00FF671B"/>
    <w:rsid w:val="00FF7ECA"/>
    <w:rsid w:val="01273B33"/>
    <w:rsid w:val="07E2BEC3"/>
    <w:rsid w:val="0CFD44FF"/>
    <w:rsid w:val="0E2071A5"/>
    <w:rsid w:val="15EBEA33"/>
    <w:rsid w:val="18B733D0"/>
    <w:rsid w:val="1AF58329"/>
    <w:rsid w:val="1B39DEBE"/>
    <w:rsid w:val="298E4670"/>
    <w:rsid w:val="2E758422"/>
    <w:rsid w:val="35D17F64"/>
    <w:rsid w:val="409B6E8D"/>
    <w:rsid w:val="47C631AA"/>
    <w:rsid w:val="4AB7E22F"/>
    <w:rsid w:val="4E1441A0"/>
    <w:rsid w:val="4F395E3F"/>
    <w:rsid w:val="5A988177"/>
    <w:rsid w:val="5DB8512C"/>
    <w:rsid w:val="5EDE6442"/>
    <w:rsid w:val="6457D898"/>
    <w:rsid w:val="67584D77"/>
    <w:rsid w:val="6A2224E0"/>
    <w:rsid w:val="73699149"/>
    <w:rsid w:val="7CFD44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B825"/>
  <w15:docId w15:val="{72490248-9D5A-40FC-B861-2DEAAEA8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3B"/>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qFormat/>
    <w:rsid w:val="00CF3CA1"/>
    <w:pPr>
      <w:keepNext/>
      <w:numPr>
        <w:numId w:val="1"/>
      </w:numPr>
      <w:spacing w:before="4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666408"/>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666408"/>
    <w:rPr>
      <w:rFonts w:ascii="Arial" w:eastAsia="MS Gothic" w:hAnsi="Arial" w:cs="Arial"/>
      <w:b/>
      <w:kern w:val="32"/>
      <w:szCs w:val="26"/>
      <w:lang w:val="en-U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21C83"/>
    <w:pPr>
      <w:numPr>
        <w:numId w:val="20"/>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uiPriority w:val="10"/>
    <w:qFormat/>
    <w:rsid w:val="00CF3CA1"/>
    <w:pPr>
      <w:numPr>
        <w:numId w:val="0"/>
      </w:numPr>
    </w:pPr>
  </w:style>
  <w:style w:type="character" w:customStyle="1" w:styleId="TitleChar">
    <w:name w:val="Title Char"/>
    <w:basedOn w:val="DefaultParagraphFont"/>
    <w:link w:val="Title"/>
    <w:uiPriority w:val="10"/>
    <w:rsid w:val="00CF3CA1"/>
    <w:rPr>
      <w:rFonts w:ascii="Arial" w:eastAsia="MS Gothic" w:hAnsi="Arial" w:cs="Arial"/>
      <w:b/>
      <w:bCs/>
      <w:caps/>
      <w:kern w:val="32"/>
      <w:sz w:val="28"/>
      <w:szCs w:val="32"/>
      <w:lang w:val="en-US"/>
    </w:rPr>
  </w:style>
  <w:style w:type="paragraph" w:styleId="BodyText">
    <w:name w:val="Body Text"/>
    <w:basedOn w:val="Normal"/>
    <w:link w:val="BodyTextChar"/>
    <w:uiPriority w:val="1"/>
    <w:unhideWhenUsed/>
    <w:qFormat/>
    <w:rsid w:val="00362995"/>
    <w:pPr>
      <w:widowControl w:val="0"/>
      <w:autoSpaceDE w:val="0"/>
      <w:autoSpaceDN w:val="0"/>
      <w:spacing w:before="0"/>
    </w:pPr>
    <w:rPr>
      <w:rFonts w:eastAsia="Times New Roman"/>
      <w:color w:val="auto"/>
      <w:sz w:val="22"/>
      <w:szCs w:val="22"/>
    </w:rPr>
  </w:style>
  <w:style w:type="character" w:customStyle="1" w:styleId="BodyTextChar">
    <w:name w:val="Body Text Char"/>
    <w:basedOn w:val="DefaultParagraphFont"/>
    <w:link w:val="BodyText"/>
    <w:uiPriority w:val="1"/>
    <w:rsid w:val="00362995"/>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362995"/>
    <w:rPr>
      <w:rFonts w:ascii="Times New Roman" w:hAnsi="Times New Roman"/>
      <w:b/>
      <w:bCs/>
    </w:rPr>
  </w:style>
  <w:style w:type="character" w:customStyle="1" w:styleId="CommentSubjectChar">
    <w:name w:val="Comment Subject Char"/>
    <w:basedOn w:val="CommentTextChar"/>
    <w:link w:val="CommentSubject"/>
    <w:uiPriority w:val="99"/>
    <w:semiHidden/>
    <w:rsid w:val="00362995"/>
    <w:rPr>
      <w:rFonts w:ascii="Times New Roman" w:eastAsia="MS Mincho" w:hAnsi="Times New Roman" w:cs="Times New Roman"/>
      <w:b/>
      <w:bCs/>
      <w:color w:val="000000"/>
      <w:sz w:val="20"/>
      <w:szCs w:val="20"/>
      <w:lang w:val="en-US"/>
    </w:rPr>
  </w:style>
  <w:style w:type="paragraph" w:customStyle="1" w:styleId="TableParagraph">
    <w:name w:val="Table Paragraph"/>
    <w:basedOn w:val="Normal"/>
    <w:uiPriority w:val="1"/>
    <w:qFormat/>
    <w:rsid w:val="00D97FB9"/>
    <w:pPr>
      <w:widowControl w:val="0"/>
      <w:autoSpaceDE w:val="0"/>
      <w:autoSpaceDN w:val="0"/>
      <w:spacing w:before="8"/>
    </w:pPr>
    <w:rPr>
      <w:rFonts w:eastAsia="Times New Roman"/>
      <w:color w:val="auto"/>
      <w:sz w:val="22"/>
      <w:szCs w:val="22"/>
    </w:rPr>
  </w:style>
  <w:style w:type="paragraph" w:customStyle="1" w:styleId="Default">
    <w:name w:val="Default"/>
    <w:rsid w:val="007360C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826485"/>
    <w:rPr>
      <w:color w:val="605E5C"/>
      <w:shd w:val="clear" w:color="auto" w:fill="E1DFDD"/>
    </w:rPr>
  </w:style>
  <w:style w:type="character" w:styleId="FollowedHyperlink">
    <w:name w:val="FollowedHyperlink"/>
    <w:basedOn w:val="DefaultParagraphFont"/>
    <w:uiPriority w:val="99"/>
    <w:semiHidden/>
    <w:unhideWhenUsed/>
    <w:rsid w:val="005C0294"/>
    <w:rPr>
      <w:color w:val="800080" w:themeColor="followedHyperlink"/>
      <w:u w:val="single"/>
    </w:rPr>
  </w:style>
  <w:style w:type="paragraph" w:styleId="Revision">
    <w:name w:val="Revision"/>
    <w:hidden/>
    <w:uiPriority w:val="99"/>
    <w:semiHidden/>
    <w:rsid w:val="00CD5797"/>
    <w:pPr>
      <w:spacing w:after="0" w:line="240" w:lineRule="auto"/>
    </w:pPr>
    <w:rPr>
      <w:rFonts w:ascii="Times New Roman" w:eastAsia="MS Mincho" w:hAnsi="Times New Roman" w:cs="Times New Roman"/>
      <w:color w:val="000000"/>
      <w:sz w:val="24"/>
      <w:szCs w:val="24"/>
      <w:lang w:val="en-US"/>
    </w:rPr>
  </w:style>
  <w:style w:type="paragraph" w:customStyle="1" w:styleId="Bullet">
    <w:name w:val="Bullet •"/>
    <w:basedOn w:val="Normal"/>
    <w:qFormat/>
    <w:rsid w:val="00DE32AC"/>
    <w:pPr>
      <w:numPr>
        <w:numId w:val="24"/>
      </w:numPr>
      <w:suppressAutoHyphens/>
      <w:spacing w:before="0"/>
    </w:pPr>
    <w:rPr>
      <w:rFonts w:eastAsia="SimSun"/>
      <w:color w:val="auto"/>
      <w:sz w:val="22"/>
      <w:szCs w:val="22"/>
      <w:lang w:val="en-GB" w:eastAsia="zh-CN"/>
    </w:rPr>
  </w:style>
  <w:style w:type="paragraph" w:customStyle="1" w:styleId="TableFootnote">
    <w:name w:val="Table Footnote"/>
    <w:basedOn w:val="Normal"/>
    <w:qFormat/>
    <w:rsid w:val="00554585"/>
    <w:pPr>
      <w:suppressAutoHyphens/>
      <w:spacing w:before="0"/>
      <w:ind w:left="284" w:hanging="284"/>
    </w:pPr>
    <w:rPr>
      <w:rFonts w:eastAsia="SimSun"/>
      <w:color w:val="auto"/>
      <w:sz w:val="20"/>
      <w:szCs w:val="20"/>
      <w:lang w:val="en-GB" w:eastAsia="zh-CN"/>
    </w:rPr>
  </w:style>
  <w:style w:type="paragraph" w:styleId="Caption">
    <w:name w:val="caption"/>
    <w:basedOn w:val="Normal"/>
    <w:next w:val="Normal"/>
    <w:uiPriority w:val="35"/>
    <w:unhideWhenUsed/>
    <w:qFormat/>
    <w:rsid w:val="000E7925"/>
    <w:pPr>
      <w:suppressAutoHyphens/>
      <w:spacing w:before="0"/>
    </w:pPr>
    <w:rPr>
      <w:rFonts w:eastAsia="SimSun"/>
      <w:b/>
      <w:bCs/>
      <w:color w:val="auto"/>
      <w:sz w:val="20"/>
      <w:szCs w:val="20"/>
      <w:lang w:val="en-GB" w:eastAsia="zh-CN"/>
    </w:rPr>
  </w:style>
  <w:style w:type="paragraph" w:customStyle="1" w:styleId="HeadingStrong">
    <w:name w:val="Heading Strong"/>
    <w:basedOn w:val="Normal"/>
    <w:next w:val="Normal"/>
    <w:link w:val="HeadingStrongChar"/>
    <w:qFormat/>
    <w:rsid w:val="000E7925"/>
    <w:pPr>
      <w:keepNext/>
      <w:keepLines/>
      <w:suppressAutoHyphens/>
      <w:spacing w:before="0"/>
    </w:pPr>
    <w:rPr>
      <w:rFonts w:eastAsia="SimSun"/>
      <w:b/>
      <w:bCs/>
      <w:color w:val="auto"/>
      <w:sz w:val="22"/>
      <w:szCs w:val="22"/>
      <w:lang w:val="en-GB" w:eastAsia="zh-CN"/>
    </w:rPr>
  </w:style>
  <w:style w:type="character" w:customStyle="1" w:styleId="HeadingStrongChar">
    <w:name w:val="Heading Strong Char"/>
    <w:link w:val="HeadingStrong"/>
    <w:locked/>
    <w:rsid w:val="000E7925"/>
    <w:rPr>
      <w:rFonts w:ascii="Times New Roman" w:eastAsia="SimSun" w:hAnsi="Times New Roman" w:cs="Times New Roman"/>
      <w:b/>
      <w:bCs/>
      <w:lang w:val="en-GB" w:eastAsia="zh-CN"/>
    </w:rPr>
  </w:style>
  <w:style w:type="paragraph" w:customStyle="1" w:styleId="NormalCentred">
    <w:name w:val="Normal Centred"/>
    <w:basedOn w:val="Normal"/>
    <w:qFormat/>
    <w:rsid w:val="000E7925"/>
    <w:pPr>
      <w:suppressAutoHyphens/>
      <w:spacing w:before="0"/>
      <w:jc w:val="center"/>
    </w:pPr>
    <w:rPr>
      <w:rFonts w:eastAsia="SimSun"/>
      <w:color w:val="auto"/>
      <w:sz w:val="22"/>
      <w:szCs w:val="22"/>
      <w:lang w:val="en-GB" w:eastAsia="zh-CN"/>
    </w:rPr>
  </w:style>
  <w:style w:type="paragraph" w:customStyle="1" w:styleId="TableTitle">
    <w:name w:val="Table Title"/>
    <w:basedOn w:val="Heading1"/>
    <w:next w:val="Normal"/>
    <w:qFormat/>
    <w:rsid w:val="000E7925"/>
    <w:pPr>
      <w:keepLines/>
      <w:numPr>
        <w:numId w:val="0"/>
      </w:numPr>
      <w:suppressAutoHyphens/>
      <w:spacing w:before="0"/>
      <w:ind w:left="1134" w:hanging="1134"/>
    </w:pPr>
    <w:rPr>
      <w:rFonts w:ascii="Times New Roman" w:eastAsia="SimSun" w:hAnsi="Times New Roman" w:cs="Times New Roman"/>
      <w:caps w:val="0"/>
      <w:color w:val="auto"/>
      <w:kern w:val="0"/>
      <w:sz w:val="22"/>
      <w:szCs w:val="22"/>
      <w:lang w:val="en-GB" w:eastAsia="zh-CN"/>
    </w:rPr>
  </w:style>
  <w:style w:type="table" w:customStyle="1" w:styleId="Standard">
    <w:name w:val="Standard"/>
    <w:basedOn w:val="TableNormal"/>
    <w:uiPriority w:val="99"/>
    <w:rsid w:val="000E7925"/>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style>
  <w:style w:type="paragraph" w:customStyle="1" w:styleId="NormalKeep">
    <w:name w:val="Normal Keep"/>
    <w:basedOn w:val="Normal"/>
    <w:link w:val="NormalKeepChar"/>
    <w:qFormat/>
    <w:rsid w:val="00347059"/>
    <w:pPr>
      <w:keepNext/>
      <w:suppressAutoHyphens/>
      <w:spacing w:before="0"/>
    </w:pPr>
    <w:rPr>
      <w:rFonts w:eastAsia="SimSun"/>
      <w:color w:val="auto"/>
      <w:sz w:val="22"/>
      <w:szCs w:val="22"/>
      <w:lang w:val="en-GB" w:eastAsia="zh-CN"/>
    </w:rPr>
  </w:style>
  <w:style w:type="paragraph" w:styleId="NormalIndent">
    <w:name w:val="Normal Indent"/>
    <w:basedOn w:val="Normal"/>
    <w:uiPriority w:val="99"/>
    <w:unhideWhenUsed/>
    <w:rsid w:val="00347059"/>
    <w:pPr>
      <w:suppressAutoHyphens/>
      <w:spacing w:before="0"/>
      <w:ind w:left="562"/>
    </w:pPr>
    <w:rPr>
      <w:rFonts w:eastAsia="SimSun"/>
      <w:color w:val="auto"/>
      <w:sz w:val="22"/>
      <w:szCs w:val="22"/>
      <w:lang w:val="en-GB" w:eastAsia="zh-CN"/>
    </w:rPr>
  </w:style>
  <w:style w:type="character" w:customStyle="1" w:styleId="NormalKeepChar">
    <w:name w:val="Normal Keep Char"/>
    <w:link w:val="NormalKeep"/>
    <w:locked/>
    <w:rsid w:val="00347059"/>
    <w:rPr>
      <w:rFonts w:ascii="Times New Roman" w:eastAsia="SimSun" w:hAnsi="Times New Roman" w:cs="Times New Roman"/>
      <w:lang w:val="en-GB" w:eastAsia="zh-CN"/>
    </w:rPr>
  </w:style>
  <w:style w:type="paragraph" w:customStyle="1" w:styleId="HeadingEmphasis">
    <w:name w:val="Heading Emphasis"/>
    <w:basedOn w:val="NormalKeep"/>
    <w:next w:val="NormalKeep"/>
    <w:qFormat/>
    <w:rsid w:val="00F555A4"/>
    <w:pPr>
      <w:keepLines/>
    </w:pPr>
    <w:rPr>
      <w:i/>
      <w:iCs/>
    </w:rPr>
  </w:style>
  <w:style w:type="character" w:styleId="Mention">
    <w:name w:val="Mention"/>
    <w:basedOn w:val="DefaultParagraphFont"/>
    <w:uiPriority w:val="99"/>
    <w:unhideWhenUsed/>
    <w:rsid w:val="00F953D9"/>
    <w:rPr>
      <w:color w:val="2B579A"/>
      <w:shd w:val="clear" w:color="auto" w:fill="E1DFDD"/>
    </w:rPr>
  </w:style>
  <w:style w:type="table" w:styleId="TableGrid">
    <w:name w:val="Table Grid"/>
    <w:basedOn w:val="TableNormal"/>
    <w:uiPriority w:val="59"/>
    <w:rsid w:val="00C051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1885">
      <w:bodyDiv w:val="1"/>
      <w:marLeft w:val="0"/>
      <w:marRight w:val="0"/>
      <w:marTop w:val="0"/>
      <w:marBottom w:val="0"/>
      <w:divBdr>
        <w:top w:val="none" w:sz="0" w:space="0" w:color="auto"/>
        <w:left w:val="none" w:sz="0" w:space="0" w:color="auto"/>
        <w:bottom w:val="none" w:sz="0" w:space="0" w:color="auto"/>
        <w:right w:val="none" w:sz="0" w:space="0" w:color="auto"/>
      </w:divBdr>
    </w:div>
    <w:div w:id="86582078">
      <w:bodyDiv w:val="1"/>
      <w:marLeft w:val="0"/>
      <w:marRight w:val="0"/>
      <w:marTop w:val="0"/>
      <w:marBottom w:val="0"/>
      <w:divBdr>
        <w:top w:val="none" w:sz="0" w:space="0" w:color="auto"/>
        <w:left w:val="none" w:sz="0" w:space="0" w:color="auto"/>
        <w:bottom w:val="none" w:sz="0" w:space="0" w:color="auto"/>
        <w:right w:val="none" w:sz="0" w:space="0" w:color="auto"/>
      </w:divBdr>
    </w:div>
    <w:div w:id="87236082">
      <w:bodyDiv w:val="1"/>
      <w:marLeft w:val="0"/>
      <w:marRight w:val="0"/>
      <w:marTop w:val="0"/>
      <w:marBottom w:val="0"/>
      <w:divBdr>
        <w:top w:val="none" w:sz="0" w:space="0" w:color="auto"/>
        <w:left w:val="none" w:sz="0" w:space="0" w:color="auto"/>
        <w:bottom w:val="none" w:sz="0" w:space="0" w:color="auto"/>
        <w:right w:val="none" w:sz="0" w:space="0" w:color="auto"/>
      </w:divBdr>
    </w:div>
    <w:div w:id="155805165">
      <w:bodyDiv w:val="1"/>
      <w:marLeft w:val="0"/>
      <w:marRight w:val="0"/>
      <w:marTop w:val="0"/>
      <w:marBottom w:val="0"/>
      <w:divBdr>
        <w:top w:val="none" w:sz="0" w:space="0" w:color="auto"/>
        <w:left w:val="none" w:sz="0" w:space="0" w:color="auto"/>
        <w:bottom w:val="none" w:sz="0" w:space="0" w:color="auto"/>
        <w:right w:val="none" w:sz="0" w:space="0" w:color="auto"/>
      </w:divBdr>
    </w:div>
    <w:div w:id="170487565">
      <w:bodyDiv w:val="1"/>
      <w:marLeft w:val="0"/>
      <w:marRight w:val="0"/>
      <w:marTop w:val="0"/>
      <w:marBottom w:val="0"/>
      <w:divBdr>
        <w:top w:val="none" w:sz="0" w:space="0" w:color="auto"/>
        <w:left w:val="none" w:sz="0" w:space="0" w:color="auto"/>
        <w:bottom w:val="none" w:sz="0" w:space="0" w:color="auto"/>
        <w:right w:val="none" w:sz="0" w:space="0" w:color="auto"/>
      </w:divBdr>
    </w:div>
    <w:div w:id="190923747">
      <w:bodyDiv w:val="1"/>
      <w:marLeft w:val="0"/>
      <w:marRight w:val="0"/>
      <w:marTop w:val="0"/>
      <w:marBottom w:val="0"/>
      <w:divBdr>
        <w:top w:val="none" w:sz="0" w:space="0" w:color="auto"/>
        <w:left w:val="none" w:sz="0" w:space="0" w:color="auto"/>
        <w:bottom w:val="none" w:sz="0" w:space="0" w:color="auto"/>
        <w:right w:val="none" w:sz="0" w:space="0" w:color="auto"/>
      </w:divBdr>
    </w:div>
    <w:div w:id="210383336">
      <w:bodyDiv w:val="1"/>
      <w:marLeft w:val="0"/>
      <w:marRight w:val="0"/>
      <w:marTop w:val="0"/>
      <w:marBottom w:val="0"/>
      <w:divBdr>
        <w:top w:val="none" w:sz="0" w:space="0" w:color="auto"/>
        <w:left w:val="none" w:sz="0" w:space="0" w:color="auto"/>
        <w:bottom w:val="none" w:sz="0" w:space="0" w:color="auto"/>
        <w:right w:val="none" w:sz="0" w:space="0" w:color="auto"/>
      </w:divBdr>
    </w:div>
    <w:div w:id="240482994">
      <w:bodyDiv w:val="1"/>
      <w:marLeft w:val="0"/>
      <w:marRight w:val="0"/>
      <w:marTop w:val="0"/>
      <w:marBottom w:val="0"/>
      <w:divBdr>
        <w:top w:val="none" w:sz="0" w:space="0" w:color="auto"/>
        <w:left w:val="none" w:sz="0" w:space="0" w:color="auto"/>
        <w:bottom w:val="none" w:sz="0" w:space="0" w:color="auto"/>
        <w:right w:val="none" w:sz="0" w:space="0" w:color="auto"/>
      </w:divBdr>
    </w:div>
    <w:div w:id="255984859">
      <w:bodyDiv w:val="1"/>
      <w:marLeft w:val="0"/>
      <w:marRight w:val="0"/>
      <w:marTop w:val="0"/>
      <w:marBottom w:val="0"/>
      <w:divBdr>
        <w:top w:val="none" w:sz="0" w:space="0" w:color="auto"/>
        <w:left w:val="none" w:sz="0" w:space="0" w:color="auto"/>
        <w:bottom w:val="none" w:sz="0" w:space="0" w:color="auto"/>
        <w:right w:val="none" w:sz="0" w:space="0" w:color="auto"/>
      </w:divBdr>
    </w:div>
    <w:div w:id="262227148">
      <w:bodyDiv w:val="1"/>
      <w:marLeft w:val="0"/>
      <w:marRight w:val="0"/>
      <w:marTop w:val="0"/>
      <w:marBottom w:val="0"/>
      <w:divBdr>
        <w:top w:val="none" w:sz="0" w:space="0" w:color="auto"/>
        <w:left w:val="none" w:sz="0" w:space="0" w:color="auto"/>
        <w:bottom w:val="none" w:sz="0" w:space="0" w:color="auto"/>
        <w:right w:val="none" w:sz="0" w:space="0" w:color="auto"/>
      </w:divBdr>
    </w:div>
    <w:div w:id="269510803">
      <w:bodyDiv w:val="1"/>
      <w:marLeft w:val="0"/>
      <w:marRight w:val="0"/>
      <w:marTop w:val="0"/>
      <w:marBottom w:val="0"/>
      <w:divBdr>
        <w:top w:val="none" w:sz="0" w:space="0" w:color="auto"/>
        <w:left w:val="none" w:sz="0" w:space="0" w:color="auto"/>
        <w:bottom w:val="none" w:sz="0" w:space="0" w:color="auto"/>
        <w:right w:val="none" w:sz="0" w:space="0" w:color="auto"/>
      </w:divBdr>
    </w:div>
    <w:div w:id="378210269">
      <w:bodyDiv w:val="1"/>
      <w:marLeft w:val="0"/>
      <w:marRight w:val="0"/>
      <w:marTop w:val="0"/>
      <w:marBottom w:val="0"/>
      <w:divBdr>
        <w:top w:val="none" w:sz="0" w:space="0" w:color="auto"/>
        <w:left w:val="none" w:sz="0" w:space="0" w:color="auto"/>
        <w:bottom w:val="none" w:sz="0" w:space="0" w:color="auto"/>
        <w:right w:val="none" w:sz="0" w:space="0" w:color="auto"/>
      </w:divBdr>
    </w:div>
    <w:div w:id="380400517">
      <w:bodyDiv w:val="1"/>
      <w:marLeft w:val="0"/>
      <w:marRight w:val="0"/>
      <w:marTop w:val="0"/>
      <w:marBottom w:val="0"/>
      <w:divBdr>
        <w:top w:val="none" w:sz="0" w:space="0" w:color="auto"/>
        <w:left w:val="none" w:sz="0" w:space="0" w:color="auto"/>
        <w:bottom w:val="none" w:sz="0" w:space="0" w:color="auto"/>
        <w:right w:val="none" w:sz="0" w:space="0" w:color="auto"/>
      </w:divBdr>
    </w:div>
    <w:div w:id="393892499">
      <w:bodyDiv w:val="1"/>
      <w:marLeft w:val="0"/>
      <w:marRight w:val="0"/>
      <w:marTop w:val="0"/>
      <w:marBottom w:val="0"/>
      <w:divBdr>
        <w:top w:val="none" w:sz="0" w:space="0" w:color="auto"/>
        <w:left w:val="none" w:sz="0" w:space="0" w:color="auto"/>
        <w:bottom w:val="none" w:sz="0" w:space="0" w:color="auto"/>
        <w:right w:val="none" w:sz="0" w:space="0" w:color="auto"/>
      </w:divBdr>
    </w:div>
    <w:div w:id="396363050">
      <w:bodyDiv w:val="1"/>
      <w:marLeft w:val="0"/>
      <w:marRight w:val="0"/>
      <w:marTop w:val="0"/>
      <w:marBottom w:val="0"/>
      <w:divBdr>
        <w:top w:val="none" w:sz="0" w:space="0" w:color="auto"/>
        <w:left w:val="none" w:sz="0" w:space="0" w:color="auto"/>
        <w:bottom w:val="none" w:sz="0" w:space="0" w:color="auto"/>
        <w:right w:val="none" w:sz="0" w:space="0" w:color="auto"/>
      </w:divBdr>
    </w:div>
    <w:div w:id="456070856">
      <w:bodyDiv w:val="1"/>
      <w:marLeft w:val="0"/>
      <w:marRight w:val="0"/>
      <w:marTop w:val="0"/>
      <w:marBottom w:val="0"/>
      <w:divBdr>
        <w:top w:val="none" w:sz="0" w:space="0" w:color="auto"/>
        <w:left w:val="none" w:sz="0" w:space="0" w:color="auto"/>
        <w:bottom w:val="none" w:sz="0" w:space="0" w:color="auto"/>
        <w:right w:val="none" w:sz="0" w:space="0" w:color="auto"/>
      </w:divBdr>
    </w:div>
    <w:div w:id="464739829">
      <w:bodyDiv w:val="1"/>
      <w:marLeft w:val="0"/>
      <w:marRight w:val="0"/>
      <w:marTop w:val="0"/>
      <w:marBottom w:val="0"/>
      <w:divBdr>
        <w:top w:val="none" w:sz="0" w:space="0" w:color="auto"/>
        <w:left w:val="none" w:sz="0" w:space="0" w:color="auto"/>
        <w:bottom w:val="none" w:sz="0" w:space="0" w:color="auto"/>
        <w:right w:val="none" w:sz="0" w:space="0" w:color="auto"/>
      </w:divBdr>
    </w:div>
    <w:div w:id="513108555">
      <w:bodyDiv w:val="1"/>
      <w:marLeft w:val="0"/>
      <w:marRight w:val="0"/>
      <w:marTop w:val="0"/>
      <w:marBottom w:val="0"/>
      <w:divBdr>
        <w:top w:val="none" w:sz="0" w:space="0" w:color="auto"/>
        <w:left w:val="none" w:sz="0" w:space="0" w:color="auto"/>
        <w:bottom w:val="none" w:sz="0" w:space="0" w:color="auto"/>
        <w:right w:val="none" w:sz="0" w:space="0" w:color="auto"/>
      </w:divBdr>
    </w:div>
    <w:div w:id="526866237">
      <w:bodyDiv w:val="1"/>
      <w:marLeft w:val="0"/>
      <w:marRight w:val="0"/>
      <w:marTop w:val="0"/>
      <w:marBottom w:val="0"/>
      <w:divBdr>
        <w:top w:val="none" w:sz="0" w:space="0" w:color="auto"/>
        <w:left w:val="none" w:sz="0" w:space="0" w:color="auto"/>
        <w:bottom w:val="none" w:sz="0" w:space="0" w:color="auto"/>
        <w:right w:val="none" w:sz="0" w:space="0" w:color="auto"/>
      </w:divBdr>
    </w:div>
    <w:div w:id="541094728">
      <w:bodyDiv w:val="1"/>
      <w:marLeft w:val="0"/>
      <w:marRight w:val="0"/>
      <w:marTop w:val="0"/>
      <w:marBottom w:val="0"/>
      <w:divBdr>
        <w:top w:val="none" w:sz="0" w:space="0" w:color="auto"/>
        <w:left w:val="none" w:sz="0" w:space="0" w:color="auto"/>
        <w:bottom w:val="none" w:sz="0" w:space="0" w:color="auto"/>
        <w:right w:val="none" w:sz="0" w:space="0" w:color="auto"/>
      </w:divBdr>
    </w:div>
    <w:div w:id="554007273">
      <w:bodyDiv w:val="1"/>
      <w:marLeft w:val="0"/>
      <w:marRight w:val="0"/>
      <w:marTop w:val="0"/>
      <w:marBottom w:val="0"/>
      <w:divBdr>
        <w:top w:val="none" w:sz="0" w:space="0" w:color="auto"/>
        <w:left w:val="none" w:sz="0" w:space="0" w:color="auto"/>
        <w:bottom w:val="none" w:sz="0" w:space="0" w:color="auto"/>
        <w:right w:val="none" w:sz="0" w:space="0" w:color="auto"/>
      </w:divBdr>
    </w:div>
    <w:div w:id="561402723">
      <w:bodyDiv w:val="1"/>
      <w:marLeft w:val="0"/>
      <w:marRight w:val="0"/>
      <w:marTop w:val="0"/>
      <w:marBottom w:val="0"/>
      <w:divBdr>
        <w:top w:val="none" w:sz="0" w:space="0" w:color="auto"/>
        <w:left w:val="none" w:sz="0" w:space="0" w:color="auto"/>
        <w:bottom w:val="none" w:sz="0" w:space="0" w:color="auto"/>
        <w:right w:val="none" w:sz="0" w:space="0" w:color="auto"/>
      </w:divBdr>
    </w:div>
    <w:div w:id="583346558">
      <w:bodyDiv w:val="1"/>
      <w:marLeft w:val="0"/>
      <w:marRight w:val="0"/>
      <w:marTop w:val="0"/>
      <w:marBottom w:val="0"/>
      <w:divBdr>
        <w:top w:val="none" w:sz="0" w:space="0" w:color="auto"/>
        <w:left w:val="none" w:sz="0" w:space="0" w:color="auto"/>
        <w:bottom w:val="none" w:sz="0" w:space="0" w:color="auto"/>
        <w:right w:val="none" w:sz="0" w:space="0" w:color="auto"/>
      </w:divBdr>
    </w:div>
    <w:div w:id="650866725">
      <w:bodyDiv w:val="1"/>
      <w:marLeft w:val="0"/>
      <w:marRight w:val="0"/>
      <w:marTop w:val="0"/>
      <w:marBottom w:val="0"/>
      <w:divBdr>
        <w:top w:val="none" w:sz="0" w:space="0" w:color="auto"/>
        <w:left w:val="none" w:sz="0" w:space="0" w:color="auto"/>
        <w:bottom w:val="none" w:sz="0" w:space="0" w:color="auto"/>
        <w:right w:val="none" w:sz="0" w:space="0" w:color="auto"/>
      </w:divBdr>
    </w:div>
    <w:div w:id="656692277">
      <w:bodyDiv w:val="1"/>
      <w:marLeft w:val="0"/>
      <w:marRight w:val="0"/>
      <w:marTop w:val="0"/>
      <w:marBottom w:val="0"/>
      <w:divBdr>
        <w:top w:val="none" w:sz="0" w:space="0" w:color="auto"/>
        <w:left w:val="none" w:sz="0" w:space="0" w:color="auto"/>
        <w:bottom w:val="none" w:sz="0" w:space="0" w:color="auto"/>
        <w:right w:val="none" w:sz="0" w:space="0" w:color="auto"/>
      </w:divBdr>
    </w:div>
    <w:div w:id="694311304">
      <w:bodyDiv w:val="1"/>
      <w:marLeft w:val="0"/>
      <w:marRight w:val="0"/>
      <w:marTop w:val="0"/>
      <w:marBottom w:val="0"/>
      <w:divBdr>
        <w:top w:val="none" w:sz="0" w:space="0" w:color="auto"/>
        <w:left w:val="none" w:sz="0" w:space="0" w:color="auto"/>
        <w:bottom w:val="none" w:sz="0" w:space="0" w:color="auto"/>
        <w:right w:val="none" w:sz="0" w:space="0" w:color="auto"/>
      </w:divBdr>
    </w:div>
    <w:div w:id="704061823">
      <w:bodyDiv w:val="1"/>
      <w:marLeft w:val="0"/>
      <w:marRight w:val="0"/>
      <w:marTop w:val="0"/>
      <w:marBottom w:val="0"/>
      <w:divBdr>
        <w:top w:val="none" w:sz="0" w:space="0" w:color="auto"/>
        <w:left w:val="none" w:sz="0" w:space="0" w:color="auto"/>
        <w:bottom w:val="none" w:sz="0" w:space="0" w:color="auto"/>
        <w:right w:val="none" w:sz="0" w:space="0" w:color="auto"/>
      </w:divBdr>
    </w:div>
    <w:div w:id="706293327">
      <w:bodyDiv w:val="1"/>
      <w:marLeft w:val="0"/>
      <w:marRight w:val="0"/>
      <w:marTop w:val="0"/>
      <w:marBottom w:val="0"/>
      <w:divBdr>
        <w:top w:val="none" w:sz="0" w:space="0" w:color="auto"/>
        <w:left w:val="none" w:sz="0" w:space="0" w:color="auto"/>
        <w:bottom w:val="none" w:sz="0" w:space="0" w:color="auto"/>
        <w:right w:val="none" w:sz="0" w:space="0" w:color="auto"/>
      </w:divBdr>
    </w:div>
    <w:div w:id="708575831">
      <w:bodyDiv w:val="1"/>
      <w:marLeft w:val="0"/>
      <w:marRight w:val="0"/>
      <w:marTop w:val="0"/>
      <w:marBottom w:val="0"/>
      <w:divBdr>
        <w:top w:val="none" w:sz="0" w:space="0" w:color="auto"/>
        <w:left w:val="none" w:sz="0" w:space="0" w:color="auto"/>
        <w:bottom w:val="none" w:sz="0" w:space="0" w:color="auto"/>
        <w:right w:val="none" w:sz="0" w:space="0" w:color="auto"/>
      </w:divBdr>
    </w:div>
    <w:div w:id="711733025">
      <w:bodyDiv w:val="1"/>
      <w:marLeft w:val="0"/>
      <w:marRight w:val="0"/>
      <w:marTop w:val="0"/>
      <w:marBottom w:val="0"/>
      <w:divBdr>
        <w:top w:val="none" w:sz="0" w:space="0" w:color="auto"/>
        <w:left w:val="none" w:sz="0" w:space="0" w:color="auto"/>
        <w:bottom w:val="none" w:sz="0" w:space="0" w:color="auto"/>
        <w:right w:val="none" w:sz="0" w:space="0" w:color="auto"/>
      </w:divBdr>
    </w:div>
    <w:div w:id="716659730">
      <w:bodyDiv w:val="1"/>
      <w:marLeft w:val="0"/>
      <w:marRight w:val="0"/>
      <w:marTop w:val="0"/>
      <w:marBottom w:val="0"/>
      <w:divBdr>
        <w:top w:val="none" w:sz="0" w:space="0" w:color="auto"/>
        <w:left w:val="none" w:sz="0" w:space="0" w:color="auto"/>
        <w:bottom w:val="none" w:sz="0" w:space="0" w:color="auto"/>
        <w:right w:val="none" w:sz="0" w:space="0" w:color="auto"/>
      </w:divBdr>
    </w:div>
    <w:div w:id="751701223">
      <w:bodyDiv w:val="1"/>
      <w:marLeft w:val="0"/>
      <w:marRight w:val="0"/>
      <w:marTop w:val="0"/>
      <w:marBottom w:val="0"/>
      <w:divBdr>
        <w:top w:val="none" w:sz="0" w:space="0" w:color="auto"/>
        <w:left w:val="none" w:sz="0" w:space="0" w:color="auto"/>
        <w:bottom w:val="none" w:sz="0" w:space="0" w:color="auto"/>
        <w:right w:val="none" w:sz="0" w:space="0" w:color="auto"/>
      </w:divBdr>
    </w:div>
    <w:div w:id="764111780">
      <w:bodyDiv w:val="1"/>
      <w:marLeft w:val="0"/>
      <w:marRight w:val="0"/>
      <w:marTop w:val="0"/>
      <w:marBottom w:val="0"/>
      <w:divBdr>
        <w:top w:val="none" w:sz="0" w:space="0" w:color="auto"/>
        <w:left w:val="none" w:sz="0" w:space="0" w:color="auto"/>
        <w:bottom w:val="none" w:sz="0" w:space="0" w:color="auto"/>
        <w:right w:val="none" w:sz="0" w:space="0" w:color="auto"/>
      </w:divBdr>
    </w:div>
    <w:div w:id="781731269">
      <w:bodyDiv w:val="1"/>
      <w:marLeft w:val="0"/>
      <w:marRight w:val="0"/>
      <w:marTop w:val="0"/>
      <w:marBottom w:val="0"/>
      <w:divBdr>
        <w:top w:val="none" w:sz="0" w:space="0" w:color="auto"/>
        <w:left w:val="none" w:sz="0" w:space="0" w:color="auto"/>
        <w:bottom w:val="none" w:sz="0" w:space="0" w:color="auto"/>
        <w:right w:val="none" w:sz="0" w:space="0" w:color="auto"/>
      </w:divBdr>
    </w:div>
    <w:div w:id="866986713">
      <w:bodyDiv w:val="1"/>
      <w:marLeft w:val="0"/>
      <w:marRight w:val="0"/>
      <w:marTop w:val="0"/>
      <w:marBottom w:val="0"/>
      <w:divBdr>
        <w:top w:val="none" w:sz="0" w:space="0" w:color="auto"/>
        <w:left w:val="none" w:sz="0" w:space="0" w:color="auto"/>
        <w:bottom w:val="none" w:sz="0" w:space="0" w:color="auto"/>
        <w:right w:val="none" w:sz="0" w:space="0" w:color="auto"/>
      </w:divBdr>
    </w:div>
    <w:div w:id="869103027">
      <w:bodyDiv w:val="1"/>
      <w:marLeft w:val="0"/>
      <w:marRight w:val="0"/>
      <w:marTop w:val="0"/>
      <w:marBottom w:val="0"/>
      <w:divBdr>
        <w:top w:val="none" w:sz="0" w:space="0" w:color="auto"/>
        <w:left w:val="none" w:sz="0" w:space="0" w:color="auto"/>
        <w:bottom w:val="none" w:sz="0" w:space="0" w:color="auto"/>
        <w:right w:val="none" w:sz="0" w:space="0" w:color="auto"/>
      </w:divBdr>
    </w:div>
    <w:div w:id="905140554">
      <w:bodyDiv w:val="1"/>
      <w:marLeft w:val="0"/>
      <w:marRight w:val="0"/>
      <w:marTop w:val="0"/>
      <w:marBottom w:val="0"/>
      <w:divBdr>
        <w:top w:val="none" w:sz="0" w:space="0" w:color="auto"/>
        <w:left w:val="none" w:sz="0" w:space="0" w:color="auto"/>
        <w:bottom w:val="none" w:sz="0" w:space="0" w:color="auto"/>
        <w:right w:val="none" w:sz="0" w:space="0" w:color="auto"/>
      </w:divBdr>
    </w:div>
    <w:div w:id="930043378">
      <w:bodyDiv w:val="1"/>
      <w:marLeft w:val="0"/>
      <w:marRight w:val="0"/>
      <w:marTop w:val="0"/>
      <w:marBottom w:val="0"/>
      <w:divBdr>
        <w:top w:val="none" w:sz="0" w:space="0" w:color="auto"/>
        <w:left w:val="none" w:sz="0" w:space="0" w:color="auto"/>
        <w:bottom w:val="none" w:sz="0" w:space="0" w:color="auto"/>
        <w:right w:val="none" w:sz="0" w:space="0" w:color="auto"/>
      </w:divBdr>
    </w:div>
    <w:div w:id="966622037">
      <w:bodyDiv w:val="1"/>
      <w:marLeft w:val="0"/>
      <w:marRight w:val="0"/>
      <w:marTop w:val="0"/>
      <w:marBottom w:val="0"/>
      <w:divBdr>
        <w:top w:val="none" w:sz="0" w:space="0" w:color="auto"/>
        <w:left w:val="none" w:sz="0" w:space="0" w:color="auto"/>
        <w:bottom w:val="none" w:sz="0" w:space="0" w:color="auto"/>
        <w:right w:val="none" w:sz="0" w:space="0" w:color="auto"/>
      </w:divBdr>
    </w:div>
    <w:div w:id="975375295">
      <w:bodyDiv w:val="1"/>
      <w:marLeft w:val="0"/>
      <w:marRight w:val="0"/>
      <w:marTop w:val="0"/>
      <w:marBottom w:val="0"/>
      <w:divBdr>
        <w:top w:val="none" w:sz="0" w:space="0" w:color="auto"/>
        <w:left w:val="none" w:sz="0" w:space="0" w:color="auto"/>
        <w:bottom w:val="none" w:sz="0" w:space="0" w:color="auto"/>
        <w:right w:val="none" w:sz="0" w:space="0" w:color="auto"/>
      </w:divBdr>
    </w:div>
    <w:div w:id="990015984">
      <w:bodyDiv w:val="1"/>
      <w:marLeft w:val="0"/>
      <w:marRight w:val="0"/>
      <w:marTop w:val="0"/>
      <w:marBottom w:val="0"/>
      <w:divBdr>
        <w:top w:val="none" w:sz="0" w:space="0" w:color="auto"/>
        <w:left w:val="none" w:sz="0" w:space="0" w:color="auto"/>
        <w:bottom w:val="none" w:sz="0" w:space="0" w:color="auto"/>
        <w:right w:val="none" w:sz="0" w:space="0" w:color="auto"/>
      </w:divBdr>
    </w:div>
    <w:div w:id="1082067033">
      <w:bodyDiv w:val="1"/>
      <w:marLeft w:val="0"/>
      <w:marRight w:val="0"/>
      <w:marTop w:val="0"/>
      <w:marBottom w:val="0"/>
      <w:divBdr>
        <w:top w:val="none" w:sz="0" w:space="0" w:color="auto"/>
        <w:left w:val="none" w:sz="0" w:space="0" w:color="auto"/>
        <w:bottom w:val="none" w:sz="0" w:space="0" w:color="auto"/>
        <w:right w:val="none" w:sz="0" w:space="0" w:color="auto"/>
      </w:divBdr>
    </w:div>
    <w:div w:id="1083336680">
      <w:bodyDiv w:val="1"/>
      <w:marLeft w:val="0"/>
      <w:marRight w:val="0"/>
      <w:marTop w:val="0"/>
      <w:marBottom w:val="0"/>
      <w:divBdr>
        <w:top w:val="none" w:sz="0" w:space="0" w:color="auto"/>
        <w:left w:val="none" w:sz="0" w:space="0" w:color="auto"/>
        <w:bottom w:val="none" w:sz="0" w:space="0" w:color="auto"/>
        <w:right w:val="none" w:sz="0" w:space="0" w:color="auto"/>
      </w:divBdr>
    </w:div>
    <w:div w:id="1083599489">
      <w:bodyDiv w:val="1"/>
      <w:marLeft w:val="0"/>
      <w:marRight w:val="0"/>
      <w:marTop w:val="0"/>
      <w:marBottom w:val="0"/>
      <w:divBdr>
        <w:top w:val="none" w:sz="0" w:space="0" w:color="auto"/>
        <w:left w:val="none" w:sz="0" w:space="0" w:color="auto"/>
        <w:bottom w:val="none" w:sz="0" w:space="0" w:color="auto"/>
        <w:right w:val="none" w:sz="0" w:space="0" w:color="auto"/>
      </w:divBdr>
    </w:div>
    <w:div w:id="1108045231">
      <w:bodyDiv w:val="1"/>
      <w:marLeft w:val="0"/>
      <w:marRight w:val="0"/>
      <w:marTop w:val="0"/>
      <w:marBottom w:val="0"/>
      <w:divBdr>
        <w:top w:val="none" w:sz="0" w:space="0" w:color="auto"/>
        <w:left w:val="none" w:sz="0" w:space="0" w:color="auto"/>
        <w:bottom w:val="none" w:sz="0" w:space="0" w:color="auto"/>
        <w:right w:val="none" w:sz="0" w:space="0" w:color="auto"/>
      </w:divBdr>
    </w:div>
    <w:div w:id="1109930315">
      <w:bodyDiv w:val="1"/>
      <w:marLeft w:val="0"/>
      <w:marRight w:val="0"/>
      <w:marTop w:val="0"/>
      <w:marBottom w:val="0"/>
      <w:divBdr>
        <w:top w:val="none" w:sz="0" w:space="0" w:color="auto"/>
        <w:left w:val="none" w:sz="0" w:space="0" w:color="auto"/>
        <w:bottom w:val="none" w:sz="0" w:space="0" w:color="auto"/>
        <w:right w:val="none" w:sz="0" w:space="0" w:color="auto"/>
      </w:divBdr>
    </w:div>
    <w:div w:id="1136678761">
      <w:bodyDiv w:val="1"/>
      <w:marLeft w:val="0"/>
      <w:marRight w:val="0"/>
      <w:marTop w:val="0"/>
      <w:marBottom w:val="0"/>
      <w:divBdr>
        <w:top w:val="none" w:sz="0" w:space="0" w:color="auto"/>
        <w:left w:val="none" w:sz="0" w:space="0" w:color="auto"/>
        <w:bottom w:val="none" w:sz="0" w:space="0" w:color="auto"/>
        <w:right w:val="none" w:sz="0" w:space="0" w:color="auto"/>
      </w:divBdr>
    </w:div>
    <w:div w:id="1168180745">
      <w:bodyDiv w:val="1"/>
      <w:marLeft w:val="0"/>
      <w:marRight w:val="0"/>
      <w:marTop w:val="0"/>
      <w:marBottom w:val="0"/>
      <w:divBdr>
        <w:top w:val="none" w:sz="0" w:space="0" w:color="auto"/>
        <w:left w:val="none" w:sz="0" w:space="0" w:color="auto"/>
        <w:bottom w:val="none" w:sz="0" w:space="0" w:color="auto"/>
        <w:right w:val="none" w:sz="0" w:space="0" w:color="auto"/>
      </w:divBdr>
    </w:div>
    <w:div w:id="1185483994">
      <w:bodyDiv w:val="1"/>
      <w:marLeft w:val="0"/>
      <w:marRight w:val="0"/>
      <w:marTop w:val="0"/>
      <w:marBottom w:val="0"/>
      <w:divBdr>
        <w:top w:val="none" w:sz="0" w:space="0" w:color="auto"/>
        <w:left w:val="none" w:sz="0" w:space="0" w:color="auto"/>
        <w:bottom w:val="none" w:sz="0" w:space="0" w:color="auto"/>
        <w:right w:val="none" w:sz="0" w:space="0" w:color="auto"/>
      </w:divBdr>
    </w:div>
    <w:div w:id="1199852299">
      <w:bodyDiv w:val="1"/>
      <w:marLeft w:val="0"/>
      <w:marRight w:val="0"/>
      <w:marTop w:val="0"/>
      <w:marBottom w:val="0"/>
      <w:divBdr>
        <w:top w:val="none" w:sz="0" w:space="0" w:color="auto"/>
        <w:left w:val="none" w:sz="0" w:space="0" w:color="auto"/>
        <w:bottom w:val="none" w:sz="0" w:space="0" w:color="auto"/>
        <w:right w:val="none" w:sz="0" w:space="0" w:color="auto"/>
      </w:divBdr>
    </w:div>
    <w:div w:id="1222593218">
      <w:bodyDiv w:val="1"/>
      <w:marLeft w:val="0"/>
      <w:marRight w:val="0"/>
      <w:marTop w:val="0"/>
      <w:marBottom w:val="0"/>
      <w:divBdr>
        <w:top w:val="none" w:sz="0" w:space="0" w:color="auto"/>
        <w:left w:val="none" w:sz="0" w:space="0" w:color="auto"/>
        <w:bottom w:val="none" w:sz="0" w:space="0" w:color="auto"/>
        <w:right w:val="none" w:sz="0" w:space="0" w:color="auto"/>
      </w:divBdr>
    </w:div>
    <w:div w:id="1252852585">
      <w:bodyDiv w:val="1"/>
      <w:marLeft w:val="0"/>
      <w:marRight w:val="0"/>
      <w:marTop w:val="0"/>
      <w:marBottom w:val="0"/>
      <w:divBdr>
        <w:top w:val="none" w:sz="0" w:space="0" w:color="auto"/>
        <w:left w:val="none" w:sz="0" w:space="0" w:color="auto"/>
        <w:bottom w:val="none" w:sz="0" w:space="0" w:color="auto"/>
        <w:right w:val="none" w:sz="0" w:space="0" w:color="auto"/>
      </w:divBdr>
    </w:div>
    <w:div w:id="1287928649">
      <w:bodyDiv w:val="1"/>
      <w:marLeft w:val="0"/>
      <w:marRight w:val="0"/>
      <w:marTop w:val="0"/>
      <w:marBottom w:val="0"/>
      <w:divBdr>
        <w:top w:val="none" w:sz="0" w:space="0" w:color="auto"/>
        <w:left w:val="none" w:sz="0" w:space="0" w:color="auto"/>
        <w:bottom w:val="none" w:sz="0" w:space="0" w:color="auto"/>
        <w:right w:val="none" w:sz="0" w:space="0" w:color="auto"/>
      </w:divBdr>
    </w:div>
    <w:div w:id="1351176570">
      <w:bodyDiv w:val="1"/>
      <w:marLeft w:val="0"/>
      <w:marRight w:val="0"/>
      <w:marTop w:val="0"/>
      <w:marBottom w:val="0"/>
      <w:divBdr>
        <w:top w:val="none" w:sz="0" w:space="0" w:color="auto"/>
        <w:left w:val="none" w:sz="0" w:space="0" w:color="auto"/>
        <w:bottom w:val="none" w:sz="0" w:space="0" w:color="auto"/>
        <w:right w:val="none" w:sz="0" w:space="0" w:color="auto"/>
      </w:divBdr>
    </w:div>
    <w:div w:id="1375157985">
      <w:bodyDiv w:val="1"/>
      <w:marLeft w:val="0"/>
      <w:marRight w:val="0"/>
      <w:marTop w:val="0"/>
      <w:marBottom w:val="0"/>
      <w:divBdr>
        <w:top w:val="none" w:sz="0" w:space="0" w:color="auto"/>
        <w:left w:val="none" w:sz="0" w:space="0" w:color="auto"/>
        <w:bottom w:val="none" w:sz="0" w:space="0" w:color="auto"/>
        <w:right w:val="none" w:sz="0" w:space="0" w:color="auto"/>
      </w:divBdr>
    </w:div>
    <w:div w:id="1384908885">
      <w:bodyDiv w:val="1"/>
      <w:marLeft w:val="0"/>
      <w:marRight w:val="0"/>
      <w:marTop w:val="0"/>
      <w:marBottom w:val="0"/>
      <w:divBdr>
        <w:top w:val="none" w:sz="0" w:space="0" w:color="auto"/>
        <w:left w:val="none" w:sz="0" w:space="0" w:color="auto"/>
        <w:bottom w:val="none" w:sz="0" w:space="0" w:color="auto"/>
        <w:right w:val="none" w:sz="0" w:space="0" w:color="auto"/>
      </w:divBdr>
    </w:div>
    <w:div w:id="1400254318">
      <w:bodyDiv w:val="1"/>
      <w:marLeft w:val="0"/>
      <w:marRight w:val="0"/>
      <w:marTop w:val="0"/>
      <w:marBottom w:val="0"/>
      <w:divBdr>
        <w:top w:val="none" w:sz="0" w:space="0" w:color="auto"/>
        <w:left w:val="none" w:sz="0" w:space="0" w:color="auto"/>
        <w:bottom w:val="none" w:sz="0" w:space="0" w:color="auto"/>
        <w:right w:val="none" w:sz="0" w:space="0" w:color="auto"/>
      </w:divBdr>
    </w:div>
    <w:div w:id="1418670012">
      <w:bodyDiv w:val="1"/>
      <w:marLeft w:val="0"/>
      <w:marRight w:val="0"/>
      <w:marTop w:val="0"/>
      <w:marBottom w:val="0"/>
      <w:divBdr>
        <w:top w:val="none" w:sz="0" w:space="0" w:color="auto"/>
        <w:left w:val="none" w:sz="0" w:space="0" w:color="auto"/>
        <w:bottom w:val="none" w:sz="0" w:space="0" w:color="auto"/>
        <w:right w:val="none" w:sz="0" w:space="0" w:color="auto"/>
      </w:divBdr>
    </w:div>
    <w:div w:id="1441414046">
      <w:bodyDiv w:val="1"/>
      <w:marLeft w:val="0"/>
      <w:marRight w:val="0"/>
      <w:marTop w:val="0"/>
      <w:marBottom w:val="0"/>
      <w:divBdr>
        <w:top w:val="none" w:sz="0" w:space="0" w:color="auto"/>
        <w:left w:val="none" w:sz="0" w:space="0" w:color="auto"/>
        <w:bottom w:val="none" w:sz="0" w:space="0" w:color="auto"/>
        <w:right w:val="none" w:sz="0" w:space="0" w:color="auto"/>
      </w:divBdr>
    </w:div>
    <w:div w:id="1482504112">
      <w:bodyDiv w:val="1"/>
      <w:marLeft w:val="0"/>
      <w:marRight w:val="0"/>
      <w:marTop w:val="0"/>
      <w:marBottom w:val="0"/>
      <w:divBdr>
        <w:top w:val="none" w:sz="0" w:space="0" w:color="auto"/>
        <w:left w:val="none" w:sz="0" w:space="0" w:color="auto"/>
        <w:bottom w:val="none" w:sz="0" w:space="0" w:color="auto"/>
        <w:right w:val="none" w:sz="0" w:space="0" w:color="auto"/>
      </w:divBdr>
    </w:div>
    <w:div w:id="1515879199">
      <w:bodyDiv w:val="1"/>
      <w:marLeft w:val="0"/>
      <w:marRight w:val="0"/>
      <w:marTop w:val="0"/>
      <w:marBottom w:val="0"/>
      <w:divBdr>
        <w:top w:val="none" w:sz="0" w:space="0" w:color="auto"/>
        <w:left w:val="none" w:sz="0" w:space="0" w:color="auto"/>
        <w:bottom w:val="none" w:sz="0" w:space="0" w:color="auto"/>
        <w:right w:val="none" w:sz="0" w:space="0" w:color="auto"/>
      </w:divBdr>
    </w:div>
    <w:div w:id="1545285446">
      <w:bodyDiv w:val="1"/>
      <w:marLeft w:val="0"/>
      <w:marRight w:val="0"/>
      <w:marTop w:val="0"/>
      <w:marBottom w:val="0"/>
      <w:divBdr>
        <w:top w:val="none" w:sz="0" w:space="0" w:color="auto"/>
        <w:left w:val="none" w:sz="0" w:space="0" w:color="auto"/>
        <w:bottom w:val="none" w:sz="0" w:space="0" w:color="auto"/>
        <w:right w:val="none" w:sz="0" w:space="0" w:color="auto"/>
      </w:divBdr>
    </w:div>
    <w:div w:id="1549296692">
      <w:bodyDiv w:val="1"/>
      <w:marLeft w:val="0"/>
      <w:marRight w:val="0"/>
      <w:marTop w:val="0"/>
      <w:marBottom w:val="0"/>
      <w:divBdr>
        <w:top w:val="none" w:sz="0" w:space="0" w:color="auto"/>
        <w:left w:val="none" w:sz="0" w:space="0" w:color="auto"/>
        <w:bottom w:val="none" w:sz="0" w:space="0" w:color="auto"/>
        <w:right w:val="none" w:sz="0" w:space="0" w:color="auto"/>
      </w:divBdr>
    </w:div>
    <w:div w:id="1550724356">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73270281">
      <w:bodyDiv w:val="1"/>
      <w:marLeft w:val="0"/>
      <w:marRight w:val="0"/>
      <w:marTop w:val="0"/>
      <w:marBottom w:val="0"/>
      <w:divBdr>
        <w:top w:val="none" w:sz="0" w:space="0" w:color="auto"/>
        <w:left w:val="none" w:sz="0" w:space="0" w:color="auto"/>
        <w:bottom w:val="none" w:sz="0" w:space="0" w:color="auto"/>
        <w:right w:val="none" w:sz="0" w:space="0" w:color="auto"/>
      </w:divBdr>
    </w:div>
    <w:div w:id="1588270242">
      <w:bodyDiv w:val="1"/>
      <w:marLeft w:val="0"/>
      <w:marRight w:val="0"/>
      <w:marTop w:val="0"/>
      <w:marBottom w:val="0"/>
      <w:divBdr>
        <w:top w:val="none" w:sz="0" w:space="0" w:color="auto"/>
        <w:left w:val="none" w:sz="0" w:space="0" w:color="auto"/>
        <w:bottom w:val="none" w:sz="0" w:space="0" w:color="auto"/>
        <w:right w:val="none" w:sz="0" w:space="0" w:color="auto"/>
      </w:divBdr>
    </w:div>
    <w:div w:id="1591158651">
      <w:bodyDiv w:val="1"/>
      <w:marLeft w:val="0"/>
      <w:marRight w:val="0"/>
      <w:marTop w:val="0"/>
      <w:marBottom w:val="0"/>
      <w:divBdr>
        <w:top w:val="none" w:sz="0" w:space="0" w:color="auto"/>
        <w:left w:val="none" w:sz="0" w:space="0" w:color="auto"/>
        <w:bottom w:val="none" w:sz="0" w:space="0" w:color="auto"/>
        <w:right w:val="none" w:sz="0" w:space="0" w:color="auto"/>
      </w:divBdr>
    </w:div>
    <w:div w:id="1594780485">
      <w:bodyDiv w:val="1"/>
      <w:marLeft w:val="0"/>
      <w:marRight w:val="0"/>
      <w:marTop w:val="0"/>
      <w:marBottom w:val="0"/>
      <w:divBdr>
        <w:top w:val="none" w:sz="0" w:space="0" w:color="auto"/>
        <w:left w:val="none" w:sz="0" w:space="0" w:color="auto"/>
        <w:bottom w:val="none" w:sz="0" w:space="0" w:color="auto"/>
        <w:right w:val="none" w:sz="0" w:space="0" w:color="auto"/>
      </w:divBdr>
    </w:div>
    <w:div w:id="1608849649">
      <w:bodyDiv w:val="1"/>
      <w:marLeft w:val="0"/>
      <w:marRight w:val="0"/>
      <w:marTop w:val="0"/>
      <w:marBottom w:val="0"/>
      <w:divBdr>
        <w:top w:val="none" w:sz="0" w:space="0" w:color="auto"/>
        <w:left w:val="none" w:sz="0" w:space="0" w:color="auto"/>
        <w:bottom w:val="none" w:sz="0" w:space="0" w:color="auto"/>
        <w:right w:val="none" w:sz="0" w:space="0" w:color="auto"/>
      </w:divBdr>
    </w:div>
    <w:div w:id="1615551352">
      <w:bodyDiv w:val="1"/>
      <w:marLeft w:val="0"/>
      <w:marRight w:val="0"/>
      <w:marTop w:val="0"/>
      <w:marBottom w:val="0"/>
      <w:divBdr>
        <w:top w:val="none" w:sz="0" w:space="0" w:color="auto"/>
        <w:left w:val="none" w:sz="0" w:space="0" w:color="auto"/>
        <w:bottom w:val="none" w:sz="0" w:space="0" w:color="auto"/>
        <w:right w:val="none" w:sz="0" w:space="0" w:color="auto"/>
      </w:divBdr>
    </w:div>
    <w:div w:id="1620181000">
      <w:bodyDiv w:val="1"/>
      <w:marLeft w:val="0"/>
      <w:marRight w:val="0"/>
      <w:marTop w:val="0"/>
      <w:marBottom w:val="0"/>
      <w:divBdr>
        <w:top w:val="none" w:sz="0" w:space="0" w:color="auto"/>
        <w:left w:val="none" w:sz="0" w:space="0" w:color="auto"/>
        <w:bottom w:val="none" w:sz="0" w:space="0" w:color="auto"/>
        <w:right w:val="none" w:sz="0" w:space="0" w:color="auto"/>
      </w:divBdr>
    </w:div>
    <w:div w:id="1729646155">
      <w:bodyDiv w:val="1"/>
      <w:marLeft w:val="0"/>
      <w:marRight w:val="0"/>
      <w:marTop w:val="0"/>
      <w:marBottom w:val="0"/>
      <w:divBdr>
        <w:top w:val="none" w:sz="0" w:space="0" w:color="auto"/>
        <w:left w:val="none" w:sz="0" w:space="0" w:color="auto"/>
        <w:bottom w:val="none" w:sz="0" w:space="0" w:color="auto"/>
        <w:right w:val="none" w:sz="0" w:space="0" w:color="auto"/>
      </w:divBdr>
    </w:div>
    <w:div w:id="1762411425">
      <w:bodyDiv w:val="1"/>
      <w:marLeft w:val="0"/>
      <w:marRight w:val="0"/>
      <w:marTop w:val="0"/>
      <w:marBottom w:val="0"/>
      <w:divBdr>
        <w:top w:val="none" w:sz="0" w:space="0" w:color="auto"/>
        <w:left w:val="none" w:sz="0" w:space="0" w:color="auto"/>
        <w:bottom w:val="none" w:sz="0" w:space="0" w:color="auto"/>
        <w:right w:val="none" w:sz="0" w:space="0" w:color="auto"/>
      </w:divBdr>
    </w:div>
    <w:div w:id="1763649717">
      <w:bodyDiv w:val="1"/>
      <w:marLeft w:val="0"/>
      <w:marRight w:val="0"/>
      <w:marTop w:val="0"/>
      <w:marBottom w:val="0"/>
      <w:divBdr>
        <w:top w:val="none" w:sz="0" w:space="0" w:color="auto"/>
        <w:left w:val="none" w:sz="0" w:space="0" w:color="auto"/>
        <w:bottom w:val="none" w:sz="0" w:space="0" w:color="auto"/>
        <w:right w:val="none" w:sz="0" w:space="0" w:color="auto"/>
      </w:divBdr>
    </w:div>
    <w:div w:id="1767119924">
      <w:bodyDiv w:val="1"/>
      <w:marLeft w:val="0"/>
      <w:marRight w:val="0"/>
      <w:marTop w:val="0"/>
      <w:marBottom w:val="0"/>
      <w:divBdr>
        <w:top w:val="none" w:sz="0" w:space="0" w:color="auto"/>
        <w:left w:val="none" w:sz="0" w:space="0" w:color="auto"/>
        <w:bottom w:val="none" w:sz="0" w:space="0" w:color="auto"/>
        <w:right w:val="none" w:sz="0" w:space="0" w:color="auto"/>
      </w:divBdr>
    </w:div>
    <w:div w:id="1779905659">
      <w:bodyDiv w:val="1"/>
      <w:marLeft w:val="0"/>
      <w:marRight w:val="0"/>
      <w:marTop w:val="0"/>
      <w:marBottom w:val="0"/>
      <w:divBdr>
        <w:top w:val="none" w:sz="0" w:space="0" w:color="auto"/>
        <w:left w:val="none" w:sz="0" w:space="0" w:color="auto"/>
        <w:bottom w:val="none" w:sz="0" w:space="0" w:color="auto"/>
        <w:right w:val="none" w:sz="0" w:space="0" w:color="auto"/>
      </w:divBdr>
    </w:div>
    <w:div w:id="1803965316">
      <w:bodyDiv w:val="1"/>
      <w:marLeft w:val="0"/>
      <w:marRight w:val="0"/>
      <w:marTop w:val="0"/>
      <w:marBottom w:val="0"/>
      <w:divBdr>
        <w:top w:val="none" w:sz="0" w:space="0" w:color="auto"/>
        <w:left w:val="none" w:sz="0" w:space="0" w:color="auto"/>
        <w:bottom w:val="none" w:sz="0" w:space="0" w:color="auto"/>
        <w:right w:val="none" w:sz="0" w:space="0" w:color="auto"/>
      </w:divBdr>
    </w:div>
    <w:div w:id="1847789717">
      <w:bodyDiv w:val="1"/>
      <w:marLeft w:val="0"/>
      <w:marRight w:val="0"/>
      <w:marTop w:val="0"/>
      <w:marBottom w:val="0"/>
      <w:divBdr>
        <w:top w:val="none" w:sz="0" w:space="0" w:color="auto"/>
        <w:left w:val="none" w:sz="0" w:space="0" w:color="auto"/>
        <w:bottom w:val="none" w:sz="0" w:space="0" w:color="auto"/>
        <w:right w:val="none" w:sz="0" w:space="0" w:color="auto"/>
      </w:divBdr>
    </w:div>
    <w:div w:id="1950120121">
      <w:bodyDiv w:val="1"/>
      <w:marLeft w:val="0"/>
      <w:marRight w:val="0"/>
      <w:marTop w:val="0"/>
      <w:marBottom w:val="0"/>
      <w:divBdr>
        <w:top w:val="none" w:sz="0" w:space="0" w:color="auto"/>
        <w:left w:val="none" w:sz="0" w:space="0" w:color="auto"/>
        <w:bottom w:val="none" w:sz="0" w:space="0" w:color="auto"/>
        <w:right w:val="none" w:sz="0" w:space="0" w:color="auto"/>
      </w:divBdr>
    </w:div>
    <w:div w:id="1966812370">
      <w:bodyDiv w:val="1"/>
      <w:marLeft w:val="0"/>
      <w:marRight w:val="0"/>
      <w:marTop w:val="0"/>
      <w:marBottom w:val="0"/>
      <w:divBdr>
        <w:top w:val="none" w:sz="0" w:space="0" w:color="auto"/>
        <w:left w:val="none" w:sz="0" w:space="0" w:color="auto"/>
        <w:bottom w:val="none" w:sz="0" w:space="0" w:color="auto"/>
        <w:right w:val="none" w:sz="0" w:space="0" w:color="auto"/>
      </w:divBdr>
    </w:div>
    <w:div w:id="1989936386">
      <w:bodyDiv w:val="1"/>
      <w:marLeft w:val="0"/>
      <w:marRight w:val="0"/>
      <w:marTop w:val="0"/>
      <w:marBottom w:val="0"/>
      <w:divBdr>
        <w:top w:val="none" w:sz="0" w:space="0" w:color="auto"/>
        <w:left w:val="none" w:sz="0" w:space="0" w:color="auto"/>
        <w:bottom w:val="none" w:sz="0" w:space="0" w:color="auto"/>
        <w:right w:val="none" w:sz="0" w:space="0" w:color="auto"/>
      </w:divBdr>
    </w:div>
    <w:div w:id="2006855466">
      <w:bodyDiv w:val="1"/>
      <w:marLeft w:val="0"/>
      <w:marRight w:val="0"/>
      <w:marTop w:val="0"/>
      <w:marBottom w:val="0"/>
      <w:divBdr>
        <w:top w:val="none" w:sz="0" w:space="0" w:color="auto"/>
        <w:left w:val="none" w:sz="0" w:space="0" w:color="auto"/>
        <w:bottom w:val="none" w:sz="0" w:space="0" w:color="auto"/>
        <w:right w:val="none" w:sz="0" w:space="0" w:color="auto"/>
      </w:divBdr>
    </w:div>
    <w:div w:id="2038967680">
      <w:bodyDiv w:val="1"/>
      <w:marLeft w:val="0"/>
      <w:marRight w:val="0"/>
      <w:marTop w:val="0"/>
      <w:marBottom w:val="0"/>
      <w:divBdr>
        <w:top w:val="none" w:sz="0" w:space="0" w:color="auto"/>
        <w:left w:val="none" w:sz="0" w:space="0" w:color="auto"/>
        <w:bottom w:val="none" w:sz="0" w:space="0" w:color="auto"/>
        <w:right w:val="none" w:sz="0" w:space="0" w:color="auto"/>
      </w:divBdr>
    </w:div>
    <w:div w:id="2092580023">
      <w:bodyDiv w:val="1"/>
      <w:marLeft w:val="0"/>
      <w:marRight w:val="0"/>
      <w:marTop w:val="0"/>
      <w:marBottom w:val="0"/>
      <w:divBdr>
        <w:top w:val="none" w:sz="0" w:space="0" w:color="auto"/>
        <w:left w:val="none" w:sz="0" w:space="0" w:color="auto"/>
        <w:bottom w:val="none" w:sz="0" w:space="0" w:color="auto"/>
        <w:right w:val="none" w:sz="0" w:space="0" w:color="auto"/>
      </w:divBdr>
    </w:div>
    <w:div w:id="21340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7c5d8-3a5f-4192-b806-53dcd7ae2640">
      <Terms xmlns="http://schemas.microsoft.com/office/infopath/2007/PartnerControls"/>
    </lcf76f155ced4ddcb4097134ff3c332f>
    <TaxCatchAll xmlns="fac71284-9f27-4cd8-a8f2-4e0cc7bcd502" xsi:nil="true"/>
  </documentManagement>
</p:properties>
</file>

<file path=customXml/item3.xml>��< ? x m l   v e r s i o n = " 1 . 0 "   e n c o d i n g = " u t f - 1 6 " ? > < p r o p e r t i e s   x m l n s = " h t t p : / / w w w . i m a n a g e . c o m / w o r k / x m l s c h e m a " >  
     < d o c u m e n t i d > P R O J E C T S ! 5 1 8 6 2 1 . 1 < / d o c u m e n t i d >  
     < s e n d e r i d > M E L I S S A . E L L I S @ C O M M E R C I A L E Y E S . C O M . A U < / s e n d e r i d >  
     < s e n d e r e m a i l > M E L I S S A . E L L I S @ C O M M E R C I A L E Y E S . C O M . A U < / s e n d e r e m a i l >  
     < l a s t m o d i f i e d > 2 0 2 3 - 0 2 - 0 1 T 0 8 : 1 7 : 0 0 . 0 0 0 0 0 0 0 + 1 1 : 0 0 < / l a s t m o d i f i e d >  
     < d a t a b a s e > P R O J E C T S 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4AF84B1C405D45978A8071637D454B" ma:contentTypeVersion="12" ma:contentTypeDescription="Create a new document." ma:contentTypeScope="" ma:versionID="82571606a835ca5f26f17aea614e614d">
  <xsd:schema xmlns:xsd="http://www.w3.org/2001/XMLSchema" xmlns:xs="http://www.w3.org/2001/XMLSchema" xmlns:p="http://schemas.microsoft.com/office/2006/metadata/properties" xmlns:ns2="eb27c5d8-3a5f-4192-b806-53dcd7ae2640" xmlns:ns3="fac71284-9f27-4cd8-a8f2-4e0cc7bcd502" targetNamespace="http://schemas.microsoft.com/office/2006/metadata/properties" ma:root="true" ma:fieldsID="9c3bbaabf82876cc59f63947c2437319" ns2:_="" ns3:_="">
    <xsd:import namespace="eb27c5d8-3a5f-4192-b806-53dcd7ae2640"/>
    <xsd:import namespace="fac71284-9f27-4cd8-a8f2-4e0cc7bcd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7c5d8-3a5f-4192-b806-53dcd7ae2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78178-8f5c-4004-b428-9c55b20ccf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71284-9f27-4cd8-a8f2-4e0cc7bcd5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3c285d-fc20-4a85-9ab7-c72ab2f02ec9}" ma:internalName="TaxCatchAll" ma:showField="CatchAllData" ma:web="fac71284-9f27-4cd8-a8f2-4e0cc7bcd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103D-BB43-4AF6-B868-081D6A24E87B}">
  <ds:schemaRefs>
    <ds:schemaRef ds:uri="http://schemas.microsoft.com/sharepoint/v3/contenttype/forms"/>
  </ds:schemaRefs>
</ds:datastoreItem>
</file>

<file path=customXml/itemProps2.xml><?xml version="1.0" encoding="utf-8"?>
<ds:datastoreItem xmlns:ds="http://schemas.openxmlformats.org/officeDocument/2006/customXml" ds:itemID="{E64E8C2B-1849-46D8-A533-E241A3489471}">
  <ds:schemaRefs>
    <ds:schemaRef ds:uri="http://schemas.microsoft.com/office/2006/metadata/properties"/>
    <ds:schemaRef ds:uri="http://schemas.microsoft.com/office/infopath/2007/PartnerControls"/>
    <ds:schemaRef ds:uri="eb27c5d8-3a5f-4192-b806-53dcd7ae2640"/>
    <ds:schemaRef ds:uri="fac71284-9f27-4cd8-a8f2-4e0cc7bcd502"/>
  </ds:schemaRefs>
</ds:datastoreItem>
</file>

<file path=customXml/itemProps3.xml><?xml version="1.0" encoding="utf-8"?>
<ds:datastoreItem xmlns:ds="http://schemas.openxmlformats.org/officeDocument/2006/customXml" ds:itemID="{20B527BC-F887-4252-AC84-11F2743F894F}">
  <ds:schemaRefs>
    <ds:schemaRef ds:uri="http://www.imanage.com/work/xmlschema"/>
  </ds:schemaRefs>
</ds:datastoreItem>
</file>

<file path=customXml/itemProps4.xml><?xml version="1.0" encoding="utf-8"?>
<ds:datastoreItem xmlns:ds="http://schemas.openxmlformats.org/officeDocument/2006/customXml" ds:itemID="{51E10670-8488-4EBE-858A-D88A60EF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7c5d8-3a5f-4192-b806-53dcd7ae2640"/>
    <ds:schemaRef ds:uri="fac71284-9f27-4cd8-a8f2-4e0cc7bcd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6457</Words>
  <Characters>36999</Characters>
  <Application>Microsoft Office Word</Application>
  <DocSecurity>0</DocSecurity>
  <Lines>698</Lines>
  <Paragraphs>312</Paragraphs>
  <ScaleCrop>false</ScaleCrop>
  <HeadingPairs>
    <vt:vector size="2" baseType="variant">
      <vt:variant>
        <vt:lpstr>Title</vt:lpstr>
      </vt:variant>
      <vt:variant>
        <vt:i4>1</vt:i4>
      </vt:variant>
    </vt:vector>
  </HeadingPairs>
  <TitlesOfParts>
    <vt:vector size="1" baseType="lpstr">
      <vt:lpstr/>
    </vt:vector>
  </TitlesOfParts>
  <Company>Vifor Pharma Pty Ltd</Company>
  <LinksUpToDate>false</LinksUpToDate>
  <CharactersWithSpaces>43144</CharactersWithSpaces>
  <SharedDoc>false</SharedDoc>
  <HLinks>
    <vt:vector size="12" baseType="variant">
      <vt:variant>
        <vt:i4>5898317</vt:i4>
      </vt:variant>
      <vt:variant>
        <vt:i4>15</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Tavneos </dc:title>
  <dc:subject>prescription medicines</dc:subject>
  <dc:creator/>
  <cp:keywords/>
  <cp:lastModifiedBy>LACK, Janet</cp:lastModifiedBy>
  <cp:revision>3</cp:revision>
  <cp:lastPrinted>2022-12-22T01:15:00Z</cp:lastPrinted>
  <dcterms:created xsi:type="dcterms:W3CDTF">2023-10-04T22:53:00Z</dcterms:created>
  <dcterms:modified xsi:type="dcterms:W3CDTF">2023-10-04T22:59:00Z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0x010100BE3602A29993E941A4C76B05C3D16F91</vt:lpwstr>
  </property>
  <property fmtid="{D5CDD505-2E9C-101B-9397-08002B2CF9AE}" pid="3" name="MSIP_Label_5e482915-51ba-4603-9410-cf97f65a7328_Enabled">
    <vt:lpwstr>true</vt:lpwstr>
  </property>
  <property fmtid="{D5CDD505-2E9C-101B-9397-08002B2CF9AE}" pid="4" name="MSIP_Label_5e482915-51ba-4603-9410-cf97f65a7328_SetDate">
    <vt:lpwstr>2022-10-12T21:56:52Z</vt:lpwstr>
  </property>
  <property fmtid="{D5CDD505-2E9C-101B-9397-08002B2CF9AE}" pid="5" name="MSIP_Label_5e482915-51ba-4603-9410-cf97f65a7328_Method">
    <vt:lpwstr>Privileged</vt:lpwstr>
  </property>
  <property fmtid="{D5CDD505-2E9C-101B-9397-08002B2CF9AE}" pid="6" name="MSIP_Label_5e482915-51ba-4603-9410-cf97f65a7328_Name">
    <vt:lpwstr>Blank</vt:lpwstr>
  </property>
  <property fmtid="{D5CDD505-2E9C-101B-9397-08002B2CF9AE}" pid="7" name="MSIP_Label_5e482915-51ba-4603-9410-cf97f65a7328_SiteId">
    <vt:lpwstr>6836a9c5-69f0-4135-9e6b-43d1f616b550</vt:lpwstr>
  </property>
  <property fmtid="{D5CDD505-2E9C-101B-9397-08002B2CF9AE}" pid="8" name="MSIP_Label_5e482915-51ba-4603-9410-cf97f65a7328_ActionId">
    <vt:lpwstr>4d4ad906-19fb-4100-921e-41774ea1192d</vt:lpwstr>
  </property>
  <property fmtid="{D5CDD505-2E9C-101B-9397-08002B2CF9AE}" pid="9" name="MSIP_Label_5e482915-51ba-4603-9410-cf97f65a7328_ContentBits">
    <vt:lpwstr>0</vt:lpwstr>
  </property>
  <property fmtid="{D5CDD505-2E9C-101B-9397-08002B2CF9AE}" pid="10" name="MediaServiceImageTags">
    <vt:lpwstr/>
  </property>
</Properties>
</file>