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467BE8" w14:paraId="08AE1D54" w14:textId="77777777" w:rsidTr="00346EC2">
        <w:trPr>
          <w:trHeight w:val="1558"/>
        </w:trPr>
        <w:tc>
          <w:tcPr>
            <w:tcW w:w="8720" w:type="dxa"/>
          </w:tcPr>
          <w:p w14:paraId="2538A211" w14:textId="359188B5" w:rsidR="00F02AEC" w:rsidRPr="00467BE8" w:rsidRDefault="00346EC2" w:rsidP="007452E8">
            <w:pPr>
              <w:pStyle w:val="Title"/>
            </w:pPr>
            <w:r w:rsidRPr="00467BE8">
              <w:t xml:space="preserve">Australian Public Assessment Report for </w:t>
            </w:r>
            <w:r w:rsidR="00282C14" w:rsidRPr="00467BE8">
              <w:t xml:space="preserve">Spikevax XBB.1.5 </w:t>
            </w:r>
            <w:r w:rsidR="00852E0E" w:rsidRPr="00467BE8">
              <w:t>COVID</w:t>
            </w:r>
            <w:r w:rsidR="001A219D" w:rsidRPr="00467BE8">
              <w:noBreakHyphen/>
            </w:r>
            <w:r w:rsidR="00282C14" w:rsidRPr="00467BE8">
              <w:t>19 Vaccine</w:t>
            </w:r>
          </w:p>
        </w:tc>
      </w:tr>
      <w:tr w:rsidR="00F02AEC" w:rsidRPr="00467BE8" w14:paraId="318A40A3" w14:textId="77777777" w:rsidTr="00346EC2">
        <w:trPr>
          <w:trHeight w:val="995"/>
        </w:trPr>
        <w:tc>
          <w:tcPr>
            <w:tcW w:w="8720" w:type="dxa"/>
          </w:tcPr>
          <w:p w14:paraId="1AA7C701" w14:textId="52F71297" w:rsidR="00F02AEC" w:rsidRPr="00467BE8" w:rsidRDefault="00346EC2" w:rsidP="007452E8">
            <w:pPr>
              <w:pStyle w:val="Subtitle"/>
              <w:ind w:left="0"/>
            </w:pPr>
            <w:r w:rsidRPr="00467BE8">
              <w:t xml:space="preserve">Active ingredient: </w:t>
            </w:r>
            <w:r w:rsidR="00282C14" w:rsidRPr="00467BE8">
              <w:t>Andusomeran</w:t>
            </w:r>
          </w:p>
        </w:tc>
      </w:tr>
      <w:tr w:rsidR="00346EC2" w:rsidRPr="0079178C" w14:paraId="362CCAE4" w14:textId="77777777" w:rsidTr="007452E8">
        <w:trPr>
          <w:trHeight w:val="1916"/>
        </w:trPr>
        <w:tc>
          <w:tcPr>
            <w:tcW w:w="8720" w:type="dxa"/>
          </w:tcPr>
          <w:p w14:paraId="709C45C0" w14:textId="0E466C46" w:rsidR="00346EC2" w:rsidRPr="0079178C" w:rsidRDefault="00346EC2" w:rsidP="007452E8">
            <w:pPr>
              <w:pStyle w:val="Subtitle"/>
              <w:ind w:left="0"/>
            </w:pPr>
            <w:r w:rsidRPr="0079178C">
              <w:t xml:space="preserve">Sponsor: </w:t>
            </w:r>
            <w:r w:rsidR="00282C14" w:rsidRPr="0079178C">
              <w:t>Moderna Australia Pty Ltd</w:t>
            </w:r>
          </w:p>
        </w:tc>
      </w:tr>
      <w:tr w:rsidR="00F02AEC" w:rsidRPr="00467BE8" w14:paraId="37F2AA1F" w14:textId="77777777" w:rsidTr="007452E8">
        <w:tc>
          <w:tcPr>
            <w:tcW w:w="8720" w:type="dxa"/>
          </w:tcPr>
          <w:p w14:paraId="1FDE8DCD" w14:textId="255A35A0" w:rsidR="00F02AEC" w:rsidRPr="00467BE8" w:rsidRDefault="00282C14" w:rsidP="007452E8">
            <w:pPr>
              <w:pStyle w:val="Date"/>
            </w:pPr>
            <w:r w:rsidRPr="00467BE8">
              <w:t>October 2023</w:t>
            </w:r>
          </w:p>
        </w:tc>
      </w:tr>
    </w:tbl>
    <w:p w14:paraId="73752706" w14:textId="77777777" w:rsidR="00F02AEC" w:rsidRPr="00467BE8" w:rsidRDefault="00F02AEC" w:rsidP="007452E8">
      <w:pPr>
        <w:pStyle w:val="ListBullet"/>
        <w:numPr>
          <w:ilvl w:val="0"/>
          <w:numId w:val="0"/>
        </w:numPr>
        <w:sectPr w:rsidR="00F02AEC" w:rsidRPr="00467BE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467BE8" w:rsidRDefault="00346EC2" w:rsidP="00346EC2">
      <w:pPr>
        <w:pStyle w:val="NonTOCHeading20"/>
      </w:pPr>
      <w:r w:rsidRPr="00467BE8">
        <w:lastRenderedPageBreak/>
        <w:t>About the Therapeutic Goods Administration (TGA)</w:t>
      </w:r>
    </w:p>
    <w:p w14:paraId="79558AE9" w14:textId="77777777" w:rsidR="00346EC2" w:rsidRPr="00467BE8" w:rsidRDefault="00346EC2" w:rsidP="0056766D">
      <w:pPr>
        <w:pStyle w:val="ListBullet"/>
      </w:pPr>
      <w:r w:rsidRPr="00467BE8">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467BE8" w:rsidRDefault="00346EC2" w:rsidP="00346EC2">
      <w:pPr>
        <w:pStyle w:val="ListBullet"/>
      </w:pPr>
      <w:r w:rsidRPr="00467BE8">
        <w:t xml:space="preserve">The TGA administers the </w:t>
      </w:r>
      <w:r w:rsidRPr="00467BE8">
        <w:rPr>
          <w:i/>
          <w:iCs/>
        </w:rPr>
        <w:t>Therapeutic Goods Act 1989</w:t>
      </w:r>
      <w:r w:rsidRPr="00467BE8">
        <w:t xml:space="preserve"> (the Act), applying a risk management approach designed to ensure therapeutic goods supplied in Australia meet acceptable standards of quality, safety, and efficacy.</w:t>
      </w:r>
    </w:p>
    <w:p w14:paraId="77180CB3" w14:textId="77777777" w:rsidR="00346EC2" w:rsidRPr="00467BE8" w:rsidRDefault="00346EC2" w:rsidP="00346EC2">
      <w:pPr>
        <w:pStyle w:val="ListBullet"/>
      </w:pPr>
      <w:r w:rsidRPr="00467BE8">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467BE8" w:rsidRDefault="00346EC2" w:rsidP="00346EC2">
      <w:pPr>
        <w:pStyle w:val="ListBullet"/>
      </w:pPr>
      <w:r w:rsidRPr="00467BE8">
        <w:t>The TGA relies on the public, healthcare professionals and industry to report problems with therapeutic goods. The TGA investigates reports received to determine any necessary regulatory action.</w:t>
      </w:r>
    </w:p>
    <w:p w14:paraId="17DC24C6" w14:textId="25E3815A" w:rsidR="00346EC2" w:rsidRPr="00467BE8" w:rsidRDefault="00346EC2" w:rsidP="00346EC2">
      <w:pPr>
        <w:pStyle w:val="ListBullet"/>
      </w:pPr>
      <w:r w:rsidRPr="00467BE8">
        <w:t xml:space="preserve">To report a problem with a therapeutic good, please see the information on the </w:t>
      </w:r>
      <w:hyperlink r:id="rId12" w:history="1">
        <w:r w:rsidRPr="00467BE8">
          <w:rPr>
            <w:rStyle w:val="Hyperlink"/>
          </w:rPr>
          <w:t>TGA website</w:t>
        </w:r>
      </w:hyperlink>
      <w:r w:rsidRPr="00467BE8">
        <w:t>.</w:t>
      </w:r>
    </w:p>
    <w:p w14:paraId="737B7A99" w14:textId="77777777" w:rsidR="00346EC2" w:rsidRPr="00467BE8" w:rsidRDefault="00346EC2" w:rsidP="00346EC2">
      <w:pPr>
        <w:pStyle w:val="NonTOCHeading20"/>
      </w:pPr>
      <w:r w:rsidRPr="00467BE8">
        <w:t>About AusPARs</w:t>
      </w:r>
    </w:p>
    <w:p w14:paraId="631B2209" w14:textId="4F4E77B8" w:rsidR="00346EC2" w:rsidRPr="00467BE8" w:rsidRDefault="00346EC2" w:rsidP="00346EC2">
      <w:pPr>
        <w:pStyle w:val="ListBullet"/>
      </w:pPr>
      <w:r w:rsidRPr="00467BE8">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467BE8">
          <w:rPr>
            <w:rStyle w:val="Hyperlink"/>
          </w:rPr>
          <w:t>Australian Public Assessment Report (AusPAR) guidance</w:t>
        </w:r>
      </w:hyperlink>
      <w:r w:rsidRPr="00467BE8">
        <w:t>.</w:t>
      </w:r>
    </w:p>
    <w:p w14:paraId="22F5A730" w14:textId="77777777" w:rsidR="00346EC2" w:rsidRPr="00467BE8" w:rsidRDefault="00346EC2" w:rsidP="00346EC2">
      <w:pPr>
        <w:pStyle w:val="ListBullet"/>
      </w:pPr>
      <w:r w:rsidRPr="00467BE8">
        <w:t>AusPARs are prepared and published by the TGA.</w:t>
      </w:r>
    </w:p>
    <w:p w14:paraId="451B8FD7" w14:textId="77777777" w:rsidR="00346EC2" w:rsidRPr="00467BE8" w:rsidRDefault="00346EC2" w:rsidP="00346EC2">
      <w:pPr>
        <w:pStyle w:val="ListBullet"/>
      </w:pPr>
      <w:r w:rsidRPr="00467BE8">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467BE8" w:rsidRDefault="00346EC2" w:rsidP="00346EC2">
      <w:pPr>
        <w:pStyle w:val="ListBullet"/>
      </w:pPr>
      <w:r w:rsidRPr="00467BE8">
        <w:t>A new AusPAR may be provided to reflect changes to indications or major variations to a prescription medicine subject to evaluation by the TGA.</w:t>
      </w:r>
    </w:p>
    <w:p w14:paraId="7067011F" w14:textId="510D5C5C" w:rsidR="00F02AEC" w:rsidRPr="00467BE8" w:rsidRDefault="00F02AEC" w:rsidP="00FE087C">
      <w:pPr>
        <w:pStyle w:val="LegalSubheading"/>
        <w:spacing w:before="3600"/>
      </w:pPr>
      <w:r w:rsidRPr="00467BE8">
        <w:t>Copyright</w:t>
      </w:r>
    </w:p>
    <w:p w14:paraId="170A8A5D" w14:textId="7631E0C6" w:rsidR="00175CD8" w:rsidRPr="00467BE8" w:rsidRDefault="00F02AEC" w:rsidP="00346EC2">
      <w:pPr>
        <w:pStyle w:val="LegalCopy"/>
        <w:rPr>
          <w:rFonts w:cs="Arial"/>
        </w:rPr>
      </w:pPr>
      <w:r w:rsidRPr="00467BE8">
        <w:rPr>
          <w:rFonts w:cs="Arial"/>
        </w:rPr>
        <w:t>© Commonwealth of Australia 202</w:t>
      </w:r>
      <w:r w:rsidR="00E47E0C" w:rsidRPr="00467BE8">
        <w:rPr>
          <w:rFonts w:cs="Arial"/>
        </w:rPr>
        <w:t>3</w:t>
      </w:r>
      <w:r w:rsidRPr="00467BE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467BE8">
        <w:rPr>
          <w:rFonts w:cs="Arial"/>
          <w:i/>
        </w:rPr>
        <w:t>Copyright Act 1968</w:t>
      </w:r>
      <w:r w:rsidRPr="00467BE8">
        <w:rPr>
          <w:rFonts w:cs="Arial"/>
        </w:rPr>
        <w:t xml:space="preserve"> or allowed by this copyright notice, all other rights are </w:t>
      </w:r>
      <w:proofErr w:type="gramStart"/>
      <w:r w:rsidRPr="00467BE8">
        <w:rPr>
          <w:rFonts w:cs="Arial"/>
        </w:rPr>
        <w:t>reserved</w:t>
      </w:r>
      <w:proofErr w:type="gramEnd"/>
      <w:r w:rsidRPr="00467BE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467BE8">
          <w:rPr>
            <w:rStyle w:val="Hyperlink"/>
            <w:rFonts w:cs="Arial"/>
          </w:rPr>
          <w:t>tga.copyright@tga.gov.au</w:t>
        </w:r>
      </w:hyperlink>
      <w:r w:rsidRPr="00467BE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467BE8" w:rsidRDefault="00F02AEC" w:rsidP="007452E8">
          <w:pPr>
            <w:pStyle w:val="NonTOCheading2"/>
          </w:pPr>
          <w:r w:rsidRPr="00467BE8">
            <w:t>Contents</w:t>
          </w:r>
        </w:p>
        <w:p w14:paraId="7E4FC309" w14:textId="73661805" w:rsidR="000022F7" w:rsidRDefault="00F02AEC">
          <w:pPr>
            <w:pStyle w:val="TOC1"/>
            <w:rPr>
              <w:rFonts w:asciiTheme="minorHAnsi" w:eastAsiaTheme="minorEastAsia" w:hAnsiTheme="minorHAnsi" w:cstheme="minorBidi"/>
              <w:b w:val="0"/>
              <w:noProof/>
              <w:color w:val="auto"/>
              <w:sz w:val="22"/>
              <w:szCs w:val="22"/>
              <w:lang w:eastAsia="en-AU"/>
            </w:rPr>
          </w:pPr>
          <w:r w:rsidRPr="00467BE8">
            <w:fldChar w:fldCharType="begin"/>
          </w:r>
          <w:r w:rsidRPr="00467BE8">
            <w:instrText xml:space="preserve"> TOC \h \z \u \t "Heading 2,1,Heading 3,2,Heading 4,3" </w:instrText>
          </w:r>
          <w:r w:rsidRPr="00467BE8">
            <w:fldChar w:fldCharType="separate"/>
          </w:r>
          <w:hyperlink w:anchor="_Toc147997684" w:history="1">
            <w:r w:rsidR="000022F7" w:rsidRPr="0006227E">
              <w:rPr>
                <w:rStyle w:val="Hyperlink"/>
                <w:noProof/>
              </w:rPr>
              <w:t>List of abbreviations</w:t>
            </w:r>
            <w:r w:rsidR="000022F7">
              <w:rPr>
                <w:noProof/>
                <w:webHidden/>
              </w:rPr>
              <w:tab/>
            </w:r>
            <w:r w:rsidR="000022F7">
              <w:rPr>
                <w:noProof/>
                <w:webHidden/>
              </w:rPr>
              <w:fldChar w:fldCharType="begin"/>
            </w:r>
            <w:r w:rsidR="000022F7">
              <w:rPr>
                <w:noProof/>
                <w:webHidden/>
              </w:rPr>
              <w:instrText xml:space="preserve"> PAGEREF _Toc147997684 \h </w:instrText>
            </w:r>
            <w:r w:rsidR="000022F7">
              <w:rPr>
                <w:noProof/>
                <w:webHidden/>
              </w:rPr>
            </w:r>
            <w:r w:rsidR="000022F7">
              <w:rPr>
                <w:noProof/>
                <w:webHidden/>
              </w:rPr>
              <w:fldChar w:fldCharType="separate"/>
            </w:r>
            <w:r w:rsidR="00BA1694">
              <w:rPr>
                <w:noProof/>
                <w:webHidden/>
              </w:rPr>
              <w:t>4</w:t>
            </w:r>
            <w:r w:rsidR="000022F7">
              <w:rPr>
                <w:noProof/>
                <w:webHidden/>
              </w:rPr>
              <w:fldChar w:fldCharType="end"/>
            </w:r>
          </w:hyperlink>
        </w:p>
        <w:p w14:paraId="54FA2F0C" w14:textId="08A6538F" w:rsidR="000022F7" w:rsidRDefault="005C0122">
          <w:pPr>
            <w:pStyle w:val="TOC1"/>
            <w:rPr>
              <w:rFonts w:asciiTheme="minorHAnsi" w:eastAsiaTheme="minorEastAsia" w:hAnsiTheme="minorHAnsi" w:cstheme="minorBidi"/>
              <w:b w:val="0"/>
              <w:noProof/>
              <w:color w:val="auto"/>
              <w:sz w:val="22"/>
              <w:szCs w:val="22"/>
              <w:lang w:eastAsia="en-AU"/>
            </w:rPr>
          </w:pPr>
          <w:hyperlink w:anchor="_Toc147997685" w:history="1">
            <w:r w:rsidR="000022F7" w:rsidRPr="0006227E">
              <w:rPr>
                <w:rStyle w:val="Hyperlink"/>
                <w:noProof/>
              </w:rPr>
              <w:t>Product submission</w:t>
            </w:r>
            <w:r w:rsidR="000022F7">
              <w:rPr>
                <w:noProof/>
                <w:webHidden/>
              </w:rPr>
              <w:tab/>
            </w:r>
            <w:r w:rsidR="000022F7">
              <w:rPr>
                <w:noProof/>
                <w:webHidden/>
              </w:rPr>
              <w:fldChar w:fldCharType="begin"/>
            </w:r>
            <w:r w:rsidR="000022F7">
              <w:rPr>
                <w:noProof/>
                <w:webHidden/>
              </w:rPr>
              <w:instrText xml:space="preserve"> PAGEREF _Toc147997685 \h </w:instrText>
            </w:r>
            <w:r w:rsidR="000022F7">
              <w:rPr>
                <w:noProof/>
                <w:webHidden/>
              </w:rPr>
            </w:r>
            <w:r w:rsidR="000022F7">
              <w:rPr>
                <w:noProof/>
                <w:webHidden/>
              </w:rPr>
              <w:fldChar w:fldCharType="separate"/>
            </w:r>
            <w:r w:rsidR="00BA1694">
              <w:rPr>
                <w:noProof/>
                <w:webHidden/>
              </w:rPr>
              <w:t>5</w:t>
            </w:r>
            <w:r w:rsidR="000022F7">
              <w:rPr>
                <w:noProof/>
                <w:webHidden/>
              </w:rPr>
              <w:fldChar w:fldCharType="end"/>
            </w:r>
          </w:hyperlink>
        </w:p>
        <w:p w14:paraId="1CEBC617" w14:textId="2C83D062"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86" w:history="1">
            <w:r w:rsidR="000022F7" w:rsidRPr="0006227E">
              <w:rPr>
                <w:rStyle w:val="Hyperlink"/>
                <w:noProof/>
                <w:lang w:eastAsia="en-AU"/>
              </w:rPr>
              <w:t>Submission details</w:t>
            </w:r>
            <w:r w:rsidR="000022F7">
              <w:rPr>
                <w:noProof/>
                <w:webHidden/>
              </w:rPr>
              <w:tab/>
            </w:r>
            <w:r w:rsidR="000022F7">
              <w:rPr>
                <w:noProof/>
                <w:webHidden/>
              </w:rPr>
              <w:fldChar w:fldCharType="begin"/>
            </w:r>
            <w:r w:rsidR="000022F7">
              <w:rPr>
                <w:noProof/>
                <w:webHidden/>
              </w:rPr>
              <w:instrText xml:space="preserve"> PAGEREF _Toc147997686 \h </w:instrText>
            </w:r>
            <w:r w:rsidR="000022F7">
              <w:rPr>
                <w:noProof/>
                <w:webHidden/>
              </w:rPr>
            </w:r>
            <w:r w:rsidR="000022F7">
              <w:rPr>
                <w:noProof/>
                <w:webHidden/>
              </w:rPr>
              <w:fldChar w:fldCharType="separate"/>
            </w:r>
            <w:r w:rsidR="00BA1694">
              <w:rPr>
                <w:noProof/>
                <w:webHidden/>
              </w:rPr>
              <w:t>5</w:t>
            </w:r>
            <w:r w:rsidR="000022F7">
              <w:rPr>
                <w:noProof/>
                <w:webHidden/>
              </w:rPr>
              <w:fldChar w:fldCharType="end"/>
            </w:r>
          </w:hyperlink>
        </w:p>
        <w:p w14:paraId="1C1B14F5" w14:textId="4EEE627A"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87" w:history="1">
            <w:r w:rsidR="000022F7" w:rsidRPr="0006227E">
              <w:rPr>
                <w:rStyle w:val="Hyperlink"/>
                <w:noProof/>
              </w:rPr>
              <w:t>Product background</w:t>
            </w:r>
            <w:r w:rsidR="000022F7">
              <w:rPr>
                <w:noProof/>
                <w:webHidden/>
              </w:rPr>
              <w:tab/>
            </w:r>
            <w:r w:rsidR="000022F7">
              <w:rPr>
                <w:noProof/>
                <w:webHidden/>
              </w:rPr>
              <w:fldChar w:fldCharType="begin"/>
            </w:r>
            <w:r w:rsidR="000022F7">
              <w:rPr>
                <w:noProof/>
                <w:webHidden/>
              </w:rPr>
              <w:instrText xml:space="preserve"> PAGEREF _Toc147997687 \h </w:instrText>
            </w:r>
            <w:r w:rsidR="000022F7">
              <w:rPr>
                <w:noProof/>
                <w:webHidden/>
              </w:rPr>
            </w:r>
            <w:r w:rsidR="000022F7">
              <w:rPr>
                <w:noProof/>
                <w:webHidden/>
              </w:rPr>
              <w:fldChar w:fldCharType="separate"/>
            </w:r>
            <w:r w:rsidR="00BA1694">
              <w:rPr>
                <w:noProof/>
                <w:webHidden/>
              </w:rPr>
              <w:t>6</w:t>
            </w:r>
            <w:r w:rsidR="000022F7">
              <w:rPr>
                <w:noProof/>
                <w:webHidden/>
              </w:rPr>
              <w:fldChar w:fldCharType="end"/>
            </w:r>
          </w:hyperlink>
        </w:p>
        <w:p w14:paraId="55FFC21C" w14:textId="5B03A032" w:rsidR="000022F7" w:rsidRDefault="005C0122">
          <w:pPr>
            <w:pStyle w:val="TOC3"/>
            <w:rPr>
              <w:rFonts w:asciiTheme="minorHAnsi" w:eastAsiaTheme="minorEastAsia" w:hAnsiTheme="minorHAnsi" w:cstheme="minorBidi"/>
              <w:b w:val="0"/>
              <w:noProof/>
              <w:color w:val="auto"/>
              <w:szCs w:val="22"/>
              <w:lang w:eastAsia="en-AU"/>
            </w:rPr>
          </w:pPr>
          <w:hyperlink w:anchor="_Toc147997688" w:history="1">
            <w:r w:rsidR="000022F7" w:rsidRPr="0006227E">
              <w:rPr>
                <w:rStyle w:val="Hyperlink"/>
                <w:noProof/>
              </w:rPr>
              <w:t>Condition</w:t>
            </w:r>
            <w:r w:rsidR="000022F7">
              <w:rPr>
                <w:noProof/>
                <w:webHidden/>
              </w:rPr>
              <w:tab/>
            </w:r>
            <w:r w:rsidR="000022F7">
              <w:rPr>
                <w:noProof/>
                <w:webHidden/>
              </w:rPr>
              <w:fldChar w:fldCharType="begin"/>
            </w:r>
            <w:r w:rsidR="000022F7">
              <w:rPr>
                <w:noProof/>
                <w:webHidden/>
              </w:rPr>
              <w:instrText xml:space="preserve"> PAGEREF _Toc147997688 \h </w:instrText>
            </w:r>
            <w:r w:rsidR="000022F7">
              <w:rPr>
                <w:noProof/>
                <w:webHidden/>
              </w:rPr>
            </w:r>
            <w:r w:rsidR="000022F7">
              <w:rPr>
                <w:noProof/>
                <w:webHidden/>
              </w:rPr>
              <w:fldChar w:fldCharType="separate"/>
            </w:r>
            <w:r w:rsidR="00BA1694">
              <w:rPr>
                <w:noProof/>
                <w:webHidden/>
              </w:rPr>
              <w:t>6</w:t>
            </w:r>
            <w:r w:rsidR="000022F7">
              <w:rPr>
                <w:noProof/>
                <w:webHidden/>
              </w:rPr>
              <w:fldChar w:fldCharType="end"/>
            </w:r>
          </w:hyperlink>
        </w:p>
        <w:p w14:paraId="4FC69479" w14:textId="621496D8" w:rsidR="000022F7" w:rsidRDefault="005C0122">
          <w:pPr>
            <w:pStyle w:val="TOC3"/>
            <w:rPr>
              <w:rFonts w:asciiTheme="minorHAnsi" w:eastAsiaTheme="minorEastAsia" w:hAnsiTheme="minorHAnsi" w:cstheme="minorBidi"/>
              <w:b w:val="0"/>
              <w:noProof/>
              <w:color w:val="auto"/>
              <w:szCs w:val="22"/>
              <w:lang w:eastAsia="en-AU"/>
            </w:rPr>
          </w:pPr>
          <w:hyperlink w:anchor="_Toc147997689" w:history="1">
            <w:r w:rsidR="000022F7" w:rsidRPr="0006227E">
              <w:rPr>
                <w:rStyle w:val="Hyperlink"/>
                <w:noProof/>
              </w:rPr>
              <w:t>Current COVID-19 vaccine options</w:t>
            </w:r>
            <w:r w:rsidR="000022F7">
              <w:rPr>
                <w:noProof/>
                <w:webHidden/>
              </w:rPr>
              <w:tab/>
            </w:r>
            <w:r w:rsidR="000022F7">
              <w:rPr>
                <w:noProof/>
                <w:webHidden/>
              </w:rPr>
              <w:fldChar w:fldCharType="begin"/>
            </w:r>
            <w:r w:rsidR="000022F7">
              <w:rPr>
                <w:noProof/>
                <w:webHidden/>
              </w:rPr>
              <w:instrText xml:space="preserve"> PAGEREF _Toc147997689 \h </w:instrText>
            </w:r>
            <w:r w:rsidR="000022F7">
              <w:rPr>
                <w:noProof/>
                <w:webHidden/>
              </w:rPr>
            </w:r>
            <w:r w:rsidR="000022F7">
              <w:rPr>
                <w:noProof/>
                <w:webHidden/>
              </w:rPr>
              <w:fldChar w:fldCharType="separate"/>
            </w:r>
            <w:r w:rsidR="00BA1694">
              <w:rPr>
                <w:noProof/>
                <w:webHidden/>
              </w:rPr>
              <w:t>7</w:t>
            </w:r>
            <w:r w:rsidR="000022F7">
              <w:rPr>
                <w:noProof/>
                <w:webHidden/>
              </w:rPr>
              <w:fldChar w:fldCharType="end"/>
            </w:r>
          </w:hyperlink>
        </w:p>
        <w:p w14:paraId="103AB9CE" w14:textId="3742EEF6" w:rsidR="000022F7" w:rsidRDefault="005C0122">
          <w:pPr>
            <w:pStyle w:val="TOC3"/>
            <w:rPr>
              <w:rFonts w:asciiTheme="minorHAnsi" w:eastAsiaTheme="minorEastAsia" w:hAnsiTheme="minorHAnsi" w:cstheme="minorBidi"/>
              <w:b w:val="0"/>
              <w:noProof/>
              <w:color w:val="auto"/>
              <w:szCs w:val="22"/>
              <w:lang w:eastAsia="en-AU"/>
            </w:rPr>
          </w:pPr>
          <w:hyperlink w:anchor="_Toc147997690" w:history="1">
            <w:r w:rsidR="000022F7" w:rsidRPr="0006227E">
              <w:rPr>
                <w:rStyle w:val="Hyperlink"/>
                <w:noProof/>
              </w:rPr>
              <w:t>Spikevax XBB.1.5 COVID-19 vaccine</w:t>
            </w:r>
            <w:r w:rsidR="000022F7">
              <w:rPr>
                <w:noProof/>
                <w:webHidden/>
              </w:rPr>
              <w:tab/>
            </w:r>
            <w:r w:rsidR="000022F7">
              <w:rPr>
                <w:noProof/>
                <w:webHidden/>
              </w:rPr>
              <w:fldChar w:fldCharType="begin"/>
            </w:r>
            <w:r w:rsidR="000022F7">
              <w:rPr>
                <w:noProof/>
                <w:webHidden/>
              </w:rPr>
              <w:instrText xml:space="preserve"> PAGEREF _Toc147997690 \h </w:instrText>
            </w:r>
            <w:r w:rsidR="000022F7">
              <w:rPr>
                <w:noProof/>
                <w:webHidden/>
              </w:rPr>
            </w:r>
            <w:r w:rsidR="000022F7">
              <w:rPr>
                <w:noProof/>
                <w:webHidden/>
              </w:rPr>
              <w:fldChar w:fldCharType="separate"/>
            </w:r>
            <w:r w:rsidR="00BA1694">
              <w:rPr>
                <w:noProof/>
                <w:webHidden/>
              </w:rPr>
              <w:t>7</w:t>
            </w:r>
            <w:r w:rsidR="000022F7">
              <w:rPr>
                <w:noProof/>
                <w:webHidden/>
              </w:rPr>
              <w:fldChar w:fldCharType="end"/>
            </w:r>
          </w:hyperlink>
        </w:p>
        <w:p w14:paraId="37F6D121" w14:textId="0A18C735"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91" w:history="1">
            <w:r w:rsidR="000022F7" w:rsidRPr="0006227E">
              <w:rPr>
                <w:rStyle w:val="Hyperlink"/>
                <w:noProof/>
              </w:rPr>
              <w:t>Regulatory status</w:t>
            </w:r>
            <w:r w:rsidR="000022F7">
              <w:rPr>
                <w:noProof/>
                <w:webHidden/>
              </w:rPr>
              <w:tab/>
            </w:r>
            <w:r w:rsidR="000022F7">
              <w:rPr>
                <w:noProof/>
                <w:webHidden/>
              </w:rPr>
              <w:fldChar w:fldCharType="begin"/>
            </w:r>
            <w:r w:rsidR="000022F7">
              <w:rPr>
                <w:noProof/>
                <w:webHidden/>
              </w:rPr>
              <w:instrText xml:space="preserve"> PAGEREF _Toc147997691 \h </w:instrText>
            </w:r>
            <w:r w:rsidR="000022F7">
              <w:rPr>
                <w:noProof/>
                <w:webHidden/>
              </w:rPr>
            </w:r>
            <w:r w:rsidR="000022F7">
              <w:rPr>
                <w:noProof/>
                <w:webHidden/>
              </w:rPr>
              <w:fldChar w:fldCharType="separate"/>
            </w:r>
            <w:r w:rsidR="00BA1694">
              <w:rPr>
                <w:noProof/>
                <w:webHidden/>
              </w:rPr>
              <w:t>7</w:t>
            </w:r>
            <w:r w:rsidR="000022F7">
              <w:rPr>
                <w:noProof/>
                <w:webHidden/>
              </w:rPr>
              <w:fldChar w:fldCharType="end"/>
            </w:r>
          </w:hyperlink>
        </w:p>
        <w:p w14:paraId="12C1A8CC" w14:textId="762C5C62" w:rsidR="000022F7" w:rsidRDefault="005C0122">
          <w:pPr>
            <w:pStyle w:val="TOC3"/>
            <w:rPr>
              <w:rFonts w:asciiTheme="minorHAnsi" w:eastAsiaTheme="minorEastAsia" w:hAnsiTheme="minorHAnsi" w:cstheme="minorBidi"/>
              <w:b w:val="0"/>
              <w:noProof/>
              <w:color w:val="auto"/>
              <w:szCs w:val="22"/>
              <w:lang w:eastAsia="en-AU"/>
            </w:rPr>
          </w:pPr>
          <w:hyperlink w:anchor="_Toc147997692" w:history="1">
            <w:r w:rsidR="000022F7" w:rsidRPr="0006227E">
              <w:rPr>
                <w:rStyle w:val="Hyperlink"/>
                <w:noProof/>
              </w:rPr>
              <w:t>Australian regulatory status</w:t>
            </w:r>
            <w:r w:rsidR="000022F7">
              <w:rPr>
                <w:noProof/>
                <w:webHidden/>
              </w:rPr>
              <w:tab/>
            </w:r>
            <w:r w:rsidR="000022F7">
              <w:rPr>
                <w:noProof/>
                <w:webHidden/>
              </w:rPr>
              <w:fldChar w:fldCharType="begin"/>
            </w:r>
            <w:r w:rsidR="000022F7">
              <w:rPr>
                <w:noProof/>
                <w:webHidden/>
              </w:rPr>
              <w:instrText xml:space="preserve"> PAGEREF _Toc147997692 \h </w:instrText>
            </w:r>
            <w:r w:rsidR="000022F7">
              <w:rPr>
                <w:noProof/>
                <w:webHidden/>
              </w:rPr>
            </w:r>
            <w:r w:rsidR="000022F7">
              <w:rPr>
                <w:noProof/>
                <w:webHidden/>
              </w:rPr>
              <w:fldChar w:fldCharType="separate"/>
            </w:r>
            <w:r w:rsidR="00BA1694">
              <w:rPr>
                <w:noProof/>
                <w:webHidden/>
              </w:rPr>
              <w:t>7</w:t>
            </w:r>
            <w:r w:rsidR="000022F7">
              <w:rPr>
                <w:noProof/>
                <w:webHidden/>
              </w:rPr>
              <w:fldChar w:fldCharType="end"/>
            </w:r>
          </w:hyperlink>
        </w:p>
        <w:p w14:paraId="2A754A5D" w14:textId="746F0350" w:rsidR="000022F7" w:rsidRDefault="005C0122">
          <w:pPr>
            <w:pStyle w:val="TOC3"/>
            <w:rPr>
              <w:rFonts w:asciiTheme="minorHAnsi" w:eastAsiaTheme="minorEastAsia" w:hAnsiTheme="minorHAnsi" w:cstheme="minorBidi"/>
              <w:b w:val="0"/>
              <w:noProof/>
              <w:color w:val="auto"/>
              <w:szCs w:val="22"/>
              <w:lang w:eastAsia="en-AU"/>
            </w:rPr>
          </w:pPr>
          <w:hyperlink w:anchor="_Toc147997693" w:history="1">
            <w:r w:rsidR="000022F7" w:rsidRPr="0006227E">
              <w:rPr>
                <w:rStyle w:val="Hyperlink"/>
                <w:noProof/>
              </w:rPr>
              <w:t>International regulatory status</w:t>
            </w:r>
            <w:r w:rsidR="000022F7">
              <w:rPr>
                <w:noProof/>
                <w:webHidden/>
              </w:rPr>
              <w:tab/>
            </w:r>
            <w:r w:rsidR="000022F7">
              <w:rPr>
                <w:noProof/>
                <w:webHidden/>
              </w:rPr>
              <w:fldChar w:fldCharType="begin"/>
            </w:r>
            <w:r w:rsidR="000022F7">
              <w:rPr>
                <w:noProof/>
                <w:webHidden/>
              </w:rPr>
              <w:instrText xml:space="preserve"> PAGEREF _Toc147997693 \h </w:instrText>
            </w:r>
            <w:r w:rsidR="000022F7">
              <w:rPr>
                <w:noProof/>
                <w:webHidden/>
              </w:rPr>
            </w:r>
            <w:r w:rsidR="000022F7">
              <w:rPr>
                <w:noProof/>
                <w:webHidden/>
              </w:rPr>
              <w:fldChar w:fldCharType="separate"/>
            </w:r>
            <w:r w:rsidR="00BA1694">
              <w:rPr>
                <w:noProof/>
                <w:webHidden/>
              </w:rPr>
              <w:t>8</w:t>
            </w:r>
            <w:r w:rsidR="000022F7">
              <w:rPr>
                <w:noProof/>
                <w:webHidden/>
              </w:rPr>
              <w:fldChar w:fldCharType="end"/>
            </w:r>
          </w:hyperlink>
        </w:p>
        <w:p w14:paraId="70B2AAB9" w14:textId="2DF6E8DC"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94" w:history="1">
            <w:r w:rsidR="000022F7" w:rsidRPr="0006227E">
              <w:rPr>
                <w:rStyle w:val="Hyperlink"/>
                <w:noProof/>
              </w:rPr>
              <w:t>Product Information</w:t>
            </w:r>
            <w:r w:rsidR="000022F7">
              <w:rPr>
                <w:noProof/>
                <w:webHidden/>
              </w:rPr>
              <w:tab/>
            </w:r>
            <w:r w:rsidR="000022F7">
              <w:rPr>
                <w:noProof/>
                <w:webHidden/>
              </w:rPr>
              <w:fldChar w:fldCharType="begin"/>
            </w:r>
            <w:r w:rsidR="000022F7">
              <w:rPr>
                <w:noProof/>
                <w:webHidden/>
              </w:rPr>
              <w:instrText xml:space="preserve"> PAGEREF _Toc147997694 \h </w:instrText>
            </w:r>
            <w:r w:rsidR="000022F7">
              <w:rPr>
                <w:noProof/>
                <w:webHidden/>
              </w:rPr>
            </w:r>
            <w:r w:rsidR="000022F7">
              <w:rPr>
                <w:noProof/>
                <w:webHidden/>
              </w:rPr>
              <w:fldChar w:fldCharType="separate"/>
            </w:r>
            <w:r w:rsidR="00BA1694">
              <w:rPr>
                <w:noProof/>
                <w:webHidden/>
              </w:rPr>
              <w:t>9</w:t>
            </w:r>
            <w:r w:rsidR="000022F7">
              <w:rPr>
                <w:noProof/>
                <w:webHidden/>
              </w:rPr>
              <w:fldChar w:fldCharType="end"/>
            </w:r>
          </w:hyperlink>
        </w:p>
        <w:p w14:paraId="114C6C5A" w14:textId="021EECE4" w:rsidR="000022F7" w:rsidRDefault="005C0122">
          <w:pPr>
            <w:pStyle w:val="TOC1"/>
            <w:rPr>
              <w:rFonts w:asciiTheme="minorHAnsi" w:eastAsiaTheme="minorEastAsia" w:hAnsiTheme="minorHAnsi" w:cstheme="minorBidi"/>
              <w:b w:val="0"/>
              <w:noProof/>
              <w:color w:val="auto"/>
              <w:sz w:val="22"/>
              <w:szCs w:val="22"/>
              <w:lang w:eastAsia="en-AU"/>
            </w:rPr>
          </w:pPr>
          <w:hyperlink w:anchor="_Toc147997695" w:history="1">
            <w:r w:rsidR="000022F7" w:rsidRPr="0006227E">
              <w:rPr>
                <w:rStyle w:val="Hyperlink"/>
                <w:noProof/>
              </w:rPr>
              <w:t>Registration timeline</w:t>
            </w:r>
            <w:r w:rsidR="000022F7">
              <w:rPr>
                <w:noProof/>
                <w:webHidden/>
              </w:rPr>
              <w:tab/>
            </w:r>
            <w:r w:rsidR="000022F7">
              <w:rPr>
                <w:noProof/>
                <w:webHidden/>
              </w:rPr>
              <w:fldChar w:fldCharType="begin"/>
            </w:r>
            <w:r w:rsidR="000022F7">
              <w:rPr>
                <w:noProof/>
                <w:webHidden/>
              </w:rPr>
              <w:instrText xml:space="preserve"> PAGEREF _Toc147997695 \h </w:instrText>
            </w:r>
            <w:r w:rsidR="000022F7">
              <w:rPr>
                <w:noProof/>
                <w:webHidden/>
              </w:rPr>
            </w:r>
            <w:r w:rsidR="000022F7">
              <w:rPr>
                <w:noProof/>
                <w:webHidden/>
              </w:rPr>
              <w:fldChar w:fldCharType="separate"/>
            </w:r>
            <w:r w:rsidR="00BA1694">
              <w:rPr>
                <w:noProof/>
                <w:webHidden/>
              </w:rPr>
              <w:t>9</w:t>
            </w:r>
            <w:r w:rsidR="000022F7">
              <w:rPr>
                <w:noProof/>
                <w:webHidden/>
              </w:rPr>
              <w:fldChar w:fldCharType="end"/>
            </w:r>
          </w:hyperlink>
        </w:p>
        <w:p w14:paraId="3BE576F6" w14:textId="256CF09F" w:rsidR="000022F7" w:rsidRDefault="005C0122">
          <w:pPr>
            <w:pStyle w:val="TOC1"/>
            <w:rPr>
              <w:rFonts w:asciiTheme="minorHAnsi" w:eastAsiaTheme="minorEastAsia" w:hAnsiTheme="minorHAnsi" w:cstheme="minorBidi"/>
              <w:b w:val="0"/>
              <w:noProof/>
              <w:color w:val="auto"/>
              <w:sz w:val="22"/>
              <w:szCs w:val="22"/>
              <w:lang w:eastAsia="en-AU"/>
            </w:rPr>
          </w:pPr>
          <w:hyperlink w:anchor="_Toc147997696" w:history="1">
            <w:r w:rsidR="000022F7" w:rsidRPr="0006227E">
              <w:rPr>
                <w:rStyle w:val="Hyperlink"/>
                <w:noProof/>
              </w:rPr>
              <w:t>Submission overview and risk/benefit assessment</w:t>
            </w:r>
            <w:r w:rsidR="000022F7">
              <w:rPr>
                <w:noProof/>
                <w:webHidden/>
              </w:rPr>
              <w:tab/>
            </w:r>
            <w:r w:rsidR="000022F7">
              <w:rPr>
                <w:noProof/>
                <w:webHidden/>
              </w:rPr>
              <w:fldChar w:fldCharType="begin"/>
            </w:r>
            <w:r w:rsidR="000022F7">
              <w:rPr>
                <w:noProof/>
                <w:webHidden/>
              </w:rPr>
              <w:instrText xml:space="preserve"> PAGEREF _Toc147997696 \h </w:instrText>
            </w:r>
            <w:r w:rsidR="000022F7">
              <w:rPr>
                <w:noProof/>
                <w:webHidden/>
              </w:rPr>
            </w:r>
            <w:r w:rsidR="000022F7">
              <w:rPr>
                <w:noProof/>
                <w:webHidden/>
              </w:rPr>
              <w:fldChar w:fldCharType="separate"/>
            </w:r>
            <w:r w:rsidR="00BA1694">
              <w:rPr>
                <w:noProof/>
                <w:webHidden/>
              </w:rPr>
              <w:t>10</w:t>
            </w:r>
            <w:r w:rsidR="000022F7">
              <w:rPr>
                <w:noProof/>
                <w:webHidden/>
              </w:rPr>
              <w:fldChar w:fldCharType="end"/>
            </w:r>
          </w:hyperlink>
        </w:p>
        <w:p w14:paraId="6D119308" w14:textId="3552A7B3"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97" w:history="1">
            <w:r w:rsidR="000022F7" w:rsidRPr="0006227E">
              <w:rPr>
                <w:rStyle w:val="Hyperlink"/>
                <w:noProof/>
              </w:rPr>
              <w:t>Quality</w:t>
            </w:r>
            <w:r w:rsidR="000022F7">
              <w:rPr>
                <w:noProof/>
                <w:webHidden/>
              </w:rPr>
              <w:tab/>
            </w:r>
            <w:r w:rsidR="000022F7">
              <w:rPr>
                <w:noProof/>
                <w:webHidden/>
              </w:rPr>
              <w:fldChar w:fldCharType="begin"/>
            </w:r>
            <w:r w:rsidR="000022F7">
              <w:rPr>
                <w:noProof/>
                <w:webHidden/>
              </w:rPr>
              <w:instrText xml:space="preserve"> PAGEREF _Toc147997697 \h </w:instrText>
            </w:r>
            <w:r w:rsidR="000022F7">
              <w:rPr>
                <w:noProof/>
                <w:webHidden/>
              </w:rPr>
            </w:r>
            <w:r w:rsidR="000022F7">
              <w:rPr>
                <w:noProof/>
                <w:webHidden/>
              </w:rPr>
              <w:fldChar w:fldCharType="separate"/>
            </w:r>
            <w:r w:rsidR="00BA1694">
              <w:rPr>
                <w:noProof/>
                <w:webHidden/>
              </w:rPr>
              <w:t>10</w:t>
            </w:r>
            <w:r w:rsidR="000022F7">
              <w:rPr>
                <w:noProof/>
                <w:webHidden/>
              </w:rPr>
              <w:fldChar w:fldCharType="end"/>
            </w:r>
          </w:hyperlink>
        </w:p>
        <w:p w14:paraId="564287AD" w14:textId="51248909" w:rsidR="000022F7" w:rsidRDefault="005C0122">
          <w:pPr>
            <w:pStyle w:val="TOC3"/>
            <w:rPr>
              <w:rFonts w:asciiTheme="minorHAnsi" w:eastAsiaTheme="minorEastAsia" w:hAnsiTheme="minorHAnsi" w:cstheme="minorBidi"/>
              <w:b w:val="0"/>
              <w:noProof/>
              <w:color w:val="auto"/>
              <w:szCs w:val="22"/>
              <w:lang w:eastAsia="en-AU"/>
            </w:rPr>
          </w:pPr>
          <w:hyperlink w:anchor="_Toc147997698" w:history="1">
            <w:r w:rsidR="000022F7" w:rsidRPr="0006227E">
              <w:rPr>
                <w:rStyle w:val="Hyperlink"/>
                <w:noProof/>
              </w:rPr>
              <w:t>Quality related proposed conditions of registration</w:t>
            </w:r>
            <w:r w:rsidR="000022F7">
              <w:rPr>
                <w:noProof/>
                <w:webHidden/>
              </w:rPr>
              <w:tab/>
            </w:r>
            <w:r w:rsidR="000022F7">
              <w:rPr>
                <w:noProof/>
                <w:webHidden/>
              </w:rPr>
              <w:fldChar w:fldCharType="begin"/>
            </w:r>
            <w:r w:rsidR="000022F7">
              <w:rPr>
                <w:noProof/>
                <w:webHidden/>
              </w:rPr>
              <w:instrText xml:space="preserve"> PAGEREF _Toc147997698 \h </w:instrText>
            </w:r>
            <w:r w:rsidR="000022F7">
              <w:rPr>
                <w:noProof/>
                <w:webHidden/>
              </w:rPr>
            </w:r>
            <w:r w:rsidR="000022F7">
              <w:rPr>
                <w:noProof/>
                <w:webHidden/>
              </w:rPr>
              <w:fldChar w:fldCharType="separate"/>
            </w:r>
            <w:r w:rsidR="00BA1694">
              <w:rPr>
                <w:noProof/>
                <w:webHidden/>
              </w:rPr>
              <w:t>10</w:t>
            </w:r>
            <w:r w:rsidR="000022F7">
              <w:rPr>
                <w:noProof/>
                <w:webHidden/>
              </w:rPr>
              <w:fldChar w:fldCharType="end"/>
            </w:r>
          </w:hyperlink>
        </w:p>
        <w:p w14:paraId="515BD5BB" w14:textId="1D65E10E" w:rsidR="000022F7" w:rsidRDefault="005C0122">
          <w:pPr>
            <w:pStyle w:val="TOC2"/>
            <w:rPr>
              <w:rFonts w:asciiTheme="minorHAnsi" w:eastAsiaTheme="minorEastAsia" w:hAnsiTheme="minorHAnsi" w:cstheme="minorBidi"/>
              <w:b w:val="0"/>
              <w:noProof/>
              <w:color w:val="auto"/>
              <w:sz w:val="22"/>
              <w:szCs w:val="22"/>
              <w:lang w:eastAsia="en-AU"/>
            </w:rPr>
          </w:pPr>
          <w:hyperlink w:anchor="_Toc147997699" w:history="1">
            <w:r w:rsidR="000022F7" w:rsidRPr="0006227E">
              <w:rPr>
                <w:rStyle w:val="Hyperlink"/>
                <w:noProof/>
              </w:rPr>
              <w:t>Nonclinical</w:t>
            </w:r>
            <w:r w:rsidR="000022F7">
              <w:rPr>
                <w:noProof/>
                <w:webHidden/>
              </w:rPr>
              <w:tab/>
            </w:r>
            <w:r w:rsidR="000022F7">
              <w:rPr>
                <w:noProof/>
                <w:webHidden/>
              </w:rPr>
              <w:fldChar w:fldCharType="begin"/>
            </w:r>
            <w:r w:rsidR="000022F7">
              <w:rPr>
                <w:noProof/>
                <w:webHidden/>
              </w:rPr>
              <w:instrText xml:space="preserve"> PAGEREF _Toc147997699 \h </w:instrText>
            </w:r>
            <w:r w:rsidR="000022F7">
              <w:rPr>
                <w:noProof/>
                <w:webHidden/>
              </w:rPr>
            </w:r>
            <w:r w:rsidR="000022F7">
              <w:rPr>
                <w:noProof/>
                <w:webHidden/>
              </w:rPr>
              <w:fldChar w:fldCharType="separate"/>
            </w:r>
            <w:r w:rsidR="00BA1694">
              <w:rPr>
                <w:noProof/>
                <w:webHidden/>
              </w:rPr>
              <w:t>12</w:t>
            </w:r>
            <w:r w:rsidR="000022F7">
              <w:rPr>
                <w:noProof/>
                <w:webHidden/>
              </w:rPr>
              <w:fldChar w:fldCharType="end"/>
            </w:r>
          </w:hyperlink>
        </w:p>
        <w:p w14:paraId="4B2357A0" w14:textId="6AD86356" w:rsidR="000022F7" w:rsidRDefault="005C0122">
          <w:pPr>
            <w:pStyle w:val="TOC2"/>
            <w:rPr>
              <w:rFonts w:asciiTheme="minorHAnsi" w:eastAsiaTheme="minorEastAsia" w:hAnsiTheme="minorHAnsi" w:cstheme="minorBidi"/>
              <w:b w:val="0"/>
              <w:noProof/>
              <w:color w:val="auto"/>
              <w:sz w:val="22"/>
              <w:szCs w:val="22"/>
              <w:lang w:eastAsia="en-AU"/>
            </w:rPr>
          </w:pPr>
          <w:hyperlink w:anchor="_Toc147997700" w:history="1">
            <w:r w:rsidR="000022F7" w:rsidRPr="0006227E">
              <w:rPr>
                <w:rStyle w:val="Hyperlink"/>
                <w:noProof/>
              </w:rPr>
              <w:t>Clinical</w:t>
            </w:r>
            <w:r w:rsidR="000022F7">
              <w:rPr>
                <w:noProof/>
                <w:webHidden/>
              </w:rPr>
              <w:tab/>
            </w:r>
            <w:r w:rsidR="000022F7">
              <w:rPr>
                <w:noProof/>
                <w:webHidden/>
              </w:rPr>
              <w:fldChar w:fldCharType="begin"/>
            </w:r>
            <w:r w:rsidR="000022F7">
              <w:rPr>
                <w:noProof/>
                <w:webHidden/>
              </w:rPr>
              <w:instrText xml:space="preserve"> PAGEREF _Toc147997700 \h </w:instrText>
            </w:r>
            <w:r w:rsidR="000022F7">
              <w:rPr>
                <w:noProof/>
                <w:webHidden/>
              </w:rPr>
            </w:r>
            <w:r w:rsidR="000022F7">
              <w:rPr>
                <w:noProof/>
                <w:webHidden/>
              </w:rPr>
              <w:fldChar w:fldCharType="separate"/>
            </w:r>
            <w:r w:rsidR="00BA1694">
              <w:rPr>
                <w:noProof/>
                <w:webHidden/>
              </w:rPr>
              <w:t>13</w:t>
            </w:r>
            <w:r w:rsidR="000022F7">
              <w:rPr>
                <w:noProof/>
                <w:webHidden/>
              </w:rPr>
              <w:fldChar w:fldCharType="end"/>
            </w:r>
          </w:hyperlink>
        </w:p>
        <w:p w14:paraId="25E57629" w14:textId="2EB20509" w:rsidR="000022F7" w:rsidRDefault="005C0122">
          <w:pPr>
            <w:pStyle w:val="TOC3"/>
            <w:rPr>
              <w:rFonts w:asciiTheme="minorHAnsi" w:eastAsiaTheme="minorEastAsia" w:hAnsiTheme="minorHAnsi" w:cstheme="minorBidi"/>
              <w:b w:val="0"/>
              <w:noProof/>
              <w:color w:val="auto"/>
              <w:szCs w:val="22"/>
              <w:lang w:eastAsia="en-AU"/>
            </w:rPr>
          </w:pPr>
          <w:hyperlink w:anchor="_Toc147997701" w:history="1">
            <w:r w:rsidR="000022F7" w:rsidRPr="0006227E">
              <w:rPr>
                <w:rStyle w:val="Hyperlink"/>
                <w:noProof/>
              </w:rPr>
              <w:t>Summary of clinical studies</w:t>
            </w:r>
            <w:r w:rsidR="000022F7">
              <w:rPr>
                <w:noProof/>
                <w:webHidden/>
              </w:rPr>
              <w:tab/>
            </w:r>
            <w:r w:rsidR="000022F7">
              <w:rPr>
                <w:noProof/>
                <w:webHidden/>
              </w:rPr>
              <w:fldChar w:fldCharType="begin"/>
            </w:r>
            <w:r w:rsidR="000022F7">
              <w:rPr>
                <w:noProof/>
                <w:webHidden/>
              </w:rPr>
              <w:instrText xml:space="preserve"> PAGEREF _Toc147997701 \h </w:instrText>
            </w:r>
            <w:r w:rsidR="000022F7">
              <w:rPr>
                <w:noProof/>
                <w:webHidden/>
              </w:rPr>
            </w:r>
            <w:r w:rsidR="000022F7">
              <w:rPr>
                <w:noProof/>
                <w:webHidden/>
              </w:rPr>
              <w:fldChar w:fldCharType="separate"/>
            </w:r>
            <w:r w:rsidR="00BA1694">
              <w:rPr>
                <w:noProof/>
                <w:webHidden/>
              </w:rPr>
              <w:t>13</w:t>
            </w:r>
            <w:r w:rsidR="000022F7">
              <w:rPr>
                <w:noProof/>
                <w:webHidden/>
              </w:rPr>
              <w:fldChar w:fldCharType="end"/>
            </w:r>
          </w:hyperlink>
        </w:p>
        <w:p w14:paraId="6EF2BEFC" w14:textId="520630B3" w:rsidR="000022F7" w:rsidRDefault="005C0122">
          <w:pPr>
            <w:pStyle w:val="TOC3"/>
            <w:rPr>
              <w:rFonts w:asciiTheme="minorHAnsi" w:eastAsiaTheme="minorEastAsia" w:hAnsiTheme="minorHAnsi" w:cstheme="minorBidi"/>
              <w:b w:val="0"/>
              <w:noProof/>
              <w:color w:val="auto"/>
              <w:szCs w:val="22"/>
              <w:lang w:eastAsia="en-AU"/>
            </w:rPr>
          </w:pPr>
          <w:hyperlink w:anchor="_Toc147997702" w:history="1">
            <w:r w:rsidR="000022F7" w:rsidRPr="0006227E">
              <w:rPr>
                <w:rStyle w:val="Hyperlink"/>
                <w:noProof/>
              </w:rPr>
              <w:t>Safety</w:t>
            </w:r>
            <w:r w:rsidR="000022F7">
              <w:rPr>
                <w:noProof/>
                <w:webHidden/>
              </w:rPr>
              <w:tab/>
            </w:r>
            <w:r w:rsidR="000022F7">
              <w:rPr>
                <w:noProof/>
                <w:webHidden/>
              </w:rPr>
              <w:fldChar w:fldCharType="begin"/>
            </w:r>
            <w:r w:rsidR="000022F7">
              <w:rPr>
                <w:noProof/>
                <w:webHidden/>
              </w:rPr>
              <w:instrText xml:space="preserve"> PAGEREF _Toc147997702 \h </w:instrText>
            </w:r>
            <w:r w:rsidR="000022F7">
              <w:rPr>
                <w:noProof/>
                <w:webHidden/>
              </w:rPr>
            </w:r>
            <w:r w:rsidR="000022F7">
              <w:rPr>
                <w:noProof/>
                <w:webHidden/>
              </w:rPr>
              <w:fldChar w:fldCharType="separate"/>
            </w:r>
            <w:r w:rsidR="00BA1694">
              <w:rPr>
                <w:noProof/>
                <w:webHidden/>
              </w:rPr>
              <w:t>18</w:t>
            </w:r>
            <w:r w:rsidR="000022F7">
              <w:rPr>
                <w:noProof/>
                <w:webHidden/>
              </w:rPr>
              <w:fldChar w:fldCharType="end"/>
            </w:r>
          </w:hyperlink>
        </w:p>
        <w:p w14:paraId="7195BD4F" w14:textId="0A186136" w:rsidR="000022F7" w:rsidRDefault="005C0122">
          <w:pPr>
            <w:pStyle w:val="TOC2"/>
            <w:rPr>
              <w:rFonts w:asciiTheme="minorHAnsi" w:eastAsiaTheme="minorEastAsia" w:hAnsiTheme="minorHAnsi" w:cstheme="minorBidi"/>
              <w:b w:val="0"/>
              <w:noProof/>
              <w:color w:val="auto"/>
              <w:sz w:val="22"/>
              <w:szCs w:val="22"/>
              <w:lang w:eastAsia="en-AU"/>
            </w:rPr>
          </w:pPr>
          <w:hyperlink w:anchor="_Toc147997703" w:history="1">
            <w:r w:rsidR="000022F7" w:rsidRPr="0006227E">
              <w:rPr>
                <w:rStyle w:val="Hyperlink"/>
                <w:noProof/>
                <w:lang w:eastAsia="en-AU"/>
              </w:rPr>
              <w:t>Risk management plan</w:t>
            </w:r>
            <w:r w:rsidR="000022F7">
              <w:rPr>
                <w:noProof/>
                <w:webHidden/>
              </w:rPr>
              <w:tab/>
            </w:r>
            <w:r w:rsidR="000022F7">
              <w:rPr>
                <w:noProof/>
                <w:webHidden/>
              </w:rPr>
              <w:fldChar w:fldCharType="begin"/>
            </w:r>
            <w:r w:rsidR="000022F7">
              <w:rPr>
                <w:noProof/>
                <w:webHidden/>
              </w:rPr>
              <w:instrText xml:space="preserve"> PAGEREF _Toc147997703 \h </w:instrText>
            </w:r>
            <w:r w:rsidR="000022F7">
              <w:rPr>
                <w:noProof/>
                <w:webHidden/>
              </w:rPr>
            </w:r>
            <w:r w:rsidR="000022F7">
              <w:rPr>
                <w:noProof/>
                <w:webHidden/>
              </w:rPr>
              <w:fldChar w:fldCharType="separate"/>
            </w:r>
            <w:r w:rsidR="00BA1694">
              <w:rPr>
                <w:noProof/>
                <w:webHidden/>
              </w:rPr>
              <w:t>21</w:t>
            </w:r>
            <w:r w:rsidR="000022F7">
              <w:rPr>
                <w:noProof/>
                <w:webHidden/>
              </w:rPr>
              <w:fldChar w:fldCharType="end"/>
            </w:r>
          </w:hyperlink>
        </w:p>
        <w:p w14:paraId="188C71F8" w14:textId="741E3E05" w:rsidR="000022F7" w:rsidRDefault="005C0122">
          <w:pPr>
            <w:pStyle w:val="TOC2"/>
            <w:rPr>
              <w:rFonts w:asciiTheme="minorHAnsi" w:eastAsiaTheme="minorEastAsia" w:hAnsiTheme="minorHAnsi" w:cstheme="minorBidi"/>
              <w:b w:val="0"/>
              <w:noProof/>
              <w:color w:val="auto"/>
              <w:sz w:val="22"/>
              <w:szCs w:val="22"/>
              <w:lang w:eastAsia="en-AU"/>
            </w:rPr>
          </w:pPr>
          <w:hyperlink w:anchor="_Toc147997704" w:history="1">
            <w:r w:rsidR="000022F7" w:rsidRPr="0006227E">
              <w:rPr>
                <w:rStyle w:val="Hyperlink"/>
                <w:noProof/>
              </w:rPr>
              <w:t>Risk-benefit analysis</w:t>
            </w:r>
            <w:r w:rsidR="000022F7">
              <w:rPr>
                <w:noProof/>
                <w:webHidden/>
              </w:rPr>
              <w:tab/>
            </w:r>
            <w:r w:rsidR="000022F7">
              <w:rPr>
                <w:noProof/>
                <w:webHidden/>
              </w:rPr>
              <w:fldChar w:fldCharType="begin"/>
            </w:r>
            <w:r w:rsidR="000022F7">
              <w:rPr>
                <w:noProof/>
                <w:webHidden/>
              </w:rPr>
              <w:instrText xml:space="preserve"> PAGEREF _Toc147997704 \h </w:instrText>
            </w:r>
            <w:r w:rsidR="000022F7">
              <w:rPr>
                <w:noProof/>
                <w:webHidden/>
              </w:rPr>
            </w:r>
            <w:r w:rsidR="000022F7">
              <w:rPr>
                <w:noProof/>
                <w:webHidden/>
              </w:rPr>
              <w:fldChar w:fldCharType="separate"/>
            </w:r>
            <w:r w:rsidR="00BA1694">
              <w:rPr>
                <w:noProof/>
                <w:webHidden/>
              </w:rPr>
              <w:t>21</w:t>
            </w:r>
            <w:r w:rsidR="000022F7">
              <w:rPr>
                <w:noProof/>
                <w:webHidden/>
              </w:rPr>
              <w:fldChar w:fldCharType="end"/>
            </w:r>
          </w:hyperlink>
        </w:p>
        <w:p w14:paraId="5EFCEAB8" w14:textId="7B9B1F6B" w:rsidR="000022F7" w:rsidRDefault="005C0122">
          <w:pPr>
            <w:pStyle w:val="TOC3"/>
            <w:rPr>
              <w:rFonts w:asciiTheme="minorHAnsi" w:eastAsiaTheme="minorEastAsia" w:hAnsiTheme="minorHAnsi" w:cstheme="minorBidi"/>
              <w:b w:val="0"/>
              <w:noProof/>
              <w:color w:val="auto"/>
              <w:szCs w:val="22"/>
              <w:lang w:eastAsia="en-AU"/>
            </w:rPr>
          </w:pPr>
          <w:hyperlink w:anchor="_Toc147997705" w:history="1">
            <w:r w:rsidR="000022F7" w:rsidRPr="0006227E">
              <w:rPr>
                <w:rStyle w:val="Hyperlink"/>
                <w:noProof/>
              </w:rPr>
              <w:t>Delegate’s considerations</w:t>
            </w:r>
            <w:r w:rsidR="000022F7">
              <w:rPr>
                <w:noProof/>
                <w:webHidden/>
              </w:rPr>
              <w:tab/>
            </w:r>
            <w:r w:rsidR="000022F7">
              <w:rPr>
                <w:noProof/>
                <w:webHidden/>
              </w:rPr>
              <w:fldChar w:fldCharType="begin"/>
            </w:r>
            <w:r w:rsidR="000022F7">
              <w:rPr>
                <w:noProof/>
                <w:webHidden/>
              </w:rPr>
              <w:instrText xml:space="preserve"> PAGEREF _Toc147997705 \h </w:instrText>
            </w:r>
            <w:r w:rsidR="000022F7">
              <w:rPr>
                <w:noProof/>
                <w:webHidden/>
              </w:rPr>
            </w:r>
            <w:r w:rsidR="000022F7">
              <w:rPr>
                <w:noProof/>
                <w:webHidden/>
              </w:rPr>
              <w:fldChar w:fldCharType="separate"/>
            </w:r>
            <w:r w:rsidR="00BA1694">
              <w:rPr>
                <w:noProof/>
                <w:webHidden/>
              </w:rPr>
              <w:t>21</w:t>
            </w:r>
            <w:r w:rsidR="000022F7">
              <w:rPr>
                <w:noProof/>
                <w:webHidden/>
              </w:rPr>
              <w:fldChar w:fldCharType="end"/>
            </w:r>
          </w:hyperlink>
        </w:p>
        <w:p w14:paraId="27C57474" w14:textId="1C8FAFBD" w:rsidR="000022F7" w:rsidRDefault="005C0122">
          <w:pPr>
            <w:pStyle w:val="TOC3"/>
            <w:rPr>
              <w:rFonts w:asciiTheme="minorHAnsi" w:eastAsiaTheme="minorEastAsia" w:hAnsiTheme="minorHAnsi" w:cstheme="minorBidi"/>
              <w:b w:val="0"/>
              <w:noProof/>
              <w:color w:val="auto"/>
              <w:szCs w:val="22"/>
              <w:lang w:eastAsia="en-AU"/>
            </w:rPr>
          </w:pPr>
          <w:hyperlink w:anchor="_Toc147997706" w:history="1">
            <w:r w:rsidR="000022F7" w:rsidRPr="0006227E">
              <w:rPr>
                <w:rStyle w:val="Hyperlink"/>
                <w:noProof/>
              </w:rPr>
              <w:t>Proposed action</w:t>
            </w:r>
            <w:r w:rsidR="000022F7">
              <w:rPr>
                <w:noProof/>
                <w:webHidden/>
              </w:rPr>
              <w:tab/>
            </w:r>
            <w:r w:rsidR="000022F7">
              <w:rPr>
                <w:noProof/>
                <w:webHidden/>
              </w:rPr>
              <w:fldChar w:fldCharType="begin"/>
            </w:r>
            <w:r w:rsidR="000022F7">
              <w:rPr>
                <w:noProof/>
                <w:webHidden/>
              </w:rPr>
              <w:instrText xml:space="preserve"> PAGEREF _Toc147997706 \h </w:instrText>
            </w:r>
            <w:r w:rsidR="000022F7">
              <w:rPr>
                <w:noProof/>
                <w:webHidden/>
              </w:rPr>
            </w:r>
            <w:r w:rsidR="000022F7">
              <w:rPr>
                <w:noProof/>
                <w:webHidden/>
              </w:rPr>
              <w:fldChar w:fldCharType="separate"/>
            </w:r>
            <w:r w:rsidR="00BA1694">
              <w:rPr>
                <w:noProof/>
                <w:webHidden/>
              </w:rPr>
              <w:t>23</w:t>
            </w:r>
            <w:r w:rsidR="000022F7">
              <w:rPr>
                <w:noProof/>
                <w:webHidden/>
              </w:rPr>
              <w:fldChar w:fldCharType="end"/>
            </w:r>
          </w:hyperlink>
        </w:p>
        <w:p w14:paraId="5D115749" w14:textId="244DF9C9" w:rsidR="000022F7" w:rsidRDefault="005C0122">
          <w:pPr>
            <w:pStyle w:val="TOC3"/>
            <w:rPr>
              <w:rFonts w:asciiTheme="minorHAnsi" w:eastAsiaTheme="minorEastAsia" w:hAnsiTheme="minorHAnsi" w:cstheme="minorBidi"/>
              <w:b w:val="0"/>
              <w:noProof/>
              <w:color w:val="auto"/>
              <w:szCs w:val="22"/>
              <w:lang w:eastAsia="en-AU"/>
            </w:rPr>
          </w:pPr>
          <w:hyperlink w:anchor="_Toc147997707" w:history="1">
            <w:r w:rsidR="000022F7" w:rsidRPr="0006227E">
              <w:rPr>
                <w:rStyle w:val="Hyperlink"/>
                <w:noProof/>
              </w:rPr>
              <w:t>Advisory Committee considerations</w:t>
            </w:r>
            <w:r w:rsidR="000022F7">
              <w:rPr>
                <w:noProof/>
                <w:webHidden/>
              </w:rPr>
              <w:tab/>
            </w:r>
            <w:r w:rsidR="000022F7">
              <w:rPr>
                <w:noProof/>
                <w:webHidden/>
              </w:rPr>
              <w:fldChar w:fldCharType="begin"/>
            </w:r>
            <w:r w:rsidR="000022F7">
              <w:rPr>
                <w:noProof/>
                <w:webHidden/>
              </w:rPr>
              <w:instrText xml:space="preserve"> PAGEREF _Toc147997707 \h </w:instrText>
            </w:r>
            <w:r w:rsidR="000022F7">
              <w:rPr>
                <w:noProof/>
                <w:webHidden/>
              </w:rPr>
            </w:r>
            <w:r w:rsidR="000022F7">
              <w:rPr>
                <w:noProof/>
                <w:webHidden/>
              </w:rPr>
              <w:fldChar w:fldCharType="separate"/>
            </w:r>
            <w:r w:rsidR="00BA1694">
              <w:rPr>
                <w:noProof/>
                <w:webHidden/>
              </w:rPr>
              <w:t>23</w:t>
            </w:r>
            <w:r w:rsidR="000022F7">
              <w:rPr>
                <w:noProof/>
                <w:webHidden/>
              </w:rPr>
              <w:fldChar w:fldCharType="end"/>
            </w:r>
          </w:hyperlink>
        </w:p>
        <w:p w14:paraId="7D4E80DB" w14:textId="19738C20" w:rsidR="000022F7" w:rsidRDefault="005C0122">
          <w:pPr>
            <w:pStyle w:val="TOC1"/>
            <w:rPr>
              <w:rFonts w:asciiTheme="minorHAnsi" w:eastAsiaTheme="minorEastAsia" w:hAnsiTheme="minorHAnsi" w:cstheme="minorBidi"/>
              <w:b w:val="0"/>
              <w:noProof/>
              <w:color w:val="auto"/>
              <w:sz w:val="22"/>
              <w:szCs w:val="22"/>
              <w:lang w:eastAsia="en-AU"/>
            </w:rPr>
          </w:pPr>
          <w:hyperlink w:anchor="_Toc147997708" w:history="1">
            <w:r w:rsidR="000022F7" w:rsidRPr="0006227E">
              <w:rPr>
                <w:rStyle w:val="Hyperlink"/>
                <w:noProof/>
              </w:rPr>
              <w:t>Outcome</w:t>
            </w:r>
            <w:r w:rsidR="000022F7">
              <w:rPr>
                <w:noProof/>
                <w:webHidden/>
              </w:rPr>
              <w:tab/>
            </w:r>
            <w:r w:rsidR="000022F7">
              <w:rPr>
                <w:noProof/>
                <w:webHidden/>
              </w:rPr>
              <w:fldChar w:fldCharType="begin"/>
            </w:r>
            <w:r w:rsidR="000022F7">
              <w:rPr>
                <w:noProof/>
                <w:webHidden/>
              </w:rPr>
              <w:instrText xml:space="preserve"> PAGEREF _Toc147997708 \h </w:instrText>
            </w:r>
            <w:r w:rsidR="000022F7">
              <w:rPr>
                <w:noProof/>
                <w:webHidden/>
              </w:rPr>
            </w:r>
            <w:r w:rsidR="000022F7">
              <w:rPr>
                <w:noProof/>
                <w:webHidden/>
              </w:rPr>
              <w:fldChar w:fldCharType="separate"/>
            </w:r>
            <w:r w:rsidR="00BA1694">
              <w:rPr>
                <w:noProof/>
                <w:webHidden/>
              </w:rPr>
              <w:t>25</w:t>
            </w:r>
            <w:r w:rsidR="000022F7">
              <w:rPr>
                <w:noProof/>
                <w:webHidden/>
              </w:rPr>
              <w:fldChar w:fldCharType="end"/>
            </w:r>
          </w:hyperlink>
        </w:p>
        <w:p w14:paraId="47B23CA2" w14:textId="77F56922" w:rsidR="000022F7" w:rsidRDefault="005C0122">
          <w:pPr>
            <w:pStyle w:val="TOC2"/>
            <w:rPr>
              <w:rFonts w:asciiTheme="minorHAnsi" w:eastAsiaTheme="minorEastAsia" w:hAnsiTheme="minorHAnsi" w:cstheme="minorBidi"/>
              <w:b w:val="0"/>
              <w:noProof/>
              <w:color w:val="auto"/>
              <w:sz w:val="22"/>
              <w:szCs w:val="22"/>
              <w:lang w:eastAsia="en-AU"/>
            </w:rPr>
          </w:pPr>
          <w:hyperlink w:anchor="_Toc147997709" w:history="1">
            <w:r w:rsidR="000022F7" w:rsidRPr="0006227E">
              <w:rPr>
                <w:rStyle w:val="Hyperlink"/>
                <w:noProof/>
              </w:rPr>
              <w:t>Specific conditions of registration applying to these goods</w:t>
            </w:r>
            <w:r w:rsidR="000022F7">
              <w:rPr>
                <w:noProof/>
                <w:webHidden/>
              </w:rPr>
              <w:tab/>
            </w:r>
            <w:r w:rsidR="000022F7">
              <w:rPr>
                <w:noProof/>
                <w:webHidden/>
              </w:rPr>
              <w:fldChar w:fldCharType="begin"/>
            </w:r>
            <w:r w:rsidR="000022F7">
              <w:rPr>
                <w:noProof/>
                <w:webHidden/>
              </w:rPr>
              <w:instrText xml:space="preserve"> PAGEREF _Toc147997709 \h </w:instrText>
            </w:r>
            <w:r w:rsidR="000022F7">
              <w:rPr>
                <w:noProof/>
                <w:webHidden/>
              </w:rPr>
            </w:r>
            <w:r w:rsidR="000022F7">
              <w:rPr>
                <w:noProof/>
                <w:webHidden/>
              </w:rPr>
              <w:fldChar w:fldCharType="separate"/>
            </w:r>
            <w:r w:rsidR="00BA1694">
              <w:rPr>
                <w:noProof/>
                <w:webHidden/>
              </w:rPr>
              <w:t>25</w:t>
            </w:r>
            <w:r w:rsidR="000022F7">
              <w:rPr>
                <w:noProof/>
                <w:webHidden/>
              </w:rPr>
              <w:fldChar w:fldCharType="end"/>
            </w:r>
          </w:hyperlink>
        </w:p>
        <w:p w14:paraId="1BCCDC0F" w14:textId="28D04AD0" w:rsidR="000022F7" w:rsidRDefault="005C0122">
          <w:pPr>
            <w:pStyle w:val="TOC1"/>
            <w:rPr>
              <w:rFonts w:asciiTheme="minorHAnsi" w:eastAsiaTheme="minorEastAsia" w:hAnsiTheme="minorHAnsi" w:cstheme="minorBidi"/>
              <w:b w:val="0"/>
              <w:noProof/>
              <w:color w:val="auto"/>
              <w:sz w:val="22"/>
              <w:szCs w:val="22"/>
              <w:lang w:eastAsia="en-AU"/>
            </w:rPr>
          </w:pPr>
          <w:hyperlink w:anchor="_Toc147997710" w:history="1">
            <w:r w:rsidR="000022F7" w:rsidRPr="0006227E">
              <w:rPr>
                <w:rStyle w:val="Hyperlink"/>
                <w:noProof/>
              </w:rPr>
              <w:t>Attachment 1. Product Information</w:t>
            </w:r>
            <w:r w:rsidR="000022F7">
              <w:rPr>
                <w:noProof/>
                <w:webHidden/>
              </w:rPr>
              <w:tab/>
            </w:r>
            <w:r w:rsidR="000022F7">
              <w:rPr>
                <w:noProof/>
                <w:webHidden/>
              </w:rPr>
              <w:fldChar w:fldCharType="begin"/>
            </w:r>
            <w:r w:rsidR="000022F7">
              <w:rPr>
                <w:noProof/>
                <w:webHidden/>
              </w:rPr>
              <w:instrText xml:space="preserve"> PAGEREF _Toc147997710 \h </w:instrText>
            </w:r>
            <w:r w:rsidR="000022F7">
              <w:rPr>
                <w:noProof/>
                <w:webHidden/>
              </w:rPr>
            </w:r>
            <w:r w:rsidR="000022F7">
              <w:rPr>
                <w:noProof/>
                <w:webHidden/>
              </w:rPr>
              <w:fldChar w:fldCharType="separate"/>
            </w:r>
            <w:r w:rsidR="00BA1694">
              <w:rPr>
                <w:noProof/>
                <w:webHidden/>
              </w:rPr>
              <w:t>27</w:t>
            </w:r>
            <w:r w:rsidR="000022F7">
              <w:rPr>
                <w:noProof/>
                <w:webHidden/>
              </w:rPr>
              <w:fldChar w:fldCharType="end"/>
            </w:r>
          </w:hyperlink>
        </w:p>
        <w:p w14:paraId="77659F2D" w14:textId="1D22F0AF" w:rsidR="00F02AEC" w:rsidRPr="00467BE8" w:rsidRDefault="00F02AEC" w:rsidP="007452E8">
          <w:r w:rsidRPr="00467BE8">
            <w:fldChar w:fldCharType="end"/>
          </w:r>
        </w:p>
      </w:sdtContent>
    </w:sdt>
    <w:p w14:paraId="10987AE2" w14:textId="77777777" w:rsidR="00F02AEC" w:rsidRPr="00467BE8" w:rsidRDefault="00F02AEC" w:rsidP="007452E8">
      <w:r w:rsidRPr="00467BE8">
        <w:br w:type="page"/>
      </w:r>
    </w:p>
    <w:p w14:paraId="1E73AB93" w14:textId="77777777" w:rsidR="00324B33" w:rsidRPr="00467BE8" w:rsidRDefault="00324B33" w:rsidP="00324B33">
      <w:pPr>
        <w:pStyle w:val="Heading2"/>
      </w:pPr>
      <w:bookmarkStart w:id="0" w:name="_Toc98931917"/>
      <w:bookmarkStart w:id="1" w:name="_Toc103679287"/>
      <w:bookmarkStart w:id="2" w:name="_Toc147997684"/>
      <w:bookmarkStart w:id="3" w:name="_Toc323739589"/>
      <w:bookmarkStart w:id="4" w:name="_Toc356305216"/>
      <w:r w:rsidRPr="00467BE8">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467BE8"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467BE8" w:rsidRDefault="00324B33" w:rsidP="00324B33">
            <w:pPr>
              <w:rPr>
                <w:szCs w:val="22"/>
              </w:rPr>
            </w:pPr>
            <w:bookmarkStart w:id="5" w:name="_Hlk147481284"/>
            <w:r w:rsidRPr="00467BE8">
              <w:rPr>
                <w:szCs w:val="22"/>
              </w:rPr>
              <w:t>Abbreviation</w:t>
            </w:r>
          </w:p>
        </w:tc>
        <w:tc>
          <w:tcPr>
            <w:tcW w:w="3800" w:type="pct"/>
          </w:tcPr>
          <w:p w14:paraId="4CF6D0CD" w14:textId="2974FA0B" w:rsidR="00324B33" w:rsidRPr="00467BE8"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467BE8">
              <w:rPr>
                <w:szCs w:val="22"/>
              </w:rPr>
              <w:t>Meaning</w:t>
            </w:r>
          </w:p>
        </w:tc>
      </w:tr>
      <w:tr w:rsidR="00E376AE" w:rsidRPr="00467BE8"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6BA2F297" w:rsidR="00E376AE" w:rsidRPr="00467BE8" w:rsidRDefault="00E376AE" w:rsidP="00E376AE">
            <w:pPr>
              <w:rPr>
                <w:szCs w:val="22"/>
              </w:rPr>
            </w:pPr>
            <w:r w:rsidRPr="00467BE8">
              <w:rPr>
                <w:szCs w:val="22"/>
              </w:rPr>
              <w:t>ACV</w:t>
            </w:r>
          </w:p>
        </w:tc>
        <w:tc>
          <w:tcPr>
            <w:tcW w:w="3800" w:type="pct"/>
          </w:tcPr>
          <w:p w14:paraId="4F24A873" w14:textId="654173FA"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Advisory Committee on Vaccines</w:t>
            </w:r>
          </w:p>
        </w:tc>
      </w:tr>
      <w:tr w:rsidR="00E376AE" w:rsidRPr="00467BE8"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1B0B3808" w:rsidR="00E376AE" w:rsidRPr="00467BE8" w:rsidRDefault="00E376AE" w:rsidP="00E376AE">
            <w:pPr>
              <w:rPr>
                <w:szCs w:val="22"/>
              </w:rPr>
            </w:pPr>
            <w:r w:rsidRPr="00467BE8">
              <w:rPr>
                <w:szCs w:val="22"/>
              </w:rPr>
              <w:t>ARTG</w:t>
            </w:r>
          </w:p>
        </w:tc>
        <w:tc>
          <w:tcPr>
            <w:tcW w:w="3800" w:type="pct"/>
          </w:tcPr>
          <w:p w14:paraId="5072E244" w14:textId="18714833"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Australian Register of Therapeutic Goods</w:t>
            </w:r>
          </w:p>
        </w:tc>
      </w:tr>
      <w:tr w:rsidR="00E376AE" w:rsidRPr="00467BE8"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4CEB9655" w:rsidR="00E376AE" w:rsidRPr="00467BE8" w:rsidRDefault="00E376AE" w:rsidP="00E376AE">
            <w:pPr>
              <w:rPr>
                <w:szCs w:val="22"/>
              </w:rPr>
            </w:pPr>
            <w:r w:rsidRPr="00467BE8">
              <w:rPr>
                <w:szCs w:val="22"/>
              </w:rPr>
              <w:t>CI</w:t>
            </w:r>
          </w:p>
        </w:tc>
        <w:tc>
          <w:tcPr>
            <w:tcW w:w="3800" w:type="pct"/>
          </w:tcPr>
          <w:p w14:paraId="228A203A" w14:textId="04F31180"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Confidence interval</w:t>
            </w:r>
          </w:p>
        </w:tc>
      </w:tr>
      <w:tr w:rsidR="00E376AE" w:rsidRPr="00467BE8"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7BF30E13" w:rsidR="00E376AE" w:rsidRPr="00467BE8" w:rsidRDefault="00E376AE" w:rsidP="00E376AE">
            <w:pPr>
              <w:rPr>
                <w:szCs w:val="22"/>
              </w:rPr>
            </w:pPr>
            <w:r w:rsidRPr="00467BE8">
              <w:rPr>
                <w:szCs w:val="22"/>
              </w:rPr>
              <w:t>CMI</w:t>
            </w:r>
          </w:p>
        </w:tc>
        <w:tc>
          <w:tcPr>
            <w:tcW w:w="3800" w:type="pct"/>
          </w:tcPr>
          <w:p w14:paraId="4E6F5284" w14:textId="366FE00C"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Consumer Medicines Information</w:t>
            </w:r>
          </w:p>
        </w:tc>
      </w:tr>
      <w:tr w:rsidR="00E376AE" w:rsidRPr="00467BE8"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7CF2EA9F" w:rsidR="00E376AE" w:rsidRPr="00467BE8" w:rsidRDefault="00E376AE" w:rsidP="00E376AE">
            <w:pPr>
              <w:rPr>
                <w:szCs w:val="22"/>
              </w:rPr>
            </w:pPr>
            <w:r w:rsidRPr="00467BE8">
              <w:rPr>
                <w:snapToGrid w:val="0"/>
              </w:rPr>
              <w:t>CPD</w:t>
            </w:r>
          </w:p>
        </w:tc>
        <w:tc>
          <w:tcPr>
            <w:tcW w:w="3800" w:type="pct"/>
          </w:tcPr>
          <w:p w14:paraId="5D8C9DF5" w14:textId="4B232355"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rPr>
                <w:snapToGrid w:val="0"/>
              </w:rPr>
              <w:t>Certified Product Details</w:t>
            </w:r>
          </w:p>
        </w:tc>
      </w:tr>
      <w:tr w:rsidR="00E376AE" w:rsidRPr="00467BE8"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760CDA4D" w:rsidR="00E376AE" w:rsidRPr="00467BE8" w:rsidRDefault="00E376AE" w:rsidP="00E376AE">
            <w:pPr>
              <w:rPr>
                <w:szCs w:val="22"/>
              </w:rPr>
            </w:pPr>
            <w:r w:rsidRPr="00467BE8">
              <w:rPr>
                <w:szCs w:val="22"/>
              </w:rPr>
              <w:t>COVID-19</w:t>
            </w:r>
          </w:p>
        </w:tc>
        <w:tc>
          <w:tcPr>
            <w:tcW w:w="3800" w:type="pct"/>
          </w:tcPr>
          <w:p w14:paraId="26109D0B" w14:textId="661FA7B8"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Coronavirus disease 2019</w:t>
            </w:r>
          </w:p>
        </w:tc>
      </w:tr>
      <w:tr w:rsidR="00E376AE" w:rsidRPr="00467BE8"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67721F79" w:rsidR="00E376AE" w:rsidRPr="00467BE8" w:rsidRDefault="00E376AE" w:rsidP="00E376AE">
            <w:pPr>
              <w:rPr>
                <w:szCs w:val="22"/>
              </w:rPr>
            </w:pPr>
            <w:r w:rsidRPr="00467BE8">
              <w:rPr>
                <w:szCs w:val="22"/>
              </w:rPr>
              <w:t>EM(E)A</w:t>
            </w:r>
          </w:p>
        </w:tc>
        <w:tc>
          <w:tcPr>
            <w:tcW w:w="3800" w:type="pct"/>
          </w:tcPr>
          <w:p w14:paraId="354B5DB5" w14:textId="202E58CC"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European Medicines Agency (European Union)</w:t>
            </w:r>
          </w:p>
        </w:tc>
      </w:tr>
      <w:tr w:rsidR="00E376AE" w:rsidRPr="00467BE8"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D115CE8" w:rsidR="00E376AE" w:rsidRPr="00467BE8" w:rsidRDefault="00E376AE" w:rsidP="00E376AE">
            <w:pPr>
              <w:rPr>
                <w:szCs w:val="22"/>
              </w:rPr>
            </w:pPr>
            <w:r w:rsidRPr="00467BE8">
              <w:rPr>
                <w:szCs w:val="22"/>
              </w:rPr>
              <w:t>FDA</w:t>
            </w:r>
          </w:p>
        </w:tc>
        <w:tc>
          <w:tcPr>
            <w:tcW w:w="3800" w:type="pct"/>
          </w:tcPr>
          <w:p w14:paraId="2C862F75" w14:textId="0E25FF1C"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Food and Drug Administration (United States of America)</w:t>
            </w:r>
          </w:p>
        </w:tc>
      </w:tr>
      <w:tr w:rsidR="00E376AE" w:rsidRPr="00467BE8"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62B88BF1" w:rsidR="00E376AE" w:rsidRPr="00467BE8" w:rsidRDefault="00E376AE" w:rsidP="00E376AE">
            <w:pPr>
              <w:rPr>
                <w:szCs w:val="22"/>
              </w:rPr>
            </w:pPr>
            <w:r w:rsidRPr="00467BE8">
              <w:rPr>
                <w:szCs w:val="22"/>
              </w:rPr>
              <w:t>GMFR</w:t>
            </w:r>
          </w:p>
        </w:tc>
        <w:tc>
          <w:tcPr>
            <w:tcW w:w="3800" w:type="pct"/>
          </w:tcPr>
          <w:p w14:paraId="29EA6BA3" w14:textId="5CDD9449"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Geometric mean fold rise</w:t>
            </w:r>
          </w:p>
        </w:tc>
      </w:tr>
      <w:tr w:rsidR="00E376AE" w:rsidRPr="00467BE8"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3B8E9866" w:rsidR="00E376AE" w:rsidRPr="00467BE8" w:rsidRDefault="00E376AE" w:rsidP="00E376AE">
            <w:pPr>
              <w:rPr>
                <w:szCs w:val="22"/>
              </w:rPr>
            </w:pPr>
            <w:r w:rsidRPr="00467BE8">
              <w:t>IgG</w:t>
            </w:r>
          </w:p>
        </w:tc>
        <w:tc>
          <w:tcPr>
            <w:tcW w:w="3800" w:type="pct"/>
          </w:tcPr>
          <w:p w14:paraId="1A5D9E36" w14:textId="5FFA475B"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Immunoglobin G</w:t>
            </w:r>
          </w:p>
        </w:tc>
      </w:tr>
      <w:tr w:rsidR="00E376AE" w:rsidRPr="00467BE8"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135BAC76" w:rsidR="00E376AE" w:rsidRPr="00467BE8" w:rsidRDefault="00E376AE" w:rsidP="00E376AE">
            <w:pPr>
              <w:rPr>
                <w:szCs w:val="22"/>
              </w:rPr>
            </w:pPr>
            <w:r w:rsidRPr="00467BE8">
              <w:t>mRNA</w:t>
            </w:r>
          </w:p>
        </w:tc>
        <w:tc>
          <w:tcPr>
            <w:tcW w:w="3800" w:type="pct"/>
          </w:tcPr>
          <w:p w14:paraId="4458E485" w14:textId="3EF3DE91"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t>Messenger ribonucleic acid</w:t>
            </w:r>
          </w:p>
        </w:tc>
      </w:tr>
      <w:tr w:rsidR="00E376AE" w:rsidRPr="00467BE8"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2CAE4741" w:rsidR="00E376AE" w:rsidRPr="00467BE8" w:rsidRDefault="00E376AE" w:rsidP="00E376AE">
            <w:pPr>
              <w:rPr>
                <w:szCs w:val="22"/>
              </w:rPr>
            </w:pPr>
            <w:r w:rsidRPr="00467BE8">
              <w:rPr>
                <w:szCs w:val="22"/>
              </w:rPr>
              <w:t>PI</w:t>
            </w:r>
          </w:p>
        </w:tc>
        <w:tc>
          <w:tcPr>
            <w:tcW w:w="3800" w:type="pct"/>
          </w:tcPr>
          <w:p w14:paraId="53D4D108" w14:textId="34F055A4"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Product Information</w:t>
            </w:r>
          </w:p>
        </w:tc>
      </w:tr>
      <w:tr w:rsidR="00E376AE" w:rsidRPr="00467BE8" w14:paraId="142263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3E8502" w14:textId="031243EE" w:rsidR="00E376AE" w:rsidRPr="00467BE8" w:rsidRDefault="00E376AE" w:rsidP="00E376AE">
            <w:pPr>
              <w:rPr>
                <w:szCs w:val="22"/>
              </w:rPr>
            </w:pPr>
            <w:r w:rsidRPr="00467BE8">
              <w:rPr>
                <w:szCs w:val="22"/>
              </w:rPr>
              <w:t>SARS-CoV-2</w:t>
            </w:r>
          </w:p>
        </w:tc>
        <w:tc>
          <w:tcPr>
            <w:tcW w:w="3800" w:type="pct"/>
          </w:tcPr>
          <w:p w14:paraId="3A817997" w14:textId="6EC4C2A5"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pPr>
            <w:r w:rsidRPr="00467BE8">
              <w:t>Severe acute respiratory syndrome coronavirus 2</w:t>
            </w:r>
          </w:p>
        </w:tc>
      </w:tr>
      <w:tr w:rsidR="00E376AE" w:rsidRPr="00467BE8" w14:paraId="2A4657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22C994" w14:textId="0D6C3533" w:rsidR="00E376AE" w:rsidRPr="00467BE8" w:rsidRDefault="00E376AE" w:rsidP="00E376AE">
            <w:pPr>
              <w:rPr>
                <w:szCs w:val="22"/>
              </w:rPr>
            </w:pPr>
            <w:r w:rsidRPr="00467BE8">
              <w:t>S-2P</w:t>
            </w:r>
          </w:p>
        </w:tc>
        <w:tc>
          <w:tcPr>
            <w:tcW w:w="3800" w:type="pct"/>
          </w:tcPr>
          <w:p w14:paraId="069C03B1" w14:textId="0B41964F"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pPr>
            <w:r w:rsidRPr="00467BE8">
              <w:t>Spike ectodomain with two proline substitutions</w:t>
            </w:r>
          </w:p>
        </w:tc>
      </w:tr>
      <w:tr w:rsidR="00E376AE" w:rsidRPr="00467BE8" w14:paraId="4955130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2FEF63" w14:textId="6E3011B0" w:rsidR="00E376AE" w:rsidRPr="00467BE8" w:rsidRDefault="00E376AE" w:rsidP="00E376AE">
            <w:pPr>
              <w:rPr>
                <w:szCs w:val="22"/>
              </w:rPr>
            </w:pPr>
            <w:r w:rsidRPr="00467BE8">
              <w:rPr>
                <w:szCs w:val="22"/>
              </w:rPr>
              <w:t>TGA</w:t>
            </w:r>
          </w:p>
        </w:tc>
        <w:tc>
          <w:tcPr>
            <w:tcW w:w="3800" w:type="pct"/>
          </w:tcPr>
          <w:p w14:paraId="4AFF9071" w14:textId="45238798"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pPr>
            <w:r w:rsidRPr="00467BE8">
              <w:rPr>
                <w:szCs w:val="22"/>
              </w:rPr>
              <w:t>Therapeutic Goods Administration</w:t>
            </w:r>
          </w:p>
        </w:tc>
      </w:tr>
      <w:tr w:rsidR="00E376AE" w:rsidRPr="00467BE8" w14:paraId="26194E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3B0D74" w14:textId="7F15B964" w:rsidR="00E376AE" w:rsidRPr="00467BE8" w:rsidRDefault="00E376AE" w:rsidP="00E376AE">
            <w:pPr>
              <w:rPr>
                <w:szCs w:val="22"/>
              </w:rPr>
            </w:pPr>
            <w:r w:rsidRPr="00467BE8">
              <w:rPr>
                <w:szCs w:val="22"/>
              </w:rPr>
              <w:t>US(A)</w:t>
            </w:r>
          </w:p>
        </w:tc>
        <w:tc>
          <w:tcPr>
            <w:tcW w:w="3800" w:type="pct"/>
          </w:tcPr>
          <w:p w14:paraId="17800A56" w14:textId="7F763619"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pPr>
            <w:r w:rsidRPr="00467BE8">
              <w:rPr>
                <w:szCs w:val="22"/>
              </w:rPr>
              <w:t>United States (of America)</w:t>
            </w:r>
          </w:p>
        </w:tc>
      </w:tr>
      <w:tr w:rsidR="00E376AE" w:rsidRPr="00467BE8" w14:paraId="5BEC32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DED0C7" w14:textId="75065830" w:rsidR="00E376AE" w:rsidRPr="00467BE8" w:rsidRDefault="00E376AE" w:rsidP="00E376AE">
            <w:pPr>
              <w:rPr>
                <w:szCs w:val="22"/>
              </w:rPr>
            </w:pPr>
            <w:r w:rsidRPr="00467BE8">
              <w:t>WHO</w:t>
            </w:r>
          </w:p>
        </w:tc>
        <w:tc>
          <w:tcPr>
            <w:tcW w:w="3800" w:type="pct"/>
          </w:tcPr>
          <w:p w14:paraId="04FC3E3C" w14:textId="0F721410" w:rsidR="00E376AE" w:rsidRPr="00467BE8" w:rsidRDefault="00E376AE" w:rsidP="00E376AE">
            <w:pPr>
              <w:cnfStyle w:val="000000000000" w:firstRow="0" w:lastRow="0" w:firstColumn="0" w:lastColumn="0" w:oddVBand="0" w:evenVBand="0" w:oddHBand="0" w:evenHBand="0" w:firstRowFirstColumn="0" w:firstRowLastColumn="0" w:lastRowFirstColumn="0" w:lastRowLastColumn="0"/>
            </w:pPr>
            <w:r w:rsidRPr="00467BE8">
              <w:rPr>
                <w:lang w:eastAsia="ja-JP"/>
              </w:rPr>
              <w:t>Word Health Organization</w:t>
            </w:r>
          </w:p>
        </w:tc>
      </w:tr>
      <w:bookmarkEnd w:id="5"/>
    </w:tbl>
    <w:p w14:paraId="7378F926" w14:textId="77777777" w:rsidR="00324B33" w:rsidRPr="00467BE8" w:rsidRDefault="00324B33" w:rsidP="00324B33"/>
    <w:p w14:paraId="02FB1F38" w14:textId="77777777" w:rsidR="00324B33" w:rsidRPr="00467BE8" w:rsidRDefault="00324B33" w:rsidP="00324B33">
      <w:pPr>
        <w:spacing w:after="200" w:line="0" w:lineRule="auto"/>
        <w:rPr>
          <w:b/>
          <w:i/>
          <w:sz w:val="24"/>
          <w:szCs w:val="24"/>
        </w:rPr>
      </w:pPr>
      <w:r w:rsidRPr="00467BE8">
        <w:rPr>
          <w:b/>
          <w:i/>
          <w:sz w:val="24"/>
          <w:szCs w:val="24"/>
        </w:rPr>
        <w:br w:type="page"/>
      </w:r>
    </w:p>
    <w:p w14:paraId="44C2A39C" w14:textId="77777777" w:rsidR="00324B33" w:rsidRPr="00467BE8" w:rsidRDefault="00324B33" w:rsidP="00324B33">
      <w:pPr>
        <w:pStyle w:val="Heading2"/>
      </w:pPr>
      <w:bookmarkStart w:id="6" w:name="_Toc103679288"/>
      <w:bookmarkStart w:id="7" w:name="_Toc147997685"/>
      <w:r w:rsidRPr="00467BE8">
        <w:lastRenderedPageBreak/>
        <w:t>Product submission</w:t>
      </w:r>
      <w:bookmarkEnd w:id="6"/>
      <w:bookmarkEnd w:id="7"/>
    </w:p>
    <w:p w14:paraId="21D559DF" w14:textId="77777777" w:rsidR="00324B33" w:rsidRPr="00467BE8" w:rsidRDefault="00324B33" w:rsidP="00324B33">
      <w:pPr>
        <w:pStyle w:val="Heading3"/>
        <w:rPr>
          <w:lang w:eastAsia="en-AU"/>
        </w:rPr>
      </w:pPr>
      <w:bookmarkStart w:id="8" w:name="_Toc247691502"/>
      <w:bookmarkStart w:id="9" w:name="_Toc314842483"/>
      <w:bookmarkStart w:id="10" w:name="_Toc103679289"/>
      <w:bookmarkStart w:id="11" w:name="_Toc147997686"/>
      <w:r w:rsidRPr="00467BE8">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467BE8" w14:paraId="77D11C95" w14:textId="77777777" w:rsidTr="00F865A7">
        <w:tc>
          <w:tcPr>
            <w:tcW w:w="1577" w:type="pct"/>
          </w:tcPr>
          <w:p w14:paraId="10E57D62" w14:textId="77777777" w:rsidR="00324B33" w:rsidRPr="00467BE8" w:rsidRDefault="00324B33" w:rsidP="007452E8">
            <w:pPr>
              <w:rPr>
                <w:i/>
                <w:szCs w:val="22"/>
              </w:rPr>
            </w:pPr>
            <w:r w:rsidRPr="00467BE8">
              <w:rPr>
                <w:i/>
                <w:szCs w:val="22"/>
              </w:rPr>
              <w:t>Type of submission:</w:t>
            </w:r>
          </w:p>
        </w:tc>
        <w:tc>
          <w:tcPr>
            <w:tcW w:w="3423" w:type="pct"/>
          </w:tcPr>
          <w:p w14:paraId="4F07C303" w14:textId="09AA1316" w:rsidR="001A219D" w:rsidRPr="00467BE8" w:rsidRDefault="00D9705B" w:rsidP="007452E8">
            <w:pPr>
              <w:rPr>
                <w:szCs w:val="22"/>
              </w:rPr>
            </w:pPr>
            <w:r w:rsidRPr="00467BE8">
              <w:rPr>
                <w:szCs w:val="22"/>
              </w:rPr>
              <w:t>Major variation (</w:t>
            </w:r>
            <w:r w:rsidR="007D5F93">
              <w:rPr>
                <w:szCs w:val="22"/>
              </w:rPr>
              <w:t>c</w:t>
            </w:r>
            <w:r w:rsidR="001A219D" w:rsidRPr="00467BE8">
              <w:rPr>
                <w:szCs w:val="22"/>
              </w:rPr>
              <w:t>hange in dosage</w:t>
            </w:r>
            <w:r w:rsidRPr="00467BE8">
              <w:rPr>
                <w:szCs w:val="22"/>
              </w:rPr>
              <w:t>)</w:t>
            </w:r>
            <w:r w:rsidR="001A219D" w:rsidRPr="00467BE8">
              <w:rPr>
                <w:szCs w:val="22"/>
              </w:rPr>
              <w:t xml:space="preserve"> and change in formulation</w:t>
            </w:r>
          </w:p>
        </w:tc>
      </w:tr>
      <w:tr w:rsidR="00324B33" w:rsidRPr="00467BE8" w14:paraId="13482B61" w14:textId="77777777" w:rsidTr="00F865A7">
        <w:tc>
          <w:tcPr>
            <w:tcW w:w="1577" w:type="pct"/>
          </w:tcPr>
          <w:p w14:paraId="2C427FCF" w14:textId="59187406" w:rsidR="00324B33" w:rsidRPr="00467BE8" w:rsidRDefault="00324B33" w:rsidP="007452E8">
            <w:pPr>
              <w:rPr>
                <w:i/>
                <w:szCs w:val="22"/>
              </w:rPr>
            </w:pPr>
            <w:r w:rsidRPr="00467BE8">
              <w:rPr>
                <w:i/>
                <w:szCs w:val="22"/>
              </w:rPr>
              <w:t>Product name:</w:t>
            </w:r>
          </w:p>
        </w:tc>
        <w:tc>
          <w:tcPr>
            <w:tcW w:w="3423" w:type="pct"/>
          </w:tcPr>
          <w:p w14:paraId="0E2DEF76" w14:textId="67DB0F41" w:rsidR="00324B33" w:rsidRPr="00467BE8" w:rsidRDefault="00282C14" w:rsidP="007452E8">
            <w:pPr>
              <w:rPr>
                <w:szCs w:val="22"/>
              </w:rPr>
            </w:pPr>
            <w:r w:rsidRPr="00467BE8">
              <w:rPr>
                <w:szCs w:val="22"/>
              </w:rPr>
              <w:t>Spikevax XBB.1.5</w:t>
            </w:r>
          </w:p>
        </w:tc>
      </w:tr>
      <w:tr w:rsidR="00324B33" w:rsidRPr="00467BE8" w14:paraId="01255B5B" w14:textId="77777777" w:rsidTr="00F865A7">
        <w:tc>
          <w:tcPr>
            <w:tcW w:w="1577" w:type="pct"/>
          </w:tcPr>
          <w:p w14:paraId="52B4F3D7" w14:textId="31162BF8" w:rsidR="00324B33" w:rsidRPr="00467BE8" w:rsidRDefault="00324B33" w:rsidP="007452E8">
            <w:pPr>
              <w:rPr>
                <w:i/>
                <w:szCs w:val="22"/>
              </w:rPr>
            </w:pPr>
            <w:r w:rsidRPr="00467BE8">
              <w:rPr>
                <w:i/>
                <w:szCs w:val="22"/>
              </w:rPr>
              <w:t>Active ingredient:</w:t>
            </w:r>
          </w:p>
        </w:tc>
        <w:tc>
          <w:tcPr>
            <w:tcW w:w="3423" w:type="pct"/>
          </w:tcPr>
          <w:p w14:paraId="02FB6383" w14:textId="32EA8D3D" w:rsidR="00324B33" w:rsidRPr="00467BE8" w:rsidRDefault="007D5F93" w:rsidP="007452E8">
            <w:pPr>
              <w:rPr>
                <w:szCs w:val="22"/>
              </w:rPr>
            </w:pPr>
            <w:r w:rsidRPr="00467BE8">
              <w:rPr>
                <w:szCs w:val="22"/>
              </w:rPr>
              <w:t>Andusomeran</w:t>
            </w:r>
          </w:p>
        </w:tc>
      </w:tr>
      <w:tr w:rsidR="00324B33" w:rsidRPr="00467BE8" w14:paraId="219A281B" w14:textId="77777777" w:rsidTr="00F865A7">
        <w:tc>
          <w:tcPr>
            <w:tcW w:w="1577" w:type="pct"/>
          </w:tcPr>
          <w:p w14:paraId="112E5F78" w14:textId="77777777" w:rsidR="00324B33" w:rsidRPr="00467BE8" w:rsidRDefault="00324B33" w:rsidP="007452E8">
            <w:pPr>
              <w:rPr>
                <w:i/>
                <w:szCs w:val="22"/>
              </w:rPr>
            </w:pPr>
            <w:r w:rsidRPr="00467BE8">
              <w:rPr>
                <w:i/>
                <w:szCs w:val="22"/>
              </w:rPr>
              <w:t>Decision:</w:t>
            </w:r>
          </w:p>
        </w:tc>
        <w:tc>
          <w:tcPr>
            <w:tcW w:w="3423" w:type="pct"/>
          </w:tcPr>
          <w:p w14:paraId="3B114BEA" w14:textId="5830E1EE" w:rsidR="00324B33" w:rsidRPr="004473FB" w:rsidRDefault="00324B33" w:rsidP="007452E8">
            <w:pPr>
              <w:rPr>
                <w:color w:val="000000" w:themeColor="text1"/>
                <w:szCs w:val="22"/>
              </w:rPr>
            </w:pPr>
            <w:r w:rsidRPr="004473FB">
              <w:rPr>
                <w:color w:val="000000" w:themeColor="text1"/>
                <w:szCs w:val="22"/>
              </w:rPr>
              <w:t>Approved</w:t>
            </w:r>
          </w:p>
        </w:tc>
      </w:tr>
      <w:tr w:rsidR="00AE1947" w:rsidRPr="00467BE8" w14:paraId="32B72632" w14:textId="77777777" w:rsidTr="00F865A7">
        <w:tc>
          <w:tcPr>
            <w:tcW w:w="1577" w:type="pct"/>
          </w:tcPr>
          <w:p w14:paraId="332A5CD5" w14:textId="344F21C6" w:rsidR="00AE1947" w:rsidRPr="00467BE8" w:rsidRDefault="00AE1947" w:rsidP="001A219D">
            <w:pPr>
              <w:rPr>
                <w:i/>
                <w:szCs w:val="22"/>
              </w:rPr>
            </w:pPr>
            <w:r w:rsidRPr="00467BE8">
              <w:rPr>
                <w:i/>
                <w:szCs w:val="22"/>
              </w:rPr>
              <w:t>Date of decision:</w:t>
            </w:r>
          </w:p>
        </w:tc>
        <w:tc>
          <w:tcPr>
            <w:tcW w:w="3423" w:type="pct"/>
          </w:tcPr>
          <w:p w14:paraId="7B381CD6" w14:textId="6277BC86" w:rsidR="00AE1947" w:rsidRPr="004473FB" w:rsidRDefault="000D5890" w:rsidP="00602658">
            <w:pPr>
              <w:rPr>
                <w:color w:val="000000" w:themeColor="text1"/>
                <w:szCs w:val="22"/>
              </w:rPr>
            </w:pPr>
            <w:r w:rsidRPr="004473FB">
              <w:rPr>
                <w:color w:val="000000" w:themeColor="text1"/>
                <w:szCs w:val="22"/>
              </w:rPr>
              <w:t>6 October 2023</w:t>
            </w:r>
          </w:p>
        </w:tc>
      </w:tr>
      <w:tr w:rsidR="00324B33" w:rsidRPr="00467BE8" w14:paraId="60A25F5A" w14:textId="77777777" w:rsidTr="00F865A7">
        <w:tc>
          <w:tcPr>
            <w:tcW w:w="1577" w:type="pct"/>
          </w:tcPr>
          <w:p w14:paraId="5C5E4CBA" w14:textId="77777777" w:rsidR="00324B33" w:rsidRPr="00467BE8" w:rsidRDefault="00324B33" w:rsidP="007452E8">
            <w:pPr>
              <w:rPr>
                <w:i/>
                <w:szCs w:val="22"/>
              </w:rPr>
            </w:pPr>
            <w:r w:rsidRPr="00467BE8">
              <w:rPr>
                <w:i/>
                <w:szCs w:val="22"/>
              </w:rPr>
              <w:t>Date of entry onto ARTG:</w:t>
            </w:r>
          </w:p>
        </w:tc>
        <w:tc>
          <w:tcPr>
            <w:tcW w:w="3423" w:type="pct"/>
          </w:tcPr>
          <w:p w14:paraId="28B270E9" w14:textId="1B48F4C3" w:rsidR="00324B33" w:rsidRPr="00467BE8" w:rsidRDefault="007C50F1" w:rsidP="007452E8">
            <w:pPr>
              <w:rPr>
                <w:szCs w:val="22"/>
              </w:rPr>
            </w:pPr>
            <w:r w:rsidRPr="007C50F1">
              <w:rPr>
                <w:color w:val="000000" w:themeColor="text1"/>
                <w:szCs w:val="22"/>
              </w:rPr>
              <w:t>10 October 2023</w:t>
            </w:r>
          </w:p>
        </w:tc>
      </w:tr>
      <w:tr w:rsidR="00324B33" w:rsidRPr="00467BE8" w14:paraId="547E08D7" w14:textId="77777777" w:rsidTr="00F865A7">
        <w:tc>
          <w:tcPr>
            <w:tcW w:w="1577" w:type="pct"/>
          </w:tcPr>
          <w:p w14:paraId="5030EF30" w14:textId="0971A572" w:rsidR="00324B33" w:rsidRPr="00467BE8" w:rsidRDefault="00324B33" w:rsidP="007452E8">
            <w:pPr>
              <w:rPr>
                <w:i/>
                <w:szCs w:val="22"/>
              </w:rPr>
            </w:pPr>
            <w:r w:rsidRPr="00467BE8">
              <w:rPr>
                <w:i/>
                <w:szCs w:val="22"/>
              </w:rPr>
              <w:t>ARTG number</w:t>
            </w:r>
            <w:r w:rsidR="001A219D" w:rsidRPr="00467BE8">
              <w:rPr>
                <w:i/>
                <w:szCs w:val="22"/>
              </w:rPr>
              <w:t>s</w:t>
            </w:r>
            <w:r w:rsidRPr="00467BE8">
              <w:rPr>
                <w:i/>
                <w:szCs w:val="22"/>
              </w:rPr>
              <w:t>:</w:t>
            </w:r>
          </w:p>
        </w:tc>
        <w:tc>
          <w:tcPr>
            <w:tcW w:w="3423" w:type="pct"/>
          </w:tcPr>
          <w:p w14:paraId="0054E912" w14:textId="3AC51B60" w:rsidR="00324B33" w:rsidRPr="00467BE8" w:rsidRDefault="00C3166E" w:rsidP="00C3166E">
            <w:r w:rsidRPr="00467BE8">
              <w:t>418910 and 418911</w:t>
            </w:r>
          </w:p>
        </w:tc>
      </w:tr>
      <w:tr w:rsidR="00324B33" w:rsidRPr="00467BE8" w14:paraId="7618393F" w14:textId="77777777" w:rsidTr="00F865A7">
        <w:tc>
          <w:tcPr>
            <w:tcW w:w="1577" w:type="pct"/>
          </w:tcPr>
          <w:p w14:paraId="6C24CEB6" w14:textId="2C7283C5" w:rsidR="00E47E0C" w:rsidRPr="00467BE8" w:rsidRDefault="00324B33" w:rsidP="007452E8">
            <w:pPr>
              <w:rPr>
                <w:rStyle w:val="Hyperlink"/>
                <w:i/>
                <w:szCs w:val="22"/>
              </w:rPr>
            </w:pPr>
            <w:r w:rsidRPr="00467BE8">
              <w:rPr>
                <w:rFonts w:ascii="Wingdings 3" w:hAnsi="Wingdings 3"/>
                <w:szCs w:val="22"/>
                <w:lang w:eastAsia="en-AU"/>
              </w:rPr>
              <w:t></w:t>
            </w:r>
            <w:hyperlink r:id="rId15" w:history="1">
              <w:r w:rsidRPr="00467BE8">
                <w:rPr>
                  <w:rStyle w:val="Hyperlink"/>
                  <w:i/>
                  <w:szCs w:val="22"/>
                </w:rPr>
                <w:t>Black Triangle Scheme</w:t>
              </w:r>
            </w:hyperlink>
          </w:p>
          <w:p w14:paraId="02260DE2" w14:textId="1FC334AE" w:rsidR="00324B33" w:rsidRPr="00467BE8" w:rsidRDefault="00E47E0C" w:rsidP="007452E8">
            <w:pPr>
              <w:rPr>
                <w:i/>
                <w:szCs w:val="22"/>
              </w:rPr>
            </w:pPr>
            <w:r w:rsidRPr="00467BE8">
              <w:rPr>
                <w:i/>
                <w:szCs w:val="22"/>
              </w:rPr>
              <w:t xml:space="preserve">for </w:t>
            </w:r>
            <w:r w:rsidR="007B04DE" w:rsidRPr="00467BE8">
              <w:rPr>
                <w:i/>
                <w:szCs w:val="22"/>
              </w:rPr>
              <w:t>the current</w:t>
            </w:r>
            <w:r w:rsidRPr="00467BE8">
              <w:rPr>
                <w:i/>
                <w:szCs w:val="22"/>
              </w:rPr>
              <w:t xml:space="preserve"> submission</w:t>
            </w:r>
            <w:r w:rsidR="00324B33" w:rsidRPr="00467BE8">
              <w:rPr>
                <w:i/>
                <w:szCs w:val="22"/>
              </w:rPr>
              <w:t>:</w:t>
            </w:r>
          </w:p>
        </w:tc>
        <w:tc>
          <w:tcPr>
            <w:tcW w:w="3423" w:type="pct"/>
          </w:tcPr>
          <w:p w14:paraId="08EF3693" w14:textId="22ACC1AD" w:rsidR="00324B33" w:rsidRPr="00467BE8" w:rsidRDefault="00324B33" w:rsidP="007452E8">
            <w:pPr>
              <w:rPr>
                <w:szCs w:val="22"/>
              </w:rPr>
            </w:pPr>
            <w:r w:rsidRPr="00467BE8">
              <w:rPr>
                <w:szCs w:val="22"/>
              </w:rPr>
              <w:t>Yes</w:t>
            </w:r>
            <w:r w:rsidR="00852E0E" w:rsidRPr="00467BE8">
              <w:rPr>
                <w:szCs w:val="22"/>
              </w:rPr>
              <w:t>.</w:t>
            </w:r>
          </w:p>
          <w:p w14:paraId="6FF3C6A2" w14:textId="1D3F466C" w:rsidR="001A219D" w:rsidRPr="00467BE8" w:rsidRDefault="00324B33" w:rsidP="00852E0E">
            <w:pPr>
              <w:rPr>
                <w:szCs w:val="22"/>
              </w:rPr>
            </w:pPr>
            <w:r w:rsidRPr="00467BE8">
              <w:rPr>
                <w:szCs w:val="22"/>
              </w:rPr>
              <w:t>This product will remain in the scheme for 5 years, starting on the date the product is first supplied in Australia</w:t>
            </w:r>
            <w:r w:rsidR="00852E0E" w:rsidRPr="00467BE8">
              <w:rPr>
                <w:szCs w:val="22"/>
              </w:rPr>
              <w:t>.</w:t>
            </w:r>
          </w:p>
        </w:tc>
      </w:tr>
      <w:tr w:rsidR="00324B33" w:rsidRPr="00467BE8" w14:paraId="179E09FE" w14:textId="77777777" w:rsidTr="00F865A7">
        <w:tc>
          <w:tcPr>
            <w:tcW w:w="1577" w:type="pct"/>
          </w:tcPr>
          <w:p w14:paraId="1A592498" w14:textId="77777777" w:rsidR="00324B33" w:rsidRPr="00467BE8" w:rsidRDefault="00324B33" w:rsidP="007452E8">
            <w:pPr>
              <w:rPr>
                <w:i/>
                <w:szCs w:val="22"/>
              </w:rPr>
            </w:pPr>
            <w:r w:rsidRPr="00467BE8">
              <w:rPr>
                <w:i/>
                <w:szCs w:val="22"/>
              </w:rPr>
              <w:t>Sponsor’s name and address:</w:t>
            </w:r>
          </w:p>
        </w:tc>
        <w:tc>
          <w:tcPr>
            <w:tcW w:w="3423" w:type="pct"/>
          </w:tcPr>
          <w:p w14:paraId="2985A21A" w14:textId="77777777" w:rsidR="00852E0E" w:rsidRPr="00467BE8" w:rsidRDefault="00282C14" w:rsidP="00852E0E">
            <w:r w:rsidRPr="00467BE8">
              <w:t>Moderna Australia Pty Ltd</w:t>
            </w:r>
          </w:p>
          <w:p w14:paraId="68DD94B0" w14:textId="70C5EA05" w:rsidR="00324B33" w:rsidRPr="00467BE8" w:rsidRDefault="00852E0E" w:rsidP="00852E0E">
            <w:pPr>
              <w:rPr>
                <w:szCs w:val="22"/>
              </w:rPr>
            </w:pPr>
            <w:r w:rsidRPr="00467BE8">
              <w:t>Level 6, 60 Martin Place Sydney, NSW, 2000</w:t>
            </w:r>
          </w:p>
        </w:tc>
      </w:tr>
      <w:tr w:rsidR="00324B33" w:rsidRPr="00467BE8" w14:paraId="5322B989" w14:textId="77777777" w:rsidTr="00F865A7">
        <w:tc>
          <w:tcPr>
            <w:tcW w:w="1577" w:type="pct"/>
          </w:tcPr>
          <w:p w14:paraId="24F217E3" w14:textId="367CAA2A" w:rsidR="00324B33" w:rsidRPr="00467BE8" w:rsidRDefault="00324B33" w:rsidP="007452E8">
            <w:pPr>
              <w:rPr>
                <w:i/>
                <w:szCs w:val="22"/>
              </w:rPr>
            </w:pPr>
            <w:r w:rsidRPr="00467BE8">
              <w:rPr>
                <w:i/>
                <w:szCs w:val="22"/>
              </w:rPr>
              <w:t>Dose form:</w:t>
            </w:r>
          </w:p>
        </w:tc>
        <w:tc>
          <w:tcPr>
            <w:tcW w:w="3423" w:type="pct"/>
          </w:tcPr>
          <w:p w14:paraId="768B254C" w14:textId="149DD164" w:rsidR="00324B33" w:rsidRPr="00467BE8" w:rsidRDefault="00C55E55" w:rsidP="007452E8">
            <w:pPr>
              <w:rPr>
                <w:szCs w:val="22"/>
              </w:rPr>
            </w:pPr>
            <w:r w:rsidRPr="00467BE8">
              <w:rPr>
                <w:szCs w:val="22"/>
              </w:rPr>
              <w:t xml:space="preserve">Suspension </w:t>
            </w:r>
            <w:r w:rsidR="001A219D" w:rsidRPr="00467BE8">
              <w:rPr>
                <w:szCs w:val="22"/>
              </w:rPr>
              <w:t>for injection</w:t>
            </w:r>
          </w:p>
        </w:tc>
      </w:tr>
      <w:tr w:rsidR="00324B33" w:rsidRPr="00467BE8" w14:paraId="115243E6" w14:textId="77777777" w:rsidTr="00F865A7">
        <w:tc>
          <w:tcPr>
            <w:tcW w:w="1577" w:type="pct"/>
          </w:tcPr>
          <w:p w14:paraId="7634B062" w14:textId="5716A0C6" w:rsidR="00324B33" w:rsidRPr="00467BE8" w:rsidRDefault="00324B33" w:rsidP="007452E8">
            <w:pPr>
              <w:rPr>
                <w:i/>
                <w:szCs w:val="22"/>
              </w:rPr>
            </w:pPr>
            <w:r w:rsidRPr="00467BE8">
              <w:rPr>
                <w:i/>
                <w:szCs w:val="22"/>
              </w:rPr>
              <w:t>Strength:</w:t>
            </w:r>
          </w:p>
        </w:tc>
        <w:tc>
          <w:tcPr>
            <w:tcW w:w="3423" w:type="pct"/>
          </w:tcPr>
          <w:p w14:paraId="5E5F83DB" w14:textId="393402C0" w:rsidR="00324B33" w:rsidRPr="00467BE8" w:rsidRDefault="001A219D" w:rsidP="007452E8">
            <w:pPr>
              <w:rPr>
                <w:szCs w:val="22"/>
              </w:rPr>
            </w:pPr>
            <w:r w:rsidRPr="00467BE8">
              <w:rPr>
                <w:szCs w:val="22"/>
              </w:rPr>
              <w:t>0.1 mg/mL</w:t>
            </w:r>
            <w:r w:rsidR="00852E0E" w:rsidRPr="00467BE8">
              <w:rPr>
                <w:szCs w:val="22"/>
              </w:rPr>
              <w:t xml:space="preserve"> (50 µg/0.5 mL dose)</w:t>
            </w:r>
          </w:p>
        </w:tc>
      </w:tr>
      <w:tr w:rsidR="00324B33" w:rsidRPr="00467BE8" w14:paraId="34B07BA6" w14:textId="77777777" w:rsidTr="00F865A7">
        <w:tc>
          <w:tcPr>
            <w:tcW w:w="1577" w:type="pct"/>
          </w:tcPr>
          <w:p w14:paraId="1C039224" w14:textId="414C2510" w:rsidR="00324B33" w:rsidRPr="00467BE8" w:rsidRDefault="00324B33" w:rsidP="007452E8">
            <w:pPr>
              <w:rPr>
                <w:i/>
                <w:szCs w:val="22"/>
              </w:rPr>
            </w:pPr>
            <w:r w:rsidRPr="00467BE8">
              <w:rPr>
                <w:i/>
                <w:szCs w:val="22"/>
              </w:rPr>
              <w:t>Containers:</w:t>
            </w:r>
          </w:p>
        </w:tc>
        <w:tc>
          <w:tcPr>
            <w:tcW w:w="3423" w:type="pct"/>
          </w:tcPr>
          <w:p w14:paraId="500A42C6" w14:textId="1E669298" w:rsidR="00324B33" w:rsidRPr="00467BE8" w:rsidRDefault="001A219D" w:rsidP="001A219D">
            <w:pPr>
              <w:rPr>
                <w:szCs w:val="22"/>
              </w:rPr>
            </w:pPr>
            <w:bookmarkStart w:id="12" w:name="_Hlk147397060"/>
            <w:r w:rsidRPr="00467BE8">
              <w:rPr>
                <w:szCs w:val="22"/>
              </w:rPr>
              <w:t>Prefilled syringe and single dose vial</w:t>
            </w:r>
            <w:bookmarkEnd w:id="12"/>
          </w:p>
        </w:tc>
      </w:tr>
      <w:tr w:rsidR="00324B33" w:rsidRPr="00467BE8" w14:paraId="176B6773" w14:textId="77777777" w:rsidTr="00F865A7">
        <w:tc>
          <w:tcPr>
            <w:tcW w:w="1577" w:type="pct"/>
          </w:tcPr>
          <w:p w14:paraId="71846159" w14:textId="0554BBE7" w:rsidR="00324B33" w:rsidRPr="00467BE8" w:rsidRDefault="00324B33" w:rsidP="007452E8">
            <w:pPr>
              <w:rPr>
                <w:i/>
                <w:szCs w:val="22"/>
              </w:rPr>
            </w:pPr>
            <w:r w:rsidRPr="00467BE8">
              <w:rPr>
                <w:i/>
                <w:szCs w:val="22"/>
              </w:rPr>
              <w:t>Pack size:</w:t>
            </w:r>
          </w:p>
        </w:tc>
        <w:tc>
          <w:tcPr>
            <w:tcW w:w="3423" w:type="pct"/>
          </w:tcPr>
          <w:p w14:paraId="7E978F8F" w14:textId="49C3D2FF" w:rsidR="00324B33" w:rsidRPr="00467BE8" w:rsidRDefault="00852E0E" w:rsidP="007452E8">
            <w:pPr>
              <w:rPr>
                <w:szCs w:val="22"/>
              </w:rPr>
            </w:pPr>
            <w:r w:rsidRPr="00467BE8">
              <w:rPr>
                <w:szCs w:val="22"/>
              </w:rPr>
              <w:t>10</w:t>
            </w:r>
          </w:p>
        </w:tc>
      </w:tr>
      <w:tr w:rsidR="00324B33" w:rsidRPr="00467BE8" w14:paraId="19A2544A" w14:textId="77777777" w:rsidTr="00F865A7">
        <w:tc>
          <w:tcPr>
            <w:tcW w:w="1577" w:type="pct"/>
          </w:tcPr>
          <w:p w14:paraId="0E6C5C0E" w14:textId="7DB3FC66" w:rsidR="00324B33" w:rsidRPr="00467BE8" w:rsidRDefault="00324B33" w:rsidP="007452E8">
            <w:pPr>
              <w:rPr>
                <w:i/>
                <w:szCs w:val="22"/>
              </w:rPr>
            </w:pPr>
            <w:r w:rsidRPr="00467BE8">
              <w:rPr>
                <w:i/>
                <w:szCs w:val="22"/>
              </w:rPr>
              <w:t>Approved therapeutic use</w:t>
            </w:r>
            <w:r w:rsidR="00E47E0C" w:rsidRPr="00467BE8">
              <w:rPr>
                <w:i/>
                <w:szCs w:val="22"/>
              </w:rPr>
              <w:t xml:space="preserve"> </w:t>
            </w:r>
            <w:r w:rsidR="007B04DE" w:rsidRPr="00467BE8">
              <w:rPr>
                <w:i/>
                <w:szCs w:val="22"/>
              </w:rPr>
              <w:t>for the current</w:t>
            </w:r>
            <w:r w:rsidR="00E47E0C" w:rsidRPr="00467BE8">
              <w:rPr>
                <w:i/>
                <w:szCs w:val="22"/>
              </w:rPr>
              <w:t xml:space="preserve"> submission</w:t>
            </w:r>
            <w:r w:rsidRPr="00467BE8">
              <w:rPr>
                <w:i/>
                <w:szCs w:val="22"/>
              </w:rPr>
              <w:t>:</w:t>
            </w:r>
          </w:p>
        </w:tc>
        <w:tc>
          <w:tcPr>
            <w:tcW w:w="3423" w:type="pct"/>
          </w:tcPr>
          <w:p w14:paraId="03D2062A" w14:textId="7DAE61B5" w:rsidR="000D5890" w:rsidRPr="000D5890" w:rsidRDefault="000D5890" w:rsidP="000D5890">
            <w:pPr>
              <w:rPr>
                <w:i/>
                <w:iCs/>
              </w:rPr>
            </w:pPr>
            <w:r w:rsidRPr="000D5890">
              <w:rPr>
                <w:i/>
                <w:iCs/>
              </w:rPr>
              <w:t>Spikevax XBB.1.5 (andusomeran) COVID-19 vaccine is indicated for:</w:t>
            </w:r>
          </w:p>
          <w:p w14:paraId="4B9C3405" w14:textId="3F922B28" w:rsidR="000D5890" w:rsidRPr="000D5890" w:rsidRDefault="000D5890" w:rsidP="000D5890">
            <w:pPr>
              <w:rPr>
                <w:i/>
                <w:iCs/>
              </w:rPr>
            </w:pPr>
            <w:r w:rsidRPr="000D5890">
              <w:rPr>
                <w:i/>
                <w:iCs/>
              </w:rPr>
              <w:t>Active immunisation to prevent coronavirus disease 2019 (COVID-19) caused by SARS-CoV-2 in individuals 12 years of age and older.</w:t>
            </w:r>
          </w:p>
          <w:p w14:paraId="6E143E2E" w14:textId="658E74D2" w:rsidR="000D5890" w:rsidRPr="00467BE8" w:rsidRDefault="000D5890" w:rsidP="000D5890">
            <w:pPr>
              <w:rPr>
                <w:szCs w:val="22"/>
              </w:rPr>
            </w:pPr>
            <w:r w:rsidRPr="000D5890">
              <w:rPr>
                <w:i/>
                <w:iCs/>
              </w:rPr>
              <w:t>The use of this vaccine should be in accordance with official recommendations.</w:t>
            </w:r>
          </w:p>
        </w:tc>
      </w:tr>
      <w:tr w:rsidR="00324B33" w:rsidRPr="00467BE8" w14:paraId="5AFDEED3" w14:textId="77777777" w:rsidTr="00F865A7">
        <w:tc>
          <w:tcPr>
            <w:tcW w:w="1577" w:type="pct"/>
          </w:tcPr>
          <w:p w14:paraId="03884BD1" w14:textId="6BF44BBB" w:rsidR="00324B33" w:rsidRPr="00467BE8" w:rsidRDefault="00324B33" w:rsidP="007452E8">
            <w:pPr>
              <w:rPr>
                <w:i/>
                <w:color w:val="000000" w:themeColor="text1"/>
                <w:szCs w:val="22"/>
              </w:rPr>
            </w:pPr>
            <w:r w:rsidRPr="00467BE8">
              <w:rPr>
                <w:i/>
                <w:color w:val="000000" w:themeColor="text1"/>
                <w:szCs w:val="22"/>
              </w:rPr>
              <w:t>Route of administration:</w:t>
            </w:r>
          </w:p>
        </w:tc>
        <w:tc>
          <w:tcPr>
            <w:tcW w:w="3423" w:type="pct"/>
          </w:tcPr>
          <w:p w14:paraId="1ED1357E" w14:textId="0A03D754" w:rsidR="00324B33" w:rsidRPr="00467BE8" w:rsidRDefault="00852E0E" w:rsidP="007452E8">
            <w:pPr>
              <w:rPr>
                <w:color w:val="000000" w:themeColor="text1"/>
                <w:szCs w:val="22"/>
              </w:rPr>
            </w:pPr>
            <w:r w:rsidRPr="00467BE8">
              <w:rPr>
                <w:color w:val="000000" w:themeColor="text1"/>
                <w:szCs w:val="22"/>
              </w:rPr>
              <w:t>Intramuscular</w:t>
            </w:r>
          </w:p>
        </w:tc>
      </w:tr>
      <w:tr w:rsidR="00324B33" w:rsidRPr="00467BE8" w14:paraId="70D7E9FA" w14:textId="77777777" w:rsidTr="00F865A7">
        <w:tc>
          <w:tcPr>
            <w:tcW w:w="1577" w:type="pct"/>
          </w:tcPr>
          <w:p w14:paraId="5ABFFC80" w14:textId="77777777" w:rsidR="00324B33" w:rsidRPr="00467BE8" w:rsidRDefault="00324B33" w:rsidP="007452E8">
            <w:pPr>
              <w:rPr>
                <w:i/>
                <w:szCs w:val="22"/>
              </w:rPr>
            </w:pPr>
            <w:r w:rsidRPr="00467BE8">
              <w:rPr>
                <w:i/>
                <w:szCs w:val="22"/>
              </w:rPr>
              <w:t>Dosage:</w:t>
            </w:r>
          </w:p>
        </w:tc>
        <w:tc>
          <w:tcPr>
            <w:tcW w:w="3423" w:type="pct"/>
          </w:tcPr>
          <w:p w14:paraId="541F56FC" w14:textId="5117EA1F" w:rsidR="000D5890" w:rsidRDefault="000D5890" w:rsidP="000D5890">
            <w:r>
              <w:t xml:space="preserve">Each dose (0.5 mL) of Spikevax XBB.1.5 contains </w:t>
            </w:r>
            <w:r w:rsidRPr="000D5890">
              <w:t>50</w:t>
            </w:r>
            <w:r>
              <w:t> </w:t>
            </w:r>
            <w:r w:rsidRPr="000D5890">
              <w:t>µg</w:t>
            </w:r>
            <w:r>
              <w:t xml:space="preserve"> of </w:t>
            </w:r>
            <w:r w:rsidRPr="000D5890">
              <w:t>andusomeran</w:t>
            </w:r>
            <w:r>
              <w:t>.</w:t>
            </w:r>
          </w:p>
          <w:p w14:paraId="272C1434" w14:textId="77777777" w:rsidR="000D5890" w:rsidRPr="000D5890" w:rsidRDefault="000D5890" w:rsidP="000D5890">
            <w:pPr>
              <w:rPr>
                <w:b/>
                <w:bCs/>
              </w:rPr>
            </w:pPr>
            <w:r w:rsidRPr="000D5890">
              <w:rPr>
                <w:b/>
                <w:bCs/>
              </w:rPr>
              <w:t>Primary series</w:t>
            </w:r>
          </w:p>
          <w:p w14:paraId="37C06991" w14:textId="101C4267" w:rsidR="000D5890" w:rsidRDefault="000D5890" w:rsidP="000D5890">
            <w:r>
              <w:t>To complete the two-dose series, it is recommended to administer Spikevax XBB.1.5 28 days after the first COVID</w:t>
            </w:r>
            <w:r>
              <w:noBreakHyphen/>
              <w:t>19 vaccine.</w:t>
            </w:r>
          </w:p>
          <w:p w14:paraId="43766C2B" w14:textId="131FAD9B" w:rsidR="000D5890" w:rsidRPr="000D5890" w:rsidRDefault="000D5890" w:rsidP="000D5890">
            <w:pPr>
              <w:rPr>
                <w:b/>
                <w:bCs/>
              </w:rPr>
            </w:pPr>
            <w:r w:rsidRPr="000D5890">
              <w:rPr>
                <w:b/>
                <w:bCs/>
              </w:rPr>
              <w:t>Additional dose</w:t>
            </w:r>
          </w:p>
          <w:p w14:paraId="4153C848" w14:textId="05AF1367" w:rsidR="000D5890" w:rsidRDefault="000D5890" w:rsidP="000D5890">
            <w:r>
              <w:t>If previously vaccinated, Spikevax XBB.1.5 should be administered at least 3 months after the most recent dose of a COVID-19 vaccine.</w:t>
            </w:r>
          </w:p>
          <w:p w14:paraId="218C748D" w14:textId="77777777" w:rsidR="00362F92" w:rsidRDefault="00362F92" w:rsidP="000D5890">
            <w:pPr>
              <w:rPr>
                <w:b/>
                <w:bCs/>
              </w:rPr>
            </w:pPr>
          </w:p>
          <w:p w14:paraId="7405872D" w14:textId="2A4B3066" w:rsidR="000D5890" w:rsidRPr="000D5890" w:rsidRDefault="000D5890" w:rsidP="000D5890">
            <w:pPr>
              <w:rPr>
                <w:b/>
                <w:bCs/>
              </w:rPr>
            </w:pPr>
            <w:r w:rsidRPr="000D5890">
              <w:rPr>
                <w:b/>
                <w:bCs/>
              </w:rPr>
              <w:lastRenderedPageBreak/>
              <w:t>Immunocompromised individuals</w:t>
            </w:r>
          </w:p>
          <w:p w14:paraId="5867FF85" w14:textId="15C65DD4" w:rsidR="000D5890" w:rsidRPr="000D5890" w:rsidRDefault="000D5890" w:rsidP="000D5890">
            <w:r w:rsidRPr="000D5890">
              <w:t>If previously vaccinated, additional age-appropriate dose(s) may be administered in severely immunocompromised at least 2 months following the most recent dose of a COVID-19 vaccine at the discretion of the healthcare provider, taking into consideration the individual’s clinical circumstances.</w:t>
            </w:r>
          </w:p>
          <w:p w14:paraId="53F79B97" w14:textId="3D3355AA" w:rsidR="000D5890" w:rsidRPr="000D5890" w:rsidRDefault="000D5890" w:rsidP="000D5890">
            <w:r w:rsidRPr="000D5890">
              <w:t>The use of this vaccine should be in accordance with clinical recommendations in the Australian Immunisation Handbook.</w:t>
            </w:r>
          </w:p>
          <w:p w14:paraId="3D0B2D5C" w14:textId="46C18002" w:rsidR="00324B33" w:rsidRPr="00467BE8" w:rsidRDefault="00324B33" w:rsidP="007452E8">
            <w:pPr>
              <w:rPr>
                <w:szCs w:val="22"/>
              </w:rPr>
            </w:pPr>
            <w:r w:rsidRPr="00467BE8">
              <w:rPr>
                <w:szCs w:val="22"/>
              </w:rPr>
              <w:t>For further information regarding dosage, refer to the Product Information.</w:t>
            </w:r>
          </w:p>
        </w:tc>
      </w:tr>
      <w:tr w:rsidR="00324B33" w:rsidRPr="00467BE8" w14:paraId="24DC408E" w14:textId="77777777" w:rsidTr="00F865A7">
        <w:tc>
          <w:tcPr>
            <w:tcW w:w="1577" w:type="pct"/>
          </w:tcPr>
          <w:p w14:paraId="26380792" w14:textId="75F133CF" w:rsidR="00852E0E" w:rsidRPr="00467BE8" w:rsidRDefault="00324B33" w:rsidP="00852E0E">
            <w:pPr>
              <w:rPr>
                <w:i/>
                <w:szCs w:val="22"/>
              </w:rPr>
            </w:pPr>
            <w:r w:rsidRPr="00467BE8">
              <w:rPr>
                <w:i/>
                <w:szCs w:val="22"/>
              </w:rPr>
              <w:lastRenderedPageBreak/>
              <w:t>Pregnancy category:</w:t>
            </w:r>
          </w:p>
        </w:tc>
        <w:tc>
          <w:tcPr>
            <w:tcW w:w="3423" w:type="pct"/>
          </w:tcPr>
          <w:p w14:paraId="74C8F6A9" w14:textId="77777777" w:rsidR="00852E0E" w:rsidRPr="00467BE8" w:rsidRDefault="00852E0E" w:rsidP="007452E8">
            <w:r w:rsidRPr="00467BE8">
              <w:t>B1</w:t>
            </w:r>
          </w:p>
          <w:p w14:paraId="4E87274F" w14:textId="4B401EFA" w:rsidR="00324B33" w:rsidRPr="00467BE8" w:rsidRDefault="00852E0E" w:rsidP="007452E8">
            <w:pPr>
              <w:rPr>
                <w:szCs w:val="22"/>
              </w:rPr>
            </w:pPr>
            <w:r w:rsidRPr="00467BE8">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p w14:paraId="5E2AA3D6" w14:textId="0AD6490C" w:rsidR="00324B33" w:rsidRPr="00467BE8" w:rsidRDefault="00324B33" w:rsidP="007452E8">
            <w:pPr>
              <w:rPr>
                <w:szCs w:val="22"/>
              </w:rPr>
            </w:pPr>
            <w:r w:rsidRPr="00467BE8">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1A219D" w:rsidRPr="00467BE8">
              <w:rPr>
                <w:szCs w:val="22"/>
              </w:rPr>
              <w:t>state or territory</w:t>
            </w:r>
            <w:r w:rsidRPr="00467BE8">
              <w:rPr>
                <w:szCs w:val="22"/>
              </w:rPr>
              <w:t>.</w:t>
            </w:r>
          </w:p>
        </w:tc>
      </w:tr>
    </w:tbl>
    <w:p w14:paraId="51F2479F" w14:textId="77777777" w:rsidR="00324B33" w:rsidRPr="00467BE8" w:rsidRDefault="00324B33" w:rsidP="00324B33">
      <w:pPr>
        <w:pStyle w:val="Heading3"/>
      </w:pPr>
      <w:bookmarkStart w:id="13" w:name="_Toc247691503"/>
      <w:bookmarkStart w:id="14" w:name="_Toc314842484"/>
      <w:bookmarkStart w:id="15" w:name="_Toc103679290"/>
      <w:bookmarkStart w:id="16" w:name="_Toc147997687"/>
      <w:r w:rsidRPr="00467BE8">
        <w:t>Product background</w:t>
      </w:r>
      <w:bookmarkEnd w:id="13"/>
      <w:bookmarkEnd w:id="14"/>
      <w:bookmarkEnd w:id="15"/>
      <w:bookmarkEnd w:id="16"/>
    </w:p>
    <w:p w14:paraId="56B27CF2" w14:textId="51FBBF1B" w:rsidR="00324B33" w:rsidRPr="00467BE8" w:rsidRDefault="00324B33" w:rsidP="00324B33">
      <w:pPr>
        <w:rPr>
          <w:szCs w:val="22"/>
        </w:rPr>
      </w:pPr>
      <w:r w:rsidRPr="00467BE8">
        <w:rPr>
          <w:szCs w:val="22"/>
        </w:rPr>
        <w:t xml:space="preserve">This AusPAR describes the submission by </w:t>
      </w:r>
      <w:r w:rsidR="00282C14" w:rsidRPr="00467BE8">
        <w:rPr>
          <w:szCs w:val="22"/>
        </w:rPr>
        <w:t>Moderna Australia Pty Ltd</w:t>
      </w:r>
      <w:r w:rsidRPr="00467BE8">
        <w:rPr>
          <w:szCs w:val="22"/>
        </w:rPr>
        <w:t xml:space="preserve"> (the sponsor) to register </w:t>
      </w:r>
      <w:r w:rsidR="00282C14" w:rsidRPr="00467BE8">
        <w:t xml:space="preserve">Spikevax XBB.1.5 </w:t>
      </w:r>
      <w:r w:rsidRPr="00467BE8">
        <w:t>(</w:t>
      </w:r>
      <w:r w:rsidR="00282C14" w:rsidRPr="00467BE8">
        <w:t>andusomeran</w:t>
      </w:r>
      <w:r w:rsidRPr="00467BE8">
        <w:t xml:space="preserve">) </w:t>
      </w:r>
      <w:r w:rsidR="00852E0E" w:rsidRPr="00467BE8">
        <w:t xml:space="preserve">COVID-19 vaccine </w:t>
      </w:r>
      <w:r w:rsidR="00C55E55" w:rsidRPr="00467BE8">
        <w:t>0</w:t>
      </w:r>
      <w:r w:rsidR="00C55E55" w:rsidRPr="00467BE8">
        <w:rPr>
          <w:color w:val="000000" w:themeColor="text1"/>
        </w:rPr>
        <w:t>.1 mg/mL</w:t>
      </w:r>
      <w:r w:rsidRPr="00467BE8">
        <w:rPr>
          <w:color w:val="000000" w:themeColor="text1"/>
        </w:rPr>
        <w:t xml:space="preserve">, </w:t>
      </w:r>
      <w:r w:rsidR="00C55E55" w:rsidRPr="00467BE8">
        <w:rPr>
          <w:color w:val="000000" w:themeColor="text1"/>
        </w:rPr>
        <w:t>suspension for injection</w:t>
      </w:r>
      <w:r w:rsidR="00D62877" w:rsidRPr="00467BE8">
        <w:rPr>
          <w:color w:val="000000" w:themeColor="text1"/>
        </w:rPr>
        <w:t xml:space="preserve">, </w:t>
      </w:r>
      <w:r w:rsidR="00C55E55" w:rsidRPr="00467BE8">
        <w:rPr>
          <w:color w:val="000000" w:themeColor="text1"/>
        </w:rPr>
        <w:t xml:space="preserve">prefilled </w:t>
      </w:r>
      <w:proofErr w:type="gramStart"/>
      <w:r w:rsidR="00C55E55" w:rsidRPr="00467BE8">
        <w:rPr>
          <w:color w:val="000000" w:themeColor="text1"/>
        </w:rPr>
        <w:t>syringe</w:t>
      </w:r>
      <w:proofErr w:type="gramEnd"/>
      <w:r w:rsidR="00C55E55" w:rsidRPr="00467BE8">
        <w:rPr>
          <w:color w:val="000000" w:themeColor="text1"/>
        </w:rPr>
        <w:t xml:space="preserve"> and single dose vial</w:t>
      </w:r>
      <w:r w:rsidR="00574393">
        <w:rPr>
          <w:color w:val="000000" w:themeColor="text1"/>
        </w:rPr>
        <w:t>.</w:t>
      </w:r>
    </w:p>
    <w:p w14:paraId="7AD1BCAE" w14:textId="7875EAA7" w:rsidR="001A219D" w:rsidRPr="00467BE8" w:rsidRDefault="00282C14" w:rsidP="006B18F6">
      <w:pPr>
        <w:spacing w:after="0" w:line="240" w:lineRule="auto"/>
      </w:pPr>
      <w:r w:rsidRPr="00467BE8">
        <w:t xml:space="preserve">This </w:t>
      </w:r>
      <w:r w:rsidR="001A219D" w:rsidRPr="00467BE8">
        <w:t xml:space="preserve">submission is to register </w:t>
      </w:r>
      <w:r w:rsidRPr="00467BE8">
        <w:t xml:space="preserve">a new monovalent strain update for </w:t>
      </w:r>
      <w:r w:rsidR="00C3166E" w:rsidRPr="00467BE8">
        <w:t xml:space="preserve">Spikevax </w:t>
      </w:r>
      <w:r w:rsidRPr="00467BE8">
        <w:t xml:space="preserve">XBB.1.5 </w:t>
      </w:r>
      <w:r w:rsidR="00D9705B" w:rsidRPr="00467BE8">
        <w:t xml:space="preserve">(andusomeran) COVID-19 vaccine </w:t>
      </w:r>
      <w:r w:rsidRPr="00467BE8">
        <w:t xml:space="preserve">following the full registration of </w:t>
      </w:r>
      <w:r w:rsidR="00C3166E" w:rsidRPr="00467BE8">
        <w:t xml:space="preserve">Spikevax </w:t>
      </w:r>
      <w:r w:rsidRPr="00467BE8">
        <w:t xml:space="preserve">(elasomeran) COVID-19 </w:t>
      </w:r>
      <w:r w:rsidR="00852E0E" w:rsidRPr="00467BE8">
        <w:t>v</w:t>
      </w:r>
      <w:r w:rsidRPr="00467BE8">
        <w:t>accine.</w:t>
      </w:r>
      <w:r w:rsidR="001A219D" w:rsidRPr="00467BE8">
        <w:rPr>
          <w:vertAlign w:val="superscript"/>
        </w:rPr>
        <w:footnoteReference w:id="1"/>
      </w:r>
      <w:r w:rsidR="001A219D" w:rsidRPr="00467BE8">
        <w:t xml:space="preserve"> The sponsor proposed changes to </w:t>
      </w:r>
      <w:r w:rsidR="00852E0E" w:rsidRPr="00467BE8">
        <w:t>the Product Information (</w:t>
      </w:r>
      <w:r w:rsidR="001A219D" w:rsidRPr="00467BE8">
        <w:t>PI</w:t>
      </w:r>
      <w:r w:rsidR="00852E0E" w:rsidRPr="00467BE8">
        <w:t>)</w:t>
      </w:r>
      <w:r w:rsidR="001A219D" w:rsidRPr="00467BE8">
        <w:t xml:space="preserve"> </w:t>
      </w:r>
      <w:r w:rsidR="00852E0E" w:rsidRPr="00467BE8">
        <w:t>S</w:t>
      </w:r>
      <w:r w:rsidR="001A219D" w:rsidRPr="00467BE8">
        <w:t>ection 4.2 Dosing and Administration to implement a one dose approach or ‘simplified schedule’</w:t>
      </w:r>
      <w:r w:rsidR="006B18F6">
        <w:t>.</w:t>
      </w:r>
      <w:r w:rsidR="00935529">
        <w:rPr>
          <w:rStyle w:val="FootnoteReference"/>
          <w:color w:val="000000" w:themeColor="text1"/>
          <w:szCs w:val="22"/>
        </w:rPr>
        <w:footnoteReference w:id="2"/>
      </w:r>
    </w:p>
    <w:p w14:paraId="3BEFFAD9" w14:textId="030BF150" w:rsidR="00852E0E" w:rsidRPr="00467BE8" w:rsidRDefault="00852E0E" w:rsidP="00852E0E">
      <w:pPr>
        <w:pStyle w:val="Heading4"/>
      </w:pPr>
      <w:bookmarkStart w:id="17" w:name="_Toc144970829"/>
      <w:bookmarkStart w:id="18" w:name="_Toc147997688"/>
      <w:r w:rsidRPr="00467BE8">
        <w:t>Condition</w:t>
      </w:r>
      <w:bookmarkEnd w:id="17"/>
      <w:bookmarkEnd w:id="18"/>
    </w:p>
    <w:p w14:paraId="5C17028E" w14:textId="3705F7D2" w:rsidR="00852E0E" w:rsidRPr="00467BE8" w:rsidRDefault="001A219D" w:rsidP="00282C14">
      <w:r w:rsidRPr="00467BE8">
        <w:t>Coronavirus disease 2019 (</w:t>
      </w:r>
      <w:r w:rsidR="00282C14" w:rsidRPr="00467BE8">
        <w:t>COVID-19</w:t>
      </w:r>
      <w:r w:rsidRPr="00467BE8">
        <w:t>)</w:t>
      </w:r>
      <w:r w:rsidR="00282C14" w:rsidRPr="00467BE8">
        <w:t xml:space="preserve"> is a disease caused by infection with the pandemic virus</w:t>
      </w:r>
      <w:r w:rsidR="0055750D" w:rsidRPr="00467BE8">
        <w:t>,</w:t>
      </w:r>
      <w:r w:rsidR="00282C14" w:rsidRPr="00467BE8">
        <w:t xml:space="preserve"> </w:t>
      </w:r>
      <w:r w:rsidR="0055750D" w:rsidRPr="00467BE8">
        <w:t>severe acute respiratory syndrome coronavirus 2 (</w:t>
      </w:r>
      <w:r w:rsidR="00282C14" w:rsidRPr="00467BE8">
        <w:t>SARS-CoV-2</w:t>
      </w:r>
      <w:r w:rsidR="0055750D" w:rsidRPr="00467BE8">
        <w:t>)</w:t>
      </w:r>
      <w:r w:rsidR="00282C14" w:rsidRPr="00467BE8">
        <w:t xml:space="preserve">, which was first recognised internationally in late 2019 and in Australia by early 2020. It is manifested by respiratory, </w:t>
      </w:r>
      <w:r w:rsidRPr="00467BE8">
        <w:t>systemic,</w:t>
      </w:r>
      <w:r w:rsidR="00282C14" w:rsidRPr="00467BE8">
        <w:t xml:space="preserve"> and other organ-related symptomatology.</w:t>
      </w:r>
      <w:r w:rsidR="00852E0E" w:rsidRPr="00467BE8">
        <w:t xml:space="preserve"> </w:t>
      </w:r>
      <w:r w:rsidR="00282C14" w:rsidRPr="00467BE8">
        <w:t>Disease severity is mainly related to respiratory presentations, and generally increases with age.</w:t>
      </w:r>
      <w:r w:rsidRPr="00467BE8">
        <w:t xml:space="preserve"> </w:t>
      </w:r>
      <w:r w:rsidR="00282C14" w:rsidRPr="00467BE8">
        <w:t xml:space="preserve">Mortality in unvaccinated </w:t>
      </w:r>
      <w:r w:rsidR="00282C14" w:rsidRPr="00467BE8">
        <w:lastRenderedPageBreak/>
        <w:t>individuals with untreated disease is rare in childhood but increases steeply beyond 60 years of age.</w:t>
      </w:r>
    </w:p>
    <w:p w14:paraId="54845B8D" w14:textId="77777777" w:rsidR="00852E0E" w:rsidRPr="00467BE8" w:rsidRDefault="00282C14" w:rsidP="00282C14">
      <w:r w:rsidRPr="00467BE8">
        <w:t>In the absence of highly effective prophylactic or therapeutic medicines, active immunisation through vaccination represents the best means of preventing hospitalisation and deaths at an individual level and controlling the pandemic at a societal level.</w:t>
      </w:r>
    </w:p>
    <w:p w14:paraId="3251A5E6" w14:textId="6706F2EE" w:rsidR="00852E0E" w:rsidRPr="00467BE8" w:rsidRDefault="00282C14" w:rsidP="00852E0E">
      <w:r w:rsidRPr="00467BE8">
        <w:t>Emerging mutated SARS-CoV-2 variants of concern pose challenges for current vaccination strategies, which until recently have been based on inducing immunity to the non-mutated spike protein that was sequenced in the original wild-type virus.</w:t>
      </w:r>
      <w:r w:rsidR="00852E0E" w:rsidRPr="00467BE8">
        <w:t xml:space="preserve"> </w:t>
      </w:r>
      <w:r w:rsidRPr="00467BE8">
        <w:t>In November 2021, the Omicron variant (B.1.1.529</w:t>
      </w:r>
      <w:r w:rsidR="00D9705B" w:rsidRPr="00467BE8">
        <w:t xml:space="preserve"> or</w:t>
      </w:r>
      <w:r w:rsidR="00751BEC" w:rsidRPr="00467BE8">
        <w:t xml:space="preserve"> </w:t>
      </w:r>
      <w:r w:rsidRPr="00467BE8">
        <w:t xml:space="preserve">BA.1) emerged as the most antigenically divergent variant at the time with </w:t>
      </w:r>
      <w:r w:rsidR="00852E0E" w:rsidRPr="00467BE8">
        <w:t>more than</w:t>
      </w:r>
      <w:r w:rsidRPr="00467BE8">
        <w:t xml:space="preserve"> 30 mutations in the spike protein, granting it transmissibility advantages.</w:t>
      </w:r>
      <w:r w:rsidR="001A219D" w:rsidRPr="00467BE8">
        <w:t xml:space="preserve"> </w:t>
      </w:r>
      <w:r w:rsidRPr="00467BE8">
        <w:t>Soon after its emergence, Omicron rapidly became dominant worldwide.</w:t>
      </w:r>
      <w:r w:rsidR="001A219D" w:rsidRPr="00467BE8">
        <w:t xml:space="preserve"> </w:t>
      </w:r>
      <w:r w:rsidRPr="00467BE8">
        <w:t xml:space="preserve">This was followed by emergence of various Omicron subvariants (BA.2, BA.2.75.2, BA.2.12.1, BA.4, BA.5, BQ.1.1, XBB.1 and others). As of January 2023, BA.5 subvariant remains one of the major lineages in the </w:t>
      </w:r>
      <w:r w:rsidR="00852E0E" w:rsidRPr="00467BE8">
        <w:t>United States of America (</w:t>
      </w:r>
      <w:r w:rsidRPr="00467BE8">
        <w:t>US</w:t>
      </w:r>
      <w:r w:rsidR="00852E0E" w:rsidRPr="00467BE8">
        <w:t>A)</w:t>
      </w:r>
      <w:r w:rsidRPr="00467BE8">
        <w:t xml:space="preserve"> but has been largely taken over by BQ and XBB subvariants.</w:t>
      </w:r>
    </w:p>
    <w:p w14:paraId="684AD2A3" w14:textId="7163B16D" w:rsidR="00852E0E" w:rsidRPr="00467BE8" w:rsidRDefault="00282C14" w:rsidP="00852E0E">
      <w:r w:rsidRPr="00467BE8">
        <w:t>Benefits of receiving COVID-19 vaccine has been well established.</w:t>
      </w:r>
      <w:r w:rsidRPr="00467BE8">
        <w:rPr>
          <w:vertAlign w:val="superscript"/>
        </w:rPr>
        <w:footnoteReference w:id="3"/>
      </w:r>
      <w:r w:rsidR="001A219D" w:rsidRPr="00467BE8">
        <w:t xml:space="preserve"> </w:t>
      </w:r>
      <w:r w:rsidRPr="00467BE8">
        <w:t>These include protection from SARS-CoV-2 infection as well as progression to severe COVID-19 and death.</w:t>
      </w:r>
      <w:r w:rsidR="00852E0E" w:rsidRPr="00467BE8">
        <w:t xml:space="preserve"> However, COVID-19 continues to be a significant public health issue to Australians. As of 2</w:t>
      </w:r>
      <w:r w:rsidR="00E376AE" w:rsidRPr="00467BE8">
        <w:t>9 </w:t>
      </w:r>
      <w:r w:rsidR="00852E0E" w:rsidRPr="00467BE8">
        <w:t>September</w:t>
      </w:r>
      <w:r w:rsidR="00E376AE" w:rsidRPr="00467BE8">
        <w:t> </w:t>
      </w:r>
      <w:r w:rsidR="00852E0E" w:rsidRPr="00467BE8">
        <w:t>2023, the 7-day rolling averages are as follows:</w:t>
      </w:r>
      <w:r w:rsidR="00852E0E" w:rsidRPr="00467BE8">
        <w:rPr>
          <w:vertAlign w:val="superscript"/>
        </w:rPr>
        <w:footnoteReference w:id="4"/>
      </w:r>
    </w:p>
    <w:p w14:paraId="197F9900" w14:textId="5FB190A7" w:rsidR="00852E0E" w:rsidRPr="00467BE8" w:rsidRDefault="00E376AE" w:rsidP="00852E0E">
      <w:pPr>
        <w:pStyle w:val="ListBullet"/>
      </w:pPr>
      <w:r w:rsidRPr="00467BE8">
        <w:t xml:space="preserve">5,474 </w:t>
      </w:r>
      <w:r w:rsidR="00852E0E" w:rsidRPr="00467BE8">
        <w:t xml:space="preserve">cases </w:t>
      </w:r>
      <w:proofErr w:type="gramStart"/>
      <w:r w:rsidR="00852E0E" w:rsidRPr="00467BE8">
        <w:t>identified</w:t>
      </w:r>
      <w:proofErr w:type="gramEnd"/>
    </w:p>
    <w:p w14:paraId="4F1D4A0C" w14:textId="3B7B964C" w:rsidR="00852E0E" w:rsidRPr="00467BE8" w:rsidRDefault="00E376AE" w:rsidP="00852E0E">
      <w:pPr>
        <w:pStyle w:val="ListBullet"/>
      </w:pPr>
      <w:r w:rsidRPr="00467BE8">
        <w:t>782</w:t>
      </w:r>
      <w:r w:rsidR="00852E0E" w:rsidRPr="00467BE8">
        <w:t xml:space="preserve"> cases in hospital and intensive care unit (ICU)</w:t>
      </w:r>
    </w:p>
    <w:p w14:paraId="31AE9F47" w14:textId="15044869" w:rsidR="00852E0E" w:rsidRPr="00467BE8" w:rsidRDefault="00E376AE" w:rsidP="00852E0E">
      <w:pPr>
        <w:pStyle w:val="ListBullet"/>
      </w:pPr>
      <w:r w:rsidRPr="00467BE8">
        <w:t>4</w:t>
      </w:r>
      <w:r w:rsidR="00852E0E" w:rsidRPr="00467BE8">
        <w:t xml:space="preserve"> </w:t>
      </w:r>
      <w:proofErr w:type="gramStart"/>
      <w:r w:rsidR="00852E0E" w:rsidRPr="00467BE8">
        <w:t>case</w:t>
      </w:r>
      <w:proofErr w:type="gramEnd"/>
      <w:r w:rsidR="00852E0E" w:rsidRPr="00467BE8">
        <w:t xml:space="preserve"> of death.</w:t>
      </w:r>
    </w:p>
    <w:p w14:paraId="547264D1" w14:textId="76D34095" w:rsidR="00852E0E" w:rsidRPr="00467BE8" w:rsidRDefault="00852E0E" w:rsidP="00852E0E">
      <w:pPr>
        <w:pStyle w:val="Heading4"/>
      </w:pPr>
      <w:bookmarkStart w:id="19" w:name="_Toc144970830"/>
      <w:bookmarkStart w:id="20" w:name="_Toc147997689"/>
      <w:r w:rsidRPr="00467BE8">
        <w:t>Current COVID-19 vaccine options</w:t>
      </w:r>
      <w:bookmarkEnd w:id="19"/>
      <w:bookmarkEnd w:id="20"/>
    </w:p>
    <w:p w14:paraId="624B52DD" w14:textId="6F327CDC" w:rsidR="00C3166E" w:rsidRPr="00467BE8" w:rsidRDefault="00852E0E" w:rsidP="00852E0E">
      <w:r w:rsidRPr="00467BE8">
        <w:t xml:space="preserve">For COVID-19 vaccine options approved and registered in Australia, please refer to </w:t>
      </w:r>
      <w:hyperlink r:id="rId16" w:history="1">
        <w:r w:rsidRPr="00467BE8">
          <w:rPr>
            <w:rStyle w:val="Hyperlink"/>
          </w:rPr>
          <w:t>COVID-19 Vaccines Regulatory Status</w:t>
        </w:r>
      </w:hyperlink>
      <w:r w:rsidRPr="00467BE8">
        <w:t xml:space="preserve"> page on the Australian Government website.</w:t>
      </w:r>
    </w:p>
    <w:p w14:paraId="281C55AB" w14:textId="1BE689E5" w:rsidR="00C3166E" w:rsidRPr="00467BE8" w:rsidRDefault="00C3166E" w:rsidP="00C3166E">
      <w:pPr>
        <w:pStyle w:val="Heading4"/>
      </w:pPr>
      <w:bookmarkStart w:id="21" w:name="_Toc147997690"/>
      <w:r w:rsidRPr="00467BE8">
        <w:t>Spikevax XBB.1.5 COVID-19 vaccine</w:t>
      </w:r>
      <w:bookmarkEnd w:id="21"/>
    </w:p>
    <w:p w14:paraId="3181C230" w14:textId="11589A28" w:rsidR="00C3166E" w:rsidRPr="00467BE8" w:rsidRDefault="00C3166E" w:rsidP="00852E0E">
      <w:r w:rsidRPr="00467BE8">
        <w:t xml:space="preserve">Spikevax XBB.1.5 (andusomeran) COVID-19 vaccine is a single-stranded, 5’-capped </w:t>
      </w:r>
      <w:r w:rsidR="00751BEC" w:rsidRPr="00467BE8">
        <w:t xml:space="preserve">messenger ribonucleic acid </w:t>
      </w:r>
      <w:r w:rsidRPr="00467BE8">
        <w:t xml:space="preserve">(mRNA) produced using a cell-free </w:t>
      </w:r>
      <w:r w:rsidRPr="00467BE8">
        <w:rPr>
          <w:i/>
          <w:iCs/>
        </w:rPr>
        <w:t>in vitro</w:t>
      </w:r>
      <w:r w:rsidRPr="00467BE8">
        <w:t xml:space="preserve"> transcription from the corresponding </w:t>
      </w:r>
      <w:r w:rsidR="00751BEC" w:rsidRPr="00467BE8">
        <w:t>deoxyribonucleic acid (</w:t>
      </w:r>
      <w:r w:rsidRPr="00467BE8">
        <w:t>DNA</w:t>
      </w:r>
      <w:r w:rsidR="00751BEC" w:rsidRPr="00467BE8">
        <w:t>)</w:t>
      </w:r>
      <w:r w:rsidRPr="00467BE8">
        <w:t xml:space="preserve"> templates, encoding the viral spike protein of SARS</w:t>
      </w:r>
      <w:r w:rsidR="00751BEC" w:rsidRPr="00467BE8">
        <w:noBreakHyphen/>
      </w:r>
      <w:r w:rsidRPr="00467BE8">
        <w:t>CoV-2 (Omicron XBB.1.5).</w:t>
      </w:r>
    </w:p>
    <w:p w14:paraId="0D615854" w14:textId="62C9EEB5" w:rsidR="00324B33" w:rsidRPr="00467BE8" w:rsidRDefault="00324B33" w:rsidP="00324B33">
      <w:pPr>
        <w:pStyle w:val="Heading3"/>
      </w:pPr>
      <w:bookmarkStart w:id="22" w:name="_Toc314842485"/>
      <w:bookmarkStart w:id="23" w:name="_Toc247691504"/>
      <w:bookmarkStart w:id="24" w:name="_Toc103679291"/>
      <w:bookmarkStart w:id="25" w:name="_Toc147997691"/>
      <w:r w:rsidRPr="00467BE8">
        <w:t>Regulatory status</w:t>
      </w:r>
      <w:bookmarkEnd w:id="22"/>
      <w:bookmarkEnd w:id="23"/>
      <w:bookmarkEnd w:id="24"/>
      <w:bookmarkEnd w:id="25"/>
    </w:p>
    <w:p w14:paraId="22CC1EC2" w14:textId="7FE591A7" w:rsidR="00C3166E" w:rsidRPr="00467BE8" w:rsidRDefault="00C3166E" w:rsidP="00C3166E">
      <w:pPr>
        <w:pStyle w:val="Heading4"/>
      </w:pPr>
      <w:bookmarkStart w:id="26" w:name="_Toc147997692"/>
      <w:r w:rsidRPr="00467BE8">
        <w:t>Australian regulatory status</w:t>
      </w:r>
      <w:bookmarkEnd w:id="26"/>
    </w:p>
    <w:p w14:paraId="684F9B66" w14:textId="77777777" w:rsidR="006F1D22" w:rsidRPr="00467BE8" w:rsidRDefault="006F1D22" w:rsidP="006F1D22">
      <w:bookmarkStart w:id="27" w:name="_Hlk137639574"/>
      <w:r w:rsidRPr="00467BE8">
        <w:t xml:space="preserve">Spikevax (ARTG number: 370559, the original vaccine) was initially </w:t>
      </w:r>
      <w:bookmarkStart w:id="28" w:name="_Hlk130208330"/>
      <w:r w:rsidRPr="00467BE8">
        <w:t>provisionally registered for use in adults 18 years of age and older by the TGA on 9 August 2021</w:t>
      </w:r>
      <w:bookmarkEnd w:id="27"/>
      <w:bookmarkEnd w:id="28"/>
      <w:r w:rsidRPr="00467BE8">
        <w:t>. Subsequently, it was provisionally registered:</w:t>
      </w:r>
    </w:p>
    <w:p w14:paraId="5109872C" w14:textId="77777777" w:rsidR="006F1D22" w:rsidRPr="00467BE8" w:rsidRDefault="006F1D22" w:rsidP="006F1D22">
      <w:pPr>
        <w:pStyle w:val="ListBullet"/>
      </w:pPr>
      <w:r w:rsidRPr="00467BE8">
        <w:t xml:space="preserve">for individuals </w:t>
      </w:r>
      <w:bookmarkStart w:id="29" w:name="_Hlk126143114"/>
      <w:r w:rsidRPr="00467BE8">
        <w:t xml:space="preserve">12 </w:t>
      </w:r>
      <w:bookmarkEnd w:id="29"/>
      <w:r w:rsidRPr="00467BE8">
        <w:t>years of age and older on 3 September 2021</w:t>
      </w:r>
    </w:p>
    <w:p w14:paraId="75938B22" w14:textId="28E36BC8" w:rsidR="006F1D22" w:rsidRPr="00467BE8" w:rsidRDefault="006F1D22" w:rsidP="006F1D22">
      <w:pPr>
        <w:pStyle w:val="ListBullet"/>
      </w:pPr>
      <w:r w:rsidRPr="00467BE8">
        <w:t>as booster dose for individuals 18 years of age and older on 7 December 2021</w:t>
      </w:r>
    </w:p>
    <w:p w14:paraId="384D83A0" w14:textId="1C954D3D" w:rsidR="006F1D22" w:rsidRPr="00467BE8" w:rsidRDefault="006F1D22" w:rsidP="006F1D22">
      <w:pPr>
        <w:pStyle w:val="ListBullet"/>
      </w:pPr>
      <w:r w:rsidRPr="00467BE8">
        <w:lastRenderedPageBreak/>
        <w:t>for individuals 6 years of age and older on 17 February 2022</w:t>
      </w:r>
    </w:p>
    <w:p w14:paraId="10BF56BD" w14:textId="77716C0E" w:rsidR="006F1D22" w:rsidRPr="00467BE8" w:rsidRDefault="006F1D22" w:rsidP="006F1D22">
      <w:pPr>
        <w:pStyle w:val="ListBullet"/>
      </w:pPr>
      <w:r w:rsidRPr="00467BE8">
        <w:t>for individuals aged 6 months and older 19 July 2022</w:t>
      </w:r>
    </w:p>
    <w:p w14:paraId="176F3A53" w14:textId="51BDBFBC" w:rsidR="006F1D22" w:rsidRPr="00467BE8" w:rsidRDefault="006F1D22" w:rsidP="006F1D22">
      <w:pPr>
        <w:pStyle w:val="ListBullet"/>
      </w:pPr>
      <w:r w:rsidRPr="00467BE8">
        <w:t>as booster dose for individuals 12 years of age and older on 19 October 2022</w:t>
      </w:r>
      <w:r w:rsidR="00934248" w:rsidRPr="00467BE8">
        <w:t>.</w:t>
      </w:r>
    </w:p>
    <w:p w14:paraId="48D0671E" w14:textId="35E50D96" w:rsidR="006F1D22" w:rsidRPr="00467BE8" w:rsidRDefault="006F1D22" w:rsidP="006F1D22">
      <w:r w:rsidRPr="00467BE8">
        <w:t>Spikevax monovalent vaccine (the original vaccine) transitioned from provisional approval to full registration for use in individuals 6 years of age and older following TGA approval on 21</w:t>
      </w:r>
      <w:r w:rsidR="00934248" w:rsidRPr="00467BE8">
        <w:t> </w:t>
      </w:r>
      <w:r w:rsidRPr="00467BE8">
        <w:t>April 2023.</w:t>
      </w:r>
    </w:p>
    <w:p w14:paraId="7893B3AD" w14:textId="645BF4FE" w:rsidR="006F1D22" w:rsidRPr="00467BE8" w:rsidRDefault="006F1D22" w:rsidP="006F1D22">
      <w:r w:rsidRPr="00467BE8">
        <w:t>The sponsor’s first bivalent vaccine (Spikevax Original/Omicron BA.1) was provisionally registered in Australia on 29 August 2022. Then the Spikevax Bivalent Original/Omicron BA.4</w:t>
      </w:r>
      <w:r w:rsidRPr="00467BE8">
        <w:noBreakHyphen/>
        <w:t>5 vaccine in individuals 12 years of age and older was provisionally registered on 17 February 2023, and fully registered by the TGA on 14 August 2023.</w:t>
      </w:r>
    </w:p>
    <w:p w14:paraId="237A7F4E" w14:textId="7CE93B4E" w:rsidR="00C3166E" w:rsidRPr="00467BE8" w:rsidRDefault="00C3166E" w:rsidP="00C3166E">
      <w:pPr>
        <w:pStyle w:val="Heading4"/>
      </w:pPr>
      <w:bookmarkStart w:id="30" w:name="_Toc147997693"/>
      <w:r w:rsidRPr="00467BE8">
        <w:t>International regulatory status</w:t>
      </w:r>
      <w:bookmarkEnd w:id="30"/>
    </w:p>
    <w:p w14:paraId="3D881E64" w14:textId="5B95EF04" w:rsidR="00934248" w:rsidRPr="00467BE8" w:rsidRDefault="00324B33" w:rsidP="00324B33">
      <w:pPr>
        <w:rPr>
          <w:szCs w:val="22"/>
        </w:rPr>
      </w:pPr>
      <w:r w:rsidRPr="00467BE8">
        <w:rPr>
          <w:szCs w:val="22"/>
        </w:rPr>
        <w:t>At the time the TGA considered this submission, similar submission</w:t>
      </w:r>
      <w:r w:rsidR="00934248" w:rsidRPr="00467BE8">
        <w:rPr>
          <w:szCs w:val="22"/>
        </w:rPr>
        <w:t>s</w:t>
      </w:r>
      <w:r w:rsidRPr="00467BE8">
        <w:rPr>
          <w:szCs w:val="22"/>
        </w:rPr>
        <w:t xml:space="preserve"> had been approved </w:t>
      </w:r>
      <w:r w:rsidR="00934248" w:rsidRPr="00467BE8">
        <w:rPr>
          <w:szCs w:val="22"/>
        </w:rPr>
        <w:t xml:space="preserve">in the United States of America on 11 September 2023, Canada on 12 September 2023, Japan on 12 September 2023, European Union on 14 September 2023, Great Britain on 14 September 2023, </w:t>
      </w:r>
      <w:r w:rsidR="00707D7B">
        <w:rPr>
          <w:szCs w:val="22"/>
        </w:rPr>
        <w:t xml:space="preserve">and </w:t>
      </w:r>
      <w:r w:rsidR="00934248" w:rsidRPr="00467BE8">
        <w:rPr>
          <w:szCs w:val="22"/>
        </w:rPr>
        <w:t>Switzerland on 27 September 2023</w:t>
      </w:r>
      <w:r w:rsidR="00C82F49">
        <w:rPr>
          <w:szCs w:val="22"/>
        </w:rPr>
        <w:t>.</w:t>
      </w:r>
      <w:r w:rsidR="00707D7B" w:rsidRPr="00707D7B">
        <w:t xml:space="preserve"> </w:t>
      </w:r>
      <w:r w:rsidR="00707D7B">
        <w:t xml:space="preserve">A </w:t>
      </w:r>
      <w:r w:rsidR="00707D7B" w:rsidRPr="00707D7B">
        <w:rPr>
          <w:szCs w:val="22"/>
        </w:rPr>
        <w:t>similar submission</w:t>
      </w:r>
      <w:r w:rsidR="00707D7B">
        <w:rPr>
          <w:szCs w:val="22"/>
        </w:rPr>
        <w:t xml:space="preserve"> </w:t>
      </w:r>
      <w:r w:rsidR="00707D7B" w:rsidRPr="00707D7B">
        <w:rPr>
          <w:szCs w:val="22"/>
        </w:rPr>
        <w:t>was under consideration in</w:t>
      </w:r>
      <w:r w:rsidR="00707D7B">
        <w:rPr>
          <w:szCs w:val="22"/>
        </w:rPr>
        <w:t xml:space="preserve"> </w:t>
      </w:r>
      <w:r w:rsidR="00707D7B" w:rsidRPr="00707D7B">
        <w:rPr>
          <w:szCs w:val="22"/>
        </w:rPr>
        <w:t>Singapore</w:t>
      </w:r>
      <w:r w:rsidR="00707D7B">
        <w:rPr>
          <w:szCs w:val="22"/>
        </w:rPr>
        <w:t xml:space="preserve"> (submitted on </w:t>
      </w:r>
      <w:r w:rsidR="00707D7B" w:rsidRPr="00707D7B">
        <w:rPr>
          <w:szCs w:val="22"/>
        </w:rPr>
        <w:t>18 August 2023</w:t>
      </w:r>
      <w:r w:rsidR="00707D7B">
        <w:rPr>
          <w:szCs w:val="22"/>
        </w:rPr>
        <w:t>).</w:t>
      </w:r>
    </w:p>
    <w:p w14:paraId="1B9AB90D" w14:textId="3E8AA98C" w:rsidR="00324B33" w:rsidRPr="00467BE8" w:rsidRDefault="00324B33" w:rsidP="00324B33">
      <w:pPr>
        <w:rPr>
          <w:szCs w:val="22"/>
        </w:rPr>
      </w:pPr>
      <w:r w:rsidRPr="00467BE8">
        <w:rPr>
          <w:szCs w:val="22"/>
        </w:rPr>
        <w:t>The following table summarises these submissions and provides the indications where approved.</w:t>
      </w:r>
    </w:p>
    <w:p w14:paraId="19B9E0AC" w14:textId="50E0A977" w:rsidR="00324B33" w:rsidRPr="00467BE8" w:rsidRDefault="00324B33" w:rsidP="00324B33">
      <w:pPr>
        <w:pStyle w:val="TableTitle"/>
      </w:pPr>
      <w:bookmarkStart w:id="31" w:name="_Ref99705479"/>
      <w:r w:rsidRPr="00467BE8">
        <w:t xml:space="preserve">Table </w:t>
      </w:r>
      <w:r w:rsidR="005C0122">
        <w:fldChar w:fldCharType="begin"/>
      </w:r>
      <w:r w:rsidR="005C0122">
        <w:instrText xml:space="preserve"> SEQ Table \* ARABIC </w:instrText>
      </w:r>
      <w:r w:rsidR="005C0122">
        <w:fldChar w:fldCharType="separate"/>
      </w:r>
      <w:r w:rsidR="000022F7">
        <w:rPr>
          <w:noProof/>
        </w:rPr>
        <w:t>1</w:t>
      </w:r>
      <w:r w:rsidR="005C0122">
        <w:rPr>
          <w:noProof/>
        </w:rPr>
        <w:fldChar w:fldCharType="end"/>
      </w:r>
      <w:bookmarkEnd w:id="31"/>
      <w:r w:rsidRPr="00467BE8">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467BE8"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467BE8" w:rsidRDefault="00324B33" w:rsidP="00324B33">
            <w:pPr>
              <w:rPr>
                <w:szCs w:val="22"/>
              </w:rPr>
            </w:pPr>
            <w:r w:rsidRPr="00467BE8">
              <w:rPr>
                <w:szCs w:val="22"/>
              </w:rPr>
              <w:t>Region</w:t>
            </w:r>
          </w:p>
        </w:tc>
        <w:tc>
          <w:tcPr>
            <w:tcW w:w="1018" w:type="pct"/>
          </w:tcPr>
          <w:p w14:paraId="778C35C7" w14:textId="52D23C85" w:rsidR="00324B33" w:rsidRPr="00467BE8"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467BE8">
              <w:rPr>
                <w:szCs w:val="22"/>
              </w:rPr>
              <w:t>Submission date</w:t>
            </w:r>
          </w:p>
        </w:tc>
        <w:tc>
          <w:tcPr>
            <w:tcW w:w="1173" w:type="pct"/>
          </w:tcPr>
          <w:p w14:paraId="58F81584" w14:textId="66689ABF" w:rsidR="00324B33" w:rsidRPr="00467BE8"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467BE8">
              <w:rPr>
                <w:szCs w:val="22"/>
              </w:rPr>
              <w:t>Status</w:t>
            </w:r>
          </w:p>
        </w:tc>
        <w:tc>
          <w:tcPr>
            <w:tcW w:w="1795" w:type="pct"/>
          </w:tcPr>
          <w:p w14:paraId="2B0C191C" w14:textId="77777777" w:rsidR="00324B33" w:rsidRPr="00467BE8" w:rsidRDefault="00324B33" w:rsidP="00324B33">
            <w:pPr>
              <w:cnfStyle w:val="100000000000" w:firstRow="1" w:lastRow="0" w:firstColumn="0" w:lastColumn="0" w:oddVBand="0" w:evenVBand="0" w:oddHBand="0" w:evenHBand="0" w:firstRowFirstColumn="0" w:firstRowLastColumn="0" w:lastRowFirstColumn="0" w:lastRowLastColumn="0"/>
              <w:rPr>
                <w:b w:val="0"/>
                <w:szCs w:val="22"/>
              </w:rPr>
            </w:pPr>
            <w:r w:rsidRPr="00467BE8">
              <w:rPr>
                <w:szCs w:val="22"/>
              </w:rPr>
              <w:t>Approved indications</w:t>
            </w:r>
          </w:p>
          <w:p w14:paraId="50B2D435" w14:textId="05F7C6CA" w:rsidR="00934248" w:rsidRPr="00467BE8" w:rsidRDefault="00934248" w:rsidP="00324B33">
            <w:pPr>
              <w:cnfStyle w:val="100000000000" w:firstRow="1" w:lastRow="0" w:firstColumn="0" w:lastColumn="0" w:oddVBand="0" w:evenVBand="0" w:oddHBand="0" w:evenHBand="0" w:firstRowFirstColumn="0" w:firstRowLastColumn="0" w:lastRowFirstColumn="0" w:lastRowLastColumn="0"/>
              <w:rPr>
                <w:szCs w:val="22"/>
              </w:rPr>
            </w:pPr>
            <w:r w:rsidRPr="00467BE8">
              <w:rPr>
                <w:szCs w:val="22"/>
              </w:rPr>
              <w:t>(</w:t>
            </w:r>
            <w:proofErr w:type="gramStart"/>
            <w:r w:rsidRPr="00467BE8">
              <w:rPr>
                <w:szCs w:val="22"/>
              </w:rPr>
              <w:t>relevant</w:t>
            </w:r>
            <w:proofErr w:type="gramEnd"/>
            <w:r w:rsidRPr="00467BE8">
              <w:rPr>
                <w:szCs w:val="22"/>
              </w:rPr>
              <w:t xml:space="preserve"> age group)</w:t>
            </w:r>
          </w:p>
        </w:tc>
      </w:tr>
      <w:tr w:rsidR="00324B33" w:rsidRPr="00467BE8"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79606464" w:rsidR="00324B33" w:rsidRPr="00467BE8" w:rsidRDefault="00934248" w:rsidP="00324B33">
            <w:pPr>
              <w:rPr>
                <w:szCs w:val="22"/>
              </w:rPr>
            </w:pPr>
            <w:r w:rsidRPr="00467BE8">
              <w:rPr>
                <w:szCs w:val="22"/>
              </w:rPr>
              <w:t>United States of America</w:t>
            </w:r>
          </w:p>
        </w:tc>
        <w:tc>
          <w:tcPr>
            <w:tcW w:w="1018" w:type="pct"/>
          </w:tcPr>
          <w:p w14:paraId="4FA5DDA9" w14:textId="17BE61F1" w:rsidR="00324B33" w:rsidRPr="00467BE8" w:rsidRDefault="001F659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June 2023</w:t>
            </w:r>
          </w:p>
        </w:tc>
        <w:tc>
          <w:tcPr>
            <w:tcW w:w="1173" w:type="pct"/>
          </w:tcPr>
          <w:p w14:paraId="29358393" w14:textId="123CFAF9" w:rsidR="00324B33"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on 11 September 2023</w:t>
            </w:r>
          </w:p>
        </w:tc>
        <w:tc>
          <w:tcPr>
            <w:tcW w:w="1795" w:type="pct"/>
          </w:tcPr>
          <w:p w14:paraId="06AEB45D" w14:textId="37B79259" w:rsidR="00934248" w:rsidRPr="00467BE8" w:rsidRDefault="00751BEC" w:rsidP="00934248">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Biologics License Application</w:t>
            </w:r>
            <w:r w:rsidR="00934248" w:rsidRPr="00467BE8">
              <w:rPr>
                <w:szCs w:val="22"/>
              </w:rPr>
              <w:t>: individuals 12 years of age and older.</w:t>
            </w:r>
          </w:p>
          <w:p w14:paraId="05055674" w14:textId="5DDEFEE2" w:rsidR="00324B33" w:rsidRPr="00467BE8" w:rsidRDefault="00934248" w:rsidP="00934248">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Emergency Use Authorization: individuals 6 months through 11 years of age.</w:t>
            </w:r>
          </w:p>
        </w:tc>
      </w:tr>
      <w:tr w:rsidR="00324B33" w:rsidRPr="00467BE8"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0E7BCF2A" w:rsidR="00324B33" w:rsidRPr="00467BE8" w:rsidRDefault="00934248" w:rsidP="00324B33">
            <w:pPr>
              <w:rPr>
                <w:szCs w:val="22"/>
              </w:rPr>
            </w:pPr>
            <w:r w:rsidRPr="00467BE8">
              <w:rPr>
                <w:szCs w:val="22"/>
              </w:rPr>
              <w:t>Canada</w:t>
            </w:r>
          </w:p>
        </w:tc>
        <w:tc>
          <w:tcPr>
            <w:tcW w:w="1018" w:type="pct"/>
          </w:tcPr>
          <w:p w14:paraId="1D871E57" w14:textId="55B1BD4A" w:rsidR="00324B33" w:rsidRPr="00467BE8" w:rsidRDefault="001F659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June 2023</w:t>
            </w:r>
          </w:p>
        </w:tc>
        <w:tc>
          <w:tcPr>
            <w:tcW w:w="1173" w:type="pct"/>
          </w:tcPr>
          <w:p w14:paraId="63A3A9D3" w14:textId="40F89834" w:rsidR="00324B33"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on 12 September 2023</w:t>
            </w:r>
          </w:p>
        </w:tc>
        <w:tc>
          <w:tcPr>
            <w:tcW w:w="1795" w:type="pct"/>
          </w:tcPr>
          <w:p w14:paraId="17C650B8" w14:textId="256EBB46" w:rsidR="00324B33"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Individuals 6 months of age and older.</w:t>
            </w:r>
          </w:p>
        </w:tc>
      </w:tr>
      <w:tr w:rsidR="00934248" w:rsidRPr="00467BE8" w14:paraId="660F650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E9D57F2" w14:textId="7A560BB0" w:rsidR="00934248" w:rsidRPr="00467BE8" w:rsidRDefault="00934248" w:rsidP="00324B33">
            <w:pPr>
              <w:rPr>
                <w:szCs w:val="22"/>
              </w:rPr>
            </w:pPr>
            <w:r w:rsidRPr="00467BE8">
              <w:rPr>
                <w:szCs w:val="22"/>
              </w:rPr>
              <w:t>Japan</w:t>
            </w:r>
          </w:p>
        </w:tc>
        <w:tc>
          <w:tcPr>
            <w:tcW w:w="1018" w:type="pct"/>
          </w:tcPr>
          <w:p w14:paraId="3543A32D" w14:textId="2BB26426" w:rsidR="00934248" w:rsidRPr="00467BE8" w:rsidRDefault="00151D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July 2023</w:t>
            </w:r>
          </w:p>
        </w:tc>
        <w:tc>
          <w:tcPr>
            <w:tcW w:w="1173" w:type="pct"/>
          </w:tcPr>
          <w:p w14:paraId="7ED7BB07" w14:textId="3ADE48E4"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12 September 2023</w:t>
            </w:r>
          </w:p>
        </w:tc>
        <w:tc>
          <w:tcPr>
            <w:tcW w:w="1795" w:type="pct"/>
          </w:tcPr>
          <w:p w14:paraId="62EC93CC" w14:textId="77777777" w:rsidR="00934248" w:rsidRPr="00467BE8" w:rsidRDefault="00934248" w:rsidP="00934248">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Individuals 6 years through 11 years of age, as booster dose, one dose of a 0.25 mL volume.</w:t>
            </w:r>
          </w:p>
          <w:p w14:paraId="352EF8E6" w14:textId="2987AFBE" w:rsidR="00934248" w:rsidRPr="00467BE8" w:rsidRDefault="00934248" w:rsidP="00934248">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 12 years of age and older, as booster dose, one dose of a 0.5 mL volume.</w:t>
            </w:r>
          </w:p>
        </w:tc>
      </w:tr>
      <w:tr w:rsidR="00934248" w:rsidRPr="00467BE8" w14:paraId="52E05CA5"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9CAD4B1" w14:textId="0E4B1DC1" w:rsidR="00934248" w:rsidRPr="00467BE8" w:rsidRDefault="00934248" w:rsidP="00324B33">
            <w:pPr>
              <w:rPr>
                <w:szCs w:val="22"/>
              </w:rPr>
            </w:pPr>
            <w:r w:rsidRPr="00467BE8">
              <w:rPr>
                <w:szCs w:val="22"/>
              </w:rPr>
              <w:t>European Union</w:t>
            </w:r>
          </w:p>
        </w:tc>
        <w:tc>
          <w:tcPr>
            <w:tcW w:w="1018" w:type="pct"/>
          </w:tcPr>
          <w:p w14:paraId="754E9464" w14:textId="3A3110D8" w:rsidR="00934248" w:rsidRPr="00467BE8" w:rsidRDefault="00151D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2023</w:t>
            </w:r>
          </w:p>
        </w:tc>
        <w:tc>
          <w:tcPr>
            <w:tcW w:w="1173" w:type="pct"/>
          </w:tcPr>
          <w:p w14:paraId="629FB78A" w14:textId="162C68E2"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on 14 September 2023</w:t>
            </w:r>
          </w:p>
        </w:tc>
        <w:tc>
          <w:tcPr>
            <w:tcW w:w="1795" w:type="pct"/>
          </w:tcPr>
          <w:p w14:paraId="245102AD" w14:textId="6D23E217"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Individuals 6 months of age and older</w:t>
            </w:r>
          </w:p>
        </w:tc>
      </w:tr>
      <w:tr w:rsidR="00934248" w:rsidRPr="00467BE8" w14:paraId="5AFC28A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530A219" w14:textId="735CAB8D" w:rsidR="00934248" w:rsidRPr="00467BE8" w:rsidRDefault="00934248" w:rsidP="00324B33">
            <w:pPr>
              <w:rPr>
                <w:szCs w:val="22"/>
              </w:rPr>
            </w:pPr>
            <w:r w:rsidRPr="00467BE8">
              <w:rPr>
                <w:szCs w:val="22"/>
              </w:rPr>
              <w:t>Great Britain</w:t>
            </w:r>
          </w:p>
        </w:tc>
        <w:tc>
          <w:tcPr>
            <w:tcW w:w="1018" w:type="pct"/>
          </w:tcPr>
          <w:p w14:paraId="05C74EE2" w14:textId="707F3453" w:rsidR="00934248" w:rsidRPr="00467BE8" w:rsidRDefault="00EE38E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June 2023</w:t>
            </w:r>
          </w:p>
        </w:tc>
        <w:tc>
          <w:tcPr>
            <w:tcW w:w="1173" w:type="pct"/>
          </w:tcPr>
          <w:p w14:paraId="4A29F79D" w14:textId="7BF902FA"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on 14 September 2023</w:t>
            </w:r>
          </w:p>
        </w:tc>
        <w:tc>
          <w:tcPr>
            <w:tcW w:w="1795" w:type="pct"/>
          </w:tcPr>
          <w:p w14:paraId="470D0EC3" w14:textId="733D19D0"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Individuals 6 months of age and older</w:t>
            </w:r>
          </w:p>
        </w:tc>
      </w:tr>
      <w:tr w:rsidR="00934248" w:rsidRPr="00467BE8" w14:paraId="535F81A3"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AF16618" w14:textId="7F663D52" w:rsidR="00934248" w:rsidRPr="00467BE8" w:rsidRDefault="00934248" w:rsidP="00324B33">
            <w:pPr>
              <w:rPr>
                <w:szCs w:val="22"/>
              </w:rPr>
            </w:pPr>
            <w:r w:rsidRPr="00467BE8">
              <w:rPr>
                <w:szCs w:val="22"/>
              </w:rPr>
              <w:t>Switzerland</w:t>
            </w:r>
          </w:p>
        </w:tc>
        <w:tc>
          <w:tcPr>
            <w:tcW w:w="1018" w:type="pct"/>
          </w:tcPr>
          <w:p w14:paraId="39E6613D" w14:textId="1D59C607" w:rsidR="00934248" w:rsidRPr="00467BE8" w:rsidRDefault="00483A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July 2023</w:t>
            </w:r>
          </w:p>
        </w:tc>
        <w:tc>
          <w:tcPr>
            <w:tcW w:w="1173" w:type="pct"/>
          </w:tcPr>
          <w:p w14:paraId="562D35AE" w14:textId="1C2B8098"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Approved on 27 September 2023</w:t>
            </w:r>
          </w:p>
        </w:tc>
        <w:tc>
          <w:tcPr>
            <w:tcW w:w="1795" w:type="pct"/>
          </w:tcPr>
          <w:p w14:paraId="1F7129DB" w14:textId="2B6E1B82"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Individuals 18 years of age and older</w:t>
            </w:r>
          </w:p>
        </w:tc>
      </w:tr>
      <w:tr w:rsidR="00934248" w:rsidRPr="00467BE8" w14:paraId="43958B4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200D959" w14:textId="375E6E9C" w:rsidR="00934248" w:rsidRPr="00467BE8" w:rsidRDefault="00934248" w:rsidP="00324B33">
            <w:pPr>
              <w:rPr>
                <w:szCs w:val="22"/>
              </w:rPr>
            </w:pPr>
            <w:r w:rsidRPr="00467BE8">
              <w:rPr>
                <w:szCs w:val="22"/>
              </w:rPr>
              <w:lastRenderedPageBreak/>
              <w:t>Singapore</w:t>
            </w:r>
          </w:p>
        </w:tc>
        <w:tc>
          <w:tcPr>
            <w:tcW w:w="1018" w:type="pct"/>
          </w:tcPr>
          <w:p w14:paraId="359EF596" w14:textId="35C201CF"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18 August 2023</w:t>
            </w:r>
          </w:p>
        </w:tc>
        <w:tc>
          <w:tcPr>
            <w:tcW w:w="1173" w:type="pct"/>
          </w:tcPr>
          <w:p w14:paraId="2E40558F" w14:textId="09132078"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Under consideration</w:t>
            </w:r>
          </w:p>
        </w:tc>
        <w:tc>
          <w:tcPr>
            <w:tcW w:w="1795" w:type="pct"/>
          </w:tcPr>
          <w:p w14:paraId="751F0F29" w14:textId="21DBD6D3" w:rsidR="00934248" w:rsidRPr="00467BE8" w:rsidRDefault="00934248" w:rsidP="00324B33">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Under consideration</w:t>
            </w:r>
          </w:p>
        </w:tc>
      </w:tr>
    </w:tbl>
    <w:p w14:paraId="064CCADF" w14:textId="77777777" w:rsidR="00324B33" w:rsidRPr="00467BE8" w:rsidRDefault="00324B33" w:rsidP="00324B33">
      <w:pPr>
        <w:pStyle w:val="Heading3"/>
      </w:pPr>
      <w:bookmarkStart w:id="32" w:name="_Toc103679292"/>
      <w:bookmarkStart w:id="33" w:name="_Toc147997694"/>
      <w:r w:rsidRPr="00467BE8">
        <w:t>Product Information</w:t>
      </w:r>
      <w:bookmarkEnd w:id="32"/>
      <w:bookmarkEnd w:id="33"/>
    </w:p>
    <w:p w14:paraId="4B0F7D57" w14:textId="51086920" w:rsidR="00324B33" w:rsidRPr="00467BE8" w:rsidRDefault="00324B33" w:rsidP="00324B33">
      <w:pPr>
        <w:rPr>
          <w:szCs w:val="22"/>
        </w:rPr>
      </w:pPr>
      <w:bookmarkStart w:id="34" w:name="_Toc504480011"/>
      <w:r w:rsidRPr="00467BE8">
        <w:rPr>
          <w:szCs w:val="22"/>
        </w:rPr>
        <w:t xml:space="preserve">The </w:t>
      </w:r>
      <w:hyperlink r:id="rId17" w:history="1">
        <w:r w:rsidRPr="00467BE8">
          <w:rPr>
            <w:rStyle w:val="Hyperlink"/>
            <w:szCs w:val="22"/>
          </w:rPr>
          <w:t>Product Information</w:t>
        </w:r>
      </w:hyperlink>
      <w:r w:rsidRPr="00467BE8">
        <w:rPr>
          <w:szCs w:val="22"/>
        </w:rPr>
        <w:t xml:space="preserve"> (</w:t>
      </w:r>
      <w:hyperlink r:id="rId18" w:history="1">
        <w:r w:rsidRPr="00467BE8">
          <w:rPr>
            <w:rStyle w:val="Hyperlink"/>
            <w:szCs w:val="22"/>
          </w:rPr>
          <w:t>PI</w:t>
        </w:r>
      </w:hyperlink>
      <w:r w:rsidRPr="00467BE8">
        <w:rPr>
          <w:szCs w:val="22"/>
        </w:rPr>
        <w:t>) approved with the submission which is described in this AusPAR can be found as Attachment 1. For the most recent PI</w:t>
      </w:r>
      <w:r w:rsidR="00A93DC6" w:rsidRPr="00467BE8">
        <w:rPr>
          <w:szCs w:val="22"/>
        </w:rPr>
        <w:t xml:space="preserve"> and </w:t>
      </w:r>
      <w:hyperlink r:id="rId19" w:history="1">
        <w:r w:rsidR="00A93DC6" w:rsidRPr="00467BE8">
          <w:rPr>
            <w:rStyle w:val="Hyperlink"/>
            <w:szCs w:val="22"/>
          </w:rPr>
          <w:t>Consumer Medicines Information</w:t>
        </w:r>
      </w:hyperlink>
      <w:r w:rsidR="00A93DC6" w:rsidRPr="00467BE8">
        <w:rPr>
          <w:szCs w:val="22"/>
        </w:rPr>
        <w:t xml:space="preserve"> (CMI)</w:t>
      </w:r>
      <w:r w:rsidRPr="00467BE8">
        <w:rPr>
          <w:szCs w:val="22"/>
        </w:rPr>
        <w:t xml:space="preserve">, please refer to the TGA </w:t>
      </w:r>
      <w:hyperlink r:id="rId20" w:history="1">
        <w:r w:rsidRPr="00467BE8">
          <w:rPr>
            <w:rStyle w:val="Hyperlink"/>
            <w:szCs w:val="22"/>
          </w:rPr>
          <w:t>PI/CMI search facility.</w:t>
        </w:r>
      </w:hyperlink>
    </w:p>
    <w:p w14:paraId="6D92589C" w14:textId="77777777" w:rsidR="00324B33" w:rsidRPr="00467BE8" w:rsidRDefault="00324B33" w:rsidP="00324B33">
      <w:pPr>
        <w:pStyle w:val="Heading2"/>
      </w:pPr>
      <w:bookmarkStart w:id="35" w:name="_Toc103679293"/>
      <w:bookmarkStart w:id="36" w:name="_Toc147997695"/>
      <w:r w:rsidRPr="00467BE8">
        <w:t>Registration timeline</w:t>
      </w:r>
      <w:bookmarkEnd w:id="34"/>
      <w:bookmarkEnd w:id="35"/>
      <w:bookmarkEnd w:id="36"/>
    </w:p>
    <w:p w14:paraId="225E3D87" w14:textId="1F3070CE" w:rsidR="00324B33" w:rsidRPr="00467BE8" w:rsidRDefault="00324B33" w:rsidP="00324B33">
      <w:pPr>
        <w:rPr>
          <w:szCs w:val="22"/>
        </w:rPr>
      </w:pPr>
      <w:r w:rsidRPr="00467BE8">
        <w:rPr>
          <w:szCs w:val="22"/>
        </w:rPr>
        <w:t>The following table captures the key steps and dates for this submission.</w:t>
      </w:r>
    </w:p>
    <w:p w14:paraId="6BB76942" w14:textId="3C9AB817" w:rsidR="00477C4E" w:rsidRPr="00467BE8" w:rsidRDefault="00477C4E" w:rsidP="00324B33">
      <w:pPr>
        <w:rPr>
          <w:szCs w:val="22"/>
        </w:rPr>
      </w:pPr>
      <w:r w:rsidRPr="00467BE8">
        <w:rPr>
          <w:szCs w:val="22"/>
        </w:rPr>
        <w:t xml:space="preserve">This submission was evaluated under the </w:t>
      </w:r>
      <w:hyperlink r:id="rId21" w:history="1">
        <w:r w:rsidRPr="00467BE8">
          <w:rPr>
            <w:rStyle w:val="Hyperlink"/>
            <w:szCs w:val="22"/>
          </w:rPr>
          <w:t>standard prescription medicines registration process</w:t>
        </w:r>
      </w:hyperlink>
      <w:r w:rsidRPr="00467BE8">
        <w:rPr>
          <w:szCs w:val="22"/>
        </w:rPr>
        <w:t>.</w:t>
      </w:r>
    </w:p>
    <w:p w14:paraId="7EBF746F" w14:textId="11E2C4A8" w:rsidR="00282C14" w:rsidRPr="00467BE8" w:rsidRDefault="00282C14" w:rsidP="00324B33">
      <w:pPr>
        <w:rPr>
          <w:szCs w:val="22"/>
        </w:rPr>
      </w:pPr>
      <w:r w:rsidRPr="00467BE8">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p>
    <w:p w14:paraId="19950F9F" w14:textId="7522E66C" w:rsidR="00C22214" w:rsidRPr="00467BE8" w:rsidRDefault="00324B33" w:rsidP="00CD1C52">
      <w:pPr>
        <w:pStyle w:val="TableTitle"/>
      </w:pPr>
      <w:r w:rsidRPr="00467BE8">
        <w:t xml:space="preserve">Table </w:t>
      </w:r>
      <w:r w:rsidR="005C0122">
        <w:fldChar w:fldCharType="begin"/>
      </w:r>
      <w:r w:rsidR="005C0122">
        <w:instrText xml:space="preserve"> SEQ Table \* ARABIC </w:instrText>
      </w:r>
      <w:r w:rsidR="005C0122">
        <w:fldChar w:fldCharType="separate"/>
      </w:r>
      <w:r w:rsidR="000022F7">
        <w:rPr>
          <w:noProof/>
        </w:rPr>
        <w:t>2</w:t>
      </w:r>
      <w:r w:rsidR="005C0122">
        <w:rPr>
          <w:noProof/>
        </w:rPr>
        <w:fldChar w:fldCharType="end"/>
      </w:r>
      <w:r w:rsidRPr="00467BE8">
        <w:t xml:space="preserve">: Timeline for Submission </w:t>
      </w:r>
      <w:r w:rsidR="00282C14" w:rsidRPr="00467BE8">
        <w:t>PM-2023-03611-1-2</w:t>
      </w:r>
    </w:p>
    <w:tbl>
      <w:tblPr>
        <w:tblStyle w:val="TableTGAblue2023"/>
        <w:tblW w:w="8780" w:type="dxa"/>
        <w:tblLook w:val="04A0" w:firstRow="1" w:lastRow="0" w:firstColumn="1" w:lastColumn="0" w:noHBand="0" w:noVBand="1"/>
      </w:tblPr>
      <w:tblGrid>
        <w:gridCol w:w="4390"/>
        <w:gridCol w:w="4390"/>
      </w:tblGrid>
      <w:tr w:rsidR="00C22214" w:rsidRPr="00467BE8"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467BE8" w:rsidRDefault="00C22214" w:rsidP="00C22214">
            <w:pPr>
              <w:rPr>
                <w:szCs w:val="22"/>
              </w:rPr>
            </w:pPr>
            <w:r w:rsidRPr="00467BE8">
              <w:rPr>
                <w:szCs w:val="22"/>
              </w:rPr>
              <w:t>Description</w:t>
            </w:r>
          </w:p>
        </w:tc>
        <w:tc>
          <w:tcPr>
            <w:tcW w:w="4390" w:type="dxa"/>
          </w:tcPr>
          <w:p w14:paraId="0F55D5BA" w14:textId="780CEEDC" w:rsidR="00C22214" w:rsidRPr="00467BE8"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467BE8">
              <w:rPr>
                <w:szCs w:val="22"/>
              </w:rPr>
              <w:t>Date</w:t>
            </w:r>
          </w:p>
        </w:tc>
      </w:tr>
      <w:tr w:rsidR="00C22214" w:rsidRPr="00467BE8"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2CD65A5B" w:rsidR="00C22214" w:rsidRPr="00467BE8" w:rsidRDefault="00C22214" w:rsidP="00C22214">
            <w:pPr>
              <w:rPr>
                <w:szCs w:val="22"/>
              </w:rPr>
            </w:pPr>
            <w:r w:rsidRPr="00467BE8">
              <w:rPr>
                <w:szCs w:val="22"/>
              </w:rPr>
              <w:t>Submission dossier accepted and first round evaluation commenced</w:t>
            </w:r>
          </w:p>
        </w:tc>
        <w:tc>
          <w:tcPr>
            <w:tcW w:w="4390" w:type="dxa"/>
          </w:tcPr>
          <w:p w14:paraId="026568FA" w14:textId="00DD1F24" w:rsidR="00C22214" w:rsidRPr="00467BE8" w:rsidRDefault="00934248"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23 August 2023</w:t>
            </w:r>
          </w:p>
        </w:tc>
      </w:tr>
      <w:tr w:rsidR="00C22214" w:rsidRPr="00467BE8" w14:paraId="66817B4D"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43F1966F" w14:textId="36552DC6" w:rsidR="00C22214" w:rsidRPr="00467BE8" w:rsidRDefault="00C22214" w:rsidP="00C22214">
            <w:pPr>
              <w:rPr>
                <w:szCs w:val="22"/>
              </w:rPr>
            </w:pPr>
            <w:r w:rsidRPr="00467BE8">
              <w:rPr>
                <w:szCs w:val="22"/>
              </w:rPr>
              <w:t>Evaluation completed</w:t>
            </w:r>
          </w:p>
        </w:tc>
        <w:tc>
          <w:tcPr>
            <w:tcW w:w="4390" w:type="dxa"/>
          </w:tcPr>
          <w:p w14:paraId="2624F31D" w14:textId="5C8A37CA" w:rsidR="00C22214" w:rsidRPr="00467BE8" w:rsidRDefault="002B2232"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29 September 2023</w:t>
            </w:r>
          </w:p>
        </w:tc>
      </w:tr>
      <w:tr w:rsidR="00C22214" w:rsidRPr="00467BE8"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030FE04E" w:rsidR="00C22214" w:rsidRPr="00467BE8" w:rsidRDefault="00C22214" w:rsidP="00C22214">
            <w:pPr>
              <w:rPr>
                <w:szCs w:val="22"/>
              </w:rPr>
            </w:pPr>
            <w:r w:rsidRPr="00467BE8">
              <w:rPr>
                <w:color w:val="000000" w:themeColor="text1"/>
                <w:szCs w:val="22"/>
              </w:rPr>
              <w:t>Delegate’s Overall benefit-risk assessment and request for Advisory Committee advice</w:t>
            </w:r>
          </w:p>
        </w:tc>
        <w:tc>
          <w:tcPr>
            <w:tcW w:w="4390" w:type="dxa"/>
          </w:tcPr>
          <w:p w14:paraId="712B89B3" w14:textId="24E99518" w:rsidR="00C22214" w:rsidRPr="00467BE8" w:rsidRDefault="006F1D22"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29 September 2023</w:t>
            </w:r>
          </w:p>
        </w:tc>
      </w:tr>
      <w:tr w:rsidR="00C22214" w:rsidRPr="00467BE8"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67CFF919" w:rsidR="00C22214" w:rsidRPr="00467BE8" w:rsidRDefault="00C22214" w:rsidP="00C22214">
            <w:pPr>
              <w:rPr>
                <w:szCs w:val="22"/>
              </w:rPr>
            </w:pPr>
            <w:r w:rsidRPr="00467BE8">
              <w:rPr>
                <w:szCs w:val="22"/>
              </w:rPr>
              <w:t>Sponsor’s pre-Advisory Committee response</w:t>
            </w:r>
          </w:p>
        </w:tc>
        <w:tc>
          <w:tcPr>
            <w:tcW w:w="4390" w:type="dxa"/>
          </w:tcPr>
          <w:p w14:paraId="69631301" w14:textId="2884753C" w:rsidR="00C22214" w:rsidRPr="00467BE8" w:rsidRDefault="006F1D22"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2 October 2023</w:t>
            </w:r>
          </w:p>
        </w:tc>
      </w:tr>
      <w:tr w:rsidR="00C22214" w:rsidRPr="00467BE8"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467BE8" w:rsidRDefault="00C22214" w:rsidP="00C22214">
            <w:pPr>
              <w:rPr>
                <w:szCs w:val="22"/>
              </w:rPr>
            </w:pPr>
            <w:r w:rsidRPr="00467BE8">
              <w:rPr>
                <w:szCs w:val="22"/>
              </w:rPr>
              <w:t>Advisory Committee meeting</w:t>
            </w:r>
          </w:p>
        </w:tc>
        <w:tc>
          <w:tcPr>
            <w:tcW w:w="4390" w:type="dxa"/>
          </w:tcPr>
          <w:p w14:paraId="6B8655BD" w14:textId="128B65DE" w:rsidR="00C22214" w:rsidRPr="00467BE8" w:rsidRDefault="006F1D22"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4 October 2023</w:t>
            </w:r>
          </w:p>
        </w:tc>
      </w:tr>
      <w:tr w:rsidR="00C22214" w:rsidRPr="00467BE8"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3E1743AE" w:rsidR="00C22214" w:rsidRPr="00467BE8" w:rsidRDefault="00C22214" w:rsidP="00C22214">
            <w:pPr>
              <w:rPr>
                <w:szCs w:val="22"/>
              </w:rPr>
            </w:pPr>
            <w:r w:rsidRPr="00467BE8">
              <w:rPr>
                <w:szCs w:val="22"/>
              </w:rPr>
              <w:t>Registration decision (Outcome)</w:t>
            </w:r>
          </w:p>
        </w:tc>
        <w:tc>
          <w:tcPr>
            <w:tcW w:w="4390" w:type="dxa"/>
          </w:tcPr>
          <w:p w14:paraId="472C5C42" w14:textId="2D34828F" w:rsidR="00C22214" w:rsidRPr="00467BE8" w:rsidRDefault="00934248"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6 October 2023</w:t>
            </w:r>
          </w:p>
        </w:tc>
      </w:tr>
      <w:tr w:rsidR="00C22214" w:rsidRPr="00467BE8" w14:paraId="7545F43F"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A313219" w14:textId="13622BD8" w:rsidR="00C22214" w:rsidRPr="00467BE8" w:rsidRDefault="0013132F" w:rsidP="00C22214">
            <w:pPr>
              <w:rPr>
                <w:szCs w:val="22"/>
              </w:rPr>
            </w:pPr>
            <w:r w:rsidRPr="00467BE8">
              <w:t>Administrative activities and registration on the ARTG completed</w:t>
            </w:r>
          </w:p>
        </w:tc>
        <w:tc>
          <w:tcPr>
            <w:tcW w:w="4390" w:type="dxa"/>
          </w:tcPr>
          <w:p w14:paraId="6C5BA7F2" w14:textId="3896D3A0" w:rsidR="00C22214" w:rsidRPr="00467BE8" w:rsidRDefault="007C50F1" w:rsidP="00C22214">
            <w:pPr>
              <w:cnfStyle w:val="000000000000" w:firstRow="0" w:lastRow="0" w:firstColumn="0" w:lastColumn="0" w:oddVBand="0" w:evenVBand="0" w:oddHBand="0" w:evenHBand="0" w:firstRowFirstColumn="0" w:firstRowLastColumn="0" w:lastRowFirstColumn="0" w:lastRowLastColumn="0"/>
              <w:rPr>
                <w:szCs w:val="22"/>
              </w:rPr>
            </w:pPr>
            <w:r w:rsidRPr="007C50F1">
              <w:rPr>
                <w:color w:val="000000" w:themeColor="text1"/>
                <w:szCs w:val="22"/>
              </w:rPr>
              <w:t>10 October 2023</w:t>
            </w:r>
          </w:p>
        </w:tc>
      </w:tr>
      <w:tr w:rsidR="00C22214" w:rsidRPr="00467BE8" w14:paraId="2B3F361E"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FD7EBAF" w14:textId="261EDACC" w:rsidR="00C22214" w:rsidRPr="00467BE8" w:rsidRDefault="00C22214" w:rsidP="00C22214">
            <w:pPr>
              <w:rPr>
                <w:szCs w:val="22"/>
              </w:rPr>
            </w:pPr>
            <w:r w:rsidRPr="00467BE8">
              <w:rPr>
                <w:szCs w:val="22"/>
              </w:rPr>
              <w:t>Number of working days from submission dossier acceptance to registration decision*</w:t>
            </w:r>
          </w:p>
        </w:tc>
        <w:tc>
          <w:tcPr>
            <w:tcW w:w="4390" w:type="dxa"/>
          </w:tcPr>
          <w:p w14:paraId="397960F5" w14:textId="4C320181" w:rsidR="00C22214" w:rsidRPr="00467BE8" w:rsidRDefault="002B2232" w:rsidP="00C22214">
            <w:pPr>
              <w:cnfStyle w:val="000000000000" w:firstRow="0" w:lastRow="0" w:firstColumn="0" w:lastColumn="0" w:oddVBand="0" w:evenVBand="0" w:oddHBand="0" w:evenHBand="0" w:firstRowFirstColumn="0" w:firstRowLastColumn="0" w:lastRowFirstColumn="0" w:lastRowLastColumn="0"/>
              <w:rPr>
                <w:szCs w:val="22"/>
              </w:rPr>
            </w:pPr>
            <w:r w:rsidRPr="00467BE8">
              <w:rPr>
                <w:szCs w:val="22"/>
              </w:rPr>
              <w:t>32</w:t>
            </w:r>
          </w:p>
        </w:tc>
      </w:tr>
    </w:tbl>
    <w:p w14:paraId="34E07584" w14:textId="77777777" w:rsidR="00C22214" w:rsidRPr="00467BE8" w:rsidRDefault="00C22214" w:rsidP="00C22214">
      <w:pPr>
        <w:pStyle w:val="TableDescription"/>
      </w:pPr>
      <w:r w:rsidRPr="00467BE8">
        <w:t>*Statutory timeframe for standard submissions is 255 working days</w:t>
      </w:r>
    </w:p>
    <w:p w14:paraId="220925F1" w14:textId="77777777" w:rsidR="00C22214" w:rsidRPr="00467BE8" w:rsidRDefault="00C22214" w:rsidP="00C22214">
      <w:pPr>
        <w:pStyle w:val="Heading2"/>
      </w:pPr>
      <w:bookmarkStart w:id="37" w:name="_Toc196046504"/>
      <w:bookmarkStart w:id="38" w:name="_Toc247691527"/>
      <w:bookmarkStart w:id="39" w:name="_Toc314842510"/>
      <w:bookmarkStart w:id="40" w:name="_Toc103679294"/>
      <w:bookmarkStart w:id="41" w:name="_Toc147997696"/>
      <w:r w:rsidRPr="00467BE8">
        <w:lastRenderedPageBreak/>
        <w:t>Submission overview and risk/benefit assessment</w:t>
      </w:r>
      <w:bookmarkEnd w:id="37"/>
      <w:bookmarkEnd w:id="38"/>
      <w:bookmarkEnd w:id="39"/>
      <w:bookmarkEnd w:id="40"/>
      <w:bookmarkEnd w:id="41"/>
    </w:p>
    <w:p w14:paraId="540151FC" w14:textId="77777777" w:rsidR="00C22214" w:rsidRPr="00467BE8" w:rsidRDefault="00C22214" w:rsidP="00BD5DBD">
      <w:pPr>
        <w:rPr>
          <w:szCs w:val="22"/>
        </w:rPr>
      </w:pPr>
      <w:bookmarkStart w:id="42" w:name="_Toc247691528"/>
      <w:bookmarkStart w:id="43" w:name="_Toc314842511"/>
      <w:r w:rsidRPr="00467BE8">
        <w:rPr>
          <w:szCs w:val="22"/>
        </w:rPr>
        <w:t>A summary of the TGA’s assessment for this submission is provided below.</w:t>
      </w:r>
    </w:p>
    <w:p w14:paraId="2F7F0BD4" w14:textId="32BFBCC4" w:rsidR="00C22214" w:rsidRPr="00467BE8" w:rsidRDefault="007072A1" w:rsidP="00282C14">
      <w:r w:rsidRPr="00467BE8">
        <w:rPr>
          <w:szCs w:val="22"/>
        </w:rPr>
        <w:t>Relevant guidelines or guidance documents referred to by the Delegate are listed below:</w:t>
      </w:r>
    </w:p>
    <w:p w14:paraId="248F1728" w14:textId="6B10BC0F" w:rsidR="00282C14" w:rsidRPr="00467BE8" w:rsidRDefault="002B2232" w:rsidP="009178AD">
      <w:pPr>
        <w:pStyle w:val="ListBullet"/>
      </w:pPr>
      <w:r w:rsidRPr="00467BE8">
        <w:t>Department of Health and Aged Care,</w:t>
      </w:r>
      <w:r w:rsidR="00282C14" w:rsidRPr="00467BE8">
        <w:t xml:space="preserve"> </w:t>
      </w:r>
      <w:hyperlink r:id="rId22" w:history="1">
        <w:r w:rsidRPr="00467BE8">
          <w:rPr>
            <w:rStyle w:val="Hyperlink"/>
          </w:rPr>
          <w:t>Access Consortium Statement On Covid-19 Vaccines Evidence</w:t>
        </w:r>
      </w:hyperlink>
      <w:r w:rsidRPr="00467BE8">
        <w:t>, 4 December 2020. (</w:t>
      </w:r>
      <w:r w:rsidR="00282C14" w:rsidRPr="00467BE8">
        <w:t>TGA-adopted guidance</w:t>
      </w:r>
      <w:r w:rsidRPr="00467BE8">
        <w:t>)</w:t>
      </w:r>
    </w:p>
    <w:p w14:paraId="10016296" w14:textId="60B4861A" w:rsidR="00282C14" w:rsidRPr="00467BE8" w:rsidRDefault="002B2232" w:rsidP="00CA4797">
      <w:pPr>
        <w:pStyle w:val="ListBullet"/>
      </w:pPr>
      <w:r w:rsidRPr="00467BE8">
        <w:t>Department of Health and Aged Care,</w:t>
      </w:r>
      <w:r w:rsidR="00282C14" w:rsidRPr="00467BE8">
        <w:t xml:space="preserve"> </w:t>
      </w:r>
      <w:hyperlink r:id="rId23" w:history="1">
        <w:r w:rsidRPr="00467BE8">
          <w:rPr>
            <w:rStyle w:val="Hyperlink"/>
          </w:rPr>
          <w:t xml:space="preserve">ACCESS </w:t>
        </w:r>
        <w:r w:rsidR="00282C14" w:rsidRPr="00467BE8">
          <w:rPr>
            <w:rStyle w:val="Hyperlink"/>
          </w:rPr>
          <w:t>Consortium: Alignment with ICMRA consensus on immunobridging for authorising new COVID-19 vaccines</w:t>
        </w:r>
      </w:hyperlink>
      <w:r w:rsidRPr="00467BE8">
        <w:t>,</w:t>
      </w:r>
      <w:r w:rsidR="00282C14" w:rsidRPr="00467BE8">
        <w:t xml:space="preserve"> </w:t>
      </w:r>
      <w:r w:rsidRPr="00467BE8">
        <w:t>14 September 2021.</w:t>
      </w:r>
      <w:r w:rsidR="00282C14" w:rsidRPr="00467BE8">
        <w:t xml:space="preserve"> </w:t>
      </w:r>
      <w:r w:rsidRPr="00467BE8">
        <w:t>(</w:t>
      </w:r>
      <w:r w:rsidR="00282C14" w:rsidRPr="00467BE8">
        <w:t>TGA-adopted guidance</w:t>
      </w:r>
      <w:r w:rsidRPr="00467BE8">
        <w:t>)</w:t>
      </w:r>
    </w:p>
    <w:p w14:paraId="33EE29FD" w14:textId="1E06BA9B" w:rsidR="00282C14" w:rsidRPr="00467BE8" w:rsidRDefault="002B2232" w:rsidP="00E23693">
      <w:pPr>
        <w:pStyle w:val="ListBullet"/>
      </w:pPr>
      <w:r w:rsidRPr="00467BE8">
        <w:t>European Medicines Agency (</w:t>
      </w:r>
      <w:r w:rsidR="00282C14" w:rsidRPr="00467BE8">
        <w:t>EMEA</w:t>
      </w:r>
      <w:r w:rsidRPr="00467BE8">
        <w:t>), Committee for Medicinal Products for Human Use (CHMP),</w:t>
      </w:r>
      <w:r w:rsidR="00282C14" w:rsidRPr="00467BE8">
        <w:t xml:space="preserve"> </w:t>
      </w:r>
      <w:hyperlink r:id="rId24" w:history="1">
        <w:r w:rsidR="00282C14" w:rsidRPr="00467BE8">
          <w:rPr>
            <w:rStyle w:val="Hyperlink"/>
          </w:rPr>
          <w:t xml:space="preserve">Guidelines </w:t>
        </w:r>
        <w:r w:rsidRPr="00467BE8">
          <w:rPr>
            <w:rStyle w:val="Hyperlink"/>
          </w:rPr>
          <w:t>on Clinical Evaluation of New Vaccines</w:t>
        </w:r>
      </w:hyperlink>
      <w:r w:rsidRPr="00467BE8">
        <w:t xml:space="preserve">, </w:t>
      </w:r>
      <w:r w:rsidR="00282C14" w:rsidRPr="00467BE8">
        <w:t>EMEA/CHMP/VWP/164653/2005</w:t>
      </w:r>
      <w:r w:rsidRPr="00467BE8">
        <w:t>,</w:t>
      </w:r>
      <w:r w:rsidRPr="00467BE8">
        <w:rPr>
          <w:rStyle w:val="Hyperlink"/>
        </w:rPr>
        <w:t xml:space="preserve"> </w:t>
      </w:r>
      <w:r w:rsidRPr="00467BE8">
        <w:t>18 October 2006</w:t>
      </w:r>
      <w:r w:rsidR="00282C14" w:rsidRPr="00467BE8">
        <w:t xml:space="preserve">. </w:t>
      </w:r>
      <w:r w:rsidRPr="00467BE8">
        <w:t>(</w:t>
      </w:r>
      <w:r w:rsidR="00282C14" w:rsidRPr="00467BE8">
        <w:t>TGA-adopted guidance</w:t>
      </w:r>
      <w:r w:rsidRPr="00467BE8">
        <w:t>)</w:t>
      </w:r>
    </w:p>
    <w:p w14:paraId="10567FF9" w14:textId="1C875920" w:rsidR="00282C14" w:rsidRPr="00467BE8" w:rsidRDefault="002B2232" w:rsidP="00282C14">
      <w:pPr>
        <w:pStyle w:val="ListBullet"/>
      </w:pPr>
      <w:r w:rsidRPr="00467BE8">
        <w:t xml:space="preserve">European Medicines Agency (EMEA), Committee for Medicinal Products for Human Use (CHMP), </w:t>
      </w:r>
      <w:hyperlink r:id="rId25" w:history="1">
        <w:r w:rsidR="00282C14" w:rsidRPr="00467BE8">
          <w:rPr>
            <w:rStyle w:val="Hyperlink"/>
          </w:rPr>
          <w:t>EMA considerations on COVID-19 vaccine approval</w:t>
        </w:r>
      </w:hyperlink>
      <w:r w:rsidRPr="00467BE8">
        <w:t xml:space="preserve">, </w:t>
      </w:r>
      <w:r w:rsidR="00282C14" w:rsidRPr="00467BE8">
        <w:t>EMA/592928/2020</w:t>
      </w:r>
      <w:r w:rsidRPr="00467BE8">
        <w:t>, 16 November 2020.</w:t>
      </w:r>
    </w:p>
    <w:p w14:paraId="61782A87" w14:textId="461FB103" w:rsidR="00282C14" w:rsidRPr="00467BE8" w:rsidRDefault="00282C14" w:rsidP="00282C14">
      <w:pPr>
        <w:pStyle w:val="ListBullet"/>
      </w:pPr>
      <w:r w:rsidRPr="00467BE8">
        <w:t>U</w:t>
      </w:r>
      <w:r w:rsidR="002B2232" w:rsidRPr="00467BE8">
        <w:t>nited States Food and Drug Administration (</w:t>
      </w:r>
      <w:r w:rsidRPr="00467BE8">
        <w:t>FDA</w:t>
      </w:r>
      <w:r w:rsidR="002B2232" w:rsidRPr="00467BE8">
        <w:t>),</w:t>
      </w:r>
      <w:r w:rsidRPr="00467BE8">
        <w:t xml:space="preserve"> </w:t>
      </w:r>
      <w:hyperlink r:id="rId26" w:history="1">
        <w:r w:rsidRPr="00467BE8">
          <w:rPr>
            <w:rStyle w:val="Hyperlink"/>
          </w:rPr>
          <w:t xml:space="preserve">Development and </w:t>
        </w:r>
        <w:r w:rsidR="002B2232" w:rsidRPr="00467BE8">
          <w:rPr>
            <w:rStyle w:val="Hyperlink"/>
          </w:rPr>
          <w:t xml:space="preserve">Licensure </w:t>
        </w:r>
        <w:r w:rsidRPr="00467BE8">
          <w:rPr>
            <w:rStyle w:val="Hyperlink"/>
          </w:rPr>
          <w:t xml:space="preserve">of </w:t>
        </w:r>
        <w:r w:rsidR="002B2232" w:rsidRPr="00467BE8">
          <w:rPr>
            <w:rStyle w:val="Hyperlink"/>
          </w:rPr>
          <w:t xml:space="preserve">Vaccines </w:t>
        </w:r>
        <w:r w:rsidRPr="00467BE8">
          <w:rPr>
            <w:rStyle w:val="Hyperlink"/>
          </w:rPr>
          <w:t xml:space="preserve">to </w:t>
        </w:r>
        <w:r w:rsidR="002B2232" w:rsidRPr="00467BE8">
          <w:rPr>
            <w:rStyle w:val="Hyperlink"/>
          </w:rPr>
          <w:t xml:space="preserve">Prevent </w:t>
        </w:r>
        <w:r w:rsidRPr="00467BE8">
          <w:rPr>
            <w:rStyle w:val="Hyperlink"/>
          </w:rPr>
          <w:t xml:space="preserve">COVID-19: </w:t>
        </w:r>
        <w:r w:rsidR="002B2232" w:rsidRPr="00467BE8">
          <w:rPr>
            <w:rStyle w:val="Hyperlink"/>
          </w:rPr>
          <w:t>Guidance for Industry</w:t>
        </w:r>
      </w:hyperlink>
      <w:r w:rsidR="002B2232" w:rsidRPr="00467BE8">
        <w:rPr>
          <w:rStyle w:val="Hyperlink"/>
        </w:rPr>
        <w:t xml:space="preserve">, </w:t>
      </w:r>
      <w:r w:rsidRPr="00467BE8">
        <w:t>June 2020</w:t>
      </w:r>
      <w:r w:rsidR="002B2232" w:rsidRPr="00467BE8">
        <w:t>.</w:t>
      </w:r>
    </w:p>
    <w:p w14:paraId="5A046A4A" w14:textId="6D4EE073" w:rsidR="00282C14" w:rsidRPr="00467BE8" w:rsidRDefault="002B2232" w:rsidP="00282C14">
      <w:pPr>
        <w:pStyle w:val="ListBullet"/>
      </w:pPr>
      <w:r w:rsidRPr="00467BE8">
        <w:t>United States Food and Drug Administration (FDA),</w:t>
      </w:r>
      <w:r w:rsidR="00282C14" w:rsidRPr="00467BE8">
        <w:t xml:space="preserve"> </w:t>
      </w:r>
      <w:hyperlink r:id="rId27" w:history="1">
        <w:r w:rsidR="00282C14" w:rsidRPr="00467BE8">
          <w:rPr>
            <w:rStyle w:val="Hyperlink"/>
          </w:rPr>
          <w:t xml:space="preserve">Emergency </w:t>
        </w:r>
        <w:r w:rsidRPr="00467BE8">
          <w:rPr>
            <w:rStyle w:val="Hyperlink"/>
          </w:rPr>
          <w:t>Use Authorization for Vaccines to Prevent</w:t>
        </w:r>
        <w:r w:rsidR="00282C14" w:rsidRPr="00467BE8">
          <w:rPr>
            <w:rStyle w:val="Hyperlink"/>
          </w:rPr>
          <w:t xml:space="preserve"> COVID-19: </w:t>
        </w:r>
        <w:r w:rsidRPr="00467BE8">
          <w:rPr>
            <w:rStyle w:val="Hyperlink"/>
          </w:rPr>
          <w:t>Guidance for Industry</w:t>
        </w:r>
      </w:hyperlink>
      <w:r w:rsidRPr="00467BE8">
        <w:rPr>
          <w:rStyle w:val="Hyperlink"/>
        </w:rPr>
        <w:t xml:space="preserve">, </w:t>
      </w:r>
      <w:r w:rsidR="00282C14" w:rsidRPr="00467BE8">
        <w:t>25</w:t>
      </w:r>
      <w:r w:rsidRPr="00467BE8">
        <w:t xml:space="preserve"> May </w:t>
      </w:r>
      <w:r w:rsidR="00282C14" w:rsidRPr="00467BE8">
        <w:t>2021</w:t>
      </w:r>
      <w:r w:rsidRPr="00467BE8">
        <w:t>.</w:t>
      </w:r>
    </w:p>
    <w:p w14:paraId="766E6C46" w14:textId="1B3E978F" w:rsidR="00282C14" w:rsidRPr="00467BE8" w:rsidRDefault="002B2232" w:rsidP="00282C14">
      <w:pPr>
        <w:pStyle w:val="ListBullet"/>
      </w:pPr>
      <w:r w:rsidRPr="00467BE8">
        <w:t xml:space="preserve">United States Food and Drug Administration (FDA), </w:t>
      </w:r>
      <w:hyperlink r:id="rId28" w:history="1">
        <w:r w:rsidR="00282C14" w:rsidRPr="00467BE8">
          <w:rPr>
            <w:rStyle w:val="Hyperlink"/>
          </w:rPr>
          <w:t>COVID</w:t>
        </w:r>
        <w:r w:rsidRPr="00467BE8">
          <w:rPr>
            <w:rStyle w:val="Hyperlink"/>
          </w:rPr>
          <w:t>-19: Developing Drugs and Biological Products for Treatment or Prevention: Guidance for Industry</w:t>
        </w:r>
      </w:hyperlink>
      <w:r w:rsidRPr="00467BE8">
        <w:rPr>
          <w:rStyle w:val="Hyperlink"/>
        </w:rPr>
        <w:t xml:space="preserve">, </w:t>
      </w:r>
      <w:r w:rsidR="00282C14" w:rsidRPr="00467BE8">
        <w:t>February 2021</w:t>
      </w:r>
      <w:r w:rsidRPr="00467BE8">
        <w:t>.</w:t>
      </w:r>
    </w:p>
    <w:p w14:paraId="053CC001" w14:textId="4AEBC90D" w:rsidR="00282C14" w:rsidRPr="00467BE8" w:rsidRDefault="002B2232" w:rsidP="00282C14">
      <w:pPr>
        <w:pStyle w:val="ListBullet"/>
        <w:rPr>
          <w:lang w:eastAsia="ja-JP"/>
        </w:rPr>
      </w:pPr>
      <w:r w:rsidRPr="00467BE8">
        <w:rPr>
          <w:lang w:eastAsia="ja-JP"/>
        </w:rPr>
        <w:t>World Health Organization (</w:t>
      </w:r>
      <w:r w:rsidR="00282C14" w:rsidRPr="00467BE8">
        <w:rPr>
          <w:lang w:eastAsia="ja-JP"/>
        </w:rPr>
        <w:t>WHO</w:t>
      </w:r>
      <w:r w:rsidRPr="00467BE8">
        <w:rPr>
          <w:lang w:eastAsia="ja-JP"/>
        </w:rPr>
        <w:t>)</w:t>
      </w:r>
      <w:r w:rsidR="00282C14" w:rsidRPr="00467BE8">
        <w:rPr>
          <w:lang w:eastAsia="ja-JP"/>
        </w:rPr>
        <w:t xml:space="preserve">: </w:t>
      </w:r>
      <w:hyperlink r:id="rId29" w:history="1">
        <w:r w:rsidR="00282C14" w:rsidRPr="00467BE8">
          <w:rPr>
            <w:rStyle w:val="Hyperlink"/>
          </w:rPr>
          <w:t xml:space="preserve">Design </w:t>
        </w:r>
        <w:r w:rsidRPr="00467BE8">
          <w:rPr>
            <w:rStyle w:val="Hyperlink"/>
          </w:rPr>
          <w:t>of Vaccine Efficacy Trials to Be Used During Public Health Emergencies – Points of Consideration and Key Principles</w:t>
        </w:r>
      </w:hyperlink>
      <w:r w:rsidRPr="00467BE8">
        <w:rPr>
          <w:rStyle w:val="Hyperlink"/>
        </w:rPr>
        <w:t xml:space="preserve">, </w:t>
      </w:r>
      <w:r w:rsidR="00282C14" w:rsidRPr="00467BE8">
        <w:rPr>
          <w:lang w:eastAsia="ja-JP"/>
        </w:rPr>
        <w:t>not dated.</w:t>
      </w:r>
    </w:p>
    <w:p w14:paraId="37F5A1C0" w14:textId="77777777" w:rsidR="00C22214" w:rsidRPr="00467BE8" w:rsidRDefault="00C22214" w:rsidP="00C22214">
      <w:pPr>
        <w:pStyle w:val="Heading3"/>
      </w:pPr>
      <w:bookmarkStart w:id="44" w:name="_Toc103679295"/>
      <w:bookmarkStart w:id="45" w:name="_Toc147997697"/>
      <w:r w:rsidRPr="00467BE8">
        <w:t>Quality</w:t>
      </w:r>
      <w:bookmarkEnd w:id="42"/>
      <w:bookmarkEnd w:id="43"/>
      <w:bookmarkEnd w:id="44"/>
      <w:bookmarkEnd w:id="45"/>
    </w:p>
    <w:p w14:paraId="260FD097" w14:textId="0EE2EA06" w:rsidR="00282C14" w:rsidRPr="00467BE8" w:rsidRDefault="00282C14" w:rsidP="00282C14">
      <w:r w:rsidRPr="00467BE8">
        <w:t xml:space="preserve">The </w:t>
      </w:r>
      <w:r w:rsidR="00C3166E" w:rsidRPr="00467BE8">
        <w:t xml:space="preserve">quality evaluation </w:t>
      </w:r>
      <w:r w:rsidRPr="00467BE8">
        <w:t xml:space="preserve">has confirmed that </w:t>
      </w:r>
      <w:r w:rsidR="00C3166E" w:rsidRPr="00467BE8">
        <w:t>t</w:t>
      </w:r>
      <w:r w:rsidRPr="00467BE8">
        <w:t xml:space="preserve">he </w:t>
      </w:r>
      <w:r w:rsidR="00C3166E" w:rsidRPr="00467BE8">
        <w:t>s</w:t>
      </w:r>
      <w:r w:rsidRPr="00467BE8">
        <w:t xml:space="preserve">ponsor has provided adequate information to ensure the product’s quality under the registration. It is recommended that the following products are suitable for approval </w:t>
      </w:r>
      <w:proofErr w:type="gramStart"/>
      <w:r w:rsidRPr="00467BE8">
        <w:t>with regard to</w:t>
      </w:r>
      <w:proofErr w:type="gramEnd"/>
      <w:r w:rsidRPr="00467BE8">
        <w:t xml:space="preserve"> manufacturing quality, however there are specific conditions for approval:</w:t>
      </w:r>
    </w:p>
    <w:p w14:paraId="47C1ED79" w14:textId="3A9DCC84" w:rsidR="00282C14" w:rsidRPr="00467BE8" w:rsidRDefault="00C3166E" w:rsidP="00C3166E">
      <w:pPr>
        <w:pStyle w:val="ListBullet"/>
      </w:pPr>
      <w:r w:rsidRPr="00467BE8">
        <w:t xml:space="preserve">Spikevax </w:t>
      </w:r>
      <w:r w:rsidR="00282C14" w:rsidRPr="00467BE8">
        <w:t>XBB.1.5 (andusomeran) COVID-19 vaccine 0.1 mg/mL suspension for injection pre</w:t>
      </w:r>
      <w:r w:rsidR="00282C14" w:rsidRPr="00467BE8">
        <w:noBreakHyphen/>
        <w:t xml:space="preserve">filled syringe </w:t>
      </w:r>
      <w:r w:rsidRPr="00467BE8">
        <w:t xml:space="preserve">(ARTG number: </w:t>
      </w:r>
      <w:r w:rsidR="00282C14" w:rsidRPr="00467BE8">
        <w:t>418911</w:t>
      </w:r>
      <w:r w:rsidRPr="00467BE8">
        <w:t>)</w:t>
      </w:r>
    </w:p>
    <w:p w14:paraId="75C012C5" w14:textId="022DC6C7" w:rsidR="00282C14" w:rsidRPr="00467BE8" w:rsidRDefault="00C3166E" w:rsidP="00C3166E">
      <w:pPr>
        <w:pStyle w:val="ListBullet"/>
      </w:pPr>
      <w:r w:rsidRPr="00467BE8">
        <w:t xml:space="preserve">Spikevax </w:t>
      </w:r>
      <w:r w:rsidR="00282C14" w:rsidRPr="00467BE8">
        <w:t xml:space="preserve">XBB.1.5 (andusomeran) COVID-19 vaccine 0.1 mg/mL suspension for injection </w:t>
      </w:r>
      <w:r w:rsidRPr="00467BE8">
        <w:t xml:space="preserve">single dose </w:t>
      </w:r>
      <w:r w:rsidR="00282C14" w:rsidRPr="00467BE8">
        <w:t>vial</w:t>
      </w:r>
      <w:r w:rsidRPr="00467BE8">
        <w:t xml:space="preserve"> (ARTG number: </w:t>
      </w:r>
      <w:r w:rsidR="00282C14" w:rsidRPr="00467BE8">
        <w:t>418910</w:t>
      </w:r>
      <w:r w:rsidRPr="00467BE8">
        <w:t>).</w:t>
      </w:r>
    </w:p>
    <w:p w14:paraId="649D0B45" w14:textId="048A5D78" w:rsidR="00282C14" w:rsidRPr="00467BE8" w:rsidRDefault="00282C14" w:rsidP="00282C14">
      <w:pPr>
        <w:pStyle w:val="Heading4"/>
      </w:pPr>
      <w:bookmarkStart w:id="46" w:name="_Toc147997698"/>
      <w:r w:rsidRPr="00467BE8">
        <w:t>Quality related proposed conditions of registration</w:t>
      </w:r>
      <w:bookmarkEnd w:id="46"/>
    </w:p>
    <w:p w14:paraId="0E476DFC" w14:textId="6259CF69" w:rsidR="00282C14" w:rsidRPr="00467BE8" w:rsidRDefault="00282C14" w:rsidP="00282C14">
      <w:pPr>
        <w:pStyle w:val="ListBullet"/>
      </w:pPr>
      <w:r w:rsidRPr="00467BE8">
        <w:t xml:space="preserve">GMP </w:t>
      </w:r>
      <w:r w:rsidR="002B2232" w:rsidRPr="00467BE8">
        <w:t>[Good Manufacturing Practice]</w:t>
      </w:r>
      <w:r w:rsidR="002B2232" w:rsidRPr="00467BE8">
        <w:rPr>
          <w:rStyle w:val="FootnoteReference"/>
        </w:rPr>
        <w:footnoteReference w:id="5"/>
      </w:r>
      <w:r w:rsidR="002B2232" w:rsidRPr="00467BE8">
        <w:t xml:space="preserve"> </w:t>
      </w:r>
      <w:r w:rsidRPr="00467BE8">
        <w:t xml:space="preserve">clearance for listed manufacturers: All relevant manufacturing sites require approved and current GMP </w:t>
      </w:r>
      <w:r w:rsidR="00C3166E" w:rsidRPr="00467BE8">
        <w:t>c</w:t>
      </w:r>
      <w:r w:rsidRPr="00467BE8">
        <w:t xml:space="preserve">learances prior to Australian supply. A commitment is required from the </w:t>
      </w:r>
      <w:r w:rsidR="00C3166E" w:rsidRPr="00467BE8">
        <w:t>s</w:t>
      </w:r>
      <w:r w:rsidRPr="00467BE8">
        <w:t xml:space="preserve">ponsor that they maintain the validity of all </w:t>
      </w:r>
      <w:r w:rsidRPr="00467BE8">
        <w:lastRenderedPageBreak/>
        <w:t xml:space="preserve">manufacturer GMP </w:t>
      </w:r>
      <w:r w:rsidR="00C3166E" w:rsidRPr="00467BE8">
        <w:t>c</w:t>
      </w:r>
      <w:r w:rsidRPr="00467BE8">
        <w:t xml:space="preserve">learances for the duration of product supply to Australia. Additionally, that adherence to the conditions of GMP </w:t>
      </w:r>
      <w:r w:rsidR="00C3166E" w:rsidRPr="00467BE8">
        <w:t>c</w:t>
      </w:r>
      <w:r w:rsidRPr="00467BE8">
        <w:t>learance approval is upheld.</w:t>
      </w:r>
    </w:p>
    <w:p w14:paraId="65531052" w14:textId="77777777" w:rsidR="00282C14" w:rsidRPr="00467BE8" w:rsidRDefault="00282C14" w:rsidP="00282C14">
      <w:pPr>
        <w:pStyle w:val="ListBullet"/>
      </w:pPr>
      <w:r w:rsidRPr="00467BE8">
        <w:t>Post-approval stability protocol and stability commitment: The manufacturer has provided commitment to continue the ongoing stability studies presented in the stability studies protocol. Additionally, one (1) batch of drug product per year for all relevant products will be placed on long</w:t>
      </w:r>
      <w:r w:rsidRPr="00467BE8">
        <w:noBreakHyphen/>
        <w:t>term stability program and on accelerated stability testing where significant changes are made to the manufacturing process. The manufacturer has committed to communicate any out of specifications stability test results to the TGA.</w:t>
      </w:r>
    </w:p>
    <w:p w14:paraId="3EA60756" w14:textId="2396DD80" w:rsidR="00282C14" w:rsidRPr="00467BE8" w:rsidRDefault="00282C14" w:rsidP="00282C14">
      <w:pPr>
        <w:pStyle w:val="ListBullet"/>
      </w:pPr>
      <w:bookmarkStart w:id="47" w:name="_Toc146882576"/>
      <w:r w:rsidRPr="00467BE8">
        <w:t xml:space="preserve">Batch </w:t>
      </w:r>
      <w:r w:rsidR="00C3166E" w:rsidRPr="00467BE8">
        <w:t>release testing and compliance</w:t>
      </w:r>
      <w:bookmarkEnd w:id="47"/>
    </w:p>
    <w:p w14:paraId="02743727" w14:textId="27CA236C" w:rsidR="00282C14" w:rsidRPr="00467BE8" w:rsidRDefault="00282C14" w:rsidP="00282C14">
      <w:pPr>
        <w:pStyle w:val="ListBullet"/>
        <w:numPr>
          <w:ilvl w:val="0"/>
          <w:numId w:val="0"/>
        </w:numPr>
        <w:ind w:left="360"/>
      </w:pPr>
      <w:r w:rsidRPr="00467BE8">
        <w:t xml:space="preserve">It is a condition of registration that all independent batches of </w:t>
      </w:r>
      <w:r w:rsidR="00C3166E" w:rsidRPr="00467BE8">
        <w:t xml:space="preserve">Spikevax </w:t>
      </w:r>
      <w:r w:rsidRPr="00467BE8">
        <w:t xml:space="preserve">XBB.1.5 (andusomeran) COVID-19 </w:t>
      </w:r>
      <w:r w:rsidR="00C3166E" w:rsidRPr="00467BE8">
        <w:t xml:space="preserve">vaccine </w:t>
      </w:r>
      <w:r w:rsidRPr="00467BE8">
        <w:t xml:space="preserve">0.1 mg/mL suspension for injection pre-filled syringe </w:t>
      </w:r>
      <w:r w:rsidR="00C3166E" w:rsidRPr="00467BE8">
        <w:t>(</w:t>
      </w:r>
      <w:r w:rsidRPr="00467BE8">
        <w:t>AUST R</w:t>
      </w:r>
      <w:r w:rsidR="002B2232" w:rsidRPr="00467BE8">
        <w:rPr>
          <w:rStyle w:val="FootnoteReference"/>
        </w:rPr>
        <w:footnoteReference w:id="6"/>
      </w:r>
      <w:r w:rsidRPr="00467BE8">
        <w:t> 418911</w:t>
      </w:r>
      <w:r w:rsidR="00C3166E" w:rsidRPr="00467BE8">
        <w:t>)</w:t>
      </w:r>
      <w:r w:rsidRPr="00467BE8">
        <w:t xml:space="preserve"> and </w:t>
      </w:r>
      <w:r w:rsidR="00C3166E" w:rsidRPr="00467BE8">
        <w:t xml:space="preserve">Spikevax </w:t>
      </w:r>
      <w:r w:rsidRPr="00467BE8">
        <w:t>XBB.1.5 (andusomeran) COVID-19 vaccine 0.1 mg/mL suspension for injection vial</w:t>
      </w:r>
      <w:r w:rsidR="0055750D" w:rsidRPr="00467BE8">
        <w:t xml:space="preserve"> ‒ </w:t>
      </w:r>
      <w:r w:rsidRPr="00467BE8">
        <w:t>single</w:t>
      </w:r>
      <w:r w:rsidR="0055750D" w:rsidRPr="00467BE8">
        <w:t>-</w:t>
      </w:r>
      <w:r w:rsidRPr="00467BE8">
        <w:t xml:space="preserve">dose </w:t>
      </w:r>
      <w:r w:rsidR="00C3166E" w:rsidRPr="00467BE8">
        <w:t>(</w:t>
      </w:r>
      <w:r w:rsidRPr="00467BE8">
        <w:t>AUST R 418910</w:t>
      </w:r>
      <w:r w:rsidR="00C3166E" w:rsidRPr="00467BE8">
        <w:t>)</w:t>
      </w:r>
      <w:r w:rsidRPr="00467BE8">
        <w:t xml:space="preserve"> vaccine imported into Australia are not released for sale until samples and the manufacturer’s release data have been assessed and you have received notification acknowledging release from the Laboratories Branch, TGA.</w:t>
      </w:r>
    </w:p>
    <w:p w14:paraId="3F747C87" w14:textId="4E3861C8" w:rsidR="00282C14" w:rsidRPr="00467BE8" w:rsidRDefault="00282C14" w:rsidP="00282C14">
      <w:pPr>
        <w:pStyle w:val="ListBullet"/>
        <w:numPr>
          <w:ilvl w:val="0"/>
          <w:numId w:val="0"/>
        </w:numPr>
        <w:ind w:left="360"/>
      </w:pPr>
      <w:r w:rsidRPr="00467BE8">
        <w:t xml:space="preserve">For each independent batch of the product imported into Australia, the </w:t>
      </w:r>
      <w:r w:rsidR="00C3166E" w:rsidRPr="00467BE8">
        <w:t>s</w:t>
      </w:r>
      <w:r w:rsidRPr="00467BE8">
        <w:t>ponsor must supply the following:</w:t>
      </w:r>
    </w:p>
    <w:p w14:paraId="72DA2B12" w14:textId="023311C0" w:rsidR="00282C14" w:rsidRPr="00467BE8" w:rsidRDefault="00282C14" w:rsidP="00282C14">
      <w:pPr>
        <w:pStyle w:val="ListBullet2"/>
        <w:rPr>
          <w:snapToGrid w:val="0"/>
          <w:szCs w:val="24"/>
        </w:rPr>
      </w:pPr>
      <w:r w:rsidRPr="00467BE8">
        <w:rPr>
          <w:snapToGrid w:val="0"/>
          <w:szCs w:val="24"/>
        </w:rPr>
        <w:t xml:space="preserve">A completed Request for Release Form, available from </w:t>
      </w:r>
      <w:hyperlink r:id="rId30" w:history="1">
        <w:r w:rsidRPr="00467BE8">
          <w:rPr>
            <w:snapToGrid w:val="0"/>
            <w:color w:val="0000FF"/>
            <w:u w:val="single"/>
          </w:rPr>
          <w:t>vaccines@health.gov.au</w:t>
        </w:r>
      </w:hyperlink>
      <w:r w:rsidRPr="00467BE8">
        <w:rPr>
          <w:snapToGrid w:val="0"/>
          <w:szCs w:val="24"/>
        </w:rPr>
        <w:t>.</w:t>
      </w:r>
    </w:p>
    <w:p w14:paraId="36B35530" w14:textId="4D176995" w:rsidR="00282C14" w:rsidRPr="00467BE8" w:rsidRDefault="00282C14" w:rsidP="00282C14">
      <w:pPr>
        <w:pStyle w:val="ListBullet2"/>
        <w:rPr>
          <w:snapToGrid w:val="0"/>
          <w:szCs w:val="24"/>
        </w:rPr>
      </w:pPr>
      <w:r w:rsidRPr="00467BE8">
        <w:rPr>
          <w:snapToGrid w:val="0"/>
          <w:szCs w:val="24"/>
        </w:rPr>
        <w:t>Complete summary protocols for manufacture and QC</w:t>
      </w:r>
      <w:r w:rsidR="002B2232" w:rsidRPr="00467BE8">
        <w:rPr>
          <w:snapToGrid w:val="0"/>
          <w:szCs w:val="24"/>
        </w:rPr>
        <w:t xml:space="preserve"> [quality control]</w:t>
      </w:r>
      <w:r w:rsidRPr="00467BE8">
        <w:rPr>
          <w:snapToGrid w:val="0"/>
          <w:szCs w:val="24"/>
        </w:rPr>
        <w:t>, including all steps in production in the agreed format.</w:t>
      </w:r>
    </w:p>
    <w:p w14:paraId="18D7F1D3" w14:textId="3E6064A4" w:rsidR="00282C14" w:rsidRPr="00467BE8" w:rsidRDefault="00282C14" w:rsidP="00282C14">
      <w:pPr>
        <w:pStyle w:val="ListBullet2"/>
        <w:rPr>
          <w:snapToGrid w:val="0"/>
          <w:szCs w:val="24"/>
        </w:rPr>
      </w:pPr>
      <w:r w:rsidRPr="00467BE8">
        <w:rPr>
          <w:snapToGrid w:val="0"/>
          <w:szCs w:val="24"/>
        </w:rPr>
        <w:t>At least thirty (30) (</w:t>
      </w:r>
      <w:r w:rsidR="00C3166E" w:rsidRPr="00467BE8">
        <w:rPr>
          <w:snapToGrid w:val="0"/>
          <w:szCs w:val="24"/>
        </w:rPr>
        <w:t>s</w:t>
      </w:r>
      <w:r w:rsidRPr="00467BE8">
        <w:rPr>
          <w:snapToGrid w:val="0"/>
          <w:szCs w:val="24"/>
        </w:rPr>
        <w:t xml:space="preserve">amples) of each manufacturing batch of </w:t>
      </w:r>
      <w:r w:rsidR="00C3166E" w:rsidRPr="00467BE8">
        <w:rPr>
          <w:snapToGrid w:val="0"/>
          <w:szCs w:val="24"/>
        </w:rPr>
        <w:t xml:space="preserve">Spikevax </w:t>
      </w:r>
      <w:r w:rsidRPr="00467BE8">
        <w:rPr>
          <w:snapToGrid w:val="0"/>
          <w:szCs w:val="24"/>
        </w:rPr>
        <w:t xml:space="preserve">XBB.1.5 (andusomeran) COVID-19 </w:t>
      </w:r>
      <w:r w:rsidR="00C3166E" w:rsidRPr="00467BE8">
        <w:rPr>
          <w:snapToGrid w:val="0"/>
          <w:szCs w:val="24"/>
        </w:rPr>
        <w:t xml:space="preserve">vaccine </w:t>
      </w:r>
      <w:r w:rsidRPr="00467BE8">
        <w:rPr>
          <w:snapToGrid w:val="0"/>
          <w:szCs w:val="24"/>
        </w:rPr>
        <w:t xml:space="preserve">0.1 mg/mL suspension for injection pre-filled syringe </w:t>
      </w:r>
      <w:r w:rsidR="00C3166E" w:rsidRPr="00467BE8">
        <w:rPr>
          <w:snapToGrid w:val="0"/>
          <w:szCs w:val="24"/>
        </w:rPr>
        <w:t>(</w:t>
      </w:r>
      <w:r w:rsidRPr="00467BE8">
        <w:rPr>
          <w:snapToGrid w:val="0"/>
          <w:szCs w:val="24"/>
        </w:rPr>
        <w:t>AUST R 418911</w:t>
      </w:r>
      <w:r w:rsidR="00C3166E" w:rsidRPr="00467BE8">
        <w:rPr>
          <w:snapToGrid w:val="0"/>
          <w:szCs w:val="24"/>
        </w:rPr>
        <w:t>)</w:t>
      </w:r>
      <w:r w:rsidRPr="00467BE8">
        <w:rPr>
          <w:snapToGrid w:val="0"/>
          <w:szCs w:val="24"/>
        </w:rPr>
        <w:t xml:space="preserve"> and </w:t>
      </w:r>
      <w:r w:rsidR="00C3166E" w:rsidRPr="00467BE8">
        <w:rPr>
          <w:snapToGrid w:val="0"/>
          <w:szCs w:val="24"/>
        </w:rPr>
        <w:t xml:space="preserve">Spikevax </w:t>
      </w:r>
      <w:r w:rsidRPr="00467BE8">
        <w:rPr>
          <w:snapToGrid w:val="0"/>
          <w:szCs w:val="24"/>
        </w:rPr>
        <w:t>XBB.1.5 (andusomeran) COVID-19 vaccine 0.1</w:t>
      </w:r>
      <w:r w:rsidR="00C3166E" w:rsidRPr="00467BE8">
        <w:rPr>
          <w:snapToGrid w:val="0"/>
          <w:szCs w:val="24"/>
        </w:rPr>
        <w:t> </w:t>
      </w:r>
      <w:r w:rsidRPr="00467BE8">
        <w:rPr>
          <w:snapToGrid w:val="0"/>
          <w:szCs w:val="24"/>
        </w:rPr>
        <w:t>mg/mL suspension for injection vial</w:t>
      </w:r>
      <w:r w:rsidR="00C3166E" w:rsidRPr="00467BE8">
        <w:rPr>
          <w:snapToGrid w:val="0"/>
          <w:szCs w:val="24"/>
        </w:rPr>
        <w:t xml:space="preserve"> </w:t>
      </w:r>
      <w:r w:rsidR="0055750D" w:rsidRPr="00467BE8">
        <w:t>‒</w:t>
      </w:r>
      <w:r w:rsidR="00C3166E" w:rsidRPr="00467BE8">
        <w:t xml:space="preserve"> </w:t>
      </w:r>
      <w:r w:rsidRPr="00467BE8">
        <w:rPr>
          <w:snapToGrid w:val="0"/>
          <w:szCs w:val="24"/>
        </w:rPr>
        <w:t xml:space="preserve">single-dose </w:t>
      </w:r>
      <w:r w:rsidR="00C3166E" w:rsidRPr="00467BE8">
        <w:rPr>
          <w:snapToGrid w:val="0"/>
          <w:szCs w:val="24"/>
        </w:rPr>
        <w:t>(</w:t>
      </w:r>
      <w:r w:rsidRPr="00467BE8">
        <w:rPr>
          <w:snapToGrid w:val="0"/>
          <w:szCs w:val="24"/>
        </w:rPr>
        <w:t>AUST R 418910</w:t>
      </w:r>
      <w:r w:rsidR="00C3166E" w:rsidRPr="00467BE8">
        <w:rPr>
          <w:snapToGrid w:val="0"/>
          <w:szCs w:val="24"/>
        </w:rPr>
        <w:t>)</w:t>
      </w:r>
      <w:r w:rsidRPr="00467BE8">
        <w:rPr>
          <w:snapToGrid w:val="0"/>
          <w:szCs w:val="24"/>
          <w:lang w:val="en-US"/>
        </w:rPr>
        <w:t xml:space="preserve"> </w:t>
      </w:r>
      <w:r w:rsidRPr="00467BE8">
        <w:rPr>
          <w:snapToGrid w:val="0"/>
          <w:szCs w:val="24"/>
        </w:rPr>
        <w:t>with the Australian approved labels, PI and packaging (unless an exemption to supply these has been granted) representative of all batches of product seeking distribution in Australia.</w:t>
      </w:r>
    </w:p>
    <w:p w14:paraId="2F64E7E5" w14:textId="4AEE19B2" w:rsidR="00282C14" w:rsidRPr="00467BE8" w:rsidRDefault="00282C14" w:rsidP="00282C14">
      <w:pPr>
        <w:pStyle w:val="ListBullet2"/>
      </w:pPr>
      <w:r w:rsidRPr="00467BE8">
        <w:rPr>
          <w:rFonts w:eastAsia="MS Mincho"/>
          <w:lang w:eastAsia="ja-JP"/>
        </w:rPr>
        <w:t>At least five (5) vials (</w:t>
      </w:r>
      <w:r w:rsidR="00C3166E" w:rsidRPr="00467BE8">
        <w:rPr>
          <w:rFonts w:eastAsia="MS Mincho"/>
          <w:lang w:eastAsia="ja-JP"/>
        </w:rPr>
        <w:t>samples</w:t>
      </w:r>
      <w:r w:rsidRPr="00467BE8">
        <w:rPr>
          <w:rFonts w:eastAsia="MS Mincho"/>
          <w:lang w:eastAsia="ja-JP"/>
        </w:rPr>
        <w:t xml:space="preserve">) of any further consignments of a manufacturing batch of </w:t>
      </w:r>
      <w:r w:rsidR="00C3166E" w:rsidRPr="00467BE8">
        <w:rPr>
          <w:rFonts w:eastAsia="MS Mincho"/>
          <w:lang w:eastAsia="ja-JP"/>
        </w:rPr>
        <w:t>Spikevax</w:t>
      </w:r>
      <w:r w:rsidRPr="00467BE8">
        <w:rPr>
          <w:rFonts w:eastAsia="MS Mincho"/>
          <w:lang w:eastAsia="ja-JP"/>
        </w:rPr>
        <w:t xml:space="preserve"> XBB.1.5 (andusomeran) COVID-19 </w:t>
      </w:r>
      <w:r w:rsidR="00C3166E" w:rsidRPr="00467BE8">
        <w:rPr>
          <w:rFonts w:eastAsia="MS Mincho"/>
          <w:lang w:eastAsia="ja-JP"/>
        </w:rPr>
        <w:t xml:space="preserve">vaccine </w:t>
      </w:r>
      <w:r w:rsidRPr="00467BE8">
        <w:rPr>
          <w:rFonts w:eastAsia="MS Mincho"/>
          <w:lang w:eastAsia="ja-JP"/>
        </w:rPr>
        <w:t xml:space="preserve">0.1 mg/mL suspension for injection pre-filled syringe </w:t>
      </w:r>
      <w:r w:rsidR="00C3166E" w:rsidRPr="00467BE8">
        <w:rPr>
          <w:rFonts w:eastAsia="MS Mincho"/>
          <w:lang w:eastAsia="ja-JP"/>
        </w:rPr>
        <w:t>(</w:t>
      </w:r>
      <w:r w:rsidRPr="00467BE8">
        <w:rPr>
          <w:rFonts w:eastAsia="MS Mincho"/>
          <w:lang w:eastAsia="ja-JP"/>
        </w:rPr>
        <w:t>AUST R 418911</w:t>
      </w:r>
      <w:r w:rsidR="00C3166E" w:rsidRPr="00467BE8">
        <w:rPr>
          <w:rFonts w:eastAsia="MS Mincho"/>
          <w:lang w:eastAsia="ja-JP"/>
        </w:rPr>
        <w:t>)</w:t>
      </w:r>
      <w:r w:rsidRPr="00467BE8">
        <w:rPr>
          <w:rFonts w:eastAsia="MS Mincho"/>
          <w:lang w:eastAsia="ja-JP"/>
        </w:rPr>
        <w:t xml:space="preserve"> and </w:t>
      </w:r>
      <w:r w:rsidR="00C3166E" w:rsidRPr="00467BE8">
        <w:rPr>
          <w:rFonts w:eastAsia="MS Mincho"/>
          <w:lang w:eastAsia="ja-JP"/>
        </w:rPr>
        <w:t>Spikevax</w:t>
      </w:r>
      <w:r w:rsidRPr="00467BE8">
        <w:rPr>
          <w:rFonts w:eastAsia="MS Mincho"/>
          <w:lang w:eastAsia="ja-JP"/>
        </w:rPr>
        <w:t xml:space="preserve"> XBB.1.5 (andusomeran) COVID-19 vaccine</w:t>
      </w:r>
      <w:r w:rsidR="00C3166E" w:rsidRPr="00467BE8">
        <w:rPr>
          <w:rFonts w:eastAsia="MS Mincho"/>
          <w:lang w:eastAsia="ja-JP"/>
        </w:rPr>
        <w:t xml:space="preserve"> </w:t>
      </w:r>
      <w:r w:rsidRPr="00467BE8">
        <w:t xml:space="preserve">0.1 mg/mL suspension for injection vial </w:t>
      </w:r>
      <w:r w:rsidR="0055750D" w:rsidRPr="00467BE8">
        <w:t>‒</w:t>
      </w:r>
      <w:r w:rsidRPr="00467BE8">
        <w:t xml:space="preserve"> single-dose </w:t>
      </w:r>
      <w:r w:rsidR="00C3166E" w:rsidRPr="00467BE8">
        <w:t>(</w:t>
      </w:r>
      <w:r w:rsidRPr="00467BE8">
        <w:t>AUST R 418910</w:t>
      </w:r>
      <w:r w:rsidR="00C3166E" w:rsidRPr="00467BE8">
        <w:t>)</w:t>
      </w:r>
      <w:r w:rsidRPr="00467BE8">
        <w:rPr>
          <w:bCs/>
          <w:smallCaps/>
        </w:rPr>
        <w:t xml:space="preserve"> </w:t>
      </w:r>
      <w:r w:rsidRPr="00467BE8">
        <w:rPr>
          <w:rFonts w:cs="Helv"/>
        </w:rPr>
        <w:t>vaccine</w:t>
      </w:r>
      <w:r w:rsidRPr="00467BE8">
        <w:rPr>
          <w:bCs/>
        </w:rPr>
        <w:t xml:space="preserve"> </w:t>
      </w:r>
      <w:r w:rsidRPr="00467BE8">
        <w:t>with the Australian approved labels, PI and packaging (unless an exemption to supply these has been granted). Further consignments cover batches previously supplied to TGA for the purposes of batch release testing but are seeking to be supplied again.</w:t>
      </w:r>
    </w:p>
    <w:p w14:paraId="4D211787" w14:textId="066C589E" w:rsidR="00282C14" w:rsidRPr="00467BE8" w:rsidRDefault="00282C14" w:rsidP="00282C14">
      <w:pPr>
        <w:pStyle w:val="ListBullet2"/>
        <w:rPr>
          <w:snapToGrid w:val="0"/>
          <w:szCs w:val="24"/>
        </w:rPr>
      </w:pPr>
      <w:r w:rsidRPr="00467BE8">
        <w:rPr>
          <w:snapToGrid w:val="0"/>
          <w:szCs w:val="24"/>
        </w:rPr>
        <w:t>If the manufacturing batch has been released in Europe or United Kingdom a copy of the EU Official Control Authority Batch Release (OCABR) certificate (or equivalent from the UK) must be provided.</w:t>
      </w:r>
    </w:p>
    <w:p w14:paraId="09907FFF" w14:textId="77777777" w:rsidR="00282C14" w:rsidRPr="00467BE8" w:rsidRDefault="00282C14" w:rsidP="00282C14">
      <w:pPr>
        <w:pStyle w:val="ListBullet2"/>
        <w:rPr>
          <w:snapToGrid w:val="0"/>
          <w:szCs w:val="24"/>
        </w:rPr>
      </w:pPr>
      <w:r w:rsidRPr="00467BE8">
        <w:rPr>
          <w:snapToGrid w:val="0"/>
          <w:szCs w:val="24"/>
        </w:rPr>
        <w:t>Any reagents, reference material and standards required to undertake testing, as requested by Laboratories Branch, TGA.</w:t>
      </w:r>
    </w:p>
    <w:p w14:paraId="078B06F9" w14:textId="13B266D5" w:rsidR="00282C14" w:rsidRPr="00467BE8" w:rsidRDefault="00282C14" w:rsidP="00282C14">
      <w:pPr>
        <w:pStyle w:val="ListBullet2"/>
        <w:numPr>
          <w:ilvl w:val="0"/>
          <w:numId w:val="0"/>
        </w:numPr>
        <w:ind w:left="850"/>
        <w:rPr>
          <w:snapToGrid w:val="0"/>
        </w:rPr>
      </w:pPr>
      <w:r w:rsidRPr="00467BE8">
        <w:rPr>
          <w:snapToGrid w:val="0"/>
        </w:rPr>
        <w:t xml:space="preserve">Sponsors must provide all requested </w:t>
      </w:r>
      <w:r w:rsidR="00C3166E" w:rsidRPr="00467BE8">
        <w:rPr>
          <w:snapToGrid w:val="0"/>
        </w:rPr>
        <w:t>samples</w:t>
      </w:r>
      <w:r w:rsidRPr="00467BE8">
        <w:rPr>
          <w:snapToGrid w:val="0"/>
        </w:rPr>
        <w:t xml:space="preserve"> and data in sufficient time (at least 5</w:t>
      </w:r>
      <w:r w:rsidR="003C62F2" w:rsidRPr="00467BE8">
        <w:rPr>
          <w:snapToGrid w:val="0"/>
        </w:rPr>
        <w:t> </w:t>
      </w:r>
      <w:r w:rsidRPr="00467BE8">
        <w:rPr>
          <w:snapToGrid w:val="0"/>
        </w:rPr>
        <w:t>business days) prior to any distribution date to allow the TGA to perform testing and review. Distribution of each batch of vaccine is conditional upon fulfilment of these conditions and receipt of a letter from the Laboratories Branch acknowledging release.</w:t>
      </w:r>
    </w:p>
    <w:p w14:paraId="7B972DCF" w14:textId="614A11DE" w:rsidR="00282C14" w:rsidRPr="00467BE8" w:rsidRDefault="00282C14" w:rsidP="00282C14">
      <w:pPr>
        <w:pStyle w:val="ListBullet2"/>
        <w:numPr>
          <w:ilvl w:val="0"/>
          <w:numId w:val="0"/>
        </w:numPr>
        <w:ind w:left="850"/>
        <w:rPr>
          <w:rFonts w:cs="Cambria"/>
          <w:snapToGrid w:val="0"/>
        </w:rPr>
      </w:pPr>
      <w:r w:rsidRPr="00467BE8">
        <w:rPr>
          <w:rFonts w:cs="Cambria"/>
          <w:snapToGrid w:val="0"/>
        </w:rPr>
        <w:lastRenderedPageBreak/>
        <w:t xml:space="preserve">Samples and data should be forwarded to the </w:t>
      </w:r>
      <w:r w:rsidRPr="00467BE8">
        <w:rPr>
          <w:snapToGrid w:val="0"/>
        </w:rPr>
        <w:t>Biotherapeutics Section</w:t>
      </w:r>
      <w:r w:rsidRPr="00467BE8">
        <w:rPr>
          <w:rFonts w:cs="Cambria"/>
          <w:snapToGrid w:val="0"/>
        </w:rPr>
        <w:t>, Laboratories Branch before release of each batch and with sufficient lead time to allow for Laboratories Branch testing.</w:t>
      </w:r>
    </w:p>
    <w:p w14:paraId="13CBF7BD" w14:textId="590E0804" w:rsidR="00282C14" w:rsidRPr="00467BE8" w:rsidRDefault="00282C14" w:rsidP="00282C14">
      <w:pPr>
        <w:pStyle w:val="ListBullet2"/>
        <w:rPr>
          <w:rFonts w:cs="Cambria-Bold"/>
          <w:bCs/>
          <w:snapToGrid w:val="0"/>
        </w:rPr>
      </w:pPr>
      <w:r w:rsidRPr="00467BE8">
        <w:rPr>
          <w:rFonts w:cs="Cambria-Bold"/>
          <w:bCs/>
          <w:snapToGrid w:val="0"/>
        </w:rPr>
        <w:t xml:space="preserve">The shipments (including reagents) to TGA are the responsibility of the Australian </w:t>
      </w:r>
      <w:r w:rsidR="00C3166E" w:rsidRPr="00467BE8">
        <w:rPr>
          <w:rFonts w:cs="Cambria-Bold"/>
          <w:bCs/>
          <w:snapToGrid w:val="0"/>
        </w:rPr>
        <w:t xml:space="preserve">sponsor/agent </w:t>
      </w:r>
      <w:r w:rsidRPr="00467BE8">
        <w:rPr>
          <w:rFonts w:cs="Cambria-Bold"/>
          <w:bCs/>
          <w:snapToGrid w:val="0"/>
        </w:rPr>
        <w:t>who will be required to facilitate the import and customs clearance process.</w:t>
      </w:r>
    </w:p>
    <w:p w14:paraId="12EBDA64" w14:textId="77777777" w:rsidR="00282C14" w:rsidRPr="00467BE8" w:rsidRDefault="00282C14" w:rsidP="00282C14">
      <w:pPr>
        <w:pStyle w:val="ListBullet"/>
        <w:rPr>
          <w:snapToGrid w:val="0"/>
        </w:rPr>
      </w:pPr>
      <w:r w:rsidRPr="00467BE8">
        <w:rPr>
          <w:snapToGrid w:val="0"/>
        </w:rPr>
        <w:t>Certified Product Details</w:t>
      </w:r>
    </w:p>
    <w:p w14:paraId="0740AAFA" w14:textId="3B6995B5" w:rsidR="00282C14" w:rsidRPr="00467BE8" w:rsidRDefault="00282C14" w:rsidP="00282C14">
      <w:pPr>
        <w:pStyle w:val="ListBullet"/>
        <w:numPr>
          <w:ilvl w:val="0"/>
          <w:numId w:val="0"/>
        </w:numPr>
        <w:ind w:left="360"/>
        <w:rPr>
          <w:snapToGrid w:val="0"/>
        </w:rPr>
      </w:pPr>
      <w:r w:rsidRPr="00467BE8">
        <w:rPr>
          <w:snapToGrid w:val="0"/>
        </w:rPr>
        <w:t xml:space="preserve">An electronic copy of the Certified Product Details (CPD) as described in Guidance 7: Certified Product Details of the Australian Regulatory Guidelines for Prescription Medicines (ARGPM) </w:t>
      </w:r>
      <w:hyperlink r:id="rId31" w:history="1">
        <w:r w:rsidRPr="00467BE8">
          <w:rPr>
            <w:rFonts w:cs="Cambria"/>
            <w:snapToGrid w:val="0"/>
            <w:color w:val="0000FF"/>
            <w:u w:val="single"/>
          </w:rPr>
          <w:t>https://www.tga.gov.au/guidance-7-certified-product-details</w:t>
        </w:r>
      </w:hyperlink>
      <w:r w:rsidRPr="00467BE8">
        <w:rPr>
          <w:snapToGrid w:val="0"/>
        </w:rPr>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32" w:history="1">
        <w:r w:rsidRPr="00467BE8">
          <w:rPr>
            <w:rFonts w:cs="Cambria"/>
            <w:snapToGrid w:val="0"/>
            <w:color w:val="0000FF"/>
            <w:u w:val="single"/>
          </w:rPr>
          <w:t>https://www.tga.gov.au/form/certified-product-details-cpd-biological-prescription-medicines</w:t>
        </w:r>
      </w:hyperlink>
      <w:r w:rsidRPr="00467BE8">
        <w:rPr>
          <w:snapToGrid w:val="0"/>
        </w:rPr>
        <w:t xml:space="preserve">. The CPD should be sent as a </w:t>
      </w:r>
      <w:r w:rsidRPr="00467BE8">
        <w:rPr>
          <w:rFonts w:cs="Cambria-Bold"/>
          <w:bCs/>
          <w:snapToGrid w:val="0"/>
        </w:rPr>
        <w:t>single bookmarked</w:t>
      </w:r>
      <w:r w:rsidRPr="00467BE8">
        <w:rPr>
          <w:snapToGrid w:val="0"/>
        </w:rPr>
        <w:t xml:space="preserve"> </w:t>
      </w:r>
      <w:r w:rsidRPr="00467BE8">
        <w:rPr>
          <w:rFonts w:cs="Cambria-Bold"/>
          <w:bCs/>
          <w:snapToGrid w:val="0"/>
        </w:rPr>
        <w:t xml:space="preserve">PDF </w:t>
      </w:r>
      <w:r w:rsidRPr="00467BE8">
        <w:rPr>
          <w:snapToGrid w:val="0"/>
        </w:rPr>
        <w:t xml:space="preserve">document to </w:t>
      </w:r>
      <w:hyperlink r:id="rId33" w:history="1">
        <w:r w:rsidR="003C62F2" w:rsidRPr="00467BE8">
          <w:rPr>
            <w:rStyle w:val="Hyperlink"/>
            <w:snapToGrid w:val="0"/>
          </w:rPr>
          <w:t>vaccines@health.gov.au</w:t>
        </w:r>
      </w:hyperlink>
      <w:r w:rsidRPr="00467BE8">
        <w:rPr>
          <w:snapToGrid w:val="0"/>
          <w:color w:val="0000FF"/>
        </w:rPr>
        <w:t xml:space="preserve"> </w:t>
      </w:r>
      <w:r w:rsidRPr="00467BE8">
        <w:rPr>
          <w:snapToGrid w:val="0"/>
        </w:rPr>
        <w:t>as soon as possible after registration/approval of the product or any subsequent changes as indicated above.</w:t>
      </w:r>
    </w:p>
    <w:p w14:paraId="2BE90AAE" w14:textId="77777777" w:rsidR="00C22214" w:rsidRPr="00467BE8" w:rsidRDefault="00C22214" w:rsidP="00C22214">
      <w:pPr>
        <w:pStyle w:val="Heading3"/>
      </w:pPr>
      <w:bookmarkStart w:id="48" w:name="_Toc314842512"/>
      <w:bookmarkStart w:id="49" w:name="_Toc103679296"/>
      <w:bookmarkStart w:id="50" w:name="_Toc147997699"/>
      <w:r w:rsidRPr="00467BE8">
        <w:t>Nonclinical</w:t>
      </w:r>
      <w:bookmarkEnd w:id="48"/>
      <w:bookmarkEnd w:id="49"/>
      <w:bookmarkEnd w:id="50"/>
    </w:p>
    <w:p w14:paraId="7D52A5B8" w14:textId="01BD490B" w:rsidR="00282C14" w:rsidRPr="00467BE8" w:rsidRDefault="00282C14" w:rsidP="00282C14">
      <w:bookmarkStart w:id="51" w:name="_Toc247691530"/>
      <w:bookmarkStart w:id="52" w:name="_Toc314842513"/>
      <w:bookmarkStart w:id="53" w:name="_Toc103679297"/>
      <w:r w:rsidRPr="00467BE8">
        <w:t>The</w:t>
      </w:r>
      <w:r w:rsidR="003C62F2" w:rsidRPr="00467BE8">
        <w:t xml:space="preserve"> nonclinical </w:t>
      </w:r>
      <w:r w:rsidRPr="00467BE8">
        <w:t>evaluat</w:t>
      </w:r>
      <w:r w:rsidR="003C62F2" w:rsidRPr="00467BE8">
        <w:t>ion</w:t>
      </w:r>
      <w:r w:rsidRPr="00467BE8">
        <w:t xml:space="preserve"> has no nonclinical objections to the approval of the Spikevax XBB.1.5 COVID-19 vaccine.</w:t>
      </w:r>
    </w:p>
    <w:p w14:paraId="706DE839" w14:textId="6902F9E5" w:rsidR="00282C14" w:rsidRPr="00467BE8" w:rsidRDefault="00282C14" w:rsidP="00282C14">
      <w:r w:rsidRPr="00467BE8">
        <w:t xml:space="preserve">The new monovalent vaccine (Spikevax XBB.1.5) is manufactured using the same mRNA platform and manufacturing method as the </w:t>
      </w:r>
      <w:r w:rsidR="0085122B">
        <w:t>approved Original/</w:t>
      </w:r>
      <w:r w:rsidRPr="00467BE8">
        <w:t>provisionally approved Original/Omicron BA.1 bivalent vaccine.</w:t>
      </w:r>
    </w:p>
    <w:p w14:paraId="4372C713" w14:textId="62F9626B" w:rsidR="00282C14" w:rsidRPr="00467BE8" w:rsidRDefault="00A70EA9" w:rsidP="00282C14">
      <w:bookmarkStart w:id="54" w:name="_Hlk146805579"/>
      <w:r w:rsidRPr="00467BE8">
        <w:t xml:space="preserve">The nonclinical evaluation </w:t>
      </w:r>
      <w:r w:rsidR="00282C14" w:rsidRPr="00467BE8">
        <w:t xml:space="preserve">comprised of 3 </w:t>
      </w:r>
      <w:r w:rsidR="00282C14" w:rsidRPr="00467BE8">
        <w:rPr>
          <w:i/>
          <w:iCs/>
        </w:rPr>
        <w:t>in vivo</w:t>
      </w:r>
      <w:r w:rsidR="00282C14" w:rsidRPr="00467BE8">
        <w:t xml:space="preserve"> pharmacology studies conducted in BALB/c</w:t>
      </w:r>
      <w:r w:rsidRPr="00467BE8">
        <w:t> </w:t>
      </w:r>
      <w:r w:rsidR="00282C14" w:rsidRPr="00467BE8">
        <w:t>mice. The submitted studies evaluated immunogenicity of XBB-containing mRNA vaccines given as a primary series, or as a booster dose following primary series vaccination with mRNA-1273.</w:t>
      </w:r>
      <w:bookmarkStart w:id="55" w:name="_Ref147500835"/>
      <w:r w:rsidR="00486FE9" w:rsidRPr="00467BE8">
        <w:rPr>
          <w:rStyle w:val="FootnoteReference"/>
        </w:rPr>
        <w:footnoteReference w:id="7"/>
      </w:r>
      <w:bookmarkEnd w:id="55"/>
      <w:r w:rsidR="00282C14" w:rsidRPr="00467BE8">
        <w:t xml:space="preserve"> The route of administration of the mRNA vaccines used in the nonclinical </w:t>
      </w:r>
      <w:r w:rsidR="00282C14" w:rsidRPr="00467BE8">
        <w:rPr>
          <w:i/>
          <w:iCs/>
        </w:rPr>
        <w:t>in</w:t>
      </w:r>
      <w:r w:rsidRPr="00467BE8">
        <w:rPr>
          <w:i/>
          <w:iCs/>
        </w:rPr>
        <w:t> </w:t>
      </w:r>
      <w:r w:rsidR="00282C14" w:rsidRPr="00467BE8">
        <w:rPr>
          <w:i/>
          <w:iCs/>
        </w:rPr>
        <w:t>vivo</w:t>
      </w:r>
      <w:r w:rsidR="00282C14" w:rsidRPr="00467BE8">
        <w:t xml:space="preserve"> pharmacology studies was </w:t>
      </w:r>
      <w:r w:rsidRPr="00467BE8">
        <w:t>intramuscular</w:t>
      </w:r>
      <w:r w:rsidR="00282C14" w:rsidRPr="00467BE8">
        <w:t>, consistent with the clinical route.</w:t>
      </w:r>
      <w:bookmarkEnd w:id="54"/>
      <w:r w:rsidR="001A219D" w:rsidRPr="00467BE8">
        <w:t xml:space="preserve"> </w:t>
      </w:r>
      <w:r w:rsidR="00282C14" w:rsidRPr="00467BE8">
        <w:t>No T</w:t>
      </w:r>
      <w:r w:rsidRPr="00467BE8">
        <w:t>-</w:t>
      </w:r>
      <w:r w:rsidR="00282C14" w:rsidRPr="00467BE8">
        <w:t xml:space="preserve">cell characterisation and pharmacology protection studies for </w:t>
      </w:r>
      <w:r w:rsidRPr="00467BE8">
        <w:t xml:space="preserve">Spikevax </w:t>
      </w:r>
      <w:r w:rsidR="00282C14" w:rsidRPr="00467BE8">
        <w:t xml:space="preserve">XBB.1.5 were submitted. This is acceptable as there are no changes to the original vaccine formulation except for replacement of a serotype strain </w:t>
      </w:r>
      <w:r w:rsidR="002B2232" w:rsidRPr="00467BE8">
        <w:t>ribonucleic acid (</w:t>
      </w:r>
      <w:r w:rsidR="00282C14" w:rsidRPr="00467BE8">
        <w:t>RNA</w:t>
      </w:r>
      <w:r w:rsidR="002B2232" w:rsidRPr="00467BE8">
        <w:t>)</w:t>
      </w:r>
      <w:r w:rsidR="00282C14" w:rsidRPr="00467BE8">
        <w:t xml:space="preserve">. Cellular responses and proof of protection from an </w:t>
      </w:r>
      <w:r w:rsidR="00282C14" w:rsidRPr="00467BE8">
        <w:rPr>
          <w:i/>
          <w:iCs/>
        </w:rPr>
        <w:t>in vivo</w:t>
      </w:r>
      <w:r w:rsidR="00282C14" w:rsidRPr="00467BE8">
        <w:t xml:space="preserve"> challenge with SARS</w:t>
      </w:r>
      <w:r w:rsidRPr="00467BE8">
        <w:t>-</w:t>
      </w:r>
      <w:r w:rsidR="00282C14" w:rsidRPr="00467BE8">
        <w:t>CoV-2 virus, were characterised previously with the initial Spikevax vaccine.</w:t>
      </w:r>
    </w:p>
    <w:p w14:paraId="254BF1C1" w14:textId="340F84D2" w:rsidR="00282C14" w:rsidRPr="00467BE8" w:rsidRDefault="00282C14" w:rsidP="00282C14">
      <w:bookmarkStart w:id="56" w:name="_Hlk146806474"/>
      <w:r w:rsidRPr="00467BE8">
        <w:t xml:space="preserve">A </w:t>
      </w:r>
      <w:r w:rsidR="007834FE" w:rsidRPr="00467BE8">
        <w:t>two</w:t>
      </w:r>
      <w:r w:rsidRPr="00467BE8">
        <w:t xml:space="preserve">-dose primary series vaccination with the monovalent </w:t>
      </w:r>
      <w:bookmarkStart w:id="57" w:name="_Hlk147497059"/>
      <w:r w:rsidRPr="00467BE8">
        <w:t>mRNA-1273.815</w:t>
      </w:r>
      <w:r w:rsidR="007834FE" w:rsidRPr="00467BE8">
        <w:rPr>
          <w:vertAlign w:val="superscript"/>
        </w:rPr>
        <w:fldChar w:fldCharType="begin"/>
      </w:r>
      <w:r w:rsidR="007834FE" w:rsidRPr="00467BE8">
        <w:rPr>
          <w:vertAlign w:val="superscript"/>
        </w:rPr>
        <w:instrText xml:space="preserve"> NOTEREF _Ref147500835 \h  \* MERGEFORMAT </w:instrText>
      </w:r>
      <w:r w:rsidR="007834FE" w:rsidRPr="00467BE8">
        <w:rPr>
          <w:vertAlign w:val="superscript"/>
        </w:rPr>
      </w:r>
      <w:r w:rsidR="007834FE" w:rsidRPr="00467BE8">
        <w:rPr>
          <w:vertAlign w:val="superscript"/>
        </w:rPr>
        <w:fldChar w:fldCharType="separate"/>
      </w:r>
      <w:r w:rsidR="000022F7">
        <w:rPr>
          <w:vertAlign w:val="superscript"/>
        </w:rPr>
        <w:t>7</w:t>
      </w:r>
      <w:r w:rsidR="007834FE" w:rsidRPr="00467BE8">
        <w:rPr>
          <w:vertAlign w:val="superscript"/>
        </w:rPr>
        <w:fldChar w:fldCharType="end"/>
      </w:r>
      <w:r w:rsidRPr="00467BE8">
        <w:t xml:space="preserve"> </w:t>
      </w:r>
      <w:bookmarkEnd w:id="57"/>
      <w:r w:rsidRPr="00467BE8">
        <w:t xml:space="preserve">and bivalent </w:t>
      </w:r>
      <w:bookmarkStart w:id="58" w:name="_Hlk147497066"/>
      <w:r w:rsidRPr="00467BE8">
        <w:t>mRNA</w:t>
      </w:r>
      <w:r w:rsidR="00A70EA9" w:rsidRPr="00467BE8">
        <w:noBreakHyphen/>
      </w:r>
      <w:r w:rsidRPr="00467BE8">
        <w:t>1273.231</w:t>
      </w:r>
      <w:r w:rsidR="007834FE" w:rsidRPr="00467BE8">
        <w:rPr>
          <w:vertAlign w:val="superscript"/>
        </w:rPr>
        <w:fldChar w:fldCharType="begin"/>
      </w:r>
      <w:r w:rsidR="007834FE" w:rsidRPr="00467BE8">
        <w:rPr>
          <w:vertAlign w:val="superscript"/>
        </w:rPr>
        <w:instrText xml:space="preserve"> NOTEREF _Ref147500835 \h  \* MERGEFORMAT </w:instrText>
      </w:r>
      <w:r w:rsidR="007834FE" w:rsidRPr="00467BE8">
        <w:rPr>
          <w:vertAlign w:val="superscript"/>
        </w:rPr>
      </w:r>
      <w:r w:rsidR="007834FE" w:rsidRPr="00467BE8">
        <w:rPr>
          <w:vertAlign w:val="superscript"/>
        </w:rPr>
        <w:fldChar w:fldCharType="separate"/>
      </w:r>
      <w:r w:rsidR="000022F7">
        <w:rPr>
          <w:vertAlign w:val="superscript"/>
        </w:rPr>
        <w:t>7</w:t>
      </w:r>
      <w:r w:rsidR="007834FE" w:rsidRPr="00467BE8">
        <w:rPr>
          <w:vertAlign w:val="superscript"/>
        </w:rPr>
        <w:fldChar w:fldCharType="end"/>
      </w:r>
      <w:r w:rsidRPr="00467BE8">
        <w:t xml:space="preserve"> </w:t>
      </w:r>
      <w:bookmarkEnd w:id="58"/>
      <w:r w:rsidRPr="00467BE8">
        <w:t>induced high S-2P</w:t>
      </w:r>
      <w:r w:rsidR="002B2232" w:rsidRPr="00467BE8">
        <w:t xml:space="preserve"> (spike ectodomain with two proline substitutions)</w:t>
      </w:r>
      <w:r w:rsidRPr="00467BE8">
        <w:t xml:space="preserve"> binding antibody titres and elicited high neutralising antibodies against the Omicron subvariant XBB strains, XBB.1.5 and XBB.1.16. </w:t>
      </w:r>
      <w:bookmarkEnd w:id="56"/>
      <w:r w:rsidRPr="00467BE8">
        <w:t xml:space="preserve">The neutralisation titres were </w:t>
      </w:r>
      <w:r w:rsidR="00A70EA9" w:rsidRPr="00467BE8">
        <w:t xml:space="preserve">more than </w:t>
      </w:r>
      <w:r w:rsidRPr="00467BE8">
        <w:t xml:space="preserve">45-fold higher than those elicited by </w:t>
      </w:r>
      <w:bookmarkStart w:id="59" w:name="_Hlk147498234"/>
      <w:r w:rsidRPr="00467BE8">
        <w:t xml:space="preserve">monovalent </w:t>
      </w:r>
      <w:bookmarkStart w:id="60" w:name="_Hlk147497073"/>
      <w:bookmarkEnd w:id="59"/>
      <w:r w:rsidRPr="00467BE8">
        <w:t>mRNA</w:t>
      </w:r>
      <w:r w:rsidR="00A70EA9" w:rsidRPr="00467BE8">
        <w:noBreakHyphen/>
      </w:r>
      <w:r w:rsidRPr="00467BE8">
        <w:t>1273.045</w:t>
      </w:r>
      <w:r w:rsidR="00707D7B" w:rsidRPr="00C80C0B">
        <w:rPr>
          <w:vertAlign w:val="superscript"/>
        </w:rPr>
        <w:fldChar w:fldCharType="begin"/>
      </w:r>
      <w:r w:rsidR="00707D7B" w:rsidRPr="00C80C0B">
        <w:rPr>
          <w:vertAlign w:val="superscript"/>
        </w:rPr>
        <w:instrText xml:space="preserve"> NOTEREF _Ref147500835 \h </w:instrText>
      </w:r>
      <w:r w:rsidR="00707D7B">
        <w:rPr>
          <w:vertAlign w:val="superscript"/>
        </w:rPr>
        <w:instrText xml:space="preserve"> \* MERGEFORMAT </w:instrText>
      </w:r>
      <w:r w:rsidR="00707D7B" w:rsidRPr="00C80C0B">
        <w:rPr>
          <w:vertAlign w:val="superscript"/>
        </w:rPr>
      </w:r>
      <w:r w:rsidR="00707D7B" w:rsidRPr="00C80C0B">
        <w:rPr>
          <w:vertAlign w:val="superscript"/>
        </w:rPr>
        <w:fldChar w:fldCharType="separate"/>
      </w:r>
      <w:r w:rsidR="000022F7">
        <w:rPr>
          <w:vertAlign w:val="superscript"/>
        </w:rPr>
        <w:t>7</w:t>
      </w:r>
      <w:r w:rsidR="00707D7B" w:rsidRPr="00C80C0B">
        <w:rPr>
          <w:vertAlign w:val="superscript"/>
        </w:rPr>
        <w:fldChar w:fldCharType="end"/>
      </w:r>
      <w:r w:rsidRPr="00467BE8">
        <w:t xml:space="preserve"> or bivalent mRNA-1273.222</w:t>
      </w:r>
      <w:bookmarkEnd w:id="60"/>
      <w:r w:rsidRPr="00467BE8">
        <w:t>.</w:t>
      </w:r>
      <w:r w:rsidR="007834FE" w:rsidRPr="00467BE8">
        <w:rPr>
          <w:vertAlign w:val="superscript"/>
        </w:rPr>
        <w:fldChar w:fldCharType="begin"/>
      </w:r>
      <w:r w:rsidR="007834FE" w:rsidRPr="00467BE8">
        <w:rPr>
          <w:vertAlign w:val="superscript"/>
        </w:rPr>
        <w:instrText xml:space="preserve"> NOTEREF _Ref147500835 \h  \* MERGEFORMAT </w:instrText>
      </w:r>
      <w:r w:rsidR="007834FE" w:rsidRPr="00467BE8">
        <w:rPr>
          <w:vertAlign w:val="superscript"/>
        </w:rPr>
      </w:r>
      <w:r w:rsidR="007834FE" w:rsidRPr="00467BE8">
        <w:rPr>
          <w:vertAlign w:val="superscript"/>
        </w:rPr>
        <w:fldChar w:fldCharType="separate"/>
      </w:r>
      <w:r w:rsidR="000022F7">
        <w:rPr>
          <w:vertAlign w:val="superscript"/>
        </w:rPr>
        <w:t>7</w:t>
      </w:r>
      <w:r w:rsidR="007834FE" w:rsidRPr="00467BE8">
        <w:rPr>
          <w:vertAlign w:val="superscript"/>
        </w:rPr>
        <w:fldChar w:fldCharType="end"/>
      </w:r>
      <w:r w:rsidRPr="00467BE8">
        <w:t xml:space="preserve"> Compared to the monovalent </w:t>
      </w:r>
      <w:bookmarkStart w:id="61" w:name="_Hlk147497081"/>
      <w:r w:rsidRPr="00467BE8">
        <w:t>mRNA-1273.815</w:t>
      </w:r>
      <w:bookmarkEnd w:id="61"/>
      <w:r w:rsidRPr="00467BE8">
        <w:t xml:space="preserve">, the bivalent mRNA-1273.231 had higher titres against the ancestral and BA.4/BA.5 strains (due to the inclusion of BA.4/BA.5 in the bivalent vaccine). </w:t>
      </w:r>
      <w:r w:rsidRPr="00467BE8">
        <w:lastRenderedPageBreak/>
        <w:t xml:space="preserve">Elicited </w:t>
      </w:r>
      <w:r w:rsidR="00A70EA9" w:rsidRPr="00467BE8">
        <w:t>neutralising antibody</w:t>
      </w:r>
      <w:r w:rsidRPr="00467BE8">
        <w:t xml:space="preserve"> titres against XBB.1.5 ad XBB.1.16 were comparable, indicating that the two strains are antigenically similar.</w:t>
      </w:r>
    </w:p>
    <w:p w14:paraId="6D864863" w14:textId="0F0B2F62" w:rsidR="00282C14" w:rsidRPr="00467BE8" w:rsidRDefault="00282C14" w:rsidP="00282C14">
      <w:r w:rsidRPr="00467BE8">
        <w:t xml:space="preserve">Monovalent mRNA-1273.815 or bivalent mRNA-1273.231 as a booster following a primary series of mRNA-1273 vaccination induced high S-2P </w:t>
      </w:r>
      <w:r w:rsidR="00A70EA9" w:rsidRPr="00467BE8">
        <w:t>binding antibody</w:t>
      </w:r>
      <w:r w:rsidRPr="00467BE8">
        <w:t xml:space="preserve"> titres and high </w:t>
      </w:r>
      <w:r w:rsidR="00A70EA9" w:rsidRPr="00467BE8">
        <w:t>neutralising antibody</w:t>
      </w:r>
      <w:r w:rsidRPr="00467BE8">
        <w:t xml:space="preserve"> responses against the Omicron subvariant XBB strains, XBB.1.5 and XBB.1.16. Higher </w:t>
      </w:r>
      <w:r w:rsidR="00A70EA9" w:rsidRPr="00467BE8">
        <w:t>neutralising antibody</w:t>
      </w:r>
      <w:r w:rsidRPr="00467BE8">
        <w:t xml:space="preserve"> response was achieved with mRNA-1273.815 than mRNA-1273.231. mRNA-1273.231 had higher titres against ancestral and BA.4/BA.5 strains compared with mRNA-1273.815 (due to the inclusion of BA.4/BA.5 in the bivalent vaccine). Comparable </w:t>
      </w:r>
      <w:r w:rsidR="00A70EA9" w:rsidRPr="00467BE8">
        <w:t>neutralising antibody</w:t>
      </w:r>
      <w:r w:rsidRPr="00467BE8">
        <w:t xml:space="preserve"> titres were observed for against XBB.1.5 and XBB.1.16, indicating that the two strains are antigenically similar.</w:t>
      </w:r>
    </w:p>
    <w:p w14:paraId="5393DE8C" w14:textId="59D37820" w:rsidR="00282C14" w:rsidRPr="00467BE8" w:rsidRDefault="00282C14" w:rsidP="00282C14">
      <w:r w:rsidRPr="00467BE8">
        <w:t>Monovalent mRNA-1273.116</w:t>
      </w:r>
      <w:r w:rsidR="00707D7B" w:rsidRPr="00624A68">
        <w:rPr>
          <w:vertAlign w:val="superscript"/>
        </w:rPr>
        <w:fldChar w:fldCharType="begin"/>
      </w:r>
      <w:r w:rsidR="00707D7B" w:rsidRPr="00624A68">
        <w:rPr>
          <w:vertAlign w:val="superscript"/>
        </w:rPr>
        <w:instrText xml:space="preserve"> NOTEREF _Ref147500835 \h </w:instrText>
      </w:r>
      <w:r w:rsidR="00707D7B">
        <w:rPr>
          <w:vertAlign w:val="superscript"/>
        </w:rPr>
        <w:instrText xml:space="preserve"> \* MERGEFORMAT </w:instrText>
      </w:r>
      <w:r w:rsidR="00707D7B" w:rsidRPr="00624A68">
        <w:rPr>
          <w:vertAlign w:val="superscript"/>
        </w:rPr>
      </w:r>
      <w:r w:rsidR="00707D7B" w:rsidRPr="00624A68">
        <w:rPr>
          <w:vertAlign w:val="superscript"/>
        </w:rPr>
        <w:fldChar w:fldCharType="separate"/>
      </w:r>
      <w:r w:rsidR="000022F7">
        <w:rPr>
          <w:vertAlign w:val="superscript"/>
        </w:rPr>
        <w:t>7</w:t>
      </w:r>
      <w:r w:rsidR="00707D7B" w:rsidRPr="00624A68">
        <w:rPr>
          <w:vertAlign w:val="superscript"/>
        </w:rPr>
        <w:fldChar w:fldCharType="end"/>
      </w:r>
      <w:r w:rsidRPr="00467BE8">
        <w:t xml:space="preserve"> or bivalent mRNA-1273.234</w:t>
      </w:r>
      <w:r w:rsidR="00707D7B" w:rsidRPr="00624A68">
        <w:rPr>
          <w:vertAlign w:val="superscript"/>
        </w:rPr>
        <w:fldChar w:fldCharType="begin"/>
      </w:r>
      <w:r w:rsidR="00707D7B" w:rsidRPr="00624A68">
        <w:rPr>
          <w:vertAlign w:val="superscript"/>
        </w:rPr>
        <w:instrText xml:space="preserve"> NOTEREF _Ref147500835 \h </w:instrText>
      </w:r>
      <w:r w:rsidR="00707D7B">
        <w:rPr>
          <w:vertAlign w:val="superscript"/>
        </w:rPr>
        <w:instrText xml:space="preserve"> \* MERGEFORMAT </w:instrText>
      </w:r>
      <w:r w:rsidR="00707D7B" w:rsidRPr="00624A68">
        <w:rPr>
          <w:vertAlign w:val="superscript"/>
        </w:rPr>
      </w:r>
      <w:r w:rsidR="00707D7B" w:rsidRPr="00624A68">
        <w:rPr>
          <w:vertAlign w:val="superscript"/>
        </w:rPr>
        <w:fldChar w:fldCharType="separate"/>
      </w:r>
      <w:r w:rsidR="000022F7">
        <w:rPr>
          <w:vertAlign w:val="superscript"/>
        </w:rPr>
        <w:t>7</w:t>
      </w:r>
      <w:r w:rsidR="00707D7B" w:rsidRPr="00624A68">
        <w:rPr>
          <w:vertAlign w:val="superscript"/>
        </w:rPr>
        <w:fldChar w:fldCharType="end"/>
      </w:r>
      <w:r w:rsidRPr="00467BE8">
        <w:t xml:space="preserve"> as</w:t>
      </w:r>
      <w:r w:rsidR="003E3376">
        <w:t xml:space="preserve"> </w:t>
      </w:r>
      <w:r w:rsidRPr="00467BE8">
        <w:t xml:space="preserve"> a booster following a primary series of mRNA-1273 vaccination induced high S-2P </w:t>
      </w:r>
      <w:r w:rsidR="00A70EA9" w:rsidRPr="00467BE8">
        <w:t>binding antibody</w:t>
      </w:r>
      <w:r w:rsidRPr="00467BE8">
        <w:t xml:space="preserve"> titres as well as neutrali</w:t>
      </w:r>
      <w:r w:rsidR="00A70EA9" w:rsidRPr="00467BE8">
        <w:t>s</w:t>
      </w:r>
      <w:r w:rsidRPr="00467BE8">
        <w:t xml:space="preserve">ing titres against the </w:t>
      </w:r>
      <w:bookmarkStart w:id="62" w:name="_Hlk147498509"/>
      <w:r w:rsidRPr="00467BE8">
        <w:t xml:space="preserve">Omicron </w:t>
      </w:r>
      <w:bookmarkEnd w:id="62"/>
      <w:r w:rsidRPr="00467BE8">
        <w:t xml:space="preserve">subvariant XBB strains, </w:t>
      </w:r>
      <w:bookmarkStart w:id="63" w:name="_Hlk147498371"/>
      <w:r w:rsidRPr="00467BE8">
        <w:t>XBB.1.16 and XBB.1.5</w:t>
      </w:r>
      <w:bookmarkEnd w:id="63"/>
      <w:r w:rsidRPr="00467BE8">
        <w:t>.</w:t>
      </w:r>
    </w:p>
    <w:p w14:paraId="6ACD7FF1" w14:textId="499BBFF0" w:rsidR="00282C14" w:rsidRPr="00467BE8" w:rsidRDefault="00282C14" w:rsidP="00282C14">
      <w:r w:rsidRPr="00467BE8">
        <w:t xml:space="preserve">Overall, boosting with mRNA-1273.815 enhanced </w:t>
      </w:r>
      <w:r w:rsidR="002B2232" w:rsidRPr="00467BE8">
        <w:t>immunoglobin G (</w:t>
      </w:r>
      <w:r w:rsidRPr="00467BE8">
        <w:t>IgG</w:t>
      </w:r>
      <w:r w:rsidR="002B2232" w:rsidRPr="00467BE8">
        <w:t>)</w:t>
      </w:r>
      <w:r w:rsidRPr="00467BE8">
        <w:t xml:space="preserve"> responses and neutralising activity against Omicron subvariant XBB strains compared to boosting with mRNA</w:t>
      </w:r>
      <w:r w:rsidR="00486FE9" w:rsidRPr="00467BE8">
        <w:noBreakHyphen/>
      </w:r>
      <w:r w:rsidRPr="00467BE8">
        <w:t>1273.</w:t>
      </w:r>
    </w:p>
    <w:p w14:paraId="68B22DA5" w14:textId="6C3C4DFA" w:rsidR="00282C14" w:rsidRPr="00467BE8" w:rsidRDefault="00282C14" w:rsidP="00282C14">
      <w:r w:rsidRPr="00467BE8">
        <w:t>No toxicity studies were submitted. This is acceptable since the new mRNA (andusomeran) uses the same backbone and manufacture platform as elasomeran and imelasomeran, with no changes to vaccine formulation except for the additional mRNA.</w:t>
      </w:r>
    </w:p>
    <w:p w14:paraId="168DFEC4" w14:textId="6088624F" w:rsidR="00282C14" w:rsidRPr="00467BE8" w:rsidRDefault="00282C14" w:rsidP="00282C14">
      <w:r w:rsidRPr="00467BE8">
        <w:t>There are no nonclinical objections to the approval of the Spikevax XBB.1.5 COVID-19 vaccine.</w:t>
      </w:r>
    </w:p>
    <w:p w14:paraId="35B580A5" w14:textId="69B9BE44" w:rsidR="00C22214" w:rsidRPr="00467BE8" w:rsidRDefault="00C22214" w:rsidP="008804CF">
      <w:pPr>
        <w:pStyle w:val="Heading3"/>
      </w:pPr>
      <w:bookmarkStart w:id="64" w:name="_Toc147997700"/>
      <w:r w:rsidRPr="00467BE8">
        <w:t>Clinical</w:t>
      </w:r>
      <w:bookmarkEnd w:id="51"/>
      <w:bookmarkEnd w:id="52"/>
      <w:bookmarkEnd w:id="53"/>
      <w:bookmarkEnd w:id="64"/>
    </w:p>
    <w:p w14:paraId="32B0DEDA" w14:textId="77777777" w:rsidR="00C22214" w:rsidRPr="00467BE8" w:rsidRDefault="00C22214" w:rsidP="00433318">
      <w:pPr>
        <w:pStyle w:val="Heading4"/>
      </w:pPr>
      <w:bookmarkStart w:id="65" w:name="_Toc98931928"/>
      <w:bookmarkStart w:id="66" w:name="_Toc147997701"/>
      <w:r w:rsidRPr="00467BE8">
        <w:t>Summary of clinical studies</w:t>
      </w:r>
      <w:bookmarkEnd w:id="65"/>
      <w:bookmarkEnd w:id="66"/>
    </w:p>
    <w:p w14:paraId="46622364" w14:textId="2D7EC284" w:rsidR="00C22214" w:rsidRPr="00467BE8" w:rsidRDefault="00C22214" w:rsidP="00C22214">
      <w:pPr>
        <w:rPr>
          <w:szCs w:val="22"/>
        </w:rPr>
      </w:pPr>
      <w:r w:rsidRPr="00467BE8">
        <w:rPr>
          <w:szCs w:val="22"/>
        </w:rPr>
        <w:t xml:space="preserve">The clinical dossier </w:t>
      </w:r>
      <w:r w:rsidR="00A70EA9" w:rsidRPr="00467BE8">
        <w:rPr>
          <w:szCs w:val="22"/>
        </w:rPr>
        <w:t xml:space="preserve">is based on a Phase II/III study: </w:t>
      </w:r>
      <w:r w:rsidR="00A70EA9" w:rsidRPr="00467BE8">
        <w:t>Study mRNA-1273-P205, also known as Study P205.</w:t>
      </w:r>
    </w:p>
    <w:p w14:paraId="50D1A099" w14:textId="77777777" w:rsidR="00282C14" w:rsidRPr="00467BE8" w:rsidRDefault="00282C14" w:rsidP="00282C14">
      <w:pPr>
        <w:pStyle w:val="Heading5"/>
      </w:pPr>
      <w:bookmarkStart w:id="67" w:name="_Hlk146743588"/>
      <w:r w:rsidRPr="00467BE8">
        <w:t>Study P205 Part J</w:t>
      </w:r>
    </w:p>
    <w:bookmarkEnd w:id="67"/>
    <w:p w14:paraId="150AE088" w14:textId="3961B2CC" w:rsidR="00282C14" w:rsidRPr="00467BE8" w:rsidRDefault="00A70EA9" w:rsidP="00282C14">
      <w:pPr>
        <w:pStyle w:val="Heading6"/>
      </w:pPr>
      <w:r w:rsidRPr="00467BE8">
        <w:t xml:space="preserve">Study </w:t>
      </w:r>
      <w:r w:rsidR="00282C14" w:rsidRPr="00467BE8">
        <w:t>P205 Day 15 interim analysis results for the Omicron XBB.1.5-containing vaccines mRNA-1273.815 and mRNA-</w:t>
      </w:r>
      <w:proofErr w:type="gramStart"/>
      <w:r w:rsidR="00282C14" w:rsidRPr="00467BE8">
        <w:t>1273.231</w:t>
      </w:r>
      <w:proofErr w:type="gramEnd"/>
    </w:p>
    <w:p w14:paraId="5D5477CD" w14:textId="5D1FF71B" w:rsidR="00282C14" w:rsidRPr="00467BE8" w:rsidRDefault="00282C14" w:rsidP="00282C14">
      <w:pPr>
        <w:pStyle w:val="Heading7"/>
      </w:pPr>
      <w:r w:rsidRPr="00467BE8">
        <w:t xml:space="preserve">Study </w:t>
      </w:r>
      <w:r w:rsidR="00A70EA9" w:rsidRPr="00467BE8">
        <w:t>design and objectives</w:t>
      </w:r>
    </w:p>
    <w:p w14:paraId="0C84EEBC" w14:textId="543AA1CC" w:rsidR="00282C14" w:rsidRPr="00467BE8" w:rsidRDefault="00A70EA9" w:rsidP="00282C14">
      <w:r w:rsidRPr="00467BE8">
        <w:t xml:space="preserve">Study </w:t>
      </w:r>
      <w:r w:rsidR="00282C14" w:rsidRPr="00467BE8">
        <w:t>P205 is a</w:t>
      </w:r>
      <w:r w:rsidRPr="00467BE8">
        <w:t>n</w:t>
      </w:r>
      <w:r w:rsidR="00282C14" w:rsidRPr="00467BE8">
        <w:t xml:space="preserve"> open-label study in adults to evaluate the safety and immunogenicity of SARS</w:t>
      </w:r>
      <w:r w:rsidRPr="00467BE8">
        <w:noBreakHyphen/>
      </w:r>
      <w:r w:rsidR="00282C14" w:rsidRPr="00467BE8">
        <w:t>CoV-2 variant-containing vaccine candidates against COVID-19.</w:t>
      </w:r>
    </w:p>
    <w:p w14:paraId="62C74E0E" w14:textId="2D0139F2" w:rsidR="00282C14" w:rsidRPr="00467BE8" w:rsidRDefault="00A70EA9" w:rsidP="00282C14">
      <w:r w:rsidRPr="00467BE8">
        <w:t>P</w:t>
      </w:r>
      <w:r w:rsidR="00282C14" w:rsidRPr="00467BE8">
        <w:t xml:space="preserve">art J </w:t>
      </w:r>
      <w:r w:rsidRPr="00467BE8">
        <w:t xml:space="preserve">of this study </w:t>
      </w:r>
      <w:r w:rsidR="00282C14" w:rsidRPr="00467BE8">
        <w:t xml:space="preserve">evaluates the safety, reactogenicity and immunogenicity of a </w:t>
      </w:r>
      <w:proofErr w:type="gramStart"/>
      <w:r w:rsidR="00282C14" w:rsidRPr="00467BE8">
        <w:t>50</w:t>
      </w:r>
      <w:r w:rsidRPr="00467BE8">
        <w:t xml:space="preserve"> </w:t>
      </w:r>
      <w:r w:rsidR="00282C14" w:rsidRPr="00467BE8">
        <w:t>µg</w:t>
      </w:r>
      <w:proofErr w:type="gramEnd"/>
      <w:r w:rsidR="00282C14" w:rsidRPr="00467BE8">
        <w:t xml:space="preserve"> dose of the mRNA-1273.815 vaccine which contains 50 µg mRNA of the Omicron XBB.1.5 spike protein and of the mRNA-1273.231 vaccine which contains equal amount</w:t>
      </w:r>
      <w:r w:rsidRPr="00467BE8">
        <w:t>s</w:t>
      </w:r>
      <w:r w:rsidR="00282C14" w:rsidRPr="00467BE8">
        <w:t xml:space="preserve"> </w:t>
      </w:r>
      <w:r w:rsidRPr="00467BE8">
        <w:t xml:space="preserve">of mRNA </w:t>
      </w:r>
      <w:r w:rsidR="00282C14" w:rsidRPr="00467BE8">
        <w:t xml:space="preserve">of the Omicron XBB.1.5 </w:t>
      </w:r>
      <w:r w:rsidRPr="00467BE8">
        <w:t xml:space="preserve">(25 µg) </w:t>
      </w:r>
      <w:r w:rsidR="00282C14" w:rsidRPr="00467BE8">
        <w:t xml:space="preserve">and Omicron BA.4/BA.5 spike proteins (25 µg). The vaccines were administered as a fifth dose to adults who previously received a two-dose primary series and a booster dose of an original COVID-19 vaccine and a booster dose of a bivalent (Original </w:t>
      </w:r>
      <w:r w:rsidRPr="00467BE8">
        <w:t>plus</w:t>
      </w:r>
      <w:r w:rsidR="00282C14" w:rsidRPr="00467BE8">
        <w:t xml:space="preserve"> Omicron BA.4/BA.5) vaccine.</w:t>
      </w:r>
    </w:p>
    <w:p w14:paraId="130A4BED" w14:textId="08988F6F" w:rsidR="00282C14" w:rsidRPr="00467BE8" w:rsidRDefault="00282C14" w:rsidP="00282C14">
      <w:r w:rsidRPr="00467BE8">
        <w:t>The two groups were randomi</w:t>
      </w:r>
      <w:r w:rsidR="00A70EA9" w:rsidRPr="00467BE8">
        <w:t>s</w:t>
      </w:r>
      <w:r w:rsidRPr="00467BE8">
        <w:t xml:space="preserve">ed 1:1 in an open-label fashion. </w:t>
      </w:r>
      <w:r w:rsidR="00A70EA9" w:rsidRPr="00467BE8">
        <w:t>Objectives of Study</w:t>
      </w:r>
      <w:r w:rsidRPr="00467BE8">
        <w:t xml:space="preserve"> P205 </w:t>
      </w:r>
      <w:r w:rsidR="00A70EA9" w:rsidRPr="00467BE8">
        <w:t>P</w:t>
      </w:r>
      <w:r w:rsidRPr="00467BE8">
        <w:t>art</w:t>
      </w:r>
      <w:r w:rsidR="00A70EA9" w:rsidRPr="00467BE8">
        <w:t> </w:t>
      </w:r>
      <w:r w:rsidRPr="00467BE8">
        <w:t>J are included in the study protocol version 10. The evaluation of the safety and reactogenicity of mRNA-1273.815 and mRNA-1273.231 was a primary objective. In addition, the evaluation of the Day</w:t>
      </w:r>
      <w:r w:rsidR="00A70EA9" w:rsidRPr="00467BE8">
        <w:t> </w:t>
      </w:r>
      <w:r w:rsidRPr="00467BE8">
        <w:t>15 immunogenicity (neutrali</w:t>
      </w:r>
      <w:r w:rsidR="00A70EA9" w:rsidRPr="00467BE8">
        <w:t>s</w:t>
      </w:r>
      <w:r w:rsidRPr="00467BE8">
        <w:t xml:space="preserve">ing antibody responses) against variants contained in the vaccines was also a primary objective. All analyses were descriptive; there was no hypothesis </w:t>
      </w:r>
      <w:r w:rsidRPr="00467BE8">
        <w:lastRenderedPageBreak/>
        <w:t>testing pre-specified with respect to the immune responses. Lastly, per the study protocol, surveillance for COVID-19 events as an exploratory objective begins 14 days after the booster dose and it is therefore not applicable to the Day 15 interim analysis.</w:t>
      </w:r>
    </w:p>
    <w:p w14:paraId="0D0F789A" w14:textId="5FC34D12" w:rsidR="00282C14" w:rsidRPr="00467BE8" w:rsidRDefault="00282C14" w:rsidP="00282C14">
      <w:pPr>
        <w:pStyle w:val="Heading7"/>
      </w:pPr>
      <w:r w:rsidRPr="00467BE8">
        <w:t>Study population</w:t>
      </w:r>
    </w:p>
    <w:p w14:paraId="25925396" w14:textId="6D2F5D4B" w:rsidR="00282C14" w:rsidRPr="00467BE8" w:rsidRDefault="00A70EA9" w:rsidP="00282C14">
      <w:r w:rsidRPr="00467BE8">
        <w:t xml:space="preserve">Study P205 Part J </w:t>
      </w:r>
      <w:r w:rsidR="00282C14" w:rsidRPr="00467BE8">
        <w:t>participants enrolled between 25 April 2023 and 27 April 2023 and their baseline characteristics (including age, gender, interval between prior doses and evidence of prior SARS</w:t>
      </w:r>
      <w:r w:rsidRPr="00467BE8">
        <w:t>-</w:t>
      </w:r>
      <w:r w:rsidR="00282C14" w:rsidRPr="00467BE8">
        <w:t xml:space="preserve">CoV-2 infection) are shown in </w:t>
      </w:r>
      <w:r w:rsidRPr="00467BE8">
        <w:fldChar w:fldCharType="begin"/>
      </w:r>
      <w:r w:rsidRPr="00467BE8">
        <w:instrText xml:space="preserve"> REF _Ref147424674 \h </w:instrText>
      </w:r>
      <w:r w:rsidR="00E376AE" w:rsidRPr="00467BE8">
        <w:instrText xml:space="preserve"> \* MERGEFORMAT </w:instrText>
      </w:r>
      <w:r w:rsidRPr="00467BE8">
        <w:fldChar w:fldCharType="separate"/>
      </w:r>
      <w:r w:rsidR="000022F7" w:rsidRPr="00467BE8">
        <w:t xml:space="preserve">Table </w:t>
      </w:r>
      <w:r w:rsidR="000022F7">
        <w:rPr>
          <w:noProof/>
        </w:rPr>
        <w:t>3</w:t>
      </w:r>
      <w:r w:rsidRPr="00467BE8">
        <w:fldChar w:fldCharType="end"/>
      </w:r>
      <w:r w:rsidRPr="00467BE8">
        <w:t xml:space="preserve"> </w:t>
      </w:r>
      <w:r w:rsidR="00282C14" w:rsidRPr="00467BE8">
        <w:t xml:space="preserve">below. Overall, </w:t>
      </w:r>
      <w:r w:rsidRPr="00467BE8">
        <w:t xml:space="preserve">a total of </w:t>
      </w:r>
      <w:r w:rsidR="00282C14" w:rsidRPr="00467BE8">
        <w:t>101 adult participants were randomi</w:t>
      </w:r>
      <w:r w:rsidRPr="00467BE8">
        <w:t>s</w:t>
      </w:r>
      <w:r w:rsidR="00282C14" w:rsidRPr="00467BE8">
        <w:t>ed between two arms</w:t>
      </w:r>
      <w:r w:rsidRPr="00467BE8">
        <w:t xml:space="preserve">. Of these, </w:t>
      </w:r>
      <w:r w:rsidR="00282C14" w:rsidRPr="00467BE8">
        <w:t>50 participants received mRNA</w:t>
      </w:r>
      <w:r w:rsidRPr="00467BE8">
        <w:noBreakHyphen/>
      </w:r>
      <w:r w:rsidR="00282C14" w:rsidRPr="00467BE8">
        <w:t>1273.815 and 51 participants received mRNA-1273.231. The mean age was 51.6 and 48.4</w:t>
      </w:r>
      <w:r w:rsidRPr="00467BE8">
        <w:t> </w:t>
      </w:r>
      <w:r w:rsidR="00282C14" w:rsidRPr="00467BE8">
        <w:t>years in the mRNA-1273.815 and mRNA-1273.231 groups, respectively. Eleven of 50 (22%) mRNA-1273.815 and 7 of 51 (13.7%) were above 65 years of age. The interval between the fourth dose (</w:t>
      </w:r>
      <w:r w:rsidRPr="00467BE8">
        <w:t xml:space="preserve">Spikevax </w:t>
      </w:r>
      <w:r w:rsidR="00282C14" w:rsidRPr="00467BE8">
        <w:t xml:space="preserve">BA.4/BA.5 bivalent vaccine) and the investigational vaccine dose in </w:t>
      </w:r>
      <w:r w:rsidRPr="00467BE8">
        <w:t xml:space="preserve">Study P205 Part J </w:t>
      </w:r>
      <w:r w:rsidR="00282C14" w:rsidRPr="00467BE8">
        <w:t>was a median of 8.2 months and 8.3 months for the mRNA-1273.815 and mRNA-1273.231 groups, respectively. Intervals between prior doses (second and third, third and fourth</w:t>
      </w:r>
      <w:r w:rsidRPr="00467BE8">
        <w:t xml:space="preserve"> doses</w:t>
      </w:r>
      <w:r w:rsidR="00282C14" w:rsidRPr="00467BE8">
        <w:t>) were also balanced between the two groups. Lastly, 34 of 50 (68%) and 40 of 51 (78.4%) participants in the mRNA-1273.815 and mRNA-1273.231 groups, respectively, had evidence of SARS-CoV-2 infection (positive SARS-CoV-2 anti-nucleocapsid antibody test or positive baseline SARS-CoV-2 polymerase chain reaction</w:t>
      </w:r>
      <w:r w:rsidRPr="00467BE8">
        <w:t xml:space="preserve"> (</w:t>
      </w:r>
      <w:r w:rsidR="00282C14" w:rsidRPr="00467BE8">
        <w:t>PCR</w:t>
      </w:r>
      <w:r w:rsidRPr="00467BE8">
        <w:t>)</w:t>
      </w:r>
      <w:r w:rsidR="00282C14" w:rsidRPr="00467BE8">
        <w:t xml:space="preserve"> test) prior to receiving the investigational vaccine.</w:t>
      </w:r>
    </w:p>
    <w:p w14:paraId="799D5856" w14:textId="5553B3E2" w:rsidR="00282C14" w:rsidRPr="00467BE8" w:rsidRDefault="00A70EA9" w:rsidP="00CD1C52">
      <w:pPr>
        <w:pStyle w:val="TableTitle"/>
      </w:pPr>
      <w:bookmarkStart w:id="68" w:name="_Ref147424674"/>
      <w:r w:rsidRPr="00467BE8">
        <w:t xml:space="preserve">Table </w:t>
      </w:r>
      <w:r w:rsidR="005C0122">
        <w:fldChar w:fldCharType="begin"/>
      </w:r>
      <w:r w:rsidR="005C0122">
        <w:instrText xml:space="preserve"> SEQ Table \* ARABIC </w:instrText>
      </w:r>
      <w:r w:rsidR="005C0122">
        <w:fldChar w:fldCharType="separate"/>
      </w:r>
      <w:r w:rsidR="000022F7">
        <w:rPr>
          <w:noProof/>
        </w:rPr>
        <w:t>3</w:t>
      </w:r>
      <w:r w:rsidR="005C0122">
        <w:rPr>
          <w:noProof/>
        </w:rPr>
        <w:fldChar w:fldCharType="end"/>
      </w:r>
      <w:bookmarkEnd w:id="68"/>
      <w:r w:rsidR="00282C14" w:rsidRPr="00467BE8">
        <w:t xml:space="preserve">: </w:t>
      </w:r>
      <w:r w:rsidRPr="00467BE8">
        <w:t xml:space="preserve">Study P205 Part J </w:t>
      </w:r>
      <w:r w:rsidR="00282C14" w:rsidRPr="00467BE8">
        <w:t>Select demographics and study participants characteristics (</w:t>
      </w:r>
      <w:r w:rsidRPr="00467BE8">
        <w:t>safety set</w:t>
      </w:r>
      <w:r w:rsidR="00282C14" w:rsidRPr="00467BE8">
        <w:t>)</w:t>
      </w:r>
    </w:p>
    <w:p w14:paraId="1C33062B" w14:textId="3B5A76A9" w:rsidR="00A70EA9" w:rsidRPr="00467BE8" w:rsidRDefault="00A70EA9" w:rsidP="00CD1C52">
      <w:r w:rsidRPr="00467BE8">
        <w:rPr>
          <w:noProof/>
        </w:rPr>
        <w:drawing>
          <wp:inline distT="0" distB="0" distL="0" distR="0" wp14:anchorId="1107DA39" wp14:editId="217E7572">
            <wp:extent cx="5759450" cy="1946275"/>
            <wp:effectExtent l="0" t="0" r="0" b="0"/>
            <wp:docPr id="14" name="Picture 14" descr="Study P205 Part J Select demographics and study participants characteristic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P205 Part J Select demographics and study participants characteristics (safety set)"/>
                    <pic:cNvPicPr/>
                  </pic:nvPicPr>
                  <pic:blipFill>
                    <a:blip r:embed="rId34"/>
                    <a:stretch>
                      <a:fillRect/>
                    </a:stretch>
                  </pic:blipFill>
                  <pic:spPr>
                    <a:xfrm>
                      <a:off x="0" y="0"/>
                      <a:ext cx="5759450" cy="1946275"/>
                    </a:xfrm>
                    <a:prstGeom prst="rect">
                      <a:avLst/>
                    </a:prstGeom>
                  </pic:spPr>
                </pic:pic>
              </a:graphicData>
            </a:graphic>
          </wp:inline>
        </w:drawing>
      </w:r>
    </w:p>
    <w:p w14:paraId="2452D9F3" w14:textId="5711AF89" w:rsidR="00282C14" w:rsidRPr="00467BE8" w:rsidRDefault="00A70EA9" w:rsidP="00CD1C52">
      <w:pPr>
        <w:pStyle w:val="TableDescription"/>
      </w:pPr>
      <w:r w:rsidRPr="00467BE8">
        <w:t>Abbreviations: N = total number of subjects; SD = standard deviation.</w:t>
      </w:r>
    </w:p>
    <w:p w14:paraId="197FF8C0" w14:textId="77777777" w:rsidR="00282C14" w:rsidRPr="00467BE8" w:rsidRDefault="00282C14" w:rsidP="00282C14">
      <w:pPr>
        <w:pStyle w:val="Heading6"/>
      </w:pPr>
      <w:r w:rsidRPr="00467BE8">
        <w:t>Immunogenicity</w:t>
      </w:r>
    </w:p>
    <w:p w14:paraId="5D769D70" w14:textId="54177D37" w:rsidR="00282C14" w:rsidRPr="00467BE8" w:rsidRDefault="00282C14" w:rsidP="00282C14">
      <w:r w:rsidRPr="00467BE8">
        <w:t>There was no pre-specified hypothesis on the immune responses elicited by the mRNA</w:t>
      </w:r>
      <w:r w:rsidR="00A70EA9" w:rsidRPr="00467BE8">
        <w:noBreakHyphen/>
      </w:r>
      <w:r w:rsidRPr="00467BE8">
        <w:t>1273.815 and mRNA-1273.231 vaccines and no statistical testing was performed for an immunogenicity comparison between the two randomi</w:t>
      </w:r>
      <w:r w:rsidR="00A70EA9" w:rsidRPr="00467BE8">
        <w:t>s</w:t>
      </w:r>
      <w:r w:rsidRPr="00467BE8">
        <w:t>ed groups</w:t>
      </w:r>
      <w:r w:rsidR="00A70EA9" w:rsidRPr="00467BE8">
        <w:t>, and</w:t>
      </w:r>
      <w:r w:rsidRPr="00467BE8">
        <w:t xml:space="preserve"> all analyses are descriptive. The </w:t>
      </w:r>
      <w:r w:rsidR="00A70EA9" w:rsidRPr="00467BE8">
        <w:t>B</w:t>
      </w:r>
      <w:r w:rsidRPr="00467BE8">
        <w:t>aseline, Day 15 neutrali</w:t>
      </w:r>
      <w:r w:rsidR="00A70EA9" w:rsidRPr="00467BE8">
        <w:t>s</w:t>
      </w:r>
      <w:r w:rsidRPr="00467BE8">
        <w:t>ing antibody responses (</w:t>
      </w:r>
      <w:r w:rsidR="00A70EA9" w:rsidRPr="00467BE8">
        <w:t>geometric mean titres</w:t>
      </w:r>
      <w:r w:rsidRPr="00467BE8">
        <w:t xml:space="preserve"> and the </w:t>
      </w:r>
      <w:r w:rsidR="00A70EA9" w:rsidRPr="00467BE8">
        <w:t xml:space="preserve">geometric mean fold rises </w:t>
      </w:r>
      <w:r w:rsidRPr="00467BE8">
        <w:t xml:space="preserve">(GMFRs) after the mRNA-1273.815 and mRNA-1273.231 doses are shown in </w:t>
      </w:r>
      <w:r w:rsidR="00A70EA9" w:rsidRPr="00467BE8">
        <w:fldChar w:fldCharType="begin"/>
      </w:r>
      <w:r w:rsidR="00A70EA9" w:rsidRPr="00467BE8">
        <w:instrText xml:space="preserve"> REF _Ref147425122 \h </w:instrText>
      </w:r>
      <w:r w:rsidR="002B2232" w:rsidRPr="00467BE8">
        <w:instrText xml:space="preserve"> \* MERGEFORMAT </w:instrText>
      </w:r>
      <w:r w:rsidR="00A70EA9" w:rsidRPr="00467BE8">
        <w:fldChar w:fldCharType="separate"/>
      </w:r>
      <w:r w:rsidR="000022F7" w:rsidRPr="00467BE8">
        <w:t xml:space="preserve">Table </w:t>
      </w:r>
      <w:r w:rsidR="000022F7">
        <w:rPr>
          <w:noProof/>
        </w:rPr>
        <w:t>4</w:t>
      </w:r>
      <w:r w:rsidR="00A70EA9" w:rsidRPr="00467BE8">
        <w:fldChar w:fldCharType="end"/>
      </w:r>
      <w:r w:rsidR="00A70EA9" w:rsidRPr="00467BE8">
        <w:t xml:space="preserve"> </w:t>
      </w:r>
      <w:r w:rsidRPr="00467BE8">
        <w:t xml:space="preserve">below. In addition, seroresponse (at least 4-fold rise from </w:t>
      </w:r>
      <w:r w:rsidR="00A70EA9" w:rsidRPr="00467BE8">
        <w:t>B</w:t>
      </w:r>
      <w:r w:rsidRPr="00467BE8">
        <w:t xml:space="preserve">aseline) rates are provided for BA.4/BA.5 and D614G in this section. </w:t>
      </w:r>
      <w:r w:rsidR="00A70EA9" w:rsidRPr="00467BE8">
        <w:t xml:space="preserve">Seroresponse rate </w:t>
      </w:r>
      <w:r w:rsidRPr="00467BE8">
        <w:t>are calculated only when the pseudovirus assay has an established lower limit of quantification in a validated assay (D614G, BA.4/BA.5). The XBB.1.5, XBB.1.16 and BQ.1.1 are qualified assays. All assays are performed at the Duke University laboratories using consistent methods.</w:t>
      </w:r>
    </w:p>
    <w:p w14:paraId="2A82BAAA" w14:textId="48A618DF" w:rsidR="00282C14" w:rsidRPr="00467BE8" w:rsidRDefault="00A70EA9" w:rsidP="00CD1C52">
      <w:pPr>
        <w:pStyle w:val="TableTitle"/>
      </w:pPr>
      <w:bookmarkStart w:id="69" w:name="_Ref147425122"/>
      <w:r w:rsidRPr="00467BE8">
        <w:lastRenderedPageBreak/>
        <w:t xml:space="preserve">Table </w:t>
      </w:r>
      <w:r w:rsidR="005C0122">
        <w:fldChar w:fldCharType="begin"/>
      </w:r>
      <w:r w:rsidR="005C0122">
        <w:instrText xml:space="preserve"> SEQ Table \* ARABIC </w:instrText>
      </w:r>
      <w:r w:rsidR="005C0122">
        <w:fldChar w:fldCharType="separate"/>
      </w:r>
      <w:r w:rsidR="000022F7">
        <w:rPr>
          <w:noProof/>
        </w:rPr>
        <w:t>4</w:t>
      </w:r>
      <w:r w:rsidR="005C0122">
        <w:rPr>
          <w:noProof/>
        </w:rPr>
        <w:fldChar w:fldCharType="end"/>
      </w:r>
      <w:bookmarkEnd w:id="69"/>
      <w:r w:rsidR="00282C14" w:rsidRPr="00467BE8">
        <w:t xml:space="preserve">: </w:t>
      </w:r>
      <w:r w:rsidRPr="00467BE8">
        <w:t>Study P205 Part J Neutralising antibody titres at Day 15 (per-protocol immunogenicity set)</w:t>
      </w:r>
    </w:p>
    <w:p w14:paraId="60207961" w14:textId="77777777" w:rsidR="002B2232" w:rsidRPr="00467BE8" w:rsidRDefault="00A70EA9" w:rsidP="00CD1C52">
      <w:r w:rsidRPr="00467BE8">
        <w:rPr>
          <w:noProof/>
        </w:rPr>
        <w:drawing>
          <wp:inline distT="0" distB="0" distL="0" distR="0" wp14:anchorId="26F685E5" wp14:editId="6B324497">
            <wp:extent cx="5759450" cy="5985510"/>
            <wp:effectExtent l="0" t="0" r="0" b="0"/>
            <wp:docPr id="16" name="Picture 16" descr="Study P205 Part J Neutralising antibody titres at Day 15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P205 Part J Neutralising antibody titres at Day 15 (per-protocol immunogenicity set)"/>
                    <pic:cNvPicPr/>
                  </pic:nvPicPr>
                  <pic:blipFill>
                    <a:blip r:embed="rId35"/>
                    <a:stretch>
                      <a:fillRect/>
                    </a:stretch>
                  </pic:blipFill>
                  <pic:spPr>
                    <a:xfrm>
                      <a:off x="0" y="0"/>
                      <a:ext cx="5759450" cy="5985510"/>
                    </a:xfrm>
                    <a:prstGeom prst="rect">
                      <a:avLst/>
                    </a:prstGeom>
                  </pic:spPr>
                </pic:pic>
              </a:graphicData>
            </a:graphic>
          </wp:inline>
        </w:drawing>
      </w:r>
    </w:p>
    <w:p w14:paraId="727C02A3" w14:textId="517066B1" w:rsidR="00A70EA9" w:rsidRPr="00467BE8" w:rsidRDefault="002B2232" w:rsidP="00CD1C52">
      <w:pPr>
        <w:pStyle w:val="TableDescription"/>
      </w:pPr>
      <w:r w:rsidRPr="00467BE8">
        <w:t>A</w:t>
      </w:r>
      <w:r w:rsidR="00A70EA9" w:rsidRPr="00467BE8">
        <w:t>bbreviations: CI = confidence interval; GMT = geometric mean titre; GMFR = geometric mean fold rises; N = total number of subjects; n = number of observations at corresponding timepoint.</w:t>
      </w:r>
    </w:p>
    <w:p w14:paraId="2B8869BA" w14:textId="26450219" w:rsidR="00A70EA9" w:rsidRPr="00467BE8" w:rsidRDefault="00A70EA9" w:rsidP="00CD1C52">
      <w:pPr>
        <w:pStyle w:val="TableDescription"/>
      </w:pPr>
      <w:r w:rsidRPr="00467BE8">
        <w:t>Antibody values reported as below the lower limit of quantification (LLOQ) are reported by 0.5 × LLOQ. Values greater than the upper limit of quantification (ULOQ) are replaced by the ULOQ if the actual values are not available. Antibody values reported as below the lower limit of detection (LOD) are replaced by 0.5 × LOD.</w:t>
      </w:r>
    </w:p>
    <w:p w14:paraId="4F5872C9" w14:textId="3069ACCC" w:rsidR="00282C14" w:rsidRPr="00467BE8" w:rsidRDefault="00282C14" w:rsidP="00282C14">
      <w:r w:rsidRPr="00467BE8">
        <w:t xml:space="preserve">In the </w:t>
      </w:r>
      <w:r w:rsidR="00A70EA9" w:rsidRPr="00467BE8">
        <w:t>p</w:t>
      </w:r>
      <w:r w:rsidRPr="00467BE8">
        <w:t>er-protocol</w:t>
      </w:r>
      <w:r w:rsidR="002B2232" w:rsidRPr="00467BE8">
        <w:rPr>
          <w:rStyle w:val="FootnoteReference"/>
        </w:rPr>
        <w:footnoteReference w:id="8"/>
      </w:r>
      <w:r w:rsidRPr="00467BE8">
        <w:t xml:space="preserve"> </w:t>
      </w:r>
      <w:r w:rsidR="00A70EA9" w:rsidRPr="00467BE8">
        <w:t xml:space="preserve">immunogenicity set </w:t>
      </w:r>
      <w:r w:rsidRPr="00467BE8">
        <w:t>which includes all participants, with and without prior</w:t>
      </w:r>
      <w:r w:rsidR="001A219D" w:rsidRPr="00467BE8">
        <w:t xml:space="preserve"> </w:t>
      </w:r>
      <w:r w:rsidRPr="00467BE8">
        <w:t>SARS-CoV-2 infection (</w:t>
      </w:r>
      <w:r w:rsidR="00A70EA9" w:rsidRPr="00467BE8">
        <w:t xml:space="preserve">49 participants </w:t>
      </w:r>
      <w:r w:rsidRPr="00467BE8">
        <w:t xml:space="preserve">for the mRNA-1273.815 and </w:t>
      </w:r>
      <w:r w:rsidR="00A70EA9" w:rsidRPr="00467BE8">
        <w:t xml:space="preserve">50 participants for </w:t>
      </w:r>
      <w:r w:rsidRPr="00467BE8">
        <w:t>mRNA</w:t>
      </w:r>
      <w:r w:rsidR="00A70EA9" w:rsidRPr="00467BE8">
        <w:noBreakHyphen/>
      </w:r>
      <w:r w:rsidRPr="00467BE8">
        <w:t>1273.231 groups), the Day 15 GMFR (95%</w:t>
      </w:r>
      <w:r w:rsidR="002B2232" w:rsidRPr="00467BE8">
        <w:t xml:space="preserve"> confidence interval</w:t>
      </w:r>
      <w:r w:rsidRPr="00467BE8">
        <w:t xml:space="preserve"> </w:t>
      </w:r>
      <w:r w:rsidR="002B2232" w:rsidRPr="00467BE8">
        <w:t>(</w:t>
      </w:r>
      <w:r w:rsidRPr="00467BE8">
        <w:t>CI</w:t>
      </w:r>
      <w:r w:rsidR="002B2232" w:rsidRPr="00467BE8">
        <w:t>)</w:t>
      </w:r>
      <w:r w:rsidRPr="00467BE8">
        <w:t xml:space="preserve">) for mRNA-1273.815 and mRNA-1273.231 was 16.7 (12.8, 21.7) and 11.6 (8.7, 15.4), respectively, against XBB.1.5 and 6.3 (4.8, 8.2) and 5.3 (3.9, 7.1) against BA.4/BA.5. Additionally, for variants not contained in the vaccines, the Day 15 GMFR (95% CI) for mRNA-1273.815 and mRNA-1273.231 was 11.4 (8.5, 15.4) and 9.3 (7.0, 12.3) against XBB.1.16; 5.8 (4.7, 7.3) and 6.1 (4.6, 7.9) against BQ.1.1 and 2.8 </w:t>
      </w:r>
      <w:r w:rsidRPr="00467BE8">
        <w:lastRenderedPageBreak/>
        <w:t xml:space="preserve">(2.2, 3.5) and 2.3 (1.9, 2.8) against D614G. Overall, the XBB.1.5 monovalent mRNA-1273.815 and the XBB.1.5 </w:t>
      </w:r>
      <w:r w:rsidR="00A70EA9" w:rsidRPr="00467BE8">
        <w:t>plus</w:t>
      </w:r>
      <w:r w:rsidRPr="00467BE8">
        <w:t xml:space="preserve"> BA.4/BA.5 bivalent mRNA-1273.231 elicited potent neutrali</w:t>
      </w:r>
      <w:r w:rsidR="00A70EA9" w:rsidRPr="00467BE8">
        <w:t>s</w:t>
      </w:r>
      <w:r w:rsidRPr="00467BE8">
        <w:t>ing responses at Day 15 against all variants evaluated</w:t>
      </w:r>
      <w:r w:rsidR="00A70EA9" w:rsidRPr="00467BE8">
        <w:t xml:space="preserve"> (</w:t>
      </w:r>
      <w:r w:rsidRPr="00467BE8">
        <w:t>XBB.1.5, XBB.1.16, BA.4/BA.5, BQ.1.1 and D614G</w:t>
      </w:r>
      <w:r w:rsidR="00A70EA9" w:rsidRPr="00467BE8">
        <w:t>)</w:t>
      </w:r>
      <w:r w:rsidRPr="00467BE8">
        <w:t>.</w:t>
      </w:r>
    </w:p>
    <w:p w14:paraId="0F385646" w14:textId="1233B17B" w:rsidR="00282C14" w:rsidRPr="00467BE8" w:rsidRDefault="00282C14" w:rsidP="00282C14">
      <w:r w:rsidRPr="00467BE8">
        <w:t xml:space="preserve">For mRNA-1273.815 and mRNA-1273.231 the Day 15 D614G </w:t>
      </w:r>
      <w:r w:rsidR="00A70EA9" w:rsidRPr="00467BE8">
        <w:t>seroresponse rate</w:t>
      </w:r>
      <w:r w:rsidRPr="00467BE8">
        <w:t xml:space="preserve"> (95% CI) was 32.7% (19.9%, 47.5%) and 22.4% (11.8%, 36.6%)</w:t>
      </w:r>
      <w:r w:rsidR="00A70EA9" w:rsidRPr="00467BE8">
        <w:t>,</w:t>
      </w:r>
      <w:r w:rsidRPr="00467BE8">
        <w:t xml:space="preserve"> respectively</w:t>
      </w:r>
      <w:r w:rsidR="00A70EA9" w:rsidRPr="00467BE8">
        <w:t>;</w:t>
      </w:r>
      <w:r w:rsidRPr="00467BE8">
        <w:t xml:space="preserve"> and the BA.4/BA.5 </w:t>
      </w:r>
      <w:r w:rsidR="00A70EA9" w:rsidRPr="00467BE8">
        <w:t>seroresponse rate</w:t>
      </w:r>
      <w:r w:rsidRPr="00467BE8">
        <w:t xml:space="preserve"> was 69.4% (54.6%,81.7%) and 62.0% (47.2%, 75.3%), respectively. It should be noted that for BA.4/BA.5 and D614G</w:t>
      </w:r>
      <w:r w:rsidR="00A70EA9" w:rsidRPr="00467BE8">
        <w:t xml:space="preserve"> </w:t>
      </w:r>
      <w:r w:rsidRPr="00467BE8">
        <w:t>the pre-booster titres were numerically higher than the pre-booster titres of (XBB.1.5, XBB.1.16</w:t>
      </w:r>
      <w:r w:rsidR="00A70EA9" w:rsidRPr="00467BE8">
        <w:t xml:space="preserve"> and</w:t>
      </w:r>
      <w:r w:rsidRPr="00467BE8">
        <w:t xml:space="preserve"> BQ.1.1) given that all participants had been previously vaccinated with the </w:t>
      </w:r>
      <w:r w:rsidR="00486FE9" w:rsidRPr="00467BE8">
        <w:t xml:space="preserve">original Spikevax </w:t>
      </w:r>
      <w:r w:rsidRPr="00467BE8">
        <w:t>and the</w:t>
      </w:r>
      <w:r w:rsidR="00486FE9" w:rsidRPr="00467BE8">
        <w:t xml:space="preserve"> Spikevax Bivalent Original/Omicron BA.4-5 </w:t>
      </w:r>
      <w:r w:rsidRPr="00467BE8">
        <w:t>vaccines.</w:t>
      </w:r>
    </w:p>
    <w:p w14:paraId="7F527951" w14:textId="33771277" w:rsidR="00282C14" w:rsidRPr="00467BE8" w:rsidRDefault="00282C14" w:rsidP="00282C14">
      <w:pPr>
        <w:pStyle w:val="Heading6"/>
      </w:pPr>
      <w:r w:rsidRPr="00467BE8">
        <w:t>Variant monitoring and risk assessment of emerging variants</w:t>
      </w:r>
    </w:p>
    <w:p w14:paraId="1A0519FB" w14:textId="77777777" w:rsidR="00282C14" w:rsidRPr="00467BE8" w:rsidRDefault="00282C14" w:rsidP="00282C14">
      <w:pPr>
        <w:pStyle w:val="Heading7"/>
      </w:pPr>
      <w:r w:rsidRPr="00467BE8">
        <w:t>Variant EG.5.1</w:t>
      </w:r>
    </w:p>
    <w:p w14:paraId="50C267E8" w14:textId="11C63848" w:rsidR="00282C14" w:rsidRPr="00467BE8" w:rsidRDefault="00282C14" w:rsidP="00282C14">
      <w:r w:rsidRPr="00467BE8">
        <w:t>The sponsor has confirmed that as part of their ongoing variant monitoring and risk assessment of emerging variants predicts that monovalent XBB.1.5-containing vaccine (mRNA-1273.815) will continue to neutrali</w:t>
      </w:r>
      <w:r w:rsidR="00A70EA9" w:rsidRPr="00467BE8">
        <w:t>s</w:t>
      </w:r>
      <w:r w:rsidRPr="00467BE8">
        <w:t xml:space="preserve">e current SARS-CoV-2 variants, including EG.5.1(the predominant subvariant of the EG.5 subfamily-classified recently as </w:t>
      </w:r>
      <w:r w:rsidR="00A70EA9" w:rsidRPr="00467BE8">
        <w:t>‘</w:t>
      </w:r>
      <w:r w:rsidRPr="00467BE8">
        <w:t>variant of interest</w:t>
      </w:r>
      <w:r w:rsidR="00A70EA9" w:rsidRPr="00467BE8">
        <w:t>’</w:t>
      </w:r>
      <w:r w:rsidRPr="00467BE8">
        <w:t xml:space="preserve"> by the </w:t>
      </w:r>
      <w:r w:rsidR="002B2232" w:rsidRPr="00467BE8">
        <w:t>World Health Organization</w:t>
      </w:r>
      <w:r w:rsidRPr="00467BE8">
        <w:t xml:space="preserve">). </w:t>
      </w:r>
      <w:r w:rsidR="00A70EA9" w:rsidRPr="00467BE8">
        <w:t xml:space="preserve">The </w:t>
      </w:r>
      <w:r w:rsidRPr="00467BE8">
        <w:t xml:space="preserve">EG.5.1 </w:t>
      </w:r>
      <w:r w:rsidR="00A70EA9" w:rsidRPr="00467BE8">
        <w:t xml:space="preserve">variant </w:t>
      </w:r>
      <w:r w:rsidRPr="00467BE8">
        <w:t xml:space="preserve">differs from XBB.1.5 by only two amino acids in the </w:t>
      </w:r>
      <w:r w:rsidR="00A70EA9" w:rsidRPr="00467BE8">
        <w:t>receptor binding domain:</w:t>
      </w:r>
    </w:p>
    <w:p w14:paraId="4D191230" w14:textId="26D3B314" w:rsidR="00282C14" w:rsidRPr="00467BE8" w:rsidRDefault="00282C14" w:rsidP="00282C14">
      <w:pPr>
        <w:pStyle w:val="ListBullet"/>
      </w:pPr>
      <w:r w:rsidRPr="00467BE8">
        <w:t xml:space="preserve">In mice receiving (primary or booster) dose of mRNA 1273.815, </w:t>
      </w:r>
      <w:r w:rsidR="00A70EA9" w:rsidRPr="00467BE8">
        <w:t>neutralising antibody</w:t>
      </w:r>
      <w:r w:rsidRPr="00467BE8">
        <w:t xml:space="preserve"> titres against XBB.1.5, XBB.1.16, XBB.2.3.2, and EG.5.1 are comparable.</w:t>
      </w:r>
    </w:p>
    <w:p w14:paraId="55DB8C49" w14:textId="1B1A2381" w:rsidR="00282C14" w:rsidRPr="00467BE8" w:rsidRDefault="00282C14" w:rsidP="00282C14">
      <w:pPr>
        <w:pStyle w:val="ListBullet"/>
      </w:pPr>
      <w:r w:rsidRPr="00467BE8">
        <w:t xml:space="preserve">In clinical sera from subjects boosted with mRNA 1273.815, </w:t>
      </w:r>
      <w:r w:rsidR="00A70EA9" w:rsidRPr="00467BE8">
        <w:t>neutralising antibody</w:t>
      </w:r>
      <w:r w:rsidRPr="00467BE8">
        <w:t xml:space="preserve"> titres against XBB.1.5, XBB.1.16, XBB.2.3.2, EG.5.1, and FL.1.5.1 are comparable.</w:t>
      </w:r>
    </w:p>
    <w:p w14:paraId="62A1A5FB" w14:textId="535F5844" w:rsidR="00282C14" w:rsidRPr="00467BE8" w:rsidRDefault="00A70EA9" w:rsidP="00282C14">
      <w:r w:rsidRPr="00467BE8">
        <w:t xml:space="preserve">Study </w:t>
      </w:r>
      <w:r w:rsidR="00282C14" w:rsidRPr="00467BE8">
        <w:t xml:space="preserve">P205 Part J samples </w:t>
      </w:r>
      <w:r w:rsidR="000A373B" w:rsidRPr="00467BE8">
        <w:t xml:space="preserve">were </w:t>
      </w:r>
      <w:r w:rsidR="00282C14" w:rsidRPr="00467BE8">
        <w:t>collected 2 weeks after mRNA-1273.815 booster dose was administered.</w:t>
      </w:r>
    </w:p>
    <w:p w14:paraId="6E6989BD" w14:textId="2D91515E" w:rsidR="00282C14" w:rsidRPr="00467BE8" w:rsidRDefault="00282C14" w:rsidP="00282C14">
      <w:pPr>
        <w:pStyle w:val="Heading7"/>
      </w:pPr>
      <w:r w:rsidRPr="00467BE8">
        <w:t>Methodology</w:t>
      </w:r>
    </w:p>
    <w:p w14:paraId="3AEB4D41" w14:textId="33892191" w:rsidR="00A70EA9" w:rsidRPr="00467BE8" w:rsidRDefault="00A70EA9" w:rsidP="00CD1C52">
      <w:pPr>
        <w:pStyle w:val="TableTitle"/>
      </w:pPr>
      <w:r w:rsidRPr="00467BE8">
        <w:t xml:space="preserve">Table </w:t>
      </w:r>
      <w:r w:rsidR="005C0122">
        <w:fldChar w:fldCharType="begin"/>
      </w:r>
      <w:r w:rsidR="005C0122">
        <w:instrText xml:space="preserve"> SEQ Table \* ARABIC </w:instrText>
      </w:r>
      <w:r w:rsidR="005C0122">
        <w:fldChar w:fldCharType="separate"/>
      </w:r>
      <w:r w:rsidR="000022F7">
        <w:rPr>
          <w:noProof/>
        </w:rPr>
        <w:t>5</w:t>
      </w:r>
      <w:r w:rsidR="005C0122">
        <w:rPr>
          <w:noProof/>
        </w:rPr>
        <w:fldChar w:fldCharType="end"/>
      </w:r>
      <w:r w:rsidRPr="00467BE8">
        <w:t xml:space="preserve">: Study P205 Part J </w:t>
      </w:r>
      <w:r w:rsidR="00E06F42" w:rsidRPr="00467BE8">
        <w:t>Dosing regimen</w:t>
      </w:r>
    </w:p>
    <w:p w14:paraId="61D605A7" w14:textId="7DD74300" w:rsidR="00282C14" w:rsidRPr="00467BE8" w:rsidRDefault="00282C14" w:rsidP="00CD1C52">
      <w:r w:rsidRPr="00467BE8">
        <w:rPr>
          <w:noProof/>
        </w:rPr>
        <w:drawing>
          <wp:inline distT="0" distB="0" distL="0" distR="0" wp14:anchorId="2599B3AD" wp14:editId="0504AC20">
            <wp:extent cx="5731510" cy="677545"/>
            <wp:effectExtent l="19050" t="19050" r="21590" b="27305"/>
            <wp:docPr id="8" name="Picture 8" descr="Study P205 Part J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P205 Part J Dosing regimen"/>
                    <pic:cNvPicPr/>
                  </pic:nvPicPr>
                  <pic:blipFill>
                    <a:blip r:embed="rId36"/>
                    <a:stretch>
                      <a:fillRect/>
                    </a:stretch>
                  </pic:blipFill>
                  <pic:spPr>
                    <a:xfrm>
                      <a:off x="0" y="0"/>
                      <a:ext cx="5731510" cy="677545"/>
                    </a:xfrm>
                    <a:prstGeom prst="rect">
                      <a:avLst/>
                    </a:prstGeom>
                    <a:ln>
                      <a:solidFill>
                        <a:schemeClr val="bg1"/>
                      </a:solidFill>
                    </a:ln>
                  </pic:spPr>
                </pic:pic>
              </a:graphicData>
            </a:graphic>
          </wp:inline>
        </w:drawing>
      </w:r>
    </w:p>
    <w:p w14:paraId="46324658" w14:textId="63E2DFF8" w:rsidR="00A70EA9" w:rsidRPr="00467BE8" w:rsidRDefault="00A70EA9" w:rsidP="00A70EA9">
      <w:pPr>
        <w:pStyle w:val="TableDescription"/>
      </w:pPr>
      <w:r w:rsidRPr="00467BE8">
        <w:t>Abbreviations: D15 = Day 15; N = total number of subjects; PD5 = post-Dose 5</w:t>
      </w:r>
      <w:r w:rsidR="002B2232" w:rsidRPr="00467BE8">
        <w:t>.</w:t>
      </w:r>
    </w:p>
    <w:p w14:paraId="224FC13B" w14:textId="5FB4D8F8" w:rsidR="00A70EA9" w:rsidRPr="00467BE8" w:rsidRDefault="00A70EA9" w:rsidP="00A70EA9">
      <w:pPr>
        <w:pStyle w:val="TableTitle"/>
      </w:pPr>
      <w:r w:rsidRPr="00467BE8">
        <w:lastRenderedPageBreak/>
        <w:t xml:space="preserve">Figure </w:t>
      </w:r>
      <w:r w:rsidR="005C0122">
        <w:fldChar w:fldCharType="begin"/>
      </w:r>
      <w:r w:rsidR="005C0122">
        <w:instrText xml:space="preserve"> SEQ Figure \* ARABIC </w:instrText>
      </w:r>
      <w:r w:rsidR="005C0122">
        <w:fldChar w:fldCharType="separate"/>
      </w:r>
      <w:r w:rsidR="000022F7">
        <w:rPr>
          <w:noProof/>
        </w:rPr>
        <w:t>1</w:t>
      </w:r>
      <w:r w:rsidR="005C0122">
        <w:rPr>
          <w:noProof/>
        </w:rPr>
        <w:fldChar w:fldCharType="end"/>
      </w:r>
      <w:r w:rsidRPr="00467BE8">
        <w:t>: Study P205 Part J Neutralising antibody profile</w:t>
      </w:r>
    </w:p>
    <w:p w14:paraId="2897EEF7" w14:textId="7A842347" w:rsidR="00282C14" w:rsidRPr="00467BE8" w:rsidRDefault="00A70EA9" w:rsidP="00CD1C52">
      <w:r w:rsidRPr="00467BE8">
        <w:rPr>
          <w:noProof/>
        </w:rPr>
        <w:drawing>
          <wp:inline distT="0" distB="0" distL="0" distR="0" wp14:anchorId="06DF09B9" wp14:editId="57AEE3B4">
            <wp:extent cx="5759450" cy="2923540"/>
            <wp:effectExtent l="19050" t="19050" r="12700" b="10160"/>
            <wp:docPr id="20" name="Picture 20" descr="Study P205 Part J Neutralising antibod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P205 Part J Neutralising antibody profile"/>
                    <pic:cNvPicPr/>
                  </pic:nvPicPr>
                  <pic:blipFill>
                    <a:blip r:embed="rId37"/>
                    <a:stretch>
                      <a:fillRect/>
                    </a:stretch>
                  </pic:blipFill>
                  <pic:spPr>
                    <a:xfrm>
                      <a:off x="0" y="0"/>
                      <a:ext cx="5759450" cy="2923540"/>
                    </a:xfrm>
                    <a:prstGeom prst="rect">
                      <a:avLst/>
                    </a:prstGeom>
                    <a:ln>
                      <a:solidFill>
                        <a:schemeClr val="tx1"/>
                      </a:solidFill>
                    </a:ln>
                  </pic:spPr>
                </pic:pic>
              </a:graphicData>
            </a:graphic>
          </wp:inline>
        </w:drawing>
      </w:r>
    </w:p>
    <w:p w14:paraId="3A4A4EEF" w14:textId="1F5BC27E" w:rsidR="00A70EA9" w:rsidRPr="00467BE8" w:rsidRDefault="00A70EA9" w:rsidP="00A70EA9">
      <w:pPr>
        <w:pStyle w:val="TableDescription"/>
      </w:pPr>
      <w:r w:rsidRPr="00467BE8">
        <w:t xml:space="preserve">Abbreviations: </w:t>
      </w:r>
      <w:proofErr w:type="spellStart"/>
      <w:r w:rsidRPr="00467BE8">
        <w:t>NAb</w:t>
      </w:r>
      <w:proofErr w:type="spellEnd"/>
      <w:r w:rsidRPr="00467BE8">
        <w:t xml:space="preserve"> = neutralising antibody; </w:t>
      </w:r>
      <w:proofErr w:type="spellStart"/>
      <w:r w:rsidRPr="00467BE8">
        <w:t>wks</w:t>
      </w:r>
      <w:proofErr w:type="spellEnd"/>
      <w:r w:rsidRPr="00467BE8">
        <w:t>= weeks.</w:t>
      </w:r>
    </w:p>
    <w:p w14:paraId="67B739A4" w14:textId="3DC049B5" w:rsidR="00282C14" w:rsidRPr="00467BE8" w:rsidRDefault="00282C14" w:rsidP="00282C14">
      <w:pPr>
        <w:pStyle w:val="Heading7"/>
      </w:pPr>
      <w:r w:rsidRPr="00467BE8">
        <w:t>Variant BA.2.86</w:t>
      </w:r>
    </w:p>
    <w:p w14:paraId="7B2B4674" w14:textId="41A4D48D" w:rsidR="00282C14" w:rsidRPr="00467BE8" w:rsidRDefault="00282C14" w:rsidP="00282C14">
      <w:r w:rsidRPr="00467BE8">
        <w:t xml:space="preserve">The sponsor conducted a clinical study of the </w:t>
      </w:r>
      <w:r w:rsidR="00A70EA9" w:rsidRPr="00467BE8">
        <w:t>mRNA-</w:t>
      </w:r>
      <w:r w:rsidRPr="00467BE8">
        <w:t>1273.815 vaccine (</w:t>
      </w:r>
      <w:r w:rsidR="00A70EA9" w:rsidRPr="00467BE8">
        <w:t xml:space="preserve">Study </w:t>
      </w:r>
      <w:r w:rsidRPr="00467BE8">
        <w:t>P205 Part J).</w:t>
      </w:r>
    </w:p>
    <w:p w14:paraId="463AD656" w14:textId="7FC2241C" w:rsidR="00282C14" w:rsidRPr="00467BE8" w:rsidRDefault="00A70EA9" w:rsidP="00282C14">
      <w:pPr>
        <w:pStyle w:val="ListBullet"/>
      </w:pPr>
      <w:r w:rsidRPr="00467BE8">
        <w:t>Of a total of 2</w:t>
      </w:r>
      <w:r w:rsidR="00282C14" w:rsidRPr="00467BE8">
        <w:t>0</w:t>
      </w:r>
      <w:r w:rsidRPr="00467BE8">
        <w:t xml:space="preserve"> participants</w:t>
      </w:r>
      <w:r w:rsidR="00282C14" w:rsidRPr="00467BE8">
        <w:t xml:space="preserve">, 10 participants </w:t>
      </w:r>
      <w:r w:rsidRPr="00467BE8">
        <w:t xml:space="preserve">were </w:t>
      </w:r>
      <w:r w:rsidR="00282C14" w:rsidRPr="00467BE8">
        <w:t xml:space="preserve">with no evidence of prior infection, 10 participants </w:t>
      </w:r>
      <w:r w:rsidRPr="00467BE8">
        <w:t xml:space="preserve">were </w:t>
      </w:r>
      <w:r w:rsidR="00282C14" w:rsidRPr="00467BE8">
        <w:t>with evidence of prior SARS-CoV-2 infection</w:t>
      </w:r>
      <w:r w:rsidRPr="00467BE8">
        <w:t>.</w:t>
      </w:r>
    </w:p>
    <w:p w14:paraId="5A3D875E" w14:textId="234CEE70" w:rsidR="00282C14" w:rsidRPr="00467BE8" w:rsidRDefault="00A70EA9" w:rsidP="00282C14">
      <w:pPr>
        <w:pStyle w:val="ListBullet"/>
      </w:pPr>
      <w:r w:rsidRPr="00467BE8">
        <w:t xml:space="preserve">Sponsor’s </w:t>
      </w:r>
      <w:r w:rsidR="00282C14" w:rsidRPr="00467BE8">
        <w:t xml:space="preserve">research </w:t>
      </w:r>
      <w:r w:rsidRPr="00467BE8">
        <w:t>vesicular stomatitis virus-</w:t>
      </w:r>
      <w:r w:rsidR="00282C14" w:rsidRPr="00467BE8">
        <w:t xml:space="preserve">based </w:t>
      </w:r>
      <w:r w:rsidR="0055750D" w:rsidRPr="00467BE8">
        <w:t xml:space="preserve">pseudovirus neutralisation </w:t>
      </w:r>
      <w:r w:rsidR="00282C14" w:rsidRPr="00467BE8">
        <w:t>assay</w:t>
      </w:r>
      <w:r w:rsidRPr="00467BE8">
        <w:t xml:space="preserve"> was</w:t>
      </w:r>
      <w:r w:rsidR="00282C14" w:rsidRPr="00467BE8">
        <w:t xml:space="preserve"> used for </w:t>
      </w:r>
      <w:r w:rsidRPr="00467BE8">
        <w:t xml:space="preserve">the </w:t>
      </w:r>
      <w:r w:rsidR="00282C14" w:rsidRPr="00467BE8">
        <w:t>assessment.</w:t>
      </w:r>
    </w:p>
    <w:p w14:paraId="057F1118" w14:textId="6A909883" w:rsidR="00282C14" w:rsidRPr="00467BE8" w:rsidRDefault="00282C14" w:rsidP="00282C14">
      <w:r w:rsidRPr="00467BE8">
        <w:t xml:space="preserve">In clinical sera from subjects boosted with mRNA-1273.815, </w:t>
      </w:r>
      <w:r w:rsidR="00A70EA9" w:rsidRPr="00467BE8">
        <w:t>neutralising antibody</w:t>
      </w:r>
      <w:r w:rsidRPr="00467BE8">
        <w:t xml:space="preserve"> titres against XBB.1.5, XBB.1.16, XBB.2.3.2, EG.5.1, FL.1.5.1, and BA.2.86 are comparable.</w:t>
      </w:r>
    </w:p>
    <w:p w14:paraId="2CBB6C44" w14:textId="5146EA7A" w:rsidR="00282C14" w:rsidRPr="00467BE8" w:rsidRDefault="00282C14" w:rsidP="00A70EA9">
      <w:r w:rsidRPr="00467BE8">
        <w:t>Based on these preliminary results humans vaccinated with mRNA-1273.815, the monovalent XBB.1.5-containing vaccine, is anticipated to effectively protect against BA.2.86</w:t>
      </w:r>
      <w:r w:rsidR="00A70EA9" w:rsidRPr="00467BE8">
        <w:t xml:space="preserve">. </w:t>
      </w:r>
      <w:r w:rsidRPr="00467BE8">
        <w:t xml:space="preserve">Additional BA.2.86 </w:t>
      </w:r>
      <w:r w:rsidR="00A70EA9" w:rsidRPr="00467BE8">
        <w:t>neutralising antibody</w:t>
      </w:r>
      <w:r w:rsidRPr="00467BE8">
        <w:t xml:space="preserve"> assay results from </w:t>
      </w:r>
      <w:r w:rsidR="0055750D" w:rsidRPr="00467BE8">
        <w:t>Duke University laboratories</w:t>
      </w:r>
      <w:r w:rsidRPr="00467BE8">
        <w:t>, the primary neutrali</w:t>
      </w:r>
      <w:r w:rsidR="00A70EA9" w:rsidRPr="00467BE8">
        <w:t>s</w:t>
      </w:r>
      <w:r w:rsidRPr="00467BE8">
        <w:t xml:space="preserve">ation assay used for </w:t>
      </w:r>
      <w:r w:rsidR="00A70EA9" w:rsidRPr="00467BE8">
        <w:t>sponsor’s</w:t>
      </w:r>
      <w:r w:rsidRPr="00467BE8">
        <w:t xml:space="preserve"> clinical trials from mRNA-1273.815 vaccinated individuals are now included herein. Assay subsequently validated for each variant.</w:t>
      </w:r>
    </w:p>
    <w:p w14:paraId="4AE4CC00" w14:textId="77777777" w:rsidR="00CD1C52" w:rsidRPr="00467BE8" w:rsidRDefault="00CD1C52" w:rsidP="00CD1C52">
      <w:pPr>
        <w:pStyle w:val="FigureTitle"/>
        <w:sectPr w:rsidR="00CD1C52" w:rsidRPr="00467BE8" w:rsidSect="007452E8">
          <w:headerReference w:type="default" r:id="rId38"/>
          <w:footerReference w:type="default" r:id="rId39"/>
          <w:pgSz w:w="11906" w:h="16838" w:code="9"/>
          <w:pgMar w:top="1134" w:right="1418" w:bottom="1361" w:left="1418" w:header="573" w:footer="567" w:gutter="0"/>
          <w:cols w:space="708"/>
          <w:docGrid w:linePitch="360"/>
        </w:sectPr>
      </w:pPr>
    </w:p>
    <w:p w14:paraId="166430C0" w14:textId="58757FB6" w:rsidR="00A70EA9" w:rsidRPr="00467BE8" w:rsidRDefault="00A70EA9" w:rsidP="00CD1C52">
      <w:pPr>
        <w:pStyle w:val="FigureTitle"/>
      </w:pPr>
      <w:r w:rsidRPr="00467BE8">
        <w:lastRenderedPageBreak/>
        <w:t xml:space="preserve">Figure </w:t>
      </w:r>
      <w:r w:rsidR="005C0122">
        <w:fldChar w:fldCharType="begin"/>
      </w:r>
      <w:r w:rsidR="005C0122">
        <w:instrText xml:space="preserve"> SEQ Figure \* ARABIC </w:instrText>
      </w:r>
      <w:r w:rsidR="005C0122">
        <w:fldChar w:fldCharType="separate"/>
      </w:r>
      <w:r w:rsidR="000022F7">
        <w:rPr>
          <w:noProof/>
        </w:rPr>
        <w:t>2</w:t>
      </w:r>
      <w:r w:rsidR="005C0122">
        <w:rPr>
          <w:noProof/>
        </w:rPr>
        <w:fldChar w:fldCharType="end"/>
      </w:r>
      <w:r w:rsidRPr="00467BE8">
        <w:t xml:space="preserve">: Study P205 Part J Cross naturalisation results from </w:t>
      </w:r>
      <w:r w:rsidR="0055750D" w:rsidRPr="00467BE8">
        <w:t xml:space="preserve">Duke University laboratories </w:t>
      </w:r>
      <w:r w:rsidRPr="00467BE8">
        <w:t>pseudovirus naturalising assay (Day 29) after Spikevax XBB.1.5 vaccine administered in adults (per-protocol immunogenicity set, all participants)</w:t>
      </w:r>
    </w:p>
    <w:p w14:paraId="2AA217F6" w14:textId="2B69256A" w:rsidR="00A70EA9" w:rsidRPr="00467BE8" w:rsidRDefault="00A70EA9" w:rsidP="00CD1C52">
      <w:r w:rsidRPr="00467BE8">
        <w:rPr>
          <w:noProof/>
        </w:rPr>
        <w:drawing>
          <wp:inline distT="0" distB="0" distL="0" distR="0" wp14:anchorId="51033367" wp14:editId="452A9826">
            <wp:extent cx="5759450" cy="2684145"/>
            <wp:effectExtent l="19050" t="19050" r="12700" b="20955"/>
            <wp:docPr id="21" name="Picture 21" descr="Study P205 Part J Cross naturalisation results from Duke University laboratories pseudovirus naturalising assay (Day 29) after Spikevax XBB.1.5 vaccine administered in adults (per-protocol immunogenicity set, al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P205 Part J Cross naturalisation results from Duke University laboratories pseudovirus naturalising assay (Day 29) after Spikevax XBB.1.5 vaccine administered in adults (per-protocol immunogenicity set, all participants)"/>
                    <pic:cNvPicPr/>
                  </pic:nvPicPr>
                  <pic:blipFill>
                    <a:blip r:embed="rId40"/>
                    <a:stretch>
                      <a:fillRect/>
                    </a:stretch>
                  </pic:blipFill>
                  <pic:spPr>
                    <a:xfrm>
                      <a:off x="0" y="0"/>
                      <a:ext cx="5759450" cy="2684145"/>
                    </a:xfrm>
                    <a:prstGeom prst="rect">
                      <a:avLst/>
                    </a:prstGeom>
                    <a:ln>
                      <a:solidFill>
                        <a:schemeClr val="tx1"/>
                      </a:solidFill>
                    </a:ln>
                  </pic:spPr>
                </pic:pic>
              </a:graphicData>
            </a:graphic>
          </wp:inline>
        </w:drawing>
      </w:r>
    </w:p>
    <w:p w14:paraId="7BCD1059" w14:textId="68DA31A4" w:rsidR="00A70EA9" w:rsidRPr="00467BE8" w:rsidRDefault="00A70EA9" w:rsidP="00CD1C52">
      <w:pPr>
        <w:pStyle w:val="FigureDescription"/>
      </w:pPr>
      <w:r w:rsidRPr="00467BE8">
        <w:t>Abbreviation: ID</w:t>
      </w:r>
      <w:r w:rsidRPr="00467BE8">
        <w:rPr>
          <w:vertAlign w:val="subscript"/>
        </w:rPr>
        <w:t>50</w:t>
      </w:r>
      <w:r w:rsidRPr="00467BE8">
        <w:t xml:space="preserve"> = median infectious dose.</w:t>
      </w:r>
    </w:p>
    <w:p w14:paraId="7EF698B1" w14:textId="0B892CB6" w:rsidR="00A70EA9" w:rsidRPr="00467BE8" w:rsidRDefault="00A70EA9" w:rsidP="00CD1C52">
      <w:pPr>
        <w:pStyle w:val="FigureTitle"/>
      </w:pPr>
      <w:r w:rsidRPr="00467BE8">
        <w:t xml:space="preserve">Figure </w:t>
      </w:r>
      <w:r w:rsidR="005C0122">
        <w:fldChar w:fldCharType="begin"/>
      </w:r>
      <w:r w:rsidR="005C0122">
        <w:instrText xml:space="preserve"> SEQ Figure \* ARABIC </w:instrText>
      </w:r>
      <w:r w:rsidR="005C0122">
        <w:fldChar w:fldCharType="separate"/>
      </w:r>
      <w:r w:rsidR="000022F7">
        <w:rPr>
          <w:noProof/>
        </w:rPr>
        <w:t>3</w:t>
      </w:r>
      <w:r w:rsidR="005C0122">
        <w:rPr>
          <w:noProof/>
        </w:rPr>
        <w:fldChar w:fldCharType="end"/>
      </w:r>
      <w:r w:rsidRPr="00467BE8">
        <w:t xml:space="preserve">: Study P205 Part J Cross naturalisation results from </w:t>
      </w:r>
      <w:r w:rsidR="0055750D" w:rsidRPr="00467BE8">
        <w:t xml:space="preserve">Duke University laboratories </w:t>
      </w:r>
      <w:r w:rsidRPr="00467BE8">
        <w:t>pseudovirus naturalising assay (Day 29) after Spikevax XBB.1.5 vaccine administered in adults by baseline SARS-CoV-2 serostatus (per-protocol immunogenicity set)</w:t>
      </w:r>
    </w:p>
    <w:p w14:paraId="7F61FB6B" w14:textId="123565E1" w:rsidR="00282C14" w:rsidRPr="00467BE8" w:rsidRDefault="00A70EA9" w:rsidP="00282C14">
      <w:r w:rsidRPr="00467BE8">
        <w:rPr>
          <w:noProof/>
        </w:rPr>
        <w:drawing>
          <wp:inline distT="0" distB="0" distL="0" distR="0" wp14:anchorId="67A1484C" wp14:editId="60DAB6AB">
            <wp:extent cx="5759450" cy="2762250"/>
            <wp:effectExtent l="19050" t="19050" r="12700" b="19050"/>
            <wp:docPr id="1" name="Picture 1" descr="Study P205 Part J Cross naturalisation results from Duke University laboratories pseudovirus naturalising assay (Day 29) after Spikevax XBB.1.5 vaccine administered in adults by baseline SARS-CoV-2 serostatus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P205 Part J Cross naturalisation results from Duke University laboratories pseudovirus naturalising assay (Day 29) after Spikevax XBB.1.5 vaccine administered in adults by baseline SARS-CoV-2 serostatus (per-protocol immunogenicity set)"/>
                    <pic:cNvPicPr/>
                  </pic:nvPicPr>
                  <pic:blipFill>
                    <a:blip r:embed="rId41"/>
                    <a:stretch>
                      <a:fillRect/>
                    </a:stretch>
                  </pic:blipFill>
                  <pic:spPr>
                    <a:xfrm>
                      <a:off x="0" y="0"/>
                      <a:ext cx="5759450" cy="2762250"/>
                    </a:xfrm>
                    <a:prstGeom prst="rect">
                      <a:avLst/>
                    </a:prstGeom>
                    <a:ln>
                      <a:solidFill>
                        <a:schemeClr val="tx1"/>
                      </a:solidFill>
                    </a:ln>
                  </pic:spPr>
                </pic:pic>
              </a:graphicData>
            </a:graphic>
          </wp:inline>
        </w:drawing>
      </w:r>
    </w:p>
    <w:p w14:paraId="739BA144" w14:textId="75CA5C4F" w:rsidR="00A70EA9" w:rsidRPr="00467BE8" w:rsidRDefault="00A70EA9" w:rsidP="002B2232">
      <w:pPr>
        <w:pStyle w:val="FigureDescription"/>
      </w:pPr>
      <w:r w:rsidRPr="00467BE8">
        <w:t>Abbreviation</w:t>
      </w:r>
      <w:r w:rsidR="00A36BF1">
        <w:t>s</w:t>
      </w:r>
      <w:r w:rsidRPr="00467BE8">
        <w:t>: ID</w:t>
      </w:r>
      <w:r w:rsidRPr="000022F7">
        <w:rPr>
          <w:vertAlign w:val="subscript"/>
        </w:rPr>
        <w:t>50</w:t>
      </w:r>
      <w:r w:rsidRPr="00467BE8">
        <w:t xml:space="preserve"> = median infectious dose</w:t>
      </w:r>
      <w:r w:rsidR="002B2232" w:rsidRPr="00467BE8">
        <w:t>; SARS-CoV-2 = severe acute respiratory syndrome coronavirus 2</w:t>
      </w:r>
      <w:r w:rsidRPr="00467BE8">
        <w:t>.</w:t>
      </w:r>
    </w:p>
    <w:p w14:paraId="3D471C11" w14:textId="77777777" w:rsidR="00282C14" w:rsidRPr="00467BE8" w:rsidRDefault="00282C14" w:rsidP="00282C14">
      <w:pPr>
        <w:pStyle w:val="Heading4"/>
      </w:pPr>
      <w:bookmarkStart w:id="70" w:name="_Toc147997702"/>
      <w:r w:rsidRPr="00467BE8">
        <w:t>Safety</w:t>
      </w:r>
      <w:bookmarkEnd w:id="70"/>
    </w:p>
    <w:p w14:paraId="6C0C7FA8" w14:textId="6529868B" w:rsidR="00282C14" w:rsidRPr="00467BE8" w:rsidRDefault="00282C14" w:rsidP="00282C14">
      <w:r w:rsidRPr="00467BE8">
        <w:t>The median follow-up time for both vaccine groups in this interim analysis was 20 days (range</w:t>
      </w:r>
      <w:r w:rsidR="00A70EA9" w:rsidRPr="00467BE8">
        <w:t>:</w:t>
      </w:r>
      <w:r w:rsidRPr="00467BE8">
        <w:t xml:space="preserve"> 20 to 22 days, data cut-off date</w:t>
      </w:r>
      <w:r w:rsidR="00A70EA9" w:rsidRPr="00467BE8">
        <w:t>:</w:t>
      </w:r>
      <w:r w:rsidRPr="00467BE8">
        <w:t xml:space="preserve"> 16 May 2023). The percentage of participants reporting any solicited local (68% </w:t>
      </w:r>
      <w:r w:rsidR="00A70EA9" w:rsidRPr="00467BE8">
        <w:t xml:space="preserve">for </w:t>
      </w:r>
      <w:r w:rsidRPr="00467BE8">
        <w:t>mRNA-1273.815</w:t>
      </w:r>
      <w:r w:rsidR="00A70EA9" w:rsidRPr="00467BE8">
        <w:t xml:space="preserve"> group and </w:t>
      </w:r>
      <w:r w:rsidRPr="00467BE8">
        <w:t xml:space="preserve">84.3% </w:t>
      </w:r>
      <w:r w:rsidR="00A70EA9" w:rsidRPr="00467BE8">
        <w:t xml:space="preserve">for </w:t>
      </w:r>
      <w:r w:rsidRPr="00467BE8">
        <w:t>mRNA-1273.231</w:t>
      </w:r>
      <w:r w:rsidR="00A70EA9" w:rsidRPr="00467BE8">
        <w:t xml:space="preserve"> group</w:t>
      </w:r>
      <w:r w:rsidRPr="00467BE8">
        <w:t xml:space="preserve">) and systemic adverse reactions (58% </w:t>
      </w:r>
      <w:r w:rsidR="00A70EA9" w:rsidRPr="00467BE8">
        <w:t xml:space="preserve">for </w:t>
      </w:r>
      <w:r w:rsidRPr="00467BE8">
        <w:t>mRNA-1283.815</w:t>
      </w:r>
      <w:r w:rsidR="00A70EA9" w:rsidRPr="00467BE8">
        <w:t xml:space="preserve"> group and</w:t>
      </w:r>
      <w:r w:rsidRPr="00467BE8">
        <w:t xml:space="preserve"> 64.7% </w:t>
      </w:r>
      <w:r w:rsidR="00A70EA9" w:rsidRPr="00467BE8">
        <w:t xml:space="preserve">for </w:t>
      </w:r>
      <w:r w:rsidRPr="00467BE8">
        <w:t xml:space="preserve">mRNA-1273.231) within seven days after vaccination is shown in </w:t>
      </w:r>
      <w:r w:rsidR="0041016E" w:rsidRPr="00467BE8">
        <w:fldChar w:fldCharType="begin"/>
      </w:r>
      <w:r w:rsidR="0041016E" w:rsidRPr="00467BE8">
        <w:instrText xml:space="preserve"> REF _Ref147476256 \h </w:instrText>
      </w:r>
      <w:r w:rsidR="00E376AE" w:rsidRPr="00467BE8">
        <w:instrText xml:space="preserve"> \* MERGEFORMAT </w:instrText>
      </w:r>
      <w:r w:rsidR="0041016E" w:rsidRPr="00467BE8">
        <w:fldChar w:fldCharType="separate"/>
      </w:r>
      <w:r w:rsidR="000022F7" w:rsidRPr="00467BE8">
        <w:t xml:space="preserve">Table </w:t>
      </w:r>
      <w:r w:rsidR="000022F7">
        <w:rPr>
          <w:noProof/>
        </w:rPr>
        <w:t>6</w:t>
      </w:r>
      <w:r w:rsidR="0041016E" w:rsidRPr="00467BE8">
        <w:fldChar w:fldCharType="end"/>
      </w:r>
      <w:r w:rsidR="0041016E" w:rsidRPr="00467BE8">
        <w:t xml:space="preserve"> </w:t>
      </w:r>
      <w:r w:rsidRPr="00467BE8">
        <w:t>below and it was overall similar to that previously reported for the original mRNA-1273 50</w:t>
      </w:r>
      <w:r w:rsidR="0041016E" w:rsidRPr="00467BE8">
        <w:t>µ</w:t>
      </w:r>
      <w:r w:rsidRPr="00467BE8">
        <w:t xml:space="preserve">g. vaccine and the bivalent </w:t>
      </w:r>
      <w:r w:rsidR="0041016E" w:rsidRPr="00467BE8">
        <w:lastRenderedPageBreak/>
        <w:t>Spikevax </w:t>
      </w:r>
      <w:r w:rsidRPr="00467BE8">
        <w:t>BA.4/BA.5 vaccine mRNA-1273.222.</w:t>
      </w:r>
      <w:bookmarkStart w:id="71" w:name="_Ref147492954"/>
      <w:r w:rsidR="0041016E" w:rsidRPr="00467BE8">
        <w:rPr>
          <w:rStyle w:val="FootnoteReference"/>
        </w:rPr>
        <w:footnoteReference w:id="9"/>
      </w:r>
      <w:bookmarkEnd w:id="71"/>
      <w:r w:rsidRPr="00467BE8">
        <w:t xml:space="preserve"> The percentage of participants with any unsolicited adverse events within the follow-up time for this interim analysis is shown in </w:t>
      </w:r>
      <w:r w:rsidR="00E06F42" w:rsidRPr="00467BE8">
        <w:fldChar w:fldCharType="begin"/>
      </w:r>
      <w:r w:rsidR="00E06F42" w:rsidRPr="00467BE8">
        <w:instrText xml:space="preserve"> REF _Ref147491099 \h </w:instrText>
      </w:r>
      <w:r w:rsidR="00467BE8">
        <w:instrText xml:space="preserve"> \* MERGEFORMAT </w:instrText>
      </w:r>
      <w:r w:rsidR="00E06F42" w:rsidRPr="00467BE8">
        <w:fldChar w:fldCharType="separate"/>
      </w:r>
      <w:r w:rsidR="000022F7" w:rsidRPr="00467BE8">
        <w:t xml:space="preserve">Table </w:t>
      </w:r>
      <w:r w:rsidR="000022F7">
        <w:rPr>
          <w:noProof/>
        </w:rPr>
        <w:t>7</w:t>
      </w:r>
      <w:r w:rsidR="00E06F42" w:rsidRPr="00467BE8">
        <w:fldChar w:fldCharType="end"/>
      </w:r>
      <w:r w:rsidRPr="00467BE8">
        <w:t xml:space="preserve"> below; there were no fatal or serious adverse events and no adverse events of special interest. Unsolicited adverse events were </w:t>
      </w:r>
      <w:r w:rsidR="0041016E" w:rsidRPr="00467BE8">
        <w:t xml:space="preserve">Grade </w:t>
      </w:r>
      <w:r w:rsidRPr="00467BE8">
        <w:t xml:space="preserve">1 or </w:t>
      </w:r>
      <w:r w:rsidR="0041016E" w:rsidRPr="00467BE8">
        <w:t xml:space="preserve">Grade </w:t>
      </w:r>
      <w:r w:rsidRPr="00467BE8">
        <w:t xml:space="preserve">2 in severity; no </w:t>
      </w:r>
      <w:r w:rsidR="0041016E" w:rsidRPr="00467BE8">
        <w:t xml:space="preserve">Grade </w:t>
      </w:r>
      <w:r w:rsidRPr="00467BE8">
        <w:t>3 or higher events were reported.</w:t>
      </w:r>
    </w:p>
    <w:p w14:paraId="368A34D0" w14:textId="63ED5CA8" w:rsidR="00282C14" w:rsidRPr="00467BE8" w:rsidRDefault="0041016E" w:rsidP="0041016E">
      <w:pPr>
        <w:pStyle w:val="TableTitle"/>
      </w:pPr>
      <w:bookmarkStart w:id="72" w:name="_Ref147476256"/>
      <w:r w:rsidRPr="00467BE8">
        <w:t xml:space="preserve">Table </w:t>
      </w:r>
      <w:r w:rsidR="005C0122">
        <w:fldChar w:fldCharType="begin"/>
      </w:r>
      <w:r w:rsidR="005C0122">
        <w:instrText xml:space="preserve"> SEQ Table \* ARABIC </w:instrText>
      </w:r>
      <w:r w:rsidR="005C0122">
        <w:fldChar w:fldCharType="separate"/>
      </w:r>
      <w:r w:rsidR="000022F7">
        <w:rPr>
          <w:noProof/>
        </w:rPr>
        <w:t>6</w:t>
      </w:r>
      <w:r w:rsidR="005C0122">
        <w:rPr>
          <w:noProof/>
        </w:rPr>
        <w:fldChar w:fldCharType="end"/>
      </w:r>
      <w:bookmarkEnd w:id="72"/>
      <w:r w:rsidRPr="00467BE8">
        <w:t>:</w:t>
      </w:r>
      <w:r w:rsidR="00282C14" w:rsidRPr="00467BE8">
        <w:t xml:space="preserve"> </w:t>
      </w:r>
      <w:r w:rsidRPr="00467BE8">
        <w:t xml:space="preserve">Study P205 Part J </w:t>
      </w:r>
      <w:r w:rsidR="00282C14" w:rsidRPr="00467BE8">
        <w:t xml:space="preserve">Solicited local and </w:t>
      </w:r>
      <w:r w:rsidRPr="00467BE8">
        <w:t>systemic adverse reactions (solicited safety set)</w:t>
      </w:r>
    </w:p>
    <w:p w14:paraId="6F18CEE0" w14:textId="0442ABC1" w:rsidR="00282C14" w:rsidRPr="00467BE8" w:rsidRDefault="00282C14" w:rsidP="00282C14">
      <w:r w:rsidRPr="00467BE8">
        <w:rPr>
          <w:noProof/>
        </w:rPr>
        <w:drawing>
          <wp:inline distT="0" distB="0" distL="0" distR="0" wp14:anchorId="00830439" wp14:editId="70E1AC85">
            <wp:extent cx="5731510" cy="6245860"/>
            <wp:effectExtent l="0" t="0" r="2540" b="2540"/>
            <wp:docPr id="4" name="Picture 4" descr="Study P205 Part J Solicited local and systemic adverse reactions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P205 Part J Solicited local and systemic adverse reactions (solicited safety set)"/>
                    <pic:cNvPicPr/>
                  </pic:nvPicPr>
                  <pic:blipFill>
                    <a:blip r:embed="rId42"/>
                    <a:stretch>
                      <a:fillRect/>
                    </a:stretch>
                  </pic:blipFill>
                  <pic:spPr>
                    <a:xfrm>
                      <a:off x="0" y="0"/>
                      <a:ext cx="5731510" cy="6245860"/>
                    </a:xfrm>
                    <a:prstGeom prst="rect">
                      <a:avLst/>
                    </a:prstGeom>
                  </pic:spPr>
                </pic:pic>
              </a:graphicData>
            </a:graphic>
          </wp:inline>
        </w:drawing>
      </w:r>
    </w:p>
    <w:p w14:paraId="0CC3C4F6" w14:textId="326248D6" w:rsidR="0041016E" w:rsidRPr="00467BE8" w:rsidRDefault="0041016E" w:rsidP="0041016E">
      <w:pPr>
        <w:pStyle w:val="TableDescription"/>
      </w:pPr>
      <w:r w:rsidRPr="00467BE8">
        <w:t xml:space="preserve">Abbreviations: </w:t>
      </w:r>
      <w:r w:rsidR="0055750D" w:rsidRPr="00467BE8">
        <w:t xml:space="preserve">N = total number of subjects; </w:t>
      </w:r>
      <w:r w:rsidRPr="00467BE8">
        <w:t>N1 = number of exposed subjects with data for that event</w:t>
      </w:r>
      <w:r w:rsidR="0055750D" w:rsidRPr="00467BE8">
        <w:t>.</w:t>
      </w:r>
    </w:p>
    <w:p w14:paraId="31DDE9F7" w14:textId="34E5515E" w:rsidR="0041016E" w:rsidRPr="00467BE8" w:rsidRDefault="00E06F42" w:rsidP="00CD1C52">
      <w:pPr>
        <w:pStyle w:val="TableTitle"/>
      </w:pPr>
      <w:r w:rsidRPr="00467BE8">
        <w:lastRenderedPageBreak/>
        <w:fldChar w:fldCharType="begin"/>
      </w:r>
      <w:r w:rsidRPr="00467BE8">
        <w:instrText xml:space="preserve"> REF _Ref147476256 \h </w:instrText>
      </w:r>
      <w:r w:rsidR="00CD1C52" w:rsidRPr="00467BE8">
        <w:instrText xml:space="preserve"> \* MERGEFORMAT </w:instrText>
      </w:r>
      <w:r w:rsidRPr="00467BE8">
        <w:fldChar w:fldCharType="separate"/>
      </w:r>
      <w:r w:rsidR="000022F7" w:rsidRPr="00467BE8">
        <w:t xml:space="preserve">Table </w:t>
      </w:r>
      <w:r w:rsidR="000022F7">
        <w:t>6</w:t>
      </w:r>
      <w:r w:rsidRPr="00467BE8">
        <w:fldChar w:fldCharType="end"/>
      </w:r>
      <w:r w:rsidR="0041016E" w:rsidRPr="00467BE8">
        <w:t xml:space="preserve"> continued: Study P205 Part J Solicited local and systemic adverse reactions (solicited safety set)</w:t>
      </w:r>
    </w:p>
    <w:p w14:paraId="1E2F6C74" w14:textId="6DD9745C" w:rsidR="00282C14" w:rsidRPr="00467BE8" w:rsidRDefault="0041016E" w:rsidP="00CD1C52">
      <w:r w:rsidRPr="00467BE8">
        <w:rPr>
          <w:noProof/>
        </w:rPr>
        <w:drawing>
          <wp:inline distT="0" distB="0" distL="0" distR="0" wp14:anchorId="16CB779D" wp14:editId="3BFADC78">
            <wp:extent cx="5759450" cy="8308340"/>
            <wp:effectExtent l="0" t="0" r="0" b="0"/>
            <wp:docPr id="9" name="Picture 9" descr="Study P205 Part J Solicited local and systemic adverse reactions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P205 Part J Solicited local and systemic adverse reactions (solicited safety set)"/>
                    <pic:cNvPicPr/>
                  </pic:nvPicPr>
                  <pic:blipFill>
                    <a:blip r:embed="rId43"/>
                    <a:stretch>
                      <a:fillRect/>
                    </a:stretch>
                  </pic:blipFill>
                  <pic:spPr>
                    <a:xfrm>
                      <a:off x="0" y="0"/>
                      <a:ext cx="5759450" cy="8308340"/>
                    </a:xfrm>
                    <a:prstGeom prst="rect">
                      <a:avLst/>
                    </a:prstGeom>
                  </pic:spPr>
                </pic:pic>
              </a:graphicData>
            </a:graphic>
          </wp:inline>
        </w:drawing>
      </w:r>
    </w:p>
    <w:p w14:paraId="6598530C" w14:textId="77777777" w:rsidR="00CD1C52" w:rsidRPr="00467BE8" w:rsidRDefault="00CD1C52" w:rsidP="00CD1C52">
      <w:pPr>
        <w:pStyle w:val="TableDescription"/>
      </w:pPr>
      <w:bookmarkStart w:id="73" w:name="_Ref147476368"/>
      <w:r w:rsidRPr="00467BE8">
        <w:t>Abbreviations: CI = confidence internal; N = total number of subjects; N1 = number of exposed subjects with data for that event.</w:t>
      </w:r>
    </w:p>
    <w:p w14:paraId="5950EA85" w14:textId="7F90F7B4" w:rsidR="00CD1C52" w:rsidRPr="00467BE8" w:rsidRDefault="00CD1C52" w:rsidP="0055750D">
      <w:pPr>
        <w:pStyle w:val="TableTitle"/>
        <w:sectPr w:rsidR="00CD1C52" w:rsidRPr="00467BE8" w:rsidSect="007452E8">
          <w:pgSz w:w="11906" w:h="16838" w:code="9"/>
          <w:pgMar w:top="1134" w:right="1418" w:bottom="1361" w:left="1418" w:header="573" w:footer="567" w:gutter="0"/>
          <w:cols w:space="708"/>
          <w:docGrid w:linePitch="360"/>
        </w:sectPr>
      </w:pPr>
    </w:p>
    <w:p w14:paraId="1C605AD6" w14:textId="09B08C92" w:rsidR="00282C14" w:rsidRPr="00467BE8" w:rsidRDefault="0041016E" w:rsidP="00CD1C52">
      <w:pPr>
        <w:pStyle w:val="TableTitle"/>
      </w:pPr>
      <w:bookmarkStart w:id="74" w:name="_Ref147491099"/>
      <w:r w:rsidRPr="00467BE8">
        <w:lastRenderedPageBreak/>
        <w:t xml:space="preserve">Table </w:t>
      </w:r>
      <w:r w:rsidR="005C0122">
        <w:fldChar w:fldCharType="begin"/>
      </w:r>
      <w:r w:rsidR="005C0122">
        <w:instrText xml:space="preserve"> SEQ Table \* ARABIC </w:instrText>
      </w:r>
      <w:r w:rsidR="005C0122">
        <w:fldChar w:fldCharType="separate"/>
      </w:r>
      <w:r w:rsidR="000022F7">
        <w:rPr>
          <w:noProof/>
        </w:rPr>
        <w:t>7</w:t>
      </w:r>
      <w:r w:rsidR="005C0122">
        <w:rPr>
          <w:noProof/>
        </w:rPr>
        <w:fldChar w:fldCharType="end"/>
      </w:r>
      <w:bookmarkEnd w:id="73"/>
      <w:bookmarkEnd w:id="74"/>
      <w:r w:rsidR="00282C14" w:rsidRPr="00467BE8">
        <w:t xml:space="preserve">: </w:t>
      </w:r>
      <w:r w:rsidRPr="00467BE8">
        <w:t xml:space="preserve">Study P205 Part J </w:t>
      </w:r>
      <w:r w:rsidR="00282C14" w:rsidRPr="00467BE8">
        <w:t xml:space="preserve">Unsolicited </w:t>
      </w:r>
      <w:r w:rsidRPr="00467BE8">
        <w:t>adverse events (safety set)</w:t>
      </w:r>
    </w:p>
    <w:p w14:paraId="7878AAF0" w14:textId="097F489B" w:rsidR="0041016E" w:rsidRPr="00467BE8" w:rsidRDefault="0041016E" w:rsidP="00CD1C52">
      <w:r w:rsidRPr="00467BE8">
        <w:rPr>
          <w:noProof/>
        </w:rPr>
        <w:drawing>
          <wp:inline distT="0" distB="0" distL="0" distR="0" wp14:anchorId="73112824" wp14:editId="41436752">
            <wp:extent cx="5759450" cy="3845560"/>
            <wp:effectExtent l="0" t="0" r="0" b="2540"/>
            <wp:docPr id="2" name="Picture 2" descr="Study P205 Part J Unsolicited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P205 Part J Unsolicited adverse events (safety set)"/>
                    <pic:cNvPicPr/>
                  </pic:nvPicPr>
                  <pic:blipFill>
                    <a:blip r:embed="rId44"/>
                    <a:stretch>
                      <a:fillRect/>
                    </a:stretch>
                  </pic:blipFill>
                  <pic:spPr>
                    <a:xfrm>
                      <a:off x="0" y="0"/>
                      <a:ext cx="5759450" cy="3845560"/>
                    </a:xfrm>
                    <a:prstGeom prst="rect">
                      <a:avLst/>
                    </a:prstGeom>
                  </pic:spPr>
                </pic:pic>
              </a:graphicData>
            </a:graphic>
          </wp:inline>
        </w:drawing>
      </w:r>
    </w:p>
    <w:p w14:paraId="77148522" w14:textId="49F25B6A" w:rsidR="00282C14" w:rsidRPr="00467BE8" w:rsidRDefault="0041016E" w:rsidP="00CD1C52">
      <w:pPr>
        <w:pStyle w:val="TableDescription"/>
      </w:pPr>
      <w:r w:rsidRPr="00467BE8">
        <w:t xml:space="preserve">Abbreviations: N </w:t>
      </w:r>
      <w:r w:rsidR="0055750D" w:rsidRPr="00467BE8">
        <w:t xml:space="preserve">= </w:t>
      </w:r>
      <w:r w:rsidRPr="00467BE8">
        <w:t>total number of subjects; n = number of subjects in subgroup; TEAE = treatment-emergent adverse event</w:t>
      </w:r>
      <w:r w:rsidR="0055750D" w:rsidRPr="00467BE8">
        <w:t>.</w:t>
      </w:r>
    </w:p>
    <w:p w14:paraId="2858B006" w14:textId="77777777" w:rsidR="00C22214" w:rsidRPr="00467BE8" w:rsidRDefault="00C22214" w:rsidP="00C22214">
      <w:pPr>
        <w:pStyle w:val="Heading3"/>
        <w:rPr>
          <w:lang w:eastAsia="en-AU"/>
        </w:rPr>
      </w:pPr>
      <w:bookmarkStart w:id="75" w:name="_Toc314842514"/>
      <w:bookmarkStart w:id="76" w:name="_Toc103679298"/>
      <w:bookmarkStart w:id="77" w:name="_Toc147997703"/>
      <w:r w:rsidRPr="00467BE8">
        <w:rPr>
          <w:lang w:eastAsia="en-AU"/>
        </w:rPr>
        <w:t>Risk management plan</w:t>
      </w:r>
      <w:bookmarkEnd w:id="75"/>
      <w:bookmarkEnd w:id="76"/>
      <w:bookmarkEnd w:id="77"/>
    </w:p>
    <w:p w14:paraId="0908AE06" w14:textId="77777777" w:rsidR="00FA1BC9" w:rsidRPr="00467BE8" w:rsidRDefault="00FA1BC9" w:rsidP="00FA1BC9">
      <w:pPr>
        <w:rPr>
          <w:szCs w:val="22"/>
        </w:rPr>
      </w:pPr>
      <w:bookmarkStart w:id="78" w:name="_Toc247691531"/>
      <w:bookmarkStart w:id="79" w:name="_Toc314842515"/>
      <w:bookmarkStart w:id="80" w:name="_Toc103679299"/>
      <w:r w:rsidRPr="00467BE8">
        <w:rPr>
          <w:szCs w:val="22"/>
        </w:rPr>
        <w:t>The sponsor is required to comply with product vigilance and risk minimisation requirements.</w:t>
      </w:r>
    </w:p>
    <w:p w14:paraId="2D08CB50" w14:textId="4168BBFF" w:rsidR="00FA1BC9" w:rsidRPr="00467BE8" w:rsidRDefault="00FA1BC9" w:rsidP="00FA1BC9">
      <w:pPr>
        <w:rPr>
          <w:szCs w:val="22"/>
        </w:rPr>
      </w:pPr>
      <w:r w:rsidRPr="00467BE8">
        <w:rPr>
          <w:szCs w:val="22"/>
        </w:rPr>
        <w:t>The TGA decided a RMP was not required</w:t>
      </w:r>
      <w:r w:rsidR="001A219D" w:rsidRPr="00467BE8">
        <w:rPr>
          <w:szCs w:val="22"/>
        </w:rPr>
        <w:t xml:space="preserve"> </w:t>
      </w:r>
      <w:r w:rsidRPr="00467BE8">
        <w:rPr>
          <w:szCs w:val="22"/>
        </w:rPr>
        <w:t xml:space="preserve">(see </w:t>
      </w:r>
      <w:hyperlink r:id="rId45" w:history="1">
        <w:r w:rsidRPr="00467BE8">
          <w:rPr>
            <w:rStyle w:val="Hyperlink"/>
            <w:szCs w:val="22"/>
          </w:rPr>
          <w:t>TGA’s guidance</w:t>
        </w:r>
      </w:hyperlink>
      <w:r w:rsidRPr="00467BE8">
        <w:rPr>
          <w:szCs w:val="22"/>
        </w:rPr>
        <w:t xml:space="preserve"> on ‘when an RMP is required’)</w:t>
      </w:r>
    </w:p>
    <w:p w14:paraId="456C7934" w14:textId="26AC7606" w:rsidR="00FA1BC9" w:rsidRPr="00467BE8" w:rsidRDefault="00FA1BC9" w:rsidP="00FA1BC9">
      <w:pPr>
        <w:rPr>
          <w:szCs w:val="22"/>
        </w:rPr>
      </w:pPr>
      <w:r w:rsidRPr="00467BE8">
        <w:rPr>
          <w:szCs w:val="22"/>
        </w:rPr>
        <w:t xml:space="preserve">The TGA may request an updated RMP at any stage of a product's </w:t>
      </w:r>
      <w:proofErr w:type="gramStart"/>
      <w:r w:rsidRPr="00467BE8">
        <w:rPr>
          <w:szCs w:val="22"/>
        </w:rPr>
        <w:t>life-cycle</w:t>
      </w:r>
      <w:proofErr w:type="gramEnd"/>
      <w:r w:rsidRPr="00467BE8">
        <w:rPr>
          <w:szCs w:val="22"/>
        </w:rPr>
        <w:t xml:space="preserve">, during both the pre-approval and post-approval phases. Further information regarding the TGA’s risk management approach can be found in </w:t>
      </w:r>
      <w:hyperlink r:id="rId46" w:history="1">
        <w:r w:rsidRPr="00467BE8">
          <w:rPr>
            <w:rStyle w:val="Hyperlink"/>
            <w:szCs w:val="22"/>
          </w:rPr>
          <w:t>risk management plans for medicines and biologicals</w:t>
        </w:r>
      </w:hyperlink>
      <w:r w:rsidRPr="00467BE8">
        <w:rPr>
          <w:szCs w:val="22"/>
        </w:rPr>
        <w:t xml:space="preserve"> and </w:t>
      </w:r>
      <w:hyperlink r:id="rId47" w:history="1">
        <w:r w:rsidRPr="00467BE8">
          <w:rPr>
            <w:rStyle w:val="Hyperlink"/>
            <w:szCs w:val="22"/>
          </w:rPr>
          <w:t>the TGA's risk management approach</w:t>
        </w:r>
      </w:hyperlink>
      <w:r w:rsidRPr="00467BE8">
        <w:rPr>
          <w:szCs w:val="22"/>
        </w:rPr>
        <w:t xml:space="preserve">. Information on the </w:t>
      </w:r>
      <w:hyperlink r:id="rId48" w:history="1">
        <w:r w:rsidRPr="00467BE8">
          <w:rPr>
            <w:rStyle w:val="Hyperlink"/>
            <w:szCs w:val="22"/>
          </w:rPr>
          <w:t>Australia specific annex</w:t>
        </w:r>
      </w:hyperlink>
      <w:r w:rsidRPr="00467BE8">
        <w:rPr>
          <w:szCs w:val="22"/>
        </w:rPr>
        <w:t xml:space="preserve"> (</w:t>
      </w:r>
      <w:hyperlink r:id="rId49" w:history="1">
        <w:r w:rsidRPr="00467BE8">
          <w:rPr>
            <w:rStyle w:val="Hyperlink"/>
            <w:szCs w:val="22"/>
          </w:rPr>
          <w:t>ASA</w:t>
        </w:r>
      </w:hyperlink>
      <w:r w:rsidRPr="00467BE8">
        <w:rPr>
          <w:szCs w:val="22"/>
        </w:rPr>
        <w:t>) can be found on the TGA website.</w:t>
      </w:r>
    </w:p>
    <w:p w14:paraId="74A4F87F" w14:textId="77777777" w:rsidR="00C22214" w:rsidRPr="00467BE8" w:rsidRDefault="00C22214" w:rsidP="00C22214">
      <w:pPr>
        <w:pStyle w:val="Heading3"/>
      </w:pPr>
      <w:bookmarkStart w:id="81" w:name="_Toc147997704"/>
      <w:r w:rsidRPr="00467BE8">
        <w:t>Risk-benefit analysis</w:t>
      </w:r>
      <w:bookmarkEnd w:id="78"/>
      <w:bookmarkEnd w:id="79"/>
      <w:bookmarkEnd w:id="80"/>
      <w:bookmarkEnd w:id="81"/>
    </w:p>
    <w:p w14:paraId="77DE2655" w14:textId="77777777" w:rsidR="00C22214" w:rsidRPr="00467BE8" w:rsidRDefault="00C22214" w:rsidP="00C22214">
      <w:pPr>
        <w:pStyle w:val="Heading4"/>
      </w:pPr>
      <w:bookmarkStart w:id="82" w:name="_Toc98931932"/>
      <w:bookmarkStart w:id="83" w:name="_Toc147997705"/>
      <w:r w:rsidRPr="00467BE8">
        <w:t>Delegate’s considerations</w:t>
      </w:r>
      <w:bookmarkEnd w:id="82"/>
      <w:bookmarkEnd w:id="83"/>
    </w:p>
    <w:p w14:paraId="3053935E" w14:textId="33861DD4" w:rsidR="00282C14" w:rsidRPr="00467BE8" w:rsidRDefault="00282C14" w:rsidP="00282C14">
      <w:r w:rsidRPr="00467BE8">
        <w:t xml:space="preserve">This Spikevax XBB1.5 COVID-19 vaccine submission is considered within the scope of the </w:t>
      </w:r>
      <w:hyperlink r:id="rId50" w:history="1">
        <w:r w:rsidRPr="00467BE8">
          <w:rPr>
            <w:rStyle w:val="Hyperlink"/>
          </w:rPr>
          <w:t>TGA COVID-19 vaccine strain updates guidance</w:t>
        </w:r>
      </w:hyperlink>
      <w:r w:rsidRPr="00467BE8">
        <w:t>.</w:t>
      </w:r>
      <w:r w:rsidR="00CD1C52" w:rsidRPr="00467BE8">
        <w:t xml:space="preserve"> </w:t>
      </w:r>
      <w:r w:rsidRPr="00467BE8">
        <w:t xml:space="preserve">This registration of a new monovalent strain update for </w:t>
      </w:r>
      <w:r w:rsidR="00C3166E" w:rsidRPr="00467BE8">
        <w:t>Spikevax</w:t>
      </w:r>
      <w:r w:rsidRPr="00467BE8">
        <w:t xml:space="preserve"> XBB.1.5 (andusomeran) COVID-19 vaccine is based on the full registration of </w:t>
      </w:r>
      <w:r w:rsidR="00C3166E" w:rsidRPr="00467BE8">
        <w:t>Spikevax</w:t>
      </w:r>
      <w:r w:rsidRPr="00467BE8">
        <w:t xml:space="preserve"> (elasomeran) COVID-19 </w:t>
      </w:r>
      <w:r w:rsidR="00C3166E" w:rsidRPr="00467BE8">
        <w:t>v</w:t>
      </w:r>
      <w:r w:rsidRPr="00467BE8">
        <w:t>accine.</w:t>
      </w:r>
    </w:p>
    <w:p w14:paraId="1149465B" w14:textId="198712C8" w:rsidR="00282C14" w:rsidRPr="00467BE8" w:rsidRDefault="00282C14" w:rsidP="00282C14">
      <w:pPr>
        <w:pStyle w:val="Heading5"/>
      </w:pPr>
      <w:r w:rsidRPr="00467BE8">
        <w:t>Quality</w:t>
      </w:r>
    </w:p>
    <w:p w14:paraId="431CD64B" w14:textId="38D1BB3F" w:rsidR="00282C14" w:rsidRPr="00467BE8" w:rsidRDefault="00282C14" w:rsidP="00282C14">
      <w:r w:rsidRPr="00467BE8">
        <w:t xml:space="preserve">There are no significant issues identified from the </w:t>
      </w:r>
      <w:r w:rsidR="0055750D" w:rsidRPr="00467BE8">
        <w:t xml:space="preserve">quality evaluation </w:t>
      </w:r>
      <w:r w:rsidRPr="00467BE8">
        <w:t xml:space="preserve">of the submitted data that would indicate the product should not be registered </w:t>
      </w:r>
      <w:proofErr w:type="gramStart"/>
      <w:r w:rsidRPr="00467BE8">
        <w:t>on the basis of</w:t>
      </w:r>
      <w:proofErr w:type="gramEnd"/>
      <w:r w:rsidRPr="00467BE8">
        <w:t xml:space="preserve"> quality, or safety-related </w:t>
      </w:r>
      <w:r w:rsidRPr="00467BE8">
        <w:lastRenderedPageBreak/>
        <w:t xml:space="preserve">issues arising from the quality of the product. The manufacturing quality information submitted by the </w:t>
      </w:r>
      <w:r w:rsidR="00C3166E" w:rsidRPr="00467BE8">
        <w:t>sponsor</w:t>
      </w:r>
      <w:r w:rsidRPr="00467BE8">
        <w:t xml:space="preserve"> support the registration of </w:t>
      </w:r>
      <w:r w:rsidR="00C3166E" w:rsidRPr="00467BE8">
        <w:t>Spikevax</w:t>
      </w:r>
      <w:r w:rsidRPr="00467BE8">
        <w:t xml:space="preserve"> XBB.1.5 (andusomeran) COVID-19 </w:t>
      </w:r>
      <w:r w:rsidR="00C3166E" w:rsidRPr="00467BE8">
        <w:t>vaccine</w:t>
      </w:r>
      <w:r w:rsidRPr="00467BE8">
        <w:t>.</w:t>
      </w:r>
    </w:p>
    <w:p w14:paraId="4455CECB" w14:textId="1CC276C8" w:rsidR="00282C14" w:rsidRPr="00467BE8" w:rsidRDefault="00282C14" w:rsidP="00282C14">
      <w:pPr>
        <w:rPr>
          <w:b/>
          <w:bCs/>
        </w:rPr>
      </w:pPr>
      <w:bookmarkStart w:id="84" w:name="_Hlk146801326"/>
      <w:r w:rsidRPr="00467BE8">
        <w:rPr>
          <w:rStyle w:val="Heading5Char"/>
          <w:rFonts w:eastAsiaTheme="minorHAnsi"/>
        </w:rPr>
        <w:t>Immunogenicity</w:t>
      </w:r>
    </w:p>
    <w:p w14:paraId="2AEB0987" w14:textId="77777777" w:rsidR="00282C14" w:rsidRPr="00467BE8" w:rsidRDefault="00282C14" w:rsidP="00282C14">
      <w:bookmarkStart w:id="85" w:name="_Hlk146801182"/>
      <w:r w:rsidRPr="00467BE8">
        <w:t xml:space="preserve">Effectiveness of Spikevax XBB1.5 </w:t>
      </w:r>
      <w:bookmarkStart w:id="86" w:name="_Hlk146800988"/>
      <w:r w:rsidRPr="00467BE8">
        <w:t xml:space="preserve">COVID-19 vaccine </w:t>
      </w:r>
      <w:bookmarkEnd w:id="86"/>
      <w:r w:rsidRPr="00467BE8">
        <w:t>(50 µg) in individual 12 years and older, is based on:</w:t>
      </w:r>
    </w:p>
    <w:p w14:paraId="15D95A56" w14:textId="2CE4F71E" w:rsidR="00282C14" w:rsidRPr="00467BE8" w:rsidRDefault="0055750D" w:rsidP="00282C14">
      <w:pPr>
        <w:pStyle w:val="ListBullet"/>
      </w:pPr>
      <w:r w:rsidRPr="00467BE8">
        <w:t>i</w:t>
      </w:r>
      <w:r w:rsidR="00282C14" w:rsidRPr="00467BE8">
        <w:t>mmunogenicity of Spikevax XBB1.5 COVID-19 vaccine (50 µg) from Study P205 Part J</w:t>
      </w:r>
    </w:p>
    <w:p w14:paraId="4E6B43FF" w14:textId="319E9C75" w:rsidR="00282C14" w:rsidRPr="00467BE8" w:rsidRDefault="0055750D" w:rsidP="00282C14">
      <w:pPr>
        <w:pStyle w:val="ListBullet"/>
      </w:pPr>
      <w:bookmarkStart w:id="87" w:name="_Hlk146806201"/>
      <w:r w:rsidRPr="00467BE8">
        <w:t>i</w:t>
      </w:r>
      <w:r w:rsidR="00282C14" w:rsidRPr="00467BE8">
        <w:t xml:space="preserve">mmunogenicity of Spikevax (original) </w:t>
      </w:r>
      <w:bookmarkEnd w:id="87"/>
      <w:r w:rsidR="00282C14" w:rsidRPr="00467BE8">
        <w:t>(50 µg) COVID-19 vaccine in individual 12 years and older</w:t>
      </w:r>
    </w:p>
    <w:bookmarkEnd w:id="84"/>
    <w:p w14:paraId="041C74AB" w14:textId="76478AA4" w:rsidR="00282C14" w:rsidRPr="00467BE8" w:rsidRDefault="0055750D" w:rsidP="00282C14">
      <w:pPr>
        <w:pStyle w:val="ListBullet"/>
      </w:pPr>
      <w:r w:rsidRPr="00467BE8">
        <w:t>s</w:t>
      </w:r>
      <w:r w:rsidR="00282C14" w:rsidRPr="00467BE8">
        <w:t>upportive non-clinical studies data.</w:t>
      </w:r>
    </w:p>
    <w:bookmarkEnd w:id="85"/>
    <w:p w14:paraId="6EF5AA6B" w14:textId="7382843F" w:rsidR="00282C14" w:rsidRPr="00467BE8" w:rsidRDefault="0055750D" w:rsidP="00282C14">
      <w:pPr>
        <w:pStyle w:val="Heading6"/>
      </w:pPr>
      <w:r w:rsidRPr="00467BE8">
        <w:t>Immunogenicity of Spikevax XBB1.5 from Study P205 Part J</w:t>
      </w:r>
    </w:p>
    <w:p w14:paraId="6197B4AB" w14:textId="6E750EA3" w:rsidR="00282C14" w:rsidRPr="00467BE8" w:rsidRDefault="0055750D" w:rsidP="00282C14">
      <w:r w:rsidRPr="00467BE8">
        <w:t xml:space="preserve">Spikevax </w:t>
      </w:r>
      <w:r w:rsidR="00282C14" w:rsidRPr="00467BE8">
        <w:t xml:space="preserve">XBB.1.5 monovalent mRNA-1273.815 and the </w:t>
      </w:r>
      <w:r w:rsidRPr="00467BE8">
        <w:t xml:space="preserve">Spikevax </w:t>
      </w:r>
      <w:r w:rsidR="00282C14" w:rsidRPr="00467BE8">
        <w:t xml:space="preserve">XBB.1.5 </w:t>
      </w:r>
      <w:r w:rsidRPr="00467BE8">
        <w:t xml:space="preserve">plus Spikevax </w:t>
      </w:r>
      <w:r w:rsidR="00282C14" w:rsidRPr="00467BE8">
        <w:t>BA.4/BA.5 bivalent mRNA-1273.231 elicited potent neutrali</w:t>
      </w:r>
      <w:r w:rsidR="00A70EA9" w:rsidRPr="00467BE8">
        <w:t>s</w:t>
      </w:r>
      <w:r w:rsidR="00282C14" w:rsidRPr="00467BE8">
        <w:t xml:space="preserve">ing responses at Day 15 against </w:t>
      </w:r>
      <w:r w:rsidRPr="00467BE8">
        <w:t xml:space="preserve">subvariants </w:t>
      </w:r>
      <w:r w:rsidR="00282C14" w:rsidRPr="00467BE8">
        <w:t>XBB.1.5, XBB.1.16, BA.4/BA.5, BQ.1.1 and D614G.</w:t>
      </w:r>
    </w:p>
    <w:p w14:paraId="13FAF03F" w14:textId="6B5A67E9" w:rsidR="00282C14" w:rsidRPr="00467BE8" w:rsidRDefault="00282C14" w:rsidP="00282C14">
      <w:r w:rsidRPr="00467BE8">
        <w:t xml:space="preserve">In the </w:t>
      </w:r>
      <w:r w:rsidR="0055750D" w:rsidRPr="00467BE8">
        <w:t>p</w:t>
      </w:r>
      <w:r w:rsidRPr="00467BE8">
        <w:t xml:space="preserve">er-protocol </w:t>
      </w:r>
      <w:r w:rsidR="0055750D" w:rsidRPr="00467BE8">
        <w:t xml:space="preserve">immunogenicity set </w:t>
      </w:r>
      <w:r w:rsidRPr="00467BE8">
        <w:t>which includes all participants, with and without prior</w:t>
      </w:r>
      <w:r w:rsidR="001A219D" w:rsidRPr="00467BE8">
        <w:t xml:space="preserve"> </w:t>
      </w:r>
      <w:r w:rsidRPr="00467BE8">
        <w:t xml:space="preserve">SARS-CoV-2 infection (49 </w:t>
      </w:r>
      <w:r w:rsidR="0055750D" w:rsidRPr="00467BE8">
        <w:t xml:space="preserve">participants </w:t>
      </w:r>
      <w:r w:rsidRPr="00467BE8">
        <w:t xml:space="preserve">for the mRNA-1273.815 </w:t>
      </w:r>
      <w:r w:rsidR="0055750D" w:rsidRPr="00467BE8">
        <w:t xml:space="preserve">group </w:t>
      </w:r>
      <w:r w:rsidRPr="00467BE8">
        <w:t xml:space="preserve">and </w:t>
      </w:r>
      <w:r w:rsidR="0055750D" w:rsidRPr="00467BE8">
        <w:t xml:space="preserve">50 participants for the </w:t>
      </w:r>
      <w:r w:rsidRPr="00467BE8">
        <w:t>mRNA-1273.231 group), the Day 15 GMFR (95% CI) for mRNA-1273.815 and mRNA-1273.231 was 16.7 (12.8, 21.7) and 11.6 (8.7, 15.4), respectively, against XBB.1.5 and 6.3 (4.8, 8.2) and 5.3 (3.9, 7.1) against BA.4/BA.5.</w:t>
      </w:r>
    </w:p>
    <w:p w14:paraId="1CDF587C" w14:textId="76EA5383" w:rsidR="00282C14" w:rsidRPr="00467BE8" w:rsidRDefault="00282C14" w:rsidP="00282C14">
      <w:r w:rsidRPr="00467BE8">
        <w:t>Cross-neutrali</w:t>
      </w:r>
      <w:r w:rsidR="00A70EA9" w:rsidRPr="00467BE8">
        <w:t>s</w:t>
      </w:r>
      <w:r w:rsidRPr="00467BE8">
        <w:t xml:space="preserve">ation titres for XBB.1.16 were </w:t>
      </w:r>
      <w:proofErr w:type="gramStart"/>
      <w:r w:rsidRPr="00467BE8">
        <w:t>similar to</w:t>
      </w:r>
      <w:proofErr w:type="gramEnd"/>
      <w:r w:rsidRPr="00467BE8">
        <w:t xml:space="preserve"> XBB.1.5 for both vaccines, mRNA</w:t>
      </w:r>
      <w:r w:rsidR="0055750D" w:rsidRPr="00467BE8">
        <w:noBreakHyphen/>
      </w:r>
      <w:r w:rsidRPr="00467BE8">
        <w:t>1273.815 and mRNA-1273.231.</w:t>
      </w:r>
    </w:p>
    <w:p w14:paraId="3F525E58" w14:textId="6D9D6034" w:rsidR="00282C14" w:rsidRPr="00467BE8" w:rsidRDefault="00282C14" w:rsidP="00282C14">
      <w:r w:rsidRPr="00467BE8">
        <w:t xml:space="preserve">For variants not contained in the vaccines, the Day 15 GMFR (95% CI) for </w:t>
      </w:r>
      <w:r w:rsidR="00C3166E" w:rsidRPr="00467BE8">
        <w:t>Spikevax</w:t>
      </w:r>
      <w:r w:rsidRPr="00467BE8">
        <w:t xml:space="preserve"> XBB.1.5 and bivalent </w:t>
      </w:r>
      <w:r w:rsidR="0055750D" w:rsidRPr="00467BE8">
        <w:t xml:space="preserve">Spikevax </w:t>
      </w:r>
      <w:r w:rsidRPr="00467BE8">
        <w:t xml:space="preserve">XBB.1.5 </w:t>
      </w:r>
      <w:r w:rsidR="0055750D" w:rsidRPr="00467BE8">
        <w:t>plus</w:t>
      </w:r>
      <w:r w:rsidRPr="00467BE8">
        <w:t xml:space="preserve"> </w:t>
      </w:r>
      <w:r w:rsidR="0055750D" w:rsidRPr="00467BE8">
        <w:t xml:space="preserve">Spikevax </w:t>
      </w:r>
      <w:r w:rsidRPr="00467BE8">
        <w:t>BA.4/BA.5 was 11.4 (8.5, 15.4) and 9.3 (7.0, 12.3) against XBB.1.16; 5.8 (4.7, 7.3) and 6.1 (4.6, 7.9) against BQ.1.1 and 2.8 (2.2, 3.5) and 2.3 (1.9, 2.8) against D614G.</w:t>
      </w:r>
    </w:p>
    <w:p w14:paraId="55FA32E1" w14:textId="4F397334" w:rsidR="00282C14" w:rsidRPr="00467BE8" w:rsidRDefault="00282C14" w:rsidP="00282C14">
      <w:r w:rsidRPr="00467BE8">
        <w:t>The sponsor has confirmed that as part of their ongoing variant monitoring and risk assessment of emerging variants, it was found in the clinical sera from subjects boosted with mRNA</w:t>
      </w:r>
      <w:r w:rsidR="0055750D" w:rsidRPr="00467BE8">
        <w:noBreakHyphen/>
      </w:r>
      <w:r w:rsidRPr="00467BE8">
        <w:t xml:space="preserve">1273.815, significant boost in </w:t>
      </w:r>
      <w:r w:rsidR="00A70EA9" w:rsidRPr="00467BE8">
        <w:t>neutralising antibody</w:t>
      </w:r>
      <w:r w:rsidRPr="00467BE8">
        <w:t xml:space="preserve"> titres against </w:t>
      </w:r>
      <w:r w:rsidR="0055750D" w:rsidRPr="00467BE8">
        <w:t xml:space="preserve">subvariants </w:t>
      </w:r>
      <w:r w:rsidRPr="00467BE8">
        <w:t>XBB.1.5, XBB.1.16, XBB.2.3.2, EG.5.1, FL.1.5.1, and BA.2.86.</w:t>
      </w:r>
    </w:p>
    <w:p w14:paraId="4CA67AA9" w14:textId="3C980B4F" w:rsidR="0055750D" w:rsidRPr="00467BE8" w:rsidRDefault="0055750D" w:rsidP="0055750D">
      <w:pPr>
        <w:pStyle w:val="Heading6"/>
      </w:pPr>
      <w:r w:rsidRPr="00467BE8">
        <w:t xml:space="preserve">Immunogenicity </w:t>
      </w:r>
      <w:r w:rsidR="00282C14" w:rsidRPr="00467BE8">
        <w:t xml:space="preserve">of Spikevax </w:t>
      </w:r>
      <w:r w:rsidRPr="00467BE8">
        <w:t>(</w:t>
      </w:r>
      <w:r w:rsidR="00282C14" w:rsidRPr="00467BE8">
        <w:t>original)</w:t>
      </w:r>
      <w:r w:rsidRPr="00467BE8">
        <w:t xml:space="preserve"> in individual 12 years and older</w:t>
      </w:r>
    </w:p>
    <w:p w14:paraId="6C47DEEA" w14:textId="1FF18AA4" w:rsidR="00282C14" w:rsidRPr="00467BE8" w:rsidRDefault="00282C14" w:rsidP="00282C14">
      <w:r w:rsidRPr="00467BE8">
        <w:t xml:space="preserve">The effectiveness and the benefit-risk profile of Spikevax </w:t>
      </w:r>
      <w:bookmarkStart w:id="88" w:name="_Hlk131071638"/>
      <w:r w:rsidRPr="00467BE8">
        <w:t xml:space="preserve">(original) in individuals 12 years of age and older </w:t>
      </w:r>
      <w:bookmarkEnd w:id="88"/>
      <w:r w:rsidRPr="00467BE8">
        <w:t xml:space="preserve">appears well established from the clinical data obtained so far. The </w:t>
      </w:r>
      <w:r w:rsidR="0055750D" w:rsidRPr="00467BE8">
        <w:t xml:space="preserve">post-authorisation safety data </w:t>
      </w:r>
      <w:r w:rsidRPr="00467BE8">
        <w:t>also supports the continued favourable benefit</w:t>
      </w:r>
      <w:r w:rsidR="0055750D" w:rsidRPr="00467BE8">
        <w:t>-</w:t>
      </w:r>
      <w:r w:rsidRPr="00467BE8">
        <w:t>risk of Spikevax in individuals 12</w:t>
      </w:r>
      <w:r w:rsidR="0055750D" w:rsidRPr="00467BE8">
        <w:t> </w:t>
      </w:r>
      <w:r w:rsidRPr="00467BE8">
        <w:t>years of age and older.</w:t>
      </w:r>
    </w:p>
    <w:p w14:paraId="1C3FBB1C" w14:textId="64FDCC94" w:rsidR="00282C14" w:rsidRPr="00467BE8" w:rsidRDefault="0055750D" w:rsidP="0055750D">
      <w:pPr>
        <w:pStyle w:val="Heading6"/>
      </w:pPr>
      <w:r w:rsidRPr="00467BE8">
        <w:t>Supportive n</w:t>
      </w:r>
      <w:r w:rsidR="00282C14" w:rsidRPr="00467BE8">
        <w:t>onclinical data</w:t>
      </w:r>
    </w:p>
    <w:p w14:paraId="53F9DDA3" w14:textId="5CC3244B" w:rsidR="00282C14" w:rsidRPr="00467BE8" w:rsidRDefault="0055750D" w:rsidP="00282C14">
      <w:r w:rsidRPr="00467BE8">
        <w:t xml:space="preserve">The </w:t>
      </w:r>
      <w:r w:rsidR="00282C14" w:rsidRPr="00467BE8">
        <w:t xml:space="preserve">nonclinical data comprised of 3 </w:t>
      </w:r>
      <w:r w:rsidR="00282C14" w:rsidRPr="00467BE8">
        <w:rPr>
          <w:i/>
          <w:iCs/>
        </w:rPr>
        <w:t>in vivo</w:t>
      </w:r>
      <w:r w:rsidR="00282C14" w:rsidRPr="00467BE8">
        <w:t xml:space="preserve"> pharmacology studies conducted in BALB/c mice. The submitted studies evaluated immunogenicity of XBB-containing mRNA vaccines given as a primary series, or as a booster dose following primary series vaccination with mRNA-1273. The route of administration of the mRNA vaccines used in the nonclinical </w:t>
      </w:r>
      <w:r w:rsidR="00282C14" w:rsidRPr="00467BE8">
        <w:rPr>
          <w:i/>
          <w:iCs/>
        </w:rPr>
        <w:t>in vivo</w:t>
      </w:r>
      <w:r w:rsidR="00282C14" w:rsidRPr="00467BE8">
        <w:t xml:space="preserve"> pharmacology studies was </w:t>
      </w:r>
      <w:r w:rsidR="00A70EA9" w:rsidRPr="00467BE8">
        <w:t>intramuscular</w:t>
      </w:r>
      <w:r w:rsidR="00282C14" w:rsidRPr="00467BE8">
        <w:t>, consistent with the clinical route.</w:t>
      </w:r>
    </w:p>
    <w:p w14:paraId="33B8A675" w14:textId="706739D5" w:rsidR="00282C14" w:rsidRPr="00467BE8" w:rsidRDefault="00282C14" w:rsidP="00282C14">
      <w:r w:rsidRPr="00467BE8">
        <w:t xml:space="preserve">A </w:t>
      </w:r>
      <w:r w:rsidR="0055750D" w:rsidRPr="00467BE8">
        <w:t>two</w:t>
      </w:r>
      <w:r w:rsidRPr="00467BE8">
        <w:t>-dose primary series vaccination with the monovalent mRNA-1273.815 and bivalent mRNA-1273.231 induced high S-2P binding antibody titres and elicited high neutralising antibodies against the Omicron subvariant XBB strains, XBB.1.5 and XBB.1.16.</w:t>
      </w:r>
    </w:p>
    <w:p w14:paraId="4DD6B417" w14:textId="1A73A1B7" w:rsidR="00282C14" w:rsidRPr="00467BE8" w:rsidRDefault="00282C14" w:rsidP="00282C14">
      <w:bookmarkStart w:id="89" w:name="_Hlk147497867"/>
      <w:r w:rsidRPr="00467BE8">
        <w:lastRenderedPageBreak/>
        <w:t xml:space="preserve">Monovalent </w:t>
      </w:r>
      <w:bookmarkStart w:id="90" w:name="_Hlk147497155"/>
      <w:bookmarkEnd w:id="89"/>
      <w:r w:rsidRPr="00467BE8">
        <w:t xml:space="preserve">mRNA-1273.116 or </w:t>
      </w:r>
      <w:bookmarkStart w:id="91" w:name="_Hlk147497872"/>
      <w:r w:rsidRPr="00467BE8">
        <w:t xml:space="preserve">bivalent </w:t>
      </w:r>
      <w:bookmarkEnd w:id="91"/>
      <w:r w:rsidRPr="00467BE8">
        <w:t xml:space="preserve">mRNA-1273.234 </w:t>
      </w:r>
      <w:bookmarkEnd w:id="90"/>
      <w:r w:rsidRPr="00467BE8">
        <w:t xml:space="preserve">as a </w:t>
      </w:r>
      <w:bookmarkStart w:id="92" w:name="_Hlk147497882"/>
      <w:r w:rsidRPr="00467BE8">
        <w:t xml:space="preserve">booster </w:t>
      </w:r>
      <w:bookmarkEnd w:id="92"/>
      <w:r w:rsidRPr="00467BE8">
        <w:t xml:space="preserve">following a primary series of mRNA-1273 vaccination induced high S-2P </w:t>
      </w:r>
      <w:r w:rsidR="00A70EA9" w:rsidRPr="00467BE8">
        <w:t>binding antibody</w:t>
      </w:r>
      <w:r w:rsidRPr="00467BE8">
        <w:t xml:space="preserve"> titres as well as neutrali</w:t>
      </w:r>
      <w:r w:rsidR="00A70EA9" w:rsidRPr="00467BE8">
        <w:t>s</w:t>
      </w:r>
      <w:r w:rsidRPr="00467BE8">
        <w:t xml:space="preserve">ing titres against the Omicron subvariant XBB strains, XBB.1.16 and XBB.1.5. In mice receiving (primary or booster) dose of mRNA 1273.815, </w:t>
      </w:r>
      <w:r w:rsidR="00A70EA9" w:rsidRPr="00467BE8">
        <w:t>neutralising antibody</w:t>
      </w:r>
      <w:r w:rsidRPr="00467BE8">
        <w:t xml:space="preserve"> titres against </w:t>
      </w:r>
      <w:r w:rsidR="0055750D" w:rsidRPr="00467BE8">
        <w:t xml:space="preserve">subvariants </w:t>
      </w:r>
      <w:r w:rsidRPr="00467BE8">
        <w:t>XBB.1.5, XBB.1.16, XBB.2.3.2, and EG.5.1 are comparable.</w:t>
      </w:r>
    </w:p>
    <w:p w14:paraId="40C7AB2D" w14:textId="610F9F81" w:rsidR="00282C14" w:rsidRPr="00467BE8" w:rsidRDefault="00282C14" w:rsidP="00282C14">
      <w:r w:rsidRPr="00467BE8">
        <w:t>Overall, boosting with mRNA-1273.815 enhanced IgG responses and neutralising activity against Omicron subvariant XBB strains compared to boosting with mRNA-1273.</w:t>
      </w:r>
    </w:p>
    <w:p w14:paraId="32931775" w14:textId="6BB04F76" w:rsidR="00282C14" w:rsidRPr="00467BE8" w:rsidRDefault="00282C14" w:rsidP="00282C14">
      <w:pPr>
        <w:pStyle w:val="Heading5"/>
        <w:rPr>
          <w:lang w:eastAsia="ja-JP"/>
        </w:rPr>
      </w:pPr>
      <w:r w:rsidRPr="00467BE8">
        <w:rPr>
          <w:lang w:eastAsia="ja-JP"/>
        </w:rPr>
        <w:t>Safety</w:t>
      </w:r>
    </w:p>
    <w:p w14:paraId="4FF7BEFE" w14:textId="77777777" w:rsidR="00282C14" w:rsidRPr="00467BE8" w:rsidRDefault="00282C14" w:rsidP="00282C14">
      <w:r w:rsidRPr="00467BE8">
        <w:t>Safety data of Spikevax XBB1.5 COVID-19 vaccine (50 µg) in individual 12 years and older, is based on:</w:t>
      </w:r>
    </w:p>
    <w:p w14:paraId="6E66E7CB" w14:textId="382C5B48" w:rsidR="00282C14" w:rsidRPr="00467BE8" w:rsidRDefault="0055750D" w:rsidP="00282C14">
      <w:pPr>
        <w:pStyle w:val="ListBullet"/>
      </w:pPr>
      <w:r w:rsidRPr="00467BE8">
        <w:t>s</w:t>
      </w:r>
      <w:r w:rsidR="00282C14" w:rsidRPr="00467BE8">
        <w:t>afety data of Spikevax XBB1.5 COVID-19 vaccine (50 µg) from Study P205 Part J</w:t>
      </w:r>
    </w:p>
    <w:p w14:paraId="7CD7488F" w14:textId="312F12A4" w:rsidR="00282C14" w:rsidRPr="00467BE8" w:rsidRDefault="0055750D" w:rsidP="00282C14">
      <w:pPr>
        <w:pStyle w:val="ListBullet"/>
      </w:pPr>
      <w:r w:rsidRPr="00467BE8">
        <w:t>s</w:t>
      </w:r>
      <w:r w:rsidR="00282C14" w:rsidRPr="00467BE8">
        <w:t>afety data of Spikevax (original) (50 µg) COVID-19 vaccine in individuals 12 years and older.</w:t>
      </w:r>
    </w:p>
    <w:p w14:paraId="6A0792DA" w14:textId="41B771BD" w:rsidR="00282C14" w:rsidRPr="00467BE8" w:rsidRDefault="0055750D" w:rsidP="00282C14">
      <w:pPr>
        <w:pStyle w:val="Heading6"/>
      </w:pPr>
      <w:r w:rsidRPr="00467BE8">
        <w:t xml:space="preserve">Safety data of Spikevax XBB1.5 from </w:t>
      </w:r>
      <w:r w:rsidR="00282C14" w:rsidRPr="00467BE8">
        <w:t>Study P205 Part J</w:t>
      </w:r>
    </w:p>
    <w:p w14:paraId="3F99AD9B" w14:textId="38299DC1" w:rsidR="00282C14" w:rsidRPr="00467BE8" w:rsidRDefault="0055750D" w:rsidP="00282C14">
      <w:r w:rsidRPr="00467BE8">
        <w:t xml:space="preserve">Spikevax </w:t>
      </w:r>
      <w:r w:rsidR="00282C14" w:rsidRPr="00467BE8">
        <w:t xml:space="preserve">XBB.1.5-containing vaccines (monovalent </w:t>
      </w:r>
      <w:r w:rsidRPr="00467BE8">
        <w:t>mRNA-</w:t>
      </w:r>
      <w:r w:rsidR="00282C14" w:rsidRPr="00467BE8">
        <w:t>1273.815</w:t>
      </w:r>
      <w:r w:rsidRPr="00467BE8">
        <w:t xml:space="preserve"> and</w:t>
      </w:r>
      <w:r w:rsidR="00282C14" w:rsidRPr="00467BE8">
        <w:t xml:space="preserve"> bivalent </w:t>
      </w:r>
      <w:r w:rsidRPr="00467BE8">
        <w:t>mRNA</w:t>
      </w:r>
      <w:r w:rsidRPr="00467BE8">
        <w:noBreakHyphen/>
      </w:r>
      <w:r w:rsidR="00282C14" w:rsidRPr="00467BE8">
        <w:t>1273.231) given as a fifth dose were well tolerated. Reactogenicity was similar to prior doses of the original mRNA-1273 vaccine and the bivalent BA.4/BA.5 vaccine mRNA-1273.222.</w:t>
      </w:r>
      <w:r w:rsidR="000A373B" w:rsidRPr="00467BE8">
        <w:rPr>
          <w:vertAlign w:val="superscript"/>
        </w:rPr>
        <w:fldChar w:fldCharType="begin"/>
      </w:r>
      <w:r w:rsidR="000A373B" w:rsidRPr="00467BE8">
        <w:rPr>
          <w:vertAlign w:val="superscript"/>
        </w:rPr>
        <w:instrText xml:space="preserve"> NOTEREF _Ref147492954 \h </w:instrText>
      </w:r>
      <w:r w:rsidR="00467BE8">
        <w:rPr>
          <w:vertAlign w:val="superscript"/>
        </w:rPr>
        <w:instrText xml:space="preserve"> \* MERGEFORMAT </w:instrText>
      </w:r>
      <w:r w:rsidR="000A373B" w:rsidRPr="00467BE8">
        <w:rPr>
          <w:vertAlign w:val="superscript"/>
        </w:rPr>
      </w:r>
      <w:r w:rsidR="000A373B" w:rsidRPr="00467BE8">
        <w:rPr>
          <w:vertAlign w:val="superscript"/>
        </w:rPr>
        <w:fldChar w:fldCharType="separate"/>
      </w:r>
      <w:r w:rsidR="000022F7">
        <w:rPr>
          <w:vertAlign w:val="superscript"/>
        </w:rPr>
        <w:t>9</w:t>
      </w:r>
      <w:r w:rsidR="000A373B" w:rsidRPr="00467BE8">
        <w:rPr>
          <w:vertAlign w:val="superscript"/>
        </w:rPr>
        <w:fldChar w:fldCharType="end"/>
      </w:r>
      <w:r w:rsidR="000A373B" w:rsidRPr="00467BE8">
        <w:t xml:space="preserve"> </w:t>
      </w:r>
      <w:r w:rsidR="00282C14" w:rsidRPr="00467BE8">
        <w:t>There were no Grade</w:t>
      </w:r>
      <w:r w:rsidRPr="00467BE8">
        <w:t> </w:t>
      </w:r>
      <w:r w:rsidR="00282C14" w:rsidRPr="00467BE8">
        <w:t>4 local or systemic reactions and no fatal events or serious adverse events in this interim analysis.</w:t>
      </w:r>
    </w:p>
    <w:p w14:paraId="05A5E92E" w14:textId="7707CAEB" w:rsidR="00282C14" w:rsidRPr="00467BE8" w:rsidRDefault="0055750D" w:rsidP="0055750D">
      <w:pPr>
        <w:pStyle w:val="Heading6"/>
      </w:pPr>
      <w:r w:rsidRPr="00467BE8">
        <w:t xml:space="preserve">Safety data </w:t>
      </w:r>
      <w:r w:rsidR="00282C14" w:rsidRPr="00467BE8">
        <w:t>of Spikevax (original)</w:t>
      </w:r>
      <w:r w:rsidRPr="00467BE8">
        <w:t xml:space="preserve"> in individuals 12 years and older</w:t>
      </w:r>
    </w:p>
    <w:p w14:paraId="48EF4355" w14:textId="44D6D450" w:rsidR="00282C14" w:rsidRPr="00467BE8" w:rsidRDefault="00282C14" w:rsidP="00282C14">
      <w:r w:rsidRPr="00467BE8">
        <w:t xml:space="preserve">The </w:t>
      </w:r>
      <w:bookmarkStart w:id="93" w:name="_Hlk147479630"/>
      <w:r w:rsidRPr="00467BE8">
        <w:t xml:space="preserve">safety </w:t>
      </w:r>
      <w:bookmarkEnd w:id="93"/>
      <w:r w:rsidRPr="00467BE8">
        <w:t xml:space="preserve">and the benefit-risk profile of Spikevax (original) in individuals 12 years of age and older appears well established from the clinical data obtained so far. The </w:t>
      </w:r>
      <w:r w:rsidR="0055750D" w:rsidRPr="00467BE8">
        <w:t xml:space="preserve">post-authorisation safety data </w:t>
      </w:r>
      <w:r w:rsidRPr="00467BE8">
        <w:t>also supports the continued favourable benefit</w:t>
      </w:r>
      <w:r w:rsidR="0055750D" w:rsidRPr="00467BE8">
        <w:t>-</w:t>
      </w:r>
      <w:r w:rsidRPr="00467BE8">
        <w:t>risk of Spikevax in individuals 12</w:t>
      </w:r>
      <w:r w:rsidR="0055750D" w:rsidRPr="00467BE8">
        <w:t> </w:t>
      </w:r>
      <w:r w:rsidRPr="00467BE8">
        <w:t>years of age and older.</w:t>
      </w:r>
    </w:p>
    <w:p w14:paraId="3916F296" w14:textId="77777777" w:rsidR="00C22214" w:rsidRPr="00467BE8" w:rsidRDefault="00C22214" w:rsidP="00C22214">
      <w:pPr>
        <w:pStyle w:val="Heading4"/>
      </w:pPr>
      <w:bookmarkStart w:id="94" w:name="_Toc98931933"/>
      <w:bookmarkStart w:id="95" w:name="_Toc147997706"/>
      <w:r w:rsidRPr="00467BE8">
        <w:t xml:space="preserve">Proposed </w:t>
      </w:r>
      <w:proofErr w:type="gramStart"/>
      <w:r w:rsidRPr="00467BE8">
        <w:t>action</w:t>
      </w:r>
      <w:bookmarkEnd w:id="94"/>
      <w:bookmarkEnd w:id="95"/>
      <w:proofErr w:type="gramEnd"/>
    </w:p>
    <w:p w14:paraId="59DD035E" w14:textId="0F77E97F" w:rsidR="00282C14" w:rsidRPr="00467BE8" w:rsidRDefault="00282C14" w:rsidP="00282C14">
      <w:r w:rsidRPr="00467BE8">
        <w:t>Based on the totality of data, described above, to support the effectiveness and safety of Spikevax XBB1.5 COVID-19 vaccine the Delegate considers the benefit-risk profile Spikevax</w:t>
      </w:r>
      <w:r w:rsidR="0055750D" w:rsidRPr="00467BE8">
        <w:t> </w:t>
      </w:r>
      <w:r w:rsidRPr="00467BE8">
        <w:t>XBB1.5 COVID-19 vaccine for use in individuals 12 years of age and older as positive.</w:t>
      </w:r>
    </w:p>
    <w:p w14:paraId="318CFABC" w14:textId="77777777" w:rsidR="00C22214" w:rsidRPr="00467BE8" w:rsidRDefault="00C22214" w:rsidP="00C22214">
      <w:pPr>
        <w:pStyle w:val="Heading4"/>
      </w:pPr>
      <w:bookmarkStart w:id="96" w:name="_Toc98931936"/>
      <w:bookmarkStart w:id="97" w:name="_Toc147997707"/>
      <w:bookmarkStart w:id="98" w:name="_Toc247691532"/>
      <w:bookmarkStart w:id="99" w:name="_Toc314842516"/>
      <w:r w:rsidRPr="00467BE8">
        <w:t>Advisory Committee considerations</w:t>
      </w:r>
      <w:bookmarkEnd w:id="96"/>
      <w:bookmarkEnd w:id="97"/>
    </w:p>
    <w:p w14:paraId="087BB9CB" w14:textId="23A51D38" w:rsidR="00C22214" w:rsidRPr="00467BE8" w:rsidRDefault="00C22214" w:rsidP="00C22214">
      <w:pPr>
        <w:rPr>
          <w:bCs/>
          <w:szCs w:val="22"/>
        </w:rPr>
      </w:pPr>
      <w:r w:rsidRPr="00467BE8">
        <w:rPr>
          <w:bCs/>
          <w:szCs w:val="22"/>
        </w:rPr>
        <w:t xml:space="preserve">The </w:t>
      </w:r>
      <w:hyperlink r:id="rId51" w:history="1">
        <w:r w:rsidRPr="00467BE8">
          <w:rPr>
            <w:rStyle w:val="Hyperlink"/>
            <w:szCs w:val="22"/>
          </w:rPr>
          <w:t>Advisory Committee on Vaccines (ACV)</w:t>
        </w:r>
      </w:hyperlink>
      <w:r w:rsidRPr="00467BE8">
        <w:rPr>
          <w:szCs w:val="22"/>
        </w:rPr>
        <w:t>,</w:t>
      </w:r>
      <w:r w:rsidRPr="00467BE8">
        <w:rPr>
          <w:bCs/>
          <w:szCs w:val="22"/>
        </w:rPr>
        <w:t xml:space="preserve"> having considered the evaluations and the Delegate’s overview, as well as the sponsor’s response to these documents, advised the following.</w:t>
      </w:r>
    </w:p>
    <w:p w14:paraId="0D935CC4" w14:textId="77777777" w:rsidR="00C22214" w:rsidRPr="00467BE8" w:rsidRDefault="00C22214" w:rsidP="00C22214">
      <w:pPr>
        <w:pStyle w:val="Heading5"/>
      </w:pPr>
      <w:r w:rsidRPr="00467BE8">
        <w:t>Specific advice to the Delegate</w:t>
      </w:r>
    </w:p>
    <w:p w14:paraId="53D26DE7" w14:textId="0189710A" w:rsidR="00282C14" w:rsidRPr="00467BE8" w:rsidRDefault="00282C14" w:rsidP="00282C14">
      <w:pPr>
        <w:pStyle w:val="Numberbullet0"/>
        <w:rPr>
          <w:b/>
          <w:bCs/>
          <w:i/>
          <w:iCs/>
        </w:rPr>
      </w:pPr>
      <w:r w:rsidRPr="00467BE8">
        <w:rPr>
          <w:b/>
          <w:bCs/>
          <w:i/>
          <w:iCs/>
          <w:szCs w:val="21"/>
          <w:lang w:eastAsia="en-AU"/>
        </w:rPr>
        <w:t xml:space="preserve">Please comment on the sponsor proposal </w:t>
      </w:r>
      <w:r w:rsidRPr="00467BE8">
        <w:rPr>
          <w:b/>
          <w:bCs/>
          <w:i/>
          <w:iCs/>
        </w:rPr>
        <w:t xml:space="preserve">for registration of </w:t>
      </w:r>
      <w:r w:rsidR="00C3166E" w:rsidRPr="00467BE8">
        <w:rPr>
          <w:b/>
          <w:bCs/>
          <w:i/>
          <w:iCs/>
        </w:rPr>
        <w:t>Spikevax</w:t>
      </w:r>
      <w:r w:rsidRPr="00467BE8">
        <w:rPr>
          <w:b/>
          <w:bCs/>
          <w:i/>
          <w:iCs/>
        </w:rPr>
        <w:t xml:space="preserve"> XBB.1.5 (andusomeran) COVID-19 vaccine in individuals 12 years and older with the above proposed indication and dose.</w:t>
      </w:r>
    </w:p>
    <w:p w14:paraId="533A387E" w14:textId="10A282AF" w:rsidR="00A70EA9" w:rsidRPr="00467BE8" w:rsidRDefault="00A70EA9" w:rsidP="00A70EA9">
      <w:r w:rsidRPr="00467BE8">
        <w:t>The ACV supported the proposed indication:</w:t>
      </w:r>
    </w:p>
    <w:p w14:paraId="7B9608AB" w14:textId="457C2E78" w:rsidR="00A70EA9" w:rsidRPr="00467BE8" w:rsidRDefault="00A70EA9" w:rsidP="00A70EA9">
      <w:pPr>
        <w:ind w:left="720"/>
        <w:rPr>
          <w:i/>
          <w:iCs/>
        </w:rPr>
      </w:pPr>
      <w:r w:rsidRPr="00467BE8">
        <w:rPr>
          <w:i/>
          <w:iCs/>
        </w:rPr>
        <w:t>Active immunisation to prevent coronavirus disease 2019 (COVID-19) caused by SARS</w:t>
      </w:r>
      <w:r w:rsidR="0055750D" w:rsidRPr="00467BE8">
        <w:rPr>
          <w:i/>
          <w:iCs/>
        </w:rPr>
        <w:noBreakHyphen/>
      </w:r>
      <w:r w:rsidRPr="00467BE8">
        <w:rPr>
          <w:i/>
          <w:iCs/>
        </w:rPr>
        <w:t>CoV</w:t>
      </w:r>
      <w:r w:rsidR="0055750D" w:rsidRPr="00467BE8">
        <w:rPr>
          <w:i/>
          <w:iCs/>
        </w:rPr>
        <w:noBreakHyphen/>
      </w:r>
      <w:r w:rsidRPr="00467BE8">
        <w:rPr>
          <w:i/>
          <w:iCs/>
        </w:rPr>
        <w:t>2 in individuals 12 years and older.</w:t>
      </w:r>
    </w:p>
    <w:p w14:paraId="45D79297" w14:textId="09F6694B" w:rsidR="00A70EA9" w:rsidRPr="00467BE8" w:rsidRDefault="00A70EA9" w:rsidP="00A70EA9">
      <w:pPr>
        <w:ind w:left="720"/>
        <w:rPr>
          <w:i/>
          <w:iCs/>
        </w:rPr>
      </w:pPr>
      <w:r w:rsidRPr="00467BE8">
        <w:rPr>
          <w:i/>
          <w:iCs/>
        </w:rPr>
        <w:lastRenderedPageBreak/>
        <w:t>The use of this vaccine should be in accordance with official recommendations.</w:t>
      </w:r>
    </w:p>
    <w:p w14:paraId="7A1F781A" w14:textId="2C2A8405" w:rsidR="00A70EA9" w:rsidRPr="00467BE8" w:rsidRDefault="00A70EA9" w:rsidP="00A70EA9">
      <w:r w:rsidRPr="00467BE8">
        <w:t xml:space="preserve">The ACV agreed with the proposed dose of 50 </w:t>
      </w:r>
      <w:r w:rsidR="0055750D" w:rsidRPr="00467BE8">
        <w:t>µ</w:t>
      </w:r>
      <w:r w:rsidRPr="00467BE8">
        <w:t>g andusomeran for individuals 12 years and older.</w:t>
      </w:r>
    </w:p>
    <w:p w14:paraId="244F8811" w14:textId="3692D99E" w:rsidR="00A70EA9" w:rsidRPr="00467BE8" w:rsidRDefault="00A70EA9" w:rsidP="00A70EA9">
      <w:r w:rsidRPr="00467BE8">
        <w:t xml:space="preserve">The ACV acknowledged that the epidemiology of COVID-19 supports a need for a vaccine targeted to protect against the </w:t>
      </w:r>
      <w:proofErr w:type="gramStart"/>
      <w:r w:rsidRPr="00467BE8">
        <w:t>currently-circulating</w:t>
      </w:r>
      <w:proofErr w:type="gramEnd"/>
      <w:r w:rsidRPr="00467BE8">
        <w:t xml:space="preserve"> variant of concern, Omicron XBB.1.5 and related emerging subvariants. The ACV noted that the main objective of an update to COVID-19 vaccine target variant is to achieve a wider breadth of immunity.</w:t>
      </w:r>
    </w:p>
    <w:p w14:paraId="1A23A927" w14:textId="340721ED" w:rsidR="00A70EA9" w:rsidRPr="00467BE8" w:rsidRDefault="00A70EA9" w:rsidP="00A70EA9">
      <w:r w:rsidRPr="00467BE8">
        <w:t>The ACV noted the proposed indication is for use in individuals 12 years and older. The ACV noted that regulatory agencies in Europe and Canada have approved use for individuals from 6</w:t>
      </w:r>
      <w:r w:rsidR="0055750D" w:rsidRPr="00467BE8">
        <w:t> </w:t>
      </w:r>
      <w:r w:rsidRPr="00467BE8">
        <w:t>months of age, and in the USA use in individuals from 6 months of age is authorised (under Emergency Use Authorization) and approved (under a Biologics License Application) in individuals 12 years and older. The ACV highlighted the need for a vaccine for infants from 6</w:t>
      </w:r>
      <w:r w:rsidR="0055750D" w:rsidRPr="00467BE8">
        <w:t> </w:t>
      </w:r>
      <w:r w:rsidRPr="00467BE8">
        <w:t>months of age and young children who are at risk of severe COVID</w:t>
      </w:r>
      <w:r w:rsidR="0055750D" w:rsidRPr="00467BE8">
        <w:t>-</w:t>
      </w:r>
      <w:r w:rsidRPr="00467BE8">
        <w:t xml:space="preserve">19 using a vaccine relevant to </w:t>
      </w:r>
      <w:proofErr w:type="gramStart"/>
      <w:r w:rsidRPr="00467BE8">
        <w:t>currently-circulating</w:t>
      </w:r>
      <w:proofErr w:type="gramEnd"/>
      <w:r w:rsidRPr="00467BE8">
        <w:t xml:space="preserve"> strains rather than against the original wild-type virus and advised that availability of updated vaccines in this age group is a current gap in Australia.</w:t>
      </w:r>
    </w:p>
    <w:p w14:paraId="651D00C0" w14:textId="722B65E8" w:rsidR="00A70EA9" w:rsidRPr="00467BE8" w:rsidRDefault="00A70EA9" w:rsidP="00A70EA9">
      <w:r w:rsidRPr="00467BE8">
        <w:t xml:space="preserve">The ACV agreed that information regarding how to administer a primary (that is, multi-dose) series, when clinically indicated, should be included in the dosage section of the </w:t>
      </w:r>
      <w:proofErr w:type="gramStart"/>
      <w:r w:rsidRPr="00467BE8">
        <w:t>PI</w:t>
      </w:r>
      <w:proofErr w:type="gramEnd"/>
      <w:r w:rsidRPr="00467BE8">
        <w:t xml:space="preserve"> and include details specific for use in such individuals, such as those who are vaccine-naive and immunocompromised individuals. Reference should be made to use of the vaccine in accordance with clinical recommendations in Australia, that is, as made by the ATAGI</w:t>
      </w:r>
      <w:r w:rsidR="002B2232" w:rsidRPr="00467BE8">
        <w:t xml:space="preserve"> [Australian Technical Advisory Group on Immunisation]</w:t>
      </w:r>
      <w:r w:rsidRPr="00467BE8">
        <w:t xml:space="preserve"> in the Australian Immunisation Handbook.</w:t>
      </w:r>
    </w:p>
    <w:p w14:paraId="24B2BFCF" w14:textId="650520AD" w:rsidR="00A70EA9" w:rsidRPr="00467BE8" w:rsidRDefault="00A70EA9" w:rsidP="00A70EA9">
      <w:r w:rsidRPr="00467BE8">
        <w:t>Reference to ‘one dose’ (previously, a booster dose) in the dosing schedule could be replaced with the terms ‘subsequent dose’ or ‘additional dose’ where needed. General reference to ‘booster’ doses in the product information is no longer useful or accurate. Andusomeran is a different active ingredient to the elasomeran used in the original Spikevax vaccine, with nucleoside modified mRNA (modRNA) adapted to target Omicron XBB.1.5, and Spikevax XBB.1.5 vaccine is not boosting the immune response against the wild-type virus (which is no longer circulating). The ACV agreed that subsequent doses could be administered at least 3 months after the most recent COVID-19 vaccine.</w:t>
      </w:r>
    </w:p>
    <w:p w14:paraId="10C23433" w14:textId="78753DEA" w:rsidR="00A70EA9" w:rsidRPr="00467BE8" w:rsidRDefault="00A70EA9" w:rsidP="00A70EA9">
      <w:r w:rsidRPr="00467BE8">
        <w:t>The ACV noted that the simplified dosing schedule aligns with that approved by the European Medicines Agency.</w:t>
      </w:r>
    </w:p>
    <w:p w14:paraId="15D18EBE" w14:textId="202E83F4" w:rsidR="00A70EA9" w:rsidRPr="00467BE8" w:rsidRDefault="00A70EA9" w:rsidP="00A70EA9">
      <w:r w:rsidRPr="00467BE8">
        <w:t>The ACV noted this submission is supported by quality data and that manufacture uses the same well-characterised mRNA platform as for earlier versions of Spikevax COVID-19 vaccines. The ACV noted the submission was supported by preclinical (pharmacology studies conducted in mice) data and limited direct clinical data. The preliminary clinical data is from 50 subjects aged 21 to 84 years and provided information demonstrating immunogenicity of the XBB.1.5 vaccine against this and a number of other newly emerged SARS-CoV-2 variants.</w:t>
      </w:r>
      <w:r w:rsidR="003E3376" w:rsidRPr="00C80C0B">
        <w:rPr>
          <w:vertAlign w:val="superscript"/>
        </w:rPr>
        <w:fldChar w:fldCharType="begin"/>
      </w:r>
      <w:r w:rsidR="003E3376" w:rsidRPr="00C80C0B">
        <w:rPr>
          <w:vertAlign w:val="superscript"/>
        </w:rPr>
        <w:instrText xml:space="preserve"> NOTEREF _Ref147492954 \h </w:instrText>
      </w:r>
      <w:r w:rsidR="003E3376">
        <w:rPr>
          <w:vertAlign w:val="superscript"/>
        </w:rPr>
        <w:instrText xml:space="preserve"> \* MERGEFORMAT </w:instrText>
      </w:r>
      <w:r w:rsidR="003E3376" w:rsidRPr="00C80C0B">
        <w:rPr>
          <w:vertAlign w:val="superscript"/>
        </w:rPr>
      </w:r>
      <w:r w:rsidR="003E3376" w:rsidRPr="00C80C0B">
        <w:rPr>
          <w:vertAlign w:val="superscript"/>
        </w:rPr>
        <w:fldChar w:fldCharType="separate"/>
      </w:r>
      <w:r w:rsidR="000022F7">
        <w:rPr>
          <w:vertAlign w:val="superscript"/>
        </w:rPr>
        <w:t>9</w:t>
      </w:r>
      <w:r w:rsidR="003E3376" w:rsidRPr="00C80C0B">
        <w:rPr>
          <w:vertAlign w:val="superscript"/>
        </w:rPr>
        <w:fldChar w:fldCharType="end"/>
      </w:r>
      <w:r w:rsidR="003E3376" w:rsidRPr="00C80C0B">
        <w:rPr>
          <w:vertAlign w:val="superscript"/>
        </w:rPr>
        <w:t>,</w:t>
      </w:r>
      <w:r w:rsidR="003E3376" w:rsidRPr="003E3376">
        <w:rPr>
          <w:rStyle w:val="FootnoteReference"/>
        </w:rPr>
        <w:footnoteReference w:id="10"/>
      </w:r>
      <w:r w:rsidRPr="00467BE8">
        <w:t xml:space="preserve"> Reactogenicity and the adverse event profile were similar to other Spikevax vaccines.</w:t>
      </w:r>
    </w:p>
    <w:p w14:paraId="235DDD7A" w14:textId="3801692A" w:rsidR="00A70EA9" w:rsidRPr="00467BE8" w:rsidRDefault="00A70EA9" w:rsidP="00A70EA9">
      <w:r w:rsidRPr="00467BE8">
        <w:t>The ACV noted that safety and immunogenicity has been inferred from extensive clinical studies and real-world experience with earlier Spikevax vaccines.</w:t>
      </w:r>
    </w:p>
    <w:p w14:paraId="001F0A83" w14:textId="601F8717" w:rsidR="00A70EA9" w:rsidRPr="00467BE8" w:rsidRDefault="00A70EA9" w:rsidP="00A70EA9">
      <w:r w:rsidRPr="00467BE8">
        <w:t>Overall, the ACV supported the Delegate’s view in favour of registration.</w:t>
      </w:r>
    </w:p>
    <w:p w14:paraId="5291EA2A" w14:textId="77777777" w:rsidR="00C22214" w:rsidRPr="00467BE8" w:rsidRDefault="00C22214" w:rsidP="00C22214">
      <w:pPr>
        <w:pStyle w:val="Heading5"/>
      </w:pPr>
      <w:r w:rsidRPr="00467BE8">
        <w:t>Conclusion</w:t>
      </w:r>
    </w:p>
    <w:p w14:paraId="0D73CEE4" w14:textId="77777777" w:rsidR="00CD1C52" w:rsidRPr="00467BE8" w:rsidRDefault="00CD1C52" w:rsidP="00CD1C52">
      <w:r w:rsidRPr="00467BE8">
        <w:t>Overall, the ACV supported the Delegate’s view in favour of registration.</w:t>
      </w:r>
    </w:p>
    <w:p w14:paraId="307F236C" w14:textId="77777777" w:rsidR="00C22214" w:rsidRPr="00467BE8" w:rsidRDefault="00C22214" w:rsidP="00C22214">
      <w:pPr>
        <w:pStyle w:val="Heading2"/>
      </w:pPr>
      <w:bookmarkStart w:id="100" w:name="_Toc103679300"/>
      <w:bookmarkStart w:id="101" w:name="_Toc147997708"/>
      <w:r w:rsidRPr="00467BE8">
        <w:lastRenderedPageBreak/>
        <w:t>Outcome</w:t>
      </w:r>
      <w:bookmarkEnd w:id="98"/>
      <w:bookmarkEnd w:id="99"/>
      <w:bookmarkEnd w:id="100"/>
      <w:bookmarkEnd w:id="101"/>
    </w:p>
    <w:p w14:paraId="4EF22939" w14:textId="5F9A23FC" w:rsidR="00C22214" w:rsidRDefault="00C22214" w:rsidP="00A70EA9">
      <w:r w:rsidRPr="00467BE8">
        <w:t xml:space="preserve">Based on a review of quality, safety, and efficacy, the TGA approved the registration of </w:t>
      </w:r>
      <w:r w:rsidR="00852E0E" w:rsidRPr="00467BE8">
        <w:t>Spikevax</w:t>
      </w:r>
      <w:r w:rsidR="0055750D" w:rsidRPr="00467BE8">
        <w:t> </w:t>
      </w:r>
      <w:r w:rsidR="00852E0E" w:rsidRPr="00467BE8">
        <w:t xml:space="preserve">XBB.1.5 COVID-19 vaccine (andusomeran) 0.1 mg/mL, suspension for injection, prefilled </w:t>
      </w:r>
      <w:proofErr w:type="gramStart"/>
      <w:r w:rsidR="00852E0E" w:rsidRPr="00467BE8">
        <w:t>syringe</w:t>
      </w:r>
      <w:proofErr w:type="gramEnd"/>
      <w:r w:rsidR="00852E0E" w:rsidRPr="00467BE8">
        <w:t xml:space="preserve"> and single dose vial, </w:t>
      </w:r>
      <w:r w:rsidRPr="00467BE8">
        <w:t>change in dose regime</w:t>
      </w:r>
      <w:r w:rsidR="000D5890">
        <w:t xml:space="preserve"> and </w:t>
      </w:r>
      <w:r w:rsidR="000D5890" w:rsidRPr="00467BE8">
        <w:rPr>
          <w:color w:val="000000" w:themeColor="text1"/>
        </w:rPr>
        <w:t>formulation</w:t>
      </w:r>
      <w:r w:rsidRPr="00467BE8">
        <w:t>:</w:t>
      </w:r>
    </w:p>
    <w:p w14:paraId="52828AB7" w14:textId="77777777" w:rsidR="000D5890" w:rsidRDefault="000D5890" w:rsidP="000D5890">
      <w:pPr>
        <w:ind w:left="720"/>
      </w:pPr>
      <w:r>
        <w:t xml:space="preserve">Each dose (0.5 mL) of Spikevax XBB.1.5 contains </w:t>
      </w:r>
      <w:r w:rsidRPr="000D5890">
        <w:t>50</w:t>
      </w:r>
      <w:r>
        <w:t> </w:t>
      </w:r>
      <w:r w:rsidRPr="000D5890">
        <w:t>µg</w:t>
      </w:r>
      <w:r>
        <w:t xml:space="preserve"> of </w:t>
      </w:r>
      <w:r w:rsidRPr="000D5890">
        <w:t>andusomeran</w:t>
      </w:r>
      <w:r>
        <w:t>.</w:t>
      </w:r>
    </w:p>
    <w:p w14:paraId="75106984" w14:textId="77777777" w:rsidR="000D5890" w:rsidRPr="000D5890" w:rsidRDefault="000D5890" w:rsidP="000D5890">
      <w:pPr>
        <w:ind w:left="720"/>
        <w:rPr>
          <w:b/>
          <w:bCs/>
        </w:rPr>
      </w:pPr>
      <w:r w:rsidRPr="000D5890">
        <w:rPr>
          <w:b/>
          <w:bCs/>
        </w:rPr>
        <w:t>Primary series</w:t>
      </w:r>
    </w:p>
    <w:p w14:paraId="11ACE165" w14:textId="77777777" w:rsidR="000D5890" w:rsidRDefault="000D5890" w:rsidP="000D5890">
      <w:pPr>
        <w:ind w:left="720"/>
      </w:pPr>
      <w:r>
        <w:t>To complete the two-dose series, it is recommended to administer Spikevax XBB.1.5 28 days after the first COVID</w:t>
      </w:r>
      <w:r>
        <w:noBreakHyphen/>
        <w:t>19 vaccine.</w:t>
      </w:r>
    </w:p>
    <w:p w14:paraId="304F9DA9" w14:textId="77777777" w:rsidR="000D5890" w:rsidRPr="000D5890" w:rsidRDefault="000D5890" w:rsidP="000D5890">
      <w:pPr>
        <w:ind w:left="720"/>
        <w:rPr>
          <w:b/>
          <w:bCs/>
        </w:rPr>
      </w:pPr>
      <w:r w:rsidRPr="000D5890">
        <w:rPr>
          <w:b/>
          <w:bCs/>
        </w:rPr>
        <w:t>Additional dose</w:t>
      </w:r>
    </w:p>
    <w:p w14:paraId="7960182F" w14:textId="77777777" w:rsidR="000D5890" w:rsidRDefault="000D5890" w:rsidP="000D5890">
      <w:pPr>
        <w:ind w:left="720"/>
      </w:pPr>
      <w:r>
        <w:t>If previously vaccinated, Spikevax XBB.1.5 should be administered at least 3 months after the most recent dose of a COVID-19 vaccine.</w:t>
      </w:r>
    </w:p>
    <w:p w14:paraId="768CC153" w14:textId="77777777" w:rsidR="000D5890" w:rsidRPr="000D5890" w:rsidRDefault="000D5890" w:rsidP="000D5890">
      <w:pPr>
        <w:ind w:left="720"/>
        <w:rPr>
          <w:b/>
          <w:bCs/>
        </w:rPr>
      </w:pPr>
      <w:r w:rsidRPr="000D5890">
        <w:rPr>
          <w:b/>
          <w:bCs/>
        </w:rPr>
        <w:t>Immunocompromised individuals</w:t>
      </w:r>
    </w:p>
    <w:p w14:paraId="10E18FE8" w14:textId="77777777" w:rsidR="000D5890" w:rsidRPr="000D5890" w:rsidRDefault="000D5890" w:rsidP="000D5890">
      <w:pPr>
        <w:ind w:left="720"/>
      </w:pPr>
      <w:r w:rsidRPr="000D5890">
        <w:t>If previously vaccinated, additional age-appropriate dose(s) may be administered in severely immunocompromised at least 2 months following the most recent dose of a COVID-19 vaccine at the discretion of the healthcare provider, taking into consideration the individual’s clinical circumstances.</w:t>
      </w:r>
    </w:p>
    <w:p w14:paraId="385A6969" w14:textId="77777777" w:rsidR="000D5890" w:rsidRPr="000D5890" w:rsidRDefault="000D5890" w:rsidP="000D5890">
      <w:pPr>
        <w:ind w:left="720"/>
      </w:pPr>
      <w:r w:rsidRPr="000D5890">
        <w:t>The use of this vaccine should be in accordance with clinical recommendations in the Australian Immunisation Handbook.</w:t>
      </w:r>
    </w:p>
    <w:p w14:paraId="4AE666E9" w14:textId="056E272B" w:rsidR="000D5890" w:rsidRDefault="000D5890" w:rsidP="000D5890">
      <w:pPr>
        <w:ind w:left="720"/>
      </w:pPr>
      <w:r w:rsidRPr="00467BE8">
        <w:rPr>
          <w:szCs w:val="22"/>
        </w:rPr>
        <w:t>For further information regarding dosage, refer to the Product Information.</w:t>
      </w:r>
    </w:p>
    <w:p w14:paraId="0D732DA4" w14:textId="77777777" w:rsidR="00854D98" w:rsidRPr="00467BE8" w:rsidRDefault="00854D98" w:rsidP="00854D98">
      <w:pPr>
        <w:pStyle w:val="Heading3"/>
      </w:pPr>
      <w:bookmarkStart w:id="102" w:name="_Toc103679301"/>
      <w:bookmarkStart w:id="103" w:name="_Toc147997709"/>
      <w:r w:rsidRPr="00467BE8">
        <w:t>Specific conditions of registration applying to these goods</w:t>
      </w:r>
      <w:bookmarkEnd w:id="102"/>
      <w:bookmarkEnd w:id="103"/>
    </w:p>
    <w:p w14:paraId="3604A0E9" w14:textId="74D9C208" w:rsidR="000D5890" w:rsidRPr="000D5890" w:rsidRDefault="000D5890" w:rsidP="00D017FB">
      <w:pPr>
        <w:pStyle w:val="ListBullet"/>
      </w:pPr>
      <w:r w:rsidRPr="000D5890">
        <w:t>Spikevax XBB.1.5 (andusomeran) COVID-19 vaccine is to be included in the Black</w:t>
      </w:r>
      <w:r>
        <w:t xml:space="preserve"> </w:t>
      </w:r>
      <w:r w:rsidRPr="000D5890">
        <w:t>Triangle Scheme. The PI and CMI for Spikevax XBB.1.5 must include the black triangle</w:t>
      </w:r>
      <w:r>
        <w:t xml:space="preserve"> </w:t>
      </w:r>
      <w:r w:rsidRPr="000D5890">
        <w:t>symbol and mandatory accompanying text for five years, which starts from the date</w:t>
      </w:r>
      <w:r>
        <w:t xml:space="preserve"> </w:t>
      </w:r>
      <w:r w:rsidRPr="000D5890">
        <w:t>that the sponsor notifies the TGA of supply of the products.</w:t>
      </w:r>
    </w:p>
    <w:p w14:paraId="2D5F0AF7" w14:textId="2E3DC1BE" w:rsidR="000D5890" w:rsidRPr="000D5890" w:rsidRDefault="000D5890" w:rsidP="000D5890">
      <w:pPr>
        <w:pStyle w:val="ListBullet"/>
        <w:rPr>
          <w:b/>
          <w:bCs/>
        </w:rPr>
      </w:pPr>
      <w:r w:rsidRPr="000D5890">
        <w:rPr>
          <w:b/>
          <w:bCs/>
        </w:rPr>
        <w:t xml:space="preserve">Quality </w:t>
      </w:r>
      <w:r>
        <w:rPr>
          <w:b/>
          <w:bCs/>
        </w:rPr>
        <w:t>c</w:t>
      </w:r>
      <w:r w:rsidRPr="000D5890">
        <w:rPr>
          <w:b/>
          <w:bCs/>
        </w:rPr>
        <w:t>onditions</w:t>
      </w:r>
    </w:p>
    <w:p w14:paraId="323483B1" w14:textId="7C8AAEAA" w:rsidR="000D5890" w:rsidRPr="000D5890" w:rsidRDefault="000D5890" w:rsidP="000D5890">
      <w:pPr>
        <w:pStyle w:val="ListBullet"/>
        <w:numPr>
          <w:ilvl w:val="0"/>
          <w:numId w:val="0"/>
        </w:numPr>
        <w:ind w:left="360"/>
        <w:rPr>
          <w:b/>
          <w:bCs/>
        </w:rPr>
      </w:pPr>
      <w:r w:rsidRPr="000D5890">
        <w:rPr>
          <w:b/>
          <w:bCs/>
        </w:rPr>
        <w:t>Batch release testing and compliance</w:t>
      </w:r>
    </w:p>
    <w:p w14:paraId="1D71592C" w14:textId="6D7ADBBD" w:rsidR="000D5890" w:rsidRPr="000D5890" w:rsidRDefault="000D5890" w:rsidP="000D5890">
      <w:pPr>
        <w:pStyle w:val="ListBullet"/>
        <w:numPr>
          <w:ilvl w:val="0"/>
          <w:numId w:val="0"/>
        </w:numPr>
        <w:ind w:left="360"/>
      </w:pPr>
      <w:r w:rsidRPr="000D5890">
        <w:t>It is a condition of registration that all independent batches of Spikevax XBB.1.5</w:t>
      </w:r>
      <w:r>
        <w:t xml:space="preserve"> </w:t>
      </w:r>
      <w:r w:rsidRPr="000D5890">
        <w:t>(andusomeran) COVID-19 vaccine 0.1 mg/mL suspension for injection pre-filled</w:t>
      </w:r>
      <w:r>
        <w:t xml:space="preserve"> </w:t>
      </w:r>
      <w:r w:rsidRPr="000D5890">
        <w:t xml:space="preserve">syringe </w:t>
      </w:r>
      <w:r>
        <w:t>(</w:t>
      </w:r>
      <w:r w:rsidRPr="000D5890">
        <w:t>AUST R 418911</w:t>
      </w:r>
      <w:r>
        <w:t>)</w:t>
      </w:r>
      <w:r w:rsidRPr="000D5890">
        <w:t xml:space="preserve"> and Spikevax XBB.1.5 (andusomeran) COVID-19 vaccine</w:t>
      </w:r>
      <w:r>
        <w:t xml:space="preserve"> </w:t>
      </w:r>
      <w:r w:rsidRPr="000D5890">
        <w:t>0.1 mg/mL suspension for injection vial</w:t>
      </w:r>
      <w:r>
        <w:t xml:space="preserve"> </w:t>
      </w:r>
      <w:r w:rsidRPr="000D5890">
        <w:t>–</w:t>
      </w:r>
      <w:r>
        <w:t xml:space="preserve"> </w:t>
      </w:r>
      <w:r w:rsidRPr="000D5890">
        <w:t>single</w:t>
      </w:r>
      <w:r>
        <w:t>-</w:t>
      </w:r>
      <w:r w:rsidRPr="000D5890">
        <w:t xml:space="preserve">dose </w:t>
      </w:r>
      <w:r>
        <w:t>(</w:t>
      </w:r>
      <w:r w:rsidRPr="000D5890">
        <w:t>AUST R 418910</w:t>
      </w:r>
      <w:r>
        <w:t>)</w:t>
      </w:r>
      <w:r w:rsidRPr="000D5890">
        <w:t xml:space="preserve"> vaccine</w:t>
      </w:r>
      <w:r>
        <w:t xml:space="preserve"> </w:t>
      </w:r>
      <w:r w:rsidRPr="000D5890">
        <w:t>imported into Australia are not released for sale until samples and the manufacturer’s</w:t>
      </w:r>
      <w:r>
        <w:t xml:space="preserve"> </w:t>
      </w:r>
      <w:r w:rsidRPr="000D5890">
        <w:t>release data have been assessed and you have received notification acknowledging</w:t>
      </w:r>
      <w:r>
        <w:t xml:space="preserve"> </w:t>
      </w:r>
      <w:r w:rsidRPr="000D5890">
        <w:t>release from the Laboratories Branch, TGA.</w:t>
      </w:r>
    </w:p>
    <w:p w14:paraId="04271A16" w14:textId="3162973B" w:rsidR="000D5890" w:rsidRPr="000D5890" w:rsidRDefault="000D5890" w:rsidP="000D5890">
      <w:pPr>
        <w:pStyle w:val="ListBullet"/>
        <w:numPr>
          <w:ilvl w:val="0"/>
          <w:numId w:val="0"/>
        </w:numPr>
        <w:ind w:left="360"/>
      </w:pPr>
      <w:r w:rsidRPr="000D5890">
        <w:t xml:space="preserve">For each independent batch of the product imported into Australia, the </w:t>
      </w:r>
      <w:r>
        <w:t>s</w:t>
      </w:r>
      <w:r w:rsidRPr="000D5890">
        <w:t>ponsor must</w:t>
      </w:r>
      <w:r>
        <w:t xml:space="preserve"> </w:t>
      </w:r>
      <w:r w:rsidRPr="000D5890">
        <w:t>supply the following:</w:t>
      </w:r>
    </w:p>
    <w:p w14:paraId="6B207F8D" w14:textId="1A9A1B94" w:rsidR="000D5890" w:rsidRPr="000D5890" w:rsidRDefault="000D5890" w:rsidP="000D5890">
      <w:pPr>
        <w:pStyle w:val="ListBullet2"/>
      </w:pPr>
      <w:r w:rsidRPr="000D5890">
        <w:t>A completed Request for Release Form, available from vaccines@health.gov.au.</w:t>
      </w:r>
    </w:p>
    <w:p w14:paraId="6250FFAF" w14:textId="0772335B" w:rsidR="000D5890" w:rsidRPr="000D5890" w:rsidRDefault="000D5890" w:rsidP="000D5890">
      <w:pPr>
        <w:pStyle w:val="ListBullet2"/>
      </w:pPr>
      <w:r w:rsidRPr="000D5890">
        <w:t>Complete summary protocols for manufacture and QC, including all steps in</w:t>
      </w:r>
      <w:r>
        <w:t xml:space="preserve"> </w:t>
      </w:r>
      <w:r w:rsidRPr="000D5890">
        <w:t>production in the agreed format.</w:t>
      </w:r>
    </w:p>
    <w:p w14:paraId="5E06967F" w14:textId="1C576583" w:rsidR="000D5890" w:rsidRPr="000D5890" w:rsidRDefault="000D5890" w:rsidP="000D5890">
      <w:pPr>
        <w:pStyle w:val="ListBullet2"/>
      </w:pPr>
      <w:r w:rsidRPr="000D5890">
        <w:t>At least thirty (30) (samples) of each manufacturing batch of Spikevax XBB.1.5</w:t>
      </w:r>
      <w:r>
        <w:t xml:space="preserve"> </w:t>
      </w:r>
      <w:r w:rsidRPr="000D5890">
        <w:t>(andusomeran) COVID-19 vaccine 0.1 mg/mL suspension for injection pre-filled</w:t>
      </w:r>
      <w:r>
        <w:t xml:space="preserve"> </w:t>
      </w:r>
      <w:r w:rsidRPr="000D5890">
        <w:t xml:space="preserve">syringe </w:t>
      </w:r>
      <w:r>
        <w:t>(</w:t>
      </w:r>
      <w:r w:rsidRPr="000D5890">
        <w:t>AUST R 418911</w:t>
      </w:r>
      <w:r>
        <w:t>)</w:t>
      </w:r>
      <w:r w:rsidRPr="000D5890">
        <w:t xml:space="preserve"> and Spikevax XBB.1.5 (andusomeran) COVID-19</w:t>
      </w:r>
      <w:r>
        <w:t xml:space="preserve"> </w:t>
      </w:r>
      <w:r w:rsidRPr="000D5890">
        <w:t xml:space="preserve">vaccine </w:t>
      </w:r>
      <w:r w:rsidRPr="000D5890">
        <w:lastRenderedPageBreak/>
        <w:t>0.1</w:t>
      </w:r>
      <w:r>
        <w:t> </w:t>
      </w:r>
      <w:r w:rsidRPr="000D5890">
        <w:t>mg/mL suspension for injection vial</w:t>
      </w:r>
      <w:r>
        <w:t xml:space="preserve"> </w:t>
      </w:r>
      <w:r w:rsidRPr="000D5890">
        <w:t>–</w:t>
      </w:r>
      <w:r>
        <w:t xml:space="preserve"> </w:t>
      </w:r>
      <w:r w:rsidRPr="000D5890">
        <w:t xml:space="preserve">single-dose </w:t>
      </w:r>
      <w:r>
        <w:t>(</w:t>
      </w:r>
      <w:r w:rsidRPr="000D5890">
        <w:t>AUST R 418910</w:t>
      </w:r>
      <w:r>
        <w:t xml:space="preserve">) </w:t>
      </w:r>
      <w:r w:rsidRPr="000D5890">
        <w:t>with the Australian approved labels, PI and packaging (unless an exemption to</w:t>
      </w:r>
      <w:r>
        <w:t xml:space="preserve"> </w:t>
      </w:r>
      <w:r w:rsidRPr="000D5890">
        <w:t>supply these has been granted) representative of all batches of product seeking</w:t>
      </w:r>
      <w:r>
        <w:t xml:space="preserve"> </w:t>
      </w:r>
      <w:r w:rsidRPr="000D5890">
        <w:t>distribution in Australia.</w:t>
      </w:r>
    </w:p>
    <w:p w14:paraId="4BC9BBB0" w14:textId="25E497E6" w:rsidR="000D5890" w:rsidRPr="000D5890" w:rsidRDefault="000D5890" w:rsidP="000D5890">
      <w:pPr>
        <w:pStyle w:val="ListBullet2"/>
      </w:pPr>
      <w:r w:rsidRPr="000D5890">
        <w:t>At least five (5) vials (Samples) of any further consignments of a manufacturing</w:t>
      </w:r>
      <w:r>
        <w:t xml:space="preserve"> </w:t>
      </w:r>
      <w:r w:rsidRPr="000D5890">
        <w:t>batch of Spikevax XBB.1.5 (andusomeran) COVID-19 vaccine 0.1 mg/mL</w:t>
      </w:r>
      <w:r>
        <w:t xml:space="preserve"> </w:t>
      </w:r>
      <w:r w:rsidRPr="000D5890">
        <w:t xml:space="preserve">suspension for injection pre-filled syringe </w:t>
      </w:r>
      <w:r>
        <w:t>(</w:t>
      </w:r>
      <w:r w:rsidRPr="000D5890">
        <w:t>AUST R 418911</w:t>
      </w:r>
      <w:r>
        <w:t>)</w:t>
      </w:r>
      <w:r w:rsidRPr="000D5890">
        <w:t xml:space="preserve"> and Spikevax</w:t>
      </w:r>
      <w:r>
        <w:t xml:space="preserve"> </w:t>
      </w:r>
      <w:r w:rsidRPr="000D5890">
        <w:t>XBB.1.5 (andusomeran) COVID-19 vaccine</w:t>
      </w:r>
      <w:r>
        <w:t xml:space="preserve"> </w:t>
      </w:r>
      <w:r w:rsidRPr="000D5890">
        <w:t>0.1 mg/mL suspension for injection</w:t>
      </w:r>
      <w:r>
        <w:t xml:space="preserve"> </w:t>
      </w:r>
      <w:r w:rsidRPr="000D5890">
        <w:t xml:space="preserve">vial – single-dose </w:t>
      </w:r>
      <w:r>
        <w:t>(</w:t>
      </w:r>
      <w:r w:rsidRPr="000D5890">
        <w:t>AUST R 418910</w:t>
      </w:r>
      <w:r>
        <w:t>)</w:t>
      </w:r>
      <w:r w:rsidRPr="000D5890">
        <w:t xml:space="preserve"> vaccine with the Australian approved labels,</w:t>
      </w:r>
      <w:r>
        <w:t xml:space="preserve"> </w:t>
      </w:r>
      <w:r w:rsidRPr="000D5890">
        <w:t>PI and packaging (unless an exemption to supply these has been granted).</w:t>
      </w:r>
      <w:r>
        <w:t xml:space="preserve"> </w:t>
      </w:r>
      <w:r w:rsidRPr="000D5890">
        <w:t>Further consignments cover batches previously supplied to TGA for the purposes</w:t>
      </w:r>
      <w:r>
        <w:t xml:space="preserve"> </w:t>
      </w:r>
      <w:r w:rsidRPr="000D5890">
        <w:t>of batch release testing but are seeking to be supplied again.</w:t>
      </w:r>
    </w:p>
    <w:p w14:paraId="1891B774" w14:textId="01077F0E" w:rsidR="000D5890" w:rsidRPr="000D5890" w:rsidRDefault="000D5890" w:rsidP="000D5890">
      <w:pPr>
        <w:pStyle w:val="ListBullet2"/>
      </w:pPr>
      <w:r w:rsidRPr="000D5890">
        <w:t>If the manufacturing batch has been released in Europe or United Kingdom a copy</w:t>
      </w:r>
      <w:r>
        <w:t xml:space="preserve"> </w:t>
      </w:r>
      <w:r w:rsidRPr="000D5890">
        <w:t>of the EU Official Control Authority Batch Release (OCABR) certificate (or</w:t>
      </w:r>
      <w:r>
        <w:t xml:space="preserve"> </w:t>
      </w:r>
      <w:r w:rsidRPr="000D5890">
        <w:t>equivalent from the UK) must be provided.</w:t>
      </w:r>
    </w:p>
    <w:p w14:paraId="5562FBAC" w14:textId="3C3F042A" w:rsidR="000D5890" w:rsidRPr="000D5890" w:rsidRDefault="000D5890" w:rsidP="000D5890">
      <w:pPr>
        <w:pStyle w:val="ListBullet2"/>
      </w:pPr>
      <w:r w:rsidRPr="000D5890">
        <w:t>Any reagents, reference material and standards required to undertake testing, as</w:t>
      </w:r>
      <w:r>
        <w:t xml:space="preserve"> </w:t>
      </w:r>
      <w:r w:rsidRPr="000D5890">
        <w:t>requested by Laboratories Branch, TGA.</w:t>
      </w:r>
    </w:p>
    <w:p w14:paraId="2950133F" w14:textId="2BCCACF2" w:rsidR="000D5890" w:rsidRPr="000D5890" w:rsidRDefault="000D5890" w:rsidP="000D5890">
      <w:pPr>
        <w:pStyle w:val="ListBullet"/>
        <w:numPr>
          <w:ilvl w:val="0"/>
          <w:numId w:val="0"/>
        </w:numPr>
        <w:ind w:left="360"/>
      </w:pPr>
      <w:r w:rsidRPr="000D5890">
        <w:t>Sponsors must provide all requested samples and data in sufficient time (at least 5</w:t>
      </w:r>
      <w:r>
        <w:t xml:space="preserve"> </w:t>
      </w:r>
      <w:r w:rsidRPr="000D5890">
        <w:t>business days) prior to any distribution date to allow the TGA to perform testing and</w:t>
      </w:r>
      <w:r>
        <w:t xml:space="preserve"> </w:t>
      </w:r>
      <w:r w:rsidRPr="000D5890">
        <w:t>review. Distribution of each batch of vaccine is conditional upon fulfilment of these</w:t>
      </w:r>
      <w:r>
        <w:t xml:space="preserve"> </w:t>
      </w:r>
      <w:r w:rsidRPr="000D5890">
        <w:t>conditions and receipt of a letter from the Laboratories Branch acknowledging release.</w:t>
      </w:r>
    </w:p>
    <w:p w14:paraId="78831C80" w14:textId="0BAB3986" w:rsidR="000D5890" w:rsidRPr="000D5890" w:rsidRDefault="000D5890" w:rsidP="000D5890">
      <w:pPr>
        <w:pStyle w:val="ListBullet"/>
        <w:numPr>
          <w:ilvl w:val="0"/>
          <w:numId w:val="0"/>
        </w:numPr>
        <w:ind w:left="360"/>
      </w:pPr>
      <w:r w:rsidRPr="000D5890">
        <w:t>Samples and data should be forwarded to the Biotherapeutics Section, Laboratories</w:t>
      </w:r>
      <w:r>
        <w:t xml:space="preserve"> </w:t>
      </w:r>
      <w:r w:rsidRPr="000D5890">
        <w:t>Branch before release of each batch and with sufficient lead time to allow for</w:t>
      </w:r>
      <w:r>
        <w:t xml:space="preserve"> </w:t>
      </w:r>
      <w:r w:rsidRPr="000D5890">
        <w:t>Laboratories Branch testing.</w:t>
      </w:r>
    </w:p>
    <w:p w14:paraId="42AFE49F" w14:textId="176EC4C4" w:rsidR="000D5890" w:rsidRPr="000D5890" w:rsidRDefault="000D5890" w:rsidP="000D5890">
      <w:pPr>
        <w:pStyle w:val="ListBullet"/>
        <w:numPr>
          <w:ilvl w:val="0"/>
          <w:numId w:val="0"/>
        </w:numPr>
        <w:ind w:left="360"/>
      </w:pPr>
      <w:r w:rsidRPr="000D5890">
        <w:t>The shipments (including reagents) to TGA are the responsibility of the Australian</w:t>
      </w:r>
      <w:r>
        <w:t xml:space="preserve"> </w:t>
      </w:r>
      <w:r w:rsidRPr="000D5890">
        <w:t>sponsor/agent who will be required to facilitate the import and customs clearance</w:t>
      </w:r>
      <w:r>
        <w:t xml:space="preserve"> </w:t>
      </w:r>
      <w:r w:rsidRPr="000D5890">
        <w:t>process.</w:t>
      </w:r>
    </w:p>
    <w:p w14:paraId="780D85BF" w14:textId="77777777" w:rsidR="000D5890" w:rsidRPr="000D5890" w:rsidRDefault="000D5890" w:rsidP="000D5890">
      <w:pPr>
        <w:pStyle w:val="ListBullet"/>
        <w:numPr>
          <w:ilvl w:val="0"/>
          <w:numId w:val="0"/>
        </w:numPr>
        <w:ind w:left="360"/>
        <w:rPr>
          <w:b/>
          <w:bCs/>
        </w:rPr>
      </w:pPr>
      <w:r w:rsidRPr="000D5890">
        <w:rPr>
          <w:b/>
          <w:bCs/>
        </w:rPr>
        <w:t>Certified Product Details</w:t>
      </w:r>
    </w:p>
    <w:p w14:paraId="1ADE9EB0" w14:textId="2D94E887" w:rsidR="000D5890" w:rsidRPr="000D5890" w:rsidRDefault="000D5890" w:rsidP="000D5890">
      <w:pPr>
        <w:pStyle w:val="ListBullet"/>
        <w:numPr>
          <w:ilvl w:val="0"/>
          <w:numId w:val="0"/>
        </w:numPr>
        <w:ind w:left="360"/>
      </w:pPr>
      <w:r w:rsidRPr="000D5890">
        <w:t>An electronic copy of the Certified Product Details (CPD) as described in Guidance 7:</w:t>
      </w:r>
      <w:r>
        <w:t xml:space="preserve"> </w:t>
      </w:r>
      <w:r w:rsidRPr="000D5890">
        <w:t>Certified Product Details of the Australian Regulatory Guidelines for Prescription</w:t>
      </w:r>
      <w:r>
        <w:t xml:space="preserve"> </w:t>
      </w:r>
      <w:r w:rsidRPr="000D5890">
        <w:t xml:space="preserve">Medicines (ARGPM) </w:t>
      </w:r>
      <w:hyperlink r:id="rId52" w:history="1">
        <w:r w:rsidRPr="00D9295D">
          <w:rPr>
            <w:rStyle w:val="Hyperlink"/>
          </w:rPr>
          <w:t>https://www.tga.gov.au/guidance-7-certified-product-details</w:t>
        </w:r>
      </w:hyperlink>
      <w:r>
        <w:t xml:space="preserve"> </w:t>
      </w:r>
      <w:r w:rsidRPr="000D5890">
        <w:t>should be provided upon registration of the therapeutic good. In addition, an updated</w:t>
      </w:r>
      <w:r>
        <w:t xml:space="preserve"> </w:t>
      </w:r>
      <w:r w:rsidRPr="000D5890">
        <w:t>CPD, for the above products incorporating the approved changes is to be provided</w:t>
      </w:r>
      <w:r>
        <w:t xml:space="preserve"> </w:t>
      </w:r>
      <w:r w:rsidRPr="000D5890">
        <w:t>within one month of the date of approval letter. A template for preparation of CPD for</w:t>
      </w:r>
      <w:r>
        <w:t xml:space="preserve"> </w:t>
      </w:r>
      <w:r w:rsidRPr="000D5890">
        <w:t>biological prescription medicines and Vaccines can be obtained from the TGA website</w:t>
      </w:r>
      <w:r>
        <w:t xml:space="preserve"> </w:t>
      </w:r>
      <w:hyperlink r:id="rId53" w:history="1">
        <w:r w:rsidRPr="00D9295D">
          <w:rPr>
            <w:rStyle w:val="Hyperlink"/>
          </w:rPr>
          <w:t>https://www.tga.gov.au/form/certified-product-details-cpd-biological-prescriptionmedicines</w:t>
        </w:r>
      </w:hyperlink>
      <w:r w:rsidRPr="000D5890">
        <w:t>].</w:t>
      </w:r>
      <w:r>
        <w:t xml:space="preserve"> </w:t>
      </w:r>
      <w:r w:rsidRPr="000D5890">
        <w:t>The CPD should be sent as a single bookmarked PDF document to</w:t>
      </w:r>
      <w:r>
        <w:t xml:space="preserve"> </w:t>
      </w:r>
      <w:r w:rsidRPr="000D5890">
        <w:t>vaccines@health.gov.au as soon as possible after registration/approval of the product</w:t>
      </w:r>
      <w:r>
        <w:t xml:space="preserve"> </w:t>
      </w:r>
      <w:r w:rsidRPr="000D5890">
        <w:t>or any subsequent changes as indicated above.</w:t>
      </w:r>
    </w:p>
    <w:p w14:paraId="697A98A8" w14:textId="3CF09BBC" w:rsidR="000D5890" w:rsidRPr="000D5890" w:rsidRDefault="000D5890" w:rsidP="000D5890">
      <w:pPr>
        <w:pStyle w:val="ListBullet"/>
        <w:rPr>
          <w:b/>
          <w:bCs/>
        </w:rPr>
      </w:pPr>
      <w:r w:rsidRPr="000D5890">
        <w:rPr>
          <w:b/>
          <w:bCs/>
        </w:rPr>
        <w:t>Post approval commitments</w:t>
      </w:r>
    </w:p>
    <w:p w14:paraId="1F3F5341" w14:textId="3097ACFE" w:rsidR="000D5890" w:rsidRPr="000D5890" w:rsidRDefault="000D5890" w:rsidP="000D5890">
      <w:pPr>
        <w:pStyle w:val="ListBullet2"/>
        <w:rPr>
          <w:b/>
          <w:bCs/>
        </w:rPr>
      </w:pPr>
      <w:r w:rsidRPr="000D5890">
        <w:rPr>
          <w:b/>
          <w:bCs/>
        </w:rPr>
        <w:t>GMP clearance for listed manufacturers:</w:t>
      </w:r>
    </w:p>
    <w:p w14:paraId="044E0402" w14:textId="2FFB798D" w:rsidR="000D5890" w:rsidRPr="000D5890" w:rsidRDefault="000D5890" w:rsidP="000D5890">
      <w:pPr>
        <w:pStyle w:val="ListBullet2"/>
        <w:numPr>
          <w:ilvl w:val="0"/>
          <w:numId w:val="0"/>
        </w:numPr>
        <w:ind w:left="850"/>
      </w:pPr>
      <w:r w:rsidRPr="000D5890">
        <w:t>All relevant manufacturing sites require approved and current GMP clearances</w:t>
      </w:r>
      <w:r>
        <w:t xml:space="preserve"> </w:t>
      </w:r>
      <w:r w:rsidRPr="000D5890">
        <w:t>prior to Australian supply. A commitment is required from the sponsor that they</w:t>
      </w:r>
      <w:r>
        <w:t xml:space="preserve"> </w:t>
      </w:r>
      <w:r w:rsidRPr="000D5890">
        <w:t>maintain the validity of all manufacturer GMP clearances for the duration of</w:t>
      </w:r>
      <w:r>
        <w:t xml:space="preserve"> </w:t>
      </w:r>
      <w:r w:rsidRPr="000D5890">
        <w:t>product supply to Australia. Additionally, that adherence to the conditions of GMP</w:t>
      </w:r>
      <w:r>
        <w:t xml:space="preserve"> </w:t>
      </w:r>
      <w:r w:rsidRPr="000D5890">
        <w:t>clearance approval is upheld.</w:t>
      </w:r>
    </w:p>
    <w:p w14:paraId="3FFC8609" w14:textId="47D88569" w:rsidR="000D5890" w:rsidRPr="000D5890" w:rsidRDefault="000D5890" w:rsidP="000D5890">
      <w:pPr>
        <w:pStyle w:val="ListBullet2"/>
        <w:rPr>
          <w:b/>
          <w:bCs/>
        </w:rPr>
      </w:pPr>
      <w:r w:rsidRPr="000D5890">
        <w:rPr>
          <w:b/>
          <w:bCs/>
        </w:rPr>
        <w:t>Post-approval stability protocol and stability commitment:</w:t>
      </w:r>
    </w:p>
    <w:p w14:paraId="7EDFFE24" w14:textId="58643846" w:rsidR="000D5890" w:rsidRPr="000D5890" w:rsidRDefault="000D5890" w:rsidP="000D5890">
      <w:pPr>
        <w:pStyle w:val="ListBullet2"/>
        <w:numPr>
          <w:ilvl w:val="0"/>
          <w:numId w:val="0"/>
        </w:numPr>
        <w:ind w:left="850"/>
      </w:pPr>
      <w:r w:rsidRPr="000D5890">
        <w:t>The manufacturer has provided commitment to continue the ongoing stability</w:t>
      </w:r>
      <w:r>
        <w:t xml:space="preserve"> </w:t>
      </w:r>
      <w:r w:rsidRPr="000D5890">
        <w:t>studies presented in the stability studies protocol. Additionally, one (1) batch of</w:t>
      </w:r>
      <w:r>
        <w:t xml:space="preserve"> </w:t>
      </w:r>
      <w:r w:rsidRPr="000D5890">
        <w:t xml:space="preserve">drug product </w:t>
      </w:r>
      <w:r w:rsidRPr="000D5890">
        <w:lastRenderedPageBreak/>
        <w:t>per year for all relevant products will be placed on long-term stability</w:t>
      </w:r>
      <w:r>
        <w:t xml:space="preserve"> </w:t>
      </w:r>
      <w:r w:rsidRPr="000D5890">
        <w:t>program and on accelerated stability testing where significant changes are made to</w:t>
      </w:r>
      <w:r>
        <w:t xml:space="preserve"> </w:t>
      </w:r>
      <w:r w:rsidRPr="000D5890">
        <w:t>the manufacturing process. The manufacturer has committed to communicate any</w:t>
      </w:r>
      <w:r>
        <w:t xml:space="preserve"> </w:t>
      </w:r>
      <w:r w:rsidRPr="000D5890">
        <w:t>out of specifications stability test results to the TGA.</w:t>
      </w:r>
    </w:p>
    <w:p w14:paraId="451DC3FC" w14:textId="77777777" w:rsidR="00C22214" w:rsidRPr="00467BE8" w:rsidRDefault="00C22214" w:rsidP="00C22214">
      <w:pPr>
        <w:pStyle w:val="Heading2"/>
      </w:pPr>
      <w:bookmarkStart w:id="104" w:name="_Toc103679303"/>
      <w:bookmarkStart w:id="105" w:name="_Toc147997710"/>
      <w:r w:rsidRPr="00467BE8">
        <w:t>Attachment 1. Product Information</w:t>
      </w:r>
      <w:bookmarkEnd w:id="104"/>
      <w:bookmarkEnd w:id="105"/>
    </w:p>
    <w:p w14:paraId="21F47164" w14:textId="3020BE7E" w:rsidR="00C22214" w:rsidRPr="00467BE8" w:rsidRDefault="00C22214" w:rsidP="00C22214">
      <w:pPr>
        <w:rPr>
          <w:szCs w:val="22"/>
        </w:rPr>
      </w:pPr>
      <w:r w:rsidRPr="00467BE8">
        <w:rPr>
          <w:szCs w:val="22"/>
        </w:rPr>
        <w:t xml:space="preserve">The PI for </w:t>
      </w:r>
      <w:r w:rsidR="00282C14" w:rsidRPr="00467BE8">
        <w:rPr>
          <w:szCs w:val="22"/>
        </w:rPr>
        <w:t>Spikevax XBB.1.5</w:t>
      </w:r>
      <w:r w:rsidR="0055750D" w:rsidRPr="00467BE8">
        <w:rPr>
          <w:szCs w:val="22"/>
        </w:rPr>
        <w:t xml:space="preserve"> </w:t>
      </w:r>
      <w:r w:rsidRPr="00467BE8">
        <w:rPr>
          <w:szCs w:val="22"/>
        </w:rPr>
        <w:t xml:space="preserve">approved with the submission which is described in this AusPAR is at Attachment 1. For the most recent PI, please refer to the TGA </w:t>
      </w:r>
      <w:hyperlink r:id="rId54" w:history="1">
        <w:r w:rsidRPr="00467BE8">
          <w:rPr>
            <w:rStyle w:val="Hyperlink"/>
            <w:szCs w:val="22"/>
          </w:rPr>
          <w:t>PI/CMI search facility.</w:t>
        </w:r>
      </w:hyperlink>
    </w:p>
    <w:p w14:paraId="40740B65" w14:textId="77777777" w:rsidR="00C22214" w:rsidRPr="00467BE8" w:rsidRDefault="00C22214" w:rsidP="00C22214">
      <w:pPr>
        <w:autoSpaceDE w:val="0"/>
        <w:autoSpaceDN w:val="0"/>
        <w:adjustRightInd w:val="0"/>
        <w:spacing w:after="0"/>
      </w:pPr>
      <w:r w:rsidRPr="00467BE8">
        <w:rPr>
          <w:b/>
        </w:rPr>
        <w:br w:type="page"/>
      </w:r>
    </w:p>
    <w:p w14:paraId="53357BF3" w14:textId="276457B5" w:rsidR="00C22214" w:rsidRPr="00467BE8" w:rsidRDefault="00C22214" w:rsidP="00C22214">
      <w:pPr>
        <w:rPr>
          <w:lang w:eastAsia="ja-JP"/>
        </w:rPr>
        <w:sectPr w:rsidR="00C22214" w:rsidRPr="00467BE8" w:rsidSect="007452E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467BE8" w14:paraId="3C0C07BF" w14:textId="77777777" w:rsidTr="007452E8">
        <w:trPr>
          <w:trHeight w:hRule="exact" w:val="565"/>
          <w:jc w:val="center"/>
        </w:trPr>
        <w:tc>
          <w:tcPr>
            <w:tcW w:w="9145" w:type="dxa"/>
          </w:tcPr>
          <w:bookmarkEnd w:id="3"/>
          <w:bookmarkEnd w:id="4"/>
          <w:p w14:paraId="7E090B86" w14:textId="77777777" w:rsidR="00F02AEC" w:rsidRPr="00467BE8" w:rsidRDefault="00F02AEC" w:rsidP="007452E8">
            <w:pPr>
              <w:pStyle w:val="TGASignoff"/>
            </w:pPr>
            <w:r w:rsidRPr="00467BE8">
              <w:lastRenderedPageBreak/>
              <w:t>Therapeutic Goods Administration</w:t>
            </w:r>
          </w:p>
        </w:tc>
      </w:tr>
      <w:tr w:rsidR="00F02AEC" w:rsidRPr="00467BE8" w14:paraId="70F47EA1" w14:textId="77777777" w:rsidTr="007452E8">
        <w:trPr>
          <w:trHeight w:val="963"/>
          <w:jc w:val="center"/>
        </w:trPr>
        <w:tc>
          <w:tcPr>
            <w:tcW w:w="9145" w:type="dxa"/>
            <w:tcMar>
              <w:top w:w="28" w:type="dxa"/>
            </w:tcMar>
          </w:tcPr>
          <w:p w14:paraId="3491EBCD" w14:textId="77777777" w:rsidR="00F02AEC" w:rsidRPr="00467BE8" w:rsidRDefault="00F02AEC" w:rsidP="007452E8">
            <w:pPr>
              <w:pStyle w:val="Address"/>
              <w:jc w:val="center"/>
            </w:pPr>
            <w:r w:rsidRPr="00467BE8">
              <w:t>PO Box 100 Woden ACT 2606 Australia</w:t>
            </w:r>
          </w:p>
          <w:p w14:paraId="5D0FE0E7" w14:textId="014B6C8B" w:rsidR="00F02AEC" w:rsidRPr="00467BE8" w:rsidRDefault="00F02AEC">
            <w:pPr>
              <w:pStyle w:val="Address"/>
              <w:jc w:val="center"/>
              <w:rPr>
                <w:sz w:val="22"/>
                <w:szCs w:val="22"/>
              </w:rPr>
            </w:pPr>
            <w:r w:rsidRPr="00467BE8">
              <w:t xml:space="preserve">Email: </w:t>
            </w:r>
            <w:hyperlink r:id="rId55" w:history="1">
              <w:r w:rsidRPr="00467BE8">
                <w:rPr>
                  <w:rStyle w:val="Hyperlink"/>
                </w:rPr>
                <w:t>info@tga.gov.au</w:t>
              </w:r>
            </w:hyperlink>
            <w:r w:rsidRPr="00467BE8">
              <w:t xml:space="preserve">  Phone: 1800 020 </w:t>
            </w:r>
            <w:proofErr w:type="gramStart"/>
            <w:r w:rsidRPr="00467BE8">
              <w:t>653  Fax</w:t>
            </w:r>
            <w:proofErr w:type="gramEnd"/>
            <w:r w:rsidRPr="00467BE8">
              <w:t>: 02 6203 1605</w:t>
            </w:r>
          </w:p>
          <w:p w14:paraId="4533D80F" w14:textId="39BC7DD8" w:rsidR="00F02AEC" w:rsidRPr="00467BE8" w:rsidRDefault="005C0122">
            <w:pPr>
              <w:pStyle w:val="Address"/>
              <w:jc w:val="center"/>
              <w:rPr>
                <w:rStyle w:val="Hyperlink"/>
                <w:b/>
                <w:color w:val="auto"/>
                <w:sz w:val="22"/>
              </w:rPr>
            </w:pPr>
            <w:hyperlink r:id="rId56" w:history="1">
              <w:r w:rsidR="00F02AEC" w:rsidRPr="00467BE8">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467BE8">
              <w:t>Reference/Publication #</w:t>
            </w:r>
          </w:p>
        </w:tc>
      </w:tr>
    </w:tbl>
    <w:p w14:paraId="788B80FD" w14:textId="77777777" w:rsidR="007452E8" w:rsidRDefault="007452E8"/>
    <w:sectPr w:rsidR="007452E8" w:rsidSect="007452E8">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18903" w14:textId="77777777" w:rsidR="0041731A" w:rsidRDefault="0041731A" w:rsidP="00F02AEC">
      <w:pPr>
        <w:spacing w:after="0" w:line="240" w:lineRule="auto"/>
      </w:pPr>
      <w:r>
        <w:separator/>
      </w:r>
    </w:p>
  </w:endnote>
  <w:endnote w:type="continuationSeparator" w:id="0">
    <w:p w14:paraId="296249B9" w14:textId="77777777" w:rsidR="0041731A" w:rsidRDefault="0041731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C0122">
                <w:fldChar w:fldCharType="begin"/>
              </w:r>
              <w:r w:rsidR="005C0122">
                <w:instrText xml:space="preserve"> NUMPAGES  </w:instrText>
              </w:r>
              <w:r w:rsidR="005C0122">
                <w:fldChar w:fldCharType="separate"/>
              </w:r>
              <w:r>
                <w:rPr>
                  <w:noProof/>
                </w:rPr>
                <w:t>2</w:t>
              </w:r>
              <w:r w:rsidR="005C0122">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41FBBE7" w:rsidR="007452E8" w:rsidRPr="004A3084" w:rsidRDefault="007452E8" w:rsidP="007452E8">
          <w:pPr>
            <w:pStyle w:val="Footer"/>
          </w:pPr>
          <w:r w:rsidRPr="00487162">
            <w:t>AusPA</w:t>
          </w:r>
          <w:r>
            <w:t xml:space="preserve">R - </w:t>
          </w:r>
          <w:r w:rsidR="00282C14" w:rsidRPr="00282C14">
            <w:t xml:space="preserve">Spikevax XBB.1.5 </w:t>
          </w:r>
          <w:r>
            <w:t>-</w:t>
          </w:r>
          <w:r w:rsidRPr="00460036">
            <w:t xml:space="preserve"> </w:t>
          </w:r>
          <w:r w:rsidR="00282C14" w:rsidRPr="00282C14">
            <w:t xml:space="preserve">andusomeran </w:t>
          </w:r>
          <w:r w:rsidR="008C754C">
            <w:t>-</w:t>
          </w:r>
          <w:r>
            <w:t xml:space="preserve"> </w:t>
          </w:r>
          <w:r w:rsidR="00282C14" w:rsidRPr="00282C14">
            <w:t xml:space="preserve">Moderna Australia Pty Ltd </w:t>
          </w:r>
          <w:r>
            <w:t xml:space="preserve">- </w:t>
          </w:r>
          <w:r w:rsidR="00282C14" w:rsidRPr="00282C14">
            <w:t>PM-2023-03611-1-2</w:t>
          </w:r>
          <w:r>
            <w:br/>
          </w:r>
          <w:r w:rsidR="00C80C0B">
            <w:t>Final</w:t>
          </w:r>
          <w:r w:rsidRPr="00487162">
            <w:t xml:space="preserve"> </w:t>
          </w:r>
          <w:r w:rsidR="006B18F6">
            <w:t>1</w:t>
          </w:r>
          <w:r w:rsidR="008406B0">
            <w:t>2</w:t>
          </w:r>
          <w:r w:rsidR="00282C14">
            <w:t xml:space="preserve"> October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5C0122">
                <w:fldChar w:fldCharType="begin"/>
              </w:r>
              <w:r w:rsidR="005C0122">
                <w:instrText xml:space="preserve"> NUMPAGES  </w:instrText>
              </w:r>
              <w:r w:rsidR="005C0122">
                <w:fldChar w:fldCharType="separate"/>
              </w:r>
              <w:r w:rsidR="006D6B44">
                <w:rPr>
                  <w:noProof/>
                </w:rPr>
                <w:t>17</w:t>
              </w:r>
              <w:r w:rsidR="005C0122">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886E0" w14:textId="77777777" w:rsidR="0041731A" w:rsidRDefault="0041731A" w:rsidP="00F02AEC">
      <w:pPr>
        <w:spacing w:after="0" w:line="240" w:lineRule="auto"/>
      </w:pPr>
      <w:r>
        <w:separator/>
      </w:r>
    </w:p>
  </w:footnote>
  <w:footnote w:type="continuationSeparator" w:id="0">
    <w:p w14:paraId="0E51BBD2" w14:textId="77777777" w:rsidR="0041731A" w:rsidRDefault="0041731A" w:rsidP="00F02AEC">
      <w:pPr>
        <w:spacing w:after="0" w:line="240" w:lineRule="auto"/>
      </w:pPr>
      <w:r>
        <w:continuationSeparator/>
      </w:r>
    </w:p>
  </w:footnote>
  <w:footnote w:id="1">
    <w:p w14:paraId="4A0FA1EC" w14:textId="7F77717C" w:rsidR="001A219D" w:rsidRDefault="001A219D">
      <w:pPr>
        <w:pStyle w:val="FootnoteText"/>
      </w:pPr>
      <w:r>
        <w:rPr>
          <w:rStyle w:val="FootnoteReference"/>
        </w:rPr>
        <w:footnoteRef/>
      </w:r>
      <w:r>
        <w:t xml:space="preserve"> </w:t>
      </w:r>
      <w:hyperlink r:id="rId1" w:history="1">
        <w:r w:rsidR="00E376AE" w:rsidRPr="00E376AE">
          <w:rPr>
            <w:rStyle w:val="Hyperlink"/>
          </w:rPr>
          <w:t>AusPAR: Spikevax</w:t>
        </w:r>
        <w:r w:rsidR="00E376AE">
          <w:rPr>
            <w:rStyle w:val="Hyperlink"/>
          </w:rPr>
          <w:t xml:space="preserve"> (</w:t>
        </w:r>
        <w:r w:rsidR="00E376AE" w:rsidRPr="00E376AE">
          <w:rPr>
            <w:rStyle w:val="Hyperlink"/>
          </w:rPr>
          <w:t>elasomeran</w:t>
        </w:r>
        <w:r w:rsidR="00E376AE">
          <w:rPr>
            <w:rStyle w:val="Hyperlink"/>
          </w:rPr>
          <w:t>)</w:t>
        </w:r>
        <w:r w:rsidR="00E376AE" w:rsidRPr="00E376AE">
          <w:rPr>
            <w:rStyle w:val="Hyperlink"/>
          </w:rPr>
          <w:t xml:space="preserve"> Moderna Australia Pty Ltd</w:t>
        </w:r>
        <w:r w:rsidR="00E376AE">
          <w:rPr>
            <w:rStyle w:val="Hyperlink"/>
          </w:rPr>
          <w:t xml:space="preserve">, </w:t>
        </w:r>
        <w:r w:rsidR="00E376AE" w:rsidRPr="00E376AE">
          <w:rPr>
            <w:rStyle w:val="Hyperlink"/>
          </w:rPr>
          <w:t>PM-2022-05374-1-2</w:t>
        </w:r>
      </w:hyperlink>
      <w:r w:rsidR="00E376AE">
        <w:t>,</w:t>
      </w:r>
      <w:r w:rsidR="00E376AE" w:rsidRPr="00E376AE">
        <w:t xml:space="preserve"> </w:t>
      </w:r>
      <w:r w:rsidR="00E376AE">
        <w:t>t</w:t>
      </w:r>
      <w:r w:rsidR="00E376AE" w:rsidRPr="00E376AE">
        <w:t xml:space="preserve">ransition from provisional registration to full </w:t>
      </w:r>
      <w:r w:rsidR="00E376AE">
        <w:t xml:space="preserve">registration, published on </w:t>
      </w:r>
      <w:r w:rsidR="00E376AE" w:rsidRPr="00E376AE">
        <w:t>11 May 2023</w:t>
      </w:r>
      <w:r w:rsidR="00E376AE">
        <w:t>.</w:t>
      </w:r>
    </w:p>
  </w:footnote>
  <w:footnote w:id="2">
    <w:p w14:paraId="1F0B1BE5" w14:textId="77777777" w:rsidR="00935529" w:rsidRDefault="00935529" w:rsidP="00935529">
      <w:pPr>
        <w:pStyle w:val="FootnoteText"/>
        <w:rPr>
          <w:lang w:val="en-GB"/>
        </w:rPr>
      </w:pPr>
      <w:r>
        <w:rPr>
          <w:rStyle w:val="FootnoteReference"/>
        </w:rPr>
        <w:footnoteRef/>
      </w:r>
      <w:r>
        <w:t xml:space="preserve"> This is the original dose regime proposed by the sponsor</w:t>
      </w:r>
      <w:r>
        <w:rPr>
          <w:lang w:val="en-GB"/>
        </w:rPr>
        <w:t xml:space="preserve"> when the TGA commenced the evaluation of this submission. It may differ to the final dose regimen approved by the TGA.</w:t>
      </w:r>
    </w:p>
  </w:footnote>
  <w:footnote w:id="3">
    <w:p w14:paraId="0E3626F2" w14:textId="39AFDE07" w:rsidR="00282C14" w:rsidRDefault="00282C14" w:rsidP="00282C14">
      <w:pPr>
        <w:pStyle w:val="FootnoteText"/>
      </w:pPr>
      <w:r>
        <w:rPr>
          <w:rStyle w:val="FootnoteReference"/>
        </w:rPr>
        <w:footnoteRef/>
      </w:r>
      <w:r>
        <w:t xml:space="preserve"> </w:t>
      </w:r>
      <w:r w:rsidR="00E376AE">
        <w:t>Centers for Disease Control and Prevention (CDC),</w:t>
      </w:r>
      <w:r w:rsidR="00E376AE" w:rsidRPr="00E376AE">
        <w:t xml:space="preserve"> </w:t>
      </w:r>
      <w:hyperlink r:id="rId2" w:history="1">
        <w:r w:rsidR="00E376AE" w:rsidRPr="00E376AE">
          <w:rPr>
            <w:rStyle w:val="Hyperlink"/>
          </w:rPr>
          <w:t>Benefits of Getting A COVID-19 Vaccine</w:t>
        </w:r>
      </w:hyperlink>
      <w:r w:rsidR="00E376AE">
        <w:t xml:space="preserve">, </w:t>
      </w:r>
      <w:r w:rsidR="00E376AE" w:rsidRPr="00E376AE">
        <w:t>Updated 22</w:t>
      </w:r>
      <w:r w:rsidR="00E376AE">
        <w:t xml:space="preserve"> September </w:t>
      </w:r>
      <w:r w:rsidR="00E376AE" w:rsidRPr="00E376AE">
        <w:t>2023</w:t>
      </w:r>
      <w:r w:rsidR="00E376AE">
        <w:t>.</w:t>
      </w:r>
    </w:p>
  </w:footnote>
  <w:footnote w:id="4">
    <w:p w14:paraId="7C2F8A3D" w14:textId="1088815F" w:rsidR="00852E0E" w:rsidRDefault="00852E0E" w:rsidP="00E376AE">
      <w:pPr>
        <w:pStyle w:val="FootnoteText"/>
      </w:pPr>
      <w:r>
        <w:rPr>
          <w:rStyle w:val="FootnoteReference"/>
        </w:rPr>
        <w:footnoteRef/>
      </w:r>
      <w:r>
        <w:t xml:space="preserve"> </w:t>
      </w:r>
      <w:r w:rsidR="00E376AE">
        <w:t xml:space="preserve">Department of Health and Aged Care, </w:t>
      </w:r>
      <w:hyperlink r:id="rId3" w:history="1">
        <w:r w:rsidR="00E376AE" w:rsidRPr="00E376AE">
          <w:rPr>
            <w:rStyle w:val="Hyperlink"/>
          </w:rPr>
          <w:t>Weekly COVID-19 Reporting</w:t>
        </w:r>
      </w:hyperlink>
      <w:r w:rsidR="00E376AE">
        <w:t>, updated 6 October 2023</w:t>
      </w:r>
      <w:r w:rsidR="00A36BF1">
        <w:t xml:space="preserve">, </w:t>
      </w:r>
      <w:r w:rsidR="00E376AE">
        <w:t>a</w:t>
      </w:r>
      <w:r>
        <w:t xml:space="preserve">ccessed </w:t>
      </w:r>
      <w:r w:rsidR="00E376AE">
        <w:t>6 October 2023</w:t>
      </w:r>
      <w:r>
        <w:t>.</w:t>
      </w:r>
    </w:p>
  </w:footnote>
  <w:footnote w:id="5">
    <w:p w14:paraId="2A76E05D" w14:textId="010B6290" w:rsidR="002B2232" w:rsidRDefault="002B2232">
      <w:pPr>
        <w:pStyle w:val="FootnoteText"/>
      </w:pPr>
      <w:r>
        <w:rPr>
          <w:rStyle w:val="FootnoteReference"/>
        </w:rPr>
        <w:footnoteRef/>
      </w:r>
      <w:r>
        <w:t xml:space="preserve"> </w:t>
      </w:r>
      <w:r w:rsidR="00E376AE" w:rsidRPr="00E376AE">
        <w:rPr>
          <w:b/>
          <w:bCs/>
        </w:rPr>
        <w:t>Good Manufacturing Practice (GMP)</w:t>
      </w:r>
      <w:r w:rsidR="00E376AE" w:rsidRPr="00E376AE">
        <w:t xml:space="preserve"> is a code of standards that describes a set of principles and procedures that when followed helps ensure that therapeutic goods are of high quality.</w:t>
      </w:r>
    </w:p>
  </w:footnote>
  <w:footnote w:id="6">
    <w:p w14:paraId="10BDAB19" w14:textId="453881EB" w:rsidR="002B2232" w:rsidRDefault="002B2232">
      <w:pPr>
        <w:pStyle w:val="FootnoteText"/>
      </w:pPr>
      <w:r>
        <w:rPr>
          <w:rStyle w:val="FootnoteReference"/>
        </w:rPr>
        <w:footnoteRef/>
      </w:r>
      <w:r>
        <w:t xml:space="preserve"> </w:t>
      </w:r>
      <w:r w:rsidRPr="00E376AE">
        <w:rPr>
          <w:b/>
          <w:bCs/>
        </w:rPr>
        <w:t>AUST R</w:t>
      </w:r>
      <w:r>
        <w:t xml:space="preserve"> </w:t>
      </w:r>
      <w:r w:rsidRPr="002B2232">
        <w:t>identifies the product on the Australian Register of Therapeutic Goods (ARTG). It is also known as the ARTG ID or the registration or listing number.</w:t>
      </w:r>
      <w:r>
        <w:t xml:space="preserve"> </w:t>
      </w:r>
      <w:r w:rsidRPr="002B2232">
        <w:t>All medicines included in the ARTG must include the relevant AUST R.</w:t>
      </w:r>
    </w:p>
  </w:footnote>
  <w:footnote w:id="7">
    <w:p w14:paraId="1441937E" w14:textId="540A9E8E" w:rsidR="00486FE9" w:rsidRDefault="00486FE9">
      <w:pPr>
        <w:pStyle w:val="FootnoteText"/>
      </w:pPr>
      <w:r>
        <w:rPr>
          <w:rStyle w:val="FootnoteReference"/>
        </w:rPr>
        <w:footnoteRef/>
      </w:r>
      <w:r>
        <w:t xml:space="preserve"> </w:t>
      </w:r>
      <w:r w:rsidRPr="00486FE9">
        <w:t>mRNA-1273</w:t>
      </w:r>
      <w:r>
        <w:t xml:space="preserve">: </w:t>
      </w:r>
      <w:r w:rsidR="007834FE" w:rsidRPr="00AE0305">
        <w:t xml:space="preserve">Spikevax </w:t>
      </w:r>
      <w:r>
        <w:t>(original) monovalent vaccine</w:t>
      </w:r>
      <w:r w:rsidR="007834FE">
        <w:t xml:space="preserve"> (Registered on ARTG)</w:t>
      </w:r>
    </w:p>
    <w:p w14:paraId="36718F85" w14:textId="2198483B" w:rsidR="00707D7B" w:rsidRDefault="00707D7B">
      <w:pPr>
        <w:pStyle w:val="FootnoteText"/>
      </w:pPr>
      <w:r w:rsidRPr="00707D7B">
        <w:t>mRNA-1273.045: Omicron BA.4/</w:t>
      </w:r>
      <w:r>
        <w:t>5</w:t>
      </w:r>
    </w:p>
    <w:p w14:paraId="6A17D599" w14:textId="66AF763A" w:rsidR="00707D7B" w:rsidRDefault="00707D7B">
      <w:pPr>
        <w:pStyle w:val="FootnoteText"/>
      </w:pPr>
      <w:r w:rsidRPr="00707D7B">
        <w:t>mRNA-1273.116: Omicron XBB.1.16</w:t>
      </w:r>
    </w:p>
    <w:p w14:paraId="121189B5" w14:textId="395E78A1" w:rsidR="007834FE" w:rsidRDefault="00486FE9" w:rsidP="00486FE9">
      <w:pPr>
        <w:pStyle w:val="FootnoteText"/>
      </w:pPr>
      <w:r>
        <w:t xml:space="preserve">mRNA-1273.222: </w:t>
      </w:r>
      <w:r w:rsidR="00AE0305" w:rsidRPr="00AE0305">
        <w:t>Spikevax Bivalent Original/Omicron BA.4</w:t>
      </w:r>
      <w:r w:rsidR="007834FE">
        <w:t>-</w:t>
      </w:r>
      <w:r w:rsidR="00AE0305" w:rsidRPr="00AE0305">
        <w:t>5</w:t>
      </w:r>
      <w:r w:rsidR="007834FE">
        <w:t xml:space="preserve"> (Registered on ARTG)</w:t>
      </w:r>
    </w:p>
    <w:p w14:paraId="54830735" w14:textId="4DBB0064" w:rsidR="00486FE9" w:rsidRDefault="00486FE9" w:rsidP="00486FE9">
      <w:pPr>
        <w:pStyle w:val="FootnoteText"/>
      </w:pPr>
      <w:r>
        <w:t>mRNA 1273.231: Omicron BA.4/5 and XBB.1.5/XBB.1.9.1 bivalent vaccine</w:t>
      </w:r>
    </w:p>
    <w:p w14:paraId="1A0AE588" w14:textId="6BF85C1E" w:rsidR="00707D7B" w:rsidRDefault="00707D7B" w:rsidP="00486FE9">
      <w:pPr>
        <w:pStyle w:val="FootnoteText"/>
      </w:pPr>
      <w:r w:rsidRPr="00707D7B">
        <w:t>mRNA-1273.234: Omicron BA.4/5 and XBB.1.16.</w:t>
      </w:r>
    </w:p>
    <w:p w14:paraId="15396F4B" w14:textId="186EE5B6" w:rsidR="00486FE9" w:rsidRPr="003542DC" w:rsidRDefault="00486FE9" w:rsidP="00486FE9">
      <w:pPr>
        <w:pStyle w:val="FootnoteText"/>
      </w:pPr>
      <w:r w:rsidRPr="003542DC">
        <w:t>mRNA-1273.815: Omicron XBB.1.5</w:t>
      </w:r>
    </w:p>
  </w:footnote>
  <w:footnote w:id="8">
    <w:p w14:paraId="18544707" w14:textId="5E031806" w:rsidR="002B2232" w:rsidRDefault="002B2232">
      <w:pPr>
        <w:pStyle w:val="FootnoteText"/>
      </w:pPr>
      <w:r>
        <w:rPr>
          <w:rStyle w:val="FootnoteReference"/>
        </w:rPr>
        <w:footnoteRef/>
      </w:r>
      <w:r>
        <w:t xml:space="preserve"> </w:t>
      </w:r>
      <w:r w:rsidR="00E06F42" w:rsidRPr="00E06F42">
        <w:t xml:space="preserve">The </w:t>
      </w:r>
      <w:r w:rsidR="00E06F42" w:rsidRPr="00E06F42">
        <w:rPr>
          <w:b/>
          <w:bCs/>
        </w:rPr>
        <w:t>per-protocol (PP)</w:t>
      </w:r>
      <w:r w:rsidR="00E06F42" w:rsidRPr="00E06F42">
        <w:t xml:space="preserve"> analysis is restricted to the participants who strictly adhered to the protocol. Also known as ‘on-treatment’ analysis</w:t>
      </w:r>
      <w:r w:rsidR="00E06F42">
        <w:t>.</w:t>
      </w:r>
    </w:p>
  </w:footnote>
  <w:footnote w:id="9">
    <w:p w14:paraId="4111BCD9" w14:textId="28D58EDE" w:rsidR="0041016E" w:rsidRDefault="0041016E">
      <w:pPr>
        <w:pStyle w:val="FootnoteText"/>
      </w:pPr>
      <w:r>
        <w:rPr>
          <w:rStyle w:val="FootnoteReference"/>
        </w:rPr>
        <w:footnoteRef/>
      </w:r>
      <w:r>
        <w:t xml:space="preserve"> </w:t>
      </w:r>
      <w:r w:rsidR="00E06F42">
        <w:t xml:space="preserve">S </w:t>
      </w:r>
      <w:r w:rsidRPr="0041016E">
        <w:t xml:space="preserve">Chalkias et al, </w:t>
      </w:r>
      <w:r w:rsidR="00E06F42">
        <w:t>‘</w:t>
      </w:r>
      <w:r w:rsidR="00E06F42" w:rsidRPr="00E06F42">
        <w:t>Safety and Immunogenicity of Omicron BA.4/BA.5 Bivalent Vaccine Against Covid-19</w:t>
      </w:r>
      <w:r w:rsidR="00E06F42">
        <w:t xml:space="preserve">’, </w:t>
      </w:r>
      <w:r w:rsidRPr="00E06F42">
        <w:rPr>
          <w:i/>
          <w:iCs/>
        </w:rPr>
        <w:t>MedRxiv</w:t>
      </w:r>
      <w:r w:rsidRPr="0041016E">
        <w:t xml:space="preserve">, 2022, </w:t>
      </w:r>
      <w:hyperlink r:id="rId4" w:history="1">
        <w:r w:rsidR="00E06F42" w:rsidRPr="00D9295D">
          <w:rPr>
            <w:rStyle w:val="Hyperlink"/>
          </w:rPr>
          <w:t>https://doi.org/10.1101/2022.12.11.22283166</w:t>
        </w:r>
      </w:hyperlink>
      <w:r w:rsidR="00E06F42">
        <w:t>.</w:t>
      </w:r>
    </w:p>
  </w:footnote>
  <w:footnote w:id="10">
    <w:p w14:paraId="43AE1AA0" w14:textId="0B496607" w:rsidR="003E3376" w:rsidRDefault="003E3376">
      <w:pPr>
        <w:pStyle w:val="FootnoteText"/>
      </w:pPr>
      <w:r>
        <w:rPr>
          <w:rStyle w:val="FootnoteReference"/>
        </w:rPr>
        <w:footnoteRef/>
      </w:r>
      <w:r>
        <w:t xml:space="preserve"> </w:t>
      </w:r>
      <w:r w:rsidRPr="003E3376">
        <w:t xml:space="preserve">S </w:t>
      </w:r>
      <w:r w:rsidRPr="003E3376">
        <w:t xml:space="preserve">Chalkias et al, ‘Safety and Immunogenicity of XBB.1.5-Containing mRNA Vaccines’, </w:t>
      </w:r>
      <w:r w:rsidRPr="00C80C0B">
        <w:rPr>
          <w:i/>
          <w:iCs/>
        </w:rPr>
        <w:t>MedRxiv</w:t>
      </w:r>
      <w:r w:rsidRPr="003E3376">
        <w:t>, 202</w:t>
      </w:r>
      <w:r>
        <w:t>3</w:t>
      </w:r>
      <w:r w:rsidRPr="003E3376">
        <w:t>, doi: https://doi.org/10.1101/2023.08.22.23293434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C0122"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5A57C242">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24D4D25F">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73C43437">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792027"/>
    <w:multiLevelType w:val="hybridMultilevel"/>
    <w:tmpl w:val="C700DCCE"/>
    <w:lvl w:ilvl="0" w:tplc="FFFFFFFF">
      <w:start w:val="1"/>
      <w:numFmt w:val="decimal"/>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D0739E4"/>
    <w:multiLevelType w:val="hybridMultilevel"/>
    <w:tmpl w:val="883E1A4C"/>
    <w:lvl w:ilvl="0" w:tplc="47D079F6">
      <w:start w:val="1"/>
      <w:numFmt w:val="decimal"/>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713B4D"/>
    <w:multiLevelType w:val="hybridMultilevel"/>
    <w:tmpl w:val="635C3E4E"/>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35435C0"/>
    <w:multiLevelType w:val="hybridMultilevel"/>
    <w:tmpl w:val="A118B4B0"/>
    <w:lvl w:ilvl="0" w:tplc="23967E9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CF7399"/>
    <w:multiLevelType w:val="hybridMultilevel"/>
    <w:tmpl w:val="142C2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F25D2D"/>
    <w:multiLevelType w:val="hybridMultilevel"/>
    <w:tmpl w:val="8FA058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6F073EF4"/>
    <w:multiLevelType w:val="hybridMultilevel"/>
    <w:tmpl w:val="D59A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6C3D10"/>
    <w:multiLevelType w:val="hybridMultilevel"/>
    <w:tmpl w:val="B7326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746C93"/>
    <w:multiLevelType w:val="hybridMultilevel"/>
    <w:tmpl w:val="5D08892A"/>
    <w:lvl w:ilvl="0" w:tplc="A9B4F828">
      <w:start w:val="1"/>
      <w:numFmt w:val="decimal"/>
      <w:lvlText w:val="%1."/>
      <w:lvlJc w:val="left"/>
      <w:pPr>
        <w:ind w:left="720" w:hanging="360"/>
      </w:pPr>
      <w:rPr>
        <w:rFonts w:hint="default"/>
        <w:b w:val="0"/>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8F9357D"/>
    <w:multiLevelType w:val="hybridMultilevel"/>
    <w:tmpl w:val="8C96E4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7C9E1583"/>
    <w:multiLevelType w:val="hybridMultilevel"/>
    <w:tmpl w:val="23804CB0"/>
    <w:lvl w:ilvl="0" w:tplc="727A2A6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2546286">
    <w:abstractNumId w:val="4"/>
  </w:num>
  <w:num w:numId="2" w16cid:durableId="1868178201">
    <w:abstractNumId w:val="2"/>
  </w:num>
  <w:num w:numId="3" w16cid:durableId="243343128">
    <w:abstractNumId w:val="3"/>
  </w:num>
  <w:num w:numId="4" w16cid:durableId="1508056982">
    <w:abstractNumId w:val="11"/>
  </w:num>
  <w:num w:numId="5" w16cid:durableId="723912263">
    <w:abstractNumId w:val="7"/>
  </w:num>
  <w:num w:numId="6" w16cid:durableId="74672646">
    <w:abstractNumId w:val="10"/>
  </w:num>
  <w:num w:numId="7" w16cid:durableId="35534649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354110202">
    <w:abstractNumId w:val="13"/>
  </w:num>
  <w:num w:numId="9" w16cid:durableId="74933883">
    <w:abstractNumId w:val="16"/>
  </w:num>
  <w:num w:numId="10" w16cid:durableId="1244297119">
    <w:abstractNumId w:val="14"/>
  </w:num>
  <w:num w:numId="11" w16cid:durableId="1753425820">
    <w:abstractNumId w:val="9"/>
  </w:num>
  <w:num w:numId="12" w16cid:durableId="1787700282">
    <w:abstractNumId w:val="1"/>
  </w:num>
  <w:num w:numId="13" w16cid:durableId="1994750369">
    <w:abstractNumId w:val="12"/>
  </w:num>
  <w:num w:numId="14" w16cid:durableId="1572501896">
    <w:abstractNumId w:val="0"/>
  </w:num>
  <w:num w:numId="15" w16cid:durableId="961813748">
    <w:abstractNumId w:val="6"/>
  </w:num>
  <w:num w:numId="16" w16cid:durableId="67388576">
    <w:abstractNumId w:val="5"/>
  </w:num>
  <w:num w:numId="17" w16cid:durableId="2060012778">
    <w:abstractNumId w:val="8"/>
  </w:num>
  <w:num w:numId="18" w16cid:durableId="1807384433">
    <w:abstractNumId w:val="15"/>
  </w:num>
  <w:num w:numId="19" w16cid:durableId="19459139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22F7"/>
    <w:rsid w:val="00021CFD"/>
    <w:rsid w:val="00077844"/>
    <w:rsid w:val="00094B81"/>
    <w:rsid w:val="000975AA"/>
    <w:rsid w:val="000A04ED"/>
    <w:rsid w:val="000A373B"/>
    <w:rsid w:val="000D5890"/>
    <w:rsid w:val="000D7934"/>
    <w:rsid w:val="00101FB1"/>
    <w:rsid w:val="0012473C"/>
    <w:rsid w:val="0013132F"/>
    <w:rsid w:val="0013528C"/>
    <w:rsid w:val="00151D8A"/>
    <w:rsid w:val="00165D28"/>
    <w:rsid w:val="00175CD8"/>
    <w:rsid w:val="001832F6"/>
    <w:rsid w:val="001A219D"/>
    <w:rsid w:val="001C1C2E"/>
    <w:rsid w:val="001F659A"/>
    <w:rsid w:val="0020369B"/>
    <w:rsid w:val="00226F39"/>
    <w:rsid w:val="00241B60"/>
    <w:rsid w:val="00282218"/>
    <w:rsid w:val="00282C14"/>
    <w:rsid w:val="002B2232"/>
    <w:rsid w:val="002C5E29"/>
    <w:rsid w:val="002D7127"/>
    <w:rsid w:val="003008D8"/>
    <w:rsid w:val="00303959"/>
    <w:rsid w:val="00312AC3"/>
    <w:rsid w:val="00314430"/>
    <w:rsid w:val="00324B33"/>
    <w:rsid w:val="00346EC2"/>
    <w:rsid w:val="003542DC"/>
    <w:rsid w:val="0035444D"/>
    <w:rsid w:val="00362F92"/>
    <w:rsid w:val="00395140"/>
    <w:rsid w:val="003B149C"/>
    <w:rsid w:val="003C62F2"/>
    <w:rsid w:val="003D529F"/>
    <w:rsid w:val="003D71A1"/>
    <w:rsid w:val="003E3376"/>
    <w:rsid w:val="00402FB8"/>
    <w:rsid w:val="0041016E"/>
    <w:rsid w:val="0041688F"/>
    <w:rsid w:val="0041731A"/>
    <w:rsid w:val="0042376F"/>
    <w:rsid w:val="004246B8"/>
    <w:rsid w:val="00427C60"/>
    <w:rsid w:val="00433318"/>
    <w:rsid w:val="0044305E"/>
    <w:rsid w:val="004473FB"/>
    <w:rsid w:val="00467BE8"/>
    <w:rsid w:val="00477C4E"/>
    <w:rsid w:val="00483A79"/>
    <w:rsid w:val="00486FE9"/>
    <w:rsid w:val="00491A55"/>
    <w:rsid w:val="004B3081"/>
    <w:rsid w:val="00535DFE"/>
    <w:rsid w:val="0054045B"/>
    <w:rsid w:val="005442F8"/>
    <w:rsid w:val="0055750D"/>
    <w:rsid w:val="00562F42"/>
    <w:rsid w:val="0056766D"/>
    <w:rsid w:val="00574393"/>
    <w:rsid w:val="0058575E"/>
    <w:rsid w:val="0058783C"/>
    <w:rsid w:val="005911AE"/>
    <w:rsid w:val="0059313A"/>
    <w:rsid w:val="005B023F"/>
    <w:rsid w:val="005B3CCC"/>
    <w:rsid w:val="005C0122"/>
    <w:rsid w:val="005D2089"/>
    <w:rsid w:val="005D7514"/>
    <w:rsid w:val="005E0C31"/>
    <w:rsid w:val="005E1A7B"/>
    <w:rsid w:val="00624A68"/>
    <w:rsid w:val="006277A1"/>
    <w:rsid w:val="006351D9"/>
    <w:rsid w:val="00637130"/>
    <w:rsid w:val="00637F0E"/>
    <w:rsid w:val="006423F2"/>
    <w:rsid w:val="00662EBA"/>
    <w:rsid w:val="0067267E"/>
    <w:rsid w:val="00692CCD"/>
    <w:rsid w:val="006A1F0B"/>
    <w:rsid w:val="006A277A"/>
    <w:rsid w:val="006B18F6"/>
    <w:rsid w:val="006D679E"/>
    <w:rsid w:val="006D6B44"/>
    <w:rsid w:val="006F1D22"/>
    <w:rsid w:val="007072A1"/>
    <w:rsid w:val="00707D7B"/>
    <w:rsid w:val="00710BC5"/>
    <w:rsid w:val="0072003B"/>
    <w:rsid w:val="00734577"/>
    <w:rsid w:val="007357B9"/>
    <w:rsid w:val="007452E8"/>
    <w:rsid w:val="00746990"/>
    <w:rsid w:val="00746FD1"/>
    <w:rsid w:val="00750D70"/>
    <w:rsid w:val="00751BEC"/>
    <w:rsid w:val="0076092D"/>
    <w:rsid w:val="00763EFA"/>
    <w:rsid w:val="007834FE"/>
    <w:rsid w:val="0079178C"/>
    <w:rsid w:val="00793272"/>
    <w:rsid w:val="0079764B"/>
    <w:rsid w:val="007B04DE"/>
    <w:rsid w:val="007C50F1"/>
    <w:rsid w:val="007C57BC"/>
    <w:rsid w:val="007D4138"/>
    <w:rsid w:val="007D5F93"/>
    <w:rsid w:val="007F0A77"/>
    <w:rsid w:val="007F50D3"/>
    <w:rsid w:val="00805040"/>
    <w:rsid w:val="008329DB"/>
    <w:rsid w:val="008361C5"/>
    <w:rsid w:val="0083628F"/>
    <w:rsid w:val="00837AB9"/>
    <w:rsid w:val="008406B0"/>
    <w:rsid w:val="00850637"/>
    <w:rsid w:val="0085122B"/>
    <w:rsid w:val="00852E0E"/>
    <w:rsid w:val="00854D98"/>
    <w:rsid w:val="00860B29"/>
    <w:rsid w:val="00863172"/>
    <w:rsid w:val="008804CF"/>
    <w:rsid w:val="008964B3"/>
    <w:rsid w:val="008C49C6"/>
    <w:rsid w:val="008C754C"/>
    <w:rsid w:val="008D6A54"/>
    <w:rsid w:val="008D78E0"/>
    <w:rsid w:val="0090605E"/>
    <w:rsid w:val="009108CE"/>
    <w:rsid w:val="00915A9F"/>
    <w:rsid w:val="00930D58"/>
    <w:rsid w:val="00934248"/>
    <w:rsid w:val="00935529"/>
    <w:rsid w:val="00947534"/>
    <w:rsid w:val="00966EF1"/>
    <w:rsid w:val="00972604"/>
    <w:rsid w:val="0098350E"/>
    <w:rsid w:val="009862B1"/>
    <w:rsid w:val="00996FA5"/>
    <w:rsid w:val="009E6F8C"/>
    <w:rsid w:val="009F1527"/>
    <w:rsid w:val="00A01C56"/>
    <w:rsid w:val="00A358E7"/>
    <w:rsid w:val="00A36BF1"/>
    <w:rsid w:val="00A51A2D"/>
    <w:rsid w:val="00A63D9B"/>
    <w:rsid w:val="00A70EA9"/>
    <w:rsid w:val="00A93DC6"/>
    <w:rsid w:val="00AB7CBF"/>
    <w:rsid w:val="00AE0305"/>
    <w:rsid w:val="00AE1947"/>
    <w:rsid w:val="00B30325"/>
    <w:rsid w:val="00B320C1"/>
    <w:rsid w:val="00B45912"/>
    <w:rsid w:val="00B46BC0"/>
    <w:rsid w:val="00B55681"/>
    <w:rsid w:val="00B967FF"/>
    <w:rsid w:val="00BA1694"/>
    <w:rsid w:val="00BA7F7D"/>
    <w:rsid w:val="00BB1C14"/>
    <w:rsid w:val="00BD07DF"/>
    <w:rsid w:val="00BD5DBD"/>
    <w:rsid w:val="00BF4638"/>
    <w:rsid w:val="00C07551"/>
    <w:rsid w:val="00C20874"/>
    <w:rsid w:val="00C22214"/>
    <w:rsid w:val="00C3166E"/>
    <w:rsid w:val="00C407AB"/>
    <w:rsid w:val="00C55E55"/>
    <w:rsid w:val="00C570FF"/>
    <w:rsid w:val="00C6574E"/>
    <w:rsid w:val="00C80C0B"/>
    <w:rsid w:val="00C816C6"/>
    <w:rsid w:val="00C82F49"/>
    <w:rsid w:val="00CA1FE7"/>
    <w:rsid w:val="00CB0550"/>
    <w:rsid w:val="00CB2806"/>
    <w:rsid w:val="00CD1C52"/>
    <w:rsid w:val="00D01DDB"/>
    <w:rsid w:val="00D078BE"/>
    <w:rsid w:val="00D07C3C"/>
    <w:rsid w:val="00D13F8A"/>
    <w:rsid w:val="00D62877"/>
    <w:rsid w:val="00D63760"/>
    <w:rsid w:val="00D90B5A"/>
    <w:rsid w:val="00D918D5"/>
    <w:rsid w:val="00D94C8E"/>
    <w:rsid w:val="00D9705B"/>
    <w:rsid w:val="00DA29E8"/>
    <w:rsid w:val="00DB192C"/>
    <w:rsid w:val="00DB1CF3"/>
    <w:rsid w:val="00DF5BFE"/>
    <w:rsid w:val="00E06F42"/>
    <w:rsid w:val="00E376AE"/>
    <w:rsid w:val="00E47E0C"/>
    <w:rsid w:val="00E51813"/>
    <w:rsid w:val="00E53D3F"/>
    <w:rsid w:val="00E5579B"/>
    <w:rsid w:val="00E668DE"/>
    <w:rsid w:val="00E96720"/>
    <w:rsid w:val="00EB21B5"/>
    <w:rsid w:val="00EE38EC"/>
    <w:rsid w:val="00EE4175"/>
    <w:rsid w:val="00EF09D2"/>
    <w:rsid w:val="00F02AEC"/>
    <w:rsid w:val="00F05308"/>
    <w:rsid w:val="00F157FC"/>
    <w:rsid w:val="00F30AF3"/>
    <w:rsid w:val="00F33F27"/>
    <w:rsid w:val="00F657B4"/>
    <w:rsid w:val="00F865A7"/>
    <w:rsid w:val="00FA0754"/>
    <w:rsid w:val="00FA1BC9"/>
    <w:rsid w:val="00FA3C60"/>
    <w:rsid w:val="00FA49C3"/>
    <w:rsid w:val="00FB236E"/>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282C1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Standard">
    <w:name w:val="Standard"/>
    <w:basedOn w:val="Normal"/>
    <w:link w:val="StandardChar"/>
    <w:qFormat/>
    <w:rsid w:val="00282C14"/>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282C14"/>
    <w:rPr>
      <w:rFonts w:ascii="Cambria" w:eastAsia="Times New Roman" w:hAnsi="Cambria" w:cs="Times New Roman"/>
      <w:snapToGrid w:val="0"/>
      <w:kern w:val="16"/>
      <w:sz w:val="23"/>
      <w:szCs w:val="24"/>
    </w:rPr>
  </w:style>
  <w:style w:type="paragraph" w:styleId="ListParagraph">
    <w:name w:val="List Paragraph"/>
    <w:basedOn w:val="Normal"/>
    <w:uiPriority w:val="34"/>
    <w:rsid w:val="00282C14"/>
    <w:pPr>
      <w:adjustRightInd w:val="0"/>
      <w:snapToGrid w:val="0"/>
      <w:spacing w:before="180" w:after="180" w:line="240" w:lineRule="atLeast"/>
      <w:ind w:left="720"/>
      <w:contextualSpacing/>
    </w:pPr>
    <w:rPr>
      <w:rFonts w:eastAsia="MS Mincho" w:cs="Times New Roman"/>
      <w:lang w:eastAsia="ja-JP"/>
    </w:rPr>
  </w:style>
  <w:style w:type="character" w:customStyle="1" w:styleId="Heading7Char">
    <w:name w:val="Heading 7 Char"/>
    <w:basedOn w:val="DefaultParagraphFont"/>
    <w:link w:val="Heading7"/>
    <w:uiPriority w:val="9"/>
    <w:rsid w:val="00282C14"/>
    <w:rPr>
      <w:rFonts w:asciiTheme="majorHAnsi" w:eastAsiaTheme="majorEastAsia" w:hAnsiTheme="majorHAnsi" w:cstheme="majorBidi"/>
      <w:i/>
      <w:iCs/>
      <w:color w:val="1F3763" w:themeColor="accent1" w:themeShade="7F"/>
      <w:sz w:val="22"/>
    </w:rPr>
  </w:style>
  <w:style w:type="paragraph" w:customStyle="1" w:styleId="Default">
    <w:name w:val="Default"/>
    <w:rsid w:val="00A70EA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33697227">
      <w:bodyDiv w:val="1"/>
      <w:marLeft w:val="0"/>
      <w:marRight w:val="0"/>
      <w:marTop w:val="0"/>
      <w:marBottom w:val="0"/>
      <w:divBdr>
        <w:top w:val="none" w:sz="0" w:space="0" w:color="auto"/>
        <w:left w:val="none" w:sz="0" w:space="0" w:color="auto"/>
        <w:bottom w:val="none" w:sz="0" w:space="0" w:color="auto"/>
        <w:right w:val="none" w:sz="0" w:space="0" w:color="auto"/>
      </w:divBdr>
    </w:div>
    <w:div w:id="103615163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hyperlink" Target="https://www.fda.gov/media/139638/download" TargetMode="External"/><Relationship Id="rId39" Type="http://schemas.openxmlformats.org/officeDocument/2006/relationships/footer" Target="footer3.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hyperlink" Target="https://www.tga.gov.au/tgas-risk-management-approach" TargetMode="External"/><Relationship Id="rId50" Type="http://schemas.openxmlformats.org/officeDocument/2006/relationships/hyperlink" Target="https://www.tga.gov.au/resources/resource/guidance/covid-19-vaccine-strain-updates" TargetMode="External"/><Relationship Id="rId55"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hyperlink" Target="https://www.ema.europa.eu/en/documents/other/ema-considerations-covid-19-vaccine-approval_en.pdf" TargetMode="External"/><Relationship Id="rId33" Type="http://schemas.openxmlformats.org/officeDocument/2006/relationships/hyperlink" Target="mailto:vaccines@health.gov.au" TargetMode="External"/><Relationship Id="rId38" Type="http://schemas.openxmlformats.org/officeDocument/2006/relationships/header" Target="header3.xml"/><Relationship Id="rId46" Type="http://schemas.openxmlformats.org/officeDocument/2006/relationships/hyperlink" Target="https://www.tga.gov.au/publication/risk-management-plans-medicines-and-biological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s/covid-19/covid-19-vaccines/covid-19-vaccines-regulatory-status" TargetMode="External"/><Relationship Id="rId20" Type="http://schemas.openxmlformats.org/officeDocument/2006/relationships/hyperlink" Target="https://www.tga.gov.au/picmi-search-facility" TargetMode="External"/><Relationship Id="rId29" Type="http://schemas.openxmlformats.org/officeDocument/2006/relationships/hyperlink" Target="https://www.who.int/docs/default-source/blue-print/working-group-for-vaccine-evaluation-(4th-consultation)/ap1-guidelines-online-consultation.pdf" TargetMode="External"/><Relationship Id="rId41" Type="http://schemas.openxmlformats.org/officeDocument/2006/relationships/image" Target="media/image9.png"/><Relationship Id="rId54"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ma.europa.eu/en/documents/scientific-guideline/guideline-clinical-evaluation-new-vaccines_en.pdf" TargetMode="External"/><Relationship Id="rId32" Type="http://schemas.openxmlformats.org/officeDocument/2006/relationships/hyperlink" Target="https://www.tga.gov.au/form/certified-product-details-cpd-biological-prescription-medicines"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www.tga.gov.au/resources/resource/guidance/risk-management-plans-medicines-and-biologicals/when-rmp-required" TargetMode="External"/><Relationship Id="rId53" Type="http://schemas.openxmlformats.org/officeDocument/2006/relationships/hyperlink" Target="https://www.tga.gov.au/form/certified-product-details-cpd-biological-prescriptionmedicines"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access-consortium-alignment-icmra-consensus-immunobridging-authorising-new-covid-19-vaccines" TargetMode="External"/><Relationship Id="rId28" Type="http://schemas.openxmlformats.org/officeDocument/2006/relationships/hyperlink" Target="https://www.fda.gov/media/137926/download" TargetMode="External"/><Relationship Id="rId36" Type="http://schemas.openxmlformats.org/officeDocument/2006/relationships/image" Target="media/image6.png"/><Relationship Id="rId49" Type="http://schemas.openxmlformats.org/officeDocument/2006/relationships/hyperlink" Target="https://www.tga.gov.au/resources/resource/guidance/risk-management-plans-medicines-and-biologicals/australia-specific-annex-eu-rmp" TargetMode="External"/><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hyperlink" Target="https://www.tga.gov.au/guidance-7-certified-product-details" TargetMode="External"/><Relationship Id="rId44" Type="http://schemas.openxmlformats.org/officeDocument/2006/relationships/image" Target="media/image12.png"/><Relationship Id="rId52" Type="http://schemas.openxmlformats.org/officeDocument/2006/relationships/hyperlink" Target="https://www.tga.gov.au/guidance-7-certified-product-detail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access-consortium-statement-covid-19-vaccines-evidence" TargetMode="External"/><Relationship Id="rId27" Type="http://schemas.openxmlformats.org/officeDocument/2006/relationships/hyperlink" Target="https://www.fda.gov/media/142749/download" TargetMode="External"/><Relationship Id="rId30" Type="http://schemas.openxmlformats.org/officeDocument/2006/relationships/hyperlink" Target="mailto:vaccines@health.gov.au"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hyperlink" Target="https://www.tga.gov.au/resources/resource/guidance/risk-management-plans-medicines-and-biologicals/australia-specific-annex-eu-rmp" TargetMode="External"/><Relationship Id="rId56" Type="http://schemas.openxmlformats.org/officeDocument/2006/relationships/hyperlink" Target="https://www.tga.gov.au" TargetMode="External"/><Relationship Id="rId8" Type="http://schemas.openxmlformats.org/officeDocument/2006/relationships/header" Target="header1.xml"/><Relationship Id="rId51" Type="http://schemas.openxmlformats.org/officeDocument/2006/relationships/hyperlink" Target="https://www.tga.gov.au/committee/advisory-committee-vaccines-acv"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health-alerts/covid-19/weekly-reporting?language=und" TargetMode="External"/><Relationship Id="rId2" Type="http://schemas.openxmlformats.org/officeDocument/2006/relationships/hyperlink" Target="https://www.cdc.gov/coronavirus/2019-ncov/vaccines/vaccine-benefits.html" TargetMode="External"/><Relationship Id="rId1" Type="http://schemas.openxmlformats.org/officeDocument/2006/relationships/hyperlink" Target="https://www.tga.gov.au/resources/auspar/auspar-spikevax-1" TargetMode="External"/><Relationship Id="rId4" Type="http://schemas.openxmlformats.org/officeDocument/2006/relationships/hyperlink" Target="https://doi.org/10.1101/2022.12.11.22283166"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8861</Words>
  <Characters>49091</Characters>
  <Application>Microsoft Office Word</Application>
  <DocSecurity>4</DocSecurity>
  <Lines>1044</Lines>
  <Paragraphs>706</Paragraphs>
  <ScaleCrop>false</ScaleCrop>
  <HeadingPairs>
    <vt:vector size="2" baseType="variant">
      <vt:variant>
        <vt:lpstr>Title</vt:lpstr>
      </vt:variant>
      <vt:variant>
        <vt:i4>1</vt:i4>
      </vt:variant>
    </vt:vector>
  </HeadingPairs>
  <TitlesOfParts>
    <vt:vector size="1" baseType="lpstr">
      <vt:lpstr>Australian public assessment report for Spikevax XBB.1.5 COVID 19 Vaccine</vt:lpstr>
    </vt:vector>
  </TitlesOfParts>
  <Company>Department of Health and Aged Care</Company>
  <LinksUpToDate>false</LinksUpToDate>
  <CharactersWithSpaces>57246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 XBB.1.5 COVID 19 Vaccine</dc:title>
  <dc:subject>Prescription medicine regulation</dc:subject>
  <dc:creator>Therapeutic Goods Administration</dc:creator>
  <cp:keywords/>
  <dc:description/>
  <cp:lastModifiedBy>MCMAHON, Emily</cp:lastModifiedBy>
  <cp:revision>2</cp:revision>
  <dcterms:created xsi:type="dcterms:W3CDTF">2023-10-12T05:31:00Z</dcterms:created>
  <dcterms:modified xsi:type="dcterms:W3CDTF">2023-10-12T05:31:00Z</dcterms:modified>
</cp:coreProperties>
</file>