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1E65" w:rsidRDefault="00171E65">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80" w:rightFromText="180" w:vertAnchor="page" w:horzAnchor="margin" w:tblpY="3121"/>
        <w:tblW w:w="8720" w:type="dxa"/>
        <w:tblBorders>
          <w:top w:val="nil"/>
          <w:left w:val="nil"/>
          <w:bottom w:val="nil"/>
          <w:right w:val="nil"/>
          <w:insideH w:val="nil"/>
          <w:insideV w:val="nil"/>
        </w:tblBorders>
        <w:tblLayout w:type="fixed"/>
        <w:tblLook w:val="0400" w:firstRow="0" w:lastRow="0" w:firstColumn="0" w:lastColumn="0" w:noHBand="0" w:noVBand="1"/>
      </w:tblPr>
      <w:tblGrid>
        <w:gridCol w:w="8720"/>
      </w:tblGrid>
      <w:tr w:rsidR="00171E65" w14:paraId="3B4F1963" w14:textId="77777777">
        <w:trPr>
          <w:cantSplit/>
          <w:trHeight w:val="1558"/>
        </w:trPr>
        <w:tc>
          <w:tcPr>
            <w:tcW w:w="8720" w:type="dxa"/>
          </w:tcPr>
          <w:p w14:paraId="00000002" w14:textId="77777777" w:rsidR="00171E65" w:rsidRDefault="001F5E2A" w:rsidP="000E0B39">
            <w:pPr>
              <w:pStyle w:val="Title"/>
              <w:ind w:left="0"/>
            </w:pPr>
            <w:r>
              <w:t xml:space="preserve">Australian Public Assessment Report for </w:t>
            </w:r>
            <w:proofErr w:type="spellStart"/>
            <w:r>
              <w:t>Gavreto</w:t>
            </w:r>
            <w:proofErr w:type="spellEnd"/>
          </w:p>
        </w:tc>
      </w:tr>
      <w:tr w:rsidR="00171E65" w14:paraId="648DC314" w14:textId="77777777">
        <w:trPr>
          <w:cantSplit/>
          <w:trHeight w:val="995"/>
        </w:trPr>
        <w:tc>
          <w:tcPr>
            <w:tcW w:w="8720" w:type="dxa"/>
          </w:tcPr>
          <w:p w14:paraId="00000003" w14:textId="77777777" w:rsidR="00171E65" w:rsidRDefault="001F5E2A">
            <w:pPr>
              <w:pStyle w:val="Subtitle"/>
              <w:ind w:left="0"/>
            </w:pPr>
            <w:r>
              <w:t xml:space="preserve">Active ingredient: </w:t>
            </w:r>
            <w:proofErr w:type="spellStart"/>
            <w:r>
              <w:t>Pralsetinib</w:t>
            </w:r>
            <w:proofErr w:type="spellEnd"/>
          </w:p>
        </w:tc>
      </w:tr>
      <w:tr w:rsidR="00171E65" w14:paraId="2D81C77C" w14:textId="77777777">
        <w:trPr>
          <w:cantSplit/>
          <w:trHeight w:val="1916"/>
        </w:trPr>
        <w:tc>
          <w:tcPr>
            <w:tcW w:w="8720" w:type="dxa"/>
          </w:tcPr>
          <w:p w14:paraId="00000004" w14:textId="77777777" w:rsidR="00171E65" w:rsidRDefault="001F5E2A">
            <w:pPr>
              <w:pStyle w:val="Subtitle"/>
              <w:ind w:left="0"/>
            </w:pPr>
            <w:r>
              <w:t>Sponsor: Roche Products Pty Ltd</w:t>
            </w:r>
          </w:p>
        </w:tc>
      </w:tr>
      <w:tr w:rsidR="00171E65" w14:paraId="66CEA521" w14:textId="77777777">
        <w:trPr>
          <w:cantSplit/>
        </w:trPr>
        <w:tc>
          <w:tcPr>
            <w:tcW w:w="8720" w:type="dxa"/>
          </w:tcPr>
          <w:p w14:paraId="00000005" w14:textId="787D1A99" w:rsidR="00171E65" w:rsidRDefault="00B742DD">
            <w:pPr>
              <w:pBdr>
                <w:top w:val="nil"/>
                <w:left w:val="nil"/>
                <w:bottom w:val="nil"/>
                <w:right w:val="nil"/>
                <w:between w:val="nil"/>
              </w:pBdr>
              <w:spacing w:before="120" w:line="259" w:lineRule="auto"/>
              <w:ind w:left="0" w:right="0"/>
              <w:rPr>
                <w:rFonts w:ascii="Arial" w:eastAsia="Arial" w:hAnsi="Arial" w:cs="Arial"/>
                <w:color w:val="333F4A"/>
                <w:sz w:val="28"/>
                <w:szCs w:val="28"/>
              </w:rPr>
            </w:pPr>
            <w:r>
              <w:rPr>
                <w:rFonts w:ascii="Arial" w:eastAsia="Arial" w:hAnsi="Arial" w:cs="Arial"/>
                <w:color w:val="333F4A"/>
                <w:sz w:val="28"/>
                <w:szCs w:val="28"/>
              </w:rPr>
              <w:t xml:space="preserve">October </w:t>
            </w:r>
            <w:r w:rsidR="001F5E2A">
              <w:rPr>
                <w:rFonts w:ascii="Arial" w:eastAsia="Arial" w:hAnsi="Arial" w:cs="Arial"/>
                <w:color w:val="333F4A"/>
                <w:sz w:val="28"/>
                <w:szCs w:val="28"/>
              </w:rPr>
              <w:t>2023</w:t>
            </w:r>
          </w:p>
        </w:tc>
      </w:tr>
    </w:tbl>
    <w:p w14:paraId="00000006" w14:textId="77777777" w:rsidR="00171E65" w:rsidRDefault="00171E65">
      <w:pPr>
        <w:pBdr>
          <w:top w:val="nil"/>
          <w:left w:val="nil"/>
          <w:bottom w:val="nil"/>
          <w:right w:val="nil"/>
          <w:between w:val="nil"/>
        </w:pBdr>
        <w:spacing w:before="120" w:after="180"/>
        <w:ind w:left="360" w:hanging="360"/>
        <w:rPr>
          <w:color w:val="000000"/>
        </w:rPr>
        <w:sectPr w:rsidR="00171E65">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20"/>
          <w:titlePg/>
        </w:sectPr>
      </w:pPr>
    </w:p>
    <w:p w14:paraId="00000007" w14:textId="77777777" w:rsidR="00171E65" w:rsidRDefault="001F5E2A">
      <w:pPr>
        <w:pBdr>
          <w:top w:val="nil"/>
          <w:left w:val="nil"/>
          <w:bottom w:val="nil"/>
          <w:right w:val="nil"/>
          <w:between w:val="nil"/>
        </w:pBdr>
        <w:spacing w:before="240"/>
        <w:rPr>
          <w:rFonts w:ascii="Arial" w:eastAsia="Arial" w:hAnsi="Arial" w:cs="Arial"/>
          <w:b/>
          <w:color w:val="000000"/>
          <w:sz w:val="32"/>
          <w:szCs w:val="32"/>
        </w:rPr>
      </w:pPr>
      <w:r>
        <w:rPr>
          <w:rFonts w:ascii="Arial" w:eastAsia="Arial" w:hAnsi="Arial" w:cs="Arial"/>
          <w:b/>
          <w:color w:val="000000"/>
          <w:sz w:val="32"/>
          <w:szCs w:val="32"/>
        </w:rPr>
        <w:lastRenderedPageBreak/>
        <w:t>About the Therapeutic Goods Administration (TGA)</w:t>
      </w:r>
    </w:p>
    <w:p w14:paraId="00000008" w14:textId="77777777" w:rsidR="00171E65" w:rsidRDefault="001F5E2A">
      <w:pPr>
        <w:numPr>
          <w:ilvl w:val="0"/>
          <w:numId w:val="7"/>
        </w:numPr>
        <w:pBdr>
          <w:top w:val="nil"/>
          <w:left w:val="nil"/>
          <w:bottom w:val="nil"/>
          <w:right w:val="nil"/>
          <w:between w:val="nil"/>
        </w:pBdr>
        <w:spacing w:before="120" w:after="180"/>
      </w:pPr>
      <w:r>
        <w:rPr>
          <w:color w:val="000000"/>
        </w:rPr>
        <w:t>The Therapeutic Goods Administration (TGA) is part of the Australian Government Department of Health and Aged Care and is responsible for regulating therapeutic goods, including medicines, medical devices, and biologicals.</w:t>
      </w:r>
    </w:p>
    <w:p w14:paraId="00000009" w14:textId="77777777" w:rsidR="00171E65" w:rsidRDefault="001F5E2A">
      <w:pPr>
        <w:numPr>
          <w:ilvl w:val="0"/>
          <w:numId w:val="7"/>
        </w:numPr>
        <w:pBdr>
          <w:top w:val="nil"/>
          <w:left w:val="nil"/>
          <w:bottom w:val="nil"/>
          <w:right w:val="nil"/>
          <w:between w:val="nil"/>
        </w:pBdr>
        <w:spacing w:before="120" w:after="180"/>
      </w:pPr>
      <w:r>
        <w:rPr>
          <w:color w:val="000000"/>
        </w:rPr>
        <w:t xml:space="preserve">The TGA administers the </w:t>
      </w:r>
      <w:r>
        <w:rPr>
          <w:i/>
          <w:color w:val="000000"/>
        </w:rPr>
        <w:t>Therapeutic Goods Act 1989</w:t>
      </w:r>
      <w:r>
        <w:rPr>
          <w:color w:val="000000"/>
        </w:rPr>
        <w:t xml:space="preserve"> (the Act), applying a risk management approach designed to ensure therapeutic goods supplied in Australia meet acceptable standards of quality, safety, and efficacy.</w:t>
      </w:r>
    </w:p>
    <w:p w14:paraId="0000000A" w14:textId="77777777" w:rsidR="00171E65" w:rsidRDefault="001F5E2A">
      <w:pPr>
        <w:numPr>
          <w:ilvl w:val="0"/>
          <w:numId w:val="7"/>
        </w:numPr>
        <w:pBdr>
          <w:top w:val="nil"/>
          <w:left w:val="nil"/>
          <w:bottom w:val="nil"/>
          <w:right w:val="nil"/>
          <w:between w:val="nil"/>
        </w:pBdr>
        <w:spacing w:before="120" w:after="180"/>
      </w:pPr>
      <w:r>
        <w:rPr>
          <w:color w:val="000000"/>
        </w:rPr>
        <w:t>The work of the TGA is based on applying scientific and clinical expertise to decision-making, to ensure that the benefits to the Australian public outweigh any risks associated with the use of therapeutic goods.</w:t>
      </w:r>
    </w:p>
    <w:p w14:paraId="0000000B" w14:textId="77777777" w:rsidR="00171E65" w:rsidRDefault="001F5E2A">
      <w:pPr>
        <w:numPr>
          <w:ilvl w:val="0"/>
          <w:numId w:val="7"/>
        </w:numPr>
        <w:pBdr>
          <w:top w:val="nil"/>
          <w:left w:val="nil"/>
          <w:bottom w:val="nil"/>
          <w:right w:val="nil"/>
          <w:between w:val="nil"/>
        </w:pBdr>
        <w:spacing w:before="120" w:after="180"/>
      </w:pPr>
      <w:r>
        <w:rPr>
          <w:color w:val="000000"/>
        </w:rPr>
        <w:t>The TGA relies on the public, healthcare professionals and industry to report problems with therapeutic goods. The TGA investigates reports received to determine any necessary regulatory action.</w:t>
      </w:r>
    </w:p>
    <w:p w14:paraId="0000000C" w14:textId="57A47DEC" w:rsidR="00171E65" w:rsidRDefault="001F5E2A">
      <w:pPr>
        <w:numPr>
          <w:ilvl w:val="0"/>
          <w:numId w:val="7"/>
        </w:numPr>
        <w:pBdr>
          <w:top w:val="nil"/>
          <w:left w:val="nil"/>
          <w:bottom w:val="nil"/>
          <w:right w:val="nil"/>
          <w:between w:val="nil"/>
        </w:pBdr>
        <w:spacing w:before="120" w:after="180"/>
      </w:pPr>
      <w:r>
        <w:rPr>
          <w:color w:val="000000"/>
        </w:rPr>
        <w:t xml:space="preserve">To report a problem with a therapeutic good, please see the information on the </w:t>
      </w:r>
      <w:hyperlink r:id="rId13">
        <w:r>
          <w:rPr>
            <w:color w:val="0000FF"/>
            <w:u w:val="single"/>
          </w:rPr>
          <w:t>TGA website</w:t>
        </w:r>
      </w:hyperlink>
      <w:r>
        <w:rPr>
          <w:color w:val="000000"/>
        </w:rPr>
        <w:t>.</w:t>
      </w:r>
    </w:p>
    <w:p w14:paraId="0000000D" w14:textId="77777777" w:rsidR="00171E65" w:rsidRDefault="001F5E2A">
      <w:pPr>
        <w:pBdr>
          <w:top w:val="nil"/>
          <w:left w:val="nil"/>
          <w:bottom w:val="nil"/>
          <w:right w:val="nil"/>
          <w:between w:val="nil"/>
        </w:pBdr>
        <w:spacing w:before="240"/>
        <w:rPr>
          <w:rFonts w:ascii="Arial" w:eastAsia="Arial" w:hAnsi="Arial" w:cs="Arial"/>
          <w:b/>
          <w:color w:val="000000"/>
          <w:sz w:val="32"/>
          <w:szCs w:val="32"/>
        </w:rPr>
      </w:pPr>
      <w:r>
        <w:rPr>
          <w:rFonts w:ascii="Arial" w:eastAsia="Arial" w:hAnsi="Arial" w:cs="Arial"/>
          <w:b/>
          <w:color w:val="000000"/>
          <w:sz w:val="32"/>
          <w:szCs w:val="32"/>
        </w:rPr>
        <w:t xml:space="preserve">About </w:t>
      </w:r>
      <w:proofErr w:type="spellStart"/>
      <w:r>
        <w:rPr>
          <w:rFonts w:ascii="Arial" w:eastAsia="Arial" w:hAnsi="Arial" w:cs="Arial"/>
          <w:b/>
          <w:color w:val="000000"/>
          <w:sz w:val="32"/>
          <w:szCs w:val="32"/>
        </w:rPr>
        <w:t>AusPARs</w:t>
      </w:r>
      <w:proofErr w:type="spellEnd"/>
    </w:p>
    <w:p w14:paraId="0000000E" w14:textId="289BE06E" w:rsidR="00171E65" w:rsidRDefault="001F5E2A">
      <w:pPr>
        <w:numPr>
          <w:ilvl w:val="0"/>
          <w:numId w:val="7"/>
        </w:numPr>
        <w:pBdr>
          <w:top w:val="nil"/>
          <w:left w:val="nil"/>
          <w:bottom w:val="nil"/>
          <w:right w:val="nil"/>
          <w:between w:val="nil"/>
        </w:pBdr>
        <w:spacing w:before="120" w:after="180"/>
      </w:pPr>
      <w:r>
        <w:rPr>
          <w:color w:val="000000"/>
        </w:rPr>
        <w:t>The Australian Public Assessment Report (</w:t>
      </w:r>
      <w:proofErr w:type="spellStart"/>
      <w:r>
        <w:rPr>
          <w:color w:val="000000"/>
        </w:rPr>
        <w:t>AusPAR</w:t>
      </w:r>
      <w:proofErr w:type="spellEnd"/>
      <w:r>
        <w:rPr>
          <w:color w:val="000000"/>
        </w:rPr>
        <w:t xml:space="preserve">) provides information about the evaluation of a prescription medicine and the considerations that led the TGA to approve or not approve a prescription medicine submission. Further information can be found in </w:t>
      </w:r>
      <w:hyperlink r:id="rId14">
        <w:r>
          <w:rPr>
            <w:color w:val="0000FF"/>
            <w:u w:val="single"/>
          </w:rPr>
          <w:t>Australian Public Assessment Report (</w:t>
        </w:r>
        <w:proofErr w:type="spellStart"/>
        <w:r>
          <w:rPr>
            <w:color w:val="0000FF"/>
            <w:u w:val="single"/>
          </w:rPr>
          <w:t>AusPAR</w:t>
        </w:r>
        <w:proofErr w:type="spellEnd"/>
        <w:r>
          <w:rPr>
            <w:color w:val="0000FF"/>
            <w:u w:val="single"/>
          </w:rPr>
          <w:t>) guidance</w:t>
        </w:r>
      </w:hyperlink>
      <w:r>
        <w:rPr>
          <w:color w:val="000000"/>
        </w:rPr>
        <w:t>.</w:t>
      </w:r>
    </w:p>
    <w:p w14:paraId="0000000F"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AusPARs</w:t>
      </w:r>
      <w:proofErr w:type="spellEnd"/>
      <w:r>
        <w:rPr>
          <w:color w:val="000000"/>
        </w:rPr>
        <w:t xml:space="preserve"> are prepared and published by the TGA.</w:t>
      </w:r>
    </w:p>
    <w:p w14:paraId="00000010"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AusPARs</w:t>
      </w:r>
      <w:proofErr w:type="spellEnd"/>
      <w:r>
        <w:rPr>
          <w:color w:val="000000"/>
        </w:rPr>
        <w:t xml:space="preserve"> are static documents that provide information that relates to a submission at a particular point in time. The publication of an </w:t>
      </w:r>
      <w:proofErr w:type="spellStart"/>
      <w:r>
        <w:rPr>
          <w:color w:val="000000"/>
        </w:rPr>
        <w:t>AusPAR</w:t>
      </w:r>
      <w:proofErr w:type="spellEnd"/>
      <w:r>
        <w:rPr>
          <w:color w:val="000000"/>
        </w:rPr>
        <w:t xml:space="preserve"> is an important part of the transparency of the TGA’s decision-making process.</w:t>
      </w:r>
    </w:p>
    <w:p w14:paraId="00000011" w14:textId="77777777" w:rsidR="00171E65" w:rsidRDefault="001F5E2A">
      <w:pPr>
        <w:numPr>
          <w:ilvl w:val="0"/>
          <w:numId w:val="7"/>
        </w:numPr>
        <w:pBdr>
          <w:top w:val="nil"/>
          <w:left w:val="nil"/>
          <w:bottom w:val="nil"/>
          <w:right w:val="nil"/>
          <w:between w:val="nil"/>
        </w:pBdr>
        <w:spacing w:before="120" w:after="180"/>
      </w:pPr>
      <w:r>
        <w:rPr>
          <w:color w:val="000000"/>
        </w:rPr>
        <w:t xml:space="preserve">A new </w:t>
      </w:r>
      <w:proofErr w:type="spellStart"/>
      <w:r>
        <w:rPr>
          <w:color w:val="000000"/>
        </w:rPr>
        <w:t>AusPAR</w:t>
      </w:r>
      <w:proofErr w:type="spellEnd"/>
      <w:r>
        <w:rPr>
          <w:color w:val="000000"/>
        </w:rPr>
        <w:t xml:space="preserve"> may be provided to reflect changes to indications or major variations to a prescription medicine subject to evaluation by the TGA.</w:t>
      </w:r>
    </w:p>
    <w:p w14:paraId="00000012" w14:textId="77777777" w:rsidR="00171E65" w:rsidRDefault="001F5E2A" w:rsidP="00965669">
      <w:pPr>
        <w:pBdr>
          <w:top w:val="nil"/>
          <w:left w:val="nil"/>
          <w:bottom w:val="nil"/>
          <w:right w:val="nil"/>
          <w:between w:val="nil"/>
        </w:pBdr>
        <w:tabs>
          <w:tab w:val="center" w:pos="4513"/>
          <w:tab w:val="right" w:pos="9026"/>
        </w:tabs>
        <w:spacing w:before="3000" w:after="0" w:line="240" w:lineRule="auto"/>
        <w:rPr>
          <w:b/>
          <w:color w:val="333F4A"/>
          <w:sz w:val="17"/>
          <w:szCs w:val="17"/>
        </w:rPr>
      </w:pPr>
      <w:r>
        <w:rPr>
          <w:b/>
          <w:color w:val="333F4A"/>
          <w:sz w:val="17"/>
          <w:szCs w:val="17"/>
        </w:rPr>
        <w:t>Copyright</w:t>
      </w:r>
    </w:p>
    <w:p w14:paraId="00000013" w14:textId="64CA1B70" w:rsidR="00171E65" w:rsidRDefault="001F5E2A">
      <w:pPr>
        <w:pBdr>
          <w:top w:val="nil"/>
          <w:left w:val="nil"/>
          <w:bottom w:val="nil"/>
          <w:right w:val="nil"/>
          <w:between w:val="nil"/>
        </w:pBdr>
        <w:tabs>
          <w:tab w:val="center" w:pos="4513"/>
          <w:tab w:val="right" w:pos="9026"/>
        </w:tabs>
        <w:spacing w:after="0" w:line="240" w:lineRule="auto"/>
        <w:rPr>
          <w:color w:val="333F4A"/>
          <w:sz w:val="17"/>
          <w:szCs w:val="17"/>
        </w:rPr>
      </w:pPr>
      <w:r>
        <w:rPr>
          <w:color w:val="333F4A"/>
          <w:sz w:val="17"/>
          <w:szCs w:val="17"/>
        </w:rPr>
        <w:t>© Commonwealth of Australia 2023</w:t>
      </w:r>
      <w:r>
        <w:rPr>
          <w:color w:val="333F4A"/>
          <w:sz w:val="17"/>
          <w:szCs w:val="17"/>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i/>
          <w:color w:val="333F4A"/>
          <w:sz w:val="17"/>
          <w:szCs w:val="17"/>
        </w:rPr>
        <w:t>Copyright Act 1968</w:t>
      </w:r>
      <w:r>
        <w:rPr>
          <w:color w:val="333F4A"/>
          <w:sz w:val="17"/>
          <w:szCs w:val="17"/>
        </w:rPr>
        <w:t xml:space="preserve"> or allowed by this copyright notice, all other rights are </w:t>
      </w:r>
      <w:proofErr w:type="gramStart"/>
      <w:r>
        <w:rPr>
          <w:color w:val="333F4A"/>
          <w:sz w:val="17"/>
          <w:szCs w:val="17"/>
        </w:rPr>
        <w:t>reserved</w:t>
      </w:r>
      <w:proofErr w:type="gramEnd"/>
      <w:r>
        <w:rPr>
          <w:color w:val="333F4A"/>
          <w:sz w:val="17"/>
          <w:szCs w:val="17"/>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r>
          <w:rPr>
            <w:color w:val="0000FF"/>
            <w:sz w:val="17"/>
            <w:szCs w:val="17"/>
            <w:u w:val="single"/>
          </w:rPr>
          <w:t>tga.copyright@tga.gov.au</w:t>
        </w:r>
      </w:hyperlink>
      <w:r>
        <w:rPr>
          <w:color w:val="333F4A"/>
          <w:sz w:val="17"/>
          <w:szCs w:val="17"/>
        </w:rPr>
        <w:t>&gt;.</w:t>
      </w:r>
    </w:p>
    <w:p w14:paraId="00000014" w14:textId="77777777" w:rsidR="00171E65" w:rsidRDefault="001F5E2A">
      <w:pPr>
        <w:keepNext/>
        <w:keepLines/>
        <w:pageBreakBefore/>
        <w:pBdr>
          <w:top w:val="nil"/>
          <w:left w:val="nil"/>
          <w:bottom w:val="nil"/>
          <w:right w:val="nil"/>
          <w:between w:val="nil"/>
        </w:pBdr>
        <w:spacing w:after="180"/>
        <w:rPr>
          <w:rFonts w:ascii="Arial" w:eastAsia="Arial" w:hAnsi="Arial" w:cs="Arial"/>
          <w:b/>
          <w:color w:val="001871"/>
          <w:sz w:val="38"/>
          <w:szCs w:val="38"/>
        </w:rPr>
      </w:pPr>
      <w:r>
        <w:rPr>
          <w:rFonts w:ascii="Arial" w:eastAsia="Arial" w:hAnsi="Arial" w:cs="Arial"/>
          <w:b/>
          <w:color w:val="001871"/>
          <w:sz w:val="38"/>
          <w:szCs w:val="38"/>
        </w:rPr>
        <w:lastRenderedPageBreak/>
        <w:t>Contents</w:t>
      </w:r>
    </w:p>
    <w:sdt>
      <w:sdtPr>
        <w:rPr>
          <w:rFonts w:ascii="Cambria" w:hAnsi="Cambria" w:cs="Cambria"/>
          <w:b w:val="0"/>
          <w:color w:val="auto"/>
          <w:sz w:val="22"/>
        </w:rPr>
        <w:id w:val="618576403"/>
        <w:docPartObj>
          <w:docPartGallery w:val="Table of Contents"/>
          <w:docPartUnique/>
        </w:docPartObj>
      </w:sdtPr>
      <w:sdtEndPr/>
      <w:sdtContent>
        <w:p w14:paraId="6A8C5DAA" w14:textId="783632FB" w:rsidR="00965669" w:rsidRDefault="001F5E2A">
          <w:pPr>
            <w:pStyle w:val="TOC1"/>
            <w:rPr>
              <w:rFonts w:asciiTheme="minorHAnsi" w:eastAsiaTheme="minorEastAsia" w:hAnsiTheme="minorHAnsi" w:cstheme="minorBidi"/>
              <w:b w:val="0"/>
              <w:noProof/>
              <w:color w:val="auto"/>
              <w:sz w:val="22"/>
              <w:lang w:eastAsia="en-AU"/>
            </w:rPr>
          </w:pPr>
          <w:r>
            <w:fldChar w:fldCharType="begin"/>
          </w:r>
          <w:r>
            <w:instrText xml:space="preserve"> TOC \h \u \z \t "Heading 2,1,Heading 3,2,Heading 4,3,"</w:instrText>
          </w:r>
          <w:r>
            <w:fldChar w:fldCharType="separate"/>
          </w:r>
          <w:hyperlink w:anchor="_Toc149213439" w:history="1">
            <w:r w:rsidR="00965669" w:rsidRPr="00505766">
              <w:rPr>
                <w:rStyle w:val="Hyperlink"/>
                <w:noProof/>
              </w:rPr>
              <w:t>List of abbreviations</w:t>
            </w:r>
            <w:r w:rsidR="00965669">
              <w:rPr>
                <w:noProof/>
                <w:webHidden/>
              </w:rPr>
              <w:tab/>
            </w:r>
            <w:r w:rsidR="00965669">
              <w:rPr>
                <w:noProof/>
                <w:webHidden/>
              </w:rPr>
              <w:fldChar w:fldCharType="begin"/>
            </w:r>
            <w:r w:rsidR="00965669">
              <w:rPr>
                <w:noProof/>
                <w:webHidden/>
              </w:rPr>
              <w:instrText xml:space="preserve"> PAGEREF _Toc149213439 \h </w:instrText>
            </w:r>
            <w:r w:rsidR="00965669">
              <w:rPr>
                <w:noProof/>
                <w:webHidden/>
              </w:rPr>
            </w:r>
            <w:r w:rsidR="00965669">
              <w:rPr>
                <w:noProof/>
                <w:webHidden/>
              </w:rPr>
              <w:fldChar w:fldCharType="separate"/>
            </w:r>
            <w:r w:rsidR="0037343C">
              <w:rPr>
                <w:noProof/>
                <w:webHidden/>
              </w:rPr>
              <w:t>4</w:t>
            </w:r>
            <w:r w:rsidR="00965669">
              <w:rPr>
                <w:noProof/>
                <w:webHidden/>
              </w:rPr>
              <w:fldChar w:fldCharType="end"/>
            </w:r>
          </w:hyperlink>
        </w:p>
        <w:p w14:paraId="25F2219E" w14:textId="14AF1336" w:rsidR="00965669" w:rsidRDefault="009F791C">
          <w:pPr>
            <w:pStyle w:val="TOC1"/>
            <w:rPr>
              <w:rFonts w:asciiTheme="minorHAnsi" w:eastAsiaTheme="minorEastAsia" w:hAnsiTheme="minorHAnsi" w:cstheme="minorBidi"/>
              <w:b w:val="0"/>
              <w:noProof/>
              <w:color w:val="auto"/>
              <w:sz w:val="22"/>
              <w:lang w:eastAsia="en-AU"/>
            </w:rPr>
          </w:pPr>
          <w:hyperlink w:anchor="_Toc149213440" w:history="1">
            <w:r w:rsidR="00965669" w:rsidRPr="00505766">
              <w:rPr>
                <w:rStyle w:val="Hyperlink"/>
                <w:noProof/>
              </w:rPr>
              <w:t>Product submission</w:t>
            </w:r>
            <w:r w:rsidR="00965669">
              <w:rPr>
                <w:noProof/>
                <w:webHidden/>
              </w:rPr>
              <w:tab/>
            </w:r>
            <w:r w:rsidR="00965669">
              <w:rPr>
                <w:noProof/>
                <w:webHidden/>
              </w:rPr>
              <w:fldChar w:fldCharType="begin"/>
            </w:r>
            <w:r w:rsidR="00965669">
              <w:rPr>
                <w:noProof/>
                <w:webHidden/>
              </w:rPr>
              <w:instrText xml:space="preserve"> PAGEREF _Toc149213440 \h </w:instrText>
            </w:r>
            <w:r w:rsidR="00965669">
              <w:rPr>
                <w:noProof/>
                <w:webHidden/>
              </w:rPr>
            </w:r>
            <w:r w:rsidR="00965669">
              <w:rPr>
                <w:noProof/>
                <w:webHidden/>
              </w:rPr>
              <w:fldChar w:fldCharType="separate"/>
            </w:r>
            <w:r w:rsidR="0037343C">
              <w:rPr>
                <w:noProof/>
                <w:webHidden/>
              </w:rPr>
              <w:t>6</w:t>
            </w:r>
            <w:r w:rsidR="00965669">
              <w:rPr>
                <w:noProof/>
                <w:webHidden/>
              </w:rPr>
              <w:fldChar w:fldCharType="end"/>
            </w:r>
          </w:hyperlink>
        </w:p>
        <w:p w14:paraId="55008297" w14:textId="59536EC0" w:rsidR="00965669" w:rsidRDefault="009F791C">
          <w:pPr>
            <w:pStyle w:val="TOC2"/>
            <w:rPr>
              <w:rFonts w:asciiTheme="minorHAnsi" w:eastAsiaTheme="minorEastAsia" w:hAnsiTheme="minorHAnsi" w:cstheme="minorBidi"/>
              <w:b w:val="0"/>
              <w:noProof/>
              <w:color w:val="auto"/>
              <w:sz w:val="22"/>
              <w:lang w:eastAsia="en-AU"/>
            </w:rPr>
          </w:pPr>
          <w:hyperlink w:anchor="_Toc149213441" w:history="1">
            <w:r w:rsidR="00965669" w:rsidRPr="00505766">
              <w:rPr>
                <w:rStyle w:val="Hyperlink"/>
                <w:noProof/>
              </w:rPr>
              <w:t xml:space="preserve">Submission details for PM-2021-05762-1-4, </w:t>
            </w:r>
            <w:r w:rsidR="00965669" w:rsidRPr="00505766">
              <w:rPr>
                <w:rStyle w:val="Hyperlink"/>
                <w:i/>
                <w:noProof/>
              </w:rPr>
              <w:t>RET</w:t>
            </w:r>
            <w:r w:rsidR="00965669" w:rsidRPr="00505766">
              <w:rPr>
                <w:rStyle w:val="Hyperlink"/>
                <w:noProof/>
              </w:rPr>
              <w:t>-fusion positive thyroid cancer indication</w:t>
            </w:r>
            <w:r w:rsidR="00965669">
              <w:rPr>
                <w:noProof/>
                <w:webHidden/>
              </w:rPr>
              <w:tab/>
            </w:r>
            <w:r w:rsidR="00965669">
              <w:rPr>
                <w:noProof/>
                <w:webHidden/>
              </w:rPr>
              <w:fldChar w:fldCharType="begin"/>
            </w:r>
            <w:r w:rsidR="00965669">
              <w:rPr>
                <w:noProof/>
                <w:webHidden/>
              </w:rPr>
              <w:instrText xml:space="preserve"> PAGEREF _Toc149213441 \h </w:instrText>
            </w:r>
            <w:r w:rsidR="00965669">
              <w:rPr>
                <w:noProof/>
                <w:webHidden/>
              </w:rPr>
            </w:r>
            <w:r w:rsidR="00965669">
              <w:rPr>
                <w:noProof/>
                <w:webHidden/>
              </w:rPr>
              <w:fldChar w:fldCharType="separate"/>
            </w:r>
            <w:r w:rsidR="0037343C">
              <w:rPr>
                <w:noProof/>
                <w:webHidden/>
              </w:rPr>
              <w:t>6</w:t>
            </w:r>
            <w:r w:rsidR="00965669">
              <w:rPr>
                <w:noProof/>
                <w:webHidden/>
              </w:rPr>
              <w:fldChar w:fldCharType="end"/>
            </w:r>
          </w:hyperlink>
        </w:p>
        <w:p w14:paraId="0F9EACAE" w14:textId="7E6C6329" w:rsidR="00965669" w:rsidRDefault="009F791C">
          <w:pPr>
            <w:pStyle w:val="TOC2"/>
            <w:rPr>
              <w:rFonts w:asciiTheme="minorHAnsi" w:eastAsiaTheme="minorEastAsia" w:hAnsiTheme="minorHAnsi" w:cstheme="minorBidi"/>
              <w:b w:val="0"/>
              <w:noProof/>
              <w:color w:val="auto"/>
              <w:sz w:val="22"/>
              <w:lang w:eastAsia="en-AU"/>
            </w:rPr>
          </w:pPr>
          <w:hyperlink w:anchor="_Toc149213442" w:history="1">
            <w:r w:rsidR="00965669" w:rsidRPr="00505766">
              <w:rPr>
                <w:rStyle w:val="Hyperlink"/>
                <w:noProof/>
              </w:rPr>
              <w:t xml:space="preserve">Submission details for PM-2021-05761-1-4, advanced or metastatic </w:t>
            </w:r>
            <w:r w:rsidR="00965669" w:rsidRPr="00505766">
              <w:rPr>
                <w:rStyle w:val="Hyperlink"/>
                <w:i/>
                <w:noProof/>
              </w:rPr>
              <w:t>RET</w:t>
            </w:r>
            <w:r w:rsidR="00965669" w:rsidRPr="00505766">
              <w:rPr>
                <w:rStyle w:val="Hyperlink"/>
                <w:noProof/>
              </w:rPr>
              <w:t>-mutant medullary thyroid cancer indication</w:t>
            </w:r>
            <w:r w:rsidR="00965669">
              <w:rPr>
                <w:noProof/>
                <w:webHidden/>
              </w:rPr>
              <w:tab/>
            </w:r>
            <w:r w:rsidR="00965669">
              <w:rPr>
                <w:noProof/>
                <w:webHidden/>
              </w:rPr>
              <w:fldChar w:fldCharType="begin"/>
            </w:r>
            <w:r w:rsidR="00965669">
              <w:rPr>
                <w:noProof/>
                <w:webHidden/>
              </w:rPr>
              <w:instrText xml:space="preserve"> PAGEREF _Toc149213442 \h </w:instrText>
            </w:r>
            <w:r w:rsidR="00965669">
              <w:rPr>
                <w:noProof/>
                <w:webHidden/>
              </w:rPr>
            </w:r>
            <w:r w:rsidR="00965669">
              <w:rPr>
                <w:noProof/>
                <w:webHidden/>
              </w:rPr>
              <w:fldChar w:fldCharType="separate"/>
            </w:r>
            <w:r w:rsidR="0037343C">
              <w:rPr>
                <w:noProof/>
                <w:webHidden/>
              </w:rPr>
              <w:t>8</w:t>
            </w:r>
            <w:r w:rsidR="00965669">
              <w:rPr>
                <w:noProof/>
                <w:webHidden/>
              </w:rPr>
              <w:fldChar w:fldCharType="end"/>
            </w:r>
          </w:hyperlink>
        </w:p>
        <w:p w14:paraId="5553502C" w14:textId="53E67F8A" w:rsidR="00965669" w:rsidRDefault="009F791C">
          <w:pPr>
            <w:pStyle w:val="TOC2"/>
            <w:rPr>
              <w:rFonts w:asciiTheme="minorHAnsi" w:eastAsiaTheme="minorEastAsia" w:hAnsiTheme="minorHAnsi" w:cstheme="minorBidi"/>
              <w:b w:val="0"/>
              <w:noProof/>
              <w:color w:val="auto"/>
              <w:sz w:val="22"/>
              <w:lang w:eastAsia="en-AU"/>
            </w:rPr>
          </w:pPr>
          <w:hyperlink w:anchor="_Toc149213443" w:history="1">
            <w:r w:rsidR="00965669" w:rsidRPr="00505766">
              <w:rPr>
                <w:rStyle w:val="Hyperlink"/>
                <w:noProof/>
              </w:rPr>
              <w:t>Product background</w:t>
            </w:r>
            <w:r w:rsidR="00965669">
              <w:rPr>
                <w:noProof/>
                <w:webHidden/>
              </w:rPr>
              <w:tab/>
            </w:r>
            <w:r w:rsidR="00965669">
              <w:rPr>
                <w:noProof/>
                <w:webHidden/>
              </w:rPr>
              <w:fldChar w:fldCharType="begin"/>
            </w:r>
            <w:r w:rsidR="00965669">
              <w:rPr>
                <w:noProof/>
                <w:webHidden/>
              </w:rPr>
              <w:instrText xml:space="preserve"> PAGEREF _Toc149213443 \h </w:instrText>
            </w:r>
            <w:r w:rsidR="00965669">
              <w:rPr>
                <w:noProof/>
                <w:webHidden/>
              </w:rPr>
            </w:r>
            <w:r w:rsidR="00965669">
              <w:rPr>
                <w:noProof/>
                <w:webHidden/>
              </w:rPr>
              <w:fldChar w:fldCharType="separate"/>
            </w:r>
            <w:r w:rsidR="0037343C">
              <w:rPr>
                <w:noProof/>
                <w:webHidden/>
              </w:rPr>
              <w:t>8</w:t>
            </w:r>
            <w:r w:rsidR="00965669">
              <w:rPr>
                <w:noProof/>
                <w:webHidden/>
              </w:rPr>
              <w:fldChar w:fldCharType="end"/>
            </w:r>
          </w:hyperlink>
        </w:p>
        <w:p w14:paraId="78379454" w14:textId="4F632845" w:rsidR="00965669" w:rsidRDefault="009F791C">
          <w:pPr>
            <w:pStyle w:val="TOC3"/>
            <w:rPr>
              <w:rFonts w:asciiTheme="minorHAnsi" w:eastAsiaTheme="minorEastAsia" w:hAnsiTheme="minorHAnsi" w:cstheme="minorBidi"/>
              <w:b w:val="0"/>
              <w:noProof/>
              <w:color w:val="auto"/>
              <w:lang w:eastAsia="en-AU"/>
            </w:rPr>
          </w:pPr>
          <w:hyperlink w:anchor="_Toc149213444" w:history="1">
            <w:r w:rsidR="00965669" w:rsidRPr="00505766">
              <w:rPr>
                <w:rStyle w:val="Hyperlink"/>
                <w:noProof/>
              </w:rPr>
              <w:t>Condition</w:t>
            </w:r>
            <w:r w:rsidR="00965669">
              <w:rPr>
                <w:noProof/>
                <w:webHidden/>
              </w:rPr>
              <w:tab/>
            </w:r>
            <w:r w:rsidR="00965669">
              <w:rPr>
                <w:noProof/>
                <w:webHidden/>
              </w:rPr>
              <w:fldChar w:fldCharType="begin"/>
            </w:r>
            <w:r w:rsidR="00965669">
              <w:rPr>
                <w:noProof/>
                <w:webHidden/>
              </w:rPr>
              <w:instrText xml:space="preserve"> PAGEREF _Toc149213444 \h </w:instrText>
            </w:r>
            <w:r w:rsidR="00965669">
              <w:rPr>
                <w:noProof/>
                <w:webHidden/>
              </w:rPr>
            </w:r>
            <w:r w:rsidR="00965669">
              <w:rPr>
                <w:noProof/>
                <w:webHidden/>
              </w:rPr>
              <w:fldChar w:fldCharType="separate"/>
            </w:r>
            <w:r w:rsidR="0037343C">
              <w:rPr>
                <w:noProof/>
                <w:webHidden/>
              </w:rPr>
              <w:t>9</w:t>
            </w:r>
            <w:r w:rsidR="00965669">
              <w:rPr>
                <w:noProof/>
                <w:webHidden/>
              </w:rPr>
              <w:fldChar w:fldCharType="end"/>
            </w:r>
          </w:hyperlink>
        </w:p>
        <w:p w14:paraId="07424D62" w14:textId="4A445687" w:rsidR="00965669" w:rsidRDefault="009F791C">
          <w:pPr>
            <w:pStyle w:val="TOC3"/>
            <w:rPr>
              <w:rFonts w:asciiTheme="minorHAnsi" w:eastAsiaTheme="minorEastAsia" w:hAnsiTheme="minorHAnsi" w:cstheme="minorBidi"/>
              <w:b w:val="0"/>
              <w:noProof/>
              <w:color w:val="auto"/>
              <w:lang w:eastAsia="en-AU"/>
            </w:rPr>
          </w:pPr>
          <w:hyperlink w:anchor="_Toc149213445" w:history="1">
            <w:r w:rsidR="00965669" w:rsidRPr="00505766">
              <w:rPr>
                <w:rStyle w:val="Hyperlink"/>
                <w:noProof/>
              </w:rPr>
              <w:t>Current treatment options</w:t>
            </w:r>
            <w:r w:rsidR="00965669">
              <w:rPr>
                <w:noProof/>
                <w:webHidden/>
              </w:rPr>
              <w:tab/>
            </w:r>
            <w:r w:rsidR="00965669">
              <w:rPr>
                <w:noProof/>
                <w:webHidden/>
              </w:rPr>
              <w:fldChar w:fldCharType="begin"/>
            </w:r>
            <w:r w:rsidR="00965669">
              <w:rPr>
                <w:noProof/>
                <w:webHidden/>
              </w:rPr>
              <w:instrText xml:space="preserve"> PAGEREF _Toc149213445 \h </w:instrText>
            </w:r>
            <w:r w:rsidR="00965669">
              <w:rPr>
                <w:noProof/>
                <w:webHidden/>
              </w:rPr>
            </w:r>
            <w:r w:rsidR="00965669">
              <w:rPr>
                <w:noProof/>
                <w:webHidden/>
              </w:rPr>
              <w:fldChar w:fldCharType="separate"/>
            </w:r>
            <w:r w:rsidR="0037343C">
              <w:rPr>
                <w:noProof/>
                <w:webHidden/>
              </w:rPr>
              <w:t>9</w:t>
            </w:r>
            <w:r w:rsidR="00965669">
              <w:rPr>
                <w:noProof/>
                <w:webHidden/>
              </w:rPr>
              <w:fldChar w:fldCharType="end"/>
            </w:r>
          </w:hyperlink>
        </w:p>
        <w:p w14:paraId="159F6D9D" w14:textId="2763E5FB" w:rsidR="00965669" w:rsidRDefault="009F791C">
          <w:pPr>
            <w:pStyle w:val="TOC3"/>
            <w:rPr>
              <w:rFonts w:asciiTheme="minorHAnsi" w:eastAsiaTheme="minorEastAsia" w:hAnsiTheme="minorHAnsi" w:cstheme="minorBidi"/>
              <w:b w:val="0"/>
              <w:noProof/>
              <w:color w:val="auto"/>
              <w:lang w:eastAsia="en-AU"/>
            </w:rPr>
          </w:pPr>
          <w:hyperlink w:anchor="_Toc149213446" w:history="1">
            <w:r w:rsidR="00965669" w:rsidRPr="00505766">
              <w:rPr>
                <w:rStyle w:val="Hyperlink"/>
                <w:noProof/>
              </w:rPr>
              <w:t>Australian regulatory status</w:t>
            </w:r>
            <w:r w:rsidR="00965669">
              <w:rPr>
                <w:noProof/>
                <w:webHidden/>
              </w:rPr>
              <w:tab/>
            </w:r>
            <w:r w:rsidR="00965669">
              <w:rPr>
                <w:noProof/>
                <w:webHidden/>
              </w:rPr>
              <w:fldChar w:fldCharType="begin"/>
            </w:r>
            <w:r w:rsidR="00965669">
              <w:rPr>
                <w:noProof/>
                <w:webHidden/>
              </w:rPr>
              <w:instrText xml:space="preserve"> PAGEREF _Toc149213446 \h </w:instrText>
            </w:r>
            <w:r w:rsidR="00965669">
              <w:rPr>
                <w:noProof/>
                <w:webHidden/>
              </w:rPr>
            </w:r>
            <w:r w:rsidR="00965669">
              <w:rPr>
                <w:noProof/>
                <w:webHidden/>
              </w:rPr>
              <w:fldChar w:fldCharType="separate"/>
            </w:r>
            <w:r w:rsidR="0037343C">
              <w:rPr>
                <w:noProof/>
                <w:webHidden/>
              </w:rPr>
              <w:t>10</w:t>
            </w:r>
            <w:r w:rsidR="00965669">
              <w:rPr>
                <w:noProof/>
                <w:webHidden/>
              </w:rPr>
              <w:fldChar w:fldCharType="end"/>
            </w:r>
          </w:hyperlink>
        </w:p>
        <w:p w14:paraId="203CDEAD" w14:textId="7C3F9268" w:rsidR="00965669" w:rsidRDefault="009F791C">
          <w:pPr>
            <w:pStyle w:val="TOC2"/>
            <w:rPr>
              <w:rFonts w:asciiTheme="minorHAnsi" w:eastAsiaTheme="minorEastAsia" w:hAnsiTheme="minorHAnsi" w:cstheme="minorBidi"/>
              <w:b w:val="0"/>
              <w:noProof/>
              <w:color w:val="auto"/>
              <w:sz w:val="22"/>
              <w:lang w:eastAsia="en-AU"/>
            </w:rPr>
          </w:pPr>
          <w:hyperlink w:anchor="_Toc149213447" w:history="1">
            <w:r w:rsidR="00965669" w:rsidRPr="00505766">
              <w:rPr>
                <w:rStyle w:val="Hyperlink"/>
                <w:noProof/>
              </w:rPr>
              <w:t>Regulatory status</w:t>
            </w:r>
            <w:r w:rsidR="00965669">
              <w:rPr>
                <w:noProof/>
                <w:webHidden/>
              </w:rPr>
              <w:tab/>
            </w:r>
            <w:r w:rsidR="00965669">
              <w:rPr>
                <w:noProof/>
                <w:webHidden/>
              </w:rPr>
              <w:fldChar w:fldCharType="begin"/>
            </w:r>
            <w:r w:rsidR="00965669">
              <w:rPr>
                <w:noProof/>
                <w:webHidden/>
              </w:rPr>
              <w:instrText xml:space="preserve"> PAGEREF _Toc149213447 \h </w:instrText>
            </w:r>
            <w:r w:rsidR="00965669">
              <w:rPr>
                <w:noProof/>
                <w:webHidden/>
              </w:rPr>
            </w:r>
            <w:r w:rsidR="00965669">
              <w:rPr>
                <w:noProof/>
                <w:webHidden/>
              </w:rPr>
              <w:fldChar w:fldCharType="separate"/>
            </w:r>
            <w:r w:rsidR="0037343C">
              <w:rPr>
                <w:noProof/>
                <w:webHidden/>
              </w:rPr>
              <w:t>11</w:t>
            </w:r>
            <w:r w:rsidR="00965669">
              <w:rPr>
                <w:noProof/>
                <w:webHidden/>
              </w:rPr>
              <w:fldChar w:fldCharType="end"/>
            </w:r>
          </w:hyperlink>
        </w:p>
        <w:p w14:paraId="5A3766FE" w14:textId="15D8C585" w:rsidR="00965669" w:rsidRDefault="009F791C">
          <w:pPr>
            <w:pStyle w:val="TOC2"/>
            <w:rPr>
              <w:rFonts w:asciiTheme="minorHAnsi" w:eastAsiaTheme="minorEastAsia" w:hAnsiTheme="minorHAnsi" w:cstheme="minorBidi"/>
              <w:b w:val="0"/>
              <w:noProof/>
              <w:color w:val="auto"/>
              <w:sz w:val="22"/>
              <w:lang w:eastAsia="en-AU"/>
            </w:rPr>
          </w:pPr>
          <w:hyperlink w:anchor="_Toc149213448" w:history="1">
            <w:r w:rsidR="00965669" w:rsidRPr="00505766">
              <w:rPr>
                <w:rStyle w:val="Hyperlink"/>
                <w:noProof/>
              </w:rPr>
              <w:t>Product Information</w:t>
            </w:r>
            <w:r w:rsidR="00965669">
              <w:rPr>
                <w:noProof/>
                <w:webHidden/>
              </w:rPr>
              <w:tab/>
            </w:r>
            <w:r w:rsidR="00965669">
              <w:rPr>
                <w:noProof/>
                <w:webHidden/>
              </w:rPr>
              <w:fldChar w:fldCharType="begin"/>
            </w:r>
            <w:r w:rsidR="00965669">
              <w:rPr>
                <w:noProof/>
                <w:webHidden/>
              </w:rPr>
              <w:instrText xml:space="preserve"> PAGEREF _Toc149213448 \h </w:instrText>
            </w:r>
            <w:r w:rsidR="00965669">
              <w:rPr>
                <w:noProof/>
                <w:webHidden/>
              </w:rPr>
            </w:r>
            <w:r w:rsidR="00965669">
              <w:rPr>
                <w:noProof/>
                <w:webHidden/>
              </w:rPr>
              <w:fldChar w:fldCharType="separate"/>
            </w:r>
            <w:r w:rsidR="0037343C">
              <w:rPr>
                <w:noProof/>
                <w:webHidden/>
              </w:rPr>
              <w:t>13</w:t>
            </w:r>
            <w:r w:rsidR="00965669">
              <w:rPr>
                <w:noProof/>
                <w:webHidden/>
              </w:rPr>
              <w:fldChar w:fldCharType="end"/>
            </w:r>
          </w:hyperlink>
        </w:p>
        <w:p w14:paraId="1A76F771" w14:textId="2E720E74" w:rsidR="00965669" w:rsidRDefault="009F791C">
          <w:pPr>
            <w:pStyle w:val="TOC1"/>
            <w:rPr>
              <w:rFonts w:asciiTheme="minorHAnsi" w:eastAsiaTheme="minorEastAsia" w:hAnsiTheme="minorHAnsi" w:cstheme="minorBidi"/>
              <w:b w:val="0"/>
              <w:noProof/>
              <w:color w:val="auto"/>
              <w:sz w:val="22"/>
              <w:lang w:eastAsia="en-AU"/>
            </w:rPr>
          </w:pPr>
          <w:hyperlink w:anchor="_Toc149213449" w:history="1">
            <w:r w:rsidR="00965669" w:rsidRPr="00505766">
              <w:rPr>
                <w:rStyle w:val="Hyperlink"/>
                <w:noProof/>
              </w:rPr>
              <w:t>Registration timeline</w:t>
            </w:r>
            <w:r w:rsidR="00965669">
              <w:rPr>
                <w:noProof/>
                <w:webHidden/>
              </w:rPr>
              <w:tab/>
            </w:r>
            <w:r w:rsidR="00965669">
              <w:rPr>
                <w:noProof/>
                <w:webHidden/>
              </w:rPr>
              <w:fldChar w:fldCharType="begin"/>
            </w:r>
            <w:r w:rsidR="00965669">
              <w:rPr>
                <w:noProof/>
                <w:webHidden/>
              </w:rPr>
              <w:instrText xml:space="preserve"> PAGEREF _Toc149213449 \h </w:instrText>
            </w:r>
            <w:r w:rsidR="00965669">
              <w:rPr>
                <w:noProof/>
                <w:webHidden/>
              </w:rPr>
            </w:r>
            <w:r w:rsidR="00965669">
              <w:rPr>
                <w:noProof/>
                <w:webHidden/>
              </w:rPr>
              <w:fldChar w:fldCharType="separate"/>
            </w:r>
            <w:r w:rsidR="0037343C">
              <w:rPr>
                <w:noProof/>
                <w:webHidden/>
              </w:rPr>
              <w:t>14</w:t>
            </w:r>
            <w:r w:rsidR="00965669">
              <w:rPr>
                <w:noProof/>
                <w:webHidden/>
              </w:rPr>
              <w:fldChar w:fldCharType="end"/>
            </w:r>
          </w:hyperlink>
        </w:p>
        <w:p w14:paraId="60FF635F" w14:textId="6107801A" w:rsidR="00965669" w:rsidRDefault="009F791C">
          <w:pPr>
            <w:pStyle w:val="TOC1"/>
            <w:rPr>
              <w:rFonts w:asciiTheme="minorHAnsi" w:eastAsiaTheme="minorEastAsia" w:hAnsiTheme="minorHAnsi" w:cstheme="minorBidi"/>
              <w:b w:val="0"/>
              <w:noProof/>
              <w:color w:val="auto"/>
              <w:sz w:val="22"/>
              <w:lang w:eastAsia="en-AU"/>
            </w:rPr>
          </w:pPr>
          <w:hyperlink w:anchor="_Toc149213450" w:history="1">
            <w:r w:rsidR="00965669" w:rsidRPr="00505766">
              <w:rPr>
                <w:rStyle w:val="Hyperlink"/>
                <w:noProof/>
              </w:rPr>
              <w:t>Submission overview and risk/benefit assessment</w:t>
            </w:r>
            <w:r w:rsidR="00965669">
              <w:rPr>
                <w:noProof/>
                <w:webHidden/>
              </w:rPr>
              <w:tab/>
            </w:r>
            <w:r w:rsidR="00965669">
              <w:rPr>
                <w:noProof/>
                <w:webHidden/>
              </w:rPr>
              <w:fldChar w:fldCharType="begin"/>
            </w:r>
            <w:r w:rsidR="00965669">
              <w:rPr>
                <w:noProof/>
                <w:webHidden/>
              </w:rPr>
              <w:instrText xml:space="preserve"> PAGEREF _Toc149213450 \h </w:instrText>
            </w:r>
            <w:r w:rsidR="00965669">
              <w:rPr>
                <w:noProof/>
                <w:webHidden/>
              </w:rPr>
            </w:r>
            <w:r w:rsidR="00965669">
              <w:rPr>
                <w:noProof/>
                <w:webHidden/>
              </w:rPr>
              <w:fldChar w:fldCharType="separate"/>
            </w:r>
            <w:r w:rsidR="0037343C">
              <w:rPr>
                <w:noProof/>
                <w:webHidden/>
              </w:rPr>
              <w:t>15</w:t>
            </w:r>
            <w:r w:rsidR="00965669">
              <w:rPr>
                <w:noProof/>
                <w:webHidden/>
              </w:rPr>
              <w:fldChar w:fldCharType="end"/>
            </w:r>
          </w:hyperlink>
        </w:p>
        <w:p w14:paraId="40940BA1" w14:textId="641A4A04" w:rsidR="00965669" w:rsidRDefault="009F791C">
          <w:pPr>
            <w:pStyle w:val="TOC2"/>
            <w:rPr>
              <w:rFonts w:asciiTheme="minorHAnsi" w:eastAsiaTheme="minorEastAsia" w:hAnsiTheme="minorHAnsi" w:cstheme="minorBidi"/>
              <w:b w:val="0"/>
              <w:noProof/>
              <w:color w:val="auto"/>
              <w:sz w:val="22"/>
              <w:lang w:eastAsia="en-AU"/>
            </w:rPr>
          </w:pPr>
          <w:hyperlink w:anchor="_Toc149213451" w:history="1">
            <w:r w:rsidR="00965669" w:rsidRPr="00505766">
              <w:rPr>
                <w:rStyle w:val="Hyperlink"/>
                <w:noProof/>
              </w:rPr>
              <w:t>Quality</w:t>
            </w:r>
            <w:r w:rsidR="00965669">
              <w:rPr>
                <w:noProof/>
                <w:webHidden/>
              </w:rPr>
              <w:tab/>
            </w:r>
            <w:r w:rsidR="00965669">
              <w:rPr>
                <w:noProof/>
                <w:webHidden/>
              </w:rPr>
              <w:fldChar w:fldCharType="begin"/>
            </w:r>
            <w:r w:rsidR="00965669">
              <w:rPr>
                <w:noProof/>
                <w:webHidden/>
              </w:rPr>
              <w:instrText xml:space="preserve"> PAGEREF _Toc149213451 \h </w:instrText>
            </w:r>
            <w:r w:rsidR="00965669">
              <w:rPr>
                <w:noProof/>
                <w:webHidden/>
              </w:rPr>
            </w:r>
            <w:r w:rsidR="00965669">
              <w:rPr>
                <w:noProof/>
                <w:webHidden/>
              </w:rPr>
              <w:fldChar w:fldCharType="separate"/>
            </w:r>
            <w:r w:rsidR="0037343C">
              <w:rPr>
                <w:noProof/>
                <w:webHidden/>
              </w:rPr>
              <w:t>15</w:t>
            </w:r>
            <w:r w:rsidR="00965669">
              <w:rPr>
                <w:noProof/>
                <w:webHidden/>
              </w:rPr>
              <w:fldChar w:fldCharType="end"/>
            </w:r>
          </w:hyperlink>
        </w:p>
        <w:p w14:paraId="0A8EEA58" w14:textId="342E9188" w:rsidR="00965669" w:rsidRDefault="009F791C">
          <w:pPr>
            <w:pStyle w:val="TOC2"/>
            <w:rPr>
              <w:rFonts w:asciiTheme="minorHAnsi" w:eastAsiaTheme="minorEastAsia" w:hAnsiTheme="minorHAnsi" w:cstheme="minorBidi"/>
              <w:b w:val="0"/>
              <w:noProof/>
              <w:color w:val="auto"/>
              <w:sz w:val="22"/>
              <w:lang w:eastAsia="en-AU"/>
            </w:rPr>
          </w:pPr>
          <w:hyperlink w:anchor="_Toc149213452" w:history="1">
            <w:r w:rsidR="00965669" w:rsidRPr="00505766">
              <w:rPr>
                <w:rStyle w:val="Hyperlink"/>
                <w:noProof/>
              </w:rPr>
              <w:t>Nonclinical</w:t>
            </w:r>
            <w:r w:rsidR="00965669">
              <w:rPr>
                <w:noProof/>
                <w:webHidden/>
              </w:rPr>
              <w:tab/>
            </w:r>
            <w:r w:rsidR="00965669">
              <w:rPr>
                <w:noProof/>
                <w:webHidden/>
              </w:rPr>
              <w:fldChar w:fldCharType="begin"/>
            </w:r>
            <w:r w:rsidR="00965669">
              <w:rPr>
                <w:noProof/>
                <w:webHidden/>
              </w:rPr>
              <w:instrText xml:space="preserve"> PAGEREF _Toc149213452 \h </w:instrText>
            </w:r>
            <w:r w:rsidR="00965669">
              <w:rPr>
                <w:noProof/>
                <w:webHidden/>
              </w:rPr>
            </w:r>
            <w:r w:rsidR="00965669">
              <w:rPr>
                <w:noProof/>
                <w:webHidden/>
              </w:rPr>
              <w:fldChar w:fldCharType="separate"/>
            </w:r>
            <w:r w:rsidR="0037343C">
              <w:rPr>
                <w:noProof/>
                <w:webHidden/>
              </w:rPr>
              <w:t>16</w:t>
            </w:r>
            <w:r w:rsidR="00965669">
              <w:rPr>
                <w:noProof/>
                <w:webHidden/>
              </w:rPr>
              <w:fldChar w:fldCharType="end"/>
            </w:r>
          </w:hyperlink>
        </w:p>
        <w:p w14:paraId="27C0F70E" w14:textId="63FDE9FE" w:rsidR="00965669" w:rsidRDefault="009F791C">
          <w:pPr>
            <w:pStyle w:val="TOC2"/>
            <w:rPr>
              <w:rFonts w:asciiTheme="minorHAnsi" w:eastAsiaTheme="minorEastAsia" w:hAnsiTheme="minorHAnsi" w:cstheme="minorBidi"/>
              <w:b w:val="0"/>
              <w:noProof/>
              <w:color w:val="auto"/>
              <w:sz w:val="22"/>
              <w:lang w:eastAsia="en-AU"/>
            </w:rPr>
          </w:pPr>
          <w:hyperlink w:anchor="_Toc149213453" w:history="1">
            <w:r w:rsidR="00965669" w:rsidRPr="00505766">
              <w:rPr>
                <w:rStyle w:val="Hyperlink"/>
                <w:noProof/>
              </w:rPr>
              <w:t>Clinical</w:t>
            </w:r>
            <w:r w:rsidR="00965669">
              <w:rPr>
                <w:noProof/>
                <w:webHidden/>
              </w:rPr>
              <w:tab/>
            </w:r>
            <w:r w:rsidR="00965669">
              <w:rPr>
                <w:noProof/>
                <w:webHidden/>
              </w:rPr>
              <w:fldChar w:fldCharType="begin"/>
            </w:r>
            <w:r w:rsidR="00965669">
              <w:rPr>
                <w:noProof/>
                <w:webHidden/>
              </w:rPr>
              <w:instrText xml:space="preserve"> PAGEREF _Toc149213453 \h </w:instrText>
            </w:r>
            <w:r w:rsidR="00965669">
              <w:rPr>
                <w:noProof/>
                <w:webHidden/>
              </w:rPr>
            </w:r>
            <w:r w:rsidR="00965669">
              <w:rPr>
                <w:noProof/>
                <w:webHidden/>
              </w:rPr>
              <w:fldChar w:fldCharType="separate"/>
            </w:r>
            <w:r w:rsidR="0037343C">
              <w:rPr>
                <w:noProof/>
                <w:webHidden/>
              </w:rPr>
              <w:t>16</w:t>
            </w:r>
            <w:r w:rsidR="00965669">
              <w:rPr>
                <w:noProof/>
                <w:webHidden/>
              </w:rPr>
              <w:fldChar w:fldCharType="end"/>
            </w:r>
          </w:hyperlink>
        </w:p>
        <w:p w14:paraId="30D299B2" w14:textId="2DDEE3D5" w:rsidR="00965669" w:rsidRDefault="009F791C">
          <w:pPr>
            <w:pStyle w:val="TOC3"/>
            <w:rPr>
              <w:rFonts w:asciiTheme="minorHAnsi" w:eastAsiaTheme="minorEastAsia" w:hAnsiTheme="minorHAnsi" w:cstheme="minorBidi"/>
              <w:b w:val="0"/>
              <w:noProof/>
              <w:color w:val="auto"/>
              <w:lang w:eastAsia="en-AU"/>
            </w:rPr>
          </w:pPr>
          <w:hyperlink w:anchor="_Toc149213454" w:history="1">
            <w:r w:rsidR="00965669" w:rsidRPr="00505766">
              <w:rPr>
                <w:rStyle w:val="Hyperlink"/>
                <w:noProof/>
              </w:rPr>
              <w:t>Summary of key findings from clinical pharmacology assessment:</w:t>
            </w:r>
            <w:r w:rsidR="00965669">
              <w:rPr>
                <w:noProof/>
                <w:webHidden/>
              </w:rPr>
              <w:tab/>
            </w:r>
            <w:r w:rsidR="00965669">
              <w:rPr>
                <w:noProof/>
                <w:webHidden/>
              </w:rPr>
              <w:fldChar w:fldCharType="begin"/>
            </w:r>
            <w:r w:rsidR="00965669">
              <w:rPr>
                <w:noProof/>
                <w:webHidden/>
              </w:rPr>
              <w:instrText xml:space="preserve"> PAGEREF _Toc149213454 \h </w:instrText>
            </w:r>
            <w:r w:rsidR="00965669">
              <w:rPr>
                <w:noProof/>
                <w:webHidden/>
              </w:rPr>
            </w:r>
            <w:r w:rsidR="00965669">
              <w:rPr>
                <w:noProof/>
                <w:webHidden/>
              </w:rPr>
              <w:fldChar w:fldCharType="separate"/>
            </w:r>
            <w:r w:rsidR="0037343C">
              <w:rPr>
                <w:noProof/>
                <w:webHidden/>
              </w:rPr>
              <w:t>17</w:t>
            </w:r>
            <w:r w:rsidR="00965669">
              <w:rPr>
                <w:noProof/>
                <w:webHidden/>
              </w:rPr>
              <w:fldChar w:fldCharType="end"/>
            </w:r>
          </w:hyperlink>
        </w:p>
        <w:p w14:paraId="1A5F11B1" w14:textId="5D8C6704" w:rsidR="00965669" w:rsidRDefault="009F791C">
          <w:pPr>
            <w:pStyle w:val="TOC3"/>
            <w:rPr>
              <w:rFonts w:asciiTheme="minorHAnsi" w:eastAsiaTheme="minorEastAsia" w:hAnsiTheme="minorHAnsi" w:cstheme="minorBidi"/>
              <w:b w:val="0"/>
              <w:noProof/>
              <w:color w:val="auto"/>
              <w:lang w:eastAsia="en-AU"/>
            </w:rPr>
          </w:pPr>
          <w:hyperlink w:anchor="_Toc149213455" w:history="1">
            <w:r w:rsidR="00965669" w:rsidRPr="00505766">
              <w:rPr>
                <w:rStyle w:val="Hyperlink"/>
                <w:noProof/>
              </w:rPr>
              <w:t>Efficacy</w:t>
            </w:r>
            <w:r w:rsidR="00965669">
              <w:rPr>
                <w:noProof/>
                <w:webHidden/>
              </w:rPr>
              <w:tab/>
            </w:r>
            <w:r w:rsidR="00965669">
              <w:rPr>
                <w:noProof/>
                <w:webHidden/>
              </w:rPr>
              <w:fldChar w:fldCharType="begin"/>
            </w:r>
            <w:r w:rsidR="00965669">
              <w:rPr>
                <w:noProof/>
                <w:webHidden/>
              </w:rPr>
              <w:instrText xml:space="preserve"> PAGEREF _Toc149213455 \h </w:instrText>
            </w:r>
            <w:r w:rsidR="00965669">
              <w:rPr>
                <w:noProof/>
                <w:webHidden/>
              </w:rPr>
            </w:r>
            <w:r w:rsidR="00965669">
              <w:rPr>
                <w:noProof/>
                <w:webHidden/>
              </w:rPr>
              <w:fldChar w:fldCharType="separate"/>
            </w:r>
            <w:r w:rsidR="0037343C">
              <w:rPr>
                <w:noProof/>
                <w:webHidden/>
              </w:rPr>
              <w:t>20</w:t>
            </w:r>
            <w:r w:rsidR="00965669">
              <w:rPr>
                <w:noProof/>
                <w:webHidden/>
              </w:rPr>
              <w:fldChar w:fldCharType="end"/>
            </w:r>
          </w:hyperlink>
        </w:p>
        <w:p w14:paraId="4C36667A" w14:textId="772FC7B5" w:rsidR="00965669" w:rsidRDefault="009F791C">
          <w:pPr>
            <w:pStyle w:val="TOC3"/>
            <w:rPr>
              <w:rFonts w:asciiTheme="minorHAnsi" w:eastAsiaTheme="minorEastAsia" w:hAnsiTheme="minorHAnsi" w:cstheme="minorBidi"/>
              <w:b w:val="0"/>
              <w:noProof/>
              <w:color w:val="auto"/>
              <w:lang w:eastAsia="en-AU"/>
            </w:rPr>
          </w:pPr>
          <w:hyperlink w:anchor="_Toc149213456" w:history="1">
            <w:r w:rsidR="00965669" w:rsidRPr="00505766">
              <w:rPr>
                <w:rStyle w:val="Hyperlink"/>
                <w:noProof/>
              </w:rPr>
              <w:t>Safety</w:t>
            </w:r>
            <w:r w:rsidR="00965669">
              <w:rPr>
                <w:noProof/>
                <w:webHidden/>
              </w:rPr>
              <w:tab/>
            </w:r>
            <w:r w:rsidR="00965669">
              <w:rPr>
                <w:noProof/>
                <w:webHidden/>
              </w:rPr>
              <w:fldChar w:fldCharType="begin"/>
            </w:r>
            <w:r w:rsidR="00965669">
              <w:rPr>
                <w:noProof/>
                <w:webHidden/>
              </w:rPr>
              <w:instrText xml:space="preserve"> PAGEREF _Toc149213456 \h </w:instrText>
            </w:r>
            <w:r w:rsidR="00965669">
              <w:rPr>
                <w:noProof/>
                <w:webHidden/>
              </w:rPr>
            </w:r>
            <w:r w:rsidR="00965669">
              <w:rPr>
                <w:noProof/>
                <w:webHidden/>
              </w:rPr>
              <w:fldChar w:fldCharType="separate"/>
            </w:r>
            <w:r w:rsidR="0037343C">
              <w:rPr>
                <w:noProof/>
                <w:webHidden/>
              </w:rPr>
              <w:t>30</w:t>
            </w:r>
            <w:r w:rsidR="00965669">
              <w:rPr>
                <w:noProof/>
                <w:webHidden/>
              </w:rPr>
              <w:fldChar w:fldCharType="end"/>
            </w:r>
          </w:hyperlink>
        </w:p>
        <w:p w14:paraId="5E06327B" w14:textId="2BDEA962" w:rsidR="00965669" w:rsidRDefault="009F791C">
          <w:pPr>
            <w:pStyle w:val="TOC2"/>
            <w:rPr>
              <w:rFonts w:asciiTheme="minorHAnsi" w:eastAsiaTheme="minorEastAsia" w:hAnsiTheme="minorHAnsi" w:cstheme="minorBidi"/>
              <w:b w:val="0"/>
              <w:noProof/>
              <w:color w:val="auto"/>
              <w:sz w:val="22"/>
              <w:lang w:eastAsia="en-AU"/>
            </w:rPr>
          </w:pPr>
          <w:hyperlink w:anchor="_Toc149213457" w:history="1">
            <w:r w:rsidR="00965669" w:rsidRPr="00505766">
              <w:rPr>
                <w:rStyle w:val="Hyperlink"/>
                <w:noProof/>
              </w:rPr>
              <w:t>Risk management plan</w:t>
            </w:r>
            <w:r w:rsidR="00965669">
              <w:rPr>
                <w:noProof/>
                <w:webHidden/>
              </w:rPr>
              <w:tab/>
            </w:r>
            <w:r w:rsidR="00965669">
              <w:rPr>
                <w:noProof/>
                <w:webHidden/>
              </w:rPr>
              <w:fldChar w:fldCharType="begin"/>
            </w:r>
            <w:r w:rsidR="00965669">
              <w:rPr>
                <w:noProof/>
                <w:webHidden/>
              </w:rPr>
              <w:instrText xml:space="preserve"> PAGEREF _Toc149213457 \h </w:instrText>
            </w:r>
            <w:r w:rsidR="00965669">
              <w:rPr>
                <w:noProof/>
                <w:webHidden/>
              </w:rPr>
            </w:r>
            <w:r w:rsidR="00965669">
              <w:rPr>
                <w:noProof/>
                <w:webHidden/>
              </w:rPr>
              <w:fldChar w:fldCharType="separate"/>
            </w:r>
            <w:r w:rsidR="0037343C">
              <w:rPr>
                <w:noProof/>
                <w:webHidden/>
              </w:rPr>
              <w:t>38</w:t>
            </w:r>
            <w:r w:rsidR="00965669">
              <w:rPr>
                <w:noProof/>
                <w:webHidden/>
              </w:rPr>
              <w:fldChar w:fldCharType="end"/>
            </w:r>
          </w:hyperlink>
        </w:p>
        <w:p w14:paraId="2ECB828F" w14:textId="30F167CA" w:rsidR="00965669" w:rsidRDefault="009F791C">
          <w:pPr>
            <w:pStyle w:val="TOC2"/>
            <w:rPr>
              <w:rFonts w:asciiTheme="minorHAnsi" w:eastAsiaTheme="minorEastAsia" w:hAnsiTheme="minorHAnsi" w:cstheme="minorBidi"/>
              <w:b w:val="0"/>
              <w:noProof/>
              <w:color w:val="auto"/>
              <w:sz w:val="22"/>
              <w:lang w:eastAsia="en-AU"/>
            </w:rPr>
          </w:pPr>
          <w:hyperlink w:anchor="_Toc149213458" w:history="1">
            <w:r w:rsidR="00965669" w:rsidRPr="00505766">
              <w:rPr>
                <w:rStyle w:val="Hyperlink"/>
                <w:noProof/>
              </w:rPr>
              <w:t>Risk-benefit analysis</w:t>
            </w:r>
            <w:r w:rsidR="00965669">
              <w:rPr>
                <w:noProof/>
                <w:webHidden/>
              </w:rPr>
              <w:tab/>
            </w:r>
            <w:r w:rsidR="00965669">
              <w:rPr>
                <w:noProof/>
                <w:webHidden/>
              </w:rPr>
              <w:fldChar w:fldCharType="begin"/>
            </w:r>
            <w:r w:rsidR="00965669">
              <w:rPr>
                <w:noProof/>
                <w:webHidden/>
              </w:rPr>
              <w:instrText xml:space="preserve"> PAGEREF _Toc149213458 \h </w:instrText>
            </w:r>
            <w:r w:rsidR="00965669">
              <w:rPr>
                <w:noProof/>
                <w:webHidden/>
              </w:rPr>
            </w:r>
            <w:r w:rsidR="00965669">
              <w:rPr>
                <w:noProof/>
                <w:webHidden/>
              </w:rPr>
              <w:fldChar w:fldCharType="separate"/>
            </w:r>
            <w:r w:rsidR="0037343C">
              <w:rPr>
                <w:noProof/>
                <w:webHidden/>
              </w:rPr>
              <w:t>39</w:t>
            </w:r>
            <w:r w:rsidR="00965669">
              <w:rPr>
                <w:noProof/>
                <w:webHidden/>
              </w:rPr>
              <w:fldChar w:fldCharType="end"/>
            </w:r>
          </w:hyperlink>
        </w:p>
        <w:p w14:paraId="505C74AD" w14:textId="707736BB" w:rsidR="00965669" w:rsidRDefault="009F791C">
          <w:pPr>
            <w:pStyle w:val="TOC3"/>
            <w:rPr>
              <w:rFonts w:asciiTheme="minorHAnsi" w:eastAsiaTheme="minorEastAsia" w:hAnsiTheme="minorHAnsi" w:cstheme="minorBidi"/>
              <w:b w:val="0"/>
              <w:noProof/>
              <w:color w:val="auto"/>
              <w:lang w:eastAsia="en-AU"/>
            </w:rPr>
          </w:pPr>
          <w:hyperlink w:anchor="_Toc149213459" w:history="1">
            <w:r w:rsidR="00965669" w:rsidRPr="00505766">
              <w:rPr>
                <w:rStyle w:val="Hyperlink"/>
                <w:noProof/>
              </w:rPr>
              <w:t>Delegate’s considerations</w:t>
            </w:r>
            <w:r w:rsidR="00965669">
              <w:rPr>
                <w:noProof/>
                <w:webHidden/>
              </w:rPr>
              <w:tab/>
            </w:r>
            <w:r w:rsidR="00965669">
              <w:rPr>
                <w:noProof/>
                <w:webHidden/>
              </w:rPr>
              <w:fldChar w:fldCharType="begin"/>
            </w:r>
            <w:r w:rsidR="00965669">
              <w:rPr>
                <w:noProof/>
                <w:webHidden/>
              </w:rPr>
              <w:instrText xml:space="preserve"> PAGEREF _Toc149213459 \h </w:instrText>
            </w:r>
            <w:r w:rsidR="00965669">
              <w:rPr>
                <w:noProof/>
                <w:webHidden/>
              </w:rPr>
            </w:r>
            <w:r w:rsidR="00965669">
              <w:rPr>
                <w:noProof/>
                <w:webHidden/>
              </w:rPr>
              <w:fldChar w:fldCharType="separate"/>
            </w:r>
            <w:r w:rsidR="0037343C">
              <w:rPr>
                <w:noProof/>
                <w:webHidden/>
              </w:rPr>
              <w:t>39</w:t>
            </w:r>
            <w:r w:rsidR="00965669">
              <w:rPr>
                <w:noProof/>
                <w:webHidden/>
              </w:rPr>
              <w:fldChar w:fldCharType="end"/>
            </w:r>
          </w:hyperlink>
        </w:p>
        <w:p w14:paraId="05F4EAB1" w14:textId="6CB94BC9" w:rsidR="00965669" w:rsidRDefault="009F791C">
          <w:pPr>
            <w:pStyle w:val="TOC3"/>
            <w:rPr>
              <w:rFonts w:asciiTheme="minorHAnsi" w:eastAsiaTheme="minorEastAsia" w:hAnsiTheme="minorHAnsi" w:cstheme="minorBidi"/>
              <w:b w:val="0"/>
              <w:noProof/>
              <w:color w:val="auto"/>
              <w:lang w:eastAsia="en-AU"/>
            </w:rPr>
          </w:pPr>
          <w:hyperlink w:anchor="_Toc149213460" w:history="1">
            <w:r w:rsidR="00965669" w:rsidRPr="00505766">
              <w:rPr>
                <w:rStyle w:val="Hyperlink"/>
                <w:noProof/>
              </w:rPr>
              <w:t>Proposed action</w:t>
            </w:r>
            <w:r w:rsidR="00965669">
              <w:rPr>
                <w:noProof/>
                <w:webHidden/>
              </w:rPr>
              <w:tab/>
            </w:r>
            <w:r w:rsidR="00965669">
              <w:rPr>
                <w:noProof/>
                <w:webHidden/>
              </w:rPr>
              <w:fldChar w:fldCharType="begin"/>
            </w:r>
            <w:r w:rsidR="00965669">
              <w:rPr>
                <w:noProof/>
                <w:webHidden/>
              </w:rPr>
              <w:instrText xml:space="preserve"> PAGEREF _Toc149213460 \h </w:instrText>
            </w:r>
            <w:r w:rsidR="00965669">
              <w:rPr>
                <w:noProof/>
                <w:webHidden/>
              </w:rPr>
            </w:r>
            <w:r w:rsidR="00965669">
              <w:rPr>
                <w:noProof/>
                <w:webHidden/>
              </w:rPr>
              <w:fldChar w:fldCharType="separate"/>
            </w:r>
            <w:r w:rsidR="0037343C">
              <w:rPr>
                <w:noProof/>
                <w:webHidden/>
              </w:rPr>
              <w:t>45</w:t>
            </w:r>
            <w:r w:rsidR="00965669">
              <w:rPr>
                <w:noProof/>
                <w:webHidden/>
              </w:rPr>
              <w:fldChar w:fldCharType="end"/>
            </w:r>
          </w:hyperlink>
        </w:p>
        <w:p w14:paraId="1FDC339D" w14:textId="758E8B0D" w:rsidR="00965669" w:rsidRDefault="009F791C">
          <w:pPr>
            <w:pStyle w:val="TOC3"/>
            <w:rPr>
              <w:rFonts w:asciiTheme="minorHAnsi" w:eastAsiaTheme="minorEastAsia" w:hAnsiTheme="minorHAnsi" w:cstheme="minorBidi"/>
              <w:b w:val="0"/>
              <w:noProof/>
              <w:color w:val="auto"/>
              <w:lang w:eastAsia="en-AU"/>
            </w:rPr>
          </w:pPr>
          <w:hyperlink w:anchor="_Toc149213461" w:history="1">
            <w:r w:rsidR="00965669" w:rsidRPr="00505766">
              <w:rPr>
                <w:rStyle w:val="Hyperlink"/>
                <w:noProof/>
              </w:rPr>
              <w:t>Advisory Committee considerations</w:t>
            </w:r>
            <w:r w:rsidR="00965669">
              <w:rPr>
                <w:noProof/>
                <w:webHidden/>
              </w:rPr>
              <w:tab/>
            </w:r>
            <w:r w:rsidR="00965669">
              <w:rPr>
                <w:noProof/>
                <w:webHidden/>
              </w:rPr>
              <w:fldChar w:fldCharType="begin"/>
            </w:r>
            <w:r w:rsidR="00965669">
              <w:rPr>
                <w:noProof/>
                <w:webHidden/>
              </w:rPr>
              <w:instrText xml:space="preserve"> PAGEREF _Toc149213461 \h </w:instrText>
            </w:r>
            <w:r w:rsidR="00965669">
              <w:rPr>
                <w:noProof/>
                <w:webHidden/>
              </w:rPr>
            </w:r>
            <w:r w:rsidR="00965669">
              <w:rPr>
                <w:noProof/>
                <w:webHidden/>
              </w:rPr>
              <w:fldChar w:fldCharType="separate"/>
            </w:r>
            <w:r w:rsidR="0037343C">
              <w:rPr>
                <w:noProof/>
                <w:webHidden/>
              </w:rPr>
              <w:t>46</w:t>
            </w:r>
            <w:r w:rsidR="00965669">
              <w:rPr>
                <w:noProof/>
                <w:webHidden/>
              </w:rPr>
              <w:fldChar w:fldCharType="end"/>
            </w:r>
          </w:hyperlink>
        </w:p>
        <w:p w14:paraId="5DB4C10F" w14:textId="5159D694" w:rsidR="00965669" w:rsidRDefault="009F791C">
          <w:pPr>
            <w:pStyle w:val="TOC1"/>
            <w:rPr>
              <w:rFonts w:asciiTheme="minorHAnsi" w:eastAsiaTheme="minorEastAsia" w:hAnsiTheme="minorHAnsi" w:cstheme="minorBidi"/>
              <w:b w:val="0"/>
              <w:noProof/>
              <w:color w:val="auto"/>
              <w:sz w:val="22"/>
              <w:lang w:eastAsia="en-AU"/>
            </w:rPr>
          </w:pPr>
          <w:hyperlink w:anchor="_Toc149213462" w:history="1">
            <w:r w:rsidR="00965669" w:rsidRPr="00505766">
              <w:rPr>
                <w:rStyle w:val="Hyperlink"/>
                <w:noProof/>
              </w:rPr>
              <w:t>Outcome</w:t>
            </w:r>
            <w:r w:rsidR="00965669">
              <w:rPr>
                <w:noProof/>
                <w:webHidden/>
              </w:rPr>
              <w:tab/>
            </w:r>
            <w:r w:rsidR="00965669">
              <w:rPr>
                <w:noProof/>
                <w:webHidden/>
              </w:rPr>
              <w:fldChar w:fldCharType="begin"/>
            </w:r>
            <w:r w:rsidR="00965669">
              <w:rPr>
                <w:noProof/>
                <w:webHidden/>
              </w:rPr>
              <w:instrText xml:space="preserve"> PAGEREF _Toc149213462 \h </w:instrText>
            </w:r>
            <w:r w:rsidR="00965669">
              <w:rPr>
                <w:noProof/>
                <w:webHidden/>
              </w:rPr>
            </w:r>
            <w:r w:rsidR="00965669">
              <w:rPr>
                <w:noProof/>
                <w:webHidden/>
              </w:rPr>
              <w:fldChar w:fldCharType="separate"/>
            </w:r>
            <w:r w:rsidR="0037343C">
              <w:rPr>
                <w:noProof/>
                <w:webHidden/>
              </w:rPr>
              <w:t>47</w:t>
            </w:r>
            <w:r w:rsidR="00965669">
              <w:rPr>
                <w:noProof/>
                <w:webHidden/>
              </w:rPr>
              <w:fldChar w:fldCharType="end"/>
            </w:r>
          </w:hyperlink>
        </w:p>
        <w:p w14:paraId="7A5F5109" w14:textId="3FABB2D6" w:rsidR="00965669" w:rsidRDefault="009F791C">
          <w:pPr>
            <w:pStyle w:val="TOC2"/>
            <w:rPr>
              <w:rFonts w:asciiTheme="minorHAnsi" w:eastAsiaTheme="minorEastAsia" w:hAnsiTheme="minorHAnsi" w:cstheme="minorBidi"/>
              <w:b w:val="0"/>
              <w:noProof/>
              <w:color w:val="auto"/>
              <w:sz w:val="22"/>
              <w:lang w:eastAsia="en-AU"/>
            </w:rPr>
          </w:pPr>
          <w:hyperlink w:anchor="_Toc149213463" w:history="1">
            <w:r w:rsidR="00965669" w:rsidRPr="00505766">
              <w:rPr>
                <w:rStyle w:val="Hyperlink"/>
                <w:noProof/>
              </w:rPr>
              <w:t>Specific conditions of registration applying to these goods</w:t>
            </w:r>
            <w:r w:rsidR="00965669">
              <w:rPr>
                <w:noProof/>
                <w:webHidden/>
              </w:rPr>
              <w:tab/>
            </w:r>
            <w:r w:rsidR="00965669">
              <w:rPr>
                <w:noProof/>
                <w:webHidden/>
              </w:rPr>
              <w:fldChar w:fldCharType="begin"/>
            </w:r>
            <w:r w:rsidR="00965669">
              <w:rPr>
                <w:noProof/>
                <w:webHidden/>
              </w:rPr>
              <w:instrText xml:space="preserve"> PAGEREF _Toc149213463 \h </w:instrText>
            </w:r>
            <w:r w:rsidR="00965669">
              <w:rPr>
                <w:noProof/>
                <w:webHidden/>
              </w:rPr>
            </w:r>
            <w:r w:rsidR="00965669">
              <w:rPr>
                <w:noProof/>
                <w:webHidden/>
              </w:rPr>
              <w:fldChar w:fldCharType="separate"/>
            </w:r>
            <w:r w:rsidR="0037343C">
              <w:rPr>
                <w:noProof/>
                <w:webHidden/>
              </w:rPr>
              <w:t>47</w:t>
            </w:r>
            <w:r w:rsidR="00965669">
              <w:rPr>
                <w:noProof/>
                <w:webHidden/>
              </w:rPr>
              <w:fldChar w:fldCharType="end"/>
            </w:r>
          </w:hyperlink>
        </w:p>
        <w:p w14:paraId="35B4B863" w14:textId="3D064D0A" w:rsidR="00965669" w:rsidRDefault="009F791C">
          <w:pPr>
            <w:pStyle w:val="TOC1"/>
            <w:rPr>
              <w:rFonts w:asciiTheme="minorHAnsi" w:eastAsiaTheme="minorEastAsia" w:hAnsiTheme="minorHAnsi" w:cstheme="minorBidi"/>
              <w:b w:val="0"/>
              <w:noProof/>
              <w:color w:val="auto"/>
              <w:sz w:val="22"/>
              <w:lang w:eastAsia="en-AU"/>
            </w:rPr>
          </w:pPr>
          <w:hyperlink w:anchor="_Toc149213464" w:history="1">
            <w:r w:rsidR="00965669" w:rsidRPr="00505766">
              <w:rPr>
                <w:rStyle w:val="Hyperlink"/>
                <w:noProof/>
              </w:rPr>
              <w:t>Attachment 1. Product Information</w:t>
            </w:r>
            <w:r w:rsidR="00965669">
              <w:rPr>
                <w:noProof/>
                <w:webHidden/>
              </w:rPr>
              <w:tab/>
            </w:r>
            <w:r w:rsidR="00965669">
              <w:rPr>
                <w:noProof/>
                <w:webHidden/>
              </w:rPr>
              <w:fldChar w:fldCharType="begin"/>
            </w:r>
            <w:r w:rsidR="00965669">
              <w:rPr>
                <w:noProof/>
                <w:webHidden/>
              </w:rPr>
              <w:instrText xml:space="preserve"> PAGEREF _Toc149213464 \h </w:instrText>
            </w:r>
            <w:r w:rsidR="00965669">
              <w:rPr>
                <w:noProof/>
                <w:webHidden/>
              </w:rPr>
            </w:r>
            <w:r w:rsidR="00965669">
              <w:rPr>
                <w:noProof/>
                <w:webHidden/>
              </w:rPr>
              <w:fldChar w:fldCharType="separate"/>
            </w:r>
            <w:r w:rsidR="0037343C">
              <w:rPr>
                <w:noProof/>
                <w:webHidden/>
              </w:rPr>
              <w:t>50</w:t>
            </w:r>
            <w:r w:rsidR="00965669">
              <w:rPr>
                <w:noProof/>
                <w:webHidden/>
              </w:rPr>
              <w:fldChar w:fldCharType="end"/>
            </w:r>
          </w:hyperlink>
        </w:p>
        <w:p w14:paraId="0000002F" w14:textId="71127A04" w:rsidR="00171E65" w:rsidRDefault="001F5E2A">
          <w:r>
            <w:fldChar w:fldCharType="end"/>
          </w:r>
        </w:p>
      </w:sdtContent>
    </w:sdt>
    <w:p w14:paraId="00000030" w14:textId="77777777" w:rsidR="00171E65" w:rsidRDefault="001F5E2A">
      <w:r>
        <w:br w:type="page"/>
      </w:r>
    </w:p>
    <w:p w14:paraId="00000031" w14:textId="77777777" w:rsidR="00171E65" w:rsidRDefault="001F5E2A">
      <w:pPr>
        <w:pStyle w:val="Heading2"/>
      </w:pPr>
      <w:bookmarkStart w:id="0" w:name="_Toc149213439"/>
      <w:r>
        <w:lastRenderedPageBreak/>
        <w:t>List of abbreviations</w:t>
      </w:r>
      <w:bookmarkEnd w:id="0"/>
    </w:p>
    <w:tbl>
      <w:tblPr>
        <w:tblStyle w:val="TableTGAblue"/>
        <w:tblW w:w="9060" w:type="dxa"/>
        <w:tblLayout w:type="fixed"/>
        <w:tblLook w:val="04A0" w:firstRow="1" w:lastRow="0" w:firstColumn="1" w:lastColumn="0" w:noHBand="0" w:noVBand="1"/>
      </w:tblPr>
      <w:tblGrid>
        <w:gridCol w:w="2174"/>
        <w:gridCol w:w="6886"/>
      </w:tblGrid>
      <w:tr w:rsidR="00171E65" w14:paraId="61427A18" w14:textId="77777777" w:rsidTr="000121EF">
        <w:trPr>
          <w:cnfStyle w:val="100000000000" w:firstRow="1" w:lastRow="0" w:firstColumn="0" w:lastColumn="0" w:oddVBand="0" w:evenVBand="0" w:oddHBand="0" w:evenHBand="0" w:firstRowFirstColumn="0" w:firstRowLastColumn="0" w:lastRowFirstColumn="0" w:lastRowLastColumn="0"/>
          <w:trHeight w:val="447"/>
        </w:trPr>
        <w:tc>
          <w:tcPr>
            <w:tcW w:w="2174" w:type="dxa"/>
          </w:tcPr>
          <w:p w14:paraId="00000032" w14:textId="77777777" w:rsidR="00171E65" w:rsidRDefault="001F5E2A">
            <w:r>
              <w:t>Abbreviation</w:t>
            </w:r>
          </w:p>
        </w:tc>
        <w:tc>
          <w:tcPr>
            <w:tcW w:w="6886" w:type="dxa"/>
          </w:tcPr>
          <w:p w14:paraId="00000033" w14:textId="77777777" w:rsidR="00171E65" w:rsidRDefault="001F5E2A">
            <w:r>
              <w:t>Meaning</w:t>
            </w:r>
          </w:p>
        </w:tc>
      </w:tr>
      <w:tr w:rsidR="00171E65" w14:paraId="4E52E201" w14:textId="77777777" w:rsidTr="000121EF">
        <w:trPr>
          <w:trHeight w:val="386"/>
        </w:trPr>
        <w:tc>
          <w:tcPr>
            <w:tcW w:w="2174" w:type="dxa"/>
          </w:tcPr>
          <w:p w14:paraId="00000034" w14:textId="77777777" w:rsidR="00171E65" w:rsidRDefault="001F5E2A">
            <w:r>
              <w:t>ACM</w:t>
            </w:r>
          </w:p>
        </w:tc>
        <w:tc>
          <w:tcPr>
            <w:tcW w:w="6886" w:type="dxa"/>
          </w:tcPr>
          <w:p w14:paraId="00000035" w14:textId="77777777" w:rsidR="00171E65" w:rsidRDefault="001F5E2A">
            <w:r>
              <w:t>Advisory Committee on Medicines</w:t>
            </w:r>
          </w:p>
        </w:tc>
      </w:tr>
      <w:tr w:rsidR="00171E65" w14:paraId="5CB520CB" w14:textId="77777777" w:rsidTr="000121EF">
        <w:trPr>
          <w:trHeight w:val="386"/>
        </w:trPr>
        <w:tc>
          <w:tcPr>
            <w:tcW w:w="2174" w:type="dxa"/>
          </w:tcPr>
          <w:p w14:paraId="00000036" w14:textId="77777777" w:rsidR="00171E65" w:rsidRDefault="001F5E2A">
            <w:r>
              <w:t>AE</w:t>
            </w:r>
          </w:p>
        </w:tc>
        <w:tc>
          <w:tcPr>
            <w:tcW w:w="6886" w:type="dxa"/>
          </w:tcPr>
          <w:p w14:paraId="00000037" w14:textId="77777777" w:rsidR="00171E65" w:rsidRDefault="001F5E2A">
            <w:r>
              <w:t>Adverse event</w:t>
            </w:r>
          </w:p>
        </w:tc>
      </w:tr>
      <w:tr w:rsidR="00171E65" w14:paraId="2BB8032F" w14:textId="77777777" w:rsidTr="000121EF">
        <w:trPr>
          <w:trHeight w:val="386"/>
        </w:trPr>
        <w:tc>
          <w:tcPr>
            <w:tcW w:w="2174" w:type="dxa"/>
          </w:tcPr>
          <w:p w14:paraId="00000038" w14:textId="77777777" w:rsidR="00171E65" w:rsidRDefault="001F5E2A">
            <w:r>
              <w:t>ARTG</w:t>
            </w:r>
          </w:p>
        </w:tc>
        <w:tc>
          <w:tcPr>
            <w:tcW w:w="6886" w:type="dxa"/>
          </w:tcPr>
          <w:p w14:paraId="00000039" w14:textId="77777777" w:rsidR="00171E65" w:rsidRDefault="001F5E2A">
            <w:r>
              <w:t>Australian Register of Therapeutic Goods</w:t>
            </w:r>
          </w:p>
        </w:tc>
      </w:tr>
      <w:tr w:rsidR="00171E65" w14:paraId="4D5EEA14" w14:textId="77777777" w:rsidTr="000121EF">
        <w:trPr>
          <w:trHeight w:val="386"/>
        </w:trPr>
        <w:tc>
          <w:tcPr>
            <w:tcW w:w="2174" w:type="dxa"/>
          </w:tcPr>
          <w:p w14:paraId="0000003A" w14:textId="77777777" w:rsidR="00171E65" w:rsidRDefault="001F5E2A">
            <w:r>
              <w:t>ASA</w:t>
            </w:r>
          </w:p>
        </w:tc>
        <w:tc>
          <w:tcPr>
            <w:tcW w:w="6886" w:type="dxa"/>
          </w:tcPr>
          <w:p w14:paraId="0000003B" w14:textId="77777777" w:rsidR="00171E65" w:rsidRDefault="001F5E2A">
            <w:r>
              <w:t>Australia specific annex</w:t>
            </w:r>
          </w:p>
        </w:tc>
      </w:tr>
      <w:tr w:rsidR="00171E65" w14:paraId="4D46F075" w14:textId="77777777" w:rsidTr="000121EF">
        <w:trPr>
          <w:trHeight w:val="386"/>
        </w:trPr>
        <w:tc>
          <w:tcPr>
            <w:tcW w:w="2174" w:type="dxa"/>
          </w:tcPr>
          <w:p w14:paraId="0000003C" w14:textId="77777777" w:rsidR="00171E65" w:rsidRDefault="001F5E2A">
            <w:r>
              <w:t>BICR</w:t>
            </w:r>
          </w:p>
        </w:tc>
        <w:tc>
          <w:tcPr>
            <w:tcW w:w="6886" w:type="dxa"/>
          </w:tcPr>
          <w:p w14:paraId="0000003D" w14:textId="77777777" w:rsidR="00171E65" w:rsidRDefault="001F5E2A">
            <w:r>
              <w:t>Blinded independent central review</w:t>
            </w:r>
          </w:p>
        </w:tc>
      </w:tr>
      <w:tr w:rsidR="00171E65" w14:paraId="3583A7A0" w14:textId="77777777" w:rsidTr="000121EF">
        <w:trPr>
          <w:trHeight w:val="386"/>
        </w:trPr>
        <w:tc>
          <w:tcPr>
            <w:tcW w:w="2174" w:type="dxa"/>
          </w:tcPr>
          <w:p w14:paraId="0000003E" w14:textId="77777777" w:rsidR="00171E65" w:rsidRDefault="001F5E2A">
            <w:r>
              <w:t>CBR</w:t>
            </w:r>
          </w:p>
        </w:tc>
        <w:tc>
          <w:tcPr>
            <w:tcW w:w="6886" w:type="dxa"/>
          </w:tcPr>
          <w:p w14:paraId="0000003F" w14:textId="77777777" w:rsidR="00171E65" w:rsidRDefault="001F5E2A">
            <w:r>
              <w:t>Clinical benefit rate</w:t>
            </w:r>
          </w:p>
        </w:tc>
      </w:tr>
      <w:tr w:rsidR="00171E65" w14:paraId="16C266EA" w14:textId="77777777" w:rsidTr="000121EF">
        <w:trPr>
          <w:trHeight w:val="386"/>
        </w:trPr>
        <w:tc>
          <w:tcPr>
            <w:tcW w:w="2174" w:type="dxa"/>
          </w:tcPr>
          <w:p w14:paraId="00000040" w14:textId="77777777" w:rsidR="00171E65" w:rsidRDefault="001F5E2A">
            <w:r>
              <w:t>CMI</w:t>
            </w:r>
          </w:p>
        </w:tc>
        <w:tc>
          <w:tcPr>
            <w:tcW w:w="6886" w:type="dxa"/>
          </w:tcPr>
          <w:p w14:paraId="00000041" w14:textId="77777777" w:rsidR="00171E65" w:rsidRDefault="001F5E2A">
            <w:r>
              <w:t>Consumer Medicines Information</w:t>
            </w:r>
          </w:p>
        </w:tc>
      </w:tr>
      <w:tr w:rsidR="00171E65" w14:paraId="3AF2E4EB" w14:textId="77777777" w:rsidTr="000121EF">
        <w:trPr>
          <w:trHeight w:val="386"/>
        </w:trPr>
        <w:tc>
          <w:tcPr>
            <w:tcW w:w="2174" w:type="dxa"/>
          </w:tcPr>
          <w:p w14:paraId="00000042" w14:textId="77777777" w:rsidR="00171E65" w:rsidRDefault="001F5E2A">
            <w:r>
              <w:t>CNS</w:t>
            </w:r>
          </w:p>
        </w:tc>
        <w:tc>
          <w:tcPr>
            <w:tcW w:w="6886" w:type="dxa"/>
          </w:tcPr>
          <w:p w14:paraId="00000043" w14:textId="77777777" w:rsidR="00171E65" w:rsidRDefault="001F5E2A">
            <w:r>
              <w:t>Central nervous system</w:t>
            </w:r>
          </w:p>
        </w:tc>
      </w:tr>
      <w:tr w:rsidR="00171E65" w14:paraId="1344D0E8" w14:textId="77777777" w:rsidTr="000121EF">
        <w:trPr>
          <w:trHeight w:val="386"/>
        </w:trPr>
        <w:tc>
          <w:tcPr>
            <w:tcW w:w="2174" w:type="dxa"/>
          </w:tcPr>
          <w:p w14:paraId="00000044" w14:textId="77777777" w:rsidR="00171E65" w:rsidRDefault="001F5E2A">
            <w:r>
              <w:t>CR</w:t>
            </w:r>
          </w:p>
        </w:tc>
        <w:tc>
          <w:tcPr>
            <w:tcW w:w="6886" w:type="dxa"/>
          </w:tcPr>
          <w:p w14:paraId="00000045" w14:textId="77777777" w:rsidR="00171E65" w:rsidRDefault="001F5E2A">
            <w:r>
              <w:t>Completed response</w:t>
            </w:r>
          </w:p>
        </w:tc>
      </w:tr>
      <w:tr w:rsidR="00171E65" w14:paraId="520F1D56" w14:textId="77777777" w:rsidTr="000121EF">
        <w:trPr>
          <w:trHeight w:val="386"/>
        </w:trPr>
        <w:tc>
          <w:tcPr>
            <w:tcW w:w="2174" w:type="dxa"/>
          </w:tcPr>
          <w:p w14:paraId="00000046" w14:textId="77777777" w:rsidR="00171E65" w:rsidRDefault="001F5E2A">
            <w:r>
              <w:t>CSR</w:t>
            </w:r>
          </w:p>
        </w:tc>
        <w:tc>
          <w:tcPr>
            <w:tcW w:w="6886" w:type="dxa"/>
          </w:tcPr>
          <w:p w14:paraId="00000047" w14:textId="77777777" w:rsidR="00171E65" w:rsidRDefault="001F5E2A">
            <w:r>
              <w:t>Clinical study report</w:t>
            </w:r>
          </w:p>
        </w:tc>
      </w:tr>
      <w:tr w:rsidR="00171E65" w14:paraId="28E549E7" w14:textId="77777777" w:rsidTr="000121EF">
        <w:trPr>
          <w:trHeight w:val="386"/>
        </w:trPr>
        <w:tc>
          <w:tcPr>
            <w:tcW w:w="2174" w:type="dxa"/>
          </w:tcPr>
          <w:p w14:paraId="00000048" w14:textId="77777777" w:rsidR="00171E65" w:rsidRDefault="001F5E2A">
            <w:proofErr w:type="spellStart"/>
            <w:r>
              <w:t>ctDNA</w:t>
            </w:r>
            <w:proofErr w:type="spellEnd"/>
          </w:p>
        </w:tc>
        <w:tc>
          <w:tcPr>
            <w:tcW w:w="6886" w:type="dxa"/>
          </w:tcPr>
          <w:p w14:paraId="00000049" w14:textId="77777777" w:rsidR="00171E65" w:rsidRDefault="001F5E2A">
            <w:r>
              <w:t>circulating tumour DNA</w:t>
            </w:r>
          </w:p>
        </w:tc>
      </w:tr>
      <w:tr w:rsidR="00171E65" w14:paraId="7F50FEB4" w14:textId="77777777" w:rsidTr="000121EF">
        <w:trPr>
          <w:trHeight w:val="386"/>
        </w:trPr>
        <w:tc>
          <w:tcPr>
            <w:tcW w:w="2174" w:type="dxa"/>
          </w:tcPr>
          <w:p w14:paraId="0000004A" w14:textId="77777777" w:rsidR="00171E65" w:rsidRDefault="001F5E2A">
            <w:r>
              <w:t>DCR</w:t>
            </w:r>
          </w:p>
        </w:tc>
        <w:tc>
          <w:tcPr>
            <w:tcW w:w="6886" w:type="dxa"/>
          </w:tcPr>
          <w:p w14:paraId="0000004B" w14:textId="77777777" w:rsidR="00171E65" w:rsidRDefault="001F5E2A">
            <w:r>
              <w:t>Disease control rate</w:t>
            </w:r>
          </w:p>
        </w:tc>
      </w:tr>
      <w:tr w:rsidR="00171E65" w14:paraId="61482CC9" w14:textId="77777777" w:rsidTr="000121EF">
        <w:trPr>
          <w:trHeight w:val="386"/>
        </w:trPr>
        <w:tc>
          <w:tcPr>
            <w:tcW w:w="2174" w:type="dxa"/>
          </w:tcPr>
          <w:p w14:paraId="0000004C" w14:textId="77777777" w:rsidR="00171E65" w:rsidRDefault="001F5E2A">
            <w:r>
              <w:t>DLP</w:t>
            </w:r>
          </w:p>
        </w:tc>
        <w:tc>
          <w:tcPr>
            <w:tcW w:w="6886" w:type="dxa"/>
          </w:tcPr>
          <w:p w14:paraId="0000004D" w14:textId="77777777" w:rsidR="00171E65" w:rsidRDefault="001F5E2A">
            <w:r>
              <w:t>Data lock point</w:t>
            </w:r>
          </w:p>
        </w:tc>
      </w:tr>
      <w:tr w:rsidR="00171E65" w14:paraId="28EAFC5A" w14:textId="77777777" w:rsidTr="000121EF">
        <w:trPr>
          <w:trHeight w:val="386"/>
        </w:trPr>
        <w:tc>
          <w:tcPr>
            <w:tcW w:w="2174" w:type="dxa"/>
          </w:tcPr>
          <w:p w14:paraId="0000004E" w14:textId="77777777" w:rsidR="00171E65" w:rsidRDefault="001F5E2A">
            <w:r>
              <w:t>DOR</w:t>
            </w:r>
          </w:p>
        </w:tc>
        <w:tc>
          <w:tcPr>
            <w:tcW w:w="6886" w:type="dxa"/>
          </w:tcPr>
          <w:p w14:paraId="0000004F" w14:textId="77777777" w:rsidR="00171E65" w:rsidRDefault="001F5E2A">
            <w:r>
              <w:t>Duration of response</w:t>
            </w:r>
          </w:p>
        </w:tc>
      </w:tr>
      <w:tr w:rsidR="00171E65" w14:paraId="59DFE0A9" w14:textId="77777777" w:rsidTr="000121EF">
        <w:trPr>
          <w:trHeight w:val="386"/>
        </w:trPr>
        <w:tc>
          <w:tcPr>
            <w:tcW w:w="2174" w:type="dxa"/>
          </w:tcPr>
          <w:p w14:paraId="00000050" w14:textId="77777777" w:rsidR="00171E65" w:rsidRDefault="001F5E2A">
            <w:r>
              <w:t>DTC</w:t>
            </w:r>
          </w:p>
        </w:tc>
        <w:tc>
          <w:tcPr>
            <w:tcW w:w="6886" w:type="dxa"/>
          </w:tcPr>
          <w:p w14:paraId="00000051" w14:textId="77777777" w:rsidR="00171E65" w:rsidRDefault="001F5E2A">
            <w:r>
              <w:t>Differentiated thyroid cancer</w:t>
            </w:r>
          </w:p>
        </w:tc>
      </w:tr>
      <w:tr w:rsidR="00171E65" w14:paraId="7CBA96AC" w14:textId="77777777" w:rsidTr="000121EF">
        <w:trPr>
          <w:trHeight w:val="386"/>
        </w:trPr>
        <w:tc>
          <w:tcPr>
            <w:tcW w:w="2174" w:type="dxa"/>
          </w:tcPr>
          <w:p w14:paraId="00000052" w14:textId="77777777" w:rsidR="00171E65" w:rsidRDefault="001F5E2A">
            <w:r>
              <w:t>DVT</w:t>
            </w:r>
          </w:p>
        </w:tc>
        <w:tc>
          <w:tcPr>
            <w:tcW w:w="6886" w:type="dxa"/>
          </w:tcPr>
          <w:p w14:paraId="00000053" w14:textId="77777777" w:rsidR="00171E65" w:rsidRDefault="001F5E2A">
            <w:r>
              <w:t>Deep vein thrombosis</w:t>
            </w:r>
          </w:p>
        </w:tc>
      </w:tr>
      <w:tr w:rsidR="00171E65" w14:paraId="1D33382D" w14:textId="77777777" w:rsidTr="000121EF">
        <w:trPr>
          <w:trHeight w:val="386"/>
        </w:trPr>
        <w:tc>
          <w:tcPr>
            <w:tcW w:w="2174" w:type="dxa"/>
          </w:tcPr>
          <w:p w14:paraId="00000054" w14:textId="77777777" w:rsidR="00171E65" w:rsidRDefault="001F5E2A">
            <w:r>
              <w:t>ECG</w:t>
            </w:r>
          </w:p>
        </w:tc>
        <w:tc>
          <w:tcPr>
            <w:tcW w:w="6886" w:type="dxa"/>
          </w:tcPr>
          <w:p w14:paraId="00000055" w14:textId="77777777" w:rsidR="00171E65" w:rsidRDefault="001F5E2A">
            <w:r>
              <w:t>Electrocardiogram</w:t>
            </w:r>
          </w:p>
        </w:tc>
      </w:tr>
      <w:tr w:rsidR="00171E65" w14:paraId="50FEDB35" w14:textId="77777777" w:rsidTr="000121EF">
        <w:trPr>
          <w:trHeight w:val="386"/>
        </w:trPr>
        <w:tc>
          <w:tcPr>
            <w:tcW w:w="2174" w:type="dxa"/>
          </w:tcPr>
          <w:p w14:paraId="00000056" w14:textId="77777777" w:rsidR="00171E65" w:rsidRDefault="001F5E2A">
            <w:r>
              <w:t>ECOG</w:t>
            </w:r>
          </w:p>
        </w:tc>
        <w:tc>
          <w:tcPr>
            <w:tcW w:w="6886" w:type="dxa"/>
          </w:tcPr>
          <w:p w14:paraId="00000057" w14:textId="77777777" w:rsidR="00171E65" w:rsidRDefault="001F5E2A">
            <w:r>
              <w:t>Eastern Cooperative Oncology Group</w:t>
            </w:r>
          </w:p>
        </w:tc>
      </w:tr>
      <w:tr w:rsidR="00171E65" w14:paraId="5C2C5752" w14:textId="77777777" w:rsidTr="000121EF">
        <w:trPr>
          <w:trHeight w:val="386"/>
        </w:trPr>
        <w:tc>
          <w:tcPr>
            <w:tcW w:w="2174" w:type="dxa"/>
          </w:tcPr>
          <w:p w14:paraId="00000058" w14:textId="77777777" w:rsidR="00171E65" w:rsidRDefault="001F5E2A">
            <w:r>
              <w:t>E-R</w:t>
            </w:r>
          </w:p>
        </w:tc>
        <w:tc>
          <w:tcPr>
            <w:tcW w:w="6886" w:type="dxa"/>
          </w:tcPr>
          <w:p w14:paraId="00000059" w14:textId="77777777" w:rsidR="00171E65" w:rsidRDefault="001F5E2A">
            <w:r>
              <w:t>Exposure-response</w:t>
            </w:r>
          </w:p>
        </w:tc>
      </w:tr>
      <w:tr w:rsidR="00171E65" w14:paraId="2C1EC12D" w14:textId="77777777" w:rsidTr="000121EF">
        <w:trPr>
          <w:trHeight w:val="386"/>
        </w:trPr>
        <w:tc>
          <w:tcPr>
            <w:tcW w:w="2174" w:type="dxa"/>
          </w:tcPr>
          <w:p w14:paraId="0000005A" w14:textId="77777777" w:rsidR="00171E65" w:rsidRDefault="001F5E2A">
            <w:r>
              <w:t>FDA</w:t>
            </w:r>
          </w:p>
        </w:tc>
        <w:tc>
          <w:tcPr>
            <w:tcW w:w="6886" w:type="dxa"/>
          </w:tcPr>
          <w:p w14:paraId="0000005B" w14:textId="77777777" w:rsidR="00171E65" w:rsidRDefault="001F5E2A">
            <w:r>
              <w:t>Food and Drug Administration (United States)</w:t>
            </w:r>
          </w:p>
        </w:tc>
      </w:tr>
      <w:tr w:rsidR="00171E65" w14:paraId="32E5B3C4" w14:textId="77777777" w:rsidTr="000121EF">
        <w:trPr>
          <w:trHeight w:val="386"/>
        </w:trPr>
        <w:tc>
          <w:tcPr>
            <w:tcW w:w="2174" w:type="dxa"/>
          </w:tcPr>
          <w:p w14:paraId="0000005C" w14:textId="77777777" w:rsidR="00171E65" w:rsidRDefault="001F5E2A">
            <w:r>
              <w:t>MKI</w:t>
            </w:r>
          </w:p>
        </w:tc>
        <w:tc>
          <w:tcPr>
            <w:tcW w:w="6886" w:type="dxa"/>
          </w:tcPr>
          <w:p w14:paraId="0000005D" w14:textId="77777777" w:rsidR="00171E65" w:rsidRDefault="001F5E2A">
            <w:r>
              <w:t>Multi-kinase inhibitor</w:t>
            </w:r>
          </w:p>
        </w:tc>
      </w:tr>
      <w:tr w:rsidR="00171E65" w14:paraId="312E2691" w14:textId="77777777" w:rsidTr="000121EF">
        <w:trPr>
          <w:trHeight w:val="386"/>
        </w:trPr>
        <w:tc>
          <w:tcPr>
            <w:tcW w:w="2174" w:type="dxa"/>
          </w:tcPr>
          <w:p w14:paraId="0000005E" w14:textId="77777777" w:rsidR="00171E65" w:rsidRDefault="001F5E2A">
            <w:r>
              <w:t>MTD</w:t>
            </w:r>
          </w:p>
        </w:tc>
        <w:tc>
          <w:tcPr>
            <w:tcW w:w="6886" w:type="dxa"/>
          </w:tcPr>
          <w:p w14:paraId="0000005F" w14:textId="77777777" w:rsidR="00171E65" w:rsidRDefault="001F5E2A">
            <w:r>
              <w:t>Maximum tolerated dose</w:t>
            </w:r>
          </w:p>
        </w:tc>
      </w:tr>
      <w:tr w:rsidR="00171E65" w14:paraId="528A63A3" w14:textId="77777777" w:rsidTr="000121EF">
        <w:trPr>
          <w:trHeight w:val="386"/>
        </w:trPr>
        <w:tc>
          <w:tcPr>
            <w:tcW w:w="2174" w:type="dxa"/>
          </w:tcPr>
          <w:p w14:paraId="00000060" w14:textId="77777777" w:rsidR="00171E65" w:rsidRDefault="001F5E2A">
            <w:r>
              <w:t>NSCLC</w:t>
            </w:r>
          </w:p>
        </w:tc>
        <w:tc>
          <w:tcPr>
            <w:tcW w:w="6886" w:type="dxa"/>
          </w:tcPr>
          <w:p w14:paraId="00000061" w14:textId="77777777" w:rsidR="00171E65" w:rsidRDefault="001F5E2A">
            <w:r>
              <w:t>Non-small cell lung cancer</w:t>
            </w:r>
          </w:p>
        </w:tc>
      </w:tr>
      <w:tr w:rsidR="00171E65" w14:paraId="221D51B0" w14:textId="77777777" w:rsidTr="000121EF">
        <w:trPr>
          <w:trHeight w:val="386"/>
        </w:trPr>
        <w:tc>
          <w:tcPr>
            <w:tcW w:w="2174" w:type="dxa"/>
          </w:tcPr>
          <w:p w14:paraId="00000062" w14:textId="77777777" w:rsidR="00171E65" w:rsidRDefault="001F5E2A">
            <w:r>
              <w:t>ORR</w:t>
            </w:r>
          </w:p>
        </w:tc>
        <w:tc>
          <w:tcPr>
            <w:tcW w:w="6886" w:type="dxa"/>
          </w:tcPr>
          <w:p w14:paraId="00000063" w14:textId="77777777" w:rsidR="00171E65" w:rsidRDefault="001F5E2A">
            <w:r>
              <w:t>Overall response rate</w:t>
            </w:r>
          </w:p>
        </w:tc>
      </w:tr>
      <w:tr w:rsidR="00171E65" w14:paraId="59D38EE0" w14:textId="77777777" w:rsidTr="000121EF">
        <w:trPr>
          <w:trHeight w:val="386"/>
        </w:trPr>
        <w:tc>
          <w:tcPr>
            <w:tcW w:w="2174" w:type="dxa"/>
          </w:tcPr>
          <w:p w14:paraId="00000064" w14:textId="77777777" w:rsidR="00171E65" w:rsidRDefault="001F5E2A">
            <w:r>
              <w:t>OS</w:t>
            </w:r>
          </w:p>
        </w:tc>
        <w:tc>
          <w:tcPr>
            <w:tcW w:w="6886" w:type="dxa"/>
          </w:tcPr>
          <w:p w14:paraId="00000065" w14:textId="77777777" w:rsidR="00171E65" w:rsidRDefault="001F5E2A">
            <w:r>
              <w:t>Overall survival</w:t>
            </w:r>
          </w:p>
        </w:tc>
      </w:tr>
      <w:tr w:rsidR="00171E65" w14:paraId="241CFB39" w14:textId="77777777" w:rsidTr="000121EF">
        <w:trPr>
          <w:trHeight w:val="386"/>
        </w:trPr>
        <w:tc>
          <w:tcPr>
            <w:tcW w:w="2174" w:type="dxa"/>
          </w:tcPr>
          <w:p w14:paraId="00000066" w14:textId="77777777" w:rsidR="00171E65" w:rsidRDefault="001F5E2A">
            <w:r>
              <w:t>PD</w:t>
            </w:r>
          </w:p>
        </w:tc>
        <w:tc>
          <w:tcPr>
            <w:tcW w:w="6886" w:type="dxa"/>
          </w:tcPr>
          <w:p w14:paraId="00000067" w14:textId="77777777" w:rsidR="00171E65" w:rsidRDefault="001F5E2A">
            <w:r>
              <w:t>Pharmacodynamic</w:t>
            </w:r>
          </w:p>
        </w:tc>
      </w:tr>
      <w:tr w:rsidR="00171E65" w14:paraId="06DE7701" w14:textId="77777777" w:rsidTr="000121EF">
        <w:trPr>
          <w:trHeight w:val="386"/>
        </w:trPr>
        <w:tc>
          <w:tcPr>
            <w:tcW w:w="2174" w:type="dxa"/>
          </w:tcPr>
          <w:p w14:paraId="00000068" w14:textId="77777777" w:rsidR="00171E65" w:rsidRDefault="001F5E2A">
            <w:r>
              <w:t>PE</w:t>
            </w:r>
          </w:p>
        </w:tc>
        <w:tc>
          <w:tcPr>
            <w:tcW w:w="6886" w:type="dxa"/>
          </w:tcPr>
          <w:p w14:paraId="00000069" w14:textId="77777777" w:rsidR="00171E65" w:rsidRDefault="001F5E2A">
            <w:r>
              <w:t>Pulmonary embolism</w:t>
            </w:r>
          </w:p>
        </w:tc>
      </w:tr>
      <w:tr w:rsidR="00171E65" w14:paraId="1F8804CF" w14:textId="77777777" w:rsidTr="000121EF">
        <w:trPr>
          <w:trHeight w:val="386"/>
        </w:trPr>
        <w:tc>
          <w:tcPr>
            <w:tcW w:w="2174" w:type="dxa"/>
          </w:tcPr>
          <w:p w14:paraId="0000006A" w14:textId="77777777" w:rsidR="00171E65" w:rsidRDefault="001F5E2A">
            <w:r>
              <w:t>PFS</w:t>
            </w:r>
          </w:p>
        </w:tc>
        <w:tc>
          <w:tcPr>
            <w:tcW w:w="6886" w:type="dxa"/>
          </w:tcPr>
          <w:p w14:paraId="0000006B" w14:textId="77777777" w:rsidR="00171E65" w:rsidRDefault="001F5E2A">
            <w:r>
              <w:t>Progression free survival</w:t>
            </w:r>
          </w:p>
        </w:tc>
      </w:tr>
      <w:tr w:rsidR="00171E65" w14:paraId="402D2974" w14:textId="77777777" w:rsidTr="000121EF">
        <w:trPr>
          <w:trHeight w:val="386"/>
        </w:trPr>
        <w:tc>
          <w:tcPr>
            <w:tcW w:w="2174" w:type="dxa"/>
          </w:tcPr>
          <w:p w14:paraId="0000006C" w14:textId="77777777" w:rsidR="00171E65" w:rsidRDefault="001F5E2A">
            <w:r>
              <w:t>PI</w:t>
            </w:r>
          </w:p>
        </w:tc>
        <w:tc>
          <w:tcPr>
            <w:tcW w:w="6886" w:type="dxa"/>
          </w:tcPr>
          <w:p w14:paraId="0000006D" w14:textId="77777777" w:rsidR="00171E65" w:rsidRDefault="001F5E2A">
            <w:r>
              <w:t>Product Information</w:t>
            </w:r>
          </w:p>
        </w:tc>
      </w:tr>
      <w:tr w:rsidR="00171E65" w14:paraId="1F9C2015" w14:textId="77777777" w:rsidTr="000121EF">
        <w:trPr>
          <w:trHeight w:val="386"/>
        </w:trPr>
        <w:tc>
          <w:tcPr>
            <w:tcW w:w="2174" w:type="dxa"/>
          </w:tcPr>
          <w:p w14:paraId="0000006E" w14:textId="77777777" w:rsidR="00171E65" w:rsidRDefault="001F5E2A">
            <w:r>
              <w:t>PK</w:t>
            </w:r>
          </w:p>
        </w:tc>
        <w:tc>
          <w:tcPr>
            <w:tcW w:w="6886" w:type="dxa"/>
          </w:tcPr>
          <w:p w14:paraId="0000006F" w14:textId="77777777" w:rsidR="00171E65" w:rsidRDefault="001F5E2A">
            <w:r>
              <w:t>Pharmacokinetic</w:t>
            </w:r>
          </w:p>
        </w:tc>
      </w:tr>
      <w:tr w:rsidR="00171E65" w14:paraId="43879068" w14:textId="77777777" w:rsidTr="000121EF">
        <w:trPr>
          <w:trHeight w:val="386"/>
        </w:trPr>
        <w:tc>
          <w:tcPr>
            <w:tcW w:w="2174" w:type="dxa"/>
          </w:tcPr>
          <w:p w14:paraId="00000070" w14:textId="77777777" w:rsidR="00171E65" w:rsidRDefault="001F5E2A">
            <w:r>
              <w:t>PMR</w:t>
            </w:r>
          </w:p>
        </w:tc>
        <w:tc>
          <w:tcPr>
            <w:tcW w:w="6886" w:type="dxa"/>
          </w:tcPr>
          <w:p w14:paraId="00000071" w14:textId="77777777" w:rsidR="00171E65" w:rsidRDefault="001F5E2A">
            <w:r>
              <w:t>Post-marketing Requirement</w:t>
            </w:r>
          </w:p>
        </w:tc>
      </w:tr>
      <w:tr w:rsidR="00171E65" w14:paraId="42BBCA43" w14:textId="77777777" w:rsidTr="000121EF">
        <w:trPr>
          <w:trHeight w:val="386"/>
        </w:trPr>
        <w:tc>
          <w:tcPr>
            <w:tcW w:w="2174" w:type="dxa"/>
          </w:tcPr>
          <w:p w14:paraId="00000072" w14:textId="77777777" w:rsidR="00171E65" w:rsidRDefault="001F5E2A">
            <w:proofErr w:type="spellStart"/>
            <w:r>
              <w:lastRenderedPageBreak/>
              <w:t>popPK</w:t>
            </w:r>
            <w:proofErr w:type="spellEnd"/>
          </w:p>
        </w:tc>
        <w:tc>
          <w:tcPr>
            <w:tcW w:w="6886" w:type="dxa"/>
          </w:tcPr>
          <w:p w14:paraId="00000073" w14:textId="77777777" w:rsidR="00171E65" w:rsidRDefault="001F5E2A">
            <w:r>
              <w:t>Population pharmacokinetic</w:t>
            </w:r>
          </w:p>
        </w:tc>
      </w:tr>
      <w:tr w:rsidR="00171E65" w14:paraId="394B3612" w14:textId="77777777" w:rsidTr="000121EF">
        <w:trPr>
          <w:trHeight w:val="386"/>
        </w:trPr>
        <w:tc>
          <w:tcPr>
            <w:tcW w:w="2174" w:type="dxa"/>
          </w:tcPr>
          <w:p w14:paraId="00000074" w14:textId="77777777" w:rsidR="00171E65" w:rsidRDefault="001F5E2A">
            <w:r>
              <w:t>PR</w:t>
            </w:r>
          </w:p>
        </w:tc>
        <w:tc>
          <w:tcPr>
            <w:tcW w:w="6886" w:type="dxa"/>
          </w:tcPr>
          <w:p w14:paraId="00000075" w14:textId="77777777" w:rsidR="00171E65" w:rsidRDefault="001F5E2A">
            <w:r>
              <w:t>Partial response</w:t>
            </w:r>
          </w:p>
        </w:tc>
      </w:tr>
      <w:tr w:rsidR="00171E65" w14:paraId="15662031" w14:textId="77777777" w:rsidTr="000121EF">
        <w:trPr>
          <w:trHeight w:val="386"/>
        </w:trPr>
        <w:tc>
          <w:tcPr>
            <w:tcW w:w="2174" w:type="dxa"/>
          </w:tcPr>
          <w:p w14:paraId="00000076" w14:textId="77777777" w:rsidR="00171E65" w:rsidRDefault="001F5E2A">
            <w:r>
              <w:t>PRO</w:t>
            </w:r>
          </w:p>
        </w:tc>
        <w:tc>
          <w:tcPr>
            <w:tcW w:w="6886" w:type="dxa"/>
          </w:tcPr>
          <w:p w14:paraId="00000077" w14:textId="77777777" w:rsidR="00171E65" w:rsidRDefault="001F5E2A">
            <w:r>
              <w:t>Patient reported outcome</w:t>
            </w:r>
          </w:p>
        </w:tc>
      </w:tr>
      <w:tr w:rsidR="00171E65" w14:paraId="09EDAE81" w14:textId="77777777" w:rsidTr="000121EF">
        <w:trPr>
          <w:trHeight w:val="386"/>
        </w:trPr>
        <w:tc>
          <w:tcPr>
            <w:tcW w:w="2174" w:type="dxa"/>
          </w:tcPr>
          <w:p w14:paraId="00000078" w14:textId="77777777" w:rsidR="00171E65" w:rsidRDefault="001F5E2A">
            <w:r>
              <w:t>PSUR</w:t>
            </w:r>
          </w:p>
        </w:tc>
        <w:tc>
          <w:tcPr>
            <w:tcW w:w="6886" w:type="dxa"/>
          </w:tcPr>
          <w:p w14:paraId="00000079" w14:textId="77777777" w:rsidR="00171E65" w:rsidRDefault="001F5E2A">
            <w:r>
              <w:t>Periodic safety update report</w:t>
            </w:r>
          </w:p>
        </w:tc>
      </w:tr>
      <w:tr w:rsidR="00171E65" w14:paraId="7E4C2EE6" w14:textId="77777777" w:rsidTr="000121EF">
        <w:trPr>
          <w:trHeight w:val="386"/>
        </w:trPr>
        <w:tc>
          <w:tcPr>
            <w:tcW w:w="2174" w:type="dxa"/>
          </w:tcPr>
          <w:p w14:paraId="0000007A" w14:textId="77777777" w:rsidR="00171E65" w:rsidRDefault="001F5E2A">
            <w:r>
              <w:t>PT</w:t>
            </w:r>
          </w:p>
        </w:tc>
        <w:tc>
          <w:tcPr>
            <w:tcW w:w="6886" w:type="dxa"/>
          </w:tcPr>
          <w:p w14:paraId="0000007B" w14:textId="77777777" w:rsidR="00171E65" w:rsidRDefault="001F5E2A">
            <w:r>
              <w:t>Preferred Term</w:t>
            </w:r>
          </w:p>
        </w:tc>
      </w:tr>
      <w:tr w:rsidR="00171E65" w14:paraId="4BB03BEB" w14:textId="77777777" w:rsidTr="000121EF">
        <w:trPr>
          <w:trHeight w:val="386"/>
        </w:trPr>
        <w:tc>
          <w:tcPr>
            <w:tcW w:w="2174" w:type="dxa"/>
          </w:tcPr>
          <w:p w14:paraId="0000007C" w14:textId="77777777" w:rsidR="00171E65" w:rsidRDefault="001F5E2A">
            <w:r>
              <w:t>QoL</w:t>
            </w:r>
          </w:p>
        </w:tc>
        <w:tc>
          <w:tcPr>
            <w:tcW w:w="6886" w:type="dxa"/>
          </w:tcPr>
          <w:p w14:paraId="0000007D" w14:textId="77777777" w:rsidR="00171E65" w:rsidRDefault="001F5E2A">
            <w:r>
              <w:t>Quality of life</w:t>
            </w:r>
          </w:p>
        </w:tc>
      </w:tr>
      <w:tr w:rsidR="00171E65" w14:paraId="42F784B5" w14:textId="77777777" w:rsidTr="000121EF">
        <w:trPr>
          <w:trHeight w:val="386"/>
        </w:trPr>
        <w:tc>
          <w:tcPr>
            <w:tcW w:w="2174" w:type="dxa"/>
          </w:tcPr>
          <w:p w14:paraId="0000007E" w14:textId="77777777" w:rsidR="00171E65" w:rsidRDefault="001F5E2A">
            <w:r>
              <w:t>RAI</w:t>
            </w:r>
          </w:p>
        </w:tc>
        <w:tc>
          <w:tcPr>
            <w:tcW w:w="6886" w:type="dxa"/>
          </w:tcPr>
          <w:p w14:paraId="0000007F" w14:textId="77777777" w:rsidR="00171E65" w:rsidRDefault="001F5E2A">
            <w:r>
              <w:t>Refractory to radioactive iodine</w:t>
            </w:r>
          </w:p>
        </w:tc>
      </w:tr>
      <w:tr w:rsidR="00171E65" w14:paraId="2CAAE188" w14:textId="77777777" w:rsidTr="000121EF">
        <w:trPr>
          <w:trHeight w:val="386"/>
        </w:trPr>
        <w:tc>
          <w:tcPr>
            <w:tcW w:w="2174" w:type="dxa"/>
          </w:tcPr>
          <w:p w14:paraId="00000080" w14:textId="77777777" w:rsidR="00171E65" w:rsidRDefault="001F5E2A">
            <w:r>
              <w:t>RECIST</w:t>
            </w:r>
          </w:p>
        </w:tc>
        <w:tc>
          <w:tcPr>
            <w:tcW w:w="6886" w:type="dxa"/>
          </w:tcPr>
          <w:p w14:paraId="00000081" w14:textId="77777777" w:rsidR="00171E65" w:rsidRDefault="001F5E2A">
            <w:r>
              <w:t xml:space="preserve">Response Evaluation Criteria </w:t>
            </w:r>
            <w:proofErr w:type="gramStart"/>
            <w:r>
              <w:t>In</w:t>
            </w:r>
            <w:proofErr w:type="gramEnd"/>
            <w:r>
              <w:t xml:space="preserve"> Solid Tumours</w:t>
            </w:r>
          </w:p>
        </w:tc>
      </w:tr>
      <w:tr w:rsidR="00171E65" w14:paraId="329AE6B7" w14:textId="77777777" w:rsidTr="000121EF">
        <w:trPr>
          <w:trHeight w:val="386"/>
        </w:trPr>
        <w:tc>
          <w:tcPr>
            <w:tcW w:w="2174" w:type="dxa"/>
          </w:tcPr>
          <w:p w14:paraId="00000082" w14:textId="77777777" w:rsidR="00171E65" w:rsidRDefault="001F5E2A">
            <w:r>
              <w:t>RET</w:t>
            </w:r>
          </w:p>
        </w:tc>
        <w:tc>
          <w:tcPr>
            <w:tcW w:w="6886" w:type="dxa"/>
          </w:tcPr>
          <w:p w14:paraId="00000083" w14:textId="77777777" w:rsidR="00171E65" w:rsidRDefault="001F5E2A">
            <w:r>
              <w:t>Rearranged during transfection</w:t>
            </w:r>
          </w:p>
        </w:tc>
      </w:tr>
      <w:tr w:rsidR="00171E65" w14:paraId="7B91B8D1" w14:textId="77777777" w:rsidTr="000121EF">
        <w:trPr>
          <w:trHeight w:val="386"/>
        </w:trPr>
        <w:tc>
          <w:tcPr>
            <w:tcW w:w="2174" w:type="dxa"/>
          </w:tcPr>
          <w:p w14:paraId="00000084" w14:textId="77777777" w:rsidR="00171E65" w:rsidRDefault="001F5E2A">
            <w:r>
              <w:t>RMP</w:t>
            </w:r>
          </w:p>
        </w:tc>
        <w:tc>
          <w:tcPr>
            <w:tcW w:w="6886" w:type="dxa"/>
          </w:tcPr>
          <w:p w14:paraId="00000085" w14:textId="77777777" w:rsidR="00171E65" w:rsidRDefault="001F5E2A">
            <w:r>
              <w:t>Risk management plan</w:t>
            </w:r>
          </w:p>
        </w:tc>
      </w:tr>
      <w:tr w:rsidR="00171E65" w14:paraId="206C2EED" w14:textId="77777777" w:rsidTr="000121EF">
        <w:trPr>
          <w:trHeight w:val="386"/>
        </w:trPr>
        <w:tc>
          <w:tcPr>
            <w:tcW w:w="2174" w:type="dxa"/>
          </w:tcPr>
          <w:p w14:paraId="00000086" w14:textId="77777777" w:rsidR="00171E65" w:rsidRDefault="001F5E2A">
            <w:r>
              <w:t>RP2D</w:t>
            </w:r>
          </w:p>
        </w:tc>
        <w:tc>
          <w:tcPr>
            <w:tcW w:w="6886" w:type="dxa"/>
          </w:tcPr>
          <w:p w14:paraId="00000087" w14:textId="77777777" w:rsidR="00171E65" w:rsidRDefault="001F5E2A">
            <w:r>
              <w:t>Recommended Phase II dose</w:t>
            </w:r>
          </w:p>
        </w:tc>
      </w:tr>
      <w:tr w:rsidR="00171E65" w14:paraId="7150FD75" w14:textId="77777777" w:rsidTr="000121EF">
        <w:trPr>
          <w:trHeight w:val="386"/>
        </w:trPr>
        <w:tc>
          <w:tcPr>
            <w:tcW w:w="2174" w:type="dxa"/>
          </w:tcPr>
          <w:p w14:paraId="00000088" w14:textId="77777777" w:rsidR="00171E65" w:rsidRDefault="001F5E2A">
            <w:r>
              <w:t>SAE</w:t>
            </w:r>
          </w:p>
        </w:tc>
        <w:tc>
          <w:tcPr>
            <w:tcW w:w="6886" w:type="dxa"/>
          </w:tcPr>
          <w:p w14:paraId="00000089" w14:textId="77777777" w:rsidR="00171E65" w:rsidRDefault="001F5E2A">
            <w:r>
              <w:t>Serious adverse event</w:t>
            </w:r>
          </w:p>
        </w:tc>
      </w:tr>
      <w:tr w:rsidR="00171E65" w14:paraId="4B1856A8" w14:textId="77777777" w:rsidTr="000121EF">
        <w:trPr>
          <w:trHeight w:val="386"/>
        </w:trPr>
        <w:tc>
          <w:tcPr>
            <w:tcW w:w="2174" w:type="dxa"/>
          </w:tcPr>
          <w:p w14:paraId="0000008A" w14:textId="77777777" w:rsidR="00171E65" w:rsidRDefault="001F5E2A">
            <w:r>
              <w:t>TEAE</w:t>
            </w:r>
          </w:p>
        </w:tc>
        <w:tc>
          <w:tcPr>
            <w:tcW w:w="6886" w:type="dxa"/>
          </w:tcPr>
          <w:p w14:paraId="0000008B" w14:textId="77777777" w:rsidR="00171E65" w:rsidRDefault="001F5E2A">
            <w:r>
              <w:t>Treatment emergent adverse event</w:t>
            </w:r>
          </w:p>
        </w:tc>
      </w:tr>
      <w:tr w:rsidR="00171E65" w14:paraId="7FC14D42" w14:textId="77777777" w:rsidTr="000121EF">
        <w:trPr>
          <w:trHeight w:val="386"/>
        </w:trPr>
        <w:tc>
          <w:tcPr>
            <w:tcW w:w="2174" w:type="dxa"/>
          </w:tcPr>
          <w:p w14:paraId="0000008C" w14:textId="77777777" w:rsidR="00171E65" w:rsidRDefault="001F5E2A">
            <w:r>
              <w:t>TGA</w:t>
            </w:r>
          </w:p>
        </w:tc>
        <w:tc>
          <w:tcPr>
            <w:tcW w:w="6886" w:type="dxa"/>
          </w:tcPr>
          <w:p w14:paraId="0000008D" w14:textId="77777777" w:rsidR="00171E65" w:rsidRDefault="001F5E2A">
            <w:r>
              <w:t>Therapeutic Goods Administration</w:t>
            </w:r>
          </w:p>
        </w:tc>
      </w:tr>
      <w:tr w:rsidR="00171E65" w14:paraId="35BDE233" w14:textId="77777777" w:rsidTr="000121EF">
        <w:trPr>
          <w:trHeight w:val="386"/>
        </w:trPr>
        <w:tc>
          <w:tcPr>
            <w:tcW w:w="2174" w:type="dxa"/>
          </w:tcPr>
          <w:p w14:paraId="0000008E" w14:textId="77777777" w:rsidR="00171E65" w:rsidRDefault="001F5E2A">
            <w:r>
              <w:t>TKI</w:t>
            </w:r>
          </w:p>
        </w:tc>
        <w:tc>
          <w:tcPr>
            <w:tcW w:w="6886" w:type="dxa"/>
          </w:tcPr>
          <w:p w14:paraId="0000008F" w14:textId="77777777" w:rsidR="00171E65" w:rsidRDefault="001F5E2A">
            <w:r>
              <w:t>Tyrosine kinase inhibitor</w:t>
            </w:r>
          </w:p>
        </w:tc>
      </w:tr>
      <w:tr w:rsidR="00171E65" w14:paraId="509B96DE" w14:textId="77777777" w:rsidTr="000121EF">
        <w:trPr>
          <w:trHeight w:val="386"/>
        </w:trPr>
        <w:tc>
          <w:tcPr>
            <w:tcW w:w="2174" w:type="dxa"/>
          </w:tcPr>
          <w:p w14:paraId="00000090" w14:textId="77777777" w:rsidR="00171E65" w:rsidRDefault="001F5E2A">
            <w:r>
              <w:t>TLS</w:t>
            </w:r>
          </w:p>
        </w:tc>
        <w:tc>
          <w:tcPr>
            <w:tcW w:w="6886" w:type="dxa"/>
          </w:tcPr>
          <w:p w14:paraId="00000091" w14:textId="77777777" w:rsidR="00171E65" w:rsidRDefault="001F5E2A">
            <w:r>
              <w:t>Tumour lysis syndrome</w:t>
            </w:r>
          </w:p>
        </w:tc>
      </w:tr>
      <w:tr w:rsidR="00171E65" w14:paraId="7BF7A267" w14:textId="77777777" w:rsidTr="000121EF">
        <w:trPr>
          <w:trHeight w:val="386"/>
        </w:trPr>
        <w:tc>
          <w:tcPr>
            <w:tcW w:w="2174" w:type="dxa"/>
          </w:tcPr>
          <w:p w14:paraId="00000092" w14:textId="77777777" w:rsidR="00171E65" w:rsidRDefault="001F5E2A">
            <w:r>
              <w:t>VEGFR</w:t>
            </w:r>
          </w:p>
        </w:tc>
        <w:tc>
          <w:tcPr>
            <w:tcW w:w="6886" w:type="dxa"/>
          </w:tcPr>
          <w:p w14:paraId="00000093" w14:textId="77777777" w:rsidR="00171E65" w:rsidRDefault="001F5E2A">
            <w:r>
              <w:t>Vascular endothelial growth factor receptor</w:t>
            </w:r>
          </w:p>
        </w:tc>
      </w:tr>
    </w:tbl>
    <w:p w14:paraId="00000094" w14:textId="77777777" w:rsidR="00171E65" w:rsidRDefault="001F5E2A">
      <w:pPr>
        <w:spacing w:after="200"/>
        <w:rPr>
          <w:b/>
          <w:i/>
          <w:sz w:val="24"/>
          <w:szCs w:val="24"/>
        </w:rPr>
      </w:pPr>
      <w:r>
        <w:br w:type="page"/>
      </w:r>
    </w:p>
    <w:p w14:paraId="00000095" w14:textId="77777777" w:rsidR="00171E65" w:rsidRDefault="001F5E2A">
      <w:pPr>
        <w:pStyle w:val="Heading2"/>
      </w:pPr>
      <w:bookmarkStart w:id="1" w:name="_Toc149213440"/>
      <w:r>
        <w:lastRenderedPageBreak/>
        <w:t>Product submission</w:t>
      </w:r>
      <w:bookmarkEnd w:id="1"/>
    </w:p>
    <w:p w14:paraId="00000096" w14:textId="77777777" w:rsidR="00171E65" w:rsidRDefault="001F5E2A">
      <w:pPr>
        <w:pStyle w:val="Heading3"/>
      </w:pPr>
      <w:bookmarkStart w:id="2" w:name="_Toc149213441"/>
      <w:r>
        <w:t xml:space="preserve">Submission details for PM-2021-05762-1-4, </w:t>
      </w:r>
      <w:r>
        <w:rPr>
          <w:i/>
        </w:rPr>
        <w:t>RET</w:t>
      </w:r>
      <w:r>
        <w:t>-fusion positive thyroid cancer indication</w:t>
      </w:r>
      <w:bookmarkEnd w:id="2"/>
    </w:p>
    <w:tbl>
      <w:tblPr>
        <w:tblStyle w:val="a1"/>
        <w:tblW w:w="9070" w:type="dxa"/>
        <w:tblLayout w:type="fixed"/>
        <w:tblLook w:val="0000" w:firstRow="0" w:lastRow="0" w:firstColumn="0" w:lastColumn="0" w:noHBand="0" w:noVBand="0"/>
      </w:tblPr>
      <w:tblGrid>
        <w:gridCol w:w="2861"/>
        <w:gridCol w:w="6209"/>
      </w:tblGrid>
      <w:tr w:rsidR="00171E65" w14:paraId="661E4EDD" w14:textId="77777777">
        <w:tc>
          <w:tcPr>
            <w:tcW w:w="2861" w:type="dxa"/>
          </w:tcPr>
          <w:p w14:paraId="00000097" w14:textId="77777777" w:rsidR="00171E65" w:rsidRDefault="001F5E2A">
            <w:pPr>
              <w:rPr>
                <w:i/>
              </w:rPr>
            </w:pPr>
            <w:r>
              <w:rPr>
                <w:i/>
              </w:rPr>
              <w:t>Type of submission:</w:t>
            </w:r>
          </w:p>
        </w:tc>
        <w:tc>
          <w:tcPr>
            <w:tcW w:w="6209" w:type="dxa"/>
          </w:tcPr>
          <w:p w14:paraId="00000098" w14:textId="77777777" w:rsidR="00171E65" w:rsidRDefault="001F5E2A">
            <w:r>
              <w:t>New chemical entity</w:t>
            </w:r>
          </w:p>
        </w:tc>
      </w:tr>
      <w:tr w:rsidR="00171E65" w14:paraId="33C46175" w14:textId="77777777">
        <w:tc>
          <w:tcPr>
            <w:tcW w:w="2861" w:type="dxa"/>
          </w:tcPr>
          <w:p w14:paraId="00000099" w14:textId="77777777" w:rsidR="00171E65" w:rsidRDefault="001F5E2A">
            <w:pPr>
              <w:rPr>
                <w:i/>
              </w:rPr>
            </w:pPr>
            <w:r>
              <w:rPr>
                <w:i/>
              </w:rPr>
              <w:t>Product name:</w:t>
            </w:r>
          </w:p>
        </w:tc>
        <w:tc>
          <w:tcPr>
            <w:tcW w:w="6209" w:type="dxa"/>
          </w:tcPr>
          <w:p w14:paraId="0000009A" w14:textId="77777777" w:rsidR="00171E65" w:rsidRDefault="001F5E2A">
            <w:proofErr w:type="spellStart"/>
            <w:r>
              <w:t>Gavreto</w:t>
            </w:r>
            <w:proofErr w:type="spellEnd"/>
          </w:p>
        </w:tc>
      </w:tr>
      <w:tr w:rsidR="00171E65" w14:paraId="0FDB91EF" w14:textId="77777777">
        <w:tc>
          <w:tcPr>
            <w:tcW w:w="2861" w:type="dxa"/>
          </w:tcPr>
          <w:p w14:paraId="0000009B" w14:textId="77777777" w:rsidR="00171E65" w:rsidRDefault="001F5E2A">
            <w:pPr>
              <w:rPr>
                <w:i/>
              </w:rPr>
            </w:pPr>
            <w:r>
              <w:rPr>
                <w:i/>
              </w:rPr>
              <w:t>Active ingredient:</w:t>
            </w:r>
          </w:p>
        </w:tc>
        <w:tc>
          <w:tcPr>
            <w:tcW w:w="6209" w:type="dxa"/>
          </w:tcPr>
          <w:p w14:paraId="0000009C" w14:textId="77777777" w:rsidR="00171E65" w:rsidRDefault="001F5E2A">
            <w:proofErr w:type="spellStart"/>
            <w:r>
              <w:t>Pralsetinib</w:t>
            </w:r>
            <w:proofErr w:type="spellEnd"/>
          </w:p>
        </w:tc>
      </w:tr>
      <w:tr w:rsidR="00171E65" w14:paraId="757A3BC9" w14:textId="77777777">
        <w:tc>
          <w:tcPr>
            <w:tcW w:w="2861" w:type="dxa"/>
          </w:tcPr>
          <w:p w14:paraId="0000009D" w14:textId="77777777" w:rsidR="00171E65" w:rsidRDefault="001F5E2A">
            <w:pPr>
              <w:rPr>
                <w:i/>
              </w:rPr>
            </w:pPr>
            <w:r>
              <w:rPr>
                <w:i/>
              </w:rPr>
              <w:t>Decision:</w:t>
            </w:r>
          </w:p>
        </w:tc>
        <w:tc>
          <w:tcPr>
            <w:tcW w:w="6209" w:type="dxa"/>
          </w:tcPr>
          <w:p w14:paraId="0000009E" w14:textId="77777777" w:rsidR="00171E65" w:rsidRDefault="001F5E2A">
            <w:r>
              <w:t>Approved for provisional registration</w:t>
            </w:r>
          </w:p>
        </w:tc>
      </w:tr>
      <w:tr w:rsidR="00171E65" w14:paraId="6D549689" w14:textId="77777777">
        <w:tc>
          <w:tcPr>
            <w:tcW w:w="2861" w:type="dxa"/>
          </w:tcPr>
          <w:p w14:paraId="0000009F" w14:textId="77777777" w:rsidR="00171E65" w:rsidRDefault="001F5E2A">
            <w:pPr>
              <w:rPr>
                <w:i/>
              </w:rPr>
            </w:pPr>
            <w:r>
              <w:rPr>
                <w:i/>
              </w:rPr>
              <w:t>Date of decision:</w:t>
            </w:r>
          </w:p>
        </w:tc>
        <w:tc>
          <w:tcPr>
            <w:tcW w:w="6209" w:type="dxa"/>
          </w:tcPr>
          <w:p w14:paraId="000000A0" w14:textId="77777777" w:rsidR="00171E65" w:rsidRDefault="001F5E2A">
            <w:r>
              <w:t>5 April 2023</w:t>
            </w:r>
          </w:p>
        </w:tc>
      </w:tr>
      <w:tr w:rsidR="00171E65" w14:paraId="6120042C" w14:textId="77777777">
        <w:tc>
          <w:tcPr>
            <w:tcW w:w="2861" w:type="dxa"/>
          </w:tcPr>
          <w:p w14:paraId="000000A1" w14:textId="77777777" w:rsidR="00171E65" w:rsidRDefault="001F5E2A">
            <w:pPr>
              <w:rPr>
                <w:i/>
              </w:rPr>
            </w:pPr>
            <w:r>
              <w:rPr>
                <w:i/>
              </w:rPr>
              <w:t>Date of entry onto ARTG:</w:t>
            </w:r>
          </w:p>
        </w:tc>
        <w:tc>
          <w:tcPr>
            <w:tcW w:w="6209" w:type="dxa"/>
          </w:tcPr>
          <w:p w14:paraId="000000A2" w14:textId="77777777" w:rsidR="00171E65" w:rsidRDefault="001F5E2A">
            <w:r>
              <w:t>6 April 2023</w:t>
            </w:r>
          </w:p>
        </w:tc>
      </w:tr>
      <w:tr w:rsidR="00171E65" w14:paraId="244CF64F" w14:textId="77777777">
        <w:tc>
          <w:tcPr>
            <w:tcW w:w="2861" w:type="dxa"/>
          </w:tcPr>
          <w:p w14:paraId="000000A3" w14:textId="77777777" w:rsidR="00171E65" w:rsidRDefault="001F5E2A">
            <w:pPr>
              <w:rPr>
                <w:i/>
              </w:rPr>
            </w:pPr>
            <w:r>
              <w:rPr>
                <w:i/>
              </w:rPr>
              <w:t>ARTG number:</w:t>
            </w:r>
          </w:p>
        </w:tc>
        <w:tc>
          <w:tcPr>
            <w:tcW w:w="6209" w:type="dxa"/>
          </w:tcPr>
          <w:p w14:paraId="000000A4" w14:textId="77777777" w:rsidR="00171E65" w:rsidRDefault="001F5E2A">
            <w:r>
              <w:t>380812</w:t>
            </w:r>
          </w:p>
        </w:tc>
      </w:tr>
      <w:tr w:rsidR="00171E65" w14:paraId="379204E0" w14:textId="77777777">
        <w:tc>
          <w:tcPr>
            <w:tcW w:w="2861" w:type="dxa"/>
          </w:tcPr>
          <w:p w14:paraId="000000A5" w14:textId="3B3E1209" w:rsidR="00171E65" w:rsidRDefault="001F5E2A">
            <w:pPr>
              <w:rPr>
                <w:i/>
                <w:color w:val="0000FF"/>
                <w:u w:val="single"/>
              </w:rPr>
            </w:pPr>
            <w:r>
              <w:rPr>
                <w:rFonts w:ascii="Noto Sans Symbols" w:eastAsia="Noto Sans Symbols" w:hAnsi="Noto Sans Symbols" w:cs="Noto Sans Symbols"/>
              </w:rPr>
              <w:t>▼</w:t>
            </w:r>
            <w:hyperlink r:id="rId16">
              <w:r>
                <w:rPr>
                  <w:i/>
                  <w:color w:val="0000FF"/>
                  <w:u w:val="single"/>
                </w:rPr>
                <w:t>Black Triangle Scheme</w:t>
              </w:r>
            </w:hyperlink>
          </w:p>
          <w:p w14:paraId="000000A6" w14:textId="77777777" w:rsidR="00171E65" w:rsidRDefault="001F5E2A">
            <w:pPr>
              <w:rPr>
                <w:i/>
              </w:rPr>
            </w:pPr>
            <w:r>
              <w:rPr>
                <w:i/>
              </w:rPr>
              <w:t>for the current submission:</w:t>
            </w:r>
          </w:p>
        </w:tc>
        <w:tc>
          <w:tcPr>
            <w:tcW w:w="6209" w:type="dxa"/>
          </w:tcPr>
          <w:p w14:paraId="000000A7" w14:textId="77777777" w:rsidR="00171E65" w:rsidRDefault="001F5E2A">
            <w:r>
              <w:t>Yes</w:t>
            </w:r>
          </w:p>
          <w:p w14:paraId="000000A8" w14:textId="77777777" w:rsidR="00171E65" w:rsidRDefault="001F5E2A">
            <w:r>
              <w:t>As a provisionally registered product, this medicine will remain in the Black Triangle Scheme for the duration of its provisional registration</w:t>
            </w:r>
          </w:p>
        </w:tc>
      </w:tr>
      <w:tr w:rsidR="00171E65" w14:paraId="77D1C67C" w14:textId="77777777">
        <w:tc>
          <w:tcPr>
            <w:tcW w:w="2861" w:type="dxa"/>
          </w:tcPr>
          <w:p w14:paraId="000000A9" w14:textId="77777777" w:rsidR="00171E65" w:rsidRDefault="001F5E2A">
            <w:pPr>
              <w:rPr>
                <w:i/>
              </w:rPr>
            </w:pPr>
            <w:r>
              <w:rPr>
                <w:i/>
              </w:rPr>
              <w:t>Sponsor’s name and address:</w:t>
            </w:r>
          </w:p>
        </w:tc>
        <w:tc>
          <w:tcPr>
            <w:tcW w:w="6209" w:type="dxa"/>
          </w:tcPr>
          <w:p w14:paraId="000000AA" w14:textId="77777777" w:rsidR="00171E65" w:rsidRDefault="001F5E2A">
            <w:r>
              <w:t>Roche Products Pty Limited</w:t>
            </w:r>
          </w:p>
          <w:p w14:paraId="000000AB" w14:textId="77777777" w:rsidR="00171E65" w:rsidRDefault="001F5E2A">
            <w:r>
              <w:t>Level 8, 30 – 34 Hickson Road</w:t>
            </w:r>
          </w:p>
          <w:p w14:paraId="000000AC" w14:textId="77777777" w:rsidR="00171E65" w:rsidRDefault="001F5E2A">
            <w:r>
              <w:t>Sydney NSW 2000</w:t>
            </w:r>
          </w:p>
        </w:tc>
      </w:tr>
      <w:tr w:rsidR="00171E65" w14:paraId="45B87D54" w14:textId="77777777">
        <w:tc>
          <w:tcPr>
            <w:tcW w:w="2861" w:type="dxa"/>
          </w:tcPr>
          <w:p w14:paraId="000000AD" w14:textId="77777777" w:rsidR="00171E65" w:rsidRDefault="001F5E2A">
            <w:pPr>
              <w:rPr>
                <w:i/>
              </w:rPr>
            </w:pPr>
            <w:r>
              <w:rPr>
                <w:i/>
              </w:rPr>
              <w:t>Dose form:</w:t>
            </w:r>
          </w:p>
        </w:tc>
        <w:tc>
          <w:tcPr>
            <w:tcW w:w="6209" w:type="dxa"/>
          </w:tcPr>
          <w:p w14:paraId="000000AE" w14:textId="77777777" w:rsidR="00171E65" w:rsidRDefault="001F5E2A">
            <w:r>
              <w:t>Hard capsule</w:t>
            </w:r>
          </w:p>
        </w:tc>
      </w:tr>
      <w:tr w:rsidR="00171E65" w14:paraId="51ACEA23" w14:textId="77777777">
        <w:tc>
          <w:tcPr>
            <w:tcW w:w="2861" w:type="dxa"/>
          </w:tcPr>
          <w:p w14:paraId="000000AF" w14:textId="77777777" w:rsidR="00171E65" w:rsidRDefault="001F5E2A">
            <w:pPr>
              <w:rPr>
                <w:i/>
              </w:rPr>
            </w:pPr>
            <w:r>
              <w:rPr>
                <w:i/>
              </w:rPr>
              <w:t>Strength:</w:t>
            </w:r>
          </w:p>
        </w:tc>
        <w:tc>
          <w:tcPr>
            <w:tcW w:w="6209" w:type="dxa"/>
          </w:tcPr>
          <w:p w14:paraId="000000B0" w14:textId="77777777" w:rsidR="00171E65" w:rsidRDefault="001F5E2A">
            <w:r>
              <w:t>100 mg</w:t>
            </w:r>
          </w:p>
        </w:tc>
      </w:tr>
      <w:tr w:rsidR="00171E65" w14:paraId="719F2CC2" w14:textId="77777777">
        <w:tc>
          <w:tcPr>
            <w:tcW w:w="2861" w:type="dxa"/>
          </w:tcPr>
          <w:p w14:paraId="000000B1" w14:textId="77777777" w:rsidR="00171E65" w:rsidRDefault="001F5E2A">
            <w:pPr>
              <w:rPr>
                <w:i/>
              </w:rPr>
            </w:pPr>
            <w:r>
              <w:rPr>
                <w:i/>
              </w:rPr>
              <w:t>Container:</w:t>
            </w:r>
          </w:p>
        </w:tc>
        <w:tc>
          <w:tcPr>
            <w:tcW w:w="6209" w:type="dxa"/>
          </w:tcPr>
          <w:p w14:paraId="000000B2" w14:textId="77777777" w:rsidR="00171E65" w:rsidRDefault="001F5E2A">
            <w:r>
              <w:t>Bottle</w:t>
            </w:r>
          </w:p>
        </w:tc>
      </w:tr>
      <w:tr w:rsidR="00171E65" w14:paraId="02850BD6" w14:textId="77777777">
        <w:tc>
          <w:tcPr>
            <w:tcW w:w="2861" w:type="dxa"/>
          </w:tcPr>
          <w:p w14:paraId="000000B3" w14:textId="77777777" w:rsidR="00171E65" w:rsidRDefault="001F5E2A">
            <w:pPr>
              <w:rPr>
                <w:i/>
              </w:rPr>
            </w:pPr>
            <w:r>
              <w:rPr>
                <w:i/>
              </w:rPr>
              <w:t>Pack sizes:</w:t>
            </w:r>
          </w:p>
        </w:tc>
        <w:tc>
          <w:tcPr>
            <w:tcW w:w="6209" w:type="dxa"/>
          </w:tcPr>
          <w:p w14:paraId="000000B4" w14:textId="77777777" w:rsidR="00171E65" w:rsidRDefault="001F5E2A">
            <w:r>
              <w:t>60, 90 and 120</w:t>
            </w:r>
          </w:p>
        </w:tc>
      </w:tr>
      <w:tr w:rsidR="00171E65" w14:paraId="4523BFDF" w14:textId="77777777">
        <w:tc>
          <w:tcPr>
            <w:tcW w:w="2861" w:type="dxa"/>
          </w:tcPr>
          <w:p w14:paraId="000000B5" w14:textId="77777777" w:rsidR="00171E65" w:rsidRDefault="001F5E2A">
            <w:pPr>
              <w:rPr>
                <w:i/>
              </w:rPr>
            </w:pPr>
            <w:r>
              <w:rPr>
                <w:i/>
              </w:rPr>
              <w:t>Approved therapeutic use for the current submission:</w:t>
            </w:r>
          </w:p>
        </w:tc>
        <w:tc>
          <w:tcPr>
            <w:tcW w:w="6209" w:type="dxa"/>
          </w:tcPr>
          <w:p w14:paraId="000000B6" w14:textId="77777777" w:rsidR="00171E65" w:rsidRDefault="001F5E2A">
            <w:pPr>
              <w:rPr>
                <w:i/>
              </w:rPr>
            </w:pPr>
            <w:r>
              <w:rPr>
                <w:i/>
              </w:rPr>
              <w:t>RET-Fusion Positive Thyroid Cancer</w:t>
            </w:r>
          </w:p>
          <w:p w14:paraId="00FF2885" w14:textId="77777777" w:rsidR="006E2BBA" w:rsidRDefault="001F5E2A">
            <w:pPr>
              <w:rPr>
                <w:i/>
              </w:rPr>
            </w:pPr>
            <w:proofErr w:type="spellStart"/>
            <w:r>
              <w:rPr>
                <w:i/>
              </w:rPr>
              <w:t>Gavreto</w:t>
            </w:r>
            <w:proofErr w:type="spellEnd"/>
            <w:r>
              <w:rPr>
                <w:i/>
              </w:rPr>
              <w:t xml:space="preserve"> has provisional approval in Australia for the treatment of adult patients with advanced or metastatic RET-fusion positive thyroid cancer that is refractory to (or unsuitable for) radioactive iodine and who have progressed on or are unable to tolerate </w:t>
            </w:r>
            <w:proofErr w:type="spellStart"/>
            <w:r>
              <w:rPr>
                <w:i/>
              </w:rPr>
              <w:t>lenvatinib</w:t>
            </w:r>
            <w:proofErr w:type="spellEnd"/>
            <w:r>
              <w:rPr>
                <w:i/>
              </w:rPr>
              <w:t xml:space="preserve"> or sorafenib.</w:t>
            </w:r>
          </w:p>
          <w:p w14:paraId="000000B7" w14:textId="478629D2" w:rsidR="00171E65" w:rsidRDefault="001F5E2A">
            <w:r>
              <w:rPr>
                <w:i/>
              </w:rPr>
              <w:t xml:space="preserve">The decision to approve this indication has been made </w:t>
            </w:r>
            <w:proofErr w:type="gramStart"/>
            <w:r>
              <w:rPr>
                <w:i/>
              </w:rPr>
              <w:t>on the basis of</w:t>
            </w:r>
            <w:proofErr w:type="gramEnd"/>
            <w:r>
              <w:rPr>
                <w:i/>
              </w:rPr>
              <w:t xml:space="preserve"> overall response rate (ORR) and duration of response (DOR). Continued approval of this indication depends on verification and description of benefit in confirmatory trials.</w:t>
            </w:r>
          </w:p>
        </w:tc>
      </w:tr>
      <w:tr w:rsidR="00171E65" w14:paraId="0784B186" w14:textId="77777777">
        <w:tc>
          <w:tcPr>
            <w:tcW w:w="2861" w:type="dxa"/>
          </w:tcPr>
          <w:p w14:paraId="000000B8" w14:textId="77777777" w:rsidR="00171E65" w:rsidRDefault="001F5E2A">
            <w:pPr>
              <w:rPr>
                <w:i/>
              </w:rPr>
            </w:pPr>
            <w:r>
              <w:rPr>
                <w:i/>
              </w:rPr>
              <w:t>Route of administration:</w:t>
            </w:r>
          </w:p>
        </w:tc>
        <w:tc>
          <w:tcPr>
            <w:tcW w:w="6209" w:type="dxa"/>
          </w:tcPr>
          <w:p w14:paraId="000000B9" w14:textId="77777777" w:rsidR="00171E65" w:rsidRDefault="001F5E2A">
            <w:r>
              <w:t>Oral</w:t>
            </w:r>
          </w:p>
        </w:tc>
      </w:tr>
      <w:tr w:rsidR="00171E65" w14:paraId="089B0E31" w14:textId="77777777">
        <w:tc>
          <w:tcPr>
            <w:tcW w:w="2861" w:type="dxa"/>
          </w:tcPr>
          <w:p w14:paraId="000000BA" w14:textId="77777777" w:rsidR="00171E65" w:rsidRDefault="001F5E2A">
            <w:pPr>
              <w:rPr>
                <w:i/>
              </w:rPr>
            </w:pPr>
            <w:r>
              <w:rPr>
                <w:i/>
              </w:rPr>
              <w:t>Dosage:</w:t>
            </w:r>
          </w:p>
        </w:tc>
        <w:tc>
          <w:tcPr>
            <w:tcW w:w="6209" w:type="dxa"/>
          </w:tcPr>
          <w:p w14:paraId="000000BB" w14:textId="77777777" w:rsidR="00171E65" w:rsidRDefault="001F5E2A">
            <w:r>
              <w:t xml:space="preserve">A validated assay is required for the selection of patients with </w:t>
            </w:r>
            <w:r>
              <w:rPr>
                <w:i/>
              </w:rPr>
              <w:t>RET</w:t>
            </w:r>
            <w:r>
              <w:t xml:space="preserve">-fusion positive thyroid cancer. </w:t>
            </w:r>
            <w:r>
              <w:rPr>
                <w:i/>
              </w:rPr>
              <w:t>RET</w:t>
            </w:r>
            <w:r>
              <w:t xml:space="preserve">-fusion status should be established prior to initiation of </w:t>
            </w:r>
            <w:proofErr w:type="spellStart"/>
            <w:r>
              <w:t>Gavreto</w:t>
            </w:r>
            <w:proofErr w:type="spellEnd"/>
            <w:r>
              <w:t xml:space="preserve"> therapy.</w:t>
            </w:r>
          </w:p>
          <w:p w14:paraId="000000BC" w14:textId="77777777" w:rsidR="00171E65" w:rsidRDefault="001F5E2A">
            <w:r>
              <w:t xml:space="preserve">The recommended dose of </w:t>
            </w:r>
            <w:proofErr w:type="spellStart"/>
            <w:r>
              <w:t>Gavreto</w:t>
            </w:r>
            <w:proofErr w:type="spellEnd"/>
            <w:r>
              <w:t xml:space="preserve"> for adults is 400 mg given orally, once daily.</w:t>
            </w:r>
          </w:p>
          <w:p w14:paraId="000000BD" w14:textId="77777777" w:rsidR="00171E65" w:rsidRDefault="001F5E2A">
            <w:r>
              <w:lastRenderedPageBreak/>
              <w:t>For further information regarding dosage, refer to the Product Information.</w:t>
            </w:r>
          </w:p>
        </w:tc>
      </w:tr>
      <w:tr w:rsidR="00171E65" w14:paraId="3F7C1D3B" w14:textId="77777777">
        <w:tc>
          <w:tcPr>
            <w:tcW w:w="2861" w:type="dxa"/>
          </w:tcPr>
          <w:p w14:paraId="000000BE" w14:textId="77777777" w:rsidR="00171E65" w:rsidRDefault="001F5E2A">
            <w:pPr>
              <w:rPr>
                <w:i/>
              </w:rPr>
            </w:pPr>
            <w:r>
              <w:rPr>
                <w:i/>
              </w:rPr>
              <w:lastRenderedPageBreak/>
              <w:t>Pregnancy category:</w:t>
            </w:r>
          </w:p>
        </w:tc>
        <w:tc>
          <w:tcPr>
            <w:tcW w:w="6209" w:type="dxa"/>
          </w:tcPr>
          <w:p w14:paraId="000000BF" w14:textId="77777777" w:rsidR="00171E65" w:rsidRDefault="001F5E2A">
            <w:r>
              <w:t>D</w:t>
            </w:r>
          </w:p>
          <w:p w14:paraId="000000C0" w14:textId="77777777" w:rsidR="00171E65" w:rsidRDefault="001F5E2A">
            <w:r>
              <w:t xml:space="preserve">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 Accompanying texts should be consulted for further </w:t>
            </w:r>
            <w:proofErr w:type="gramStart"/>
            <w:r>
              <w:t>details</w:t>
            </w:r>
            <w:proofErr w:type="gramEnd"/>
          </w:p>
          <w:p w14:paraId="000000C1" w14:textId="77777777" w:rsidR="00171E65" w:rsidRDefault="001F5E2A">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000000C2" w14:textId="77777777" w:rsidR="00171E65" w:rsidRDefault="001F5E2A">
      <w:pPr>
        <w:numPr>
          <w:ilvl w:val="0"/>
          <w:numId w:val="8"/>
        </w:numPr>
        <w:pBdr>
          <w:top w:val="nil"/>
          <w:left w:val="nil"/>
          <w:bottom w:val="nil"/>
          <w:right w:val="nil"/>
          <w:between w:val="nil"/>
        </w:pBdr>
        <w:spacing w:before="120" w:after="180"/>
        <w:rPr>
          <w:rFonts w:ascii="Arial" w:eastAsia="Arial" w:hAnsi="Arial" w:cs="Arial"/>
          <w:color w:val="001871"/>
          <w:sz w:val="32"/>
          <w:szCs w:val="32"/>
        </w:rPr>
      </w:pPr>
      <w:bookmarkStart w:id="3" w:name="_heading=h.3znysh7" w:colFirst="0" w:colLast="0"/>
      <w:bookmarkEnd w:id="3"/>
      <w:r>
        <w:br w:type="page"/>
      </w:r>
    </w:p>
    <w:p w14:paraId="000000C3" w14:textId="77777777" w:rsidR="00171E65" w:rsidRDefault="001F5E2A">
      <w:pPr>
        <w:pStyle w:val="Heading3"/>
      </w:pPr>
      <w:bookmarkStart w:id="4" w:name="_Toc149213442"/>
      <w:r>
        <w:lastRenderedPageBreak/>
        <w:t xml:space="preserve">Submission details for PM-2021-05761-1-4, advanced or metastatic </w:t>
      </w:r>
      <w:r>
        <w:rPr>
          <w:i/>
        </w:rPr>
        <w:t>RET</w:t>
      </w:r>
      <w:r>
        <w:t>-mutant medullary thyroid cancer indication</w:t>
      </w:r>
      <w:bookmarkEnd w:id="4"/>
    </w:p>
    <w:tbl>
      <w:tblPr>
        <w:tblStyle w:val="a2"/>
        <w:tblW w:w="9070" w:type="dxa"/>
        <w:tblLayout w:type="fixed"/>
        <w:tblLook w:val="0000" w:firstRow="0" w:lastRow="0" w:firstColumn="0" w:lastColumn="0" w:noHBand="0" w:noVBand="0"/>
      </w:tblPr>
      <w:tblGrid>
        <w:gridCol w:w="2861"/>
        <w:gridCol w:w="6209"/>
      </w:tblGrid>
      <w:tr w:rsidR="00171E65" w14:paraId="177A3974" w14:textId="77777777">
        <w:tc>
          <w:tcPr>
            <w:tcW w:w="2861" w:type="dxa"/>
          </w:tcPr>
          <w:p w14:paraId="000000C4" w14:textId="77777777" w:rsidR="00171E65" w:rsidRDefault="001F5E2A">
            <w:pPr>
              <w:rPr>
                <w:i/>
              </w:rPr>
            </w:pPr>
            <w:r>
              <w:rPr>
                <w:i/>
              </w:rPr>
              <w:t>Type of submission:</w:t>
            </w:r>
          </w:p>
        </w:tc>
        <w:tc>
          <w:tcPr>
            <w:tcW w:w="6209" w:type="dxa"/>
          </w:tcPr>
          <w:p w14:paraId="000000C5" w14:textId="77777777" w:rsidR="00171E65" w:rsidRDefault="001F5E2A">
            <w:r>
              <w:t xml:space="preserve">New chemical entity </w:t>
            </w:r>
          </w:p>
        </w:tc>
      </w:tr>
      <w:tr w:rsidR="00171E65" w14:paraId="46FAC286" w14:textId="77777777">
        <w:tc>
          <w:tcPr>
            <w:tcW w:w="2861" w:type="dxa"/>
          </w:tcPr>
          <w:p w14:paraId="000000C6" w14:textId="77777777" w:rsidR="00171E65" w:rsidRDefault="001F5E2A">
            <w:pPr>
              <w:rPr>
                <w:i/>
              </w:rPr>
            </w:pPr>
            <w:r>
              <w:rPr>
                <w:i/>
              </w:rPr>
              <w:t>Product name:</w:t>
            </w:r>
          </w:p>
        </w:tc>
        <w:tc>
          <w:tcPr>
            <w:tcW w:w="6209" w:type="dxa"/>
          </w:tcPr>
          <w:p w14:paraId="000000C7" w14:textId="77777777" w:rsidR="00171E65" w:rsidRDefault="001F5E2A">
            <w:proofErr w:type="spellStart"/>
            <w:r>
              <w:t>Gavreto</w:t>
            </w:r>
            <w:proofErr w:type="spellEnd"/>
          </w:p>
        </w:tc>
      </w:tr>
      <w:tr w:rsidR="00171E65" w14:paraId="1D056F0A" w14:textId="77777777">
        <w:tc>
          <w:tcPr>
            <w:tcW w:w="2861" w:type="dxa"/>
          </w:tcPr>
          <w:p w14:paraId="000000C8" w14:textId="77777777" w:rsidR="00171E65" w:rsidRDefault="001F5E2A">
            <w:pPr>
              <w:rPr>
                <w:i/>
              </w:rPr>
            </w:pPr>
            <w:r>
              <w:rPr>
                <w:i/>
              </w:rPr>
              <w:t>Active ingredient:</w:t>
            </w:r>
          </w:p>
        </w:tc>
        <w:tc>
          <w:tcPr>
            <w:tcW w:w="6209" w:type="dxa"/>
          </w:tcPr>
          <w:p w14:paraId="000000C9" w14:textId="77777777" w:rsidR="00171E65" w:rsidRDefault="001F5E2A">
            <w:proofErr w:type="spellStart"/>
            <w:r>
              <w:t>Pralsetinib</w:t>
            </w:r>
            <w:proofErr w:type="spellEnd"/>
          </w:p>
        </w:tc>
      </w:tr>
      <w:tr w:rsidR="00171E65" w14:paraId="74819CBC" w14:textId="77777777">
        <w:tc>
          <w:tcPr>
            <w:tcW w:w="2861" w:type="dxa"/>
          </w:tcPr>
          <w:p w14:paraId="000000CA" w14:textId="77777777" w:rsidR="00171E65" w:rsidRDefault="001F5E2A">
            <w:pPr>
              <w:rPr>
                <w:i/>
              </w:rPr>
            </w:pPr>
            <w:r>
              <w:rPr>
                <w:i/>
              </w:rPr>
              <w:t>Decision:</w:t>
            </w:r>
          </w:p>
        </w:tc>
        <w:tc>
          <w:tcPr>
            <w:tcW w:w="6209" w:type="dxa"/>
          </w:tcPr>
          <w:p w14:paraId="000000CB" w14:textId="77777777" w:rsidR="00171E65" w:rsidRDefault="001F5E2A">
            <w:r>
              <w:t>Sponsor withdrew on 29 June 2023</w:t>
            </w:r>
          </w:p>
        </w:tc>
      </w:tr>
      <w:tr w:rsidR="00171E65" w14:paraId="2B66CACA" w14:textId="77777777">
        <w:tc>
          <w:tcPr>
            <w:tcW w:w="2861" w:type="dxa"/>
          </w:tcPr>
          <w:p w14:paraId="000000CC" w14:textId="77777777" w:rsidR="00171E65" w:rsidRDefault="001F5E2A">
            <w:pPr>
              <w:rPr>
                <w:i/>
              </w:rPr>
            </w:pPr>
            <w:r>
              <w:rPr>
                <w:i/>
              </w:rPr>
              <w:t>Date of decision:</w:t>
            </w:r>
          </w:p>
        </w:tc>
        <w:tc>
          <w:tcPr>
            <w:tcW w:w="6209" w:type="dxa"/>
          </w:tcPr>
          <w:p w14:paraId="000000CD" w14:textId="77777777" w:rsidR="00171E65" w:rsidRDefault="001F5E2A">
            <w:r>
              <w:t>Not applicable</w:t>
            </w:r>
          </w:p>
        </w:tc>
      </w:tr>
      <w:tr w:rsidR="00171E65" w14:paraId="217E6FD7" w14:textId="77777777">
        <w:tc>
          <w:tcPr>
            <w:tcW w:w="2861" w:type="dxa"/>
          </w:tcPr>
          <w:p w14:paraId="000000CE" w14:textId="77777777" w:rsidR="00171E65" w:rsidRDefault="001F5E2A">
            <w:pPr>
              <w:rPr>
                <w:i/>
              </w:rPr>
            </w:pPr>
            <w:r>
              <w:rPr>
                <w:i/>
              </w:rPr>
              <w:t>Date of entry onto ARTG:</w:t>
            </w:r>
          </w:p>
        </w:tc>
        <w:tc>
          <w:tcPr>
            <w:tcW w:w="6209" w:type="dxa"/>
          </w:tcPr>
          <w:p w14:paraId="000000CF" w14:textId="77777777" w:rsidR="00171E65" w:rsidRDefault="001F5E2A">
            <w:r>
              <w:t>Not applicable</w:t>
            </w:r>
          </w:p>
        </w:tc>
      </w:tr>
      <w:tr w:rsidR="00171E65" w14:paraId="0A955763" w14:textId="77777777">
        <w:tc>
          <w:tcPr>
            <w:tcW w:w="2861" w:type="dxa"/>
          </w:tcPr>
          <w:p w14:paraId="000000D0" w14:textId="77777777" w:rsidR="00171E65" w:rsidRDefault="001F5E2A">
            <w:pPr>
              <w:rPr>
                <w:i/>
              </w:rPr>
            </w:pPr>
            <w:r>
              <w:rPr>
                <w:i/>
              </w:rPr>
              <w:t>ARTG number:</w:t>
            </w:r>
          </w:p>
        </w:tc>
        <w:tc>
          <w:tcPr>
            <w:tcW w:w="6209" w:type="dxa"/>
          </w:tcPr>
          <w:p w14:paraId="000000D1" w14:textId="77777777" w:rsidR="00171E65" w:rsidRDefault="001F5E2A">
            <w:r>
              <w:t>Not applicable</w:t>
            </w:r>
          </w:p>
        </w:tc>
      </w:tr>
      <w:tr w:rsidR="00171E65" w14:paraId="1E4620FF" w14:textId="77777777">
        <w:tc>
          <w:tcPr>
            <w:tcW w:w="2861" w:type="dxa"/>
          </w:tcPr>
          <w:p w14:paraId="000000D2" w14:textId="4E33BF77" w:rsidR="00171E65" w:rsidRDefault="001F5E2A">
            <w:pPr>
              <w:rPr>
                <w:i/>
                <w:color w:val="0000FF"/>
                <w:u w:val="single"/>
              </w:rPr>
            </w:pPr>
            <w:r>
              <w:rPr>
                <w:rFonts w:ascii="Noto Sans Symbols" w:eastAsia="Noto Sans Symbols" w:hAnsi="Noto Sans Symbols" w:cs="Noto Sans Symbols"/>
              </w:rPr>
              <w:t>▼</w:t>
            </w:r>
            <w:hyperlink r:id="rId17">
              <w:r>
                <w:rPr>
                  <w:i/>
                  <w:color w:val="0000FF"/>
                  <w:u w:val="single"/>
                </w:rPr>
                <w:t>Black Triangle Scheme</w:t>
              </w:r>
            </w:hyperlink>
          </w:p>
          <w:p w14:paraId="000000D3" w14:textId="77777777" w:rsidR="00171E65" w:rsidRDefault="001F5E2A">
            <w:pPr>
              <w:rPr>
                <w:i/>
              </w:rPr>
            </w:pPr>
            <w:r>
              <w:rPr>
                <w:i/>
              </w:rPr>
              <w:t>for the current submission:</w:t>
            </w:r>
          </w:p>
        </w:tc>
        <w:tc>
          <w:tcPr>
            <w:tcW w:w="6209" w:type="dxa"/>
          </w:tcPr>
          <w:p w14:paraId="000000D4" w14:textId="77777777" w:rsidR="00171E65" w:rsidRDefault="001F5E2A">
            <w:r>
              <w:t>Not applicable</w:t>
            </w:r>
          </w:p>
        </w:tc>
      </w:tr>
      <w:tr w:rsidR="00171E65" w14:paraId="036C9AAD" w14:textId="77777777">
        <w:tc>
          <w:tcPr>
            <w:tcW w:w="2861" w:type="dxa"/>
          </w:tcPr>
          <w:p w14:paraId="000000D5" w14:textId="77777777" w:rsidR="00171E65" w:rsidRDefault="001F5E2A">
            <w:pPr>
              <w:rPr>
                <w:i/>
              </w:rPr>
            </w:pPr>
            <w:r>
              <w:rPr>
                <w:i/>
              </w:rPr>
              <w:t>Sponsor’s name and address:</w:t>
            </w:r>
          </w:p>
        </w:tc>
        <w:tc>
          <w:tcPr>
            <w:tcW w:w="6209" w:type="dxa"/>
          </w:tcPr>
          <w:p w14:paraId="000000D6" w14:textId="77777777" w:rsidR="00171E65" w:rsidRDefault="001F5E2A">
            <w:r>
              <w:t>Roche Products Pty Limited</w:t>
            </w:r>
          </w:p>
          <w:p w14:paraId="000000D7" w14:textId="77777777" w:rsidR="00171E65" w:rsidRDefault="001F5E2A">
            <w:r>
              <w:t>Level 8, 30 – 34 Hickson Road</w:t>
            </w:r>
          </w:p>
          <w:p w14:paraId="000000D8" w14:textId="77777777" w:rsidR="00171E65" w:rsidRDefault="001F5E2A">
            <w:r>
              <w:t>Sydney NSW 2000</w:t>
            </w:r>
          </w:p>
        </w:tc>
      </w:tr>
      <w:tr w:rsidR="00171E65" w14:paraId="78768F9F" w14:textId="77777777">
        <w:tc>
          <w:tcPr>
            <w:tcW w:w="2861" w:type="dxa"/>
          </w:tcPr>
          <w:p w14:paraId="000000D9" w14:textId="77777777" w:rsidR="00171E65" w:rsidRDefault="001F5E2A">
            <w:pPr>
              <w:rPr>
                <w:i/>
              </w:rPr>
            </w:pPr>
            <w:r>
              <w:rPr>
                <w:i/>
              </w:rPr>
              <w:t>Dose form:</w:t>
            </w:r>
          </w:p>
        </w:tc>
        <w:tc>
          <w:tcPr>
            <w:tcW w:w="6209" w:type="dxa"/>
          </w:tcPr>
          <w:p w14:paraId="000000DA" w14:textId="77777777" w:rsidR="00171E65" w:rsidRDefault="001F5E2A">
            <w:r>
              <w:t>Hard capsule</w:t>
            </w:r>
          </w:p>
        </w:tc>
      </w:tr>
      <w:tr w:rsidR="00171E65" w14:paraId="7770D07A" w14:textId="77777777">
        <w:tc>
          <w:tcPr>
            <w:tcW w:w="2861" w:type="dxa"/>
          </w:tcPr>
          <w:p w14:paraId="000000DB" w14:textId="77777777" w:rsidR="00171E65" w:rsidRDefault="001F5E2A">
            <w:pPr>
              <w:rPr>
                <w:i/>
              </w:rPr>
            </w:pPr>
            <w:r>
              <w:rPr>
                <w:i/>
              </w:rPr>
              <w:t>Strength:</w:t>
            </w:r>
          </w:p>
        </w:tc>
        <w:tc>
          <w:tcPr>
            <w:tcW w:w="6209" w:type="dxa"/>
          </w:tcPr>
          <w:p w14:paraId="000000DC" w14:textId="77777777" w:rsidR="00171E65" w:rsidRDefault="001F5E2A">
            <w:r>
              <w:t>100 mg</w:t>
            </w:r>
          </w:p>
        </w:tc>
      </w:tr>
      <w:tr w:rsidR="00171E65" w14:paraId="3DFAD321" w14:textId="77777777">
        <w:tc>
          <w:tcPr>
            <w:tcW w:w="2861" w:type="dxa"/>
          </w:tcPr>
          <w:p w14:paraId="000000DD" w14:textId="77777777" w:rsidR="00171E65" w:rsidRDefault="001F5E2A">
            <w:pPr>
              <w:rPr>
                <w:i/>
              </w:rPr>
            </w:pPr>
            <w:r>
              <w:rPr>
                <w:i/>
              </w:rPr>
              <w:t>Container:</w:t>
            </w:r>
          </w:p>
        </w:tc>
        <w:tc>
          <w:tcPr>
            <w:tcW w:w="6209" w:type="dxa"/>
          </w:tcPr>
          <w:p w14:paraId="000000DE" w14:textId="77777777" w:rsidR="00171E65" w:rsidRDefault="001F5E2A">
            <w:r>
              <w:t>Bottle</w:t>
            </w:r>
          </w:p>
        </w:tc>
      </w:tr>
      <w:tr w:rsidR="00171E65" w14:paraId="5A8267BD" w14:textId="77777777">
        <w:tc>
          <w:tcPr>
            <w:tcW w:w="2861" w:type="dxa"/>
          </w:tcPr>
          <w:p w14:paraId="000000DF" w14:textId="77777777" w:rsidR="00171E65" w:rsidRDefault="001F5E2A">
            <w:pPr>
              <w:rPr>
                <w:i/>
              </w:rPr>
            </w:pPr>
            <w:r>
              <w:rPr>
                <w:i/>
              </w:rPr>
              <w:t>Pack sizes:</w:t>
            </w:r>
          </w:p>
        </w:tc>
        <w:tc>
          <w:tcPr>
            <w:tcW w:w="6209" w:type="dxa"/>
          </w:tcPr>
          <w:p w14:paraId="000000E0" w14:textId="77777777" w:rsidR="00171E65" w:rsidRDefault="001F5E2A">
            <w:r>
              <w:t>Not applicable</w:t>
            </w:r>
          </w:p>
        </w:tc>
      </w:tr>
      <w:tr w:rsidR="00171E65" w14:paraId="57D293D4" w14:textId="77777777">
        <w:tc>
          <w:tcPr>
            <w:tcW w:w="2861" w:type="dxa"/>
          </w:tcPr>
          <w:p w14:paraId="000000E1" w14:textId="77777777" w:rsidR="00171E65" w:rsidRDefault="001F5E2A">
            <w:pPr>
              <w:rPr>
                <w:i/>
              </w:rPr>
            </w:pPr>
            <w:r>
              <w:rPr>
                <w:i/>
              </w:rPr>
              <w:t>Approved therapeutic use for the current submission:</w:t>
            </w:r>
          </w:p>
        </w:tc>
        <w:tc>
          <w:tcPr>
            <w:tcW w:w="6209" w:type="dxa"/>
          </w:tcPr>
          <w:p w14:paraId="000000E2" w14:textId="77777777" w:rsidR="00171E65" w:rsidRDefault="001F5E2A">
            <w:r>
              <w:t>Not applicable</w:t>
            </w:r>
          </w:p>
        </w:tc>
      </w:tr>
      <w:tr w:rsidR="00171E65" w14:paraId="447E0182" w14:textId="77777777">
        <w:tc>
          <w:tcPr>
            <w:tcW w:w="2861" w:type="dxa"/>
          </w:tcPr>
          <w:p w14:paraId="000000E3" w14:textId="77777777" w:rsidR="00171E65" w:rsidRDefault="001F5E2A">
            <w:pPr>
              <w:rPr>
                <w:i/>
              </w:rPr>
            </w:pPr>
            <w:r>
              <w:rPr>
                <w:i/>
              </w:rPr>
              <w:t>Route of administration:</w:t>
            </w:r>
          </w:p>
        </w:tc>
        <w:tc>
          <w:tcPr>
            <w:tcW w:w="6209" w:type="dxa"/>
          </w:tcPr>
          <w:p w14:paraId="000000E4" w14:textId="77777777" w:rsidR="00171E65" w:rsidRDefault="001F5E2A">
            <w:r>
              <w:t>Oral</w:t>
            </w:r>
          </w:p>
        </w:tc>
      </w:tr>
      <w:tr w:rsidR="00171E65" w14:paraId="310CBBBC" w14:textId="77777777">
        <w:tc>
          <w:tcPr>
            <w:tcW w:w="2861" w:type="dxa"/>
          </w:tcPr>
          <w:p w14:paraId="000000E5" w14:textId="77777777" w:rsidR="00171E65" w:rsidRDefault="001F5E2A">
            <w:pPr>
              <w:rPr>
                <w:i/>
              </w:rPr>
            </w:pPr>
            <w:r>
              <w:rPr>
                <w:i/>
              </w:rPr>
              <w:t>Dosage:</w:t>
            </w:r>
          </w:p>
        </w:tc>
        <w:tc>
          <w:tcPr>
            <w:tcW w:w="6209" w:type="dxa"/>
          </w:tcPr>
          <w:p w14:paraId="000000E6" w14:textId="77777777" w:rsidR="00171E65" w:rsidRDefault="001F5E2A">
            <w:r>
              <w:t>Not applicable</w:t>
            </w:r>
          </w:p>
        </w:tc>
      </w:tr>
      <w:tr w:rsidR="00171E65" w14:paraId="508AD72A" w14:textId="77777777">
        <w:tc>
          <w:tcPr>
            <w:tcW w:w="2861" w:type="dxa"/>
          </w:tcPr>
          <w:p w14:paraId="000000E7" w14:textId="77777777" w:rsidR="00171E65" w:rsidRDefault="001F5E2A">
            <w:pPr>
              <w:rPr>
                <w:i/>
              </w:rPr>
            </w:pPr>
            <w:r>
              <w:rPr>
                <w:i/>
              </w:rPr>
              <w:t>Pregnancy category:</w:t>
            </w:r>
          </w:p>
        </w:tc>
        <w:tc>
          <w:tcPr>
            <w:tcW w:w="6209" w:type="dxa"/>
          </w:tcPr>
          <w:p w14:paraId="000000E8" w14:textId="77777777" w:rsidR="00171E65" w:rsidRDefault="001F5E2A">
            <w:r>
              <w:t>Not applicable</w:t>
            </w:r>
          </w:p>
        </w:tc>
      </w:tr>
    </w:tbl>
    <w:p w14:paraId="000000E9" w14:textId="77777777" w:rsidR="00171E65" w:rsidRDefault="001F5E2A">
      <w:pPr>
        <w:pStyle w:val="Heading3"/>
      </w:pPr>
      <w:bookmarkStart w:id="5" w:name="_Toc149213443"/>
      <w:r>
        <w:t>Product background</w:t>
      </w:r>
      <w:bookmarkEnd w:id="5"/>
    </w:p>
    <w:p w14:paraId="000000EA" w14:textId="77777777" w:rsidR="00171E65" w:rsidRDefault="001F5E2A">
      <w:r>
        <w:t xml:space="preserve">This </w:t>
      </w:r>
      <w:proofErr w:type="spellStart"/>
      <w:r>
        <w:t>AusPAR</w:t>
      </w:r>
      <w:proofErr w:type="spellEnd"/>
      <w:r>
        <w:t xml:space="preserve"> describes the submission by Roche Products Pty Limited (the sponsor) to register </w:t>
      </w:r>
      <w:proofErr w:type="spellStart"/>
      <w:r>
        <w:t>Gavreto</w:t>
      </w:r>
      <w:proofErr w:type="spellEnd"/>
      <w:r>
        <w:t xml:space="preserve"> (</w:t>
      </w:r>
      <w:proofErr w:type="spellStart"/>
      <w:r>
        <w:t>pralsetinib</w:t>
      </w:r>
      <w:proofErr w:type="spellEnd"/>
      <w:r>
        <w:t>) 100 mg, capsule, bottle for the following proposed indications:</w:t>
      </w:r>
      <w:r>
        <w:rPr>
          <w:vertAlign w:val="superscript"/>
        </w:rPr>
        <w:footnoteReference w:id="1"/>
      </w:r>
    </w:p>
    <w:p w14:paraId="000000EB" w14:textId="77777777" w:rsidR="00171E65" w:rsidRDefault="001F5E2A">
      <w:pPr>
        <w:ind w:left="720"/>
        <w:rPr>
          <w:i/>
        </w:rPr>
      </w:pPr>
      <w:r>
        <w:rPr>
          <w:i/>
        </w:rPr>
        <w:t>RET-fusion positive thyroid cancer</w:t>
      </w:r>
    </w:p>
    <w:p w14:paraId="000000EC" w14:textId="77777777" w:rsidR="00171E65" w:rsidRDefault="001F5E2A">
      <w:pPr>
        <w:ind w:left="720"/>
        <w:rPr>
          <w:i/>
        </w:rPr>
      </w:pPr>
      <w:proofErr w:type="spellStart"/>
      <w:r>
        <w:rPr>
          <w:i/>
        </w:rPr>
        <w:t>Gavreto</w:t>
      </w:r>
      <w:proofErr w:type="spellEnd"/>
      <w:r>
        <w:rPr>
          <w:i/>
        </w:rPr>
        <w:t xml:space="preserve"> is indicated for the treatment of adult and paediatric patients 12 years of age and older with locally advanced or metastatic RET-fusion positive thyroid cancer who require systemic therapy and who are radioactive iodine-refractory (if radioactive iodine is appropriate).</w:t>
      </w:r>
    </w:p>
    <w:p w14:paraId="000000ED" w14:textId="77777777" w:rsidR="00171E65" w:rsidRDefault="001F5E2A">
      <w:pPr>
        <w:ind w:left="720"/>
        <w:rPr>
          <w:i/>
        </w:rPr>
      </w:pPr>
      <w:r>
        <w:rPr>
          <w:i/>
        </w:rPr>
        <w:t>Medullary thyroid cancers</w:t>
      </w:r>
    </w:p>
    <w:p w14:paraId="000000EE" w14:textId="77777777" w:rsidR="00171E65" w:rsidRDefault="001F5E2A">
      <w:pPr>
        <w:ind w:left="720"/>
        <w:rPr>
          <w:i/>
        </w:rPr>
      </w:pPr>
      <w:proofErr w:type="spellStart"/>
      <w:r>
        <w:rPr>
          <w:i/>
        </w:rPr>
        <w:lastRenderedPageBreak/>
        <w:t>Gavreto</w:t>
      </w:r>
      <w:proofErr w:type="spellEnd"/>
      <w:r>
        <w:rPr>
          <w:i/>
        </w:rPr>
        <w:t xml:space="preserve"> is indicated for the treatment of adult and paediatric patients 12 years of age and older with advanced or metastatic RET-mutant MTC who require systemic therapy.</w:t>
      </w:r>
    </w:p>
    <w:p w14:paraId="000000EF" w14:textId="77777777" w:rsidR="00171E65" w:rsidRDefault="001F5E2A">
      <w:pPr>
        <w:pStyle w:val="Heading4"/>
      </w:pPr>
      <w:bookmarkStart w:id="6" w:name="_Toc149213444"/>
      <w:r>
        <w:t>Condition</w:t>
      </w:r>
      <w:bookmarkEnd w:id="6"/>
    </w:p>
    <w:p w14:paraId="000000F0" w14:textId="77777777" w:rsidR="00171E65" w:rsidRDefault="001F5E2A">
      <w:r>
        <w:t xml:space="preserve">Thyroid cancer was the ninth </w:t>
      </w:r>
      <w:proofErr w:type="gramStart"/>
      <w:r>
        <w:t>most commonly diagnosed</w:t>
      </w:r>
      <w:proofErr w:type="gramEnd"/>
      <w:r>
        <w:t xml:space="preserve"> cancer in Australia in 2018; it is estimated that 3,981 new cases of thyroid cancer will be diagnosed in Australia in 2022. In 2020, the age-standardised mortality rate was 0.3 deaths per 100,000 persons.</w:t>
      </w:r>
    </w:p>
    <w:p w14:paraId="000000F1" w14:textId="77777777" w:rsidR="00171E65" w:rsidRDefault="001F5E2A">
      <w:r>
        <w:t xml:space="preserve">The main histologic types of thyroid carcinoma are differentiated (including papillary, follicular and </w:t>
      </w:r>
      <w:proofErr w:type="spellStart"/>
      <w:r>
        <w:t>Hürthle</w:t>
      </w:r>
      <w:proofErr w:type="spellEnd"/>
      <w:r>
        <w:t xml:space="preserve"> cell), medullary, and anaplastic.</w:t>
      </w:r>
    </w:p>
    <w:p w14:paraId="000000F2" w14:textId="77777777" w:rsidR="00171E65" w:rsidRDefault="001F5E2A">
      <w:pPr>
        <w:pStyle w:val="Heading5"/>
      </w:pPr>
      <w:r>
        <w:t>Medullary thyroid cancers</w:t>
      </w:r>
    </w:p>
    <w:p w14:paraId="000000F3" w14:textId="77777777" w:rsidR="00171E65" w:rsidRDefault="001F5E2A">
      <w:r>
        <w:t xml:space="preserve">Medullary thyroid cancers (MTC) are rare neuroendocrine neoplasms derived from parafollicular cells of the thyroid, accounting for approximately 5% of thyroid neoplasms. It is hereditary in approximately 20% (as part of multiple endocrine neoplasia syndromes 2A or 2B) and occurs sporadically in approximately 80% of patients. The </w:t>
      </w:r>
      <w:proofErr w:type="gramStart"/>
      <w:r>
        <w:t>five year</w:t>
      </w:r>
      <w:proofErr w:type="gramEnd"/>
      <w:r>
        <w:t xml:space="preserve"> survival for stage IV disease is about 28%; patients with unresectable or metastatic disease may have either slowly progressive or rapidly progressive disease.</w:t>
      </w:r>
    </w:p>
    <w:p w14:paraId="000000F4" w14:textId="77777777" w:rsidR="00171E65" w:rsidRDefault="001F5E2A">
      <w:r>
        <w:t>Mutations in the rearranged during transfection (RET) proto-oncogene are found in at least 95% of patients with multiple endocrine neoplasia type 2A (MEN2A) and 88% of cases of familial MTC. Mutations associated with MEN2A and familial MTC have been mainly identified in several codons of the cysteine rich extracellular domains of exons 10, 11 and 13; multiple endocrine neoplasia type 2B (MEN2B) and some familial MTC mutations are found within the intracellular exons 14 to 16. Somatic mutations in exons 11, 13 and 16 have also been found in at least 25% of sporadic MTC tumours (particularly the codon 918 mutation) and are associated with poorer prognosis of the patient.</w:t>
      </w:r>
    </w:p>
    <w:p w14:paraId="000000F5" w14:textId="77777777" w:rsidR="00171E65" w:rsidRDefault="001F5E2A">
      <w:pPr>
        <w:pStyle w:val="Heading5"/>
      </w:pPr>
      <w:r>
        <w:t>RET fusion-positive thyroid cancer</w:t>
      </w:r>
    </w:p>
    <w:p w14:paraId="000000F6" w14:textId="77777777" w:rsidR="00171E65" w:rsidRDefault="001F5E2A">
      <w:bookmarkStart w:id="7" w:name="_heading=h.1t3h5sf" w:colFirst="0" w:colLast="0"/>
      <w:bookmarkEnd w:id="7"/>
      <w:r>
        <w:t xml:space="preserve">Differentiated thyroid cancer accounts (DTC) for more than 90% of all newly diagnosed thyroid cancers and is subcategorised into follicular thyroid cancer, papillary thyroid cancer and </w:t>
      </w:r>
      <w:proofErr w:type="spellStart"/>
      <w:r>
        <w:t>Hürthle</w:t>
      </w:r>
      <w:proofErr w:type="spellEnd"/>
      <w:r>
        <w:t xml:space="preserve"> cell thyroid cancer. Papillary thyroid cancers are the most common, accounting for approximately 80% of all thyroid cancer. DTC may become, or are initially, refractory to radioactive iodine (RAI) treatment; RAI refractoriness is seen in about one-third of DTC patients with recurrence or metastases. The prognosis for RAI-refractory DTC is poor, with a </w:t>
      </w:r>
      <w:proofErr w:type="gramStart"/>
      <w:r>
        <w:t>five year</w:t>
      </w:r>
      <w:proofErr w:type="gramEnd"/>
      <w:r>
        <w:t xml:space="preserve"> survival rate of 66% and a ten year survival rate of only 10%.</w:t>
      </w:r>
    </w:p>
    <w:p w14:paraId="000000F7" w14:textId="77777777" w:rsidR="00171E65" w:rsidRDefault="001F5E2A">
      <w:pPr>
        <w:pStyle w:val="Heading4"/>
      </w:pPr>
      <w:bookmarkStart w:id="8" w:name="_Toc149213445"/>
      <w:r>
        <w:t>Current treatment options</w:t>
      </w:r>
      <w:bookmarkEnd w:id="8"/>
    </w:p>
    <w:p w14:paraId="000000F8" w14:textId="77777777" w:rsidR="00171E65" w:rsidRDefault="001F5E2A">
      <w:pPr>
        <w:pStyle w:val="Heading5"/>
      </w:pPr>
      <w:r>
        <w:t>Medullary thyroid cancer</w:t>
      </w:r>
    </w:p>
    <w:p w14:paraId="000000F9" w14:textId="77777777" w:rsidR="00171E65" w:rsidRDefault="001F5E2A">
      <w:r>
        <w:t xml:space="preserve">In Australia, there are currently no therapies approved specifically for the treatment of patients with </w:t>
      </w:r>
      <w:r>
        <w:rPr>
          <w:i/>
        </w:rPr>
        <w:t>RET</w:t>
      </w:r>
      <w:r>
        <w:t xml:space="preserve">-mutant MTC. International treatment guidelines recommend the use of kinase inhibitors for select patients with recurrent or persistent unresectable MTC, although these may not be appropriate for patients with stable or slowly progressing indolent disease. </w:t>
      </w:r>
      <w:proofErr w:type="spellStart"/>
      <w:r>
        <w:t>Vandetanib</w:t>
      </w:r>
      <w:proofErr w:type="spellEnd"/>
      <w:r>
        <w:t xml:space="preserve"> and </w:t>
      </w:r>
      <w:proofErr w:type="spellStart"/>
      <w:r>
        <w:t>cabozantinib</w:t>
      </w:r>
      <w:proofErr w:type="spellEnd"/>
      <w:r>
        <w:t xml:space="preserve"> are oral receptor kinase inhibitors that increase progression free survival (PFS) in patients with metastatic MTC. In Australia, </w:t>
      </w:r>
      <w:proofErr w:type="spellStart"/>
      <w:r>
        <w:t>vandetanib</w:t>
      </w:r>
      <w:proofErr w:type="spellEnd"/>
      <w:r>
        <w:t xml:space="preserve"> has been approved for the treatment of patients with symptomatic or progressive medullary thyroid cancer in patients with unresectable locally advanced or metastatic disease.</w:t>
      </w:r>
    </w:p>
    <w:p w14:paraId="000000FA" w14:textId="77777777" w:rsidR="00171E65" w:rsidRDefault="001F5E2A">
      <w:r>
        <w:lastRenderedPageBreak/>
        <w:t xml:space="preserve">In 2020, FDA approved two RET inhibitors for </w:t>
      </w:r>
      <w:r>
        <w:rPr>
          <w:i/>
        </w:rPr>
        <w:t>RET</w:t>
      </w:r>
      <w:r>
        <w:t xml:space="preserve">-mutated MTC requiring systemic therapy: </w:t>
      </w:r>
      <w:proofErr w:type="spellStart"/>
      <w:r>
        <w:t>selpercatinib</w:t>
      </w:r>
      <w:proofErr w:type="spellEnd"/>
      <w:r>
        <w:t xml:space="preserve"> and </w:t>
      </w:r>
      <w:proofErr w:type="spellStart"/>
      <w:r>
        <w:t>pralsetinib</w:t>
      </w:r>
      <w:proofErr w:type="spellEnd"/>
      <w:r>
        <w:t>; the former is also approved for use in the European Union.</w:t>
      </w:r>
    </w:p>
    <w:p w14:paraId="000000FB" w14:textId="77777777" w:rsidR="00171E65" w:rsidRDefault="001F5E2A">
      <w:pPr>
        <w:pStyle w:val="Heading5"/>
      </w:pPr>
      <w:r>
        <w:t>RET fusion-positive thyroid cancer</w:t>
      </w:r>
    </w:p>
    <w:p w14:paraId="000000FC" w14:textId="77777777" w:rsidR="00171E65" w:rsidRDefault="001F5E2A">
      <w:r>
        <w:t xml:space="preserve">For patients with RAI-refractory DTC, systemic treatment may be appropriate with tyrosine kinase inhibitors (TKIs) targeting the vascular endothelial growth factor receptor (VEGFR, a tyrosine kinase receptor), which inhibits tumour angiogenesis. In Australia, two multi-kinase inhibitors (MKIs), sorafenib and </w:t>
      </w:r>
      <w:proofErr w:type="spellStart"/>
      <w:r>
        <w:t>lenvatinib</w:t>
      </w:r>
      <w:proofErr w:type="spellEnd"/>
      <w:r>
        <w:t xml:space="preserve"> are approved by the TGA for the treatment of locally advanced or metastatic, RAI-refractory DTC, regardless of mutational status. Approval of </w:t>
      </w:r>
      <w:proofErr w:type="gramStart"/>
      <w:r>
        <w:t>both of these</w:t>
      </w:r>
      <w:proofErr w:type="gramEnd"/>
      <w:r>
        <w:t xml:space="preserve"> multi-kinase inhibitors was based on a statistically significant prolongation in PFS in treated patients compared with those receiving placebo.</w:t>
      </w:r>
    </w:p>
    <w:p w14:paraId="000000FD" w14:textId="77777777" w:rsidR="00171E65" w:rsidRDefault="001F5E2A">
      <w:proofErr w:type="spellStart"/>
      <w:r>
        <w:t>Pralsetinib</w:t>
      </w:r>
      <w:proofErr w:type="spellEnd"/>
      <w:r>
        <w:t xml:space="preserve"> is an orally bioavailable kinase inhibitor that targets the RET receptor tyrosine kinase, as well as several other human kinases. The proposed dosing regimen for </w:t>
      </w:r>
      <w:proofErr w:type="spellStart"/>
      <w:r>
        <w:t>pralsetinib</w:t>
      </w:r>
      <w:proofErr w:type="spellEnd"/>
      <w:r>
        <w:t xml:space="preserve"> is 400 mg orally once daily on an empty stomach on a continuous schedule.</w:t>
      </w:r>
    </w:p>
    <w:p w14:paraId="000000FE" w14:textId="2173AFF3" w:rsidR="00171E65" w:rsidRDefault="001F5E2A">
      <w:bookmarkStart w:id="9" w:name="_heading=h.2s8eyo1" w:colFirst="0" w:colLast="0"/>
      <w:bookmarkEnd w:id="9"/>
      <w:r>
        <w:t xml:space="preserve">This evaluation was facilitated through </w:t>
      </w:r>
      <w:hyperlink r:id="rId18">
        <w:r>
          <w:rPr>
            <w:color w:val="0000FF"/>
            <w:u w:val="single"/>
          </w:rPr>
          <w:t>Project Orbis</w:t>
        </w:r>
      </w:hyperlink>
      <w:r>
        <w:t xml:space="preserve">, an initiative of the United States Food and Drug Administration (FDA) Oncology </w:t>
      </w:r>
      <w:proofErr w:type="spellStart"/>
      <w:r>
        <w:t>Center</w:t>
      </w:r>
      <w:proofErr w:type="spellEnd"/>
      <w:r>
        <w:t xml:space="preserve"> of Excellence. Under this project, the FDA, Health Canada and the TGA collaboratively reviewed the submission. This evaluation process provided a framework for process alignment and management of evaluation issues in real-time across jurisdictions. Each regulator made independent decisions regarding approval (market authorisation) of the new medicine.</w:t>
      </w:r>
    </w:p>
    <w:p w14:paraId="000000FF" w14:textId="77777777" w:rsidR="00171E65" w:rsidRDefault="001F5E2A">
      <w:pPr>
        <w:pStyle w:val="Heading4"/>
      </w:pPr>
      <w:bookmarkStart w:id="10" w:name="_Toc149213446"/>
      <w:r>
        <w:t>Australian regulatory status</w:t>
      </w:r>
      <w:bookmarkEnd w:id="10"/>
    </w:p>
    <w:p w14:paraId="00000100" w14:textId="77777777" w:rsidR="00171E65" w:rsidRDefault="001F5E2A">
      <w:pPr>
        <w:pStyle w:val="Heading5"/>
      </w:pPr>
      <w:r>
        <w:t>Medullary Thyroid Cancer</w:t>
      </w:r>
    </w:p>
    <w:p w14:paraId="00000101" w14:textId="77777777" w:rsidR="00171E65" w:rsidRDefault="001F5E2A">
      <w:proofErr w:type="spellStart"/>
      <w:r>
        <w:t>Pralsetinib</w:t>
      </w:r>
      <w:proofErr w:type="spellEnd"/>
      <w:r>
        <w:t xml:space="preserve"> was granted provisional determination for evaluation via the provisional approval pathway on 29 November 2021. An outline of the proposed confirmatory study plan was provided during the determination process.</w:t>
      </w:r>
    </w:p>
    <w:p w14:paraId="00000102"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AcceleRET</w:t>
      </w:r>
      <w:proofErr w:type="spellEnd"/>
      <w:r>
        <w:rPr>
          <w:color w:val="000000"/>
        </w:rPr>
        <w:t xml:space="preserve">-MTC trial is a Phase III, open-label, </w:t>
      </w:r>
      <w:proofErr w:type="spellStart"/>
      <w:r>
        <w:rPr>
          <w:color w:val="000000"/>
        </w:rPr>
        <w:t>multicenter</w:t>
      </w:r>
      <w:proofErr w:type="spellEnd"/>
      <w:r>
        <w:rPr>
          <w:color w:val="000000"/>
        </w:rPr>
        <w:t xml:space="preserve">, randomised, superiority study evaluating the efficacy and safety of </w:t>
      </w:r>
      <w:proofErr w:type="spellStart"/>
      <w:r>
        <w:rPr>
          <w:color w:val="000000"/>
        </w:rPr>
        <w:t>pralsetinib</w:t>
      </w:r>
      <w:proofErr w:type="spellEnd"/>
      <w:r>
        <w:rPr>
          <w:color w:val="000000"/>
        </w:rPr>
        <w:t xml:space="preserve"> compared to </w:t>
      </w:r>
      <w:proofErr w:type="spellStart"/>
      <w:r>
        <w:rPr>
          <w:color w:val="000000"/>
        </w:rPr>
        <w:t>cabozantinib</w:t>
      </w:r>
      <w:proofErr w:type="spellEnd"/>
      <w:r>
        <w:rPr>
          <w:color w:val="000000"/>
        </w:rPr>
        <w:t xml:space="preserve"> or </w:t>
      </w:r>
      <w:proofErr w:type="spellStart"/>
      <w:r>
        <w:rPr>
          <w:color w:val="000000"/>
        </w:rPr>
        <w:t>vandetanib</w:t>
      </w:r>
      <w:proofErr w:type="spellEnd"/>
      <w:r>
        <w:rPr>
          <w:color w:val="000000"/>
        </w:rPr>
        <w:t xml:space="preserve"> in patients with </w:t>
      </w:r>
      <w:r>
        <w:rPr>
          <w:i/>
          <w:color w:val="000000"/>
        </w:rPr>
        <w:t>RET</w:t>
      </w:r>
      <w:r>
        <w:rPr>
          <w:color w:val="000000"/>
        </w:rPr>
        <w:t>-mutant MTC. The primary analysis will occur when approximately 118 BICR-PFS events have been observed; this is anticipated to be available by first quarter of 2028.</w:t>
      </w:r>
    </w:p>
    <w:p w14:paraId="00000103" w14:textId="77777777" w:rsidR="00171E65" w:rsidRDefault="001F5E2A">
      <w:pPr>
        <w:pStyle w:val="Heading5"/>
      </w:pPr>
      <w:r>
        <w:t>RET fusion-positive thyroid cancer</w:t>
      </w:r>
    </w:p>
    <w:p w14:paraId="00000104" w14:textId="77777777" w:rsidR="00171E65" w:rsidRDefault="001F5E2A">
      <w:proofErr w:type="spellStart"/>
      <w:r>
        <w:t>Pralsetinib</w:t>
      </w:r>
      <w:proofErr w:type="spellEnd"/>
      <w:r>
        <w:t xml:space="preserve"> was granted provisional determination for evaluation via the provisional approval pathway on 29 November 2021. An outline of the proposed confirmatory study plan was provided during the determination process.</w:t>
      </w:r>
    </w:p>
    <w:p w14:paraId="00000105" w14:textId="77777777" w:rsidR="00171E65" w:rsidRDefault="001F5E2A">
      <w:r>
        <w:t xml:space="preserve">The ARROW trial included only a small number of patients with </w:t>
      </w:r>
      <w:r>
        <w:rPr>
          <w:i/>
        </w:rPr>
        <w:t>RET</w:t>
      </w:r>
      <w:r>
        <w:t>-fusion positive thyroid cancer; due to the rarity of this condition, no Phase III trials are proposed in this patient population. The sponsor plans to submit further data from ARROW trial and data from TAPISTRY trial to support conversion from provisional to full registration.</w:t>
      </w:r>
    </w:p>
    <w:p w14:paraId="00000106" w14:textId="77777777" w:rsidR="00171E65" w:rsidRDefault="001F5E2A">
      <w:pPr>
        <w:numPr>
          <w:ilvl w:val="0"/>
          <w:numId w:val="7"/>
        </w:numPr>
        <w:pBdr>
          <w:top w:val="nil"/>
          <w:left w:val="nil"/>
          <w:bottom w:val="nil"/>
          <w:right w:val="nil"/>
          <w:between w:val="nil"/>
        </w:pBdr>
        <w:spacing w:before="120" w:after="180"/>
      </w:pPr>
      <w:r>
        <w:rPr>
          <w:color w:val="000000"/>
        </w:rPr>
        <w:t xml:space="preserve">TAPISTRY trial (Tumour-agnostic precision immuno-oncology and somatic targeting rational for you) is a Phase II, </w:t>
      </w:r>
      <w:proofErr w:type="spellStart"/>
      <w:r>
        <w:rPr>
          <w:color w:val="000000"/>
        </w:rPr>
        <w:t>multicenter</w:t>
      </w:r>
      <w:proofErr w:type="spellEnd"/>
      <w:r>
        <w:rPr>
          <w:color w:val="000000"/>
        </w:rPr>
        <w:t xml:space="preserve">, open label, multi-cohort study designed to evaluate the safety and efficacy of targeted therapies or immunotherapy as single agents or in rational, specified combinations in patients with unresectable, locally </w:t>
      </w:r>
      <w:proofErr w:type="gramStart"/>
      <w:r>
        <w:rPr>
          <w:color w:val="000000"/>
        </w:rPr>
        <w:t>advanced</w:t>
      </w:r>
      <w:proofErr w:type="gramEnd"/>
      <w:r>
        <w:rPr>
          <w:color w:val="000000"/>
        </w:rPr>
        <w:t xml:space="preserve"> or metastatic solid tumours determined to harbor specific oncogenic genomic alterations. One </w:t>
      </w:r>
      <w:r>
        <w:rPr>
          <w:color w:val="000000"/>
        </w:rPr>
        <w:lastRenderedPageBreak/>
        <w:t xml:space="preserve">of the cohorts in this platform study is evaluating </w:t>
      </w:r>
      <w:proofErr w:type="spellStart"/>
      <w:r>
        <w:rPr>
          <w:color w:val="000000"/>
        </w:rPr>
        <w:t>pralsetinib</w:t>
      </w:r>
      <w:proofErr w:type="spellEnd"/>
      <w:r>
        <w:rPr>
          <w:color w:val="000000"/>
        </w:rPr>
        <w:t xml:space="preserve"> in </w:t>
      </w:r>
      <w:r>
        <w:rPr>
          <w:i/>
          <w:color w:val="000000"/>
        </w:rPr>
        <w:t xml:space="preserve">RET </w:t>
      </w:r>
      <w:r>
        <w:rPr>
          <w:color w:val="000000"/>
        </w:rPr>
        <w:t xml:space="preserve">fusion-positive solid tumours (excluding non-small cell lung cancer, [NSCLC]). Up to 70 patients (up to 30 with </w:t>
      </w:r>
      <w:r>
        <w:rPr>
          <w:i/>
          <w:color w:val="000000"/>
        </w:rPr>
        <w:t>RET</w:t>
      </w:r>
      <w:r>
        <w:rPr>
          <w:color w:val="000000"/>
        </w:rPr>
        <w:t xml:space="preserve"> fusion positive cancers (excluding thyroid and NSCLC) and up to 40 with </w:t>
      </w:r>
      <w:r>
        <w:rPr>
          <w:i/>
          <w:color w:val="000000"/>
        </w:rPr>
        <w:t>RET</w:t>
      </w:r>
      <w:r>
        <w:rPr>
          <w:color w:val="000000"/>
        </w:rPr>
        <w:t xml:space="preserve"> fusion positive thyroid cancer are planned for enrolment in </w:t>
      </w:r>
      <w:r>
        <w:rPr>
          <w:i/>
          <w:color w:val="000000"/>
        </w:rPr>
        <w:t>RET</w:t>
      </w:r>
      <w:r>
        <w:rPr>
          <w:color w:val="000000"/>
        </w:rPr>
        <w:t xml:space="preserve"> fusion-positive cohort. An integrated analysis is estimated to be available approximately in second quarter of 2025.</w:t>
      </w:r>
    </w:p>
    <w:p w14:paraId="00000107" w14:textId="77777777" w:rsidR="00171E65" w:rsidRDefault="001F5E2A">
      <w:bookmarkStart w:id="11" w:name="_heading=h.3rdcrjn" w:colFirst="0" w:colLast="0"/>
      <w:bookmarkEnd w:id="11"/>
      <w:r>
        <w:t xml:space="preserve">The sponsor is also seeking provisional registration of </w:t>
      </w:r>
      <w:proofErr w:type="spellStart"/>
      <w:r>
        <w:t>pralsetinib</w:t>
      </w:r>
      <w:proofErr w:type="spellEnd"/>
      <w:r>
        <w:t xml:space="preserve"> ‘for the treatment of adult patients with RET-fusion positive, locally advanced or metastatic NSCLC’.</w:t>
      </w:r>
      <w:r>
        <w:rPr>
          <w:vertAlign w:val="superscript"/>
        </w:rPr>
        <w:footnoteReference w:id="2"/>
      </w:r>
      <w:r>
        <w:t xml:space="preserve"> </w:t>
      </w:r>
      <w:proofErr w:type="spellStart"/>
      <w:r>
        <w:t>Pralsetinib</w:t>
      </w:r>
      <w:proofErr w:type="spellEnd"/>
      <w:r>
        <w:t xml:space="preserve"> was granted provision determination for evaluation of this indication on 29 November 2021.</w:t>
      </w:r>
    </w:p>
    <w:p w14:paraId="00000108" w14:textId="77777777" w:rsidR="00171E65" w:rsidRDefault="001F5E2A">
      <w:pPr>
        <w:pStyle w:val="Heading3"/>
      </w:pPr>
      <w:bookmarkStart w:id="12" w:name="_Toc149213447"/>
      <w:r>
        <w:t>Regulatory status</w:t>
      </w:r>
      <w:bookmarkEnd w:id="12"/>
    </w:p>
    <w:p w14:paraId="00000109" w14:textId="77777777" w:rsidR="00171E65" w:rsidRDefault="001F5E2A">
      <w:r>
        <w:t>This product is considered a new chemical entity for Australian regulatory purposes.</w:t>
      </w:r>
    </w:p>
    <w:p w14:paraId="0000010A" w14:textId="77777777" w:rsidR="00171E65" w:rsidRDefault="001F5E2A">
      <w:r>
        <w:t xml:space="preserve">At the time the TGA considered this submission, a similar submission had been approved in </w:t>
      </w:r>
      <w:sdt>
        <w:sdtPr>
          <w:tag w:val="goog_rdk_0"/>
          <w:id w:val="-638414174"/>
        </w:sdtPr>
        <w:sdtEndPr/>
        <w:sdtContent>
          <w:r>
            <w:t xml:space="preserve">the </w:t>
          </w:r>
        </w:sdtContent>
      </w:sdt>
      <w:r>
        <w:t>United States of America (USA) on 1 December 2020 and</w:t>
      </w:r>
      <w:sdt>
        <w:sdtPr>
          <w:tag w:val="goog_rdk_1"/>
          <w:id w:val="-1580364470"/>
        </w:sdtPr>
        <w:sdtEndPr/>
        <w:sdtContent>
          <w:r>
            <w:t xml:space="preserve"> in</w:t>
          </w:r>
        </w:sdtContent>
      </w:sdt>
      <w:r>
        <w:t xml:space="preserve"> Switzerland on 12 August 2021. A similar submission was under consideration in Canada (submitted on 30 April 2021) and Singapore (submitted on 2 March 2021)</w:t>
      </w:r>
    </w:p>
    <w:p w14:paraId="0000010B" w14:textId="77777777" w:rsidR="00171E65" w:rsidRDefault="001F5E2A">
      <w:r>
        <w:t>The following table summarises these submissions and provides the indications where approved.</w:t>
      </w:r>
    </w:p>
    <w:p w14:paraId="0000010C" w14:textId="77777777" w:rsidR="00171E65" w:rsidRDefault="001F5E2A">
      <w:pPr>
        <w:keepNext/>
        <w:pBdr>
          <w:top w:val="nil"/>
          <w:left w:val="nil"/>
          <w:bottom w:val="nil"/>
          <w:right w:val="nil"/>
          <w:between w:val="nil"/>
        </w:pBdr>
        <w:spacing w:before="120"/>
        <w:rPr>
          <w:b/>
          <w:color w:val="000000"/>
        </w:rPr>
      </w:pPr>
      <w:bookmarkStart w:id="13" w:name="_heading=h.lnxbz9" w:colFirst="0" w:colLast="0"/>
      <w:bookmarkEnd w:id="13"/>
      <w:r>
        <w:rPr>
          <w:b/>
          <w:color w:val="000000"/>
        </w:rPr>
        <w:t>Table 1: International regulatory status</w:t>
      </w:r>
    </w:p>
    <w:tbl>
      <w:tblPr>
        <w:tblStyle w:val="TableTGAblue2023"/>
        <w:tblW w:w="9060" w:type="dxa"/>
        <w:tblLayout w:type="fixed"/>
        <w:tblLook w:val="04A0" w:firstRow="1" w:lastRow="0" w:firstColumn="1" w:lastColumn="0" w:noHBand="0" w:noVBand="1"/>
      </w:tblPr>
      <w:tblGrid>
        <w:gridCol w:w="2307"/>
        <w:gridCol w:w="2671"/>
        <w:gridCol w:w="4082"/>
      </w:tblGrid>
      <w:tr w:rsidR="00171E65" w:rsidRPr="00AD2676" w14:paraId="5EAB35BE" w14:textId="77777777" w:rsidTr="00AD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0000010D" w14:textId="77777777" w:rsidR="00171E65" w:rsidRPr="00AD2676" w:rsidRDefault="001F5E2A">
            <w:pPr>
              <w:rPr>
                <w:rFonts w:ascii="Cambria" w:hAnsi="Cambria"/>
                <w:szCs w:val="22"/>
              </w:rPr>
            </w:pPr>
            <w:r w:rsidRPr="00AD2676">
              <w:rPr>
                <w:rFonts w:ascii="Cambria" w:hAnsi="Cambria"/>
                <w:szCs w:val="22"/>
              </w:rPr>
              <w:t>Region</w:t>
            </w:r>
          </w:p>
        </w:tc>
        <w:tc>
          <w:tcPr>
            <w:tcW w:w="2671" w:type="dxa"/>
          </w:tcPr>
          <w:p w14:paraId="0000010E" w14:textId="77777777" w:rsidR="00171E65" w:rsidRPr="00AD2676" w:rsidRDefault="001F5E2A">
            <w:pPr>
              <w:cnfStyle w:val="100000000000" w:firstRow="1" w:lastRow="0" w:firstColumn="0" w:lastColumn="0" w:oddVBand="0" w:evenVBand="0" w:oddHBand="0" w:evenHBand="0" w:firstRowFirstColumn="0" w:firstRowLastColumn="0" w:lastRowFirstColumn="0" w:lastRowLastColumn="0"/>
              <w:rPr>
                <w:rFonts w:ascii="Cambria" w:hAnsi="Cambria"/>
                <w:szCs w:val="22"/>
              </w:rPr>
            </w:pPr>
            <w:r w:rsidRPr="00AD2676">
              <w:rPr>
                <w:rFonts w:ascii="Cambria" w:hAnsi="Cambria"/>
                <w:szCs w:val="22"/>
              </w:rPr>
              <w:t>Status</w:t>
            </w:r>
          </w:p>
        </w:tc>
        <w:tc>
          <w:tcPr>
            <w:tcW w:w="4082" w:type="dxa"/>
          </w:tcPr>
          <w:p w14:paraId="0000010F" w14:textId="77777777" w:rsidR="00171E65" w:rsidRPr="00AD2676" w:rsidRDefault="001F5E2A">
            <w:pPr>
              <w:cnfStyle w:val="100000000000" w:firstRow="1" w:lastRow="0" w:firstColumn="0" w:lastColumn="0" w:oddVBand="0" w:evenVBand="0" w:oddHBand="0" w:evenHBand="0" w:firstRowFirstColumn="0" w:firstRowLastColumn="0" w:lastRowFirstColumn="0" w:lastRowLastColumn="0"/>
              <w:rPr>
                <w:rFonts w:ascii="Cambria" w:hAnsi="Cambria"/>
                <w:szCs w:val="22"/>
              </w:rPr>
            </w:pPr>
            <w:r w:rsidRPr="00AD2676">
              <w:rPr>
                <w:rFonts w:ascii="Cambria" w:hAnsi="Cambria"/>
                <w:szCs w:val="22"/>
              </w:rPr>
              <w:t>Approved indications</w:t>
            </w:r>
          </w:p>
        </w:tc>
      </w:tr>
      <w:tr w:rsidR="00171E65" w:rsidRPr="00AD2676" w14:paraId="693992E3" w14:textId="77777777" w:rsidTr="00AD2676">
        <w:tc>
          <w:tcPr>
            <w:cnfStyle w:val="001000000000" w:firstRow="0" w:lastRow="0" w:firstColumn="1" w:lastColumn="0" w:oddVBand="0" w:evenVBand="0" w:oddHBand="0" w:evenHBand="0" w:firstRowFirstColumn="0" w:firstRowLastColumn="0" w:lastRowFirstColumn="0" w:lastRowLastColumn="0"/>
            <w:tcW w:w="2307" w:type="dxa"/>
          </w:tcPr>
          <w:p w14:paraId="00000110" w14:textId="77777777" w:rsidR="00171E65" w:rsidRPr="00AD2676" w:rsidRDefault="001F5E2A">
            <w:pPr>
              <w:rPr>
                <w:rFonts w:ascii="Cambria" w:hAnsi="Cambria"/>
                <w:sz w:val="22"/>
                <w:szCs w:val="22"/>
              </w:rPr>
            </w:pPr>
            <w:r w:rsidRPr="00AD2676">
              <w:rPr>
                <w:rFonts w:ascii="Cambria" w:hAnsi="Cambria"/>
                <w:sz w:val="22"/>
                <w:szCs w:val="22"/>
              </w:rPr>
              <w:t>United States of America</w:t>
            </w:r>
          </w:p>
        </w:tc>
        <w:tc>
          <w:tcPr>
            <w:tcW w:w="2671" w:type="dxa"/>
          </w:tcPr>
          <w:p w14:paraId="00000111"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Approved on 1 December 2020</w:t>
            </w:r>
          </w:p>
        </w:tc>
        <w:tc>
          <w:tcPr>
            <w:tcW w:w="4082" w:type="dxa"/>
          </w:tcPr>
          <w:p w14:paraId="00000112" w14:textId="77777777" w:rsidR="00171E65" w:rsidRPr="00AD2676" w:rsidRDefault="001F5E2A">
            <w:pPr>
              <w:ind w:left="0"/>
              <w:cnfStyle w:val="000000000000" w:firstRow="0" w:lastRow="0" w:firstColumn="0" w:lastColumn="0" w:oddVBand="0" w:evenVBand="0" w:oddHBand="0" w:evenHBand="0" w:firstRowFirstColumn="0" w:firstRowLastColumn="0" w:lastRowFirstColumn="0" w:lastRowLastColumn="0"/>
              <w:rPr>
                <w:rFonts w:ascii="Cambria" w:hAnsi="Cambria"/>
                <w:i/>
                <w:sz w:val="22"/>
                <w:szCs w:val="22"/>
              </w:rPr>
            </w:pPr>
            <w:proofErr w:type="spellStart"/>
            <w:r w:rsidRPr="00AD2676">
              <w:rPr>
                <w:rFonts w:ascii="Cambria" w:hAnsi="Cambria"/>
                <w:i/>
                <w:sz w:val="22"/>
                <w:szCs w:val="22"/>
              </w:rPr>
              <w:t>Gavreto</w:t>
            </w:r>
            <w:proofErr w:type="spellEnd"/>
            <w:r w:rsidRPr="00AD2676">
              <w:rPr>
                <w:rFonts w:ascii="Cambria" w:hAnsi="Cambria"/>
                <w:i/>
                <w:sz w:val="22"/>
                <w:szCs w:val="22"/>
              </w:rPr>
              <w:t xml:space="preserve"> is indicated for the treatment of adult and </w:t>
            </w:r>
            <w:proofErr w:type="spellStart"/>
            <w:r w:rsidRPr="00AD2676">
              <w:rPr>
                <w:rFonts w:ascii="Cambria" w:hAnsi="Cambria"/>
                <w:i/>
                <w:sz w:val="22"/>
                <w:szCs w:val="22"/>
              </w:rPr>
              <w:t>pediatric</w:t>
            </w:r>
            <w:proofErr w:type="spellEnd"/>
            <w:r w:rsidRPr="00AD2676">
              <w:rPr>
                <w:rFonts w:ascii="Cambria" w:hAnsi="Cambria"/>
                <w:i/>
                <w:sz w:val="22"/>
                <w:szCs w:val="22"/>
              </w:rPr>
              <w:t xml:space="preserve"> patients 12 years of age and older with advanced or metastatic RET-mutant medullary thyroid cancer (MTC) who require systemic </w:t>
            </w:r>
            <w:proofErr w:type="gramStart"/>
            <w:r w:rsidRPr="00AD2676">
              <w:rPr>
                <w:rFonts w:ascii="Cambria" w:hAnsi="Cambria"/>
                <w:i/>
                <w:sz w:val="22"/>
                <w:szCs w:val="22"/>
              </w:rPr>
              <w:t>therapy</w:t>
            </w:r>
            <w:proofErr w:type="gramEnd"/>
          </w:p>
          <w:p w14:paraId="00000113" w14:textId="77777777" w:rsidR="00171E65" w:rsidRPr="00AD2676" w:rsidRDefault="001F5E2A">
            <w:pPr>
              <w:ind w:left="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AD2676">
              <w:rPr>
                <w:rFonts w:ascii="Cambria" w:hAnsi="Cambria"/>
                <w:i/>
                <w:sz w:val="22"/>
                <w:szCs w:val="22"/>
              </w:rPr>
              <w:t>Gavreto</w:t>
            </w:r>
            <w:proofErr w:type="spellEnd"/>
            <w:r w:rsidRPr="00AD2676">
              <w:rPr>
                <w:rFonts w:ascii="Cambria" w:hAnsi="Cambria"/>
                <w:i/>
                <w:sz w:val="22"/>
                <w:szCs w:val="22"/>
              </w:rPr>
              <w:t xml:space="preserve"> is indicated for the treatment of adult and paediatric patients 12 years of age and older with locally advanced or metastatic RET-fusion positive thyroid cancer who require systemic therapy and who are radioactive iodine-refractory (if radioactive iodine is appropriate).</w:t>
            </w:r>
          </w:p>
        </w:tc>
      </w:tr>
      <w:tr w:rsidR="00171E65" w:rsidRPr="00AD2676" w14:paraId="60C4F8A3" w14:textId="77777777" w:rsidTr="00AD2676">
        <w:tc>
          <w:tcPr>
            <w:cnfStyle w:val="001000000000" w:firstRow="0" w:lastRow="0" w:firstColumn="1" w:lastColumn="0" w:oddVBand="0" w:evenVBand="0" w:oddHBand="0" w:evenHBand="0" w:firstRowFirstColumn="0" w:firstRowLastColumn="0" w:lastRowFirstColumn="0" w:lastRowLastColumn="0"/>
            <w:tcW w:w="2307" w:type="dxa"/>
          </w:tcPr>
          <w:p w14:paraId="00000114" w14:textId="77777777" w:rsidR="00171E65" w:rsidRPr="00AD2676" w:rsidRDefault="001F5E2A">
            <w:pPr>
              <w:rPr>
                <w:rFonts w:ascii="Cambria" w:hAnsi="Cambria"/>
                <w:sz w:val="22"/>
                <w:szCs w:val="22"/>
              </w:rPr>
            </w:pPr>
            <w:r w:rsidRPr="00AD2676">
              <w:rPr>
                <w:rFonts w:ascii="Cambria" w:hAnsi="Cambria"/>
                <w:sz w:val="22"/>
                <w:szCs w:val="22"/>
              </w:rPr>
              <w:lastRenderedPageBreak/>
              <w:t>Switzerland</w:t>
            </w:r>
          </w:p>
        </w:tc>
        <w:tc>
          <w:tcPr>
            <w:tcW w:w="2671" w:type="dxa"/>
          </w:tcPr>
          <w:p w14:paraId="00000115"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Approved on 12 August 2021</w:t>
            </w:r>
          </w:p>
        </w:tc>
        <w:tc>
          <w:tcPr>
            <w:tcW w:w="4082" w:type="dxa"/>
          </w:tcPr>
          <w:p w14:paraId="00000116"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i/>
                <w:sz w:val="22"/>
                <w:szCs w:val="22"/>
              </w:rPr>
            </w:pPr>
            <w:r w:rsidRPr="00AD2676">
              <w:rPr>
                <w:rFonts w:ascii="Cambria" w:hAnsi="Cambria"/>
                <w:i/>
                <w:sz w:val="22"/>
                <w:szCs w:val="22"/>
              </w:rPr>
              <w:t>GAVRETO is indicated for the treatment of adult patients with advanced or metastatic RET-mutant medullary thyroid cancer (MTC) who require systemic therapy and who have experienced progression after prior treatment with tyrosine kinase inhibitors (see “Clinical efficacy”).</w:t>
            </w:r>
          </w:p>
          <w:p w14:paraId="00000117"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i/>
                <w:sz w:val="22"/>
                <w:szCs w:val="22"/>
              </w:rPr>
            </w:pPr>
            <w:proofErr w:type="spellStart"/>
            <w:r w:rsidRPr="00AD2676">
              <w:rPr>
                <w:rFonts w:ascii="Cambria" w:hAnsi="Cambria"/>
                <w:i/>
                <w:sz w:val="22"/>
                <w:szCs w:val="22"/>
              </w:rPr>
              <w:t>Gavreto</w:t>
            </w:r>
            <w:proofErr w:type="spellEnd"/>
            <w:r w:rsidRPr="00AD2676">
              <w:rPr>
                <w:rFonts w:ascii="Cambria" w:hAnsi="Cambria"/>
                <w:i/>
                <w:sz w:val="22"/>
                <w:szCs w:val="22"/>
              </w:rPr>
              <w:t xml:space="preserve"> is indicated for the treatment of adult patients with advanced or metastatic RET-fusion positive thyroid cancer who require systemic therapy and who have experienced progression after prior treatment including radioactive iodine (see ‘Clinical efficacy’).</w:t>
            </w:r>
          </w:p>
          <w:p w14:paraId="00000118"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i/>
                <w:sz w:val="22"/>
                <w:szCs w:val="22"/>
              </w:rPr>
              <w:t xml:space="preserve">The efficacy and safety of </w:t>
            </w:r>
            <w:proofErr w:type="spellStart"/>
            <w:r w:rsidRPr="00AD2676">
              <w:rPr>
                <w:rFonts w:ascii="Cambria" w:hAnsi="Cambria"/>
                <w:i/>
                <w:sz w:val="22"/>
                <w:szCs w:val="22"/>
              </w:rPr>
              <w:t>Gavreto</w:t>
            </w:r>
            <w:proofErr w:type="spellEnd"/>
            <w:r w:rsidRPr="00AD2676">
              <w:rPr>
                <w:rFonts w:ascii="Cambria" w:hAnsi="Cambria"/>
                <w:i/>
                <w:sz w:val="22"/>
                <w:szCs w:val="22"/>
              </w:rPr>
              <w:t xml:space="preserve"> was not studied in patients with other oncogene driver mutations (see ‘Warnings and precautions’).</w:t>
            </w:r>
          </w:p>
        </w:tc>
      </w:tr>
      <w:tr w:rsidR="00171E65" w:rsidRPr="00AD2676" w14:paraId="56A290A8" w14:textId="77777777" w:rsidTr="00AD2676">
        <w:tc>
          <w:tcPr>
            <w:cnfStyle w:val="001000000000" w:firstRow="0" w:lastRow="0" w:firstColumn="1" w:lastColumn="0" w:oddVBand="0" w:evenVBand="0" w:oddHBand="0" w:evenHBand="0" w:firstRowFirstColumn="0" w:firstRowLastColumn="0" w:lastRowFirstColumn="0" w:lastRowLastColumn="0"/>
            <w:tcW w:w="2307" w:type="dxa"/>
          </w:tcPr>
          <w:p w14:paraId="00000119" w14:textId="77777777" w:rsidR="00171E65" w:rsidRPr="00AD2676" w:rsidRDefault="009F791C">
            <w:pPr>
              <w:rPr>
                <w:rFonts w:ascii="Cambria" w:hAnsi="Cambria"/>
                <w:sz w:val="22"/>
                <w:szCs w:val="22"/>
              </w:rPr>
            </w:pPr>
            <w:sdt>
              <w:sdtPr>
                <w:tag w:val="goog_rdk_2"/>
                <w:id w:val="-16392144"/>
              </w:sdtPr>
              <w:sdtEndPr/>
              <w:sdtContent/>
            </w:sdt>
            <w:r w:rsidR="001F5E2A" w:rsidRPr="00AD2676">
              <w:rPr>
                <w:rFonts w:ascii="Cambria" w:hAnsi="Cambria"/>
                <w:sz w:val="22"/>
                <w:szCs w:val="22"/>
              </w:rPr>
              <w:t>Canada</w:t>
            </w:r>
          </w:p>
        </w:tc>
        <w:tc>
          <w:tcPr>
            <w:tcW w:w="2671" w:type="dxa"/>
          </w:tcPr>
          <w:p w14:paraId="0000011A" w14:textId="25FAD640" w:rsidR="00171E65" w:rsidRPr="00AD2676" w:rsidRDefault="00A22DD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Withdrawn on 5 April 2022</w:t>
            </w:r>
          </w:p>
        </w:tc>
        <w:tc>
          <w:tcPr>
            <w:tcW w:w="4082" w:type="dxa"/>
          </w:tcPr>
          <w:p w14:paraId="57767613" w14:textId="0590E197" w:rsidR="00A22DD0" w:rsidRPr="00AD2676" w:rsidRDefault="00A22DD0" w:rsidP="00A22DD0">
            <w:pPr>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rPr>
            </w:pPr>
            <w:proofErr w:type="spellStart"/>
            <w:r w:rsidRPr="00AD2676">
              <w:rPr>
                <w:rFonts w:ascii="Cambria" w:hAnsi="Cambria"/>
                <w:i/>
                <w:iCs/>
                <w:sz w:val="22"/>
                <w:szCs w:val="22"/>
              </w:rPr>
              <w:t>Gavreto</w:t>
            </w:r>
            <w:proofErr w:type="spellEnd"/>
            <w:r w:rsidRPr="00AD2676">
              <w:rPr>
                <w:rFonts w:ascii="Cambria" w:hAnsi="Cambria"/>
                <w:i/>
                <w:iCs/>
                <w:sz w:val="22"/>
                <w:szCs w:val="22"/>
              </w:rPr>
              <w:t xml:space="preserve"> is indicated for the treatment of adult and </w:t>
            </w:r>
            <w:proofErr w:type="spellStart"/>
            <w:r w:rsidRPr="00AD2676">
              <w:rPr>
                <w:rFonts w:ascii="Cambria" w:hAnsi="Cambria"/>
                <w:i/>
                <w:iCs/>
                <w:sz w:val="22"/>
                <w:szCs w:val="22"/>
              </w:rPr>
              <w:t>pediatric</w:t>
            </w:r>
            <w:proofErr w:type="spellEnd"/>
            <w:r w:rsidRPr="00AD2676">
              <w:rPr>
                <w:rFonts w:ascii="Cambria" w:hAnsi="Cambria"/>
                <w:i/>
                <w:iCs/>
                <w:sz w:val="22"/>
                <w:szCs w:val="22"/>
              </w:rPr>
              <w:t xml:space="preserve"> patients 12 years of age and older with advanced or metastatic RET-mutant positive MTC who require systemic therapy.</w:t>
            </w:r>
          </w:p>
          <w:p w14:paraId="0000011B" w14:textId="650E32BC" w:rsidR="00171E65" w:rsidRPr="00AD2676" w:rsidRDefault="00A22DD0" w:rsidP="00A22DD0">
            <w:pPr>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rPr>
            </w:pPr>
            <w:proofErr w:type="spellStart"/>
            <w:r w:rsidRPr="00AD2676">
              <w:rPr>
                <w:rFonts w:ascii="Cambria" w:hAnsi="Cambria"/>
                <w:i/>
                <w:iCs/>
                <w:sz w:val="22"/>
                <w:szCs w:val="22"/>
              </w:rPr>
              <w:t>Gavreto</w:t>
            </w:r>
            <w:proofErr w:type="spellEnd"/>
            <w:r w:rsidRPr="00AD2676">
              <w:rPr>
                <w:rFonts w:ascii="Cambria" w:hAnsi="Cambria"/>
                <w:i/>
                <w:iCs/>
                <w:sz w:val="22"/>
                <w:szCs w:val="22"/>
              </w:rPr>
              <w:t xml:space="preserve"> is indicated for the treatment of adult and </w:t>
            </w:r>
            <w:proofErr w:type="spellStart"/>
            <w:r w:rsidRPr="00AD2676">
              <w:rPr>
                <w:rFonts w:ascii="Cambria" w:hAnsi="Cambria"/>
                <w:i/>
                <w:iCs/>
                <w:sz w:val="22"/>
                <w:szCs w:val="22"/>
              </w:rPr>
              <w:t>pediatric</w:t>
            </w:r>
            <w:proofErr w:type="spellEnd"/>
            <w:r w:rsidRPr="00AD2676">
              <w:rPr>
                <w:rFonts w:ascii="Cambria" w:hAnsi="Cambria"/>
                <w:i/>
                <w:iCs/>
                <w:sz w:val="22"/>
                <w:szCs w:val="22"/>
              </w:rPr>
              <w:t xml:space="preserve"> patients 12 years of age and older with advanced or metastatic RET- fusion positive thyroid cancer who require systemic therapy and who are radioactive iodine-refractory (if radioactive iodine is appropriate).</w:t>
            </w:r>
            <w:r w:rsidRPr="00AD2676">
              <w:rPr>
                <w:rStyle w:val="FootnoteReference"/>
                <w:rFonts w:ascii="Cambria" w:hAnsi="Cambria"/>
                <w:i/>
                <w:iCs/>
                <w:sz w:val="22"/>
                <w:szCs w:val="22"/>
              </w:rPr>
              <w:footnoteReference w:id="3"/>
            </w:r>
          </w:p>
        </w:tc>
      </w:tr>
      <w:tr w:rsidR="00171E65" w:rsidRPr="00AD2676" w14:paraId="742377D6" w14:textId="77777777" w:rsidTr="00AD2676">
        <w:tc>
          <w:tcPr>
            <w:cnfStyle w:val="001000000000" w:firstRow="0" w:lastRow="0" w:firstColumn="1" w:lastColumn="0" w:oddVBand="0" w:evenVBand="0" w:oddHBand="0" w:evenHBand="0" w:firstRowFirstColumn="0" w:firstRowLastColumn="0" w:lastRowFirstColumn="0" w:lastRowLastColumn="0"/>
            <w:tcW w:w="2307" w:type="dxa"/>
          </w:tcPr>
          <w:p w14:paraId="0000011C" w14:textId="77777777" w:rsidR="00171E65" w:rsidRPr="00AD2676" w:rsidRDefault="009F791C">
            <w:pPr>
              <w:rPr>
                <w:rFonts w:ascii="Cambria" w:hAnsi="Cambria"/>
                <w:sz w:val="22"/>
                <w:szCs w:val="22"/>
              </w:rPr>
            </w:pPr>
            <w:sdt>
              <w:sdtPr>
                <w:tag w:val="goog_rdk_3"/>
                <w:id w:val="1797794984"/>
              </w:sdtPr>
              <w:sdtEndPr/>
              <w:sdtContent/>
            </w:sdt>
            <w:r w:rsidR="001F5E2A" w:rsidRPr="00AD2676">
              <w:rPr>
                <w:rFonts w:ascii="Cambria" w:hAnsi="Cambria"/>
                <w:sz w:val="22"/>
                <w:szCs w:val="22"/>
              </w:rPr>
              <w:t>Singapore</w:t>
            </w:r>
          </w:p>
        </w:tc>
        <w:tc>
          <w:tcPr>
            <w:tcW w:w="2671" w:type="dxa"/>
          </w:tcPr>
          <w:p w14:paraId="0000011D"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Under consideration</w:t>
            </w:r>
          </w:p>
        </w:tc>
        <w:tc>
          <w:tcPr>
            <w:tcW w:w="4082" w:type="dxa"/>
          </w:tcPr>
          <w:p w14:paraId="0000011E"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i/>
                <w:sz w:val="22"/>
                <w:szCs w:val="22"/>
              </w:rPr>
            </w:pPr>
            <w:r w:rsidRPr="00AD2676">
              <w:rPr>
                <w:rFonts w:ascii="Cambria" w:hAnsi="Cambria"/>
                <w:sz w:val="22"/>
                <w:szCs w:val="22"/>
              </w:rPr>
              <w:t>Under consideration</w:t>
            </w:r>
          </w:p>
        </w:tc>
      </w:tr>
    </w:tbl>
    <w:p w14:paraId="0000011F" w14:textId="319A1E07" w:rsidR="00171E65" w:rsidRDefault="001F5E2A">
      <w:pPr>
        <w:spacing w:before="120"/>
      </w:pPr>
      <w:r>
        <w:t>The following Post-marketing Requirements (PMR) were specified in relation to Project Orbis # 29 submission (note well: conditions of registration for this</w:t>
      </w:r>
      <w:r w:rsidR="00AD2676">
        <w:t xml:space="preserve"> submission </w:t>
      </w:r>
      <w:r>
        <w:t>will be in alignment with these):</w:t>
      </w:r>
    </w:p>
    <w:p w14:paraId="00000120" w14:textId="77777777" w:rsidR="00171E65" w:rsidRDefault="001F5E2A">
      <w:r>
        <w:t>PMR 1:</w:t>
      </w:r>
    </w:p>
    <w:p w14:paraId="00000121" w14:textId="39C1EF25" w:rsidR="00171E65" w:rsidRDefault="001F5E2A">
      <w:pPr>
        <w:ind w:left="720"/>
      </w:pPr>
      <w:r>
        <w:lastRenderedPageBreak/>
        <w:t xml:space="preserve">‘Submit the final report including datasets from a multi-centre, randomised, open-label trial </w:t>
      </w:r>
      <w:r w:rsidR="00AD2676">
        <w:t>comparing</w:t>
      </w:r>
      <w:r>
        <w:t xml:space="preserve"> </w:t>
      </w:r>
      <w:proofErr w:type="spellStart"/>
      <w:r>
        <w:t>pralsetinib</w:t>
      </w:r>
      <w:proofErr w:type="spellEnd"/>
      <w:r>
        <w:t xml:space="preserve"> to investigator’s choice of either </w:t>
      </w:r>
      <w:proofErr w:type="spellStart"/>
      <w:r>
        <w:t>cabozantinib</w:t>
      </w:r>
      <w:proofErr w:type="spellEnd"/>
      <w:r>
        <w:t xml:space="preserve"> or </w:t>
      </w:r>
      <w:proofErr w:type="spellStart"/>
      <w:r>
        <w:t>vandetanib</w:t>
      </w:r>
      <w:proofErr w:type="spellEnd"/>
      <w:r>
        <w:t xml:space="preserve"> in multi-kinase inhibitor naïve patients with advanced or metastatic </w:t>
      </w:r>
      <w:r>
        <w:rPr>
          <w:i/>
        </w:rPr>
        <w:t>RET</w:t>
      </w:r>
      <w:r>
        <w:t xml:space="preserve">-mutant medullary thyroid cancer to confirm the clinical benefit of </w:t>
      </w:r>
      <w:proofErr w:type="spellStart"/>
      <w:r>
        <w:t>pralsetinib</w:t>
      </w:r>
      <w:proofErr w:type="spellEnd"/>
      <w:r>
        <w:t xml:space="preserve"> with progression-free survival as primary end point, as assessed by blinded independent central review.’</w:t>
      </w:r>
    </w:p>
    <w:p w14:paraId="00000122" w14:textId="77777777" w:rsidR="00171E65" w:rsidRDefault="001F5E2A">
      <w:r>
        <w:t>PMR 2:</w:t>
      </w:r>
    </w:p>
    <w:p w14:paraId="00000123" w14:textId="77777777" w:rsidR="00171E65" w:rsidRDefault="001F5E2A">
      <w:pPr>
        <w:ind w:left="720"/>
      </w:pPr>
      <w:r>
        <w:t xml:space="preserve">‘Submit the final report of integrated datasets, to verify and further characterise the clinical benefit of </w:t>
      </w:r>
      <w:proofErr w:type="spellStart"/>
      <w:r>
        <w:t>pralsetinib</w:t>
      </w:r>
      <w:proofErr w:type="spellEnd"/>
      <w:r>
        <w:t xml:space="preserve"> for the treatment of patients with </w:t>
      </w:r>
      <w:r>
        <w:rPr>
          <w:i/>
        </w:rPr>
        <w:t>RET</w:t>
      </w:r>
      <w:r>
        <w:t xml:space="preserve"> fusion-positive thyroid cancer who have received radioactive iodine (if appropriate for their tumour histology) to provide a more precise estimation of the BICR-assessed overall response rate and duration of response in at least 50 patients in a variety of </w:t>
      </w:r>
      <w:proofErr w:type="spellStart"/>
      <w:r>
        <w:t>histologies</w:t>
      </w:r>
      <w:proofErr w:type="spellEnd"/>
      <w:r>
        <w:t xml:space="preserve"> after all responding patients have been followed for 12 months following onset of response or until disease progression, whichever comes first.’</w:t>
      </w:r>
    </w:p>
    <w:p w14:paraId="00000124" w14:textId="77777777" w:rsidR="00171E65" w:rsidRDefault="001F5E2A">
      <w:r>
        <w:t>PMR3:</w:t>
      </w:r>
    </w:p>
    <w:p w14:paraId="00000125" w14:textId="33B44626" w:rsidR="00171E65" w:rsidRDefault="001F5E2A">
      <w:pPr>
        <w:ind w:left="720"/>
      </w:pPr>
      <w:r>
        <w:t xml:space="preserve">‘Submit the final report, of an integrated safety analysis from clinical studies that characterise the potential serious risk of </w:t>
      </w:r>
      <w:proofErr w:type="gramStart"/>
      <w:r>
        <w:t>long term</w:t>
      </w:r>
      <w:proofErr w:type="gramEnd"/>
      <w:r>
        <w:t xml:space="preserve"> adverse effects of </w:t>
      </w:r>
      <w:proofErr w:type="spellStart"/>
      <w:r>
        <w:t>pralsetinib</w:t>
      </w:r>
      <w:proofErr w:type="spellEnd"/>
      <w:r>
        <w:t xml:space="preserve"> on growth and development, including assessment of growth plate abnormalities in a sufficient number of adolescent patients 12 years of age and older with RET mutant medullary thyroid cancer (MTC) and </w:t>
      </w:r>
      <w:r>
        <w:rPr>
          <w:i/>
        </w:rPr>
        <w:t>RET</w:t>
      </w:r>
      <w:r>
        <w:t xml:space="preserve"> fusion positive thyroid cancer. Patients will be monitored for growth and development using age-appropriate screening tools such as </w:t>
      </w:r>
      <w:proofErr w:type="gramStart"/>
      <w:r>
        <w:t>Tanner</w:t>
      </w:r>
      <w:proofErr w:type="gramEnd"/>
      <w:r>
        <w:t xml:space="preserve"> staging. Evaluations</w:t>
      </w:r>
      <w:r w:rsidR="00AD2676">
        <w:t xml:space="preserve"> with g</w:t>
      </w:r>
      <w:r>
        <w:t>rowth as measured by height, weight, height velocity and height standard deviation scores, age at adrenarche if applicable (males), age at menarche if applicable (females) and Tanner stage. Patient monitoring will be performed until discontinuation of study treatment or minimum of 5 years from start of treatment, whichever occurs first. Include the datasets with final report. The results from this study may inform product labelling.’</w:t>
      </w:r>
    </w:p>
    <w:p w14:paraId="00000126" w14:textId="77777777" w:rsidR="00171E65" w:rsidRDefault="001F5E2A">
      <w:r>
        <w:t>PMR 4:</w:t>
      </w:r>
    </w:p>
    <w:p w14:paraId="00000127" w14:textId="77777777" w:rsidR="00171E65" w:rsidRDefault="001F5E2A">
      <w:pPr>
        <w:ind w:left="720"/>
      </w:pPr>
      <w:r>
        <w:t xml:space="preserve">‘Conduct a rodent carcinogenicity study of </w:t>
      </w:r>
      <w:proofErr w:type="spellStart"/>
      <w:r>
        <w:t>pralsetinib</w:t>
      </w:r>
      <w:proofErr w:type="spellEnd"/>
      <w:r>
        <w:t xml:space="preserve"> in mice to evaluate its potential for carcinogenicity. Submit a carcinogenicity protocol for Special Protocol Assessment (SPA) prior to initiating the study.’</w:t>
      </w:r>
    </w:p>
    <w:p w14:paraId="00000128" w14:textId="77777777" w:rsidR="00171E65" w:rsidRDefault="001F5E2A">
      <w:r>
        <w:t>PMR 5:</w:t>
      </w:r>
    </w:p>
    <w:p w14:paraId="00000129" w14:textId="77777777" w:rsidR="00171E65" w:rsidRDefault="001F5E2A">
      <w:pPr>
        <w:ind w:left="720"/>
      </w:pPr>
      <w:r>
        <w:t xml:space="preserve">‘Conduct a rodent carcinogenicity study of </w:t>
      </w:r>
      <w:proofErr w:type="spellStart"/>
      <w:r>
        <w:t>pralsetinib</w:t>
      </w:r>
      <w:proofErr w:type="spellEnd"/>
      <w:r>
        <w:t xml:space="preserve"> in rats to evaluate its potential for carcinogenicity. Submit a carcinogenicity protocol for Special Protocol Assessment (SPA) prior to initiating the study.’</w:t>
      </w:r>
    </w:p>
    <w:p w14:paraId="0000012A" w14:textId="77777777" w:rsidR="00171E65" w:rsidRDefault="001F5E2A">
      <w:r>
        <w:t>PMR 6:</w:t>
      </w:r>
    </w:p>
    <w:p w14:paraId="0000012B" w14:textId="57791D8A" w:rsidR="00171E65" w:rsidRDefault="001F5E2A">
      <w:pPr>
        <w:ind w:left="720"/>
      </w:pPr>
      <w:r>
        <w:t>‘Conduct a rodent fertility study investigat</w:t>
      </w:r>
      <w:r w:rsidR="00AD2676">
        <w:t xml:space="preserve">ing </w:t>
      </w:r>
      <w:r>
        <w:t xml:space="preserve">treated male rats (vehicle control and high dose only) mated to untreated female rats to evaluate the potential for </w:t>
      </w:r>
      <w:proofErr w:type="spellStart"/>
      <w:r>
        <w:t>pralsetinib</w:t>
      </w:r>
      <w:proofErr w:type="spellEnd"/>
      <w:r>
        <w:t xml:space="preserve"> to impair male fertility.’</w:t>
      </w:r>
    </w:p>
    <w:p w14:paraId="0000012C" w14:textId="77777777" w:rsidR="00171E65" w:rsidRDefault="001F5E2A">
      <w:pPr>
        <w:pStyle w:val="Heading3"/>
      </w:pPr>
      <w:bookmarkStart w:id="14" w:name="_Toc149213448"/>
      <w:r>
        <w:t>Product Information</w:t>
      </w:r>
      <w:bookmarkEnd w:id="14"/>
    </w:p>
    <w:p w14:paraId="0000012D" w14:textId="7126E4ED" w:rsidR="00171E65" w:rsidRDefault="001F5E2A">
      <w:bookmarkStart w:id="15" w:name="_heading=h.1ksv4uv" w:colFirst="0" w:colLast="0"/>
      <w:bookmarkEnd w:id="15"/>
      <w:r>
        <w:t xml:space="preserve">The </w:t>
      </w:r>
      <w:hyperlink r:id="rId19">
        <w:r>
          <w:rPr>
            <w:color w:val="0000FF"/>
            <w:u w:val="single"/>
          </w:rPr>
          <w:t>Product Information</w:t>
        </w:r>
      </w:hyperlink>
      <w:r>
        <w:t xml:space="preserve"> (</w:t>
      </w:r>
      <w:hyperlink r:id="rId20">
        <w:r>
          <w:rPr>
            <w:color w:val="0000FF"/>
            <w:u w:val="single"/>
          </w:rPr>
          <w:t>PI</w:t>
        </w:r>
      </w:hyperlink>
      <w:r>
        <w:t xml:space="preserve">) approved with the submission which is described in this </w:t>
      </w:r>
      <w:proofErr w:type="spellStart"/>
      <w:r>
        <w:t>AusPAR</w:t>
      </w:r>
      <w:proofErr w:type="spellEnd"/>
      <w:r>
        <w:t xml:space="preserve"> can be found as Attachment 1. For the most recent PI and </w:t>
      </w:r>
      <w:hyperlink r:id="rId21">
        <w:r>
          <w:rPr>
            <w:color w:val="0000FF"/>
            <w:u w:val="single"/>
          </w:rPr>
          <w:t>Consumer Medicines Information</w:t>
        </w:r>
      </w:hyperlink>
      <w:r>
        <w:t xml:space="preserve"> (CMI), please refer to the TGA </w:t>
      </w:r>
      <w:hyperlink r:id="rId22">
        <w:r>
          <w:rPr>
            <w:color w:val="0000FF"/>
            <w:u w:val="single"/>
          </w:rPr>
          <w:t>PI/CMI search facility.</w:t>
        </w:r>
      </w:hyperlink>
    </w:p>
    <w:p w14:paraId="0000012E" w14:textId="77777777" w:rsidR="00171E65" w:rsidRDefault="001F5E2A">
      <w:pPr>
        <w:pStyle w:val="Heading2"/>
      </w:pPr>
      <w:bookmarkStart w:id="16" w:name="_Toc149213449"/>
      <w:r>
        <w:lastRenderedPageBreak/>
        <w:t>Registration timeline</w:t>
      </w:r>
      <w:bookmarkEnd w:id="16"/>
    </w:p>
    <w:p w14:paraId="0000012F" w14:textId="77777777" w:rsidR="00171E65" w:rsidRDefault="001F5E2A">
      <w:r>
        <w:t>The following table captures the key steps and dates for this submission.</w:t>
      </w:r>
    </w:p>
    <w:p w14:paraId="00000130" w14:textId="58A359ED" w:rsidR="00171E65" w:rsidRDefault="001F5E2A">
      <w:r>
        <w:t xml:space="preserve">This submission was evaluated under the </w:t>
      </w:r>
      <w:hyperlink r:id="rId23">
        <w:r>
          <w:rPr>
            <w:color w:val="0000FF"/>
            <w:u w:val="single"/>
          </w:rPr>
          <w:t>provisional registration process</w:t>
        </w:r>
      </w:hyperlink>
      <w:r>
        <w:t>.</w:t>
      </w:r>
    </w:p>
    <w:p w14:paraId="00000131" w14:textId="77777777" w:rsidR="00171E65" w:rsidRDefault="001F5E2A">
      <w:pPr>
        <w:keepNext/>
        <w:pBdr>
          <w:top w:val="nil"/>
          <w:left w:val="nil"/>
          <w:bottom w:val="nil"/>
          <w:right w:val="nil"/>
          <w:between w:val="nil"/>
        </w:pBdr>
        <w:spacing w:before="120"/>
        <w:rPr>
          <w:b/>
          <w:color w:val="000000"/>
        </w:rPr>
      </w:pPr>
      <w:r>
        <w:rPr>
          <w:b/>
          <w:color w:val="000000"/>
        </w:rPr>
        <w:t xml:space="preserve">Table </w:t>
      </w:r>
      <w:r>
        <w:rPr>
          <w:color w:val="000000"/>
        </w:rPr>
        <w:t>2</w:t>
      </w:r>
      <w:r>
        <w:rPr>
          <w:b/>
          <w:color w:val="000000"/>
        </w:rPr>
        <w:t>: Timeline for Submission PM-2021-05762-1-4</w:t>
      </w:r>
    </w:p>
    <w:tbl>
      <w:tblPr>
        <w:tblStyle w:val="TableTGAblue2023"/>
        <w:tblW w:w="8642" w:type="dxa"/>
        <w:tblLayout w:type="fixed"/>
        <w:tblLook w:val="04A0" w:firstRow="1" w:lastRow="0" w:firstColumn="1" w:lastColumn="0" w:noHBand="0" w:noVBand="1"/>
      </w:tblPr>
      <w:tblGrid>
        <w:gridCol w:w="4390"/>
        <w:gridCol w:w="4252"/>
      </w:tblGrid>
      <w:tr w:rsidR="00171E65" w:rsidRPr="00AD2676" w14:paraId="323C2BF4" w14:textId="77777777" w:rsidTr="00AD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0000132" w14:textId="77777777" w:rsidR="00171E65" w:rsidRPr="00AD2676" w:rsidRDefault="001F5E2A">
            <w:pPr>
              <w:rPr>
                <w:rFonts w:ascii="Cambria" w:hAnsi="Cambria"/>
                <w:szCs w:val="22"/>
              </w:rPr>
            </w:pPr>
            <w:r w:rsidRPr="00AD2676">
              <w:rPr>
                <w:rFonts w:ascii="Cambria" w:hAnsi="Cambria"/>
                <w:szCs w:val="22"/>
              </w:rPr>
              <w:t>Description</w:t>
            </w:r>
          </w:p>
        </w:tc>
        <w:tc>
          <w:tcPr>
            <w:tcW w:w="4252" w:type="dxa"/>
          </w:tcPr>
          <w:p w14:paraId="00000133" w14:textId="77777777" w:rsidR="00171E65" w:rsidRPr="00AD2676" w:rsidRDefault="001F5E2A">
            <w:pPr>
              <w:cnfStyle w:val="100000000000" w:firstRow="1" w:lastRow="0" w:firstColumn="0" w:lastColumn="0" w:oddVBand="0" w:evenVBand="0" w:oddHBand="0" w:evenHBand="0" w:firstRowFirstColumn="0" w:firstRowLastColumn="0" w:lastRowFirstColumn="0" w:lastRowLastColumn="0"/>
              <w:rPr>
                <w:rFonts w:ascii="Cambria" w:hAnsi="Cambria"/>
                <w:szCs w:val="22"/>
              </w:rPr>
            </w:pPr>
            <w:r w:rsidRPr="00AD2676">
              <w:rPr>
                <w:rFonts w:ascii="Cambria" w:hAnsi="Cambria"/>
                <w:szCs w:val="22"/>
              </w:rPr>
              <w:t>Date</w:t>
            </w:r>
          </w:p>
        </w:tc>
      </w:tr>
      <w:tr w:rsidR="00171E65" w:rsidRPr="00AD2676" w14:paraId="496F0BBA"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4" w14:textId="77777777" w:rsidR="00171E65" w:rsidRPr="00AD2676" w:rsidRDefault="001F5E2A">
            <w:pPr>
              <w:rPr>
                <w:rFonts w:ascii="Cambria" w:hAnsi="Cambria"/>
                <w:sz w:val="22"/>
                <w:szCs w:val="22"/>
              </w:rPr>
            </w:pPr>
            <w:r w:rsidRPr="00AD2676">
              <w:rPr>
                <w:rFonts w:ascii="Cambria" w:hAnsi="Cambria"/>
                <w:sz w:val="22"/>
                <w:szCs w:val="22"/>
              </w:rPr>
              <w:t>Determination (Provisional)</w:t>
            </w:r>
          </w:p>
        </w:tc>
        <w:tc>
          <w:tcPr>
            <w:tcW w:w="4252" w:type="dxa"/>
          </w:tcPr>
          <w:p w14:paraId="00000135"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29 November 2021</w:t>
            </w:r>
          </w:p>
        </w:tc>
      </w:tr>
      <w:tr w:rsidR="00171E65" w:rsidRPr="00AD2676" w14:paraId="4421C17A"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6" w14:textId="77777777" w:rsidR="00171E65" w:rsidRPr="00AD2676" w:rsidRDefault="001F5E2A">
            <w:pPr>
              <w:rPr>
                <w:rFonts w:ascii="Cambria" w:hAnsi="Cambria"/>
                <w:sz w:val="22"/>
                <w:szCs w:val="22"/>
              </w:rPr>
            </w:pPr>
            <w:r w:rsidRPr="00AD2676">
              <w:rPr>
                <w:rFonts w:ascii="Cambria" w:hAnsi="Cambria"/>
                <w:sz w:val="22"/>
                <w:szCs w:val="22"/>
              </w:rPr>
              <w:t>Submission dossier accepted and first round evaluation commenced</w:t>
            </w:r>
          </w:p>
        </w:tc>
        <w:tc>
          <w:tcPr>
            <w:tcW w:w="4252" w:type="dxa"/>
          </w:tcPr>
          <w:p w14:paraId="00000137"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31 January 2022</w:t>
            </w:r>
          </w:p>
        </w:tc>
      </w:tr>
      <w:tr w:rsidR="00171E65" w:rsidRPr="00AD2676" w14:paraId="5E08362B"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8" w14:textId="77777777" w:rsidR="00171E65" w:rsidRPr="00AD2676" w:rsidRDefault="001F5E2A">
            <w:pPr>
              <w:rPr>
                <w:rFonts w:ascii="Cambria" w:hAnsi="Cambria"/>
                <w:sz w:val="22"/>
                <w:szCs w:val="22"/>
              </w:rPr>
            </w:pPr>
            <w:r w:rsidRPr="00AD2676">
              <w:rPr>
                <w:rFonts w:ascii="Cambria" w:hAnsi="Cambria"/>
                <w:sz w:val="22"/>
                <w:szCs w:val="22"/>
              </w:rPr>
              <w:t>First round evaluation completed</w:t>
            </w:r>
          </w:p>
        </w:tc>
        <w:tc>
          <w:tcPr>
            <w:tcW w:w="4252" w:type="dxa"/>
          </w:tcPr>
          <w:p w14:paraId="00000139"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30 June 2022</w:t>
            </w:r>
          </w:p>
        </w:tc>
      </w:tr>
      <w:tr w:rsidR="00171E65" w:rsidRPr="00AD2676" w14:paraId="7C12E915"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A" w14:textId="77777777" w:rsidR="00171E65" w:rsidRPr="00AD2676" w:rsidRDefault="001F5E2A">
            <w:pPr>
              <w:rPr>
                <w:rFonts w:ascii="Cambria" w:hAnsi="Cambria"/>
                <w:sz w:val="22"/>
                <w:szCs w:val="22"/>
              </w:rPr>
            </w:pPr>
            <w:r w:rsidRPr="00AD2676">
              <w:rPr>
                <w:rFonts w:ascii="Cambria" w:hAnsi="Cambria"/>
                <w:sz w:val="22"/>
                <w:szCs w:val="22"/>
              </w:rPr>
              <w:t>Sponsor provides responses on questions raised in first round evaluation</w:t>
            </w:r>
          </w:p>
        </w:tc>
        <w:tc>
          <w:tcPr>
            <w:tcW w:w="4252" w:type="dxa"/>
          </w:tcPr>
          <w:p w14:paraId="0000013B"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30 August 2022</w:t>
            </w:r>
          </w:p>
        </w:tc>
      </w:tr>
      <w:tr w:rsidR="00171E65" w:rsidRPr="00AD2676" w14:paraId="7C84C62F"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C" w14:textId="77777777" w:rsidR="00171E65" w:rsidRPr="00AD2676" w:rsidRDefault="001F5E2A">
            <w:pPr>
              <w:rPr>
                <w:rFonts w:ascii="Cambria" w:hAnsi="Cambria"/>
                <w:sz w:val="22"/>
                <w:szCs w:val="22"/>
              </w:rPr>
            </w:pPr>
            <w:r w:rsidRPr="00AD2676">
              <w:rPr>
                <w:rFonts w:ascii="Cambria" w:hAnsi="Cambria"/>
                <w:sz w:val="22"/>
                <w:szCs w:val="22"/>
              </w:rPr>
              <w:t>Second round evaluation completed</w:t>
            </w:r>
          </w:p>
        </w:tc>
        <w:tc>
          <w:tcPr>
            <w:tcW w:w="4252" w:type="dxa"/>
          </w:tcPr>
          <w:p w14:paraId="0000013D"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5 October 2022</w:t>
            </w:r>
          </w:p>
        </w:tc>
      </w:tr>
      <w:tr w:rsidR="00171E65" w:rsidRPr="00AD2676" w14:paraId="0CB3E726"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3E" w14:textId="77777777" w:rsidR="00171E65" w:rsidRPr="00AD2676" w:rsidRDefault="001F5E2A">
            <w:pPr>
              <w:rPr>
                <w:rFonts w:ascii="Cambria" w:hAnsi="Cambria"/>
                <w:sz w:val="22"/>
                <w:szCs w:val="22"/>
              </w:rPr>
            </w:pPr>
            <w:r w:rsidRPr="00AD2676">
              <w:rPr>
                <w:rFonts w:ascii="Cambria" w:hAnsi="Cambria"/>
                <w:sz w:val="22"/>
                <w:szCs w:val="22"/>
              </w:rPr>
              <w:t>Delegate’s Overall benefit-risk assessment and request for Advisory Committee advice</w:t>
            </w:r>
          </w:p>
        </w:tc>
        <w:tc>
          <w:tcPr>
            <w:tcW w:w="4252" w:type="dxa"/>
          </w:tcPr>
          <w:p w14:paraId="0000013F"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25 October 2022</w:t>
            </w:r>
          </w:p>
        </w:tc>
      </w:tr>
      <w:tr w:rsidR="00171E65" w:rsidRPr="00AD2676" w14:paraId="6CB749D6"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0" w14:textId="77777777" w:rsidR="00171E65" w:rsidRPr="00AD2676" w:rsidRDefault="001F5E2A">
            <w:pPr>
              <w:rPr>
                <w:rFonts w:ascii="Cambria" w:hAnsi="Cambria"/>
                <w:sz w:val="22"/>
                <w:szCs w:val="22"/>
              </w:rPr>
            </w:pPr>
            <w:r w:rsidRPr="00AD2676">
              <w:rPr>
                <w:rFonts w:ascii="Cambria" w:hAnsi="Cambria"/>
                <w:sz w:val="22"/>
                <w:szCs w:val="22"/>
              </w:rPr>
              <w:t>Sponsor’s pre-Advisory Committee response</w:t>
            </w:r>
          </w:p>
        </w:tc>
        <w:tc>
          <w:tcPr>
            <w:tcW w:w="4252" w:type="dxa"/>
          </w:tcPr>
          <w:p w14:paraId="00000141"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15 November 2022</w:t>
            </w:r>
          </w:p>
        </w:tc>
      </w:tr>
      <w:tr w:rsidR="00171E65" w:rsidRPr="00AD2676" w14:paraId="4E9876F3"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2" w14:textId="77777777" w:rsidR="00171E65" w:rsidRPr="00AD2676" w:rsidRDefault="001F5E2A">
            <w:pPr>
              <w:rPr>
                <w:rFonts w:ascii="Cambria" w:hAnsi="Cambria"/>
                <w:sz w:val="22"/>
                <w:szCs w:val="22"/>
              </w:rPr>
            </w:pPr>
            <w:r w:rsidRPr="00AD2676">
              <w:rPr>
                <w:rFonts w:ascii="Cambria" w:hAnsi="Cambria"/>
                <w:sz w:val="22"/>
                <w:szCs w:val="22"/>
              </w:rPr>
              <w:t>Advisory Committee meeting</w:t>
            </w:r>
          </w:p>
        </w:tc>
        <w:tc>
          <w:tcPr>
            <w:tcW w:w="4252" w:type="dxa"/>
          </w:tcPr>
          <w:p w14:paraId="00000143"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1 and 2 December 2022</w:t>
            </w:r>
          </w:p>
        </w:tc>
      </w:tr>
      <w:tr w:rsidR="00171E65" w:rsidRPr="00AD2676" w14:paraId="4A182ACF"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4" w14:textId="77777777" w:rsidR="00171E65" w:rsidRPr="00AD2676" w:rsidRDefault="001F5E2A">
            <w:pPr>
              <w:rPr>
                <w:rFonts w:ascii="Cambria" w:hAnsi="Cambria"/>
                <w:sz w:val="22"/>
                <w:szCs w:val="22"/>
              </w:rPr>
            </w:pPr>
            <w:r w:rsidRPr="00AD2676">
              <w:rPr>
                <w:rFonts w:ascii="Cambria" w:hAnsi="Cambria"/>
                <w:sz w:val="22"/>
                <w:szCs w:val="22"/>
              </w:rPr>
              <w:t>Registration decision (Outcome)</w:t>
            </w:r>
          </w:p>
        </w:tc>
        <w:tc>
          <w:tcPr>
            <w:tcW w:w="4252" w:type="dxa"/>
          </w:tcPr>
          <w:p w14:paraId="00000145"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5 April 2023</w:t>
            </w:r>
          </w:p>
        </w:tc>
      </w:tr>
      <w:tr w:rsidR="00171E65" w:rsidRPr="00AD2676" w14:paraId="1C2F1B92"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6" w14:textId="77777777" w:rsidR="00171E65" w:rsidRPr="00AD2676" w:rsidRDefault="001F5E2A">
            <w:pPr>
              <w:rPr>
                <w:rFonts w:ascii="Cambria" w:hAnsi="Cambria"/>
                <w:sz w:val="22"/>
                <w:szCs w:val="22"/>
              </w:rPr>
            </w:pPr>
            <w:r w:rsidRPr="00AD2676">
              <w:rPr>
                <w:rFonts w:ascii="Cambria" w:hAnsi="Cambria"/>
                <w:sz w:val="22"/>
                <w:szCs w:val="22"/>
              </w:rPr>
              <w:t>Administrative activities and registration on the ARTG completed</w:t>
            </w:r>
          </w:p>
        </w:tc>
        <w:tc>
          <w:tcPr>
            <w:tcW w:w="4252" w:type="dxa"/>
          </w:tcPr>
          <w:p w14:paraId="00000147"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6 April 2023</w:t>
            </w:r>
          </w:p>
        </w:tc>
      </w:tr>
      <w:tr w:rsidR="00171E65" w:rsidRPr="00AD2676" w14:paraId="564177BF"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8" w14:textId="77777777" w:rsidR="00171E65" w:rsidRPr="00AD2676" w:rsidRDefault="001F5E2A">
            <w:pPr>
              <w:rPr>
                <w:rFonts w:ascii="Cambria" w:hAnsi="Cambria"/>
                <w:sz w:val="22"/>
                <w:szCs w:val="22"/>
              </w:rPr>
            </w:pPr>
            <w:r w:rsidRPr="00AD2676">
              <w:rPr>
                <w:rFonts w:ascii="Cambria" w:hAnsi="Cambria"/>
                <w:sz w:val="22"/>
                <w:szCs w:val="22"/>
              </w:rPr>
              <w:t>Number of working days from submission dossier acceptance to registration decision*</w:t>
            </w:r>
          </w:p>
        </w:tc>
        <w:tc>
          <w:tcPr>
            <w:tcW w:w="4252" w:type="dxa"/>
          </w:tcPr>
          <w:p w14:paraId="00000149"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247</w:t>
            </w:r>
          </w:p>
        </w:tc>
      </w:tr>
    </w:tbl>
    <w:p w14:paraId="0000014A" w14:textId="77777777" w:rsidR="00171E65" w:rsidRDefault="001F5E2A">
      <w:pPr>
        <w:pBdr>
          <w:top w:val="nil"/>
          <w:left w:val="nil"/>
          <w:bottom w:val="nil"/>
          <w:right w:val="nil"/>
          <w:between w:val="nil"/>
        </w:pBdr>
        <w:spacing w:before="120" w:line="240" w:lineRule="auto"/>
        <w:rPr>
          <w:color w:val="000000"/>
          <w:sz w:val="18"/>
          <w:szCs w:val="18"/>
        </w:rPr>
      </w:pPr>
      <w:r>
        <w:rPr>
          <w:color w:val="000000"/>
          <w:sz w:val="18"/>
          <w:szCs w:val="18"/>
        </w:rPr>
        <w:t>*Statutory timeframe for standard submissions is 255 working days</w:t>
      </w:r>
    </w:p>
    <w:p w14:paraId="0000014B" w14:textId="77777777" w:rsidR="00171E65" w:rsidRDefault="001F5E2A">
      <w:pPr>
        <w:rPr>
          <w:sz w:val="18"/>
          <w:szCs w:val="18"/>
        </w:rPr>
      </w:pPr>
      <w:r>
        <w:br w:type="page"/>
      </w:r>
    </w:p>
    <w:p w14:paraId="0000014C" w14:textId="77777777" w:rsidR="00171E65" w:rsidRDefault="001F5E2A">
      <w:pPr>
        <w:keepNext/>
        <w:pBdr>
          <w:top w:val="nil"/>
          <w:left w:val="nil"/>
          <w:bottom w:val="nil"/>
          <w:right w:val="nil"/>
          <w:between w:val="nil"/>
        </w:pBdr>
        <w:spacing w:before="120"/>
        <w:rPr>
          <w:b/>
          <w:color w:val="000000"/>
        </w:rPr>
      </w:pPr>
      <w:r>
        <w:rPr>
          <w:b/>
          <w:color w:val="000000"/>
        </w:rPr>
        <w:lastRenderedPageBreak/>
        <w:t>Table 3: Timeline for Submission PM-2021-05761-1-4</w:t>
      </w:r>
    </w:p>
    <w:tbl>
      <w:tblPr>
        <w:tblStyle w:val="TableTGAblue2023"/>
        <w:tblW w:w="8642" w:type="dxa"/>
        <w:tblLayout w:type="fixed"/>
        <w:tblLook w:val="04A0" w:firstRow="1" w:lastRow="0" w:firstColumn="1" w:lastColumn="0" w:noHBand="0" w:noVBand="1"/>
      </w:tblPr>
      <w:tblGrid>
        <w:gridCol w:w="4390"/>
        <w:gridCol w:w="4252"/>
      </w:tblGrid>
      <w:tr w:rsidR="00171E65" w:rsidRPr="00AD2676" w14:paraId="289BADB5" w14:textId="77777777" w:rsidTr="00AD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000014D" w14:textId="77777777" w:rsidR="00171E65" w:rsidRPr="00AD2676" w:rsidRDefault="001F5E2A">
            <w:pPr>
              <w:rPr>
                <w:rFonts w:ascii="Cambria" w:hAnsi="Cambria"/>
                <w:szCs w:val="22"/>
              </w:rPr>
            </w:pPr>
            <w:r w:rsidRPr="00AD2676">
              <w:rPr>
                <w:rFonts w:ascii="Cambria" w:hAnsi="Cambria"/>
                <w:szCs w:val="22"/>
              </w:rPr>
              <w:t>Description</w:t>
            </w:r>
          </w:p>
        </w:tc>
        <w:tc>
          <w:tcPr>
            <w:tcW w:w="4252" w:type="dxa"/>
          </w:tcPr>
          <w:p w14:paraId="0000014E" w14:textId="77777777" w:rsidR="00171E65" w:rsidRPr="00AD2676" w:rsidRDefault="001F5E2A">
            <w:pPr>
              <w:cnfStyle w:val="100000000000" w:firstRow="1" w:lastRow="0" w:firstColumn="0" w:lastColumn="0" w:oddVBand="0" w:evenVBand="0" w:oddHBand="0" w:evenHBand="0" w:firstRowFirstColumn="0" w:firstRowLastColumn="0" w:lastRowFirstColumn="0" w:lastRowLastColumn="0"/>
              <w:rPr>
                <w:rFonts w:ascii="Cambria" w:hAnsi="Cambria"/>
                <w:szCs w:val="22"/>
              </w:rPr>
            </w:pPr>
            <w:r w:rsidRPr="00AD2676">
              <w:rPr>
                <w:rFonts w:ascii="Cambria" w:hAnsi="Cambria"/>
                <w:szCs w:val="22"/>
              </w:rPr>
              <w:t>Date</w:t>
            </w:r>
          </w:p>
        </w:tc>
      </w:tr>
      <w:tr w:rsidR="00171E65" w:rsidRPr="00AD2676" w14:paraId="7763D1FE"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4F" w14:textId="77777777" w:rsidR="00171E65" w:rsidRPr="00AD2676" w:rsidRDefault="001F5E2A">
            <w:pPr>
              <w:rPr>
                <w:rFonts w:ascii="Cambria" w:hAnsi="Cambria"/>
                <w:sz w:val="22"/>
                <w:szCs w:val="22"/>
              </w:rPr>
            </w:pPr>
            <w:r w:rsidRPr="00AD2676">
              <w:rPr>
                <w:rFonts w:ascii="Cambria" w:hAnsi="Cambria"/>
                <w:sz w:val="22"/>
                <w:szCs w:val="22"/>
              </w:rPr>
              <w:t>Determination (Provisional)</w:t>
            </w:r>
          </w:p>
        </w:tc>
        <w:tc>
          <w:tcPr>
            <w:tcW w:w="4252" w:type="dxa"/>
          </w:tcPr>
          <w:p w14:paraId="00000150"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29 November 2021</w:t>
            </w:r>
          </w:p>
        </w:tc>
      </w:tr>
      <w:tr w:rsidR="00171E65" w:rsidRPr="00AD2676" w14:paraId="4B7BE3ED"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1" w14:textId="77777777" w:rsidR="00171E65" w:rsidRPr="00AD2676" w:rsidRDefault="001F5E2A">
            <w:pPr>
              <w:rPr>
                <w:rFonts w:ascii="Cambria" w:hAnsi="Cambria"/>
                <w:sz w:val="22"/>
                <w:szCs w:val="22"/>
              </w:rPr>
            </w:pPr>
            <w:r w:rsidRPr="00AD2676">
              <w:rPr>
                <w:rFonts w:ascii="Cambria" w:hAnsi="Cambria"/>
                <w:sz w:val="22"/>
                <w:szCs w:val="22"/>
              </w:rPr>
              <w:t>Submission dossier accepted and first round evaluation commenced</w:t>
            </w:r>
          </w:p>
        </w:tc>
        <w:tc>
          <w:tcPr>
            <w:tcW w:w="4252" w:type="dxa"/>
          </w:tcPr>
          <w:p w14:paraId="00000152"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31 January 2022</w:t>
            </w:r>
          </w:p>
        </w:tc>
      </w:tr>
      <w:tr w:rsidR="00171E65" w:rsidRPr="00AD2676" w14:paraId="6AE3CF3D"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3" w14:textId="77777777" w:rsidR="00171E65" w:rsidRPr="00AD2676" w:rsidRDefault="001F5E2A">
            <w:pPr>
              <w:rPr>
                <w:rFonts w:ascii="Cambria" w:hAnsi="Cambria"/>
                <w:sz w:val="22"/>
                <w:szCs w:val="22"/>
              </w:rPr>
            </w:pPr>
            <w:r w:rsidRPr="00AD2676">
              <w:rPr>
                <w:rFonts w:ascii="Cambria" w:hAnsi="Cambria"/>
                <w:sz w:val="22"/>
                <w:szCs w:val="22"/>
              </w:rPr>
              <w:t>First round evaluation completed</w:t>
            </w:r>
          </w:p>
        </w:tc>
        <w:tc>
          <w:tcPr>
            <w:tcW w:w="4252" w:type="dxa"/>
          </w:tcPr>
          <w:p w14:paraId="00000154"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30 June 2022</w:t>
            </w:r>
          </w:p>
        </w:tc>
      </w:tr>
      <w:tr w:rsidR="00171E65" w:rsidRPr="00AD2676" w14:paraId="409256B0"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5" w14:textId="77777777" w:rsidR="00171E65" w:rsidRPr="00AD2676" w:rsidRDefault="001F5E2A">
            <w:pPr>
              <w:rPr>
                <w:rFonts w:ascii="Cambria" w:hAnsi="Cambria"/>
                <w:sz w:val="22"/>
                <w:szCs w:val="22"/>
              </w:rPr>
            </w:pPr>
            <w:r w:rsidRPr="00AD2676">
              <w:rPr>
                <w:rFonts w:ascii="Cambria" w:hAnsi="Cambria"/>
                <w:sz w:val="22"/>
                <w:szCs w:val="22"/>
              </w:rPr>
              <w:t>Sponsor provides responses on questions raised in first round evaluation</w:t>
            </w:r>
          </w:p>
        </w:tc>
        <w:tc>
          <w:tcPr>
            <w:tcW w:w="4252" w:type="dxa"/>
          </w:tcPr>
          <w:p w14:paraId="00000156"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30 August 2022</w:t>
            </w:r>
          </w:p>
        </w:tc>
      </w:tr>
      <w:tr w:rsidR="00171E65" w:rsidRPr="00AD2676" w14:paraId="49147DC5"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7" w14:textId="77777777" w:rsidR="00171E65" w:rsidRPr="00AD2676" w:rsidRDefault="001F5E2A">
            <w:pPr>
              <w:rPr>
                <w:rFonts w:ascii="Cambria" w:hAnsi="Cambria"/>
                <w:sz w:val="22"/>
                <w:szCs w:val="22"/>
              </w:rPr>
            </w:pPr>
            <w:r w:rsidRPr="00AD2676">
              <w:rPr>
                <w:rFonts w:ascii="Cambria" w:hAnsi="Cambria"/>
                <w:sz w:val="22"/>
                <w:szCs w:val="22"/>
              </w:rPr>
              <w:t>Second round evaluation completed</w:t>
            </w:r>
          </w:p>
        </w:tc>
        <w:tc>
          <w:tcPr>
            <w:tcW w:w="4252" w:type="dxa"/>
          </w:tcPr>
          <w:p w14:paraId="00000158"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5 October 2022</w:t>
            </w:r>
          </w:p>
        </w:tc>
      </w:tr>
      <w:tr w:rsidR="00171E65" w:rsidRPr="00AD2676" w14:paraId="3229D49F"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9" w14:textId="77777777" w:rsidR="00171E65" w:rsidRPr="00AD2676" w:rsidRDefault="001F5E2A">
            <w:pPr>
              <w:rPr>
                <w:rFonts w:ascii="Cambria" w:hAnsi="Cambria"/>
                <w:sz w:val="22"/>
                <w:szCs w:val="22"/>
              </w:rPr>
            </w:pPr>
            <w:r w:rsidRPr="00AD2676">
              <w:rPr>
                <w:rFonts w:ascii="Cambria" w:hAnsi="Cambria"/>
                <w:sz w:val="22"/>
                <w:szCs w:val="22"/>
              </w:rPr>
              <w:t>Delegate’s Overall benefit-risk assessment and request for Advisory Committee advice</w:t>
            </w:r>
          </w:p>
        </w:tc>
        <w:tc>
          <w:tcPr>
            <w:tcW w:w="4252" w:type="dxa"/>
          </w:tcPr>
          <w:p w14:paraId="0000015A"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25 October 2022</w:t>
            </w:r>
          </w:p>
        </w:tc>
      </w:tr>
      <w:tr w:rsidR="00171E65" w:rsidRPr="00AD2676" w14:paraId="09CE9A60"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B" w14:textId="77777777" w:rsidR="00171E65" w:rsidRPr="00AD2676" w:rsidRDefault="001F5E2A">
            <w:pPr>
              <w:rPr>
                <w:rFonts w:ascii="Cambria" w:hAnsi="Cambria"/>
                <w:sz w:val="22"/>
                <w:szCs w:val="22"/>
              </w:rPr>
            </w:pPr>
            <w:r w:rsidRPr="00AD2676">
              <w:rPr>
                <w:rFonts w:ascii="Cambria" w:hAnsi="Cambria"/>
                <w:sz w:val="22"/>
                <w:szCs w:val="22"/>
              </w:rPr>
              <w:t>Sponsor’s pre-Advisory Committee response</w:t>
            </w:r>
          </w:p>
        </w:tc>
        <w:tc>
          <w:tcPr>
            <w:tcW w:w="4252" w:type="dxa"/>
          </w:tcPr>
          <w:p w14:paraId="0000015C"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Not applicable</w:t>
            </w:r>
          </w:p>
        </w:tc>
      </w:tr>
      <w:tr w:rsidR="00171E65" w:rsidRPr="00AD2676" w14:paraId="56051AB5"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D" w14:textId="77777777" w:rsidR="00171E65" w:rsidRPr="00AD2676" w:rsidRDefault="001F5E2A">
            <w:pPr>
              <w:rPr>
                <w:rFonts w:ascii="Cambria" w:hAnsi="Cambria"/>
                <w:sz w:val="22"/>
                <w:szCs w:val="22"/>
              </w:rPr>
            </w:pPr>
            <w:r w:rsidRPr="00AD2676">
              <w:rPr>
                <w:rFonts w:ascii="Cambria" w:hAnsi="Cambria"/>
                <w:sz w:val="22"/>
                <w:szCs w:val="22"/>
              </w:rPr>
              <w:t>Advisory Committee meeting</w:t>
            </w:r>
          </w:p>
        </w:tc>
        <w:tc>
          <w:tcPr>
            <w:tcW w:w="4252" w:type="dxa"/>
          </w:tcPr>
          <w:p w14:paraId="0000015E"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Not applicable</w:t>
            </w:r>
          </w:p>
        </w:tc>
      </w:tr>
      <w:tr w:rsidR="00171E65" w:rsidRPr="00AD2676" w14:paraId="1CDE76AF"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5F" w14:textId="77777777" w:rsidR="00171E65" w:rsidRPr="00AD2676" w:rsidRDefault="001F5E2A">
            <w:pPr>
              <w:rPr>
                <w:rFonts w:ascii="Cambria" w:hAnsi="Cambria"/>
                <w:sz w:val="22"/>
                <w:szCs w:val="22"/>
              </w:rPr>
            </w:pPr>
            <w:r w:rsidRPr="00AD2676">
              <w:rPr>
                <w:rFonts w:ascii="Cambria" w:hAnsi="Cambria"/>
                <w:sz w:val="22"/>
                <w:szCs w:val="22"/>
              </w:rPr>
              <w:t>Registration decision (Outcome)</w:t>
            </w:r>
          </w:p>
        </w:tc>
        <w:tc>
          <w:tcPr>
            <w:tcW w:w="4252" w:type="dxa"/>
          </w:tcPr>
          <w:p w14:paraId="00000160"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Not applicable</w:t>
            </w:r>
          </w:p>
        </w:tc>
      </w:tr>
      <w:tr w:rsidR="00171E65" w:rsidRPr="00AD2676" w14:paraId="1D7BE4C1"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61" w14:textId="77777777" w:rsidR="00171E65" w:rsidRPr="00AD2676" w:rsidRDefault="001F5E2A">
            <w:pPr>
              <w:rPr>
                <w:rFonts w:ascii="Cambria" w:hAnsi="Cambria"/>
                <w:sz w:val="22"/>
                <w:szCs w:val="22"/>
              </w:rPr>
            </w:pPr>
            <w:r w:rsidRPr="00AD2676">
              <w:rPr>
                <w:rFonts w:ascii="Cambria" w:hAnsi="Cambria"/>
                <w:sz w:val="22"/>
                <w:szCs w:val="22"/>
              </w:rPr>
              <w:t>Administrative activities and registration on the ARTG completed</w:t>
            </w:r>
          </w:p>
        </w:tc>
        <w:tc>
          <w:tcPr>
            <w:tcW w:w="4252" w:type="dxa"/>
          </w:tcPr>
          <w:p w14:paraId="00000162"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Not applicable</w:t>
            </w:r>
          </w:p>
        </w:tc>
      </w:tr>
      <w:tr w:rsidR="00171E65" w:rsidRPr="00AD2676" w14:paraId="35037709" w14:textId="77777777" w:rsidTr="00AD2676">
        <w:tc>
          <w:tcPr>
            <w:cnfStyle w:val="001000000000" w:firstRow="0" w:lastRow="0" w:firstColumn="1" w:lastColumn="0" w:oddVBand="0" w:evenVBand="0" w:oddHBand="0" w:evenHBand="0" w:firstRowFirstColumn="0" w:firstRowLastColumn="0" w:lastRowFirstColumn="0" w:lastRowLastColumn="0"/>
            <w:tcW w:w="4390" w:type="dxa"/>
          </w:tcPr>
          <w:p w14:paraId="00000163" w14:textId="77777777" w:rsidR="00171E65" w:rsidRPr="00AD2676" w:rsidRDefault="001F5E2A">
            <w:pPr>
              <w:rPr>
                <w:rFonts w:ascii="Cambria" w:hAnsi="Cambria"/>
                <w:sz w:val="22"/>
                <w:szCs w:val="22"/>
              </w:rPr>
            </w:pPr>
            <w:r w:rsidRPr="00AD2676">
              <w:rPr>
                <w:rFonts w:ascii="Cambria" w:hAnsi="Cambria"/>
                <w:sz w:val="22"/>
                <w:szCs w:val="22"/>
              </w:rPr>
              <w:t>Number of working days from submission dossier acceptance to registration decision*</w:t>
            </w:r>
          </w:p>
        </w:tc>
        <w:tc>
          <w:tcPr>
            <w:tcW w:w="4252" w:type="dxa"/>
          </w:tcPr>
          <w:p w14:paraId="00000164" w14:textId="77777777" w:rsidR="00171E65" w:rsidRPr="00AD2676" w:rsidRDefault="001F5E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AD2676">
              <w:rPr>
                <w:rFonts w:ascii="Cambria" w:hAnsi="Cambria"/>
                <w:sz w:val="22"/>
                <w:szCs w:val="22"/>
              </w:rPr>
              <w:t>Not applicable</w:t>
            </w:r>
          </w:p>
        </w:tc>
      </w:tr>
    </w:tbl>
    <w:p w14:paraId="00000165" w14:textId="77777777" w:rsidR="00171E65" w:rsidRDefault="001F5E2A">
      <w:pPr>
        <w:pBdr>
          <w:top w:val="nil"/>
          <w:left w:val="nil"/>
          <w:bottom w:val="nil"/>
          <w:right w:val="nil"/>
          <w:between w:val="nil"/>
        </w:pBdr>
        <w:spacing w:before="120" w:line="240" w:lineRule="auto"/>
        <w:rPr>
          <w:color w:val="000000"/>
          <w:sz w:val="18"/>
          <w:szCs w:val="18"/>
        </w:rPr>
      </w:pPr>
      <w:r>
        <w:rPr>
          <w:color w:val="000000"/>
          <w:sz w:val="18"/>
          <w:szCs w:val="18"/>
        </w:rPr>
        <w:t>*Statutory timeframe for standard submissions is 255 working days</w:t>
      </w:r>
    </w:p>
    <w:p w14:paraId="00000166" w14:textId="77777777" w:rsidR="00171E65" w:rsidRDefault="001F5E2A">
      <w:pPr>
        <w:pStyle w:val="Heading2"/>
      </w:pPr>
      <w:bookmarkStart w:id="17" w:name="_Toc149213450"/>
      <w:r>
        <w:t>Submission overview and risk/benefit assessment</w:t>
      </w:r>
      <w:bookmarkEnd w:id="17"/>
    </w:p>
    <w:p w14:paraId="00000167" w14:textId="77777777" w:rsidR="00171E65" w:rsidRDefault="001F5E2A">
      <w:bookmarkStart w:id="18" w:name="_heading=h.z337ya" w:colFirst="0" w:colLast="0"/>
      <w:bookmarkEnd w:id="18"/>
      <w:r>
        <w:t>This section is a TGA summary of wording used in TGA’s evaluation report, which discussed numerous aspects of overseas evaluation reports and included some information that was commercial-in-confidence.</w:t>
      </w:r>
    </w:p>
    <w:p w14:paraId="00000168" w14:textId="77777777" w:rsidR="00171E65" w:rsidRDefault="001F5E2A">
      <w:r>
        <w:t>Relevant guidelines or guidance documents referred to by the Delegate are listed below:</w:t>
      </w:r>
    </w:p>
    <w:p w14:paraId="00000169" w14:textId="77777777" w:rsidR="00171E65" w:rsidRDefault="001F5E2A">
      <w:pPr>
        <w:pStyle w:val="Heading3"/>
      </w:pPr>
      <w:bookmarkStart w:id="19" w:name="_Toc149213451"/>
      <w:r>
        <w:t>Quality</w:t>
      </w:r>
      <w:bookmarkEnd w:id="19"/>
    </w:p>
    <w:p w14:paraId="0000016A" w14:textId="157DD127" w:rsidR="00171E65" w:rsidRDefault="001F5E2A">
      <w:bookmarkStart w:id="20" w:name="_heading=h.1y810tw" w:colFirst="0" w:colLast="0"/>
      <w:bookmarkEnd w:id="20"/>
      <w:proofErr w:type="spellStart"/>
      <w:r>
        <w:t>Pralsetinib</w:t>
      </w:r>
      <w:proofErr w:type="spellEnd"/>
      <w:r>
        <w:t xml:space="preserve"> is an oral tyrosine kinase inhibitor, targeting </w:t>
      </w:r>
      <w:r>
        <w:rPr>
          <w:i/>
        </w:rPr>
        <w:t>RET</w:t>
      </w:r>
      <w:r>
        <w:t xml:space="preserve"> fusions and mutations. It is structurally related to other tyrosine kinase inhibitors such as imatinib, </w:t>
      </w:r>
      <w:proofErr w:type="spellStart"/>
      <w:r>
        <w:t>mobocertinib</w:t>
      </w:r>
      <w:proofErr w:type="spellEnd"/>
      <w:r>
        <w:t xml:space="preserve"> (succinate) and</w:t>
      </w:r>
      <w:r w:rsidR="00AD2676">
        <w:t xml:space="preserve"> </w:t>
      </w:r>
      <w:proofErr w:type="spellStart"/>
      <w:r w:rsidR="00AD2676">
        <w:t>ceritinib</w:t>
      </w:r>
      <w:proofErr w:type="spellEnd"/>
      <w:r w:rsidR="00AD2676">
        <w:t xml:space="preserve"> (</w:t>
      </w:r>
      <w:r>
        <w:t>not registered in Australia).</w:t>
      </w:r>
    </w:p>
    <w:p w14:paraId="0000016B" w14:textId="77777777" w:rsidR="00171E65" w:rsidRDefault="001F5E2A">
      <w:r>
        <w:t>The maximum daily dose is 400 mg (4 x 100 mg) orally once daily. They are taken in the fasted state with the PI instructing ‘</w:t>
      </w:r>
      <w:r>
        <w:rPr>
          <w:i/>
        </w:rPr>
        <w:t xml:space="preserve">not to eat for at least 2 hours before and 1 hour after taking </w:t>
      </w:r>
      <w:proofErr w:type="spellStart"/>
      <w:r>
        <w:rPr>
          <w:i/>
        </w:rPr>
        <w:t>Gavreto</w:t>
      </w:r>
      <w:proofErr w:type="spellEnd"/>
      <w:r>
        <w:t>’. The capsules must be swallowed whole and must not be opened or chewed. The capsules will be packaged in bottles with child resistant closures. Pack sizes are 60, 90 and 120 capsules.</w:t>
      </w:r>
    </w:p>
    <w:p w14:paraId="0000016C" w14:textId="77777777" w:rsidR="00171E65" w:rsidRDefault="001F5E2A">
      <w:r>
        <w:lastRenderedPageBreak/>
        <w:t xml:space="preserve">There are no monographs for </w:t>
      </w:r>
      <w:proofErr w:type="spellStart"/>
      <w:r>
        <w:t>pralsetinib</w:t>
      </w:r>
      <w:proofErr w:type="spellEnd"/>
      <w:r>
        <w:t xml:space="preserve"> in the </w:t>
      </w:r>
      <w:proofErr w:type="spellStart"/>
      <w:r>
        <w:t>british</w:t>
      </w:r>
      <w:proofErr w:type="spellEnd"/>
      <w:r>
        <w:t xml:space="preserve"> pharmacopoeia or United States Pharmacopeia. The tradename </w:t>
      </w:r>
      <w:proofErr w:type="spellStart"/>
      <w:r>
        <w:t>Gavreto</w:t>
      </w:r>
      <w:proofErr w:type="spellEnd"/>
      <w:r>
        <w:t xml:space="preserve"> is acceptable.</w:t>
      </w:r>
    </w:p>
    <w:p w14:paraId="0000016D" w14:textId="77777777" w:rsidR="00171E65" w:rsidRDefault="001F5E2A">
      <w:pPr>
        <w:keepNext/>
        <w:pBdr>
          <w:top w:val="nil"/>
          <w:left w:val="nil"/>
          <w:bottom w:val="nil"/>
          <w:right w:val="nil"/>
          <w:between w:val="nil"/>
        </w:pBdr>
        <w:rPr>
          <w:b/>
          <w:color w:val="000000"/>
        </w:rPr>
      </w:pPr>
      <w:r>
        <w:rPr>
          <w:b/>
          <w:color w:val="000000"/>
        </w:rPr>
        <w:t xml:space="preserve">Figure 1: Chemical structure of </w:t>
      </w:r>
      <w:proofErr w:type="spellStart"/>
      <w:r>
        <w:rPr>
          <w:b/>
          <w:color w:val="000000"/>
        </w:rPr>
        <w:t>pralsetinib</w:t>
      </w:r>
      <w:proofErr w:type="spellEnd"/>
    </w:p>
    <w:p w14:paraId="0000016E" w14:textId="77777777" w:rsidR="00171E65" w:rsidRDefault="001F5E2A">
      <w:r>
        <w:rPr>
          <w:noProof/>
          <w:lang w:val="en-NZ"/>
        </w:rPr>
        <w:drawing>
          <wp:inline distT="0" distB="0" distL="0" distR="0" wp14:anchorId="619E99A8" wp14:editId="1C79A83C">
            <wp:extent cx="2336418" cy="2651924"/>
            <wp:effectExtent l="0" t="0" r="0" b="0"/>
            <wp:docPr id="22" name="image1.png" descr="Chemical structure of pralsetinib"/>
            <wp:cNvGraphicFramePr/>
            <a:graphic xmlns:a="http://schemas.openxmlformats.org/drawingml/2006/main">
              <a:graphicData uri="http://schemas.openxmlformats.org/drawingml/2006/picture">
                <pic:pic xmlns:pic="http://schemas.openxmlformats.org/drawingml/2006/picture">
                  <pic:nvPicPr>
                    <pic:cNvPr id="0" name="image1.png" descr="Chemical structure of pralsetinib"/>
                    <pic:cNvPicPr preferRelativeResize="0"/>
                  </pic:nvPicPr>
                  <pic:blipFill>
                    <a:blip r:embed="rId24"/>
                    <a:srcRect/>
                    <a:stretch>
                      <a:fillRect/>
                    </a:stretch>
                  </pic:blipFill>
                  <pic:spPr>
                    <a:xfrm>
                      <a:off x="0" y="0"/>
                      <a:ext cx="2336418" cy="2651924"/>
                    </a:xfrm>
                    <a:prstGeom prst="rect">
                      <a:avLst/>
                    </a:prstGeom>
                    <a:ln/>
                  </pic:spPr>
                </pic:pic>
              </a:graphicData>
            </a:graphic>
          </wp:inline>
        </w:drawing>
      </w:r>
    </w:p>
    <w:p w14:paraId="0000016F" w14:textId="77777777" w:rsidR="00171E65" w:rsidRDefault="001F5E2A">
      <w:pPr>
        <w:pStyle w:val="Heading3"/>
      </w:pPr>
      <w:bookmarkStart w:id="21" w:name="_Toc149213452"/>
      <w:r>
        <w:t>Nonclinical</w:t>
      </w:r>
      <w:bookmarkEnd w:id="21"/>
    </w:p>
    <w:p w14:paraId="00000170" w14:textId="77777777" w:rsidR="00171E65" w:rsidRDefault="001F5E2A">
      <w:bookmarkStart w:id="22" w:name="_heading=h.2xcytpi" w:colFirst="0" w:colLast="0"/>
      <w:bookmarkEnd w:id="22"/>
      <w:r>
        <w:t>The Delegate noted that no major deficiencies in nonclinical evaluation were identified.</w:t>
      </w:r>
    </w:p>
    <w:p w14:paraId="00000171" w14:textId="77777777" w:rsidR="00171E65" w:rsidRDefault="001F5E2A">
      <w:r>
        <w:t xml:space="preserve">The primary pharmacology studies demonstrated nonclinical efficacy for the intended target of RET-related kinases and support the use of </w:t>
      </w:r>
      <w:proofErr w:type="spellStart"/>
      <w:r>
        <w:t>pralsetinib</w:t>
      </w:r>
      <w:proofErr w:type="spellEnd"/>
      <w:r>
        <w:t xml:space="preserve"> for the proposed indications. Off target inhibitory activity of </w:t>
      </w:r>
      <w:proofErr w:type="spellStart"/>
      <w:r>
        <w:t>pralsetinib</w:t>
      </w:r>
      <w:proofErr w:type="spellEnd"/>
      <w:r>
        <w:t xml:space="preserve"> was observed against </w:t>
      </w:r>
      <w:proofErr w:type="gramStart"/>
      <w:r>
        <w:t>a number of</w:t>
      </w:r>
      <w:proofErr w:type="gramEnd"/>
      <w:r>
        <w:t xml:space="preserve"> other kinases at clinically relevant concentrations – notably JAK2, FGFR1, FLT1/VEGFR1 and MLK2/MAP3K10 – which explain some of the toxicities observed in animal studies. Major targets of </w:t>
      </w:r>
      <w:proofErr w:type="spellStart"/>
      <w:r>
        <w:t>pralsetinib</w:t>
      </w:r>
      <w:proofErr w:type="spellEnd"/>
      <w:r>
        <w:t xml:space="preserve"> related toxicity included: gastrointestinal tract, bone and teeth (which may have clinical relevance to patients younger than 18 years), lungs, lymphoid tissue (bone marrow, thymus, spleen) and reproductive </w:t>
      </w:r>
      <w:proofErr w:type="gramStart"/>
      <w:r>
        <w:t>tissue</w:t>
      </w:r>
      <w:proofErr w:type="gramEnd"/>
      <w:r>
        <w:t xml:space="preserve"> </w:t>
      </w:r>
    </w:p>
    <w:p w14:paraId="00000172" w14:textId="77777777" w:rsidR="00171E65" w:rsidRDefault="001F5E2A">
      <w:r>
        <w:t xml:space="preserve">There are no nonclinical objections to the registration of </w:t>
      </w:r>
      <w:proofErr w:type="spellStart"/>
      <w:r>
        <w:t>Gavreto</w:t>
      </w:r>
      <w:proofErr w:type="spellEnd"/>
      <w:r>
        <w:t xml:space="preserve"> for the proposed indications.</w:t>
      </w:r>
    </w:p>
    <w:p w14:paraId="00000173" w14:textId="77777777" w:rsidR="00171E65" w:rsidRDefault="001F5E2A">
      <w:pPr>
        <w:pStyle w:val="Heading3"/>
      </w:pPr>
      <w:bookmarkStart w:id="23" w:name="_Toc149213453"/>
      <w:r>
        <w:t>Clinical</w:t>
      </w:r>
      <w:bookmarkEnd w:id="23"/>
    </w:p>
    <w:p w14:paraId="00000174" w14:textId="77777777" w:rsidR="00171E65" w:rsidRDefault="001F5E2A">
      <w:r>
        <w:t xml:space="preserve">The clinical pharmacology package provided has been reviewed, including the following studies and data analyses: single and repeat-dose pharmacokinetics (PK) studies of </w:t>
      </w:r>
      <w:proofErr w:type="spellStart"/>
      <w:r>
        <w:t>pralsetinib</w:t>
      </w:r>
      <w:proofErr w:type="spellEnd"/>
      <w:r>
        <w:t xml:space="preserve"> in healthy subjects and cancer patients, exposure-response (E-R) analyses for efficacy and safety, and population PK analyses.</w:t>
      </w:r>
    </w:p>
    <w:p w14:paraId="00000175" w14:textId="77777777" w:rsidR="00171E65" w:rsidRDefault="001F5E2A">
      <w:r>
        <w:t xml:space="preserve">The proposed dosing regimen for </w:t>
      </w:r>
      <w:proofErr w:type="spellStart"/>
      <w:r>
        <w:t>pralsetinib</w:t>
      </w:r>
      <w:proofErr w:type="spellEnd"/>
      <w:r>
        <w:t xml:space="preserve"> for the treatment of adult and adolescent patients with</w:t>
      </w:r>
      <w:r>
        <w:rPr>
          <w:i/>
        </w:rPr>
        <w:t xml:space="preserve"> RET</w:t>
      </w:r>
      <w:r>
        <w:t xml:space="preserve">-altered thyroid cancers (400 mg </w:t>
      </w:r>
      <w:proofErr w:type="spellStart"/>
      <w:r>
        <w:t>pralsetinib</w:t>
      </w:r>
      <w:proofErr w:type="spellEnd"/>
      <w:r>
        <w:t xml:space="preserve"> once daily on an empty stomach) is based on efficacy and safety data in adult patients from Study BLU-667-1101 and supported by E-R analyses for efficacy and safety. Dose selection in adolescent patients is based on population pharmacokinetic (</w:t>
      </w:r>
      <w:proofErr w:type="spellStart"/>
      <w:r>
        <w:t>popPK</w:t>
      </w:r>
      <w:proofErr w:type="spellEnd"/>
      <w:r>
        <w:t xml:space="preserve">) analysis in adults and simulations of a virtual adolescent population demonstrating that age and body weight had no clinically meaningful effect on the PK of </w:t>
      </w:r>
      <w:proofErr w:type="spellStart"/>
      <w:r>
        <w:t>pralsetinib</w:t>
      </w:r>
      <w:proofErr w:type="spellEnd"/>
      <w:r>
        <w:t>.</w:t>
      </w:r>
    </w:p>
    <w:p w14:paraId="00000176" w14:textId="77777777" w:rsidR="00171E65" w:rsidRDefault="001F5E2A">
      <w:r>
        <w:lastRenderedPageBreak/>
        <w:t xml:space="preserve">The clinical pharmacology evaluation supports approval of </w:t>
      </w:r>
      <w:proofErr w:type="spellStart"/>
      <w:r>
        <w:t>pralsetinib</w:t>
      </w:r>
      <w:proofErr w:type="spellEnd"/>
      <w:r>
        <w:t xml:space="preserve"> for the proposed indication from a clinical pharmacology perspective.</w:t>
      </w:r>
    </w:p>
    <w:p w14:paraId="00000177" w14:textId="77777777" w:rsidR="00171E65" w:rsidRDefault="001F5E2A">
      <w:pPr>
        <w:pStyle w:val="Heading4"/>
      </w:pPr>
      <w:bookmarkStart w:id="24" w:name="_Toc149213454"/>
      <w:r>
        <w:t>Summary of key findings from clinical pharmacology assessment:</w:t>
      </w:r>
      <w:bookmarkEnd w:id="24"/>
    </w:p>
    <w:p w14:paraId="00000178" w14:textId="77777777" w:rsidR="00171E65" w:rsidRDefault="001F5E2A">
      <w:pPr>
        <w:numPr>
          <w:ilvl w:val="0"/>
          <w:numId w:val="7"/>
        </w:numPr>
        <w:pBdr>
          <w:top w:val="nil"/>
          <w:left w:val="nil"/>
          <w:bottom w:val="nil"/>
          <w:right w:val="nil"/>
          <w:between w:val="nil"/>
        </w:pBdr>
        <w:spacing w:before="120" w:after="180"/>
      </w:pPr>
      <w:r>
        <w:rPr>
          <w:color w:val="000000"/>
        </w:rPr>
        <w:t>Absorption:</w:t>
      </w:r>
    </w:p>
    <w:p w14:paraId="00000179" w14:textId="77777777" w:rsidR="00171E65" w:rsidRDefault="001F5E2A">
      <w:pPr>
        <w:numPr>
          <w:ilvl w:val="1"/>
          <w:numId w:val="7"/>
        </w:numPr>
        <w:pBdr>
          <w:top w:val="nil"/>
          <w:left w:val="nil"/>
          <w:bottom w:val="nil"/>
          <w:right w:val="nil"/>
          <w:between w:val="nil"/>
        </w:pBdr>
        <w:spacing w:before="120" w:after="180"/>
      </w:pPr>
      <w:r>
        <w:rPr>
          <w:color w:val="000000"/>
        </w:rPr>
        <w:t xml:space="preserve">median </w:t>
      </w:r>
      <w:proofErr w:type="spellStart"/>
      <w:r>
        <w:rPr>
          <w:color w:val="000000"/>
        </w:rPr>
        <w:t>T</w:t>
      </w:r>
      <w:r>
        <w:rPr>
          <w:color w:val="000000"/>
          <w:vertAlign w:val="subscript"/>
        </w:rPr>
        <w:t>max</w:t>
      </w:r>
      <w:proofErr w:type="spellEnd"/>
      <w:r>
        <w:rPr>
          <w:color w:val="000000"/>
        </w:rPr>
        <w:t xml:space="preserve"> = about 2</w:t>
      </w:r>
      <w:sdt>
        <w:sdtPr>
          <w:tag w:val="goog_rdk_14"/>
          <w:id w:val="-924495001"/>
        </w:sdtPr>
        <w:sdtEndPr/>
        <w:sdtContent>
          <w:r>
            <w:rPr>
              <w:color w:val="000000"/>
            </w:rPr>
            <w:t xml:space="preserve"> </w:t>
          </w:r>
        </w:sdtContent>
      </w:sdt>
      <w:r>
        <w:rPr>
          <w:color w:val="000000"/>
        </w:rPr>
        <w:t>hrs after single-dose administration and about 4 hours at steady state</w:t>
      </w:r>
    </w:p>
    <w:p w14:paraId="0000017A" w14:textId="77777777" w:rsidR="00171E65" w:rsidRDefault="001F5E2A">
      <w:pPr>
        <w:numPr>
          <w:ilvl w:val="0"/>
          <w:numId w:val="7"/>
        </w:numPr>
        <w:pBdr>
          <w:top w:val="nil"/>
          <w:left w:val="nil"/>
          <w:bottom w:val="nil"/>
          <w:right w:val="nil"/>
          <w:between w:val="nil"/>
        </w:pBdr>
        <w:spacing w:before="120" w:after="180"/>
      </w:pPr>
      <w:r>
        <w:rPr>
          <w:color w:val="000000"/>
        </w:rPr>
        <w:t>Distribution:</w:t>
      </w:r>
    </w:p>
    <w:p w14:paraId="0000017B" w14:textId="77777777" w:rsidR="00171E65" w:rsidRDefault="001F5E2A">
      <w:pPr>
        <w:numPr>
          <w:ilvl w:val="1"/>
          <w:numId w:val="7"/>
        </w:numPr>
        <w:pBdr>
          <w:top w:val="nil"/>
          <w:left w:val="nil"/>
          <w:bottom w:val="nil"/>
          <w:right w:val="nil"/>
          <w:between w:val="nil"/>
        </w:pBdr>
        <w:spacing w:before="120" w:after="180"/>
      </w:pPr>
      <w:r>
        <w:rPr>
          <w:color w:val="000000"/>
        </w:rPr>
        <w:t>plasma protein binding = 97.1%</w:t>
      </w:r>
    </w:p>
    <w:p w14:paraId="0000017C" w14:textId="3E1CE788" w:rsidR="00171E65" w:rsidRDefault="001F5E2A">
      <w:pPr>
        <w:numPr>
          <w:ilvl w:val="1"/>
          <w:numId w:val="7"/>
        </w:numPr>
        <w:pBdr>
          <w:top w:val="nil"/>
          <w:left w:val="nil"/>
          <w:bottom w:val="nil"/>
          <w:right w:val="nil"/>
          <w:between w:val="nil"/>
        </w:pBdr>
        <w:spacing w:before="120" w:after="180"/>
      </w:pPr>
      <w:r>
        <w:rPr>
          <w:color w:val="000000"/>
        </w:rPr>
        <w:t xml:space="preserve">at a dose of 400 mg once daily in patients with </w:t>
      </w:r>
      <w:r>
        <w:rPr>
          <w:i/>
          <w:color w:val="000000"/>
        </w:rPr>
        <w:t>RET</w:t>
      </w:r>
      <w:r>
        <w:rPr>
          <w:color w:val="000000"/>
        </w:rPr>
        <w:t xml:space="preserve">-altered thyroid cancers, geometric mean </w:t>
      </w:r>
      <w:sdt>
        <w:sdtPr>
          <w:tag w:val="goog_rdk_15"/>
          <w:id w:val="-444465377"/>
        </w:sdtPr>
        <w:sdtEndPr/>
        <w:sdtContent>
          <w:proofErr w:type="spellStart"/>
          <w:r>
            <w:rPr>
              <w:color w:val="000000"/>
            </w:rPr>
            <w:t>VzF</w:t>
          </w:r>
          <w:proofErr w:type="spellEnd"/>
        </w:sdtContent>
      </w:sdt>
      <w:sdt>
        <w:sdtPr>
          <w:tag w:val="goog_rdk_16"/>
          <w:id w:val="-1056319210"/>
        </w:sdtPr>
        <w:sdtEndPr/>
        <w:sdtContent>
          <w:r w:rsidR="00AD2676">
            <w:t xml:space="preserve"> = </w:t>
          </w:r>
        </w:sdtContent>
      </w:sdt>
      <w:r>
        <w:rPr>
          <w:color w:val="000000"/>
        </w:rPr>
        <w:t>322 L after single-dose administration and 346 L at steady state</w:t>
      </w:r>
    </w:p>
    <w:p w14:paraId="0000017D" w14:textId="77777777" w:rsidR="00171E65" w:rsidRDefault="001F5E2A">
      <w:pPr>
        <w:numPr>
          <w:ilvl w:val="0"/>
          <w:numId w:val="7"/>
        </w:numPr>
        <w:pBdr>
          <w:top w:val="nil"/>
          <w:left w:val="nil"/>
          <w:bottom w:val="nil"/>
          <w:right w:val="nil"/>
          <w:between w:val="nil"/>
        </w:pBdr>
        <w:spacing w:before="120" w:after="180"/>
      </w:pPr>
      <w:r>
        <w:rPr>
          <w:color w:val="000000"/>
        </w:rPr>
        <w:t>Metabolism and elimination:</w:t>
      </w:r>
    </w:p>
    <w:p w14:paraId="0000017E" w14:textId="08A41534" w:rsidR="00171E65" w:rsidRDefault="001F5E2A">
      <w:pPr>
        <w:numPr>
          <w:ilvl w:val="1"/>
          <w:numId w:val="7"/>
        </w:numPr>
        <w:pBdr>
          <w:top w:val="nil"/>
          <w:left w:val="nil"/>
          <w:bottom w:val="nil"/>
          <w:right w:val="nil"/>
          <w:between w:val="nil"/>
        </w:pBdr>
        <w:spacing w:before="120" w:after="180"/>
      </w:pPr>
      <w:r>
        <w:rPr>
          <w:color w:val="000000"/>
        </w:rPr>
        <w:t xml:space="preserve">Metabolism is mainly mediated by CYP3A4, </w:t>
      </w:r>
      <w:sdt>
        <w:sdtPr>
          <w:tag w:val="goog_rdk_17"/>
          <w:id w:val="2057426183"/>
        </w:sdtPr>
        <w:sdtEndPr/>
        <w:sdtContent>
          <w:r>
            <w:rPr>
              <w:color w:val="000000"/>
            </w:rPr>
            <w:t>and to a lesser</w:t>
          </w:r>
        </w:sdtContent>
      </w:sdt>
      <w:r>
        <w:rPr>
          <w:color w:val="000000"/>
        </w:rPr>
        <w:t xml:space="preserve"> extent by CYP2D6 and CYP1A2 (Phase I) and UGT1A4 (Phase II).</w:t>
      </w:r>
    </w:p>
    <w:p w14:paraId="0000017F" w14:textId="77777777" w:rsidR="00171E65" w:rsidRDefault="001F5E2A">
      <w:pPr>
        <w:numPr>
          <w:ilvl w:val="1"/>
          <w:numId w:val="7"/>
        </w:numPr>
        <w:pBdr>
          <w:top w:val="nil"/>
          <w:left w:val="nil"/>
          <w:bottom w:val="nil"/>
          <w:right w:val="nil"/>
          <w:between w:val="nil"/>
        </w:pBdr>
        <w:spacing w:before="120" w:after="180"/>
      </w:pPr>
      <w:r>
        <w:rPr>
          <w:color w:val="000000"/>
        </w:rPr>
        <w:t xml:space="preserve">Unchanged </w:t>
      </w:r>
      <w:proofErr w:type="spellStart"/>
      <w:r>
        <w:rPr>
          <w:color w:val="000000"/>
        </w:rPr>
        <w:t>pralsetinib</w:t>
      </w:r>
      <w:proofErr w:type="spellEnd"/>
      <w:r>
        <w:rPr>
          <w:color w:val="000000"/>
        </w:rPr>
        <w:t xml:space="preserve"> is the predominant component in plasma, </w:t>
      </w:r>
      <w:proofErr w:type="gramStart"/>
      <w:r>
        <w:rPr>
          <w:color w:val="000000"/>
        </w:rPr>
        <w:t>urine</w:t>
      </w:r>
      <w:proofErr w:type="gramEnd"/>
      <w:r>
        <w:rPr>
          <w:color w:val="000000"/>
        </w:rPr>
        <w:t xml:space="preserve"> and faeces, while its metabolites from oxidation and glucuronidation are detected in small to trace amounts (about 5%)</w:t>
      </w:r>
    </w:p>
    <w:p w14:paraId="00000180" w14:textId="77777777" w:rsidR="00171E65" w:rsidRDefault="001F5E2A">
      <w:pPr>
        <w:numPr>
          <w:ilvl w:val="1"/>
          <w:numId w:val="7"/>
        </w:numPr>
        <w:pBdr>
          <w:top w:val="nil"/>
          <w:left w:val="nil"/>
          <w:bottom w:val="nil"/>
          <w:right w:val="nil"/>
          <w:between w:val="nil"/>
        </w:pBdr>
        <w:spacing w:before="120" w:after="180"/>
      </w:pPr>
      <w:r>
        <w:rPr>
          <w:color w:val="000000"/>
        </w:rPr>
        <w:t xml:space="preserve">Excretion in faeces (72.5%) is major elimination pathway for </w:t>
      </w:r>
      <w:proofErr w:type="spellStart"/>
      <w:r>
        <w:rPr>
          <w:color w:val="000000"/>
        </w:rPr>
        <w:t>pralsetinib</w:t>
      </w:r>
      <w:proofErr w:type="spellEnd"/>
      <w:r>
        <w:rPr>
          <w:color w:val="000000"/>
        </w:rPr>
        <w:t xml:space="preserve"> potentially via hepatobiliary and gastrointestinal </w:t>
      </w:r>
      <w:proofErr w:type="gramStart"/>
      <w:r>
        <w:rPr>
          <w:color w:val="000000"/>
        </w:rPr>
        <w:t>secretion</w:t>
      </w:r>
      <w:proofErr w:type="gramEnd"/>
    </w:p>
    <w:p w14:paraId="00000181" w14:textId="77777777" w:rsidR="00171E65" w:rsidRDefault="001F5E2A">
      <w:pPr>
        <w:numPr>
          <w:ilvl w:val="1"/>
          <w:numId w:val="7"/>
        </w:numPr>
        <w:pBdr>
          <w:top w:val="nil"/>
          <w:left w:val="nil"/>
          <w:bottom w:val="nil"/>
          <w:right w:val="nil"/>
          <w:between w:val="nil"/>
        </w:pBdr>
        <w:spacing w:before="120" w:after="180"/>
      </w:pPr>
      <w:r>
        <w:rPr>
          <w:color w:val="000000"/>
        </w:rPr>
        <w:t>Mean elimination t</w:t>
      </w:r>
      <w:r>
        <w:rPr>
          <w:color w:val="000000"/>
          <w:vertAlign w:val="subscript"/>
        </w:rPr>
        <w:t>1/2</w:t>
      </w:r>
      <w:r>
        <w:rPr>
          <w:color w:val="000000"/>
        </w:rPr>
        <w:t xml:space="preserve"> = 17 hours after single-dose administration</w:t>
      </w:r>
    </w:p>
    <w:p w14:paraId="00000182" w14:textId="77777777" w:rsidR="00171E65" w:rsidRDefault="001F5E2A">
      <w:pPr>
        <w:numPr>
          <w:ilvl w:val="1"/>
          <w:numId w:val="7"/>
        </w:numPr>
        <w:pBdr>
          <w:top w:val="nil"/>
          <w:left w:val="nil"/>
          <w:bottom w:val="nil"/>
          <w:right w:val="nil"/>
          <w:between w:val="nil"/>
        </w:pBdr>
        <w:spacing w:before="120" w:after="180"/>
      </w:pPr>
      <w:r>
        <w:rPr>
          <w:color w:val="000000"/>
        </w:rPr>
        <w:t>Mean elimination t</w:t>
      </w:r>
      <w:r>
        <w:rPr>
          <w:color w:val="000000"/>
          <w:vertAlign w:val="subscript"/>
        </w:rPr>
        <w:t>1/2</w:t>
      </w:r>
      <w:r>
        <w:rPr>
          <w:color w:val="000000"/>
        </w:rPr>
        <w:t xml:space="preserve"> = 17.8 hours at steady state (400 mg daily)</w:t>
      </w:r>
    </w:p>
    <w:p w14:paraId="00000183" w14:textId="77777777" w:rsidR="00171E65" w:rsidRDefault="001F5E2A">
      <w:pPr>
        <w:numPr>
          <w:ilvl w:val="1"/>
          <w:numId w:val="7"/>
        </w:numPr>
        <w:pBdr>
          <w:top w:val="nil"/>
          <w:left w:val="nil"/>
          <w:bottom w:val="nil"/>
          <w:right w:val="nil"/>
          <w:between w:val="nil"/>
        </w:pBdr>
        <w:spacing w:before="120" w:after="180"/>
      </w:pPr>
      <w:r>
        <w:rPr>
          <w:color w:val="000000"/>
        </w:rPr>
        <w:t xml:space="preserve">Geometric mean CL/F = 23.5 L/h after single dose administration and 13.4 L/h at steady state, indicating that </w:t>
      </w:r>
      <w:proofErr w:type="spellStart"/>
      <w:r>
        <w:rPr>
          <w:color w:val="000000"/>
        </w:rPr>
        <w:t>pralsetinib</w:t>
      </w:r>
      <w:proofErr w:type="spellEnd"/>
      <w:r>
        <w:rPr>
          <w:color w:val="000000"/>
        </w:rPr>
        <w:t xml:space="preserve"> is a low clearance drug</w:t>
      </w:r>
    </w:p>
    <w:p w14:paraId="00000184" w14:textId="77777777" w:rsidR="00171E65" w:rsidRDefault="001F5E2A">
      <w:pPr>
        <w:numPr>
          <w:ilvl w:val="0"/>
          <w:numId w:val="7"/>
        </w:numPr>
        <w:pBdr>
          <w:top w:val="nil"/>
          <w:left w:val="nil"/>
          <w:bottom w:val="nil"/>
          <w:right w:val="nil"/>
          <w:between w:val="nil"/>
        </w:pBdr>
        <w:spacing w:before="120" w:after="180"/>
      </w:pPr>
      <w:r>
        <w:rPr>
          <w:color w:val="000000"/>
        </w:rPr>
        <w:t>Steady state:</w:t>
      </w:r>
    </w:p>
    <w:p w14:paraId="00000185" w14:textId="77777777" w:rsidR="00171E65" w:rsidRDefault="001F5E2A">
      <w:pPr>
        <w:numPr>
          <w:ilvl w:val="1"/>
          <w:numId w:val="7"/>
        </w:numPr>
        <w:pBdr>
          <w:top w:val="nil"/>
          <w:left w:val="nil"/>
          <w:bottom w:val="nil"/>
          <w:right w:val="nil"/>
          <w:between w:val="nil"/>
        </w:pBdr>
        <w:spacing w:before="120" w:after="180"/>
      </w:pPr>
      <w:r>
        <w:rPr>
          <w:color w:val="000000"/>
        </w:rPr>
        <w:t xml:space="preserve">Estimated to be reached after 3 to 5 days of treatment in a once daily </w:t>
      </w:r>
      <w:proofErr w:type="gramStart"/>
      <w:r>
        <w:rPr>
          <w:color w:val="000000"/>
        </w:rPr>
        <w:t>regimen</w:t>
      </w:r>
      <w:proofErr w:type="gramEnd"/>
    </w:p>
    <w:p w14:paraId="00000186" w14:textId="77777777" w:rsidR="00171E65" w:rsidRDefault="001F5E2A">
      <w:pPr>
        <w:numPr>
          <w:ilvl w:val="0"/>
          <w:numId w:val="7"/>
        </w:numPr>
        <w:pBdr>
          <w:top w:val="nil"/>
          <w:left w:val="nil"/>
          <w:bottom w:val="nil"/>
          <w:right w:val="nil"/>
          <w:between w:val="nil"/>
        </w:pBdr>
        <w:spacing w:before="120" w:after="180"/>
      </w:pPr>
      <w:r>
        <w:rPr>
          <w:color w:val="000000"/>
        </w:rPr>
        <w:t>Accumulation:</w:t>
      </w:r>
    </w:p>
    <w:p w14:paraId="00000187" w14:textId="77777777" w:rsidR="00171E65" w:rsidRDefault="001F5E2A">
      <w:pPr>
        <w:numPr>
          <w:ilvl w:val="1"/>
          <w:numId w:val="7"/>
        </w:numPr>
        <w:pBdr>
          <w:top w:val="nil"/>
          <w:left w:val="nil"/>
          <w:bottom w:val="nil"/>
          <w:right w:val="nil"/>
          <w:between w:val="nil"/>
        </w:pBdr>
        <w:spacing w:before="120" w:after="180"/>
      </w:pPr>
      <w:r>
        <w:rPr>
          <w:color w:val="000000"/>
        </w:rPr>
        <w:t>Minor accumulation (about 2-fold) at steady state</w:t>
      </w:r>
    </w:p>
    <w:p w14:paraId="00000188" w14:textId="77777777" w:rsidR="00171E65" w:rsidRDefault="001F5E2A">
      <w:pPr>
        <w:numPr>
          <w:ilvl w:val="0"/>
          <w:numId w:val="7"/>
        </w:numPr>
        <w:pBdr>
          <w:top w:val="nil"/>
          <w:left w:val="nil"/>
          <w:bottom w:val="nil"/>
          <w:right w:val="nil"/>
          <w:between w:val="nil"/>
        </w:pBdr>
        <w:spacing w:before="120" w:after="180"/>
      </w:pPr>
      <w:r>
        <w:rPr>
          <w:color w:val="000000"/>
        </w:rPr>
        <w:t>Dose proportionality:</w:t>
      </w:r>
    </w:p>
    <w:p w14:paraId="00000189" w14:textId="77777777" w:rsidR="00171E65" w:rsidRDefault="001F5E2A">
      <w:pPr>
        <w:numPr>
          <w:ilvl w:val="1"/>
          <w:numId w:val="7"/>
        </w:numPr>
        <w:pBdr>
          <w:top w:val="nil"/>
          <w:left w:val="nil"/>
          <w:bottom w:val="nil"/>
          <w:right w:val="nil"/>
          <w:between w:val="nil"/>
        </w:pBdr>
        <w:spacing w:before="120" w:after="180"/>
      </w:pPr>
      <w:r>
        <w:rPr>
          <w:color w:val="000000"/>
        </w:rPr>
        <w:t xml:space="preserve">Dose dependent increases in systemic exposure were observed over the dose range of 200 to 400 mg in patients with </w:t>
      </w:r>
      <w:r>
        <w:rPr>
          <w:i/>
          <w:color w:val="000000"/>
        </w:rPr>
        <w:t>RET</w:t>
      </w:r>
      <w:r>
        <w:rPr>
          <w:color w:val="000000"/>
        </w:rPr>
        <w:t xml:space="preserve">-altered thyroid </w:t>
      </w:r>
      <w:proofErr w:type="gramStart"/>
      <w:r>
        <w:rPr>
          <w:color w:val="000000"/>
        </w:rPr>
        <w:t>cancers</w:t>
      </w:r>
      <w:proofErr w:type="gramEnd"/>
    </w:p>
    <w:p w14:paraId="0000018A" w14:textId="77777777" w:rsidR="00171E65" w:rsidRDefault="001F5E2A">
      <w:pPr>
        <w:numPr>
          <w:ilvl w:val="1"/>
          <w:numId w:val="7"/>
        </w:numPr>
        <w:pBdr>
          <w:top w:val="nil"/>
          <w:left w:val="nil"/>
          <w:bottom w:val="nil"/>
          <w:right w:val="nil"/>
          <w:between w:val="nil"/>
        </w:pBdr>
        <w:spacing w:before="120" w:after="180"/>
      </w:pPr>
      <w:r>
        <w:rPr>
          <w:color w:val="000000"/>
        </w:rPr>
        <w:t>Dose proportionality could only be concluded for the range of 200 to 400 mg after single-dose administration (and not at steady s</w:t>
      </w:r>
      <w:sdt>
        <w:sdtPr>
          <w:tag w:val="goog_rdk_19"/>
          <w:id w:val="-649435987"/>
        </w:sdtPr>
        <w:sdtEndPr/>
        <w:sdtContent>
          <w:r>
            <w:rPr>
              <w:color w:val="000000"/>
            </w:rPr>
            <w:t>t</w:t>
          </w:r>
        </w:sdtContent>
      </w:sdt>
      <w:r>
        <w:rPr>
          <w:color w:val="000000"/>
        </w:rPr>
        <w:t>ate; the numbers of patients treated with doses at least 300 mg once daily were low compared with those treated with 400 mg once daily).</w:t>
      </w:r>
    </w:p>
    <w:p w14:paraId="0000018B" w14:textId="77777777" w:rsidR="00171E65" w:rsidRDefault="001F5E2A">
      <w:pPr>
        <w:numPr>
          <w:ilvl w:val="1"/>
          <w:numId w:val="7"/>
        </w:numPr>
        <w:pBdr>
          <w:top w:val="nil"/>
          <w:left w:val="nil"/>
          <w:bottom w:val="nil"/>
          <w:right w:val="nil"/>
          <w:between w:val="nil"/>
        </w:pBdr>
        <w:spacing w:before="120" w:after="180"/>
      </w:pPr>
      <w:r>
        <w:rPr>
          <w:color w:val="000000"/>
        </w:rPr>
        <w:t xml:space="preserve">In healthy subjects, dose proportionality was concluded between single doses of 200 to 400 mg, further supporting dose </w:t>
      </w:r>
      <w:proofErr w:type="gramStart"/>
      <w:r>
        <w:rPr>
          <w:color w:val="000000"/>
        </w:rPr>
        <w:t>linearity</w:t>
      </w:r>
      <w:proofErr w:type="gramEnd"/>
    </w:p>
    <w:p w14:paraId="0000018C" w14:textId="77777777" w:rsidR="00171E65" w:rsidRDefault="001F5E2A">
      <w:pPr>
        <w:numPr>
          <w:ilvl w:val="0"/>
          <w:numId w:val="7"/>
        </w:numPr>
        <w:pBdr>
          <w:top w:val="nil"/>
          <w:left w:val="nil"/>
          <w:bottom w:val="nil"/>
          <w:right w:val="nil"/>
          <w:between w:val="nil"/>
        </w:pBdr>
        <w:spacing w:before="120" w:after="180"/>
      </w:pPr>
      <w:r>
        <w:rPr>
          <w:color w:val="000000"/>
        </w:rPr>
        <w:lastRenderedPageBreak/>
        <w:t>Inter-individual variability:</w:t>
      </w:r>
    </w:p>
    <w:p w14:paraId="0000018D" w14:textId="77777777" w:rsidR="00171E65" w:rsidRDefault="001F5E2A">
      <w:pPr>
        <w:numPr>
          <w:ilvl w:val="1"/>
          <w:numId w:val="7"/>
        </w:numPr>
        <w:pBdr>
          <w:top w:val="nil"/>
          <w:left w:val="nil"/>
          <w:bottom w:val="nil"/>
          <w:right w:val="nil"/>
          <w:between w:val="nil"/>
        </w:pBdr>
        <w:spacing w:before="120" w:after="180"/>
      </w:pPr>
      <w:r>
        <w:rPr>
          <w:color w:val="000000"/>
        </w:rPr>
        <w:t xml:space="preserve">About 40% to 65% for </w:t>
      </w:r>
      <w:proofErr w:type="spellStart"/>
      <w:r>
        <w:rPr>
          <w:color w:val="000000"/>
        </w:rPr>
        <w:t>C</w:t>
      </w:r>
      <w:r>
        <w:rPr>
          <w:color w:val="000000"/>
          <w:vertAlign w:val="subscript"/>
        </w:rPr>
        <w:t>max</w:t>
      </w:r>
      <w:proofErr w:type="spellEnd"/>
      <w:r>
        <w:rPr>
          <w:color w:val="000000"/>
        </w:rPr>
        <w:t xml:space="preserve"> and AUC parameters</w:t>
      </w:r>
    </w:p>
    <w:p w14:paraId="0000018E" w14:textId="77777777" w:rsidR="00171E65" w:rsidRDefault="001F5E2A">
      <w:pPr>
        <w:numPr>
          <w:ilvl w:val="0"/>
          <w:numId w:val="7"/>
        </w:numPr>
        <w:pBdr>
          <w:top w:val="nil"/>
          <w:left w:val="nil"/>
          <w:bottom w:val="nil"/>
          <w:right w:val="nil"/>
          <w:between w:val="nil"/>
        </w:pBdr>
        <w:spacing w:before="120" w:after="180"/>
      </w:pPr>
      <w:r>
        <w:rPr>
          <w:color w:val="000000"/>
        </w:rPr>
        <w:t>Healthy subjects versus patients:</w:t>
      </w:r>
    </w:p>
    <w:p w14:paraId="0000018F" w14:textId="77777777" w:rsidR="00171E65" w:rsidRDefault="001F5E2A">
      <w:pPr>
        <w:numPr>
          <w:ilvl w:val="1"/>
          <w:numId w:val="7"/>
        </w:numPr>
        <w:pBdr>
          <w:top w:val="nil"/>
          <w:left w:val="nil"/>
          <w:bottom w:val="nil"/>
          <w:right w:val="nil"/>
          <w:between w:val="nil"/>
        </w:pBdr>
        <w:spacing w:before="120" w:after="180"/>
      </w:pPr>
      <w:r>
        <w:rPr>
          <w:color w:val="000000"/>
        </w:rPr>
        <w:t xml:space="preserve">Based on a pooled </w:t>
      </w:r>
      <w:proofErr w:type="spellStart"/>
      <w:r>
        <w:rPr>
          <w:color w:val="000000"/>
        </w:rPr>
        <w:t>popPK</w:t>
      </w:r>
      <w:proofErr w:type="spellEnd"/>
      <w:r>
        <w:rPr>
          <w:color w:val="000000"/>
        </w:rPr>
        <w:t xml:space="preserve"> analysis (data from patients with </w:t>
      </w:r>
      <w:r>
        <w:rPr>
          <w:i/>
          <w:color w:val="000000"/>
        </w:rPr>
        <w:t>RET</w:t>
      </w:r>
      <w:r>
        <w:rPr>
          <w:color w:val="000000"/>
        </w:rPr>
        <w:t xml:space="preserve">-altered thyroid cancers, patients with RET-fusion NSCLC and healthy subjects), disease status has no clinically relevant effect on the PK of </w:t>
      </w:r>
      <w:proofErr w:type="spellStart"/>
      <w:r>
        <w:rPr>
          <w:color w:val="000000"/>
        </w:rPr>
        <w:t>pralsetinib</w:t>
      </w:r>
      <w:proofErr w:type="spellEnd"/>
      <w:r>
        <w:rPr>
          <w:color w:val="000000"/>
        </w:rPr>
        <w:t>.</w:t>
      </w:r>
    </w:p>
    <w:p w14:paraId="00000190" w14:textId="77777777" w:rsidR="00171E65" w:rsidRDefault="001F5E2A">
      <w:pPr>
        <w:pStyle w:val="Heading5"/>
      </w:pPr>
      <w:r>
        <w:t>Effect of Intrinsic Factors</w:t>
      </w:r>
    </w:p>
    <w:p w14:paraId="00000191" w14:textId="77777777" w:rsidR="00171E65" w:rsidRDefault="001F5E2A">
      <w:pPr>
        <w:numPr>
          <w:ilvl w:val="0"/>
          <w:numId w:val="7"/>
        </w:numPr>
        <w:pBdr>
          <w:top w:val="nil"/>
          <w:left w:val="nil"/>
          <w:bottom w:val="nil"/>
          <w:right w:val="nil"/>
          <w:between w:val="nil"/>
        </w:pBdr>
        <w:spacing w:before="120" w:after="180"/>
      </w:pPr>
      <w:r>
        <w:rPr>
          <w:color w:val="000000"/>
        </w:rPr>
        <w:t xml:space="preserve">Age, sex, race, body size descriptors: </w:t>
      </w:r>
    </w:p>
    <w:p w14:paraId="00000192" w14:textId="77777777" w:rsidR="00171E65" w:rsidRDefault="001F5E2A">
      <w:pPr>
        <w:numPr>
          <w:ilvl w:val="1"/>
          <w:numId w:val="7"/>
        </w:numPr>
        <w:pBdr>
          <w:top w:val="nil"/>
          <w:left w:val="nil"/>
          <w:bottom w:val="nil"/>
          <w:right w:val="nil"/>
          <w:between w:val="nil"/>
        </w:pBdr>
        <w:spacing w:before="120" w:after="180"/>
      </w:pPr>
      <w:r>
        <w:rPr>
          <w:color w:val="000000"/>
        </w:rPr>
        <w:t xml:space="preserve">No clinically relevant effect on PK of </w:t>
      </w:r>
      <w:proofErr w:type="spellStart"/>
      <w:r>
        <w:rPr>
          <w:color w:val="000000"/>
        </w:rPr>
        <w:t>pralsetinib</w:t>
      </w:r>
      <w:proofErr w:type="spellEnd"/>
    </w:p>
    <w:p w14:paraId="00000193" w14:textId="77777777" w:rsidR="00171E65" w:rsidRDefault="001F5E2A">
      <w:pPr>
        <w:numPr>
          <w:ilvl w:val="0"/>
          <w:numId w:val="7"/>
        </w:numPr>
        <w:pBdr>
          <w:top w:val="nil"/>
          <w:left w:val="nil"/>
          <w:bottom w:val="nil"/>
          <w:right w:val="nil"/>
          <w:between w:val="nil"/>
        </w:pBdr>
        <w:spacing w:before="120" w:after="180"/>
      </w:pPr>
      <w:r>
        <w:rPr>
          <w:color w:val="000000"/>
        </w:rPr>
        <w:t>Hepatic impairment:</w:t>
      </w:r>
    </w:p>
    <w:p w14:paraId="00000194" w14:textId="77777777" w:rsidR="00171E65" w:rsidRDefault="001F5E2A">
      <w:pPr>
        <w:numPr>
          <w:ilvl w:val="1"/>
          <w:numId w:val="7"/>
        </w:numPr>
        <w:pBdr>
          <w:top w:val="nil"/>
          <w:left w:val="nil"/>
          <w:bottom w:val="nil"/>
          <w:right w:val="nil"/>
          <w:between w:val="nil"/>
        </w:pBdr>
        <w:spacing w:before="120" w:after="180"/>
      </w:pPr>
      <w:r>
        <w:rPr>
          <w:color w:val="000000"/>
        </w:rPr>
        <w:t xml:space="preserve">No relevant difference in CL/F was seen in patients with mild or moderate hepatic impairment compared with patients with normal hepatic </w:t>
      </w:r>
      <w:proofErr w:type="gramStart"/>
      <w:r>
        <w:rPr>
          <w:color w:val="000000"/>
        </w:rPr>
        <w:t>function</w:t>
      </w:r>
      <w:proofErr w:type="gramEnd"/>
    </w:p>
    <w:p w14:paraId="00000195" w14:textId="77777777" w:rsidR="00171E65" w:rsidRDefault="001F5E2A">
      <w:pPr>
        <w:numPr>
          <w:ilvl w:val="0"/>
          <w:numId w:val="7"/>
        </w:numPr>
        <w:pBdr>
          <w:top w:val="nil"/>
          <w:left w:val="nil"/>
          <w:bottom w:val="nil"/>
          <w:right w:val="nil"/>
          <w:between w:val="nil"/>
        </w:pBdr>
        <w:spacing w:before="120" w:after="180"/>
      </w:pPr>
      <w:r>
        <w:rPr>
          <w:color w:val="000000"/>
        </w:rPr>
        <w:t>Renal impairment:</w:t>
      </w:r>
    </w:p>
    <w:p w14:paraId="00000196" w14:textId="77777777" w:rsidR="00171E65" w:rsidRDefault="001F5E2A">
      <w:pPr>
        <w:numPr>
          <w:ilvl w:val="1"/>
          <w:numId w:val="7"/>
        </w:numPr>
        <w:pBdr>
          <w:top w:val="nil"/>
          <w:left w:val="nil"/>
          <w:bottom w:val="nil"/>
          <w:right w:val="nil"/>
          <w:between w:val="nil"/>
        </w:pBdr>
        <w:spacing w:before="120" w:after="180"/>
      </w:pPr>
      <w:r>
        <w:rPr>
          <w:color w:val="000000"/>
        </w:rPr>
        <w:t xml:space="preserve">No relevant difference in CL/F was seen in patients with mild or moderate renal impairment compared with patients with normal renal </w:t>
      </w:r>
      <w:proofErr w:type="gramStart"/>
      <w:r>
        <w:rPr>
          <w:color w:val="000000"/>
        </w:rPr>
        <w:t>function</w:t>
      </w:r>
      <w:proofErr w:type="gramEnd"/>
    </w:p>
    <w:p w14:paraId="00000197" w14:textId="77777777" w:rsidR="00171E65" w:rsidRDefault="001F5E2A">
      <w:pPr>
        <w:pStyle w:val="Heading5"/>
      </w:pPr>
      <w:r>
        <w:t>Effect of Intrinsic Factors</w:t>
      </w:r>
    </w:p>
    <w:p w14:paraId="00000198" w14:textId="77777777" w:rsidR="00171E65" w:rsidRDefault="001F5E2A">
      <w:pPr>
        <w:numPr>
          <w:ilvl w:val="0"/>
          <w:numId w:val="7"/>
        </w:numPr>
        <w:pBdr>
          <w:top w:val="nil"/>
          <w:left w:val="nil"/>
          <w:bottom w:val="nil"/>
          <w:right w:val="nil"/>
          <w:between w:val="nil"/>
        </w:pBdr>
        <w:spacing w:before="120" w:after="180"/>
      </w:pPr>
      <w:r>
        <w:rPr>
          <w:color w:val="000000"/>
        </w:rPr>
        <w:t>Food-drug interactions:</w:t>
      </w:r>
    </w:p>
    <w:p w14:paraId="00000199" w14:textId="77777777" w:rsidR="00171E65" w:rsidRDefault="001F5E2A">
      <w:pPr>
        <w:numPr>
          <w:ilvl w:val="1"/>
          <w:numId w:val="7"/>
        </w:numPr>
        <w:pBdr>
          <w:top w:val="nil"/>
          <w:left w:val="nil"/>
          <w:bottom w:val="nil"/>
          <w:right w:val="nil"/>
          <w:between w:val="nil"/>
        </w:pBdr>
        <w:spacing w:before="120" w:after="180"/>
      </w:pPr>
      <w:r>
        <w:rPr>
          <w:color w:val="000000"/>
        </w:rPr>
        <w:t xml:space="preserve">Food has a significant effect on </w:t>
      </w:r>
      <w:proofErr w:type="spellStart"/>
      <w:r>
        <w:rPr>
          <w:color w:val="000000"/>
        </w:rPr>
        <w:t>pralsetinib</w:t>
      </w:r>
      <w:proofErr w:type="spellEnd"/>
      <w:r>
        <w:rPr>
          <w:color w:val="000000"/>
        </w:rPr>
        <w:t xml:space="preserve"> exposure (greater than 2-fold increase following high fat meal, compared with fasted conditions)</w:t>
      </w:r>
    </w:p>
    <w:p w14:paraId="0000019A" w14:textId="77777777" w:rsidR="00171E65" w:rsidRDefault="001F5E2A">
      <w:pPr>
        <w:numPr>
          <w:ilvl w:val="0"/>
          <w:numId w:val="7"/>
        </w:numPr>
        <w:pBdr>
          <w:top w:val="nil"/>
          <w:left w:val="nil"/>
          <w:bottom w:val="nil"/>
          <w:right w:val="nil"/>
          <w:between w:val="nil"/>
        </w:pBdr>
        <w:spacing w:before="120" w:after="180"/>
      </w:pPr>
      <w:r>
        <w:rPr>
          <w:color w:val="000000"/>
        </w:rPr>
        <w:t xml:space="preserve">Drug </w:t>
      </w:r>
      <w:proofErr w:type="spellStart"/>
      <w:r>
        <w:rPr>
          <w:color w:val="000000"/>
        </w:rPr>
        <w:t>drug</w:t>
      </w:r>
      <w:proofErr w:type="spellEnd"/>
      <w:r>
        <w:rPr>
          <w:color w:val="000000"/>
        </w:rPr>
        <w:t xml:space="preserve"> interaction</w:t>
      </w:r>
    </w:p>
    <w:p w14:paraId="0000019B" w14:textId="77777777" w:rsidR="00171E65" w:rsidRDefault="001F5E2A">
      <w:pPr>
        <w:numPr>
          <w:ilvl w:val="1"/>
          <w:numId w:val="7"/>
        </w:numPr>
        <w:pBdr>
          <w:top w:val="nil"/>
          <w:left w:val="nil"/>
          <w:bottom w:val="nil"/>
          <w:right w:val="nil"/>
          <w:between w:val="nil"/>
        </w:pBdr>
        <w:spacing w:before="120" w:after="180"/>
      </w:pPr>
      <w:r>
        <w:rPr>
          <w:color w:val="000000"/>
        </w:rPr>
        <w:t xml:space="preserve">Concomitant treatment with drugs that are CYP3A inhibitors or inducers </w:t>
      </w:r>
      <w:sdt>
        <w:sdtPr>
          <w:tag w:val="goog_rdk_20"/>
          <w:id w:val="-1842072449"/>
        </w:sdtPr>
        <w:sdtEndPr/>
        <w:sdtContent/>
      </w:sdt>
      <w:r>
        <w:rPr>
          <w:color w:val="000000"/>
        </w:rPr>
        <w:t xml:space="preserve">can increase </w:t>
      </w:r>
      <w:sdt>
        <w:sdtPr>
          <w:tag w:val="goog_rdk_21"/>
          <w:id w:val="1275291535"/>
        </w:sdtPr>
        <w:sdtEndPr/>
        <w:sdtContent>
          <w:r>
            <w:rPr>
              <w:color w:val="000000"/>
            </w:rPr>
            <w:t xml:space="preserve">(with inhibitors) </w:t>
          </w:r>
        </w:sdtContent>
      </w:sdt>
      <w:r>
        <w:rPr>
          <w:color w:val="000000"/>
        </w:rPr>
        <w:t xml:space="preserve">or decrease </w:t>
      </w:r>
      <w:sdt>
        <w:sdtPr>
          <w:tag w:val="goog_rdk_22"/>
          <w:id w:val="1144232264"/>
        </w:sdtPr>
        <w:sdtEndPr/>
        <w:sdtContent>
          <w:r>
            <w:rPr>
              <w:color w:val="000000"/>
            </w:rPr>
            <w:t xml:space="preserve">(with inducers) </w:t>
          </w:r>
        </w:sdtContent>
      </w:sdt>
      <w:r>
        <w:rPr>
          <w:color w:val="000000"/>
        </w:rPr>
        <w:t xml:space="preserve">the exposure to </w:t>
      </w:r>
      <w:proofErr w:type="spellStart"/>
      <w:r>
        <w:rPr>
          <w:color w:val="000000"/>
        </w:rPr>
        <w:t>pralsetinib</w:t>
      </w:r>
      <w:proofErr w:type="spellEnd"/>
      <w:sdt>
        <w:sdtPr>
          <w:tag w:val="goog_rdk_23"/>
          <w:id w:val="1114480884"/>
        </w:sdtPr>
        <w:sdtEndPr/>
        <w:sdtContent>
          <w:r>
            <w:rPr>
              <w:color w:val="000000"/>
            </w:rPr>
            <w:t>,</w:t>
          </w:r>
        </w:sdtContent>
      </w:sdt>
      <w:r>
        <w:rPr>
          <w:color w:val="000000"/>
        </w:rPr>
        <w:t xml:space="preserve"> </w:t>
      </w:r>
      <w:proofErr w:type="gramStart"/>
      <w:r>
        <w:rPr>
          <w:color w:val="000000"/>
        </w:rPr>
        <w:t>respectively</w:t>
      </w:r>
      <w:proofErr w:type="gramEnd"/>
    </w:p>
    <w:p w14:paraId="0000019C" w14:textId="77777777" w:rsidR="00171E65" w:rsidRDefault="001F5E2A">
      <w:pPr>
        <w:numPr>
          <w:ilvl w:val="1"/>
          <w:numId w:val="7"/>
        </w:numPr>
        <w:pBdr>
          <w:top w:val="nil"/>
          <w:left w:val="nil"/>
          <w:bottom w:val="nil"/>
          <w:right w:val="nil"/>
          <w:between w:val="nil"/>
        </w:pBdr>
        <w:spacing w:before="120" w:after="180"/>
      </w:pPr>
      <w:r>
        <w:rPr>
          <w:color w:val="000000"/>
        </w:rPr>
        <w:t xml:space="preserve">Concomitant administration of </w:t>
      </w:r>
      <w:proofErr w:type="spellStart"/>
      <w:r>
        <w:rPr>
          <w:color w:val="000000"/>
        </w:rPr>
        <w:t>pralsetinib</w:t>
      </w:r>
      <w:proofErr w:type="spellEnd"/>
      <w:r>
        <w:rPr>
          <w:color w:val="000000"/>
        </w:rPr>
        <w:t xml:space="preserve"> with itraconazole (strong CYP3A inhibitor) led to a 3.5-fold increase in </w:t>
      </w:r>
      <w:proofErr w:type="spellStart"/>
      <w:r>
        <w:rPr>
          <w:color w:val="000000"/>
        </w:rPr>
        <w:t>pralsetinib</w:t>
      </w:r>
      <w:proofErr w:type="spellEnd"/>
      <w:r>
        <w:rPr>
          <w:color w:val="000000"/>
        </w:rPr>
        <w:t xml:space="preserve"> </w:t>
      </w:r>
      <w:proofErr w:type="gramStart"/>
      <w:r>
        <w:rPr>
          <w:color w:val="000000"/>
        </w:rPr>
        <w:t>AUC</w:t>
      </w:r>
      <w:proofErr w:type="gramEnd"/>
    </w:p>
    <w:p w14:paraId="0000019D" w14:textId="77777777" w:rsidR="00171E65" w:rsidRDefault="001F5E2A">
      <w:pPr>
        <w:numPr>
          <w:ilvl w:val="1"/>
          <w:numId w:val="7"/>
        </w:numPr>
        <w:pBdr>
          <w:top w:val="nil"/>
          <w:left w:val="nil"/>
          <w:bottom w:val="nil"/>
          <w:right w:val="nil"/>
          <w:between w:val="nil"/>
        </w:pBdr>
        <w:spacing w:before="120" w:after="180"/>
      </w:pPr>
      <w:r>
        <w:rPr>
          <w:color w:val="000000"/>
        </w:rPr>
        <w:t xml:space="preserve">Concomitant administration of </w:t>
      </w:r>
      <w:proofErr w:type="spellStart"/>
      <w:r>
        <w:rPr>
          <w:color w:val="000000"/>
        </w:rPr>
        <w:t>pralsetinib</w:t>
      </w:r>
      <w:proofErr w:type="spellEnd"/>
      <w:r>
        <w:rPr>
          <w:color w:val="000000"/>
        </w:rPr>
        <w:t xml:space="preserve"> with </w:t>
      </w:r>
      <w:proofErr w:type="spellStart"/>
      <w:r>
        <w:rPr>
          <w:color w:val="000000"/>
        </w:rPr>
        <w:t>rifampin</w:t>
      </w:r>
      <w:proofErr w:type="spellEnd"/>
      <w:r>
        <w:rPr>
          <w:color w:val="000000"/>
        </w:rPr>
        <w:t xml:space="preserve"> (strong CYP3A inducer) led to a 68% decrease in </w:t>
      </w:r>
      <w:proofErr w:type="spellStart"/>
      <w:r>
        <w:rPr>
          <w:color w:val="000000"/>
        </w:rPr>
        <w:t>pralsetinib</w:t>
      </w:r>
      <w:proofErr w:type="spellEnd"/>
      <w:r>
        <w:rPr>
          <w:color w:val="000000"/>
        </w:rPr>
        <w:t xml:space="preserve"> </w:t>
      </w:r>
      <w:proofErr w:type="gramStart"/>
      <w:r>
        <w:rPr>
          <w:color w:val="000000"/>
        </w:rPr>
        <w:t>AUC</w:t>
      </w:r>
      <w:proofErr w:type="gramEnd"/>
    </w:p>
    <w:p w14:paraId="0000019E" w14:textId="77777777" w:rsidR="00171E65" w:rsidRDefault="001F5E2A">
      <w:pPr>
        <w:numPr>
          <w:ilvl w:val="1"/>
          <w:numId w:val="7"/>
        </w:numPr>
        <w:pBdr>
          <w:top w:val="nil"/>
          <w:left w:val="nil"/>
          <w:bottom w:val="nil"/>
          <w:right w:val="nil"/>
          <w:between w:val="nil"/>
        </w:pBdr>
        <w:spacing w:before="120" w:after="180"/>
      </w:pPr>
      <w:proofErr w:type="spellStart"/>
      <w:r>
        <w:rPr>
          <w:color w:val="000000"/>
        </w:rPr>
        <w:t>popPK</w:t>
      </w:r>
      <w:proofErr w:type="spellEnd"/>
      <w:r>
        <w:rPr>
          <w:color w:val="000000"/>
        </w:rPr>
        <w:t xml:space="preserve"> analysis predicts no relevant effect of weak CYP3A4 inhibitor on </w:t>
      </w:r>
      <w:proofErr w:type="spellStart"/>
      <w:r>
        <w:rPr>
          <w:color w:val="000000"/>
        </w:rPr>
        <w:t>pralsetinib</w:t>
      </w:r>
      <w:proofErr w:type="spellEnd"/>
      <w:r>
        <w:rPr>
          <w:color w:val="000000"/>
        </w:rPr>
        <w:t xml:space="preserve"> AUC; a CYP3A4 weak inducer results in a minor (19%) decrease in </w:t>
      </w:r>
      <w:proofErr w:type="spellStart"/>
      <w:r>
        <w:rPr>
          <w:color w:val="000000"/>
        </w:rPr>
        <w:t>pralsetinib</w:t>
      </w:r>
      <w:proofErr w:type="spellEnd"/>
      <w:r>
        <w:rPr>
          <w:color w:val="000000"/>
        </w:rPr>
        <w:t xml:space="preserve"> </w:t>
      </w:r>
      <w:proofErr w:type="gramStart"/>
      <w:r>
        <w:rPr>
          <w:color w:val="000000"/>
        </w:rPr>
        <w:t>AUC</w:t>
      </w:r>
      <w:proofErr w:type="gramEnd"/>
      <w:r>
        <w:rPr>
          <w:color w:val="000000"/>
        </w:rPr>
        <w:t xml:space="preserve"> </w:t>
      </w:r>
    </w:p>
    <w:p w14:paraId="0000019F" w14:textId="363C717E" w:rsidR="00171E65" w:rsidRDefault="009F791C">
      <w:pPr>
        <w:numPr>
          <w:ilvl w:val="1"/>
          <w:numId w:val="7"/>
        </w:numPr>
        <w:pBdr>
          <w:top w:val="nil"/>
          <w:left w:val="nil"/>
          <w:bottom w:val="nil"/>
          <w:right w:val="nil"/>
          <w:between w:val="nil"/>
        </w:pBdr>
        <w:spacing w:before="120" w:after="180"/>
      </w:pPr>
      <w:sdt>
        <w:sdtPr>
          <w:tag w:val="goog_rdk_24"/>
          <w:id w:val="251552245"/>
        </w:sdtPr>
        <w:sdtEndPr/>
        <w:sdtContent/>
      </w:sdt>
      <w:proofErr w:type="spellStart"/>
      <w:r w:rsidR="001F5E2A">
        <w:rPr>
          <w:color w:val="000000"/>
        </w:rPr>
        <w:t>pralsetinib</w:t>
      </w:r>
      <w:proofErr w:type="spellEnd"/>
      <w:r w:rsidR="001F5E2A">
        <w:rPr>
          <w:color w:val="000000"/>
        </w:rPr>
        <w:t xml:space="preserve"> is a P-</w:t>
      </w:r>
      <w:proofErr w:type="spellStart"/>
      <w:r w:rsidR="001F5E2A">
        <w:rPr>
          <w:color w:val="000000"/>
        </w:rPr>
        <w:t>gp</w:t>
      </w:r>
      <w:proofErr w:type="spellEnd"/>
      <w:r w:rsidR="000121EF">
        <w:t xml:space="preserve"> </w:t>
      </w:r>
      <w:r w:rsidR="001F5E2A">
        <w:rPr>
          <w:color w:val="000000"/>
        </w:rPr>
        <w:t>substrate</w:t>
      </w:r>
      <w:sdt>
        <w:sdtPr>
          <w:rPr>
            <w:i/>
            <w:iCs/>
          </w:rPr>
          <w:tag w:val="goog_rdk_27"/>
          <w:id w:val="-514769136"/>
        </w:sdtPr>
        <w:sdtEndPr/>
        <w:sdtContent>
          <w:r w:rsidR="001F5E2A" w:rsidRPr="000121EF">
            <w:rPr>
              <w:i/>
              <w:iCs/>
              <w:color w:val="000000"/>
            </w:rPr>
            <w:t xml:space="preserve"> in vitro</w:t>
          </w:r>
        </w:sdtContent>
      </w:sdt>
      <w:r w:rsidR="001F5E2A">
        <w:rPr>
          <w:color w:val="000000"/>
        </w:rPr>
        <w:t>; P-</w:t>
      </w:r>
      <w:proofErr w:type="spellStart"/>
      <w:r w:rsidR="001F5E2A">
        <w:rPr>
          <w:color w:val="000000"/>
        </w:rPr>
        <w:t>gp</w:t>
      </w:r>
      <w:proofErr w:type="spellEnd"/>
      <w:r w:rsidR="001F5E2A">
        <w:rPr>
          <w:color w:val="000000"/>
        </w:rPr>
        <w:t xml:space="preserve"> inhibitors may decrease the gastrointestinal secretion of </w:t>
      </w:r>
      <w:proofErr w:type="spellStart"/>
      <w:r w:rsidR="001F5E2A">
        <w:rPr>
          <w:color w:val="000000"/>
        </w:rPr>
        <w:t>pralsetinib</w:t>
      </w:r>
      <w:proofErr w:type="spellEnd"/>
      <w:r w:rsidR="001F5E2A">
        <w:rPr>
          <w:color w:val="000000"/>
        </w:rPr>
        <w:t xml:space="preserve"> and potentially increase the plasma concentration of </w:t>
      </w:r>
      <w:proofErr w:type="spellStart"/>
      <w:proofErr w:type="gramStart"/>
      <w:r w:rsidR="001F5E2A">
        <w:rPr>
          <w:color w:val="000000"/>
        </w:rPr>
        <w:t>pralsetinib</w:t>
      </w:r>
      <w:proofErr w:type="spellEnd"/>
      <w:proofErr w:type="gramEnd"/>
    </w:p>
    <w:p w14:paraId="000001A0" w14:textId="77777777" w:rsidR="00171E65" w:rsidRDefault="001F5E2A">
      <w:pPr>
        <w:numPr>
          <w:ilvl w:val="1"/>
          <w:numId w:val="7"/>
        </w:numPr>
        <w:pBdr>
          <w:top w:val="nil"/>
          <w:left w:val="nil"/>
          <w:bottom w:val="nil"/>
          <w:right w:val="nil"/>
          <w:between w:val="nil"/>
        </w:pBdr>
        <w:spacing w:before="120" w:after="180"/>
      </w:pPr>
      <w:r>
        <w:rPr>
          <w:color w:val="000000"/>
        </w:rPr>
        <w:t xml:space="preserve">the effect of </w:t>
      </w:r>
      <w:proofErr w:type="gramStart"/>
      <w:r>
        <w:rPr>
          <w:color w:val="000000"/>
        </w:rPr>
        <w:t>gastric-acid</w:t>
      </w:r>
      <w:proofErr w:type="gramEnd"/>
      <w:r>
        <w:rPr>
          <w:color w:val="000000"/>
        </w:rPr>
        <w:t xml:space="preserve"> reducing agents on the bioavailability of </w:t>
      </w:r>
      <w:proofErr w:type="spellStart"/>
      <w:r>
        <w:rPr>
          <w:color w:val="000000"/>
        </w:rPr>
        <w:t>pralsetinib</w:t>
      </w:r>
      <w:proofErr w:type="spellEnd"/>
      <w:r>
        <w:rPr>
          <w:color w:val="000000"/>
        </w:rPr>
        <w:t xml:space="preserve"> is not clinically relevant</w:t>
      </w:r>
    </w:p>
    <w:p w14:paraId="000001A1" w14:textId="77777777" w:rsidR="00171E65" w:rsidRDefault="001F5E2A">
      <w:pPr>
        <w:pStyle w:val="Heading5"/>
      </w:pPr>
      <w:r>
        <w:t>Extrapolation from adult to adolescent patients with RET-altered thyroid cancers</w:t>
      </w:r>
    </w:p>
    <w:p w14:paraId="000001A2" w14:textId="77777777" w:rsidR="00171E65" w:rsidRDefault="001F5E2A">
      <w:pPr>
        <w:numPr>
          <w:ilvl w:val="0"/>
          <w:numId w:val="7"/>
        </w:numPr>
        <w:pBdr>
          <w:top w:val="nil"/>
          <w:left w:val="nil"/>
          <w:bottom w:val="nil"/>
          <w:right w:val="nil"/>
          <w:between w:val="nil"/>
        </w:pBdr>
        <w:spacing w:before="120" w:after="180"/>
      </w:pPr>
      <w:r>
        <w:rPr>
          <w:color w:val="000000"/>
        </w:rPr>
        <w:t>PK simulations in adolescents:</w:t>
      </w:r>
    </w:p>
    <w:p w14:paraId="000001A3" w14:textId="77777777" w:rsidR="00171E65" w:rsidRDefault="001F5E2A">
      <w:pPr>
        <w:numPr>
          <w:ilvl w:val="1"/>
          <w:numId w:val="7"/>
        </w:numPr>
        <w:pBdr>
          <w:top w:val="nil"/>
          <w:left w:val="nil"/>
          <w:bottom w:val="nil"/>
          <w:right w:val="nil"/>
          <w:between w:val="nil"/>
        </w:pBdr>
        <w:spacing w:before="120" w:after="180"/>
      </w:pPr>
      <w:r>
        <w:rPr>
          <w:color w:val="000000"/>
        </w:rPr>
        <w:lastRenderedPageBreak/>
        <w:t xml:space="preserve">PK profile of </w:t>
      </w:r>
      <w:proofErr w:type="spellStart"/>
      <w:r>
        <w:rPr>
          <w:color w:val="000000"/>
        </w:rPr>
        <w:t>pralsetinib</w:t>
      </w:r>
      <w:proofErr w:type="spellEnd"/>
      <w:r>
        <w:rPr>
          <w:color w:val="000000"/>
        </w:rPr>
        <w:t xml:space="preserve"> </w:t>
      </w:r>
      <w:proofErr w:type="gramStart"/>
      <w:r>
        <w:rPr>
          <w:color w:val="000000"/>
        </w:rPr>
        <w:t>are</w:t>
      </w:r>
      <w:proofErr w:type="gramEnd"/>
      <w:r>
        <w:rPr>
          <w:color w:val="000000"/>
        </w:rPr>
        <w:t xml:space="preserve"> similar in adult and adolescent patients administered the recommended </w:t>
      </w:r>
      <w:proofErr w:type="spellStart"/>
      <w:r>
        <w:rPr>
          <w:color w:val="000000"/>
        </w:rPr>
        <w:t>pralsetinib</w:t>
      </w:r>
      <w:proofErr w:type="spellEnd"/>
      <w:r>
        <w:rPr>
          <w:color w:val="000000"/>
        </w:rPr>
        <w:t xml:space="preserve"> dose of 400 mg once daily</w:t>
      </w:r>
    </w:p>
    <w:p w14:paraId="000001A4" w14:textId="77777777" w:rsidR="00171E65" w:rsidRDefault="001F5E2A">
      <w:pPr>
        <w:pStyle w:val="Heading5"/>
      </w:pPr>
      <w:r>
        <w:t>Pharmacology</w:t>
      </w:r>
    </w:p>
    <w:p w14:paraId="000001A5" w14:textId="77777777" w:rsidR="00171E65" w:rsidRDefault="001F5E2A">
      <w:pPr>
        <w:numPr>
          <w:ilvl w:val="0"/>
          <w:numId w:val="7"/>
        </w:numPr>
        <w:pBdr>
          <w:top w:val="nil"/>
          <w:left w:val="nil"/>
          <w:bottom w:val="nil"/>
          <w:right w:val="nil"/>
          <w:between w:val="nil"/>
        </w:pBdr>
        <w:spacing w:before="120" w:after="180"/>
      </w:pPr>
      <w:r>
        <w:rPr>
          <w:color w:val="000000"/>
        </w:rPr>
        <w:t xml:space="preserve">Cardiac repolarisation: </w:t>
      </w:r>
    </w:p>
    <w:p w14:paraId="000001A6" w14:textId="77777777" w:rsidR="00171E65" w:rsidRDefault="001F5E2A">
      <w:pPr>
        <w:numPr>
          <w:ilvl w:val="1"/>
          <w:numId w:val="7"/>
        </w:numPr>
        <w:pBdr>
          <w:top w:val="nil"/>
          <w:left w:val="nil"/>
          <w:bottom w:val="nil"/>
          <w:right w:val="nil"/>
          <w:between w:val="nil"/>
        </w:pBdr>
        <w:spacing w:before="120" w:after="180"/>
      </w:pPr>
      <w:r>
        <w:rPr>
          <w:color w:val="000000"/>
        </w:rPr>
        <w:t xml:space="preserve">Treatment with </w:t>
      </w:r>
      <w:proofErr w:type="spellStart"/>
      <w:r>
        <w:rPr>
          <w:color w:val="000000"/>
        </w:rPr>
        <w:t>pralsetinib</w:t>
      </w:r>
      <w:proofErr w:type="spellEnd"/>
      <w:r>
        <w:rPr>
          <w:color w:val="000000"/>
        </w:rPr>
        <w:t xml:space="preserve"> (400 mg once daily) in patients with RET-fusion NSCLC, </w:t>
      </w:r>
      <w:r>
        <w:rPr>
          <w:i/>
          <w:color w:val="000000"/>
        </w:rPr>
        <w:t>RET</w:t>
      </w:r>
      <w:r>
        <w:rPr>
          <w:color w:val="000000"/>
        </w:rPr>
        <w:t xml:space="preserve">-altered thyroid cancer and other </w:t>
      </w:r>
      <w:r>
        <w:rPr>
          <w:i/>
          <w:color w:val="000000"/>
        </w:rPr>
        <w:t>RET</w:t>
      </w:r>
      <w:r>
        <w:rPr>
          <w:color w:val="000000"/>
        </w:rPr>
        <w:t xml:space="preserve">-altered advanced solid tumours was not associated with evidence of QTc prolongation. Mean change from baseline in </w:t>
      </w:r>
      <w:proofErr w:type="spellStart"/>
      <w:r>
        <w:rPr>
          <w:color w:val="000000"/>
        </w:rPr>
        <w:t>QTcF</w:t>
      </w:r>
      <w:proofErr w:type="spellEnd"/>
      <w:r>
        <w:rPr>
          <w:color w:val="000000"/>
        </w:rPr>
        <w:t xml:space="preserve"> was -0.9ms at the observed mean </w:t>
      </w:r>
      <w:proofErr w:type="spellStart"/>
      <w:r>
        <w:rPr>
          <w:color w:val="000000"/>
        </w:rPr>
        <w:t>C</w:t>
      </w:r>
      <w:r>
        <w:rPr>
          <w:color w:val="000000"/>
          <w:vertAlign w:val="subscript"/>
        </w:rPr>
        <w:t>max</w:t>
      </w:r>
      <w:proofErr w:type="spellEnd"/>
      <w:r>
        <w:rPr>
          <w:color w:val="000000"/>
        </w:rPr>
        <w:t xml:space="preserve"> for </w:t>
      </w:r>
      <w:proofErr w:type="spellStart"/>
      <w:r>
        <w:rPr>
          <w:color w:val="000000"/>
        </w:rPr>
        <w:t>pralsetinib</w:t>
      </w:r>
      <w:proofErr w:type="spellEnd"/>
      <w:r>
        <w:rPr>
          <w:color w:val="000000"/>
        </w:rPr>
        <w:t>; no effect on HR, PR interval or QRS duration was observed.</w:t>
      </w:r>
    </w:p>
    <w:p w14:paraId="000001A7" w14:textId="77777777" w:rsidR="00171E65" w:rsidRDefault="001F5E2A">
      <w:pPr>
        <w:pStyle w:val="Heading5"/>
      </w:pPr>
      <w:r>
        <w:t>Exposure-response analyses</w:t>
      </w:r>
    </w:p>
    <w:p w14:paraId="000001A8" w14:textId="77777777" w:rsidR="00171E65" w:rsidRDefault="001F5E2A">
      <w:pPr>
        <w:numPr>
          <w:ilvl w:val="0"/>
          <w:numId w:val="7"/>
        </w:numPr>
        <w:pBdr>
          <w:top w:val="nil"/>
          <w:left w:val="nil"/>
          <w:bottom w:val="nil"/>
          <w:right w:val="nil"/>
          <w:between w:val="nil"/>
        </w:pBdr>
        <w:spacing w:before="120" w:after="180"/>
      </w:pPr>
      <w:r>
        <w:rPr>
          <w:color w:val="000000"/>
        </w:rPr>
        <w:t>Efficacy endpoints</w:t>
      </w:r>
    </w:p>
    <w:p w14:paraId="000001A9" w14:textId="77777777" w:rsidR="00171E65" w:rsidRDefault="001F5E2A">
      <w:pPr>
        <w:numPr>
          <w:ilvl w:val="1"/>
          <w:numId w:val="7"/>
        </w:numPr>
        <w:pBdr>
          <w:top w:val="nil"/>
          <w:left w:val="nil"/>
          <w:bottom w:val="nil"/>
          <w:right w:val="nil"/>
          <w:between w:val="nil"/>
        </w:pBdr>
        <w:spacing w:before="120" w:after="180"/>
      </w:pPr>
      <w:r>
        <w:rPr>
          <w:color w:val="000000"/>
        </w:rPr>
        <w:t xml:space="preserve">In patients with </w:t>
      </w:r>
      <w:r>
        <w:rPr>
          <w:i/>
          <w:color w:val="000000"/>
        </w:rPr>
        <w:t>RET</w:t>
      </w:r>
      <w:r>
        <w:rPr>
          <w:color w:val="000000"/>
        </w:rPr>
        <w:t xml:space="preserve">-altered thyroid cancers, clear relationships were observed between increasing </w:t>
      </w:r>
      <w:proofErr w:type="spellStart"/>
      <w:r>
        <w:rPr>
          <w:color w:val="000000"/>
        </w:rPr>
        <w:t>pralsetinib</w:t>
      </w:r>
      <w:proofErr w:type="spellEnd"/>
      <w:r>
        <w:rPr>
          <w:color w:val="000000"/>
        </w:rPr>
        <w:t xml:space="preserve"> exposure (average concentration) and/or higher starting dose (400 mg once daily versus less than or equal to 300 mg once daily) and longer progression free survival (PFS), DOR, disease control rate (DCR), and clinical benefit rate (CBR).</w:t>
      </w:r>
    </w:p>
    <w:p w14:paraId="000001AA" w14:textId="77777777" w:rsidR="00171E65" w:rsidRDefault="001F5E2A">
      <w:pPr>
        <w:numPr>
          <w:ilvl w:val="0"/>
          <w:numId w:val="7"/>
        </w:numPr>
        <w:pBdr>
          <w:top w:val="nil"/>
          <w:left w:val="nil"/>
          <w:bottom w:val="nil"/>
          <w:right w:val="nil"/>
          <w:between w:val="nil"/>
        </w:pBdr>
        <w:spacing w:before="120" w:after="180"/>
      </w:pPr>
      <w:r>
        <w:rPr>
          <w:color w:val="000000"/>
        </w:rPr>
        <w:t>Safety endpoints</w:t>
      </w:r>
    </w:p>
    <w:p w14:paraId="000001AB" w14:textId="77777777" w:rsidR="00171E65" w:rsidRDefault="001F5E2A">
      <w:pPr>
        <w:numPr>
          <w:ilvl w:val="1"/>
          <w:numId w:val="7"/>
        </w:numPr>
        <w:pBdr>
          <w:top w:val="nil"/>
          <w:left w:val="nil"/>
          <w:bottom w:val="nil"/>
          <w:right w:val="nil"/>
          <w:between w:val="nil"/>
        </w:pBdr>
        <w:spacing w:before="120" w:after="180"/>
      </w:pPr>
      <w:r>
        <w:rPr>
          <w:color w:val="000000"/>
        </w:rPr>
        <w:t xml:space="preserve">In patients with </w:t>
      </w:r>
      <w:r>
        <w:rPr>
          <w:i/>
          <w:color w:val="000000"/>
        </w:rPr>
        <w:t>RET</w:t>
      </w:r>
      <w:r>
        <w:rPr>
          <w:color w:val="000000"/>
        </w:rPr>
        <w:t xml:space="preserve">-altered thyroid cancers, increasing </w:t>
      </w:r>
      <w:proofErr w:type="spellStart"/>
      <w:r>
        <w:rPr>
          <w:color w:val="000000"/>
        </w:rPr>
        <w:t>pralsetinib</w:t>
      </w:r>
      <w:proofErr w:type="spellEnd"/>
      <w:r>
        <w:rPr>
          <w:color w:val="000000"/>
        </w:rPr>
        <w:t xml:space="preserve"> exposure (average concentration) caused an increased risk of any Grade ≥ 3 AE, Grade &gt; 3 pneumonia and anaemia, and to a lesser extent Grade &gt; 3 </w:t>
      </w:r>
      <w:proofErr w:type="gramStart"/>
      <w:r>
        <w:rPr>
          <w:color w:val="000000"/>
        </w:rPr>
        <w:t>lymphopenia</w:t>
      </w:r>
      <w:proofErr w:type="gramEnd"/>
    </w:p>
    <w:p w14:paraId="000001AC" w14:textId="77777777" w:rsidR="00171E65" w:rsidRDefault="001F5E2A">
      <w:pPr>
        <w:numPr>
          <w:ilvl w:val="1"/>
          <w:numId w:val="7"/>
        </w:numPr>
        <w:pBdr>
          <w:top w:val="nil"/>
          <w:left w:val="nil"/>
          <w:bottom w:val="nil"/>
          <w:right w:val="nil"/>
          <w:between w:val="nil"/>
        </w:pBdr>
        <w:spacing w:before="120" w:after="180"/>
      </w:pPr>
      <w:r>
        <w:rPr>
          <w:color w:val="000000"/>
        </w:rPr>
        <w:t xml:space="preserve">The E-R findings for safety in patients with </w:t>
      </w:r>
      <w:r>
        <w:rPr>
          <w:i/>
          <w:color w:val="000000"/>
        </w:rPr>
        <w:t>RET</w:t>
      </w:r>
      <w:r>
        <w:rPr>
          <w:color w:val="000000"/>
        </w:rPr>
        <w:t xml:space="preserve">-altered thyroid cancers were </w:t>
      </w:r>
      <w:proofErr w:type="gramStart"/>
      <w:r>
        <w:rPr>
          <w:color w:val="000000"/>
        </w:rPr>
        <w:t>similar to</w:t>
      </w:r>
      <w:proofErr w:type="gramEnd"/>
      <w:r>
        <w:rPr>
          <w:color w:val="000000"/>
        </w:rPr>
        <w:t xml:space="preserve"> the findings from corresponding analyses conducted in patients with NSCLC.</w:t>
      </w:r>
    </w:p>
    <w:p w14:paraId="000001AD" w14:textId="77777777" w:rsidR="00171E65" w:rsidRDefault="001F5E2A">
      <w:r>
        <w:t>The following is noted from the clinical pharmacology evaluation:</w:t>
      </w:r>
    </w:p>
    <w:p w14:paraId="000001AE"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PopPK</w:t>
      </w:r>
      <w:proofErr w:type="spellEnd"/>
      <w:r>
        <w:rPr>
          <w:color w:val="000000"/>
        </w:rPr>
        <w:t xml:space="preserve"> analysis assessed the effect of mild (n = 42) and moderate (n = 2) hepatic impairment on the PK of </w:t>
      </w:r>
      <w:proofErr w:type="spellStart"/>
      <w:r>
        <w:rPr>
          <w:color w:val="000000"/>
        </w:rPr>
        <w:t>pralsetinib</w:t>
      </w:r>
      <w:proofErr w:type="spellEnd"/>
      <w:r>
        <w:rPr>
          <w:color w:val="000000"/>
        </w:rPr>
        <w:t xml:space="preserve">. Mild hepatic impairment does not have a clinically meaningful effect on the PK of </w:t>
      </w:r>
      <w:proofErr w:type="spellStart"/>
      <w:r>
        <w:rPr>
          <w:color w:val="000000"/>
        </w:rPr>
        <w:t>pralsetinib</w:t>
      </w:r>
      <w:proofErr w:type="spellEnd"/>
      <w:r>
        <w:rPr>
          <w:color w:val="000000"/>
        </w:rPr>
        <w:t xml:space="preserve"> and no dose adjustment is needed in patients with mild hepatic </w:t>
      </w:r>
      <w:proofErr w:type="gramStart"/>
      <w:r>
        <w:rPr>
          <w:color w:val="000000"/>
        </w:rPr>
        <w:t>impairment</w:t>
      </w:r>
      <w:proofErr w:type="gramEnd"/>
    </w:p>
    <w:p w14:paraId="000001AF" w14:textId="77777777" w:rsidR="00171E65" w:rsidRDefault="001F5E2A">
      <w:pPr>
        <w:numPr>
          <w:ilvl w:val="0"/>
          <w:numId w:val="7"/>
        </w:numPr>
        <w:pBdr>
          <w:top w:val="nil"/>
          <w:left w:val="nil"/>
          <w:bottom w:val="nil"/>
          <w:right w:val="nil"/>
          <w:between w:val="nil"/>
        </w:pBdr>
        <w:spacing w:before="120" w:after="180"/>
      </w:pPr>
      <w:r>
        <w:rPr>
          <w:color w:val="000000"/>
        </w:rPr>
        <w:t xml:space="preserve">A dedicated hepatic impairment study in subjects with moderate and severe hepatic impairment is requested as a condition of registration for this </w:t>
      </w:r>
      <w:proofErr w:type="gramStart"/>
      <w:r>
        <w:rPr>
          <w:color w:val="000000"/>
        </w:rPr>
        <w:t>submission</w:t>
      </w:r>
      <w:proofErr w:type="gramEnd"/>
    </w:p>
    <w:p w14:paraId="000001B0" w14:textId="77777777" w:rsidR="00171E65" w:rsidRDefault="001F5E2A">
      <w:pPr>
        <w:numPr>
          <w:ilvl w:val="0"/>
          <w:numId w:val="7"/>
        </w:numPr>
        <w:pBdr>
          <w:top w:val="nil"/>
          <w:left w:val="nil"/>
          <w:bottom w:val="nil"/>
          <w:right w:val="nil"/>
          <w:between w:val="nil"/>
        </w:pBdr>
        <w:spacing w:before="120" w:after="180"/>
      </w:pPr>
      <w:r>
        <w:rPr>
          <w:color w:val="000000"/>
        </w:rPr>
        <w:t xml:space="preserve">Concomitant treatment with a strong CYP3A inducer should be avoided, and if not, the </w:t>
      </w:r>
      <w:proofErr w:type="spellStart"/>
      <w:r>
        <w:rPr>
          <w:color w:val="000000"/>
        </w:rPr>
        <w:t>pralsetinib</w:t>
      </w:r>
      <w:proofErr w:type="spellEnd"/>
      <w:r>
        <w:rPr>
          <w:color w:val="000000"/>
        </w:rPr>
        <w:t xml:space="preserve"> dose should be increased to double the current dose starting on Day 7 of </w:t>
      </w:r>
      <w:proofErr w:type="gramStart"/>
      <w:r>
        <w:rPr>
          <w:color w:val="000000"/>
        </w:rPr>
        <w:t>coadministration</w:t>
      </w:r>
      <w:proofErr w:type="gramEnd"/>
    </w:p>
    <w:p w14:paraId="000001B1" w14:textId="77777777" w:rsidR="00171E65" w:rsidRDefault="001F5E2A">
      <w:pPr>
        <w:numPr>
          <w:ilvl w:val="0"/>
          <w:numId w:val="7"/>
        </w:numPr>
        <w:pBdr>
          <w:top w:val="nil"/>
          <w:left w:val="nil"/>
          <w:bottom w:val="nil"/>
          <w:right w:val="nil"/>
          <w:between w:val="nil"/>
        </w:pBdr>
        <w:spacing w:before="120" w:after="180"/>
      </w:pPr>
      <w:proofErr w:type="gramStart"/>
      <w:r>
        <w:rPr>
          <w:color w:val="000000"/>
        </w:rPr>
        <w:t>A number of</w:t>
      </w:r>
      <w:proofErr w:type="gramEnd"/>
      <w:r>
        <w:rPr>
          <w:color w:val="000000"/>
        </w:rPr>
        <w:t xml:space="preserve"> pharmacology studies are outstanding and will need to be conducted as conditions of registration (as aligned with FDA post-marketing requirements, see below).</w:t>
      </w:r>
    </w:p>
    <w:p w14:paraId="000001B2" w14:textId="77777777" w:rsidR="00171E65" w:rsidRDefault="001F5E2A">
      <w:pPr>
        <w:pStyle w:val="Heading5"/>
      </w:pPr>
      <w:r>
        <w:t>Recommendations &amp; outstanding issues:</w:t>
      </w:r>
    </w:p>
    <w:p w14:paraId="000001B3" w14:textId="77777777" w:rsidR="00171E65" w:rsidRDefault="001F5E2A">
      <w:proofErr w:type="gramStart"/>
      <w:r>
        <w:t>Overall</w:t>
      </w:r>
      <w:proofErr w:type="gramEnd"/>
      <w:r>
        <w:t xml:space="preserve"> no major concerns were identified in the clinical pharmacology evaluation that would preclude authorisation. </w:t>
      </w:r>
      <w:proofErr w:type="spellStart"/>
      <w:r>
        <w:t>Pralsetinib</w:t>
      </w:r>
      <w:proofErr w:type="spellEnd"/>
      <w:r>
        <w:t xml:space="preserve"> is considered approvable from a clinical pharmacology perspective, providing studies listed below are conducted as part of post-marketing requirements.</w:t>
      </w:r>
    </w:p>
    <w:p w14:paraId="000001B4" w14:textId="77777777" w:rsidR="00171E65" w:rsidRDefault="001F5E2A">
      <w:r>
        <w:lastRenderedPageBreak/>
        <w:t xml:space="preserve">There are several conditions of registration proposed as outlined </w:t>
      </w:r>
      <w:proofErr w:type="gramStart"/>
      <w:r>
        <w:t>below;</w:t>
      </w:r>
      <w:proofErr w:type="gramEnd"/>
      <w:r>
        <w:rPr>
          <w:vertAlign w:val="superscript"/>
        </w:rPr>
        <w:footnoteReference w:id="4"/>
      </w:r>
    </w:p>
    <w:p w14:paraId="000001B5"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hepatic impairment clinical trial to evaluate the pharmacokinetics and safety of </w:t>
      </w:r>
      <w:proofErr w:type="spellStart"/>
      <w:r>
        <w:rPr>
          <w:color w:val="000000"/>
        </w:rPr>
        <w:t>pralsetinib</w:t>
      </w:r>
      <w:proofErr w:type="spellEnd"/>
      <w:r>
        <w:rPr>
          <w:color w:val="000000"/>
        </w:rPr>
        <w:t xml:space="preserve"> in subjects with moderate and severe hepatic impairment compared to subjects with normal hepatic function. Design and conduct the trial in accordance with FDA guidance, and submit the datasets with the final report.</w:t>
      </w:r>
    </w:p>
    <w:p w14:paraId="000001B6" w14:textId="44BC1BD9" w:rsidR="00171E65" w:rsidRDefault="001F5E2A">
      <w:pPr>
        <w:numPr>
          <w:ilvl w:val="0"/>
          <w:numId w:val="3"/>
        </w:numPr>
        <w:pBdr>
          <w:top w:val="nil"/>
          <w:left w:val="nil"/>
          <w:bottom w:val="nil"/>
          <w:right w:val="nil"/>
          <w:between w:val="nil"/>
        </w:pBdr>
        <w:spacing w:before="120" w:after="180"/>
      </w:pPr>
      <w:r>
        <w:rPr>
          <w:color w:val="000000"/>
        </w:rPr>
        <w:t xml:space="preserve">Conduct a clinical drug-drug interaction study to evaluate the effect of </w:t>
      </w:r>
      <w:sdt>
        <w:sdtPr>
          <w:tag w:val="goog_rdk_30"/>
          <w:id w:val="648935677"/>
        </w:sdtPr>
        <w:sdtEndPr/>
        <w:sdtContent/>
      </w:sdt>
      <w:proofErr w:type="spellStart"/>
      <w:r>
        <w:rPr>
          <w:color w:val="000000"/>
        </w:rPr>
        <w:t>of</w:t>
      </w:r>
      <w:proofErr w:type="spellEnd"/>
      <w:r>
        <w:rPr>
          <w:color w:val="000000"/>
        </w:rPr>
        <w:t xml:space="preserve"> a P-</w:t>
      </w:r>
      <w:proofErr w:type="spellStart"/>
      <w:r>
        <w:rPr>
          <w:color w:val="000000"/>
        </w:rPr>
        <w:t>gp</w:t>
      </w:r>
      <w:proofErr w:type="spellEnd"/>
      <w:r>
        <w:rPr>
          <w:color w:val="000000"/>
        </w:rPr>
        <w:t xml:space="preserve"> inhibitor on the pharmacokinetics of </w:t>
      </w:r>
      <w:proofErr w:type="spellStart"/>
      <w:r>
        <w:rPr>
          <w:color w:val="000000"/>
        </w:rPr>
        <w:t>pralsetinib</w:t>
      </w:r>
      <w:proofErr w:type="spellEnd"/>
      <w:r>
        <w:rPr>
          <w:color w:val="000000"/>
        </w:rPr>
        <w:t xml:space="preserve"> and to inform appropriate dosing strategies for safe co-administration of </w:t>
      </w:r>
      <w:proofErr w:type="spellStart"/>
      <w:r>
        <w:rPr>
          <w:color w:val="000000"/>
        </w:rPr>
        <w:t>pralsetinib</w:t>
      </w:r>
      <w:proofErr w:type="spellEnd"/>
      <w:r>
        <w:rPr>
          <w:color w:val="000000"/>
        </w:rPr>
        <w:t xml:space="preserve"> with P-</w:t>
      </w:r>
      <w:proofErr w:type="spellStart"/>
      <w:r>
        <w:rPr>
          <w:color w:val="000000"/>
        </w:rPr>
        <w:t>gp</w:t>
      </w:r>
      <w:proofErr w:type="spellEnd"/>
      <w:r>
        <w:rPr>
          <w:color w:val="000000"/>
        </w:rPr>
        <w:t xml:space="preserve"> inhibitors. Design and conduct the trial in accordance with FDA guidance, and submit the datasets with the final report.</w:t>
      </w:r>
    </w:p>
    <w:p w14:paraId="000001B7"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 xml:space="preserve">/simulation study to evaluate the effect of repeat doses of a moderate CYP3A inhibitor on the pharmacokinetics of </w:t>
      </w:r>
      <w:proofErr w:type="spellStart"/>
      <w:r>
        <w:rPr>
          <w:color w:val="000000"/>
        </w:rPr>
        <w:t>pralsetinib</w:t>
      </w:r>
      <w:proofErr w:type="spellEnd"/>
      <w:r>
        <w:rPr>
          <w:color w:val="000000"/>
        </w:rPr>
        <w:t xml:space="preserve">, assess the magnitude of increased </w:t>
      </w:r>
      <w:proofErr w:type="spellStart"/>
      <w:r>
        <w:rPr>
          <w:color w:val="000000"/>
        </w:rPr>
        <w:t>pralsetinib</w:t>
      </w:r>
      <w:proofErr w:type="spellEnd"/>
      <w:r>
        <w:rPr>
          <w:color w:val="000000"/>
        </w:rPr>
        <w:t xml:space="preserve"> exposure, and inform appropriate dosing strategies for safe co-administration of </w:t>
      </w:r>
      <w:proofErr w:type="spellStart"/>
      <w:r>
        <w:rPr>
          <w:color w:val="000000"/>
        </w:rPr>
        <w:t>pralsetinib</w:t>
      </w:r>
      <w:proofErr w:type="spellEnd"/>
      <w:r>
        <w:rPr>
          <w:color w:val="000000"/>
        </w:rPr>
        <w:t xml:space="preserve"> with moderate CYP3A inhibitors. Design and conduct the trial in accordance with FDA guidance, and submit the model with the final report.</w:t>
      </w:r>
    </w:p>
    <w:p w14:paraId="000001B8"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/simulation study to evaluate the effect of repeat doses of a combined P-</w:t>
      </w:r>
      <w:proofErr w:type="spellStart"/>
      <w:r>
        <w:rPr>
          <w:color w:val="000000"/>
        </w:rPr>
        <w:t>gp</w:t>
      </w:r>
      <w:proofErr w:type="spellEnd"/>
      <w:r>
        <w:rPr>
          <w:color w:val="000000"/>
        </w:rPr>
        <w:t xml:space="preserve"> and moderate CYP3A inhibitor on the pharmacokinetics of </w:t>
      </w:r>
      <w:proofErr w:type="spellStart"/>
      <w:r>
        <w:rPr>
          <w:color w:val="000000"/>
        </w:rPr>
        <w:t>pralsetinib</w:t>
      </w:r>
      <w:proofErr w:type="spellEnd"/>
      <w:r>
        <w:rPr>
          <w:color w:val="000000"/>
        </w:rPr>
        <w:t xml:space="preserve">, assess the magnitude of increased </w:t>
      </w:r>
      <w:proofErr w:type="spellStart"/>
      <w:r>
        <w:rPr>
          <w:color w:val="000000"/>
        </w:rPr>
        <w:t>pralsetinib</w:t>
      </w:r>
      <w:proofErr w:type="spellEnd"/>
      <w:r>
        <w:rPr>
          <w:color w:val="000000"/>
        </w:rPr>
        <w:t xml:space="preserve"> exposure, and inform appropriate dosing strategies for safe co-administration of </w:t>
      </w:r>
      <w:proofErr w:type="spellStart"/>
      <w:r>
        <w:rPr>
          <w:color w:val="000000"/>
        </w:rPr>
        <w:t>pralsetinib</w:t>
      </w:r>
      <w:proofErr w:type="spellEnd"/>
      <w:r>
        <w:rPr>
          <w:color w:val="000000"/>
        </w:rPr>
        <w:t xml:space="preserve"> with combined P-</w:t>
      </w:r>
      <w:proofErr w:type="spellStart"/>
      <w:r>
        <w:rPr>
          <w:color w:val="000000"/>
        </w:rPr>
        <w:t>gp</w:t>
      </w:r>
      <w:proofErr w:type="spellEnd"/>
      <w:r>
        <w:rPr>
          <w:color w:val="000000"/>
        </w:rPr>
        <w:t xml:space="preserve"> and moderate CYP3A inhibitors. Design and conduct the trial in accordance with FDA guidance, and submit the model with the final report.</w:t>
      </w:r>
    </w:p>
    <w:p w14:paraId="000001B9"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clinical drug interaction study to evaluate the effect of repeat doses of </w:t>
      </w:r>
      <w:proofErr w:type="spellStart"/>
      <w:r>
        <w:rPr>
          <w:color w:val="000000"/>
        </w:rPr>
        <w:t>pralsetinib</w:t>
      </w:r>
      <w:proofErr w:type="spellEnd"/>
      <w:r>
        <w:rPr>
          <w:color w:val="000000"/>
        </w:rPr>
        <w:t xml:space="preserve"> on the pharmacokinetics of transporter substrates of P-</w:t>
      </w:r>
      <w:proofErr w:type="spellStart"/>
      <w:r>
        <w:rPr>
          <w:color w:val="000000"/>
        </w:rPr>
        <w:t>gp</w:t>
      </w:r>
      <w:proofErr w:type="spellEnd"/>
      <w:r>
        <w:rPr>
          <w:color w:val="000000"/>
        </w:rPr>
        <w:t xml:space="preserve">, BCRP, OATP1B1, OATP1B3, MATE-1 and MATE-2K, assess the magnitude of exposure change, and inform appropriate dosing strategies for co-administration of </w:t>
      </w:r>
      <w:proofErr w:type="spellStart"/>
      <w:r>
        <w:rPr>
          <w:color w:val="000000"/>
        </w:rPr>
        <w:t>pralsetinib</w:t>
      </w:r>
      <w:proofErr w:type="spellEnd"/>
      <w:r>
        <w:rPr>
          <w:color w:val="000000"/>
        </w:rPr>
        <w:t xml:space="preserve"> with these transporter substrates. Design and conduct the trial in accordance with FDA guidance, and submit the datasets with the final report.</w:t>
      </w:r>
    </w:p>
    <w:p w14:paraId="000001BA"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clinical drug interaction study to evaluate the effect of repeat doses of </w:t>
      </w:r>
      <w:proofErr w:type="spellStart"/>
      <w:r>
        <w:rPr>
          <w:color w:val="000000"/>
        </w:rPr>
        <w:t>pralsetinib</w:t>
      </w:r>
      <w:proofErr w:type="spellEnd"/>
      <w:r>
        <w:rPr>
          <w:color w:val="000000"/>
        </w:rPr>
        <w:t xml:space="preserve"> on the pharmacokinetics of sensitive substrates of CYP3A4/5, CYP2C8, and CYP2C9, assess the magnitude of exposure change, and inform appropriate dosing strategies for safe co-administration of </w:t>
      </w:r>
      <w:proofErr w:type="spellStart"/>
      <w:r>
        <w:rPr>
          <w:color w:val="000000"/>
        </w:rPr>
        <w:t>pralsetinib</w:t>
      </w:r>
      <w:proofErr w:type="spellEnd"/>
      <w:r>
        <w:rPr>
          <w:color w:val="000000"/>
        </w:rPr>
        <w:t xml:space="preserve"> with sensitive substrates of CYP3A4/5, CYP2C8 and CYP2C9. Design and conduct the trial in accordance with FDA guidance, and submit the datasets with the final report.</w:t>
      </w:r>
    </w:p>
    <w:p w14:paraId="000001BB" w14:textId="77777777" w:rsidR="00171E65" w:rsidRDefault="001F5E2A">
      <w:pPr>
        <w:numPr>
          <w:ilvl w:val="0"/>
          <w:numId w:val="3"/>
        </w:numPr>
        <w:pBdr>
          <w:top w:val="nil"/>
          <w:left w:val="nil"/>
          <w:bottom w:val="nil"/>
          <w:right w:val="nil"/>
          <w:between w:val="nil"/>
        </w:pBdr>
        <w:spacing w:before="120" w:after="180"/>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 xml:space="preserve">/simulation study to evaluate the effect of repeat doses of a moderate CYP3A inducer on the pharmacokinetics of </w:t>
      </w:r>
      <w:proofErr w:type="spellStart"/>
      <w:r>
        <w:rPr>
          <w:color w:val="000000"/>
        </w:rPr>
        <w:t>pralsetinib</w:t>
      </w:r>
      <w:proofErr w:type="spellEnd"/>
      <w:r>
        <w:rPr>
          <w:color w:val="000000"/>
        </w:rPr>
        <w:t xml:space="preserve">, assess the magnitude of decreased </w:t>
      </w:r>
      <w:proofErr w:type="spellStart"/>
      <w:r>
        <w:rPr>
          <w:color w:val="000000"/>
        </w:rPr>
        <w:t>pralsetinib</w:t>
      </w:r>
      <w:proofErr w:type="spellEnd"/>
      <w:r>
        <w:rPr>
          <w:color w:val="000000"/>
        </w:rPr>
        <w:t xml:space="preserve"> exposure, and inform appropriate dosing strategies for co-administration of </w:t>
      </w:r>
      <w:proofErr w:type="spellStart"/>
      <w:r>
        <w:rPr>
          <w:color w:val="000000"/>
        </w:rPr>
        <w:t>pralsetinib</w:t>
      </w:r>
      <w:proofErr w:type="spellEnd"/>
      <w:r>
        <w:rPr>
          <w:color w:val="000000"/>
        </w:rPr>
        <w:t xml:space="preserve"> with moderate CYP3A inducers. Design and conduct the trial in accordance with FDA guidance, and submit the model with the final report.</w:t>
      </w:r>
    </w:p>
    <w:p w14:paraId="000001BC" w14:textId="77777777" w:rsidR="00171E65" w:rsidRDefault="001F5E2A">
      <w:pPr>
        <w:pStyle w:val="Heading4"/>
      </w:pPr>
      <w:bookmarkStart w:id="25" w:name="_Toc149213455"/>
      <w:r>
        <w:t>Efficacy</w:t>
      </w:r>
      <w:bookmarkEnd w:id="25"/>
    </w:p>
    <w:p w14:paraId="000001BD" w14:textId="77777777" w:rsidR="00171E65" w:rsidRDefault="001F5E2A">
      <w:r>
        <w:t xml:space="preserve">The primary clinical study to support the evaluation of efficacy and safety for the proposed indication is Study BLU-667-1101 (ARROW trial). The submission contains a clinical study </w:t>
      </w:r>
      <w:r>
        <w:lastRenderedPageBreak/>
        <w:t xml:space="preserve">report (CSR) with data cut-off date of 13 February 2020, and a 90-day safety and efficacy update for the ARROW trial (data cut-off date 22 May 2020) which forms the basis of the evaluation in this submission as this provided longer follow up for the population of patients who responded to </w:t>
      </w:r>
      <w:proofErr w:type="spellStart"/>
      <w:r>
        <w:t>pralsetinib</w:t>
      </w:r>
      <w:proofErr w:type="spellEnd"/>
      <w:r>
        <w:t xml:space="preserve">. The 90-day efficacy update contained analyses of the efficacy population of patients with </w:t>
      </w:r>
      <w:r>
        <w:rPr>
          <w:i/>
        </w:rPr>
        <w:t>RET-</w:t>
      </w:r>
      <w:r>
        <w:t xml:space="preserve">mutant MTC with measurable disease (84 patients treated at 400mg once daily) and patients with </w:t>
      </w:r>
      <w:r>
        <w:rPr>
          <w:i/>
        </w:rPr>
        <w:t>RET</w:t>
      </w:r>
      <w:r>
        <w:t>-fusion thyroid cancer with measurable disease (9 patients treated at 400 mg once daily).</w:t>
      </w:r>
    </w:p>
    <w:p w14:paraId="000001BE" w14:textId="77777777" w:rsidR="00171E65" w:rsidRDefault="001F5E2A">
      <w:pPr>
        <w:pStyle w:val="Heading5"/>
      </w:pPr>
      <w:r>
        <w:t>Study BLU-667-1101 (ARROW trial)</w:t>
      </w:r>
    </w:p>
    <w:p w14:paraId="000001BF" w14:textId="77777777" w:rsidR="00171E65" w:rsidRDefault="001F5E2A">
      <w:r>
        <w:t xml:space="preserve">Study BLU-667-1101 is a Phase I/II, open label, first in human study designed to evaluate the safety, tolerability, PK, pharmacodynamic (PD) and antineoplastic activity of </w:t>
      </w:r>
      <w:proofErr w:type="spellStart"/>
      <w:r>
        <w:t>pralsetinib</w:t>
      </w:r>
      <w:proofErr w:type="spellEnd"/>
      <w:r>
        <w:t xml:space="preserve"> in patients with advanced, unresectable, </w:t>
      </w:r>
      <w:r>
        <w:rPr>
          <w:i/>
        </w:rPr>
        <w:t>RET</w:t>
      </w:r>
      <w:r>
        <w:t xml:space="preserve">-altered NSCLC, MTC and other </w:t>
      </w:r>
      <w:r>
        <w:rPr>
          <w:i/>
        </w:rPr>
        <w:t>RET</w:t>
      </w:r>
      <w:r>
        <w:t>-altered solid tumours.</w:t>
      </w:r>
    </w:p>
    <w:p w14:paraId="000001C0" w14:textId="77777777" w:rsidR="00171E65" w:rsidRDefault="001F5E2A">
      <w:r>
        <w:t xml:space="preserve">The study included a Phase I dose escalation part (to determine maximum tolerated dose (MTD) and recommended Phase II dose (RP2D) of </w:t>
      </w:r>
      <w:proofErr w:type="spellStart"/>
      <w:r>
        <w:t>pralsetinib</w:t>
      </w:r>
      <w:proofErr w:type="spellEnd"/>
      <w:r>
        <w:t xml:space="preserve">) followed by a Phase II expansion part to assess the clinical efficacy of </w:t>
      </w:r>
      <w:proofErr w:type="spellStart"/>
      <w:r>
        <w:t>pralsetinib</w:t>
      </w:r>
      <w:proofErr w:type="spellEnd"/>
      <w:r>
        <w:t xml:space="preserve"> in specific tumour types and treatment settings, measured primarily by ORR, and further define the safety and tolerability at the RP2D.</w:t>
      </w:r>
    </w:p>
    <w:p w14:paraId="000001C1" w14:textId="77777777" w:rsidR="00171E65" w:rsidRDefault="001F5E2A">
      <w:r>
        <w:t>See Figure 2 for an overview of the study design.</w:t>
      </w:r>
    </w:p>
    <w:p w14:paraId="000001C2" w14:textId="77777777" w:rsidR="00171E65" w:rsidRDefault="001F5E2A">
      <w:pPr>
        <w:pBdr>
          <w:top w:val="nil"/>
          <w:left w:val="nil"/>
          <w:bottom w:val="nil"/>
          <w:right w:val="nil"/>
          <w:between w:val="nil"/>
        </w:pBdr>
        <w:rPr>
          <w:b/>
          <w:color w:val="000000"/>
        </w:rPr>
      </w:pPr>
      <w:bookmarkStart w:id="26" w:name="_heading=h.qsh70q" w:colFirst="0" w:colLast="0"/>
      <w:bookmarkEnd w:id="26"/>
      <w:r>
        <w:rPr>
          <w:b/>
          <w:color w:val="000000"/>
        </w:rPr>
        <w:t>Figure 2: BLU-667-1101 study design</w:t>
      </w:r>
    </w:p>
    <w:p w14:paraId="000001C3" w14:textId="77777777" w:rsidR="00171E65" w:rsidRDefault="001F5E2A">
      <w:r>
        <w:rPr>
          <w:noProof/>
          <w:lang w:val="en-NZ"/>
        </w:rPr>
        <w:drawing>
          <wp:inline distT="0" distB="0" distL="0" distR="0" wp14:anchorId="0237D659" wp14:editId="3326D1ED">
            <wp:extent cx="4779641" cy="3283154"/>
            <wp:effectExtent l="0" t="0" r="0" b="0"/>
            <wp:docPr id="24" name="image10.png" descr="BLU-667-1101 study design"/>
            <wp:cNvGraphicFramePr/>
            <a:graphic xmlns:a="http://schemas.openxmlformats.org/drawingml/2006/main">
              <a:graphicData uri="http://schemas.openxmlformats.org/drawingml/2006/picture">
                <pic:pic xmlns:pic="http://schemas.openxmlformats.org/drawingml/2006/picture">
                  <pic:nvPicPr>
                    <pic:cNvPr id="0" name="image10.png" descr="BLU-667-1101 study design"/>
                    <pic:cNvPicPr preferRelativeResize="0"/>
                  </pic:nvPicPr>
                  <pic:blipFill>
                    <a:blip r:embed="rId25"/>
                    <a:srcRect t="7821"/>
                    <a:stretch>
                      <a:fillRect/>
                    </a:stretch>
                  </pic:blipFill>
                  <pic:spPr>
                    <a:xfrm>
                      <a:off x="0" y="0"/>
                      <a:ext cx="4779641" cy="3283154"/>
                    </a:xfrm>
                    <a:prstGeom prst="rect">
                      <a:avLst/>
                    </a:prstGeom>
                    <a:ln/>
                  </pic:spPr>
                </pic:pic>
              </a:graphicData>
            </a:graphic>
          </wp:inline>
        </w:drawing>
      </w:r>
    </w:p>
    <w:p w14:paraId="000001C4" w14:textId="77777777" w:rsidR="00171E65" w:rsidRDefault="001F5E2A">
      <w:pPr>
        <w:pStyle w:val="Heading6"/>
      </w:pPr>
      <w:r>
        <w:t>Trial location</w:t>
      </w:r>
    </w:p>
    <w:p w14:paraId="000001C5" w14:textId="77777777" w:rsidR="00171E65" w:rsidRDefault="001F5E2A">
      <w:r>
        <w:t>Phase I: 6 centres across North America and Europe</w:t>
      </w:r>
    </w:p>
    <w:p w14:paraId="000001C6" w14:textId="77777777" w:rsidR="00171E65" w:rsidRDefault="001F5E2A">
      <w:r>
        <w:t xml:space="preserve">Phase II: 67 centres across North America, </w:t>
      </w:r>
      <w:proofErr w:type="gramStart"/>
      <w:r>
        <w:t>Europe</w:t>
      </w:r>
      <w:proofErr w:type="gramEnd"/>
      <w:r>
        <w:t xml:space="preserve"> and Asia</w:t>
      </w:r>
    </w:p>
    <w:p w14:paraId="000001C7" w14:textId="77777777" w:rsidR="00171E65" w:rsidRDefault="001F5E2A">
      <w:r>
        <w:t>There were no study sites in Australia.</w:t>
      </w:r>
    </w:p>
    <w:p w14:paraId="000001C8" w14:textId="77777777" w:rsidR="00171E65" w:rsidRDefault="001F5E2A">
      <w:pPr>
        <w:pStyle w:val="Heading6"/>
      </w:pPr>
      <w:r>
        <w:lastRenderedPageBreak/>
        <w:t>Diagnostic criteria</w:t>
      </w:r>
    </w:p>
    <w:p w14:paraId="000001C9" w14:textId="31C22C04" w:rsidR="00171E65" w:rsidRDefault="001F5E2A">
      <w:r>
        <w:t xml:space="preserve">Patients with confirmed oncogenic </w:t>
      </w:r>
      <w:r>
        <w:rPr>
          <w:i/>
        </w:rPr>
        <w:t>RET</w:t>
      </w:r>
      <w:r>
        <w:t xml:space="preserve"> alteration as determined by local testing of tumour or circulating tumour DNA (</w:t>
      </w:r>
      <w:proofErr w:type="spellStart"/>
      <w:r>
        <w:t>ctDNA</w:t>
      </w:r>
      <w:proofErr w:type="spellEnd"/>
      <w:r>
        <w:t>) in blood</w:t>
      </w:r>
      <w:sdt>
        <w:sdtPr>
          <w:tag w:val="goog_rdk_32"/>
          <w:id w:val="1430309765"/>
        </w:sdtPr>
        <w:sdtEndPr/>
        <w:sdtContent/>
      </w:sdt>
      <w:r>
        <w:t xml:space="preserve"> except those treated at doses &lt; 120 mg per day or those with MTC, enrolled in Phase</w:t>
      </w:r>
      <w:r w:rsidR="000121EF">
        <w:t xml:space="preserve"> I</w:t>
      </w:r>
      <w:r>
        <w:t xml:space="preserve"> and MTC patients enrolled into Groups 3 and 4 in Phase </w:t>
      </w:r>
      <w:r w:rsidR="000121EF">
        <w:t>II</w:t>
      </w:r>
      <w:r>
        <w:t>.</w:t>
      </w:r>
    </w:p>
    <w:p w14:paraId="000001CA" w14:textId="77777777" w:rsidR="00171E65" w:rsidRDefault="001F5E2A">
      <w:pPr>
        <w:pStyle w:val="Heading6"/>
      </w:pPr>
      <w:r>
        <w:t>Key inclusion criteria</w:t>
      </w:r>
    </w:p>
    <w:p w14:paraId="000001CB" w14:textId="77777777" w:rsidR="00171E65" w:rsidRDefault="001F5E2A">
      <w:pPr>
        <w:numPr>
          <w:ilvl w:val="0"/>
          <w:numId w:val="7"/>
        </w:numPr>
        <w:pBdr>
          <w:top w:val="nil"/>
          <w:left w:val="nil"/>
          <w:bottom w:val="nil"/>
          <w:right w:val="nil"/>
          <w:between w:val="nil"/>
        </w:pBdr>
        <w:spacing w:before="120" w:after="180"/>
      </w:pPr>
      <w:r>
        <w:rPr>
          <w:color w:val="000000"/>
        </w:rPr>
        <w:t>Phase I</w:t>
      </w:r>
    </w:p>
    <w:p w14:paraId="000001CC" w14:textId="77777777" w:rsidR="00171E65" w:rsidRDefault="001F5E2A">
      <w:pPr>
        <w:numPr>
          <w:ilvl w:val="1"/>
          <w:numId w:val="7"/>
        </w:numPr>
        <w:pBdr>
          <w:top w:val="nil"/>
          <w:left w:val="nil"/>
          <w:bottom w:val="nil"/>
          <w:right w:val="nil"/>
          <w:between w:val="nil"/>
        </w:pBdr>
        <w:spacing w:before="120" w:after="180"/>
      </w:pPr>
      <w:r>
        <w:rPr>
          <w:color w:val="000000"/>
        </w:rPr>
        <w:t>Men or women, at least 18 years</w:t>
      </w:r>
    </w:p>
    <w:p w14:paraId="000001CD" w14:textId="77777777" w:rsidR="00171E65" w:rsidRDefault="001F5E2A">
      <w:pPr>
        <w:numPr>
          <w:ilvl w:val="1"/>
          <w:numId w:val="7"/>
        </w:numPr>
        <w:pBdr>
          <w:top w:val="nil"/>
          <w:left w:val="nil"/>
          <w:bottom w:val="nil"/>
          <w:right w:val="nil"/>
          <w:between w:val="nil"/>
        </w:pBdr>
        <w:spacing w:before="120" w:after="180"/>
      </w:pPr>
      <w:r>
        <w:rPr>
          <w:color w:val="000000"/>
        </w:rPr>
        <w:t xml:space="preserve">Pathologically documented, definitively diagnosed unresectable advanced solid </w:t>
      </w:r>
      <w:proofErr w:type="gramStart"/>
      <w:r>
        <w:rPr>
          <w:color w:val="000000"/>
        </w:rPr>
        <w:t>tumour</w:t>
      </w:r>
      <w:proofErr w:type="gramEnd"/>
    </w:p>
    <w:p w14:paraId="000001CE" w14:textId="77777777" w:rsidR="00171E65" w:rsidRDefault="001F5E2A">
      <w:pPr>
        <w:numPr>
          <w:ilvl w:val="1"/>
          <w:numId w:val="7"/>
        </w:numPr>
        <w:pBdr>
          <w:top w:val="nil"/>
          <w:left w:val="nil"/>
          <w:bottom w:val="nil"/>
          <w:right w:val="nil"/>
          <w:between w:val="nil"/>
        </w:pBdr>
        <w:spacing w:before="120" w:after="180"/>
      </w:pPr>
      <w:r>
        <w:rPr>
          <w:color w:val="000000"/>
        </w:rPr>
        <w:t xml:space="preserve">Progressed on, inadequate response to, intolerant of, or inappropriate for standard therapy, or no accepted standard </w:t>
      </w:r>
      <w:proofErr w:type="gramStart"/>
      <w:r>
        <w:rPr>
          <w:color w:val="000000"/>
        </w:rPr>
        <w:t>therapy</w:t>
      </w:r>
      <w:proofErr w:type="gramEnd"/>
    </w:p>
    <w:p w14:paraId="000001CF" w14:textId="77777777" w:rsidR="00171E65" w:rsidRDefault="001F5E2A">
      <w:pPr>
        <w:numPr>
          <w:ilvl w:val="1"/>
          <w:numId w:val="7"/>
        </w:numPr>
        <w:pBdr>
          <w:top w:val="nil"/>
          <w:left w:val="nil"/>
          <w:bottom w:val="nil"/>
          <w:right w:val="nil"/>
          <w:between w:val="nil"/>
        </w:pBdr>
        <w:spacing w:before="120" w:after="180"/>
      </w:pPr>
      <w:r>
        <w:rPr>
          <w:color w:val="000000"/>
        </w:rPr>
        <w:t>Eastern Cooperative Oncology Group (ECOG) 0 or 1;</w:t>
      </w:r>
      <w:r>
        <w:rPr>
          <w:color w:val="000000"/>
          <w:vertAlign w:val="superscript"/>
        </w:rPr>
        <w:footnoteReference w:id="5"/>
      </w:r>
    </w:p>
    <w:p w14:paraId="000001D0" w14:textId="77777777" w:rsidR="00171E65" w:rsidRDefault="001F5E2A">
      <w:pPr>
        <w:numPr>
          <w:ilvl w:val="0"/>
          <w:numId w:val="7"/>
        </w:numPr>
        <w:pBdr>
          <w:top w:val="nil"/>
          <w:left w:val="nil"/>
          <w:bottom w:val="nil"/>
          <w:right w:val="nil"/>
          <w:between w:val="nil"/>
        </w:pBdr>
        <w:spacing w:before="120" w:after="180"/>
      </w:pPr>
      <w:r>
        <w:rPr>
          <w:color w:val="000000"/>
        </w:rPr>
        <w:t>Phase II</w:t>
      </w:r>
    </w:p>
    <w:p w14:paraId="000001D1" w14:textId="77777777" w:rsidR="00171E65" w:rsidRDefault="001F5E2A">
      <w:pPr>
        <w:numPr>
          <w:ilvl w:val="1"/>
          <w:numId w:val="7"/>
        </w:numPr>
        <w:pBdr>
          <w:top w:val="nil"/>
          <w:left w:val="nil"/>
          <w:bottom w:val="nil"/>
          <w:right w:val="nil"/>
          <w:between w:val="nil"/>
        </w:pBdr>
        <w:spacing w:before="120" w:after="180"/>
      </w:pPr>
      <w:bookmarkStart w:id="27" w:name="_heading=h.3as4poj" w:colFirst="0" w:colLast="0"/>
      <w:bookmarkEnd w:id="27"/>
      <w:r>
        <w:rPr>
          <w:color w:val="000000"/>
        </w:rPr>
        <w:t>Group 3:</w:t>
      </w:r>
      <w:r>
        <w:rPr>
          <w:color w:val="000000"/>
          <w:vertAlign w:val="superscript"/>
        </w:rPr>
        <w:footnoteReference w:id="6"/>
      </w:r>
    </w:p>
    <w:p w14:paraId="000001D2" w14:textId="77777777" w:rsidR="00171E65" w:rsidRDefault="001F5E2A">
      <w:pPr>
        <w:numPr>
          <w:ilvl w:val="0"/>
          <w:numId w:val="9"/>
        </w:numPr>
        <w:pBdr>
          <w:top w:val="nil"/>
          <w:left w:val="nil"/>
          <w:bottom w:val="nil"/>
          <w:right w:val="nil"/>
          <w:between w:val="nil"/>
        </w:pBdr>
        <w:spacing w:before="120" w:after="180"/>
      </w:pPr>
      <w:r>
        <w:rPr>
          <w:color w:val="000000"/>
        </w:rPr>
        <w:t xml:space="preserve">Advanced MTC that progressed within 14 months prior to screening and was previously treated with </w:t>
      </w:r>
      <w:proofErr w:type="spellStart"/>
      <w:r>
        <w:rPr>
          <w:color w:val="000000"/>
        </w:rPr>
        <w:t>cabozantinib</w:t>
      </w:r>
      <w:proofErr w:type="spellEnd"/>
      <w:r>
        <w:rPr>
          <w:color w:val="000000"/>
        </w:rPr>
        <w:t xml:space="preserve"> and/or </w:t>
      </w:r>
      <w:proofErr w:type="spellStart"/>
      <w:proofErr w:type="gramStart"/>
      <w:r>
        <w:rPr>
          <w:color w:val="000000"/>
        </w:rPr>
        <w:t>vandetanib</w:t>
      </w:r>
      <w:proofErr w:type="spellEnd"/>
      <w:proofErr w:type="gramEnd"/>
    </w:p>
    <w:p w14:paraId="000001D3" w14:textId="77777777" w:rsidR="00171E65" w:rsidRDefault="001F5E2A">
      <w:pPr>
        <w:numPr>
          <w:ilvl w:val="1"/>
          <w:numId w:val="7"/>
        </w:numPr>
        <w:pBdr>
          <w:top w:val="nil"/>
          <w:left w:val="nil"/>
          <w:bottom w:val="nil"/>
          <w:right w:val="nil"/>
          <w:between w:val="nil"/>
        </w:pBdr>
        <w:spacing w:before="120" w:after="180"/>
      </w:pPr>
      <w:r>
        <w:rPr>
          <w:color w:val="000000"/>
        </w:rPr>
        <w:t>Group 4:</w:t>
      </w:r>
      <w:r>
        <w:rPr>
          <w:color w:val="000000"/>
          <w:vertAlign w:val="superscript"/>
        </w:rPr>
        <w:t>5</w:t>
      </w:r>
    </w:p>
    <w:p w14:paraId="000001D4" w14:textId="77777777" w:rsidR="00171E65" w:rsidRDefault="001F5E2A">
      <w:pPr>
        <w:numPr>
          <w:ilvl w:val="0"/>
          <w:numId w:val="9"/>
        </w:numPr>
        <w:pBdr>
          <w:top w:val="nil"/>
          <w:left w:val="nil"/>
          <w:bottom w:val="nil"/>
          <w:right w:val="nil"/>
          <w:between w:val="nil"/>
        </w:pBdr>
        <w:spacing w:before="120" w:after="180"/>
      </w:pPr>
      <w:r>
        <w:rPr>
          <w:color w:val="000000"/>
        </w:rPr>
        <w:t xml:space="preserve">Advanced MTC that progressed within 14 months prior to screening and was not previously treated with </w:t>
      </w:r>
      <w:proofErr w:type="spellStart"/>
      <w:r>
        <w:rPr>
          <w:color w:val="000000"/>
        </w:rPr>
        <w:t>cabozantinib</w:t>
      </w:r>
      <w:proofErr w:type="spellEnd"/>
      <w:r>
        <w:rPr>
          <w:color w:val="000000"/>
        </w:rPr>
        <w:t xml:space="preserve"> and/or </w:t>
      </w:r>
      <w:proofErr w:type="spellStart"/>
      <w:proofErr w:type="gramStart"/>
      <w:r>
        <w:rPr>
          <w:color w:val="000000"/>
        </w:rPr>
        <w:t>vandetanib</w:t>
      </w:r>
      <w:proofErr w:type="spellEnd"/>
      <w:proofErr w:type="gramEnd"/>
    </w:p>
    <w:p w14:paraId="000001D5" w14:textId="77777777" w:rsidR="00171E65" w:rsidRDefault="001F5E2A">
      <w:pPr>
        <w:numPr>
          <w:ilvl w:val="1"/>
          <w:numId w:val="7"/>
        </w:numPr>
        <w:pBdr>
          <w:top w:val="nil"/>
          <w:left w:val="nil"/>
          <w:bottom w:val="nil"/>
          <w:right w:val="nil"/>
          <w:between w:val="nil"/>
        </w:pBdr>
        <w:spacing w:before="120" w:after="180"/>
      </w:pPr>
      <w:r>
        <w:rPr>
          <w:color w:val="000000"/>
        </w:rPr>
        <w:t>Group 5:</w:t>
      </w:r>
    </w:p>
    <w:p w14:paraId="000001D6" w14:textId="77777777" w:rsidR="00171E65" w:rsidRDefault="001F5E2A">
      <w:pPr>
        <w:numPr>
          <w:ilvl w:val="0"/>
          <w:numId w:val="9"/>
        </w:numPr>
        <w:pBdr>
          <w:top w:val="nil"/>
          <w:left w:val="nil"/>
          <w:bottom w:val="nil"/>
          <w:right w:val="nil"/>
          <w:between w:val="nil"/>
        </w:pBdr>
        <w:spacing w:before="120" w:after="180"/>
      </w:pPr>
      <w:r>
        <w:rPr>
          <w:color w:val="000000"/>
        </w:rPr>
        <w:t xml:space="preserve">Advanced solid tumour with an oncogenic </w:t>
      </w:r>
      <w:r>
        <w:rPr>
          <w:i/>
          <w:color w:val="000000"/>
        </w:rPr>
        <w:t>RET</w:t>
      </w:r>
      <w:r>
        <w:rPr>
          <w:color w:val="000000"/>
        </w:rPr>
        <w:t xml:space="preserve"> fusion previously treated with standard of care appropriate for the tumour type and not eligible for any of the other </w:t>
      </w:r>
      <w:proofErr w:type="gramStart"/>
      <w:r>
        <w:rPr>
          <w:color w:val="000000"/>
        </w:rPr>
        <w:t>groups</w:t>
      </w:r>
      <w:proofErr w:type="gramEnd"/>
    </w:p>
    <w:p w14:paraId="000001D7" w14:textId="77777777" w:rsidR="00171E65" w:rsidRDefault="001F5E2A">
      <w:pPr>
        <w:numPr>
          <w:ilvl w:val="0"/>
          <w:numId w:val="7"/>
        </w:numPr>
        <w:pBdr>
          <w:top w:val="nil"/>
          <w:left w:val="nil"/>
          <w:bottom w:val="nil"/>
          <w:right w:val="nil"/>
          <w:between w:val="nil"/>
        </w:pBdr>
        <w:spacing w:before="120" w:after="180"/>
      </w:pPr>
      <w:r>
        <w:rPr>
          <w:color w:val="000000"/>
        </w:rPr>
        <w:t>All groups:</w:t>
      </w:r>
    </w:p>
    <w:p w14:paraId="000001D8" w14:textId="77777777" w:rsidR="00171E65" w:rsidRDefault="001F5E2A">
      <w:pPr>
        <w:numPr>
          <w:ilvl w:val="1"/>
          <w:numId w:val="7"/>
        </w:numPr>
        <w:pBdr>
          <w:top w:val="nil"/>
          <w:left w:val="nil"/>
          <w:bottom w:val="nil"/>
          <w:right w:val="nil"/>
          <w:between w:val="nil"/>
        </w:pBdr>
        <w:spacing w:before="120" w:after="180"/>
      </w:pPr>
      <w:r>
        <w:rPr>
          <w:color w:val="000000"/>
        </w:rPr>
        <w:t>Men or women at least 18 years</w:t>
      </w:r>
    </w:p>
    <w:p w14:paraId="000001D9" w14:textId="77777777" w:rsidR="00171E65" w:rsidRDefault="001F5E2A">
      <w:pPr>
        <w:numPr>
          <w:ilvl w:val="1"/>
          <w:numId w:val="7"/>
        </w:numPr>
        <w:pBdr>
          <w:top w:val="nil"/>
          <w:left w:val="nil"/>
          <w:bottom w:val="nil"/>
          <w:right w:val="nil"/>
          <w:between w:val="nil"/>
        </w:pBdr>
        <w:spacing w:before="120" w:after="180"/>
      </w:pPr>
      <w:r>
        <w:rPr>
          <w:color w:val="000000"/>
        </w:rPr>
        <w:lastRenderedPageBreak/>
        <w:t>Measurable disease per RECIST v1.1;</w:t>
      </w:r>
      <w:r>
        <w:rPr>
          <w:color w:val="000000"/>
          <w:vertAlign w:val="superscript"/>
        </w:rPr>
        <w:footnoteReference w:id="7"/>
      </w:r>
    </w:p>
    <w:p w14:paraId="000001DA" w14:textId="77777777" w:rsidR="00171E65" w:rsidRDefault="001F5E2A">
      <w:pPr>
        <w:numPr>
          <w:ilvl w:val="1"/>
          <w:numId w:val="7"/>
        </w:numPr>
        <w:pBdr>
          <w:top w:val="nil"/>
          <w:left w:val="nil"/>
          <w:bottom w:val="nil"/>
          <w:right w:val="nil"/>
          <w:between w:val="nil"/>
        </w:pBdr>
        <w:spacing w:before="120" w:after="180"/>
      </w:pPr>
      <w:r>
        <w:rPr>
          <w:color w:val="000000"/>
        </w:rPr>
        <w:t>ECOG 0 or 1</w:t>
      </w:r>
    </w:p>
    <w:p w14:paraId="000001DB" w14:textId="77777777" w:rsidR="00171E65" w:rsidRDefault="001F5E2A">
      <w:pPr>
        <w:numPr>
          <w:ilvl w:val="1"/>
          <w:numId w:val="7"/>
        </w:numPr>
        <w:pBdr>
          <w:top w:val="nil"/>
          <w:left w:val="nil"/>
          <w:bottom w:val="nil"/>
          <w:right w:val="nil"/>
          <w:between w:val="nil"/>
        </w:pBdr>
        <w:spacing w:before="120" w:after="180"/>
      </w:pPr>
      <w:r>
        <w:rPr>
          <w:color w:val="000000"/>
        </w:rPr>
        <w:t xml:space="preserve">Progressed on/not adequately responded/intolerant to standard or investigator determined therapy or where no accepted standard </w:t>
      </w:r>
      <w:proofErr w:type="gramStart"/>
      <w:r>
        <w:rPr>
          <w:color w:val="000000"/>
        </w:rPr>
        <w:t>therapy</w:t>
      </w:r>
      <w:proofErr w:type="gramEnd"/>
    </w:p>
    <w:p w14:paraId="000001DC" w14:textId="77777777" w:rsidR="00171E65" w:rsidRDefault="001F5E2A">
      <w:pPr>
        <w:pStyle w:val="Heading6"/>
      </w:pPr>
      <w:r>
        <w:t>Key exclusion criteria</w:t>
      </w:r>
    </w:p>
    <w:p w14:paraId="000001DD" w14:textId="77777777" w:rsidR="00171E65" w:rsidRDefault="001F5E2A">
      <w:pPr>
        <w:numPr>
          <w:ilvl w:val="0"/>
          <w:numId w:val="7"/>
        </w:numPr>
        <w:pBdr>
          <w:top w:val="nil"/>
          <w:left w:val="nil"/>
          <w:bottom w:val="nil"/>
          <w:right w:val="nil"/>
          <w:between w:val="nil"/>
        </w:pBdr>
        <w:spacing w:before="120" w:after="180"/>
      </w:pPr>
      <w:r>
        <w:rPr>
          <w:color w:val="000000"/>
        </w:rPr>
        <w:t xml:space="preserve">Primary driver alteration other than </w:t>
      </w:r>
      <w:r>
        <w:rPr>
          <w:i/>
          <w:color w:val="000000"/>
        </w:rPr>
        <w:t>RET</w:t>
      </w:r>
    </w:p>
    <w:p w14:paraId="000001DE" w14:textId="77777777" w:rsidR="00171E65" w:rsidRDefault="001F5E2A">
      <w:pPr>
        <w:numPr>
          <w:ilvl w:val="0"/>
          <w:numId w:val="7"/>
        </w:numPr>
        <w:pBdr>
          <w:top w:val="nil"/>
          <w:left w:val="nil"/>
          <w:bottom w:val="nil"/>
          <w:right w:val="nil"/>
          <w:between w:val="nil"/>
        </w:pBdr>
        <w:spacing w:before="120" w:after="180"/>
      </w:pPr>
      <w:r>
        <w:rPr>
          <w:color w:val="000000"/>
        </w:rPr>
        <w:t xml:space="preserve">History of myocardial infarction or unstable angina within previous 6 months; clinically significant cardiovascular disease, uncontrolled </w:t>
      </w:r>
      <w:proofErr w:type="gramStart"/>
      <w:r>
        <w:rPr>
          <w:color w:val="000000"/>
        </w:rPr>
        <w:t>hypertension</w:t>
      </w:r>
      <w:proofErr w:type="gramEnd"/>
      <w:r>
        <w:rPr>
          <w:color w:val="000000"/>
        </w:rPr>
        <w:t xml:space="preserve"> or uncontrolled arrhythmias</w:t>
      </w:r>
    </w:p>
    <w:p w14:paraId="000001DF" w14:textId="77777777" w:rsidR="00171E65" w:rsidRDefault="001F5E2A">
      <w:pPr>
        <w:numPr>
          <w:ilvl w:val="0"/>
          <w:numId w:val="7"/>
        </w:numPr>
        <w:pBdr>
          <w:top w:val="nil"/>
          <w:left w:val="nil"/>
          <w:bottom w:val="nil"/>
          <w:right w:val="nil"/>
          <w:between w:val="nil"/>
        </w:pBdr>
        <w:spacing w:before="120" w:after="180"/>
      </w:pPr>
      <w:r>
        <w:rPr>
          <w:color w:val="000000"/>
        </w:rPr>
        <w:t xml:space="preserve">Previous treatment with selection </w:t>
      </w:r>
      <w:r>
        <w:rPr>
          <w:i/>
          <w:color w:val="000000"/>
        </w:rPr>
        <w:t>RET</w:t>
      </w:r>
      <w:r>
        <w:rPr>
          <w:color w:val="000000"/>
        </w:rPr>
        <w:t xml:space="preserve"> inhibitor (except Group 6)</w:t>
      </w:r>
    </w:p>
    <w:p w14:paraId="000001E0" w14:textId="77777777" w:rsidR="00171E65" w:rsidRDefault="001F5E2A">
      <w:pPr>
        <w:numPr>
          <w:ilvl w:val="0"/>
          <w:numId w:val="7"/>
        </w:numPr>
        <w:pBdr>
          <w:top w:val="nil"/>
          <w:left w:val="nil"/>
          <w:bottom w:val="nil"/>
          <w:right w:val="nil"/>
          <w:between w:val="nil"/>
        </w:pBdr>
        <w:spacing w:before="120" w:after="180"/>
      </w:pPr>
      <w:r>
        <w:rPr>
          <w:color w:val="000000"/>
        </w:rPr>
        <w:t xml:space="preserve">Any systemic anticancer therapy and all forms of radiotherapy within 14 days or 5 half-lives before first dose of </w:t>
      </w:r>
      <w:proofErr w:type="spellStart"/>
      <w:r>
        <w:rPr>
          <w:color w:val="000000"/>
        </w:rPr>
        <w:t>pralsetinib</w:t>
      </w:r>
      <w:proofErr w:type="spellEnd"/>
      <w:r>
        <w:rPr>
          <w:color w:val="000000"/>
        </w:rPr>
        <w:t xml:space="preserve">; immunotherapy or other antibody therapy within 28 days before first dose of </w:t>
      </w:r>
      <w:proofErr w:type="spellStart"/>
      <w:r>
        <w:rPr>
          <w:color w:val="000000"/>
        </w:rPr>
        <w:t>pralsetinib</w:t>
      </w:r>
      <w:proofErr w:type="spellEnd"/>
      <w:r>
        <w:rPr>
          <w:color w:val="000000"/>
        </w:rPr>
        <w:t xml:space="preserve">, or neutrophil growth factor support within 14 days of the first dose of </w:t>
      </w:r>
      <w:proofErr w:type="spellStart"/>
      <w:proofErr w:type="gramStart"/>
      <w:r>
        <w:rPr>
          <w:color w:val="000000"/>
        </w:rPr>
        <w:t>pralsetinib</w:t>
      </w:r>
      <w:proofErr w:type="spellEnd"/>
      <w:proofErr w:type="gramEnd"/>
    </w:p>
    <w:p w14:paraId="000001E1" w14:textId="77777777" w:rsidR="00171E65" w:rsidRDefault="001F5E2A">
      <w:pPr>
        <w:numPr>
          <w:ilvl w:val="0"/>
          <w:numId w:val="7"/>
        </w:numPr>
        <w:pBdr>
          <w:top w:val="nil"/>
          <w:left w:val="nil"/>
          <w:bottom w:val="nil"/>
          <w:right w:val="nil"/>
          <w:between w:val="nil"/>
        </w:pBdr>
        <w:spacing w:before="120" w:after="180"/>
      </w:pPr>
      <w:r>
        <w:rPr>
          <w:color w:val="000000"/>
        </w:rPr>
        <w:t xml:space="preserve">Inadequate haematology and clinical chemistry values within 14 days before first dose of </w:t>
      </w:r>
      <w:proofErr w:type="spellStart"/>
      <w:r>
        <w:rPr>
          <w:color w:val="000000"/>
        </w:rPr>
        <w:t>pralsetinib</w:t>
      </w:r>
      <w:proofErr w:type="spellEnd"/>
    </w:p>
    <w:p w14:paraId="000001E2"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QTcF</w:t>
      </w:r>
      <w:proofErr w:type="spellEnd"/>
      <w:r>
        <w:rPr>
          <w:color w:val="000000"/>
        </w:rPr>
        <w:t xml:space="preserve"> &gt; 470 </w:t>
      </w:r>
      <w:proofErr w:type="spellStart"/>
      <w:r>
        <w:rPr>
          <w:color w:val="000000"/>
        </w:rPr>
        <w:t>ms</w:t>
      </w:r>
      <w:proofErr w:type="spellEnd"/>
      <w:r>
        <w:rPr>
          <w:color w:val="000000"/>
        </w:rPr>
        <w:t xml:space="preserve"> and history of prolonged QTS or </w:t>
      </w:r>
      <w:proofErr w:type="spellStart"/>
      <w:r>
        <w:rPr>
          <w:color w:val="000000"/>
        </w:rPr>
        <w:t>TdP</w:t>
      </w:r>
      <w:proofErr w:type="spellEnd"/>
    </w:p>
    <w:p w14:paraId="000001E3" w14:textId="77777777" w:rsidR="00171E65" w:rsidRDefault="001F5E2A">
      <w:pPr>
        <w:numPr>
          <w:ilvl w:val="0"/>
          <w:numId w:val="7"/>
        </w:numPr>
        <w:pBdr>
          <w:top w:val="nil"/>
          <w:left w:val="nil"/>
          <w:bottom w:val="nil"/>
          <w:right w:val="nil"/>
          <w:between w:val="nil"/>
        </w:pBdr>
        <w:spacing w:before="120" w:after="180"/>
      </w:pPr>
      <w:r>
        <w:rPr>
          <w:color w:val="000000"/>
        </w:rPr>
        <w:t xml:space="preserve">Presence of central nervous system (CNS) metastases or primary CNS tumour that is associated with progressive neurological symptoms or requiring increasing doses of corticosteroids to control CNS </w:t>
      </w:r>
      <w:proofErr w:type="gramStart"/>
      <w:r>
        <w:rPr>
          <w:color w:val="000000"/>
        </w:rPr>
        <w:t>disease</w:t>
      </w:r>
      <w:proofErr w:type="gramEnd"/>
    </w:p>
    <w:p w14:paraId="000001E4" w14:textId="77777777" w:rsidR="00171E65" w:rsidRDefault="001F5E2A">
      <w:pPr>
        <w:numPr>
          <w:ilvl w:val="0"/>
          <w:numId w:val="7"/>
        </w:numPr>
        <w:pBdr>
          <w:top w:val="nil"/>
          <w:left w:val="nil"/>
          <w:bottom w:val="nil"/>
          <w:right w:val="nil"/>
          <w:between w:val="nil"/>
        </w:pBdr>
        <w:spacing w:before="120" w:after="180"/>
      </w:pPr>
      <w:r>
        <w:rPr>
          <w:color w:val="000000"/>
        </w:rPr>
        <w:t>Symptomatic interstitial lung disease or interstitial pneumonitis</w:t>
      </w:r>
    </w:p>
    <w:p w14:paraId="000001E5" w14:textId="77777777" w:rsidR="00171E65" w:rsidRDefault="001F5E2A">
      <w:pPr>
        <w:numPr>
          <w:ilvl w:val="0"/>
          <w:numId w:val="7"/>
        </w:numPr>
        <w:pBdr>
          <w:top w:val="nil"/>
          <w:left w:val="nil"/>
          <w:bottom w:val="nil"/>
          <w:right w:val="nil"/>
          <w:between w:val="nil"/>
        </w:pBdr>
        <w:spacing w:before="120" w:after="180"/>
      </w:pPr>
      <w:r>
        <w:rPr>
          <w:color w:val="000000"/>
        </w:rPr>
        <w:t>Pregnancy and breastfeeding</w:t>
      </w:r>
    </w:p>
    <w:p w14:paraId="000001E6" w14:textId="77777777" w:rsidR="00171E65" w:rsidRDefault="001F5E2A">
      <w:pPr>
        <w:pStyle w:val="Heading6"/>
      </w:pPr>
      <w:r>
        <w:t>Dose selection</w:t>
      </w:r>
    </w:p>
    <w:p w14:paraId="000001E7" w14:textId="77777777" w:rsidR="00171E65" w:rsidRDefault="001F5E2A">
      <w:r>
        <w:t xml:space="preserve">Based on Phase I data, a </w:t>
      </w:r>
      <w:proofErr w:type="spellStart"/>
      <w:r>
        <w:t>pralsetinib</w:t>
      </w:r>
      <w:proofErr w:type="spellEnd"/>
      <w:r>
        <w:t xml:space="preserve"> dose of 400 mg once daily was determined to be the RP2D</w:t>
      </w:r>
    </w:p>
    <w:p w14:paraId="000001E8" w14:textId="77777777" w:rsidR="00171E65" w:rsidRDefault="001F5E2A">
      <w:pPr>
        <w:pStyle w:val="Heading6"/>
      </w:pPr>
      <w:r>
        <w:t>Study treatments</w:t>
      </w:r>
    </w:p>
    <w:p w14:paraId="000001E9"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Pralsetinib</w:t>
      </w:r>
      <w:proofErr w:type="spellEnd"/>
      <w:r>
        <w:rPr>
          <w:color w:val="000000"/>
        </w:rPr>
        <w:t xml:space="preserve"> was administered continuously daily without interruption (unless due to interruption and/or discontinuation due to toxicity, progression or other)</w:t>
      </w:r>
    </w:p>
    <w:p w14:paraId="000001EA" w14:textId="77777777" w:rsidR="00171E65" w:rsidRDefault="001F5E2A">
      <w:pPr>
        <w:numPr>
          <w:ilvl w:val="0"/>
          <w:numId w:val="7"/>
        </w:numPr>
        <w:pBdr>
          <w:top w:val="nil"/>
          <w:left w:val="nil"/>
          <w:bottom w:val="nil"/>
          <w:right w:val="nil"/>
          <w:between w:val="nil"/>
        </w:pBdr>
        <w:spacing w:before="120" w:after="180"/>
      </w:pPr>
      <w:r>
        <w:rPr>
          <w:color w:val="000000"/>
        </w:rPr>
        <w:t xml:space="preserve">Phase I: </w:t>
      </w:r>
      <w:proofErr w:type="spellStart"/>
      <w:r>
        <w:rPr>
          <w:color w:val="000000"/>
        </w:rPr>
        <w:t>pralsetinib</w:t>
      </w:r>
      <w:proofErr w:type="spellEnd"/>
      <w:r>
        <w:rPr>
          <w:color w:val="000000"/>
        </w:rPr>
        <w:t xml:space="preserve"> once daily (30 to 600 mg) or twice daily (100/100 mg or 200/100 mg) to determine MTD and RP2D</w:t>
      </w:r>
    </w:p>
    <w:p w14:paraId="000001EB" w14:textId="77777777" w:rsidR="00171E65" w:rsidRDefault="001F5E2A">
      <w:pPr>
        <w:numPr>
          <w:ilvl w:val="0"/>
          <w:numId w:val="7"/>
        </w:numPr>
        <w:pBdr>
          <w:top w:val="nil"/>
          <w:left w:val="nil"/>
          <w:bottom w:val="nil"/>
          <w:right w:val="nil"/>
          <w:between w:val="nil"/>
        </w:pBdr>
        <w:spacing w:before="120" w:after="180"/>
      </w:pPr>
      <w:r>
        <w:rPr>
          <w:color w:val="000000"/>
        </w:rPr>
        <w:t xml:space="preserve">Phase II: </w:t>
      </w:r>
      <w:proofErr w:type="spellStart"/>
      <w:r>
        <w:rPr>
          <w:color w:val="000000"/>
        </w:rPr>
        <w:t>pralsetinib</w:t>
      </w:r>
      <w:proofErr w:type="spellEnd"/>
      <w:r>
        <w:rPr>
          <w:color w:val="000000"/>
        </w:rPr>
        <w:t xml:space="preserve"> 400 mg once daily (as per RP2D)</w:t>
      </w:r>
    </w:p>
    <w:p w14:paraId="000001EC" w14:textId="77777777" w:rsidR="00171E65" w:rsidRDefault="001F5E2A">
      <w:r>
        <w:t>No randomisation/blinding, as this was an open label study.</w:t>
      </w:r>
    </w:p>
    <w:p w14:paraId="000001ED" w14:textId="77777777" w:rsidR="00171E65" w:rsidRDefault="001F5E2A">
      <w:r>
        <w:lastRenderedPageBreak/>
        <w:t xml:space="preserve">In the dose expansion phase, dose modification guidelines were included for the following adverse events (AE): non-hematologic toxicities, hematologic toxicities, pneumonitis, pneumonia, tumour lysis syndrome, </w:t>
      </w:r>
      <w:proofErr w:type="spellStart"/>
      <w:r>
        <w:t>hyperphosphataemia</w:t>
      </w:r>
      <w:proofErr w:type="spellEnd"/>
      <w:r>
        <w:t xml:space="preserve"> and hypertension.</w:t>
      </w:r>
    </w:p>
    <w:p w14:paraId="000001EE" w14:textId="77777777" w:rsidR="00171E65" w:rsidRDefault="00171E65"/>
    <w:p w14:paraId="000001EF" w14:textId="77777777" w:rsidR="00171E65" w:rsidRDefault="001F5E2A">
      <w:r>
        <w:t>Concurrent medications apart from the following were permitted: other anticancer therapies, investigational therapeutic agents, neutrophil growth factor within 14 days before C1D1 and throughout cycle 1 (unless patient experienced DLT of neutropenia), strong inhibitors and inducers of CYP3A4, strong dual P-</w:t>
      </w:r>
      <w:proofErr w:type="spellStart"/>
      <w:r>
        <w:t>gp</w:t>
      </w:r>
      <w:proofErr w:type="spellEnd"/>
      <w:r>
        <w:t xml:space="preserve"> and CYP3A4 inhibitors. Sensitive substrates of CYP2C9, strong CYP2D6 inhibitors and strong CYP1A2 inhibitors were permitted but use with caution advised.</w:t>
      </w:r>
    </w:p>
    <w:p w14:paraId="000001F0" w14:textId="77777777" w:rsidR="00171E65" w:rsidRDefault="001F5E2A">
      <w:pPr>
        <w:pStyle w:val="Heading6"/>
      </w:pPr>
      <w:r>
        <w:t>Study endpoints</w:t>
      </w:r>
    </w:p>
    <w:p w14:paraId="000001F1"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Primary efficacy endpoint</w:t>
      </w:r>
    </w:p>
    <w:p w14:paraId="000001F2" w14:textId="77777777" w:rsidR="00171E65" w:rsidRDefault="001F5E2A">
      <w:r>
        <w:t>Phase I: not applicable</w:t>
      </w:r>
    </w:p>
    <w:p w14:paraId="000001F3" w14:textId="77777777" w:rsidR="00171E65" w:rsidRDefault="001F5E2A">
      <w:r>
        <w:t>Phase II: ORR (per RECIST v1.1 as assessed by blinded independent central review (BICR) of local imaging)</w:t>
      </w:r>
    </w:p>
    <w:p w14:paraId="000001F4"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Secondary efficacy endpoints</w:t>
      </w:r>
    </w:p>
    <w:p w14:paraId="000001F5" w14:textId="77777777" w:rsidR="00171E65" w:rsidRDefault="001F5E2A">
      <w:r>
        <w:t xml:space="preserve">Phase I: </w:t>
      </w:r>
    </w:p>
    <w:p w14:paraId="000001F6"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 xml:space="preserve">Overall response rate based on RECIST v1.1 as assessed by BICR of local </w:t>
      </w:r>
      <w:proofErr w:type="gramStart"/>
      <w:r>
        <w:rPr>
          <w:rFonts w:ascii="Calibri" w:eastAsia="Calibri" w:hAnsi="Calibri" w:cs="Calibri"/>
          <w:i/>
          <w:color w:val="1F3863"/>
        </w:rPr>
        <w:t>imaging</w:t>
      </w:r>
      <w:proofErr w:type="gramEnd"/>
    </w:p>
    <w:p w14:paraId="000001F7" w14:textId="77777777" w:rsidR="00171E65" w:rsidRDefault="001F5E2A">
      <w:r>
        <w:t>Phase II:</w:t>
      </w:r>
    </w:p>
    <w:p w14:paraId="000001F8" w14:textId="77777777" w:rsidR="00171E65" w:rsidRDefault="001F5E2A">
      <w:pPr>
        <w:numPr>
          <w:ilvl w:val="0"/>
          <w:numId w:val="7"/>
        </w:numPr>
        <w:pBdr>
          <w:top w:val="nil"/>
          <w:left w:val="nil"/>
          <w:bottom w:val="nil"/>
          <w:right w:val="nil"/>
          <w:between w:val="nil"/>
        </w:pBdr>
        <w:spacing w:before="120" w:after="180"/>
      </w:pPr>
      <w:r>
        <w:rPr>
          <w:color w:val="000000"/>
        </w:rPr>
        <w:t>Duration of response</w:t>
      </w:r>
    </w:p>
    <w:p w14:paraId="000001F9" w14:textId="77777777" w:rsidR="00171E65" w:rsidRDefault="001F5E2A">
      <w:pPr>
        <w:numPr>
          <w:ilvl w:val="0"/>
          <w:numId w:val="7"/>
        </w:numPr>
        <w:pBdr>
          <w:top w:val="nil"/>
          <w:left w:val="nil"/>
          <w:bottom w:val="nil"/>
          <w:right w:val="nil"/>
          <w:between w:val="nil"/>
        </w:pBdr>
        <w:spacing w:before="120" w:after="180"/>
      </w:pPr>
      <w:bookmarkStart w:id="28" w:name="_heading=h.1pxezwc" w:colFirst="0" w:colLast="0"/>
      <w:bookmarkEnd w:id="28"/>
      <w:r>
        <w:rPr>
          <w:color w:val="000000"/>
        </w:rPr>
        <w:t>Progression free survival;</w:t>
      </w:r>
      <w:r>
        <w:rPr>
          <w:color w:val="000000"/>
          <w:vertAlign w:val="superscript"/>
        </w:rPr>
        <w:footnoteReference w:id="8"/>
      </w:r>
    </w:p>
    <w:p w14:paraId="000001FA" w14:textId="77777777" w:rsidR="00171E65" w:rsidRDefault="001F5E2A">
      <w:pPr>
        <w:numPr>
          <w:ilvl w:val="0"/>
          <w:numId w:val="7"/>
        </w:numPr>
        <w:pBdr>
          <w:top w:val="nil"/>
          <w:left w:val="nil"/>
          <w:bottom w:val="nil"/>
          <w:right w:val="nil"/>
          <w:between w:val="nil"/>
        </w:pBdr>
        <w:spacing w:before="120" w:after="180"/>
      </w:pPr>
      <w:r>
        <w:rPr>
          <w:color w:val="000000"/>
        </w:rPr>
        <w:t>Overall survival (OS)</w:t>
      </w:r>
      <w:r>
        <w:rPr>
          <w:color w:val="000000"/>
          <w:vertAlign w:val="superscript"/>
        </w:rPr>
        <w:t>7</w:t>
      </w:r>
    </w:p>
    <w:p w14:paraId="000001FB" w14:textId="77777777" w:rsidR="00171E65" w:rsidRDefault="001F5E2A">
      <w:pPr>
        <w:numPr>
          <w:ilvl w:val="0"/>
          <w:numId w:val="7"/>
        </w:numPr>
        <w:pBdr>
          <w:top w:val="nil"/>
          <w:left w:val="nil"/>
          <w:bottom w:val="nil"/>
          <w:right w:val="nil"/>
          <w:between w:val="nil"/>
        </w:pBdr>
        <w:spacing w:before="120" w:after="180"/>
      </w:pPr>
      <w:r>
        <w:rPr>
          <w:color w:val="000000"/>
        </w:rPr>
        <w:t>Changes in blood calcitonin and CEA (MTC patients only)</w:t>
      </w:r>
    </w:p>
    <w:p w14:paraId="000001FC"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Exploratory efficacy endpoints</w:t>
      </w:r>
    </w:p>
    <w:p w14:paraId="000001FD" w14:textId="77777777" w:rsidR="00171E65" w:rsidRDefault="001F5E2A">
      <w:r>
        <w:t>Phase I:</w:t>
      </w:r>
    </w:p>
    <w:p w14:paraId="000001FE" w14:textId="77777777" w:rsidR="00171E65" w:rsidRDefault="001F5E2A">
      <w:pPr>
        <w:numPr>
          <w:ilvl w:val="0"/>
          <w:numId w:val="7"/>
        </w:numPr>
        <w:pBdr>
          <w:top w:val="nil"/>
          <w:left w:val="nil"/>
          <w:bottom w:val="nil"/>
          <w:right w:val="nil"/>
          <w:between w:val="nil"/>
        </w:pBdr>
        <w:spacing w:before="120" w:after="180"/>
      </w:pPr>
      <w:r>
        <w:rPr>
          <w:color w:val="000000"/>
        </w:rPr>
        <w:t xml:space="preserve">Correlation of </w:t>
      </w:r>
      <w:r>
        <w:rPr>
          <w:i/>
          <w:color w:val="000000"/>
        </w:rPr>
        <w:t>RET</w:t>
      </w:r>
      <w:r>
        <w:rPr>
          <w:color w:val="000000"/>
        </w:rPr>
        <w:t xml:space="preserve"> gene status in plasma and/or tumour tissue with ORR, CBR, DOR, PFS, OS and DCR</w:t>
      </w:r>
    </w:p>
    <w:p w14:paraId="000001FF" w14:textId="77777777" w:rsidR="00171E65" w:rsidRDefault="001F5E2A">
      <w:r>
        <w:t>Phase II:</w:t>
      </w:r>
    </w:p>
    <w:p w14:paraId="00000200" w14:textId="77777777" w:rsidR="00171E65" w:rsidRDefault="001F5E2A">
      <w:pPr>
        <w:numPr>
          <w:ilvl w:val="0"/>
          <w:numId w:val="7"/>
        </w:numPr>
        <w:pBdr>
          <w:top w:val="nil"/>
          <w:left w:val="nil"/>
          <w:bottom w:val="nil"/>
          <w:right w:val="nil"/>
          <w:between w:val="nil"/>
        </w:pBdr>
        <w:spacing w:before="120" w:after="180"/>
      </w:pPr>
      <w:r>
        <w:rPr>
          <w:color w:val="000000"/>
        </w:rPr>
        <w:t>CBR</w:t>
      </w:r>
    </w:p>
    <w:p w14:paraId="00000201" w14:textId="77777777" w:rsidR="00171E65" w:rsidRDefault="001F5E2A">
      <w:pPr>
        <w:numPr>
          <w:ilvl w:val="0"/>
          <w:numId w:val="7"/>
        </w:numPr>
        <w:pBdr>
          <w:top w:val="nil"/>
          <w:left w:val="nil"/>
          <w:bottom w:val="nil"/>
          <w:right w:val="nil"/>
          <w:between w:val="nil"/>
        </w:pBdr>
        <w:spacing w:before="120" w:after="180"/>
      </w:pPr>
      <w:r>
        <w:rPr>
          <w:color w:val="000000"/>
        </w:rPr>
        <w:t>DCR</w:t>
      </w:r>
    </w:p>
    <w:p w14:paraId="00000202" w14:textId="77777777" w:rsidR="00171E65" w:rsidRDefault="001F5E2A">
      <w:pPr>
        <w:numPr>
          <w:ilvl w:val="0"/>
          <w:numId w:val="7"/>
        </w:numPr>
        <w:pBdr>
          <w:top w:val="nil"/>
          <w:left w:val="nil"/>
          <w:bottom w:val="nil"/>
          <w:right w:val="nil"/>
          <w:between w:val="nil"/>
        </w:pBdr>
        <w:spacing w:before="120" w:after="180"/>
      </w:pPr>
      <w:r>
        <w:rPr>
          <w:color w:val="000000"/>
        </w:rPr>
        <w:t xml:space="preserve">Correlation of </w:t>
      </w:r>
      <w:r>
        <w:rPr>
          <w:i/>
          <w:color w:val="000000"/>
        </w:rPr>
        <w:t xml:space="preserve">RET </w:t>
      </w:r>
      <w:r>
        <w:rPr>
          <w:color w:val="000000"/>
        </w:rPr>
        <w:t>gene status in plasma and/or tumour tissue with ORR, CBR, DOR, PFS, OS and DCR</w:t>
      </w:r>
    </w:p>
    <w:p w14:paraId="00000203" w14:textId="77777777" w:rsidR="00171E65" w:rsidRDefault="001F5E2A">
      <w:pPr>
        <w:numPr>
          <w:ilvl w:val="0"/>
          <w:numId w:val="7"/>
        </w:numPr>
        <w:pBdr>
          <w:top w:val="nil"/>
          <w:left w:val="nil"/>
          <w:bottom w:val="nil"/>
          <w:right w:val="nil"/>
          <w:between w:val="nil"/>
        </w:pBdr>
        <w:spacing w:before="120" w:after="180"/>
      </w:pPr>
      <w:r>
        <w:rPr>
          <w:color w:val="000000"/>
        </w:rPr>
        <w:t xml:space="preserve">Quality of life (QOL) per European Organisation for Research and Treatment of Cancer 30 items Quality of Life Questionnaire </w:t>
      </w:r>
      <w:proofErr w:type="spellStart"/>
      <w:r>
        <w:rPr>
          <w:color w:val="000000"/>
        </w:rPr>
        <w:t>questionnaire</w:t>
      </w:r>
      <w:proofErr w:type="spellEnd"/>
      <w:r>
        <w:rPr>
          <w:color w:val="000000"/>
        </w:rPr>
        <w:t>;</w:t>
      </w:r>
      <w:r>
        <w:rPr>
          <w:color w:val="000000"/>
          <w:vertAlign w:val="superscript"/>
        </w:rPr>
        <w:footnoteReference w:id="9"/>
      </w:r>
    </w:p>
    <w:p w14:paraId="00000204" w14:textId="77777777" w:rsidR="00171E65" w:rsidRDefault="001F5E2A">
      <w:pPr>
        <w:numPr>
          <w:ilvl w:val="0"/>
          <w:numId w:val="7"/>
        </w:numPr>
        <w:pBdr>
          <w:top w:val="nil"/>
          <w:left w:val="nil"/>
          <w:bottom w:val="nil"/>
          <w:right w:val="nil"/>
          <w:between w:val="nil"/>
        </w:pBdr>
        <w:spacing w:before="120" w:after="180"/>
      </w:pPr>
      <w:r>
        <w:rPr>
          <w:color w:val="000000"/>
        </w:rPr>
        <w:lastRenderedPageBreak/>
        <w:t>Changes in disease related symptoms as reported by bowel movement history (MTC patients only)</w:t>
      </w:r>
    </w:p>
    <w:p w14:paraId="00000205" w14:textId="77777777" w:rsidR="00171E65" w:rsidRDefault="001F5E2A">
      <w:pPr>
        <w:pStyle w:val="Heading6"/>
      </w:pPr>
      <w:r>
        <w:t>Statistical analysis plan and amendments</w:t>
      </w:r>
    </w:p>
    <w:p w14:paraId="00000206" w14:textId="77777777" w:rsidR="00171E65" w:rsidRDefault="001F5E2A">
      <w:r>
        <w:t xml:space="preserve">Efficacy analysis was conducted based on two separate data </w:t>
      </w:r>
      <w:proofErr w:type="spellStart"/>
      <w:r>
        <w:t>cutoffs</w:t>
      </w:r>
      <w:proofErr w:type="spellEnd"/>
      <w:r>
        <w:t xml:space="preserve">, the original data </w:t>
      </w:r>
      <w:proofErr w:type="spellStart"/>
      <w:r>
        <w:t>cutoff</w:t>
      </w:r>
      <w:proofErr w:type="spellEnd"/>
      <w:r>
        <w:t xml:space="preserve"> date of 13 February 2020, and one corresponding to the 90-day efficacy update (data </w:t>
      </w:r>
      <w:proofErr w:type="spellStart"/>
      <w:r>
        <w:t>cutoff</w:t>
      </w:r>
      <w:proofErr w:type="spellEnd"/>
      <w:r>
        <w:t xml:space="preserve"> date of 22 May 2020).</w:t>
      </w:r>
    </w:p>
    <w:p w14:paraId="00000207" w14:textId="77777777" w:rsidR="00171E65" w:rsidRDefault="001F5E2A">
      <w:r>
        <w:t>Timing of final analysis was not pre-specified in the protocol.</w:t>
      </w:r>
    </w:p>
    <w:p w14:paraId="00000208" w14:textId="77777777" w:rsidR="00171E65" w:rsidRDefault="001F5E2A">
      <w:r>
        <w:t xml:space="preserve">Primary analysis of efficacy was conducted separately in patients who had received prior </w:t>
      </w:r>
      <w:proofErr w:type="spellStart"/>
      <w:r>
        <w:t>vandetanib</w:t>
      </w:r>
      <w:proofErr w:type="spellEnd"/>
      <w:r>
        <w:t xml:space="preserve"> and/or </w:t>
      </w:r>
      <w:proofErr w:type="spellStart"/>
      <w:r>
        <w:t>cabozantinib</w:t>
      </w:r>
      <w:proofErr w:type="spellEnd"/>
      <w:r>
        <w:t xml:space="preserve"> and in those who did not receive prior </w:t>
      </w:r>
      <w:proofErr w:type="spellStart"/>
      <w:r>
        <w:t>vandetanib</w:t>
      </w:r>
      <w:proofErr w:type="spellEnd"/>
      <w:r>
        <w:t xml:space="preserve"> and/or </w:t>
      </w:r>
      <w:proofErr w:type="spellStart"/>
      <w:r>
        <w:t>cabozantinib</w:t>
      </w:r>
      <w:proofErr w:type="spellEnd"/>
      <w:r>
        <w:t>.</w:t>
      </w:r>
    </w:p>
    <w:p w14:paraId="00000209" w14:textId="77777777" w:rsidR="00171E65" w:rsidRDefault="001F5E2A">
      <w:r>
        <w:t xml:space="preserve">Version 2 of the statistical analysis plan of 30 October 2019, included assumptions for sample size calculation in the expansion phase for prior </w:t>
      </w:r>
      <w:proofErr w:type="spellStart"/>
      <w:r>
        <w:t>vandetanib</w:t>
      </w:r>
      <w:proofErr w:type="spellEnd"/>
      <w:r>
        <w:t xml:space="preserve"> and/or </w:t>
      </w:r>
      <w:proofErr w:type="spellStart"/>
      <w:r>
        <w:t>cabozantinib</w:t>
      </w:r>
      <w:proofErr w:type="spellEnd"/>
      <w:r>
        <w:t xml:space="preserve"> therapy sub-population and no prior </w:t>
      </w:r>
      <w:proofErr w:type="spellStart"/>
      <w:r>
        <w:t>vandetanib</w:t>
      </w:r>
      <w:proofErr w:type="spellEnd"/>
      <w:r>
        <w:t xml:space="preserve"> and/or </w:t>
      </w:r>
      <w:proofErr w:type="spellStart"/>
      <w:r>
        <w:t>cabozantinib</w:t>
      </w:r>
      <w:proofErr w:type="spellEnd"/>
      <w:r>
        <w:t xml:space="preserve"> therapy sub-population.</w:t>
      </w:r>
    </w:p>
    <w:p w14:paraId="0000020A" w14:textId="77777777" w:rsidR="00171E65" w:rsidRDefault="001F5E2A">
      <w:r>
        <w:t xml:space="preserve">In Cohort 3 (includes patients with MTC previously treated with </w:t>
      </w:r>
      <w:proofErr w:type="spellStart"/>
      <w:r>
        <w:t>vandetanib</w:t>
      </w:r>
      <w:proofErr w:type="spellEnd"/>
      <w:r>
        <w:t xml:space="preserve"> and/or </w:t>
      </w:r>
      <w:proofErr w:type="spellStart"/>
      <w:r>
        <w:t>cabozantinib</w:t>
      </w:r>
      <w:proofErr w:type="spellEnd"/>
      <w:r>
        <w:t xml:space="preserve">), assuming a null hypothesis that ORR = 20% against an alternative hypothesis of ORR = 40% with </w:t>
      </w:r>
      <w:proofErr w:type="gramStart"/>
      <w:r>
        <w:t>two sided</w:t>
      </w:r>
      <w:proofErr w:type="gramEnd"/>
      <w:r>
        <w:t xml:space="preserve"> Type 1 error rate of 0.05, a sample size of 65 provides more than 90% power.</w:t>
      </w:r>
    </w:p>
    <w:p w14:paraId="0000020B" w14:textId="77777777" w:rsidR="00171E65" w:rsidRDefault="001F5E2A">
      <w:r>
        <w:t xml:space="preserve">In Cohort 4 (includes patients with MTC not previously treated with </w:t>
      </w:r>
      <w:proofErr w:type="spellStart"/>
      <w:r>
        <w:t>vandetanib</w:t>
      </w:r>
      <w:proofErr w:type="spellEnd"/>
      <w:r>
        <w:t xml:space="preserve"> and/or </w:t>
      </w:r>
      <w:proofErr w:type="spellStart"/>
      <w:r>
        <w:t>cabozantinib</w:t>
      </w:r>
      <w:proofErr w:type="spellEnd"/>
      <w:r>
        <w:t>), enrolled for exploratory analysis.</w:t>
      </w:r>
    </w:p>
    <w:p w14:paraId="0000020C" w14:textId="77777777" w:rsidR="00171E65" w:rsidRDefault="001F5E2A">
      <w:r>
        <w:t xml:space="preserve">In Cohort 5 (also includes previously treated patients with RET fusion positive thyroid cancer), assuming a null hypothesis that ORR = 10% against an alternative hypothesis of ORR = 30% with </w:t>
      </w:r>
      <w:proofErr w:type="gramStart"/>
      <w:r>
        <w:t>two sided</w:t>
      </w:r>
      <w:proofErr w:type="gramEnd"/>
      <w:r>
        <w:t xml:space="preserve"> Type 1 error rate of 0.05, a sample size of 40 provides more than 90% power.</w:t>
      </w:r>
    </w:p>
    <w:p w14:paraId="0000020D" w14:textId="77777777" w:rsidR="00171E65" w:rsidRDefault="001F5E2A">
      <w:r>
        <w:t>For a single arm study, efficacy analysis is based on ORR of adequate magnitude and the corresponding duration of response.</w:t>
      </w:r>
    </w:p>
    <w:p w14:paraId="0000020E" w14:textId="77777777" w:rsidR="00171E65" w:rsidRDefault="001F5E2A">
      <w:r>
        <w:t>The Delegate noted that the study protocol amendments are not expected to have an any significant impact on the conduct of the study or interpretation of results.</w:t>
      </w:r>
    </w:p>
    <w:p w14:paraId="0000020F" w14:textId="77777777" w:rsidR="00171E65" w:rsidRDefault="001F5E2A">
      <w:pPr>
        <w:pStyle w:val="Heading6"/>
      </w:pPr>
      <w:r>
        <w:t>Study results</w:t>
      </w:r>
    </w:p>
    <w:p w14:paraId="00000210" w14:textId="60003894" w:rsidR="00171E65" w:rsidRDefault="001F5E2A">
      <w:r>
        <w:t xml:space="preserve">In the clinical evaluation, the primary efficacy analysis population, based on data </w:t>
      </w:r>
      <w:proofErr w:type="spellStart"/>
      <w:r>
        <w:t>cutoff</w:t>
      </w:r>
      <w:proofErr w:type="spellEnd"/>
      <w:r>
        <w:t xml:space="preserve"> of 22 May 202</w:t>
      </w:r>
      <w:r w:rsidR="004604E5">
        <w:t>0</w:t>
      </w:r>
      <w:r>
        <w:t>, were:</w:t>
      </w:r>
    </w:p>
    <w:p w14:paraId="00000211" w14:textId="77777777" w:rsidR="00171E65" w:rsidRDefault="001F5E2A">
      <w:pPr>
        <w:rPr>
          <w:color w:val="000000"/>
        </w:rPr>
      </w:pPr>
      <w:r>
        <w:rPr>
          <w:i/>
          <w:color w:val="000000"/>
        </w:rPr>
        <w:t>RET</w:t>
      </w:r>
      <w:r>
        <w:rPr>
          <w:color w:val="000000"/>
        </w:rPr>
        <w:t xml:space="preserve"> mutant MTC with measurable disease, dosed at 400 mg once daily (n = 84),</w:t>
      </w:r>
      <w:r>
        <w:rPr>
          <w:color w:val="000000"/>
          <w:vertAlign w:val="superscript"/>
        </w:rPr>
        <w:footnoteReference w:id="10"/>
      </w:r>
      <w:r>
        <w:rPr>
          <w:color w:val="000000"/>
        </w:rPr>
        <w:t xml:space="preserve"> in two subgroups</w:t>
      </w:r>
    </w:p>
    <w:p w14:paraId="00000212" w14:textId="77777777" w:rsidR="00171E65" w:rsidRDefault="001F5E2A">
      <w:pPr>
        <w:numPr>
          <w:ilvl w:val="1"/>
          <w:numId w:val="5"/>
        </w:numPr>
        <w:pBdr>
          <w:top w:val="nil"/>
          <w:left w:val="nil"/>
          <w:bottom w:val="nil"/>
          <w:right w:val="nil"/>
          <w:between w:val="nil"/>
        </w:pBdr>
        <w:spacing w:before="120" w:after="180"/>
      </w:pPr>
      <w:r>
        <w:rPr>
          <w:i/>
          <w:color w:val="000000"/>
        </w:rPr>
        <w:t xml:space="preserve">RET </w:t>
      </w:r>
      <w:r>
        <w:rPr>
          <w:color w:val="000000"/>
        </w:rPr>
        <w:t xml:space="preserve">mutant MTC with measurable disease who received prior </w:t>
      </w:r>
      <w:proofErr w:type="spellStart"/>
      <w:r>
        <w:rPr>
          <w:color w:val="000000"/>
        </w:rPr>
        <w:t>cabozantinib</w:t>
      </w:r>
      <w:proofErr w:type="spellEnd"/>
      <w:r>
        <w:rPr>
          <w:color w:val="000000"/>
        </w:rPr>
        <w:t xml:space="preserve"> and/or </w:t>
      </w:r>
      <w:proofErr w:type="spellStart"/>
      <w:r>
        <w:rPr>
          <w:color w:val="000000"/>
        </w:rPr>
        <w:t>vandetanib</w:t>
      </w:r>
      <w:proofErr w:type="spellEnd"/>
      <w:r>
        <w:rPr>
          <w:color w:val="000000"/>
        </w:rPr>
        <w:t xml:space="preserve"> (n = 55)</w:t>
      </w:r>
    </w:p>
    <w:p w14:paraId="00000213" w14:textId="77777777" w:rsidR="00171E65" w:rsidRDefault="001F5E2A">
      <w:pPr>
        <w:numPr>
          <w:ilvl w:val="1"/>
          <w:numId w:val="5"/>
        </w:numPr>
        <w:pBdr>
          <w:top w:val="nil"/>
          <w:left w:val="nil"/>
          <w:bottom w:val="nil"/>
          <w:right w:val="nil"/>
          <w:between w:val="nil"/>
        </w:pBdr>
        <w:spacing w:before="120" w:after="180"/>
      </w:pPr>
      <w:r>
        <w:rPr>
          <w:i/>
          <w:color w:val="000000"/>
        </w:rPr>
        <w:t>RET</w:t>
      </w:r>
      <w:r>
        <w:rPr>
          <w:color w:val="000000"/>
        </w:rPr>
        <w:t xml:space="preserve"> mutant MTC with measurable disease who received no prior </w:t>
      </w:r>
      <w:proofErr w:type="spellStart"/>
      <w:r>
        <w:rPr>
          <w:color w:val="000000"/>
        </w:rPr>
        <w:t>cabozantinib</w:t>
      </w:r>
      <w:proofErr w:type="spellEnd"/>
      <w:r>
        <w:rPr>
          <w:color w:val="000000"/>
        </w:rPr>
        <w:t xml:space="preserve"> and/or </w:t>
      </w:r>
      <w:proofErr w:type="spellStart"/>
      <w:r>
        <w:rPr>
          <w:color w:val="000000"/>
        </w:rPr>
        <w:t>vandetanib</w:t>
      </w:r>
      <w:proofErr w:type="spellEnd"/>
      <w:r>
        <w:rPr>
          <w:color w:val="000000"/>
        </w:rPr>
        <w:t xml:space="preserve"> (n = 29)</w:t>
      </w:r>
    </w:p>
    <w:p w14:paraId="00000214" w14:textId="77777777" w:rsidR="00171E65" w:rsidRDefault="001F5E2A">
      <w:pPr>
        <w:numPr>
          <w:ilvl w:val="0"/>
          <w:numId w:val="5"/>
        </w:numPr>
        <w:pBdr>
          <w:top w:val="nil"/>
          <w:left w:val="nil"/>
          <w:bottom w:val="nil"/>
          <w:right w:val="nil"/>
          <w:between w:val="nil"/>
        </w:pBdr>
        <w:spacing w:before="120" w:after="180"/>
      </w:pPr>
      <w:r>
        <w:rPr>
          <w:i/>
          <w:color w:val="000000"/>
        </w:rPr>
        <w:t>RET</w:t>
      </w:r>
      <w:r>
        <w:rPr>
          <w:color w:val="000000"/>
        </w:rPr>
        <w:t xml:space="preserve"> fusion positive thyroid cancer with measurable disease, dosed at 400 mg once daily (n = 9)</w:t>
      </w:r>
      <w:r>
        <w:rPr>
          <w:color w:val="000000"/>
          <w:vertAlign w:val="superscript"/>
        </w:rPr>
        <w:t>9</w:t>
      </w:r>
    </w:p>
    <w:p w14:paraId="00000215" w14:textId="77777777" w:rsidR="00171E65" w:rsidRDefault="001F5E2A">
      <w:pPr>
        <w:pStyle w:val="Heading6"/>
      </w:pPr>
      <w:r>
        <w:lastRenderedPageBreak/>
        <w:t>Disposition</w:t>
      </w:r>
    </w:p>
    <w:p w14:paraId="00000216" w14:textId="77777777" w:rsidR="00171E65" w:rsidRDefault="001F5E2A">
      <w:r>
        <w:t xml:space="preserve">Based on data cut-off date of 22 May 2020, of the patient population with </w:t>
      </w:r>
      <w:r>
        <w:rPr>
          <w:i/>
        </w:rPr>
        <w:t>RET</w:t>
      </w:r>
      <w:r>
        <w:t xml:space="preserve"> mutant MTC with measurable disease who received prior </w:t>
      </w:r>
      <w:proofErr w:type="spellStart"/>
      <w:r>
        <w:t>cabozantinib</w:t>
      </w:r>
      <w:proofErr w:type="spellEnd"/>
      <w:r>
        <w:t xml:space="preserve"> and/or </w:t>
      </w:r>
      <w:proofErr w:type="spellStart"/>
      <w:r>
        <w:t>vandetanib</w:t>
      </w:r>
      <w:proofErr w:type="spellEnd"/>
      <w:r>
        <w:t xml:space="preserve"> (n = 55):</w:t>
      </w:r>
    </w:p>
    <w:p w14:paraId="00000217" w14:textId="77777777" w:rsidR="00171E65" w:rsidRDefault="001F5E2A">
      <w:pPr>
        <w:numPr>
          <w:ilvl w:val="0"/>
          <w:numId w:val="7"/>
        </w:numPr>
        <w:pBdr>
          <w:top w:val="nil"/>
          <w:left w:val="nil"/>
          <w:bottom w:val="nil"/>
          <w:right w:val="nil"/>
          <w:between w:val="nil"/>
        </w:pBdr>
        <w:spacing w:before="120" w:after="180"/>
      </w:pPr>
      <w:r>
        <w:rPr>
          <w:color w:val="000000"/>
        </w:rPr>
        <w:t xml:space="preserve">31% discontinued from </w:t>
      </w:r>
      <w:proofErr w:type="gramStart"/>
      <w:r>
        <w:rPr>
          <w:color w:val="000000"/>
        </w:rPr>
        <w:t>treatment</w:t>
      </w:r>
      <w:proofErr w:type="gramEnd"/>
    </w:p>
    <w:p w14:paraId="00000218" w14:textId="77777777" w:rsidR="00171E65" w:rsidRDefault="001F5E2A">
      <w:pPr>
        <w:numPr>
          <w:ilvl w:val="0"/>
          <w:numId w:val="7"/>
        </w:numPr>
        <w:pBdr>
          <w:top w:val="nil"/>
          <w:left w:val="nil"/>
          <w:bottom w:val="nil"/>
          <w:right w:val="nil"/>
          <w:between w:val="nil"/>
        </w:pBdr>
        <w:spacing w:before="120" w:after="180"/>
      </w:pPr>
      <w:r>
        <w:rPr>
          <w:color w:val="000000"/>
        </w:rPr>
        <w:t xml:space="preserve">29% discontinued from </w:t>
      </w:r>
      <w:proofErr w:type="gramStart"/>
      <w:r>
        <w:rPr>
          <w:color w:val="000000"/>
        </w:rPr>
        <w:t>study</w:t>
      </w:r>
      <w:proofErr w:type="gramEnd"/>
    </w:p>
    <w:p w14:paraId="00000219" w14:textId="77777777" w:rsidR="00171E65" w:rsidRDefault="001F5E2A">
      <w:pPr>
        <w:numPr>
          <w:ilvl w:val="0"/>
          <w:numId w:val="7"/>
        </w:numPr>
        <w:pBdr>
          <w:top w:val="nil"/>
          <w:left w:val="nil"/>
          <w:bottom w:val="nil"/>
          <w:right w:val="nil"/>
          <w:between w:val="nil"/>
        </w:pBdr>
        <w:spacing w:before="120" w:after="180"/>
      </w:pPr>
      <w:r>
        <w:rPr>
          <w:color w:val="000000"/>
        </w:rPr>
        <w:t>Reasons for discontinuation of treatment:</w:t>
      </w:r>
    </w:p>
    <w:p w14:paraId="0000021A" w14:textId="77777777" w:rsidR="00171E65" w:rsidRDefault="001F5E2A">
      <w:pPr>
        <w:numPr>
          <w:ilvl w:val="1"/>
          <w:numId w:val="7"/>
        </w:numPr>
        <w:pBdr>
          <w:top w:val="nil"/>
          <w:left w:val="nil"/>
          <w:bottom w:val="nil"/>
          <w:right w:val="nil"/>
          <w:between w:val="nil"/>
        </w:pBdr>
        <w:spacing w:before="120" w:after="180"/>
      </w:pPr>
      <w:r>
        <w:rPr>
          <w:color w:val="000000"/>
        </w:rPr>
        <w:t>PD = 16%</w:t>
      </w:r>
    </w:p>
    <w:p w14:paraId="0000021B" w14:textId="77777777" w:rsidR="00171E65" w:rsidRDefault="001F5E2A">
      <w:pPr>
        <w:numPr>
          <w:ilvl w:val="1"/>
          <w:numId w:val="7"/>
        </w:numPr>
        <w:pBdr>
          <w:top w:val="nil"/>
          <w:left w:val="nil"/>
          <w:bottom w:val="nil"/>
          <w:right w:val="nil"/>
          <w:between w:val="nil"/>
        </w:pBdr>
        <w:spacing w:before="120" w:after="180"/>
      </w:pPr>
      <w:r>
        <w:rPr>
          <w:color w:val="000000"/>
        </w:rPr>
        <w:t>AEs (except disease progression) = 7%</w:t>
      </w:r>
    </w:p>
    <w:p w14:paraId="0000021C" w14:textId="77777777" w:rsidR="00171E65" w:rsidRDefault="001F5E2A">
      <w:pPr>
        <w:numPr>
          <w:ilvl w:val="0"/>
          <w:numId w:val="9"/>
        </w:numPr>
        <w:pBdr>
          <w:top w:val="nil"/>
          <w:left w:val="nil"/>
          <w:bottom w:val="nil"/>
          <w:right w:val="nil"/>
          <w:between w:val="nil"/>
        </w:pBdr>
        <w:spacing w:before="120" w:after="180"/>
      </w:pPr>
      <w:r>
        <w:rPr>
          <w:color w:val="000000"/>
        </w:rPr>
        <w:t>Related AEs = 1.8%</w:t>
      </w:r>
    </w:p>
    <w:p w14:paraId="0000021D" w14:textId="77777777" w:rsidR="00171E65" w:rsidRDefault="001F5E2A">
      <w:pPr>
        <w:numPr>
          <w:ilvl w:val="1"/>
          <w:numId w:val="7"/>
        </w:numPr>
        <w:pBdr>
          <w:top w:val="nil"/>
          <w:left w:val="nil"/>
          <w:bottom w:val="nil"/>
          <w:right w:val="nil"/>
          <w:between w:val="nil"/>
        </w:pBdr>
        <w:spacing w:before="120" w:after="180"/>
      </w:pPr>
      <w:r>
        <w:rPr>
          <w:color w:val="000000"/>
        </w:rPr>
        <w:t>Death = 0</w:t>
      </w:r>
    </w:p>
    <w:p w14:paraId="0000021E" w14:textId="77777777" w:rsidR="00171E65" w:rsidRDefault="001F5E2A">
      <w:pPr>
        <w:numPr>
          <w:ilvl w:val="1"/>
          <w:numId w:val="7"/>
        </w:numPr>
        <w:pBdr>
          <w:top w:val="nil"/>
          <w:left w:val="nil"/>
          <w:bottom w:val="nil"/>
          <w:right w:val="nil"/>
          <w:between w:val="nil"/>
        </w:pBdr>
        <w:spacing w:before="120" w:after="180"/>
      </w:pPr>
      <w:r>
        <w:rPr>
          <w:color w:val="000000"/>
        </w:rPr>
        <w:t>Withdrawal of consent = 5%</w:t>
      </w:r>
    </w:p>
    <w:p w14:paraId="0000021F" w14:textId="77777777" w:rsidR="00171E65" w:rsidRDefault="001F5E2A">
      <w:pPr>
        <w:numPr>
          <w:ilvl w:val="1"/>
          <w:numId w:val="7"/>
        </w:numPr>
        <w:pBdr>
          <w:top w:val="nil"/>
          <w:left w:val="nil"/>
          <w:bottom w:val="nil"/>
          <w:right w:val="nil"/>
          <w:between w:val="nil"/>
        </w:pBdr>
        <w:spacing w:before="120" w:after="180"/>
      </w:pPr>
      <w:r>
        <w:rPr>
          <w:color w:val="000000"/>
        </w:rPr>
        <w:t>Investigator’s decision = 1.8%</w:t>
      </w:r>
    </w:p>
    <w:p w14:paraId="00000220" w14:textId="77777777" w:rsidR="00171E65" w:rsidRDefault="001F5E2A">
      <w:pPr>
        <w:numPr>
          <w:ilvl w:val="0"/>
          <w:numId w:val="7"/>
        </w:numPr>
        <w:pBdr>
          <w:top w:val="nil"/>
          <w:left w:val="nil"/>
          <w:bottom w:val="nil"/>
          <w:right w:val="nil"/>
          <w:between w:val="nil"/>
        </w:pBdr>
        <w:spacing w:before="120" w:after="180"/>
      </w:pPr>
      <w:r>
        <w:rPr>
          <w:color w:val="000000"/>
        </w:rPr>
        <w:t>Reasons for discontinuation of study:</w:t>
      </w:r>
    </w:p>
    <w:p w14:paraId="00000221" w14:textId="77777777" w:rsidR="00171E65" w:rsidRDefault="001F5E2A">
      <w:pPr>
        <w:numPr>
          <w:ilvl w:val="1"/>
          <w:numId w:val="7"/>
        </w:numPr>
        <w:pBdr>
          <w:top w:val="nil"/>
          <w:left w:val="nil"/>
          <w:bottom w:val="nil"/>
          <w:right w:val="nil"/>
          <w:between w:val="nil"/>
        </w:pBdr>
        <w:spacing w:before="120" w:after="180"/>
      </w:pPr>
      <w:r>
        <w:rPr>
          <w:color w:val="000000"/>
        </w:rPr>
        <w:t>PD = 7%</w:t>
      </w:r>
    </w:p>
    <w:p w14:paraId="00000222" w14:textId="77777777" w:rsidR="00171E65" w:rsidRDefault="001F5E2A">
      <w:pPr>
        <w:numPr>
          <w:ilvl w:val="1"/>
          <w:numId w:val="7"/>
        </w:numPr>
        <w:pBdr>
          <w:top w:val="nil"/>
          <w:left w:val="nil"/>
          <w:bottom w:val="nil"/>
          <w:right w:val="nil"/>
          <w:between w:val="nil"/>
        </w:pBdr>
        <w:spacing w:before="120" w:after="180"/>
      </w:pPr>
      <w:r>
        <w:rPr>
          <w:color w:val="000000"/>
        </w:rPr>
        <w:t>AEs = 1.8%</w:t>
      </w:r>
    </w:p>
    <w:p w14:paraId="00000223" w14:textId="77777777" w:rsidR="00171E65" w:rsidRDefault="001F5E2A">
      <w:pPr>
        <w:numPr>
          <w:ilvl w:val="0"/>
          <w:numId w:val="9"/>
        </w:numPr>
        <w:pBdr>
          <w:top w:val="nil"/>
          <w:left w:val="nil"/>
          <w:bottom w:val="nil"/>
          <w:right w:val="nil"/>
          <w:between w:val="nil"/>
        </w:pBdr>
        <w:spacing w:before="120" w:after="180"/>
      </w:pPr>
      <w:r>
        <w:rPr>
          <w:color w:val="000000"/>
        </w:rPr>
        <w:t>Related AEs = 0</w:t>
      </w:r>
    </w:p>
    <w:p w14:paraId="00000224" w14:textId="77777777" w:rsidR="00171E65" w:rsidRDefault="001F5E2A">
      <w:pPr>
        <w:numPr>
          <w:ilvl w:val="1"/>
          <w:numId w:val="7"/>
        </w:numPr>
        <w:pBdr>
          <w:top w:val="nil"/>
          <w:left w:val="nil"/>
          <w:bottom w:val="nil"/>
          <w:right w:val="nil"/>
          <w:between w:val="nil"/>
        </w:pBdr>
        <w:spacing w:before="120" w:after="180"/>
      </w:pPr>
      <w:r>
        <w:rPr>
          <w:color w:val="000000"/>
        </w:rPr>
        <w:t>Death = 11%</w:t>
      </w:r>
    </w:p>
    <w:p w14:paraId="00000225" w14:textId="77777777" w:rsidR="00171E65" w:rsidRDefault="001F5E2A">
      <w:pPr>
        <w:numPr>
          <w:ilvl w:val="1"/>
          <w:numId w:val="7"/>
        </w:numPr>
        <w:pBdr>
          <w:top w:val="nil"/>
          <w:left w:val="nil"/>
          <w:bottom w:val="nil"/>
          <w:right w:val="nil"/>
          <w:between w:val="nil"/>
        </w:pBdr>
        <w:spacing w:before="120" w:after="180"/>
      </w:pPr>
      <w:r>
        <w:rPr>
          <w:color w:val="000000"/>
        </w:rPr>
        <w:t>Withdrawal of consent = 7%</w:t>
      </w:r>
    </w:p>
    <w:p w14:paraId="00000226" w14:textId="77777777" w:rsidR="00171E65" w:rsidRDefault="001F5E2A">
      <w:pPr>
        <w:numPr>
          <w:ilvl w:val="1"/>
          <w:numId w:val="7"/>
        </w:numPr>
        <w:pBdr>
          <w:top w:val="nil"/>
          <w:left w:val="nil"/>
          <w:bottom w:val="nil"/>
          <w:right w:val="nil"/>
          <w:between w:val="nil"/>
        </w:pBdr>
        <w:spacing w:before="120" w:after="180"/>
      </w:pPr>
      <w:r>
        <w:rPr>
          <w:color w:val="000000"/>
        </w:rPr>
        <w:t>Investigator’s decision = 1.8%</w:t>
      </w:r>
    </w:p>
    <w:p w14:paraId="00000227" w14:textId="77777777" w:rsidR="00171E65" w:rsidRDefault="001F5E2A">
      <w:r>
        <w:t xml:space="preserve">Of the patient population with </w:t>
      </w:r>
      <w:r>
        <w:rPr>
          <w:i/>
        </w:rPr>
        <w:t>RET</w:t>
      </w:r>
      <w:r>
        <w:t xml:space="preserve"> mutant MTC with measurable disease who received no prior </w:t>
      </w:r>
      <w:proofErr w:type="spellStart"/>
      <w:r>
        <w:t>cabozantinib</w:t>
      </w:r>
      <w:proofErr w:type="spellEnd"/>
      <w:r>
        <w:t xml:space="preserve"> and/or </w:t>
      </w:r>
      <w:proofErr w:type="spellStart"/>
      <w:r>
        <w:t>vandetanib</w:t>
      </w:r>
      <w:proofErr w:type="spellEnd"/>
      <w:r>
        <w:t xml:space="preserve"> (n = 29):</w:t>
      </w:r>
    </w:p>
    <w:p w14:paraId="00000228" w14:textId="77777777" w:rsidR="00171E65" w:rsidRDefault="001F5E2A">
      <w:pPr>
        <w:numPr>
          <w:ilvl w:val="0"/>
          <w:numId w:val="7"/>
        </w:numPr>
        <w:pBdr>
          <w:top w:val="nil"/>
          <w:left w:val="nil"/>
          <w:bottom w:val="nil"/>
          <w:right w:val="nil"/>
          <w:between w:val="nil"/>
        </w:pBdr>
        <w:spacing w:before="120" w:after="180"/>
      </w:pPr>
      <w:r>
        <w:rPr>
          <w:color w:val="000000"/>
        </w:rPr>
        <w:t xml:space="preserve">24% discontinued from </w:t>
      </w:r>
      <w:proofErr w:type="gramStart"/>
      <w:r>
        <w:rPr>
          <w:color w:val="000000"/>
        </w:rPr>
        <w:t>treatment</w:t>
      </w:r>
      <w:proofErr w:type="gramEnd"/>
    </w:p>
    <w:p w14:paraId="00000229" w14:textId="77777777" w:rsidR="00171E65" w:rsidRDefault="001F5E2A">
      <w:pPr>
        <w:numPr>
          <w:ilvl w:val="0"/>
          <w:numId w:val="7"/>
        </w:numPr>
        <w:pBdr>
          <w:top w:val="nil"/>
          <w:left w:val="nil"/>
          <w:bottom w:val="nil"/>
          <w:right w:val="nil"/>
          <w:between w:val="nil"/>
        </w:pBdr>
        <w:spacing w:before="120" w:after="180"/>
      </w:pPr>
      <w:r>
        <w:rPr>
          <w:color w:val="000000"/>
        </w:rPr>
        <w:t xml:space="preserve">17% discontinued from </w:t>
      </w:r>
      <w:proofErr w:type="gramStart"/>
      <w:r>
        <w:rPr>
          <w:color w:val="000000"/>
        </w:rPr>
        <w:t>study</w:t>
      </w:r>
      <w:proofErr w:type="gramEnd"/>
    </w:p>
    <w:p w14:paraId="0000022A" w14:textId="77777777" w:rsidR="00171E65" w:rsidRDefault="001F5E2A">
      <w:pPr>
        <w:numPr>
          <w:ilvl w:val="0"/>
          <w:numId w:val="7"/>
        </w:numPr>
        <w:pBdr>
          <w:top w:val="nil"/>
          <w:left w:val="nil"/>
          <w:bottom w:val="nil"/>
          <w:right w:val="nil"/>
          <w:between w:val="nil"/>
        </w:pBdr>
        <w:spacing w:before="120" w:after="180"/>
      </w:pPr>
      <w:r>
        <w:rPr>
          <w:color w:val="000000"/>
        </w:rPr>
        <w:t>Reasons for discontinuation of treatment:</w:t>
      </w:r>
    </w:p>
    <w:p w14:paraId="0000022B" w14:textId="77777777" w:rsidR="00171E65" w:rsidRDefault="001F5E2A">
      <w:pPr>
        <w:numPr>
          <w:ilvl w:val="1"/>
          <w:numId w:val="7"/>
        </w:numPr>
        <w:pBdr>
          <w:top w:val="nil"/>
          <w:left w:val="nil"/>
          <w:bottom w:val="nil"/>
          <w:right w:val="nil"/>
          <w:between w:val="nil"/>
        </w:pBdr>
        <w:spacing w:before="120" w:after="180"/>
      </w:pPr>
      <w:r>
        <w:rPr>
          <w:color w:val="000000"/>
        </w:rPr>
        <w:t>PD = 7%</w:t>
      </w:r>
    </w:p>
    <w:p w14:paraId="0000022C" w14:textId="77777777" w:rsidR="00171E65" w:rsidRDefault="001F5E2A">
      <w:pPr>
        <w:numPr>
          <w:ilvl w:val="1"/>
          <w:numId w:val="7"/>
        </w:numPr>
        <w:pBdr>
          <w:top w:val="nil"/>
          <w:left w:val="nil"/>
          <w:bottom w:val="nil"/>
          <w:right w:val="nil"/>
          <w:between w:val="nil"/>
        </w:pBdr>
        <w:spacing w:before="120" w:after="180"/>
      </w:pPr>
      <w:r>
        <w:rPr>
          <w:color w:val="000000"/>
        </w:rPr>
        <w:t>AEs (except disease progression) = 14%</w:t>
      </w:r>
    </w:p>
    <w:p w14:paraId="0000022D" w14:textId="77777777" w:rsidR="00171E65" w:rsidRDefault="001F5E2A">
      <w:pPr>
        <w:numPr>
          <w:ilvl w:val="1"/>
          <w:numId w:val="7"/>
        </w:numPr>
        <w:pBdr>
          <w:top w:val="nil"/>
          <w:left w:val="nil"/>
          <w:bottom w:val="nil"/>
          <w:right w:val="nil"/>
          <w:between w:val="nil"/>
        </w:pBdr>
        <w:spacing w:before="120" w:after="180"/>
      </w:pPr>
      <w:r>
        <w:rPr>
          <w:color w:val="000000"/>
        </w:rPr>
        <w:t>Related AEs = 10%</w:t>
      </w:r>
    </w:p>
    <w:p w14:paraId="0000022E" w14:textId="77777777" w:rsidR="00171E65" w:rsidRDefault="001F5E2A">
      <w:pPr>
        <w:numPr>
          <w:ilvl w:val="1"/>
          <w:numId w:val="7"/>
        </w:numPr>
        <w:pBdr>
          <w:top w:val="nil"/>
          <w:left w:val="nil"/>
          <w:bottom w:val="nil"/>
          <w:right w:val="nil"/>
          <w:between w:val="nil"/>
        </w:pBdr>
        <w:spacing w:before="120" w:after="180"/>
      </w:pPr>
      <w:r>
        <w:rPr>
          <w:color w:val="000000"/>
        </w:rPr>
        <w:t>Death = 0</w:t>
      </w:r>
    </w:p>
    <w:p w14:paraId="33B677B2" w14:textId="6B1D35F8" w:rsidR="000121EF" w:rsidRPr="000121EF" w:rsidRDefault="009F791C">
      <w:pPr>
        <w:numPr>
          <w:ilvl w:val="1"/>
          <w:numId w:val="7"/>
        </w:numPr>
        <w:pBdr>
          <w:top w:val="nil"/>
          <w:left w:val="nil"/>
          <w:bottom w:val="nil"/>
          <w:right w:val="nil"/>
          <w:between w:val="nil"/>
        </w:pBdr>
        <w:spacing w:before="120" w:after="180"/>
      </w:pPr>
      <w:sdt>
        <w:sdtPr>
          <w:tag w:val="goog_rdk_34"/>
          <w:id w:val="-366300162"/>
        </w:sdtPr>
        <w:sdtEndPr/>
        <w:sdtContent/>
      </w:sdt>
      <w:r w:rsidR="001F5E2A">
        <w:rPr>
          <w:color w:val="000000"/>
        </w:rPr>
        <w:t>Withdrawal of consent = 0</w:t>
      </w:r>
    </w:p>
    <w:p w14:paraId="00000230" w14:textId="5AAC66CD" w:rsidR="00171E65" w:rsidRDefault="001F5E2A">
      <w:pPr>
        <w:numPr>
          <w:ilvl w:val="1"/>
          <w:numId w:val="7"/>
        </w:numPr>
        <w:pBdr>
          <w:top w:val="nil"/>
          <w:left w:val="nil"/>
          <w:bottom w:val="nil"/>
          <w:right w:val="nil"/>
          <w:between w:val="nil"/>
        </w:pBdr>
        <w:spacing w:before="120" w:after="180"/>
      </w:pPr>
      <w:r>
        <w:rPr>
          <w:color w:val="000000"/>
        </w:rPr>
        <w:t>Investigator’s decision = 0</w:t>
      </w:r>
    </w:p>
    <w:p w14:paraId="00000231" w14:textId="77777777" w:rsidR="00171E65" w:rsidRDefault="001F5E2A">
      <w:pPr>
        <w:numPr>
          <w:ilvl w:val="0"/>
          <w:numId w:val="7"/>
        </w:numPr>
        <w:pBdr>
          <w:top w:val="nil"/>
          <w:left w:val="nil"/>
          <w:bottom w:val="nil"/>
          <w:right w:val="nil"/>
          <w:between w:val="nil"/>
        </w:pBdr>
        <w:spacing w:before="120" w:after="180"/>
      </w:pPr>
      <w:r>
        <w:rPr>
          <w:color w:val="000000"/>
        </w:rPr>
        <w:t>Reasons for discontinuation of study:</w:t>
      </w:r>
    </w:p>
    <w:p w14:paraId="00000232" w14:textId="77777777" w:rsidR="00171E65" w:rsidRDefault="001F5E2A">
      <w:pPr>
        <w:numPr>
          <w:ilvl w:val="1"/>
          <w:numId w:val="7"/>
        </w:numPr>
        <w:pBdr>
          <w:top w:val="nil"/>
          <w:left w:val="nil"/>
          <w:bottom w:val="nil"/>
          <w:right w:val="nil"/>
          <w:between w:val="nil"/>
        </w:pBdr>
        <w:spacing w:before="120" w:after="180"/>
      </w:pPr>
      <w:r>
        <w:rPr>
          <w:color w:val="000000"/>
        </w:rPr>
        <w:t>PD = 3.4%</w:t>
      </w:r>
    </w:p>
    <w:p w14:paraId="00000233" w14:textId="77777777" w:rsidR="00171E65" w:rsidRDefault="001F5E2A">
      <w:pPr>
        <w:numPr>
          <w:ilvl w:val="1"/>
          <w:numId w:val="7"/>
        </w:numPr>
        <w:pBdr>
          <w:top w:val="nil"/>
          <w:left w:val="nil"/>
          <w:bottom w:val="nil"/>
          <w:right w:val="nil"/>
          <w:between w:val="nil"/>
        </w:pBdr>
        <w:spacing w:before="120" w:after="180"/>
      </w:pPr>
      <w:r>
        <w:rPr>
          <w:color w:val="000000"/>
        </w:rPr>
        <w:lastRenderedPageBreak/>
        <w:t>AEs = 0</w:t>
      </w:r>
    </w:p>
    <w:p w14:paraId="00000234" w14:textId="77777777" w:rsidR="00171E65" w:rsidRDefault="001F5E2A">
      <w:pPr>
        <w:numPr>
          <w:ilvl w:val="0"/>
          <w:numId w:val="9"/>
        </w:numPr>
        <w:pBdr>
          <w:top w:val="nil"/>
          <w:left w:val="nil"/>
          <w:bottom w:val="nil"/>
          <w:right w:val="nil"/>
          <w:between w:val="nil"/>
        </w:pBdr>
        <w:spacing w:before="120" w:after="180"/>
      </w:pPr>
      <w:r>
        <w:rPr>
          <w:color w:val="000000"/>
        </w:rPr>
        <w:t>Related AEs = 0</w:t>
      </w:r>
    </w:p>
    <w:p w14:paraId="00000235" w14:textId="77777777" w:rsidR="00171E65" w:rsidRDefault="001F5E2A">
      <w:pPr>
        <w:numPr>
          <w:ilvl w:val="1"/>
          <w:numId w:val="7"/>
        </w:numPr>
        <w:pBdr>
          <w:top w:val="nil"/>
          <w:left w:val="nil"/>
          <w:bottom w:val="nil"/>
          <w:right w:val="nil"/>
          <w:between w:val="nil"/>
        </w:pBdr>
        <w:spacing w:before="120" w:after="180"/>
      </w:pPr>
      <w:r>
        <w:rPr>
          <w:color w:val="000000"/>
        </w:rPr>
        <w:t>Death = 10%</w:t>
      </w:r>
    </w:p>
    <w:p w14:paraId="00000236" w14:textId="77777777" w:rsidR="00171E65" w:rsidRDefault="001F5E2A">
      <w:pPr>
        <w:numPr>
          <w:ilvl w:val="1"/>
          <w:numId w:val="7"/>
        </w:numPr>
        <w:pBdr>
          <w:top w:val="nil"/>
          <w:left w:val="nil"/>
          <w:bottom w:val="nil"/>
          <w:right w:val="nil"/>
          <w:between w:val="nil"/>
        </w:pBdr>
        <w:spacing w:before="120" w:after="180"/>
      </w:pPr>
      <w:r>
        <w:rPr>
          <w:color w:val="000000"/>
        </w:rPr>
        <w:t>Withdrawal of consent = 3.4%</w:t>
      </w:r>
    </w:p>
    <w:p w14:paraId="00000237" w14:textId="77777777" w:rsidR="00171E65" w:rsidRDefault="001F5E2A">
      <w:pPr>
        <w:numPr>
          <w:ilvl w:val="1"/>
          <w:numId w:val="7"/>
        </w:numPr>
        <w:pBdr>
          <w:top w:val="nil"/>
          <w:left w:val="nil"/>
          <w:bottom w:val="nil"/>
          <w:right w:val="nil"/>
          <w:between w:val="nil"/>
        </w:pBdr>
        <w:spacing w:before="120" w:after="180"/>
      </w:pPr>
      <w:r>
        <w:rPr>
          <w:color w:val="000000"/>
        </w:rPr>
        <w:t>Investigator’s decision = 0</w:t>
      </w:r>
    </w:p>
    <w:p w14:paraId="00000238" w14:textId="77777777" w:rsidR="00171E65" w:rsidRDefault="001F5E2A">
      <w:r>
        <w:t xml:space="preserve">Of the patient population with </w:t>
      </w:r>
      <w:r>
        <w:rPr>
          <w:i/>
        </w:rPr>
        <w:t>RET</w:t>
      </w:r>
      <w:r>
        <w:t xml:space="preserve"> fusion positive thyroid cancer with measurable disease (n = 9):</w:t>
      </w:r>
    </w:p>
    <w:p w14:paraId="00000239" w14:textId="77777777" w:rsidR="00171E65" w:rsidRDefault="001F5E2A">
      <w:pPr>
        <w:numPr>
          <w:ilvl w:val="0"/>
          <w:numId w:val="7"/>
        </w:numPr>
        <w:pBdr>
          <w:top w:val="nil"/>
          <w:left w:val="nil"/>
          <w:bottom w:val="nil"/>
          <w:right w:val="nil"/>
          <w:between w:val="nil"/>
        </w:pBdr>
        <w:spacing w:before="120" w:after="180"/>
      </w:pPr>
      <w:r>
        <w:rPr>
          <w:color w:val="000000"/>
        </w:rPr>
        <w:t xml:space="preserve">22.2% discontinued from treatment; one patient discontinued due to </w:t>
      </w:r>
      <w:proofErr w:type="gramStart"/>
      <w:r>
        <w:rPr>
          <w:color w:val="000000"/>
        </w:rPr>
        <w:t>AE</w:t>
      </w:r>
      <w:proofErr w:type="gramEnd"/>
      <w:r>
        <w:rPr>
          <w:color w:val="000000"/>
        </w:rPr>
        <w:t xml:space="preserve"> and one withdrew consent.</w:t>
      </w:r>
    </w:p>
    <w:p w14:paraId="0000023A" w14:textId="77777777" w:rsidR="00171E65" w:rsidRDefault="001F5E2A">
      <w:pPr>
        <w:pStyle w:val="Heading6"/>
      </w:pPr>
      <w:r>
        <w:t>Protocol violations</w:t>
      </w:r>
    </w:p>
    <w:p w14:paraId="0000023B" w14:textId="77777777" w:rsidR="00171E65" w:rsidRDefault="001F5E2A">
      <w:r>
        <w:t xml:space="preserve">Two major protocol deviations were reported in the efficacy population comprised of patients with </w:t>
      </w:r>
      <w:r>
        <w:rPr>
          <w:i/>
        </w:rPr>
        <w:t>RET</w:t>
      </w:r>
      <w:r>
        <w:t xml:space="preserve"> mutant MTC treated at 400 mg (n = 92), with two patients found to have co-existing driver mutations in cell free DNA (excluded from response evaluable population but included in the measurable disease population).</w:t>
      </w:r>
    </w:p>
    <w:p w14:paraId="0000023C" w14:textId="77777777" w:rsidR="00171E65" w:rsidRDefault="001F5E2A">
      <w:pPr>
        <w:pStyle w:val="Heading6"/>
      </w:pPr>
      <w:r>
        <w:t>Key demographic and other baseline characteristics</w:t>
      </w:r>
    </w:p>
    <w:p w14:paraId="0000023D" w14:textId="77777777" w:rsidR="00171E65" w:rsidRDefault="001F5E2A">
      <w:r>
        <w:t xml:space="preserve">RET mutation positive MTC (measurable disease population) who received prior </w:t>
      </w:r>
      <w:proofErr w:type="spellStart"/>
      <w:r>
        <w:t>cabozantinib</w:t>
      </w:r>
      <w:proofErr w:type="spellEnd"/>
      <w:r>
        <w:t xml:space="preserve"> and/or </w:t>
      </w:r>
      <w:proofErr w:type="spellStart"/>
      <w:r>
        <w:t>vandetanib</w:t>
      </w:r>
      <w:proofErr w:type="spellEnd"/>
      <w:r>
        <w:t xml:space="preserve"> (n = 55):</w:t>
      </w:r>
    </w:p>
    <w:p w14:paraId="0000023E" w14:textId="77777777" w:rsidR="00171E65" w:rsidRDefault="001F5E2A">
      <w:pPr>
        <w:numPr>
          <w:ilvl w:val="0"/>
          <w:numId w:val="7"/>
        </w:numPr>
        <w:pBdr>
          <w:top w:val="nil"/>
          <w:left w:val="nil"/>
          <w:bottom w:val="nil"/>
          <w:right w:val="nil"/>
          <w:between w:val="nil"/>
        </w:pBdr>
        <w:spacing w:before="120" w:after="180"/>
      </w:pPr>
      <w:r>
        <w:rPr>
          <w:color w:val="000000"/>
        </w:rPr>
        <w:t>median age (min, max) = 59 (25, 83)</w:t>
      </w:r>
    </w:p>
    <w:p w14:paraId="0000023F" w14:textId="77777777" w:rsidR="00171E65" w:rsidRDefault="001F5E2A">
      <w:pPr>
        <w:numPr>
          <w:ilvl w:val="0"/>
          <w:numId w:val="7"/>
        </w:numPr>
        <w:pBdr>
          <w:top w:val="nil"/>
          <w:left w:val="nil"/>
          <w:bottom w:val="nil"/>
          <w:right w:val="nil"/>
          <w:between w:val="nil"/>
        </w:pBdr>
        <w:spacing w:before="120" w:after="180"/>
      </w:pPr>
      <w:r>
        <w:rPr>
          <w:color w:val="000000"/>
        </w:rPr>
        <w:t>female = 31%</w:t>
      </w:r>
    </w:p>
    <w:p w14:paraId="00000240" w14:textId="77777777" w:rsidR="00171E65" w:rsidRDefault="001F5E2A">
      <w:pPr>
        <w:numPr>
          <w:ilvl w:val="0"/>
          <w:numId w:val="7"/>
        </w:numPr>
        <w:pBdr>
          <w:top w:val="nil"/>
          <w:left w:val="nil"/>
          <w:bottom w:val="nil"/>
          <w:right w:val="nil"/>
          <w:between w:val="nil"/>
        </w:pBdr>
        <w:spacing w:before="120" w:after="180"/>
      </w:pPr>
      <w:r>
        <w:rPr>
          <w:color w:val="000000"/>
        </w:rPr>
        <w:t>race: White = 78%; Asian = 5%, unknown = 15%</w:t>
      </w:r>
    </w:p>
    <w:p w14:paraId="00000241" w14:textId="77777777" w:rsidR="00171E65" w:rsidRDefault="001F5E2A">
      <w:pPr>
        <w:numPr>
          <w:ilvl w:val="0"/>
          <w:numId w:val="7"/>
        </w:numPr>
        <w:pBdr>
          <w:top w:val="nil"/>
          <w:left w:val="nil"/>
          <w:bottom w:val="nil"/>
          <w:right w:val="nil"/>
          <w:between w:val="nil"/>
        </w:pBdr>
        <w:spacing w:before="120" w:after="180"/>
      </w:pPr>
      <w:r>
        <w:rPr>
          <w:color w:val="000000"/>
        </w:rPr>
        <w:t>region: US = 36%; Europe = 58%; Asia = 5%</w:t>
      </w:r>
    </w:p>
    <w:p w14:paraId="00000242" w14:textId="77777777" w:rsidR="00171E65" w:rsidRDefault="001F5E2A">
      <w:pPr>
        <w:numPr>
          <w:ilvl w:val="0"/>
          <w:numId w:val="7"/>
        </w:numPr>
        <w:pBdr>
          <w:top w:val="nil"/>
          <w:left w:val="nil"/>
          <w:bottom w:val="nil"/>
          <w:right w:val="nil"/>
          <w:between w:val="nil"/>
        </w:pBdr>
        <w:spacing w:before="120" w:after="180"/>
      </w:pPr>
      <w:r>
        <w:rPr>
          <w:color w:val="000000"/>
        </w:rPr>
        <w:t>ECOG 0 = 27%, ECOG 1 = 67%, ECOG 2 = 5%</w:t>
      </w:r>
    </w:p>
    <w:p w14:paraId="00000243" w14:textId="77777777" w:rsidR="00171E65" w:rsidRDefault="001F5E2A">
      <w:pPr>
        <w:numPr>
          <w:ilvl w:val="0"/>
          <w:numId w:val="7"/>
        </w:numPr>
        <w:pBdr>
          <w:top w:val="nil"/>
          <w:left w:val="nil"/>
          <w:bottom w:val="nil"/>
          <w:right w:val="nil"/>
          <w:between w:val="nil"/>
        </w:pBdr>
        <w:spacing w:before="120" w:after="180"/>
      </w:pPr>
      <w:r>
        <w:rPr>
          <w:color w:val="000000"/>
        </w:rPr>
        <w:t xml:space="preserve">MKIs: </w:t>
      </w:r>
      <w:proofErr w:type="spellStart"/>
      <w:r>
        <w:rPr>
          <w:color w:val="000000"/>
        </w:rPr>
        <w:t>Cabozantinib</w:t>
      </w:r>
      <w:proofErr w:type="spellEnd"/>
      <w:r>
        <w:rPr>
          <w:color w:val="000000"/>
        </w:rPr>
        <w:t xml:space="preserve"> only = 18%; </w:t>
      </w:r>
      <w:proofErr w:type="spellStart"/>
      <w:r>
        <w:rPr>
          <w:color w:val="000000"/>
        </w:rPr>
        <w:t>vandetanib</w:t>
      </w:r>
      <w:proofErr w:type="spellEnd"/>
      <w:r>
        <w:rPr>
          <w:color w:val="000000"/>
        </w:rPr>
        <w:t xml:space="preserve"> only = 42%</w:t>
      </w:r>
    </w:p>
    <w:p w14:paraId="00000244" w14:textId="77777777" w:rsidR="00171E65" w:rsidRDefault="001F5E2A">
      <w:r>
        <w:rPr>
          <w:i/>
        </w:rPr>
        <w:t xml:space="preserve">RET </w:t>
      </w:r>
      <w:r>
        <w:t xml:space="preserve">mutant MTC with measurable disease who received no prior </w:t>
      </w:r>
      <w:proofErr w:type="spellStart"/>
      <w:r>
        <w:t>cabozantinib</w:t>
      </w:r>
      <w:proofErr w:type="spellEnd"/>
      <w:r>
        <w:t xml:space="preserve"> and/or </w:t>
      </w:r>
      <w:proofErr w:type="spellStart"/>
      <w:r>
        <w:t>vandetanib</w:t>
      </w:r>
      <w:proofErr w:type="spellEnd"/>
      <w:r>
        <w:t xml:space="preserve"> (n = 29):</w:t>
      </w:r>
    </w:p>
    <w:p w14:paraId="00000245" w14:textId="77777777" w:rsidR="00171E65" w:rsidRDefault="001F5E2A">
      <w:pPr>
        <w:numPr>
          <w:ilvl w:val="0"/>
          <w:numId w:val="7"/>
        </w:numPr>
        <w:pBdr>
          <w:top w:val="nil"/>
          <w:left w:val="nil"/>
          <w:bottom w:val="nil"/>
          <w:right w:val="nil"/>
          <w:between w:val="nil"/>
        </w:pBdr>
        <w:spacing w:before="120" w:after="180"/>
      </w:pPr>
      <w:r>
        <w:rPr>
          <w:color w:val="000000"/>
        </w:rPr>
        <w:t>median age (min, max) = 61 (19, 81)</w:t>
      </w:r>
    </w:p>
    <w:p w14:paraId="00000246" w14:textId="77777777" w:rsidR="00171E65" w:rsidRDefault="001F5E2A">
      <w:pPr>
        <w:numPr>
          <w:ilvl w:val="0"/>
          <w:numId w:val="7"/>
        </w:numPr>
        <w:pBdr>
          <w:top w:val="nil"/>
          <w:left w:val="nil"/>
          <w:bottom w:val="nil"/>
          <w:right w:val="nil"/>
          <w:between w:val="nil"/>
        </w:pBdr>
        <w:spacing w:before="120" w:after="180"/>
      </w:pPr>
      <w:r>
        <w:rPr>
          <w:color w:val="000000"/>
        </w:rPr>
        <w:t>female = 28%</w:t>
      </w:r>
    </w:p>
    <w:p w14:paraId="00000247" w14:textId="77777777" w:rsidR="00171E65" w:rsidRDefault="001F5E2A">
      <w:pPr>
        <w:numPr>
          <w:ilvl w:val="0"/>
          <w:numId w:val="7"/>
        </w:numPr>
        <w:pBdr>
          <w:top w:val="nil"/>
          <w:left w:val="nil"/>
          <w:bottom w:val="nil"/>
          <w:right w:val="nil"/>
          <w:between w:val="nil"/>
        </w:pBdr>
        <w:spacing w:before="120" w:after="180"/>
      </w:pPr>
      <w:r>
        <w:rPr>
          <w:color w:val="000000"/>
        </w:rPr>
        <w:t>race: White = 76%; Asian = 17%, unknown = 3.4%</w:t>
      </w:r>
    </w:p>
    <w:p w14:paraId="00000248" w14:textId="77777777" w:rsidR="00171E65" w:rsidRDefault="001F5E2A">
      <w:pPr>
        <w:numPr>
          <w:ilvl w:val="0"/>
          <w:numId w:val="7"/>
        </w:numPr>
        <w:pBdr>
          <w:top w:val="nil"/>
          <w:left w:val="nil"/>
          <w:bottom w:val="nil"/>
          <w:right w:val="nil"/>
          <w:between w:val="nil"/>
        </w:pBdr>
        <w:spacing w:before="120" w:after="180"/>
      </w:pPr>
      <w:r>
        <w:rPr>
          <w:color w:val="000000"/>
        </w:rPr>
        <w:t>region: US = 72%; Europe = 14%; Asia = 14%</w:t>
      </w:r>
    </w:p>
    <w:p w14:paraId="00000249" w14:textId="77777777" w:rsidR="00171E65" w:rsidRDefault="001F5E2A">
      <w:pPr>
        <w:numPr>
          <w:ilvl w:val="0"/>
          <w:numId w:val="7"/>
        </w:numPr>
        <w:pBdr>
          <w:top w:val="nil"/>
          <w:left w:val="nil"/>
          <w:bottom w:val="nil"/>
          <w:right w:val="nil"/>
          <w:between w:val="nil"/>
        </w:pBdr>
        <w:spacing w:before="120" w:after="180"/>
      </w:pPr>
      <w:r>
        <w:rPr>
          <w:color w:val="000000"/>
        </w:rPr>
        <w:t>ECOG 0 = 62%, ECOG 1 = 38%,</w:t>
      </w:r>
    </w:p>
    <w:p w14:paraId="0000024A" w14:textId="77777777" w:rsidR="00171E65" w:rsidRDefault="001F5E2A">
      <w:r>
        <w:t>RET fusion positive thyroid cancer with measurable disease (n = 9):</w:t>
      </w:r>
    </w:p>
    <w:p w14:paraId="0000024B" w14:textId="77777777" w:rsidR="00171E65" w:rsidRDefault="001F5E2A">
      <w:pPr>
        <w:numPr>
          <w:ilvl w:val="0"/>
          <w:numId w:val="7"/>
        </w:numPr>
        <w:pBdr>
          <w:top w:val="nil"/>
          <w:left w:val="nil"/>
          <w:bottom w:val="nil"/>
          <w:right w:val="nil"/>
          <w:between w:val="nil"/>
        </w:pBdr>
        <w:spacing w:before="120" w:after="180"/>
      </w:pPr>
      <w:r>
        <w:rPr>
          <w:color w:val="000000"/>
        </w:rPr>
        <w:t>median age (min, max) = 61 (46, 74)</w:t>
      </w:r>
    </w:p>
    <w:p w14:paraId="0000024C" w14:textId="77777777" w:rsidR="00171E65" w:rsidRDefault="001F5E2A">
      <w:pPr>
        <w:numPr>
          <w:ilvl w:val="0"/>
          <w:numId w:val="7"/>
        </w:numPr>
        <w:pBdr>
          <w:top w:val="nil"/>
          <w:left w:val="nil"/>
          <w:bottom w:val="nil"/>
          <w:right w:val="nil"/>
          <w:between w:val="nil"/>
        </w:pBdr>
        <w:spacing w:before="120" w:after="180"/>
      </w:pPr>
      <w:r>
        <w:rPr>
          <w:color w:val="000000"/>
        </w:rPr>
        <w:t>female = 33%</w:t>
      </w:r>
    </w:p>
    <w:p w14:paraId="0000024D" w14:textId="77777777" w:rsidR="00171E65" w:rsidRDefault="001F5E2A">
      <w:pPr>
        <w:numPr>
          <w:ilvl w:val="0"/>
          <w:numId w:val="7"/>
        </w:numPr>
        <w:pBdr>
          <w:top w:val="nil"/>
          <w:left w:val="nil"/>
          <w:bottom w:val="nil"/>
          <w:right w:val="nil"/>
          <w:between w:val="nil"/>
        </w:pBdr>
        <w:spacing w:before="120" w:after="180"/>
      </w:pPr>
      <w:r>
        <w:rPr>
          <w:color w:val="000000"/>
        </w:rPr>
        <w:t>race: White = 78%; Asian = 22%</w:t>
      </w:r>
    </w:p>
    <w:p w14:paraId="0000024E" w14:textId="77777777" w:rsidR="00171E65" w:rsidRDefault="001F5E2A">
      <w:pPr>
        <w:numPr>
          <w:ilvl w:val="0"/>
          <w:numId w:val="7"/>
        </w:numPr>
        <w:pBdr>
          <w:top w:val="nil"/>
          <w:left w:val="nil"/>
          <w:bottom w:val="nil"/>
          <w:right w:val="nil"/>
          <w:between w:val="nil"/>
        </w:pBdr>
        <w:spacing w:before="120" w:after="180"/>
      </w:pPr>
      <w:r>
        <w:rPr>
          <w:color w:val="000000"/>
        </w:rPr>
        <w:lastRenderedPageBreak/>
        <w:t xml:space="preserve">region: US = 67%; Europe = 33% </w:t>
      </w:r>
    </w:p>
    <w:p w14:paraId="0000024F" w14:textId="77777777" w:rsidR="00171E65" w:rsidRDefault="001F5E2A">
      <w:pPr>
        <w:numPr>
          <w:ilvl w:val="0"/>
          <w:numId w:val="7"/>
        </w:numPr>
        <w:pBdr>
          <w:top w:val="nil"/>
          <w:left w:val="nil"/>
          <w:bottom w:val="nil"/>
          <w:right w:val="nil"/>
          <w:between w:val="nil"/>
        </w:pBdr>
        <w:spacing w:before="120" w:after="180"/>
      </w:pPr>
      <w:r>
        <w:rPr>
          <w:color w:val="000000"/>
        </w:rPr>
        <w:t xml:space="preserve">All patients were considered to be RAI </w:t>
      </w:r>
      <w:proofErr w:type="gramStart"/>
      <w:r>
        <w:rPr>
          <w:color w:val="000000"/>
        </w:rPr>
        <w:t>refractory</w:t>
      </w:r>
      <w:proofErr w:type="gramEnd"/>
    </w:p>
    <w:p w14:paraId="00000250" w14:textId="77777777" w:rsidR="00171E65" w:rsidRDefault="001F5E2A">
      <w:pPr>
        <w:pStyle w:val="Heading6"/>
      </w:pPr>
      <w:r>
        <w:t>Efficacy results – primary endpoint</w:t>
      </w:r>
    </w:p>
    <w:p w14:paraId="00000251" w14:textId="77777777" w:rsidR="00171E65" w:rsidRDefault="001F5E2A">
      <w:r>
        <w:t xml:space="preserve">The ORR analysis for this evaluation was based on the data </w:t>
      </w:r>
      <w:proofErr w:type="spellStart"/>
      <w:r>
        <w:t>cutoff</w:t>
      </w:r>
      <w:proofErr w:type="spellEnd"/>
      <w:r>
        <w:t xml:space="preserve"> of 22 May 2020.</w:t>
      </w:r>
    </w:p>
    <w:p w14:paraId="00000252" w14:textId="77777777" w:rsidR="00171E65" w:rsidRDefault="001F5E2A">
      <w:r>
        <w:rPr>
          <w:i/>
        </w:rPr>
        <w:t>RET</w:t>
      </w:r>
      <w:r>
        <w:t xml:space="preserve"> mutation positive MTC (measurable disease population) who received prior </w:t>
      </w:r>
      <w:proofErr w:type="spellStart"/>
      <w:r>
        <w:t>cabozantinib</w:t>
      </w:r>
      <w:proofErr w:type="spellEnd"/>
      <w:r>
        <w:t xml:space="preserve"> and/or </w:t>
      </w:r>
      <w:proofErr w:type="spellStart"/>
      <w:r>
        <w:t>vandetanib</w:t>
      </w:r>
      <w:proofErr w:type="spellEnd"/>
      <w:r>
        <w:t xml:space="preserve"> (n = 55)</w:t>
      </w:r>
    </w:p>
    <w:p w14:paraId="00000253" w14:textId="77777777" w:rsidR="00171E65" w:rsidRDefault="001F5E2A">
      <w:pPr>
        <w:numPr>
          <w:ilvl w:val="0"/>
          <w:numId w:val="7"/>
        </w:numPr>
        <w:pBdr>
          <w:top w:val="nil"/>
          <w:left w:val="nil"/>
          <w:bottom w:val="nil"/>
          <w:right w:val="nil"/>
          <w:between w:val="nil"/>
        </w:pBdr>
        <w:spacing w:before="120" w:after="180"/>
      </w:pPr>
      <w:r>
        <w:rPr>
          <w:color w:val="000000"/>
        </w:rPr>
        <w:t>ORR = 60% (95% CI: 46, 73)</w:t>
      </w:r>
    </w:p>
    <w:p w14:paraId="00000254" w14:textId="77777777" w:rsidR="00171E65" w:rsidRDefault="001F5E2A">
      <w:pPr>
        <w:numPr>
          <w:ilvl w:val="0"/>
          <w:numId w:val="7"/>
        </w:numPr>
        <w:pBdr>
          <w:top w:val="nil"/>
          <w:left w:val="nil"/>
          <w:bottom w:val="nil"/>
          <w:right w:val="nil"/>
          <w:between w:val="nil"/>
        </w:pBdr>
        <w:spacing w:before="120" w:after="180"/>
      </w:pPr>
      <w:r>
        <w:rPr>
          <w:color w:val="000000"/>
        </w:rPr>
        <w:t>Complete response (CR) = 1.8%</w:t>
      </w:r>
    </w:p>
    <w:p w14:paraId="00000255" w14:textId="77777777" w:rsidR="00171E65" w:rsidRDefault="001F5E2A">
      <w:pPr>
        <w:numPr>
          <w:ilvl w:val="0"/>
          <w:numId w:val="7"/>
        </w:numPr>
        <w:pBdr>
          <w:top w:val="nil"/>
          <w:left w:val="nil"/>
          <w:bottom w:val="nil"/>
          <w:right w:val="nil"/>
          <w:between w:val="nil"/>
        </w:pBdr>
        <w:spacing w:before="120" w:after="180"/>
      </w:pPr>
      <w:r>
        <w:rPr>
          <w:color w:val="000000"/>
        </w:rPr>
        <w:t>Partial response (PR) = 58%</w:t>
      </w:r>
    </w:p>
    <w:p w14:paraId="00000256" w14:textId="77777777" w:rsidR="00171E65" w:rsidRDefault="001F5E2A">
      <w:r>
        <w:rPr>
          <w:i/>
        </w:rPr>
        <w:t>RET</w:t>
      </w:r>
      <w:r>
        <w:t xml:space="preserve"> mutant MTC with measurable disease who received no prior </w:t>
      </w:r>
      <w:proofErr w:type="spellStart"/>
      <w:r>
        <w:t>cabozantinib</w:t>
      </w:r>
      <w:proofErr w:type="spellEnd"/>
      <w:r>
        <w:t xml:space="preserve"> and/or </w:t>
      </w:r>
      <w:proofErr w:type="spellStart"/>
      <w:r>
        <w:t>vandetanib</w:t>
      </w:r>
      <w:proofErr w:type="spellEnd"/>
      <w:r>
        <w:t xml:space="preserve"> (n = 29):</w:t>
      </w:r>
    </w:p>
    <w:p w14:paraId="00000257" w14:textId="77777777" w:rsidR="00171E65" w:rsidRDefault="001F5E2A">
      <w:pPr>
        <w:numPr>
          <w:ilvl w:val="0"/>
          <w:numId w:val="7"/>
        </w:numPr>
        <w:pBdr>
          <w:top w:val="nil"/>
          <w:left w:val="nil"/>
          <w:bottom w:val="nil"/>
          <w:right w:val="nil"/>
          <w:between w:val="nil"/>
        </w:pBdr>
        <w:spacing w:before="120" w:after="180"/>
      </w:pPr>
      <w:r>
        <w:rPr>
          <w:color w:val="000000"/>
        </w:rPr>
        <w:t>ORR = 66% (95% CI: 46, 82)</w:t>
      </w:r>
    </w:p>
    <w:p w14:paraId="00000258" w14:textId="77777777" w:rsidR="00171E65" w:rsidRDefault="001F5E2A">
      <w:pPr>
        <w:numPr>
          <w:ilvl w:val="0"/>
          <w:numId w:val="7"/>
        </w:numPr>
        <w:pBdr>
          <w:top w:val="nil"/>
          <w:left w:val="nil"/>
          <w:bottom w:val="nil"/>
          <w:right w:val="nil"/>
          <w:between w:val="nil"/>
        </w:pBdr>
        <w:spacing w:before="120" w:after="180"/>
      </w:pPr>
      <w:r>
        <w:rPr>
          <w:color w:val="000000"/>
        </w:rPr>
        <w:t>CR = 10%</w:t>
      </w:r>
    </w:p>
    <w:p w14:paraId="00000259" w14:textId="77777777" w:rsidR="00171E65" w:rsidRDefault="001F5E2A">
      <w:pPr>
        <w:numPr>
          <w:ilvl w:val="0"/>
          <w:numId w:val="7"/>
        </w:numPr>
        <w:pBdr>
          <w:top w:val="nil"/>
          <w:left w:val="nil"/>
          <w:bottom w:val="nil"/>
          <w:right w:val="nil"/>
          <w:between w:val="nil"/>
        </w:pBdr>
        <w:spacing w:before="120" w:after="180"/>
      </w:pPr>
      <w:r>
        <w:rPr>
          <w:color w:val="000000"/>
        </w:rPr>
        <w:t>PR = 55%</w:t>
      </w:r>
    </w:p>
    <w:p w14:paraId="0000025A" w14:textId="77777777" w:rsidR="00171E65" w:rsidRDefault="001F5E2A">
      <w:r>
        <w:t>RET fusion positive thyroid cancer with measurable disease (n = 9):</w:t>
      </w:r>
    </w:p>
    <w:p w14:paraId="0000025B" w14:textId="77777777" w:rsidR="00171E65" w:rsidRDefault="001F5E2A">
      <w:pPr>
        <w:numPr>
          <w:ilvl w:val="0"/>
          <w:numId w:val="7"/>
        </w:numPr>
        <w:pBdr>
          <w:top w:val="nil"/>
          <w:left w:val="nil"/>
          <w:bottom w:val="nil"/>
          <w:right w:val="nil"/>
          <w:between w:val="nil"/>
        </w:pBdr>
        <w:spacing w:before="120" w:after="180"/>
      </w:pPr>
      <w:r>
        <w:rPr>
          <w:color w:val="000000"/>
        </w:rPr>
        <w:t>ORR = 88.9% (95% CI: 51.8, 99.7)</w:t>
      </w:r>
    </w:p>
    <w:p w14:paraId="0000025C" w14:textId="77777777" w:rsidR="00171E65" w:rsidRDefault="001F5E2A">
      <w:pPr>
        <w:numPr>
          <w:ilvl w:val="0"/>
          <w:numId w:val="7"/>
        </w:numPr>
        <w:pBdr>
          <w:top w:val="nil"/>
          <w:left w:val="nil"/>
          <w:bottom w:val="nil"/>
          <w:right w:val="nil"/>
          <w:between w:val="nil"/>
        </w:pBdr>
        <w:spacing w:before="120" w:after="180"/>
      </w:pPr>
      <w:r>
        <w:rPr>
          <w:color w:val="000000"/>
        </w:rPr>
        <w:t>CR = 0</w:t>
      </w:r>
    </w:p>
    <w:p w14:paraId="0000025D" w14:textId="77777777" w:rsidR="00171E65" w:rsidRDefault="001F5E2A">
      <w:pPr>
        <w:numPr>
          <w:ilvl w:val="0"/>
          <w:numId w:val="7"/>
        </w:numPr>
        <w:pBdr>
          <w:top w:val="nil"/>
          <w:left w:val="nil"/>
          <w:bottom w:val="nil"/>
          <w:right w:val="nil"/>
          <w:between w:val="nil"/>
        </w:pBdr>
        <w:spacing w:before="120" w:after="180"/>
      </w:pPr>
      <w:r>
        <w:rPr>
          <w:color w:val="000000"/>
        </w:rPr>
        <w:t>PR = 88.9%</w:t>
      </w:r>
    </w:p>
    <w:p w14:paraId="0000025E" w14:textId="20DB1B0B" w:rsidR="00171E65" w:rsidRDefault="001F5E2A">
      <w:r>
        <w:t xml:space="preserve">Only patients with papillary thyroid cancer were included in the </w:t>
      </w:r>
      <w:r>
        <w:rPr>
          <w:i/>
        </w:rPr>
        <w:t>RET</w:t>
      </w:r>
      <w:r>
        <w:t xml:space="preserve"> fusion positive thyroid cancer with measurable disease (previously received RAI) </w:t>
      </w:r>
      <w:proofErr w:type="gramStart"/>
      <w:r>
        <w:t>population ,</w:t>
      </w:r>
      <w:proofErr w:type="gramEnd"/>
      <w:r>
        <w:t xml:space="preserve"> however, one PR and two CR were seen in patients in the ARROW trial with undifferentiated thyroid cancer, anaplastic thyroid cancer and poorly differentiated thyroid cancer </w:t>
      </w:r>
      <w:proofErr w:type="spellStart"/>
      <w:r>
        <w:t>histologies</w:t>
      </w:r>
      <w:proofErr w:type="spellEnd"/>
      <w:r>
        <w:t xml:space="preserve">. Although these patients were not included in the efficacy analysis, response and some durability </w:t>
      </w:r>
      <w:proofErr w:type="gramStart"/>
      <w:r>
        <w:t>was</w:t>
      </w:r>
      <w:proofErr w:type="gramEnd"/>
      <w:r>
        <w:t xml:space="preserve"> observed in other </w:t>
      </w:r>
      <w:proofErr w:type="spellStart"/>
      <w:r>
        <w:t>histologies</w:t>
      </w:r>
      <w:proofErr w:type="spellEnd"/>
      <w:r>
        <w:t xml:space="preserve"> which supports the benefit of </w:t>
      </w:r>
      <w:proofErr w:type="spellStart"/>
      <w:r>
        <w:t>pralsetinib</w:t>
      </w:r>
      <w:proofErr w:type="spellEnd"/>
      <w:r>
        <w:t xml:space="preserve"> in </w:t>
      </w:r>
      <w:r>
        <w:rPr>
          <w:i/>
        </w:rPr>
        <w:t xml:space="preserve">RET </w:t>
      </w:r>
      <w:r>
        <w:t xml:space="preserve">fusion positive patients with thyroid cancer who have </w:t>
      </w:r>
      <w:proofErr w:type="spellStart"/>
      <w:r>
        <w:t>histologies</w:t>
      </w:r>
      <w:proofErr w:type="spellEnd"/>
      <w:r>
        <w:t xml:space="preserve"> other than papillary thyroid cancer.</w:t>
      </w:r>
    </w:p>
    <w:p w14:paraId="0000025F" w14:textId="77777777" w:rsidR="00171E65" w:rsidRDefault="001F5E2A">
      <w:r>
        <w:t xml:space="preserve">Exploratory analysis of response rates by </w:t>
      </w:r>
      <w:r>
        <w:rPr>
          <w:i/>
        </w:rPr>
        <w:t>RET</w:t>
      </w:r>
      <w:r>
        <w:t xml:space="preserve"> mutation genotype is shown in Table 4.</w:t>
      </w:r>
    </w:p>
    <w:p w14:paraId="00000260" w14:textId="77777777" w:rsidR="00171E65" w:rsidRDefault="001F5E2A">
      <w:pPr>
        <w:keepNext/>
        <w:pBdr>
          <w:top w:val="nil"/>
          <w:left w:val="nil"/>
          <w:bottom w:val="nil"/>
          <w:right w:val="nil"/>
          <w:between w:val="nil"/>
        </w:pBdr>
        <w:spacing w:before="120"/>
        <w:rPr>
          <w:b/>
          <w:color w:val="000000"/>
        </w:rPr>
      </w:pPr>
      <w:bookmarkStart w:id="29" w:name="_heading=h.2p2csry" w:colFirst="0" w:colLast="0"/>
      <w:bookmarkEnd w:id="29"/>
      <w:r>
        <w:rPr>
          <w:b/>
          <w:color w:val="000000"/>
        </w:rPr>
        <w:t>Table 4: Exploratory analysis of response rates by RET mutation genotype</w:t>
      </w:r>
    </w:p>
    <w:p w14:paraId="00000261" w14:textId="77777777" w:rsidR="00171E65" w:rsidRDefault="001F5E2A">
      <w:r>
        <w:rPr>
          <w:noProof/>
          <w:lang w:val="en-NZ"/>
        </w:rPr>
        <w:drawing>
          <wp:inline distT="0" distB="0" distL="0" distR="0" wp14:anchorId="73503069" wp14:editId="665E2FA4">
            <wp:extent cx="5270500" cy="1412875"/>
            <wp:effectExtent l="0" t="0" r="0" b="0"/>
            <wp:docPr id="23" name="image4.png" descr="Exploratory analysis of response rates by RET mutation genotype"/>
            <wp:cNvGraphicFramePr/>
            <a:graphic xmlns:a="http://schemas.openxmlformats.org/drawingml/2006/main">
              <a:graphicData uri="http://schemas.openxmlformats.org/drawingml/2006/picture">
                <pic:pic xmlns:pic="http://schemas.openxmlformats.org/drawingml/2006/picture">
                  <pic:nvPicPr>
                    <pic:cNvPr id="0" name="image4.png" descr="Exploratory analysis of response rates by RET mutation genotype"/>
                    <pic:cNvPicPr preferRelativeResize="0"/>
                  </pic:nvPicPr>
                  <pic:blipFill>
                    <a:blip r:embed="rId26"/>
                    <a:srcRect/>
                    <a:stretch>
                      <a:fillRect/>
                    </a:stretch>
                  </pic:blipFill>
                  <pic:spPr>
                    <a:xfrm>
                      <a:off x="0" y="0"/>
                      <a:ext cx="5270500" cy="1412875"/>
                    </a:xfrm>
                    <a:prstGeom prst="rect">
                      <a:avLst/>
                    </a:prstGeom>
                    <a:ln/>
                  </pic:spPr>
                </pic:pic>
              </a:graphicData>
            </a:graphic>
          </wp:inline>
        </w:drawing>
      </w:r>
    </w:p>
    <w:p w14:paraId="00000262" w14:textId="77777777" w:rsidR="00171E65" w:rsidRDefault="001F5E2A">
      <w:r>
        <w:t xml:space="preserve">Exploratory analysis of response rates by </w:t>
      </w:r>
      <w:r>
        <w:rPr>
          <w:i/>
        </w:rPr>
        <w:t>RET</w:t>
      </w:r>
      <w:r>
        <w:t xml:space="preserve"> mutation type (hereditary versus sporadic versus unknown) is shown in Table 5.</w:t>
      </w:r>
    </w:p>
    <w:p w14:paraId="00000263" w14:textId="77777777" w:rsidR="00171E65" w:rsidRDefault="001F5E2A">
      <w:pPr>
        <w:keepNext/>
        <w:pBdr>
          <w:top w:val="nil"/>
          <w:left w:val="nil"/>
          <w:bottom w:val="nil"/>
          <w:right w:val="nil"/>
          <w:between w:val="nil"/>
        </w:pBdr>
        <w:spacing w:before="120"/>
        <w:rPr>
          <w:b/>
          <w:color w:val="000000"/>
        </w:rPr>
      </w:pPr>
      <w:bookmarkStart w:id="30" w:name="_heading=h.147n2zr" w:colFirst="0" w:colLast="0"/>
      <w:bookmarkEnd w:id="30"/>
      <w:r>
        <w:rPr>
          <w:b/>
          <w:color w:val="000000"/>
        </w:rPr>
        <w:lastRenderedPageBreak/>
        <w:t>Table 5: Exploratory analysis of response rates by RET mutation type (hereditary versus sporadic versus unknown)</w:t>
      </w:r>
    </w:p>
    <w:p w14:paraId="00000264" w14:textId="77777777" w:rsidR="00171E65" w:rsidRDefault="001F5E2A">
      <w:r>
        <w:rPr>
          <w:noProof/>
          <w:lang w:val="en-NZ"/>
        </w:rPr>
        <w:drawing>
          <wp:inline distT="0" distB="0" distL="0" distR="0" wp14:anchorId="46569E63" wp14:editId="040726D1">
            <wp:extent cx="5270500" cy="1230630"/>
            <wp:effectExtent l="0" t="0" r="0" b="0"/>
            <wp:docPr id="26" name="image5.png" descr="Exploratory analysis of response rates by RET mutation type (hereditary versus sporadic versus unknown)"/>
            <wp:cNvGraphicFramePr/>
            <a:graphic xmlns:a="http://schemas.openxmlformats.org/drawingml/2006/main">
              <a:graphicData uri="http://schemas.openxmlformats.org/drawingml/2006/picture">
                <pic:pic xmlns:pic="http://schemas.openxmlformats.org/drawingml/2006/picture">
                  <pic:nvPicPr>
                    <pic:cNvPr id="0" name="image5.png" descr="Exploratory analysis of response rates by RET mutation type (hereditary versus sporadic versus unknown)"/>
                    <pic:cNvPicPr preferRelativeResize="0"/>
                  </pic:nvPicPr>
                  <pic:blipFill>
                    <a:blip r:embed="rId27"/>
                    <a:srcRect/>
                    <a:stretch>
                      <a:fillRect/>
                    </a:stretch>
                  </pic:blipFill>
                  <pic:spPr>
                    <a:xfrm>
                      <a:off x="0" y="0"/>
                      <a:ext cx="5270500" cy="1230630"/>
                    </a:xfrm>
                    <a:prstGeom prst="rect">
                      <a:avLst/>
                    </a:prstGeom>
                    <a:ln/>
                  </pic:spPr>
                </pic:pic>
              </a:graphicData>
            </a:graphic>
          </wp:inline>
        </w:drawing>
      </w:r>
    </w:p>
    <w:p w14:paraId="00000265" w14:textId="77777777" w:rsidR="00171E65" w:rsidRDefault="001F5E2A">
      <w:pPr>
        <w:pStyle w:val="Heading6"/>
      </w:pPr>
      <w:r>
        <w:t>Efficacy results – secondary and other relevant endpoints</w:t>
      </w:r>
    </w:p>
    <w:p w14:paraId="00000266" w14:textId="2486AC93"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 xml:space="preserve">Duration of </w:t>
      </w:r>
      <w:sdt>
        <w:sdtPr>
          <w:tag w:val="goog_rdk_43"/>
          <w:id w:val="2126582133"/>
        </w:sdtPr>
        <w:sdtEndPr/>
        <w:sdtContent>
          <w:r>
            <w:rPr>
              <w:rFonts w:ascii="Calibri" w:eastAsia="Calibri" w:hAnsi="Calibri" w:cs="Calibri"/>
              <w:i/>
              <w:color w:val="1F3863"/>
            </w:rPr>
            <w:t>response</w:t>
          </w:r>
        </w:sdtContent>
      </w:sdt>
    </w:p>
    <w:p w14:paraId="00000267" w14:textId="77777777" w:rsidR="00171E65" w:rsidRDefault="001F5E2A">
      <w:r>
        <w:t>Duration of response in patients treated at 400 mg:</w:t>
      </w:r>
    </w:p>
    <w:p w14:paraId="00000268" w14:textId="77777777" w:rsidR="00171E65" w:rsidRDefault="001F5E2A">
      <w:pPr>
        <w:numPr>
          <w:ilvl w:val="0"/>
          <w:numId w:val="7"/>
        </w:numPr>
        <w:pBdr>
          <w:top w:val="nil"/>
          <w:left w:val="nil"/>
          <w:bottom w:val="nil"/>
          <w:right w:val="nil"/>
          <w:between w:val="nil"/>
        </w:pBdr>
        <w:spacing w:before="120" w:after="180"/>
      </w:pPr>
      <w:r>
        <w:rPr>
          <w:i/>
          <w:color w:val="000000"/>
        </w:rPr>
        <w:t>RET</w:t>
      </w:r>
      <w:r>
        <w:rPr>
          <w:color w:val="000000"/>
        </w:rPr>
        <w:t xml:space="preserve"> mutation positive MTC (measurable disease population) who received prior </w:t>
      </w:r>
      <w:proofErr w:type="spellStart"/>
      <w:r>
        <w:rPr>
          <w:color w:val="000000"/>
        </w:rPr>
        <w:t>cabozantinib</w:t>
      </w:r>
      <w:proofErr w:type="spellEnd"/>
      <w:r>
        <w:rPr>
          <w:color w:val="000000"/>
        </w:rPr>
        <w:t xml:space="preserve"> and/or </w:t>
      </w:r>
      <w:proofErr w:type="spellStart"/>
      <w:r>
        <w:rPr>
          <w:color w:val="000000"/>
        </w:rPr>
        <w:t>vandetanib</w:t>
      </w:r>
      <w:proofErr w:type="spellEnd"/>
      <w:r>
        <w:rPr>
          <w:color w:val="000000"/>
        </w:rPr>
        <w:t xml:space="preserve"> (n = 55)</w:t>
      </w:r>
    </w:p>
    <w:p w14:paraId="00000269" w14:textId="77777777" w:rsidR="00171E65" w:rsidRDefault="001F5E2A">
      <w:pPr>
        <w:numPr>
          <w:ilvl w:val="1"/>
          <w:numId w:val="7"/>
        </w:numPr>
        <w:pBdr>
          <w:top w:val="nil"/>
          <w:left w:val="nil"/>
          <w:bottom w:val="nil"/>
          <w:right w:val="nil"/>
          <w:between w:val="nil"/>
        </w:pBdr>
        <w:spacing w:before="120" w:after="180"/>
      </w:pPr>
      <w:r>
        <w:rPr>
          <w:color w:val="000000"/>
        </w:rPr>
        <w:t>Number of responders = 33</w:t>
      </w:r>
    </w:p>
    <w:p w14:paraId="0000026A" w14:textId="77777777" w:rsidR="00171E65" w:rsidRDefault="001F5E2A">
      <w:pPr>
        <w:numPr>
          <w:ilvl w:val="1"/>
          <w:numId w:val="7"/>
        </w:numPr>
        <w:pBdr>
          <w:top w:val="nil"/>
          <w:left w:val="nil"/>
          <w:bottom w:val="nil"/>
          <w:right w:val="nil"/>
          <w:between w:val="nil"/>
        </w:pBdr>
        <w:spacing w:before="120" w:after="180"/>
      </w:pPr>
      <w:r>
        <w:rPr>
          <w:color w:val="000000"/>
        </w:rPr>
        <w:t>Median DOR in months = NR (95% CI: 15.1, NE)</w:t>
      </w:r>
    </w:p>
    <w:p w14:paraId="0000026B" w14:textId="77777777" w:rsidR="00171E65" w:rsidRDefault="001F5E2A">
      <w:pPr>
        <w:numPr>
          <w:ilvl w:val="1"/>
          <w:numId w:val="7"/>
        </w:numPr>
        <w:pBdr>
          <w:top w:val="nil"/>
          <w:left w:val="nil"/>
          <w:bottom w:val="nil"/>
          <w:right w:val="nil"/>
          <w:between w:val="nil"/>
        </w:pBdr>
        <w:spacing w:before="120" w:after="180"/>
      </w:pPr>
      <w:r>
        <w:rPr>
          <w:color w:val="000000"/>
        </w:rPr>
        <w:t xml:space="preserve">DOR </w:t>
      </w:r>
      <w:sdt>
        <w:sdtPr>
          <w:tag w:val="goog_rdk_45"/>
          <w:id w:val="1263650204"/>
        </w:sdtPr>
        <w:sdtEndPr/>
        <w:sdtContent>
          <w:r>
            <w:rPr>
              <w:color w:val="000000"/>
            </w:rPr>
            <w:t>a</w:t>
          </w:r>
        </w:sdtContent>
      </w:sdt>
      <w:r>
        <w:rPr>
          <w:color w:val="000000"/>
        </w:rPr>
        <w:t>t least 6 months = 79%</w:t>
      </w:r>
    </w:p>
    <w:p w14:paraId="0000026C" w14:textId="77777777" w:rsidR="00171E65" w:rsidRDefault="001F5E2A">
      <w:pPr>
        <w:numPr>
          <w:ilvl w:val="0"/>
          <w:numId w:val="7"/>
        </w:numPr>
        <w:pBdr>
          <w:top w:val="nil"/>
          <w:left w:val="nil"/>
          <w:bottom w:val="nil"/>
          <w:right w:val="nil"/>
          <w:between w:val="nil"/>
        </w:pBdr>
        <w:spacing w:before="120" w:after="180"/>
      </w:pPr>
      <w:r>
        <w:rPr>
          <w:i/>
          <w:color w:val="000000"/>
        </w:rPr>
        <w:t>RET</w:t>
      </w:r>
      <w:r>
        <w:rPr>
          <w:color w:val="000000"/>
        </w:rPr>
        <w:t xml:space="preserve"> mutant MTC with measurable disease who received no prior </w:t>
      </w:r>
      <w:proofErr w:type="spellStart"/>
      <w:r>
        <w:rPr>
          <w:color w:val="000000"/>
        </w:rPr>
        <w:t>cabozantinib</w:t>
      </w:r>
      <w:proofErr w:type="spellEnd"/>
      <w:r>
        <w:rPr>
          <w:color w:val="000000"/>
        </w:rPr>
        <w:t xml:space="preserve"> and/or </w:t>
      </w:r>
      <w:proofErr w:type="spellStart"/>
      <w:r>
        <w:rPr>
          <w:color w:val="000000"/>
        </w:rPr>
        <w:t>vandetanib</w:t>
      </w:r>
      <w:proofErr w:type="spellEnd"/>
      <w:r>
        <w:rPr>
          <w:color w:val="000000"/>
        </w:rPr>
        <w:t xml:space="preserve"> (n = 29):</w:t>
      </w:r>
    </w:p>
    <w:p w14:paraId="0000026D" w14:textId="77777777" w:rsidR="00171E65" w:rsidRDefault="001F5E2A">
      <w:pPr>
        <w:numPr>
          <w:ilvl w:val="1"/>
          <w:numId w:val="7"/>
        </w:numPr>
        <w:pBdr>
          <w:top w:val="nil"/>
          <w:left w:val="nil"/>
          <w:bottom w:val="nil"/>
          <w:right w:val="nil"/>
          <w:between w:val="nil"/>
        </w:pBdr>
        <w:spacing w:before="120" w:after="180"/>
      </w:pPr>
      <w:r>
        <w:rPr>
          <w:color w:val="000000"/>
        </w:rPr>
        <w:t>Number of responders = 19</w:t>
      </w:r>
    </w:p>
    <w:p w14:paraId="0000026E" w14:textId="77777777" w:rsidR="00171E65" w:rsidRDefault="001F5E2A">
      <w:pPr>
        <w:numPr>
          <w:ilvl w:val="1"/>
          <w:numId w:val="7"/>
        </w:numPr>
        <w:pBdr>
          <w:top w:val="nil"/>
          <w:left w:val="nil"/>
          <w:bottom w:val="nil"/>
          <w:right w:val="nil"/>
          <w:between w:val="nil"/>
        </w:pBdr>
        <w:spacing w:before="120" w:after="180"/>
      </w:pPr>
      <w:r>
        <w:rPr>
          <w:color w:val="000000"/>
        </w:rPr>
        <w:t>Median DOR in months = NR (95% CI: NE, NE)</w:t>
      </w:r>
    </w:p>
    <w:p w14:paraId="0000026F" w14:textId="77777777" w:rsidR="00171E65" w:rsidRDefault="001F5E2A">
      <w:pPr>
        <w:numPr>
          <w:ilvl w:val="1"/>
          <w:numId w:val="7"/>
        </w:numPr>
        <w:pBdr>
          <w:top w:val="nil"/>
          <w:left w:val="nil"/>
          <w:bottom w:val="nil"/>
          <w:right w:val="nil"/>
          <w:between w:val="nil"/>
        </w:pBdr>
        <w:spacing w:before="120" w:after="180"/>
      </w:pPr>
      <w:r>
        <w:rPr>
          <w:color w:val="000000"/>
        </w:rPr>
        <w:t>DOR at least 6 months = 84%</w:t>
      </w:r>
    </w:p>
    <w:p w14:paraId="00000270" w14:textId="77777777" w:rsidR="00171E65" w:rsidRDefault="001F5E2A">
      <w:pPr>
        <w:numPr>
          <w:ilvl w:val="0"/>
          <w:numId w:val="7"/>
        </w:numPr>
        <w:pBdr>
          <w:top w:val="nil"/>
          <w:left w:val="nil"/>
          <w:bottom w:val="nil"/>
          <w:right w:val="nil"/>
          <w:between w:val="nil"/>
        </w:pBdr>
        <w:spacing w:before="120" w:after="180"/>
      </w:pPr>
      <w:r>
        <w:rPr>
          <w:i/>
          <w:color w:val="000000"/>
        </w:rPr>
        <w:t>RET</w:t>
      </w:r>
      <w:r>
        <w:rPr>
          <w:color w:val="000000"/>
        </w:rPr>
        <w:t xml:space="preserve"> fusion positive thyroid cancer with measurable disease (n = 9):</w:t>
      </w:r>
    </w:p>
    <w:p w14:paraId="00000271" w14:textId="77777777" w:rsidR="00171E65" w:rsidRDefault="001F5E2A">
      <w:pPr>
        <w:numPr>
          <w:ilvl w:val="1"/>
          <w:numId w:val="7"/>
        </w:numPr>
        <w:pBdr>
          <w:top w:val="nil"/>
          <w:left w:val="nil"/>
          <w:bottom w:val="nil"/>
          <w:right w:val="nil"/>
          <w:between w:val="nil"/>
        </w:pBdr>
        <w:spacing w:before="120" w:after="180"/>
      </w:pPr>
      <w:r>
        <w:rPr>
          <w:color w:val="000000"/>
        </w:rPr>
        <w:t>Number of responders = 8</w:t>
      </w:r>
    </w:p>
    <w:p w14:paraId="00000272" w14:textId="77777777" w:rsidR="00171E65" w:rsidRDefault="001F5E2A">
      <w:pPr>
        <w:numPr>
          <w:ilvl w:val="1"/>
          <w:numId w:val="7"/>
        </w:numPr>
        <w:pBdr>
          <w:top w:val="nil"/>
          <w:left w:val="nil"/>
          <w:bottom w:val="nil"/>
          <w:right w:val="nil"/>
          <w:between w:val="nil"/>
        </w:pBdr>
        <w:spacing w:before="120" w:after="180"/>
      </w:pPr>
      <w:r>
        <w:rPr>
          <w:color w:val="000000"/>
        </w:rPr>
        <w:t>Median DOR in months = NR (95% CI: NE, NE)</w:t>
      </w:r>
    </w:p>
    <w:p w14:paraId="00000273" w14:textId="77777777" w:rsidR="00171E65" w:rsidRDefault="001F5E2A">
      <w:pPr>
        <w:numPr>
          <w:ilvl w:val="1"/>
          <w:numId w:val="7"/>
        </w:numPr>
        <w:pBdr>
          <w:top w:val="nil"/>
          <w:left w:val="nil"/>
          <w:bottom w:val="nil"/>
          <w:right w:val="nil"/>
          <w:between w:val="nil"/>
        </w:pBdr>
        <w:spacing w:before="120" w:after="180"/>
      </w:pPr>
      <w:r>
        <w:rPr>
          <w:color w:val="000000"/>
        </w:rPr>
        <w:t>DOR at least 6 months = 100%</w:t>
      </w:r>
    </w:p>
    <w:p w14:paraId="00000274"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Time-to-event endpoints</w:t>
      </w:r>
    </w:p>
    <w:p w14:paraId="00000275" w14:textId="77777777" w:rsidR="00171E65" w:rsidRDefault="001F5E2A">
      <w:r>
        <w:t>Results of these endpoints are considered uninterpretable as this was a single arm study; statistical analyses of PFS and OS under Study BLU-667-1101 are considered descriptive and were not verified during clinical evaluation, nor were analyses related to CBR and DCR.</w:t>
      </w:r>
    </w:p>
    <w:p w14:paraId="00000276" w14:textId="6302AB83"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t>Quality of li</w:t>
      </w:r>
      <w:sdt>
        <w:sdtPr>
          <w:tag w:val="goog_rdk_47"/>
          <w:id w:val="-101494857"/>
        </w:sdtPr>
        <w:sdtEndPr/>
        <w:sdtContent>
          <w:r>
            <w:rPr>
              <w:rFonts w:ascii="Calibri" w:eastAsia="Calibri" w:hAnsi="Calibri" w:cs="Calibri"/>
              <w:i/>
              <w:color w:val="1F3863"/>
            </w:rPr>
            <w:t>f</w:t>
          </w:r>
        </w:sdtContent>
      </w:sdt>
      <w:r>
        <w:rPr>
          <w:rFonts w:ascii="Calibri" w:eastAsia="Calibri" w:hAnsi="Calibri" w:cs="Calibri"/>
          <w:i/>
          <w:color w:val="1F3863"/>
        </w:rPr>
        <w:t>e</w:t>
      </w:r>
    </w:p>
    <w:p w14:paraId="00000277" w14:textId="77777777" w:rsidR="00171E65" w:rsidRDefault="001F5E2A">
      <w:r>
        <w:t>As this study was open-label, knowledge of treatment assignment may induce bias in the completion of patients reported outcome (PRO) instruments; there was no pre-specified analysis plan for PROs, and therefore no control of Type 1 error threshold for a clinically meaningful difference for these analyses. In addition, since there are no comparative analyses for this non-randomised study, it is difficult to attribute any observed within-patient differences of PROs to the experimental arm, as the results cannot be put into context for this patient population or disease without a control arm.</w:t>
      </w:r>
    </w:p>
    <w:p w14:paraId="00000278" w14:textId="77777777" w:rsidR="00171E65" w:rsidRDefault="001F5E2A">
      <w:pPr>
        <w:keepNext/>
        <w:keepLines/>
        <w:pBdr>
          <w:top w:val="nil"/>
          <w:left w:val="nil"/>
          <w:bottom w:val="nil"/>
          <w:right w:val="nil"/>
          <w:between w:val="nil"/>
        </w:pBdr>
        <w:spacing w:before="40" w:after="0"/>
        <w:rPr>
          <w:rFonts w:ascii="Calibri" w:eastAsia="Calibri" w:hAnsi="Calibri" w:cs="Calibri"/>
          <w:i/>
          <w:color w:val="1F3863"/>
        </w:rPr>
      </w:pPr>
      <w:r>
        <w:rPr>
          <w:rFonts w:ascii="Calibri" w:eastAsia="Calibri" w:hAnsi="Calibri" w:cs="Calibri"/>
          <w:i/>
          <w:color w:val="1F3863"/>
        </w:rPr>
        <w:lastRenderedPageBreak/>
        <w:t>Subgroup analyses</w:t>
      </w:r>
    </w:p>
    <w:p w14:paraId="00000279" w14:textId="77777777" w:rsidR="00171E65" w:rsidRDefault="001F5E2A">
      <w:r>
        <w:t>Exploratory ORR analysis by age, sex, and race subgroup are shown in the Table 6 below; there were no obvious outliers observed in these analyses.</w:t>
      </w:r>
    </w:p>
    <w:p w14:paraId="0000027A" w14:textId="77777777" w:rsidR="00171E65" w:rsidRDefault="001F5E2A">
      <w:pPr>
        <w:keepNext/>
        <w:pBdr>
          <w:top w:val="nil"/>
          <w:left w:val="nil"/>
          <w:bottom w:val="nil"/>
          <w:right w:val="nil"/>
          <w:between w:val="nil"/>
        </w:pBdr>
        <w:spacing w:before="120"/>
        <w:rPr>
          <w:b/>
          <w:color w:val="000000"/>
        </w:rPr>
      </w:pPr>
      <w:bookmarkStart w:id="31" w:name="_heading=h.3o7alnk" w:colFirst="0" w:colLast="0"/>
      <w:bookmarkEnd w:id="31"/>
      <w:r>
        <w:rPr>
          <w:b/>
          <w:color w:val="000000"/>
        </w:rPr>
        <w:t>Table 6: Exploratory ORR analysis by age, sex, and race subgroup</w:t>
      </w:r>
    </w:p>
    <w:p w14:paraId="0000027B" w14:textId="77777777" w:rsidR="00171E65" w:rsidRDefault="001F5E2A">
      <w:r>
        <w:rPr>
          <w:noProof/>
          <w:lang w:val="en-NZ"/>
        </w:rPr>
        <w:drawing>
          <wp:inline distT="0" distB="0" distL="0" distR="0" wp14:anchorId="2168D427" wp14:editId="4D9FA6CC">
            <wp:extent cx="5270500" cy="3071495"/>
            <wp:effectExtent l="0" t="0" r="0" b="0"/>
            <wp:docPr id="25" name="image3.png" descr="Exploratory ORR analysis by age, sex, and race subgroup"/>
            <wp:cNvGraphicFramePr/>
            <a:graphic xmlns:a="http://schemas.openxmlformats.org/drawingml/2006/main">
              <a:graphicData uri="http://schemas.openxmlformats.org/drawingml/2006/picture">
                <pic:pic xmlns:pic="http://schemas.openxmlformats.org/drawingml/2006/picture">
                  <pic:nvPicPr>
                    <pic:cNvPr id="0" name="image3.png" descr="Exploratory ORR analysis by age, sex, and race subgroup"/>
                    <pic:cNvPicPr preferRelativeResize="0"/>
                  </pic:nvPicPr>
                  <pic:blipFill>
                    <a:blip r:embed="rId28"/>
                    <a:srcRect/>
                    <a:stretch>
                      <a:fillRect/>
                    </a:stretch>
                  </pic:blipFill>
                  <pic:spPr>
                    <a:xfrm>
                      <a:off x="0" y="0"/>
                      <a:ext cx="5270500" cy="3071495"/>
                    </a:xfrm>
                    <a:prstGeom prst="rect">
                      <a:avLst/>
                    </a:prstGeom>
                    <a:ln/>
                  </pic:spPr>
                </pic:pic>
              </a:graphicData>
            </a:graphic>
          </wp:inline>
        </w:drawing>
      </w:r>
    </w:p>
    <w:p w14:paraId="0000027C" w14:textId="77777777" w:rsidR="00171E65" w:rsidRDefault="001F5E2A">
      <w:pPr>
        <w:pStyle w:val="Heading4"/>
      </w:pPr>
      <w:bookmarkStart w:id="32" w:name="_Toc149213456"/>
      <w:r>
        <w:t>Safety</w:t>
      </w:r>
      <w:bookmarkEnd w:id="32"/>
    </w:p>
    <w:p w14:paraId="0000027D" w14:textId="028E6F9B" w:rsidR="00171E65" w:rsidRDefault="001F5E2A">
      <w:r>
        <w:t xml:space="preserve">The safety analysis population consisted of 438 patients treated at 400 mg once daily, including all patients in Study BLU-667-1101 who received at least one dose of </w:t>
      </w:r>
      <w:proofErr w:type="spellStart"/>
      <w:r>
        <w:t>pralsetinib</w:t>
      </w:r>
      <w:proofErr w:type="spellEnd"/>
      <w:sdt>
        <w:sdtPr>
          <w:tag w:val="goog_rdk_48"/>
          <w:id w:val="-795366491"/>
        </w:sdtPr>
        <w:sdtEndPr/>
        <w:sdtContent>
          <w:sdt>
            <w:sdtPr>
              <w:tag w:val="goog_rdk_49"/>
              <w:id w:val="-2026617664"/>
            </w:sdtPr>
            <w:sdtEndPr/>
            <w:sdtContent/>
          </w:sdt>
        </w:sdtContent>
      </w:sdt>
      <w:r>
        <w:t xml:space="preserve"> (data </w:t>
      </w:r>
      <w:proofErr w:type="spellStart"/>
      <w:r>
        <w:t>cutoff</w:t>
      </w:r>
      <w:proofErr w:type="spellEnd"/>
      <w:r>
        <w:t xml:space="preserve"> 13 February 2020). The population of patients with </w:t>
      </w:r>
      <w:r>
        <w:rPr>
          <w:i/>
        </w:rPr>
        <w:t>RET</w:t>
      </w:r>
      <w:r>
        <w:t xml:space="preserve">-altered thyroid cancer (138 patients; 119 patients with </w:t>
      </w:r>
      <w:r>
        <w:rPr>
          <w:i/>
        </w:rPr>
        <w:t>RET</w:t>
      </w:r>
      <w:r>
        <w:t xml:space="preserve"> mutation positive MTC and 19 patients with </w:t>
      </w:r>
      <w:r>
        <w:rPr>
          <w:i/>
        </w:rPr>
        <w:t>RET</w:t>
      </w:r>
      <w:r>
        <w:t xml:space="preserve"> fusion positive thyroid cancer) combined in total will be used to inform the relevant sections of the PI.</w:t>
      </w:r>
    </w:p>
    <w:p w14:paraId="0000027E" w14:textId="77777777" w:rsidR="00171E65" w:rsidRDefault="001F5E2A">
      <w:r>
        <w:t>The most common AEs in all patients treated at 400 mg once daily (in at least 20% of patients) by Preferred Term (PT) included:</w:t>
      </w:r>
    </w:p>
    <w:p w14:paraId="0000027F" w14:textId="77777777" w:rsidR="00171E65" w:rsidRDefault="001F5E2A">
      <w:pPr>
        <w:numPr>
          <w:ilvl w:val="0"/>
          <w:numId w:val="7"/>
        </w:numPr>
        <w:pBdr>
          <w:top w:val="nil"/>
          <w:left w:val="nil"/>
          <w:bottom w:val="nil"/>
          <w:right w:val="nil"/>
          <w:between w:val="nil"/>
        </w:pBdr>
        <w:spacing w:before="120" w:after="180"/>
      </w:pPr>
      <w:r>
        <w:rPr>
          <w:color w:val="000000"/>
        </w:rPr>
        <w:t xml:space="preserve">AST </w:t>
      </w:r>
      <w:proofErr w:type="gramStart"/>
      <w:r>
        <w:rPr>
          <w:color w:val="000000"/>
        </w:rPr>
        <w:t>increased</w:t>
      </w:r>
      <w:proofErr w:type="gramEnd"/>
    </w:p>
    <w:p w14:paraId="00000280" w14:textId="77777777" w:rsidR="00171E65" w:rsidRDefault="001F5E2A">
      <w:pPr>
        <w:numPr>
          <w:ilvl w:val="0"/>
          <w:numId w:val="7"/>
        </w:numPr>
        <w:pBdr>
          <w:top w:val="nil"/>
          <w:left w:val="nil"/>
          <w:bottom w:val="nil"/>
          <w:right w:val="nil"/>
          <w:between w:val="nil"/>
        </w:pBdr>
        <w:spacing w:before="120" w:after="180"/>
      </w:pPr>
      <w:r>
        <w:rPr>
          <w:color w:val="000000"/>
        </w:rPr>
        <w:t>Constipation</w:t>
      </w:r>
    </w:p>
    <w:p w14:paraId="00000281" w14:textId="77777777" w:rsidR="00171E65" w:rsidRDefault="001F5E2A">
      <w:pPr>
        <w:numPr>
          <w:ilvl w:val="0"/>
          <w:numId w:val="7"/>
        </w:numPr>
        <w:pBdr>
          <w:top w:val="nil"/>
          <w:left w:val="nil"/>
          <w:bottom w:val="nil"/>
          <w:right w:val="nil"/>
          <w:between w:val="nil"/>
        </w:pBdr>
        <w:spacing w:before="120" w:after="180"/>
      </w:pPr>
      <w:r>
        <w:rPr>
          <w:color w:val="000000"/>
        </w:rPr>
        <w:t>Anaemia</w:t>
      </w:r>
    </w:p>
    <w:p w14:paraId="00000282" w14:textId="77777777" w:rsidR="00171E65" w:rsidRDefault="001F5E2A">
      <w:pPr>
        <w:numPr>
          <w:ilvl w:val="0"/>
          <w:numId w:val="7"/>
        </w:numPr>
        <w:pBdr>
          <w:top w:val="nil"/>
          <w:left w:val="nil"/>
          <w:bottom w:val="nil"/>
          <w:right w:val="nil"/>
          <w:between w:val="nil"/>
        </w:pBdr>
        <w:spacing w:before="120" w:after="180"/>
      </w:pPr>
      <w:r>
        <w:rPr>
          <w:color w:val="000000"/>
        </w:rPr>
        <w:t>Hypertension</w:t>
      </w:r>
    </w:p>
    <w:p w14:paraId="00000283" w14:textId="77777777" w:rsidR="00171E65" w:rsidRDefault="001F5E2A">
      <w:pPr>
        <w:numPr>
          <w:ilvl w:val="0"/>
          <w:numId w:val="7"/>
        </w:numPr>
        <w:pBdr>
          <w:top w:val="nil"/>
          <w:left w:val="nil"/>
          <w:bottom w:val="nil"/>
          <w:right w:val="nil"/>
          <w:between w:val="nil"/>
        </w:pBdr>
        <w:spacing w:before="120" w:after="180"/>
      </w:pPr>
      <w:r>
        <w:rPr>
          <w:color w:val="000000"/>
        </w:rPr>
        <w:t xml:space="preserve">ALT </w:t>
      </w:r>
      <w:proofErr w:type="gramStart"/>
      <w:r>
        <w:rPr>
          <w:color w:val="000000"/>
        </w:rPr>
        <w:t>increased</w:t>
      </w:r>
      <w:proofErr w:type="gramEnd"/>
    </w:p>
    <w:p w14:paraId="00000284" w14:textId="77777777" w:rsidR="00171E65" w:rsidRDefault="001F5E2A">
      <w:pPr>
        <w:numPr>
          <w:ilvl w:val="0"/>
          <w:numId w:val="7"/>
        </w:numPr>
        <w:pBdr>
          <w:top w:val="nil"/>
          <w:left w:val="nil"/>
          <w:bottom w:val="nil"/>
          <w:right w:val="nil"/>
          <w:between w:val="nil"/>
        </w:pBdr>
        <w:spacing w:before="120" w:after="180"/>
      </w:pPr>
      <w:r>
        <w:rPr>
          <w:color w:val="000000"/>
        </w:rPr>
        <w:t>Diarrhea</w:t>
      </w:r>
    </w:p>
    <w:p w14:paraId="00000285" w14:textId="77777777" w:rsidR="00171E65" w:rsidRDefault="001F5E2A">
      <w:pPr>
        <w:numPr>
          <w:ilvl w:val="0"/>
          <w:numId w:val="7"/>
        </w:numPr>
        <w:pBdr>
          <w:top w:val="nil"/>
          <w:left w:val="nil"/>
          <w:bottom w:val="nil"/>
          <w:right w:val="nil"/>
          <w:between w:val="nil"/>
        </w:pBdr>
        <w:spacing w:before="120" w:after="180"/>
      </w:pPr>
      <w:r>
        <w:rPr>
          <w:color w:val="000000"/>
        </w:rPr>
        <w:t>Fatigue</w:t>
      </w:r>
    </w:p>
    <w:p w14:paraId="00000286" w14:textId="0B8BE6EC" w:rsidR="00171E65" w:rsidRDefault="001F5E2A">
      <w:pPr>
        <w:numPr>
          <w:ilvl w:val="0"/>
          <w:numId w:val="7"/>
        </w:numPr>
        <w:pBdr>
          <w:top w:val="nil"/>
          <w:left w:val="nil"/>
          <w:bottom w:val="nil"/>
          <w:right w:val="nil"/>
          <w:between w:val="nil"/>
        </w:pBdr>
        <w:spacing w:before="120" w:after="180"/>
      </w:pPr>
      <w:r>
        <w:rPr>
          <w:color w:val="000000"/>
        </w:rPr>
        <w:t xml:space="preserve">WBC count </w:t>
      </w:r>
      <w:proofErr w:type="gramStart"/>
      <w:r>
        <w:rPr>
          <w:color w:val="000000"/>
        </w:rPr>
        <w:t>decreased</w:t>
      </w:r>
      <w:proofErr w:type="gramEnd"/>
    </w:p>
    <w:sdt>
      <w:sdtPr>
        <w:tag w:val="goog_rdk_54"/>
        <w:id w:val="-2113045853"/>
      </w:sdtPr>
      <w:sdtEndPr/>
      <w:sdtContent>
        <w:p w14:paraId="00000287" w14:textId="77777777" w:rsidR="00171E65" w:rsidRDefault="009F791C">
          <w:pPr>
            <w:numPr>
              <w:ilvl w:val="0"/>
              <w:numId w:val="7"/>
            </w:numPr>
            <w:pBdr>
              <w:top w:val="nil"/>
              <w:left w:val="nil"/>
              <w:bottom w:val="nil"/>
              <w:right w:val="nil"/>
              <w:between w:val="nil"/>
            </w:pBdr>
            <w:spacing w:before="120" w:after="180"/>
          </w:pPr>
          <w:sdt>
            <w:sdtPr>
              <w:tag w:val="goog_rdk_53"/>
              <w:id w:val="1762256875"/>
            </w:sdtPr>
            <w:sdtEndPr/>
            <w:sdtContent>
              <w:r w:rsidR="001F5E2A">
                <w:rPr>
                  <w:color w:val="000000"/>
                </w:rPr>
                <w:t>Neutropenia</w:t>
              </w:r>
            </w:sdtContent>
          </w:sdt>
        </w:p>
      </w:sdtContent>
    </w:sdt>
    <w:sdt>
      <w:sdtPr>
        <w:tag w:val="goog_rdk_57"/>
        <w:id w:val="-1308085876"/>
      </w:sdtPr>
      <w:sdtEndPr/>
      <w:sdtContent>
        <w:p w14:paraId="00000288" w14:textId="77777777" w:rsidR="00171E65" w:rsidRDefault="009F791C">
          <w:pPr>
            <w:numPr>
              <w:ilvl w:val="0"/>
              <w:numId w:val="7"/>
            </w:numPr>
            <w:pBdr>
              <w:top w:val="nil"/>
              <w:left w:val="nil"/>
              <w:bottom w:val="nil"/>
              <w:right w:val="nil"/>
              <w:between w:val="nil"/>
            </w:pBdr>
            <w:spacing w:before="120" w:after="180"/>
          </w:pPr>
          <w:sdt>
            <w:sdtPr>
              <w:tag w:val="goog_rdk_55"/>
              <w:id w:val="728274438"/>
            </w:sdtPr>
            <w:sdtEndPr/>
            <w:sdtContent>
              <w:r w:rsidR="001F5E2A">
                <w:rPr>
                  <w:color w:val="000000"/>
                </w:rPr>
                <w:t>Pyrexia</w:t>
              </w:r>
            </w:sdtContent>
          </w:sdt>
          <w:sdt>
            <w:sdtPr>
              <w:tag w:val="goog_rdk_56"/>
              <w:id w:val="822094757"/>
            </w:sdtPr>
            <w:sdtEndPr/>
            <w:sdtContent/>
          </w:sdt>
        </w:p>
      </w:sdtContent>
    </w:sdt>
    <w:p w14:paraId="0000028A" w14:textId="77777777" w:rsidR="00171E65" w:rsidRDefault="001F5E2A">
      <w:pPr>
        <w:pStyle w:val="Heading5"/>
      </w:pPr>
      <w:r>
        <w:lastRenderedPageBreak/>
        <w:t xml:space="preserve">Exposure to </w:t>
      </w:r>
      <w:proofErr w:type="spellStart"/>
      <w:r>
        <w:t>pralsetinib</w:t>
      </w:r>
      <w:proofErr w:type="spellEnd"/>
    </w:p>
    <w:p w14:paraId="0000028B" w14:textId="77777777" w:rsidR="00171E65" w:rsidRDefault="001F5E2A">
      <w:r>
        <w:t xml:space="preserve">Among the 438 patients treated at 400 mg once daily (including 138 patients, that is 32%, with </w:t>
      </w:r>
      <w:r>
        <w:rPr>
          <w:i/>
        </w:rPr>
        <w:t>RET</w:t>
      </w:r>
      <w:r>
        <w:t xml:space="preserve"> altered thyroid cancer), 47% were exposed to </w:t>
      </w:r>
      <w:proofErr w:type="spellStart"/>
      <w:r>
        <w:t>pralsetinib</w:t>
      </w:r>
      <w:proofErr w:type="spellEnd"/>
      <w:r>
        <w:t xml:space="preserve"> for at least 6 months and 23% were exposed for at least 12 months.</w:t>
      </w:r>
    </w:p>
    <w:p w14:paraId="0000028C" w14:textId="77777777" w:rsidR="00171E65" w:rsidRDefault="001F5E2A">
      <w:r>
        <w:t xml:space="preserve">Patient disposition for the </w:t>
      </w:r>
      <w:sdt>
        <w:sdtPr>
          <w:tag w:val="goog_rdk_58"/>
          <w:id w:val="359477273"/>
        </w:sdtPr>
        <w:sdtEndPr/>
        <w:sdtContent>
          <w:r>
            <w:t xml:space="preserve">RET altered </w:t>
          </w:r>
        </w:sdtContent>
      </w:sdt>
      <w:r>
        <w:t xml:space="preserve">thyroid cancer patient population receiving 400 mg once daily </w:t>
      </w:r>
      <w:proofErr w:type="spellStart"/>
      <w:r>
        <w:t>pralsetinib</w:t>
      </w:r>
      <w:proofErr w:type="spellEnd"/>
      <w:r>
        <w:t xml:space="preserve"> (n = 138) is as follows:</w:t>
      </w:r>
    </w:p>
    <w:p w14:paraId="0000028D" w14:textId="77777777" w:rsidR="00171E65" w:rsidRDefault="001F5E2A">
      <w:pPr>
        <w:keepNext/>
        <w:pBdr>
          <w:top w:val="nil"/>
          <w:left w:val="nil"/>
          <w:bottom w:val="nil"/>
          <w:right w:val="nil"/>
          <w:between w:val="nil"/>
        </w:pBdr>
        <w:spacing w:before="120"/>
        <w:rPr>
          <w:b/>
          <w:color w:val="000000"/>
        </w:rPr>
      </w:pPr>
      <w:r>
        <w:rPr>
          <w:b/>
          <w:color w:val="000000"/>
        </w:rPr>
        <w:t>Table 7: Patient disposition</w:t>
      </w:r>
    </w:p>
    <w:p w14:paraId="0000028E" w14:textId="77777777" w:rsidR="00171E65" w:rsidRDefault="001F5E2A">
      <w:r>
        <w:rPr>
          <w:noProof/>
          <w:lang w:val="en-NZ"/>
        </w:rPr>
        <w:drawing>
          <wp:inline distT="0" distB="0" distL="0" distR="0" wp14:anchorId="00CEB6A8" wp14:editId="1541F6A4">
            <wp:extent cx="3558455" cy="2583953"/>
            <wp:effectExtent l="0" t="0" r="0" b="0"/>
            <wp:docPr id="28" name="image8.png" descr="Patient disposition"/>
            <wp:cNvGraphicFramePr/>
            <a:graphic xmlns:a="http://schemas.openxmlformats.org/drawingml/2006/main">
              <a:graphicData uri="http://schemas.openxmlformats.org/drawingml/2006/picture">
                <pic:pic xmlns:pic="http://schemas.openxmlformats.org/drawingml/2006/picture">
                  <pic:nvPicPr>
                    <pic:cNvPr id="0" name="image8.png" descr="Patient disposition"/>
                    <pic:cNvPicPr preferRelativeResize="0"/>
                  </pic:nvPicPr>
                  <pic:blipFill>
                    <a:blip r:embed="rId29"/>
                    <a:srcRect/>
                    <a:stretch>
                      <a:fillRect/>
                    </a:stretch>
                  </pic:blipFill>
                  <pic:spPr>
                    <a:xfrm>
                      <a:off x="0" y="0"/>
                      <a:ext cx="3558455" cy="2583953"/>
                    </a:xfrm>
                    <a:prstGeom prst="rect">
                      <a:avLst/>
                    </a:prstGeom>
                    <a:ln/>
                  </pic:spPr>
                </pic:pic>
              </a:graphicData>
            </a:graphic>
          </wp:inline>
        </w:drawing>
      </w:r>
    </w:p>
    <w:p w14:paraId="0000028F" w14:textId="77777777" w:rsidR="00171E65" w:rsidRDefault="001F5E2A">
      <w:pPr>
        <w:pStyle w:val="Heading5"/>
      </w:pPr>
      <w:r>
        <w:t>Demographics of safety population:</w:t>
      </w:r>
    </w:p>
    <w:p w14:paraId="00000290" w14:textId="77777777" w:rsidR="00171E65" w:rsidRDefault="001F5E2A">
      <w:r>
        <w:t xml:space="preserve">The demographics and baseline characteristics in the 138 patients with </w:t>
      </w:r>
      <w:r>
        <w:rPr>
          <w:i/>
        </w:rPr>
        <w:t>RET</w:t>
      </w:r>
      <w:r>
        <w:t xml:space="preserve"> altered thyroid cancer </w:t>
      </w:r>
      <w:proofErr w:type="gramStart"/>
      <w:r>
        <w:t>and in all patients</w:t>
      </w:r>
      <w:proofErr w:type="gramEnd"/>
      <w:r>
        <w:t xml:space="preserve"> treated at 400 mg once daily is as follows:</w:t>
      </w:r>
    </w:p>
    <w:p w14:paraId="00000291" w14:textId="683F3D57" w:rsidR="00171E65" w:rsidRDefault="001F5E2A">
      <w:r>
        <w:t xml:space="preserve">Patients with </w:t>
      </w:r>
      <w:r w:rsidRPr="000121EF">
        <w:rPr>
          <w:i/>
          <w:iCs/>
        </w:rPr>
        <w:t>RET</w:t>
      </w:r>
      <w:r>
        <w:t xml:space="preserve"> altered thyroid cancer (n = 138)</w:t>
      </w:r>
    </w:p>
    <w:p w14:paraId="00000292" w14:textId="77777777" w:rsidR="00171E65" w:rsidRDefault="001F5E2A">
      <w:pPr>
        <w:numPr>
          <w:ilvl w:val="0"/>
          <w:numId w:val="7"/>
        </w:numPr>
        <w:pBdr>
          <w:top w:val="nil"/>
          <w:left w:val="nil"/>
          <w:bottom w:val="nil"/>
          <w:right w:val="nil"/>
          <w:between w:val="nil"/>
        </w:pBdr>
        <w:spacing w:before="120" w:after="180"/>
      </w:pPr>
      <w:r>
        <w:rPr>
          <w:color w:val="000000"/>
        </w:rPr>
        <w:t>Median age = 59 (18-83)</w:t>
      </w:r>
    </w:p>
    <w:p w14:paraId="00000293" w14:textId="77777777" w:rsidR="00171E65" w:rsidRDefault="001F5E2A">
      <w:pPr>
        <w:numPr>
          <w:ilvl w:val="0"/>
          <w:numId w:val="7"/>
        </w:numPr>
        <w:pBdr>
          <w:top w:val="nil"/>
          <w:left w:val="nil"/>
          <w:bottom w:val="nil"/>
          <w:right w:val="nil"/>
          <w:between w:val="nil"/>
        </w:pBdr>
        <w:spacing w:before="120" w:after="180"/>
      </w:pPr>
      <w:r>
        <w:rPr>
          <w:color w:val="000000"/>
        </w:rPr>
        <w:t>Male = 65%</w:t>
      </w:r>
    </w:p>
    <w:p w14:paraId="00000294" w14:textId="77777777" w:rsidR="00171E65" w:rsidRDefault="001F5E2A">
      <w:pPr>
        <w:numPr>
          <w:ilvl w:val="0"/>
          <w:numId w:val="7"/>
        </w:numPr>
        <w:pBdr>
          <w:top w:val="nil"/>
          <w:left w:val="nil"/>
          <w:bottom w:val="nil"/>
          <w:right w:val="nil"/>
          <w:between w:val="nil"/>
        </w:pBdr>
        <w:spacing w:before="120" w:after="180"/>
      </w:pPr>
      <w:r>
        <w:rPr>
          <w:color w:val="000000"/>
        </w:rPr>
        <w:t>Race: White = 74%; Asian =17%; unknown = 8%</w:t>
      </w:r>
    </w:p>
    <w:p w14:paraId="00000295" w14:textId="77777777" w:rsidR="00171E65" w:rsidRDefault="001F5E2A">
      <w:pPr>
        <w:numPr>
          <w:ilvl w:val="0"/>
          <w:numId w:val="7"/>
        </w:numPr>
        <w:pBdr>
          <w:top w:val="nil"/>
          <w:left w:val="nil"/>
          <w:bottom w:val="nil"/>
          <w:right w:val="nil"/>
          <w:between w:val="nil"/>
        </w:pBdr>
        <w:spacing w:before="120" w:after="180"/>
      </w:pPr>
      <w:r>
        <w:rPr>
          <w:color w:val="000000"/>
        </w:rPr>
        <w:t>Region: Asia = 13%; Europe =38%; US = 49%</w:t>
      </w:r>
    </w:p>
    <w:p w14:paraId="00000296" w14:textId="77777777" w:rsidR="00171E65" w:rsidRDefault="001F5E2A">
      <w:r>
        <w:t>All patients - treated at 400 mg (n = 438)</w:t>
      </w:r>
    </w:p>
    <w:p w14:paraId="00000297" w14:textId="77777777" w:rsidR="00171E65" w:rsidRDefault="001F5E2A">
      <w:pPr>
        <w:numPr>
          <w:ilvl w:val="0"/>
          <w:numId w:val="7"/>
        </w:numPr>
        <w:pBdr>
          <w:top w:val="nil"/>
          <w:left w:val="nil"/>
          <w:bottom w:val="nil"/>
          <w:right w:val="nil"/>
          <w:between w:val="nil"/>
        </w:pBdr>
        <w:spacing w:before="120" w:after="180"/>
      </w:pPr>
      <w:r>
        <w:rPr>
          <w:color w:val="000000"/>
        </w:rPr>
        <w:t>Median age = 59 (18 to 87)</w:t>
      </w:r>
    </w:p>
    <w:p w14:paraId="00000298" w14:textId="77777777" w:rsidR="00171E65" w:rsidRDefault="001F5E2A">
      <w:pPr>
        <w:numPr>
          <w:ilvl w:val="0"/>
          <w:numId w:val="7"/>
        </w:numPr>
        <w:pBdr>
          <w:top w:val="nil"/>
          <w:left w:val="nil"/>
          <w:bottom w:val="nil"/>
          <w:right w:val="nil"/>
          <w:between w:val="nil"/>
        </w:pBdr>
        <w:spacing w:before="120" w:after="180"/>
      </w:pPr>
      <w:r>
        <w:rPr>
          <w:color w:val="000000"/>
        </w:rPr>
        <w:t>Male = 55%</w:t>
      </w:r>
    </w:p>
    <w:p w14:paraId="00000299" w14:textId="77777777" w:rsidR="00171E65" w:rsidRDefault="001F5E2A">
      <w:pPr>
        <w:numPr>
          <w:ilvl w:val="0"/>
          <w:numId w:val="7"/>
        </w:numPr>
        <w:pBdr>
          <w:top w:val="nil"/>
          <w:left w:val="nil"/>
          <w:bottom w:val="nil"/>
          <w:right w:val="nil"/>
          <w:between w:val="nil"/>
        </w:pBdr>
        <w:spacing w:before="120" w:after="180"/>
      </w:pPr>
      <w:r>
        <w:rPr>
          <w:color w:val="000000"/>
        </w:rPr>
        <w:t>Race: white = 58%; Asian =34%; unknown = 6%</w:t>
      </w:r>
    </w:p>
    <w:p w14:paraId="0000029A" w14:textId="77777777" w:rsidR="00171E65" w:rsidRDefault="001F5E2A">
      <w:pPr>
        <w:numPr>
          <w:ilvl w:val="0"/>
          <w:numId w:val="7"/>
        </w:numPr>
        <w:pBdr>
          <w:top w:val="nil"/>
          <w:left w:val="nil"/>
          <w:bottom w:val="nil"/>
          <w:right w:val="nil"/>
          <w:between w:val="nil"/>
        </w:pBdr>
        <w:spacing w:before="120" w:after="180"/>
      </w:pPr>
      <w:r>
        <w:rPr>
          <w:color w:val="000000"/>
        </w:rPr>
        <w:t>Region: Asia = 31%; Europe =36%; US = 33%</w:t>
      </w:r>
    </w:p>
    <w:p w14:paraId="0000029B" w14:textId="77777777" w:rsidR="00171E65" w:rsidRDefault="001F5E2A">
      <w:pPr>
        <w:pStyle w:val="Heading5"/>
      </w:pPr>
      <w:r>
        <w:t>Deaths</w:t>
      </w:r>
    </w:p>
    <w:p w14:paraId="0000029C" w14:textId="2FD1EFE2" w:rsidR="00171E65" w:rsidRDefault="001F5E2A">
      <w:r>
        <w:t xml:space="preserve">Among all patients treated at 400 mg once daily (n = 438), 9.1% died during the study due to </w:t>
      </w:r>
      <w:sdt>
        <w:sdtPr>
          <w:tag w:val="goog_rdk_61"/>
          <w:id w:val="-1025238873"/>
        </w:sdtPr>
        <w:sdtEndPr/>
        <w:sdtContent/>
      </w:sdt>
      <w:r>
        <w:t>AEs</w:t>
      </w:r>
      <w:r w:rsidR="000121EF">
        <w:t xml:space="preserve"> and </w:t>
      </w:r>
      <w:r>
        <w:t xml:space="preserve">4 patients (less than 1%) due to a treatment-related AE (pneumocystis </w:t>
      </w:r>
      <w:proofErr w:type="spellStart"/>
      <w:r>
        <w:t>jirovecii</w:t>
      </w:r>
      <w:proofErr w:type="spellEnd"/>
      <w:r>
        <w:t xml:space="preserve"> pneumonia, </w:t>
      </w:r>
      <w:proofErr w:type="gramStart"/>
      <w:r>
        <w:t>pneumonitis</w:t>
      </w:r>
      <w:proofErr w:type="gramEnd"/>
      <w:r>
        <w:t xml:space="preserve"> and death [two patients with unknown cause report]).</w:t>
      </w:r>
    </w:p>
    <w:p w14:paraId="0000029D" w14:textId="507894EC" w:rsidR="00171E65" w:rsidRDefault="001F5E2A">
      <w:r>
        <w:lastRenderedPageBreak/>
        <w:t xml:space="preserve">Five deaths occurred in the </w:t>
      </w:r>
      <w:r w:rsidRPr="000121EF">
        <w:rPr>
          <w:i/>
          <w:iCs/>
        </w:rPr>
        <w:t>RET</w:t>
      </w:r>
      <w:r>
        <w:t xml:space="preserve"> altered thyroid cancer group; two deaths were due to pneumonia, two due to disease progression and one due to pneumonitis. There was no apparent difference between the causes of death between the </w:t>
      </w:r>
      <w:r w:rsidRPr="000121EF">
        <w:rPr>
          <w:i/>
          <w:iCs/>
        </w:rPr>
        <w:t>RET</w:t>
      </w:r>
      <w:r>
        <w:t xml:space="preserve"> altered thyroid cancer patient population treated at 400 mg once daily and </w:t>
      </w:r>
      <w:proofErr w:type="gramStart"/>
      <w:r>
        <w:t>the all</w:t>
      </w:r>
      <w:proofErr w:type="gramEnd"/>
      <w:r>
        <w:t xml:space="preserve"> patients treated at 400 mg once daily.</w:t>
      </w:r>
    </w:p>
    <w:p w14:paraId="0000029E" w14:textId="77777777" w:rsidR="00171E65" w:rsidRDefault="001F5E2A">
      <w:pPr>
        <w:pStyle w:val="Heading5"/>
      </w:pPr>
      <w:r>
        <w:t>Serious Adverse Events</w:t>
      </w:r>
    </w:p>
    <w:p w14:paraId="0000029F" w14:textId="10E43083" w:rsidR="00171E65" w:rsidRDefault="001F5E2A">
      <w:r>
        <w:t>Among all patients treated at 400 mg once daily (n = 438), serious adverse events (SAE) were reported in 45% of patients (Grade 3 = 29%; Grade 4 = 7%). In patients with</w:t>
      </w:r>
      <w:r w:rsidRPr="000121EF">
        <w:rPr>
          <w:i/>
          <w:iCs/>
        </w:rPr>
        <w:t xml:space="preserve"> RET</w:t>
      </w:r>
      <w:r>
        <w:t xml:space="preserve"> altered thyroid cancer treated at 400 mg once daily, SAEs were reported in 41% of patients (Grade 3 = 30%; Grade 4 = 9%). There was no significant difference in SAEs between the</w:t>
      </w:r>
      <w:r w:rsidRPr="000121EF">
        <w:rPr>
          <w:i/>
          <w:iCs/>
        </w:rPr>
        <w:t xml:space="preserve"> RET</w:t>
      </w:r>
      <w:r>
        <w:t xml:space="preserve"> altered thyroid cancer patient population treated at 400 mg once daily and </w:t>
      </w:r>
      <w:proofErr w:type="gramStart"/>
      <w:r>
        <w:t>the all</w:t>
      </w:r>
      <w:proofErr w:type="gramEnd"/>
      <w:r>
        <w:t xml:space="preserve"> patients treated at 400 mg once daily.</w:t>
      </w:r>
    </w:p>
    <w:p w14:paraId="000002A0" w14:textId="77777777" w:rsidR="00171E65" w:rsidRDefault="001F5E2A">
      <w:r>
        <w:t xml:space="preserve">The most common SAEs (occurring in at least 1% of patients treated at 400 mg) were: </w:t>
      </w:r>
    </w:p>
    <w:p w14:paraId="000002A1" w14:textId="77777777" w:rsidR="00171E65" w:rsidRDefault="001F5E2A">
      <w:pPr>
        <w:numPr>
          <w:ilvl w:val="0"/>
          <w:numId w:val="7"/>
        </w:numPr>
        <w:pBdr>
          <w:top w:val="nil"/>
          <w:left w:val="nil"/>
          <w:bottom w:val="nil"/>
          <w:right w:val="nil"/>
          <w:between w:val="nil"/>
        </w:pBdr>
        <w:spacing w:before="120" w:after="180"/>
      </w:pPr>
      <w:r>
        <w:rPr>
          <w:color w:val="000000"/>
        </w:rPr>
        <w:t>Pneumonia = 9%</w:t>
      </w:r>
    </w:p>
    <w:p w14:paraId="000002A2" w14:textId="77777777" w:rsidR="00171E65" w:rsidRDefault="001F5E2A">
      <w:pPr>
        <w:numPr>
          <w:ilvl w:val="0"/>
          <w:numId w:val="7"/>
        </w:numPr>
        <w:pBdr>
          <w:top w:val="nil"/>
          <w:left w:val="nil"/>
          <w:bottom w:val="nil"/>
          <w:right w:val="nil"/>
          <w:between w:val="nil"/>
        </w:pBdr>
        <w:spacing w:before="120" w:after="180"/>
      </w:pPr>
      <w:r>
        <w:rPr>
          <w:color w:val="000000"/>
        </w:rPr>
        <w:t>Urinary tract infection = 3.2%</w:t>
      </w:r>
    </w:p>
    <w:p w14:paraId="000002A3" w14:textId="77777777" w:rsidR="00171E65" w:rsidRDefault="001F5E2A">
      <w:pPr>
        <w:numPr>
          <w:ilvl w:val="0"/>
          <w:numId w:val="7"/>
        </w:numPr>
        <w:pBdr>
          <w:top w:val="nil"/>
          <w:left w:val="nil"/>
          <w:bottom w:val="nil"/>
          <w:right w:val="nil"/>
          <w:between w:val="nil"/>
        </w:pBdr>
        <w:spacing w:before="120" w:after="180"/>
      </w:pPr>
      <w:r>
        <w:rPr>
          <w:color w:val="000000"/>
        </w:rPr>
        <w:t>Sepsis = 2.5%</w:t>
      </w:r>
    </w:p>
    <w:p w14:paraId="000002A4" w14:textId="77777777" w:rsidR="00171E65" w:rsidRDefault="001F5E2A">
      <w:pPr>
        <w:numPr>
          <w:ilvl w:val="0"/>
          <w:numId w:val="7"/>
        </w:numPr>
        <w:pBdr>
          <w:top w:val="nil"/>
          <w:left w:val="nil"/>
          <w:bottom w:val="nil"/>
          <w:right w:val="nil"/>
          <w:between w:val="nil"/>
        </w:pBdr>
        <w:spacing w:before="120" w:after="180"/>
      </w:pPr>
      <w:r>
        <w:rPr>
          <w:color w:val="000000"/>
        </w:rPr>
        <w:t>Pneumonitis = 5.0%</w:t>
      </w:r>
    </w:p>
    <w:p w14:paraId="000002A5" w14:textId="77777777" w:rsidR="00171E65" w:rsidRDefault="001F5E2A">
      <w:pPr>
        <w:numPr>
          <w:ilvl w:val="0"/>
          <w:numId w:val="7"/>
        </w:numPr>
        <w:pBdr>
          <w:top w:val="nil"/>
          <w:left w:val="nil"/>
          <w:bottom w:val="nil"/>
          <w:right w:val="nil"/>
          <w:between w:val="nil"/>
        </w:pBdr>
        <w:spacing w:before="120" w:after="180"/>
      </w:pPr>
      <w:r>
        <w:rPr>
          <w:color w:val="000000"/>
        </w:rPr>
        <w:t>Dyspnoea = 1.6%</w:t>
      </w:r>
    </w:p>
    <w:p w14:paraId="000002A6" w14:textId="77777777" w:rsidR="00171E65" w:rsidRDefault="001F5E2A">
      <w:pPr>
        <w:numPr>
          <w:ilvl w:val="0"/>
          <w:numId w:val="7"/>
        </w:numPr>
        <w:pBdr>
          <w:top w:val="nil"/>
          <w:left w:val="nil"/>
          <w:bottom w:val="nil"/>
          <w:right w:val="nil"/>
          <w:between w:val="nil"/>
        </w:pBdr>
        <w:spacing w:before="120" w:after="180"/>
      </w:pPr>
      <w:r>
        <w:rPr>
          <w:color w:val="000000"/>
        </w:rPr>
        <w:t>Pleural effusion = 1.4%</w:t>
      </w:r>
    </w:p>
    <w:p w14:paraId="000002A7" w14:textId="77777777" w:rsidR="00171E65" w:rsidRDefault="001F5E2A">
      <w:pPr>
        <w:numPr>
          <w:ilvl w:val="0"/>
          <w:numId w:val="7"/>
        </w:numPr>
        <w:pBdr>
          <w:top w:val="nil"/>
          <w:left w:val="nil"/>
          <w:bottom w:val="nil"/>
          <w:right w:val="nil"/>
          <w:between w:val="nil"/>
        </w:pBdr>
        <w:spacing w:before="120" w:after="180"/>
      </w:pPr>
      <w:r>
        <w:rPr>
          <w:color w:val="000000"/>
        </w:rPr>
        <w:t>PD = 6%</w:t>
      </w:r>
    </w:p>
    <w:p w14:paraId="000002A8" w14:textId="77777777" w:rsidR="00171E65" w:rsidRDefault="001F5E2A">
      <w:pPr>
        <w:numPr>
          <w:ilvl w:val="0"/>
          <w:numId w:val="7"/>
        </w:numPr>
        <w:pBdr>
          <w:top w:val="nil"/>
          <w:left w:val="nil"/>
          <w:bottom w:val="nil"/>
          <w:right w:val="nil"/>
          <w:between w:val="nil"/>
        </w:pBdr>
        <w:spacing w:before="120" w:after="180"/>
      </w:pPr>
      <w:r>
        <w:rPr>
          <w:color w:val="000000"/>
        </w:rPr>
        <w:t>Pyrexia = 2.3%</w:t>
      </w:r>
    </w:p>
    <w:p w14:paraId="000002A9" w14:textId="77777777" w:rsidR="00171E65" w:rsidRDefault="001F5E2A">
      <w:pPr>
        <w:numPr>
          <w:ilvl w:val="0"/>
          <w:numId w:val="7"/>
        </w:numPr>
        <w:pBdr>
          <w:top w:val="nil"/>
          <w:left w:val="nil"/>
          <w:bottom w:val="nil"/>
          <w:right w:val="nil"/>
          <w:between w:val="nil"/>
        </w:pBdr>
        <w:spacing w:before="120" w:after="180"/>
      </w:pPr>
      <w:r>
        <w:rPr>
          <w:color w:val="000000"/>
        </w:rPr>
        <w:t>Fatigue = 1.6%</w:t>
      </w:r>
    </w:p>
    <w:p w14:paraId="000002AA" w14:textId="77777777" w:rsidR="00171E65" w:rsidRDefault="001F5E2A">
      <w:pPr>
        <w:numPr>
          <w:ilvl w:val="0"/>
          <w:numId w:val="7"/>
        </w:numPr>
        <w:pBdr>
          <w:top w:val="nil"/>
          <w:left w:val="nil"/>
          <w:bottom w:val="nil"/>
          <w:right w:val="nil"/>
          <w:between w:val="nil"/>
        </w:pBdr>
        <w:spacing w:before="120" w:after="180"/>
      </w:pPr>
      <w:r>
        <w:rPr>
          <w:color w:val="000000"/>
        </w:rPr>
        <w:t>Diarrhoea = 1.6%</w:t>
      </w:r>
    </w:p>
    <w:p w14:paraId="000002AB" w14:textId="77777777" w:rsidR="00171E65" w:rsidRDefault="001F5E2A">
      <w:pPr>
        <w:numPr>
          <w:ilvl w:val="0"/>
          <w:numId w:val="7"/>
        </w:numPr>
        <w:pBdr>
          <w:top w:val="nil"/>
          <w:left w:val="nil"/>
          <w:bottom w:val="nil"/>
          <w:right w:val="nil"/>
          <w:between w:val="nil"/>
        </w:pBdr>
        <w:spacing w:before="120" w:after="180"/>
      </w:pPr>
      <w:r>
        <w:rPr>
          <w:color w:val="000000"/>
        </w:rPr>
        <w:t>Abdominal pain = 1.4%</w:t>
      </w:r>
    </w:p>
    <w:p w14:paraId="000002AC" w14:textId="77777777" w:rsidR="00171E65" w:rsidRDefault="001F5E2A">
      <w:pPr>
        <w:numPr>
          <w:ilvl w:val="0"/>
          <w:numId w:val="7"/>
        </w:numPr>
        <w:pBdr>
          <w:top w:val="nil"/>
          <w:left w:val="nil"/>
          <w:bottom w:val="nil"/>
          <w:right w:val="nil"/>
          <w:between w:val="nil"/>
        </w:pBdr>
        <w:spacing w:before="120" w:after="180"/>
      </w:pPr>
      <w:r>
        <w:rPr>
          <w:color w:val="000000"/>
        </w:rPr>
        <w:t>Dizziness = 1.6%</w:t>
      </w:r>
    </w:p>
    <w:p w14:paraId="000002AD" w14:textId="77777777" w:rsidR="00171E65" w:rsidRDefault="001F5E2A">
      <w:pPr>
        <w:numPr>
          <w:ilvl w:val="0"/>
          <w:numId w:val="7"/>
        </w:numPr>
        <w:pBdr>
          <w:top w:val="nil"/>
          <w:left w:val="nil"/>
          <w:bottom w:val="nil"/>
          <w:right w:val="nil"/>
          <w:between w:val="nil"/>
        </w:pBdr>
        <w:spacing w:before="120" w:after="180"/>
      </w:pPr>
      <w:r>
        <w:rPr>
          <w:color w:val="000000"/>
        </w:rPr>
        <w:t>Seizure =1.1%</w:t>
      </w:r>
    </w:p>
    <w:p w14:paraId="000002AE" w14:textId="77777777" w:rsidR="00171E65" w:rsidRDefault="001F5E2A">
      <w:pPr>
        <w:numPr>
          <w:ilvl w:val="0"/>
          <w:numId w:val="7"/>
        </w:numPr>
        <w:pBdr>
          <w:top w:val="nil"/>
          <w:left w:val="nil"/>
          <w:bottom w:val="nil"/>
          <w:right w:val="nil"/>
          <w:between w:val="nil"/>
        </w:pBdr>
        <w:spacing w:before="120" w:after="180"/>
      </w:pPr>
      <w:r>
        <w:rPr>
          <w:color w:val="000000"/>
        </w:rPr>
        <w:t>Hyponatraemia = 1.4%</w:t>
      </w:r>
    </w:p>
    <w:p w14:paraId="000002AF" w14:textId="77777777" w:rsidR="00171E65" w:rsidRDefault="001F5E2A">
      <w:pPr>
        <w:numPr>
          <w:ilvl w:val="0"/>
          <w:numId w:val="7"/>
        </w:numPr>
        <w:pBdr>
          <w:top w:val="nil"/>
          <w:left w:val="nil"/>
          <w:bottom w:val="nil"/>
          <w:right w:val="nil"/>
          <w:between w:val="nil"/>
        </w:pBdr>
        <w:spacing w:before="120" w:after="180"/>
      </w:pPr>
      <w:r>
        <w:rPr>
          <w:color w:val="000000"/>
        </w:rPr>
        <w:t>Anaemia = 1.8%</w:t>
      </w:r>
    </w:p>
    <w:p w14:paraId="000002B0" w14:textId="77777777" w:rsidR="00171E65" w:rsidRDefault="001F5E2A">
      <w:pPr>
        <w:numPr>
          <w:ilvl w:val="0"/>
          <w:numId w:val="7"/>
        </w:numPr>
        <w:pBdr>
          <w:top w:val="nil"/>
          <w:left w:val="nil"/>
          <w:bottom w:val="nil"/>
          <w:right w:val="nil"/>
          <w:between w:val="nil"/>
        </w:pBdr>
        <w:spacing w:before="120" w:after="180"/>
      </w:pPr>
      <w:r>
        <w:rPr>
          <w:color w:val="000000"/>
        </w:rPr>
        <w:t>Neutropenia = 1.6%</w:t>
      </w:r>
    </w:p>
    <w:p w14:paraId="000002B1" w14:textId="77777777" w:rsidR="00171E65" w:rsidRDefault="001F5E2A">
      <w:pPr>
        <w:numPr>
          <w:ilvl w:val="0"/>
          <w:numId w:val="7"/>
        </w:numPr>
        <w:pBdr>
          <w:top w:val="nil"/>
          <w:left w:val="nil"/>
          <w:bottom w:val="nil"/>
          <w:right w:val="nil"/>
          <w:between w:val="nil"/>
        </w:pBdr>
        <w:spacing w:before="120" w:after="180"/>
      </w:pPr>
      <w:r>
        <w:rPr>
          <w:color w:val="000000"/>
        </w:rPr>
        <w:t>Hypertension = 1.4%</w:t>
      </w:r>
    </w:p>
    <w:p w14:paraId="000002B2" w14:textId="77777777" w:rsidR="00171E65" w:rsidRDefault="001F5E2A">
      <w:pPr>
        <w:numPr>
          <w:ilvl w:val="0"/>
          <w:numId w:val="7"/>
        </w:numPr>
        <w:pBdr>
          <w:top w:val="nil"/>
          <w:left w:val="nil"/>
          <w:bottom w:val="nil"/>
          <w:right w:val="nil"/>
          <w:between w:val="nil"/>
        </w:pBdr>
        <w:spacing w:before="120" w:after="180"/>
      </w:pPr>
      <w:r>
        <w:rPr>
          <w:color w:val="000000"/>
        </w:rPr>
        <w:t>Musculoskeletal pain = 1.1%</w:t>
      </w:r>
    </w:p>
    <w:p w14:paraId="000002B3" w14:textId="06D0BD62" w:rsidR="00171E65" w:rsidRDefault="009F791C">
      <w:pPr>
        <w:pStyle w:val="Heading5"/>
      </w:pPr>
      <w:sdt>
        <w:sdtPr>
          <w:tag w:val="goog_rdk_70"/>
          <w:id w:val="-1972349590"/>
        </w:sdtPr>
        <w:sdtEndPr/>
        <w:sdtContent/>
      </w:sdt>
      <w:r w:rsidR="001F5E2A">
        <w:t xml:space="preserve">SAEs - off target effects associated with VEGFR, JAK1/2 and FGFR pathways &amp; </w:t>
      </w:r>
      <w:proofErr w:type="gramStart"/>
      <w:r w:rsidR="001F5E2A">
        <w:t>other</w:t>
      </w:r>
      <w:proofErr w:type="gramEnd"/>
    </w:p>
    <w:p w14:paraId="000002B4" w14:textId="77777777" w:rsidR="00171E65" w:rsidRDefault="001F5E2A">
      <w:pPr>
        <w:pStyle w:val="Heading6"/>
      </w:pPr>
      <w:r>
        <w:t>VEGFR pathway</w:t>
      </w:r>
    </w:p>
    <w:p w14:paraId="000002B5" w14:textId="77777777" w:rsidR="00171E65" w:rsidRDefault="001F5E2A">
      <w:r>
        <w:t>Haemorrhagic events = 16%.</w:t>
      </w:r>
    </w:p>
    <w:p w14:paraId="000002B6" w14:textId="7F7AF1E8" w:rsidR="00171E65" w:rsidRDefault="001F5E2A">
      <w:pPr>
        <w:numPr>
          <w:ilvl w:val="0"/>
          <w:numId w:val="7"/>
        </w:numPr>
        <w:pBdr>
          <w:top w:val="nil"/>
          <w:left w:val="nil"/>
          <w:bottom w:val="nil"/>
          <w:right w:val="nil"/>
          <w:between w:val="nil"/>
        </w:pBdr>
        <w:spacing w:before="120" w:after="180"/>
      </w:pPr>
      <w:r>
        <w:rPr>
          <w:color w:val="000000"/>
        </w:rPr>
        <w:lastRenderedPageBreak/>
        <w:t xml:space="preserve">2.5 % patients were Grade 3 or higher. Dose modifications occurred </w:t>
      </w:r>
      <w:proofErr w:type="gramStart"/>
      <w:r>
        <w:rPr>
          <w:color w:val="000000"/>
        </w:rPr>
        <w:t>as a result of</w:t>
      </w:r>
      <w:proofErr w:type="gramEnd"/>
      <w:r>
        <w:rPr>
          <w:color w:val="000000"/>
        </w:rPr>
        <w:t xml:space="preserve"> these events.</w:t>
      </w:r>
    </w:p>
    <w:p w14:paraId="000002B7" w14:textId="77777777" w:rsidR="00171E65" w:rsidRDefault="001F5E2A">
      <w:pPr>
        <w:numPr>
          <w:ilvl w:val="0"/>
          <w:numId w:val="7"/>
        </w:numPr>
        <w:pBdr>
          <w:top w:val="nil"/>
          <w:left w:val="nil"/>
          <w:bottom w:val="nil"/>
          <w:right w:val="nil"/>
          <w:between w:val="nil"/>
        </w:pBdr>
        <w:spacing w:before="120" w:after="180"/>
      </w:pPr>
      <w:r>
        <w:rPr>
          <w:color w:val="000000"/>
        </w:rPr>
        <w:t>One fatal haemorrhagic event was reported.</w:t>
      </w:r>
    </w:p>
    <w:p w14:paraId="000002B8" w14:textId="77777777" w:rsidR="00171E65" w:rsidRDefault="001F5E2A">
      <w:pPr>
        <w:numPr>
          <w:ilvl w:val="0"/>
          <w:numId w:val="7"/>
        </w:numPr>
        <w:pBdr>
          <w:top w:val="nil"/>
          <w:left w:val="nil"/>
          <w:bottom w:val="nil"/>
          <w:right w:val="nil"/>
          <w:between w:val="nil"/>
        </w:pBdr>
        <w:spacing w:before="120" w:after="180"/>
        <w:rPr>
          <w:color w:val="000000"/>
          <w:u w:val="single"/>
        </w:rPr>
      </w:pPr>
      <w:r>
        <w:rPr>
          <w:color w:val="000000"/>
        </w:rPr>
        <w:t xml:space="preserve">All SAEs of haemorrhagic events were associated with potential confounders/risk factors, however, based on the inhibition of the VEGF pathway by </w:t>
      </w:r>
      <w:proofErr w:type="spellStart"/>
      <w:r>
        <w:rPr>
          <w:color w:val="000000"/>
        </w:rPr>
        <w:t>pralsetinib</w:t>
      </w:r>
      <w:proofErr w:type="spellEnd"/>
      <w:r>
        <w:rPr>
          <w:color w:val="000000"/>
        </w:rPr>
        <w:t xml:space="preserve">, it remains possible that </w:t>
      </w:r>
      <w:proofErr w:type="spellStart"/>
      <w:r>
        <w:rPr>
          <w:color w:val="000000"/>
        </w:rPr>
        <w:t>pralsetinib</w:t>
      </w:r>
      <w:proofErr w:type="spellEnd"/>
      <w:r>
        <w:rPr>
          <w:color w:val="000000"/>
        </w:rPr>
        <w:t xml:space="preserve"> may contribute to the risk of such events. The Delegate commented that the above should be included in the PI.</w:t>
      </w:r>
    </w:p>
    <w:p w14:paraId="000002B9" w14:textId="77777777" w:rsidR="00171E65" w:rsidRDefault="001F5E2A">
      <w:r>
        <w:t>Hepatotoxicity: serious hepatic events (Grade 3 or higher) = 1.6%</w:t>
      </w:r>
    </w:p>
    <w:p w14:paraId="000002BA" w14:textId="77777777" w:rsidR="00171E65" w:rsidRDefault="001F5E2A">
      <w:pPr>
        <w:numPr>
          <w:ilvl w:val="0"/>
          <w:numId w:val="7"/>
        </w:numPr>
        <w:pBdr>
          <w:top w:val="nil"/>
          <w:left w:val="nil"/>
          <w:bottom w:val="nil"/>
          <w:right w:val="nil"/>
          <w:between w:val="nil"/>
        </w:pBdr>
        <w:spacing w:before="120" w:after="180"/>
      </w:pPr>
      <w:r>
        <w:rPr>
          <w:color w:val="000000"/>
        </w:rPr>
        <w:t xml:space="preserve">Of these patients, five required dose modifications. </w:t>
      </w:r>
    </w:p>
    <w:p w14:paraId="000002BB" w14:textId="77777777" w:rsidR="00171E65" w:rsidRDefault="001F5E2A">
      <w:pPr>
        <w:numPr>
          <w:ilvl w:val="0"/>
          <w:numId w:val="7"/>
        </w:numPr>
        <w:pBdr>
          <w:top w:val="nil"/>
          <w:left w:val="nil"/>
          <w:bottom w:val="nil"/>
          <w:right w:val="nil"/>
          <w:between w:val="nil"/>
        </w:pBdr>
        <w:spacing w:before="120" w:after="180"/>
      </w:pPr>
      <w:r>
        <w:rPr>
          <w:color w:val="000000"/>
        </w:rPr>
        <w:t xml:space="preserve">No fatalities attributed to hepatic events were </w:t>
      </w:r>
      <w:proofErr w:type="gramStart"/>
      <w:r>
        <w:rPr>
          <w:color w:val="000000"/>
        </w:rPr>
        <w:t>identified</w:t>
      </w:r>
      <w:proofErr w:type="gramEnd"/>
    </w:p>
    <w:p w14:paraId="000002BC" w14:textId="77777777" w:rsidR="00171E65" w:rsidRDefault="001F5E2A">
      <w:pPr>
        <w:numPr>
          <w:ilvl w:val="0"/>
          <w:numId w:val="7"/>
        </w:numPr>
        <w:pBdr>
          <w:top w:val="nil"/>
          <w:left w:val="nil"/>
          <w:bottom w:val="nil"/>
          <w:right w:val="nil"/>
          <w:between w:val="nil"/>
        </w:pBdr>
        <w:spacing w:before="120" w:after="180"/>
      </w:pPr>
      <w:r>
        <w:rPr>
          <w:color w:val="000000"/>
        </w:rPr>
        <w:t xml:space="preserve">No events met Hy’s law </w:t>
      </w:r>
      <w:proofErr w:type="gramStart"/>
      <w:r>
        <w:rPr>
          <w:color w:val="000000"/>
        </w:rPr>
        <w:t>criteria</w:t>
      </w:r>
      <w:proofErr w:type="gramEnd"/>
    </w:p>
    <w:p w14:paraId="000002BD" w14:textId="77777777" w:rsidR="00171E65" w:rsidRDefault="001F5E2A">
      <w:pPr>
        <w:numPr>
          <w:ilvl w:val="0"/>
          <w:numId w:val="7"/>
        </w:numPr>
        <w:pBdr>
          <w:top w:val="nil"/>
          <w:left w:val="nil"/>
          <w:bottom w:val="nil"/>
          <w:right w:val="nil"/>
          <w:between w:val="nil"/>
        </w:pBdr>
        <w:spacing w:before="120" w:after="180"/>
        <w:rPr>
          <w:color w:val="000000"/>
          <w:u w:val="single"/>
        </w:rPr>
      </w:pPr>
      <w:r>
        <w:rPr>
          <w:color w:val="000000"/>
        </w:rPr>
        <w:t>The Delegate commented that hepatotoxicity and recommended dose modifications for relevant patients should be included in the PI.</w:t>
      </w:r>
    </w:p>
    <w:p w14:paraId="000002BE" w14:textId="77777777" w:rsidR="00171E65" w:rsidRDefault="001F5E2A">
      <w:r>
        <w:t>Gastrointestinal perforations/fistulas – 11 events in eight patients</w:t>
      </w:r>
    </w:p>
    <w:p w14:paraId="000002BF" w14:textId="77777777" w:rsidR="00171E65" w:rsidRDefault="001F5E2A">
      <w:pPr>
        <w:numPr>
          <w:ilvl w:val="0"/>
          <w:numId w:val="7"/>
        </w:numPr>
        <w:pBdr>
          <w:top w:val="nil"/>
          <w:left w:val="nil"/>
          <w:bottom w:val="nil"/>
          <w:right w:val="nil"/>
          <w:between w:val="nil"/>
        </w:pBdr>
        <w:spacing w:before="120" w:after="180"/>
      </w:pPr>
      <w:r>
        <w:rPr>
          <w:color w:val="000000"/>
        </w:rPr>
        <w:t xml:space="preserve">Based on currently available information, the potential for </w:t>
      </w:r>
      <w:proofErr w:type="spellStart"/>
      <w:r>
        <w:rPr>
          <w:color w:val="000000"/>
        </w:rPr>
        <w:t>pralsetinib</w:t>
      </w:r>
      <w:proofErr w:type="spellEnd"/>
      <w:r>
        <w:rPr>
          <w:color w:val="000000"/>
        </w:rPr>
        <w:t xml:space="preserve"> to impact on the VEGF pathway, and the limited available data from a single arm study, further characterisation of the incidence, presentation, </w:t>
      </w:r>
      <w:proofErr w:type="gramStart"/>
      <w:r>
        <w:rPr>
          <w:color w:val="000000"/>
        </w:rPr>
        <w:t>management</w:t>
      </w:r>
      <w:proofErr w:type="gramEnd"/>
      <w:r>
        <w:rPr>
          <w:color w:val="000000"/>
        </w:rPr>
        <w:t xml:space="preserve"> and outcome of GI perforations/fistulas will be required as a condition of registration.</w:t>
      </w:r>
    </w:p>
    <w:p w14:paraId="000002C0" w14:textId="77777777" w:rsidR="00171E65" w:rsidRDefault="001F5E2A">
      <w:r>
        <w:t>Impaired wound healing – 4 events in four patients</w:t>
      </w:r>
    </w:p>
    <w:p w14:paraId="000002C1" w14:textId="77777777" w:rsidR="00171E65" w:rsidRDefault="001F5E2A">
      <w:pPr>
        <w:numPr>
          <w:ilvl w:val="0"/>
          <w:numId w:val="7"/>
        </w:numPr>
        <w:pBdr>
          <w:top w:val="nil"/>
          <w:left w:val="nil"/>
          <w:bottom w:val="nil"/>
          <w:right w:val="nil"/>
          <w:between w:val="nil"/>
        </w:pBdr>
        <w:spacing w:before="120" w:after="180"/>
      </w:pPr>
      <w:r>
        <w:rPr>
          <w:color w:val="000000"/>
        </w:rPr>
        <w:t>Grade 3 event (n = 1) and Grade 1 event (n = 3)</w:t>
      </w:r>
    </w:p>
    <w:p w14:paraId="000002C2" w14:textId="77777777" w:rsidR="00171E65" w:rsidRDefault="001F5E2A">
      <w:pPr>
        <w:numPr>
          <w:ilvl w:val="0"/>
          <w:numId w:val="7"/>
        </w:numPr>
        <w:pBdr>
          <w:top w:val="nil"/>
          <w:left w:val="nil"/>
          <w:bottom w:val="nil"/>
          <w:right w:val="nil"/>
          <w:between w:val="nil"/>
        </w:pBdr>
        <w:spacing w:before="120" w:after="180"/>
      </w:pPr>
      <w:r>
        <w:rPr>
          <w:color w:val="000000"/>
        </w:rPr>
        <w:t xml:space="preserve">None required dose </w:t>
      </w:r>
      <w:proofErr w:type="gramStart"/>
      <w:r>
        <w:rPr>
          <w:color w:val="000000"/>
        </w:rPr>
        <w:t>modification</w:t>
      </w:r>
      <w:proofErr w:type="gramEnd"/>
    </w:p>
    <w:p w14:paraId="000002C3" w14:textId="77777777" w:rsidR="00171E65" w:rsidRDefault="001F5E2A">
      <w:pPr>
        <w:numPr>
          <w:ilvl w:val="0"/>
          <w:numId w:val="7"/>
        </w:numPr>
        <w:pBdr>
          <w:top w:val="nil"/>
          <w:left w:val="nil"/>
          <w:bottom w:val="nil"/>
          <w:right w:val="nil"/>
          <w:between w:val="nil"/>
        </w:pBdr>
        <w:spacing w:before="120" w:after="180"/>
      </w:pPr>
      <w:r>
        <w:rPr>
          <w:color w:val="000000"/>
        </w:rPr>
        <w:t xml:space="preserve">Based on review of preclinical data for </w:t>
      </w:r>
      <w:proofErr w:type="spellStart"/>
      <w:r>
        <w:rPr>
          <w:color w:val="000000"/>
        </w:rPr>
        <w:t>pralsetinib</w:t>
      </w:r>
      <w:proofErr w:type="spellEnd"/>
      <w:r>
        <w:rPr>
          <w:color w:val="000000"/>
        </w:rPr>
        <w:t xml:space="preserve"> and clinical data for multiple drugs that inhibit the VEGF pathway, this may be a class effect; the risk of Impaired Wound Healing and instructions to withhold </w:t>
      </w:r>
      <w:proofErr w:type="spellStart"/>
      <w:r>
        <w:rPr>
          <w:color w:val="000000"/>
        </w:rPr>
        <w:t>pralsetinib</w:t>
      </w:r>
      <w:proofErr w:type="spellEnd"/>
      <w:r>
        <w:rPr>
          <w:color w:val="000000"/>
        </w:rPr>
        <w:t xml:space="preserve"> for at least 2 weeks following surgery until adequate wound healing should be included in the PI.</w:t>
      </w:r>
    </w:p>
    <w:p w14:paraId="000002C4" w14:textId="77777777" w:rsidR="00171E65" w:rsidRDefault="001F5E2A">
      <w:r>
        <w:t>Cardiac failure</w:t>
      </w:r>
    </w:p>
    <w:p w14:paraId="000002C5" w14:textId="77777777" w:rsidR="00171E65" w:rsidRDefault="001F5E2A">
      <w:pPr>
        <w:numPr>
          <w:ilvl w:val="0"/>
          <w:numId w:val="7"/>
        </w:numPr>
        <w:pBdr>
          <w:top w:val="nil"/>
          <w:left w:val="nil"/>
          <w:bottom w:val="nil"/>
          <w:right w:val="nil"/>
          <w:between w:val="nil"/>
        </w:pBdr>
        <w:spacing w:before="120" w:after="180"/>
      </w:pPr>
      <w:r>
        <w:rPr>
          <w:color w:val="000000"/>
        </w:rPr>
        <w:t xml:space="preserve">Analyses for cardiac failure and cardiomyopathy were reviewed and concluded that given the confounding factors associated with the events, it is unlikely that </w:t>
      </w:r>
      <w:proofErr w:type="spellStart"/>
      <w:r>
        <w:rPr>
          <w:color w:val="000000"/>
        </w:rPr>
        <w:t>pralsetinib</w:t>
      </w:r>
      <w:proofErr w:type="spellEnd"/>
      <w:r>
        <w:rPr>
          <w:color w:val="000000"/>
        </w:rPr>
        <w:t xml:space="preserve"> contributed to the occurrence of the reported events of cardiac dysfunction.</w:t>
      </w:r>
    </w:p>
    <w:p w14:paraId="000002C6" w14:textId="77777777" w:rsidR="00171E65" w:rsidRDefault="001F5E2A">
      <w:r>
        <w:t>Thromboembolic events</w:t>
      </w:r>
    </w:p>
    <w:p w14:paraId="000002C7" w14:textId="77777777" w:rsidR="00171E65" w:rsidRDefault="001F5E2A">
      <w:pPr>
        <w:numPr>
          <w:ilvl w:val="0"/>
          <w:numId w:val="7"/>
        </w:numPr>
        <w:pBdr>
          <w:top w:val="nil"/>
          <w:left w:val="nil"/>
          <w:bottom w:val="nil"/>
          <w:right w:val="nil"/>
          <w:between w:val="nil"/>
        </w:pBdr>
        <w:spacing w:before="120" w:after="180"/>
      </w:pPr>
      <w:r>
        <w:rPr>
          <w:color w:val="000000"/>
        </w:rPr>
        <w:t xml:space="preserve">Analyses for thrombotic and embolic events (11 Grade 3 or higher events, including pulmonary embolism (PE), deep vein thrombosis (DVT), portal vein thrombosis, thrombophlebitis superficial, and superior vena cava syndrome) were reviewed and do not suggest a safety signal for </w:t>
      </w:r>
      <w:proofErr w:type="spellStart"/>
      <w:r>
        <w:rPr>
          <w:color w:val="000000"/>
        </w:rPr>
        <w:t>pralsetinib</w:t>
      </w:r>
      <w:proofErr w:type="spellEnd"/>
      <w:r>
        <w:rPr>
          <w:color w:val="000000"/>
        </w:rPr>
        <w:t xml:space="preserve"> for thromboembolic events.</w:t>
      </w:r>
    </w:p>
    <w:p w14:paraId="000002C8" w14:textId="77777777" w:rsidR="00171E65" w:rsidRDefault="001F5E2A">
      <w:pPr>
        <w:pStyle w:val="Heading6"/>
      </w:pPr>
      <w:r>
        <w:t>FGFR pathway</w:t>
      </w:r>
    </w:p>
    <w:p w14:paraId="000002C9" w14:textId="77777777" w:rsidR="00171E65" w:rsidRDefault="001F5E2A">
      <w:proofErr w:type="spellStart"/>
      <w:r>
        <w:t>Hyperphosphataemia</w:t>
      </w:r>
      <w:proofErr w:type="spellEnd"/>
    </w:p>
    <w:p w14:paraId="000002CA" w14:textId="77777777" w:rsidR="00171E65" w:rsidRDefault="001F5E2A">
      <w:pPr>
        <w:numPr>
          <w:ilvl w:val="0"/>
          <w:numId w:val="7"/>
        </w:numPr>
        <w:pBdr>
          <w:top w:val="nil"/>
          <w:left w:val="nil"/>
          <w:bottom w:val="nil"/>
          <w:right w:val="nil"/>
          <w:between w:val="nil"/>
        </w:pBdr>
        <w:spacing w:before="120" w:after="180"/>
      </w:pPr>
      <w:r>
        <w:rPr>
          <w:color w:val="000000"/>
        </w:rPr>
        <w:t xml:space="preserve">Generally moderate; no serious cases </w:t>
      </w:r>
      <w:proofErr w:type="gramStart"/>
      <w:r>
        <w:rPr>
          <w:color w:val="000000"/>
        </w:rPr>
        <w:t>reported</w:t>
      </w:r>
      <w:proofErr w:type="gramEnd"/>
      <w:r>
        <w:rPr>
          <w:color w:val="000000"/>
        </w:rPr>
        <w:t xml:space="preserve"> and no patients had phosphate values of greater than 9mg/dL</w:t>
      </w:r>
    </w:p>
    <w:p w14:paraId="000002CB" w14:textId="77777777" w:rsidR="00171E65" w:rsidRDefault="001F5E2A">
      <w:pPr>
        <w:numPr>
          <w:ilvl w:val="0"/>
          <w:numId w:val="7"/>
        </w:numPr>
        <w:pBdr>
          <w:top w:val="nil"/>
          <w:left w:val="nil"/>
          <w:bottom w:val="nil"/>
          <w:right w:val="nil"/>
          <w:between w:val="nil"/>
        </w:pBdr>
        <w:spacing w:before="120" w:after="180"/>
      </w:pPr>
      <w:r>
        <w:rPr>
          <w:color w:val="000000"/>
        </w:rPr>
        <w:lastRenderedPageBreak/>
        <w:t>In patients with abnormal phosphate value (at least 5.5 mg/dL) by ‘</w:t>
      </w:r>
      <w:r>
        <w:rPr>
          <w:i/>
          <w:color w:val="000000"/>
        </w:rPr>
        <w:t>Phosphate Binder Treated Status Safety Population</w:t>
      </w:r>
      <w:r>
        <w:rPr>
          <w:color w:val="000000"/>
        </w:rPr>
        <w:t>’ – all patients treated at 400 mg once daily and normal or missing phosphate value at baseline and abnormal phosphate value at post-</w:t>
      </w:r>
      <w:proofErr w:type="gramStart"/>
      <w:r>
        <w:rPr>
          <w:color w:val="000000"/>
        </w:rPr>
        <w:t>baseline</w:t>
      </w:r>
      <w:proofErr w:type="gramEnd"/>
      <w:r>
        <w:rPr>
          <w:color w:val="000000"/>
        </w:rPr>
        <w:t xml:space="preserve"> </w:t>
      </w:r>
    </w:p>
    <w:p w14:paraId="000002CC" w14:textId="77777777" w:rsidR="00171E65" w:rsidRDefault="001F5E2A">
      <w:pPr>
        <w:numPr>
          <w:ilvl w:val="0"/>
          <w:numId w:val="7"/>
        </w:numPr>
        <w:pBdr>
          <w:top w:val="nil"/>
          <w:left w:val="nil"/>
          <w:bottom w:val="nil"/>
          <w:right w:val="nil"/>
          <w:between w:val="nil"/>
        </w:pBdr>
        <w:spacing w:before="120" w:after="180"/>
      </w:pPr>
      <w:r>
        <w:rPr>
          <w:color w:val="000000"/>
        </w:rPr>
        <w:t>N = 93</w:t>
      </w:r>
    </w:p>
    <w:p w14:paraId="000002CD" w14:textId="77777777" w:rsidR="00171E65" w:rsidRDefault="001F5E2A">
      <w:pPr>
        <w:numPr>
          <w:ilvl w:val="0"/>
          <w:numId w:val="7"/>
        </w:numPr>
        <w:pBdr>
          <w:top w:val="nil"/>
          <w:left w:val="nil"/>
          <w:bottom w:val="nil"/>
          <w:right w:val="nil"/>
          <w:between w:val="nil"/>
        </w:pBdr>
        <w:spacing w:before="120" w:after="180"/>
      </w:pPr>
      <w:r>
        <w:rPr>
          <w:color w:val="000000"/>
        </w:rPr>
        <w:t xml:space="preserve">Approximately 50% were not treated with phosphate binders; these patients did not have worsening </w:t>
      </w:r>
      <w:proofErr w:type="spellStart"/>
      <w:r>
        <w:rPr>
          <w:color w:val="000000"/>
        </w:rPr>
        <w:t>hyperphosphataemia</w:t>
      </w:r>
      <w:proofErr w:type="spellEnd"/>
      <w:r>
        <w:rPr>
          <w:color w:val="000000"/>
        </w:rPr>
        <w:t xml:space="preserve"> over time and administration of phosphate binders did not appear to decrease the duration of </w:t>
      </w:r>
      <w:proofErr w:type="spellStart"/>
      <w:proofErr w:type="gramStart"/>
      <w:r>
        <w:rPr>
          <w:color w:val="000000"/>
        </w:rPr>
        <w:t>hyperphosphataemia</w:t>
      </w:r>
      <w:proofErr w:type="spellEnd"/>
      <w:proofErr w:type="gramEnd"/>
    </w:p>
    <w:p w14:paraId="000002CE" w14:textId="77777777" w:rsidR="00171E65" w:rsidRDefault="001F5E2A">
      <w:pPr>
        <w:numPr>
          <w:ilvl w:val="0"/>
          <w:numId w:val="7"/>
        </w:numPr>
        <w:pBdr>
          <w:top w:val="nil"/>
          <w:left w:val="nil"/>
          <w:bottom w:val="nil"/>
          <w:right w:val="nil"/>
          <w:between w:val="nil"/>
        </w:pBdr>
        <w:spacing w:before="120" w:after="180"/>
      </w:pPr>
      <w:r>
        <w:rPr>
          <w:color w:val="000000"/>
        </w:rPr>
        <w:t xml:space="preserve">The Delegate commented that </w:t>
      </w:r>
      <w:proofErr w:type="spellStart"/>
      <w:r>
        <w:rPr>
          <w:color w:val="000000"/>
        </w:rPr>
        <w:t>hyperphosphataemia</w:t>
      </w:r>
      <w:proofErr w:type="spellEnd"/>
      <w:r>
        <w:rPr>
          <w:color w:val="000000"/>
        </w:rPr>
        <w:t xml:space="preserve"> should be included in the PI as a potentially clinically significant adverse reaction of </w:t>
      </w:r>
      <w:proofErr w:type="spellStart"/>
      <w:proofErr w:type="gramStart"/>
      <w:r>
        <w:rPr>
          <w:color w:val="000000"/>
        </w:rPr>
        <w:t>pralsetinib</w:t>
      </w:r>
      <w:proofErr w:type="spellEnd"/>
      <w:proofErr w:type="gramEnd"/>
    </w:p>
    <w:p w14:paraId="000002CF" w14:textId="77777777" w:rsidR="00171E65" w:rsidRDefault="001F5E2A">
      <w:r>
        <w:t>Vision disorders</w:t>
      </w:r>
    </w:p>
    <w:p w14:paraId="000002D0" w14:textId="77777777" w:rsidR="00171E65" w:rsidRDefault="001F5E2A">
      <w:pPr>
        <w:numPr>
          <w:ilvl w:val="0"/>
          <w:numId w:val="7"/>
        </w:numPr>
        <w:pBdr>
          <w:top w:val="nil"/>
          <w:left w:val="nil"/>
          <w:bottom w:val="nil"/>
          <w:right w:val="nil"/>
          <w:between w:val="nil"/>
        </w:pBdr>
        <w:spacing w:before="120" w:after="180"/>
      </w:pPr>
      <w:r>
        <w:rPr>
          <w:color w:val="000000"/>
        </w:rPr>
        <w:t xml:space="preserve">Analyses of vision disorders were reviewed and do not suggest a safety signal for </w:t>
      </w:r>
      <w:proofErr w:type="spellStart"/>
      <w:r>
        <w:rPr>
          <w:color w:val="000000"/>
        </w:rPr>
        <w:t>pralsetinib</w:t>
      </w:r>
      <w:proofErr w:type="spellEnd"/>
      <w:r>
        <w:rPr>
          <w:color w:val="000000"/>
        </w:rPr>
        <w:t xml:space="preserve"> for vision </w:t>
      </w:r>
      <w:proofErr w:type="gramStart"/>
      <w:r>
        <w:rPr>
          <w:color w:val="000000"/>
        </w:rPr>
        <w:t>disorders</w:t>
      </w:r>
      <w:proofErr w:type="gramEnd"/>
    </w:p>
    <w:p w14:paraId="000002D1" w14:textId="77777777" w:rsidR="00171E65" w:rsidRDefault="001F5E2A">
      <w:pPr>
        <w:pStyle w:val="Heading6"/>
      </w:pPr>
      <w:r>
        <w:t>JAK1/2 pathway</w:t>
      </w:r>
    </w:p>
    <w:p w14:paraId="000002D2" w14:textId="77777777" w:rsidR="00171E65" w:rsidRDefault="001F5E2A">
      <w:r>
        <w:t>Infections/myelosuppression</w:t>
      </w:r>
    </w:p>
    <w:p w14:paraId="000002D3" w14:textId="77777777" w:rsidR="00171E65" w:rsidRDefault="001F5E2A">
      <w:pPr>
        <w:numPr>
          <w:ilvl w:val="0"/>
          <w:numId w:val="7"/>
        </w:numPr>
        <w:pBdr>
          <w:top w:val="nil"/>
          <w:left w:val="nil"/>
          <w:bottom w:val="nil"/>
          <w:right w:val="nil"/>
          <w:between w:val="nil"/>
        </w:pBdr>
        <w:spacing w:before="120" w:after="180"/>
      </w:pPr>
      <w:r>
        <w:rPr>
          <w:color w:val="000000"/>
        </w:rPr>
        <w:t xml:space="preserve">Analysis revealed 13 SAEs of </w:t>
      </w:r>
      <w:proofErr w:type="gramStart"/>
      <w:r>
        <w:rPr>
          <w:color w:val="000000"/>
        </w:rPr>
        <w:t>sepsis</w:t>
      </w:r>
      <w:proofErr w:type="gramEnd"/>
    </w:p>
    <w:p w14:paraId="000002D4" w14:textId="77777777" w:rsidR="00171E65" w:rsidRDefault="001F5E2A">
      <w:pPr>
        <w:numPr>
          <w:ilvl w:val="1"/>
          <w:numId w:val="7"/>
        </w:numPr>
        <w:pBdr>
          <w:top w:val="nil"/>
          <w:left w:val="nil"/>
          <w:bottom w:val="nil"/>
          <w:right w:val="nil"/>
          <w:between w:val="nil"/>
        </w:pBdr>
        <w:spacing w:before="120" w:after="180"/>
      </w:pPr>
      <w:r>
        <w:rPr>
          <w:color w:val="000000"/>
        </w:rPr>
        <w:t>Grade 3: n = 7</w:t>
      </w:r>
    </w:p>
    <w:p w14:paraId="000002D5" w14:textId="77777777" w:rsidR="00171E65" w:rsidRDefault="001F5E2A">
      <w:pPr>
        <w:numPr>
          <w:ilvl w:val="1"/>
          <w:numId w:val="7"/>
        </w:numPr>
        <w:pBdr>
          <w:top w:val="nil"/>
          <w:left w:val="nil"/>
          <w:bottom w:val="nil"/>
          <w:right w:val="nil"/>
          <w:between w:val="nil"/>
        </w:pBdr>
        <w:spacing w:before="120" w:after="180"/>
      </w:pPr>
      <w:r>
        <w:rPr>
          <w:color w:val="000000"/>
        </w:rPr>
        <w:t>Grade 4: n = 5</w:t>
      </w:r>
    </w:p>
    <w:p w14:paraId="000002D6" w14:textId="77777777" w:rsidR="00171E65" w:rsidRDefault="001F5E2A">
      <w:pPr>
        <w:numPr>
          <w:ilvl w:val="1"/>
          <w:numId w:val="7"/>
        </w:numPr>
        <w:pBdr>
          <w:top w:val="nil"/>
          <w:left w:val="nil"/>
          <w:bottom w:val="nil"/>
          <w:right w:val="nil"/>
          <w:between w:val="nil"/>
        </w:pBdr>
        <w:spacing w:before="120" w:after="180"/>
      </w:pPr>
      <w:r>
        <w:rPr>
          <w:color w:val="000000"/>
        </w:rPr>
        <w:t>Grade 1: n = 1</w:t>
      </w:r>
    </w:p>
    <w:p w14:paraId="000002D7" w14:textId="77777777" w:rsidR="00171E65" w:rsidRDefault="001F5E2A">
      <w:pPr>
        <w:numPr>
          <w:ilvl w:val="0"/>
          <w:numId w:val="7"/>
        </w:numPr>
        <w:pBdr>
          <w:top w:val="nil"/>
          <w:left w:val="nil"/>
          <w:bottom w:val="nil"/>
          <w:right w:val="nil"/>
          <w:between w:val="nil"/>
        </w:pBdr>
        <w:spacing w:before="120" w:after="180"/>
      </w:pPr>
      <w:r>
        <w:rPr>
          <w:color w:val="000000"/>
        </w:rPr>
        <w:t xml:space="preserve">In all events, baseline absolute neutrophil count </w:t>
      </w:r>
      <w:proofErr w:type="gramStart"/>
      <w:r>
        <w:rPr>
          <w:color w:val="000000"/>
        </w:rPr>
        <w:t>were</w:t>
      </w:r>
      <w:proofErr w:type="gramEnd"/>
      <w:r>
        <w:rPr>
          <w:color w:val="000000"/>
        </w:rPr>
        <w:t xml:space="preserve"> normal</w:t>
      </w:r>
    </w:p>
    <w:p w14:paraId="000002D8" w14:textId="77777777" w:rsidR="00171E65" w:rsidRDefault="001F5E2A">
      <w:pPr>
        <w:numPr>
          <w:ilvl w:val="0"/>
          <w:numId w:val="7"/>
        </w:numPr>
        <w:pBdr>
          <w:top w:val="nil"/>
          <w:left w:val="nil"/>
          <w:bottom w:val="nil"/>
          <w:right w:val="nil"/>
          <w:between w:val="nil"/>
        </w:pBdr>
        <w:spacing w:before="120" w:after="180"/>
      </w:pPr>
      <w:r>
        <w:rPr>
          <w:color w:val="000000"/>
        </w:rPr>
        <w:t xml:space="preserve">six events occurred in association with decreased neutrophil </w:t>
      </w:r>
      <w:proofErr w:type="gramStart"/>
      <w:r>
        <w:rPr>
          <w:color w:val="000000"/>
        </w:rPr>
        <w:t>counts</w:t>
      </w:r>
      <w:proofErr w:type="gramEnd"/>
    </w:p>
    <w:p w14:paraId="000002D9" w14:textId="77777777" w:rsidR="00171E65" w:rsidRDefault="001F5E2A">
      <w:pPr>
        <w:numPr>
          <w:ilvl w:val="0"/>
          <w:numId w:val="7"/>
        </w:numPr>
        <w:pBdr>
          <w:top w:val="nil"/>
          <w:left w:val="nil"/>
          <w:bottom w:val="nil"/>
          <w:right w:val="nil"/>
          <w:between w:val="nil"/>
        </w:pBdr>
        <w:spacing w:before="120" w:after="180"/>
      </w:pPr>
      <w:r>
        <w:rPr>
          <w:color w:val="000000"/>
        </w:rPr>
        <w:t xml:space="preserve">the primary infection was urinary tract infection in five events and pneumonia in two </w:t>
      </w:r>
      <w:proofErr w:type="gramStart"/>
      <w:r>
        <w:rPr>
          <w:color w:val="000000"/>
        </w:rPr>
        <w:t>events</w:t>
      </w:r>
      <w:proofErr w:type="gramEnd"/>
    </w:p>
    <w:p w14:paraId="000002DA" w14:textId="77777777" w:rsidR="00171E65" w:rsidRDefault="001F5E2A">
      <w:pPr>
        <w:numPr>
          <w:ilvl w:val="0"/>
          <w:numId w:val="7"/>
        </w:numPr>
        <w:pBdr>
          <w:top w:val="nil"/>
          <w:left w:val="nil"/>
          <w:bottom w:val="nil"/>
          <w:right w:val="nil"/>
          <w:between w:val="nil"/>
        </w:pBdr>
        <w:spacing w:before="120" w:after="180"/>
      </w:pPr>
      <w:r>
        <w:rPr>
          <w:color w:val="000000"/>
        </w:rPr>
        <w:t>Evaluation of this analysis concluded that as infections are commonly reported in patients with cancer, and in ARROW these events were not consistently associated with neutropenia, this does not warrant inclusion in the PI.</w:t>
      </w:r>
    </w:p>
    <w:p w14:paraId="000002DB" w14:textId="77777777" w:rsidR="00171E65" w:rsidRDefault="001F5E2A">
      <w:pPr>
        <w:pStyle w:val="Heading5"/>
      </w:pPr>
      <w:r>
        <w:t>Dropouts and/or discontinuations due to adverse events</w:t>
      </w:r>
    </w:p>
    <w:p w14:paraId="000002DC" w14:textId="77777777" w:rsidR="00171E65" w:rsidRDefault="001F5E2A">
      <w:r>
        <w:t xml:space="preserve">Among all patients treated at 400 mg once daily, AEs that were the primary or contributing reasons for permanent treatment discontinuation were reported in 14.2%, and in 9.2% of patients with </w:t>
      </w:r>
      <w:r>
        <w:rPr>
          <w:i/>
        </w:rPr>
        <w:t>RET</w:t>
      </w:r>
      <w:r>
        <w:t xml:space="preserve"> mutation positive MTC treated at 400 mg once daily. One patient (5.3%) in the population of </w:t>
      </w:r>
      <w:r>
        <w:rPr>
          <w:i/>
        </w:rPr>
        <w:t>RET</w:t>
      </w:r>
      <w:r>
        <w:t xml:space="preserve"> fusion positive thyroid cancer patients treated at 400 mg once daily experienced an AE of pneumonia as the primary or contributing reason for treatment discontinuation (including PD reported as an AE term).</w:t>
      </w:r>
    </w:p>
    <w:p w14:paraId="000002DD" w14:textId="029BA4B8" w:rsidR="00171E65" w:rsidRDefault="009F791C">
      <w:sdt>
        <w:sdtPr>
          <w:tag w:val="goog_rdk_73"/>
          <w:id w:val="1447658307"/>
        </w:sdtPr>
        <w:sdtEndPr/>
        <w:sdtContent/>
      </w:sdt>
      <w:r w:rsidR="001F5E2A">
        <w:t>The most common AEs leading to permanent discontinuation in all patients treated at 400 mg once daily were disease progression (2.</w:t>
      </w:r>
      <w:sdt>
        <w:sdtPr>
          <w:tag w:val="goog_rdk_74"/>
          <w:id w:val="116421507"/>
        </w:sdtPr>
        <w:sdtEndPr/>
        <w:sdtContent>
          <w:r w:rsidR="001F5E2A">
            <w:t>7</w:t>
          </w:r>
        </w:sdtContent>
      </w:sdt>
      <w:r w:rsidR="001F5E2A">
        <w:t>%), pneumonia (1.</w:t>
      </w:r>
      <w:sdt>
        <w:sdtPr>
          <w:tag w:val="goog_rdk_76"/>
          <w:id w:val="-1621752926"/>
        </w:sdtPr>
        <w:sdtEndPr/>
        <w:sdtContent>
          <w:r w:rsidR="001F5E2A">
            <w:t>4</w:t>
          </w:r>
        </w:sdtContent>
      </w:sdt>
      <w:r w:rsidR="001F5E2A">
        <w:t>%) and pneumonitis (1.</w:t>
      </w:r>
      <w:sdt>
        <w:sdtPr>
          <w:tag w:val="goog_rdk_78"/>
          <w:id w:val="22298809"/>
        </w:sdtPr>
        <w:sdtEndPr/>
        <w:sdtContent>
          <w:r w:rsidR="001F5E2A">
            <w:t>4</w:t>
          </w:r>
        </w:sdtContent>
      </w:sdt>
      <w:r w:rsidR="001F5E2A">
        <w:t xml:space="preserve">%). The most common treatment discontinuation reasons in the patient population with thyroid cancer </w:t>
      </w:r>
      <w:proofErr w:type="gramStart"/>
      <w:r w:rsidR="001F5E2A">
        <w:t>were:</w:t>
      </w:r>
      <w:proofErr w:type="gramEnd"/>
      <w:r w:rsidR="001F5E2A">
        <w:t xml:space="preserve"> fatigue, anaemia, and pneumonia.</w:t>
      </w:r>
    </w:p>
    <w:p w14:paraId="000002DE" w14:textId="77777777" w:rsidR="00171E65" w:rsidRDefault="001F5E2A">
      <w:pPr>
        <w:pStyle w:val="Heading5"/>
      </w:pPr>
      <w:r>
        <w:t>Dose interruption/reduction due to adverse events</w:t>
      </w:r>
    </w:p>
    <w:p w14:paraId="000002DF" w14:textId="77777777" w:rsidR="00171E65" w:rsidRDefault="001F5E2A">
      <w:r>
        <w:t xml:space="preserve">In patients with RET-altered thyroid cancer treated with </w:t>
      </w:r>
      <w:proofErr w:type="spellStart"/>
      <w:r>
        <w:t>pralsetinib</w:t>
      </w:r>
      <w:proofErr w:type="spellEnd"/>
      <w:r>
        <w:t xml:space="preserve"> 400 mg once daily:</w:t>
      </w:r>
    </w:p>
    <w:p w14:paraId="000002E0" w14:textId="4C2FC091" w:rsidR="00171E65" w:rsidRDefault="009915D0" w:rsidP="009915D0">
      <w:pPr>
        <w:pBdr>
          <w:top w:val="nil"/>
          <w:left w:val="nil"/>
          <w:bottom w:val="nil"/>
          <w:right w:val="nil"/>
          <w:between w:val="nil"/>
        </w:pBdr>
        <w:spacing w:after="0" w:line="240" w:lineRule="auto"/>
      </w:pPr>
      <w:bookmarkStart w:id="33" w:name="_Hlk149212140"/>
      <w:r w:rsidRPr="009915D0">
        <w:rPr>
          <w:color w:val="000000"/>
        </w:rPr>
        <w:lastRenderedPageBreak/>
        <w:t>•</w:t>
      </w:r>
      <w:r w:rsidRPr="009915D0">
        <w:rPr>
          <w:color w:val="000000"/>
        </w:rPr>
        <w:tab/>
      </w:r>
      <w:bookmarkEnd w:id="33"/>
      <w:r w:rsidR="001F5E2A">
        <w:rPr>
          <w:color w:val="000000"/>
        </w:rPr>
        <w:t>Dose interruption due to AE = 67%</w:t>
      </w:r>
    </w:p>
    <w:p w14:paraId="000002E1" w14:textId="6B286632" w:rsidR="00171E65" w:rsidRDefault="001F5E2A">
      <w:pPr>
        <w:numPr>
          <w:ilvl w:val="1"/>
          <w:numId w:val="7"/>
        </w:numPr>
        <w:pBdr>
          <w:top w:val="nil"/>
          <w:left w:val="nil"/>
          <w:bottom w:val="nil"/>
          <w:right w:val="nil"/>
          <w:between w:val="nil"/>
        </w:pBdr>
        <w:spacing w:before="120" w:after="180"/>
      </w:pPr>
      <w:r>
        <w:rPr>
          <w:color w:val="000000"/>
        </w:rPr>
        <w:t>Most commonly due to neutropenia, fatigue, diarrhoea, hypertension, pneumonitis, pneumonia, anaemia, increased blood creatine kinase, urinary tract infection, musculoskeletal pain, vomiting, stomatitis, dyspnoea</w:t>
      </w:r>
      <w:sdt>
        <w:sdtPr>
          <w:tag w:val="goog_rdk_84"/>
          <w:id w:val="-484932045"/>
        </w:sdtPr>
        <w:sdtEndPr/>
        <w:sdtContent>
          <w:r>
            <w:rPr>
              <w:color w:val="000000"/>
            </w:rPr>
            <w:t xml:space="preserve">, </w:t>
          </w:r>
        </w:sdtContent>
      </w:sdt>
      <w:r>
        <w:rPr>
          <w:color w:val="000000"/>
        </w:rPr>
        <w:t>decreased white blood cell count</w:t>
      </w:r>
      <w:sdt>
        <w:sdtPr>
          <w:tag w:val="goog_rdk_86"/>
          <w:id w:val="-1377153801"/>
        </w:sdtPr>
        <w:sdtEndPr/>
        <w:sdtContent/>
      </w:sdt>
      <w:r>
        <w:rPr>
          <w:color w:val="000000"/>
        </w:rPr>
        <w:t xml:space="preserve"> and </w:t>
      </w:r>
      <w:proofErr w:type="gramStart"/>
      <w:r>
        <w:rPr>
          <w:color w:val="000000"/>
        </w:rPr>
        <w:t>pyrexia</w:t>
      </w:r>
      <w:proofErr w:type="gramEnd"/>
    </w:p>
    <w:p w14:paraId="000002E2" w14:textId="6E56D7FD" w:rsidR="00171E65" w:rsidRDefault="009915D0" w:rsidP="009915D0">
      <w:pPr>
        <w:pBdr>
          <w:top w:val="nil"/>
          <w:left w:val="nil"/>
          <w:bottom w:val="nil"/>
          <w:right w:val="nil"/>
          <w:between w:val="nil"/>
        </w:pBdr>
        <w:spacing w:after="0" w:line="240" w:lineRule="auto"/>
      </w:pPr>
      <w:r w:rsidRPr="009915D0">
        <w:rPr>
          <w:color w:val="000000"/>
        </w:rPr>
        <w:t>•</w:t>
      </w:r>
      <w:r w:rsidRPr="009915D0">
        <w:rPr>
          <w:color w:val="000000"/>
        </w:rPr>
        <w:tab/>
      </w:r>
      <w:r w:rsidR="001F5E2A">
        <w:rPr>
          <w:color w:val="000000"/>
        </w:rPr>
        <w:t>Dose reduction due to AE = 44%</w:t>
      </w:r>
    </w:p>
    <w:p w14:paraId="000002E3" w14:textId="77777777" w:rsidR="00171E65" w:rsidRDefault="001F5E2A">
      <w:pPr>
        <w:numPr>
          <w:ilvl w:val="1"/>
          <w:numId w:val="7"/>
        </w:numPr>
        <w:pBdr>
          <w:top w:val="nil"/>
          <w:left w:val="nil"/>
          <w:bottom w:val="nil"/>
          <w:right w:val="nil"/>
          <w:between w:val="nil"/>
        </w:pBdr>
        <w:spacing w:before="120" w:after="180"/>
      </w:pPr>
      <w:r>
        <w:rPr>
          <w:color w:val="000000"/>
        </w:rPr>
        <w:t xml:space="preserve">Most commonly due to neutropenia, anaemia, hypertension, blood creatine kinase increased, pneumonitis, and decreased lymphocyte </w:t>
      </w:r>
      <w:proofErr w:type="gramStart"/>
      <w:r>
        <w:rPr>
          <w:color w:val="000000"/>
        </w:rPr>
        <w:t>count</w:t>
      </w:r>
      <w:proofErr w:type="gramEnd"/>
    </w:p>
    <w:p w14:paraId="000002E4" w14:textId="77777777" w:rsidR="00171E65" w:rsidRDefault="001F5E2A">
      <w:r>
        <w:t>No major differences were noted between the thyroid cancer population and population of all patients treated at 400 mg once daily.</w:t>
      </w:r>
    </w:p>
    <w:p w14:paraId="000002E5" w14:textId="77777777" w:rsidR="00171E65" w:rsidRDefault="001F5E2A">
      <w:pPr>
        <w:pStyle w:val="Heading5"/>
      </w:pPr>
      <w:r>
        <w:t>Significant adverse events</w:t>
      </w:r>
    </w:p>
    <w:p w14:paraId="000002E6" w14:textId="77777777" w:rsidR="00171E65" w:rsidRDefault="001F5E2A">
      <w:r>
        <w:t>The clinical safety evaluation of the ARROW trial is outlined in the concurrent submission PM-2021-05760-1-4 and summarised below for completeness; see corresponding AusPAR.</w:t>
      </w:r>
      <w:r>
        <w:rPr>
          <w:vertAlign w:val="superscript"/>
        </w:rPr>
        <w:t>2</w:t>
      </w:r>
      <w:r>
        <w:t xml:space="preserve"> There were no new major safety signals in the thyroid cancer population compared to the overall safety population.</w:t>
      </w:r>
    </w:p>
    <w:p w14:paraId="000002E7" w14:textId="77777777" w:rsidR="00171E65" w:rsidRDefault="001F5E2A">
      <w:r>
        <w:t>Neutropenia</w:t>
      </w:r>
    </w:p>
    <w:p w14:paraId="000002E8" w14:textId="77777777" w:rsidR="00171E65" w:rsidRDefault="001F5E2A">
      <w:pPr>
        <w:numPr>
          <w:ilvl w:val="0"/>
          <w:numId w:val="7"/>
        </w:numPr>
        <w:pBdr>
          <w:top w:val="nil"/>
          <w:left w:val="nil"/>
          <w:bottom w:val="nil"/>
          <w:right w:val="nil"/>
          <w:between w:val="nil"/>
        </w:pBdr>
        <w:spacing w:before="120" w:after="180"/>
      </w:pPr>
      <w:r>
        <w:rPr>
          <w:color w:val="000000"/>
        </w:rPr>
        <w:t xml:space="preserve">Among all patients treated at 400 mg once daily, neutropenia events were reported in 36% of patients; 33% of patients reported neutropenia events that were related to study </w:t>
      </w:r>
      <w:proofErr w:type="gramStart"/>
      <w:r>
        <w:rPr>
          <w:color w:val="000000"/>
        </w:rPr>
        <w:t>drug</w:t>
      </w:r>
      <w:proofErr w:type="gramEnd"/>
    </w:p>
    <w:p w14:paraId="000002E9" w14:textId="77777777" w:rsidR="00171E65" w:rsidRDefault="001F5E2A">
      <w:pPr>
        <w:numPr>
          <w:ilvl w:val="0"/>
          <w:numId w:val="7"/>
        </w:numPr>
        <w:pBdr>
          <w:top w:val="nil"/>
          <w:left w:val="nil"/>
          <w:bottom w:val="nil"/>
          <w:right w:val="nil"/>
          <w:between w:val="nil"/>
        </w:pBdr>
        <w:spacing w:before="120" w:after="180"/>
      </w:pPr>
      <w:r>
        <w:rPr>
          <w:color w:val="000000"/>
        </w:rPr>
        <w:t xml:space="preserve">four patients experienced febrile neutropenia; no patient had </w:t>
      </w:r>
      <w:proofErr w:type="spellStart"/>
      <w:r>
        <w:rPr>
          <w:color w:val="000000"/>
        </w:rPr>
        <w:t>pralsetinib</w:t>
      </w:r>
      <w:proofErr w:type="spellEnd"/>
      <w:r>
        <w:rPr>
          <w:color w:val="000000"/>
        </w:rPr>
        <w:t xml:space="preserve"> permanently discontinued for febrile </w:t>
      </w:r>
      <w:proofErr w:type="gramStart"/>
      <w:r>
        <w:rPr>
          <w:color w:val="000000"/>
        </w:rPr>
        <w:t>neutropenia</w:t>
      </w:r>
      <w:proofErr w:type="gramEnd"/>
    </w:p>
    <w:p w14:paraId="000002EA" w14:textId="77777777" w:rsidR="00171E65" w:rsidRDefault="001F5E2A">
      <w:r>
        <w:t>Thrombocytopenia</w:t>
      </w:r>
    </w:p>
    <w:p w14:paraId="000002EB" w14:textId="77777777" w:rsidR="00171E65" w:rsidRDefault="001F5E2A">
      <w:pPr>
        <w:numPr>
          <w:ilvl w:val="0"/>
          <w:numId w:val="7"/>
        </w:numPr>
        <w:pBdr>
          <w:top w:val="nil"/>
          <w:left w:val="nil"/>
          <w:bottom w:val="nil"/>
          <w:right w:val="nil"/>
          <w:between w:val="nil"/>
        </w:pBdr>
        <w:spacing w:before="120" w:after="180"/>
      </w:pPr>
      <w:r>
        <w:rPr>
          <w:color w:val="000000"/>
        </w:rPr>
        <w:t xml:space="preserve">Among all patients treated at 400 mg once daily, thrombocytopenia events were reported in 15.1% of patients; 13.2% of patients reported thrombocytopenia events that were related to study </w:t>
      </w:r>
      <w:proofErr w:type="gramStart"/>
      <w:r>
        <w:rPr>
          <w:color w:val="000000"/>
        </w:rPr>
        <w:t>drug</w:t>
      </w:r>
      <w:proofErr w:type="gramEnd"/>
    </w:p>
    <w:p w14:paraId="000002EC" w14:textId="77777777" w:rsidR="00171E65" w:rsidRDefault="001F5E2A">
      <w:r>
        <w:t>Hypertension</w:t>
      </w:r>
    </w:p>
    <w:p w14:paraId="000002ED" w14:textId="30CC6178" w:rsidR="00171E65" w:rsidRDefault="001F5E2A">
      <w:pPr>
        <w:numPr>
          <w:ilvl w:val="0"/>
          <w:numId w:val="7"/>
        </w:numPr>
        <w:pBdr>
          <w:top w:val="nil"/>
          <w:left w:val="nil"/>
          <w:bottom w:val="nil"/>
          <w:right w:val="nil"/>
          <w:between w:val="nil"/>
        </w:pBdr>
        <w:spacing w:before="120" w:after="180"/>
      </w:pPr>
      <w:r>
        <w:rPr>
          <w:color w:val="000000"/>
        </w:rPr>
        <w:t xml:space="preserve">Among all patients treated at 400 mg once daily, hypertension was reported in 29.2% of patients; of these, 49.2% experienced Grade 3 events, none were Grade 4 or 5 events. 21.9% of patients reported hypertension events that were related to study </w:t>
      </w:r>
      <w:proofErr w:type="gramStart"/>
      <w:r>
        <w:rPr>
          <w:color w:val="000000"/>
        </w:rPr>
        <w:t>drug</w:t>
      </w:r>
      <w:proofErr w:type="gramEnd"/>
    </w:p>
    <w:p w14:paraId="000002EE"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Pralsetinib</w:t>
      </w:r>
      <w:proofErr w:type="spellEnd"/>
      <w:r>
        <w:rPr>
          <w:color w:val="000000"/>
        </w:rPr>
        <w:t xml:space="preserve"> was interrupted for hypertension in 7% of patients, 3.2% had dose reduction of </w:t>
      </w:r>
      <w:proofErr w:type="spellStart"/>
      <w:r>
        <w:rPr>
          <w:color w:val="000000"/>
        </w:rPr>
        <w:t>pralsetinib</w:t>
      </w:r>
      <w:proofErr w:type="spellEnd"/>
      <w:r>
        <w:rPr>
          <w:color w:val="000000"/>
        </w:rPr>
        <w:t xml:space="preserve"> for hypertension, and one patient discontinued treatment due to hypertension.</w:t>
      </w:r>
    </w:p>
    <w:p w14:paraId="000002EF" w14:textId="77777777" w:rsidR="00171E65" w:rsidRDefault="001F5E2A">
      <w:pPr>
        <w:numPr>
          <w:ilvl w:val="0"/>
          <w:numId w:val="7"/>
        </w:numPr>
        <w:pBdr>
          <w:top w:val="nil"/>
          <w:left w:val="nil"/>
          <w:bottom w:val="nil"/>
          <w:right w:val="nil"/>
          <w:between w:val="nil"/>
        </w:pBdr>
        <w:spacing w:before="120" w:after="180"/>
      </w:pPr>
      <w:r>
        <w:rPr>
          <w:color w:val="000000"/>
        </w:rPr>
        <w:t>The Delegate commented that hypertension should be included in the PI as appropriate management will be required to mitigate any adverse outcomes.</w:t>
      </w:r>
    </w:p>
    <w:p w14:paraId="000002F0" w14:textId="77777777" w:rsidR="00171E65" w:rsidRDefault="001F5E2A">
      <w:pPr>
        <w:pStyle w:val="Heading5"/>
      </w:pPr>
      <w:r>
        <w:t>Treatment emergent adverse event</w:t>
      </w:r>
    </w:p>
    <w:p w14:paraId="000002F1" w14:textId="77777777" w:rsidR="00171E65" w:rsidRDefault="001F5E2A">
      <w:r>
        <w:t>The AE profile was similar in patients with thyroid cancer versus all patients treated at 400 mg once daily.</w:t>
      </w:r>
    </w:p>
    <w:p w14:paraId="000002F2" w14:textId="77777777" w:rsidR="00171E65" w:rsidRDefault="001F5E2A">
      <w:r>
        <w:t>Among all patients treated at 400 mg once daily (n = 438):</w:t>
      </w:r>
    </w:p>
    <w:p w14:paraId="000002F3" w14:textId="77777777" w:rsidR="00171E65" w:rsidRDefault="001F5E2A">
      <w:pPr>
        <w:numPr>
          <w:ilvl w:val="0"/>
          <w:numId w:val="7"/>
        </w:numPr>
        <w:pBdr>
          <w:top w:val="nil"/>
          <w:left w:val="nil"/>
          <w:bottom w:val="nil"/>
          <w:right w:val="nil"/>
          <w:between w:val="nil"/>
        </w:pBdr>
        <w:spacing w:before="120" w:after="180"/>
      </w:pPr>
      <w:r>
        <w:rPr>
          <w:color w:val="000000"/>
        </w:rPr>
        <w:t>AEs = 99.3%</w:t>
      </w:r>
    </w:p>
    <w:p w14:paraId="000002F4" w14:textId="77777777" w:rsidR="00171E65" w:rsidRDefault="001F5E2A">
      <w:pPr>
        <w:numPr>
          <w:ilvl w:val="0"/>
          <w:numId w:val="7"/>
        </w:numPr>
        <w:pBdr>
          <w:top w:val="nil"/>
          <w:left w:val="nil"/>
          <w:bottom w:val="nil"/>
          <w:right w:val="nil"/>
          <w:between w:val="nil"/>
        </w:pBdr>
        <w:spacing w:before="120" w:after="180"/>
      </w:pPr>
      <w:r>
        <w:rPr>
          <w:color w:val="000000"/>
        </w:rPr>
        <w:t xml:space="preserve">AEs related to </w:t>
      </w:r>
      <w:proofErr w:type="spellStart"/>
      <w:r>
        <w:rPr>
          <w:color w:val="000000"/>
        </w:rPr>
        <w:t>pralsetinib</w:t>
      </w:r>
      <w:proofErr w:type="spellEnd"/>
      <w:r>
        <w:rPr>
          <w:color w:val="000000"/>
        </w:rPr>
        <w:t xml:space="preserve"> = 92.2%</w:t>
      </w:r>
    </w:p>
    <w:p w14:paraId="000002F5" w14:textId="77777777" w:rsidR="00171E65" w:rsidRDefault="001F5E2A">
      <w:pPr>
        <w:numPr>
          <w:ilvl w:val="0"/>
          <w:numId w:val="7"/>
        </w:numPr>
        <w:pBdr>
          <w:top w:val="nil"/>
          <w:left w:val="nil"/>
          <w:bottom w:val="nil"/>
          <w:right w:val="nil"/>
          <w:between w:val="nil"/>
        </w:pBdr>
        <w:spacing w:before="120" w:after="180"/>
      </w:pPr>
      <w:r>
        <w:rPr>
          <w:color w:val="000000"/>
        </w:rPr>
        <w:lastRenderedPageBreak/>
        <w:t>AE of at least Grade 3 = 67.1%</w:t>
      </w:r>
    </w:p>
    <w:p w14:paraId="000002F6" w14:textId="77777777" w:rsidR="00171E65" w:rsidRDefault="001F5E2A">
      <w:pPr>
        <w:numPr>
          <w:ilvl w:val="0"/>
          <w:numId w:val="7"/>
        </w:numPr>
        <w:pBdr>
          <w:top w:val="nil"/>
          <w:left w:val="nil"/>
          <w:bottom w:val="nil"/>
          <w:right w:val="nil"/>
          <w:between w:val="nil"/>
        </w:pBdr>
        <w:spacing w:before="120" w:after="180"/>
      </w:pPr>
      <w:r>
        <w:rPr>
          <w:color w:val="000000"/>
        </w:rPr>
        <w:t>At least Grade 3 related AEs = 46.1%</w:t>
      </w:r>
    </w:p>
    <w:p w14:paraId="000002F7" w14:textId="77777777" w:rsidR="00171E65" w:rsidRDefault="001F5E2A">
      <w:pPr>
        <w:numPr>
          <w:ilvl w:val="0"/>
          <w:numId w:val="7"/>
        </w:numPr>
        <w:pBdr>
          <w:top w:val="nil"/>
          <w:left w:val="nil"/>
          <w:bottom w:val="nil"/>
          <w:right w:val="nil"/>
          <w:between w:val="nil"/>
        </w:pBdr>
        <w:spacing w:before="120" w:after="180"/>
      </w:pPr>
      <w:r>
        <w:rPr>
          <w:color w:val="000000"/>
        </w:rPr>
        <w:t>SAEs = 44.5%</w:t>
      </w:r>
    </w:p>
    <w:p w14:paraId="000002F8" w14:textId="77777777" w:rsidR="00171E65" w:rsidRDefault="001F5E2A">
      <w:pPr>
        <w:numPr>
          <w:ilvl w:val="0"/>
          <w:numId w:val="7"/>
        </w:numPr>
        <w:pBdr>
          <w:top w:val="nil"/>
          <w:left w:val="nil"/>
          <w:bottom w:val="nil"/>
          <w:right w:val="nil"/>
          <w:between w:val="nil"/>
        </w:pBdr>
        <w:spacing w:before="120" w:after="180"/>
      </w:pPr>
      <w:r>
        <w:rPr>
          <w:color w:val="000000"/>
        </w:rPr>
        <w:t>Related SAEs = 17.6%</w:t>
      </w:r>
    </w:p>
    <w:p w14:paraId="000002F9" w14:textId="77777777" w:rsidR="00171E65" w:rsidRDefault="001F5E2A">
      <w:pPr>
        <w:numPr>
          <w:ilvl w:val="0"/>
          <w:numId w:val="7"/>
        </w:numPr>
        <w:pBdr>
          <w:top w:val="nil"/>
          <w:left w:val="nil"/>
          <w:bottom w:val="nil"/>
          <w:right w:val="nil"/>
          <w:between w:val="nil"/>
        </w:pBdr>
        <w:spacing w:before="120" w:after="180"/>
      </w:pPr>
      <w:r>
        <w:rPr>
          <w:color w:val="000000"/>
        </w:rPr>
        <w:t>Deaths due to AE = 9.1%</w:t>
      </w:r>
    </w:p>
    <w:p w14:paraId="000002FA" w14:textId="77777777" w:rsidR="00171E65" w:rsidRDefault="001F5E2A">
      <w:pPr>
        <w:numPr>
          <w:ilvl w:val="0"/>
          <w:numId w:val="7"/>
        </w:numPr>
        <w:pBdr>
          <w:top w:val="nil"/>
          <w:left w:val="nil"/>
          <w:bottom w:val="nil"/>
          <w:right w:val="nil"/>
          <w:between w:val="nil"/>
        </w:pBdr>
        <w:spacing w:before="120" w:after="180"/>
      </w:pPr>
      <w:r>
        <w:rPr>
          <w:color w:val="000000"/>
        </w:rPr>
        <w:t xml:space="preserve">Deaths related to </w:t>
      </w:r>
      <w:proofErr w:type="spellStart"/>
      <w:r>
        <w:rPr>
          <w:color w:val="000000"/>
        </w:rPr>
        <w:t>pralsetinib</w:t>
      </w:r>
      <w:proofErr w:type="spellEnd"/>
      <w:r>
        <w:rPr>
          <w:color w:val="000000"/>
        </w:rPr>
        <w:t xml:space="preserve"> = less than 1%</w:t>
      </w:r>
    </w:p>
    <w:p w14:paraId="000002FB" w14:textId="77777777" w:rsidR="00171E65" w:rsidRDefault="001F5E2A">
      <w:r>
        <w:t>Among patients with MTC or thyroid cancer treated at 400 mg once daily (n = 138)</w:t>
      </w:r>
    </w:p>
    <w:p w14:paraId="000002FC" w14:textId="77777777" w:rsidR="00171E65" w:rsidRDefault="001F5E2A">
      <w:pPr>
        <w:numPr>
          <w:ilvl w:val="0"/>
          <w:numId w:val="7"/>
        </w:numPr>
        <w:pBdr>
          <w:top w:val="nil"/>
          <w:left w:val="nil"/>
          <w:bottom w:val="nil"/>
          <w:right w:val="nil"/>
          <w:between w:val="nil"/>
        </w:pBdr>
        <w:spacing w:before="120" w:after="180"/>
      </w:pPr>
      <w:r>
        <w:rPr>
          <w:color w:val="000000"/>
        </w:rPr>
        <w:t>AEs = 100%</w:t>
      </w:r>
    </w:p>
    <w:p w14:paraId="000002FD" w14:textId="77777777" w:rsidR="00171E65" w:rsidRDefault="001F5E2A">
      <w:pPr>
        <w:numPr>
          <w:ilvl w:val="0"/>
          <w:numId w:val="7"/>
        </w:numPr>
        <w:pBdr>
          <w:top w:val="nil"/>
          <w:left w:val="nil"/>
          <w:bottom w:val="nil"/>
          <w:right w:val="nil"/>
          <w:between w:val="nil"/>
        </w:pBdr>
        <w:spacing w:before="120" w:after="180"/>
      </w:pPr>
      <w:r>
        <w:rPr>
          <w:color w:val="000000"/>
        </w:rPr>
        <w:t>AE of Grade ≥ 3 = 74%</w:t>
      </w:r>
    </w:p>
    <w:p w14:paraId="000002FE" w14:textId="77777777" w:rsidR="00171E65" w:rsidRDefault="001F5E2A">
      <w:pPr>
        <w:numPr>
          <w:ilvl w:val="0"/>
          <w:numId w:val="7"/>
        </w:numPr>
        <w:pBdr>
          <w:top w:val="nil"/>
          <w:left w:val="nil"/>
          <w:bottom w:val="nil"/>
          <w:right w:val="nil"/>
          <w:between w:val="nil"/>
        </w:pBdr>
        <w:spacing w:before="120" w:after="180"/>
      </w:pPr>
      <w:r>
        <w:rPr>
          <w:color w:val="000000"/>
        </w:rPr>
        <w:t>Deaths due to AEs = 3.6%</w:t>
      </w:r>
    </w:p>
    <w:p w14:paraId="000002FF" w14:textId="77777777" w:rsidR="00171E65" w:rsidRDefault="001F5E2A">
      <w:pPr>
        <w:numPr>
          <w:ilvl w:val="0"/>
          <w:numId w:val="7"/>
        </w:numPr>
        <w:pBdr>
          <w:top w:val="nil"/>
          <w:left w:val="nil"/>
          <w:bottom w:val="nil"/>
          <w:right w:val="nil"/>
          <w:between w:val="nil"/>
        </w:pBdr>
        <w:spacing w:before="120" w:after="180"/>
      </w:pPr>
      <w:r>
        <w:rPr>
          <w:color w:val="000000"/>
        </w:rPr>
        <w:t>SAEs = 41%</w:t>
      </w:r>
    </w:p>
    <w:p w14:paraId="00000300" w14:textId="77777777" w:rsidR="00171E65" w:rsidRDefault="001F5E2A">
      <w:r>
        <w:t>In the thyroid cancer population, a treatment emergent adverse events (TEAE) that was examined further was creatine kinase elevations. Two patients had an SAE of creatine kinase elevations and 11% of patients had a TEAE of creatine kinase elevation. In addition, one patient withdrew from treatment due to creatine kinase evaluation and treatment was interrupted in seven patients and dose reduced in six patients. Creatine kinase elevations should be included in the PI as a clinically significant adverse reaction.</w:t>
      </w:r>
    </w:p>
    <w:p w14:paraId="00000301" w14:textId="77777777" w:rsidR="00171E65" w:rsidRDefault="001F5E2A">
      <w:r>
        <w:t xml:space="preserve">The commonest adverse reactions in patients with </w:t>
      </w:r>
      <w:r>
        <w:rPr>
          <w:i/>
        </w:rPr>
        <w:t>RET</w:t>
      </w:r>
      <w:r>
        <w:t xml:space="preserve"> altered thyroid cancer who received </w:t>
      </w:r>
      <w:proofErr w:type="spellStart"/>
      <w:r>
        <w:t>pralsetinib</w:t>
      </w:r>
      <w:proofErr w:type="spellEnd"/>
      <w:r>
        <w:t xml:space="preserve"> include:</w:t>
      </w:r>
    </w:p>
    <w:p w14:paraId="00000302" w14:textId="77777777" w:rsidR="00171E65" w:rsidRDefault="001F5E2A">
      <w:pPr>
        <w:numPr>
          <w:ilvl w:val="0"/>
          <w:numId w:val="7"/>
        </w:numPr>
        <w:pBdr>
          <w:top w:val="nil"/>
          <w:left w:val="nil"/>
          <w:bottom w:val="nil"/>
          <w:right w:val="nil"/>
          <w:between w:val="nil"/>
        </w:pBdr>
        <w:spacing w:before="120" w:after="180"/>
      </w:pPr>
      <w:r>
        <w:rPr>
          <w:color w:val="000000"/>
        </w:rPr>
        <w:t>Musculoskeletal pain = 42%; (Grades 3-4 = 0.7%)</w:t>
      </w:r>
    </w:p>
    <w:p w14:paraId="00000303" w14:textId="77777777" w:rsidR="00171E65" w:rsidRDefault="001F5E2A">
      <w:pPr>
        <w:numPr>
          <w:ilvl w:val="0"/>
          <w:numId w:val="7"/>
        </w:numPr>
        <w:pBdr>
          <w:top w:val="nil"/>
          <w:left w:val="nil"/>
          <w:bottom w:val="nil"/>
          <w:right w:val="nil"/>
          <w:between w:val="nil"/>
        </w:pBdr>
        <w:spacing w:before="120" w:after="180"/>
      </w:pPr>
      <w:r>
        <w:rPr>
          <w:color w:val="000000"/>
        </w:rPr>
        <w:t>Constipation = 41%; (Grades 3-4 = 0.7%)</w:t>
      </w:r>
    </w:p>
    <w:p w14:paraId="00000304" w14:textId="77777777" w:rsidR="00171E65" w:rsidRDefault="001F5E2A">
      <w:pPr>
        <w:numPr>
          <w:ilvl w:val="0"/>
          <w:numId w:val="7"/>
        </w:numPr>
        <w:pBdr>
          <w:top w:val="nil"/>
          <w:left w:val="nil"/>
          <w:bottom w:val="nil"/>
          <w:right w:val="nil"/>
          <w:between w:val="nil"/>
        </w:pBdr>
        <w:spacing w:before="120" w:after="180"/>
      </w:pPr>
      <w:r>
        <w:rPr>
          <w:color w:val="000000"/>
        </w:rPr>
        <w:t>Hypertension = 40% (Grades 3-4 =21%)</w:t>
      </w:r>
    </w:p>
    <w:p w14:paraId="00000305" w14:textId="77777777" w:rsidR="00171E65" w:rsidRDefault="001F5E2A">
      <w:pPr>
        <w:numPr>
          <w:ilvl w:val="0"/>
          <w:numId w:val="7"/>
        </w:numPr>
        <w:pBdr>
          <w:top w:val="nil"/>
          <w:left w:val="nil"/>
          <w:bottom w:val="nil"/>
          <w:right w:val="nil"/>
          <w:between w:val="nil"/>
        </w:pBdr>
        <w:spacing w:before="120" w:after="180"/>
      </w:pPr>
      <w:r>
        <w:rPr>
          <w:color w:val="000000"/>
        </w:rPr>
        <w:t>Fatigue = 38%; (Grades 3-4 = 5.8%)</w:t>
      </w:r>
    </w:p>
    <w:p w14:paraId="00000306" w14:textId="77777777" w:rsidR="00171E65" w:rsidRDefault="001F5E2A">
      <w:pPr>
        <w:numPr>
          <w:ilvl w:val="0"/>
          <w:numId w:val="7"/>
        </w:numPr>
        <w:pBdr>
          <w:top w:val="nil"/>
          <w:left w:val="nil"/>
          <w:bottom w:val="nil"/>
          <w:right w:val="nil"/>
          <w:between w:val="nil"/>
        </w:pBdr>
        <w:spacing w:before="120" w:after="180"/>
      </w:pPr>
      <w:r>
        <w:rPr>
          <w:color w:val="000000"/>
        </w:rPr>
        <w:t>Diarrhoea = 34%; (Grades 3-4 = 5.1%)</w:t>
      </w:r>
    </w:p>
    <w:p w14:paraId="00000307" w14:textId="77777777" w:rsidR="00171E65" w:rsidRDefault="001F5E2A">
      <w:pPr>
        <w:numPr>
          <w:ilvl w:val="0"/>
          <w:numId w:val="7"/>
        </w:numPr>
        <w:pBdr>
          <w:top w:val="nil"/>
          <w:left w:val="nil"/>
          <w:bottom w:val="nil"/>
          <w:right w:val="nil"/>
          <w:between w:val="nil"/>
        </w:pBdr>
        <w:spacing w:before="120" w:after="180"/>
      </w:pPr>
      <w:r>
        <w:rPr>
          <w:color w:val="000000"/>
        </w:rPr>
        <w:t>Oedema = 29%; (Grades 3-4 = 0)</w:t>
      </w:r>
    </w:p>
    <w:p w14:paraId="00000308" w14:textId="77777777" w:rsidR="00171E65" w:rsidRDefault="001F5E2A">
      <w:pPr>
        <w:numPr>
          <w:ilvl w:val="0"/>
          <w:numId w:val="7"/>
        </w:numPr>
        <w:pBdr>
          <w:top w:val="nil"/>
          <w:left w:val="nil"/>
          <w:bottom w:val="nil"/>
          <w:right w:val="nil"/>
          <w:between w:val="nil"/>
        </w:pBdr>
        <w:spacing w:before="120" w:after="180"/>
      </w:pPr>
      <w:r>
        <w:rPr>
          <w:color w:val="000000"/>
        </w:rPr>
        <w:t>Cough = 27%; (Grades 3-4 = 1.4%)</w:t>
      </w:r>
    </w:p>
    <w:p w14:paraId="00000309" w14:textId="77777777" w:rsidR="00171E65" w:rsidRDefault="001F5E2A">
      <w:pPr>
        <w:numPr>
          <w:ilvl w:val="0"/>
          <w:numId w:val="7"/>
        </w:numPr>
        <w:pBdr>
          <w:top w:val="nil"/>
          <w:left w:val="nil"/>
          <w:bottom w:val="nil"/>
          <w:right w:val="nil"/>
          <w:between w:val="nil"/>
        </w:pBdr>
        <w:spacing w:before="120" w:after="180"/>
      </w:pPr>
      <w:r>
        <w:rPr>
          <w:color w:val="000000"/>
        </w:rPr>
        <w:t>Rash = 24%; (Grades 3-4 = 0)</w:t>
      </w:r>
    </w:p>
    <w:p w14:paraId="0000030A" w14:textId="77777777" w:rsidR="00171E65" w:rsidRDefault="001F5E2A">
      <w:pPr>
        <w:numPr>
          <w:ilvl w:val="0"/>
          <w:numId w:val="7"/>
        </w:numPr>
        <w:pBdr>
          <w:top w:val="nil"/>
          <w:left w:val="nil"/>
          <w:bottom w:val="nil"/>
          <w:right w:val="nil"/>
          <w:between w:val="nil"/>
        </w:pBdr>
        <w:spacing w:before="120" w:after="180"/>
      </w:pPr>
      <w:r>
        <w:rPr>
          <w:color w:val="000000"/>
        </w:rPr>
        <w:t>Headache = 24% (Grades 3-4 = 0)</w:t>
      </w:r>
    </w:p>
    <w:p w14:paraId="0000030B" w14:textId="77777777" w:rsidR="00171E65" w:rsidRDefault="001F5E2A">
      <w:pPr>
        <w:numPr>
          <w:ilvl w:val="0"/>
          <w:numId w:val="7"/>
        </w:numPr>
        <w:pBdr>
          <w:top w:val="nil"/>
          <w:left w:val="nil"/>
          <w:bottom w:val="nil"/>
          <w:right w:val="nil"/>
          <w:between w:val="nil"/>
        </w:pBdr>
        <w:spacing w:before="120" w:after="180"/>
      </w:pPr>
      <w:r>
        <w:rPr>
          <w:color w:val="000000"/>
        </w:rPr>
        <w:t>Pyrexia = 22% (Grades 3-4 = 2.2%)</w:t>
      </w:r>
    </w:p>
    <w:p w14:paraId="0000030C" w14:textId="77777777" w:rsidR="00171E65" w:rsidRDefault="001F5E2A">
      <w:pPr>
        <w:numPr>
          <w:ilvl w:val="0"/>
          <w:numId w:val="7"/>
        </w:numPr>
        <w:pBdr>
          <w:top w:val="nil"/>
          <w:left w:val="nil"/>
          <w:bottom w:val="nil"/>
          <w:right w:val="nil"/>
          <w:between w:val="nil"/>
        </w:pBdr>
        <w:spacing w:before="120" w:after="180"/>
      </w:pPr>
      <w:r>
        <w:rPr>
          <w:color w:val="000000"/>
        </w:rPr>
        <w:t>Dyspnoea = 22% (Grades 3-4 = 2.2%)</w:t>
      </w:r>
    </w:p>
    <w:p w14:paraId="0000030D" w14:textId="77777777" w:rsidR="00171E65" w:rsidRDefault="001F5E2A">
      <w:pPr>
        <w:numPr>
          <w:ilvl w:val="0"/>
          <w:numId w:val="7"/>
        </w:numPr>
        <w:pBdr>
          <w:top w:val="nil"/>
          <w:left w:val="nil"/>
          <w:bottom w:val="nil"/>
          <w:right w:val="nil"/>
          <w:between w:val="nil"/>
        </w:pBdr>
        <w:spacing w:before="120" w:after="180"/>
      </w:pPr>
      <w:r>
        <w:rPr>
          <w:color w:val="000000"/>
        </w:rPr>
        <w:t>Peripheral neuropathy = 20% (Grades 3-4 = 0)</w:t>
      </w:r>
    </w:p>
    <w:p w14:paraId="0000030E" w14:textId="77777777" w:rsidR="00171E65" w:rsidRDefault="001F5E2A">
      <w:pPr>
        <w:pStyle w:val="Heading5"/>
      </w:pPr>
      <w:r>
        <w:t>Laboratory findings</w:t>
      </w:r>
    </w:p>
    <w:p w14:paraId="0000030F" w14:textId="77777777" w:rsidR="00171E65" w:rsidRDefault="001F5E2A">
      <w:r>
        <w:t>Results were similar between the all-patients treated at 400 mg once daily safety analysis population and the thyroid cancer population.</w:t>
      </w:r>
    </w:p>
    <w:p w14:paraId="00000310" w14:textId="77777777" w:rsidR="00171E65" w:rsidRDefault="001F5E2A">
      <w:r>
        <w:lastRenderedPageBreak/>
        <w:t xml:space="preserve">Details of selected laboratory abnormalities in patients with </w:t>
      </w:r>
      <w:r>
        <w:rPr>
          <w:i/>
        </w:rPr>
        <w:t>RET-</w:t>
      </w:r>
      <w:r>
        <w:t>altered thyroid cancer are summarised as follows:</w:t>
      </w:r>
    </w:p>
    <w:p w14:paraId="00000311" w14:textId="77777777" w:rsidR="00171E65" w:rsidRDefault="001F5E2A">
      <w:pPr>
        <w:keepNext/>
        <w:pBdr>
          <w:top w:val="nil"/>
          <w:left w:val="nil"/>
          <w:bottom w:val="nil"/>
          <w:right w:val="nil"/>
          <w:between w:val="nil"/>
        </w:pBdr>
        <w:spacing w:before="120"/>
        <w:rPr>
          <w:b/>
          <w:color w:val="000000"/>
        </w:rPr>
      </w:pPr>
      <w:r>
        <w:rPr>
          <w:b/>
          <w:color w:val="000000"/>
        </w:rPr>
        <w:t>Table 8: Selected laboratory abnormalities</w:t>
      </w:r>
    </w:p>
    <w:p w14:paraId="00000312" w14:textId="77777777" w:rsidR="00171E65" w:rsidRDefault="001F5E2A">
      <w:r>
        <w:rPr>
          <w:noProof/>
          <w:lang w:val="en-NZ"/>
        </w:rPr>
        <w:drawing>
          <wp:inline distT="0" distB="0" distL="0" distR="0" wp14:anchorId="1E9FC07B" wp14:editId="71A7F7EC">
            <wp:extent cx="3325455" cy="2964394"/>
            <wp:effectExtent l="0" t="0" r="0" b="0"/>
            <wp:docPr id="27" name="image2.png" descr="Selected laboratory abnormalities"/>
            <wp:cNvGraphicFramePr/>
            <a:graphic xmlns:a="http://schemas.openxmlformats.org/drawingml/2006/main">
              <a:graphicData uri="http://schemas.openxmlformats.org/drawingml/2006/picture">
                <pic:pic xmlns:pic="http://schemas.openxmlformats.org/drawingml/2006/picture">
                  <pic:nvPicPr>
                    <pic:cNvPr id="0" name="image2.png" descr="Selected laboratory abnormalities"/>
                    <pic:cNvPicPr preferRelativeResize="0"/>
                  </pic:nvPicPr>
                  <pic:blipFill>
                    <a:blip r:embed="rId30"/>
                    <a:srcRect/>
                    <a:stretch>
                      <a:fillRect/>
                    </a:stretch>
                  </pic:blipFill>
                  <pic:spPr>
                    <a:xfrm>
                      <a:off x="0" y="0"/>
                      <a:ext cx="3325455" cy="2964394"/>
                    </a:xfrm>
                    <a:prstGeom prst="rect">
                      <a:avLst/>
                    </a:prstGeom>
                    <a:ln/>
                  </pic:spPr>
                </pic:pic>
              </a:graphicData>
            </a:graphic>
          </wp:inline>
        </w:drawing>
      </w:r>
    </w:p>
    <w:p w14:paraId="00000313" w14:textId="77777777" w:rsidR="00171E65" w:rsidRDefault="001F5E2A">
      <w:pPr>
        <w:pStyle w:val="Heading5"/>
      </w:pPr>
      <w:r>
        <w:t>ECG findings</w:t>
      </w:r>
    </w:p>
    <w:p w14:paraId="00000314" w14:textId="77777777" w:rsidR="00171E65" w:rsidRDefault="001F5E2A">
      <w:r>
        <w:t>QT prolongation as an AE was reported in 5.3% of patients (all patients treated at 400 mg once daily).</w:t>
      </w:r>
    </w:p>
    <w:p w14:paraId="00000315" w14:textId="77777777" w:rsidR="00171E65" w:rsidRDefault="001F5E2A">
      <w:r>
        <w:t xml:space="preserve">An analysis of data from Phase II of ARROW trial was performed, consisting of 34 patients in the QT/QTc population. Analysis of the regression relationship between </w:t>
      </w:r>
      <w:proofErr w:type="spellStart"/>
      <w:r>
        <w:t>ΔQTcF</w:t>
      </w:r>
      <w:proofErr w:type="spellEnd"/>
      <w:r>
        <w:t xml:space="preserve"> and the plasma concentration of </w:t>
      </w:r>
      <w:proofErr w:type="spellStart"/>
      <w:r>
        <w:t>pralsetinib</w:t>
      </w:r>
      <w:proofErr w:type="spellEnd"/>
      <w:r>
        <w:t xml:space="preserve"> at matching times post-dose showed that </w:t>
      </w:r>
      <w:proofErr w:type="spellStart"/>
      <w:r>
        <w:t>pralsetinib</w:t>
      </w:r>
      <w:proofErr w:type="spellEnd"/>
      <w:r>
        <w:t xml:space="preserve"> had no significant effect on QT prolongation with a linear slope of -0.0003 </w:t>
      </w:r>
      <w:proofErr w:type="spellStart"/>
      <w:r>
        <w:t>ms</w:t>
      </w:r>
      <w:proofErr w:type="spellEnd"/>
      <w:r>
        <w:t xml:space="preserve">/ng/mL (p-value = 0.841), and no patients had a </w:t>
      </w:r>
      <w:proofErr w:type="spellStart"/>
      <w:r>
        <w:t>QTcF</w:t>
      </w:r>
      <w:proofErr w:type="spellEnd"/>
      <w:r>
        <w:t xml:space="preserve"> value &gt; 500ms</w:t>
      </w:r>
    </w:p>
    <w:p w14:paraId="00000316" w14:textId="77777777" w:rsidR="00171E65" w:rsidRDefault="001F5E2A">
      <w:r>
        <w:t xml:space="preserve">Through the Day 90 safety update period, there were no clinically meaningful differences in changes from baseline electrocardiogram (ECG) results compared with the initial new drug application; clinical evaluation concluded that </w:t>
      </w:r>
      <w:proofErr w:type="spellStart"/>
      <w:r>
        <w:t>pralsetinib</w:t>
      </w:r>
      <w:proofErr w:type="spellEnd"/>
      <w:r>
        <w:t xml:space="preserve"> administration did not have any clinically meaningful effects on ECGs, and was not found to cause QT prolongation.</w:t>
      </w:r>
    </w:p>
    <w:p w14:paraId="00000317" w14:textId="77777777" w:rsidR="00171E65" w:rsidRDefault="001F5E2A">
      <w:pPr>
        <w:pStyle w:val="Heading5"/>
      </w:pPr>
      <w:r>
        <w:t>Submission specific safety issues</w:t>
      </w:r>
    </w:p>
    <w:p w14:paraId="00000318" w14:textId="77777777" w:rsidR="00171E65" w:rsidRDefault="001F5E2A">
      <w:pPr>
        <w:pStyle w:val="Heading6"/>
      </w:pPr>
      <w:r>
        <w:t xml:space="preserve">Pneumonia </w:t>
      </w:r>
    </w:p>
    <w:p w14:paraId="00000319" w14:textId="39FB0F63" w:rsidR="00171E65" w:rsidRDefault="001F5E2A">
      <w:r>
        <w:t xml:space="preserve">In the safety population of 438 patients treated with </w:t>
      </w:r>
      <w:proofErr w:type="spellStart"/>
      <w:r>
        <w:t>pralsetinib</w:t>
      </w:r>
      <w:proofErr w:type="spellEnd"/>
      <w:r>
        <w:t xml:space="preserve"> at 400 mg once daily, the incidence of pneumonia = 14%. In those with an adverse event of pneumonia, </w:t>
      </w:r>
      <w:sdt>
        <w:sdtPr>
          <w:tag w:val="goog_rdk_89"/>
          <w:id w:val="1680240527"/>
        </w:sdtPr>
        <w:sdtEndPr/>
        <w:sdtContent/>
      </w:sdt>
      <w:r>
        <w:t xml:space="preserve">1.8% permanently discontinued </w:t>
      </w:r>
      <w:proofErr w:type="spellStart"/>
      <w:r>
        <w:t>pralsetinib</w:t>
      </w:r>
      <w:proofErr w:type="spellEnd"/>
      <w:r>
        <w:t xml:space="preserve">, </w:t>
      </w:r>
      <w:sdt>
        <w:sdtPr>
          <w:tag w:val="goog_rdk_92"/>
          <w:id w:val="-1143188386"/>
        </w:sdtPr>
        <w:sdtEndPr/>
        <w:sdtContent/>
      </w:sdt>
      <w:r>
        <w:t>7% had treatment interruptions, and</w:t>
      </w:r>
      <w:sdt>
        <w:sdtPr>
          <w:tag w:val="goog_rdk_94"/>
          <w:id w:val="-944761807"/>
        </w:sdtPr>
        <w:sdtEndPr/>
        <w:sdtContent>
          <w:sdt>
            <w:sdtPr>
              <w:tag w:val="goog_rdk_95"/>
              <w:id w:val="-469592590"/>
            </w:sdtPr>
            <w:sdtEndPr/>
            <w:sdtContent/>
          </w:sdt>
          <w:r>
            <w:t xml:space="preserve"> 1.8</w:t>
          </w:r>
        </w:sdtContent>
      </w:sdt>
      <w:r>
        <w:t xml:space="preserve">% had dose reductions. Five deaths due to pneumonia were reported. </w:t>
      </w:r>
    </w:p>
    <w:p w14:paraId="0000031A" w14:textId="77777777" w:rsidR="00171E65" w:rsidRDefault="001F5E2A">
      <w:r>
        <w:t>There was no significant difference in the incidence of pneumonia between the thyroid cancer population treated at 400 mg once daily and all patients treated at 400 mg once daily.</w:t>
      </w:r>
    </w:p>
    <w:p w14:paraId="0000031B" w14:textId="77777777" w:rsidR="00171E65" w:rsidRDefault="001F5E2A">
      <w:pPr>
        <w:pStyle w:val="Heading6"/>
      </w:pPr>
      <w:r>
        <w:t xml:space="preserve">Pneumonitis </w:t>
      </w:r>
    </w:p>
    <w:p w14:paraId="0000031C" w14:textId="77777777" w:rsidR="00171E65" w:rsidRDefault="001F5E2A">
      <w:r>
        <w:t>Among all patients treated at 400 mg once daily, pneumonitis was reported in 10.3% of patients; 9.1% were related to study drug.</w:t>
      </w:r>
    </w:p>
    <w:p w14:paraId="0000031D" w14:textId="77777777" w:rsidR="00171E65" w:rsidRDefault="001F5E2A">
      <w:pPr>
        <w:numPr>
          <w:ilvl w:val="0"/>
          <w:numId w:val="7"/>
        </w:numPr>
        <w:pBdr>
          <w:top w:val="nil"/>
          <w:left w:val="nil"/>
          <w:bottom w:val="nil"/>
          <w:right w:val="nil"/>
          <w:between w:val="nil"/>
        </w:pBdr>
        <w:spacing w:before="120" w:after="180"/>
      </w:pPr>
      <w:r>
        <w:rPr>
          <w:color w:val="000000"/>
        </w:rPr>
        <w:lastRenderedPageBreak/>
        <w:t>Grade ≥ 3: 3.0%</w:t>
      </w:r>
    </w:p>
    <w:p w14:paraId="0000031E" w14:textId="77777777" w:rsidR="00171E65" w:rsidRDefault="001F5E2A">
      <w:pPr>
        <w:numPr>
          <w:ilvl w:val="0"/>
          <w:numId w:val="7"/>
        </w:numPr>
        <w:pBdr>
          <w:top w:val="nil"/>
          <w:left w:val="nil"/>
          <w:bottom w:val="nil"/>
          <w:right w:val="nil"/>
          <w:between w:val="nil"/>
        </w:pBdr>
        <w:spacing w:before="120" w:after="180"/>
      </w:pPr>
      <w:r>
        <w:rPr>
          <w:color w:val="000000"/>
        </w:rPr>
        <w:t>Serious pneumonitis events = 5%</w:t>
      </w:r>
    </w:p>
    <w:p w14:paraId="0000031F" w14:textId="77777777" w:rsidR="00171E65" w:rsidRDefault="001F5E2A">
      <w:pPr>
        <w:numPr>
          <w:ilvl w:val="0"/>
          <w:numId w:val="7"/>
        </w:numPr>
        <w:pBdr>
          <w:top w:val="nil"/>
          <w:left w:val="nil"/>
          <w:bottom w:val="nil"/>
          <w:right w:val="nil"/>
          <w:between w:val="nil"/>
        </w:pBdr>
        <w:spacing w:before="120" w:after="180"/>
      </w:pPr>
      <w:r>
        <w:rPr>
          <w:color w:val="000000"/>
        </w:rPr>
        <w:t>Serious grouped pneumonitis events related to study drug = 4.3%</w:t>
      </w:r>
    </w:p>
    <w:p w14:paraId="00000320" w14:textId="77777777" w:rsidR="00171E65" w:rsidRDefault="001F5E2A">
      <w:r>
        <w:t>There was no significant difference in the incidence of pneumonitis between the thyroid cancer population treated at 400 mg once daily and all patients treated at 400 mg once daily.</w:t>
      </w:r>
    </w:p>
    <w:p w14:paraId="00000321" w14:textId="77777777" w:rsidR="00171E65" w:rsidRDefault="001F5E2A">
      <w:pPr>
        <w:pStyle w:val="Heading6"/>
      </w:pPr>
      <w:r>
        <w:t xml:space="preserve">Tumour lysis syndrome </w:t>
      </w:r>
    </w:p>
    <w:p w14:paraId="00000322" w14:textId="7FE97DED" w:rsidR="00171E65" w:rsidRDefault="001F5E2A">
      <w:r>
        <w:t xml:space="preserve">This occurred in three patients and 2 out of 3 patients experienced a Grade 3 event requiring hospitalisation; one patient with Grade 3 tumour lysis syndrome (TLS) required administration of </w:t>
      </w:r>
      <w:proofErr w:type="spellStart"/>
      <w:r>
        <w:t>rasburicase</w:t>
      </w:r>
      <w:proofErr w:type="spellEnd"/>
      <w:r>
        <w:t xml:space="preserve"> and allopurinol and prompted hospitalisation, while the other patient was treated with hydration.</w:t>
      </w:r>
    </w:p>
    <w:p w14:paraId="00000323" w14:textId="77777777" w:rsidR="00171E65" w:rsidRDefault="001F5E2A">
      <w:r>
        <w:t>The Delegate commented that tumour lysis syndrome should be included in the Warning and Precautions section of the PI given the potential need for mitigation strategies for this AE.</w:t>
      </w:r>
    </w:p>
    <w:p w14:paraId="00000324" w14:textId="77777777" w:rsidR="00171E65" w:rsidRDefault="001F5E2A">
      <w:pPr>
        <w:pStyle w:val="Heading6"/>
      </w:pPr>
      <w:r>
        <w:t>Safety analyses by demographic subgroups</w:t>
      </w:r>
    </w:p>
    <w:p w14:paraId="00000325" w14:textId="77777777" w:rsidR="00171E65" w:rsidRDefault="001F5E2A">
      <w:r>
        <w:t>The incidence of Grade ≥ 3 TEAEs and serious TEAEs were approximately 20% higher in the subgroup of patients age ≥ 65 years old than in those under 65 years of age.</w:t>
      </w:r>
    </w:p>
    <w:p w14:paraId="00000326" w14:textId="77777777" w:rsidR="00171E65" w:rsidRDefault="001F5E2A">
      <w:r>
        <w:t xml:space="preserve">For patients with </w:t>
      </w:r>
      <w:r>
        <w:rPr>
          <w:i/>
        </w:rPr>
        <w:t>RET</w:t>
      </w:r>
      <w:r>
        <w:t xml:space="preserve">-altered thyroid cancer, the incidence of serious TEAEs was approximately 30% higher in the subgroup of patients aged &gt; 65 years than in the subgroup &lt; 65 years old; this difference was slightly smaller in the population of all patients treated at 400 mg. The clinical significance of these differences </w:t>
      </w:r>
      <w:proofErr w:type="gramStart"/>
      <w:r>
        <w:t>are</w:t>
      </w:r>
      <w:proofErr w:type="gramEnd"/>
      <w:r>
        <w:t xml:space="preserve"> uncertain given the relatively limited size of the subgroups.</w:t>
      </w:r>
    </w:p>
    <w:p w14:paraId="00000327" w14:textId="77777777" w:rsidR="00171E65" w:rsidRDefault="001F5E2A">
      <w:r>
        <w:t>There was a trend towards increased serious and severe AEs among patients in the ‘other’ race group in both the thyroid cancer populations compared with White or Asians, however, the clinical meaningfulness of this difference is limited by the likely heterogeneity and small patient number of this group.</w:t>
      </w:r>
    </w:p>
    <w:p w14:paraId="00000328" w14:textId="77777777" w:rsidR="00171E65" w:rsidRDefault="001F5E2A">
      <w:pPr>
        <w:pStyle w:val="Heading3"/>
      </w:pPr>
      <w:bookmarkStart w:id="34" w:name="_Toc149213457"/>
      <w:r>
        <w:t>Risk management plan</w:t>
      </w:r>
      <w:bookmarkEnd w:id="34"/>
    </w:p>
    <w:p w14:paraId="00000329" w14:textId="77777777" w:rsidR="00171E65" w:rsidRDefault="001F5E2A">
      <w:bookmarkStart w:id="35" w:name="_heading=h.32hioqz" w:colFirst="0" w:colLast="0"/>
      <w:bookmarkEnd w:id="35"/>
      <w:proofErr w:type="spellStart"/>
      <w:r>
        <w:t>Gavreto</w:t>
      </w:r>
      <w:proofErr w:type="spellEnd"/>
      <w:r>
        <w:t xml:space="preserve"> is proposed to be used for the treatment of adult and paediatric patients 12 years of age and older with advanced or metastatic </w:t>
      </w:r>
      <w:r>
        <w:rPr>
          <w:i/>
        </w:rPr>
        <w:t>RET</w:t>
      </w:r>
      <w:r>
        <w:t xml:space="preserve">-mutant MTC who require systemic therapy (PM-2021-05761-1-4) and for the treatment of adult and paediatric patients 12 years of age and older with advanced or metastatic </w:t>
      </w:r>
      <w:r>
        <w:rPr>
          <w:i/>
        </w:rPr>
        <w:t>RET</w:t>
      </w:r>
      <w:r>
        <w:t>-fusion positive thyroid cancer who require systemic therapy and who are radioactive iodine-refractory (if radioactive iodine is appropriate) (PM-2021-05762-1-4).</w:t>
      </w:r>
    </w:p>
    <w:p w14:paraId="0000032A" w14:textId="77777777" w:rsidR="00171E65" w:rsidRDefault="001F5E2A">
      <w:r>
        <w:t xml:space="preserve">The proposed dosing regimen involves oral administration of four capsules (4 x 100 mg) once daily. The dose is the same for each indication as well as for paediatric patients (12 years and older) and adults. Patients should receive treatment with </w:t>
      </w:r>
      <w:proofErr w:type="spellStart"/>
      <w:r>
        <w:t>Gavreto</w:t>
      </w:r>
      <w:proofErr w:type="spellEnd"/>
      <w:r>
        <w:t xml:space="preserve"> until disease progression or unmanageable toxicity.</w:t>
      </w:r>
    </w:p>
    <w:p w14:paraId="0000032B" w14:textId="091C6C35" w:rsidR="00171E65" w:rsidRDefault="001F5E2A">
      <w:r>
        <w:t xml:space="preserve">The sponsor has submitted </w:t>
      </w:r>
      <w:sdt>
        <w:sdtPr>
          <w:tag w:val="goog_rdk_98"/>
          <w:id w:val="654657668"/>
        </w:sdtPr>
        <w:sdtEndPr/>
        <w:sdtContent>
          <w:r>
            <w:t xml:space="preserve">the </w:t>
          </w:r>
        </w:sdtContent>
      </w:sdt>
      <w:r>
        <w:t xml:space="preserve">EU-risk management plan (RMP) version 1.0 (dated 15 September 2021; data lock point (DLP) 6 November 2020) and </w:t>
      </w:r>
      <w:sdt>
        <w:sdtPr>
          <w:tag w:val="goog_rdk_100"/>
          <w:id w:val="-1427880308"/>
        </w:sdtPr>
        <w:sdtEndPr/>
        <w:sdtContent>
          <w:r>
            <w:t>Australia</w:t>
          </w:r>
        </w:sdtContent>
      </w:sdt>
      <w:r>
        <w:t xml:space="preserve"> specific annex (ASA) version 1.0 (dated 20 December 2021) in support of these applications. In response to TGA’s questions, the sponsor has submitted EU-RMP version 1.2 (dated 3 February 2022; DLP January 2022) and ASA version 1.1 (dated 26 August 2022) in support of its application.</w:t>
      </w:r>
    </w:p>
    <w:p w14:paraId="0000032C" w14:textId="77777777" w:rsidR="00171E65" w:rsidRDefault="001F5E2A">
      <w:r>
        <w:lastRenderedPageBreak/>
        <w:t xml:space="preserve">The summary of safety concerns and their associated risk monitoring and mitigation strategies are summarised in Table 9. The TGA may request an updated RMP at any stage of a product's </w:t>
      </w:r>
      <w:proofErr w:type="gramStart"/>
      <w:r>
        <w:t>life-cycle</w:t>
      </w:r>
      <w:proofErr w:type="gramEnd"/>
      <w:r>
        <w:t>, during both the pre-approval and post-approval phases.</w:t>
      </w:r>
    </w:p>
    <w:p w14:paraId="0000032D" w14:textId="77777777" w:rsidR="00171E65" w:rsidRDefault="001F5E2A">
      <w:pPr>
        <w:keepNext/>
        <w:pBdr>
          <w:top w:val="nil"/>
          <w:left w:val="nil"/>
          <w:bottom w:val="nil"/>
          <w:right w:val="nil"/>
          <w:between w:val="nil"/>
        </w:pBdr>
        <w:spacing w:before="120"/>
        <w:rPr>
          <w:b/>
          <w:color w:val="000000"/>
        </w:rPr>
      </w:pPr>
      <w:bookmarkStart w:id="36" w:name="_heading=h.1hmsyys" w:colFirst="0" w:colLast="0"/>
      <w:bookmarkEnd w:id="36"/>
      <w:r>
        <w:rPr>
          <w:b/>
          <w:color w:val="000000"/>
        </w:rPr>
        <w:t xml:space="preserve">Table 9: Summary of safety concerns </w:t>
      </w:r>
    </w:p>
    <w:tbl>
      <w:tblPr>
        <w:tblStyle w:val="TableTGAblue2023"/>
        <w:tblW w:w="5000" w:type="pct"/>
        <w:tblLook w:val="04A0" w:firstRow="1" w:lastRow="0" w:firstColumn="1" w:lastColumn="0" w:noHBand="0" w:noVBand="1"/>
      </w:tblPr>
      <w:tblGrid>
        <w:gridCol w:w="1441"/>
        <w:gridCol w:w="3481"/>
        <w:gridCol w:w="935"/>
        <w:gridCol w:w="1134"/>
        <w:gridCol w:w="935"/>
        <w:gridCol w:w="1134"/>
      </w:tblGrid>
      <w:tr w:rsidR="00171E65" w:rsidRPr="000D6CB6" w14:paraId="5C32DA62" w14:textId="77777777" w:rsidTr="000D6CB6">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715" w:type="pct"/>
            <w:gridSpan w:val="2"/>
            <w:vMerge w:val="restart"/>
          </w:tcPr>
          <w:p w14:paraId="0000032E" w14:textId="77777777" w:rsidR="00171E65" w:rsidRPr="000D6CB6" w:rsidRDefault="001F5E2A">
            <w:pPr>
              <w:pBdr>
                <w:top w:val="nil"/>
                <w:left w:val="nil"/>
                <w:bottom w:val="nil"/>
                <w:right w:val="nil"/>
                <w:between w:val="nil"/>
              </w:pBdr>
              <w:spacing w:before="20" w:after="20" w:line="252" w:lineRule="auto"/>
              <w:ind w:left="0"/>
              <w:rPr>
                <w:rFonts w:ascii="Cambria" w:hAnsi="Cambria"/>
                <w:bCs/>
                <w:sz w:val="20"/>
                <w:szCs w:val="20"/>
              </w:rPr>
            </w:pPr>
            <w:bookmarkStart w:id="37" w:name="_heading=h.41mghml" w:colFirst="0" w:colLast="0"/>
            <w:bookmarkEnd w:id="37"/>
            <w:r w:rsidRPr="000D6CB6">
              <w:rPr>
                <w:rFonts w:ascii="Cambria" w:hAnsi="Cambria" w:cs="Cambria"/>
                <w:bCs/>
                <w:color w:val="000000"/>
                <w:sz w:val="20"/>
                <w:szCs w:val="20"/>
              </w:rPr>
              <w:t>Summary of safety concerns</w:t>
            </w:r>
          </w:p>
        </w:tc>
        <w:tc>
          <w:tcPr>
            <w:tcW w:w="1142" w:type="pct"/>
            <w:gridSpan w:val="2"/>
          </w:tcPr>
          <w:p w14:paraId="00000330" w14:textId="77777777" w:rsidR="00171E65" w:rsidRPr="000D6CB6" w:rsidRDefault="001F5E2A">
            <w:pPr>
              <w:pBdr>
                <w:top w:val="nil"/>
                <w:left w:val="nil"/>
                <w:bottom w:val="nil"/>
                <w:right w:val="nil"/>
                <w:between w:val="nil"/>
              </w:pBdr>
              <w:spacing w:before="20" w:after="20" w:line="252" w:lineRule="auto"/>
              <w:ind w:left="0"/>
              <w:cnfStyle w:val="100000000000" w:firstRow="1" w:lastRow="0" w:firstColumn="0" w:lastColumn="0" w:oddVBand="0" w:evenVBand="0" w:oddHBand="0" w:evenHBand="0" w:firstRowFirstColumn="0" w:firstRowLastColumn="0" w:lastRowFirstColumn="0" w:lastRowLastColumn="0"/>
              <w:rPr>
                <w:rFonts w:ascii="Cambria" w:hAnsi="Cambria"/>
                <w:bCs/>
                <w:sz w:val="18"/>
                <w:szCs w:val="18"/>
              </w:rPr>
            </w:pPr>
            <w:r w:rsidRPr="000D6CB6">
              <w:rPr>
                <w:rFonts w:ascii="Cambria" w:hAnsi="Cambria" w:cs="Cambria"/>
                <w:bCs/>
                <w:color w:val="000000"/>
                <w:sz w:val="18"/>
                <w:szCs w:val="18"/>
              </w:rPr>
              <w:t>Pharmacovigilance</w:t>
            </w:r>
          </w:p>
        </w:tc>
        <w:tc>
          <w:tcPr>
            <w:tcW w:w="1142" w:type="pct"/>
            <w:gridSpan w:val="2"/>
          </w:tcPr>
          <w:p w14:paraId="00000332" w14:textId="77777777" w:rsidR="00171E65" w:rsidRPr="000D6CB6" w:rsidRDefault="001F5E2A">
            <w:pPr>
              <w:pBdr>
                <w:top w:val="nil"/>
                <w:left w:val="nil"/>
                <w:bottom w:val="nil"/>
                <w:right w:val="nil"/>
                <w:between w:val="nil"/>
              </w:pBdr>
              <w:spacing w:before="20" w:after="20" w:line="252" w:lineRule="auto"/>
              <w:ind w:left="0"/>
              <w:cnfStyle w:val="100000000000" w:firstRow="1" w:lastRow="0" w:firstColumn="0" w:lastColumn="0" w:oddVBand="0" w:evenVBand="0" w:oddHBand="0" w:evenHBand="0" w:firstRowFirstColumn="0" w:firstRowLastColumn="0" w:lastRowFirstColumn="0" w:lastRowLastColumn="0"/>
              <w:rPr>
                <w:rFonts w:ascii="Cambria" w:hAnsi="Cambria"/>
                <w:bCs/>
                <w:sz w:val="18"/>
                <w:szCs w:val="18"/>
              </w:rPr>
            </w:pPr>
            <w:r w:rsidRPr="000D6CB6">
              <w:rPr>
                <w:rFonts w:ascii="Cambria" w:hAnsi="Cambria" w:cs="Cambria"/>
                <w:bCs/>
                <w:color w:val="000000"/>
                <w:sz w:val="18"/>
                <w:szCs w:val="18"/>
              </w:rPr>
              <w:t>Risk Minimisation</w:t>
            </w:r>
          </w:p>
        </w:tc>
      </w:tr>
      <w:tr w:rsidR="00171E65" w:rsidRPr="000D6CB6" w14:paraId="25F0C69B" w14:textId="77777777" w:rsidTr="000D6CB6">
        <w:trPr>
          <w:trHeight w:val="150"/>
        </w:trPr>
        <w:tc>
          <w:tcPr>
            <w:cnfStyle w:val="001000000000" w:firstRow="0" w:lastRow="0" w:firstColumn="1" w:lastColumn="0" w:oddVBand="0" w:evenVBand="0" w:oddHBand="0" w:evenHBand="0" w:firstRowFirstColumn="0" w:firstRowLastColumn="0" w:lastRowFirstColumn="0" w:lastRowLastColumn="0"/>
            <w:tcW w:w="2715" w:type="pct"/>
            <w:gridSpan w:val="2"/>
            <w:vMerge/>
          </w:tcPr>
          <w:p w14:paraId="00000334"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b/>
                <w:bCs/>
                <w:szCs w:val="18"/>
              </w:rPr>
            </w:pPr>
          </w:p>
        </w:tc>
        <w:tc>
          <w:tcPr>
            <w:tcW w:w="516" w:type="pct"/>
          </w:tcPr>
          <w:p w14:paraId="00000336"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Cs w:val="18"/>
              </w:rPr>
            </w:pPr>
            <w:r w:rsidRPr="000D6CB6">
              <w:rPr>
                <w:rFonts w:ascii="Cambria" w:hAnsi="Cambria"/>
                <w:szCs w:val="18"/>
              </w:rPr>
              <w:t>Routine</w:t>
            </w:r>
          </w:p>
        </w:tc>
        <w:tc>
          <w:tcPr>
            <w:tcW w:w="626" w:type="pct"/>
          </w:tcPr>
          <w:p w14:paraId="00000337"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Cs w:val="18"/>
              </w:rPr>
            </w:pPr>
            <w:r w:rsidRPr="000D6CB6">
              <w:rPr>
                <w:rFonts w:ascii="Cambria" w:hAnsi="Cambria"/>
                <w:szCs w:val="18"/>
              </w:rPr>
              <w:t>Additional</w:t>
            </w:r>
          </w:p>
        </w:tc>
        <w:tc>
          <w:tcPr>
            <w:tcW w:w="516" w:type="pct"/>
          </w:tcPr>
          <w:p w14:paraId="00000338"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Cs w:val="18"/>
              </w:rPr>
            </w:pPr>
            <w:r w:rsidRPr="000D6CB6">
              <w:rPr>
                <w:rFonts w:ascii="Cambria" w:hAnsi="Cambria"/>
                <w:szCs w:val="18"/>
              </w:rPr>
              <w:t>Routine</w:t>
            </w:r>
          </w:p>
        </w:tc>
        <w:tc>
          <w:tcPr>
            <w:tcW w:w="626" w:type="pct"/>
          </w:tcPr>
          <w:p w14:paraId="00000339"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Cs w:val="18"/>
              </w:rPr>
            </w:pPr>
            <w:r w:rsidRPr="000D6CB6">
              <w:rPr>
                <w:rFonts w:ascii="Cambria" w:hAnsi="Cambria"/>
                <w:szCs w:val="18"/>
              </w:rPr>
              <w:t>Additional</w:t>
            </w:r>
          </w:p>
        </w:tc>
      </w:tr>
      <w:tr w:rsidR="00171E65" w:rsidRPr="000D6CB6" w14:paraId="20FFFC75" w14:textId="77777777" w:rsidTr="000D6CB6">
        <w:trPr>
          <w:trHeight w:val="137"/>
        </w:trPr>
        <w:tc>
          <w:tcPr>
            <w:cnfStyle w:val="001000000000" w:firstRow="0" w:lastRow="0" w:firstColumn="1" w:lastColumn="0" w:oddVBand="0" w:evenVBand="0" w:oddHBand="0" w:evenHBand="0" w:firstRowFirstColumn="0" w:firstRowLastColumn="0" w:lastRowFirstColumn="0" w:lastRowLastColumn="0"/>
            <w:tcW w:w="795" w:type="pct"/>
            <w:vMerge w:val="restart"/>
          </w:tcPr>
          <w:p w14:paraId="0000033A" w14:textId="77777777" w:rsidR="00171E65" w:rsidRPr="000D6CB6" w:rsidRDefault="001F5E2A">
            <w:pPr>
              <w:pBdr>
                <w:top w:val="nil"/>
                <w:left w:val="nil"/>
                <w:bottom w:val="nil"/>
                <w:right w:val="nil"/>
                <w:between w:val="nil"/>
              </w:pBdr>
              <w:spacing w:before="20" w:after="20" w:line="252" w:lineRule="auto"/>
              <w:ind w:left="0"/>
              <w:rPr>
                <w:rFonts w:ascii="Cambria" w:hAnsi="Cambria"/>
                <w:b/>
                <w:sz w:val="20"/>
                <w:szCs w:val="20"/>
              </w:rPr>
            </w:pPr>
            <w:r w:rsidRPr="000D6CB6">
              <w:rPr>
                <w:rFonts w:ascii="Cambria" w:hAnsi="Cambria"/>
                <w:b/>
                <w:sz w:val="20"/>
                <w:szCs w:val="20"/>
              </w:rPr>
              <w:t>Important identified risks</w:t>
            </w:r>
          </w:p>
        </w:tc>
        <w:tc>
          <w:tcPr>
            <w:tcW w:w="1921" w:type="pct"/>
          </w:tcPr>
          <w:p w14:paraId="0000033B"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Pneumonitis</w:t>
            </w:r>
          </w:p>
        </w:tc>
        <w:tc>
          <w:tcPr>
            <w:tcW w:w="516" w:type="pct"/>
          </w:tcPr>
          <w:p w14:paraId="0000033C"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3D"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3E"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3F"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1784C74F" w14:textId="77777777" w:rsidTr="000D6CB6">
        <w:trPr>
          <w:trHeight w:val="94"/>
        </w:trPr>
        <w:tc>
          <w:tcPr>
            <w:cnfStyle w:val="001000000000" w:firstRow="0" w:lastRow="0" w:firstColumn="1" w:lastColumn="0" w:oddVBand="0" w:evenVBand="0" w:oddHBand="0" w:evenHBand="0" w:firstRowFirstColumn="0" w:firstRowLastColumn="0" w:lastRowFirstColumn="0" w:lastRowLastColumn="0"/>
            <w:tcW w:w="795" w:type="pct"/>
            <w:vMerge/>
          </w:tcPr>
          <w:p w14:paraId="00000340"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41"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Hypertension</w:t>
            </w:r>
          </w:p>
        </w:tc>
        <w:tc>
          <w:tcPr>
            <w:tcW w:w="516" w:type="pct"/>
          </w:tcPr>
          <w:p w14:paraId="00000342"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43"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44"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45"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5BDEDB05" w14:textId="77777777" w:rsidTr="000D6CB6">
        <w:trPr>
          <w:trHeight w:val="94"/>
        </w:trPr>
        <w:tc>
          <w:tcPr>
            <w:cnfStyle w:val="001000000000" w:firstRow="0" w:lastRow="0" w:firstColumn="1" w:lastColumn="0" w:oddVBand="0" w:evenVBand="0" w:oddHBand="0" w:evenHBand="0" w:firstRowFirstColumn="0" w:firstRowLastColumn="0" w:lastRowFirstColumn="0" w:lastRowLastColumn="0"/>
            <w:tcW w:w="795" w:type="pct"/>
            <w:vMerge/>
          </w:tcPr>
          <w:p w14:paraId="00000346"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47"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Haemorrhage</w:t>
            </w:r>
          </w:p>
        </w:tc>
        <w:tc>
          <w:tcPr>
            <w:tcW w:w="516" w:type="pct"/>
          </w:tcPr>
          <w:p w14:paraId="00000348"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49"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4A"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4B"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0F8526EF" w14:textId="77777777" w:rsidTr="000D6CB6">
        <w:trPr>
          <w:trHeight w:val="187"/>
        </w:trPr>
        <w:tc>
          <w:tcPr>
            <w:cnfStyle w:val="001000000000" w:firstRow="0" w:lastRow="0" w:firstColumn="1" w:lastColumn="0" w:oddVBand="0" w:evenVBand="0" w:oddHBand="0" w:evenHBand="0" w:firstRowFirstColumn="0" w:firstRowLastColumn="0" w:lastRowFirstColumn="0" w:lastRowLastColumn="0"/>
            <w:tcW w:w="795" w:type="pct"/>
            <w:vMerge/>
          </w:tcPr>
          <w:p w14:paraId="0000034C"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4D"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Transaminase Elevations</w:t>
            </w:r>
          </w:p>
        </w:tc>
        <w:tc>
          <w:tcPr>
            <w:tcW w:w="516" w:type="pct"/>
          </w:tcPr>
          <w:p w14:paraId="0000034E"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4F"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50"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51"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023369AF" w14:textId="77777777" w:rsidTr="000D6CB6">
        <w:trPr>
          <w:trHeight w:val="159"/>
        </w:trPr>
        <w:tc>
          <w:tcPr>
            <w:cnfStyle w:val="001000000000" w:firstRow="0" w:lastRow="0" w:firstColumn="1" w:lastColumn="0" w:oddVBand="0" w:evenVBand="0" w:oddHBand="0" w:evenHBand="0" w:firstRowFirstColumn="0" w:firstRowLastColumn="0" w:lastRowFirstColumn="0" w:lastRowLastColumn="0"/>
            <w:tcW w:w="795" w:type="pct"/>
            <w:vMerge w:val="restart"/>
          </w:tcPr>
          <w:p w14:paraId="00000352" w14:textId="77777777" w:rsidR="00171E65" w:rsidRPr="000D6CB6" w:rsidRDefault="001F5E2A">
            <w:pPr>
              <w:pBdr>
                <w:top w:val="nil"/>
                <w:left w:val="nil"/>
                <w:bottom w:val="nil"/>
                <w:right w:val="nil"/>
                <w:between w:val="nil"/>
              </w:pBdr>
              <w:spacing w:before="20" w:after="20" w:line="252" w:lineRule="auto"/>
              <w:ind w:left="0"/>
              <w:rPr>
                <w:rFonts w:ascii="Cambria" w:hAnsi="Cambria"/>
                <w:b/>
                <w:sz w:val="20"/>
                <w:szCs w:val="20"/>
              </w:rPr>
            </w:pPr>
            <w:r w:rsidRPr="000D6CB6">
              <w:rPr>
                <w:rFonts w:ascii="Cambria" w:hAnsi="Cambria"/>
                <w:b/>
                <w:sz w:val="20"/>
                <w:szCs w:val="20"/>
              </w:rPr>
              <w:t>Important potential risks</w:t>
            </w:r>
          </w:p>
        </w:tc>
        <w:tc>
          <w:tcPr>
            <w:tcW w:w="1921" w:type="pct"/>
          </w:tcPr>
          <w:p w14:paraId="00000353"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Embryo-foetal toxicity</w:t>
            </w:r>
          </w:p>
        </w:tc>
        <w:tc>
          <w:tcPr>
            <w:tcW w:w="516" w:type="pct"/>
          </w:tcPr>
          <w:p w14:paraId="00000354"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55"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56"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57"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0969FD4C" w14:textId="77777777" w:rsidTr="000D6CB6">
        <w:trPr>
          <w:trHeight w:val="122"/>
        </w:trPr>
        <w:tc>
          <w:tcPr>
            <w:cnfStyle w:val="001000000000" w:firstRow="0" w:lastRow="0" w:firstColumn="1" w:lastColumn="0" w:oddVBand="0" w:evenVBand="0" w:oddHBand="0" w:evenHBand="0" w:firstRowFirstColumn="0" w:firstRowLastColumn="0" w:lastRowFirstColumn="0" w:lastRowLastColumn="0"/>
            <w:tcW w:w="795" w:type="pct"/>
            <w:vMerge/>
          </w:tcPr>
          <w:p w14:paraId="00000358"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59"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Severe Infections</w:t>
            </w:r>
          </w:p>
        </w:tc>
        <w:tc>
          <w:tcPr>
            <w:tcW w:w="516" w:type="pct"/>
          </w:tcPr>
          <w:p w14:paraId="0000035A"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5B"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5C"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5D"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42271238" w14:textId="77777777" w:rsidTr="000D6CB6">
        <w:trPr>
          <w:trHeight w:val="112"/>
        </w:trPr>
        <w:tc>
          <w:tcPr>
            <w:cnfStyle w:val="001000000000" w:firstRow="0" w:lastRow="0" w:firstColumn="1" w:lastColumn="0" w:oddVBand="0" w:evenVBand="0" w:oddHBand="0" w:evenHBand="0" w:firstRowFirstColumn="0" w:firstRowLastColumn="0" w:lastRowFirstColumn="0" w:lastRowLastColumn="0"/>
            <w:tcW w:w="795" w:type="pct"/>
            <w:vMerge/>
          </w:tcPr>
          <w:p w14:paraId="0000035E"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5F"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QT prolongation</w:t>
            </w:r>
          </w:p>
        </w:tc>
        <w:tc>
          <w:tcPr>
            <w:tcW w:w="516" w:type="pct"/>
          </w:tcPr>
          <w:p w14:paraId="00000360"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1"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c>
          <w:tcPr>
            <w:tcW w:w="516" w:type="pct"/>
          </w:tcPr>
          <w:p w14:paraId="00000362"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3"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6FF2D55C" w14:textId="77777777" w:rsidTr="000D6CB6">
        <w:trPr>
          <w:trHeight w:val="178"/>
        </w:trPr>
        <w:tc>
          <w:tcPr>
            <w:cnfStyle w:val="001000000000" w:firstRow="0" w:lastRow="0" w:firstColumn="1" w:lastColumn="0" w:oddVBand="0" w:evenVBand="0" w:oddHBand="0" w:evenHBand="0" w:firstRowFirstColumn="0" w:firstRowLastColumn="0" w:lastRowFirstColumn="0" w:lastRowLastColumn="0"/>
            <w:tcW w:w="795" w:type="pct"/>
            <w:vMerge w:val="restart"/>
          </w:tcPr>
          <w:p w14:paraId="00000364" w14:textId="77777777" w:rsidR="00171E65" w:rsidRPr="000D6CB6" w:rsidRDefault="001F5E2A">
            <w:pPr>
              <w:pBdr>
                <w:top w:val="nil"/>
                <w:left w:val="nil"/>
                <w:bottom w:val="nil"/>
                <w:right w:val="nil"/>
                <w:between w:val="nil"/>
              </w:pBdr>
              <w:spacing w:before="20" w:after="20" w:line="252" w:lineRule="auto"/>
              <w:ind w:left="0"/>
              <w:rPr>
                <w:rFonts w:ascii="Cambria" w:hAnsi="Cambria"/>
                <w:b/>
                <w:sz w:val="20"/>
                <w:szCs w:val="20"/>
              </w:rPr>
            </w:pPr>
            <w:r w:rsidRPr="000D6CB6">
              <w:rPr>
                <w:rFonts w:ascii="Cambria" w:hAnsi="Cambria"/>
                <w:b/>
                <w:sz w:val="20"/>
                <w:szCs w:val="20"/>
              </w:rPr>
              <w:t>Missing information</w:t>
            </w:r>
          </w:p>
        </w:tc>
        <w:tc>
          <w:tcPr>
            <w:tcW w:w="1921" w:type="pct"/>
          </w:tcPr>
          <w:p w14:paraId="00000365"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Use in patients with severe hepatic impairment</w:t>
            </w:r>
          </w:p>
        </w:tc>
        <w:tc>
          <w:tcPr>
            <w:tcW w:w="516" w:type="pct"/>
          </w:tcPr>
          <w:p w14:paraId="00000366"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7"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r w:rsidRPr="000D6CB6">
              <w:rPr>
                <w:rFonts w:ascii="Cambria" w:hAnsi="Cambria"/>
                <w:sz w:val="20"/>
                <w:szCs w:val="20"/>
              </w:rPr>
              <w:t>*</w:t>
            </w:r>
          </w:p>
        </w:tc>
        <w:tc>
          <w:tcPr>
            <w:tcW w:w="516" w:type="pct"/>
          </w:tcPr>
          <w:p w14:paraId="00000368"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9"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r w:rsidR="00171E65" w:rsidRPr="000D6CB6" w14:paraId="51F011F9" w14:textId="77777777" w:rsidTr="000D6CB6">
        <w:trPr>
          <w:trHeight w:val="140"/>
        </w:trPr>
        <w:tc>
          <w:tcPr>
            <w:cnfStyle w:val="001000000000" w:firstRow="0" w:lastRow="0" w:firstColumn="1" w:lastColumn="0" w:oddVBand="0" w:evenVBand="0" w:oddHBand="0" w:evenHBand="0" w:firstRowFirstColumn="0" w:firstRowLastColumn="0" w:lastRowFirstColumn="0" w:lastRowLastColumn="0"/>
            <w:tcW w:w="795" w:type="pct"/>
            <w:vMerge/>
          </w:tcPr>
          <w:p w14:paraId="0000036A" w14:textId="77777777" w:rsidR="00171E65" w:rsidRPr="000D6CB6" w:rsidRDefault="00171E65">
            <w:pPr>
              <w:widowControl w:val="0"/>
              <w:pBdr>
                <w:top w:val="nil"/>
                <w:left w:val="nil"/>
                <w:bottom w:val="nil"/>
                <w:right w:val="nil"/>
                <w:between w:val="nil"/>
              </w:pBdr>
              <w:spacing w:before="0" w:line="276" w:lineRule="auto"/>
              <w:ind w:left="0"/>
              <w:rPr>
                <w:rFonts w:ascii="Cambria" w:hAnsi="Cambria"/>
                <w:sz w:val="20"/>
                <w:szCs w:val="20"/>
              </w:rPr>
            </w:pPr>
          </w:p>
        </w:tc>
        <w:tc>
          <w:tcPr>
            <w:tcW w:w="1921" w:type="pct"/>
          </w:tcPr>
          <w:p w14:paraId="0000036B" w14:textId="77777777" w:rsidR="00171E65" w:rsidRPr="000D6CB6" w:rsidRDefault="001F5E2A">
            <w:pPr>
              <w:pBdr>
                <w:top w:val="nil"/>
                <w:left w:val="nil"/>
                <w:bottom w:val="nil"/>
                <w:right w:val="nil"/>
                <w:between w:val="nil"/>
              </w:pBdr>
              <w:spacing w:before="20" w:after="20" w:line="252" w:lineRule="auto"/>
              <w:ind w:left="0"/>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Drug-drug Interactions</w:t>
            </w:r>
          </w:p>
        </w:tc>
        <w:tc>
          <w:tcPr>
            <w:tcW w:w="516" w:type="pct"/>
          </w:tcPr>
          <w:p w14:paraId="0000036C"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D"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r w:rsidRPr="000D6CB6">
              <w:rPr>
                <w:rFonts w:ascii="Cambria" w:eastAsia="Calibri" w:hAnsi="Cambria" w:cs="Calibri"/>
                <w:sz w:val="20"/>
                <w:szCs w:val="20"/>
              </w:rPr>
              <w:t>†</w:t>
            </w:r>
          </w:p>
        </w:tc>
        <w:tc>
          <w:tcPr>
            <w:tcW w:w="516" w:type="pct"/>
          </w:tcPr>
          <w:p w14:paraId="0000036E"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Segoe UI Symbol" w:eastAsia="Wingdings" w:hAnsi="Segoe UI Symbol" w:cs="Segoe UI Symbol"/>
                <w:sz w:val="20"/>
                <w:szCs w:val="20"/>
              </w:rPr>
              <w:t>✔</w:t>
            </w:r>
          </w:p>
        </w:tc>
        <w:tc>
          <w:tcPr>
            <w:tcW w:w="626" w:type="pct"/>
          </w:tcPr>
          <w:p w14:paraId="0000036F" w14:textId="77777777" w:rsidR="00171E65" w:rsidRPr="000D6CB6" w:rsidRDefault="001F5E2A">
            <w:pPr>
              <w:pBdr>
                <w:top w:val="nil"/>
                <w:left w:val="nil"/>
                <w:bottom w:val="nil"/>
                <w:right w:val="nil"/>
                <w:between w:val="nil"/>
              </w:pBd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D6CB6">
              <w:rPr>
                <w:rFonts w:ascii="Cambria" w:hAnsi="Cambria"/>
                <w:sz w:val="20"/>
                <w:szCs w:val="20"/>
              </w:rPr>
              <w:t>–</w:t>
            </w:r>
          </w:p>
        </w:tc>
      </w:tr>
    </w:tbl>
    <w:p w14:paraId="00000370" w14:textId="77777777" w:rsidR="00171E65" w:rsidRDefault="001F5E2A">
      <w:pPr>
        <w:pBdr>
          <w:top w:val="nil"/>
          <w:left w:val="nil"/>
          <w:bottom w:val="nil"/>
          <w:right w:val="nil"/>
          <w:between w:val="nil"/>
        </w:pBdr>
        <w:spacing w:before="120" w:line="240" w:lineRule="auto"/>
        <w:rPr>
          <w:color w:val="000000"/>
          <w:sz w:val="18"/>
          <w:szCs w:val="18"/>
        </w:rPr>
      </w:pPr>
      <w:r>
        <w:rPr>
          <w:color w:val="000000"/>
          <w:sz w:val="18"/>
          <w:szCs w:val="18"/>
        </w:rPr>
        <w:t>*Study GP43163</w:t>
      </w:r>
    </w:p>
    <w:p w14:paraId="00000371" w14:textId="77777777" w:rsidR="00171E65" w:rsidRDefault="001F5E2A">
      <w:pPr>
        <w:pBdr>
          <w:top w:val="nil"/>
          <w:left w:val="nil"/>
          <w:bottom w:val="nil"/>
          <w:right w:val="nil"/>
          <w:between w:val="nil"/>
        </w:pBdr>
        <w:spacing w:before="120" w:line="240" w:lineRule="auto"/>
        <w:rPr>
          <w:rFonts w:ascii="Calibri" w:eastAsia="Calibri" w:hAnsi="Calibri" w:cs="Calibri"/>
          <w:color w:val="000000"/>
          <w:sz w:val="18"/>
          <w:szCs w:val="18"/>
        </w:rPr>
      </w:pPr>
      <w:r>
        <w:rPr>
          <w:rFonts w:ascii="Calibri" w:eastAsia="Calibri" w:hAnsi="Calibri" w:cs="Calibri"/>
          <w:color w:val="000000"/>
          <w:sz w:val="18"/>
          <w:szCs w:val="18"/>
        </w:rPr>
        <w:t>†Study GP43162</w:t>
      </w:r>
    </w:p>
    <w:p w14:paraId="00000372" w14:textId="77777777" w:rsidR="00171E65" w:rsidRDefault="001F5E2A">
      <w:r>
        <w:t>No new safety concerns have been identified and the summary of safety concerns is acceptable.</w:t>
      </w:r>
    </w:p>
    <w:p w14:paraId="00000373" w14:textId="77777777" w:rsidR="00171E65" w:rsidRDefault="001F5E2A">
      <w:r>
        <w:t>Routine and additional pharmacovigilance activities are proposed. Additional pharmacovigilance activities include a drug-drug interaction study (Study GP43162) and a pharmacokinetic study in patients with severe hepatic impairment (Study GP43163). This will provide information on the Missing Information (as listed in the table above). This is acceptable.</w:t>
      </w:r>
    </w:p>
    <w:p w14:paraId="00000374" w14:textId="77777777" w:rsidR="00171E65" w:rsidRDefault="001F5E2A">
      <w:r>
        <w:t xml:space="preserve">Routine risk minimisation activities only are proposed which is acceptable as </w:t>
      </w:r>
      <w:proofErr w:type="spellStart"/>
      <w:r>
        <w:t>pralsetinib</w:t>
      </w:r>
      <w:proofErr w:type="spellEnd"/>
      <w:r>
        <w:t xml:space="preserve"> is an oral medicine prescribed by specialists.</w:t>
      </w:r>
    </w:p>
    <w:p w14:paraId="00000375" w14:textId="77777777" w:rsidR="00171E65" w:rsidRDefault="001F5E2A">
      <w:pPr>
        <w:pStyle w:val="Heading3"/>
      </w:pPr>
      <w:bookmarkStart w:id="38" w:name="_Toc149213458"/>
      <w:r>
        <w:t>Risk-benefit analysis</w:t>
      </w:r>
      <w:bookmarkEnd w:id="38"/>
    </w:p>
    <w:p w14:paraId="00000376" w14:textId="77777777" w:rsidR="00171E65" w:rsidRDefault="001F5E2A">
      <w:pPr>
        <w:pStyle w:val="Heading4"/>
      </w:pPr>
      <w:bookmarkStart w:id="39" w:name="_Toc149213459"/>
      <w:r>
        <w:t>Delegate’s considerations</w:t>
      </w:r>
      <w:bookmarkEnd w:id="39"/>
    </w:p>
    <w:p w14:paraId="00000377" w14:textId="77777777" w:rsidR="00171E65" w:rsidRDefault="001F5E2A">
      <w:r>
        <w:t>Rearranged during transfection gene rearrangements (fusions) and mutations have been identified as oncogenic drivers in thyroid cancers.</w:t>
      </w:r>
    </w:p>
    <w:p w14:paraId="00000378" w14:textId="77777777" w:rsidR="00171E65" w:rsidRDefault="001F5E2A">
      <w:r>
        <w:t xml:space="preserve">Advanced or metastatic </w:t>
      </w:r>
      <w:r>
        <w:rPr>
          <w:i/>
        </w:rPr>
        <w:t>RET</w:t>
      </w:r>
      <w:r>
        <w:t xml:space="preserve"> mutation positive MTC is a </w:t>
      </w:r>
      <w:proofErr w:type="gramStart"/>
      <w:r>
        <w:t>life threatening</w:t>
      </w:r>
      <w:proofErr w:type="gramEnd"/>
      <w:r>
        <w:t xml:space="preserve"> condition; patients with advanced progressive disease have poor survival with a five year survival of approximately 40%. The current standard of care in Australia for patients with advanced </w:t>
      </w:r>
      <w:r>
        <w:rPr>
          <w:i/>
        </w:rPr>
        <w:t>RET</w:t>
      </w:r>
      <w:r>
        <w:t xml:space="preserve"> mutation positive MTC are as for those with advanced MTC regardless of </w:t>
      </w:r>
      <w:r>
        <w:rPr>
          <w:i/>
        </w:rPr>
        <w:t>RET</w:t>
      </w:r>
      <w:r>
        <w:t xml:space="preserve"> mutation status, that is </w:t>
      </w:r>
      <w:proofErr w:type="spellStart"/>
      <w:r>
        <w:t>vandetanib</w:t>
      </w:r>
      <w:proofErr w:type="spellEnd"/>
      <w:r>
        <w:t xml:space="preserve"> (TGA approved, but not on Pharmaceutical Benefits Scheme) and </w:t>
      </w:r>
      <w:proofErr w:type="spellStart"/>
      <w:r>
        <w:t>cabozantinib</w:t>
      </w:r>
      <w:proofErr w:type="spellEnd"/>
      <w:r>
        <w:t xml:space="preserve">. </w:t>
      </w:r>
      <w:proofErr w:type="gramStart"/>
      <w:r>
        <w:t>Both of these</w:t>
      </w:r>
      <w:proofErr w:type="gramEnd"/>
      <w:r>
        <w:t xml:space="preserve"> TKIs inhibit </w:t>
      </w:r>
      <w:r>
        <w:rPr>
          <w:i/>
        </w:rPr>
        <w:t>RET</w:t>
      </w:r>
      <w:r>
        <w:t xml:space="preserve"> in addition to other kinases, but are not approved solely for the treatment of patients with </w:t>
      </w:r>
      <w:r>
        <w:rPr>
          <w:i/>
        </w:rPr>
        <w:t>RET</w:t>
      </w:r>
      <w:r>
        <w:t xml:space="preserve"> mutations. The ORRs reported in studies of patients with MTC treated with </w:t>
      </w:r>
      <w:proofErr w:type="spellStart"/>
      <w:r>
        <w:t>vandetanib</w:t>
      </w:r>
      <w:proofErr w:type="spellEnd"/>
      <w:r>
        <w:t xml:space="preserve"> and </w:t>
      </w:r>
      <w:proofErr w:type="spellStart"/>
      <w:r>
        <w:t>cabozantinib</w:t>
      </w:r>
      <w:proofErr w:type="spellEnd"/>
      <w:r>
        <w:t xml:space="preserve"> were 45% and 28% respectively. There is currently no approved therapy in Australia specifically for the treatment of patients with </w:t>
      </w:r>
      <w:r>
        <w:rPr>
          <w:i/>
        </w:rPr>
        <w:t>RET</w:t>
      </w:r>
      <w:r>
        <w:t xml:space="preserve"> mutation-positive thyroid cancer.</w:t>
      </w:r>
    </w:p>
    <w:p w14:paraId="00000379" w14:textId="77777777" w:rsidR="00171E65" w:rsidRDefault="001F5E2A">
      <w:r>
        <w:t xml:space="preserve">Metastatic </w:t>
      </w:r>
      <w:r>
        <w:rPr>
          <w:i/>
        </w:rPr>
        <w:t>RET</w:t>
      </w:r>
      <w:r>
        <w:t xml:space="preserve"> fusion-positive thyroid cancer that is refractory to RAI is a rare disease; </w:t>
      </w:r>
      <w:proofErr w:type="gramStart"/>
      <w:r>
        <w:t>five year</w:t>
      </w:r>
      <w:proofErr w:type="gramEnd"/>
      <w:r>
        <w:t xml:space="preserve"> survival is approximately 50% in patients with distant metastases (regardless of tumour histology); anaplastic is a more aggressive form of thyroid cancer, with patients having a median </w:t>
      </w:r>
      <w:r>
        <w:lastRenderedPageBreak/>
        <w:t xml:space="preserve">OS of 5 months and 1 year survival rate of 20%. Patients with </w:t>
      </w:r>
      <w:r>
        <w:rPr>
          <w:i/>
        </w:rPr>
        <w:t>RET</w:t>
      </w:r>
      <w:r>
        <w:t xml:space="preserve">-fusion positive poorly differentiated or anaplastic thyroid cancer in particular face an unmet medical need. Treatment options for those with RAI refractory disease include TKIs such as </w:t>
      </w:r>
      <w:proofErr w:type="spellStart"/>
      <w:r>
        <w:t>lenvatinib</w:t>
      </w:r>
      <w:proofErr w:type="spellEnd"/>
      <w:r>
        <w:t xml:space="preserve"> and sorafenib, and doxorubicin monotherapy, that is the standard of care for those with DTC refractory to RAI regardless of </w:t>
      </w:r>
      <w:r>
        <w:rPr>
          <w:i/>
        </w:rPr>
        <w:t>RET</w:t>
      </w:r>
      <w:r>
        <w:t xml:space="preserve"> mutation status. The ORRs reported in studies supporting the approval of </w:t>
      </w:r>
      <w:proofErr w:type="spellStart"/>
      <w:r>
        <w:t>lenvatinib</w:t>
      </w:r>
      <w:proofErr w:type="spellEnd"/>
      <w:r>
        <w:t xml:space="preserve"> and sorafenib of patients with RAI refractory DTC were 65% and 12% respectively. There is currently no approved therapy in Australia specifically for the treatment of patients with </w:t>
      </w:r>
      <w:r>
        <w:rPr>
          <w:i/>
        </w:rPr>
        <w:t>RET</w:t>
      </w:r>
      <w:r>
        <w:t xml:space="preserve"> fusion-positive thyroid cancer.</w:t>
      </w:r>
    </w:p>
    <w:p w14:paraId="0000037A" w14:textId="77777777" w:rsidR="00171E65" w:rsidRDefault="001F5E2A">
      <w:proofErr w:type="spellStart"/>
      <w:r>
        <w:t>Pralsetinib</w:t>
      </w:r>
      <w:proofErr w:type="spellEnd"/>
      <w:r>
        <w:t xml:space="preserve"> is an orally bioavailable kinase inhibitor that selectively targets the </w:t>
      </w:r>
      <w:r>
        <w:rPr>
          <w:i/>
        </w:rPr>
        <w:t>RET</w:t>
      </w:r>
      <w:r>
        <w:t xml:space="preserve"> receptor tyrosine kinase.</w:t>
      </w:r>
    </w:p>
    <w:p w14:paraId="0000037B" w14:textId="77777777" w:rsidR="00171E65" w:rsidRDefault="001F5E2A">
      <w:r>
        <w:t xml:space="preserve">The sponsor proposes to register </w:t>
      </w:r>
      <w:proofErr w:type="spellStart"/>
      <w:r>
        <w:t>pralsetinib</w:t>
      </w:r>
      <w:proofErr w:type="spellEnd"/>
      <w:r>
        <w:t>, a new therapeutic entity, for the following indications:</w:t>
      </w:r>
    </w:p>
    <w:p w14:paraId="0000037C" w14:textId="77777777" w:rsidR="00171E65" w:rsidRDefault="001F5E2A">
      <w:pPr>
        <w:numPr>
          <w:ilvl w:val="0"/>
          <w:numId w:val="7"/>
        </w:numPr>
        <w:pBdr>
          <w:top w:val="nil"/>
          <w:left w:val="nil"/>
          <w:bottom w:val="nil"/>
          <w:right w:val="nil"/>
          <w:between w:val="nil"/>
        </w:pBdr>
        <w:spacing w:before="120" w:after="180"/>
      </w:pPr>
      <w:r>
        <w:rPr>
          <w:color w:val="000000"/>
        </w:rPr>
        <w:t xml:space="preserve">Adult and paediatric patients 12 years of age and older with advanced or metastatic </w:t>
      </w:r>
      <w:r>
        <w:rPr>
          <w:i/>
          <w:color w:val="000000"/>
        </w:rPr>
        <w:t>RET</w:t>
      </w:r>
      <w:r>
        <w:rPr>
          <w:color w:val="000000"/>
        </w:rPr>
        <w:t xml:space="preserve">-mutant MTC who require systemic </w:t>
      </w:r>
      <w:proofErr w:type="gramStart"/>
      <w:r>
        <w:rPr>
          <w:color w:val="000000"/>
        </w:rPr>
        <w:t>therapy</w:t>
      </w:r>
      <w:proofErr w:type="gramEnd"/>
    </w:p>
    <w:p w14:paraId="0000037D" w14:textId="77777777" w:rsidR="00171E65" w:rsidRDefault="001F5E2A">
      <w:pPr>
        <w:numPr>
          <w:ilvl w:val="0"/>
          <w:numId w:val="7"/>
        </w:numPr>
        <w:pBdr>
          <w:top w:val="nil"/>
          <w:left w:val="nil"/>
          <w:bottom w:val="nil"/>
          <w:right w:val="nil"/>
          <w:between w:val="nil"/>
        </w:pBdr>
        <w:spacing w:before="120" w:after="180"/>
      </w:pPr>
      <w:r>
        <w:rPr>
          <w:color w:val="000000"/>
        </w:rPr>
        <w:t xml:space="preserve">Adult and paediatric patients 12 years of age and older with </w:t>
      </w:r>
      <w:r>
        <w:rPr>
          <w:i/>
          <w:color w:val="000000"/>
        </w:rPr>
        <w:t>RET</w:t>
      </w:r>
      <w:r>
        <w:rPr>
          <w:color w:val="000000"/>
        </w:rPr>
        <w:t xml:space="preserve"> fusion-positive thyroid cancer who require systemic therapy who are radioactive iodine-refractory (if radioactive iodine is appropriate)</w:t>
      </w:r>
    </w:p>
    <w:p w14:paraId="0000037E" w14:textId="77777777" w:rsidR="00171E65" w:rsidRDefault="001F5E2A">
      <w:r>
        <w:t>The proposed dosing regimen is 400 mg daily orally, on an empty stomach on a continuous schedule.</w:t>
      </w:r>
    </w:p>
    <w:p w14:paraId="0000037F" w14:textId="77777777" w:rsidR="00171E65" w:rsidRDefault="001F5E2A">
      <w:pPr>
        <w:pStyle w:val="Heading5"/>
      </w:pPr>
      <w:r>
        <w:t>Benefits/Uncertainties of benefit</w:t>
      </w:r>
    </w:p>
    <w:p w14:paraId="00000380" w14:textId="77777777" w:rsidR="00171E65" w:rsidRDefault="001F5E2A">
      <w:r>
        <w:t xml:space="preserve">The sponsor has provided adequate evidence of effectiveness to support the provisional approval of </w:t>
      </w:r>
      <w:proofErr w:type="spellStart"/>
      <w:r>
        <w:t>pralsetinib</w:t>
      </w:r>
      <w:proofErr w:type="spellEnd"/>
      <w:r>
        <w:t xml:space="preserve"> for the treatment of adult patients with advanced or metastatic </w:t>
      </w:r>
      <w:r>
        <w:rPr>
          <w:i/>
        </w:rPr>
        <w:t>RET</w:t>
      </w:r>
      <w:r>
        <w:t xml:space="preserve">-mutant MTC, and for the treatment of adult patients with advanced or metastatic </w:t>
      </w:r>
      <w:r>
        <w:rPr>
          <w:i/>
        </w:rPr>
        <w:t>RET</w:t>
      </w:r>
      <w:r>
        <w:t xml:space="preserve">-fusion positive thyroid cancer that is radioactive iodine-refractory (if radioactive iodine is appropriate) and who have progressed on </w:t>
      </w:r>
      <w:proofErr w:type="spellStart"/>
      <w:r>
        <w:t>lenvatinib</w:t>
      </w:r>
      <w:proofErr w:type="spellEnd"/>
      <w:r>
        <w:t xml:space="preserve"> or sorafenib.</w:t>
      </w:r>
    </w:p>
    <w:p w14:paraId="00000381" w14:textId="77777777" w:rsidR="00171E65" w:rsidRDefault="001F5E2A">
      <w:pPr>
        <w:pStyle w:val="Heading6"/>
      </w:pPr>
      <w:r>
        <w:t>RET mutation positive medullary thyroid cancer</w:t>
      </w:r>
    </w:p>
    <w:p w14:paraId="00000382" w14:textId="77777777" w:rsidR="00171E65" w:rsidRDefault="001F5E2A">
      <w:r>
        <w:t xml:space="preserve">Study BLU-667-1101 (ARROW trial), a single arm escalation and expansion study, enrolled patients with advanced solid tumours with a </w:t>
      </w:r>
      <w:r>
        <w:rPr>
          <w:i/>
        </w:rPr>
        <w:t>RET</w:t>
      </w:r>
      <w:r>
        <w:t xml:space="preserve"> fusion or mutation. 84 patients with metastatic </w:t>
      </w:r>
      <w:r>
        <w:rPr>
          <w:i/>
        </w:rPr>
        <w:t>RET</w:t>
      </w:r>
      <w:r>
        <w:t xml:space="preserve">-mutant MTC with measurable disease (55 patients who previously received treatment with </w:t>
      </w:r>
      <w:proofErr w:type="spellStart"/>
      <w:r>
        <w:t>cabozantinib</w:t>
      </w:r>
      <w:proofErr w:type="spellEnd"/>
      <w:r>
        <w:t xml:space="preserve"> or </w:t>
      </w:r>
      <w:proofErr w:type="spellStart"/>
      <w:r>
        <w:t>vandetanib</w:t>
      </w:r>
      <w:proofErr w:type="spellEnd"/>
      <w:r>
        <w:t xml:space="preserve">, and 29 patients naïve to </w:t>
      </w:r>
      <w:proofErr w:type="spellStart"/>
      <w:r>
        <w:t>cabozantinib</w:t>
      </w:r>
      <w:proofErr w:type="spellEnd"/>
      <w:r>
        <w:t xml:space="preserve"> and </w:t>
      </w:r>
      <w:proofErr w:type="spellStart"/>
      <w:r>
        <w:t>vandetanib</w:t>
      </w:r>
      <w:proofErr w:type="spellEnd"/>
      <w:r>
        <w:t xml:space="preserve">) were treated with </w:t>
      </w:r>
      <w:proofErr w:type="spellStart"/>
      <w:r>
        <w:t>pralsetinib</w:t>
      </w:r>
      <w:proofErr w:type="spellEnd"/>
      <w:r>
        <w:t xml:space="preserve"> 400 mg once daily.</w:t>
      </w:r>
    </w:p>
    <w:p w14:paraId="00000383" w14:textId="24B76CA9" w:rsidR="00171E65" w:rsidRDefault="009F791C">
      <w:pPr>
        <w:numPr>
          <w:ilvl w:val="0"/>
          <w:numId w:val="7"/>
        </w:numPr>
        <w:pBdr>
          <w:top w:val="nil"/>
          <w:left w:val="nil"/>
          <w:bottom w:val="nil"/>
          <w:right w:val="nil"/>
          <w:between w:val="nil"/>
        </w:pBdr>
        <w:spacing w:before="120" w:after="180"/>
      </w:pPr>
      <w:sdt>
        <w:sdtPr>
          <w:tag w:val="goog_rdk_101"/>
          <w:id w:val="64774027"/>
        </w:sdtPr>
        <w:sdtEndPr/>
        <w:sdtContent/>
      </w:sdt>
      <w:r w:rsidR="001F5E2A">
        <w:rPr>
          <w:color w:val="000000"/>
        </w:rPr>
        <w:t xml:space="preserve">The ORR (per BICR) in </w:t>
      </w:r>
      <w:sdt>
        <w:sdtPr>
          <w:tag w:val="goog_rdk_102"/>
          <w:id w:val="-1526163230"/>
        </w:sdtPr>
        <w:sdtEndPr/>
        <w:sdtContent>
          <w:r w:rsidR="001F5E2A">
            <w:rPr>
              <w:color w:val="000000"/>
            </w:rPr>
            <w:t xml:space="preserve">the treatment naïve patient </w:t>
          </w:r>
        </w:sdtContent>
      </w:sdt>
      <w:r w:rsidR="001F5E2A">
        <w:rPr>
          <w:color w:val="000000"/>
        </w:rPr>
        <w:t xml:space="preserve">population was 66% (95% CI: 46, 82) and the median DOR was not reached; 84% of responders had an observed DOR of at least 6 </w:t>
      </w:r>
      <w:proofErr w:type="gramStart"/>
      <w:r w:rsidR="001F5E2A">
        <w:rPr>
          <w:color w:val="000000"/>
        </w:rPr>
        <w:t>months</w:t>
      </w:r>
      <w:proofErr w:type="gramEnd"/>
    </w:p>
    <w:p w14:paraId="00000384" w14:textId="77777777" w:rsidR="00171E65" w:rsidRDefault="001F5E2A">
      <w:pPr>
        <w:numPr>
          <w:ilvl w:val="0"/>
          <w:numId w:val="7"/>
        </w:numPr>
        <w:pBdr>
          <w:top w:val="nil"/>
          <w:left w:val="nil"/>
          <w:bottom w:val="nil"/>
          <w:right w:val="nil"/>
          <w:between w:val="nil"/>
        </w:pBdr>
        <w:spacing w:before="120" w:after="180"/>
      </w:pPr>
      <w:r>
        <w:rPr>
          <w:color w:val="000000"/>
        </w:rPr>
        <w:t xml:space="preserve">In the population previously treated with </w:t>
      </w:r>
      <w:proofErr w:type="spellStart"/>
      <w:r>
        <w:rPr>
          <w:color w:val="000000"/>
        </w:rPr>
        <w:t>cabozantinib</w:t>
      </w:r>
      <w:proofErr w:type="spellEnd"/>
      <w:r>
        <w:rPr>
          <w:color w:val="000000"/>
        </w:rPr>
        <w:t xml:space="preserve"> or </w:t>
      </w:r>
      <w:proofErr w:type="spellStart"/>
      <w:r>
        <w:rPr>
          <w:color w:val="000000"/>
        </w:rPr>
        <w:t>vandetanib</w:t>
      </w:r>
      <w:proofErr w:type="spellEnd"/>
      <w:r>
        <w:rPr>
          <w:color w:val="000000"/>
        </w:rPr>
        <w:t xml:space="preserve">, the ORR (BICR) was 60% (95% CI: 46, 73), and the median DOR not reached, with 79% of responders having observed DOR of at least 6 </w:t>
      </w:r>
      <w:proofErr w:type="gramStart"/>
      <w:r>
        <w:rPr>
          <w:color w:val="000000"/>
        </w:rPr>
        <w:t>months</w:t>
      </w:r>
      <w:proofErr w:type="gramEnd"/>
    </w:p>
    <w:p w14:paraId="00000385" w14:textId="77777777" w:rsidR="00171E65" w:rsidRDefault="001F5E2A">
      <w:r>
        <w:t xml:space="preserve">Patients with advanced or metastatic </w:t>
      </w:r>
      <w:r>
        <w:rPr>
          <w:i/>
        </w:rPr>
        <w:t>RET</w:t>
      </w:r>
      <w:r>
        <w:t xml:space="preserve">-mutant medullary thyroid cancer have limited treatment options. In those who have previously received </w:t>
      </w:r>
      <w:proofErr w:type="spellStart"/>
      <w:r>
        <w:t>cabozantinib</w:t>
      </w:r>
      <w:proofErr w:type="spellEnd"/>
      <w:r>
        <w:t xml:space="preserve"> or </w:t>
      </w:r>
      <w:proofErr w:type="spellStart"/>
      <w:r>
        <w:t>vandetanib</w:t>
      </w:r>
      <w:proofErr w:type="spellEnd"/>
      <w:r>
        <w:t xml:space="preserve">, there are currently no approved therapies available. For patients who have not received prior </w:t>
      </w:r>
      <w:proofErr w:type="spellStart"/>
      <w:r>
        <w:t>cabozantinib</w:t>
      </w:r>
      <w:proofErr w:type="spellEnd"/>
      <w:r>
        <w:t xml:space="preserve"> or </w:t>
      </w:r>
      <w:proofErr w:type="spellStart"/>
      <w:r>
        <w:t>vandetanib</w:t>
      </w:r>
      <w:proofErr w:type="spellEnd"/>
      <w:r>
        <w:t xml:space="preserve">, overall response rates of </w:t>
      </w:r>
      <w:proofErr w:type="spellStart"/>
      <w:r>
        <w:t>pralsetinib</w:t>
      </w:r>
      <w:proofErr w:type="spellEnd"/>
      <w:r>
        <w:t xml:space="preserve"> at present compare favourably (although indirectly) to either </w:t>
      </w:r>
      <w:proofErr w:type="spellStart"/>
      <w:r>
        <w:t>cabozantinib</w:t>
      </w:r>
      <w:proofErr w:type="spellEnd"/>
      <w:r>
        <w:t xml:space="preserve"> or </w:t>
      </w:r>
      <w:proofErr w:type="spellStart"/>
      <w:r>
        <w:t>vandetanib</w:t>
      </w:r>
      <w:proofErr w:type="spellEnd"/>
      <w:r>
        <w:t>.</w:t>
      </w:r>
    </w:p>
    <w:p w14:paraId="00000386" w14:textId="77777777" w:rsidR="00171E65" w:rsidRDefault="001F5E2A">
      <w:pPr>
        <w:keepNext/>
        <w:pBdr>
          <w:top w:val="nil"/>
          <w:left w:val="nil"/>
          <w:bottom w:val="nil"/>
          <w:right w:val="nil"/>
          <w:between w:val="nil"/>
        </w:pBdr>
        <w:spacing w:before="120"/>
        <w:rPr>
          <w:b/>
          <w:color w:val="000000"/>
        </w:rPr>
      </w:pPr>
      <w:r>
        <w:rPr>
          <w:b/>
          <w:color w:val="000000"/>
        </w:rPr>
        <w:lastRenderedPageBreak/>
        <w:t>Table 10: Arrow trial overall response rates</w:t>
      </w:r>
    </w:p>
    <w:p w14:paraId="00000387" w14:textId="77777777" w:rsidR="00171E65" w:rsidRDefault="001F5E2A">
      <w:r>
        <w:rPr>
          <w:noProof/>
          <w:lang w:val="en-NZ"/>
        </w:rPr>
        <w:drawing>
          <wp:inline distT="0" distB="0" distL="0" distR="0" wp14:anchorId="53DF1AFF" wp14:editId="63965C55">
            <wp:extent cx="5270500" cy="2806810"/>
            <wp:effectExtent l="0" t="0" r="0" b="0"/>
            <wp:docPr id="30" name="image6.png" descr="Table 10: Arrow trial overall response rates"/>
            <wp:cNvGraphicFramePr/>
            <a:graphic xmlns:a="http://schemas.openxmlformats.org/drawingml/2006/main">
              <a:graphicData uri="http://schemas.openxmlformats.org/drawingml/2006/picture">
                <pic:pic xmlns:pic="http://schemas.openxmlformats.org/drawingml/2006/picture">
                  <pic:nvPicPr>
                    <pic:cNvPr id="30" name="image6.png" descr="Table 10: Arrow trial overall response rates"/>
                    <pic:cNvPicPr preferRelativeResize="0"/>
                  </pic:nvPicPr>
                  <pic:blipFill>
                    <a:blip r:embed="rId31"/>
                    <a:srcRect b="5127"/>
                    <a:stretch>
                      <a:fillRect/>
                    </a:stretch>
                  </pic:blipFill>
                  <pic:spPr>
                    <a:xfrm>
                      <a:off x="0" y="0"/>
                      <a:ext cx="5270500" cy="2806810"/>
                    </a:xfrm>
                    <a:prstGeom prst="rect">
                      <a:avLst/>
                    </a:prstGeom>
                    <a:ln/>
                  </pic:spPr>
                </pic:pic>
              </a:graphicData>
            </a:graphic>
          </wp:inline>
        </w:drawing>
      </w:r>
    </w:p>
    <w:p w14:paraId="00000388" w14:textId="77777777" w:rsidR="00171E65" w:rsidRDefault="001F5E2A">
      <w:r>
        <w:t xml:space="preserve">The overall response rates reported in the ARROW trial, with their associated durability of response observed, </w:t>
      </w:r>
      <w:proofErr w:type="gramStart"/>
      <w:r>
        <w:t>are considered to be</w:t>
      </w:r>
      <w:proofErr w:type="gramEnd"/>
      <w:r>
        <w:t xml:space="preserve"> consistent with a clinical meaningful benefit of </w:t>
      </w:r>
      <w:proofErr w:type="spellStart"/>
      <w:r>
        <w:t>pralsetinib</w:t>
      </w:r>
      <w:proofErr w:type="spellEnd"/>
      <w:r>
        <w:t xml:space="preserve"> in adult patients with advanced or metastatic </w:t>
      </w:r>
      <w:r>
        <w:rPr>
          <w:i/>
        </w:rPr>
        <w:t>RET</w:t>
      </w:r>
      <w:r>
        <w:t>-mutant MTC.</w:t>
      </w:r>
    </w:p>
    <w:p w14:paraId="00000389" w14:textId="77777777" w:rsidR="00171E65" w:rsidRDefault="001F5E2A">
      <w:r>
        <w:t xml:space="preserve">If approved, confirmatory data from additional patients with treatment naïve MTC is required post-marketing to confirm clinical benefit of </w:t>
      </w:r>
      <w:proofErr w:type="spellStart"/>
      <w:r>
        <w:t>pralsetinib</w:t>
      </w:r>
      <w:proofErr w:type="spellEnd"/>
      <w:r>
        <w:t>.</w:t>
      </w:r>
    </w:p>
    <w:p w14:paraId="0000038A" w14:textId="77777777" w:rsidR="00171E65" w:rsidRDefault="001F5E2A">
      <w:pPr>
        <w:pStyle w:val="Heading6"/>
      </w:pPr>
      <w:r>
        <w:t>RET fusion-positive thyroid cancer</w:t>
      </w:r>
    </w:p>
    <w:p w14:paraId="0000038B" w14:textId="77777777" w:rsidR="00171E65" w:rsidRDefault="001F5E2A">
      <w:r>
        <w:t xml:space="preserve">Patients with advanced </w:t>
      </w:r>
      <w:r>
        <w:rPr>
          <w:i/>
        </w:rPr>
        <w:t>RET</w:t>
      </w:r>
      <w:r>
        <w:t xml:space="preserve"> fusion-positive thyroid cancer were eligible for enrolment in ARROW trial if they had previously been treated with standard of care appropriate for the tumour type. The overall efficacy population included nine patients with </w:t>
      </w:r>
      <w:r>
        <w:rPr>
          <w:i/>
        </w:rPr>
        <w:t>RET</w:t>
      </w:r>
      <w:r>
        <w:t xml:space="preserve">-fusion positive RAI refractory thyroid cancer who were treated with </w:t>
      </w:r>
      <w:proofErr w:type="spellStart"/>
      <w:r>
        <w:t>pralsetinib</w:t>
      </w:r>
      <w:proofErr w:type="spellEnd"/>
      <w:r>
        <w:t xml:space="preserve"> 400 mg once daily; five patients (55.6%) had received </w:t>
      </w:r>
      <w:proofErr w:type="spellStart"/>
      <w:r>
        <w:t>lenvatinib</w:t>
      </w:r>
      <w:proofErr w:type="spellEnd"/>
      <w:r>
        <w:t xml:space="preserve"> and/or sorafenib.</w:t>
      </w:r>
    </w:p>
    <w:p w14:paraId="0000038C" w14:textId="5FA08385" w:rsidR="00171E65" w:rsidRDefault="001F5E2A">
      <w:pPr>
        <w:numPr>
          <w:ilvl w:val="0"/>
          <w:numId w:val="7"/>
        </w:numPr>
        <w:pBdr>
          <w:top w:val="nil"/>
          <w:left w:val="nil"/>
          <w:bottom w:val="nil"/>
          <w:right w:val="nil"/>
          <w:between w:val="nil"/>
        </w:pBdr>
        <w:spacing w:before="120" w:after="180"/>
      </w:pPr>
      <w:r>
        <w:rPr>
          <w:color w:val="000000"/>
        </w:rPr>
        <w:t xml:space="preserve">The ORR was 89% (95% CI: 52, 100); all responders had a DOR at least 6 months, and one with a response of at least 12 months. In the five patients who had received sorafenib or </w:t>
      </w:r>
      <w:proofErr w:type="spellStart"/>
      <w:r>
        <w:rPr>
          <w:color w:val="000000"/>
        </w:rPr>
        <w:t>lenvatinib</w:t>
      </w:r>
      <w:proofErr w:type="spellEnd"/>
      <w:r>
        <w:rPr>
          <w:color w:val="000000"/>
        </w:rPr>
        <w:t>, 80% (95% CI: 28, 99) demonstrated a response. In the four patients who had not received an MKI, 100% demonstrated a response.</w:t>
      </w:r>
      <w:sdt>
        <w:sdtPr>
          <w:tag w:val="goog_rdk_105"/>
          <w:id w:val="605545041"/>
        </w:sdtPr>
        <w:sdtEndPr/>
        <w:sdtContent>
          <w:sdt>
            <w:sdtPr>
              <w:tag w:val="goog_rdk_106"/>
              <w:id w:val="1080953032"/>
            </w:sdtPr>
            <w:sdtEndPr/>
            <w:sdtContent/>
          </w:sdt>
        </w:sdtContent>
      </w:sdt>
      <w:sdt>
        <w:sdtPr>
          <w:tag w:val="goog_rdk_107"/>
          <w:id w:val="1733491715"/>
        </w:sdtPr>
        <w:sdtEndPr/>
        <w:sdtContent/>
      </w:sdt>
    </w:p>
    <w:p w14:paraId="0000038D" w14:textId="77777777" w:rsidR="00171E65" w:rsidRDefault="001F5E2A">
      <w:r>
        <w:t xml:space="preserve">There are currently no approved therapies in Australia for patients with </w:t>
      </w:r>
      <w:r>
        <w:rPr>
          <w:i/>
        </w:rPr>
        <w:t>RET</w:t>
      </w:r>
      <w:r>
        <w:t xml:space="preserve"> fusion-positive RAI refractory DTC who have failed treatment with </w:t>
      </w:r>
      <w:proofErr w:type="spellStart"/>
      <w:r>
        <w:t>lenvatinib</w:t>
      </w:r>
      <w:proofErr w:type="spellEnd"/>
      <w:r>
        <w:t xml:space="preserve"> or sorafenib. The observed response rate and associated durability of response is considered sufficient to support the approval of </w:t>
      </w:r>
      <w:proofErr w:type="spellStart"/>
      <w:r>
        <w:t>pralsetinib</w:t>
      </w:r>
      <w:proofErr w:type="spellEnd"/>
      <w:r>
        <w:t xml:space="preserve"> in adult patients with advanced or metastatic </w:t>
      </w:r>
      <w:r>
        <w:rPr>
          <w:i/>
        </w:rPr>
        <w:t>RET</w:t>
      </w:r>
      <w:r>
        <w:t xml:space="preserve">-fusion positive thyroid cancer that is refractory to (or unsuitable for) radioactive iodine-refractory and who have progressed on </w:t>
      </w:r>
      <w:proofErr w:type="spellStart"/>
      <w:r>
        <w:t>lenvatinib</w:t>
      </w:r>
      <w:proofErr w:type="spellEnd"/>
      <w:r>
        <w:t xml:space="preserve"> or sorafenib.</w:t>
      </w:r>
    </w:p>
    <w:p w14:paraId="0000038E" w14:textId="77777777" w:rsidR="00171E65" w:rsidRDefault="001F5E2A">
      <w:pPr>
        <w:pStyle w:val="Heading5"/>
      </w:pPr>
      <w:r>
        <w:t>Uncertainties</w:t>
      </w:r>
    </w:p>
    <w:p w14:paraId="0000038F" w14:textId="77777777" w:rsidR="00171E65" w:rsidRDefault="001F5E2A">
      <w:pPr>
        <w:pStyle w:val="Heading6"/>
      </w:pPr>
      <w:r>
        <w:t>RET mutation positive MTC</w:t>
      </w:r>
    </w:p>
    <w:p w14:paraId="00000390" w14:textId="77777777" w:rsidR="00171E65" w:rsidRDefault="001F5E2A">
      <w:r>
        <w:t xml:space="preserve">Although the observed ORR and the associated durability of response are at present considered to be sufficient to support provisional approval of use of </w:t>
      </w:r>
      <w:proofErr w:type="spellStart"/>
      <w:r>
        <w:t>pralsetinib</w:t>
      </w:r>
      <w:proofErr w:type="spellEnd"/>
      <w:r>
        <w:t xml:space="preserve"> in patients with </w:t>
      </w:r>
      <w:r>
        <w:rPr>
          <w:i/>
        </w:rPr>
        <w:t>RET</w:t>
      </w:r>
      <w:r>
        <w:t xml:space="preserve"> </w:t>
      </w:r>
      <w:proofErr w:type="gramStart"/>
      <w:r>
        <w:t>mutation-positive</w:t>
      </w:r>
      <w:proofErr w:type="gramEnd"/>
      <w:r>
        <w:t xml:space="preserve"> MTC, data remains limited, especially in those who have not previously been treated with either </w:t>
      </w:r>
      <w:proofErr w:type="spellStart"/>
      <w:r>
        <w:t>cabozantinib</w:t>
      </w:r>
      <w:proofErr w:type="spellEnd"/>
      <w:r>
        <w:t xml:space="preserve"> or </w:t>
      </w:r>
      <w:proofErr w:type="spellStart"/>
      <w:r>
        <w:t>vandetanib</w:t>
      </w:r>
      <w:proofErr w:type="spellEnd"/>
      <w:r>
        <w:t>.</w:t>
      </w:r>
    </w:p>
    <w:p w14:paraId="00000391" w14:textId="77777777" w:rsidR="00171E65" w:rsidRDefault="001F5E2A">
      <w:r>
        <w:lastRenderedPageBreak/>
        <w:t xml:space="preserve">It is expected that the sponsor will provide further data from the relevant patient population in the ARROW trial, and confirmatory data from </w:t>
      </w:r>
      <w:proofErr w:type="spellStart"/>
      <w:r>
        <w:t>AcceleRET</w:t>
      </w:r>
      <w:proofErr w:type="spellEnd"/>
      <w:r>
        <w:t xml:space="preserve">-MTC trial (Phase III randomised study comparing the efficacy and safety of </w:t>
      </w:r>
      <w:proofErr w:type="spellStart"/>
      <w:r>
        <w:t>pralsetinib</w:t>
      </w:r>
      <w:proofErr w:type="spellEnd"/>
      <w:r>
        <w:t xml:space="preserve"> in patients with </w:t>
      </w:r>
      <w:r>
        <w:rPr>
          <w:i/>
        </w:rPr>
        <w:t>RET</w:t>
      </w:r>
      <w:r>
        <w:t xml:space="preserve">-mutant MTC with </w:t>
      </w:r>
      <w:proofErr w:type="spellStart"/>
      <w:r>
        <w:t>cabozantinib</w:t>
      </w:r>
      <w:proofErr w:type="spellEnd"/>
      <w:r>
        <w:t xml:space="preserve"> or </w:t>
      </w:r>
      <w:proofErr w:type="spellStart"/>
      <w:r>
        <w:t>vandetanib</w:t>
      </w:r>
      <w:proofErr w:type="spellEnd"/>
      <w:r>
        <w:t>) in the post-approval setting to confirm clinical benefit.</w:t>
      </w:r>
    </w:p>
    <w:p w14:paraId="00000392" w14:textId="77777777" w:rsidR="00171E65" w:rsidRDefault="001F5E2A">
      <w:pPr>
        <w:pStyle w:val="Heading6"/>
      </w:pPr>
      <w:r>
        <w:t>RET fusion-positive thyroid cancer</w:t>
      </w:r>
    </w:p>
    <w:p w14:paraId="00000393" w14:textId="77777777" w:rsidR="00171E65" w:rsidRDefault="001F5E2A">
      <w:r>
        <w:t xml:space="preserve">The ORR in this rare </w:t>
      </w:r>
      <w:r>
        <w:rPr>
          <w:i/>
        </w:rPr>
        <w:t>RET</w:t>
      </w:r>
      <w:r>
        <w:t xml:space="preserve">-altered subset of patients compares favourably, although indirectly, to the response rates observed in the studies of </w:t>
      </w:r>
      <w:proofErr w:type="spellStart"/>
      <w:r>
        <w:t>lenvatinib</w:t>
      </w:r>
      <w:proofErr w:type="spellEnd"/>
      <w:r>
        <w:t xml:space="preserve"> (65%) and sorafenib (12%) for the broader population of patients with RAI refractory DTC regardless of </w:t>
      </w:r>
      <w:r>
        <w:rPr>
          <w:i/>
        </w:rPr>
        <w:t>RET</w:t>
      </w:r>
      <w:r>
        <w:t xml:space="preserve"> mutation status. However, it is noted that the ARROW trial inclusion criteria </w:t>
      </w:r>
      <w:proofErr w:type="gramStart"/>
      <w:r>
        <w:t>was</w:t>
      </w:r>
      <w:proofErr w:type="gramEnd"/>
      <w:r>
        <w:t xml:space="preserve"> for patients with an oncogenic </w:t>
      </w:r>
      <w:r>
        <w:rPr>
          <w:i/>
        </w:rPr>
        <w:t>RET</w:t>
      </w:r>
      <w:r>
        <w:t xml:space="preserve"> fusion previously treated with the standard of care appropriate for the tumour type. At the time of study conduct, the standard of care for this patient population was an MKI (that is </w:t>
      </w:r>
      <w:proofErr w:type="spellStart"/>
      <w:r>
        <w:t>lenvatinib</w:t>
      </w:r>
      <w:proofErr w:type="spellEnd"/>
      <w:r>
        <w:t xml:space="preserve"> or sorafenib). </w:t>
      </w:r>
      <w:proofErr w:type="gramStart"/>
      <w:r>
        <w:t>Taking into account</w:t>
      </w:r>
      <w:proofErr w:type="gramEnd"/>
      <w:r>
        <w:t xml:space="preserve"> the ARROW trial population, the overall ORR supports the approval of </w:t>
      </w:r>
      <w:proofErr w:type="spellStart"/>
      <w:r>
        <w:t>pralsetinib</w:t>
      </w:r>
      <w:proofErr w:type="spellEnd"/>
      <w:r>
        <w:t xml:space="preserve"> for use in patients with </w:t>
      </w:r>
      <w:r>
        <w:rPr>
          <w:i/>
        </w:rPr>
        <w:t>RET</w:t>
      </w:r>
      <w:r>
        <w:t xml:space="preserve"> fusion-positive thyroid cancer that is refractory to radioactive iodine (if appropriate) and who have progressed on </w:t>
      </w:r>
      <w:proofErr w:type="spellStart"/>
      <w:r>
        <w:t>lenvatinib</w:t>
      </w:r>
      <w:proofErr w:type="spellEnd"/>
      <w:r>
        <w:t xml:space="preserve"> or sorafenib.</w:t>
      </w:r>
    </w:p>
    <w:p w14:paraId="00000394" w14:textId="77777777" w:rsidR="00171E65" w:rsidRDefault="001F5E2A">
      <w:r>
        <w:t xml:space="preserve">All nine patients with </w:t>
      </w:r>
      <w:r>
        <w:rPr>
          <w:i/>
        </w:rPr>
        <w:t>RET</w:t>
      </w:r>
      <w:r>
        <w:t xml:space="preserve"> fusion-positive DTC in the ARROW trial had papillary thyroid cancer histologic subtype in the primary efficacy population. However, responses were observed in patients with undifferentiated/anaplastic thyroid cancer (n = 2) and poorly differentiated thyroid cancer (n = 1) in the patient group who were treated at lower doses or whose enrolment date did not meet the data </w:t>
      </w:r>
      <w:proofErr w:type="spellStart"/>
      <w:r>
        <w:t>cutoff</w:t>
      </w:r>
      <w:proofErr w:type="spellEnd"/>
      <w:r>
        <w:t xml:space="preserve"> for the population included in the submission. Given the limited treatment options for patients with undifferentiated or poorly differentiated thyroid cancer with </w:t>
      </w:r>
      <w:r>
        <w:rPr>
          <w:i/>
        </w:rPr>
        <w:t>RET</w:t>
      </w:r>
      <w:r>
        <w:t xml:space="preserve"> fusions, the rarity of such tumours, and the significant response rate and strong rationale for use based on the mechanism of action in the </w:t>
      </w:r>
      <w:r>
        <w:rPr>
          <w:i/>
        </w:rPr>
        <w:t>RET</w:t>
      </w:r>
      <w:r>
        <w:t xml:space="preserve"> fusion-positive population, the inclusion of </w:t>
      </w:r>
      <w:proofErr w:type="spellStart"/>
      <w:r>
        <w:t>histologies</w:t>
      </w:r>
      <w:proofErr w:type="spellEnd"/>
      <w:r>
        <w:t xml:space="preserve"> other than papillary thyroid cancer in the indication </w:t>
      </w:r>
      <w:proofErr w:type="gramStart"/>
      <w:r>
        <w:t>is considered to be</w:t>
      </w:r>
      <w:proofErr w:type="gramEnd"/>
      <w:r>
        <w:t xml:space="preserve"> reasonable.</w:t>
      </w:r>
    </w:p>
    <w:p w14:paraId="00000395" w14:textId="77777777" w:rsidR="00171E65" w:rsidRDefault="001F5E2A">
      <w:r>
        <w:t xml:space="preserve">There are limitations to deriving inference from a small, single arm, non-randomised study such as ARROW trial. Further data from additional patients to confirm clinical benefit will be required post-approval setting for patients with </w:t>
      </w:r>
      <w:r>
        <w:rPr>
          <w:i/>
        </w:rPr>
        <w:t>RET</w:t>
      </w:r>
      <w:r>
        <w:t xml:space="preserve"> fusion-positive thyroid cancer. </w:t>
      </w:r>
    </w:p>
    <w:p w14:paraId="00000396" w14:textId="77777777" w:rsidR="00171E65" w:rsidRDefault="001F5E2A">
      <w:pPr>
        <w:pStyle w:val="Heading6"/>
      </w:pPr>
      <w:r>
        <w:t>RET mutation positive MTC and RET fusion-positive thyroid cancer</w:t>
      </w:r>
    </w:p>
    <w:p w14:paraId="00000397" w14:textId="77777777" w:rsidR="00171E65" w:rsidRDefault="001F5E2A">
      <w:r>
        <w:t xml:space="preserve">As the study inclusion criteria included adults only, no adolescent patients were evaluated in the ARROW trial. The efficacy and safety of </w:t>
      </w:r>
      <w:proofErr w:type="spellStart"/>
      <w:r>
        <w:t>pralsetinib</w:t>
      </w:r>
      <w:proofErr w:type="spellEnd"/>
      <w:r>
        <w:t xml:space="preserve"> in this patient population has therefore not been established.</w:t>
      </w:r>
    </w:p>
    <w:p w14:paraId="00000398" w14:textId="77777777" w:rsidR="00171E65" w:rsidRDefault="001F5E2A">
      <w:r>
        <w:t xml:space="preserve">Should </w:t>
      </w:r>
      <w:proofErr w:type="spellStart"/>
      <w:r>
        <w:t>pralsetinib</w:t>
      </w:r>
      <w:proofErr w:type="spellEnd"/>
      <w:r>
        <w:t xml:space="preserve"> be approved for patients with advanced </w:t>
      </w:r>
      <w:r>
        <w:rPr>
          <w:i/>
        </w:rPr>
        <w:t>RET</w:t>
      </w:r>
      <w:r>
        <w:t xml:space="preserve"> mutation positive MTC, and patients with advanced </w:t>
      </w:r>
      <w:r>
        <w:rPr>
          <w:i/>
        </w:rPr>
        <w:t>RET</w:t>
      </w:r>
      <w:r>
        <w:t xml:space="preserve"> fusion-positive thyroid cancer that is refractory radioactive iodine (if appropriate) who have progressed on, or are unsuitable for, </w:t>
      </w:r>
      <w:proofErr w:type="spellStart"/>
      <w:r>
        <w:t>lenvatinib</w:t>
      </w:r>
      <w:proofErr w:type="spellEnd"/>
      <w:r>
        <w:t xml:space="preserve"> or sorafenib, the PI should specify (under 4.4 Special Warnings and Precautions for Use and 4.2 Dose and Method of Administration) that ‘</w:t>
      </w:r>
      <w:r>
        <w:rPr>
          <w:i/>
        </w:rPr>
        <w:t xml:space="preserve">the safety and efficacy of </w:t>
      </w:r>
      <w:proofErr w:type="spellStart"/>
      <w:r>
        <w:rPr>
          <w:i/>
        </w:rPr>
        <w:t>pralsetinib</w:t>
      </w:r>
      <w:proofErr w:type="spellEnd"/>
      <w:r>
        <w:rPr>
          <w:i/>
        </w:rPr>
        <w:t xml:space="preserve"> in children and adolescents aged younger than 18 years old have not yet been established. No data are available.</w:t>
      </w:r>
      <w:r>
        <w:t>’</w:t>
      </w:r>
    </w:p>
    <w:p w14:paraId="00000399" w14:textId="77777777" w:rsidR="00171E65" w:rsidRDefault="001F5E2A">
      <w:pPr>
        <w:pStyle w:val="Heading5"/>
      </w:pPr>
      <w:r>
        <w:t>Risks/Uncertainties of risk</w:t>
      </w:r>
    </w:p>
    <w:p w14:paraId="0000039A" w14:textId="77777777" w:rsidR="00171E65" w:rsidRDefault="001F5E2A">
      <w:r>
        <w:t xml:space="preserve">Overall, </w:t>
      </w:r>
      <w:proofErr w:type="spellStart"/>
      <w:r>
        <w:t>pralsetinib</w:t>
      </w:r>
      <w:proofErr w:type="spellEnd"/>
      <w:r>
        <w:t xml:space="preserve"> is considered to have an acceptable safety profile in the context of a </w:t>
      </w:r>
      <w:proofErr w:type="gramStart"/>
      <w:r>
        <w:t>life threatening</w:t>
      </w:r>
      <w:proofErr w:type="gramEnd"/>
      <w:r>
        <w:t xml:space="preserve"> disease, the high activity of </w:t>
      </w:r>
      <w:proofErr w:type="spellStart"/>
      <w:r>
        <w:t>pralsetinib</w:t>
      </w:r>
      <w:proofErr w:type="spellEnd"/>
      <w:r>
        <w:t xml:space="preserve"> observed, and also the toxicity generally associated with alternative treatment options.</w:t>
      </w:r>
    </w:p>
    <w:p w14:paraId="0000039B" w14:textId="77777777" w:rsidR="00171E65" w:rsidRDefault="001F5E2A">
      <w:r>
        <w:t xml:space="preserve">In the pooled safety population (of 438 patients with </w:t>
      </w:r>
      <w:r>
        <w:rPr>
          <w:i/>
        </w:rPr>
        <w:t>RET</w:t>
      </w:r>
      <w:r>
        <w:t xml:space="preserve"> altered solid tumours):</w:t>
      </w:r>
    </w:p>
    <w:p w14:paraId="0000039C" w14:textId="77777777" w:rsidR="00171E65" w:rsidRDefault="001F5E2A">
      <w:r>
        <w:t>•</w:t>
      </w:r>
      <w:r>
        <w:tab/>
        <w:t>AEs = 99.3%</w:t>
      </w:r>
    </w:p>
    <w:p w14:paraId="0000039D" w14:textId="77777777" w:rsidR="00171E65" w:rsidRDefault="001F5E2A">
      <w:r>
        <w:lastRenderedPageBreak/>
        <w:t>•</w:t>
      </w:r>
      <w:r>
        <w:tab/>
        <w:t xml:space="preserve">AEs related to </w:t>
      </w:r>
      <w:proofErr w:type="spellStart"/>
      <w:r>
        <w:t>pralsetinib</w:t>
      </w:r>
      <w:proofErr w:type="spellEnd"/>
      <w:r>
        <w:t xml:space="preserve"> = 92.2%</w:t>
      </w:r>
    </w:p>
    <w:p w14:paraId="0000039E" w14:textId="77777777" w:rsidR="00171E65" w:rsidRDefault="001F5E2A">
      <w:r>
        <w:t>•</w:t>
      </w:r>
      <w:r>
        <w:tab/>
        <w:t>Grade ≥ 3 AEs= 67.1%</w:t>
      </w:r>
    </w:p>
    <w:p w14:paraId="0000039F" w14:textId="77777777" w:rsidR="00171E65" w:rsidRDefault="001F5E2A">
      <w:r>
        <w:t>•</w:t>
      </w:r>
      <w:r>
        <w:tab/>
        <w:t>Grade ≥ 3 related AEs = 46.1%</w:t>
      </w:r>
    </w:p>
    <w:p w14:paraId="000003A0" w14:textId="77777777" w:rsidR="00171E65" w:rsidRDefault="001F5E2A">
      <w:r>
        <w:t>•</w:t>
      </w:r>
      <w:r>
        <w:tab/>
        <w:t>SAEs = 44.5%</w:t>
      </w:r>
    </w:p>
    <w:p w14:paraId="000003A1" w14:textId="77777777" w:rsidR="00171E65" w:rsidRDefault="001F5E2A">
      <w:r>
        <w:t>•</w:t>
      </w:r>
      <w:r>
        <w:tab/>
        <w:t>Related SAEs = 17.6%</w:t>
      </w:r>
    </w:p>
    <w:p w14:paraId="000003A2" w14:textId="77777777" w:rsidR="00171E65" w:rsidRDefault="001F5E2A">
      <w:r>
        <w:t>•</w:t>
      </w:r>
      <w:r>
        <w:tab/>
        <w:t>Deaths due to AE = 9.1%</w:t>
      </w:r>
    </w:p>
    <w:p w14:paraId="000003A3" w14:textId="77777777" w:rsidR="00171E65" w:rsidRDefault="001F5E2A">
      <w:r>
        <w:t>•</w:t>
      </w:r>
      <w:r>
        <w:tab/>
        <w:t xml:space="preserve">Deaths related to </w:t>
      </w:r>
      <w:proofErr w:type="spellStart"/>
      <w:r>
        <w:t>pralsetinib</w:t>
      </w:r>
      <w:proofErr w:type="spellEnd"/>
      <w:r>
        <w:t xml:space="preserve"> is less than 1%</w:t>
      </w:r>
    </w:p>
    <w:p w14:paraId="000003A4" w14:textId="567CF457" w:rsidR="00171E65" w:rsidRDefault="009F791C">
      <w:sdt>
        <w:sdtPr>
          <w:tag w:val="goog_rdk_108"/>
          <w:id w:val="2084481298"/>
        </w:sdtPr>
        <w:sdtEndPr/>
        <w:sdtContent/>
      </w:sdt>
      <w:r w:rsidR="001F5E2A">
        <w:t>The most common treatment related AEs were increased AST (33.6%), increased ALT (22.8%), anaemia (24.4%), constipation (22.6%), and hypertension (21.9%). The most common treatment related SAEs were:</w:t>
      </w:r>
    </w:p>
    <w:p w14:paraId="000003A5" w14:textId="1C5415B6" w:rsidR="00171E65" w:rsidRDefault="001F5E2A">
      <w:r>
        <w:t>•</w:t>
      </w:r>
      <w:r>
        <w:tab/>
        <w:t>Pneumonitis = 3.9%</w:t>
      </w:r>
    </w:p>
    <w:p w14:paraId="000003A6" w14:textId="624B1158" w:rsidR="00171E65" w:rsidRDefault="001F5E2A">
      <w:r>
        <w:t>•</w:t>
      </w:r>
      <w:r>
        <w:tab/>
        <w:t>Pneumonia = 2.1%</w:t>
      </w:r>
    </w:p>
    <w:p w14:paraId="000003A7" w14:textId="77C913C8" w:rsidR="00171E65" w:rsidRDefault="001F5E2A">
      <w:r>
        <w:t>•</w:t>
      </w:r>
      <w:r>
        <w:tab/>
        <w:t>Anaemia =0.9%</w:t>
      </w:r>
    </w:p>
    <w:p w14:paraId="000003A8" w14:textId="77777777" w:rsidR="00171E65" w:rsidRDefault="001F5E2A">
      <w:r>
        <w:t>•</w:t>
      </w:r>
      <w:r>
        <w:tab/>
        <w:t>Hypertension is less than 1%</w:t>
      </w:r>
    </w:p>
    <w:p w14:paraId="000003A9" w14:textId="528339DA" w:rsidR="00171E65" w:rsidRDefault="001F5E2A">
      <w:r>
        <w:t>•</w:t>
      </w:r>
      <w:r>
        <w:tab/>
        <w:t>Neutropenia = 1.4%</w:t>
      </w:r>
    </w:p>
    <w:p w14:paraId="000003AA" w14:textId="77777777" w:rsidR="00171E65" w:rsidRDefault="001F5E2A">
      <w:r>
        <w:t>•</w:t>
      </w:r>
      <w:r>
        <w:tab/>
        <w:t xml:space="preserve">Pneumocystis </w:t>
      </w:r>
      <w:proofErr w:type="spellStart"/>
      <w:r>
        <w:t>jirovecii</w:t>
      </w:r>
      <w:proofErr w:type="spellEnd"/>
      <w:r>
        <w:t xml:space="preserve"> pneumonia is less than 1%</w:t>
      </w:r>
    </w:p>
    <w:p w14:paraId="000003AB" w14:textId="77777777" w:rsidR="00171E65" w:rsidRDefault="001F5E2A">
      <w:r>
        <w:t>•</w:t>
      </w:r>
      <w:r>
        <w:tab/>
        <w:t>Sepsis is less than 1%</w:t>
      </w:r>
    </w:p>
    <w:p w14:paraId="000003AC" w14:textId="2E8EAFD4" w:rsidR="00171E65" w:rsidRDefault="001F5E2A">
      <w:pPr>
        <w:spacing w:line="276" w:lineRule="auto"/>
      </w:pPr>
      <w:r>
        <w:t>•</w:t>
      </w:r>
      <w:r>
        <w:tab/>
        <w:t>Thrombocytopenia is less than 1%</w:t>
      </w:r>
    </w:p>
    <w:p w14:paraId="0F70777A" w14:textId="6EB4B69E" w:rsidR="000D6CB6" w:rsidRDefault="000D6CB6" w:rsidP="000D6CB6">
      <w:pPr>
        <w:spacing w:line="276" w:lineRule="auto"/>
      </w:pPr>
      <w:r>
        <w:t>•</w:t>
      </w:r>
      <w:r>
        <w:tab/>
        <w:t>Blood creatine phosphokinase increased is less than 1%</w:t>
      </w:r>
    </w:p>
    <w:p w14:paraId="65E837ED" w14:textId="052B6BDA" w:rsidR="000D6CB6" w:rsidRDefault="000D6CB6" w:rsidP="000D6CB6">
      <w:pPr>
        <w:spacing w:line="276" w:lineRule="auto"/>
      </w:pPr>
      <w:r>
        <w:t>•</w:t>
      </w:r>
      <w:r>
        <w:tab/>
        <w:t>Diarrhoea is less than 1%</w:t>
      </w:r>
    </w:p>
    <w:p w14:paraId="18B66F7E" w14:textId="2426AC3C" w:rsidR="000D6CB6" w:rsidRDefault="000D6CB6" w:rsidP="000D6CB6">
      <w:pPr>
        <w:spacing w:line="276" w:lineRule="auto"/>
      </w:pPr>
      <w:r>
        <w:t>•</w:t>
      </w:r>
      <w:r>
        <w:tab/>
        <w:t>Interstitial lung disease is less than 1%</w:t>
      </w:r>
    </w:p>
    <w:p w14:paraId="29DFF9EF" w14:textId="17B26787" w:rsidR="000D6CB6" w:rsidRDefault="000D6CB6" w:rsidP="000D6CB6">
      <w:pPr>
        <w:spacing w:line="276" w:lineRule="auto"/>
      </w:pPr>
      <w:r>
        <w:t>•</w:t>
      </w:r>
      <w:r>
        <w:tab/>
        <w:t>Platelet count decreased is less than 1%</w:t>
      </w:r>
    </w:p>
    <w:p w14:paraId="000003B1" w14:textId="77777777" w:rsidR="00171E65" w:rsidRDefault="001F5E2A">
      <w:r>
        <w:t xml:space="preserve">14.2% of patients reported AEs requiring permanent discontinuation of </w:t>
      </w:r>
      <w:proofErr w:type="spellStart"/>
      <w:r>
        <w:t>pralsetinib</w:t>
      </w:r>
      <w:proofErr w:type="spellEnd"/>
      <w:r>
        <w:t>.</w:t>
      </w:r>
    </w:p>
    <w:p w14:paraId="000003B2" w14:textId="77777777" w:rsidR="00171E65" w:rsidRDefault="001F5E2A">
      <w:r>
        <w:t xml:space="preserve">In the primary safety population of patients with thyroid cancer treated with </w:t>
      </w:r>
      <w:proofErr w:type="spellStart"/>
      <w:r>
        <w:t>pralsetinib</w:t>
      </w:r>
      <w:proofErr w:type="spellEnd"/>
      <w:r>
        <w:t xml:space="preserve"> 400 mg once daily (n = 138), the safety profile is generally comparable to that of the NSCLC population.</w:t>
      </w:r>
    </w:p>
    <w:p w14:paraId="000003B3" w14:textId="77777777" w:rsidR="00171E65" w:rsidRDefault="001F5E2A">
      <w:r>
        <w:t xml:space="preserve">The commonest adverse reactions in patients with </w:t>
      </w:r>
      <w:r>
        <w:rPr>
          <w:i/>
        </w:rPr>
        <w:t>RET</w:t>
      </w:r>
      <w:r>
        <w:t xml:space="preserve"> altered thyroid cancer who received </w:t>
      </w:r>
      <w:proofErr w:type="spellStart"/>
      <w:r>
        <w:t>pralsetinib</w:t>
      </w:r>
      <w:proofErr w:type="spellEnd"/>
      <w:r>
        <w:t xml:space="preserve"> include:</w:t>
      </w:r>
    </w:p>
    <w:p w14:paraId="000003B4" w14:textId="77777777" w:rsidR="00171E65" w:rsidRDefault="001F5E2A">
      <w:pPr>
        <w:numPr>
          <w:ilvl w:val="0"/>
          <w:numId w:val="7"/>
        </w:numPr>
        <w:pBdr>
          <w:top w:val="nil"/>
          <w:left w:val="nil"/>
          <w:bottom w:val="nil"/>
          <w:right w:val="nil"/>
          <w:between w:val="nil"/>
        </w:pBdr>
        <w:spacing w:before="120" w:after="180"/>
      </w:pPr>
      <w:r>
        <w:rPr>
          <w:color w:val="000000"/>
        </w:rPr>
        <w:t>Musculoskeletal pain = 42%; (Grades 3 - 4 = 0.7%)</w:t>
      </w:r>
    </w:p>
    <w:p w14:paraId="000003B5" w14:textId="77777777" w:rsidR="00171E65" w:rsidRDefault="001F5E2A">
      <w:pPr>
        <w:numPr>
          <w:ilvl w:val="0"/>
          <w:numId w:val="7"/>
        </w:numPr>
        <w:pBdr>
          <w:top w:val="nil"/>
          <w:left w:val="nil"/>
          <w:bottom w:val="nil"/>
          <w:right w:val="nil"/>
          <w:between w:val="nil"/>
        </w:pBdr>
        <w:spacing w:before="120" w:after="180"/>
      </w:pPr>
      <w:r>
        <w:rPr>
          <w:color w:val="000000"/>
        </w:rPr>
        <w:t>Constipation = 41%; (Grades 3 - 4 = 0.7%)</w:t>
      </w:r>
    </w:p>
    <w:p w14:paraId="000003B6" w14:textId="247BD9DF" w:rsidR="00171E65" w:rsidRDefault="001F5E2A">
      <w:pPr>
        <w:numPr>
          <w:ilvl w:val="0"/>
          <w:numId w:val="7"/>
        </w:numPr>
        <w:pBdr>
          <w:top w:val="nil"/>
          <w:left w:val="nil"/>
          <w:bottom w:val="nil"/>
          <w:right w:val="nil"/>
          <w:between w:val="nil"/>
        </w:pBdr>
        <w:spacing w:before="120" w:after="180"/>
      </w:pPr>
      <w:r>
        <w:rPr>
          <w:color w:val="000000"/>
        </w:rPr>
        <w:t>Hypertension = 40%; (Grades 3 - 4 = 21%)</w:t>
      </w:r>
    </w:p>
    <w:p w14:paraId="000003B7" w14:textId="77777777" w:rsidR="00171E65" w:rsidRDefault="001F5E2A">
      <w:pPr>
        <w:numPr>
          <w:ilvl w:val="0"/>
          <w:numId w:val="7"/>
        </w:numPr>
        <w:pBdr>
          <w:top w:val="nil"/>
          <w:left w:val="nil"/>
          <w:bottom w:val="nil"/>
          <w:right w:val="nil"/>
          <w:between w:val="nil"/>
        </w:pBdr>
        <w:spacing w:before="120" w:after="180"/>
      </w:pPr>
      <w:r>
        <w:rPr>
          <w:color w:val="000000"/>
        </w:rPr>
        <w:t>Fatigue = 38%; (Grades 3 - 4 = 5.8%)</w:t>
      </w:r>
    </w:p>
    <w:p w14:paraId="000003B8" w14:textId="77777777" w:rsidR="00171E65" w:rsidRDefault="001F5E2A">
      <w:pPr>
        <w:numPr>
          <w:ilvl w:val="0"/>
          <w:numId w:val="7"/>
        </w:numPr>
        <w:pBdr>
          <w:top w:val="nil"/>
          <w:left w:val="nil"/>
          <w:bottom w:val="nil"/>
          <w:right w:val="nil"/>
          <w:between w:val="nil"/>
        </w:pBdr>
        <w:spacing w:before="120" w:after="180"/>
      </w:pPr>
      <w:r>
        <w:rPr>
          <w:color w:val="000000"/>
        </w:rPr>
        <w:t>Diarrhoea = 34%; (Grades 3 - 4 = 5.1%)</w:t>
      </w:r>
    </w:p>
    <w:p w14:paraId="000003B9" w14:textId="77777777" w:rsidR="00171E65" w:rsidRDefault="001F5E2A">
      <w:pPr>
        <w:numPr>
          <w:ilvl w:val="0"/>
          <w:numId w:val="7"/>
        </w:numPr>
        <w:pBdr>
          <w:top w:val="nil"/>
          <w:left w:val="nil"/>
          <w:bottom w:val="nil"/>
          <w:right w:val="nil"/>
          <w:between w:val="nil"/>
        </w:pBdr>
        <w:spacing w:before="120" w:after="180"/>
      </w:pPr>
      <w:r>
        <w:rPr>
          <w:color w:val="000000"/>
        </w:rPr>
        <w:t>Oedema = 29%; (Grades 3 - 4 = 0)</w:t>
      </w:r>
    </w:p>
    <w:p w14:paraId="000003BA" w14:textId="77777777" w:rsidR="00171E65" w:rsidRDefault="001F5E2A">
      <w:pPr>
        <w:numPr>
          <w:ilvl w:val="0"/>
          <w:numId w:val="7"/>
        </w:numPr>
        <w:pBdr>
          <w:top w:val="nil"/>
          <w:left w:val="nil"/>
          <w:bottom w:val="nil"/>
          <w:right w:val="nil"/>
          <w:between w:val="nil"/>
        </w:pBdr>
        <w:spacing w:before="120" w:after="180"/>
      </w:pPr>
      <w:r>
        <w:rPr>
          <w:color w:val="000000"/>
        </w:rPr>
        <w:t>Cough = 27%; (Grades 3 - 4 = 1.4%)</w:t>
      </w:r>
    </w:p>
    <w:p w14:paraId="000003BB" w14:textId="77777777" w:rsidR="00171E65" w:rsidRDefault="001F5E2A">
      <w:pPr>
        <w:numPr>
          <w:ilvl w:val="0"/>
          <w:numId w:val="7"/>
        </w:numPr>
        <w:pBdr>
          <w:top w:val="nil"/>
          <w:left w:val="nil"/>
          <w:bottom w:val="nil"/>
          <w:right w:val="nil"/>
          <w:between w:val="nil"/>
        </w:pBdr>
        <w:spacing w:before="120" w:after="180"/>
      </w:pPr>
      <w:r>
        <w:rPr>
          <w:color w:val="000000"/>
        </w:rPr>
        <w:t>Rash = 24%; (Grades 3 - 4 = 0)</w:t>
      </w:r>
    </w:p>
    <w:p w14:paraId="000003BC" w14:textId="2908AF7B" w:rsidR="00171E65" w:rsidRDefault="001F5E2A">
      <w:pPr>
        <w:numPr>
          <w:ilvl w:val="0"/>
          <w:numId w:val="7"/>
        </w:numPr>
        <w:pBdr>
          <w:top w:val="nil"/>
          <w:left w:val="nil"/>
          <w:bottom w:val="nil"/>
          <w:right w:val="nil"/>
          <w:between w:val="nil"/>
        </w:pBdr>
        <w:spacing w:before="120" w:after="180"/>
      </w:pPr>
      <w:r>
        <w:rPr>
          <w:color w:val="000000"/>
        </w:rPr>
        <w:lastRenderedPageBreak/>
        <w:t>Headache = 24%; (Grades 3 - 4 = 0)</w:t>
      </w:r>
    </w:p>
    <w:p w14:paraId="000003BD" w14:textId="00CC1EF0" w:rsidR="00171E65" w:rsidRDefault="001F5E2A">
      <w:pPr>
        <w:numPr>
          <w:ilvl w:val="0"/>
          <w:numId w:val="7"/>
        </w:numPr>
        <w:pBdr>
          <w:top w:val="nil"/>
          <w:left w:val="nil"/>
          <w:bottom w:val="nil"/>
          <w:right w:val="nil"/>
          <w:between w:val="nil"/>
        </w:pBdr>
        <w:spacing w:before="120" w:after="180"/>
      </w:pPr>
      <w:r>
        <w:rPr>
          <w:color w:val="000000"/>
        </w:rPr>
        <w:t>Pyrexia = 22%; (Grades 3 - 4 = 2.2%)</w:t>
      </w:r>
    </w:p>
    <w:p w14:paraId="000003BE" w14:textId="0C5D4480" w:rsidR="00171E65" w:rsidRDefault="001F5E2A">
      <w:pPr>
        <w:numPr>
          <w:ilvl w:val="0"/>
          <w:numId w:val="7"/>
        </w:numPr>
        <w:pBdr>
          <w:top w:val="nil"/>
          <w:left w:val="nil"/>
          <w:bottom w:val="nil"/>
          <w:right w:val="nil"/>
          <w:between w:val="nil"/>
        </w:pBdr>
        <w:spacing w:before="120" w:after="180"/>
      </w:pPr>
      <w:r>
        <w:rPr>
          <w:color w:val="000000"/>
        </w:rPr>
        <w:t>Dyspnoea = 22%; (Grades 3 - 4 = 2.2%)</w:t>
      </w:r>
    </w:p>
    <w:p w14:paraId="000003BF" w14:textId="319BAC9B" w:rsidR="00171E65" w:rsidRDefault="001F5E2A">
      <w:pPr>
        <w:numPr>
          <w:ilvl w:val="0"/>
          <w:numId w:val="7"/>
        </w:numPr>
        <w:pBdr>
          <w:top w:val="nil"/>
          <w:left w:val="nil"/>
          <w:bottom w:val="nil"/>
          <w:right w:val="nil"/>
          <w:between w:val="nil"/>
        </w:pBdr>
        <w:spacing w:before="120" w:after="180"/>
      </w:pPr>
      <w:r>
        <w:rPr>
          <w:color w:val="000000"/>
        </w:rPr>
        <w:t>Peripheral neuropathy = 20%; (Grades 3 - 4 = 0)</w:t>
      </w:r>
    </w:p>
    <w:p w14:paraId="000003C0" w14:textId="7D667578" w:rsidR="00171E65" w:rsidRDefault="001F5E2A">
      <w:r>
        <w:t xml:space="preserve">Serious adverse reactions occurred in 39% of patients; the most frequent of these were pneumonia, pneumonitis, urinary tract infection, pyrexia, fatigue, diarrhoea, dizziness, anaemia, </w:t>
      </w:r>
      <w:proofErr w:type="gramStart"/>
      <w:r>
        <w:t>hyponatraemia</w:t>
      </w:r>
      <w:proofErr w:type="gramEnd"/>
      <w:r>
        <w:t xml:space="preserve"> and ascites. Fatal adverse reaction occurred in </w:t>
      </w:r>
      <w:sdt>
        <w:sdtPr>
          <w:tag w:val="goog_rdk_144"/>
          <w:id w:val="1921367055"/>
        </w:sdtPr>
        <w:sdtEndPr/>
        <w:sdtContent/>
      </w:sdt>
      <w:r>
        <w:t>2.2% of patients; fatal adverse reaction that occurred in less than one patient included pneumonia. Dose interruption due to AE was reported in 67% of patients, and dose reduction due to an AE in 44%.</w:t>
      </w:r>
    </w:p>
    <w:p w14:paraId="000003C1" w14:textId="77777777" w:rsidR="00171E65" w:rsidRDefault="001F5E2A">
      <w:r>
        <w:t xml:space="preserve">Although severe toxicities are observed with </w:t>
      </w:r>
      <w:proofErr w:type="spellStart"/>
      <w:r>
        <w:t>pralsetinib</w:t>
      </w:r>
      <w:proofErr w:type="spellEnd"/>
      <w:r>
        <w:t>, these safety concerns may be adequately addressed by information in the Warnings and Precautions section and the dose modification section of the PI. This includes the significant and serious safety issues identified in the corresponding submission (for advanced NSCLC)</w:t>
      </w:r>
      <w:r>
        <w:rPr>
          <w:vertAlign w:val="superscript"/>
        </w:rPr>
        <w:t>2</w:t>
      </w:r>
      <w:r>
        <w:t xml:space="preserve"> that is:</w:t>
      </w:r>
    </w:p>
    <w:p w14:paraId="000003C2" w14:textId="77777777" w:rsidR="00171E65" w:rsidRDefault="001F5E2A">
      <w:pPr>
        <w:numPr>
          <w:ilvl w:val="0"/>
          <w:numId w:val="7"/>
        </w:numPr>
        <w:pBdr>
          <w:top w:val="nil"/>
          <w:left w:val="nil"/>
          <w:bottom w:val="nil"/>
          <w:right w:val="nil"/>
          <w:between w:val="nil"/>
        </w:pBdr>
        <w:spacing w:before="120" w:after="180"/>
      </w:pPr>
      <w:r>
        <w:rPr>
          <w:color w:val="000000"/>
        </w:rPr>
        <w:t>Interstitial lung disease/pneumonitis</w:t>
      </w:r>
    </w:p>
    <w:p w14:paraId="000003C3" w14:textId="77777777" w:rsidR="00171E65" w:rsidRDefault="001F5E2A">
      <w:pPr>
        <w:numPr>
          <w:ilvl w:val="0"/>
          <w:numId w:val="7"/>
        </w:numPr>
        <w:pBdr>
          <w:top w:val="nil"/>
          <w:left w:val="nil"/>
          <w:bottom w:val="nil"/>
          <w:right w:val="nil"/>
          <w:between w:val="nil"/>
        </w:pBdr>
        <w:spacing w:before="120" w:after="180"/>
      </w:pPr>
      <w:r>
        <w:rPr>
          <w:color w:val="000000"/>
        </w:rPr>
        <w:t>Hypertension</w:t>
      </w:r>
    </w:p>
    <w:p w14:paraId="000003C4" w14:textId="77777777" w:rsidR="00171E65" w:rsidRDefault="001F5E2A">
      <w:pPr>
        <w:numPr>
          <w:ilvl w:val="0"/>
          <w:numId w:val="7"/>
        </w:numPr>
        <w:pBdr>
          <w:top w:val="nil"/>
          <w:left w:val="nil"/>
          <w:bottom w:val="nil"/>
          <w:right w:val="nil"/>
          <w:between w:val="nil"/>
        </w:pBdr>
        <w:spacing w:before="120" w:after="180"/>
      </w:pPr>
      <w:r>
        <w:rPr>
          <w:color w:val="000000"/>
        </w:rPr>
        <w:t>Hepatotoxicity</w:t>
      </w:r>
    </w:p>
    <w:p w14:paraId="000003C5" w14:textId="77777777" w:rsidR="00171E65" w:rsidRDefault="001F5E2A">
      <w:pPr>
        <w:numPr>
          <w:ilvl w:val="0"/>
          <w:numId w:val="7"/>
        </w:numPr>
        <w:pBdr>
          <w:top w:val="nil"/>
          <w:left w:val="nil"/>
          <w:bottom w:val="nil"/>
          <w:right w:val="nil"/>
          <w:between w:val="nil"/>
        </w:pBdr>
        <w:spacing w:before="120" w:after="180"/>
      </w:pPr>
      <w:r>
        <w:rPr>
          <w:color w:val="000000"/>
        </w:rPr>
        <w:t>Haemorrhagic events</w:t>
      </w:r>
    </w:p>
    <w:p w14:paraId="000003C6" w14:textId="77777777" w:rsidR="00171E65" w:rsidRDefault="001F5E2A">
      <w:r>
        <w:t>The risk of impaired/delayed wound healing due to inhibition of the VEGF pathway should also be adequately addressed by information in the Warnings and Precautions section of the PI.</w:t>
      </w:r>
    </w:p>
    <w:p w14:paraId="000003C7" w14:textId="77777777" w:rsidR="00171E65" w:rsidRDefault="001F5E2A">
      <w:r>
        <w:t>Based on the potential serious risk of gastrointestinal perforations/fistulas related to this same mechanism of action, a condition of registration to further evaluate his potential risk is required.</w:t>
      </w:r>
    </w:p>
    <w:p w14:paraId="000003C8" w14:textId="77777777" w:rsidR="00171E65" w:rsidRDefault="001F5E2A">
      <w:r>
        <w:t xml:space="preserve">In general, the safety profile observed in patients with thyroid cancer (n = 138) was </w:t>
      </w:r>
      <w:proofErr w:type="gramStart"/>
      <w:r>
        <w:t>similar to</w:t>
      </w:r>
      <w:proofErr w:type="gramEnd"/>
      <w:r>
        <w:t xml:space="preserve"> that observed in patients with the NSCLC patient population. Tumour lysis syndrome was observed solely in patients with MTC and should be included in the Warnings and Precautions section of the PI given the need for provider awareness, the potential seriousness of these events and the potential need for mitigation strategies. In addition, increased creatine phosphokinase was identified as an additional safety signal in 11% of patients with RET-altered thyroid cancer (n = 138); in some cases, these events required dose interruption, dose reduction, and rarely withdrawal of </w:t>
      </w:r>
      <w:proofErr w:type="spellStart"/>
      <w:r>
        <w:t>pralsetinib</w:t>
      </w:r>
      <w:proofErr w:type="spellEnd"/>
      <w:r>
        <w:t>.</w:t>
      </w:r>
    </w:p>
    <w:p w14:paraId="000003C9" w14:textId="77777777" w:rsidR="00171E65" w:rsidRDefault="001F5E2A">
      <w:pPr>
        <w:pStyle w:val="Heading6"/>
      </w:pPr>
      <w:r>
        <w:t>Uncertainties</w:t>
      </w:r>
    </w:p>
    <w:p w14:paraId="000003CA" w14:textId="77777777" w:rsidR="00171E65" w:rsidRDefault="001F5E2A">
      <w:r>
        <w:t xml:space="preserve">Uncertainty remains regarding the long-term safety profile, including that in the elderly subgroup. In addition, the single arm study design of ARROW trial precludes the direct comparison of safety/toxicity profile of </w:t>
      </w:r>
      <w:proofErr w:type="spellStart"/>
      <w:r>
        <w:t>pralsetinib</w:t>
      </w:r>
      <w:proofErr w:type="spellEnd"/>
      <w:r>
        <w:t xml:space="preserve"> with standard of care (</w:t>
      </w:r>
      <w:proofErr w:type="spellStart"/>
      <w:r>
        <w:t>cabozantinib</w:t>
      </w:r>
      <w:proofErr w:type="spellEnd"/>
      <w:r>
        <w:t xml:space="preserve"> or </w:t>
      </w:r>
      <w:proofErr w:type="spellStart"/>
      <w:r>
        <w:t>vandetanib</w:t>
      </w:r>
      <w:proofErr w:type="spellEnd"/>
      <w:r>
        <w:t xml:space="preserve"> in patients with RET mutation positive MTC, and </w:t>
      </w:r>
      <w:proofErr w:type="spellStart"/>
      <w:r>
        <w:t>lenvatinib</w:t>
      </w:r>
      <w:proofErr w:type="spellEnd"/>
      <w:r>
        <w:t xml:space="preserve"> or sorafenib in patients with </w:t>
      </w:r>
      <w:r>
        <w:rPr>
          <w:i/>
        </w:rPr>
        <w:t>RET</w:t>
      </w:r>
      <w:r>
        <w:t xml:space="preserve">-fusion positive thyroid cancer). The number of patients with </w:t>
      </w:r>
      <w:r>
        <w:rPr>
          <w:i/>
        </w:rPr>
        <w:t>RET</w:t>
      </w:r>
      <w:r>
        <w:t>-altered thyroid cancer in ARROW trial was relatively small, limiting the ability to fully characterise rare AEs.</w:t>
      </w:r>
    </w:p>
    <w:p w14:paraId="000003CB" w14:textId="77777777" w:rsidR="00171E65" w:rsidRDefault="001F5E2A">
      <w:pPr>
        <w:pStyle w:val="Heading5"/>
      </w:pPr>
      <w:r>
        <w:t>Benefit/Risk balance</w:t>
      </w:r>
    </w:p>
    <w:p w14:paraId="000003CC" w14:textId="77777777" w:rsidR="00171E65" w:rsidRDefault="001F5E2A">
      <w:r>
        <w:t xml:space="preserve">Overall, the benefit-risk assessment for </w:t>
      </w:r>
      <w:proofErr w:type="spellStart"/>
      <w:r>
        <w:t>pralsetinib</w:t>
      </w:r>
      <w:proofErr w:type="spellEnd"/>
      <w:r>
        <w:t xml:space="preserve"> is favourable in adult patients with advanced or metastatic </w:t>
      </w:r>
      <w:r>
        <w:rPr>
          <w:i/>
        </w:rPr>
        <w:t>RET</w:t>
      </w:r>
      <w:r>
        <w:t xml:space="preserve">-mutant MTC, and in adult patients with advanced or metastatic </w:t>
      </w:r>
      <w:r>
        <w:rPr>
          <w:i/>
        </w:rPr>
        <w:t>RET</w:t>
      </w:r>
      <w:r>
        <w:t xml:space="preserve">-fusion positive thyroid cancer that is refractory to (or unsuitable for) radioactive iodine and who have </w:t>
      </w:r>
      <w:r>
        <w:lastRenderedPageBreak/>
        <w:t xml:space="preserve">progressed on either </w:t>
      </w:r>
      <w:proofErr w:type="spellStart"/>
      <w:r>
        <w:t>lenvatinib</w:t>
      </w:r>
      <w:proofErr w:type="spellEnd"/>
      <w:r>
        <w:t xml:space="preserve"> or sorafenib. This is based on the high response rates and durable responses seen in a patient population with a life-threatening disease and unmet medical need. The corresponding ORR and DOR </w:t>
      </w:r>
      <w:proofErr w:type="gramStart"/>
      <w:r>
        <w:t>are considered to be</w:t>
      </w:r>
      <w:proofErr w:type="gramEnd"/>
      <w:r>
        <w:t xml:space="preserve"> clinically meaningful and reasonably likely to predict clinical benefit in this population.</w:t>
      </w:r>
    </w:p>
    <w:p w14:paraId="000003CD" w14:textId="77777777" w:rsidR="00171E65" w:rsidRDefault="001F5E2A">
      <w:r>
        <w:t xml:space="preserve">Although </w:t>
      </w:r>
      <w:proofErr w:type="spellStart"/>
      <w:r>
        <w:t>pralsetinib</w:t>
      </w:r>
      <w:proofErr w:type="spellEnd"/>
      <w:r>
        <w:t xml:space="preserve"> can cause serious toxicities, the safety profile demonstrated is generally manageable and considered acceptable in the context of the life-threatening nature of advanced/metastatic </w:t>
      </w:r>
      <w:r>
        <w:rPr>
          <w:i/>
        </w:rPr>
        <w:t>RET</w:t>
      </w:r>
      <w:r>
        <w:t xml:space="preserve">-mutant MTC and advanced/metastatic </w:t>
      </w:r>
      <w:r>
        <w:rPr>
          <w:i/>
        </w:rPr>
        <w:t>RET</w:t>
      </w:r>
      <w:r>
        <w:t xml:space="preserve">-fusion positive RAI-refractory thyroid cancer, </w:t>
      </w:r>
      <w:proofErr w:type="gramStart"/>
      <w:r>
        <w:t>and also</w:t>
      </w:r>
      <w:proofErr w:type="gramEnd"/>
      <w:r>
        <w:t xml:space="preserve"> considering the lack of available targeted therapy options in Australia for this patient population at present. </w:t>
      </w:r>
    </w:p>
    <w:p w14:paraId="000003CE" w14:textId="0E1BBF82" w:rsidR="00171E65" w:rsidRDefault="001F5E2A">
      <w:r>
        <w:t xml:space="preserve">The study design limits interpretation of survival; given the limited duration of follow-up for other cohorts and the small number of treatment-naïve patients in the primary efficacy analysis population for this submission, only provisional approval is supported at present. Further data is required </w:t>
      </w:r>
      <w:proofErr w:type="gramStart"/>
      <w:r>
        <w:t>in order to</w:t>
      </w:r>
      <w:proofErr w:type="gramEnd"/>
      <w:r>
        <w:t xml:space="preserve"> confirm clinical benefit, including additional data from Study BLU-667-1101, </w:t>
      </w:r>
      <w:proofErr w:type="spellStart"/>
      <w:r>
        <w:t>AcceleRET</w:t>
      </w:r>
      <w:proofErr w:type="spellEnd"/>
      <w:r>
        <w:t xml:space="preserve">-MTC study, and TAPISTRY trial. If approved, the sponsor will be required to submit final reports of post-marketing requirement studies for </w:t>
      </w:r>
      <w:proofErr w:type="spellStart"/>
      <w:r>
        <w:t>pralsetinib</w:t>
      </w:r>
      <w:proofErr w:type="spellEnd"/>
      <w:r>
        <w:t xml:space="preserve"> (see International Regulatory Status section, and RMP evaluation report).</w:t>
      </w:r>
    </w:p>
    <w:p w14:paraId="000003CF" w14:textId="77777777" w:rsidR="00171E65" w:rsidRDefault="001F5E2A">
      <w:pPr>
        <w:pStyle w:val="Heading4"/>
      </w:pPr>
      <w:bookmarkStart w:id="40" w:name="_Toc149213460"/>
      <w:r>
        <w:t xml:space="preserve">Proposed </w:t>
      </w:r>
      <w:proofErr w:type="gramStart"/>
      <w:r>
        <w:t>action</w:t>
      </w:r>
      <w:bookmarkEnd w:id="40"/>
      <w:proofErr w:type="gramEnd"/>
    </w:p>
    <w:p w14:paraId="000003D0" w14:textId="77777777" w:rsidR="00171E65" w:rsidRDefault="001F5E2A">
      <w:r>
        <w:t xml:space="preserve">The benefit risk assessment for </w:t>
      </w:r>
      <w:proofErr w:type="spellStart"/>
      <w:r>
        <w:t>pralsetinib</w:t>
      </w:r>
      <w:proofErr w:type="spellEnd"/>
      <w:r>
        <w:t xml:space="preserve"> </w:t>
      </w:r>
      <w:proofErr w:type="gramStart"/>
      <w:r>
        <w:t>is considered to be</w:t>
      </w:r>
      <w:proofErr w:type="gramEnd"/>
      <w:r>
        <w:t xml:space="preserve"> favourable in the following:</w:t>
      </w:r>
    </w:p>
    <w:p w14:paraId="000003D1" w14:textId="77777777" w:rsidR="00171E65" w:rsidRDefault="001F5E2A">
      <w:pPr>
        <w:numPr>
          <w:ilvl w:val="0"/>
          <w:numId w:val="7"/>
        </w:numPr>
        <w:pBdr>
          <w:top w:val="nil"/>
          <w:left w:val="nil"/>
          <w:bottom w:val="nil"/>
          <w:right w:val="nil"/>
          <w:between w:val="nil"/>
        </w:pBdr>
        <w:spacing w:before="120" w:after="180"/>
      </w:pPr>
      <w:r>
        <w:rPr>
          <w:color w:val="000000"/>
        </w:rPr>
        <w:t xml:space="preserve">adult patients with advanced or metastatic </w:t>
      </w:r>
      <w:r>
        <w:rPr>
          <w:i/>
          <w:color w:val="000000"/>
        </w:rPr>
        <w:t>RET</w:t>
      </w:r>
      <w:r>
        <w:rPr>
          <w:color w:val="000000"/>
        </w:rPr>
        <w:t>-mutant MTC</w:t>
      </w:r>
    </w:p>
    <w:p w14:paraId="000003D2" w14:textId="77777777" w:rsidR="00171E65" w:rsidRDefault="001F5E2A">
      <w:pPr>
        <w:numPr>
          <w:ilvl w:val="0"/>
          <w:numId w:val="7"/>
        </w:numPr>
        <w:pBdr>
          <w:top w:val="nil"/>
          <w:left w:val="nil"/>
          <w:bottom w:val="nil"/>
          <w:right w:val="nil"/>
          <w:between w:val="nil"/>
        </w:pBdr>
        <w:spacing w:before="120" w:after="180"/>
      </w:pPr>
      <w:r>
        <w:rPr>
          <w:color w:val="000000"/>
        </w:rPr>
        <w:t xml:space="preserve">adult patients with advanced or metastatic </w:t>
      </w:r>
      <w:r>
        <w:rPr>
          <w:i/>
          <w:color w:val="000000"/>
        </w:rPr>
        <w:t>RET</w:t>
      </w:r>
      <w:r>
        <w:rPr>
          <w:color w:val="000000"/>
        </w:rPr>
        <w:t xml:space="preserve">-fusion positive thyroid cancer that is refractory to (or unsuitable for) radioactive iodine and who have progressed on </w:t>
      </w:r>
      <w:proofErr w:type="spellStart"/>
      <w:r>
        <w:rPr>
          <w:color w:val="000000"/>
        </w:rPr>
        <w:t>lenvatinib</w:t>
      </w:r>
      <w:proofErr w:type="spellEnd"/>
      <w:r>
        <w:rPr>
          <w:color w:val="000000"/>
        </w:rPr>
        <w:t xml:space="preserve"> or sorafenib.</w:t>
      </w:r>
    </w:p>
    <w:p w14:paraId="000003D3" w14:textId="77777777" w:rsidR="00171E65" w:rsidRDefault="001F5E2A">
      <w:r>
        <w:t xml:space="preserve">The Delegate therefore supports provisional registration of </w:t>
      </w:r>
      <w:proofErr w:type="spellStart"/>
      <w:r>
        <w:t>pralsetinib</w:t>
      </w:r>
      <w:proofErr w:type="spellEnd"/>
      <w:r>
        <w:t xml:space="preserve"> for the following indications (providing that any outstanding issues/recommendations outlined in the quality report are satisfactorily addressed):</w:t>
      </w:r>
    </w:p>
    <w:p w14:paraId="000003D4" w14:textId="77777777" w:rsidR="00171E65" w:rsidRDefault="001F5E2A">
      <w:pPr>
        <w:ind w:left="720"/>
        <w:rPr>
          <w:i/>
        </w:rPr>
      </w:pPr>
      <w:proofErr w:type="spellStart"/>
      <w:r>
        <w:rPr>
          <w:i/>
        </w:rPr>
        <w:t>Gavreto</w:t>
      </w:r>
      <w:proofErr w:type="spellEnd"/>
      <w:r>
        <w:rPr>
          <w:i/>
        </w:rPr>
        <w:t xml:space="preserve"> has </w:t>
      </w:r>
      <w:r>
        <w:rPr>
          <w:b/>
          <w:i/>
        </w:rPr>
        <w:t xml:space="preserve">provisional </w:t>
      </w:r>
      <w:r>
        <w:rPr>
          <w:i/>
        </w:rPr>
        <w:t xml:space="preserve">approval in Australia for the treatment of adult patients with advanced or metastatic RET-mutant medullary thyroid cancer (MTC). The decision to approve this indication has been made </w:t>
      </w:r>
      <w:proofErr w:type="gramStart"/>
      <w:r>
        <w:rPr>
          <w:i/>
        </w:rPr>
        <w:t>on the basis of</w:t>
      </w:r>
      <w:proofErr w:type="gramEnd"/>
      <w:r>
        <w:rPr>
          <w:i/>
        </w:rPr>
        <w:t xml:space="preserve"> overall response rate (ORR) and duration of response (DOR). Continued approval of this indication depends on verification and description of benefit in confirmatory trials.</w:t>
      </w:r>
    </w:p>
    <w:p w14:paraId="000003D5" w14:textId="77777777" w:rsidR="00171E65" w:rsidRDefault="001F5E2A">
      <w:pPr>
        <w:ind w:left="720"/>
        <w:rPr>
          <w:i/>
        </w:rPr>
      </w:pPr>
      <w:proofErr w:type="spellStart"/>
      <w:r>
        <w:rPr>
          <w:i/>
        </w:rPr>
        <w:t>Gavreto</w:t>
      </w:r>
      <w:proofErr w:type="spellEnd"/>
      <w:r>
        <w:rPr>
          <w:i/>
        </w:rPr>
        <w:t xml:space="preserve"> has </w:t>
      </w:r>
      <w:r>
        <w:rPr>
          <w:b/>
          <w:i/>
        </w:rPr>
        <w:t xml:space="preserve">provisional </w:t>
      </w:r>
      <w:r>
        <w:rPr>
          <w:i/>
        </w:rPr>
        <w:t xml:space="preserve">approval in Australia for the treatment of adult patients with advanced or metastatic RET-fusion positive thyroid cancer that is refractory to (or unsuitable for) radioactive iodine and who have progressed on </w:t>
      </w:r>
      <w:proofErr w:type="spellStart"/>
      <w:r>
        <w:rPr>
          <w:i/>
        </w:rPr>
        <w:t>lenvatinib</w:t>
      </w:r>
      <w:proofErr w:type="spellEnd"/>
      <w:r>
        <w:rPr>
          <w:i/>
        </w:rPr>
        <w:t xml:space="preserve"> or sorafenib. The decision to approve this indication has been made </w:t>
      </w:r>
      <w:proofErr w:type="gramStart"/>
      <w:r>
        <w:rPr>
          <w:i/>
        </w:rPr>
        <w:t>on the basis of</w:t>
      </w:r>
      <w:proofErr w:type="gramEnd"/>
      <w:r>
        <w:rPr>
          <w:i/>
        </w:rPr>
        <w:t xml:space="preserve"> overall response rate (ORR) and duration of response (DOR). Continued approval of this indication depends on verification and description of benefit in confirmatory trials.</w:t>
      </w:r>
    </w:p>
    <w:p w14:paraId="000003D6" w14:textId="77777777" w:rsidR="00171E65" w:rsidRDefault="001F5E2A">
      <w:r>
        <w:t>In addition to the standard conditions of registration, additional conditions of registration are proposed, that is the sponsor will be required to provide confirmatory data from the following:</w:t>
      </w:r>
    </w:p>
    <w:p w14:paraId="000003D7" w14:textId="77777777" w:rsidR="00171E65" w:rsidRDefault="001F5E2A">
      <w:pPr>
        <w:numPr>
          <w:ilvl w:val="0"/>
          <w:numId w:val="7"/>
        </w:numPr>
        <w:pBdr>
          <w:top w:val="nil"/>
          <w:left w:val="nil"/>
          <w:bottom w:val="nil"/>
          <w:right w:val="nil"/>
          <w:between w:val="nil"/>
        </w:pBdr>
        <w:spacing w:before="120" w:after="180"/>
      </w:pPr>
      <w:proofErr w:type="spellStart"/>
      <w:r>
        <w:rPr>
          <w:color w:val="000000"/>
        </w:rPr>
        <w:t>AcceleRET</w:t>
      </w:r>
      <w:proofErr w:type="spellEnd"/>
      <w:r>
        <w:rPr>
          <w:color w:val="000000"/>
        </w:rPr>
        <w:t>-MTC Study by December of 2028: Submit the final report including datasets from a multi-</w:t>
      </w:r>
      <w:proofErr w:type="spellStart"/>
      <w:r>
        <w:rPr>
          <w:color w:val="000000"/>
        </w:rPr>
        <w:t>center</w:t>
      </w:r>
      <w:proofErr w:type="spellEnd"/>
      <w:r>
        <w:rPr>
          <w:color w:val="000000"/>
        </w:rPr>
        <w:t xml:space="preserve">, randomised, open-label trial comparing </w:t>
      </w:r>
      <w:proofErr w:type="spellStart"/>
      <w:r>
        <w:rPr>
          <w:color w:val="000000"/>
        </w:rPr>
        <w:t>pralsetinib</w:t>
      </w:r>
      <w:proofErr w:type="spellEnd"/>
      <w:r>
        <w:rPr>
          <w:color w:val="000000"/>
        </w:rPr>
        <w:t xml:space="preserve"> to investigator’s choice of either </w:t>
      </w:r>
      <w:proofErr w:type="spellStart"/>
      <w:r>
        <w:rPr>
          <w:color w:val="000000"/>
        </w:rPr>
        <w:t>cabozantinib</w:t>
      </w:r>
      <w:proofErr w:type="spellEnd"/>
      <w:r>
        <w:rPr>
          <w:color w:val="000000"/>
        </w:rPr>
        <w:t xml:space="preserve"> or </w:t>
      </w:r>
      <w:proofErr w:type="spellStart"/>
      <w:r>
        <w:rPr>
          <w:color w:val="000000"/>
        </w:rPr>
        <w:t>vandetanib</w:t>
      </w:r>
      <w:proofErr w:type="spellEnd"/>
      <w:r>
        <w:rPr>
          <w:color w:val="000000"/>
        </w:rPr>
        <w:t xml:space="preserve"> in multi-kinase inhibitor naïve patients with advanced or metastatic </w:t>
      </w:r>
      <w:r>
        <w:rPr>
          <w:i/>
          <w:color w:val="000000"/>
        </w:rPr>
        <w:t>RET</w:t>
      </w:r>
      <w:r>
        <w:rPr>
          <w:color w:val="000000"/>
        </w:rPr>
        <w:t xml:space="preserve">-mutant medullary thyroid cancer to confirm the clinical benefit of </w:t>
      </w:r>
      <w:proofErr w:type="spellStart"/>
      <w:r>
        <w:rPr>
          <w:color w:val="000000"/>
        </w:rPr>
        <w:t>pralsetinib</w:t>
      </w:r>
      <w:proofErr w:type="spellEnd"/>
      <w:r>
        <w:rPr>
          <w:color w:val="000000"/>
        </w:rPr>
        <w:t xml:space="preserve"> with progression-free survival as a primary endpoint, as assessed by blinded independent central review. </w:t>
      </w:r>
    </w:p>
    <w:p w14:paraId="000003D8" w14:textId="77777777" w:rsidR="00171E65" w:rsidRDefault="001F5E2A">
      <w:pPr>
        <w:numPr>
          <w:ilvl w:val="0"/>
          <w:numId w:val="7"/>
        </w:numPr>
        <w:pBdr>
          <w:top w:val="nil"/>
          <w:left w:val="nil"/>
          <w:bottom w:val="nil"/>
          <w:right w:val="nil"/>
          <w:between w:val="nil"/>
        </w:pBdr>
        <w:spacing w:before="120" w:after="180"/>
      </w:pPr>
      <w:r>
        <w:rPr>
          <w:color w:val="000000"/>
        </w:rPr>
        <w:lastRenderedPageBreak/>
        <w:t>TAPISTRY trial (Tumour-Agnostic Precision Immuno-Oncology and Somatic Targeting Rational for You) by June 2025.</w:t>
      </w:r>
    </w:p>
    <w:p w14:paraId="000003D9" w14:textId="77777777" w:rsidR="00171E65" w:rsidRDefault="001F5E2A">
      <w:pPr>
        <w:numPr>
          <w:ilvl w:val="0"/>
          <w:numId w:val="7"/>
        </w:numPr>
        <w:pBdr>
          <w:top w:val="nil"/>
          <w:left w:val="nil"/>
          <w:bottom w:val="nil"/>
          <w:right w:val="nil"/>
          <w:between w:val="nil"/>
        </w:pBdr>
        <w:spacing w:before="120" w:after="180"/>
      </w:pPr>
      <w:r>
        <w:rPr>
          <w:color w:val="000000"/>
        </w:rPr>
        <w:t>ARROW trial (Study BO42863) by December 2022</w:t>
      </w:r>
    </w:p>
    <w:p w14:paraId="000003DA" w14:textId="77777777" w:rsidR="00171E65" w:rsidRDefault="001F5E2A">
      <w:pPr>
        <w:numPr>
          <w:ilvl w:val="0"/>
          <w:numId w:val="7"/>
        </w:numPr>
        <w:pBdr>
          <w:top w:val="nil"/>
          <w:left w:val="nil"/>
          <w:bottom w:val="nil"/>
          <w:right w:val="nil"/>
          <w:between w:val="nil"/>
        </w:pBdr>
        <w:spacing w:before="120" w:after="180"/>
      </w:pPr>
      <w:r>
        <w:rPr>
          <w:color w:val="000000"/>
        </w:rPr>
        <w:t xml:space="preserve">Other conditions of registration as outlined under ‘Clinical </w:t>
      </w:r>
      <w:proofErr w:type="gramStart"/>
      <w:r>
        <w:rPr>
          <w:color w:val="000000"/>
        </w:rPr>
        <w:t>Pharmacology’</w:t>
      </w:r>
      <w:proofErr w:type="gramEnd"/>
    </w:p>
    <w:p w14:paraId="000003DB" w14:textId="77777777" w:rsidR="00171E65" w:rsidRDefault="001F5E2A">
      <w:pPr>
        <w:pStyle w:val="Heading4"/>
      </w:pPr>
      <w:bookmarkStart w:id="41" w:name="_Toc149213461"/>
      <w:r>
        <w:t>Advisory Committee considerations</w:t>
      </w:r>
      <w:bookmarkEnd w:id="41"/>
    </w:p>
    <w:p w14:paraId="000003DC" w14:textId="43695D22" w:rsidR="00171E65" w:rsidRDefault="001F5E2A">
      <w:r>
        <w:t xml:space="preserve">The </w:t>
      </w:r>
      <w:hyperlink r:id="rId32">
        <w:r>
          <w:rPr>
            <w:color w:val="0000FF"/>
            <w:u w:val="single"/>
          </w:rPr>
          <w:t>Advisory Committee on Medicines (ACM)</w:t>
        </w:r>
      </w:hyperlink>
      <w:r>
        <w:t>, having considered the evaluations and the Delegate’s overview, as well as the sponsor’s response to these documents, advised the following.</w:t>
      </w:r>
    </w:p>
    <w:p w14:paraId="000003DD" w14:textId="77777777" w:rsidR="00171E65" w:rsidRDefault="001F5E2A">
      <w:pPr>
        <w:pStyle w:val="Heading5"/>
      </w:pPr>
      <w:r>
        <w:t>Specific advice to the Delegate</w:t>
      </w:r>
    </w:p>
    <w:p w14:paraId="000003DE" w14:textId="77777777" w:rsidR="00171E65" w:rsidRDefault="001F5E2A">
      <w:r>
        <w:t>The ACM advised the following in response to the Delegate’s specific request for advice:</w:t>
      </w:r>
    </w:p>
    <w:p w14:paraId="000003DF" w14:textId="77777777" w:rsidR="00171E65" w:rsidRDefault="001F5E2A">
      <w:pPr>
        <w:numPr>
          <w:ilvl w:val="0"/>
          <w:numId w:val="1"/>
        </w:numPr>
        <w:pBdr>
          <w:top w:val="nil"/>
          <w:left w:val="nil"/>
          <w:bottom w:val="nil"/>
          <w:right w:val="nil"/>
          <w:between w:val="nil"/>
        </w:pBdr>
        <w:spacing w:before="120"/>
        <w:rPr>
          <w:b/>
          <w:i/>
          <w:color w:val="000000"/>
        </w:rPr>
      </w:pPr>
      <w:r>
        <w:rPr>
          <w:b/>
          <w:i/>
          <w:color w:val="000000"/>
        </w:rPr>
        <w:t xml:space="preserve">Are the results of ARROW, Study BLU-667-1101, sufficient to support the use of </w:t>
      </w:r>
      <w:proofErr w:type="spellStart"/>
      <w:r>
        <w:rPr>
          <w:b/>
          <w:i/>
          <w:color w:val="000000"/>
        </w:rPr>
        <w:t>pralsetinib</w:t>
      </w:r>
      <w:proofErr w:type="spellEnd"/>
      <w:r>
        <w:rPr>
          <w:b/>
          <w:i/>
          <w:color w:val="000000"/>
        </w:rPr>
        <w:t xml:space="preserve"> in adults with advanced/metastatic RET- fusion positive radioactive iodine-refractory thyroid cancer in the </w:t>
      </w:r>
      <w:proofErr w:type="gramStart"/>
      <w:r>
        <w:rPr>
          <w:b/>
          <w:i/>
          <w:color w:val="000000"/>
        </w:rPr>
        <w:t>first-line</w:t>
      </w:r>
      <w:proofErr w:type="gramEnd"/>
      <w:r>
        <w:rPr>
          <w:b/>
          <w:i/>
          <w:color w:val="000000"/>
        </w:rPr>
        <w:t xml:space="preserve"> setting, or should use be limited to those who have progressed on </w:t>
      </w:r>
      <w:proofErr w:type="spellStart"/>
      <w:r>
        <w:rPr>
          <w:b/>
          <w:i/>
          <w:color w:val="000000"/>
        </w:rPr>
        <w:t>lenvatinib</w:t>
      </w:r>
      <w:proofErr w:type="spellEnd"/>
      <w:r>
        <w:rPr>
          <w:b/>
          <w:i/>
          <w:color w:val="000000"/>
        </w:rPr>
        <w:t xml:space="preserve"> or sorafenib?</w:t>
      </w:r>
    </w:p>
    <w:p w14:paraId="000003E0" w14:textId="77777777" w:rsidR="00171E65" w:rsidRDefault="001F5E2A">
      <w:r>
        <w:t xml:space="preserve">The ACM expressed strong concern with the sparse data set (n = 9) for adults with advanced/metastatic </w:t>
      </w:r>
      <w:r>
        <w:rPr>
          <w:i/>
        </w:rPr>
        <w:t>RET</w:t>
      </w:r>
      <w:r>
        <w:t xml:space="preserve"> fusion positive radioactive iodine refractory thyroid cancer, despite the positive overall response rate. The ACM was of the view that the sponsor should submit further data from additional patients to confirm clinical benefit including results from the TAPISTRY trial when available.</w:t>
      </w:r>
    </w:p>
    <w:p w14:paraId="000003E1" w14:textId="77777777" w:rsidR="00171E65" w:rsidRDefault="001F5E2A">
      <w:r>
        <w:t xml:space="preserve">On balance, the ACM considered that the positive overall response rate in the target population provides just enough evidence for provisional registration as a last line therapy in patients that have progressed on or are unable to tolerate </w:t>
      </w:r>
      <w:proofErr w:type="spellStart"/>
      <w:r>
        <w:t>lenvatinib</w:t>
      </w:r>
      <w:proofErr w:type="spellEnd"/>
      <w:r>
        <w:t xml:space="preserve"> or sorafenib.</w:t>
      </w:r>
    </w:p>
    <w:p w14:paraId="000003E2" w14:textId="77777777" w:rsidR="00171E65" w:rsidRDefault="001F5E2A">
      <w:pPr>
        <w:numPr>
          <w:ilvl w:val="0"/>
          <w:numId w:val="1"/>
        </w:numPr>
        <w:pBdr>
          <w:top w:val="nil"/>
          <w:left w:val="nil"/>
          <w:bottom w:val="nil"/>
          <w:right w:val="nil"/>
          <w:between w:val="nil"/>
        </w:pBdr>
        <w:spacing w:before="120"/>
        <w:ind w:left="425" w:hanging="425"/>
        <w:rPr>
          <w:b/>
          <w:i/>
          <w:color w:val="000000"/>
        </w:rPr>
      </w:pPr>
      <w:r>
        <w:rPr>
          <w:b/>
          <w:i/>
          <w:color w:val="000000"/>
        </w:rPr>
        <w:t xml:space="preserve">Does ACM support the use of </w:t>
      </w:r>
      <w:proofErr w:type="spellStart"/>
      <w:r>
        <w:rPr>
          <w:b/>
          <w:i/>
          <w:color w:val="000000"/>
        </w:rPr>
        <w:t>pralsetinib</w:t>
      </w:r>
      <w:proofErr w:type="spellEnd"/>
      <w:r>
        <w:rPr>
          <w:b/>
          <w:i/>
          <w:color w:val="000000"/>
        </w:rPr>
        <w:t xml:space="preserve"> in paediatric patients 12 years of age and older with advanced RET-mutant MTC or advanced RET-fusion positive radioactive iodine-refractory thyroid cancer?</w:t>
      </w:r>
    </w:p>
    <w:p w14:paraId="000003E3" w14:textId="77777777" w:rsidR="00171E65" w:rsidRDefault="001F5E2A">
      <w:r>
        <w:t xml:space="preserve">The ACM noted that there was no clinical data on the paediatric patient group aged 12 years and older and does not support the use of </w:t>
      </w:r>
      <w:proofErr w:type="spellStart"/>
      <w:r>
        <w:t>pralsetinib</w:t>
      </w:r>
      <w:proofErr w:type="spellEnd"/>
      <w:r>
        <w:t xml:space="preserve"> in that patient cohort.</w:t>
      </w:r>
    </w:p>
    <w:p w14:paraId="000003E4" w14:textId="77777777" w:rsidR="00171E65" w:rsidRDefault="001F5E2A">
      <w:pPr>
        <w:pStyle w:val="Heading5"/>
      </w:pPr>
      <w:r>
        <w:t>Conclusion</w:t>
      </w:r>
    </w:p>
    <w:p w14:paraId="000003E5" w14:textId="77777777" w:rsidR="00171E65" w:rsidRDefault="001F5E2A">
      <w:r>
        <w:t>The ACM considered this product to have an overall positive benefit-risk profile for the indication:</w:t>
      </w:r>
    </w:p>
    <w:p w14:paraId="000003E6" w14:textId="32AFD5D2" w:rsidR="00965669" w:rsidRDefault="001F5E2A">
      <w:pPr>
        <w:ind w:left="720"/>
        <w:rPr>
          <w:i/>
        </w:rPr>
      </w:pPr>
      <w:proofErr w:type="spellStart"/>
      <w:r>
        <w:rPr>
          <w:i/>
        </w:rPr>
        <w:t>Gavreto</w:t>
      </w:r>
      <w:proofErr w:type="spellEnd"/>
      <w:r>
        <w:rPr>
          <w:i/>
        </w:rPr>
        <w:t xml:space="preserve"> is provisionally indicated for the treatment of adult patients with advanced or metastatic RET-fusion positive thyroid cancer that is refractory to (or unsuitable for) radioactive iodine and who have progressed on or are unable to tolerate </w:t>
      </w:r>
      <w:proofErr w:type="spellStart"/>
      <w:r>
        <w:rPr>
          <w:i/>
        </w:rPr>
        <w:t>lenvatinib</w:t>
      </w:r>
      <w:proofErr w:type="spellEnd"/>
      <w:r>
        <w:rPr>
          <w:i/>
        </w:rPr>
        <w:t xml:space="preserve"> or sorafenib. The decision to approve this indication has been made </w:t>
      </w:r>
      <w:proofErr w:type="gramStart"/>
      <w:r>
        <w:rPr>
          <w:i/>
        </w:rPr>
        <w:t>on the basis of</w:t>
      </w:r>
      <w:proofErr w:type="gramEnd"/>
      <w:r>
        <w:rPr>
          <w:i/>
        </w:rPr>
        <w:t xml:space="preserve"> overall response rate (ORR) and duration of response (DOR). Continued approval of this indication depends on verification and description of benefit in confirmatory trials.</w:t>
      </w:r>
    </w:p>
    <w:p w14:paraId="7E5F8CF7" w14:textId="116DFB4A" w:rsidR="00171E65" w:rsidRDefault="00965669" w:rsidP="00965669">
      <w:pPr>
        <w:rPr>
          <w:i/>
        </w:rPr>
      </w:pPr>
      <w:r>
        <w:rPr>
          <w:i/>
        </w:rPr>
        <w:br w:type="page"/>
      </w:r>
    </w:p>
    <w:p w14:paraId="000003E7" w14:textId="77777777" w:rsidR="00171E65" w:rsidRDefault="001F5E2A">
      <w:pPr>
        <w:pStyle w:val="Heading2"/>
      </w:pPr>
      <w:bookmarkStart w:id="42" w:name="_Toc149213462"/>
      <w:r>
        <w:lastRenderedPageBreak/>
        <w:t>Outcome</w:t>
      </w:r>
      <w:bookmarkEnd w:id="42"/>
    </w:p>
    <w:p w14:paraId="000003E8" w14:textId="598E9F43" w:rsidR="00171E65" w:rsidRDefault="001F5E2A">
      <w:pPr>
        <w:spacing w:after="480"/>
      </w:pPr>
      <w:r>
        <w:t xml:space="preserve">Based on a review of quality, safety, and efficacy, the TGA approved the registration of </w:t>
      </w:r>
      <w:proofErr w:type="spellStart"/>
      <w:r>
        <w:t>Gavreto</w:t>
      </w:r>
      <w:proofErr w:type="spellEnd"/>
      <w:r>
        <w:t xml:space="preserve"> (</w:t>
      </w:r>
      <w:proofErr w:type="spellStart"/>
      <w:r>
        <w:t>pralsetinib</w:t>
      </w:r>
      <w:proofErr w:type="spellEnd"/>
      <w:r>
        <w:t>) strength, 100 mg, capsule, bottle, indicated for:</w:t>
      </w:r>
    </w:p>
    <w:p w14:paraId="000003E9" w14:textId="77777777" w:rsidR="00171E65" w:rsidRDefault="001F5E2A">
      <w:pPr>
        <w:ind w:left="720"/>
        <w:rPr>
          <w:i/>
        </w:rPr>
      </w:pPr>
      <w:r>
        <w:rPr>
          <w:i/>
        </w:rPr>
        <w:t>RET-Fusion Positive Thyroid Cancer</w:t>
      </w:r>
    </w:p>
    <w:p w14:paraId="000003EA" w14:textId="77777777" w:rsidR="00171E65" w:rsidRDefault="001F5E2A">
      <w:pPr>
        <w:ind w:left="720"/>
        <w:rPr>
          <w:i/>
        </w:rPr>
      </w:pPr>
      <w:proofErr w:type="spellStart"/>
      <w:r>
        <w:rPr>
          <w:i/>
        </w:rPr>
        <w:t>Gavreto</w:t>
      </w:r>
      <w:proofErr w:type="spellEnd"/>
      <w:r>
        <w:rPr>
          <w:i/>
        </w:rPr>
        <w:t xml:space="preserve"> has </w:t>
      </w:r>
      <w:r>
        <w:rPr>
          <w:b/>
          <w:i/>
        </w:rPr>
        <w:t>provisional approval</w:t>
      </w:r>
      <w:r>
        <w:rPr>
          <w:i/>
        </w:rPr>
        <w:t xml:space="preserve"> in Australia for the treatment of adult patients with advanced or metastatic RET-fusion positive thyroid cancer that is refractory to (or unsuitable for) radioactive iodine and who have progressed on or are unable to tolerate </w:t>
      </w:r>
      <w:proofErr w:type="spellStart"/>
      <w:r>
        <w:rPr>
          <w:i/>
        </w:rPr>
        <w:t>lenvatinib</w:t>
      </w:r>
      <w:proofErr w:type="spellEnd"/>
      <w:r>
        <w:rPr>
          <w:i/>
        </w:rPr>
        <w:t xml:space="preserve"> or sorafenib. The decision to approve this indication has been made </w:t>
      </w:r>
      <w:proofErr w:type="gramStart"/>
      <w:r>
        <w:rPr>
          <w:i/>
        </w:rPr>
        <w:t>on the basis of</w:t>
      </w:r>
      <w:proofErr w:type="gramEnd"/>
      <w:r>
        <w:rPr>
          <w:i/>
        </w:rPr>
        <w:t xml:space="preserve"> overall response rate (ORR) and duration of response (DOR). Continued approval of this indication depends on verification and description of benefit in confirmatory trials.</w:t>
      </w:r>
    </w:p>
    <w:p w14:paraId="000003EB" w14:textId="77777777" w:rsidR="00171E65" w:rsidRDefault="00171E65">
      <w:pPr>
        <w:ind w:left="720"/>
      </w:pPr>
    </w:p>
    <w:p w14:paraId="000003EC" w14:textId="6BA5C3DD" w:rsidR="00171E65" w:rsidRDefault="001F5E2A">
      <w:pPr>
        <w:spacing w:after="480"/>
      </w:pPr>
      <w:r>
        <w:t>The sponsor withdrew the application for the advanced or metastatic RET-mutant medullary thyroid cancer indication</w:t>
      </w:r>
      <w:r w:rsidR="00756A78">
        <w:t xml:space="preserve"> </w:t>
      </w:r>
      <w:r>
        <w:t>on the 29 June 2023.</w:t>
      </w:r>
    </w:p>
    <w:p w14:paraId="000003ED" w14:textId="77777777" w:rsidR="00171E65" w:rsidRDefault="001F5E2A">
      <w:pPr>
        <w:pStyle w:val="Heading3"/>
      </w:pPr>
      <w:bookmarkStart w:id="43" w:name="_Toc149213463"/>
      <w:r>
        <w:t>Specific conditions of registration applying to these goods</w:t>
      </w:r>
      <w:bookmarkEnd w:id="43"/>
    </w:p>
    <w:p w14:paraId="000003EE" w14:textId="77777777" w:rsidR="00171E65" w:rsidRDefault="001F5E2A">
      <w:pPr>
        <w:numPr>
          <w:ilvl w:val="0"/>
          <w:numId w:val="2"/>
        </w:numPr>
        <w:pBdr>
          <w:top w:val="nil"/>
          <w:left w:val="nil"/>
          <w:bottom w:val="nil"/>
          <w:right w:val="nil"/>
          <w:between w:val="nil"/>
        </w:pBdr>
        <w:spacing w:before="120" w:after="180"/>
      </w:pPr>
      <w:proofErr w:type="spellStart"/>
      <w:r>
        <w:rPr>
          <w:color w:val="000000"/>
        </w:rPr>
        <w:t>Gavreto</w:t>
      </w:r>
      <w:proofErr w:type="spellEnd"/>
      <w:r>
        <w:rPr>
          <w:color w:val="000000"/>
        </w:rPr>
        <w:t xml:space="preserve"> (</w:t>
      </w:r>
      <w:proofErr w:type="spellStart"/>
      <w:r>
        <w:rPr>
          <w:color w:val="000000"/>
        </w:rPr>
        <w:t>pralsetinib</w:t>
      </w:r>
      <w:proofErr w:type="spellEnd"/>
      <w:r>
        <w:rPr>
          <w:color w:val="000000"/>
        </w:rPr>
        <w:t xml:space="preserve">) is to be included in the Black Triangle Scheme. The PI and CMI for </w:t>
      </w:r>
      <w:proofErr w:type="spellStart"/>
      <w:r>
        <w:rPr>
          <w:color w:val="000000"/>
        </w:rPr>
        <w:t>Gavreto</w:t>
      </w:r>
      <w:proofErr w:type="spellEnd"/>
      <w:r>
        <w:rPr>
          <w:color w:val="000000"/>
        </w:rPr>
        <w:t xml:space="preserve"> must include the black triangle symbol and mandatory accompanying text for five years, or the product’s entire period of provisional registration, whichever is longer.</w:t>
      </w:r>
    </w:p>
    <w:p w14:paraId="000003EF" w14:textId="77777777" w:rsidR="00171E65" w:rsidRDefault="001F5E2A">
      <w:pPr>
        <w:numPr>
          <w:ilvl w:val="0"/>
          <w:numId w:val="2"/>
        </w:numPr>
        <w:pBdr>
          <w:top w:val="nil"/>
          <w:left w:val="nil"/>
          <w:bottom w:val="nil"/>
          <w:right w:val="nil"/>
          <w:between w:val="nil"/>
        </w:pBdr>
        <w:spacing w:before="120" w:after="180"/>
      </w:pPr>
      <w:r>
        <w:rPr>
          <w:color w:val="000000"/>
        </w:rPr>
        <w:t xml:space="preserve">The </w:t>
      </w:r>
      <w:proofErr w:type="spellStart"/>
      <w:r>
        <w:rPr>
          <w:color w:val="000000"/>
        </w:rPr>
        <w:t>Gavreto</w:t>
      </w:r>
      <w:proofErr w:type="spellEnd"/>
      <w:r>
        <w:rPr>
          <w:color w:val="000000"/>
        </w:rPr>
        <w:t xml:space="preserve"> EU-RMP (version 1.2, dated 3 February 2022 data lock point January 2022), with ASA (version 1.1, dated 26 August 2022), included with submission PM-2021-05760-1-4; PM-2021-05761-1-4 and PM-2021-05762-1-4, and any subsequent revisions, as agreed with the TGA will be implemented in Australia.</w:t>
      </w:r>
    </w:p>
    <w:p w14:paraId="000003F0" w14:textId="77777777" w:rsidR="00171E65" w:rsidRDefault="001F5E2A">
      <w:pPr>
        <w:numPr>
          <w:ilvl w:val="0"/>
          <w:numId w:val="2"/>
        </w:numPr>
        <w:pBdr>
          <w:top w:val="nil"/>
          <w:left w:val="nil"/>
          <w:bottom w:val="nil"/>
          <w:right w:val="nil"/>
          <w:between w:val="nil"/>
        </w:pBdr>
        <w:spacing w:before="120" w:after="180"/>
      </w:pPr>
      <w:r>
        <w:rPr>
          <w:color w:val="000000"/>
        </w:rPr>
        <w:t xml:space="preserve">An obligatory component of risk management plans is routine pharmacovigilance. Routine pharmacovigilance includes the submission of periodic safety update reports (PSURs). </w:t>
      </w:r>
    </w:p>
    <w:p w14:paraId="000003F1" w14:textId="77777777" w:rsidR="00171E65" w:rsidRDefault="001F5E2A">
      <w:pPr>
        <w:numPr>
          <w:ilvl w:val="0"/>
          <w:numId w:val="2"/>
        </w:numPr>
        <w:pBdr>
          <w:top w:val="nil"/>
          <w:left w:val="nil"/>
          <w:bottom w:val="nil"/>
          <w:right w:val="nil"/>
          <w:between w:val="nil"/>
        </w:pBdr>
        <w:spacing w:before="120" w:after="180"/>
      </w:pPr>
      <w:r>
        <w:rPr>
          <w:color w:val="000000"/>
        </w:rP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or the entire period of provisional registration, whichever is longer.</w:t>
      </w:r>
    </w:p>
    <w:p w14:paraId="000003F2" w14:textId="77777777" w:rsidR="00171E65" w:rsidRDefault="001F5E2A">
      <w:pPr>
        <w:numPr>
          <w:ilvl w:val="0"/>
          <w:numId w:val="2"/>
        </w:numPr>
        <w:pBdr>
          <w:top w:val="nil"/>
          <w:left w:val="nil"/>
          <w:bottom w:val="nil"/>
          <w:right w:val="nil"/>
          <w:between w:val="nil"/>
        </w:pBdr>
        <w:spacing w:before="120" w:after="180"/>
      </w:pPr>
      <w:r>
        <w:rPr>
          <w:color w:val="000000"/>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000003F3" w14:textId="77777777" w:rsidR="00171E65" w:rsidRDefault="001F5E2A">
      <w:pPr>
        <w:numPr>
          <w:ilvl w:val="0"/>
          <w:numId w:val="2"/>
        </w:numPr>
        <w:pBdr>
          <w:top w:val="nil"/>
          <w:left w:val="nil"/>
          <w:bottom w:val="nil"/>
          <w:right w:val="nil"/>
          <w:between w:val="nil"/>
        </w:pBdr>
        <w:spacing w:before="120" w:after="180"/>
      </w:pPr>
      <w:r>
        <w:rPr>
          <w:color w:val="000000"/>
        </w:rPr>
        <w:t>Longer follow up of efficacy evaluable patients from the relevant cohorts of ARROW trial (Study BLU-667-1101).</w:t>
      </w:r>
    </w:p>
    <w:p w14:paraId="000003F4" w14:textId="77777777" w:rsidR="00171E65" w:rsidRDefault="001F5E2A">
      <w:pPr>
        <w:numPr>
          <w:ilvl w:val="0"/>
          <w:numId w:val="2"/>
        </w:numPr>
        <w:pBdr>
          <w:top w:val="nil"/>
          <w:left w:val="nil"/>
          <w:bottom w:val="nil"/>
          <w:right w:val="nil"/>
          <w:between w:val="nil"/>
        </w:pBdr>
        <w:spacing w:before="120" w:after="180"/>
      </w:pPr>
      <w:r>
        <w:rPr>
          <w:color w:val="000000"/>
        </w:rPr>
        <w:t xml:space="preserve">Submit the final report of integrated datasets, to verify and further characterise the clinical benefit of </w:t>
      </w:r>
      <w:proofErr w:type="spellStart"/>
      <w:r>
        <w:rPr>
          <w:color w:val="000000"/>
        </w:rPr>
        <w:t>pralsetinib</w:t>
      </w:r>
      <w:proofErr w:type="spellEnd"/>
      <w:r>
        <w:rPr>
          <w:color w:val="000000"/>
        </w:rPr>
        <w:t xml:space="preserve"> for the treatment of patients with RET fusion-positive thyroid cancer who have received radioactive iodine (if appropriate for their tumour histology) to provide a more precise estimation of the BICR-assessed overall response rate and duration of response </w:t>
      </w:r>
      <w:r>
        <w:rPr>
          <w:color w:val="000000"/>
        </w:rPr>
        <w:lastRenderedPageBreak/>
        <w:t xml:space="preserve">in at least 50 patients in a variety of </w:t>
      </w:r>
      <w:proofErr w:type="spellStart"/>
      <w:r>
        <w:rPr>
          <w:color w:val="000000"/>
        </w:rPr>
        <w:t>histologies</w:t>
      </w:r>
      <w:proofErr w:type="spellEnd"/>
      <w:r>
        <w:rPr>
          <w:color w:val="000000"/>
        </w:rPr>
        <w:t xml:space="preserve"> after all responding patients have been followed for 12 months following onset of response of until disease progression, whichever comes first.</w:t>
      </w:r>
    </w:p>
    <w:p w14:paraId="000003F5" w14:textId="77777777" w:rsidR="00171E65" w:rsidRDefault="001F5E2A">
      <w:pPr>
        <w:numPr>
          <w:ilvl w:val="0"/>
          <w:numId w:val="2"/>
        </w:numPr>
        <w:pBdr>
          <w:top w:val="nil"/>
          <w:left w:val="nil"/>
          <w:bottom w:val="nil"/>
          <w:right w:val="nil"/>
          <w:between w:val="nil"/>
        </w:pBdr>
        <w:spacing w:before="120" w:after="180"/>
      </w:pPr>
      <w:r>
        <w:rPr>
          <w:color w:val="000000"/>
        </w:rPr>
        <w:t xml:space="preserve">Comprehensive analysis evaluating and characterising the incidence, clinical presentation, </w:t>
      </w:r>
      <w:proofErr w:type="gramStart"/>
      <w:r>
        <w:rPr>
          <w:color w:val="000000"/>
        </w:rPr>
        <w:t>management</w:t>
      </w:r>
      <w:proofErr w:type="gramEnd"/>
      <w:r>
        <w:rPr>
          <w:color w:val="000000"/>
        </w:rPr>
        <w:t xml:space="preserve"> and outcome of the potential serious risk of </w:t>
      </w:r>
      <w:proofErr w:type="spellStart"/>
      <w:r>
        <w:rPr>
          <w:color w:val="000000"/>
        </w:rPr>
        <w:t>pralsetinib</w:t>
      </w:r>
      <w:proofErr w:type="spellEnd"/>
      <w:r>
        <w:rPr>
          <w:color w:val="000000"/>
        </w:rPr>
        <w:t xml:space="preserve"> associated gastrointestinal perforations and fistulas. Submit an integrated final report containing data from patient-level and pooled analyses of ongoing and completed clinical trials, post-marketing reports and/or literature reports and a comprehensive pharmacovigilance assessment for this risk.</w:t>
      </w:r>
    </w:p>
    <w:p w14:paraId="000003F6" w14:textId="77777777" w:rsidR="00171E65" w:rsidRDefault="001F5E2A">
      <w:pPr>
        <w:numPr>
          <w:ilvl w:val="0"/>
          <w:numId w:val="2"/>
        </w:numPr>
        <w:pBdr>
          <w:top w:val="nil"/>
          <w:left w:val="nil"/>
          <w:bottom w:val="nil"/>
          <w:right w:val="nil"/>
          <w:between w:val="nil"/>
        </w:pBdr>
        <w:spacing w:before="120" w:after="180"/>
      </w:pPr>
      <w:r>
        <w:rPr>
          <w:color w:val="000000"/>
        </w:rPr>
        <w:t xml:space="preserve">Conduct a hepatic impairment clinical trial to evaluate the pharmacokinetics and safety of </w:t>
      </w:r>
      <w:proofErr w:type="spellStart"/>
      <w:r>
        <w:rPr>
          <w:color w:val="000000"/>
        </w:rPr>
        <w:t>pralsetinib</w:t>
      </w:r>
      <w:proofErr w:type="spellEnd"/>
      <w:r>
        <w:rPr>
          <w:color w:val="000000"/>
        </w:rPr>
        <w:t xml:space="preserve"> in subjects with moderate and severe hepatic impairment compared to subjects with normal hepatic function. Design and conduct the trial in accordance with FDA guidance and submit the datasets with the final report.</w:t>
      </w:r>
    </w:p>
    <w:p w14:paraId="000003F7" w14:textId="27FB5700" w:rsidR="00171E65" w:rsidRDefault="001F5E2A">
      <w:pPr>
        <w:numPr>
          <w:ilvl w:val="0"/>
          <w:numId w:val="2"/>
        </w:numPr>
        <w:pBdr>
          <w:top w:val="nil"/>
          <w:left w:val="nil"/>
          <w:bottom w:val="nil"/>
          <w:right w:val="nil"/>
          <w:between w:val="nil"/>
        </w:pBdr>
        <w:spacing w:before="120" w:after="180"/>
      </w:pPr>
      <w:r>
        <w:rPr>
          <w:color w:val="000000"/>
        </w:rPr>
        <w:t xml:space="preserve">Conduct a clinical drug-drug interaction study to evaluate the effect </w:t>
      </w:r>
      <w:sdt>
        <w:sdtPr>
          <w:tag w:val="goog_rdk_151"/>
          <w:id w:val="1270050897"/>
        </w:sdtPr>
        <w:sdtEndPr/>
        <w:sdtContent/>
      </w:sdt>
      <w:r>
        <w:rPr>
          <w:color w:val="000000"/>
        </w:rPr>
        <w:t>of a P-</w:t>
      </w:r>
      <w:proofErr w:type="spellStart"/>
      <w:r>
        <w:rPr>
          <w:color w:val="000000"/>
        </w:rPr>
        <w:t>gp</w:t>
      </w:r>
      <w:proofErr w:type="spellEnd"/>
      <w:r>
        <w:rPr>
          <w:color w:val="000000"/>
        </w:rPr>
        <w:t xml:space="preserve"> inhibitor on the pharmacokinetics of </w:t>
      </w:r>
      <w:proofErr w:type="spellStart"/>
      <w:r>
        <w:rPr>
          <w:color w:val="000000"/>
        </w:rPr>
        <w:t>pralsetinib</w:t>
      </w:r>
      <w:proofErr w:type="spellEnd"/>
      <w:r>
        <w:rPr>
          <w:color w:val="000000"/>
        </w:rPr>
        <w:t xml:space="preserve"> and to inform appropriate dosing strategies for safe co-administration of </w:t>
      </w:r>
      <w:proofErr w:type="spellStart"/>
      <w:r>
        <w:rPr>
          <w:color w:val="000000"/>
        </w:rPr>
        <w:t>pralsetinib</w:t>
      </w:r>
      <w:proofErr w:type="spellEnd"/>
      <w:r>
        <w:rPr>
          <w:color w:val="000000"/>
        </w:rPr>
        <w:t xml:space="preserve"> with P-</w:t>
      </w:r>
      <w:proofErr w:type="spellStart"/>
      <w:r>
        <w:rPr>
          <w:color w:val="000000"/>
        </w:rPr>
        <w:t>gp</w:t>
      </w:r>
      <w:proofErr w:type="spellEnd"/>
      <w:r>
        <w:rPr>
          <w:color w:val="000000"/>
        </w:rPr>
        <w:t xml:space="preserve"> inhibitors. Design and conduct the trial in accordance with FDA guidance and submit the datasets with the final report.</w:t>
      </w:r>
    </w:p>
    <w:p w14:paraId="000003F8" w14:textId="77777777" w:rsidR="00171E65" w:rsidRDefault="001F5E2A">
      <w:pPr>
        <w:numPr>
          <w:ilvl w:val="0"/>
          <w:numId w:val="2"/>
        </w:numPr>
        <w:pBdr>
          <w:top w:val="nil"/>
          <w:left w:val="nil"/>
          <w:bottom w:val="nil"/>
          <w:right w:val="nil"/>
          <w:between w:val="nil"/>
        </w:pBdr>
        <w:spacing w:before="120" w:after="180"/>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 xml:space="preserve">/simulation study to evaluate the effect of repeat doses of a moderate CYP3A inhibitor on the pharmacokinetics of </w:t>
      </w:r>
      <w:proofErr w:type="spellStart"/>
      <w:r>
        <w:rPr>
          <w:color w:val="000000"/>
        </w:rPr>
        <w:t>pralsetinib</w:t>
      </w:r>
      <w:proofErr w:type="spellEnd"/>
      <w:r>
        <w:rPr>
          <w:color w:val="000000"/>
        </w:rPr>
        <w:t xml:space="preserve">, assess the magnitude of increased </w:t>
      </w:r>
      <w:proofErr w:type="spellStart"/>
      <w:r>
        <w:rPr>
          <w:color w:val="000000"/>
        </w:rPr>
        <w:t>pralsetinib</w:t>
      </w:r>
      <w:proofErr w:type="spellEnd"/>
      <w:r>
        <w:rPr>
          <w:color w:val="000000"/>
        </w:rPr>
        <w:t xml:space="preserve"> exposure, and inform appropriate dosing strategies for safe co-administration of </w:t>
      </w:r>
      <w:proofErr w:type="spellStart"/>
      <w:r>
        <w:rPr>
          <w:color w:val="000000"/>
        </w:rPr>
        <w:t>pralsetinib</w:t>
      </w:r>
      <w:proofErr w:type="spellEnd"/>
      <w:r>
        <w:rPr>
          <w:color w:val="000000"/>
        </w:rPr>
        <w:t xml:space="preserve"> with moderate CYP3A inhibitors. Design and conduct the trial in accordance with FDA guidance, and submit the model with the final report.</w:t>
      </w:r>
    </w:p>
    <w:p w14:paraId="000003F9" w14:textId="77777777" w:rsidR="00171E65" w:rsidRDefault="001F5E2A">
      <w:pPr>
        <w:numPr>
          <w:ilvl w:val="0"/>
          <w:numId w:val="2"/>
        </w:numPr>
        <w:pBdr>
          <w:top w:val="nil"/>
          <w:left w:val="nil"/>
          <w:bottom w:val="nil"/>
          <w:right w:val="nil"/>
          <w:between w:val="nil"/>
        </w:pBdr>
        <w:spacing w:before="120" w:after="180"/>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/simulation study to evaluate the effect of repeat doses of a combined P-</w:t>
      </w:r>
      <w:proofErr w:type="spellStart"/>
      <w:r>
        <w:rPr>
          <w:color w:val="000000"/>
        </w:rPr>
        <w:t>gp</w:t>
      </w:r>
      <w:proofErr w:type="spellEnd"/>
      <w:r>
        <w:rPr>
          <w:color w:val="000000"/>
        </w:rPr>
        <w:t xml:space="preserve"> and moderate CYP3A inhibitor on the pharmacokinetics of </w:t>
      </w:r>
      <w:proofErr w:type="spellStart"/>
      <w:r>
        <w:rPr>
          <w:color w:val="000000"/>
        </w:rPr>
        <w:t>pralsetinib</w:t>
      </w:r>
      <w:proofErr w:type="spellEnd"/>
      <w:r>
        <w:rPr>
          <w:color w:val="000000"/>
        </w:rPr>
        <w:t xml:space="preserve">, assess the magnitude of increased </w:t>
      </w:r>
      <w:proofErr w:type="spellStart"/>
      <w:r>
        <w:rPr>
          <w:color w:val="000000"/>
        </w:rPr>
        <w:t>pralsetinib</w:t>
      </w:r>
      <w:proofErr w:type="spellEnd"/>
      <w:r>
        <w:rPr>
          <w:color w:val="000000"/>
        </w:rPr>
        <w:t xml:space="preserve"> exposure, and inform appropriate dosing strategies for safe co-administration of </w:t>
      </w:r>
      <w:proofErr w:type="spellStart"/>
      <w:r>
        <w:rPr>
          <w:color w:val="000000"/>
        </w:rPr>
        <w:t>pralsetinib</w:t>
      </w:r>
      <w:proofErr w:type="spellEnd"/>
      <w:r>
        <w:rPr>
          <w:color w:val="000000"/>
        </w:rPr>
        <w:t xml:space="preserve"> with combined P-</w:t>
      </w:r>
      <w:proofErr w:type="spellStart"/>
      <w:r>
        <w:rPr>
          <w:color w:val="000000"/>
        </w:rPr>
        <w:t>gp</w:t>
      </w:r>
      <w:proofErr w:type="spellEnd"/>
      <w:r>
        <w:rPr>
          <w:color w:val="000000"/>
        </w:rPr>
        <w:t xml:space="preserve"> and moderate CYP3A inhibitors. Design and conduct the trial in accordance with FDA guidance, and submit the model with the final report.</w:t>
      </w:r>
    </w:p>
    <w:p w14:paraId="000003FA" w14:textId="77777777" w:rsidR="00171E65" w:rsidRDefault="001F5E2A">
      <w:pPr>
        <w:numPr>
          <w:ilvl w:val="0"/>
          <w:numId w:val="2"/>
        </w:numPr>
        <w:pBdr>
          <w:top w:val="nil"/>
          <w:left w:val="nil"/>
          <w:bottom w:val="nil"/>
          <w:right w:val="nil"/>
          <w:between w:val="nil"/>
        </w:pBdr>
        <w:spacing w:before="120" w:after="180"/>
      </w:pPr>
      <w:r>
        <w:rPr>
          <w:color w:val="000000"/>
        </w:rPr>
        <w:t xml:space="preserve">Conduct a clinical drug interaction study to evaluate the effect of repeat doses of </w:t>
      </w:r>
      <w:proofErr w:type="spellStart"/>
      <w:r>
        <w:rPr>
          <w:color w:val="000000"/>
        </w:rPr>
        <w:t>pralsetinib</w:t>
      </w:r>
      <w:proofErr w:type="spellEnd"/>
      <w:r>
        <w:rPr>
          <w:color w:val="000000"/>
        </w:rPr>
        <w:t xml:space="preserve"> on the pharmacokinetics of transporter substrates of P-</w:t>
      </w:r>
      <w:proofErr w:type="spellStart"/>
      <w:r>
        <w:rPr>
          <w:color w:val="000000"/>
        </w:rPr>
        <w:t>gp</w:t>
      </w:r>
      <w:proofErr w:type="spellEnd"/>
      <w:r>
        <w:rPr>
          <w:color w:val="000000"/>
        </w:rPr>
        <w:t xml:space="preserve">, BCRP, OATP1B1, OATP1B3, MATE-1 and MATE-2K, assess the magnitude of exposure change, and inform appropriate dosing strategies for co-administration of </w:t>
      </w:r>
      <w:proofErr w:type="spellStart"/>
      <w:r>
        <w:rPr>
          <w:color w:val="000000"/>
        </w:rPr>
        <w:t>pralsetinib</w:t>
      </w:r>
      <w:proofErr w:type="spellEnd"/>
      <w:r>
        <w:rPr>
          <w:color w:val="000000"/>
        </w:rPr>
        <w:t xml:space="preserve"> with these transporter substrates. Design and conduct the trial in accordance with FDA guidance, and submit the datasets with the final report.</w:t>
      </w:r>
    </w:p>
    <w:p w14:paraId="000003FB" w14:textId="77777777" w:rsidR="00171E65" w:rsidRDefault="001F5E2A">
      <w:pPr>
        <w:numPr>
          <w:ilvl w:val="0"/>
          <w:numId w:val="2"/>
        </w:numPr>
        <w:pBdr>
          <w:top w:val="nil"/>
          <w:left w:val="nil"/>
          <w:bottom w:val="nil"/>
          <w:right w:val="nil"/>
          <w:between w:val="nil"/>
        </w:pBdr>
        <w:spacing w:before="120" w:after="180"/>
      </w:pPr>
      <w:r>
        <w:rPr>
          <w:color w:val="000000"/>
        </w:rPr>
        <w:t xml:space="preserve">Conduct a clinical drug interaction study to evaluate the effect of repeat doses of </w:t>
      </w:r>
      <w:proofErr w:type="spellStart"/>
      <w:r>
        <w:rPr>
          <w:color w:val="000000"/>
        </w:rPr>
        <w:t>pralsetinib</w:t>
      </w:r>
      <w:proofErr w:type="spellEnd"/>
      <w:r>
        <w:rPr>
          <w:color w:val="000000"/>
        </w:rPr>
        <w:t xml:space="preserve"> on the pharmacokinetics of sensitive substrates of CYP3A4/5, CYP2C8, and CYP2C9, assess the magnitude of exposure change, and inform appropriate dosing strategies for safe co-administration of </w:t>
      </w:r>
      <w:proofErr w:type="spellStart"/>
      <w:r>
        <w:rPr>
          <w:color w:val="000000"/>
        </w:rPr>
        <w:t>pralsetinib</w:t>
      </w:r>
      <w:proofErr w:type="spellEnd"/>
      <w:r>
        <w:rPr>
          <w:color w:val="000000"/>
        </w:rPr>
        <w:t xml:space="preserve"> with sensitive substrates of CYP3A4/5, CYP2C8 and CYP2C9. Design and conduct the trial in accordance with FDA guidance, and submit the datasets with the final report.</w:t>
      </w:r>
    </w:p>
    <w:p w14:paraId="000003FC" w14:textId="282680E6" w:rsidR="00965669" w:rsidRDefault="001F5E2A">
      <w:pPr>
        <w:numPr>
          <w:ilvl w:val="0"/>
          <w:numId w:val="2"/>
        </w:numPr>
        <w:pBdr>
          <w:top w:val="nil"/>
          <w:left w:val="nil"/>
          <w:bottom w:val="nil"/>
          <w:right w:val="nil"/>
          <w:between w:val="nil"/>
        </w:pBdr>
        <w:spacing w:before="120" w:after="180"/>
        <w:rPr>
          <w:color w:val="000000"/>
        </w:rPr>
      </w:pPr>
      <w:r>
        <w:rPr>
          <w:color w:val="000000"/>
        </w:rPr>
        <w:t xml:space="preserve">Conduct a </w:t>
      </w:r>
      <w:proofErr w:type="gramStart"/>
      <w:r>
        <w:rPr>
          <w:color w:val="000000"/>
        </w:rPr>
        <w:t>physiologically-based</w:t>
      </w:r>
      <w:proofErr w:type="gramEnd"/>
      <w:r>
        <w:rPr>
          <w:color w:val="000000"/>
        </w:rPr>
        <w:t xml:space="preserve"> pharmacokinetic </w:t>
      </w:r>
      <w:proofErr w:type="spellStart"/>
      <w:r>
        <w:rPr>
          <w:color w:val="000000"/>
        </w:rPr>
        <w:t>modeling</w:t>
      </w:r>
      <w:proofErr w:type="spellEnd"/>
      <w:r>
        <w:rPr>
          <w:color w:val="000000"/>
        </w:rPr>
        <w:t xml:space="preserve">/simulation study to evaluate the effect of repeat doses of a moderate CYP3A inducer on the pharmacokinetics of </w:t>
      </w:r>
      <w:proofErr w:type="spellStart"/>
      <w:r>
        <w:rPr>
          <w:color w:val="000000"/>
        </w:rPr>
        <w:t>pralsetinib</w:t>
      </w:r>
      <w:proofErr w:type="spellEnd"/>
      <w:r>
        <w:rPr>
          <w:color w:val="000000"/>
        </w:rPr>
        <w:t xml:space="preserve">, assess the magnitude of decreased </w:t>
      </w:r>
      <w:proofErr w:type="spellStart"/>
      <w:r>
        <w:rPr>
          <w:color w:val="000000"/>
        </w:rPr>
        <w:t>pralsetinib</w:t>
      </w:r>
      <w:proofErr w:type="spellEnd"/>
      <w:r>
        <w:rPr>
          <w:color w:val="000000"/>
        </w:rPr>
        <w:t xml:space="preserve"> exposure, and inform appropriate dosing strategies for co-administration of </w:t>
      </w:r>
      <w:proofErr w:type="spellStart"/>
      <w:r>
        <w:rPr>
          <w:color w:val="000000"/>
        </w:rPr>
        <w:t>pralsetinib</w:t>
      </w:r>
      <w:proofErr w:type="spellEnd"/>
      <w:r>
        <w:rPr>
          <w:color w:val="000000"/>
        </w:rPr>
        <w:t xml:space="preserve"> with moderate CYP3A inducers. Design and </w:t>
      </w:r>
      <w:r>
        <w:rPr>
          <w:color w:val="000000"/>
        </w:rPr>
        <w:lastRenderedPageBreak/>
        <w:t>conduct the trial in accordance with FDA guidance, and submit the model with the final report.</w:t>
      </w:r>
    </w:p>
    <w:p w14:paraId="2391B702" w14:textId="71B41C64" w:rsidR="00171E65" w:rsidRPr="00965669" w:rsidRDefault="00965669" w:rsidP="00965669">
      <w:pPr>
        <w:rPr>
          <w:color w:val="000000"/>
        </w:rPr>
      </w:pPr>
      <w:r>
        <w:rPr>
          <w:color w:val="000000"/>
        </w:rPr>
        <w:br w:type="page"/>
      </w:r>
    </w:p>
    <w:p w14:paraId="000003FD" w14:textId="77777777" w:rsidR="00171E65" w:rsidRDefault="001F5E2A">
      <w:pPr>
        <w:pStyle w:val="Heading2"/>
      </w:pPr>
      <w:bookmarkStart w:id="44" w:name="_Toc149213464"/>
      <w:r>
        <w:lastRenderedPageBreak/>
        <w:t>Attachment 1. Product Information</w:t>
      </w:r>
      <w:bookmarkEnd w:id="44"/>
    </w:p>
    <w:p w14:paraId="000003FE" w14:textId="3491DC5A" w:rsidR="00171E65" w:rsidRDefault="001F5E2A">
      <w:pPr>
        <w:sectPr w:rsidR="00171E65">
          <w:headerReference w:type="default" r:id="rId33"/>
          <w:footerReference w:type="default" r:id="rId34"/>
          <w:pgSz w:w="11906" w:h="16838"/>
          <w:pgMar w:top="1134" w:right="1418" w:bottom="1361" w:left="1418" w:header="573" w:footer="567" w:gutter="0"/>
          <w:cols w:space="720"/>
        </w:sectPr>
      </w:pPr>
      <w:r>
        <w:t xml:space="preserve">The PI for </w:t>
      </w:r>
      <w:proofErr w:type="spellStart"/>
      <w:r>
        <w:t>Gavreto</w:t>
      </w:r>
      <w:proofErr w:type="spellEnd"/>
      <w:r>
        <w:t xml:space="preserve"> approved with the submission which is described in this </w:t>
      </w:r>
      <w:proofErr w:type="spellStart"/>
      <w:r>
        <w:t>AusPAR</w:t>
      </w:r>
      <w:proofErr w:type="spellEnd"/>
      <w:r>
        <w:t xml:space="preserve"> is at Attachment 1. For the most recent PI, please refer to the TGA </w:t>
      </w:r>
      <w:hyperlink r:id="rId35">
        <w:r>
          <w:rPr>
            <w:color w:val="0000FF"/>
            <w:u w:val="single"/>
          </w:rPr>
          <w:t>PI/CMI search facility.</w:t>
        </w:r>
      </w:hyperlink>
      <w:r>
        <w:br w:type="page"/>
      </w:r>
    </w:p>
    <w:tbl>
      <w:tblPr>
        <w:tblStyle w:val="a7"/>
        <w:tblW w:w="9145" w:type="dxa"/>
        <w:jc w:val="center"/>
        <w:tblLayout w:type="fixed"/>
        <w:tblLook w:val="0400" w:firstRow="0" w:lastRow="0" w:firstColumn="0" w:lastColumn="0" w:noHBand="0" w:noVBand="1"/>
      </w:tblPr>
      <w:tblGrid>
        <w:gridCol w:w="9145"/>
      </w:tblGrid>
      <w:tr w:rsidR="00171E65" w14:paraId="268CC2C7" w14:textId="77777777">
        <w:trPr>
          <w:trHeight w:val="565"/>
          <w:jc w:val="center"/>
        </w:trPr>
        <w:tc>
          <w:tcPr>
            <w:tcW w:w="9145" w:type="dxa"/>
          </w:tcPr>
          <w:p w14:paraId="00000400" w14:textId="77777777" w:rsidR="00171E65" w:rsidRDefault="001F5E2A">
            <w:pPr>
              <w:pBdr>
                <w:top w:val="nil"/>
                <w:left w:val="nil"/>
                <w:bottom w:val="nil"/>
                <w:right w:val="nil"/>
                <w:between w:val="nil"/>
              </w:pBdr>
              <w:spacing w:before="120" w:after="360"/>
              <w:jc w:val="center"/>
              <w:rPr>
                <w:rFonts w:ascii="Arial" w:eastAsia="Arial" w:hAnsi="Arial" w:cs="Arial"/>
                <w:b/>
                <w:color w:val="333F48"/>
                <w:sz w:val="28"/>
                <w:szCs w:val="28"/>
              </w:rPr>
            </w:pPr>
            <w:r>
              <w:rPr>
                <w:rFonts w:ascii="Arial" w:eastAsia="Arial" w:hAnsi="Arial" w:cs="Arial"/>
                <w:b/>
                <w:color w:val="333F48"/>
                <w:sz w:val="28"/>
                <w:szCs w:val="28"/>
              </w:rPr>
              <w:lastRenderedPageBreak/>
              <w:t>Therapeutic Goods Administration</w:t>
            </w:r>
          </w:p>
        </w:tc>
      </w:tr>
      <w:tr w:rsidR="00171E65" w14:paraId="01191401" w14:textId="77777777">
        <w:trPr>
          <w:trHeight w:val="963"/>
          <w:jc w:val="center"/>
        </w:trPr>
        <w:tc>
          <w:tcPr>
            <w:tcW w:w="9145" w:type="dxa"/>
            <w:tcMar>
              <w:top w:w="28" w:type="dxa"/>
            </w:tcMar>
          </w:tcPr>
          <w:p w14:paraId="00000401" w14:textId="77777777" w:rsidR="00171E65" w:rsidRDefault="001F5E2A">
            <w:pPr>
              <w:pBdr>
                <w:top w:val="nil"/>
                <w:left w:val="nil"/>
                <w:bottom w:val="nil"/>
                <w:right w:val="nil"/>
                <w:between w:val="nil"/>
              </w:pBdr>
              <w:spacing w:after="0" w:line="240" w:lineRule="auto"/>
              <w:jc w:val="center"/>
              <w:rPr>
                <w:rFonts w:ascii="Arial" w:eastAsia="Arial" w:hAnsi="Arial" w:cs="Arial"/>
                <w:color w:val="333F48"/>
                <w:sz w:val="21"/>
                <w:szCs w:val="21"/>
              </w:rPr>
            </w:pPr>
            <w:r>
              <w:rPr>
                <w:rFonts w:ascii="Arial" w:eastAsia="Arial" w:hAnsi="Arial" w:cs="Arial"/>
                <w:color w:val="333F48"/>
                <w:sz w:val="21"/>
                <w:szCs w:val="21"/>
              </w:rPr>
              <w:t>PO Box 100 Woden ACT 2606 Australia</w:t>
            </w:r>
          </w:p>
          <w:p w14:paraId="00000402" w14:textId="779EC579" w:rsidR="00171E65" w:rsidRDefault="001F5E2A">
            <w:pPr>
              <w:pBdr>
                <w:top w:val="nil"/>
                <w:left w:val="nil"/>
                <w:bottom w:val="nil"/>
                <w:right w:val="nil"/>
                <w:between w:val="nil"/>
              </w:pBdr>
              <w:spacing w:after="0" w:line="240" w:lineRule="auto"/>
              <w:jc w:val="center"/>
              <w:rPr>
                <w:rFonts w:ascii="Arial" w:eastAsia="Arial" w:hAnsi="Arial" w:cs="Arial"/>
                <w:color w:val="333F48"/>
              </w:rPr>
            </w:pPr>
            <w:r>
              <w:rPr>
                <w:rFonts w:ascii="Arial" w:eastAsia="Arial" w:hAnsi="Arial" w:cs="Arial"/>
                <w:color w:val="333F48"/>
                <w:sz w:val="21"/>
                <w:szCs w:val="21"/>
              </w:rPr>
              <w:t xml:space="preserve">Email: </w:t>
            </w:r>
            <w:hyperlink r:id="rId36">
              <w:r>
                <w:rPr>
                  <w:color w:val="0000FF"/>
                  <w:sz w:val="21"/>
                  <w:szCs w:val="21"/>
                  <w:u w:val="single"/>
                </w:rPr>
                <w:t>info@tga.gov.au</w:t>
              </w:r>
            </w:hyperlink>
            <w:r>
              <w:rPr>
                <w:rFonts w:ascii="Arial" w:eastAsia="Arial" w:hAnsi="Arial" w:cs="Arial"/>
                <w:color w:val="333F48"/>
                <w:sz w:val="21"/>
                <w:szCs w:val="21"/>
              </w:rPr>
              <w:t xml:space="preserve">  Phone: 1800 020 </w:t>
            </w:r>
            <w:proofErr w:type="gramStart"/>
            <w:r>
              <w:rPr>
                <w:rFonts w:ascii="Arial" w:eastAsia="Arial" w:hAnsi="Arial" w:cs="Arial"/>
                <w:color w:val="333F48"/>
                <w:sz w:val="21"/>
                <w:szCs w:val="21"/>
              </w:rPr>
              <w:t>653  Fax</w:t>
            </w:r>
            <w:proofErr w:type="gramEnd"/>
            <w:r>
              <w:rPr>
                <w:rFonts w:ascii="Arial" w:eastAsia="Arial" w:hAnsi="Arial" w:cs="Arial"/>
                <w:color w:val="333F48"/>
                <w:sz w:val="21"/>
                <w:szCs w:val="21"/>
              </w:rPr>
              <w:t>: 02 6203 1605</w:t>
            </w:r>
          </w:p>
          <w:p w14:paraId="00000403" w14:textId="2F016640" w:rsidR="00171E65" w:rsidRDefault="009F791C">
            <w:pPr>
              <w:pBdr>
                <w:top w:val="nil"/>
                <w:left w:val="nil"/>
                <w:bottom w:val="nil"/>
                <w:right w:val="nil"/>
                <w:between w:val="nil"/>
              </w:pBdr>
              <w:spacing w:after="0" w:line="240" w:lineRule="auto"/>
              <w:jc w:val="center"/>
              <w:rPr>
                <w:b/>
                <w:color w:val="000000"/>
                <w:u w:val="single"/>
              </w:rPr>
            </w:pPr>
            <w:hyperlink r:id="rId37">
              <w:r w:rsidR="001F5E2A">
                <w:rPr>
                  <w:b/>
                  <w:color w:val="0000FF"/>
                  <w:sz w:val="21"/>
                  <w:szCs w:val="21"/>
                  <w:u w:val="single"/>
                </w:rPr>
                <w:t>https://www.tga.gov.au</w:t>
              </w:r>
            </w:hyperlink>
          </w:p>
        </w:tc>
      </w:tr>
    </w:tbl>
    <w:p w14:paraId="00000405" w14:textId="77777777" w:rsidR="00171E65" w:rsidRDefault="00171E65" w:rsidP="00965669"/>
    <w:sectPr w:rsidR="00171E65">
      <w:headerReference w:type="first" r:id="rId38"/>
      <w:footerReference w:type="first" r:id="rId39"/>
      <w:pgSz w:w="11906" w:h="16838"/>
      <w:pgMar w:top="13571" w:right="1701" w:bottom="567" w:left="1701" w:header="1134" w:footer="7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9800" w14:textId="77777777" w:rsidR="00391098" w:rsidRDefault="00391098">
      <w:pPr>
        <w:spacing w:after="0" w:line="240" w:lineRule="auto"/>
      </w:pPr>
      <w:r>
        <w:separator/>
      </w:r>
    </w:p>
  </w:endnote>
  <w:endnote w:type="continuationSeparator" w:id="0">
    <w:p w14:paraId="199DDEAB" w14:textId="77777777" w:rsidR="00391098" w:rsidRDefault="0039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D" w14:textId="77777777" w:rsidR="001F5E2A" w:rsidRDefault="001F5E2A">
    <w:pPr>
      <w:widowControl w:val="0"/>
      <w:pBdr>
        <w:top w:val="nil"/>
        <w:left w:val="nil"/>
        <w:bottom w:val="nil"/>
        <w:right w:val="nil"/>
        <w:between w:val="nil"/>
      </w:pBdr>
      <w:spacing w:after="0" w:line="276" w:lineRule="auto"/>
      <w:rPr>
        <w:color w:val="333F4A"/>
        <w:sz w:val="17"/>
        <w:szCs w:val="17"/>
      </w:rPr>
    </w:pPr>
  </w:p>
  <w:tbl>
    <w:tblPr>
      <w:tblStyle w:val="a9"/>
      <w:tblW w:w="8720" w:type="dxa"/>
      <w:tblBorders>
        <w:top w:val="nil"/>
        <w:left w:val="nil"/>
        <w:bottom w:val="nil"/>
        <w:right w:val="nil"/>
        <w:insideH w:val="nil"/>
        <w:insideV w:val="nil"/>
      </w:tblBorders>
      <w:tblLayout w:type="fixed"/>
      <w:tblLook w:val="0400" w:firstRow="0" w:lastRow="0" w:firstColumn="0" w:lastColumn="0" w:noHBand="0" w:noVBand="1"/>
    </w:tblPr>
    <w:tblGrid>
      <w:gridCol w:w="4360"/>
      <w:gridCol w:w="4360"/>
    </w:tblGrid>
    <w:tr w:rsidR="001F5E2A" w14:paraId="18AB001A" w14:textId="77777777">
      <w:trPr>
        <w:cantSplit/>
        <w:trHeight w:val="423"/>
      </w:trPr>
      <w:tc>
        <w:tcPr>
          <w:tcW w:w="4360" w:type="dxa"/>
          <w:tcBorders>
            <w:top w:val="single" w:sz="4" w:space="0" w:color="000000"/>
          </w:tcBorders>
        </w:tcPr>
        <w:p w14:paraId="0000041E" w14:textId="77777777" w:rsidR="001F5E2A" w:rsidRDefault="001F5E2A">
          <w:pPr>
            <w:pBdr>
              <w:top w:val="nil"/>
              <w:left w:val="nil"/>
              <w:bottom w:val="nil"/>
              <w:right w:val="nil"/>
              <w:between w:val="nil"/>
            </w:pBdr>
            <w:tabs>
              <w:tab w:val="center" w:pos="4513"/>
              <w:tab w:val="right" w:pos="9026"/>
            </w:tabs>
            <w:spacing w:before="0"/>
            <w:ind w:left="0" w:right="0"/>
            <w:rPr>
              <w:color w:val="333F4A"/>
              <w:sz w:val="17"/>
              <w:szCs w:val="17"/>
            </w:rPr>
          </w:pPr>
        </w:p>
        <w:p w14:paraId="0000041F" w14:textId="77777777" w:rsidR="001F5E2A" w:rsidRDefault="001F5E2A">
          <w:pPr>
            <w:pBdr>
              <w:top w:val="nil"/>
              <w:left w:val="nil"/>
              <w:bottom w:val="nil"/>
              <w:right w:val="nil"/>
              <w:between w:val="nil"/>
            </w:pBdr>
            <w:tabs>
              <w:tab w:val="center" w:pos="4513"/>
              <w:tab w:val="right" w:pos="9026"/>
            </w:tabs>
            <w:spacing w:before="0"/>
            <w:ind w:left="0" w:right="0"/>
            <w:rPr>
              <w:color w:val="333F4A"/>
              <w:sz w:val="17"/>
              <w:szCs w:val="17"/>
            </w:rPr>
          </w:pPr>
          <w:r>
            <w:rPr>
              <w:color w:val="333F4A"/>
              <w:sz w:val="17"/>
              <w:szCs w:val="17"/>
            </w:rPr>
            <w:t>Document title</w:t>
          </w:r>
        </w:p>
      </w:tc>
      <w:tc>
        <w:tcPr>
          <w:tcW w:w="4360" w:type="dxa"/>
          <w:tcBorders>
            <w:top w:val="single" w:sz="4" w:space="0" w:color="000000"/>
          </w:tcBorders>
        </w:tcPr>
        <w:p w14:paraId="00000420" w14:textId="77777777" w:rsidR="001F5E2A" w:rsidRDefault="001F5E2A">
          <w:pPr>
            <w:pBdr>
              <w:top w:val="nil"/>
              <w:left w:val="nil"/>
              <w:bottom w:val="nil"/>
              <w:right w:val="nil"/>
              <w:between w:val="nil"/>
            </w:pBdr>
            <w:tabs>
              <w:tab w:val="center" w:pos="4513"/>
              <w:tab w:val="right" w:pos="9026"/>
            </w:tabs>
            <w:spacing w:before="0"/>
            <w:ind w:left="0" w:right="0"/>
            <w:jc w:val="right"/>
            <w:rPr>
              <w:color w:val="333F4A"/>
              <w:sz w:val="17"/>
              <w:szCs w:val="17"/>
            </w:rPr>
          </w:pPr>
        </w:p>
        <w:p w14:paraId="00000421" w14:textId="77777777" w:rsidR="001F5E2A" w:rsidRDefault="001F5E2A">
          <w:pPr>
            <w:pBdr>
              <w:top w:val="nil"/>
              <w:left w:val="nil"/>
              <w:bottom w:val="nil"/>
              <w:right w:val="nil"/>
              <w:between w:val="nil"/>
            </w:pBdr>
            <w:tabs>
              <w:tab w:val="center" w:pos="4513"/>
              <w:tab w:val="right" w:pos="9026"/>
            </w:tabs>
            <w:spacing w:before="0"/>
            <w:ind w:left="0" w:right="0"/>
            <w:jc w:val="right"/>
            <w:rPr>
              <w:color w:val="333F4A"/>
              <w:sz w:val="17"/>
              <w:szCs w:val="17"/>
            </w:rPr>
          </w:pPr>
          <w:r>
            <w:rPr>
              <w:color w:val="333F4A"/>
              <w:sz w:val="17"/>
              <w:szCs w:val="17"/>
            </w:rPr>
            <w:t xml:space="preserve">Page </w:t>
          </w:r>
          <w:r>
            <w:rPr>
              <w:color w:val="333F4A"/>
              <w:sz w:val="17"/>
              <w:szCs w:val="17"/>
            </w:rPr>
            <w:fldChar w:fldCharType="begin"/>
          </w:r>
          <w:r>
            <w:rPr>
              <w:color w:val="333F4A"/>
              <w:sz w:val="17"/>
              <w:szCs w:val="17"/>
            </w:rPr>
            <w:instrText>PAGE</w:instrText>
          </w:r>
          <w:r>
            <w:rPr>
              <w:color w:val="333F4A"/>
              <w:sz w:val="17"/>
              <w:szCs w:val="17"/>
            </w:rPr>
            <w:fldChar w:fldCharType="end"/>
          </w:r>
          <w:r>
            <w:rPr>
              <w:color w:val="333F4A"/>
              <w:sz w:val="17"/>
              <w:szCs w:val="17"/>
            </w:rPr>
            <w:t xml:space="preserve"> of </w:t>
          </w:r>
          <w:r>
            <w:rPr>
              <w:color w:val="333F4A"/>
              <w:sz w:val="17"/>
              <w:szCs w:val="17"/>
            </w:rPr>
            <w:fldChar w:fldCharType="begin"/>
          </w:r>
          <w:r>
            <w:rPr>
              <w:color w:val="333F4A"/>
              <w:sz w:val="17"/>
              <w:szCs w:val="17"/>
            </w:rPr>
            <w:instrText>NUMPAGES</w:instrText>
          </w:r>
          <w:r>
            <w:rPr>
              <w:color w:val="333F4A"/>
              <w:sz w:val="17"/>
              <w:szCs w:val="17"/>
            </w:rPr>
            <w:fldChar w:fldCharType="end"/>
          </w:r>
        </w:p>
      </w:tc>
    </w:tr>
    <w:tr w:rsidR="001F5E2A" w14:paraId="732F9FA9" w14:textId="77777777">
      <w:trPr>
        <w:cantSplit/>
        <w:trHeight w:val="263"/>
      </w:trPr>
      <w:tc>
        <w:tcPr>
          <w:tcW w:w="4360" w:type="dxa"/>
        </w:tcPr>
        <w:p w14:paraId="00000422" w14:textId="77777777" w:rsidR="001F5E2A" w:rsidRDefault="001F5E2A">
          <w:pPr>
            <w:pBdr>
              <w:top w:val="nil"/>
              <w:left w:val="nil"/>
              <w:bottom w:val="nil"/>
              <w:right w:val="nil"/>
              <w:between w:val="nil"/>
            </w:pBdr>
            <w:tabs>
              <w:tab w:val="center" w:pos="4513"/>
              <w:tab w:val="right" w:pos="9026"/>
            </w:tabs>
            <w:spacing w:before="0"/>
            <w:ind w:left="0" w:right="0"/>
            <w:rPr>
              <w:color w:val="333F4A"/>
              <w:sz w:val="17"/>
              <w:szCs w:val="17"/>
            </w:rPr>
          </w:pPr>
          <w:r>
            <w:rPr>
              <w:color w:val="333F4A"/>
              <w:sz w:val="17"/>
              <w:szCs w:val="17"/>
            </w:rPr>
            <w:t>V1.0 Month 2012</w:t>
          </w:r>
        </w:p>
      </w:tc>
      <w:tc>
        <w:tcPr>
          <w:tcW w:w="4360" w:type="dxa"/>
        </w:tcPr>
        <w:p w14:paraId="00000423" w14:textId="77777777" w:rsidR="001F5E2A" w:rsidRDefault="001F5E2A">
          <w:pPr>
            <w:pBdr>
              <w:top w:val="nil"/>
              <w:left w:val="nil"/>
              <w:bottom w:val="nil"/>
              <w:right w:val="nil"/>
              <w:between w:val="nil"/>
            </w:pBdr>
            <w:tabs>
              <w:tab w:val="center" w:pos="4513"/>
              <w:tab w:val="right" w:pos="9026"/>
            </w:tabs>
            <w:spacing w:before="0"/>
            <w:ind w:left="0" w:right="0"/>
            <w:jc w:val="right"/>
            <w:rPr>
              <w:color w:val="333F4A"/>
              <w:sz w:val="17"/>
              <w:szCs w:val="17"/>
            </w:rPr>
          </w:pPr>
        </w:p>
      </w:tc>
    </w:tr>
  </w:tbl>
  <w:p w14:paraId="00000424" w14:textId="77777777" w:rsidR="001F5E2A" w:rsidRDefault="001F5E2A">
    <w:pPr>
      <w:pBdr>
        <w:top w:val="nil"/>
        <w:left w:val="nil"/>
        <w:bottom w:val="nil"/>
        <w:right w:val="nil"/>
        <w:between w:val="nil"/>
      </w:pBdr>
      <w:tabs>
        <w:tab w:val="center" w:pos="4513"/>
        <w:tab w:val="right" w:pos="9026"/>
        <w:tab w:val="left" w:pos="7620"/>
        <w:tab w:val="right" w:pos="8504"/>
      </w:tabs>
      <w:spacing w:after="0" w:line="240" w:lineRule="auto"/>
      <w:rPr>
        <w:color w:val="333F4A"/>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C" w14:textId="77777777" w:rsidR="001F5E2A" w:rsidRDefault="001F5E2A">
    <w:pPr>
      <w:pBdr>
        <w:top w:val="nil"/>
        <w:left w:val="nil"/>
        <w:bottom w:val="nil"/>
        <w:right w:val="nil"/>
        <w:between w:val="nil"/>
      </w:pBdr>
      <w:tabs>
        <w:tab w:val="center" w:pos="4513"/>
        <w:tab w:val="right" w:pos="9026"/>
      </w:tabs>
      <w:spacing w:after="0" w:line="240" w:lineRule="auto"/>
      <w:ind w:left="-1701"/>
      <w:rPr>
        <w:color w:val="333F4A"/>
        <w:sz w:val="17"/>
        <w:szCs w:val="17"/>
      </w:rPr>
    </w:pPr>
    <w:r>
      <w:rPr>
        <w:color w:val="333F4A"/>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25" w14:textId="77777777" w:rsidR="001F5E2A" w:rsidRDefault="001F5E2A">
    <w:pPr>
      <w:widowControl w:val="0"/>
      <w:pBdr>
        <w:top w:val="nil"/>
        <w:left w:val="nil"/>
        <w:bottom w:val="nil"/>
        <w:right w:val="nil"/>
        <w:between w:val="nil"/>
      </w:pBdr>
      <w:spacing w:after="0" w:line="276" w:lineRule="auto"/>
      <w:rPr>
        <w:color w:val="333F4A"/>
        <w:sz w:val="17"/>
        <w:szCs w:val="17"/>
      </w:rPr>
    </w:pPr>
  </w:p>
  <w:tbl>
    <w:tblPr>
      <w:tblStyle w:val="aa"/>
      <w:tblW w:w="9072" w:type="dxa"/>
      <w:tblBorders>
        <w:top w:val="nil"/>
        <w:left w:val="nil"/>
        <w:bottom w:val="nil"/>
        <w:right w:val="nil"/>
        <w:insideH w:val="nil"/>
        <w:insideV w:val="nil"/>
      </w:tblBorders>
      <w:tblLayout w:type="fixed"/>
      <w:tblLook w:val="0400" w:firstRow="0" w:lastRow="0" w:firstColumn="0" w:lastColumn="0" w:noHBand="0" w:noVBand="1"/>
    </w:tblPr>
    <w:tblGrid>
      <w:gridCol w:w="7338"/>
      <w:gridCol w:w="1734"/>
    </w:tblGrid>
    <w:tr w:rsidR="001F5E2A" w14:paraId="33A6F188" w14:textId="77777777">
      <w:trPr>
        <w:cantSplit/>
        <w:trHeight w:val="423"/>
      </w:trPr>
      <w:tc>
        <w:tcPr>
          <w:tcW w:w="7338" w:type="dxa"/>
          <w:tcBorders>
            <w:top w:val="single" w:sz="4" w:space="0" w:color="000000"/>
          </w:tcBorders>
        </w:tcPr>
        <w:p w14:paraId="00000426" w14:textId="5DD88B7F" w:rsidR="001F5E2A" w:rsidRDefault="001F5E2A">
          <w:pPr>
            <w:pBdr>
              <w:top w:val="nil"/>
              <w:left w:val="nil"/>
              <w:bottom w:val="nil"/>
              <w:right w:val="nil"/>
              <w:between w:val="nil"/>
            </w:pBdr>
            <w:tabs>
              <w:tab w:val="center" w:pos="4513"/>
              <w:tab w:val="right" w:pos="9026"/>
            </w:tabs>
            <w:spacing w:before="0"/>
            <w:ind w:left="0" w:right="0"/>
            <w:rPr>
              <w:color w:val="333F4A"/>
              <w:sz w:val="17"/>
              <w:szCs w:val="17"/>
            </w:rPr>
          </w:pPr>
          <w:bookmarkStart w:id="45" w:name="_Hlk147837880"/>
          <w:proofErr w:type="spellStart"/>
          <w:r>
            <w:rPr>
              <w:color w:val="333F4A"/>
              <w:sz w:val="17"/>
              <w:szCs w:val="17"/>
            </w:rPr>
            <w:t>AusPAR</w:t>
          </w:r>
          <w:proofErr w:type="spellEnd"/>
          <w:r>
            <w:rPr>
              <w:color w:val="333F4A"/>
              <w:sz w:val="17"/>
              <w:szCs w:val="17"/>
            </w:rPr>
            <w:t xml:space="preserve"> – </w:t>
          </w:r>
          <w:proofErr w:type="spellStart"/>
          <w:r>
            <w:rPr>
              <w:color w:val="333F4A"/>
              <w:sz w:val="17"/>
              <w:szCs w:val="17"/>
            </w:rPr>
            <w:t>Gavreto</w:t>
          </w:r>
          <w:proofErr w:type="spellEnd"/>
          <w:r>
            <w:rPr>
              <w:color w:val="333F4A"/>
              <w:sz w:val="17"/>
              <w:szCs w:val="17"/>
            </w:rPr>
            <w:t xml:space="preserve"> – </w:t>
          </w:r>
          <w:proofErr w:type="spellStart"/>
          <w:r>
            <w:rPr>
              <w:color w:val="333F4A"/>
              <w:sz w:val="17"/>
              <w:szCs w:val="17"/>
            </w:rPr>
            <w:t>Pralsetinib</w:t>
          </w:r>
          <w:proofErr w:type="spellEnd"/>
          <w:r>
            <w:rPr>
              <w:color w:val="333F4A"/>
              <w:sz w:val="17"/>
              <w:szCs w:val="17"/>
            </w:rPr>
            <w:t xml:space="preserve"> - Roche Products Pty Ltd - PM-2021-05761-1-4 and PM-2021-05762-1-4</w:t>
          </w:r>
          <w:bookmarkEnd w:id="45"/>
          <w:r>
            <w:rPr>
              <w:color w:val="333F4A"/>
              <w:sz w:val="17"/>
              <w:szCs w:val="17"/>
            </w:rPr>
            <w:br/>
          </w:r>
          <w:r w:rsidR="00965669">
            <w:rPr>
              <w:color w:val="333F4A"/>
              <w:sz w:val="17"/>
              <w:szCs w:val="17"/>
            </w:rPr>
            <w:t>FINAL</w:t>
          </w:r>
          <w:r>
            <w:rPr>
              <w:color w:val="333F4A"/>
              <w:sz w:val="17"/>
              <w:szCs w:val="17"/>
            </w:rPr>
            <w:t xml:space="preserve"> </w:t>
          </w:r>
          <w:r w:rsidR="00965669">
            <w:rPr>
              <w:color w:val="333F4A"/>
              <w:sz w:val="17"/>
              <w:szCs w:val="17"/>
            </w:rPr>
            <w:t>2</w:t>
          </w:r>
          <w:r w:rsidR="00C60D61">
            <w:rPr>
              <w:color w:val="333F4A"/>
              <w:sz w:val="17"/>
              <w:szCs w:val="17"/>
            </w:rPr>
            <w:t>6</w:t>
          </w:r>
          <w:r w:rsidR="00B742DD">
            <w:rPr>
              <w:color w:val="333F4A"/>
              <w:sz w:val="17"/>
              <w:szCs w:val="17"/>
            </w:rPr>
            <w:t xml:space="preserve"> October</w:t>
          </w:r>
          <w:r>
            <w:rPr>
              <w:color w:val="333F4A"/>
              <w:sz w:val="17"/>
              <w:szCs w:val="17"/>
            </w:rPr>
            <w:t xml:space="preserve"> 2023</w:t>
          </w:r>
        </w:p>
      </w:tc>
      <w:tc>
        <w:tcPr>
          <w:tcW w:w="1734" w:type="dxa"/>
          <w:tcBorders>
            <w:top w:val="single" w:sz="4" w:space="0" w:color="000000"/>
          </w:tcBorders>
        </w:tcPr>
        <w:p w14:paraId="00000427" w14:textId="482857B7" w:rsidR="001F5E2A" w:rsidRDefault="001F5E2A">
          <w:pPr>
            <w:pBdr>
              <w:top w:val="nil"/>
              <w:left w:val="nil"/>
              <w:bottom w:val="nil"/>
              <w:right w:val="nil"/>
              <w:between w:val="nil"/>
            </w:pBdr>
            <w:tabs>
              <w:tab w:val="center" w:pos="4513"/>
              <w:tab w:val="right" w:pos="9026"/>
            </w:tabs>
            <w:spacing w:before="0"/>
            <w:ind w:left="0" w:right="0"/>
            <w:jc w:val="right"/>
            <w:rPr>
              <w:color w:val="333F4A"/>
              <w:sz w:val="17"/>
              <w:szCs w:val="17"/>
            </w:rPr>
          </w:pPr>
          <w:r>
            <w:rPr>
              <w:color w:val="333F4A"/>
              <w:sz w:val="17"/>
              <w:szCs w:val="17"/>
            </w:rPr>
            <w:t xml:space="preserve">Page </w:t>
          </w:r>
          <w:r>
            <w:rPr>
              <w:color w:val="333F4A"/>
              <w:sz w:val="17"/>
              <w:szCs w:val="17"/>
            </w:rPr>
            <w:fldChar w:fldCharType="begin"/>
          </w:r>
          <w:r>
            <w:rPr>
              <w:color w:val="333F4A"/>
              <w:sz w:val="17"/>
              <w:szCs w:val="17"/>
            </w:rPr>
            <w:instrText>PAGE</w:instrText>
          </w:r>
          <w:r>
            <w:rPr>
              <w:color w:val="333F4A"/>
              <w:sz w:val="17"/>
              <w:szCs w:val="17"/>
            </w:rPr>
            <w:fldChar w:fldCharType="separate"/>
          </w:r>
          <w:r w:rsidR="004604E5">
            <w:rPr>
              <w:noProof/>
              <w:color w:val="333F4A"/>
              <w:sz w:val="17"/>
              <w:szCs w:val="17"/>
            </w:rPr>
            <w:t>36</w:t>
          </w:r>
          <w:r>
            <w:rPr>
              <w:color w:val="333F4A"/>
              <w:sz w:val="17"/>
              <w:szCs w:val="17"/>
            </w:rPr>
            <w:fldChar w:fldCharType="end"/>
          </w:r>
          <w:r>
            <w:rPr>
              <w:color w:val="333F4A"/>
              <w:sz w:val="17"/>
              <w:szCs w:val="17"/>
            </w:rPr>
            <w:t xml:space="preserve"> of </w:t>
          </w:r>
          <w:r>
            <w:rPr>
              <w:color w:val="333F4A"/>
              <w:sz w:val="17"/>
              <w:szCs w:val="17"/>
            </w:rPr>
            <w:fldChar w:fldCharType="begin"/>
          </w:r>
          <w:r>
            <w:rPr>
              <w:color w:val="333F4A"/>
              <w:sz w:val="17"/>
              <w:szCs w:val="17"/>
            </w:rPr>
            <w:instrText>NUMPAGES</w:instrText>
          </w:r>
          <w:r>
            <w:rPr>
              <w:color w:val="333F4A"/>
              <w:sz w:val="17"/>
              <w:szCs w:val="17"/>
            </w:rPr>
            <w:fldChar w:fldCharType="separate"/>
          </w:r>
          <w:r w:rsidR="004604E5">
            <w:rPr>
              <w:noProof/>
              <w:color w:val="333F4A"/>
              <w:sz w:val="17"/>
              <w:szCs w:val="17"/>
            </w:rPr>
            <w:t>52</w:t>
          </w:r>
          <w:r>
            <w:rPr>
              <w:color w:val="333F4A"/>
              <w:sz w:val="17"/>
              <w:szCs w:val="17"/>
            </w:rPr>
            <w:fldChar w:fldCharType="end"/>
          </w:r>
        </w:p>
      </w:tc>
    </w:tr>
  </w:tbl>
  <w:p w14:paraId="00000428" w14:textId="77777777" w:rsidR="001F5E2A" w:rsidRDefault="001F5E2A">
    <w:pPr>
      <w:pBdr>
        <w:top w:val="nil"/>
        <w:left w:val="nil"/>
        <w:bottom w:val="nil"/>
        <w:right w:val="nil"/>
        <w:between w:val="nil"/>
      </w:pBdr>
      <w:tabs>
        <w:tab w:val="center" w:pos="4513"/>
        <w:tab w:val="right" w:pos="9026"/>
        <w:tab w:val="left" w:pos="7620"/>
        <w:tab w:val="right" w:pos="8504"/>
      </w:tabs>
      <w:spacing w:after="0" w:line="240" w:lineRule="auto"/>
      <w:rPr>
        <w:color w:val="333F4A"/>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29" w14:textId="77777777" w:rsidR="001F5E2A" w:rsidRDefault="001F5E2A">
    <w:pPr>
      <w:pBdr>
        <w:top w:val="nil"/>
        <w:left w:val="nil"/>
        <w:bottom w:val="nil"/>
        <w:right w:val="nil"/>
        <w:between w:val="nil"/>
      </w:pBdr>
      <w:tabs>
        <w:tab w:val="center" w:pos="4513"/>
        <w:tab w:val="right" w:pos="9026"/>
      </w:tabs>
      <w:spacing w:after="0" w:line="240" w:lineRule="auto"/>
      <w:rPr>
        <w:color w:val="333F4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3266" w14:textId="77777777" w:rsidR="00391098" w:rsidRDefault="00391098">
      <w:pPr>
        <w:spacing w:after="0" w:line="240" w:lineRule="auto"/>
      </w:pPr>
      <w:r>
        <w:separator/>
      </w:r>
    </w:p>
  </w:footnote>
  <w:footnote w:type="continuationSeparator" w:id="0">
    <w:p w14:paraId="7470B389" w14:textId="77777777" w:rsidR="00391098" w:rsidRDefault="00391098">
      <w:pPr>
        <w:spacing w:after="0" w:line="240" w:lineRule="auto"/>
      </w:pPr>
      <w:r>
        <w:continuationSeparator/>
      </w:r>
    </w:p>
  </w:footnote>
  <w:footnote w:id="1">
    <w:p w14:paraId="00000406"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This is the original indication proposed by the sponsor when the TGA commenced the evaluation of this submission. It may differ to the final indication approved by the TGA and registered on the Australian Register of Therapeutic Goods.</w:t>
      </w:r>
    </w:p>
  </w:footnote>
  <w:footnote w:id="2">
    <w:p w14:paraId="00000407"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AuPAR for Gavreto for non small cell lung cancer, available at (to insert the hyperlink once NSCLC AusPAR publication is approved).</w:t>
      </w:r>
    </w:p>
  </w:footnote>
  <w:footnote w:id="3">
    <w:p w14:paraId="2535D923" w14:textId="17CEE23A" w:rsidR="00A22DD0" w:rsidRDefault="00A22DD0" w:rsidP="00A22DD0">
      <w:pPr>
        <w:pStyle w:val="FootnoteText"/>
      </w:pPr>
      <w:r>
        <w:rPr>
          <w:rStyle w:val="FootnoteReference"/>
        </w:rPr>
        <w:footnoteRef/>
      </w:r>
      <w:r>
        <w:t xml:space="preserve"> </w:t>
      </w:r>
      <w:r w:rsidRPr="00A22DD0">
        <w:rPr>
          <w:color w:val="000000"/>
        </w:rPr>
        <w:t>RET-Mutant Medullary Thyroid Cancer (MTC) and RET-Fusion</w:t>
      </w:r>
      <w:r>
        <w:rPr>
          <w:color w:val="000000"/>
        </w:rPr>
        <w:t xml:space="preserve"> </w:t>
      </w:r>
      <w:r w:rsidRPr="00A22DD0">
        <w:rPr>
          <w:color w:val="000000"/>
        </w:rPr>
        <w:t>Positive Thyroid Cancer was voluntarily withdrawn</w:t>
      </w:r>
      <w:r>
        <w:t xml:space="preserve"> The sponsor took the decision to withdraw the New Drug Submission (NDS) for both RET-mutant medullary thyroid cancer (MTC) and RET fusion positive thyroid cancer indications in Canada. This decision to withdraw was not taken for any efficacy or safety concerns, but because Health Canada requested additional mature safety data that is not yet available. This decision does not preclude us from re-submitting in the future once this data is available.</w:t>
      </w:r>
    </w:p>
  </w:footnote>
  <w:footnote w:id="4">
    <w:p w14:paraId="00000408"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w:t>
      </w:r>
      <w:hyperlink r:id="rId1">
        <w:r>
          <w:rPr>
            <w:color w:val="0000FF"/>
            <w:sz w:val="17"/>
            <w:szCs w:val="17"/>
            <w:u w:val="single"/>
          </w:rPr>
          <w:t>https://www.accessdata.fda.gov/drugsatfda_docs/nda/2020/213721Orig1s000MultidisciplineR.pdf</w:t>
        </w:r>
      </w:hyperlink>
      <w:r>
        <w:rPr>
          <w:color w:val="0000FF"/>
          <w:sz w:val="17"/>
          <w:szCs w:val="17"/>
          <w:u w:val="single"/>
        </w:rPr>
        <w:t>)</w:t>
      </w:r>
    </w:p>
  </w:footnote>
  <w:footnote w:id="5">
    <w:p w14:paraId="00000409"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ECOG Performance Status: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 </w:t>
      </w:r>
    </w:p>
    <w:p w14:paraId="0000040A"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0 - Fully active, able to carry on all pre-disease performance without restriction</w:t>
      </w:r>
    </w:p>
    <w:p w14:paraId="0000040B"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1- Restricted in physically strenuous activity but ambulatory and able to carry out work of a light or sedentary nature, for example, light house work, office work</w:t>
      </w:r>
    </w:p>
    <w:p w14:paraId="0000040C"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2 - Ambulatory and capable of all selfcare but unable to carry out any work activities. Up and about more than 50% of waking hours</w:t>
      </w:r>
    </w:p>
    <w:p w14:paraId="0000040D"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3 - Capable of only limited selfcare, confined to bed or chair more than 50% of waking hours</w:t>
      </w:r>
    </w:p>
    <w:p w14:paraId="0000040E"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4 - Completely disabled. Cannot carry on any selfcare. Totally confined to bed or chair</w:t>
      </w:r>
    </w:p>
    <w:p w14:paraId="0000040F" w14:textId="77777777" w:rsidR="001F5E2A" w:rsidRDefault="001F5E2A">
      <w:pPr>
        <w:keepLines/>
        <w:pBdr>
          <w:top w:val="nil"/>
          <w:left w:val="nil"/>
          <w:bottom w:val="nil"/>
          <w:right w:val="nil"/>
          <w:between w:val="nil"/>
        </w:pBdr>
        <w:spacing w:after="0"/>
        <w:rPr>
          <w:color w:val="333F48"/>
          <w:sz w:val="17"/>
          <w:szCs w:val="17"/>
        </w:rPr>
      </w:pPr>
      <w:r>
        <w:rPr>
          <w:color w:val="333F48"/>
          <w:sz w:val="17"/>
          <w:szCs w:val="17"/>
        </w:rPr>
        <w:t>5 – Dead</w:t>
      </w:r>
    </w:p>
    <w:p w14:paraId="00000410" w14:textId="77777777" w:rsidR="001F5E2A" w:rsidRDefault="001F5E2A">
      <w:pPr>
        <w:keepLines/>
        <w:pBdr>
          <w:top w:val="nil"/>
          <w:left w:val="nil"/>
          <w:bottom w:val="nil"/>
          <w:right w:val="nil"/>
          <w:between w:val="nil"/>
        </w:pBdr>
        <w:spacing w:after="0"/>
        <w:rPr>
          <w:color w:val="333F48"/>
          <w:sz w:val="17"/>
          <w:szCs w:val="17"/>
        </w:rPr>
      </w:pPr>
    </w:p>
  </w:footnote>
  <w:footnote w:id="6">
    <w:p w14:paraId="00000411" w14:textId="77777777" w:rsidR="001F5E2A" w:rsidRDefault="001F5E2A">
      <w:r>
        <w:rPr>
          <w:rStyle w:val="FootnoteReference"/>
        </w:rPr>
        <w:footnoteRef/>
      </w:r>
      <w:r>
        <w:t xml:space="preserve"> </w:t>
      </w:r>
      <w:r>
        <w:rPr>
          <w:color w:val="333F48"/>
          <w:sz w:val="17"/>
          <w:szCs w:val="17"/>
        </w:rPr>
        <w:t>RET mutation status was identified retrospectively by central tissue-based NGS or plasma ctDNA test for Group 3 and 4)</w:t>
      </w:r>
    </w:p>
  </w:footnote>
  <w:footnote w:id="7">
    <w:p w14:paraId="00000412"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The Response Evaluation Criteria In Solid Tumours (RECIST)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8">
    <w:p w14:paraId="00000413"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The time to event endpoints of PFS and OS are not interpretable in a single arm study, and therefore not confirmed by the clinical evaluation.</w:t>
      </w:r>
    </w:p>
  </w:footnote>
  <w:footnote w:id="9">
    <w:p w14:paraId="00000414"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The European Organisation for Research and Treatment of Cancer (EORTC) has developed an overall HRQoL summary score based on their traditional and well‐established 30‐item Quality of Life Questionnaire (QLQ‐C30) encompassing all symptom (e.g., pain, fatigue) and functional domains (e.g., emotional and social items) assessed by the QLQ‐C30.</w:t>
      </w:r>
    </w:p>
  </w:footnote>
  <w:footnote w:id="10">
    <w:p w14:paraId="00000415" w14:textId="77777777" w:rsidR="001F5E2A" w:rsidRDefault="001F5E2A">
      <w:pPr>
        <w:keepLines/>
        <w:pBdr>
          <w:top w:val="nil"/>
          <w:left w:val="nil"/>
          <w:bottom w:val="nil"/>
          <w:right w:val="nil"/>
          <w:between w:val="nil"/>
        </w:pBdr>
        <w:spacing w:after="0"/>
        <w:rPr>
          <w:color w:val="333F48"/>
          <w:sz w:val="17"/>
          <w:szCs w:val="17"/>
        </w:rPr>
      </w:pPr>
      <w:r>
        <w:rPr>
          <w:rStyle w:val="FootnoteReference"/>
        </w:rPr>
        <w:footnoteRef/>
      </w:r>
      <w:r>
        <w:rPr>
          <w:color w:val="333F48"/>
          <w:sz w:val="17"/>
          <w:szCs w:val="17"/>
        </w:rPr>
        <w:t xml:space="preserve"> Eight patients with RET mutant MTC and two patients with RET fusion-positive thyroid cancer did not have measurable disease at baseline and were therefore not included in the efficacy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9" w14:textId="77777777" w:rsidR="001F5E2A" w:rsidRDefault="001F5E2A">
    <w:pPr>
      <w:pBdr>
        <w:top w:val="nil"/>
        <w:left w:val="nil"/>
        <w:bottom w:val="single" w:sz="4" w:space="3" w:color="000000"/>
        <w:right w:val="nil"/>
        <w:between w:val="nil"/>
      </w:pBdr>
      <w:tabs>
        <w:tab w:val="center" w:pos="4513"/>
        <w:tab w:val="right" w:pos="9026"/>
      </w:tabs>
      <w:spacing w:after="0" w:line="240" w:lineRule="auto"/>
      <w:rPr>
        <w:rFonts w:ascii="Arial" w:eastAsia="Arial" w:hAnsi="Arial" w:cs="Arial"/>
        <w:color w:val="333F4A"/>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6" w14:textId="77777777" w:rsidR="001F5E2A" w:rsidRDefault="001F5E2A">
    <w:pPr>
      <w:widowControl w:val="0"/>
      <w:pBdr>
        <w:top w:val="nil"/>
        <w:left w:val="nil"/>
        <w:bottom w:val="nil"/>
        <w:right w:val="nil"/>
        <w:between w:val="nil"/>
      </w:pBdr>
      <w:spacing w:after="0" w:line="276" w:lineRule="auto"/>
      <w:rPr>
        <w:color w:val="333F48"/>
        <w:sz w:val="17"/>
        <w:szCs w:val="17"/>
      </w:rPr>
    </w:pPr>
  </w:p>
  <w:tbl>
    <w:tblPr>
      <w:tblStyle w:val="a8"/>
      <w:tblpPr w:leftFromText="181" w:rightFromText="181" w:vertAnchor="page" w:horzAnchor="page" w:tblpX="1" w:tblpY="8999"/>
      <w:tblW w:w="11964" w:type="dxa"/>
      <w:tblBorders>
        <w:top w:val="nil"/>
        <w:left w:val="nil"/>
        <w:bottom w:val="nil"/>
        <w:right w:val="nil"/>
        <w:insideH w:val="nil"/>
        <w:insideV w:val="nil"/>
      </w:tblBorders>
      <w:tblLayout w:type="fixed"/>
      <w:tblLook w:val="0400" w:firstRow="0" w:lastRow="0" w:firstColumn="0" w:lastColumn="0" w:noHBand="0" w:noVBand="1"/>
    </w:tblPr>
    <w:tblGrid>
      <w:gridCol w:w="11964"/>
    </w:tblGrid>
    <w:tr w:rsidR="001F5E2A" w14:paraId="0B41D6A3" w14:textId="77777777">
      <w:trPr>
        <w:cantSplit/>
        <w:trHeight w:val="8845"/>
      </w:trPr>
      <w:tc>
        <w:tcPr>
          <w:tcW w:w="11964" w:type="dxa"/>
          <w:vAlign w:val="center"/>
        </w:tcPr>
        <w:p w14:paraId="00000417" w14:textId="77777777" w:rsidR="001F5E2A" w:rsidRDefault="001F5E2A">
          <w:pPr>
            <w:ind w:left="-57"/>
          </w:pPr>
          <w:r>
            <w:rPr>
              <w:noProof/>
              <w:lang w:val="en-NZ"/>
            </w:rPr>
            <w:drawing>
              <wp:inline distT="0" distB="0" distL="0" distR="0" wp14:anchorId="090D011D" wp14:editId="7C7D21E0">
                <wp:extent cx="7631430" cy="5523865"/>
                <wp:effectExtent l="0" t="0" r="0" b="0"/>
                <wp:docPr id="29"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9.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631430" cy="5523865"/>
                        </a:xfrm>
                        <a:prstGeom prst="rect">
                          <a:avLst/>
                        </a:prstGeom>
                        <a:ln/>
                      </pic:spPr>
                    </pic:pic>
                  </a:graphicData>
                </a:graphic>
              </wp:inline>
            </w:drawing>
          </w:r>
        </w:p>
      </w:tc>
    </w:tr>
  </w:tbl>
  <w:p w14:paraId="00000418" w14:textId="77777777" w:rsidR="001F5E2A" w:rsidRDefault="001F5E2A">
    <w:r>
      <w:rPr>
        <w:noProof/>
        <w:lang w:val="en-NZ"/>
      </w:rPr>
      <w:drawing>
        <wp:anchor distT="0" distB="0" distL="114300" distR="114300" simplePos="0" relativeHeight="251658240" behindDoc="0" locked="0" layoutInCell="1" hidden="0" allowOverlap="1" wp14:anchorId="6DB9D596" wp14:editId="678990AC">
          <wp:simplePos x="0" y="0"/>
          <wp:positionH relativeFrom="page">
            <wp:align>left</wp:align>
          </wp:positionH>
          <wp:positionV relativeFrom="page">
            <wp:posOffset>3239495</wp:posOffset>
          </wp:positionV>
          <wp:extent cx="7663815" cy="4323091"/>
          <wp:effectExtent l="0" t="0" r="0" b="0"/>
          <wp:wrapNone/>
          <wp:docPr id="21"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image7.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663815" cy="4323091"/>
                  </a:xfrm>
                  <a:prstGeom prst="rect">
                    <a:avLst/>
                  </a:prstGeom>
                  <a:ln/>
                </pic:spPr>
              </pic:pic>
            </a:graphicData>
          </a:graphic>
        </wp:anchor>
      </w:drawing>
    </w:r>
    <w:r>
      <w:rPr>
        <w:noProof/>
        <w:lang w:val="en-NZ"/>
      </w:rPr>
      <w:drawing>
        <wp:inline distT="0" distB="0" distL="0" distR="0" wp14:anchorId="7AE3805D" wp14:editId="5BCA3DA1">
          <wp:extent cx="2676525" cy="621665"/>
          <wp:effectExtent l="0" t="0" r="9525" b="6985"/>
          <wp:docPr id="20" name="image11.png" descr="Australian Government, Department of Health and Aged Care, Therapeutic Goods Administration "/>
          <wp:cNvGraphicFramePr/>
          <a:graphic xmlns:a="http://schemas.openxmlformats.org/drawingml/2006/main">
            <a:graphicData uri="http://schemas.openxmlformats.org/drawingml/2006/picture">
              <pic:pic xmlns:pic="http://schemas.openxmlformats.org/drawingml/2006/picture">
                <pic:nvPicPr>
                  <pic:cNvPr id="20" name="image11.png" descr="Australian Government, Department of Health and Aged Care, Therapeutic Goods Administration "/>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2676525" cy="6216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A" w14:textId="77777777" w:rsidR="001F5E2A" w:rsidRDefault="001F5E2A">
    <w:pPr>
      <w:pBdr>
        <w:top w:val="nil"/>
        <w:left w:val="nil"/>
        <w:bottom w:val="single" w:sz="4" w:space="3" w:color="000000"/>
        <w:right w:val="nil"/>
        <w:between w:val="nil"/>
      </w:pBdr>
      <w:tabs>
        <w:tab w:val="center" w:pos="4513"/>
        <w:tab w:val="right" w:pos="9026"/>
      </w:tabs>
      <w:spacing w:after="0" w:line="240" w:lineRule="auto"/>
      <w:jc w:val="right"/>
      <w:rPr>
        <w:rFonts w:ascii="Arial" w:eastAsia="Arial" w:hAnsi="Arial" w:cs="Arial"/>
        <w:color w:val="333F4A"/>
        <w:sz w:val="17"/>
        <w:szCs w:val="17"/>
      </w:rPr>
    </w:pPr>
    <w:r>
      <w:rPr>
        <w:rFonts w:ascii="Arial" w:eastAsia="Arial" w:hAnsi="Arial" w:cs="Arial"/>
        <w:color w:val="333F4A"/>
        <w:sz w:val="17"/>
        <w:szCs w:val="17"/>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B" w14:textId="77777777" w:rsidR="001F5E2A" w:rsidRDefault="001F5E2A">
    <w:pPr>
      <w:pBdr>
        <w:top w:val="nil"/>
        <w:left w:val="nil"/>
        <w:bottom w:val="none" w:sz="0" w:space="0" w:color="000000"/>
        <w:right w:val="nil"/>
        <w:between w:val="nil"/>
      </w:pBdr>
      <w:tabs>
        <w:tab w:val="center" w:pos="4513"/>
        <w:tab w:val="right" w:pos="9026"/>
      </w:tabs>
      <w:spacing w:after="0" w:line="240" w:lineRule="auto"/>
      <w:jc w:val="right"/>
      <w:rPr>
        <w:rFonts w:ascii="Arial" w:eastAsia="Arial" w:hAnsi="Arial" w:cs="Arial"/>
        <w:color w:val="333F4A"/>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501E"/>
    <w:multiLevelType w:val="multilevel"/>
    <w:tmpl w:val="8C3AF8C0"/>
    <w:lvl w:ilvl="0">
      <w:start w:val="4"/>
      <w:numFmt w:val="bullet"/>
      <w:lvlText w:val="•"/>
      <w:lvlJc w:val="left"/>
      <w:pPr>
        <w:ind w:left="360" w:hanging="360"/>
      </w:pPr>
      <w:rPr>
        <w:rFonts w:ascii="Cambria" w:eastAsia="Cambria" w:hAnsi="Cambria" w:cs="Cambria"/>
      </w:rPr>
    </w:lvl>
    <w:lvl w:ilvl="1">
      <w:start w:val="1"/>
      <w:numFmt w:val="bullet"/>
      <w:lvlText w:val="–"/>
      <w:lvlJc w:val="left"/>
      <w:pPr>
        <w:ind w:left="720" w:hanging="360"/>
      </w:pPr>
      <w:rPr>
        <w:rFonts w:ascii="Arial" w:eastAsia="Arial" w:hAnsi="Arial" w:cs="Arial"/>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1C576E19"/>
    <w:multiLevelType w:val="multilevel"/>
    <w:tmpl w:val="F454EED0"/>
    <w:lvl w:ilvl="0">
      <w:start w:val="1"/>
      <w:numFmt w:val="decimal"/>
      <w:pStyle w:val="Numberbullet"/>
      <w:lvlText w:val="%1."/>
      <w:lvlJc w:val="left"/>
      <w:pPr>
        <w:ind w:left="360" w:hanging="360"/>
      </w:pPr>
      <w:rPr>
        <w:rFonts w:ascii="Arial" w:eastAsia="Arial" w:hAnsi="Arial" w:cs="Arial"/>
      </w:rPr>
    </w:lvl>
    <w:lvl w:ilvl="1">
      <w:start w:val="1"/>
      <w:numFmt w:val="lowerLetter"/>
      <w:pStyle w:val="Numberbullet2"/>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2" w15:restartNumberingAfterBreak="0">
    <w:nsid w:val="230B1017"/>
    <w:multiLevelType w:val="multilevel"/>
    <w:tmpl w:val="D2DE16E0"/>
    <w:lvl w:ilvl="0">
      <w:start w:val="1"/>
      <w:numFmt w:val="decimal"/>
      <w:pStyle w:val="ListBullet3"/>
      <w:lvlText w:val="%1."/>
      <w:lvlJc w:val="left"/>
      <w:pPr>
        <w:ind w:left="360" w:hanging="360"/>
      </w:pPr>
      <w:rPr>
        <w:rFonts w:ascii="Arial" w:eastAsia="Arial" w:hAnsi="Arial" w:cs="Arial"/>
      </w:r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3" w15:restartNumberingAfterBreak="0">
    <w:nsid w:val="2F91025E"/>
    <w:multiLevelType w:val="multilevel"/>
    <w:tmpl w:val="FE2ED68A"/>
    <w:lvl w:ilvl="0">
      <w:start w:val="1"/>
      <w:numFmt w:val="decimal"/>
      <w:lvlText w:val="%1."/>
      <w:lvlJc w:val="left"/>
      <w:pPr>
        <w:ind w:left="360" w:hanging="360"/>
      </w:pPr>
      <w:rPr>
        <w:rFonts w:ascii="Arial" w:eastAsia="Arial" w:hAnsi="Arial" w:cs="Arial"/>
      </w:r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4" w15:restartNumberingAfterBreak="0">
    <w:nsid w:val="3F3F0FE3"/>
    <w:multiLevelType w:val="multilevel"/>
    <w:tmpl w:val="7B0840E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754C4A"/>
    <w:multiLevelType w:val="multilevel"/>
    <w:tmpl w:val="CFB62356"/>
    <w:lvl w:ilvl="0">
      <w:start w:val="1"/>
      <w:numFmt w:val="decimal"/>
      <w:pStyle w:val="ListBullet-dotick"/>
      <w:lvlText w:val="%1."/>
      <w:lvlJc w:val="left"/>
      <w:pPr>
        <w:ind w:left="360" w:hanging="360"/>
      </w:pPr>
      <w:rPr>
        <w:rFonts w:ascii="Arial" w:eastAsia="Arial" w:hAnsi="Arial" w:cs="Arial"/>
      </w:r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6" w15:restartNumberingAfterBreak="0">
    <w:nsid w:val="54410384"/>
    <w:multiLevelType w:val="multilevel"/>
    <w:tmpl w:val="17E286B4"/>
    <w:lvl w:ilvl="0">
      <w:start w:val="1"/>
      <w:numFmt w:val="decimal"/>
      <w:pStyle w:val="ListBullet"/>
      <w:lvlText w:val="%1."/>
      <w:lvlJc w:val="left"/>
      <w:pPr>
        <w:ind w:left="360" w:hanging="360"/>
      </w:pPr>
      <w:rPr>
        <w:rFonts w:ascii="Arial" w:eastAsia="Arial" w:hAnsi="Arial" w:cs="Arial"/>
      </w:rPr>
    </w:lvl>
    <w:lvl w:ilvl="1">
      <w:start w:val="1"/>
      <w:numFmt w:val="lowerLetter"/>
      <w:pStyle w:val="ListBullet2"/>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7" w15:restartNumberingAfterBreak="0">
    <w:nsid w:val="73845A4C"/>
    <w:multiLevelType w:val="multilevel"/>
    <w:tmpl w:val="A656B09E"/>
    <w:lvl w:ilvl="0">
      <w:start w:val="1"/>
      <w:numFmt w:val="bullet"/>
      <w:pStyle w:val="ListBullet-donotcross"/>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D2444"/>
    <w:multiLevelType w:val="multilevel"/>
    <w:tmpl w:val="17A20B36"/>
    <w:lvl w:ilvl="0">
      <w:start w:val="1"/>
      <w:numFmt w:val="bullet"/>
      <w:pStyle w:val="Number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352485"/>
    <w:multiLevelType w:val="multilevel"/>
    <w:tmpl w:val="845408DE"/>
    <w:lvl w:ilvl="0">
      <w:start w:val="4"/>
      <w:numFmt w:val="bullet"/>
      <w:lvlText w:val="▪"/>
      <w:lvlJc w:val="left"/>
      <w:pPr>
        <w:ind w:left="1571" w:hanging="360"/>
      </w:pPr>
      <w:rPr>
        <w:rFonts w:ascii="Arial" w:eastAsia="Arial" w:hAnsi="Arial" w:cs="Arial"/>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16cid:durableId="1076632887">
    <w:abstractNumId w:val="6"/>
  </w:num>
  <w:num w:numId="2" w16cid:durableId="41247130">
    <w:abstractNumId w:val="1"/>
  </w:num>
  <w:num w:numId="3" w16cid:durableId="302001876">
    <w:abstractNumId w:val="2"/>
  </w:num>
  <w:num w:numId="4" w16cid:durableId="2129929302">
    <w:abstractNumId w:val="8"/>
  </w:num>
  <w:num w:numId="5" w16cid:durableId="1710911581">
    <w:abstractNumId w:val="5"/>
  </w:num>
  <w:num w:numId="6" w16cid:durableId="1040325307">
    <w:abstractNumId w:val="7"/>
  </w:num>
  <w:num w:numId="7" w16cid:durableId="1804805665">
    <w:abstractNumId w:val="0"/>
  </w:num>
  <w:num w:numId="8" w16cid:durableId="1740132430">
    <w:abstractNumId w:val="3"/>
  </w:num>
  <w:num w:numId="9" w16cid:durableId="252782510">
    <w:abstractNumId w:val="9"/>
  </w:num>
  <w:num w:numId="10" w16cid:durableId="207454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65"/>
    <w:rsid w:val="000121EF"/>
    <w:rsid w:val="000D5A45"/>
    <w:rsid w:val="000D6CB6"/>
    <w:rsid w:val="000E0B39"/>
    <w:rsid w:val="00171E65"/>
    <w:rsid w:val="00174362"/>
    <w:rsid w:val="001F5E2A"/>
    <w:rsid w:val="003609BD"/>
    <w:rsid w:val="0037343C"/>
    <w:rsid w:val="0039082C"/>
    <w:rsid w:val="00391098"/>
    <w:rsid w:val="004604E5"/>
    <w:rsid w:val="005156F3"/>
    <w:rsid w:val="005A0F92"/>
    <w:rsid w:val="005C4988"/>
    <w:rsid w:val="005E2796"/>
    <w:rsid w:val="006E2BBA"/>
    <w:rsid w:val="00756A78"/>
    <w:rsid w:val="00787C5E"/>
    <w:rsid w:val="0079170C"/>
    <w:rsid w:val="008B6F22"/>
    <w:rsid w:val="008D0596"/>
    <w:rsid w:val="00965669"/>
    <w:rsid w:val="0097024B"/>
    <w:rsid w:val="009915D0"/>
    <w:rsid w:val="009F791C"/>
    <w:rsid w:val="00A22DD0"/>
    <w:rsid w:val="00A53E1B"/>
    <w:rsid w:val="00AD2676"/>
    <w:rsid w:val="00B742DD"/>
    <w:rsid w:val="00BA2B52"/>
    <w:rsid w:val="00C60D61"/>
    <w:rsid w:val="00E61D4E"/>
    <w:rsid w:val="00EB6BB6"/>
    <w:rsid w:val="00ED3E2F"/>
    <w:rsid w:val="00F157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7A9"/>
  <w15:docId w15:val="{4E0D7F84-36C3-4CF2-A936-0D42D01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AU" w:eastAsia="en-NZ"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44280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table" w:customStyle="1" w:styleId="TableTGAblue2023">
    <w:name w:val="Table TGA blue 2023"/>
    <w:basedOn w:val="TableNormal"/>
    <w:uiPriority w:val="99"/>
    <w:qFormat/>
    <w:rsid w:val="008329DB"/>
    <w:pPr>
      <w:spacing w:before="80" w:after="40" w:line="264" w:lineRule="auto"/>
      <w:ind w:left="113"/>
    </w:pPr>
    <w:rPr>
      <w:rFonts w:ascii="Arial"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cs="Times New Roman"/>
    </w:rPr>
  </w:style>
  <w:style w:type="numbering" w:customStyle="1" w:styleId="ListBullets">
    <w:name w:val="ListBullets"/>
    <w:uiPriority w:val="99"/>
    <w:locked/>
    <w:rsid w:val="00F02AEC"/>
  </w:style>
  <w:style w:type="paragraph" w:customStyle="1" w:styleId="Numberbullet">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hAnsi="Arial" w:cs="Times New Roman"/>
      <w:color w:val="333F48"/>
    </w:rPr>
  </w:style>
  <w:style w:type="numbering" w:customStyle="1" w:styleId="NumberBullet0">
    <w:name w:val="NumberBullet"/>
    <w:uiPriority w:val="99"/>
    <w:locked/>
    <w:rsid w:val="00F02AEC"/>
  </w:style>
  <w:style w:type="paragraph" w:styleId="Subtitle">
    <w:name w:val="Subtitle"/>
    <w:basedOn w:val="Normal"/>
    <w:next w:val="Normal"/>
    <w:link w:val="SubtitleChar"/>
    <w:pPr>
      <w:spacing w:after="0"/>
      <w:ind w:left="170"/>
    </w:pPr>
    <w:rPr>
      <w:rFonts w:ascii="Arial" w:eastAsia="Arial" w:hAnsi="Arial" w:cs="Arial"/>
      <w:color w:val="006BA6"/>
      <w:sz w:val="40"/>
      <w:szCs w:val="40"/>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hAnsi="Arial" w:cs="Times New Roman"/>
      <w:b/>
      <w:color w:val="333F48"/>
      <w:sz w:val="28"/>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hAnsi="Arial" w:cs="Times New Roman"/>
      <w:b/>
      <w:sz w:val="32"/>
    </w:rPr>
  </w:style>
  <w:style w:type="table" w:customStyle="1" w:styleId="TableTGAblue">
    <w:name w:val="Table TGA blue"/>
    <w:basedOn w:val="TableNormal"/>
    <w:uiPriority w:val="99"/>
    <w:qFormat/>
    <w:rsid w:val="00324B33"/>
    <w:pPr>
      <w:spacing w:after="0" w:line="240" w:lineRule="auto"/>
      <w:ind w:left="170" w:right="170"/>
    </w:pPr>
    <w:rPr>
      <w:rFonts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cs="Times New Roman"/>
      <w:i/>
      <w:color w:val="007099"/>
    </w:rPr>
  </w:style>
  <w:style w:type="paragraph" w:customStyle="1" w:styleId="TableTitle">
    <w:name w:val="Table Title"/>
    <w:basedOn w:val="Normal"/>
    <w:rsid w:val="00324B33"/>
    <w:pPr>
      <w:keepNext/>
      <w:spacing w:before="120" w:line="240" w:lineRule="atLeast"/>
    </w:pPr>
    <w:rPr>
      <w:rFonts w:cs="Times New Roman"/>
      <w:b/>
    </w:rPr>
  </w:style>
  <w:style w:type="paragraph" w:customStyle="1" w:styleId="TableDescription">
    <w:name w:val="Table Description"/>
    <w:basedOn w:val="Normal"/>
    <w:qFormat/>
    <w:rsid w:val="00854D98"/>
    <w:pPr>
      <w:spacing w:before="120" w:line="240" w:lineRule="auto"/>
    </w:pPr>
    <w:rPr>
      <w:rFonts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style>
  <w:style w:type="character" w:customStyle="1" w:styleId="UnresolvedMention1">
    <w:name w:val="Unresolved Mention1"/>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styleId="ListParagraph">
    <w:name w:val="List Paragraph"/>
    <w:basedOn w:val="Normal"/>
    <w:link w:val="ListParagraphChar"/>
    <w:uiPriority w:val="34"/>
    <w:qFormat/>
    <w:rsid w:val="002E5D18"/>
    <w:pPr>
      <w:adjustRightInd w:val="0"/>
      <w:snapToGrid w:val="0"/>
      <w:spacing w:before="180" w:after="180" w:line="240" w:lineRule="atLeast"/>
      <w:ind w:left="720"/>
      <w:contextualSpacing/>
    </w:pPr>
    <w:rPr>
      <w:rFonts w:eastAsia="MS Mincho" w:cs="Times New Roman"/>
      <w:lang w:eastAsia="ja-JP"/>
    </w:rPr>
  </w:style>
  <w:style w:type="character" w:customStyle="1" w:styleId="ListParagraphChar">
    <w:name w:val="List Paragraph Char"/>
    <w:basedOn w:val="DefaultParagraphFont"/>
    <w:link w:val="ListParagraph"/>
    <w:uiPriority w:val="34"/>
    <w:locked/>
    <w:rsid w:val="002E5D18"/>
    <w:rPr>
      <w:rFonts w:ascii="Cambria" w:eastAsia="MS Mincho" w:hAnsi="Cambria" w:cs="Times New Roman"/>
      <w:sz w:val="22"/>
      <w:lang w:eastAsia="ja-JP"/>
    </w:rPr>
  </w:style>
  <w:style w:type="character" w:customStyle="1" w:styleId="Heading7Char">
    <w:name w:val="Heading 7 Char"/>
    <w:basedOn w:val="DefaultParagraphFont"/>
    <w:link w:val="Heading7"/>
    <w:uiPriority w:val="9"/>
    <w:rsid w:val="00442802"/>
    <w:rPr>
      <w:rFonts w:asciiTheme="majorHAnsi" w:eastAsiaTheme="majorEastAsia" w:hAnsiTheme="majorHAnsi" w:cstheme="majorBidi"/>
      <w:i/>
      <w:iCs/>
      <w:color w:val="1F3763" w:themeColor="accent1" w:themeShade="7F"/>
      <w:sz w:val="22"/>
    </w:rPr>
  </w:style>
  <w:style w:type="paragraph" w:customStyle="1" w:styleId="Tabletext0">
    <w:name w:val="Table text"/>
    <w:basedOn w:val="Normal"/>
    <w:link w:val="TabletextChar"/>
    <w:qFormat/>
    <w:rsid w:val="006C118C"/>
    <w:pPr>
      <w:spacing w:before="20" w:after="20" w:line="252" w:lineRule="auto"/>
    </w:pPr>
    <w:rPr>
      <w:rFonts w:eastAsia="Times New Roman" w:cs="Times New Roman"/>
      <w:snapToGrid w:val="0"/>
      <w:kern w:val="16"/>
      <w:sz w:val="20"/>
      <w:szCs w:val="24"/>
    </w:rPr>
  </w:style>
  <w:style w:type="character" w:customStyle="1" w:styleId="TabletextChar">
    <w:name w:val="Table text Char"/>
    <w:basedOn w:val="DefaultParagraphFont"/>
    <w:link w:val="Tabletext0"/>
    <w:rsid w:val="006C118C"/>
    <w:rPr>
      <w:rFonts w:ascii="Cambria" w:eastAsia="Times New Roman" w:hAnsi="Cambria" w:cs="Times New Roman"/>
      <w:snapToGrid w:val="0"/>
      <w:kern w:val="16"/>
      <w:szCs w:val="24"/>
    </w:rPr>
  </w:style>
  <w:style w:type="paragraph" w:customStyle="1" w:styleId="Bulletlist">
    <w:name w:val="Bullet list"/>
    <w:basedOn w:val="Normal"/>
    <w:link w:val="BulletlistChar"/>
    <w:qFormat/>
    <w:rsid w:val="006C118C"/>
    <w:pPr>
      <w:numPr>
        <w:numId w:val="10"/>
      </w:numPr>
      <w:spacing w:after="180" w:line="252" w:lineRule="auto"/>
      <w:ind w:left="426" w:hanging="284"/>
    </w:pPr>
    <w:rPr>
      <w:rFonts w:eastAsia="Times New Roman" w:cs="Times New Roman"/>
      <w:snapToGrid w:val="0"/>
      <w:kern w:val="2"/>
      <w:sz w:val="23"/>
    </w:rPr>
  </w:style>
  <w:style w:type="character" w:customStyle="1" w:styleId="BulletlistChar">
    <w:name w:val="Bullet list Char"/>
    <w:basedOn w:val="DefaultParagraphFont"/>
    <w:link w:val="Bulletlist"/>
    <w:rsid w:val="006C118C"/>
    <w:rPr>
      <w:rFonts w:ascii="Cambria" w:eastAsia="Times New Roman" w:hAnsi="Cambria" w:cs="Times New Roman"/>
      <w:snapToGrid w:val="0"/>
      <w:kern w:val="2"/>
      <w:sz w:val="23"/>
      <w:szCs w:val="22"/>
    </w:rPr>
  </w:style>
  <w:style w:type="paragraph" w:customStyle="1" w:styleId="Default">
    <w:name w:val="Default"/>
    <w:rsid w:val="00BC6DB3"/>
    <w:pPr>
      <w:autoSpaceDE w:val="0"/>
      <w:autoSpaceDN w:val="0"/>
      <w:adjustRightInd w:val="0"/>
      <w:spacing w:after="0" w:line="240" w:lineRule="auto"/>
    </w:pPr>
    <w:rPr>
      <w:color w:val="000000"/>
      <w:sz w:val="24"/>
      <w:szCs w:val="24"/>
    </w:rPr>
  </w:style>
  <w:style w:type="table" w:customStyle="1" w:styleId="a">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style>
  <w:style w:type="table" w:customStyle="1" w:styleId="a0">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tblStylePr w:type="firstRow">
      <w:pPr>
        <w:keepNext/>
      </w:pPr>
      <w:rPr>
        <w:rFonts w:ascii="Arial" w:eastAsia="Arial" w:hAnsi="Arial" w:cs="Arial"/>
        <w:b/>
        <w:color w:val="FFFFFF"/>
        <w:sz w:val="22"/>
        <w:szCs w:val="22"/>
      </w:rPr>
      <w:tblPr/>
      <w:tcPr>
        <w:shd w:val="clear" w:color="auto" w:fill="171717"/>
      </w:tcPr>
    </w:tblStylePr>
    <w:tblStylePr w:type="firstCol">
      <w:pPr>
        <w:keepNext w:val="0"/>
      </w:p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tblStylePr w:type="firstRow">
      <w:pPr>
        <w:keepNext/>
      </w:pPr>
      <w:rPr>
        <w:rFonts w:ascii="Arial" w:eastAsia="Arial" w:hAnsi="Arial" w:cs="Arial"/>
        <w:b/>
        <w:color w:val="FFFFFF"/>
        <w:sz w:val="22"/>
        <w:szCs w:val="22"/>
      </w:rPr>
      <w:tblPr/>
      <w:tcPr>
        <w:shd w:val="clear" w:color="auto" w:fill="171717"/>
      </w:tcPr>
    </w:tblStylePr>
    <w:tblStylePr w:type="firstCol">
      <w:pPr>
        <w:keepNext w:val="0"/>
      </w:pPr>
    </w:tblStylePr>
  </w:style>
  <w:style w:type="table" w:customStyle="1" w:styleId="a4">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tblStylePr w:type="firstRow">
      <w:pPr>
        <w:keepNext/>
      </w:pPr>
      <w:rPr>
        <w:rFonts w:ascii="Arial" w:eastAsia="Arial" w:hAnsi="Arial" w:cs="Arial"/>
        <w:b/>
        <w:color w:val="FFFFFF"/>
        <w:sz w:val="22"/>
        <w:szCs w:val="22"/>
      </w:rPr>
      <w:tblPr/>
      <w:tcPr>
        <w:shd w:val="clear" w:color="auto" w:fill="171717"/>
      </w:tcPr>
    </w:tblStylePr>
    <w:tblStylePr w:type="firstCol">
      <w:pPr>
        <w:keepNext w:val="0"/>
      </w:pPr>
    </w:tblStylePr>
  </w:style>
  <w:style w:type="table" w:customStyle="1" w:styleId="a5">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tblStylePr w:type="firstRow">
      <w:pPr>
        <w:keepNext/>
      </w:pPr>
      <w:rPr>
        <w:rFonts w:ascii="Arial" w:eastAsia="Arial" w:hAnsi="Arial" w:cs="Arial"/>
        <w:b/>
        <w:color w:val="FFFFFF"/>
        <w:sz w:val="22"/>
        <w:szCs w:val="22"/>
      </w:rPr>
      <w:tblPr/>
      <w:tcPr>
        <w:shd w:val="clear" w:color="auto" w:fill="171717"/>
      </w:tcPr>
    </w:tblStylePr>
    <w:tblStylePr w:type="firstCol">
      <w:pPr>
        <w:keepNext w:val="0"/>
      </w:pPr>
    </w:tblStylePr>
  </w:style>
  <w:style w:type="table" w:customStyle="1" w:styleId="a6">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tblStylePr w:type="firstRow">
      <w:pPr>
        <w:keepNext/>
      </w:pPr>
      <w:rPr>
        <w:rFonts w:ascii="Arial" w:eastAsia="Arial" w:hAnsi="Arial" w:cs="Arial"/>
        <w:b/>
        <w:color w:val="FFFFFF"/>
        <w:sz w:val="22"/>
        <w:szCs w:val="22"/>
      </w:rPr>
      <w:tblPr/>
      <w:tcPr>
        <w:shd w:val="clear" w:color="auto" w:fill="171717"/>
      </w:tcPr>
    </w:tblStylePr>
    <w:tblStylePr w:type="firstCol">
      <w:pPr>
        <w:keepNext w:val="0"/>
      </w:pPr>
    </w:tblStyle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80" w:after="0" w:line="240" w:lineRule="auto"/>
      <w:ind w:left="170" w:right="170"/>
    </w:pPr>
    <w:rPr>
      <w:color w:val="000000"/>
    </w:rPr>
    <w:tblPr>
      <w:tblStyleRowBandSize w:val="1"/>
      <w:tblStyleColBandSize w:val="1"/>
      <w:tblCellMar>
        <w:left w:w="0" w:type="dxa"/>
        <w:right w:w="0" w:type="dxa"/>
      </w:tblCellMar>
    </w:tblPr>
    <w:tcPr>
      <w:shd w:val="clear" w:color="auto" w:fill="auto"/>
    </w:tcPr>
  </w:style>
  <w:style w:type="table" w:customStyle="1" w:styleId="a9">
    <w:basedOn w:val="TableNormal"/>
    <w:pPr>
      <w:spacing w:before="80" w:after="0" w:line="240" w:lineRule="auto"/>
      <w:ind w:left="170" w:right="170"/>
    </w:pPr>
    <w:rPr>
      <w:color w:val="000000"/>
    </w:rPr>
    <w:tblPr>
      <w:tblStyleRowBandSize w:val="1"/>
      <w:tblStyleColBandSize w:val="1"/>
      <w:tblCellMar>
        <w:left w:w="115" w:type="dxa"/>
        <w:right w:w="115" w:type="dxa"/>
      </w:tblCellMar>
    </w:tblPr>
    <w:tcPr>
      <w:shd w:val="clear" w:color="auto" w:fill="auto"/>
    </w:tcPr>
  </w:style>
  <w:style w:type="table" w:customStyle="1" w:styleId="aa">
    <w:basedOn w:val="TableNormal"/>
    <w:pPr>
      <w:spacing w:before="80" w:after="0" w:line="240" w:lineRule="auto"/>
      <w:ind w:left="170" w:right="170"/>
    </w:pPr>
    <w:rPr>
      <w:color w:val="000000"/>
    </w:rPr>
    <w:tblPr>
      <w:tblStyleRowBandSize w:val="1"/>
      <w:tblStyleColBandSize w:val="1"/>
      <w:tblCellMar>
        <w:top w:w="85" w:type="dxa"/>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 TargetMode="External"/><Relationship Id="rId18" Type="http://schemas.openxmlformats.org/officeDocument/2006/relationships/hyperlink" Target="https://www.tga.gov.au/project-orbis" TargetMode="External"/><Relationship Id="rId26" Type="http://schemas.openxmlformats.org/officeDocument/2006/relationships/image" Target="media/image6.png"/><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tga.gov.au/products/australian-register-therapeutic-goods-artg/consumer-medicines-information-cmi"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ga.gov.au/black-triangle-scheme" TargetMode="External"/><Relationship Id="rId25" Type="http://schemas.openxmlformats.org/officeDocument/2006/relationships/image" Target="media/image5.png"/><Relationship Id="rId33" Type="http://schemas.openxmlformats.org/officeDocument/2006/relationships/header" Target="header3.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tga.gov.au/black-triangle-scheme" TargetMode="External"/><Relationship Id="rId20" Type="http://schemas.openxmlformats.org/officeDocument/2006/relationships/hyperlink" Target="https://www.tga.gov.au/products/australian-register-therapeutic-goods-artg/product-information-one" TargetMode="Externa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yperlink" Target="https://www.tga.gov.au/committee/advisory-committee-medicines-acm"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yperlink" Target="https://www.tga.gov.au/provisional-approval-pathway-prescription-medicines" TargetMode="External"/><Relationship Id="rId28" Type="http://schemas.openxmlformats.org/officeDocument/2006/relationships/image" Target="media/image8.png"/><Relationship Id="rId36" Type="http://schemas.openxmlformats.org/officeDocument/2006/relationships/hyperlink" Target="mailto:info@tga.gov.au" TargetMode="External"/><Relationship Id="rId10" Type="http://schemas.openxmlformats.org/officeDocument/2006/relationships/footer" Target="footer1.xml"/><Relationship Id="rId19" Type="http://schemas.openxmlformats.org/officeDocument/2006/relationships/hyperlink" Target="https://www.tga.gov.au/products/australian-register-therapeutic-goods-artg/product-information-one" TargetMode="External"/><Relationship Id="rId31"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tga.gov.au/australian-public-assessment-report-auspar-guidance" TargetMode="External"/><Relationship Id="rId22" Type="http://schemas.openxmlformats.org/officeDocument/2006/relationships/hyperlink" Target="https://www.tga.gov.au/picmi-search-facility"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www.tga.gov.au/picmi-search-facil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cessdata.fda.gov/drugsatfda_docs/nda/2020/213721Orig1s000Multidiscipline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AizW2ZlaULSgunnsK3ysgUd0w==">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</go:docsCustomData>
</go:gDocsCustomXmlDataStorage>
</file>

<file path=customXml/itemProps1.xml><?xml version="1.0" encoding="utf-8"?>
<ds:datastoreItem xmlns:ds="http://schemas.openxmlformats.org/officeDocument/2006/customXml" ds:itemID="{E0143449-207D-46BD-B66B-A7986A8E73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15098</Words>
  <Characters>83799</Characters>
  <Application>Microsoft Office Word</Application>
  <DocSecurity>4</DocSecurity>
  <Lines>1710</Lines>
  <Paragraphs>998</Paragraphs>
  <ScaleCrop>false</ScaleCrop>
  <HeadingPairs>
    <vt:vector size="2" baseType="variant">
      <vt:variant>
        <vt:lpstr>Title</vt:lpstr>
      </vt:variant>
      <vt:variant>
        <vt:i4>1</vt:i4>
      </vt:variant>
    </vt:vector>
  </HeadingPairs>
  <TitlesOfParts>
    <vt:vector size="1" baseType="lpstr">
      <vt:lpstr>Australian public assessment report for Gavreto</vt:lpstr>
    </vt:vector>
  </TitlesOfParts>
  <Company>Department of Health and Aged Care</Company>
  <LinksUpToDate>false</LinksUpToDate>
  <CharactersWithSpaces>97899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Gavreto</dc:title>
  <dc:subject>Prescription medicines</dc:subject>
  <dc:creator>Therapeutic Goods Administration</dc:creator>
  <cp:revision>2</cp:revision>
  <dcterms:created xsi:type="dcterms:W3CDTF">2023-10-30T01:06:00Z</dcterms:created>
  <dcterms:modified xsi:type="dcterms:W3CDTF">2023-10-30T01:06:00Z</dcterms:modified>
</cp:coreProperties>
</file>