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540E" w14:textId="77777777" w:rsidR="00A87EB1" w:rsidRPr="00A87EB1" w:rsidRDefault="00A87EB1" w:rsidP="00A87EB1">
      <w:pPr>
        <w:jc w:val="both"/>
        <w:rPr>
          <w:color w:val="auto"/>
          <w:lang w:val="en-AU"/>
        </w:rPr>
      </w:pPr>
      <w:r w:rsidRPr="00A87EB1">
        <w:rPr>
          <w:noProof/>
          <w:color w:val="auto"/>
          <w:lang w:eastAsia="en-NZ"/>
        </w:rPr>
        <mc:AlternateContent>
          <mc:Choice Requires="wps">
            <w:drawing>
              <wp:inline distT="0" distB="0" distL="0" distR="0" wp14:anchorId="30E55F03" wp14:editId="6A7AD698">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BE45B" w14:textId="77777777" w:rsidR="000925C1" w:rsidRPr="00BE2A26" w:rsidRDefault="000925C1" w:rsidP="00A87EB1">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0E55F03"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91BE45B" w14:textId="77777777" w:rsidR="000925C1" w:rsidRPr="00BE2A26" w:rsidRDefault="000925C1" w:rsidP="00A87EB1">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A87EB1">
        <w:rPr>
          <w:color w:val="auto"/>
          <w:lang w:val="en-AU"/>
        </w:rPr>
        <w:t xml:space="preserve">This medicinal product is subject to additional monitoring in Australia. This will </w:t>
      </w:r>
      <w:proofErr w:type="gramStart"/>
      <w:r w:rsidRPr="00A87EB1">
        <w:rPr>
          <w:color w:val="auto"/>
          <w:lang w:val="en-AU"/>
        </w:rPr>
        <w:t>allow</w:t>
      </w:r>
      <w:proofErr w:type="gramEnd"/>
    </w:p>
    <w:p w14:paraId="581C6B3C" w14:textId="77777777" w:rsidR="00A87EB1" w:rsidRPr="00A87EB1" w:rsidRDefault="00A87EB1" w:rsidP="00A87EB1">
      <w:pPr>
        <w:jc w:val="both"/>
        <w:rPr>
          <w:color w:val="auto"/>
          <w:lang w:val="en-AU"/>
        </w:rPr>
      </w:pPr>
      <w:r w:rsidRPr="00A87EB1">
        <w:rPr>
          <w:color w:val="auto"/>
          <w:lang w:val="en-AU"/>
        </w:rPr>
        <w:t xml:space="preserve">quick identification of new safety information. Healthcare professionals are asked to </w:t>
      </w:r>
      <w:proofErr w:type="gramStart"/>
      <w:r w:rsidRPr="00A87EB1">
        <w:rPr>
          <w:color w:val="auto"/>
          <w:lang w:val="en-AU"/>
        </w:rPr>
        <w:t>report</w:t>
      </w:r>
      <w:proofErr w:type="gramEnd"/>
    </w:p>
    <w:p w14:paraId="554AC7F1" w14:textId="77777777" w:rsidR="00A87EB1" w:rsidRPr="00A87EB1" w:rsidRDefault="00A87EB1" w:rsidP="00A87EB1">
      <w:pPr>
        <w:jc w:val="both"/>
        <w:rPr>
          <w:color w:val="auto"/>
          <w:lang w:val="en-AU"/>
        </w:rPr>
      </w:pPr>
      <w:r w:rsidRPr="00A87EB1">
        <w:rPr>
          <w:color w:val="auto"/>
          <w:lang w:val="en-AU"/>
        </w:rPr>
        <w:t>any suspected adverse events at www.tga.gov.au/reporting-problems.</w:t>
      </w:r>
    </w:p>
    <w:p w14:paraId="456F5D07" w14:textId="77777777" w:rsidR="00A87EB1" w:rsidRDefault="00A87EB1" w:rsidP="00834C48">
      <w:pPr>
        <w:jc w:val="center"/>
        <w:rPr>
          <w:b/>
          <w:color w:val="auto"/>
          <w:sz w:val="28"/>
          <w:szCs w:val="28"/>
        </w:rPr>
      </w:pPr>
    </w:p>
    <w:p w14:paraId="3AABFB85" w14:textId="6362193E" w:rsidR="00834C48" w:rsidRPr="008A581F" w:rsidRDefault="00834C48" w:rsidP="00834C48">
      <w:pPr>
        <w:jc w:val="center"/>
        <w:rPr>
          <w:b/>
          <w:color w:val="auto"/>
          <w:sz w:val="28"/>
          <w:szCs w:val="28"/>
        </w:rPr>
      </w:pPr>
      <w:r w:rsidRPr="008A581F">
        <w:rPr>
          <w:b/>
          <w:color w:val="auto"/>
          <w:sz w:val="28"/>
          <w:szCs w:val="28"/>
        </w:rPr>
        <w:t>AUSTRALIAN PRODUCT INFORMATION</w:t>
      </w:r>
    </w:p>
    <w:p w14:paraId="72DCFA60" w14:textId="77777777" w:rsidR="00834C48" w:rsidRPr="008A581F" w:rsidRDefault="008A581F" w:rsidP="00834C48">
      <w:pPr>
        <w:jc w:val="center"/>
        <w:rPr>
          <w:color w:val="auto"/>
        </w:rPr>
      </w:pPr>
      <w:r w:rsidRPr="008A581F">
        <w:rPr>
          <w:b/>
          <w:color w:val="auto"/>
          <w:sz w:val="28"/>
          <w:szCs w:val="28"/>
        </w:rPr>
        <w:t>GAVRETO</w:t>
      </w:r>
      <w:r w:rsidRPr="008A581F">
        <w:rPr>
          <w:b/>
          <w:color w:val="auto"/>
          <w:sz w:val="28"/>
          <w:szCs w:val="28"/>
          <w:vertAlign w:val="superscript"/>
        </w:rPr>
        <w:t>®</w:t>
      </w:r>
      <w:r w:rsidR="00834C48" w:rsidRPr="008A581F">
        <w:rPr>
          <w:b/>
          <w:color w:val="auto"/>
          <w:sz w:val="28"/>
          <w:szCs w:val="28"/>
        </w:rPr>
        <w:t xml:space="preserve"> (</w:t>
      </w:r>
      <w:proofErr w:type="spellStart"/>
      <w:r w:rsidRPr="008A581F">
        <w:rPr>
          <w:b/>
          <w:color w:val="auto"/>
          <w:sz w:val="28"/>
          <w:szCs w:val="28"/>
        </w:rPr>
        <w:t>pralsetinib</w:t>
      </w:r>
      <w:proofErr w:type="spellEnd"/>
      <w:r w:rsidR="00834C48" w:rsidRPr="008A581F">
        <w:rPr>
          <w:b/>
          <w:color w:val="auto"/>
          <w:sz w:val="28"/>
          <w:szCs w:val="28"/>
        </w:rPr>
        <w:t>)</w:t>
      </w:r>
    </w:p>
    <w:p w14:paraId="227E25A5" w14:textId="77777777" w:rsidR="00834C48" w:rsidRDefault="00834C48">
      <w:pPr>
        <w:rPr>
          <w:sz w:val="22"/>
          <w:szCs w:val="22"/>
        </w:rPr>
      </w:pPr>
    </w:p>
    <w:p w14:paraId="5C76ECA7" w14:textId="77777777" w:rsidR="00D52399" w:rsidRPr="008A581F" w:rsidRDefault="008A581F" w:rsidP="0087549F">
      <w:pPr>
        <w:pStyle w:val="Heading1"/>
        <w:numPr>
          <w:ilvl w:val="0"/>
          <w:numId w:val="3"/>
        </w:numPr>
        <w:spacing w:before="0"/>
        <w:rPr>
          <w:color w:val="auto"/>
        </w:rPr>
      </w:pPr>
      <w:r w:rsidRPr="008A581F">
        <w:rPr>
          <w:color w:val="auto"/>
        </w:rPr>
        <w:t>GAVRETO</w:t>
      </w:r>
    </w:p>
    <w:p w14:paraId="5961A7F8" w14:textId="77777777" w:rsidR="00D52399" w:rsidRPr="008A581F" w:rsidRDefault="008A581F" w:rsidP="009F4C5B">
      <w:pPr>
        <w:spacing w:after="240"/>
        <w:rPr>
          <w:color w:val="auto"/>
        </w:rPr>
      </w:pPr>
      <w:proofErr w:type="spellStart"/>
      <w:r w:rsidRPr="008A581F">
        <w:rPr>
          <w:color w:val="auto"/>
        </w:rPr>
        <w:t>Pralsetinib</w:t>
      </w:r>
      <w:proofErr w:type="spellEnd"/>
      <w:r w:rsidRPr="008A581F">
        <w:rPr>
          <w:color w:val="auto"/>
        </w:rPr>
        <w:t xml:space="preserve"> </w:t>
      </w:r>
    </w:p>
    <w:p w14:paraId="1275C51D" w14:textId="77777777" w:rsidR="00D52399" w:rsidRDefault="00615052" w:rsidP="009F4C5B">
      <w:pPr>
        <w:pStyle w:val="Heading1"/>
        <w:numPr>
          <w:ilvl w:val="0"/>
          <w:numId w:val="3"/>
        </w:numPr>
        <w:spacing w:before="0"/>
      </w:pPr>
      <w:r>
        <w:t>QUALITATIVE AND QUANTITATIVE COMPOSITION</w:t>
      </w:r>
    </w:p>
    <w:p w14:paraId="4B17B237" w14:textId="09A664B4" w:rsidR="00D52399" w:rsidRDefault="008A581F">
      <w:pPr>
        <w:rPr>
          <w:color w:val="auto"/>
          <w:sz w:val="22"/>
          <w:szCs w:val="22"/>
        </w:rPr>
      </w:pPr>
      <w:r w:rsidRPr="008A581F">
        <w:rPr>
          <w:color w:val="auto"/>
          <w:sz w:val="22"/>
          <w:szCs w:val="22"/>
        </w:rPr>
        <w:t>E</w:t>
      </w:r>
      <w:r w:rsidR="00A64CD0">
        <w:rPr>
          <w:color w:val="auto"/>
          <w:sz w:val="22"/>
          <w:szCs w:val="22"/>
        </w:rPr>
        <w:t>ach</w:t>
      </w:r>
      <w:r w:rsidRPr="008A581F">
        <w:rPr>
          <w:color w:val="auto"/>
          <w:sz w:val="22"/>
          <w:szCs w:val="22"/>
        </w:rPr>
        <w:t xml:space="preserve"> hard capsule contains 100 mg </w:t>
      </w:r>
      <w:proofErr w:type="spellStart"/>
      <w:r w:rsidRPr="008A581F">
        <w:rPr>
          <w:color w:val="auto"/>
          <w:sz w:val="22"/>
          <w:szCs w:val="22"/>
        </w:rPr>
        <w:t>pralsetinib</w:t>
      </w:r>
      <w:proofErr w:type="spellEnd"/>
      <w:r w:rsidR="006077A2">
        <w:rPr>
          <w:color w:val="auto"/>
          <w:sz w:val="22"/>
          <w:szCs w:val="22"/>
        </w:rPr>
        <w:t>.</w:t>
      </w:r>
    </w:p>
    <w:p w14:paraId="1939C2CB" w14:textId="2C10AB02" w:rsidR="006421C6" w:rsidRDefault="006421C6">
      <w:pPr>
        <w:rPr>
          <w:color w:val="auto"/>
          <w:sz w:val="22"/>
          <w:szCs w:val="22"/>
        </w:rPr>
      </w:pPr>
    </w:p>
    <w:p w14:paraId="325767F6" w14:textId="77777777" w:rsidR="00DC7D51" w:rsidRPr="00F860B8" w:rsidRDefault="00DC7D51" w:rsidP="00DC7D51">
      <w:proofErr w:type="spellStart"/>
      <w:r w:rsidRPr="00F860B8">
        <w:t>Gavreto</w:t>
      </w:r>
      <w:proofErr w:type="spellEnd"/>
      <w:r w:rsidRPr="00F860B8">
        <w:t xml:space="preserve"> (</w:t>
      </w:r>
      <w:proofErr w:type="spellStart"/>
      <w:r w:rsidRPr="00F860B8">
        <w:t>pralsetinib</w:t>
      </w:r>
      <w:proofErr w:type="spellEnd"/>
      <w:r w:rsidRPr="00F860B8">
        <w:t>) 100 mg, light blue, opaque, immediate release, hydroxypropyl</w:t>
      </w:r>
    </w:p>
    <w:p w14:paraId="5E3C2799" w14:textId="77777777" w:rsidR="00DC7D51" w:rsidRPr="00F860B8" w:rsidRDefault="00DC7D51" w:rsidP="00DC7D51">
      <w:r w:rsidRPr="00F860B8">
        <w:t>methylcellulose (HPMC) hard capsule printed with “BLU-667” on the capsule shell body and</w:t>
      </w:r>
    </w:p>
    <w:p w14:paraId="6F93A3AA" w14:textId="0FAAD635" w:rsidR="00BF1CBC" w:rsidRDefault="00DC7D51" w:rsidP="00BF1CBC">
      <w:r w:rsidRPr="00F860B8">
        <w:t>“100 mg” on the capsule shell cap</w:t>
      </w:r>
      <w:r>
        <w:t>.</w:t>
      </w:r>
    </w:p>
    <w:p w14:paraId="27E86C79" w14:textId="77777777" w:rsidR="008431F5" w:rsidRPr="00BF1CBC" w:rsidRDefault="008431F5" w:rsidP="00BF1CBC">
      <w:pPr>
        <w:rPr>
          <w:color w:val="auto"/>
          <w:sz w:val="22"/>
          <w:szCs w:val="22"/>
        </w:rPr>
      </w:pPr>
    </w:p>
    <w:p w14:paraId="73234E0A" w14:textId="577868C3" w:rsidR="00D52399" w:rsidRDefault="00615052" w:rsidP="009F4C5B">
      <w:pPr>
        <w:spacing w:after="240"/>
        <w:rPr>
          <w:u w:val="single"/>
        </w:rPr>
      </w:pPr>
      <w:r>
        <w:t>For the full list of excipients, see section 6.1</w:t>
      </w:r>
      <w:r w:rsidR="009F4C5B">
        <w:t xml:space="preserve"> List of excipients</w:t>
      </w:r>
      <w:r>
        <w:t>.</w:t>
      </w:r>
    </w:p>
    <w:p w14:paraId="2C75C893" w14:textId="77777777" w:rsidR="00D52399" w:rsidRDefault="00615052" w:rsidP="009F4C5B">
      <w:pPr>
        <w:pStyle w:val="Heading1"/>
        <w:numPr>
          <w:ilvl w:val="0"/>
          <w:numId w:val="3"/>
        </w:numPr>
        <w:spacing w:before="0"/>
      </w:pPr>
      <w:r>
        <w:t>PHARMACEUTICAL FORM</w:t>
      </w:r>
    </w:p>
    <w:p w14:paraId="3D9C7B74" w14:textId="77777777" w:rsidR="00D52399" w:rsidRPr="00F36D76" w:rsidRDefault="00F36D76" w:rsidP="009F4C5B">
      <w:pPr>
        <w:spacing w:after="240"/>
        <w:rPr>
          <w:color w:val="auto"/>
        </w:rPr>
      </w:pPr>
      <w:r w:rsidRPr="00F36D76">
        <w:rPr>
          <w:color w:val="auto"/>
        </w:rPr>
        <w:t>Hard capsule.</w:t>
      </w:r>
    </w:p>
    <w:p w14:paraId="3738F8FE" w14:textId="77777777" w:rsidR="00F36D76" w:rsidRPr="00F36D76" w:rsidRDefault="00B421E9" w:rsidP="009F4C5B">
      <w:pPr>
        <w:spacing w:after="240"/>
        <w:rPr>
          <w:color w:val="auto"/>
        </w:rPr>
      </w:pPr>
      <w:proofErr w:type="spellStart"/>
      <w:r>
        <w:rPr>
          <w:color w:val="auto"/>
        </w:rPr>
        <w:t>Gavreto</w:t>
      </w:r>
      <w:proofErr w:type="spellEnd"/>
      <w:r>
        <w:rPr>
          <w:color w:val="auto"/>
        </w:rPr>
        <w:t xml:space="preserve"> is a</w:t>
      </w:r>
      <w:r w:rsidR="00F36D76" w:rsidRPr="00F36D76">
        <w:rPr>
          <w:color w:val="auto"/>
        </w:rPr>
        <w:t xml:space="preserve"> size</w:t>
      </w:r>
      <w:r w:rsidR="00F36D76">
        <w:rPr>
          <w:color w:val="auto"/>
        </w:rPr>
        <w:t xml:space="preserve"> 0</w:t>
      </w:r>
      <w:r w:rsidR="00F36D76" w:rsidRPr="00F36D76">
        <w:rPr>
          <w:color w:val="auto"/>
        </w:rPr>
        <w:t xml:space="preserve"> capsule with light blue body and cap and BLU-667 imprinted in white on the body.</w:t>
      </w:r>
    </w:p>
    <w:p w14:paraId="1FB4F8AC" w14:textId="77777777" w:rsidR="00D52399" w:rsidRDefault="00615052" w:rsidP="009F4C5B">
      <w:pPr>
        <w:pStyle w:val="Heading1"/>
        <w:numPr>
          <w:ilvl w:val="0"/>
          <w:numId w:val="3"/>
        </w:numPr>
        <w:spacing w:before="0"/>
      </w:pPr>
      <w:r>
        <w:t>CLINICAL PARTICULARS</w:t>
      </w:r>
    </w:p>
    <w:p w14:paraId="7CB4B480" w14:textId="77777777" w:rsidR="00D52399" w:rsidRDefault="00902EBE" w:rsidP="009F4C5B">
      <w:pPr>
        <w:pStyle w:val="Heading2"/>
        <w:numPr>
          <w:ilvl w:val="0"/>
          <w:numId w:val="1"/>
        </w:numPr>
        <w:spacing w:before="0"/>
        <w:ind w:hanging="786"/>
      </w:pPr>
      <w:r>
        <w:t>THERAPEUTIC INDICATIONS</w:t>
      </w:r>
    </w:p>
    <w:p w14:paraId="3B7D806C" w14:textId="77777777" w:rsidR="00F36D76" w:rsidRPr="00F36D76" w:rsidRDefault="00F36D76" w:rsidP="00F36D76"/>
    <w:p w14:paraId="58B474B1" w14:textId="77777777" w:rsidR="00F36D76" w:rsidRPr="00F36D76" w:rsidRDefault="00F36D76" w:rsidP="00F36D76">
      <w:pPr>
        <w:rPr>
          <w:b/>
        </w:rPr>
      </w:pPr>
      <w:r w:rsidRPr="00F36D76">
        <w:rPr>
          <w:b/>
        </w:rPr>
        <w:t>Non-Small Cell Lung Cancer (NSCLC)</w:t>
      </w:r>
    </w:p>
    <w:p w14:paraId="5BA39E70" w14:textId="77777777" w:rsidR="00997AAF" w:rsidRDefault="00DA2272" w:rsidP="00F36D76">
      <w:proofErr w:type="spellStart"/>
      <w:r>
        <w:t>Gavreto</w:t>
      </w:r>
      <w:proofErr w:type="spellEnd"/>
      <w:r>
        <w:t xml:space="preserve"> has </w:t>
      </w:r>
      <w:r>
        <w:rPr>
          <w:b/>
          <w:bCs/>
        </w:rPr>
        <w:t>provisional approval</w:t>
      </w:r>
      <w:r>
        <w:t xml:space="preserve"> in Australia for the treatment of adult patients with locally advanced or metastatic rearranged during transfection (RET) fusion-positive non-small cell lung cancer (NSCLC).  The decision to approve this indication has been made </w:t>
      </w:r>
      <w:proofErr w:type="gramStart"/>
      <w:r>
        <w:t>on the basis of</w:t>
      </w:r>
      <w:proofErr w:type="gramEnd"/>
      <w:r>
        <w:t xml:space="preserve"> overall response rate (ORR) and duration of response (DOR) in single-arm trials.  Continued approval of this indication depends on verification and description of benefit in confirmatory trials.</w:t>
      </w:r>
    </w:p>
    <w:p w14:paraId="226BB91F" w14:textId="0B4129D0" w:rsidR="00F36D76" w:rsidRDefault="00F36D76" w:rsidP="00F36D76"/>
    <w:p w14:paraId="19A990F6" w14:textId="77777777" w:rsidR="00F36D76" w:rsidRPr="00F36D76" w:rsidRDefault="00F36D76" w:rsidP="00F36D76">
      <w:pPr>
        <w:rPr>
          <w:b/>
        </w:rPr>
      </w:pPr>
      <w:r w:rsidRPr="00F36D76">
        <w:rPr>
          <w:b/>
        </w:rPr>
        <w:t>RET-Fusion Positive Thyroid Cancer</w:t>
      </w:r>
    </w:p>
    <w:p w14:paraId="5FBD6FA0" w14:textId="6F2EE456" w:rsidR="00420623" w:rsidRDefault="00F36D76" w:rsidP="00DA2272">
      <w:proofErr w:type="spellStart"/>
      <w:r>
        <w:t>Gavreto</w:t>
      </w:r>
      <w:proofErr w:type="spellEnd"/>
      <w:r>
        <w:t xml:space="preserve"> </w:t>
      </w:r>
      <w:r w:rsidR="00DA2272">
        <w:t xml:space="preserve">has </w:t>
      </w:r>
      <w:r w:rsidR="00DA2272">
        <w:rPr>
          <w:b/>
          <w:bCs/>
        </w:rPr>
        <w:t xml:space="preserve">provisional approval </w:t>
      </w:r>
      <w:r w:rsidR="00DA2272">
        <w:t xml:space="preserve">in Australia for the treatment of adult patients with advanced or metastatic RET-fusion positive thyroid cancer that is refractory to (or unsuitable for) radioactive iodine and who have progressed on or are unable to tolerate </w:t>
      </w:r>
      <w:proofErr w:type="spellStart"/>
      <w:r w:rsidR="00DA2272">
        <w:t>lenvatinib</w:t>
      </w:r>
      <w:proofErr w:type="spellEnd"/>
      <w:r w:rsidR="00DA2272">
        <w:t xml:space="preserve"> or sorafenib.  The decision to approve this indication has been made </w:t>
      </w:r>
      <w:proofErr w:type="gramStart"/>
      <w:r w:rsidR="00DA2272">
        <w:t>on the basis of</w:t>
      </w:r>
      <w:proofErr w:type="gramEnd"/>
      <w:r w:rsidR="00DA2272">
        <w:t xml:space="preserve"> overall response rate (ORR) and duration of response (DOR).  Continued approval of this indication depends on verification and description of benefit in confirmatory trials.</w:t>
      </w:r>
    </w:p>
    <w:p w14:paraId="5D6BAF35" w14:textId="77777777" w:rsidR="00A72BC5" w:rsidRDefault="00A72BC5" w:rsidP="00DA2272"/>
    <w:p w14:paraId="7390A41A" w14:textId="77777777" w:rsidR="00A72BC5" w:rsidRDefault="00A72BC5" w:rsidP="00DA2272"/>
    <w:p w14:paraId="52AC9555" w14:textId="77777777" w:rsidR="00A72BC5" w:rsidRDefault="00A72BC5" w:rsidP="00DA2272"/>
    <w:p w14:paraId="3DB88556" w14:textId="77777777" w:rsidR="00A72BC5" w:rsidRDefault="00A72BC5" w:rsidP="00DA2272"/>
    <w:p w14:paraId="2F837912" w14:textId="77777777" w:rsidR="00A72BC5" w:rsidRDefault="00A72BC5" w:rsidP="00DA2272"/>
    <w:p w14:paraId="62BF476D" w14:textId="77777777" w:rsidR="00A72BC5" w:rsidRDefault="00A72BC5" w:rsidP="00DA2272"/>
    <w:p w14:paraId="20702892" w14:textId="77777777" w:rsidR="00D52399" w:rsidRDefault="00902EBE" w:rsidP="00A8585F">
      <w:pPr>
        <w:pStyle w:val="Heading2"/>
        <w:numPr>
          <w:ilvl w:val="1"/>
          <w:numId w:val="2"/>
        </w:numPr>
        <w:ind w:left="0" w:firstLine="0"/>
      </w:pPr>
      <w:r>
        <w:t>DOSE AND METHOD OF ADMINISTRATION</w:t>
      </w:r>
    </w:p>
    <w:p w14:paraId="09D12104" w14:textId="77777777" w:rsidR="00F36D76" w:rsidRPr="00DC1DDC" w:rsidRDefault="00F36D76" w:rsidP="00F36D76">
      <w:pPr>
        <w:pStyle w:val="Heading3"/>
        <w:rPr>
          <w:color w:val="auto"/>
        </w:rPr>
      </w:pPr>
      <w:r w:rsidRPr="00DC1DDC">
        <w:rPr>
          <w:color w:val="auto"/>
        </w:rPr>
        <w:t xml:space="preserve">General </w:t>
      </w:r>
    </w:p>
    <w:p w14:paraId="36EC3DDE" w14:textId="77777777" w:rsidR="00F36D76" w:rsidRPr="00DC1DDC" w:rsidRDefault="00F36D76" w:rsidP="00F36D76">
      <w:pPr>
        <w:pStyle w:val="Heading4"/>
        <w:rPr>
          <w:color w:val="auto"/>
        </w:rPr>
      </w:pPr>
      <w:r w:rsidRPr="00DC1DDC">
        <w:rPr>
          <w:color w:val="auto"/>
        </w:rPr>
        <w:t>Method of administration</w:t>
      </w:r>
    </w:p>
    <w:p w14:paraId="200E35F5" w14:textId="3E77369D" w:rsidR="00F36D76" w:rsidRDefault="00F36D76" w:rsidP="00F36D76">
      <w:pPr>
        <w:rPr>
          <w:color w:val="auto"/>
          <w:lang w:val="en-US"/>
        </w:rPr>
      </w:pPr>
      <w:proofErr w:type="spellStart"/>
      <w:r>
        <w:rPr>
          <w:color w:val="auto"/>
        </w:rPr>
        <w:t>Gavreto</w:t>
      </w:r>
      <w:proofErr w:type="spellEnd"/>
      <w:r w:rsidRPr="00DC1DDC">
        <w:rPr>
          <w:color w:val="auto"/>
        </w:rPr>
        <w:t xml:space="preserve"> </w:t>
      </w:r>
      <w:r w:rsidRPr="00F36D76">
        <w:rPr>
          <w:color w:val="auto"/>
          <w:lang w:val="en-US"/>
        </w:rPr>
        <w:t xml:space="preserve">hard capsules should be taken on an empty stomach. Do not eat for at least 2 hours before and at least 1 hour after taking </w:t>
      </w:r>
      <w:proofErr w:type="spellStart"/>
      <w:r w:rsidRPr="00F36D76">
        <w:rPr>
          <w:color w:val="auto"/>
          <w:lang w:val="en-US"/>
        </w:rPr>
        <w:t>Gavreto</w:t>
      </w:r>
      <w:proofErr w:type="spellEnd"/>
      <w:r w:rsidRPr="00F36D76">
        <w:rPr>
          <w:color w:val="auto"/>
          <w:lang w:val="en-US"/>
        </w:rPr>
        <w:t xml:space="preserve">. </w:t>
      </w:r>
    </w:p>
    <w:p w14:paraId="5C38B658" w14:textId="77777777" w:rsidR="00F36D76" w:rsidRPr="00F36D76" w:rsidRDefault="00F36D76" w:rsidP="00F36D76">
      <w:pPr>
        <w:rPr>
          <w:color w:val="auto"/>
          <w:lang w:val="en-US"/>
        </w:rPr>
      </w:pPr>
    </w:p>
    <w:p w14:paraId="06B82C9B" w14:textId="77777777" w:rsidR="00F36D76" w:rsidRPr="00DC1DDC" w:rsidRDefault="00F36D76" w:rsidP="00F36D76">
      <w:pPr>
        <w:rPr>
          <w:color w:val="auto"/>
        </w:rPr>
      </w:pPr>
      <w:proofErr w:type="spellStart"/>
      <w:r w:rsidRPr="00F36D76">
        <w:rPr>
          <w:color w:val="auto"/>
          <w:lang w:val="en-US"/>
        </w:rPr>
        <w:t>Gavreto</w:t>
      </w:r>
      <w:proofErr w:type="spellEnd"/>
      <w:r w:rsidRPr="00F36D76">
        <w:rPr>
          <w:color w:val="auto"/>
          <w:lang w:val="en-US"/>
        </w:rPr>
        <w:t xml:space="preserve"> hard capsules should be swallowed whole with a glass of water and must not be opened or chewed.</w:t>
      </w:r>
    </w:p>
    <w:p w14:paraId="6293F998" w14:textId="77777777" w:rsidR="00F36D76" w:rsidRPr="00DC1DDC" w:rsidRDefault="00F36D76" w:rsidP="00F36D76">
      <w:pPr>
        <w:pStyle w:val="Heading4"/>
        <w:rPr>
          <w:color w:val="auto"/>
        </w:rPr>
      </w:pPr>
      <w:r w:rsidRPr="00DC1DDC">
        <w:rPr>
          <w:color w:val="auto"/>
        </w:rPr>
        <w:t>Patient selection</w:t>
      </w:r>
    </w:p>
    <w:p w14:paraId="2646EF50" w14:textId="77777777" w:rsidR="00F36D76" w:rsidRPr="00DC1DDC" w:rsidRDefault="00F36D76" w:rsidP="00F36D76">
      <w:pPr>
        <w:pStyle w:val="Heading5"/>
        <w:rPr>
          <w:color w:val="auto"/>
        </w:rPr>
      </w:pPr>
      <w:r w:rsidRPr="00DC1DDC">
        <w:rPr>
          <w:color w:val="auto"/>
        </w:rPr>
        <w:t xml:space="preserve">NSCLC </w:t>
      </w:r>
      <w:r w:rsidR="00564F38">
        <w:rPr>
          <w:color w:val="auto"/>
        </w:rPr>
        <w:t>and RTC</w:t>
      </w:r>
    </w:p>
    <w:p w14:paraId="0A578DA8" w14:textId="2C9641B2" w:rsidR="00F36D76" w:rsidRDefault="00F36D76" w:rsidP="00F36D76">
      <w:pPr>
        <w:rPr>
          <w:color w:val="auto"/>
        </w:rPr>
      </w:pPr>
      <w:r w:rsidRPr="00DC1DDC">
        <w:rPr>
          <w:color w:val="auto"/>
        </w:rPr>
        <w:t xml:space="preserve">A validated assay is required for the selection of patients with </w:t>
      </w:r>
      <w:r w:rsidR="00564F38">
        <w:rPr>
          <w:color w:val="auto"/>
        </w:rPr>
        <w:t xml:space="preserve">RET-fusion </w:t>
      </w:r>
      <w:r w:rsidRPr="00DC1DDC">
        <w:rPr>
          <w:color w:val="auto"/>
        </w:rPr>
        <w:t>positive locally advanced or metastatic NSCLC</w:t>
      </w:r>
      <w:r w:rsidR="00827F71">
        <w:rPr>
          <w:color w:val="auto"/>
        </w:rPr>
        <w:t>; or for RET-fusion positive Thyroid cancer</w:t>
      </w:r>
      <w:r w:rsidRPr="00DC1DDC">
        <w:rPr>
          <w:color w:val="auto"/>
        </w:rPr>
        <w:t xml:space="preserve">. </w:t>
      </w:r>
      <w:r w:rsidR="00564F38">
        <w:rPr>
          <w:color w:val="auto"/>
        </w:rPr>
        <w:t>RET-fusion</w:t>
      </w:r>
      <w:r w:rsidRPr="00DC1DDC">
        <w:rPr>
          <w:color w:val="auto"/>
        </w:rPr>
        <w:t xml:space="preserve"> status should be established prior to initiation of </w:t>
      </w:r>
      <w:proofErr w:type="spellStart"/>
      <w:r w:rsidR="00564F38">
        <w:rPr>
          <w:color w:val="auto"/>
        </w:rPr>
        <w:t>Gavreto</w:t>
      </w:r>
      <w:proofErr w:type="spellEnd"/>
      <w:r w:rsidR="00564F38">
        <w:rPr>
          <w:color w:val="auto"/>
        </w:rPr>
        <w:t xml:space="preserve"> </w:t>
      </w:r>
      <w:r w:rsidRPr="00DC1DDC">
        <w:rPr>
          <w:color w:val="auto"/>
        </w:rPr>
        <w:t>therapy.</w:t>
      </w:r>
    </w:p>
    <w:p w14:paraId="5BE22558" w14:textId="77777777" w:rsidR="00564F38" w:rsidRPr="00DC1DDC" w:rsidRDefault="00564F38" w:rsidP="00F36D76">
      <w:pPr>
        <w:rPr>
          <w:color w:val="auto"/>
        </w:rPr>
      </w:pPr>
    </w:p>
    <w:p w14:paraId="0DBF8D78" w14:textId="77777777" w:rsidR="00D52399" w:rsidRDefault="00615052" w:rsidP="00CC6729">
      <w:pPr>
        <w:pStyle w:val="Heading3"/>
        <w:spacing w:before="0"/>
      </w:pPr>
      <w:r>
        <w:t>Dos</w:t>
      </w:r>
      <w:r w:rsidR="00F5220C">
        <w:t>age</w:t>
      </w:r>
    </w:p>
    <w:p w14:paraId="6CC4CB2D" w14:textId="603B7BED" w:rsidR="004A4DE8" w:rsidRPr="004A4DE8" w:rsidRDefault="004A4DE8" w:rsidP="004A4DE8">
      <w:pPr>
        <w:pStyle w:val="Heading4"/>
        <w:rPr>
          <w:b/>
          <w:u w:val="none"/>
        </w:rPr>
      </w:pPr>
      <w:r w:rsidRPr="004A4DE8">
        <w:rPr>
          <w:b/>
          <w:u w:val="none"/>
        </w:rPr>
        <w:t>Adults</w:t>
      </w:r>
    </w:p>
    <w:p w14:paraId="54B35C22" w14:textId="77777777" w:rsidR="004A4DE8" w:rsidRPr="004A4DE8" w:rsidRDefault="004A4DE8" w:rsidP="004A4DE8">
      <w:pPr>
        <w:pStyle w:val="Heading4"/>
        <w:rPr>
          <w:u w:val="none"/>
        </w:rPr>
      </w:pPr>
      <w:r w:rsidRPr="004A4DE8">
        <w:rPr>
          <w:u w:val="none"/>
        </w:rPr>
        <w:t xml:space="preserve">The recommended dose of </w:t>
      </w:r>
      <w:proofErr w:type="spellStart"/>
      <w:r w:rsidRPr="004A4DE8">
        <w:rPr>
          <w:u w:val="none"/>
        </w:rPr>
        <w:t>Gavreto</w:t>
      </w:r>
      <w:proofErr w:type="spellEnd"/>
      <w:r w:rsidRPr="004A4DE8">
        <w:rPr>
          <w:u w:val="none"/>
        </w:rPr>
        <w:t xml:space="preserve"> for adults is 400 mg given orally, once daily. </w:t>
      </w:r>
    </w:p>
    <w:p w14:paraId="2596A372" w14:textId="2712A9A1" w:rsidR="004A4DE8" w:rsidRPr="004A4DE8" w:rsidRDefault="004A4DE8" w:rsidP="004A4DE8"/>
    <w:p w14:paraId="1F0903CA" w14:textId="77777777" w:rsidR="00B421E9" w:rsidRDefault="00B421E9" w:rsidP="000A665B">
      <w:pPr>
        <w:pStyle w:val="Heading4"/>
        <w:spacing w:before="0"/>
      </w:pPr>
      <w:r>
        <w:t>Duration of treatment</w:t>
      </w:r>
    </w:p>
    <w:p w14:paraId="37E318C7" w14:textId="77777777" w:rsidR="00B421E9" w:rsidRDefault="00B421E9" w:rsidP="000A665B">
      <w:pPr>
        <w:pStyle w:val="Heading4"/>
        <w:spacing w:before="0"/>
        <w:rPr>
          <w:u w:val="none"/>
        </w:rPr>
      </w:pPr>
      <w:r w:rsidRPr="00B421E9">
        <w:rPr>
          <w:u w:val="none"/>
        </w:rPr>
        <w:t xml:space="preserve">It is recommended that patients are treated with </w:t>
      </w:r>
      <w:proofErr w:type="spellStart"/>
      <w:r w:rsidRPr="00B421E9">
        <w:rPr>
          <w:u w:val="none"/>
        </w:rPr>
        <w:t>Gavreto</w:t>
      </w:r>
      <w:proofErr w:type="spellEnd"/>
      <w:r w:rsidRPr="00B421E9">
        <w:rPr>
          <w:u w:val="none"/>
        </w:rPr>
        <w:t xml:space="preserve"> until disease progression or unmanageable toxicity.</w:t>
      </w:r>
    </w:p>
    <w:p w14:paraId="1E3A4D35" w14:textId="77777777" w:rsidR="00B421E9" w:rsidRDefault="00B421E9" w:rsidP="00B421E9"/>
    <w:p w14:paraId="3DB0A599" w14:textId="77777777" w:rsidR="00B421E9" w:rsidRDefault="00B421E9" w:rsidP="00B421E9">
      <w:pPr>
        <w:rPr>
          <w:u w:val="single"/>
        </w:rPr>
      </w:pPr>
      <w:r w:rsidRPr="00B421E9">
        <w:rPr>
          <w:u w:val="single"/>
        </w:rPr>
        <w:t xml:space="preserve">Delayed or missed </w:t>
      </w:r>
      <w:proofErr w:type="gramStart"/>
      <w:r w:rsidRPr="00B421E9">
        <w:rPr>
          <w:u w:val="single"/>
        </w:rPr>
        <w:t>doses</w:t>
      </w:r>
      <w:proofErr w:type="gramEnd"/>
    </w:p>
    <w:p w14:paraId="3CCDB307" w14:textId="77777777" w:rsidR="00B421E9" w:rsidRDefault="00B421E9" w:rsidP="00B421E9">
      <w:r>
        <w:t xml:space="preserve">If a planned dose of </w:t>
      </w:r>
      <w:proofErr w:type="spellStart"/>
      <w:r>
        <w:t>Gavreto</w:t>
      </w:r>
      <w:proofErr w:type="spellEnd"/>
      <w:r>
        <w:t xml:space="preserve"> is missed, patients can make up that dose unless the next dose is due within 12 hours.  Resume the regular daily dose schedule for </w:t>
      </w:r>
      <w:proofErr w:type="spellStart"/>
      <w:r>
        <w:t>Gavreto</w:t>
      </w:r>
      <w:proofErr w:type="spellEnd"/>
      <w:r>
        <w:t xml:space="preserve"> the next day.</w:t>
      </w:r>
    </w:p>
    <w:p w14:paraId="3A59E238" w14:textId="77777777" w:rsidR="00B421E9" w:rsidRDefault="00B421E9" w:rsidP="00B421E9"/>
    <w:p w14:paraId="2B0DC100" w14:textId="77777777" w:rsidR="00B769BE" w:rsidRDefault="00B421E9" w:rsidP="00B421E9">
      <w:r>
        <w:t xml:space="preserve">If vomiting occurs after taking a dose of </w:t>
      </w:r>
      <w:proofErr w:type="spellStart"/>
      <w:r>
        <w:t>Gavreto</w:t>
      </w:r>
      <w:proofErr w:type="spellEnd"/>
      <w:r>
        <w:t xml:space="preserve">, </w:t>
      </w:r>
      <w:r w:rsidR="00B769BE">
        <w:t>the patient should not take an additional dose but continue with the next scheduled dose.</w:t>
      </w:r>
    </w:p>
    <w:p w14:paraId="61D3A71C" w14:textId="77777777" w:rsidR="00B421E9" w:rsidRDefault="00B421E9" w:rsidP="00B421E9"/>
    <w:p w14:paraId="0FBEC04E" w14:textId="77777777" w:rsidR="00B421E9" w:rsidRDefault="00B421E9" w:rsidP="00B421E9">
      <w:pPr>
        <w:rPr>
          <w:u w:val="single"/>
        </w:rPr>
      </w:pPr>
      <w:r w:rsidRPr="00B421E9">
        <w:rPr>
          <w:u w:val="single"/>
        </w:rPr>
        <w:t>Dose modifications for adverse reactions</w:t>
      </w:r>
    </w:p>
    <w:p w14:paraId="23E42FBA" w14:textId="77777777" w:rsidR="00B421E9" w:rsidRDefault="00B421E9" w:rsidP="00B421E9">
      <w:r w:rsidRPr="00B421E9">
        <w:t xml:space="preserve">Management of adverse reactions may require temporary interruption, dose reduction, or discontinuation of treatment with </w:t>
      </w:r>
      <w:proofErr w:type="spellStart"/>
      <w:r w:rsidRPr="00B421E9">
        <w:t>Gavreto</w:t>
      </w:r>
      <w:proofErr w:type="spellEnd"/>
      <w:r w:rsidRPr="00B421E9">
        <w:t>, based on the prescriber’s assessment of the patient’s safety or tolerability.</w:t>
      </w:r>
    </w:p>
    <w:p w14:paraId="0407BFAD" w14:textId="77777777" w:rsidR="00B421E9" w:rsidRDefault="00B421E9" w:rsidP="00B421E9"/>
    <w:p w14:paraId="3850FFCD" w14:textId="77777777" w:rsidR="00B421E9" w:rsidRDefault="00B421E9" w:rsidP="00B421E9">
      <w:r w:rsidRPr="00B421E9">
        <w:t xml:space="preserve">Table 1 provides recommended dose reduction advice. Recommendations for dose modifications for the management of specific adverse reactions are provided in Table 2. </w:t>
      </w:r>
      <w:proofErr w:type="spellStart"/>
      <w:r w:rsidRPr="00B421E9">
        <w:t>Gavreto</w:t>
      </w:r>
      <w:proofErr w:type="spellEnd"/>
      <w:r w:rsidRPr="00B421E9">
        <w:t xml:space="preserve"> treatment should be permanently discontinued if a patient is unable to tolerate the 100 mg once daily dose.</w:t>
      </w:r>
    </w:p>
    <w:p w14:paraId="5C6396BD" w14:textId="77777777" w:rsidR="00BF1CBC" w:rsidRDefault="00BF1CBC" w:rsidP="00B421E9"/>
    <w:p w14:paraId="5A03EA1A" w14:textId="77777777" w:rsidR="00A76A37" w:rsidRDefault="00A76A37" w:rsidP="00B421E9"/>
    <w:p w14:paraId="133C409E" w14:textId="77777777" w:rsidR="00A76A37" w:rsidRDefault="00A76A37" w:rsidP="00B421E9"/>
    <w:p w14:paraId="342D97CC" w14:textId="77777777" w:rsidR="00A76A37" w:rsidRDefault="00A76A37" w:rsidP="00B421E9"/>
    <w:tbl>
      <w:tblPr>
        <w:tblW w:w="0" w:type="auto"/>
        <w:tblLook w:val="04A0" w:firstRow="1" w:lastRow="0" w:firstColumn="1" w:lastColumn="0" w:noHBand="0" w:noVBand="1"/>
      </w:tblPr>
      <w:tblGrid>
        <w:gridCol w:w="8840"/>
      </w:tblGrid>
      <w:tr w:rsidR="00BF1CBC" w:rsidRPr="004E5EBA" w14:paraId="765550C8" w14:textId="77777777" w:rsidTr="00617AF1">
        <w:trPr>
          <w:tblHeader/>
        </w:trPr>
        <w:tc>
          <w:tcPr>
            <w:tcW w:w="8840" w:type="dxa"/>
            <w:tcBorders>
              <w:top w:val="nil"/>
              <w:left w:val="nil"/>
              <w:right w:val="nil"/>
            </w:tcBorders>
          </w:tcPr>
          <w:p w14:paraId="6A43C6CE" w14:textId="3A58BDCF" w:rsidR="00A32FCC" w:rsidRDefault="00B421E9">
            <w:pPr>
              <w:rPr>
                <w:b/>
              </w:rPr>
            </w:pPr>
            <w:r w:rsidRPr="004E5EBA">
              <w:rPr>
                <w:b/>
              </w:rPr>
              <w:lastRenderedPageBreak/>
              <w:t xml:space="preserve">Table 1. Recommended Dose Reductions for </w:t>
            </w:r>
            <w:proofErr w:type="spellStart"/>
            <w:r w:rsidRPr="004E5EBA">
              <w:rPr>
                <w:b/>
              </w:rPr>
              <w:t>Gavreto</w:t>
            </w:r>
            <w:proofErr w:type="spellEnd"/>
            <w:r w:rsidRPr="004E5EBA">
              <w:rPr>
                <w:b/>
              </w:rPr>
              <w:t xml:space="preserve"> for Adverse Reactions</w:t>
            </w:r>
            <w:bookmarkStart w:id="0" w:name="_Ref49163584"/>
          </w:p>
          <w:p w14:paraId="1D869454" w14:textId="77777777" w:rsidR="00751FE0" w:rsidRDefault="00751FE0"/>
          <w:tbl>
            <w:tblPr>
              <w:tblStyle w:val="TableGrid"/>
              <w:tblW w:w="0" w:type="auto"/>
              <w:tblInd w:w="0" w:type="dxa"/>
              <w:tblLook w:val="04A0" w:firstRow="1" w:lastRow="0" w:firstColumn="1" w:lastColumn="0" w:noHBand="0" w:noVBand="1"/>
            </w:tblPr>
            <w:tblGrid>
              <w:gridCol w:w="4307"/>
              <w:gridCol w:w="4081"/>
            </w:tblGrid>
            <w:tr w:rsidR="000D2550" w14:paraId="7AAAFE2B" w14:textId="77777777" w:rsidTr="000D2550">
              <w:tc>
                <w:tcPr>
                  <w:tcW w:w="4307" w:type="dxa"/>
                </w:tcPr>
                <w:p w14:paraId="22941E0C" w14:textId="28DF1772" w:rsidR="000D2550" w:rsidRPr="00114A4D" w:rsidRDefault="00F03855">
                  <w:pPr>
                    <w:rPr>
                      <w:b/>
                      <w:bCs/>
                    </w:rPr>
                  </w:pPr>
                  <w:r w:rsidRPr="00114A4D">
                    <w:rPr>
                      <w:b/>
                      <w:bCs/>
                      <w:lang w:bidi="en-US"/>
                    </w:rPr>
                    <w:t>Dose Reduction</w:t>
                  </w:r>
                </w:p>
              </w:tc>
              <w:tc>
                <w:tcPr>
                  <w:tcW w:w="4081" w:type="dxa"/>
                </w:tcPr>
                <w:p w14:paraId="275172BA" w14:textId="54A8D424" w:rsidR="000D2550" w:rsidRPr="00114A4D" w:rsidRDefault="00114A4D">
                  <w:pPr>
                    <w:rPr>
                      <w:b/>
                      <w:bCs/>
                    </w:rPr>
                  </w:pPr>
                  <w:r w:rsidRPr="00114A4D">
                    <w:rPr>
                      <w:b/>
                      <w:bCs/>
                      <w:lang w:bidi="en-US"/>
                    </w:rPr>
                    <w:t>Recommended Dosage</w:t>
                  </w:r>
                </w:p>
              </w:tc>
            </w:tr>
            <w:tr w:rsidR="000D2550" w14:paraId="23951FC0" w14:textId="77777777" w:rsidTr="000D2550">
              <w:tc>
                <w:tcPr>
                  <w:tcW w:w="4307" w:type="dxa"/>
                </w:tcPr>
                <w:p w14:paraId="0CE5A518" w14:textId="7F576C5D" w:rsidR="000D2550" w:rsidRDefault="003D32BB">
                  <w:r w:rsidRPr="004E5EBA">
                    <w:rPr>
                      <w:b/>
                      <w:lang w:bidi="en-US"/>
                    </w:rPr>
                    <w:t>First</w:t>
                  </w:r>
                </w:p>
              </w:tc>
              <w:tc>
                <w:tcPr>
                  <w:tcW w:w="4081" w:type="dxa"/>
                </w:tcPr>
                <w:p w14:paraId="60FB4BBB" w14:textId="521A63C1" w:rsidR="000D2550" w:rsidRDefault="00EF65C6">
                  <w:r w:rsidRPr="004E5EBA">
                    <w:rPr>
                      <w:lang w:bidi="en-US"/>
                    </w:rPr>
                    <w:t>300 mg once daily</w:t>
                  </w:r>
                </w:p>
              </w:tc>
            </w:tr>
            <w:tr w:rsidR="000D2550" w14:paraId="5833981A" w14:textId="77777777" w:rsidTr="000D2550">
              <w:tc>
                <w:tcPr>
                  <w:tcW w:w="4307" w:type="dxa"/>
                </w:tcPr>
                <w:p w14:paraId="2AEFC1EC" w14:textId="72DB87CC" w:rsidR="000D2550" w:rsidRDefault="00153B5F">
                  <w:r w:rsidRPr="004E5EBA">
                    <w:rPr>
                      <w:b/>
                      <w:lang w:bidi="en-US"/>
                    </w:rPr>
                    <w:t>Second</w:t>
                  </w:r>
                </w:p>
              </w:tc>
              <w:tc>
                <w:tcPr>
                  <w:tcW w:w="4081" w:type="dxa"/>
                </w:tcPr>
                <w:p w14:paraId="4AEF44EA" w14:textId="1FD6CCB3" w:rsidR="000D2550" w:rsidRDefault="00F13D3A">
                  <w:r w:rsidRPr="004E5EBA">
                    <w:rPr>
                      <w:lang w:bidi="en-US"/>
                    </w:rPr>
                    <w:t>200 mg once daily</w:t>
                  </w:r>
                </w:p>
              </w:tc>
            </w:tr>
            <w:tr w:rsidR="000D2550" w14:paraId="534FAB97" w14:textId="77777777" w:rsidTr="000D2550">
              <w:tc>
                <w:tcPr>
                  <w:tcW w:w="4307" w:type="dxa"/>
                </w:tcPr>
                <w:p w14:paraId="4E5F0825" w14:textId="296EBD4C" w:rsidR="000D2550" w:rsidRDefault="00981701">
                  <w:r w:rsidRPr="004E5EBA">
                    <w:rPr>
                      <w:b/>
                      <w:lang w:bidi="en-US"/>
                    </w:rPr>
                    <w:t>Third</w:t>
                  </w:r>
                </w:p>
              </w:tc>
              <w:tc>
                <w:tcPr>
                  <w:tcW w:w="4081" w:type="dxa"/>
                </w:tcPr>
                <w:p w14:paraId="2EC84018" w14:textId="25DAA25A" w:rsidR="000D2550" w:rsidRDefault="00F43017">
                  <w:r w:rsidRPr="004E5EBA">
                    <w:rPr>
                      <w:lang w:bidi="en-US"/>
                    </w:rPr>
                    <w:t>100 mg once daily</w:t>
                  </w:r>
                </w:p>
              </w:tc>
            </w:tr>
          </w:tbl>
          <w:p w14:paraId="5444EE2F" w14:textId="77777777" w:rsidR="00751FE0" w:rsidRPr="00FC4099" w:rsidRDefault="00751FE0">
            <w:pPr>
              <w:rPr>
                <w:b/>
                <w:bCs/>
              </w:rPr>
            </w:pPr>
          </w:p>
          <w:p w14:paraId="0558CA62" w14:textId="539C96B5" w:rsidR="00751FE0" w:rsidRPr="00FC4099" w:rsidRDefault="00FC4099">
            <w:pPr>
              <w:rPr>
                <w:b/>
                <w:bCs/>
              </w:rPr>
            </w:pPr>
            <w:r w:rsidRPr="00FC4099">
              <w:rPr>
                <w:b/>
                <w:bCs/>
              </w:rPr>
              <w:t>Table </w:t>
            </w:r>
            <w:r w:rsidRPr="00FC4099">
              <w:rPr>
                <w:b/>
                <w:bCs/>
                <w:noProof/>
              </w:rPr>
              <w:t>2</w:t>
            </w:r>
            <w:r w:rsidRPr="00FC4099">
              <w:rPr>
                <w:b/>
                <w:bCs/>
              </w:rPr>
              <w:t>. Recommended Dose Modifications for Adverse Reactions</w:t>
            </w:r>
          </w:p>
          <w:p w14:paraId="50FEA213" w14:textId="77777777" w:rsidR="00FC4099" w:rsidRDefault="00FC4099"/>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060"/>
              <w:gridCol w:w="3565"/>
            </w:tblGrid>
            <w:tr w:rsidR="00997AAF" w:rsidRPr="004E5EBA" w14:paraId="1E41B02C" w14:textId="77777777" w:rsidTr="00F43017">
              <w:trPr>
                <w:tblHeader/>
              </w:trPr>
              <w:tc>
                <w:tcPr>
                  <w:tcW w:w="1666" w:type="pct"/>
                  <w:hideMark/>
                </w:tcPr>
                <w:p w14:paraId="6D2B75EF" w14:textId="77777777" w:rsidR="00997AAF" w:rsidRPr="004E5EBA" w:rsidRDefault="00997AAF" w:rsidP="00997AAF">
                  <w:pPr>
                    <w:pStyle w:val="C-TableHeader"/>
                    <w:rPr>
                      <w:sz w:val="24"/>
                      <w:szCs w:val="24"/>
                      <w:lang w:bidi="en-US"/>
                    </w:rPr>
                  </w:pPr>
                  <w:r w:rsidRPr="004E5EBA">
                    <w:rPr>
                      <w:sz w:val="24"/>
                      <w:szCs w:val="24"/>
                      <w:lang w:bidi="en-US"/>
                    </w:rPr>
                    <w:t>Adverse Reaction</w:t>
                  </w:r>
                </w:p>
              </w:tc>
              <w:tc>
                <w:tcPr>
                  <w:tcW w:w="1221" w:type="pct"/>
                  <w:hideMark/>
                </w:tcPr>
                <w:p w14:paraId="375840F2" w14:textId="77777777" w:rsidR="00997AAF" w:rsidRPr="004E5EBA" w:rsidRDefault="00997AAF" w:rsidP="00997AAF">
                  <w:pPr>
                    <w:pStyle w:val="C-TableHeader"/>
                    <w:rPr>
                      <w:sz w:val="24"/>
                      <w:szCs w:val="24"/>
                      <w:lang w:bidi="en-US"/>
                    </w:rPr>
                  </w:pPr>
                  <w:r w:rsidRPr="004E5EBA">
                    <w:rPr>
                      <w:sz w:val="24"/>
                      <w:szCs w:val="24"/>
                      <w:lang w:bidi="en-US"/>
                    </w:rPr>
                    <w:t>Severity*</w:t>
                  </w:r>
                </w:p>
              </w:tc>
              <w:tc>
                <w:tcPr>
                  <w:tcW w:w="2113" w:type="pct"/>
                  <w:hideMark/>
                </w:tcPr>
                <w:p w14:paraId="4FC045C7" w14:textId="77777777" w:rsidR="00997AAF" w:rsidRPr="004E5EBA" w:rsidRDefault="00997AAF" w:rsidP="00997AAF">
                  <w:pPr>
                    <w:pStyle w:val="C-TableHeader"/>
                    <w:rPr>
                      <w:sz w:val="24"/>
                      <w:szCs w:val="24"/>
                      <w:lang w:bidi="en-US"/>
                    </w:rPr>
                  </w:pPr>
                  <w:r w:rsidRPr="004E5EBA">
                    <w:rPr>
                      <w:sz w:val="24"/>
                      <w:szCs w:val="24"/>
                      <w:lang w:bidi="en-US"/>
                    </w:rPr>
                    <w:t>Dosage Modification</w:t>
                  </w:r>
                </w:p>
              </w:tc>
            </w:tr>
            <w:tr w:rsidR="00997AAF" w:rsidRPr="004E5EBA" w14:paraId="378E45D8" w14:textId="77777777" w:rsidTr="00F43017">
              <w:tc>
                <w:tcPr>
                  <w:tcW w:w="1666" w:type="pct"/>
                  <w:vMerge w:val="restart"/>
                  <w:hideMark/>
                </w:tcPr>
                <w:p w14:paraId="59104965" w14:textId="77777777" w:rsidR="00997AAF" w:rsidRPr="004E5EBA" w:rsidRDefault="00997AAF" w:rsidP="00997AAF">
                  <w:pPr>
                    <w:pStyle w:val="C-TableText"/>
                    <w:keepNext/>
                    <w:rPr>
                      <w:b/>
                      <w:sz w:val="24"/>
                      <w:szCs w:val="24"/>
                      <w:lang w:bidi="en-US"/>
                    </w:rPr>
                  </w:pPr>
                  <w:r w:rsidRPr="004E5EBA">
                    <w:rPr>
                      <w:b/>
                      <w:sz w:val="24"/>
                      <w:szCs w:val="24"/>
                      <w:lang w:bidi="en-US"/>
                    </w:rPr>
                    <w:t>Pneumonitis/</w:t>
                  </w:r>
                  <w:r w:rsidRPr="004E5EBA">
                    <w:rPr>
                      <w:b/>
                      <w:bCs/>
                      <w:sz w:val="24"/>
                      <w:szCs w:val="24"/>
                    </w:rPr>
                    <w:t>Interstitial Lung Disease (ILD)</w:t>
                  </w:r>
                </w:p>
                <w:p w14:paraId="60DC977C" w14:textId="77777777" w:rsidR="00997AAF" w:rsidRPr="004E5EBA" w:rsidRDefault="00997AAF" w:rsidP="00997AAF">
                  <w:pPr>
                    <w:pStyle w:val="C-TableText"/>
                    <w:keepNext/>
                    <w:rPr>
                      <w:b/>
                      <w:bCs/>
                      <w:i/>
                      <w:iCs/>
                      <w:sz w:val="24"/>
                      <w:szCs w:val="24"/>
                      <w:lang w:bidi="en-US"/>
                    </w:rPr>
                  </w:pPr>
                  <w:r w:rsidRPr="004E5EBA">
                    <w:rPr>
                      <w:sz w:val="24"/>
                      <w:szCs w:val="24"/>
                    </w:rPr>
                    <w:t xml:space="preserve"> </w:t>
                  </w:r>
                </w:p>
              </w:tc>
              <w:tc>
                <w:tcPr>
                  <w:tcW w:w="1221" w:type="pct"/>
                  <w:hideMark/>
                </w:tcPr>
                <w:p w14:paraId="09AC4A30" w14:textId="77777777" w:rsidR="00997AAF" w:rsidRPr="004E5EBA" w:rsidRDefault="00997AAF" w:rsidP="00997AAF">
                  <w:pPr>
                    <w:pStyle w:val="C-TableText"/>
                    <w:keepNext/>
                    <w:rPr>
                      <w:sz w:val="24"/>
                      <w:szCs w:val="24"/>
                      <w:lang w:bidi="en-US"/>
                    </w:rPr>
                  </w:pPr>
                  <w:r w:rsidRPr="004E5EBA">
                    <w:rPr>
                      <w:sz w:val="24"/>
                      <w:szCs w:val="24"/>
                      <w:lang w:bidi="en-US"/>
                    </w:rPr>
                    <w:t xml:space="preserve">Grade 1 or 2 </w:t>
                  </w:r>
                </w:p>
              </w:tc>
              <w:tc>
                <w:tcPr>
                  <w:tcW w:w="2113" w:type="pct"/>
                  <w:hideMark/>
                </w:tcPr>
                <w:p w14:paraId="31A6DA9F" w14:textId="77777777" w:rsidR="00997AAF" w:rsidRPr="004E5EBA" w:rsidRDefault="00997AAF" w:rsidP="00997AAF">
                  <w:pPr>
                    <w:pStyle w:val="C-TableText"/>
                    <w:keepNext/>
                    <w:rPr>
                      <w:sz w:val="24"/>
                      <w:szCs w:val="24"/>
                      <w:lang w:bidi="en-US"/>
                    </w:rPr>
                  </w:pPr>
                  <w:r w:rsidRPr="004E5EBA">
                    <w:rPr>
                      <w:bCs/>
                      <w:sz w:val="24"/>
                      <w:szCs w:val="24"/>
                    </w:rPr>
                    <w:t xml:space="preserve">Withhold </w:t>
                  </w:r>
                  <w:proofErr w:type="spellStart"/>
                  <w:r w:rsidRPr="004E5EBA">
                    <w:rPr>
                      <w:bCs/>
                      <w:sz w:val="24"/>
                      <w:szCs w:val="24"/>
                    </w:rPr>
                    <w:t>Gavreto</w:t>
                  </w:r>
                  <w:proofErr w:type="spellEnd"/>
                  <w:r w:rsidRPr="004E5EBA">
                    <w:rPr>
                      <w:bCs/>
                      <w:sz w:val="24"/>
                      <w:szCs w:val="24"/>
                    </w:rPr>
                    <w:t xml:space="preserve"> until resolution. Resume at a reduced dose as shown in Table 1</w:t>
                  </w:r>
                  <w:r w:rsidRPr="004E5EBA">
                    <w:rPr>
                      <w:sz w:val="24"/>
                      <w:szCs w:val="24"/>
                      <w:lang w:bidi="en-US"/>
                    </w:rPr>
                    <w:t>.</w:t>
                  </w:r>
                </w:p>
                <w:p w14:paraId="691DCEAA" w14:textId="77777777" w:rsidR="00997AAF" w:rsidRPr="004E5EBA" w:rsidRDefault="00997AAF" w:rsidP="00997AAF">
                  <w:pPr>
                    <w:pStyle w:val="C-TableText"/>
                    <w:keepNext/>
                    <w:rPr>
                      <w:sz w:val="24"/>
                      <w:szCs w:val="24"/>
                      <w:lang w:bidi="en-US"/>
                    </w:rPr>
                  </w:pPr>
                  <w:r w:rsidRPr="004E5EBA">
                    <w:rPr>
                      <w:sz w:val="24"/>
                      <w:szCs w:val="24"/>
                      <w:lang w:bidi="en-US"/>
                    </w:rPr>
                    <w:t xml:space="preserve">Permanently discontinue </w:t>
                  </w:r>
                  <w:proofErr w:type="spellStart"/>
                  <w:r w:rsidRPr="004E5EBA">
                    <w:rPr>
                      <w:sz w:val="24"/>
                      <w:szCs w:val="24"/>
                      <w:lang w:bidi="en-US"/>
                    </w:rPr>
                    <w:t>Gavreto</w:t>
                  </w:r>
                  <w:proofErr w:type="spellEnd"/>
                  <w:r w:rsidRPr="004E5EBA">
                    <w:rPr>
                      <w:sz w:val="24"/>
                      <w:szCs w:val="24"/>
                      <w:lang w:bidi="en-US"/>
                    </w:rPr>
                    <w:t xml:space="preserve"> for recurrent ILD/pneumonitis. </w:t>
                  </w:r>
                </w:p>
              </w:tc>
            </w:tr>
            <w:tr w:rsidR="00997AAF" w:rsidRPr="004E5EBA" w14:paraId="489DFDB8" w14:textId="77777777" w:rsidTr="00F43017">
              <w:tc>
                <w:tcPr>
                  <w:tcW w:w="0" w:type="auto"/>
                  <w:vMerge/>
                  <w:vAlign w:val="center"/>
                  <w:hideMark/>
                </w:tcPr>
                <w:p w14:paraId="681A537F" w14:textId="77777777" w:rsidR="00997AAF" w:rsidRPr="004E5EBA" w:rsidRDefault="00997AAF" w:rsidP="00997AAF">
                  <w:pPr>
                    <w:keepNext/>
                    <w:rPr>
                      <w:b/>
                      <w:bCs/>
                      <w:i/>
                      <w:iCs/>
                      <w:lang w:bidi="en-US"/>
                    </w:rPr>
                  </w:pPr>
                </w:p>
              </w:tc>
              <w:tc>
                <w:tcPr>
                  <w:tcW w:w="1221" w:type="pct"/>
                  <w:hideMark/>
                </w:tcPr>
                <w:p w14:paraId="55021BC8" w14:textId="77777777" w:rsidR="00997AAF" w:rsidRPr="004E5EBA" w:rsidRDefault="00997AAF" w:rsidP="00997AAF">
                  <w:pPr>
                    <w:pStyle w:val="C-TableText"/>
                    <w:keepNext/>
                    <w:rPr>
                      <w:b/>
                      <w:sz w:val="24"/>
                      <w:szCs w:val="24"/>
                      <w:lang w:bidi="en-US"/>
                    </w:rPr>
                  </w:pPr>
                  <w:r w:rsidRPr="004E5EBA">
                    <w:rPr>
                      <w:bCs/>
                      <w:sz w:val="24"/>
                      <w:szCs w:val="24"/>
                    </w:rPr>
                    <w:t>Grade 3 or 4</w:t>
                  </w:r>
                </w:p>
              </w:tc>
              <w:tc>
                <w:tcPr>
                  <w:tcW w:w="2113" w:type="pct"/>
                  <w:hideMark/>
                </w:tcPr>
                <w:p w14:paraId="4CF0B008" w14:textId="77777777" w:rsidR="00997AAF" w:rsidRPr="004E5EBA" w:rsidRDefault="00997AAF" w:rsidP="00997AAF">
                  <w:pPr>
                    <w:pStyle w:val="C-TableText"/>
                    <w:keepNext/>
                    <w:rPr>
                      <w:sz w:val="24"/>
                      <w:szCs w:val="24"/>
                      <w:lang w:bidi="en-US"/>
                    </w:rPr>
                  </w:pPr>
                  <w:r w:rsidRPr="004E5EBA">
                    <w:rPr>
                      <w:bCs/>
                      <w:sz w:val="24"/>
                      <w:szCs w:val="24"/>
                    </w:rPr>
                    <w:t xml:space="preserve">Discontinue </w:t>
                  </w:r>
                  <w:proofErr w:type="spellStart"/>
                  <w:r w:rsidRPr="004E5EBA">
                    <w:rPr>
                      <w:bCs/>
                      <w:sz w:val="24"/>
                      <w:szCs w:val="24"/>
                    </w:rPr>
                    <w:t>Gavreto</w:t>
                  </w:r>
                  <w:proofErr w:type="spellEnd"/>
                  <w:r w:rsidRPr="004E5EBA">
                    <w:rPr>
                      <w:sz w:val="24"/>
                      <w:szCs w:val="24"/>
                    </w:rPr>
                    <w:t>.</w:t>
                  </w:r>
                  <w:r w:rsidRPr="004E5EBA">
                    <w:rPr>
                      <w:rStyle w:val="C-TableCallout"/>
                      <w:sz w:val="24"/>
                      <w:szCs w:val="24"/>
                    </w:rPr>
                    <w:t xml:space="preserve"> </w:t>
                  </w:r>
                </w:p>
              </w:tc>
            </w:tr>
            <w:tr w:rsidR="00997AAF" w:rsidRPr="004E5EBA" w14:paraId="6A7D494F" w14:textId="77777777" w:rsidTr="00F43017">
              <w:trPr>
                <w:trHeight w:val="263"/>
              </w:trPr>
              <w:tc>
                <w:tcPr>
                  <w:tcW w:w="1666" w:type="pct"/>
                  <w:vMerge w:val="restart"/>
                  <w:hideMark/>
                </w:tcPr>
                <w:p w14:paraId="701B5B60" w14:textId="77777777" w:rsidR="00997AAF" w:rsidRPr="004E5EBA" w:rsidRDefault="00997AAF" w:rsidP="00997AAF">
                  <w:pPr>
                    <w:pStyle w:val="C-BodyText"/>
                    <w:keepNext/>
                    <w:rPr>
                      <w:b/>
                      <w:szCs w:val="24"/>
                      <w:lang w:bidi="en-US"/>
                    </w:rPr>
                  </w:pPr>
                  <w:r w:rsidRPr="004E5EBA">
                    <w:rPr>
                      <w:b/>
                      <w:szCs w:val="24"/>
                      <w:lang w:bidi="en-US"/>
                    </w:rPr>
                    <w:t>Hypertension</w:t>
                  </w:r>
                </w:p>
                <w:p w14:paraId="648D626A" w14:textId="77777777" w:rsidR="00997AAF" w:rsidRPr="004E5EBA" w:rsidRDefault="00997AAF" w:rsidP="00997AAF">
                  <w:pPr>
                    <w:pStyle w:val="C-BodyText"/>
                    <w:keepNext/>
                    <w:rPr>
                      <w:b/>
                      <w:szCs w:val="24"/>
                      <w:lang w:bidi="en-US"/>
                    </w:rPr>
                  </w:pPr>
                  <w:r w:rsidRPr="004E5EBA">
                    <w:rPr>
                      <w:szCs w:val="24"/>
                    </w:rPr>
                    <w:t xml:space="preserve"> </w:t>
                  </w:r>
                </w:p>
              </w:tc>
              <w:tc>
                <w:tcPr>
                  <w:tcW w:w="1221" w:type="pct"/>
                  <w:hideMark/>
                </w:tcPr>
                <w:p w14:paraId="1F05761E" w14:textId="77777777" w:rsidR="00997AAF" w:rsidRPr="004E5EBA" w:rsidRDefault="00997AAF" w:rsidP="00997AAF">
                  <w:pPr>
                    <w:pStyle w:val="C-TableText"/>
                    <w:keepNext/>
                    <w:rPr>
                      <w:bCs/>
                      <w:sz w:val="24"/>
                      <w:szCs w:val="24"/>
                    </w:rPr>
                  </w:pPr>
                  <w:r w:rsidRPr="004E5EBA">
                    <w:rPr>
                      <w:bCs/>
                      <w:sz w:val="24"/>
                      <w:szCs w:val="24"/>
                    </w:rPr>
                    <w:t>Grade 3</w:t>
                  </w:r>
                </w:p>
              </w:tc>
              <w:tc>
                <w:tcPr>
                  <w:tcW w:w="2113" w:type="pct"/>
                  <w:hideMark/>
                </w:tcPr>
                <w:p w14:paraId="2F912F2C" w14:textId="77777777" w:rsidR="00997AAF" w:rsidRPr="004E5EBA" w:rsidRDefault="00997AAF" w:rsidP="00997AAF">
                  <w:pPr>
                    <w:pStyle w:val="C-TableText"/>
                    <w:keepNext/>
                    <w:rPr>
                      <w:bCs/>
                      <w:sz w:val="24"/>
                      <w:szCs w:val="24"/>
                    </w:rPr>
                  </w:pPr>
                  <w:r w:rsidRPr="004E5EBA">
                    <w:rPr>
                      <w:bCs/>
                      <w:sz w:val="24"/>
                      <w:szCs w:val="24"/>
                    </w:rPr>
                    <w:t xml:space="preserve">Withhold </w:t>
                  </w:r>
                  <w:proofErr w:type="spellStart"/>
                  <w:r w:rsidRPr="004E5EBA">
                    <w:rPr>
                      <w:bCs/>
                      <w:sz w:val="24"/>
                      <w:szCs w:val="24"/>
                    </w:rPr>
                    <w:t>Gavreto</w:t>
                  </w:r>
                  <w:proofErr w:type="spellEnd"/>
                  <w:r w:rsidRPr="004E5EBA">
                    <w:rPr>
                      <w:bCs/>
                      <w:sz w:val="24"/>
                      <w:szCs w:val="24"/>
                    </w:rPr>
                    <w:t xml:space="preserve"> for Grade 3 hypertension that persists despite optimal antihypertensive therapy. </w:t>
                  </w:r>
                </w:p>
                <w:p w14:paraId="6FCB6F64" w14:textId="77777777" w:rsidR="00997AAF" w:rsidRPr="004E5EBA" w:rsidRDefault="00997AAF" w:rsidP="00997AAF">
                  <w:pPr>
                    <w:pStyle w:val="C-TableText"/>
                    <w:keepNext/>
                    <w:rPr>
                      <w:bCs/>
                      <w:sz w:val="24"/>
                      <w:szCs w:val="24"/>
                    </w:rPr>
                  </w:pPr>
                  <w:r w:rsidRPr="004E5EBA">
                    <w:rPr>
                      <w:bCs/>
                      <w:sz w:val="24"/>
                      <w:szCs w:val="24"/>
                    </w:rPr>
                    <w:t xml:space="preserve">Resume at a reduced dose as shown in Table 1 when hypertension is controlled. </w:t>
                  </w:r>
                </w:p>
              </w:tc>
            </w:tr>
            <w:tr w:rsidR="00997AAF" w:rsidRPr="004E5EBA" w14:paraId="4A7C211A" w14:textId="77777777" w:rsidTr="00F43017">
              <w:trPr>
                <w:trHeight w:val="262"/>
              </w:trPr>
              <w:tc>
                <w:tcPr>
                  <w:tcW w:w="0" w:type="auto"/>
                  <w:vMerge/>
                  <w:vAlign w:val="center"/>
                  <w:hideMark/>
                </w:tcPr>
                <w:p w14:paraId="637250CF" w14:textId="77777777" w:rsidR="00997AAF" w:rsidRPr="004E5EBA" w:rsidRDefault="00997AAF" w:rsidP="00997AAF">
                  <w:pPr>
                    <w:keepNext/>
                    <w:rPr>
                      <w:b/>
                      <w:lang w:bidi="en-US"/>
                    </w:rPr>
                  </w:pPr>
                </w:p>
              </w:tc>
              <w:tc>
                <w:tcPr>
                  <w:tcW w:w="1221" w:type="pct"/>
                  <w:hideMark/>
                </w:tcPr>
                <w:p w14:paraId="339311BB" w14:textId="77777777" w:rsidR="00997AAF" w:rsidRPr="004E5EBA" w:rsidRDefault="00997AAF" w:rsidP="00997AAF">
                  <w:pPr>
                    <w:pStyle w:val="C-TableText"/>
                    <w:keepNext/>
                    <w:rPr>
                      <w:bCs/>
                      <w:sz w:val="24"/>
                      <w:szCs w:val="24"/>
                    </w:rPr>
                  </w:pPr>
                  <w:r w:rsidRPr="004E5EBA">
                    <w:rPr>
                      <w:bCs/>
                      <w:sz w:val="24"/>
                      <w:szCs w:val="24"/>
                    </w:rPr>
                    <w:t>Grade 4</w:t>
                  </w:r>
                </w:p>
              </w:tc>
              <w:tc>
                <w:tcPr>
                  <w:tcW w:w="2113" w:type="pct"/>
                  <w:hideMark/>
                </w:tcPr>
                <w:p w14:paraId="2C1C086E" w14:textId="77777777" w:rsidR="00997AAF" w:rsidRPr="004E5EBA" w:rsidRDefault="00997AAF" w:rsidP="00997AAF">
                  <w:pPr>
                    <w:pStyle w:val="C-TableText"/>
                    <w:keepNext/>
                    <w:rPr>
                      <w:bCs/>
                      <w:sz w:val="24"/>
                      <w:szCs w:val="24"/>
                    </w:rPr>
                  </w:pPr>
                  <w:r w:rsidRPr="004E5EBA">
                    <w:rPr>
                      <w:bCs/>
                      <w:sz w:val="24"/>
                      <w:szCs w:val="24"/>
                    </w:rPr>
                    <w:t xml:space="preserve">Discontinue </w:t>
                  </w:r>
                  <w:proofErr w:type="spellStart"/>
                  <w:r w:rsidRPr="004E5EBA">
                    <w:rPr>
                      <w:bCs/>
                      <w:sz w:val="24"/>
                      <w:szCs w:val="24"/>
                    </w:rPr>
                    <w:t>Gavreto</w:t>
                  </w:r>
                  <w:proofErr w:type="spellEnd"/>
                  <w:r w:rsidRPr="004E5EBA">
                    <w:rPr>
                      <w:bCs/>
                      <w:sz w:val="24"/>
                      <w:szCs w:val="24"/>
                    </w:rPr>
                    <w:t>.</w:t>
                  </w:r>
                </w:p>
              </w:tc>
            </w:tr>
            <w:tr w:rsidR="00997AAF" w:rsidRPr="004E5EBA" w14:paraId="3C3FCCAD" w14:textId="77777777" w:rsidTr="00F43017">
              <w:trPr>
                <w:trHeight w:val="262"/>
              </w:trPr>
              <w:tc>
                <w:tcPr>
                  <w:tcW w:w="1666" w:type="pct"/>
                  <w:hideMark/>
                </w:tcPr>
                <w:p w14:paraId="170EC4AE" w14:textId="77777777" w:rsidR="00997AAF" w:rsidRPr="004E5EBA" w:rsidRDefault="00997AAF" w:rsidP="00997AAF">
                  <w:pPr>
                    <w:pStyle w:val="C-BodyText"/>
                    <w:keepNext/>
                    <w:rPr>
                      <w:b/>
                      <w:szCs w:val="24"/>
                      <w:lang w:bidi="en-US"/>
                    </w:rPr>
                  </w:pPr>
                  <w:r w:rsidRPr="004E5EBA">
                    <w:rPr>
                      <w:b/>
                      <w:szCs w:val="24"/>
                      <w:lang w:bidi="en-US"/>
                    </w:rPr>
                    <w:t>Hepatic Transaminase Elevations</w:t>
                  </w:r>
                </w:p>
                <w:p w14:paraId="2C9BFFB5" w14:textId="77777777" w:rsidR="00997AAF" w:rsidRPr="004E5EBA" w:rsidRDefault="00997AAF" w:rsidP="00997AAF">
                  <w:pPr>
                    <w:pStyle w:val="C-BodyText"/>
                    <w:keepNext/>
                    <w:rPr>
                      <w:b/>
                      <w:szCs w:val="24"/>
                      <w:lang w:bidi="en-US"/>
                    </w:rPr>
                  </w:pPr>
                  <w:r w:rsidRPr="004E5EBA">
                    <w:rPr>
                      <w:szCs w:val="24"/>
                    </w:rPr>
                    <w:t xml:space="preserve"> </w:t>
                  </w:r>
                </w:p>
              </w:tc>
              <w:tc>
                <w:tcPr>
                  <w:tcW w:w="1221" w:type="pct"/>
                  <w:hideMark/>
                </w:tcPr>
                <w:p w14:paraId="77AD9AF1" w14:textId="77777777" w:rsidR="00997AAF" w:rsidRPr="004E5EBA" w:rsidRDefault="00997AAF" w:rsidP="00997AAF">
                  <w:pPr>
                    <w:pStyle w:val="C-TableText"/>
                    <w:keepNext/>
                    <w:rPr>
                      <w:bCs/>
                      <w:sz w:val="24"/>
                      <w:szCs w:val="24"/>
                    </w:rPr>
                  </w:pPr>
                  <w:r w:rsidRPr="004E5EBA">
                    <w:rPr>
                      <w:bCs/>
                      <w:sz w:val="24"/>
                      <w:szCs w:val="24"/>
                    </w:rPr>
                    <w:t>Grade 3 or 4</w:t>
                  </w:r>
                </w:p>
              </w:tc>
              <w:tc>
                <w:tcPr>
                  <w:tcW w:w="2113" w:type="pct"/>
                  <w:hideMark/>
                </w:tcPr>
                <w:p w14:paraId="5A1E07BC" w14:textId="77777777" w:rsidR="00997AAF" w:rsidRPr="004E5EBA" w:rsidRDefault="00997AAF" w:rsidP="00997AAF">
                  <w:pPr>
                    <w:pStyle w:val="C-TableText"/>
                    <w:keepNext/>
                    <w:rPr>
                      <w:bCs/>
                      <w:sz w:val="24"/>
                      <w:szCs w:val="24"/>
                    </w:rPr>
                  </w:pPr>
                  <w:r w:rsidRPr="004E5EBA">
                    <w:rPr>
                      <w:bCs/>
                      <w:sz w:val="24"/>
                      <w:szCs w:val="24"/>
                    </w:rPr>
                    <w:t xml:space="preserve">Withhold </w:t>
                  </w:r>
                  <w:proofErr w:type="spellStart"/>
                  <w:r w:rsidRPr="004E5EBA">
                    <w:rPr>
                      <w:bCs/>
                      <w:sz w:val="24"/>
                      <w:szCs w:val="24"/>
                    </w:rPr>
                    <w:t>Gavreto</w:t>
                  </w:r>
                  <w:proofErr w:type="spellEnd"/>
                  <w:r w:rsidRPr="004E5EBA">
                    <w:rPr>
                      <w:bCs/>
                      <w:sz w:val="24"/>
                      <w:szCs w:val="24"/>
                    </w:rPr>
                    <w:t xml:space="preserve"> and monitor AST/ALT once weekly until resolution to Grade 1 or baseline. </w:t>
                  </w:r>
                </w:p>
                <w:p w14:paraId="4D1B9E9F" w14:textId="77777777" w:rsidR="00997AAF" w:rsidRPr="004E5EBA" w:rsidRDefault="00997AAF" w:rsidP="00997AAF">
                  <w:pPr>
                    <w:pStyle w:val="C-TableText"/>
                    <w:keepNext/>
                    <w:rPr>
                      <w:bCs/>
                      <w:sz w:val="24"/>
                      <w:szCs w:val="24"/>
                    </w:rPr>
                  </w:pPr>
                  <w:r w:rsidRPr="004E5EBA">
                    <w:rPr>
                      <w:bCs/>
                      <w:sz w:val="24"/>
                      <w:szCs w:val="24"/>
                    </w:rPr>
                    <w:t xml:space="preserve">Resume at a reduced dose as shown in Table 1. </w:t>
                  </w:r>
                </w:p>
                <w:p w14:paraId="37A1261C" w14:textId="77777777" w:rsidR="00997AAF" w:rsidRPr="004E5EBA" w:rsidRDefault="00997AAF" w:rsidP="00997AAF">
                  <w:pPr>
                    <w:pStyle w:val="C-TableText"/>
                    <w:keepNext/>
                    <w:rPr>
                      <w:bCs/>
                      <w:sz w:val="24"/>
                      <w:szCs w:val="24"/>
                    </w:rPr>
                  </w:pPr>
                  <w:r w:rsidRPr="004E5EBA">
                    <w:rPr>
                      <w:bCs/>
                      <w:sz w:val="24"/>
                      <w:szCs w:val="24"/>
                    </w:rPr>
                    <w:t xml:space="preserve">For recurrent events at Grade 3 or </w:t>
                  </w:r>
                  <w:r w:rsidRPr="004E5EBA">
                    <w:rPr>
                      <w:sz w:val="24"/>
                      <w:szCs w:val="24"/>
                    </w:rPr>
                    <w:t>higher</w:t>
                  </w:r>
                  <w:r w:rsidRPr="004E5EBA">
                    <w:rPr>
                      <w:bCs/>
                      <w:sz w:val="24"/>
                      <w:szCs w:val="24"/>
                    </w:rPr>
                    <w:t xml:space="preserve">, discontinue </w:t>
                  </w:r>
                  <w:proofErr w:type="spellStart"/>
                  <w:r w:rsidRPr="004E5EBA">
                    <w:rPr>
                      <w:bCs/>
                      <w:sz w:val="24"/>
                      <w:szCs w:val="24"/>
                    </w:rPr>
                    <w:t>Gavreto</w:t>
                  </w:r>
                  <w:proofErr w:type="spellEnd"/>
                  <w:r w:rsidRPr="004E5EBA">
                    <w:rPr>
                      <w:bCs/>
                      <w:sz w:val="24"/>
                      <w:szCs w:val="24"/>
                    </w:rPr>
                    <w:t>.</w:t>
                  </w:r>
                </w:p>
              </w:tc>
            </w:tr>
            <w:tr w:rsidR="00997AAF" w:rsidRPr="004E5EBA" w14:paraId="05A53711" w14:textId="77777777" w:rsidTr="00F43017">
              <w:trPr>
                <w:trHeight w:val="262"/>
              </w:trPr>
              <w:tc>
                <w:tcPr>
                  <w:tcW w:w="1666" w:type="pct"/>
                </w:tcPr>
                <w:p w14:paraId="769BCDC7" w14:textId="77777777" w:rsidR="00997AAF" w:rsidRPr="004E5EBA" w:rsidRDefault="00997AAF" w:rsidP="00997AAF">
                  <w:pPr>
                    <w:pStyle w:val="C-BodyText"/>
                    <w:keepNext/>
                    <w:rPr>
                      <w:b/>
                      <w:szCs w:val="24"/>
                      <w:lang w:bidi="en-US"/>
                    </w:rPr>
                  </w:pPr>
                  <w:r w:rsidRPr="004E5EBA">
                    <w:rPr>
                      <w:b/>
                      <w:szCs w:val="24"/>
                      <w:lang w:bidi="en-US"/>
                    </w:rPr>
                    <w:t>Hemorrhagic Events</w:t>
                  </w:r>
                </w:p>
              </w:tc>
              <w:tc>
                <w:tcPr>
                  <w:tcW w:w="1221" w:type="pct"/>
                </w:tcPr>
                <w:p w14:paraId="52324FB1" w14:textId="77777777" w:rsidR="00997AAF" w:rsidRPr="004E5EBA" w:rsidRDefault="00997AAF" w:rsidP="00997AAF">
                  <w:pPr>
                    <w:pStyle w:val="C-TableText"/>
                    <w:keepNext/>
                    <w:rPr>
                      <w:bCs/>
                      <w:sz w:val="24"/>
                      <w:szCs w:val="24"/>
                    </w:rPr>
                  </w:pPr>
                  <w:r w:rsidRPr="004E5EBA">
                    <w:rPr>
                      <w:bCs/>
                      <w:sz w:val="24"/>
                      <w:szCs w:val="24"/>
                    </w:rPr>
                    <w:t>Grade 3 or 4</w:t>
                  </w:r>
                </w:p>
              </w:tc>
              <w:tc>
                <w:tcPr>
                  <w:tcW w:w="2113" w:type="pct"/>
                </w:tcPr>
                <w:p w14:paraId="6F2811A4" w14:textId="77777777" w:rsidR="00997AAF" w:rsidRPr="004E5EBA" w:rsidRDefault="00997AAF" w:rsidP="00997AAF">
                  <w:pPr>
                    <w:pStyle w:val="C-TableText"/>
                    <w:keepNext/>
                    <w:rPr>
                      <w:bCs/>
                      <w:sz w:val="24"/>
                      <w:szCs w:val="24"/>
                    </w:rPr>
                  </w:pPr>
                  <w:r w:rsidRPr="004E5EBA">
                    <w:rPr>
                      <w:bCs/>
                      <w:sz w:val="24"/>
                      <w:szCs w:val="24"/>
                    </w:rPr>
                    <w:t xml:space="preserve">Withhold </w:t>
                  </w:r>
                  <w:proofErr w:type="spellStart"/>
                  <w:r>
                    <w:rPr>
                      <w:bCs/>
                      <w:sz w:val="24"/>
                      <w:szCs w:val="24"/>
                    </w:rPr>
                    <w:t>Gavreto</w:t>
                  </w:r>
                  <w:proofErr w:type="spellEnd"/>
                  <w:r w:rsidRPr="004E5EBA">
                    <w:rPr>
                      <w:bCs/>
                      <w:sz w:val="24"/>
                      <w:szCs w:val="24"/>
                    </w:rPr>
                    <w:t xml:space="preserve"> until resolution to Grade 1. </w:t>
                  </w:r>
                </w:p>
                <w:p w14:paraId="6F39A055" w14:textId="77777777" w:rsidR="00997AAF" w:rsidRPr="004E5EBA" w:rsidRDefault="00997AAF" w:rsidP="00997AAF">
                  <w:pPr>
                    <w:pStyle w:val="C-TableText"/>
                    <w:keepNext/>
                    <w:rPr>
                      <w:bCs/>
                      <w:sz w:val="24"/>
                      <w:szCs w:val="24"/>
                    </w:rPr>
                  </w:pPr>
                  <w:r w:rsidRPr="004E5EBA">
                    <w:rPr>
                      <w:bCs/>
                      <w:sz w:val="24"/>
                      <w:szCs w:val="24"/>
                    </w:rPr>
                    <w:t xml:space="preserve">Resume at a reduced dose as shown in Table 1. </w:t>
                  </w:r>
                </w:p>
                <w:p w14:paraId="10C8E27B" w14:textId="77777777" w:rsidR="00997AAF" w:rsidRPr="004E5EBA" w:rsidRDefault="00997AAF" w:rsidP="00997AAF">
                  <w:pPr>
                    <w:pStyle w:val="C-TableText"/>
                    <w:keepNext/>
                    <w:rPr>
                      <w:bCs/>
                      <w:sz w:val="24"/>
                      <w:szCs w:val="24"/>
                    </w:rPr>
                  </w:pPr>
                  <w:r w:rsidRPr="004E5EBA">
                    <w:rPr>
                      <w:bCs/>
                      <w:sz w:val="24"/>
                      <w:szCs w:val="24"/>
                    </w:rPr>
                    <w:t xml:space="preserve">Discontinue </w:t>
                  </w:r>
                  <w:proofErr w:type="spellStart"/>
                  <w:r w:rsidRPr="004E5EBA">
                    <w:rPr>
                      <w:bCs/>
                      <w:sz w:val="24"/>
                      <w:szCs w:val="24"/>
                    </w:rPr>
                    <w:t>G</w:t>
                  </w:r>
                  <w:r>
                    <w:rPr>
                      <w:bCs/>
                      <w:sz w:val="24"/>
                      <w:szCs w:val="24"/>
                    </w:rPr>
                    <w:t>avreto</w:t>
                  </w:r>
                  <w:proofErr w:type="spellEnd"/>
                  <w:r w:rsidRPr="004E5EBA">
                    <w:rPr>
                      <w:bCs/>
                      <w:sz w:val="24"/>
                      <w:szCs w:val="24"/>
                    </w:rPr>
                    <w:t xml:space="preserve"> for </w:t>
                  </w:r>
                  <w:r w:rsidRPr="004E5EBA">
                    <w:rPr>
                      <w:sz w:val="24"/>
                      <w:szCs w:val="24"/>
                    </w:rPr>
                    <w:t xml:space="preserve">life-threatening or recurrent severe </w:t>
                  </w:r>
                  <w:r w:rsidRPr="004E5EBA">
                    <w:rPr>
                      <w:bCs/>
                      <w:sz w:val="24"/>
                      <w:szCs w:val="24"/>
                    </w:rPr>
                    <w:t>hemorrhagic events.</w:t>
                  </w:r>
                </w:p>
              </w:tc>
            </w:tr>
            <w:tr w:rsidR="00E83125" w:rsidRPr="004E5EBA" w14:paraId="35A12DBF" w14:textId="77777777" w:rsidTr="00F43017">
              <w:trPr>
                <w:trHeight w:val="1747"/>
              </w:trPr>
              <w:tc>
                <w:tcPr>
                  <w:tcW w:w="1666" w:type="pct"/>
                  <w:vMerge w:val="restart"/>
                </w:tcPr>
                <w:p w14:paraId="2E3E4B5D" w14:textId="11D8726C" w:rsidR="00E83125" w:rsidRPr="004E5EBA" w:rsidRDefault="00E83125" w:rsidP="00E83125">
                  <w:pPr>
                    <w:pStyle w:val="C-TableText"/>
                    <w:keepNext/>
                    <w:rPr>
                      <w:b/>
                      <w:sz w:val="24"/>
                      <w:szCs w:val="24"/>
                      <w:lang w:bidi="en-US"/>
                    </w:rPr>
                  </w:pPr>
                  <w:r w:rsidRPr="00E83125">
                    <w:rPr>
                      <w:b/>
                      <w:sz w:val="24"/>
                      <w:szCs w:val="24"/>
                      <w:lang w:val="en-NZ" w:bidi="en-US"/>
                    </w:rPr>
                    <w:t>QT prolongation</w:t>
                  </w:r>
                </w:p>
              </w:tc>
              <w:tc>
                <w:tcPr>
                  <w:tcW w:w="1221" w:type="pct"/>
                </w:tcPr>
                <w:p w14:paraId="26DDED81" w14:textId="2F2CE526" w:rsidR="00E83125" w:rsidRPr="00E83125" w:rsidRDefault="00E83125" w:rsidP="00E83125">
                  <w:pPr>
                    <w:pStyle w:val="C-TableText"/>
                    <w:keepNext/>
                    <w:rPr>
                      <w:bCs/>
                      <w:sz w:val="24"/>
                      <w:szCs w:val="24"/>
                    </w:rPr>
                  </w:pPr>
                  <w:r w:rsidRPr="0088407D">
                    <w:rPr>
                      <w:sz w:val="24"/>
                      <w:szCs w:val="24"/>
                    </w:rPr>
                    <w:t>Grade 3</w:t>
                  </w:r>
                </w:p>
              </w:tc>
              <w:tc>
                <w:tcPr>
                  <w:tcW w:w="2113" w:type="pct"/>
                </w:tcPr>
                <w:p w14:paraId="04C4AE55" w14:textId="77777777" w:rsidR="00E83125" w:rsidRDefault="00E83125" w:rsidP="00E83125">
                  <w:pPr>
                    <w:pStyle w:val="C-TableText"/>
                    <w:keepNext/>
                    <w:rPr>
                      <w:sz w:val="24"/>
                      <w:szCs w:val="24"/>
                    </w:rPr>
                  </w:pPr>
                  <w:r w:rsidRPr="0088407D">
                    <w:rPr>
                      <w:sz w:val="24"/>
                      <w:szCs w:val="24"/>
                    </w:rPr>
                    <w:t xml:space="preserve">Withhold </w:t>
                  </w:r>
                  <w:proofErr w:type="spellStart"/>
                  <w:r w:rsidRPr="0088407D">
                    <w:rPr>
                      <w:sz w:val="24"/>
                      <w:szCs w:val="24"/>
                    </w:rPr>
                    <w:t>Gavreto</w:t>
                  </w:r>
                  <w:proofErr w:type="spellEnd"/>
                  <w:r w:rsidRPr="0088407D">
                    <w:rPr>
                      <w:sz w:val="24"/>
                      <w:szCs w:val="24"/>
                    </w:rPr>
                    <w:t xml:space="preserve"> for QTc intervals &gt;500 </w:t>
                  </w:r>
                  <w:proofErr w:type="spellStart"/>
                  <w:r w:rsidRPr="0088407D">
                    <w:rPr>
                      <w:sz w:val="24"/>
                      <w:szCs w:val="24"/>
                    </w:rPr>
                    <w:t>ms</w:t>
                  </w:r>
                  <w:proofErr w:type="spellEnd"/>
                  <w:r w:rsidRPr="0088407D">
                    <w:rPr>
                      <w:sz w:val="24"/>
                      <w:szCs w:val="24"/>
                    </w:rPr>
                    <w:t xml:space="preserve"> until QTc interval returns to &lt;470 </w:t>
                  </w:r>
                  <w:proofErr w:type="spellStart"/>
                  <w:r w:rsidRPr="0088407D">
                    <w:rPr>
                      <w:sz w:val="24"/>
                      <w:szCs w:val="24"/>
                    </w:rPr>
                    <w:t>ms.</w:t>
                  </w:r>
                  <w:proofErr w:type="spellEnd"/>
                  <w:r w:rsidRPr="0088407D">
                    <w:rPr>
                      <w:sz w:val="24"/>
                      <w:szCs w:val="24"/>
                    </w:rPr>
                    <w:t xml:space="preserve"> </w:t>
                  </w:r>
                </w:p>
                <w:p w14:paraId="63B3BA4D" w14:textId="77777777" w:rsidR="00E83125" w:rsidRPr="00AD5AA5" w:rsidRDefault="00E83125" w:rsidP="00E83125">
                  <w:pPr>
                    <w:pStyle w:val="C-TableText"/>
                    <w:keepNext/>
                    <w:pBdr>
                      <w:top w:val="nil"/>
                      <w:left w:val="nil"/>
                      <w:bottom w:val="nil"/>
                      <w:right w:val="nil"/>
                      <w:between w:val="nil"/>
                    </w:pBdr>
                    <w:rPr>
                      <w:bCs/>
                      <w:sz w:val="24"/>
                      <w:szCs w:val="24"/>
                    </w:rPr>
                  </w:pPr>
                  <w:r w:rsidRPr="00AD5AA5">
                    <w:rPr>
                      <w:bCs/>
                      <w:sz w:val="24"/>
                      <w:szCs w:val="24"/>
                    </w:rPr>
                    <w:t xml:space="preserve">Resume at the same dose if risk factors that cause QT prolongation are identified and corrected. </w:t>
                  </w:r>
                </w:p>
                <w:p w14:paraId="0136FD54" w14:textId="00FF04A7" w:rsidR="00E83125" w:rsidRPr="00E83125" w:rsidRDefault="00E83125" w:rsidP="00E83125">
                  <w:pPr>
                    <w:pStyle w:val="C-TableText"/>
                    <w:keepNext/>
                    <w:rPr>
                      <w:bCs/>
                      <w:sz w:val="24"/>
                      <w:szCs w:val="24"/>
                    </w:rPr>
                  </w:pPr>
                  <w:r w:rsidRPr="00AD5AA5">
                    <w:rPr>
                      <w:bCs/>
                      <w:sz w:val="24"/>
                      <w:szCs w:val="24"/>
                    </w:rPr>
                    <w:lastRenderedPageBreak/>
                    <w:t>Resume treatment at a reduced dose if other risk factors that cause QT prolongation are not identified.</w:t>
                  </w:r>
                </w:p>
              </w:tc>
            </w:tr>
            <w:tr w:rsidR="00E83125" w:rsidRPr="004E5EBA" w14:paraId="0B4D8783" w14:textId="77777777" w:rsidTr="00F43017">
              <w:trPr>
                <w:trHeight w:val="65"/>
              </w:trPr>
              <w:tc>
                <w:tcPr>
                  <w:tcW w:w="1666" w:type="pct"/>
                  <w:vMerge/>
                </w:tcPr>
                <w:p w14:paraId="0364D501" w14:textId="77777777" w:rsidR="00E83125" w:rsidRDefault="00E83125" w:rsidP="00E83125">
                  <w:pPr>
                    <w:pStyle w:val="C-TableText"/>
                    <w:keepNext/>
                    <w:rPr>
                      <w:b/>
                      <w:sz w:val="24"/>
                      <w:szCs w:val="24"/>
                      <w:lang w:bidi="en-US"/>
                    </w:rPr>
                  </w:pPr>
                </w:p>
              </w:tc>
              <w:tc>
                <w:tcPr>
                  <w:tcW w:w="1221" w:type="pct"/>
                </w:tcPr>
                <w:p w14:paraId="4E4C336C" w14:textId="78A79B48" w:rsidR="00E83125" w:rsidRDefault="00E83125" w:rsidP="00E83125">
                  <w:pPr>
                    <w:pStyle w:val="C-TableText"/>
                    <w:keepNext/>
                    <w:rPr>
                      <w:bCs/>
                      <w:sz w:val="24"/>
                      <w:szCs w:val="24"/>
                    </w:rPr>
                  </w:pPr>
                  <w:r>
                    <w:rPr>
                      <w:bCs/>
                      <w:sz w:val="24"/>
                      <w:szCs w:val="24"/>
                    </w:rPr>
                    <w:t>Grade 4</w:t>
                  </w:r>
                </w:p>
              </w:tc>
              <w:tc>
                <w:tcPr>
                  <w:tcW w:w="2113" w:type="pct"/>
                </w:tcPr>
                <w:p w14:paraId="5C5D8894" w14:textId="50FD1816" w:rsidR="00E83125" w:rsidRPr="004E5EBA" w:rsidRDefault="00E83125" w:rsidP="00E83125">
                  <w:pPr>
                    <w:pStyle w:val="C-TableText"/>
                    <w:keepNext/>
                    <w:rPr>
                      <w:bCs/>
                      <w:sz w:val="24"/>
                      <w:szCs w:val="24"/>
                    </w:rPr>
                  </w:pPr>
                  <w:r w:rsidRPr="00AD5AA5">
                    <w:rPr>
                      <w:bCs/>
                      <w:sz w:val="24"/>
                      <w:szCs w:val="24"/>
                    </w:rPr>
                    <w:t xml:space="preserve">Permanently discontinue </w:t>
                  </w:r>
                  <w:proofErr w:type="spellStart"/>
                  <w:r w:rsidRPr="00AD5AA5">
                    <w:rPr>
                      <w:bCs/>
                      <w:sz w:val="24"/>
                      <w:szCs w:val="24"/>
                    </w:rPr>
                    <w:t>Gavreto</w:t>
                  </w:r>
                  <w:proofErr w:type="spellEnd"/>
                  <w:r w:rsidRPr="00AD5AA5">
                    <w:rPr>
                      <w:bCs/>
                      <w:sz w:val="24"/>
                      <w:szCs w:val="24"/>
                    </w:rPr>
                    <w:t xml:space="preserve"> if the patient has life-threatening arrhythmia.</w:t>
                  </w:r>
                </w:p>
              </w:tc>
            </w:tr>
            <w:tr w:rsidR="00997AAF" w:rsidRPr="004E5EBA" w14:paraId="0F734FA8" w14:textId="77777777" w:rsidTr="00F43017">
              <w:trPr>
                <w:trHeight w:val="65"/>
              </w:trPr>
              <w:tc>
                <w:tcPr>
                  <w:tcW w:w="1666" w:type="pct"/>
                </w:tcPr>
                <w:p w14:paraId="385455BA" w14:textId="77777777" w:rsidR="00997AAF" w:rsidRPr="004E5EBA" w:rsidRDefault="00997AAF" w:rsidP="00997AAF">
                  <w:pPr>
                    <w:pStyle w:val="C-TableText"/>
                    <w:keepNext/>
                    <w:rPr>
                      <w:b/>
                      <w:sz w:val="24"/>
                      <w:szCs w:val="24"/>
                      <w:lang w:bidi="en-US"/>
                    </w:rPr>
                  </w:pPr>
                  <w:r w:rsidRPr="004E5EBA">
                    <w:rPr>
                      <w:b/>
                      <w:sz w:val="24"/>
                      <w:szCs w:val="24"/>
                      <w:lang w:bidi="en-US"/>
                    </w:rPr>
                    <w:t>Other Adverse Reactions</w:t>
                  </w:r>
                </w:p>
                <w:p w14:paraId="16698FB3" w14:textId="77777777" w:rsidR="00997AAF" w:rsidRDefault="00997AAF" w:rsidP="00997AAF">
                  <w:pPr>
                    <w:pStyle w:val="C-TableText"/>
                    <w:keepNext/>
                    <w:rPr>
                      <w:b/>
                      <w:sz w:val="24"/>
                      <w:szCs w:val="24"/>
                      <w:lang w:bidi="en-US"/>
                    </w:rPr>
                  </w:pPr>
                </w:p>
              </w:tc>
              <w:tc>
                <w:tcPr>
                  <w:tcW w:w="1221" w:type="pct"/>
                </w:tcPr>
                <w:p w14:paraId="6ABA724F" w14:textId="77777777" w:rsidR="00997AAF" w:rsidRDefault="00997AAF" w:rsidP="00997AAF">
                  <w:pPr>
                    <w:pStyle w:val="C-TableText"/>
                    <w:keepNext/>
                    <w:rPr>
                      <w:bCs/>
                      <w:sz w:val="24"/>
                      <w:szCs w:val="24"/>
                    </w:rPr>
                  </w:pPr>
                  <w:r w:rsidRPr="004E5EBA">
                    <w:rPr>
                      <w:bCs/>
                      <w:sz w:val="24"/>
                      <w:szCs w:val="24"/>
                    </w:rPr>
                    <w:t>Grade 3 or 4</w:t>
                  </w:r>
                </w:p>
              </w:tc>
              <w:tc>
                <w:tcPr>
                  <w:tcW w:w="2113" w:type="pct"/>
                </w:tcPr>
                <w:p w14:paraId="0DC027F4" w14:textId="77777777" w:rsidR="00997AAF" w:rsidRPr="004E5EBA" w:rsidRDefault="00997AAF" w:rsidP="00997AAF">
                  <w:pPr>
                    <w:pStyle w:val="C-TableText"/>
                    <w:keepNext/>
                    <w:rPr>
                      <w:bCs/>
                      <w:sz w:val="24"/>
                      <w:szCs w:val="24"/>
                    </w:rPr>
                  </w:pPr>
                  <w:r w:rsidRPr="004E5EBA">
                    <w:rPr>
                      <w:bCs/>
                      <w:sz w:val="24"/>
                      <w:szCs w:val="24"/>
                    </w:rPr>
                    <w:t xml:space="preserve">Withhold </w:t>
                  </w:r>
                  <w:proofErr w:type="spellStart"/>
                  <w:r w:rsidRPr="004E5EBA">
                    <w:rPr>
                      <w:bCs/>
                      <w:sz w:val="24"/>
                      <w:szCs w:val="24"/>
                    </w:rPr>
                    <w:t>Gavreto</w:t>
                  </w:r>
                  <w:proofErr w:type="spellEnd"/>
                  <w:r w:rsidRPr="004E5EBA">
                    <w:rPr>
                      <w:bCs/>
                      <w:sz w:val="24"/>
                      <w:szCs w:val="24"/>
                    </w:rPr>
                    <w:t xml:space="preserve"> until improvement to ≤ Grade 2. Resume at a reduced dose as shown in Table 1.</w:t>
                  </w:r>
                </w:p>
                <w:p w14:paraId="1FC97AA8" w14:textId="77777777" w:rsidR="00997AAF" w:rsidRPr="00AD5AA5" w:rsidRDefault="00997AAF" w:rsidP="00997AAF">
                  <w:pPr>
                    <w:pStyle w:val="C-TableText"/>
                    <w:keepNext/>
                    <w:rPr>
                      <w:bCs/>
                      <w:sz w:val="24"/>
                      <w:szCs w:val="24"/>
                    </w:rPr>
                  </w:pPr>
                  <w:r w:rsidRPr="004E5EBA">
                    <w:rPr>
                      <w:bCs/>
                      <w:sz w:val="24"/>
                      <w:szCs w:val="24"/>
                    </w:rPr>
                    <w:t>Permanently discontinue for recurrent Grade 4 adverse reactions.</w:t>
                  </w:r>
                </w:p>
              </w:tc>
            </w:tr>
            <w:bookmarkEnd w:id="0"/>
          </w:tbl>
          <w:p w14:paraId="2F6FFD4D" w14:textId="7AA19FF4" w:rsidR="00BF1CBC" w:rsidRPr="0088407D" w:rsidRDefault="00BF1CBC" w:rsidP="0088407D">
            <w:pPr>
              <w:pStyle w:val="C-TableHeader"/>
              <w:spacing w:before="0" w:after="0"/>
              <w:rPr>
                <w:sz w:val="2"/>
                <w:szCs w:val="2"/>
                <w:lang w:bidi="en-US"/>
              </w:rPr>
            </w:pPr>
          </w:p>
        </w:tc>
      </w:tr>
    </w:tbl>
    <w:p w14:paraId="22235EAC" w14:textId="7349CFAD" w:rsidR="00B421E9" w:rsidRDefault="00F05F6B" w:rsidP="0088407D">
      <w:pPr>
        <w:keepLines/>
        <w:rPr>
          <w:sz w:val="20"/>
          <w:szCs w:val="20"/>
        </w:rPr>
      </w:pPr>
      <w:r w:rsidRPr="00F05F6B">
        <w:rPr>
          <w:sz w:val="20"/>
          <w:szCs w:val="20"/>
        </w:rPr>
        <w:lastRenderedPageBreak/>
        <w:t>* Adverse reactions graded by the National Cancer Institute Common Terminology Criteria for Adverse Events (NCI-CTCAE) version 4.03</w:t>
      </w:r>
    </w:p>
    <w:p w14:paraId="71B11136" w14:textId="77777777" w:rsidR="00827F71" w:rsidRPr="00F05F6B" w:rsidRDefault="00827F71" w:rsidP="00B421E9">
      <w:pPr>
        <w:rPr>
          <w:sz w:val="20"/>
          <w:szCs w:val="20"/>
        </w:rPr>
      </w:pPr>
    </w:p>
    <w:p w14:paraId="6B6F6A2C" w14:textId="2669B4FC" w:rsidR="00C73271" w:rsidRDefault="00C73271" w:rsidP="000A665B">
      <w:pPr>
        <w:pStyle w:val="Heading4"/>
        <w:spacing w:before="0"/>
      </w:pPr>
      <w:r w:rsidRPr="00C73271">
        <w:t>Dose modifications for specific medicine interactions</w:t>
      </w:r>
    </w:p>
    <w:p w14:paraId="1EE1AA9F" w14:textId="2B92147F" w:rsidR="00C73271" w:rsidRDefault="00C73271" w:rsidP="00C73271">
      <w:pPr>
        <w:pStyle w:val="Heading4"/>
        <w:rPr>
          <w:i/>
          <w:u w:val="none"/>
        </w:rPr>
      </w:pPr>
      <w:r w:rsidRPr="00C73271">
        <w:rPr>
          <w:i/>
          <w:u w:val="none"/>
        </w:rPr>
        <w:t>Dose modification for use with strong cytochrome P-450 (CYP)3A4 inhibitors or combined P-glycoprotein (P-</w:t>
      </w:r>
      <w:proofErr w:type="spellStart"/>
      <w:r w:rsidRPr="00C73271">
        <w:rPr>
          <w:i/>
          <w:u w:val="none"/>
        </w:rPr>
        <w:t>gp</w:t>
      </w:r>
      <w:proofErr w:type="spellEnd"/>
      <w:r w:rsidRPr="00C73271">
        <w:rPr>
          <w:i/>
          <w:u w:val="none"/>
        </w:rPr>
        <w:t>) and strong CYP3A4 Inhibitors</w:t>
      </w:r>
    </w:p>
    <w:p w14:paraId="1E29071C" w14:textId="77777777" w:rsidR="00C73271" w:rsidRPr="00C73271" w:rsidRDefault="00C73271" w:rsidP="00C73271"/>
    <w:p w14:paraId="220B3B2D" w14:textId="23C6683D" w:rsidR="00C73271" w:rsidRDefault="00C73271" w:rsidP="00C73271">
      <w:pPr>
        <w:pStyle w:val="Heading4"/>
        <w:spacing w:before="0"/>
        <w:rPr>
          <w:u w:val="none"/>
        </w:rPr>
      </w:pPr>
      <w:r w:rsidRPr="00C73271">
        <w:rPr>
          <w:u w:val="none"/>
        </w:rPr>
        <w:t xml:space="preserve">Avoid coadministration of </w:t>
      </w:r>
      <w:proofErr w:type="spellStart"/>
      <w:r w:rsidRPr="00C73271">
        <w:rPr>
          <w:u w:val="none"/>
        </w:rPr>
        <w:t>Gavreto</w:t>
      </w:r>
      <w:proofErr w:type="spellEnd"/>
      <w:r w:rsidRPr="00C73271">
        <w:rPr>
          <w:u w:val="none"/>
        </w:rPr>
        <w:t xml:space="preserve"> with known strong CYP3A4 inhibitors or combined P-</w:t>
      </w:r>
      <w:proofErr w:type="spellStart"/>
      <w:r w:rsidRPr="00C73271">
        <w:rPr>
          <w:u w:val="none"/>
        </w:rPr>
        <w:t>gp</w:t>
      </w:r>
      <w:proofErr w:type="spellEnd"/>
      <w:r w:rsidRPr="00C73271">
        <w:rPr>
          <w:u w:val="none"/>
        </w:rPr>
        <w:t xml:space="preserve"> and strong CYP3A4 inhibitors</w:t>
      </w:r>
      <w:r w:rsidR="00793212">
        <w:rPr>
          <w:u w:val="none"/>
        </w:rPr>
        <w:t xml:space="preserve"> (see section </w:t>
      </w:r>
      <w:r w:rsidR="00793212" w:rsidRPr="00BF1CBC">
        <w:rPr>
          <w:i/>
          <w:u w:val="none"/>
        </w:rPr>
        <w:t>4.5 Interactions with Other Medicines</w:t>
      </w:r>
      <w:r w:rsidR="00793212">
        <w:rPr>
          <w:u w:val="none"/>
        </w:rPr>
        <w:t>)</w:t>
      </w:r>
      <w:r w:rsidRPr="00C73271">
        <w:rPr>
          <w:u w:val="none"/>
        </w:rPr>
        <w:t>. If coadministration with a strong CYP3A4 inhibitor or combined P-</w:t>
      </w:r>
      <w:proofErr w:type="spellStart"/>
      <w:r w:rsidRPr="00C73271">
        <w:rPr>
          <w:u w:val="none"/>
        </w:rPr>
        <w:t>gp</w:t>
      </w:r>
      <w:proofErr w:type="spellEnd"/>
      <w:r w:rsidRPr="00C73271">
        <w:rPr>
          <w:u w:val="none"/>
        </w:rPr>
        <w:t xml:space="preserve"> and strong CYP3A4 inhibitor cannot be avoided, reduce the current dose of </w:t>
      </w:r>
      <w:proofErr w:type="spellStart"/>
      <w:r w:rsidRPr="00C73271">
        <w:rPr>
          <w:u w:val="none"/>
        </w:rPr>
        <w:t>Gavreto</w:t>
      </w:r>
      <w:proofErr w:type="spellEnd"/>
      <w:r w:rsidRPr="00C73271">
        <w:rPr>
          <w:u w:val="none"/>
        </w:rPr>
        <w:t xml:space="preserve"> as recommended in Table 3. After the strong CYP3A4 inhibitor or combined P-</w:t>
      </w:r>
      <w:proofErr w:type="spellStart"/>
      <w:r w:rsidRPr="00C73271">
        <w:rPr>
          <w:u w:val="none"/>
        </w:rPr>
        <w:t>gp</w:t>
      </w:r>
      <w:proofErr w:type="spellEnd"/>
      <w:r w:rsidRPr="00C73271">
        <w:rPr>
          <w:u w:val="none"/>
        </w:rPr>
        <w:t xml:space="preserve"> and strong CYP3A4 inhibitor has been discontinued for 3 to 5 elimination half-lives, the </w:t>
      </w:r>
      <w:proofErr w:type="spellStart"/>
      <w:r w:rsidRPr="00C73271">
        <w:rPr>
          <w:u w:val="none"/>
        </w:rPr>
        <w:t>Gavreto</w:t>
      </w:r>
      <w:proofErr w:type="spellEnd"/>
      <w:r w:rsidRPr="00C73271">
        <w:rPr>
          <w:u w:val="none"/>
        </w:rPr>
        <w:t xml:space="preserve"> dose that was taken prior to the inhibitor can be resumed.</w:t>
      </w:r>
    </w:p>
    <w:p w14:paraId="668ED486" w14:textId="56FAB11E" w:rsidR="003D6C17" w:rsidRDefault="003D6C17" w:rsidP="003D6C17"/>
    <w:tbl>
      <w:tblPr>
        <w:tblW w:w="0" w:type="auto"/>
        <w:tblLook w:val="04A0" w:firstRow="1" w:lastRow="0" w:firstColumn="1" w:lastColumn="0" w:noHBand="0" w:noVBand="1"/>
      </w:tblPr>
      <w:tblGrid>
        <w:gridCol w:w="4315"/>
        <w:gridCol w:w="4315"/>
      </w:tblGrid>
      <w:tr w:rsidR="003D6C17" w14:paraId="584287C1" w14:textId="77777777" w:rsidTr="00D9468E">
        <w:tc>
          <w:tcPr>
            <w:tcW w:w="8630" w:type="dxa"/>
            <w:gridSpan w:val="2"/>
            <w:tcBorders>
              <w:top w:val="nil"/>
              <w:left w:val="nil"/>
              <w:bottom w:val="single" w:sz="4" w:space="0" w:color="auto"/>
              <w:right w:val="nil"/>
            </w:tcBorders>
          </w:tcPr>
          <w:p w14:paraId="06572567" w14:textId="55AFEDC9" w:rsidR="003D6C17" w:rsidRPr="004E5EBA" w:rsidRDefault="003D6C17" w:rsidP="00D9468E">
            <w:pPr>
              <w:pStyle w:val="Caption"/>
              <w:keepNext/>
              <w:spacing w:before="120" w:after="120"/>
              <w:rPr>
                <w:sz w:val="24"/>
                <w:szCs w:val="24"/>
              </w:rPr>
            </w:pPr>
            <w:r w:rsidRPr="004E5EBA">
              <w:rPr>
                <w:b/>
                <w:sz w:val="24"/>
                <w:szCs w:val="24"/>
              </w:rPr>
              <w:t xml:space="preserve">Table 3. Recommended Dosage Modifications for </w:t>
            </w:r>
            <w:proofErr w:type="spellStart"/>
            <w:r w:rsidRPr="004E5EBA">
              <w:rPr>
                <w:b/>
                <w:sz w:val="24"/>
                <w:szCs w:val="24"/>
              </w:rPr>
              <w:t>Gavreto</w:t>
            </w:r>
            <w:proofErr w:type="spellEnd"/>
            <w:r w:rsidRPr="004E5EBA">
              <w:rPr>
                <w:b/>
                <w:sz w:val="24"/>
                <w:szCs w:val="24"/>
              </w:rPr>
              <w:t xml:space="preserve"> for Coadministration with Strong CYP3A4 Inhibitors or Combined P-</w:t>
            </w:r>
            <w:proofErr w:type="spellStart"/>
            <w:r w:rsidRPr="004E5EBA">
              <w:rPr>
                <w:b/>
                <w:sz w:val="24"/>
                <w:szCs w:val="24"/>
              </w:rPr>
              <w:t>gp</w:t>
            </w:r>
            <w:proofErr w:type="spellEnd"/>
            <w:r w:rsidRPr="004E5EBA">
              <w:rPr>
                <w:b/>
                <w:sz w:val="24"/>
                <w:szCs w:val="24"/>
              </w:rPr>
              <w:t xml:space="preserve"> and Strong CYP3A4 Inhibitors</w:t>
            </w:r>
          </w:p>
        </w:tc>
      </w:tr>
      <w:tr w:rsidR="003D6C17" w14:paraId="1E79463A" w14:textId="77777777" w:rsidTr="00D9468E">
        <w:trPr>
          <w:trHeight w:val="428"/>
        </w:trPr>
        <w:tc>
          <w:tcPr>
            <w:tcW w:w="4315" w:type="dxa"/>
            <w:tcBorders>
              <w:top w:val="single" w:sz="4" w:space="0" w:color="auto"/>
              <w:left w:val="single" w:sz="4" w:space="0" w:color="auto"/>
              <w:bottom w:val="single" w:sz="4" w:space="0" w:color="auto"/>
              <w:right w:val="single" w:sz="4" w:space="0" w:color="auto"/>
            </w:tcBorders>
          </w:tcPr>
          <w:p w14:paraId="0B5EDED1" w14:textId="77777777" w:rsidR="003D6C17" w:rsidRPr="004E5EBA" w:rsidRDefault="003D6C17" w:rsidP="00D9468E">
            <w:pPr>
              <w:pStyle w:val="TableCell10Left"/>
              <w:rPr>
                <w:rFonts w:ascii="Times New Roman" w:hAnsi="Times New Roman"/>
                <w:b/>
                <w:sz w:val="24"/>
              </w:rPr>
            </w:pPr>
            <w:r w:rsidRPr="004E5EBA">
              <w:rPr>
                <w:rFonts w:ascii="Times New Roman" w:hAnsi="Times New Roman"/>
                <w:b/>
                <w:sz w:val="24"/>
              </w:rPr>
              <w:t xml:space="preserve">Current </w:t>
            </w:r>
            <w:proofErr w:type="spellStart"/>
            <w:r w:rsidRPr="004E5EBA">
              <w:rPr>
                <w:rFonts w:ascii="Times New Roman" w:hAnsi="Times New Roman"/>
                <w:b/>
                <w:sz w:val="24"/>
              </w:rPr>
              <w:t>Gavreto</w:t>
            </w:r>
            <w:proofErr w:type="spellEnd"/>
            <w:r w:rsidRPr="004E5EBA">
              <w:rPr>
                <w:rFonts w:ascii="Times New Roman" w:hAnsi="Times New Roman"/>
                <w:b/>
                <w:sz w:val="24"/>
              </w:rPr>
              <w:t xml:space="preserve"> Dosage</w:t>
            </w:r>
          </w:p>
        </w:tc>
        <w:tc>
          <w:tcPr>
            <w:tcW w:w="4315" w:type="dxa"/>
            <w:tcBorders>
              <w:top w:val="single" w:sz="4" w:space="0" w:color="auto"/>
              <w:left w:val="single" w:sz="4" w:space="0" w:color="auto"/>
              <w:bottom w:val="single" w:sz="4" w:space="0" w:color="auto"/>
              <w:right w:val="single" w:sz="4" w:space="0" w:color="auto"/>
            </w:tcBorders>
          </w:tcPr>
          <w:p w14:paraId="5196BA63" w14:textId="77777777" w:rsidR="003D6C17" w:rsidRPr="004E5EBA" w:rsidRDefault="003D6C17" w:rsidP="00D9468E">
            <w:pPr>
              <w:pStyle w:val="TableCell10Left"/>
              <w:rPr>
                <w:rFonts w:ascii="Times New Roman" w:hAnsi="Times New Roman"/>
                <w:b/>
                <w:sz w:val="24"/>
              </w:rPr>
            </w:pPr>
            <w:r w:rsidRPr="004E5EBA">
              <w:rPr>
                <w:rFonts w:ascii="Times New Roman" w:hAnsi="Times New Roman"/>
                <w:b/>
                <w:sz w:val="24"/>
              </w:rPr>
              <w:t xml:space="preserve">Recommended </w:t>
            </w:r>
            <w:proofErr w:type="spellStart"/>
            <w:r w:rsidRPr="004E5EBA">
              <w:rPr>
                <w:rFonts w:ascii="Times New Roman" w:hAnsi="Times New Roman"/>
                <w:b/>
                <w:sz w:val="24"/>
              </w:rPr>
              <w:t>Gavreto</w:t>
            </w:r>
            <w:proofErr w:type="spellEnd"/>
            <w:r w:rsidRPr="004E5EBA">
              <w:rPr>
                <w:rFonts w:ascii="Times New Roman" w:hAnsi="Times New Roman"/>
                <w:b/>
                <w:sz w:val="24"/>
              </w:rPr>
              <w:t xml:space="preserve"> Dosage </w:t>
            </w:r>
          </w:p>
        </w:tc>
      </w:tr>
      <w:tr w:rsidR="003D6C17" w14:paraId="5154F096" w14:textId="77777777" w:rsidTr="00D9468E">
        <w:tc>
          <w:tcPr>
            <w:tcW w:w="4315" w:type="dxa"/>
            <w:tcBorders>
              <w:top w:val="single" w:sz="4" w:space="0" w:color="auto"/>
              <w:left w:val="single" w:sz="4" w:space="0" w:color="auto"/>
              <w:bottom w:val="single" w:sz="4" w:space="0" w:color="auto"/>
              <w:right w:val="single" w:sz="4" w:space="0" w:color="auto"/>
            </w:tcBorders>
          </w:tcPr>
          <w:p w14:paraId="2D87E5E1" w14:textId="77777777" w:rsidR="003D6C17" w:rsidRPr="004E5EBA" w:rsidRDefault="003D6C17" w:rsidP="00D9468E">
            <w:pPr>
              <w:pStyle w:val="TableCell10Left"/>
              <w:rPr>
                <w:rFonts w:ascii="Times New Roman" w:hAnsi="Times New Roman"/>
                <w:sz w:val="24"/>
              </w:rPr>
            </w:pPr>
            <w:r w:rsidRPr="004E5EBA">
              <w:rPr>
                <w:rFonts w:ascii="Times New Roman" w:hAnsi="Times New Roman"/>
                <w:sz w:val="24"/>
              </w:rPr>
              <w:t>400 mg orally once daily</w:t>
            </w:r>
          </w:p>
        </w:tc>
        <w:tc>
          <w:tcPr>
            <w:tcW w:w="4315" w:type="dxa"/>
            <w:tcBorders>
              <w:top w:val="single" w:sz="4" w:space="0" w:color="auto"/>
              <w:left w:val="single" w:sz="4" w:space="0" w:color="auto"/>
              <w:bottom w:val="single" w:sz="4" w:space="0" w:color="auto"/>
              <w:right w:val="single" w:sz="4" w:space="0" w:color="auto"/>
            </w:tcBorders>
          </w:tcPr>
          <w:p w14:paraId="518AB52A" w14:textId="77777777" w:rsidR="003D6C17" w:rsidRPr="004E5EBA" w:rsidRDefault="003D6C17" w:rsidP="00D9468E">
            <w:pPr>
              <w:pStyle w:val="TableCell10Left"/>
              <w:rPr>
                <w:rFonts w:ascii="Times New Roman" w:hAnsi="Times New Roman"/>
                <w:sz w:val="24"/>
              </w:rPr>
            </w:pPr>
            <w:r w:rsidRPr="004E5EBA">
              <w:rPr>
                <w:rFonts w:ascii="Times New Roman" w:hAnsi="Times New Roman"/>
                <w:sz w:val="24"/>
              </w:rPr>
              <w:t xml:space="preserve">200 mg orally once daily </w:t>
            </w:r>
          </w:p>
        </w:tc>
      </w:tr>
      <w:tr w:rsidR="003D6C17" w14:paraId="60F01E79" w14:textId="77777777" w:rsidTr="00D9468E">
        <w:tc>
          <w:tcPr>
            <w:tcW w:w="4315" w:type="dxa"/>
            <w:tcBorders>
              <w:top w:val="single" w:sz="4" w:space="0" w:color="auto"/>
              <w:left w:val="single" w:sz="4" w:space="0" w:color="auto"/>
              <w:bottom w:val="single" w:sz="4" w:space="0" w:color="auto"/>
              <w:right w:val="single" w:sz="4" w:space="0" w:color="auto"/>
            </w:tcBorders>
          </w:tcPr>
          <w:p w14:paraId="429E8CA6" w14:textId="77777777" w:rsidR="003D6C17" w:rsidRPr="004E5EBA" w:rsidRDefault="003D6C17" w:rsidP="00D9468E">
            <w:pPr>
              <w:pStyle w:val="TableCell10Left"/>
              <w:rPr>
                <w:rFonts w:ascii="Times New Roman" w:hAnsi="Times New Roman"/>
                <w:sz w:val="24"/>
              </w:rPr>
            </w:pPr>
            <w:r w:rsidRPr="004E5EBA">
              <w:rPr>
                <w:rFonts w:ascii="Times New Roman" w:hAnsi="Times New Roman"/>
                <w:sz w:val="24"/>
              </w:rPr>
              <w:t>300 mg orally once daily</w:t>
            </w:r>
          </w:p>
        </w:tc>
        <w:tc>
          <w:tcPr>
            <w:tcW w:w="4315" w:type="dxa"/>
            <w:tcBorders>
              <w:top w:val="single" w:sz="4" w:space="0" w:color="auto"/>
              <w:left w:val="single" w:sz="4" w:space="0" w:color="auto"/>
              <w:bottom w:val="single" w:sz="4" w:space="0" w:color="auto"/>
              <w:right w:val="single" w:sz="4" w:space="0" w:color="auto"/>
            </w:tcBorders>
          </w:tcPr>
          <w:p w14:paraId="57869432" w14:textId="77777777" w:rsidR="003D6C17" w:rsidRPr="004E5EBA" w:rsidRDefault="003D6C17" w:rsidP="00D9468E">
            <w:pPr>
              <w:pStyle w:val="TableCell10Left"/>
              <w:rPr>
                <w:rFonts w:ascii="Times New Roman" w:hAnsi="Times New Roman"/>
                <w:sz w:val="24"/>
              </w:rPr>
            </w:pPr>
            <w:r w:rsidRPr="004E5EBA">
              <w:rPr>
                <w:rFonts w:ascii="Times New Roman" w:hAnsi="Times New Roman"/>
                <w:sz w:val="24"/>
              </w:rPr>
              <w:t xml:space="preserve">200 mg orally once daily </w:t>
            </w:r>
          </w:p>
        </w:tc>
      </w:tr>
      <w:tr w:rsidR="003D6C17" w14:paraId="5E67E676" w14:textId="77777777" w:rsidTr="00D9468E">
        <w:tc>
          <w:tcPr>
            <w:tcW w:w="4315" w:type="dxa"/>
            <w:tcBorders>
              <w:top w:val="single" w:sz="4" w:space="0" w:color="auto"/>
              <w:left w:val="single" w:sz="4" w:space="0" w:color="auto"/>
              <w:bottom w:val="single" w:sz="4" w:space="0" w:color="auto"/>
              <w:right w:val="single" w:sz="4" w:space="0" w:color="auto"/>
            </w:tcBorders>
          </w:tcPr>
          <w:p w14:paraId="76CDFFC4" w14:textId="77777777" w:rsidR="003D6C17" w:rsidRPr="004E5EBA" w:rsidRDefault="003D6C17" w:rsidP="00D9468E">
            <w:pPr>
              <w:pStyle w:val="TableCell10Left"/>
              <w:rPr>
                <w:rFonts w:ascii="Times New Roman" w:hAnsi="Times New Roman"/>
                <w:sz w:val="24"/>
              </w:rPr>
            </w:pPr>
            <w:r w:rsidRPr="004E5EBA">
              <w:rPr>
                <w:rFonts w:ascii="Times New Roman" w:hAnsi="Times New Roman"/>
                <w:sz w:val="24"/>
              </w:rPr>
              <w:t>200 mg orally once daily</w:t>
            </w:r>
          </w:p>
        </w:tc>
        <w:tc>
          <w:tcPr>
            <w:tcW w:w="4315" w:type="dxa"/>
            <w:tcBorders>
              <w:top w:val="single" w:sz="4" w:space="0" w:color="auto"/>
              <w:left w:val="single" w:sz="4" w:space="0" w:color="auto"/>
              <w:bottom w:val="single" w:sz="4" w:space="0" w:color="auto"/>
              <w:right w:val="single" w:sz="4" w:space="0" w:color="auto"/>
            </w:tcBorders>
          </w:tcPr>
          <w:p w14:paraId="57D9ED0D" w14:textId="77777777" w:rsidR="003D6C17" w:rsidRPr="004E5EBA" w:rsidRDefault="003D6C17" w:rsidP="00D9468E">
            <w:pPr>
              <w:pStyle w:val="TableCell10Left"/>
              <w:rPr>
                <w:rFonts w:ascii="Times New Roman" w:hAnsi="Times New Roman"/>
                <w:sz w:val="24"/>
              </w:rPr>
            </w:pPr>
            <w:r w:rsidRPr="004E5EBA">
              <w:rPr>
                <w:rFonts w:ascii="Times New Roman" w:hAnsi="Times New Roman"/>
                <w:sz w:val="24"/>
              </w:rPr>
              <w:t>100 mg orally once daily</w:t>
            </w:r>
          </w:p>
        </w:tc>
      </w:tr>
    </w:tbl>
    <w:p w14:paraId="1A823180" w14:textId="6D5F8360" w:rsidR="003D6C17" w:rsidRDefault="003D6C17" w:rsidP="003D6C17">
      <w:pPr>
        <w:rPr>
          <w:b/>
        </w:rPr>
      </w:pPr>
    </w:p>
    <w:p w14:paraId="043FDD89" w14:textId="6EAC793D" w:rsidR="00392BFB" w:rsidRDefault="00392BFB" w:rsidP="003D6C17">
      <w:pPr>
        <w:rPr>
          <w:i/>
        </w:rPr>
      </w:pPr>
      <w:r w:rsidRPr="00392BFB">
        <w:rPr>
          <w:i/>
        </w:rPr>
        <w:t>Dose Modification for Use with Strong CYP3A4 Inducers</w:t>
      </w:r>
    </w:p>
    <w:p w14:paraId="69B3FE50" w14:textId="2687FE06" w:rsidR="00F855A6" w:rsidRDefault="00F855A6" w:rsidP="003D6C17">
      <w:pPr>
        <w:rPr>
          <w:i/>
        </w:rPr>
      </w:pPr>
    </w:p>
    <w:p w14:paraId="4A28F95B" w14:textId="2CB30452" w:rsidR="00F855A6" w:rsidRPr="00F855A6" w:rsidRDefault="00F855A6" w:rsidP="003D6C17">
      <w:r w:rsidRPr="00F855A6">
        <w:t xml:space="preserve">Avoid coadministration of </w:t>
      </w:r>
      <w:proofErr w:type="spellStart"/>
      <w:r w:rsidRPr="00F855A6">
        <w:t>pralsetinib</w:t>
      </w:r>
      <w:proofErr w:type="spellEnd"/>
      <w:r w:rsidRPr="00F855A6">
        <w:t xml:space="preserve"> with strong CYP3A4 inducers</w:t>
      </w:r>
      <w:r w:rsidR="00C775BD">
        <w:t xml:space="preserve"> (see section </w:t>
      </w:r>
      <w:r w:rsidR="00C775BD" w:rsidRPr="00F52739">
        <w:rPr>
          <w:i/>
        </w:rPr>
        <w:t>4.5 Interactions with Other Medicines</w:t>
      </w:r>
      <w:r w:rsidR="00C775BD">
        <w:t>)</w:t>
      </w:r>
      <w:r w:rsidRPr="00F855A6">
        <w:t xml:space="preserve">. If coadministration with a strong CYP3A4 inducer cannot be avoided, the dose of </w:t>
      </w:r>
      <w:proofErr w:type="spellStart"/>
      <w:r w:rsidRPr="00F855A6">
        <w:t>pralsetinib</w:t>
      </w:r>
      <w:proofErr w:type="spellEnd"/>
      <w:r w:rsidRPr="00F855A6">
        <w:t xml:space="preserve"> should be increased to double the current </w:t>
      </w:r>
      <w:proofErr w:type="spellStart"/>
      <w:r w:rsidRPr="00F855A6">
        <w:lastRenderedPageBreak/>
        <w:t>pralsetinib</w:t>
      </w:r>
      <w:proofErr w:type="spellEnd"/>
      <w:r w:rsidRPr="00F855A6">
        <w:t xml:space="preserve"> dose starting on Day 7 of coadministration of </w:t>
      </w:r>
      <w:proofErr w:type="spellStart"/>
      <w:r w:rsidRPr="00F855A6">
        <w:t>pralsetinib</w:t>
      </w:r>
      <w:proofErr w:type="spellEnd"/>
      <w:r w:rsidRPr="00F855A6">
        <w:t xml:space="preserve"> with the strong CYP3A4 inducer. After the strong CYP3A4 inducer has been discontinued for at least 14 days, the </w:t>
      </w:r>
      <w:proofErr w:type="spellStart"/>
      <w:r w:rsidRPr="00F855A6">
        <w:t>Gavreto</w:t>
      </w:r>
      <w:proofErr w:type="spellEnd"/>
      <w:r w:rsidRPr="00F855A6">
        <w:t xml:space="preserve"> dose that was taken prior to the use of the strong CYP3A4 inducer can be resumed.</w:t>
      </w:r>
    </w:p>
    <w:p w14:paraId="3C564B09" w14:textId="77777777" w:rsidR="00C73271" w:rsidRPr="00C73271" w:rsidRDefault="00C73271" w:rsidP="00C73271"/>
    <w:p w14:paraId="3F70F6CF" w14:textId="348D0BD2" w:rsidR="00D52399" w:rsidRDefault="00615052" w:rsidP="000A665B">
      <w:pPr>
        <w:pStyle w:val="Heading4"/>
        <w:spacing w:before="0"/>
      </w:pPr>
      <w:r>
        <w:t>Special populations</w:t>
      </w:r>
    </w:p>
    <w:p w14:paraId="3B310846" w14:textId="77777777" w:rsidR="00D52399" w:rsidRDefault="00615052">
      <w:pPr>
        <w:pStyle w:val="Heading5"/>
      </w:pPr>
      <w:r>
        <w:t>Paediatric Populations</w:t>
      </w:r>
    </w:p>
    <w:p w14:paraId="63172FAF" w14:textId="77777777" w:rsidR="00D52399" w:rsidRDefault="00D52399"/>
    <w:p w14:paraId="411021CB" w14:textId="022275D2" w:rsidR="00D52399" w:rsidRDefault="00B93B81" w:rsidP="00B93B81">
      <w:r>
        <w:t xml:space="preserve">The safety and efficacy of </w:t>
      </w:r>
      <w:proofErr w:type="spellStart"/>
      <w:r>
        <w:t>Gavreto</w:t>
      </w:r>
      <w:proofErr w:type="spellEnd"/>
      <w:r>
        <w:t xml:space="preserve"> in p</w:t>
      </w:r>
      <w:r w:rsidR="00D9468E">
        <w:t>a</w:t>
      </w:r>
      <w:r>
        <w:t>ediatric patients (&lt;18 years) have not been established.</w:t>
      </w:r>
    </w:p>
    <w:p w14:paraId="5E3CA87E" w14:textId="6D146208" w:rsidR="00670EEF" w:rsidRDefault="00670EEF">
      <w:pPr>
        <w:pStyle w:val="Heading3"/>
        <w:rPr>
          <w:b w:val="0"/>
          <w:i/>
        </w:rPr>
      </w:pPr>
      <w:r>
        <w:rPr>
          <w:b w:val="0"/>
          <w:i/>
        </w:rPr>
        <w:t>Elderly Patients</w:t>
      </w:r>
    </w:p>
    <w:p w14:paraId="45E4A46D" w14:textId="616BFDEB" w:rsidR="00670EEF" w:rsidRPr="00670EEF" w:rsidRDefault="00670EEF" w:rsidP="00670EEF">
      <w:r w:rsidRPr="00670EEF">
        <w:t xml:space="preserve">No dose adjustment of </w:t>
      </w:r>
      <w:proofErr w:type="spellStart"/>
      <w:r w:rsidRPr="00670EEF">
        <w:t>Gavreto</w:t>
      </w:r>
      <w:proofErr w:type="spellEnd"/>
      <w:r w:rsidRPr="00670EEF">
        <w:t xml:space="preserve"> is required in patients ≥ 6</w:t>
      </w:r>
      <w:r w:rsidR="00A64CD0">
        <w:t xml:space="preserve">5 years of age (see section </w:t>
      </w:r>
      <w:proofErr w:type="gramStart"/>
      <w:r w:rsidRPr="00670EEF">
        <w:t>5</w:t>
      </w:r>
      <w:r w:rsidR="00A64CD0">
        <w:t xml:space="preserve">.2 </w:t>
      </w:r>
      <w:r w:rsidRPr="00670EEF">
        <w:t xml:space="preserve"> </w:t>
      </w:r>
      <w:r w:rsidRPr="00A64CD0">
        <w:rPr>
          <w:i/>
        </w:rPr>
        <w:t>Pharmac</w:t>
      </w:r>
      <w:r w:rsidR="00A64CD0" w:rsidRPr="00A64CD0">
        <w:rPr>
          <w:i/>
        </w:rPr>
        <w:t>okinetic</w:t>
      </w:r>
      <w:proofErr w:type="gramEnd"/>
      <w:r w:rsidR="00A64CD0" w:rsidRPr="00A64CD0">
        <w:rPr>
          <w:i/>
        </w:rPr>
        <w:t xml:space="preserve"> </w:t>
      </w:r>
      <w:r w:rsidR="00A64CD0">
        <w:rPr>
          <w:i/>
        </w:rPr>
        <w:t>p</w:t>
      </w:r>
      <w:r w:rsidR="00A64CD0" w:rsidRPr="00A64CD0">
        <w:rPr>
          <w:i/>
        </w:rPr>
        <w:t>roperties</w:t>
      </w:r>
      <w:r w:rsidRPr="00670EEF">
        <w:t>)</w:t>
      </w:r>
    </w:p>
    <w:p w14:paraId="6CE8A11F" w14:textId="77777777" w:rsidR="00D67844" w:rsidRPr="00D67844" w:rsidRDefault="00D67844" w:rsidP="00D67844">
      <w:pPr>
        <w:rPr>
          <w:i/>
        </w:rPr>
      </w:pPr>
      <w:r w:rsidRPr="00D67844">
        <w:rPr>
          <w:i/>
        </w:rPr>
        <w:t>Renal Impairment</w:t>
      </w:r>
    </w:p>
    <w:p w14:paraId="79ECAF6E" w14:textId="3AF9365B" w:rsidR="00D67844" w:rsidRDefault="00D67844" w:rsidP="00D67844">
      <w:r>
        <w:t xml:space="preserve">No dose adjustment is required in patients with mild </w:t>
      </w:r>
      <w:r w:rsidR="0011694A">
        <w:t xml:space="preserve">or </w:t>
      </w:r>
      <w:r>
        <w:t xml:space="preserve">moderate renal impairment.  The safety and efficacy of </w:t>
      </w:r>
      <w:proofErr w:type="spellStart"/>
      <w:r>
        <w:t>Gavreto</w:t>
      </w:r>
      <w:proofErr w:type="spellEnd"/>
      <w:r>
        <w:t xml:space="preserve"> have not been studied in patients with severe renal impairment (</w:t>
      </w:r>
      <w:r w:rsidR="00A64CD0">
        <w:t xml:space="preserve">see section </w:t>
      </w:r>
      <w:proofErr w:type="gramStart"/>
      <w:r w:rsidR="00A64CD0" w:rsidRPr="00670EEF">
        <w:t>5</w:t>
      </w:r>
      <w:r w:rsidR="00A64CD0">
        <w:t xml:space="preserve">.2 </w:t>
      </w:r>
      <w:r w:rsidR="00A64CD0" w:rsidRPr="00670EEF">
        <w:t xml:space="preserve"> </w:t>
      </w:r>
      <w:r w:rsidR="00A64CD0" w:rsidRPr="00A64CD0">
        <w:rPr>
          <w:i/>
        </w:rPr>
        <w:t>Pharmacokinetic</w:t>
      </w:r>
      <w:proofErr w:type="gramEnd"/>
      <w:r w:rsidR="00A64CD0" w:rsidRPr="00A64CD0">
        <w:rPr>
          <w:i/>
        </w:rPr>
        <w:t xml:space="preserve"> </w:t>
      </w:r>
      <w:r w:rsidR="00A64CD0">
        <w:rPr>
          <w:i/>
        </w:rPr>
        <w:t>p</w:t>
      </w:r>
      <w:r w:rsidR="00A64CD0" w:rsidRPr="00A64CD0">
        <w:rPr>
          <w:i/>
        </w:rPr>
        <w:t>roperties</w:t>
      </w:r>
      <w:r w:rsidR="00A64CD0" w:rsidRPr="00670EEF">
        <w:t>)</w:t>
      </w:r>
      <w:r>
        <w:t xml:space="preserve">. Since </w:t>
      </w:r>
      <w:proofErr w:type="spellStart"/>
      <w:r>
        <w:t>pralsetinib</w:t>
      </w:r>
      <w:proofErr w:type="spellEnd"/>
      <w:r>
        <w:t xml:space="preserve"> elimination via the kidney is negligible, no dose adjustment is required in patients with severe renal impairment or end-stage renal disease.</w:t>
      </w:r>
    </w:p>
    <w:p w14:paraId="321C1E5D" w14:textId="16B6C2B1" w:rsidR="00D67844" w:rsidRDefault="00D67844" w:rsidP="00D67844"/>
    <w:p w14:paraId="213823DE" w14:textId="77777777" w:rsidR="00D67844" w:rsidRPr="00D67844" w:rsidRDefault="00D67844" w:rsidP="00D67844">
      <w:pPr>
        <w:rPr>
          <w:i/>
        </w:rPr>
      </w:pPr>
      <w:r w:rsidRPr="00D67844">
        <w:rPr>
          <w:i/>
        </w:rPr>
        <w:t>Hepatic Impairment</w:t>
      </w:r>
    </w:p>
    <w:p w14:paraId="7C57AF34" w14:textId="10B57A28" w:rsidR="00D67844" w:rsidRPr="00D67844" w:rsidRDefault="00D67844" w:rsidP="00D67844">
      <w:r>
        <w:t xml:space="preserve">No dose adjustment is required for patients with mild hepatic impairment. The safety and efficacy of </w:t>
      </w:r>
      <w:proofErr w:type="spellStart"/>
      <w:r>
        <w:t>Gavreto</w:t>
      </w:r>
      <w:proofErr w:type="spellEnd"/>
      <w:r>
        <w:t xml:space="preserve"> have not been studied in patients with moderate or severe hepatic impairment</w:t>
      </w:r>
      <w:r w:rsidR="00020FF3">
        <w:t xml:space="preserve">, therefore its use in patients with moderate or severe hepatic impairment is not recommended </w:t>
      </w:r>
      <w:r>
        <w:t xml:space="preserve">(see </w:t>
      </w:r>
      <w:r w:rsidR="00A64CD0">
        <w:t xml:space="preserve">section </w:t>
      </w:r>
      <w:proofErr w:type="gramStart"/>
      <w:r w:rsidR="00A64CD0" w:rsidRPr="00670EEF">
        <w:t>5</w:t>
      </w:r>
      <w:r w:rsidR="00A64CD0">
        <w:t xml:space="preserve">.2 </w:t>
      </w:r>
      <w:r w:rsidR="00A64CD0" w:rsidRPr="00670EEF">
        <w:t xml:space="preserve"> </w:t>
      </w:r>
      <w:r w:rsidR="00A64CD0" w:rsidRPr="00A64CD0">
        <w:rPr>
          <w:i/>
        </w:rPr>
        <w:t>Pharmacokinetic</w:t>
      </w:r>
      <w:proofErr w:type="gramEnd"/>
      <w:r w:rsidR="00A64CD0" w:rsidRPr="00A64CD0">
        <w:rPr>
          <w:i/>
        </w:rPr>
        <w:t xml:space="preserve"> </w:t>
      </w:r>
      <w:r w:rsidR="00A64CD0">
        <w:rPr>
          <w:i/>
        </w:rPr>
        <w:t>p</w:t>
      </w:r>
      <w:r w:rsidR="00A64CD0" w:rsidRPr="00A64CD0">
        <w:rPr>
          <w:i/>
        </w:rPr>
        <w:t>roperties</w:t>
      </w:r>
      <w:r w:rsidR="00A64CD0" w:rsidRPr="00670EEF">
        <w:t>)</w:t>
      </w:r>
      <w:r>
        <w:t>.</w:t>
      </w:r>
    </w:p>
    <w:p w14:paraId="4846BCCB" w14:textId="77777777" w:rsidR="00D67844" w:rsidRDefault="00D67844">
      <w:pPr>
        <w:rPr>
          <w:i/>
        </w:rPr>
      </w:pPr>
    </w:p>
    <w:p w14:paraId="15CB6393" w14:textId="77777777" w:rsidR="00D52399" w:rsidRDefault="00902EBE" w:rsidP="009F4C5B">
      <w:pPr>
        <w:pStyle w:val="Heading2"/>
        <w:numPr>
          <w:ilvl w:val="1"/>
          <w:numId w:val="2"/>
        </w:numPr>
        <w:spacing w:before="0"/>
        <w:ind w:left="0" w:firstLine="0"/>
      </w:pPr>
      <w:r>
        <w:t>CONTRAINDICATIONS</w:t>
      </w:r>
    </w:p>
    <w:p w14:paraId="4468A5C9" w14:textId="7190339A" w:rsidR="00D52399" w:rsidRDefault="001616A3">
      <w:proofErr w:type="spellStart"/>
      <w:r w:rsidRPr="001616A3">
        <w:t>Gavreto</w:t>
      </w:r>
      <w:proofErr w:type="spellEnd"/>
      <w:r w:rsidRPr="001616A3">
        <w:t xml:space="preserve"> is contraindicated in patients with a known hypersensitivity to </w:t>
      </w:r>
      <w:proofErr w:type="spellStart"/>
      <w:r w:rsidRPr="001616A3">
        <w:t>pralsetinib</w:t>
      </w:r>
      <w:proofErr w:type="spellEnd"/>
      <w:r w:rsidRPr="001616A3">
        <w:t xml:space="preserve"> or any of the excipients.</w:t>
      </w:r>
    </w:p>
    <w:p w14:paraId="44188C29" w14:textId="77777777" w:rsidR="001616A3" w:rsidRDefault="001616A3"/>
    <w:p w14:paraId="7DACDA6B" w14:textId="77777777" w:rsidR="00D52399" w:rsidRDefault="00902EBE" w:rsidP="009F4C5B">
      <w:pPr>
        <w:pStyle w:val="Heading2"/>
        <w:spacing w:before="0"/>
      </w:pPr>
      <w:r>
        <w:t>4.4</w:t>
      </w:r>
      <w:r>
        <w:tab/>
        <w:t>SPECIAL WARNINGS AND PRECAUTIONS FOR USE</w:t>
      </w:r>
    </w:p>
    <w:p w14:paraId="6DE96039" w14:textId="77777777" w:rsidR="00B35A34" w:rsidRDefault="00B35A34" w:rsidP="00B35A34">
      <w:pPr>
        <w:pStyle w:val="Heading3"/>
        <w:rPr>
          <w:color w:val="auto"/>
        </w:rPr>
      </w:pPr>
      <w:r w:rsidRPr="00B35A34">
        <w:rPr>
          <w:color w:val="auto"/>
        </w:rPr>
        <w:t xml:space="preserve">Pneumonitis/Interstitial Lung Disease </w:t>
      </w:r>
    </w:p>
    <w:p w14:paraId="26CD745D" w14:textId="62074A8C" w:rsidR="00B35A34" w:rsidRPr="00B35A34" w:rsidRDefault="00B35A34" w:rsidP="00B35A34">
      <w:pPr>
        <w:pStyle w:val="Heading3"/>
        <w:spacing w:before="0"/>
        <w:rPr>
          <w:b w:val="0"/>
          <w:color w:val="auto"/>
        </w:rPr>
      </w:pPr>
      <w:r w:rsidRPr="00B35A34">
        <w:rPr>
          <w:b w:val="0"/>
          <w:color w:val="auto"/>
        </w:rPr>
        <w:t xml:space="preserve">Cases of severe, life-threatening, and fatal pneumonitis/interstitial lung disease (ILD) have been reported in clinical trials with </w:t>
      </w:r>
      <w:proofErr w:type="spellStart"/>
      <w:r w:rsidRPr="00B35A34">
        <w:rPr>
          <w:b w:val="0"/>
          <w:color w:val="auto"/>
        </w:rPr>
        <w:t>Gavreto</w:t>
      </w:r>
      <w:proofErr w:type="spellEnd"/>
      <w:r w:rsidRPr="00B35A34">
        <w:rPr>
          <w:b w:val="0"/>
          <w:color w:val="auto"/>
        </w:rPr>
        <w:t>. Patients should be monitored for acute or worsening of pulmonary symptoms indicative of pneumonitis/ILD (e.g., dyspn</w:t>
      </w:r>
      <w:r w:rsidR="00A87EB1">
        <w:rPr>
          <w:b w:val="0"/>
          <w:color w:val="auto"/>
        </w:rPr>
        <w:t>o</w:t>
      </w:r>
      <w:r w:rsidRPr="00B35A34">
        <w:rPr>
          <w:b w:val="0"/>
          <w:color w:val="auto"/>
        </w:rPr>
        <w:t xml:space="preserve">ea, cough, and fever). Based on the severity of confirmed pneumonitis/ILD, </w:t>
      </w:r>
      <w:proofErr w:type="spellStart"/>
      <w:r w:rsidRPr="00B35A34">
        <w:rPr>
          <w:b w:val="0"/>
          <w:color w:val="auto"/>
        </w:rPr>
        <w:t>Gavreto</w:t>
      </w:r>
      <w:proofErr w:type="spellEnd"/>
      <w:r w:rsidRPr="00B35A34">
        <w:rPr>
          <w:b w:val="0"/>
          <w:color w:val="auto"/>
        </w:rPr>
        <w:t xml:space="preserve"> should be withheld, dose reduced, or</w:t>
      </w:r>
      <w:r>
        <w:rPr>
          <w:b w:val="0"/>
          <w:color w:val="auto"/>
        </w:rPr>
        <w:t xml:space="preserve"> permanently discontinued (see s</w:t>
      </w:r>
      <w:r w:rsidRPr="00B35A34">
        <w:rPr>
          <w:b w:val="0"/>
          <w:color w:val="auto"/>
        </w:rPr>
        <w:t xml:space="preserve">ection </w:t>
      </w:r>
      <w:r>
        <w:rPr>
          <w:b w:val="0"/>
          <w:color w:val="auto"/>
        </w:rPr>
        <w:t xml:space="preserve">4.2 </w:t>
      </w:r>
      <w:r w:rsidRPr="00B35A34">
        <w:rPr>
          <w:b w:val="0"/>
          <w:i/>
          <w:color w:val="auto"/>
        </w:rPr>
        <w:t>Dose and method of administration</w:t>
      </w:r>
      <w:r>
        <w:rPr>
          <w:b w:val="0"/>
          <w:color w:val="auto"/>
        </w:rPr>
        <w:t xml:space="preserve">).  </w:t>
      </w:r>
    </w:p>
    <w:p w14:paraId="32F5DE6A" w14:textId="77777777" w:rsidR="00B35A34" w:rsidRPr="00B35A34" w:rsidRDefault="00B35A34" w:rsidP="00B35A34">
      <w:pPr>
        <w:pStyle w:val="Heading3"/>
        <w:rPr>
          <w:color w:val="auto"/>
        </w:rPr>
      </w:pPr>
      <w:r w:rsidRPr="00B35A34">
        <w:rPr>
          <w:color w:val="auto"/>
        </w:rPr>
        <w:t>Hypertension</w:t>
      </w:r>
    </w:p>
    <w:p w14:paraId="1D625F0D" w14:textId="572E33C0" w:rsidR="00B35A34" w:rsidRPr="00B35A34" w:rsidRDefault="00B35A34" w:rsidP="00B35A34">
      <w:pPr>
        <w:pStyle w:val="Heading3"/>
        <w:spacing w:before="0"/>
        <w:rPr>
          <w:b w:val="0"/>
          <w:color w:val="auto"/>
        </w:rPr>
      </w:pPr>
      <w:r w:rsidRPr="00B35A34">
        <w:rPr>
          <w:b w:val="0"/>
          <w:color w:val="auto"/>
        </w:rPr>
        <w:t xml:space="preserve">Hypertension has been reported in clinical trials with </w:t>
      </w:r>
      <w:proofErr w:type="spellStart"/>
      <w:r w:rsidRPr="00B35A34">
        <w:rPr>
          <w:b w:val="0"/>
          <w:color w:val="auto"/>
        </w:rPr>
        <w:t>Gavreto</w:t>
      </w:r>
      <w:proofErr w:type="spellEnd"/>
      <w:r w:rsidRPr="00B35A34">
        <w:rPr>
          <w:b w:val="0"/>
          <w:color w:val="auto"/>
        </w:rPr>
        <w:t xml:space="preserve">.  Do not initiate </w:t>
      </w:r>
      <w:proofErr w:type="spellStart"/>
      <w:r w:rsidRPr="00B35A34">
        <w:rPr>
          <w:b w:val="0"/>
          <w:color w:val="auto"/>
        </w:rPr>
        <w:t>Gavreto</w:t>
      </w:r>
      <w:proofErr w:type="spellEnd"/>
      <w:r w:rsidRPr="00B35A34">
        <w:rPr>
          <w:b w:val="0"/>
          <w:color w:val="auto"/>
        </w:rPr>
        <w:t xml:space="preserve"> in patients with uncontrolled hypertension. Optimize blood pressure prior to initiating </w:t>
      </w:r>
      <w:proofErr w:type="spellStart"/>
      <w:r w:rsidRPr="00B35A34">
        <w:rPr>
          <w:b w:val="0"/>
          <w:color w:val="auto"/>
        </w:rPr>
        <w:t>Gavreto</w:t>
      </w:r>
      <w:proofErr w:type="spellEnd"/>
      <w:r w:rsidRPr="00B35A34">
        <w:rPr>
          <w:b w:val="0"/>
          <w:color w:val="auto"/>
        </w:rPr>
        <w:t xml:space="preserve">. Monitor blood pressure after 1 week, at least monthly thereafter and as clinically indicated. Initiate or adjust anti-hypertensive therapy as appropriate. In case of severe and persistent hypertension, </w:t>
      </w:r>
      <w:proofErr w:type="spellStart"/>
      <w:r w:rsidRPr="00B35A34">
        <w:rPr>
          <w:b w:val="0"/>
          <w:color w:val="auto"/>
        </w:rPr>
        <w:t>Gavreto</w:t>
      </w:r>
      <w:proofErr w:type="spellEnd"/>
      <w:r w:rsidRPr="00B35A34">
        <w:rPr>
          <w:b w:val="0"/>
          <w:color w:val="auto"/>
        </w:rPr>
        <w:t xml:space="preserve"> should be withheld, dose reduced, or</w:t>
      </w:r>
      <w:r>
        <w:rPr>
          <w:b w:val="0"/>
          <w:color w:val="auto"/>
        </w:rPr>
        <w:t xml:space="preserve"> permanently discontinued (see s</w:t>
      </w:r>
      <w:r w:rsidRPr="00B35A34">
        <w:rPr>
          <w:b w:val="0"/>
          <w:color w:val="auto"/>
        </w:rPr>
        <w:t xml:space="preserve">ection </w:t>
      </w:r>
      <w:r>
        <w:rPr>
          <w:b w:val="0"/>
          <w:color w:val="auto"/>
        </w:rPr>
        <w:t xml:space="preserve">4.2 </w:t>
      </w:r>
      <w:r w:rsidRPr="00A21DC3">
        <w:rPr>
          <w:b w:val="0"/>
          <w:i/>
          <w:color w:val="auto"/>
        </w:rPr>
        <w:t>Dose and method of administration</w:t>
      </w:r>
      <w:r>
        <w:rPr>
          <w:b w:val="0"/>
          <w:color w:val="auto"/>
        </w:rPr>
        <w:t xml:space="preserve">). </w:t>
      </w:r>
    </w:p>
    <w:p w14:paraId="61E547B1" w14:textId="0DB9F98B" w:rsidR="00B35A34" w:rsidRPr="00A21DC3" w:rsidRDefault="00B35A34" w:rsidP="00B35A34">
      <w:pPr>
        <w:pStyle w:val="Heading3"/>
        <w:rPr>
          <w:color w:val="auto"/>
        </w:rPr>
      </w:pPr>
      <w:r w:rsidRPr="00A21DC3">
        <w:rPr>
          <w:color w:val="auto"/>
        </w:rPr>
        <w:lastRenderedPageBreak/>
        <w:t xml:space="preserve">Hepatic </w:t>
      </w:r>
      <w:r w:rsidR="00020FF3">
        <w:rPr>
          <w:color w:val="auto"/>
        </w:rPr>
        <w:t xml:space="preserve">Transaminase </w:t>
      </w:r>
      <w:r w:rsidRPr="00A21DC3">
        <w:rPr>
          <w:color w:val="auto"/>
        </w:rPr>
        <w:t>Elevations</w:t>
      </w:r>
    </w:p>
    <w:p w14:paraId="3761FE99" w14:textId="7C1286F3" w:rsidR="00B35A34" w:rsidRDefault="00B35A34" w:rsidP="00A21DC3">
      <w:pPr>
        <w:pStyle w:val="Heading3"/>
        <w:spacing w:before="0"/>
        <w:rPr>
          <w:b w:val="0"/>
          <w:color w:val="auto"/>
        </w:rPr>
      </w:pPr>
      <w:r w:rsidRPr="00B35A34">
        <w:rPr>
          <w:b w:val="0"/>
          <w:color w:val="auto"/>
        </w:rPr>
        <w:t xml:space="preserve">Severe hepatic laboratory abnormalities including increased AST and increased ALT have been reported in clinical trials with </w:t>
      </w:r>
      <w:proofErr w:type="spellStart"/>
      <w:r w:rsidRPr="00B35A34">
        <w:rPr>
          <w:b w:val="0"/>
          <w:color w:val="auto"/>
        </w:rPr>
        <w:t>Gavreto</w:t>
      </w:r>
      <w:proofErr w:type="spellEnd"/>
      <w:r w:rsidRPr="00B35A34">
        <w:rPr>
          <w:b w:val="0"/>
          <w:color w:val="auto"/>
        </w:rPr>
        <w:t>. Monitor AST and ALT prior</w:t>
      </w:r>
      <w:r w:rsidR="00A21DC3">
        <w:rPr>
          <w:b w:val="0"/>
          <w:color w:val="auto"/>
        </w:rPr>
        <w:t xml:space="preserve"> </w:t>
      </w:r>
      <w:r w:rsidR="00A21DC3" w:rsidRPr="00A21DC3">
        <w:rPr>
          <w:b w:val="0"/>
          <w:color w:val="auto"/>
        </w:rPr>
        <w:t xml:space="preserve">to initiating </w:t>
      </w:r>
      <w:proofErr w:type="spellStart"/>
      <w:r w:rsidR="00A21DC3" w:rsidRPr="00A21DC3">
        <w:rPr>
          <w:b w:val="0"/>
          <w:color w:val="auto"/>
        </w:rPr>
        <w:t>Gavreto</w:t>
      </w:r>
      <w:proofErr w:type="spellEnd"/>
      <w:r w:rsidR="00A21DC3" w:rsidRPr="00A21DC3">
        <w:rPr>
          <w:b w:val="0"/>
          <w:color w:val="auto"/>
        </w:rPr>
        <w:t>, every 2 weeks during the first 3 months, then monthly thereafter and as clinically indicate</w:t>
      </w:r>
      <w:r w:rsidR="00A21DC3">
        <w:rPr>
          <w:b w:val="0"/>
          <w:color w:val="auto"/>
        </w:rPr>
        <w:t>d.</w:t>
      </w:r>
      <w:r w:rsidR="00020FF3">
        <w:rPr>
          <w:b w:val="0"/>
          <w:color w:val="auto"/>
        </w:rPr>
        <w:t xml:space="preserve"> </w:t>
      </w:r>
      <w:r w:rsidR="00020FF3" w:rsidRPr="00AD4E21">
        <w:rPr>
          <w:b w:val="0"/>
          <w:color w:val="auto"/>
        </w:rPr>
        <w:t xml:space="preserve">Treatment with </w:t>
      </w:r>
      <w:proofErr w:type="spellStart"/>
      <w:r w:rsidR="00020FF3" w:rsidRPr="00AD4E21">
        <w:rPr>
          <w:b w:val="0"/>
          <w:color w:val="auto"/>
        </w:rPr>
        <w:t>Gavreto</w:t>
      </w:r>
      <w:proofErr w:type="spellEnd"/>
      <w:r w:rsidR="00020FF3" w:rsidRPr="00AD4E21">
        <w:rPr>
          <w:b w:val="0"/>
          <w:color w:val="auto"/>
        </w:rPr>
        <w:t xml:space="preserve"> should be interrupted, </w:t>
      </w:r>
      <w:proofErr w:type="gramStart"/>
      <w:r w:rsidR="00020FF3" w:rsidRPr="00AD4E21">
        <w:rPr>
          <w:b w:val="0"/>
          <w:color w:val="auto"/>
        </w:rPr>
        <w:t>reduced</w:t>
      </w:r>
      <w:proofErr w:type="gramEnd"/>
      <w:r w:rsidR="00020FF3" w:rsidRPr="00AD4E21">
        <w:rPr>
          <w:b w:val="0"/>
          <w:color w:val="auto"/>
        </w:rPr>
        <w:t xml:space="preserve"> or permanently discontinued based on severity of the transaminase elevation observed during treatment with </w:t>
      </w:r>
      <w:proofErr w:type="spellStart"/>
      <w:r w:rsidR="00020FF3" w:rsidRPr="00AD4E21">
        <w:rPr>
          <w:b w:val="0"/>
          <w:color w:val="auto"/>
        </w:rPr>
        <w:t>Gavreto</w:t>
      </w:r>
      <w:proofErr w:type="spellEnd"/>
      <w:r w:rsidR="00020FF3">
        <w:rPr>
          <w:b w:val="0"/>
          <w:color w:val="auto"/>
        </w:rPr>
        <w:t xml:space="preserve">. </w:t>
      </w:r>
      <w:r w:rsidR="00A21DC3">
        <w:rPr>
          <w:b w:val="0"/>
          <w:color w:val="auto"/>
        </w:rPr>
        <w:t>See section 4</w:t>
      </w:r>
      <w:r w:rsidR="00A21DC3" w:rsidRPr="00A21DC3">
        <w:rPr>
          <w:b w:val="0"/>
          <w:color w:val="auto"/>
        </w:rPr>
        <w:t xml:space="preserve">.2 </w:t>
      </w:r>
      <w:r w:rsidR="00664060" w:rsidRPr="00A21DC3">
        <w:rPr>
          <w:b w:val="0"/>
          <w:i/>
          <w:color w:val="auto"/>
        </w:rPr>
        <w:t>Dose and method of administration</w:t>
      </w:r>
      <w:r w:rsidR="00664060" w:rsidRPr="00A21DC3">
        <w:rPr>
          <w:b w:val="0"/>
          <w:color w:val="auto"/>
        </w:rPr>
        <w:t xml:space="preserve"> </w:t>
      </w:r>
      <w:r w:rsidR="00A21DC3" w:rsidRPr="00A21DC3">
        <w:rPr>
          <w:b w:val="0"/>
          <w:color w:val="auto"/>
        </w:rPr>
        <w:t>for dose modification based on the severity of the hepatic laboratory abnormality.</w:t>
      </w:r>
    </w:p>
    <w:p w14:paraId="6891E15F" w14:textId="4098B96A" w:rsidR="00E54A1B" w:rsidRPr="00E54A1B" w:rsidRDefault="00E54A1B" w:rsidP="00E54A1B">
      <w:pPr>
        <w:rPr>
          <w:b/>
        </w:rPr>
      </w:pPr>
    </w:p>
    <w:p w14:paraId="4BAC7E6D" w14:textId="04CDDFC9" w:rsidR="00E54A1B" w:rsidRPr="00E54A1B" w:rsidRDefault="00E54A1B" w:rsidP="00E54A1B">
      <w:pPr>
        <w:rPr>
          <w:b/>
        </w:rPr>
      </w:pPr>
      <w:r w:rsidRPr="00E54A1B">
        <w:rPr>
          <w:b/>
        </w:rPr>
        <w:t>H</w:t>
      </w:r>
      <w:r>
        <w:rPr>
          <w:b/>
        </w:rPr>
        <w:t>a</w:t>
      </w:r>
      <w:r w:rsidRPr="00E54A1B">
        <w:rPr>
          <w:b/>
        </w:rPr>
        <w:t>emorrhagic events</w:t>
      </w:r>
    </w:p>
    <w:p w14:paraId="337AF2D1" w14:textId="36399ED8" w:rsidR="00E54A1B" w:rsidRDefault="00E54A1B" w:rsidP="00E54A1B">
      <w:r>
        <w:t xml:space="preserve">Severe, including fatal, haemorrhagic events can occur with </w:t>
      </w:r>
      <w:proofErr w:type="spellStart"/>
      <w:r>
        <w:t>Gavreto</w:t>
      </w:r>
      <w:proofErr w:type="spellEnd"/>
      <w:r>
        <w:t xml:space="preserve">. In patients with life-threatening or recurrent severe bleeding, </w:t>
      </w:r>
      <w:proofErr w:type="spellStart"/>
      <w:r>
        <w:t>Gavreto</w:t>
      </w:r>
      <w:proofErr w:type="spellEnd"/>
      <w:r>
        <w:t xml:space="preserve"> should be permanently discontinued (see section 4.2 </w:t>
      </w:r>
      <w:r w:rsidRPr="00E54A1B">
        <w:rPr>
          <w:i/>
        </w:rPr>
        <w:t>Dose and method of administration</w:t>
      </w:r>
      <w:r>
        <w:t xml:space="preserve">). </w:t>
      </w:r>
    </w:p>
    <w:p w14:paraId="62A813A7" w14:textId="77777777" w:rsidR="00020FF3" w:rsidRPr="00D275CB" w:rsidRDefault="00020FF3" w:rsidP="00020FF3">
      <w:pPr>
        <w:pStyle w:val="CommentText"/>
        <w:rPr>
          <w:b/>
          <w:sz w:val="24"/>
          <w:szCs w:val="24"/>
        </w:rPr>
      </w:pPr>
      <w:r w:rsidRPr="003157F3">
        <w:rPr>
          <w:b/>
          <w:sz w:val="24"/>
          <w:szCs w:val="24"/>
        </w:rPr>
        <w:t>QT prolongation</w:t>
      </w:r>
    </w:p>
    <w:p w14:paraId="6506EBC5" w14:textId="32A70F41" w:rsidR="00020FF3" w:rsidRDefault="00020FF3" w:rsidP="00020FF3">
      <w:pPr>
        <w:pStyle w:val="CommentText"/>
        <w:rPr>
          <w:sz w:val="24"/>
          <w:szCs w:val="24"/>
        </w:rPr>
      </w:pPr>
      <w:r w:rsidRPr="003157F3">
        <w:rPr>
          <w:sz w:val="24"/>
          <w:szCs w:val="24"/>
        </w:rPr>
        <w:t xml:space="preserve">Prolongation of the QT interval has been observed in patients who received </w:t>
      </w:r>
      <w:proofErr w:type="spellStart"/>
      <w:r w:rsidRPr="003157F3">
        <w:rPr>
          <w:sz w:val="24"/>
          <w:szCs w:val="24"/>
        </w:rPr>
        <w:t>Gavreto</w:t>
      </w:r>
      <w:proofErr w:type="spellEnd"/>
      <w:r w:rsidRPr="003157F3">
        <w:rPr>
          <w:sz w:val="24"/>
          <w:szCs w:val="24"/>
        </w:rPr>
        <w:t xml:space="preserve"> in clinical trials (see section 4.8</w:t>
      </w:r>
      <w:r w:rsidR="002C7A57">
        <w:rPr>
          <w:sz w:val="24"/>
          <w:szCs w:val="24"/>
        </w:rPr>
        <w:t xml:space="preserve"> </w:t>
      </w:r>
      <w:r w:rsidR="00827F71">
        <w:rPr>
          <w:i/>
          <w:sz w:val="24"/>
          <w:szCs w:val="24"/>
        </w:rPr>
        <w:t>A</w:t>
      </w:r>
      <w:r w:rsidR="002C7A57" w:rsidRPr="00EF053F">
        <w:rPr>
          <w:i/>
          <w:sz w:val="24"/>
          <w:szCs w:val="24"/>
        </w:rPr>
        <w:t>dverse effects (undesirable effects</w:t>
      </w:r>
      <w:r w:rsidR="002C7A57">
        <w:rPr>
          <w:i/>
          <w:sz w:val="24"/>
          <w:szCs w:val="24"/>
        </w:rPr>
        <w:t>)</w:t>
      </w:r>
      <w:r w:rsidRPr="003157F3">
        <w:rPr>
          <w:sz w:val="24"/>
          <w:szCs w:val="24"/>
        </w:rPr>
        <w:t xml:space="preserve">). Therefore, before starting </w:t>
      </w:r>
      <w:proofErr w:type="spellStart"/>
      <w:r w:rsidRPr="003157F3">
        <w:rPr>
          <w:sz w:val="24"/>
          <w:szCs w:val="24"/>
        </w:rPr>
        <w:t>Gavreto</w:t>
      </w:r>
      <w:proofErr w:type="spellEnd"/>
      <w:r w:rsidRPr="003157F3">
        <w:rPr>
          <w:sz w:val="24"/>
          <w:szCs w:val="24"/>
        </w:rPr>
        <w:t xml:space="preserve"> treatment, patients should have a QTc interval ≤470 </w:t>
      </w:r>
      <w:proofErr w:type="spellStart"/>
      <w:r w:rsidRPr="003157F3">
        <w:rPr>
          <w:sz w:val="24"/>
          <w:szCs w:val="24"/>
        </w:rPr>
        <w:t>ms</w:t>
      </w:r>
      <w:proofErr w:type="spellEnd"/>
      <w:r w:rsidRPr="003157F3">
        <w:rPr>
          <w:sz w:val="24"/>
          <w:szCs w:val="24"/>
        </w:rPr>
        <w:t xml:space="preserve"> and serum electrolytes within normal range. Hypokalaemia, hypomagnesaemia, and hypocalcaemia should be corrected both prior and during </w:t>
      </w:r>
      <w:proofErr w:type="spellStart"/>
      <w:r w:rsidRPr="003157F3">
        <w:rPr>
          <w:sz w:val="24"/>
          <w:szCs w:val="24"/>
        </w:rPr>
        <w:t>Gavreto</w:t>
      </w:r>
      <w:proofErr w:type="spellEnd"/>
      <w:r w:rsidRPr="003157F3">
        <w:rPr>
          <w:sz w:val="24"/>
          <w:szCs w:val="24"/>
        </w:rPr>
        <w:t xml:space="preserve"> treatment. Electrocardiograms</w:t>
      </w:r>
      <w:r w:rsidRPr="00D275CB">
        <w:rPr>
          <w:sz w:val="24"/>
          <w:szCs w:val="24"/>
        </w:rPr>
        <w:t xml:space="preserve"> (ECGs) and serum electrolytes should be monitored at the end of the first week and of the first month of </w:t>
      </w:r>
      <w:proofErr w:type="spellStart"/>
      <w:r w:rsidRPr="00D275CB">
        <w:rPr>
          <w:sz w:val="24"/>
          <w:szCs w:val="24"/>
        </w:rPr>
        <w:t>Gavreto</w:t>
      </w:r>
      <w:proofErr w:type="spellEnd"/>
      <w:r w:rsidRPr="00D275CB">
        <w:rPr>
          <w:sz w:val="24"/>
          <w:szCs w:val="24"/>
        </w:rPr>
        <w:t xml:space="preserve"> treatment, then periodically, as clinically indicated, depending also on presence of other risk factors (</w:t>
      </w:r>
      <w:proofErr w:type="gramStart"/>
      <w:r w:rsidRPr="00D275CB">
        <w:rPr>
          <w:sz w:val="24"/>
          <w:szCs w:val="24"/>
        </w:rPr>
        <w:t>e.g.</w:t>
      </w:r>
      <w:proofErr w:type="gramEnd"/>
      <w:r w:rsidRPr="00D275CB">
        <w:rPr>
          <w:sz w:val="24"/>
          <w:szCs w:val="24"/>
        </w:rPr>
        <w:t xml:space="preserve"> intercurrent diarrhoea, vomiting, nausea, concomitant medications). </w:t>
      </w:r>
    </w:p>
    <w:p w14:paraId="558FD94E" w14:textId="77777777" w:rsidR="00020FF3" w:rsidRPr="00D275CB" w:rsidRDefault="00020FF3" w:rsidP="00020FF3">
      <w:pPr>
        <w:pStyle w:val="CommentText"/>
        <w:rPr>
          <w:sz w:val="24"/>
          <w:szCs w:val="24"/>
        </w:rPr>
      </w:pPr>
    </w:p>
    <w:p w14:paraId="0A905F07" w14:textId="4E010E93" w:rsidR="00020FF3" w:rsidRPr="00D275CB" w:rsidRDefault="00827F71" w:rsidP="00020FF3">
      <w:pPr>
        <w:pStyle w:val="CommentText"/>
        <w:rPr>
          <w:sz w:val="24"/>
          <w:szCs w:val="24"/>
        </w:rPr>
      </w:pPr>
      <w:proofErr w:type="spellStart"/>
      <w:r>
        <w:rPr>
          <w:sz w:val="24"/>
          <w:szCs w:val="24"/>
        </w:rPr>
        <w:t>Gavreto</w:t>
      </w:r>
      <w:proofErr w:type="spellEnd"/>
      <w:r w:rsidR="00020FF3" w:rsidRPr="00D275CB">
        <w:rPr>
          <w:sz w:val="24"/>
          <w:szCs w:val="24"/>
        </w:rPr>
        <w:t xml:space="preserve"> should be used with caution in patients with medical history of cardiac arrhythmias or QT interval prolongation, as well as in patients on strong CYP 3A4 inhibitors or on medicinal products known to be associated with QT/QTc prolongation.</w:t>
      </w:r>
    </w:p>
    <w:p w14:paraId="5F9A5347" w14:textId="77777777" w:rsidR="00020FF3" w:rsidRPr="00D275CB" w:rsidRDefault="00020FF3" w:rsidP="00020FF3">
      <w:pPr>
        <w:pStyle w:val="CommentText"/>
        <w:rPr>
          <w:sz w:val="24"/>
          <w:szCs w:val="24"/>
        </w:rPr>
      </w:pPr>
    </w:p>
    <w:p w14:paraId="3E79AC6D" w14:textId="4D82D4AE" w:rsidR="00020FF3" w:rsidRPr="00D275CB" w:rsidRDefault="00020FF3" w:rsidP="00020FF3">
      <w:pPr>
        <w:pStyle w:val="CommentText"/>
        <w:rPr>
          <w:sz w:val="24"/>
          <w:szCs w:val="24"/>
        </w:rPr>
      </w:pPr>
      <w:proofErr w:type="spellStart"/>
      <w:r w:rsidRPr="00D275CB">
        <w:rPr>
          <w:sz w:val="24"/>
          <w:szCs w:val="24"/>
        </w:rPr>
        <w:t>Gavreto</w:t>
      </w:r>
      <w:proofErr w:type="spellEnd"/>
      <w:r w:rsidRPr="00D275CB">
        <w:rPr>
          <w:sz w:val="24"/>
          <w:szCs w:val="24"/>
        </w:rPr>
        <w:t xml:space="preserve"> may require interruption, dose modification, or discontinuation (see section 4.2</w:t>
      </w:r>
      <w:r w:rsidR="002C7A57" w:rsidRPr="002C7A57">
        <w:rPr>
          <w:i/>
          <w:sz w:val="24"/>
          <w:szCs w:val="24"/>
        </w:rPr>
        <w:t xml:space="preserve"> </w:t>
      </w:r>
      <w:r w:rsidR="002C7A57" w:rsidRPr="00B87EDE">
        <w:rPr>
          <w:i/>
          <w:sz w:val="24"/>
          <w:szCs w:val="24"/>
        </w:rPr>
        <w:t>Dose and method of administration</w:t>
      </w:r>
      <w:r w:rsidRPr="00D275CB">
        <w:rPr>
          <w:sz w:val="24"/>
          <w:szCs w:val="24"/>
        </w:rPr>
        <w:t>).</w:t>
      </w:r>
    </w:p>
    <w:p w14:paraId="5CD89F12" w14:textId="77777777" w:rsidR="00020FF3" w:rsidRDefault="00020FF3" w:rsidP="00020FF3">
      <w:pPr>
        <w:pStyle w:val="CommentText"/>
        <w:rPr>
          <w:sz w:val="22"/>
          <w:lang w:val="en-GB"/>
        </w:rPr>
      </w:pPr>
    </w:p>
    <w:p w14:paraId="7D5B6EB2" w14:textId="77777777" w:rsidR="00020FF3" w:rsidRPr="00D275CB" w:rsidRDefault="00020FF3" w:rsidP="00020FF3">
      <w:pPr>
        <w:rPr>
          <w:b/>
        </w:rPr>
      </w:pPr>
      <w:r>
        <w:rPr>
          <w:b/>
        </w:rPr>
        <w:t>Tumour Lysis Syndrome</w:t>
      </w:r>
    </w:p>
    <w:p w14:paraId="37B297DA" w14:textId="1998EEB4" w:rsidR="00020FF3" w:rsidRPr="00D275CB" w:rsidRDefault="00020FF3" w:rsidP="00020FF3">
      <w:pPr>
        <w:pStyle w:val="CommentText"/>
        <w:rPr>
          <w:sz w:val="24"/>
          <w:szCs w:val="24"/>
        </w:rPr>
      </w:pPr>
      <w:r w:rsidRPr="00D275CB">
        <w:rPr>
          <w:sz w:val="24"/>
          <w:szCs w:val="24"/>
        </w:rPr>
        <w:t>Cases of tumo</w:t>
      </w:r>
      <w:r w:rsidR="00035873">
        <w:rPr>
          <w:sz w:val="24"/>
          <w:szCs w:val="24"/>
        </w:rPr>
        <w:t>u</w:t>
      </w:r>
      <w:r w:rsidRPr="00D275CB">
        <w:rPr>
          <w:sz w:val="24"/>
          <w:szCs w:val="24"/>
        </w:rPr>
        <w:t xml:space="preserve">r lysis syndrome (TLS) have been reported in patients with medullary thyroid carcinoma receiving </w:t>
      </w:r>
      <w:proofErr w:type="spellStart"/>
      <w:r w:rsidR="002C7A57">
        <w:rPr>
          <w:sz w:val="24"/>
          <w:szCs w:val="24"/>
        </w:rPr>
        <w:t>Gavreto</w:t>
      </w:r>
      <w:proofErr w:type="spellEnd"/>
      <w:r w:rsidR="000C4F31">
        <w:rPr>
          <w:sz w:val="24"/>
          <w:szCs w:val="24"/>
        </w:rPr>
        <w:t xml:space="preserve"> (</w:t>
      </w:r>
      <w:r w:rsidRPr="00D275CB">
        <w:rPr>
          <w:sz w:val="24"/>
          <w:szCs w:val="24"/>
        </w:rPr>
        <w:t xml:space="preserve">see </w:t>
      </w:r>
      <w:r w:rsidR="000C4F31">
        <w:rPr>
          <w:sz w:val="24"/>
          <w:szCs w:val="24"/>
        </w:rPr>
        <w:t xml:space="preserve">section 4.8 </w:t>
      </w:r>
      <w:r w:rsidR="00827F71">
        <w:rPr>
          <w:i/>
          <w:sz w:val="24"/>
          <w:szCs w:val="24"/>
        </w:rPr>
        <w:t>A</w:t>
      </w:r>
      <w:r w:rsidR="000C4F31" w:rsidRPr="00067560">
        <w:rPr>
          <w:i/>
          <w:sz w:val="24"/>
          <w:szCs w:val="24"/>
        </w:rPr>
        <w:t>dverse effects (undesirable effects)</w:t>
      </w:r>
      <w:r w:rsidR="000C4F31">
        <w:rPr>
          <w:i/>
          <w:sz w:val="24"/>
          <w:szCs w:val="24"/>
        </w:rPr>
        <w:t xml:space="preserve">) </w:t>
      </w:r>
      <w:r w:rsidRPr="00D275CB">
        <w:rPr>
          <w:sz w:val="24"/>
          <w:szCs w:val="24"/>
        </w:rPr>
        <w:t>Patients may be at risk of TLS if they have rapidly growing tumo</w:t>
      </w:r>
      <w:r w:rsidR="00035873">
        <w:rPr>
          <w:sz w:val="24"/>
          <w:szCs w:val="24"/>
        </w:rPr>
        <w:t>u</w:t>
      </w:r>
      <w:r w:rsidRPr="00D275CB">
        <w:rPr>
          <w:sz w:val="24"/>
          <w:szCs w:val="24"/>
        </w:rPr>
        <w:t>rs, a high tumo</w:t>
      </w:r>
      <w:r w:rsidR="00035873">
        <w:rPr>
          <w:sz w:val="24"/>
          <w:szCs w:val="24"/>
        </w:rPr>
        <w:t>u</w:t>
      </w:r>
      <w:r w:rsidRPr="00D275CB">
        <w:rPr>
          <w:sz w:val="24"/>
          <w:szCs w:val="24"/>
        </w:rPr>
        <w:t>r burden, renal dysfunction, or dehydration. Closely monitor patients at risk, consider appropriate prophylaxis including hydration, and treat as clinically indicated.</w:t>
      </w:r>
    </w:p>
    <w:p w14:paraId="59786354" w14:textId="77777777" w:rsidR="00020FF3" w:rsidRPr="005A6246" w:rsidRDefault="00020FF3" w:rsidP="00020FF3">
      <w:pPr>
        <w:pStyle w:val="CommentText"/>
        <w:rPr>
          <w:sz w:val="22"/>
          <w:lang w:val="en-GB"/>
        </w:rPr>
      </w:pPr>
    </w:p>
    <w:p w14:paraId="7A87853F" w14:textId="77777777" w:rsidR="00020FF3" w:rsidRPr="00D275CB" w:rsidRDefault="00020FF3" w:rsidP="00020FF3">
      <w:pPr>
        <w:rPr>
          <w:b/>
        </w:rPr>
      </w:pPr>
      <w:r>
        <w:rPr>
          <w:b/>
        </w:rPr>
        <w:t>Risk of Impaired Wound Healing</w:t>
      </w:r>
    </w:p>
    <w:p w14:paraId="3C0FCC21" w14:textId="75660482" w:rsidR="00020FF3" w:rsidRPr="00D275CB" w:rsidRDefault="00020FF3" w:rsidP="00020FF3">
      <w:pPr>
        <w:pStyle w:val="CommentText"/>
        <w:rPr>
          <w:sz w:val="24"/>
          <w:szCs w:val="24"/>
        </w:rPr>
      </w:pPr>
      <w:r w:rsidRPr="00D275CB">
        <w:rPr>
          <w:sz w:val="24"/>
          <w:szCs w:val="24"/>
        </w:rPr>
        <w:t xml:space="preserve">Impaired wound healing can occur in patients who receive drugs that inhibit the vascular endothelial growth factor (VEGF) </w:t>
      </w:r>
      <w:proofErr w:type="spellStart"/>
      <w:r w:rsidRPr="00D275CB">
        <w:rPr>
          <w:sz w:val="24"/>
          <w:szCs w:val="24"/>
        </w:rPr>
        <w:t>signaling</w:t>
      </w:r>
      <w:proofErr w:type="spellEnd"/>
      <w:r w:rsidRPr="00D275CB">
        <w:rPr>
          <w:sz w:val="24"/>
          <w:szCs w:val="24"/>
        </w:rPr>
        <w:t xml:space="preserve"> pathway. Therefore, </w:t>
      </w:r>
      <w:proofErr w:type="spellStart"/>
      <w:r w:rsidR="002C7A57">
        <w:rPr>
          <w:sz w:val="24"/>
          <w:szCs w:val="24"/>
        </w:rPr>
        <w:t>Gavreto</w:t>
      </w:r>
      <w:proofErr w:type="spellEnd"/>
      <w:r w:rsidRPr="00D275CB">
        <w:rPr>
          <w:sz w:val="24"/>
          <w:szCs w:val="24"/>
        </w:rPr>
        <w:t xml:space="preserve"> has the potential to adversely affect wound healing. </w:t>
      </w:r>
    </w:p>
    <w:p w14:paraId="7793B05D" w14:textId="5B88976F" w:rsidR="00020FF3" w:rsidRDefault="00020FF3" w:rsidP="00020FF3">
      <w:r w:rsidRPr="00D275CB">
        <w:t xml:space="preserve">Withhold </w:t>
      </w:r>
      <w:proofErr w:type="spellStart"/>
      <w:r w:rsidR="002C7A57">
        <w:t>Gavreto</w:t>
      </w:r>
      <w:proofErr w:type="spellEnd"/>
      <w:r w:rsidRPr="00D275CB">
        <w:t xml:space="preserve"> for at least 5 days prior to elective surgery. Do not administer for at least 2 weeks following major surgery and until adequate wound healing. The safety of resumption of </w:t>
      </w:r>
      <w:proofErr w:type="spellStart"/>
      <w:r w:rsidR="002C7A57">
        <w:t>Gavreto</w:t>
      </w:r>
      <w:proofErr w:type="spellEnd"/>
      <w:r w:rsidRPr="00D275CB">
        <w:t xml:space="preserve"> after resolution of wound healing complications has not been established.</w:t>
      </w:r>
    </w:p>
    <w:p w14:paraId="283A555D" w14:textId="77777777" w:rsidR="00DE3A9D" w:rsidRDefault="00DE3A9D" w:rsidP="00E54A1B"/>
    <w:p w14:paraId="0EC1FFE4" w14:textId="77777777" w:rsidR="00E54A1B" w:rsidRPr="00E54A1B" w:rsidRDefault="00E54A1B" w:rsidP="00E54A1B">
      <w:pPr>
        <w:rPr>
          <w:b/>
        </w:rPr>
      </w:pPr>
      <w:r w:rsidRPr="00E54A1B">
        <w:rPr>
          <w:b/>
        </w:rPr>
        <w:t>Embryo-</w:t>
      </w:r>
      <w:proofErr w:type="spellStart"/>
      <w:r w:rsidRPr="00E54A1B">
        <w:rPr>
          <w:b/>
        </w:rPr>
        <w:t>F</w:t>
      </w:r>
      <w:r w:rsidRPr="005C3599">
        <w:rPr>
          <w:b/>
        </w:rPr>
        <w:t>etal</w:t>
      </w:r>
      <w:proofErr w:type="spellEnd"/>
      <w:r w:rsidRPr="00E54A1B">
        <w:rPr>
          <w:b/>
        </w:rPr>
        <w:t xml:space="preserve"> Toxicity</w:t>
      </w:r>
    </w:p>
    <w:p w14:paraId="438277A3" w14:textId="24309122" w:rsidR="00E54A1B" w:rsidRDefault="00E54A1B" w:rsidP="00E54A1B">
      <w:r>
        <w:t xml:space="preserve">Based on findings from animal studies and its mechanism of action, </w:t>
      </w:r>
      <w:proofErr w:type="spellStart"/>
      <w:r>
        <w:t>Gavreto</w:t>
      </w:r>
      <w:proofErr w:type="spellEnd"/>
      <w:r>
        <w:t xml:space="preserve"> has the potential to cause </w:t>
      </w:r>
      <w:proofErr w:type="spellStart"/>
      <w:r>
        <w:t>fetal</w:t>
      </w:r>
      <w:proofErr w:type="spellEnd"/>
      <w:r>
        <w:t xml:space="preserve"> harm when administered to pregnant women (see section </w:t>
      </w:r>
      <w:r w:rsidR="002A2003">
        <w:t>4.6</w:t>
      </w:r>
      <w:r>
        <w:t xml:space="preserve"> </w:t>
      </w:r>
      <w:r w:rsidR="002A2003" w:rsidRPr="002A2003">
        <w:rPr>
          <w:i/>
        </w:rPr>
        <w:t xml:space="preserve">Fertility, </w:t>
      </w:r>
      <w:proofErr w:type="gramStart"/>
      <w:r w:rsidR="002A2003" w:rsidRPr="002A2003">
        <w:rPr>
          <w:i/>
        </w:rPr>
        <w:lastRenderedPageBreak/>
        <w:t>pregnancy</w:t>
      </w:r>
      <w:proofErr w:type="gramEnd"/>
      <w:r w:rsidR="002A2003" w:rsidRPr="002A2003">
        <w:rPr>
          <w:i/>
        </w:rPr>
        <w:t xml:space="preserve"> and lactation</w:t>
      </w:r>
      <w:r>
        <w:t xml:space="preserve">). There are no available data on the use of </w:t>
      </w:r>
      <w:proofErr w:type="spellStart"/>
      <w:r>
        <w:t>Gavreto</w:t>
      </w:r>
      <w:proofErr w:type="spellEnd"/>
      <w:r>
        <w:t xml:space="preserve"> in pregnant women. Oral administration of </w:t>
      </w:r>
      <w:proofErr w:type="spellStart"/>
      <w:r>
        <w:t>pralsetinib</w:t>
      </w:r>
      <w:proofErr w:type="spellEnd"/>
      <w:r>
        <w:t xml:space="preserve"> to pregnant rats during the period of organogenesis resulted in malformations and </w:t>
      </w:r>
      <w:proofErr w:type="spellStart"/>
      <w:r>
        <w:t>embryolethality</w:t>
      </w:r>
      <w:proofErr w:type="spellEnd"/>
      <w:r>
        <w:t xml:space="preserve"> at maternal exposures below the human exposure at the recommended clinical dose of 400 mg once daily (see section </w:t>
      </w:r>
      <w:r w:rsidR="002A2003">
        <w:t xml:space="preserve">4.6 </w:t>
      </w:r>
      <w:r w:rsidR="002A2003" w:rsidRPr="002A2003">
        <w:rPr>
          <w:i/>
        </w:rPr>
        <w:t xml:space="preserve">Fertility, </w:t>
      </w:r>
      <w:proofErr w:type="gramStart"/>
      <w:r w:rsidR="002A2003" w:rsidRPr="002A2003">
        <w:rPr>
          <w:i/>
        </w:rPr>
        <w:t>pregnancy</w:t>
      </w:r>
      <w:proofErr w:type="gramEnd"/>
      <w:r w:rsidR="002A2003" w:rsidRPr="002A2003">
        <w:rPr>
          <w:i/>
        </w:rPr>
        <w:t xml:space="preserve"> and lactation</w:t>
      </w:r>
      <w:r w:rsidR="002A2003">
        <w:t>)</w:t>
      </w:r>
      <w:r>
        <w:t xml:space="preserve">. </w:t>
      </w:r>
    </w:p>
    <w:p w14:paraId="7D14C3F9" w14:textId="77777777" w:rsidR="00E54A1B" w:rsidRDefault="00E54A1B" w:rsidP="00E54A1B"/>
    <w:p w14:paraId="7F348FB0" w14:textId="4E6BF67B" w:rsidR="00E54A1B" w:rsidRDefault="00020FF3" w:rsidP="00E54A1B">
      <w:r>
        <w:t xml:space="preserve">Women of childbearing potential should be advised of the potential risk to a </w:t>
      </w:r>
      <w:proofErr w:type="spellStart"/>
      <w:r>
        <w:t>fetus</w:t>
      </w:r>
      <w:proofErr w:type="spellEnd"/>
      <w:r>
        <w:t xml:space="preserve">, and to avoid becoming pregnant whilst receiving </w:t>
      </w:r>
      <w:proofErr w:type="spellStart"/>
      <w:r>
        <w:t>Gavreto</w:t>
      </w:r>
      <w:proofErr w:type="spellEnd"/>
      <w:r>
        <w:t xml:space="preserve">. </w:t>
      </w:r>
      <w:r w:rsidR="00E54A1B">
        <w:t xml:space="preserve">Female patients of reproductive potential must use effective non-hormonal contraception during treatment with </w:t>
      </w:r>
      <w:proofErr w:type="spellStart"/>
      <w:r w:rsidR="00E54A1B">
        <w:t>Gavreto</w:t>
      </w:r>
      <w:proofErr w:type="spellEnd"/>
      <w:r w:rsidRPr="00020FF3">
        <w:rPr>
          <w:lang w:val="en-GB"/>
        </w:rPr>
        <w:t xml:space="preserve"> </w:t>
      </w:r>
      <w:r w:rsidRPr="005A6246">
        <w:rPr>
          <w:lang w:val="en-GB"/>
        </w:rPr>
        <w:t xml:space="preserve">because </w:t>
      </w:r>
      <w:proofErr w:type="spellStart"/>
      <w:r>
        <w:rPr>
          <w:lang w:val="en-GB"/>
        </w:rPr>
        <w:t>Gavreto</w:t>
      </w:r>
      <w:proofErr w:type="spellEnd"/>
      <w:r w:rsidRPr="005A6246">
        <w:rPr>
          <w:lang w:val="en-GB"/>
        </w:rPr>
        <w:t xml:space="preserve"> can render hormonal contraceptives ineffective. If a hormonal method of contraception is unavoidable, then a condom must be used in combination with the hormonal method. Effective co</w:t>
      </w:r>
      <w:r>
        <w:rPr>
          <w:lang w:val="en-GB"/>
        </w:rPr>
        <w:t>ntraception must be continued</w:t>
      </w:r>
      <w:r w:rsidR="00E54A1B">
        <w:t xml:space="preserve"> for </w:t>
      </w:r>
      <w:r w:rsidR="00827F71">
        <w:t xml:space="preserve">at least </w:t>
      </w:r>
      <w:r w:rsidR="00E54A1B">
        <w:t xml:space="preserve">2 weeks after the final dose. </w:t>
      </w:r>
    </w:p>
    <w:p w14:paraId="0BFE7200" w14:textId="77777777" w:rsidR="00E54A1B" w:rsidRDefault="00E54A1B" w:rsidP="00E54A1B"/>
    <w:p w14:paraId="4A2D2334" w14:textId="22BF353A" w:rsidR="00B1134D" w:rsidRPr="006E6A76" w:rsidRDefault="00E54A1B" w:rsidP="006E6A76">
      <w:r>
        <w:t xml:space="preserve">Male patients with female partners of reproductive potential must use effective contraception during treatment with </w:t>
      </w:r>
      <w:proofErr w:type="spellStart"/>
      <w:r>
        <w:t>Gavreto</w:t>
      </w:r>
      <w:proofErr w:type="spellEnd"/>
      <w:r>
        <w:t xml:space="preserve"> and for at least 1 week after the final dose.</w:t>
      </w:r>
    </w:p>
    <w:p w14:paraId="40AC512A" w14:textId="603C9B72" w:rsidR="00B1134D" w:rsidRDefault="00407592" w:rsidP="00B1134D">
      <w:pPr>
        <w:pStyle w:val="Heading3"/>
        <w:rPr>
          <w:color w:val="auto"/>
        </w:rPr>
      </w:pPr>
      <w:r w:rsidRPr="006E6A76">
        <w:rPr>
          <w:color w:val="auto"/>
        </w:rPr>
        <w:t>Paediatric use</w:t>
      </w:r>
    </w:p>
    <w:p w14:paraId="049150F9" w14:textId="08B8F19C" w:rsidR="000749E1" w:rsidRDefault="000749E1" w:rsidP="000749E1">
      <w:r>
        <w:t xml:space="preserve">Safety and efficacy in paediatric patients below the age of </w:t>
      </w:r>
      <w:r w:rsidR="00213084">
        <w:t xml:space="preserve">18 </w:t>
      </w:r>
      <w:r>
        <w:t>years have not been established.</w:t>
      </w:r>
    </w:p>
    <w:p w14:paraId="4C2BF484" w14:textId="77777777" w:rsidR="006E6A76" w:rsidRDefault="006E6A76" w:rsidP="006E6A76"/>
    <w:p w14:paraId="38B54E41" w14:textId="77777777" w:rsidR="006E6A76" w:rsidRPr="006E6A76" w:rsidRDefault="006E6A76" w:rsidP="006E6A76">
      <w:pPr>
        <w:rPr>
          <w:b/>
        </w:rPr>
      </w:pPr>
      <w:r w:rsidRPr="006E6A76">
        <w:rPr>
          <w:b/>
        </w:rPr>
        <w:t xml:space="preserve">Use in hepatic </w:t>
      </w:r>
      <w:proofErr w:type="gramStart"/>
      <w:r w:rsidRPr="006E6A76">
        <w:rPr>
          <w:b/>
        </w:rPr>
        <w:t>impairment</w:t>
      </w:r>
      <w:proofErr w:type="gramEnd"/>
    </w:p>
    <w:p w14:paraId="1E87F22D" w14:textId="038B0842" w:rsidR="006E6A76" w:rsidRPr="002A2003" w:rsidRDefault="006E6A76" w:rsidP="006E6A76">
      <w:proofErr w:type="spellStart"/>
      <w:r w:rsidRPr="002A2003">
        <w:t>Gavreto</w:t>
      </w:r>
      <w:proofErr w:type="spellEnd"/>
      <w:r w:rsidRPr="002A2003">
        <w:t xml:space="preserve"> has not been studied in patients with moderate (total bilirubin &gt; 1.5 to 3 times ULN) or severe (total bilirubin &gt; 3 times ULN) hepatic impairment </w:t>
      </w:r>
      <w:r w:rsidR="00213084" w:rsidRPr="00213084">
        <w:t>therefore its use in patients with moderate or severe hepatic impairment is not recommended</w:t>
      </w:r>
      <w:r w:rsidR="00213084" w:rsidRPr="002A2003">
        <w:t xml:space="preserve"> </w:t>
      </w:r>
      <w:r w:rsidRPr="002A2003">
        <w:t xml:space="preserve">(see sections 4.2 </w:t>
      </w:r>
      <w:r w:rsidRPr="002A2003">
        <w:rPr>
          <w:i/>
        </w:rPr>
        <w:t>Dose and method of administration</w:t>
      </w:r>
      <w:r w:rsidRPr="002A2003">
        <w:t xml:space="preserve"> and 5.2 </w:t>
      </w:r>
      <w:r w:rsidRPr="002A2003">
        <w:rPr>
          <w:i/>
        </w:rPr>
        <w:t>Pharmacokinetic properties</w:t>
      </w:r>
      <w:r w:rsidRPr="002A2003">
        <w:t>).</w:t>
      </w:r>
    </w:p>
    <w:p w14:paraId="40B87C76" w14:textId="77777777" w:rsidR="006E6A76" w:rsidRPr="006E6A76" w:rsidRDefault="006E6A76" w:rsidP="006E6A76">
      <w:pPr>
        <w:rPr>
          <w:highlight w:val="yellow"/>
        </w:rPr>
      </w:pPr>
    </w:p>
    <w:p w14:paraId="606264AA" w14:textId="77777777" w:rsidR="006E6A76" w:rsidRPr="002A2003" w:rsidRDefault="006E6A76" w:rsidP="006E6A76">
      <w:pPr>
        <w:rPr>
          <w:b/>
        </w:rPr>
      </w:pPr>
      <w:r w:rsidRPr="002A2003">
        <w:rPr>
          <w:b/>
        </w:rPr>
        <w:t xml:space="preserve">Use in renal </w:t>
      </w:r>
      <w:proofErr w:type="gramStart"/>
      <w:r w:rsidRPr="002A2003">
        <w:rPr>
          <w:b/>
        </w:rPr>
        <w:t>impairment</w:t>
      </w:r>
      <w:proofErr w:type="gramEnd"/>
    </w:p>
    <w:p w14:paraId="39BCB010" w14:textId="517EA330" w:rsidR="006E6A76" w:rsidRDefault="006E6A76" w:rsidP="006E6A76">
      <w:proofErr w:type="spellStart"/>
      <w:r w:rsidRPr="002A2003">
        <w:t>Gavreto</w:t>
      </w:r>
      <w:proofErr w:type="spellEnd"/>
      <w:r w:rsidRPr="002A2003">
        <w:t xml:space="preserve"> has not been studied in patients with severe (</w:t>
      </w:r>
      <w:proofErr w:type="spellStart"/>
      <w:r w:rsidRPr="002A2003">
        <w:t>CLcr</w:t>
      </w:r>
      <w:proofErr w:type="spellEnd"/>
      <w:r w:rsidRPr="002A2003">
        <w:t xml:space="preserve"> &lt; 30 mL/min) renal impairment (see sections 4.2 </w:t>
      </w:r>
      <w:r w:rsidRPr="002A2003">
        <w:rPr>
          <w:i/>
        </w:rPr>
        <w:t xml:space="preserve">Dose and method of administration </w:t>
      </w:r>
      <w:r w:rsidRPr="002A2003">
        <w:t xml:space="preserve">and 5.2 </w:t>
      </w:r>
      <w:r w:rsidRPr="002A2003">
        <w:rPr>
          <w:i/>
        </w:rPr>
        <w:t>Pharmacokinetic properties</w:t>
      </w:r>
      <w:r w:rsidRPr="002A2003">
        <w:t>).</w:t>
      </w:r>
      <w:r>
        <w:t xml:space="preserve"> </w:t>
      </w:r>
    </w:p>
    <w:p w14:paraId="024748CD" w14:textId="77777777" w:rsidR="006E6A76" w:rsidRDefault="006E6A76" w:rsidP="006E6A76"/>
    <w:p w14:paraId="16BB3BA5" w14:textId="77777777" w:rsidR="006E6A76" w:rsidRPr="006E6A76" w:rsidRDefault="006E6A76" w:rsidP="006E6A76">
      <w:pPr>
        <w:rPr>
          <w:b/>
        </w:rPr>
      </w:pPr>
      <w:r w:rsidRPr="006E6A76">
        <w:rPr>
          <w:b/>
        </w:rPr>
        <w:t xml:space="preserve">Use in the </w:t>
      </w:r>
      <w:proofErr w:type="gramStart"/>
      <w:r w:rsidRPr="006E6A76">
        <w:rPr>
          <w:b/>
        </w:rPr>
        <w:t>elderly</w:t>
      </w:r>
      <w:proofErr w:type="gramEnd"/>
    </w:p>
    <w:p w14:paraId="3FC9D0F6" w14:textId="3DF59419" w:rsidR="000749E1" w:rsidRDefault="00C775BD" w:rsidP="000749E1">
      <w:r w:rsidRPr="00C775BD">
        <w:t xml:space="preserve">In </w:t>
      </w:r>
      <w:r w:rsidR="00827F71">
        <w:t xml:space="preserve">the </w:t>
      </w:r>
      <w:r w:rsidRPr="00C775BD">
        <w:t xml:space="preserve">ARROW </w:t>
      </w:r>
      <w:r w:rsidR="00827F71">
        <w:t xml:space="preserve">study </w:t>
      </w:r>
      <w:r w:rsidRPr="00C775BD">
        <w:t>(</w:t>
      </w:r>
      <w:r>
        <w:t>n</w:t>
      </w:r>
      <w:r w:rsidRPr="00C775BD">
        <w:t>=528), 37.8% of patients were 65 years of age and older. No overall differences in pharmacokinetic, safety or efficacy were observed in comparison with younger patients.</w:t>
      </w:r>
    </w:p>
    <w:p w14:paraId="3F9AD32A" w14:textId="77777777" w:rsidR="004E5EBA" w:rsidRDefault="004E5EBA" w:rsidP="000749E1"/>
    <w:p w14:paraId="1D967081" w14:textId="77777777" w:rsidR="006E6A76" w:rsidRPr="006E6A76" w:rsidRDefault="006E6A76" w:rsidP="006E6A76">
      <w:pPr>
        <w:rPr>
          <w:b/>
        </w:rPr>
      </w:pPr>
      <w:r w:rsidRPr="006E6A76">
        <w:rPr>
          <w:b/>
        </w:rPr>
        <w:t>Effects on laboratory tests</w:t>
      </w:r>
    </w:p>
    <w:p w14:paraId="076A28A5" w14:textId="4E69DB8B" w:rsidR="006E6A76" w:rsidRPr="006E6A76" w:rsidRDefault="006E6A76" w:rsidP="006E6A76">
      <w:pPr>
        <w:rPr>
          <w:i/>
        </w:rPr>
      </w:pPr>
      <w:r>
        <w:t xml:space="preserve">See section 4.8 </w:t>
      </w:r>
      <w:r w:rsidRPr="006E6A76">
        <w:rPr>
          <w:i/>
        </w:rPr>
        <w:t>Adverse effects (undesirable effects) – Laboratory abnormalities.</w:t>
      </w:r>
    </w:p>
    <w:p w14:paraId="4E1855D6" w14:textId="77777777" w:rsidR="006E6A76" w:rsidRPr="006E6A76" w:rsidRDefault="006E6A76" w:rsidP="006E6A76"/>
    <w:p w14:paraId="7C3CD056" w14:textId="77777777" w:rsidR="00D52399" w:rsidRDefault="00902EBE" w:rsidP="009F4C5B">
      <w:pPr>
        <w:pStyle w:val="Heading2"/>
        <w:spacing w:before="0"/>
      </w:pPr>
      <w:r>
        <w:t>4.5</w:t>
      </w:r>
      <w:r>
        <w:tab/>
        <w:t>INTERACTION</w:t>
      </w:r>
      <w:r w:rsidR="00177D8C">
        <w:t>S</w:t>
      </w:r>
      <w:r>
        <w:t xml:space="preserve"> WITH OTHER MEDICINES AND OTHER FORMS OF INTERACTION</w:t>
      </w:r>
      <w:r w:rsidR="00177D8C">
        <w:t>S</w:t>
      </w:r>
    </w:p>
    <w:p w14:paraId="68E917CD" w14:textId="0085CA46" w:rsidR="00D52399" w:rsidRDefault="00D52399"/>
    <w:p w14:paraId="5E5C12AC" w14:textId="5EEFE90F" w:rsidR="00D52399" w:rsidRDefault="00DA0EF1">
      <w:r w:rsidRPr="00DA0EF1">
        <w:t xml:space="preserve">In vitro data indicate that </w:t>
      </w:r>
      <w:proofErr w:type="spellStart"/>
      <w:r w:rsidRPr="00DA0EF1">
        <w:t>pralsetinib</w:t>
      </w:r>
      <w:proofErr w:type="spellEnd"/>
      <w:r w:rsidRPr="00DA0EF1">
        <w:t xml:space="preserve"> is primarily metabolised by CYP3A4 and</w:t>
      </w:r>
      <w:r w:rsidR="007577EC">
        <w:t xml:space="preserve"> to a lesser extent, by CYP2D6 and CYP1A2, and UGT1A4. </w:t>
      </w:r>
      <w:proofErr w:type="spellStart"/>
      <w:r w:rsidR="007577EC">
        <w:t>Pralsetinib</w:t>
      </w:r>
      <w:proofErr w:type="spellEnd"/>
      <w:r w:rsidR="007577EC">
        <w:t xml:space="preserve"> is also</w:t>
      </w:r>
      <w:r w:rsidRPr="00DA0EF1">
        <w:t xml:space="preserve"> transported by P-</w:t>
      </w:r>
      <w:proofErr w:type="spellStart"/>
      <w:r w:rsidRPr="00DA0EF1">
        <w:t>gp</w:t>
      </w:r>
      <w:proofErr w:type="spellEnd"/>
      <w:r w:rsidRPr="00DA0EF1">
        <w:t>. Therefore, inducers and</w:t>
      </w:r>
      <w:r w:rsidR="007577EC">
        <w:t>/or</w:t>
      </w:r>
      <w:r w:rsidRPr="00DA0EF1">
        <w:t xml:space="preserve"> inhibitors of CYP3A4 and P-</w:t>
      </w:r>
      <w:proofErr w:type="spellStart"/>
      <w:r w:rsidRPr="00DA0EF1">
        <w:t>gp</w:t>
      </w:r>
      <w:proofErr w:type="spellEnd"/>
      <w:r w:rsidRPr="00DA0EF1">
        <w:t xml:space="preserve"> may alter the plasma concentrations of </w:t>
      </w:r>
      <w:proofErr w:type="spellStart"/>
      <w:r w:rsidRPr="00DA0EF1">
        <w:t>pralsetinib</w:t>
      </w:r>
      <w:proofErr w:type="spellEnd"/>
      <w:r w:rsidRPr="00DA0EF1">
        <w:t>.</w:t>
      </w:r>
    </w:p>
    <w:p w14:paraId="45B8EAF9" w14:textId="1BAE54FE" w:rsidR="00DA0EF1" w:rsidRDefault="00DA0EF1"/>
    <w:p w14:paraId="7FE74C63" w14:textId="003AD882" w:rsidR="00DA0EF1" w:rsidRDefault="00DA0EF1" w:rsidP="00DA0EF1">
      <w:pPr>
        <w:rPr>
          <w:b/>
        </w:rPr>
      </w:pPr>
      <w:r w:rsidRPr="00DA0EF1">
        <w:rPr>
          <w:b/>
        </w:rPr>
        <w:t xml:space="preserve">Effects of Other Drugs on </w:t>
      </w:r>
      <w:proofErr w:type="spellStart"/>
      <w:r w:rsidRPr="00DA0EF1">
        <w:rPr>
          <w:b/>
        </w:rPr>
        <w:t>Pralsetinib</w:t>
      </w:r>
      <w:proofErr w:type="spellEnd"/>
    </w:p>
    <w:p w14:paraId="6C90AE45" w14:textId="77777777" w:rsidR="00DA0EF1" w:rsidRPr="00DA0EF1" w:rsidRDefault="00DA0EF1" w:rsidP="00DA0EF1">
      <w:pPr>
        <w:rPr>
          <w:b/>
        </w:rPr>
      </w:pPr>
    </w:p>
    <w:p w14:paraId="676A6B1F" w14:textId="77777777" w:rsidR="00DA0EF1" w:rsidRPr="00DA0EF1" w:rsidRDefault="00DA0EF1" w:rsidP="00DA0EF1">
      <w:pPr>
        <w:rPr>
          <w:i/>
        </w:rPr>
      </w:pPr>
      <w:r w:rsidRPr="00DA0EF1">
        <w:rPr>
          <w:i/>
        </w:rPr>
        <w:t>Strong CYP3A4 Inhibitors and Combined P-</w:t>
      </w:r>
      <w:proofErr w:type="spellStart"/>
      <w:r w:rsidRPr="00DA0EF1">
        <w:rPr>
          <w:i/>
        </w:rPr>
        <w:t>gp</w:t>
      </w:r>
      <w:proofErr w:type="spellEnd"/>
      <w:r w:rsidRPr="00DA0EF1">
        <w:rPr>
          <w:i/>
        </w:rPr>
        <w:t xml:space="preserve"> and Strong CYP3A4 Inhibitors</w:t>
      </w:r>
    </w:p>
    <w:p w14:paraId="789C7985" w14:textId="09AE84AA" w:rsidR="00DA0EF1" w:rsidRDefault="00DA0EF1" w:rsidP="00DA0EF1">
      <w:r>
        <w:lastRenderedPageBreak/>
        <w:t xml:space="preserve">Coadministration of itraconazole (200 mg twice daily on Day 1 followed by 200 mg once daily for 13 days) with a single 200 mg dose of </w:t>
      </w:r>
      <w:proofErr w:type="spellStart"/>
      <w:r>
        <w:t>pralsetinib</w:t>
      </w:r>
      <w:proofErr w:type="spellEnd"/>
      <w:r>
        <w:t xml:space="preserve"> on Day 4 in healthy subjects increased </w:t>
      </w:r>
      <w:proofErr w:type="spellStart"/>
      <w:r>
        <w:t>pralsetinib</w:t>
      </w:r>
      <w:proofErr w:type="spellEnd"/>
      <w:r>
        <w:t xml:space="preserve"> </w:t>
      </w:r>
      <w:proofErr w:type="spellStart"/>
      <w:r>
        <w:t>C</w:t>
      </w:r>
      <w:r w:rsidRPr="00BF1CBC">
        <w:rPr>
          <w:vertAlign w:val="subscript"/>
        </w:rPr>
        <w:t>max</w:t>
      </w:r>
      <w:proofErr w:type="spellEnd"/>
      <w:r>
        <w:t xml:space="preserve"> by 84% and AUC</w:t>
      </w:r>
      <w:r w:rsidRPr="00BF1CBC">
        <w:rPr>
          <w:vertAlign w:val="subscript"/>
        </w:rPr>
        <w:t>0</w:t>
      </w:r>
      <w:r w:rsidR="00E51DC8" w:rsidRPr="00BF1CBC">
        <w:rPr>
          <w:vertAlign w:val="subscript"/>
        </w:rPr>
        <w:t>-</w:t>
      </w:r>
      <w:r w:rsidRPr="00BF1CBC">
        <w:rPr>
          <w:vertAlign w:val="subscript"/>
        </w:rPr>
        <w:t>inf</w:t>
      </w:r>
      <w:r>
        <w:t xml:space="preserve"> by 251 %, relative to a 200 mg dose of </w:t>
      </w:r>
      <w:proofErr w:type="spellStart"/>
      <w:r>
        <w:t>pralsetinib</w:t>
      </w:r>
      <w:proofErr w:type="spellEnd"/>
      <w:r>
        <w:t xml:space="preserve"> administered alone.  </w:t>
      </w:r>
    </w:p>
    <w:p w14:paraId="4208291F" w14:textId="77777777" w:rsidR="00DA0EF1" w:rsidRDefault="00DA0EF1" w:rsidP="00DA0EF1"/>
    <w:p w14:paraId="09FF505F" w14:textId="2CA14D42" w:rsidR="00DA0EF1" w:rsidRDefault="00DA0EF1" w:rsidP="00DA0EF1">
      <w:r>
        <w:t xml:space="preserve">Avoid coadministration of </w:t>
      </w:r>
      <w:proofErr w:type="spellStart"/>
      <w:r>
        <w:t>Gavreto</w:t>
      </w:r>
      <w:proofErr w:type="spellEnd"/>
      <w:r>
        <w:t xml:space="preserve"> with strong CYP3A4 inhibitors or with combined P-</w:t>
      </w:r>
      <w:proofErr w:type="spellStart"/>
      <w:r>
        <w:t>gp</w:t>
      </w:r>
      <w:proofErr w:type="spellEnd"/>
      <w:r>
        <w:t xml:space="preserve"> and strong CYP3A4 inhibitors. If coadministration with a combined P-</w:t>
      </w:r>
      <w:proofErr w:type="spellStart"/>
      <w:r>
        <w:t>gp</w:t>
      </w:r>
      <w:proofErr w:type="spellEnd"/>
      <w:r>
        <w:t xml:space="preserve"> and strong CYP3A4 inhibitor cannot be avoided, reduce the </w:t>
      </w:r>
      <w:proofErr w:type="spellStart"/>
      <w:r>
        <w:t>Gavreto</w:t>
      </w:r>
      <w:proofErr w:type="spellEnd"/>
      <w:r>
        <w:t xml:space="preserve"> dose (see section 4.2 </w:t>
      </w:r>
      <w:r w:rsidRPr="00DA0EF1">
        <w:rPr>
          <w:i/>
        </w:rPr>
        <w:t>Dose and method of administration</w:t>
      </w:r>
      <w:r>
        <w:t>).</w:t>
      </w:r>
      <w:r w:rsidR="00E51DC8">
        <w:t xml:space="preserve"> </w:t>
      </w:r>
      <w:r w:rsidR="00E51DC8" w:rsidRPr="00E51DC8">
        <w:t xml:space="preserve"> </w:t>
      </w:r>
      <w:r w:rsidR="00E51DC8">
        <w:t xml:space="preserve">Coadministration of </w:t>
      </w:r>
      <w:proofErr w:type="spellStart"/>
      <w:r w:rsidR="00B32AA9">
        <w:t>Gavreto</w:t>
      </w:r>
      <w:proofErr w:type="spellEnd"/>
      <w:r w:rsidR="00E51DC8">
        <w:t xml:space="preserve"> with a strong CYP3A4 inhibitor or combined P-</w:t>
      </w:r>
      <w:proofErr w:type="spellStart"/>
      <w:r w:rsidR="00E51DC8">
        <w:t>gp</w:t>
      </w:r>
      <w:proofErr w:type="spellEnd"/>
      <w:r w:rsidR="00E51DC8">
        <w:t xml:space="preserve"> and strong CYP3A4 inhibitors may increase </w:t>
      </w:r>
      <w:proofErr w:type="spellStart"/>
      <w:r w:rsidR="00E51DC8">
        <w:t>pralsetinib</w:t>
      </w:r>
      <w:proofErr w:type="spellEnd"/>
      <w:r w:rsidR="00E51DC8">
        <w:t xml:space="preserve"> plasma concentrations and may result in increased adverse reactions.</w:t>
      </w:r>
    </w:p>
    <w:p w14:paraId="6E8D396B" w14:textId="400D06D7" w:rsidR="00DA0EF1" w:rsidRDefault="00DA0EF1" w:rsidP="00DA0EF1"/>
    <w:p w14:paraId="5F1C84D8" w14:textId="77777777" w:rsidR="00DA0EF1" w:rsidRPr="00DA0EF1" w:rsidRDefault="00DA0EF1" w:rsidP="00DA0EF1">
      <w:pPr>
        <w:rPr>
          <w:i/>
        </w:rPr>
      </w:pPr>
      <w:r w:rsidRPr="00DA0EF1">
        <w:rPr>
          <w:i/>
        </w:rPr>
        <w:t>Strong CYP3A4 Inducers</w:t>
      </w:r>
    </w:p>
    <w:p w14:paraId="64214A34" w14:textId="439DB348" w:rsidR="00DA0EF1" w:rsidRDefault="00DA0EF1" w:rsidP="00DA0EF1">
      <w:r>
        <w:t xml:space="preserve">Coadministration of </w:t>
      </w:r>
      <w:proofErr w:type="spellStart"/>
      <w:r>
        <w:t>rifampin</w:t>
      </w:r>
      <w:proofErr w:type="spellEnd"/>
      <w:r>
        <w:t xml:space="preserve"> (600 mg once daily for 16 days) with a single 400 mg dose of </w:t>
      </w:r>
      <w:proofErr w:type="spellStart"/>
      <w:r>
        <w:t>pralsetinib</w:t>
      </w:r>
      <w:proofErr w:type="spellEnd"/>
      <w:r>
        <w:t xml:space="preserve"> on Day 9 in healthy subjects decreased </w:t>
      </w:r>
      <w:proofErr w:type="spellStart"/>
      <w:r>
        <w:t>pralsetinib</w:t>
      </w:r>
      <w:proofErr w:type="spellEnd"/>
      <w:r>
        <w:t xml:space="preserve"> </w:t>
      </w:r>
      <w:proofErr w:type="spellStart"/>
      <w:r>
        <w:t>C</w:t>
      </w:r>
      <w:r w:rsidRPr="00AE34B2">
        <w:rPr>
          <w:vertAlign w:val="subscript"/>
        </w:rPr>
        <w:t>max</w:t>
      </w:r>
      <w:proofErr w:type="spellEnd"/>
      <w:r>
        <w:t xml:space="preserve"> by 30 % and AUC</w:t>
      </w:r>
      <w:r w:rsidRPr="00DA0EF1">
        <w:rPr>
          <w:vertAlign w:val="subscript"/>
        </w:rPr>
        <w:t xml:space="preserve">0-inf </w:t>
      </w:r>
      <w:r>
        <w:t xml:space="preserve">by 68%, relative to a 400 mg dose of </w:t>
      </w:r>
      <w:proofErr w:type="spellStart"/>
      <w:r>
        <w:t>pralsetinib</w:t>
      </w:r>
      <w:proofErr w:type="spellEnd"/>
      <w:r>
        <w:t xml:space="preserve"> administered alone. </w:t>
      </w:r>
    </w:p>
    <w:p w14:paraId="13F39DF4" w14:textId="77777777" w:rsidR="00DA0EF1" w:rsidRDefault="00DA0EF1" w:rsidP="00DA0EF1"/>
    <w:p w14:paraId="6C2890C5" w14:textId="2F791E37" w:rsidR="00DA0EF1" w:rsidRDefault="00DA0EF1" w:rsidP="00DA0EF1">
      <w:r>
        <w:t>Av</w:t>
      </w:r>
      <w:r w:rsidR="00B32AA9">
        <w:t xml:space="preserve">oid coadministration of </w:t>
      </w:r>
      <w:proofErr w:type="spellStart"/>
      <w:r w:rsidR="00B32AA9">
        <w:t>Gavreto</w:t>
      </w:r>
      <w:proofErr w:type="spellEnd"/>
      <w:r>
        <w:t xml:space="preserve"> with strong CYP3A4 inducers. If coadministration cannot be avoided, i</w:t>
      </w:r>
      <w:r w:rsidR="00AE34B2">
        <w:t xml:space="preserve">ncrease the </w:t>
      </w:r>
      <w:proofErr w:type="spellStart"/>
      <w:r w:rsidR="00AE34B2">
        <w:t>Gavreto</w:t>
      </w:r>
      <w:proofErr w:type="spellEnd"/>
      <w:r w:rsidR="00AE34B2">
        <w:t xml:space="preserve"> dose</w:t>
      </w:r>
      <w:r>
        <w:t xml:space="preserve"> (see section 4.2 </w:t>
      </w:r>
      <w:r w:rsidRPr="00DA0EF1">
        <w:rPr>
          <w:i/>
        </w:rPr>
        <w:t>Dose and method of administration</w:t>
      </w:r>
      <w:r>
        <w:t xml:space="preserve">).  </w:t>
      </w:r>
      <w:r w:rsidR="00E51DC8">
        <w:t xml:space="preserve">Coadministration of </w:t>
      </w:r>
      <w:proofErr w:type="spellStart"/>
      <w:r w:rsidR="00B32AA9">
        <w:t>Gavreto</w:t>
      </w:r>
      <w:proofErr w:type="spellEnd"/>
      <w:r w:rsidR="00E51DC8">
        <w:t xml:space="preserve"> with a strong CYP3A4 inducer may decrease </w:t>
      </w:r>
      <w:proofErr w:type="spellStart"/>
      <w:r w:rsidR="00E51DC8">
        <w:t>pralsetinib</w:t>
      </w:r>
      <w:proofErr w:type="spellEnd"/>
      <w:r w:rsidR="00E51DC8">
        <w:t xml:space="preserve"> plasma concentrations and may result in decreased efficacy of </w:t>
      </w:r>
      <w:proofErr w:type="spellStart"/>
      <w:r w:rsidR="00E51DC8">
        <w:t>pralsetinib</w:t>
      </w:r>
      <w:proofErr w:type="spellEnd"/>
      <w:r w:rsidR="00E51DC8">
        <w:t>.</w:t>
      </w:r>
    </w:p>
    <w:p w14:paraId="23E755FF" w14:textId="77777777" w:rsidR="00DA0EF1" w:rsidRDefault="00DA0EF1" w:rsidP="00DA0EF1"/>
    <w:p w14:paraId="6B46B446" w14:textId="77777777" w:rsidR="00DA0EF1" w:rsidRPr="00DA0EF1" w:rsidRDefault="00DA0EF1" w:rsidP="00DA0EF1">
      <w:pPr>
        <w:rPr>
          <w:i/>
        </w:rPr>
      </w:pPr>
      <w:r w:rsidRPr="00DA0EF1">
        <w:rPr>
          <w:i/>
        </w:rPr>
        <w:t>P-</w:t>
      </w:r>
      <w:proofErr w:type="spellStart"/>
      <w:r w:rsidRPr="00DA0EF1">
        <w:rPr>
          <w:i/>
        </w:rPr>
        <w:t>gp</w:t>
      </w:r>
      <w:proofErr w:type="spellEnd"/>
      <w:r w:rsidRPr="00DA0EF1">
        <w:rPr>
          <w:i/>
        </w:rPr>
        <w:t xml:space="preserve"> inhibitors</w:t>
      </w:r>
    </w:p>
    <w:p w14:paraId="4ECC3A2D" w14:textId="6CF87D91" w:rsidR="00DA0EF1" w:rsidRDefault="00DA0EF1" w:rsidP="00DA0EF1">
      <w:r>
        <w:t>P-</w:t>
      </w:r>
      <w:proofErr w:type="spellStart"/>
      <w:r>
        <w:t>gp</w:t>
      </w:r>
      <w:proofErr w:type="spellEnd"/>
      <w:r>
        <w:t xml:space="preserve"> inhibitors may decrease the gastrointestinal secretion of </w:t>
      </w:r>
      <w:proofErr w:type="spellStart"/>
      <w:r>
        <w:t>pralsetinib</w:t>
      </w:r>
      <w:proofErr w:type="spellEnd"/>
      <w:r>
        <w:t xml:space="preserve"> and potentially increase its plasma concentration. No clinical drug interaction studies have been performed.</w:t>
      </w:r>
    </w:p>
    <w:p w14:paraId="13F615CC" w14:textId="62AEE456" w:rsidR="004C4281" w:rsidRDefault="004C4281" w:rsidP="00DA0EF1"/>
    <w:p w14:paraId="7D0DEDED" w14:textId="77777777" w:rsidR="004C4281" w:rsidRPr="0088407D" w:rsidRDefault="004C4281" w:rsidP="004C4281">
      <w:pPr>
        <w:rPr>
          <w:i/>
        </w:rPr>
      </w:pPr>
      <w:r w:rsidRPr="0088407D">
        <w:rPr>
          <w:i/>
        </w:rPr>
        <w:t>Sensitive substrates of CYP3A4, CYP2C8, CYP2C9, P-</w:t>
      </w:r>
      <w:proofErr w:type="spellStart"/>
      <w:r w:rsidRPr="0088407D">
        <w:rPr>
          <w:i/>
        </w:rPr>
        <w:t>gp</w:t>
      </w:r>
      <w:proofErr w:type="spellEnd"/>
      <w:r w:rsidRPr="0088407D">
        <w:rPr>
          <w:i/>
        </w:rPr>
        <w:t>, BCRP, OATP1B1, OATP1B3, OAT1, MATE1 and MATE2K with narrow therapeutic index</w:t>
      </w:r>
    </w:p>
    <w:p w14:paraId="6A7A9E0B" w14:textId="0F20C6D1" w:rsidR="004C4281" w:rsidRPr="00DA0EF1" w:rsidRDefault="00213084" w:rsidP="00DA0EF1">
      <w:r w:rsidRPr="005A6246">
        <w:rPr>
          <w:lang w:val="en-GB"/>
        </w:rPr>
        <w:t xml:space="preserve">Co-administration of </w:t>
      </w:r>
      <w:proofErr w:type="spellStart"/>
      <w:r w:rsidRPr="005A6246">
        <w:rPr>
          <w:lang w:val="en-GB"/>
        </w:rPr>
        <w:t>pralsetinib</w:t>
      </w:r>
      <w:proofErr w:type="spellEnd"/>
      <w:r w:rsidRPr="005A6246">
        <w:rPr>
          <w:lang w:val="en-GB"/>
        </w:rPr>
        <w:t xml:space="preserve"> can alter the exposure of sensitive substrates of CYP enzymes (CYP3A4, CYP2C9 and CYP2C8) and transporters (P-</w:t>
      </w:r>
      <w:proofErr w:type="spellStart"/>
      <w:r w:rsidRPr="005A6246">
        <w:rPr>
          <w:lang w:val="en-GB"/>
        </w:rPr>
        <w:t>gp</w:t>
      </w:r>
      <w:proofErr w:type="spellEnd"/>
      <w:r w:rsidRPr="005A6246">
        <w:rPr>
          <w:lang w:val="en-GB"/>
        </w:rPr>
        <w:t>, BCRP, OATP1B1, OATP1B3, OAT1, MATE1 and MATE2-K)</w:t>
      </w:r>
      <w:r w:rsidRPr="005A6246">
        <w:rPr>
          <w:i/>
          <w:lang w:val="en-GB"/>
        </w:rPr>
        <w:t xml:space="preserve">. </w:t>
      </w:r>
      <w:r w:rsidRPr="005A6246">
        <w:rPr>
          <w:lang w:val="en-GB"/>
        </w:rPr>
        <w:t xml:space="preserve">Substrate drugs of these CYP enzymes and transporters with narrow therapeutic index (including, but not limited to cyclosporine, </w:t>
      </w:r>
      <w:proofErr w:type="gramStart"/>
      <w:r w:rsidRPr="005A6246">
        <w:rPr>
          <w:lang w:val="en-GB"/>
        </w:rPr>
        <w:t>paclitaxel</w:t>
      </w:r>
      <w:proofErr w:type="gramEnd"/>
      <w:r w:rsidRPr="005A6246">
        <w:rPr>
          <w:lang w:val="en-GB"/>
        </w:rPr>
        <w:t xml:space="preserve"> and warfarin) should be avoided. </w:t>
      </w:r>
    </w:p>
    <w:p w14:paraId="09044483" w14:textId="77777777" w:rsidR="00C73271" w:rsidRDefault="00C73271"/>
    <w:p w14:paraId="3756B318" w14:textId="77777777" w:rsidR="00D52399" w:rsidRDefault="00902EBE" w:rsidP="009F4C5B">
      <w:pPr>
        <w:pStyle w:val="Heading2"/>
        <w:spacing w:before="0"/>
      </w:pPr>
      <w:r>
        <w:t>4.6</w:t>
      </w:r>
      <w:r>
        <w:tab/>
        <w:t>FERTILITY, PREGNANCY AND LACTATION</w:t>
      </w:r>
    </w:p>
    <w:p w14:paraId="03F7F69F" w14:textId="6AE3FD66" w:rsidR="00B1134D" w:rsidRDefault="00674CFD" w:rsidP="00B1134D">
      <w:pPr>
        <w:pStyle w:val="Heading3"/>
        <w:rPr>
          <w:color w:val="auto"/>
        </w:rPr>
      </w:pPr>
      <w:r w:rsidRPr="00AE34B2">
        <w:rPr>
          <w:color w:val="auto"/>
        </w:rPr>
        <w:t>Effects on Fertility</w:t>
      </w:r>
    </w:p>
    <w:p w14:paraId="661D5DD0" w14:textId="1A550045" w:rsidR="00AE34B2" w:rsidRDefault="00AE34B2" w:rsidP="00AE34B2">
      <w:r>
        <w:t xml:space="preserve">In a dedicated fertility and early embryonic development study conducted in treated male rats mated to treated female rats, </w:t>
      </w:r>
      <w:proofErr w:type="spellStart"/>
      <w:r>
        <w:t>pralsetinib</w:t>
      </w:r>
      <w:proofErr w:type="spellEnd"/>
      <w:r>
        <w:t xml:space="preserve"> did not have clear effects on male or female mating performance or ability to become pregnant. In a 13-week repeat-dose toxicology study</w:t>
      </w:r>
      <w:r w:rsidR="00B562EB">
        <w:t xml:space="preserve"> however</w:t>
      </w:r>
      <w:r>
        <w:t xml:space="preserve">, male rats exhibited histopathological evidence of tubular degeneration/atrophy in the testis with secondary cellular debris and reduced sperm in the lumen of the epididymis, which correlated with lower mean testis and epididymis weights and gross observations of soft and small testis. Female rats exhibited degeneration of the corpus luteum in the ovary. For both sexes, these effects were observed at </w:t>
      </w:r>
      <w:proofErr w:type="spellStart"/>
      <w:r>
        <w:t>pralsetinib</w:t>
      </w:r>
      <w:proofErr w:type="spellEnd"/>
      <w:r>
        <w:t xml:space="preserve"> doses ≥10 mg/kg/day, approximately 1</w:t>
      </w:r>
      <w:r w:rsidR="00B562EB">
        <w:t>-fold</w:t>
      </w:r>
      <w:r>
        <w:t xml:space="preserve"> the human exposure based on AUC at the clinical dose of 400 mg. </w:t>
      </w:r>
    </w:p>
    <w:p w14:paraId="5C726B91" w14:textId="77777777" w:rsidR="005A0695" w:rsidRDefault="005A0695" w:rsidP="00AE34B2"/>
    <w:p w14:paraId="73577201" w14:textId="49F80BE4" w:rsidR="00AE34B2" w:rsidRDefault="00AE34B2" w:rsidP="00AE34B2">
      <w:r>
        <w:lastRenderedPageBreak/>
        <w:t>No findings were noted in the reproductive organs in a 13-week repeated-dose toxicology study in sexually immature monkeys at dose levels up to 10 mg/kg/day (approximately 1</w:t>
      </w:r>
      <w:r w:rsidR="00B562EB">
        <w:t>-fold</w:t>
      </w:r>
      <w:r>
        <w:t xml:space="preserve"> the human exposure at the 400 mg once daily dose).</w:t>
      </w:r>
    </w:p>
    <w:p w14:paraId="01F3F172" w14:textId="77777777" w:rsidR="00D60776" w:rsidRDefault="00D60776" w:rsidP="00D60776">
      <w:pPr>
        <w:tabs>
          <w:tab w:val="left" w:pos="1290"/>
        </w:tabs>
        <w:rPr>
          <w:bCs/>
          <w:iCs/>
          <w:lang w:val="en-GB"/>
        </w:rPr>
      </w:pPr>
    </w:p>
    <w:p w14:paraId="23AA6A86" w14:textId="77780B73" w:rsidR="005A0695" w:rsidRDefault="00D60776" w:rsidP="0088407D">
      <w:pPr>
        <w:tabs>
          <w:tab w:val="left" w:pos="1290"/>
        </w:tabs>
      </w:pPr>
      <w:r w:rsidRPr="005A6246">
        <w:rPr>
          <w:bCs/>
          <w:iCs/>
          <w:lang w:val="en-GB"/>
        </w:rPr>
        <w:t xml:space="preserve">There is no clinical data on the effects of </w:t>
      </w:r>
      <w:proofErr w:type="spellStart"/>
      <w:r w:rsidRPr="005A6246">
        <w:rPr>
          <w:bCs/>
          <w:iCs/>
          <w:lang w:val="en-GB"/>
        </w:rPr>
        <w:t>pralsetinib</w:t>
      </w:r>
      <w:proofErr w:type="spellEnd"/>
      <w:r w:rsidRPr="005A6246">
        <w:rPr>
          <w:bCs/>
          <w:iCs/>
          <w:lang w:val="en-GB"/>
        </w:rPr>
        <w:t xml:space="preserve"> on fertility. Based on non-clinical safety findings, fertility may be compromised dur</w:t>
      </w:r>
      <w:r w:rsidR="00EB7BA0">
        <w:rPr>
          <w:bCs/>
          <w:iCs/>
          <w:lang w:val="en-GB"/>
        </w:rPr>
        <w:t xml:space="preserve">ing treatment with </w:t>
      </w:r>
      <w:proofErr w:type="spellStart"/>
      <w:r w:rsidR="00EB7BA0">
        <w:rPr>
          <w:bCs/>
          <w:iCs/>
          <w:lang w:val="en-GB"/>
        </w:rPr>
        <w:t>pralsetinib</w:t>
      </w:r>
      <w:proofErr w:type="spellEnd"/>
      <w:r w:rsidR="00EB7BA0">
        <w:rPr>
          <w:bCs/>
          <w:iCs/>
          <w:lang w:val="en-GB"/>
        </w:rPr>
        <w:t xml:space="preserve">. </w:t>
      </w:r>
      <w:r w:rsidRPr="005A6246">
        <w:rPr>
          <w:bCs/>
          <w:iCs/>
          <w:lang w:val="en-GB"/>
        </w:rPr>
        <w:t xml:space="preserve">Men and women should seek advice on effective fertility preservation before </w:t>
      </w:r>
      <w:proofErr w:type="gramStart"/>
      <w:r w:rsidRPr="005A6246">
        <w:rPr>
          <w:bCs/>
          <w:iCs/>
          <w:lang w:val="en-GB"/>
        </w:rPr>
        <w:t>treatment</w:t>
      </w:r>
      <w:proofErr w:type="gramEnd"/>
    </w:p>
    <w:p w14:paraId="5ABCD32E" w14:textId="621A4CE8" w:rsidR="00B1134D" w:rsidRDefault="00674CFD" w:rsidP="00B1134D">
      <w:pPr>
        <w:pStyle w:val="Heading3"/>
        <w:rPr>
          <w:color w:val="auto"/>
        </w:rPr>
      </w:pPr>
      <w:r w:rsidRPr="00B02BF2">
        <w:rPr>
          <w:color w:val="auto"/>
        </w:rPr>
        <w:t xml:space="preserve">Use in pregnancy </w:t>
      </w:r>
      <w:r w:rsidR="007651C1">
        <w:rPr>
          <w:color w:val="auto"/>
        </w:rPr>
        <w:t xml:space="preserve">- </w:t>
      </w:r>
      <w:r w:rsidR="007651C1" w:rsidRPr="007651C1">
        <w:rPr>
          <w:color w:val="auto"/>
        </w:rPr>
        <w:t>Cate</w:t>
      </w:r>
      <w:r w:rsidR="007651C1" w:rsidRPr="002A2003">
        <w:rPr>
          <w:color w:val="auto"/>
        </w:rPr>
        <w:t>gory D</w:t>
      </w:r>
    </w:p>
    <w:p w14:paraId="6A085794" w14:textId="1642C1E5" w:rsidR="0075559B" w:rsidRDefault="000749E1" w:rsidP="0075559B">
      <w:r w:rsidRPr="000749E1">
        <w:t xml:space="preserve">There are no available data on the use of </w:t>
      </w:r>
      <w:proofErr w:type="spellStart"/>
      <w:r w:rsidRPr="000749E1">
        <w:t>Gavreto</w:t>
      </w:r>
      <w:proofErr w:type="spellEnd"/>
      <w:r w:rsidRPr="000749E1">
        <w:t xml:space="preserve"> in pregnant women.</w:t>
      </w:r>
      <w:r>
        <w:t xml:space="preserve"> </w:t>
      </w:r>
      <w:r w:rsidRPr="000749E1">
        <w:t xml:space="preserve">Based on findings from animal studies and its mechanism of action, </w:t>
      </w:r>
      <w:proofErr w:type="spellStart"/>
      <w:r w:rsidRPr="000749E1">
        <w:t>Gavreto</w:t>
      </w:r>
      <w:proofErr w:type="spellEnd"/>
      <w:r w:rsidRPr="000749E1">
        <w:t xml:space="preserve"> has the potential to cause </w:t>
      </w:r>
      <w:proofErr w:type="spellStart"/>
      <w:r w:rsidRPr="000749E1">
        <w:t>fetal</w:t>
      </w:r>
      <w:proofErr w:type="spellEnd"/>
      <w:r w:rsidRPr="000749E1">
        <w:t xml:space="preserve"> harm when admin</w:t>
      </w:r>
      <w:r w:rsidR="002A2003">
        <w:t>istered to pregnant women</w:t>
      </w:r>
      <w:r w:rsidRPr="000749E1">
        <w:t>.</w:t>
      </w:r>
      <w:r>
        <w:t xml:space="preserve"> </w:t>
      </w:r>
      <w:r w:rsidR="0075559B" w:rsidRPr="005A0695">
        <w:t>In an embryo-</w:t>
      </w:r>
      <w:proofErr w:type="spellStart"/>
      <w:r w:rsidR="0075559B" w:rsidRPr="005A0695">
        <w:t>fetal</w:t>
      </w:r>
      <w:proofErr w:type="spellEnd"/>
      <w:r w:rsidR="0075559B" w:rsidRPr="005A0695">
        <w:t xml:space="preserve"> development study, once daily oral administration of </w:t>
      </w:r>
      <w:proofErr w:type="spellStart"/>
      <w:r w:rsidR="0075559B" w:rsidRPr="005A0695">
        <w:t>pralsetinib</w:t>
      </w:r>
      <w:proofErr w:type="spellEnd"/>
      <w:r w:rsidR="0075559B" w:rsidRPr="005A0695">
        <w:t xml:space="preserve"> to pregnant rats during the period of organogenesis resulted </w:t>
      </w:r>
      <w:r w:rsidR="0075559B">
        <w:t xml:space="preserve">in 100% post-implantation </w:t>
      </w:r>
      <w:r w:rsidR="0075559B" w:rsidRPr="005A0695">
        <w:t xml:space="preserve">loss at dose levels ≥20 mg/kg (approximately 1.8 times the human exposure based on area under the curve [AUC] at the clinical dose of 400 mg). Post-implantation loss also occurred at the 10 mg/kg dose level (approximately 0.6 times the human exposure based on AUC at the clinical dose of 400 mg). Once daily oral administration of </w:t>
      </w:r>
      <w:proofErr w:type="spellStart"/>
      <w:r w:rsidR="0075559B" w:rsidRPr="005A0695">
        <w:t>pralsetinib</w:t>
      </w:r>
      <w:proofErr w:type="spellEnd"/>
      <w:r w:rsidR="0075559B" w:rsidRPr="005A0695">
        <w:t xml:space="preserve"> at dose levels ≥5 mg/kg (approximately 0.2 times the human AUC at the clinical dose of 400 mg) resulted in an increase in visceral malformations and variations (absent or small kidney and ureter, absent uterine horn, </w:t>
      </w:r>
      <w:proofErr w:type="spellStart"/>
      <w:r w:rsidR="0075559B" w:rsidRPr="005A0695">
        <w:t>malpositioned</w:t>
      </w:r>
      <w:proofErr w:type="spellEnd"/>
      <w:r w:rsidR="0075559B" w:rsidRPr="005A0695">
        <w:t xml:space="preserve"> kidney or testis, retroesophageal aortic arch) and skeletal malformations and variations (vertebral and rib anomalies and reduced ossification)</w:t>
      </w:r>
      <w:r w:rsidR="0075559B">
        <w:t>.</w:t>
      </w:r>
    </w:p>
    <w:p w14:paraId="1A151E4C" w14:textId="77777777" w:rsidR="0075559B" w:rsidRPr="00AE34B2" w:rsidRDefault="0075559B" w:rsidP="0075559B"/>
    <w:p w14:paraId="5F85E714" w14:textId="06AAA339" w:rsidR="00B02BF2" w:rsidRDefault="00B02BF2" w:rsidP="00B02BF2">
      <w:r w:rsidRPr="00B02BF2">
        <w:t xml:space="preserve">Female patients of reproductive potential must be advised to avoid pregnancy while </w:t>
      </w:r>
      <w:r w:rsidR="000035EB">
        <w:t xml:space="preserve">receiving </w:t>
      </w:r>
      <w:proofErr w:type="spellStart"/>
      <w:r w:rsidR="000035EB">
        <w:t>Gavreto</w:t>
      </w:r>
      <w:proofErr w:type="spellEnd"/>
      <w:r w:rsidR="000035EB">
        <w:t xml:space="preserve"> (see section 4</w:t>
      </w:r>
      <w:r w:rsidRPr="00B02BF2">
        <w:t xml:space="preserve">.4 </w:t>
      </w:r>
      <w:r w:rsidR="00986453" w:rsidRPr="00986453">
        <w:rPr>
          <w:i/>
        </w:rPr>
        <w:t>Special warnings and p</w:t>
      </w:r>
      <w:r w:rsidRPr="00986453">
        <w:rPr>
          <w:i/>
        </w:rPr>
        <w:t>recautions</w:t>
      </w:r>
      <w:r w:rsidR="00986453" w:rsidRPr="00986453">
        <w:rPr>
          <w:i/>
        </w:rPr>
        <w:t xml:space="preserve"> for use</w:t>
      </w:r>
      <w:r w:rsidRPr="00B02BF2">
        <w:t xml:space="preserve">). Patients receiving </w:t>
      </w:r>
      <w:proofErr w:type="spellStart"/>
      <w:r w:rsidRPr="00B02BF2">
        <w:t>Gavreto</w:t>
      </w:r>
      <w:proofErr w:type="spellEnd"/>
      <w:r w:rsidRPr="00B02BF2">
        <w:t xml:space="preserve"> should be advised of the potential hazard to the </w:t>
      </w:r>
      <w:proofErr w:type="spellStart"/>
      <w:r w:rsidRPr="00B02BF2">
        <w:t>fetus</w:t>
      </w:r>
      <w:proofErr w:type="spellEnd"/>
      <w:r w:rsidRPr="00B02BF2">
        <w:t>.</w:t>
      </w:r>
      <w:r w:rsidR="00EB7BA0" w:rsidRPr="00EB7BA0">
        <w:t xml:space="preserve"> </w:t>
      </w:r>
      <w:proofErr w:type="spellStart"/>
      <w:r w:rsidR="00EB7BA0">
        <w:t>Gavreto</w:t>
      </w:r>
      <w:proofErr w:type="spellEnd"/>
      <w:r w:rsidR="00EB7BA0">
        <w:t xml:space="preserve"> should not be used during pregnancy</w:t>
      </w:r>
      <w:r w:rsidRPr="00B02BF2">
        <w:t xml:space="preserve"> </w:t>
      </w:r>
      <w:r w:rsidR="00F804EF" w:rsidRPr="00F804EF">
        <w:t xml:space="preserve">Test for pregnancy in females of reproductive potential prior to initiating </w:t>
      </w:r>
      <w:proofErr w:type="spellStart"/>
      <w:r w:rsidR="00F804EF" w:rsidRPr="00F804EF">
        <w:t>Gavreto</w:t>
      </w:r>
      <w:proofErr w:type="spellEnd"/>
      <w:r w:rsidR="00F804EF">
        <w:t xml:space="preserve">. </w:t>
      </w:r>
      <w:r w:rsidRPr="00B02BF2">
        <w:t>Female patients should be advised to contact their doctor, should pregnancy occur</w:t>
      </w:r>
      <w:r w:rsidR="00EB7BA0" w:rsidRPr="00EB7BA0">
        <w:t xml:space="preserve"> </w:t>
      </w:r>
      <w:r w:rsidR="00EB7BA0">
        <w:t>or if pregnancy is suspected</w:t>
      </w:r>
      <w:r w:rsidR="00A91EEC">
        <w:t xml:space="preserve">, while taking </w:t>
      </w:r>
      <w:proofErr w:type="spellStart"/>
      <w:r w:rsidR="00A91EEC">
        <w:t>Gavreto</w:t>
      </w:r>
      <w:proofErr w:type="spellEnd"/>
      <w:r w:rsidRPr="00B02BF2">
        <w:t>.</w:t>
      </w:r>
      <w:r w:rsidR="00F804EF">
        <w:t xml:space="preserve"> </w:t>
      </w:r>
    </w:p>
    <w:p w14:paraId="59BB4DEB" w14:textId="77777777" w:rsidR="00B02BF2" w:rsidRDefault="00B02BF2" w:rsidP="00B02BF2"/>
    <w:p w14:paraId="4742EDB8" w14:textId="157A6158" w:rsidR="00B02BF2" w:rsidRDefault="00B02BF2" w:rsidP="00B02BF2">
      <w:pPr>
        <w:rPr>
          <w:u w:val="single"/>
        </w:rPr>
      </w:pPr>
      <w:r w:rsidRPr="00B02BF2">
        <w:rPr>
          <w:u w:val="single"/>
        </w:rPr>
        <w:t>Contraception in male and female patients</w:t>
      </w:r>
    </w:p>
    <w:p w14:paraId="34E02244" w14:textId="4E21C5E8" w:rsidR="00B02BF2" w:rsidRDefault="00B02BF2" w:rsidP="00B02BF2">
      <w:r>
        <w:t xml:space="preserve">Female patients of reproductive potential must use effective non-hormonal contraception during treatment with </w:t>
      </w:r>
      <w:proofErr w:type="spellStart"/>
      <w:r>
        <w:t>Gavreto</w:t>
      </w:r>
      <w:proofErr w:type="spellEnd"/>
      <w:r>
        <w:t xml:space="preserve"> and for</w:t>
      </w:r>
      <w:r w:rsidR="00413B23" w:rsidRPr="00413B23">
        <w:t xml:space="preserve"> </w:t>
      </w:r>
      <w:r w:rsidR="00413B23">
        <w:t>at</w:t>
      </w:r>
      <w:r w:rsidR="00C07BFD">
        <w:t xml:space="preserve"> </w:t>
      </w:r>
      <w:proofErr w:type="gramStart"/>
      <w:r w:rsidR="00413B23">
        <w:t xml:space="preserve">least </w:t>
      </w:r>
      <w:r>
        <w:t xml:space="preserve"> 2</w:t>
      </w:r>
      <w:proofErr w:type="gramEnd"/>
      <w:r>
        <w:t xml:space="preserve"> weeks after the final dose. </w:t>
      </w:r>
      <w:proofErr w:type="spellStart"/>
      <w:r>
        <w:t>Gavreto</w:t>
      </w:r>
      <w:proofErr w:type="spellEnd"/>
      <w:r>
        <w:t xml:space="preserve"> may render hormonal contraceptives ineffective.</w:t>
      </w:r>
    </w:p>
    <w:p w14:paraId="128B311C" w14:textId="77777777" w:rsidR="00B02BF2" w:rsidRDefault="00B02BF2" w:rsidP="00B02BF2"/>
    <w:p w14:paraId="12F51DE6" w14:textId="158F5290" w:rsidR="00B02BF2" w:rsidRPr="00B02BF2" w:rsidRDefault="00B02BF2" w:rsidP="00B02BF2">
      <w:r>
        <w:t xml:space="preserve">Male patients with female partners of reproductive potential must use effective contraception during treatment with </w:t>
      </w:r>
      <w:proofErr w:type="spellStart"/>
      <w:r>
        <w:t>Gavreto</w:t>
      </w:r>
      <w:proofErr w:type="spellEnd"/>
      <w:r>
        <w:t xml:space="preserve"> and for at least 1 week after the final dose.</w:t>
      </w:r>
    </w:p>
    <w:p w14:paraId="18FE6601" w14:textId="2EB6402C" w:rsidR="00834C48" w:rsidRPr="00B02BF2" w:rsidRDefault="00674CFD" w:rsidP="00B1498F">
      <w:pPr>
        <w:pStyle w:val="Heading3"/>
        <w:rPr>
          <w:color w:val="auto"/>
        </w:rPr>
      </w:pPr>
      <w:r w:rsidRPr="00B02BF2">
        <w:rPr>
          <w:color w:val="auto"/>
        </w:rPr>
        <w:t xml:space="preserve">Use in </w:t>
      </w:r>
      <w:proofErr w:type="gramStart"/>
      <w:r w:rsidRPr="00B02BF2">
        <w:rPr>
          <w:color w:val="auto"/>
        </w:rPr>
        <w:t>lactation</w:t>
      </w:r>
      <w:proofErr w:type="gramEnd"/>
      <w:r w:rsidR="00834C48" w:rsidRPr="00B02BF2">
        <w:rPr>
          <w:color w:val="auto"/>
        </w:rPr>
        <w:t xml:space="preserve"> </w:t>
      </w:r>
    </w:p>
    <w:p w14:paraId="20C8932E" w14:textId="72BB3A0D" w:rsidR="00B02BF2" w:rsidRPr="00B02BF2" w:rsidRDefault="00B02BF2" w:rsidP="00B02BF2">
      <w:r w:rsidRPr="00B02BF2">
        <w:t xml:space="preserve">It is not known whether </w:t>
      </w:r>
      <w:proofErr w:type="spellStart"/>
      <w:r w:rsidRPr="00B02BF2">
        <w:t>Gavreto</w:t>
      </w:r>
      <w:proofErr w:type="spellEnd"/>
      <w:r w:rsidRPr="00B02BF2">
        <w:t xml:space="preserve"> is excreted in human breast milk. No studies have been conducted to assess the impact of </w:t>
      </w:r>
      <w:proofErr w:type="spellStart"/>
      <w:r w:rsidRPr="00B02BF2">
        <w:t>Gavreto</w:t>
      </w:r>
      <w:proofErr w:type="spellEnd"/>
      <w:r w:rsidRPr="00B02BF2">
        <w:t xml:space="preserve"> on milk production or its presence in breast milk. As the potential for harm to the nursing infant is unknown, mothers should be advised to discontinue breast-feeding during treatment with </w:t>
      </w:r>
      <w:proofErr w:type="spellStart"/>
      <w:r w:rsidRPr="00B02BF2">
        <w:t>Gavreto</w:t>
      </w:r>
      <w:proofErr w:type="spellEnd"/>
      <w:r w:rsidRPr="00B02BF2">
        <w:t xml:space="preserve"> and for 1 week following the final dose.</w:t>
      </w:r>
    </w:p>
    <w:p w14:paraId="729BE31E" w14:textId="77777777" w:rsidR="00834C48" w:rsidRDefault="00834C48" w:rsidP="003E51CC"/>
    <w:p w14:paraId="46F58005" w14:textId="77777777" w:rsidR="00D52399" w:rsidRDefault="00902EBE" w:rsidP="009F4C5B">
      <w:pPr>
        <w:pStyle w:val="Heading2"/>
        <w:spacing w:before="0"/>
      </w:pPr>
      <w:r>
        <w:t>4.7</w:t>
      </w:r>
      <w:r>
        <w:tab/>
        <w:t>EFFECTS ON ABILITY TO DRIVE AND USE MACHINES</w:t>
      </w:r>
    </w:p>
    <w:p w14:paraId="39EDDC45" w14:textId="076C557C" w:rsidR="00D52399" w:rsidRDefault="00AE4C21">
      <w:r w:rsidRPr="00AE4C21">
        <w:t xml:space="preserve">No studies on the effects of </w:t>
      </w:r>
      <w:proofErr w:type="spellStart"/>
      <w:r w:rsidRPr="00AE4C21">
        <w:t>Gavreto</w:t>
      </w:r>
      <w:proofErr w:type="spellEnd"/>
      <w:r w:rsidRPr="00AE4C21">
        <w:t xml:space="preserve"> on the ability to drive or use machines have been performed. Caution should be exercised when driving or operating machines as patients may experience fatigue while taking </w:t>
      </w:r>
      <w:proofErr w:type="spellStart"/>
      <w:r w:rsidRPr="00AE4C21">
        <w:t>Gavreto</w:t>
      </w:r>
      <w:proofErr w:type="spellEnd"/>
      <w:r w:rsidR="008528E8">
        <w:t>.</w:t>
      </w:r>
    </w:p>
    <w:p w14:paraId="3EB6B4DC" w14:textId="77777777" w:rsidR="00AE4C21" w:rsidRDefault="00AE4C21" w:rsidP="009F4C5B">
      <w:pPr>
        <w:pStyle w:val="Heading2"/>
        <w:spacing w:before="0"/>
      </w:pPr>
    </w:p>
    <w:p w14:paraId="32DAF28A" w14:textId="2E8A741C" w:rsidR="00D52399" w:rsidRPr="008528E8" w:rsidRDefault="00902EBE" w:rsidP="009F4C5B">
      <w:pPr>
        <w:pStyle w:val="Heading2"/>
        <w:spacing w:before="0"/>
        <w:rPr>
          <w:color w:val="auto"/>
        </w:rPr>
      </w:pPr>
      <w:r>
        <w:t>4.8</w:t>
      </w:r>
      <w:r>
        <w:tab/>
      </w:r>
      <w:r w:rsidRPr="008528E8">
        <w:rPr>
          <w:color w:val="auto"/>
        </w:rPr>
        <w:t>ADVERSE EFFECTS (UNDESIRABLE EFFECTS)</w:t>
      </w:r>
    </w:p>
    <w:p w14:paraId="24C2B0E1" w14:textId="77777777" w:rsidR="00F804EF" w:rsidRPr="00F804EF" w:rsidRDefault="00F804EF" w:rsidP="00F804EF">
      <w:pPr>
        <w:pStyle w:val="Heading3"/>
        <w:rPr>
          <w:b w:val="0"/>
          <w:color w:val="auto"/>
          <w:u w:val="single"/>
        </w:rPr>
      </w:pPr>
      <w:r w:rsidRPr="00F804EF">
        <w:rPr>
          <w:b w:val="0"/>
          <w:color w:val="auto"/>
          <w:u w:val="single"/>
        </w:rPr>
        <w:t>Summary of the safety profile</w:t>
      </w:r>
    </w:p>
    <w:p w14:paraId="4D74B947" w14:textId="3AD9ED40" w:rsidR="00F804EF" w:rsidRPr="00F804EF" w:rsidRDefault="00F804EF" w:rsidP="00FF281A">
      <w:pPr>
        <w:pStyle w:val="Heading3"/>
        <w:spacing w:line="240" w:lineRule="auto"/>
        <w:rPr>
          <w:b w:val="0"/>
          <w:color w:val="auto"/>
        </w:rPr>
      </w:pPr>
      <w:r w:rsidRPr="00F804EF">
        <w:rPr>
          <w:b w:val="0"/>
          <w:color w:val="auto"/>
        </w:rPr>
        <w:t>The most common adverse reactions were anaemia (47.2%), aspartate aminotransferase increased</w:t>
      </w:r>
      <w:r>
        <w:rPr>
          <w:b w:val="0"/>
          <w:color w:val="auto"/>
        </w:rPr>
        <w:t xml:space="preserve"> </w:t>
      </w:r>
      <w:r w:rsidRPr="00F804EF">
        <w:rPr>
          <w:b w:val="0"/>
          <w:color w:val="auto"/>
        </w:rPr>
        <w:t>(46.0%), neutropenia (43.9%), constipation (41.9%), musculoskeletal pain (39.8%), fatigue (37.3%),</w:t>
      </w:r>
      <w:r>
        <w:rPr>
          <w:b w:val="0"/>
          <w:color w:val="auto"/>
        </w:rPr>
        <w:t xml:space="preserve"> </w:t>
      </w:r>
      <w:r w:rsidRPr="00F804EF">
        <w:rPr>
          <w:b w:val="0"/>
          <w:color w:val="auto"/>
        </w:rPr>
        <w:t>leukopenia (35.4%), alanine aminotransferase increased (33.9%), and hypertension (33.0%). The most</w:t>
      </w:r>
      <w:r>
        <w:rPr>
          <w:b w:val="0"/>
          <w:color w:val="auto"/>
        </w:rPr>
        <w:t xml:space="preserve"> </w:t>
      </w:r>
      <w:r w:rsidRPr="00F804EF">
        <w:rPr>
          <w:b w:val="0"/>
          <w:color w:val="auto"/>
        </w:rPr>
        <w:t>common serious adverse reactions were pneumonia (11.7%), pneumonitis (5.3%) and anaemia (3.8%).</w:t>
      </w:r>
    </w:p>
    <w:p w14:paraId="5C29372A" w14:textId="6A2B6C42" w:rsidR="00F804EF" w:rsidRPr="00F804EF" w:rsidRDefault="00F804EF" w:rsidP="00FF281A">
      <w:pPr>
        <w:pStyle w:val="Heading3"/>
        <w:spacing w:line="240" w:lineRule="auto"/>
        <w:rPr>
          <w:b w:val="0"/>
          <w:color w:val="auto"/>
        </w:rPr>
      </w:pPr>
      <w:r w:rsidRPr="00F804EF">
        <w:rPr>
          <w:b w:val="0"/>
          <w:color w:val="auto"/>
        </w:rPr>
        <w:t>Based on the data from clinical trials, exposure-response relationships for any Grade 3 or 4 adverse</w:t>
      </w:r>
      <w:r>
        <w:rPr>
          <w:b w:val="0"/>
          <w:color w:val="auto"/>
        </w:rPr>
        <w:t xml:space="preserve"> </w:t>
      </w:r>
      <w:r w:rsidRPr="00F804EF">
        <w:rPr>
          <w:b w:val="0"/>
          <w:color w:val="auto"/>
        </w:rPr>
        <w:t>reaction were observed at higher exposures, with a faster time to onset for adverse reactions with</w:t>
      </w:r>
      <w:r>
        <w:rPr>
          <w:b w:val="0"/>
          <w:color w:val="auto"/>
        </w:rPr>
        <w:t xml:space="preserve"> </w:t>
      </w:r>
      <w:r w:rsidRPr="00F804EF">
        <w:rPr>
          <w:b w:val="0"/>
          <w:color w:val="auto"/>
        </w:rPr>
        <w:t xml:space="preserve">increasing </w:t>
      </w:r>
      <w:proofErr w:type="spellStart"/>
      <w:r w:rsidRPr="00F804EF">
        <w:rPr>
          <w:b w:val="0"/>
          <w:color w:val="auto"/>
        </w:rPr>
        <w:t>pralsetinib</w:t>
      </w:r>
      <w:proofErr w:type="spellEnd"/>
      <w:r w:rsidRPr="00F804EF">
        <w:rPr>
          <w:b w:val="0"/>
          <w:color w:val="auto"/>
        </w:rPr>
        <w:t xml:space="preserve"> exposure.</w:t>
      </w:r>
    </w:p>
    <w:p w14:paraId="62E2FC7E" w14:textId="42FE3A6D" w:rsidR="00F804EF" w:rsidRPr="00F804EF" w:rsidRDefault="00F804EF" w:rsidP="00FF281A">
      <w:pPr>
        <w:pStyle w:val="Heading3"/>
        <w:spacing w:line="240" w:lineRule="auto"/>
        <w:rPr>
          <w:b w:val="0"/>
          <w:color w:val="auto"/>
        </w:rPr>
      </w:pPr>
      <w:r w:rsidRPr="00F804EF">
        <w:rPr>
          <w:b w:val="0"/>
          <w:color w:val="auto"/>
        </w:rPr>
        <w:t xml:space="preserve">Dose reductions due to adverse reactions occurred in 41.5% of patients treated with </w:t>
      </w:r>
      <w:proofErr w:type="spellStart"/>
      <w:r w:rsidRPr="00F804EF">
        <w:rPr>
          <w:b w:val="0"/>
          <w:color w:val="auto"/>
        </w:rPr>
        <w:t>Gavreto</w:t>
      </w:r>
      <w:proofErr w:type="spellEnd"/>
      <w:r w:rsidRPr="00F804EF">
        <w:rPr>
          <w:b w:val="0"/>
          <w:color w:val="auto"/>
        </w:rPr>
        <w:t>. The most</w:t>
      </w:r>
      <w:r>
        <w:rPr>
          <w:b w:val="0"/>
          <w:color w:val="auto"/>
        </w:rPr>
        <w:t xml:space="preserve"> </w:t>
      </w:r>
      <w:r w:rsidRPr="00F804EF">
        <w:rPr>
          <w:b w:val="0"/>
          <w:color w:val="auto"/>
        </w:rPr>
        <w:t>common adverse reactions resulting in dose reductions were neutropenia (14.0%), anaemia (8.5%),</w:t>
      </w:r>
      <w:r>
        <w:rPr>
          <w:b w:val="0"/>
          <w:color w:val="auto"/>
        </w:rPr>
        <w:t xml:space="preserve"> </w:t>
      </w:r>
      <w:r w:rsidRPr="00F804EF">
        <w:rPr>
          <w:b w:val="0"/>
          <w:color w:val="auto"/>
        </w:rPr>
        <w:t>lymphopenia (5.3%), pneumonitis (5.3%), leukopenia (4.2%), blood creatine phosphokinase increased</w:t>
      </w:r>
      <w:r>
        <w:rPr>
          <w:b w:val="0"/>
          <w:color w:val="auto"/>
        </w:rPr>
        <w:t xml:space="preserve"> </w:t>
      </w:r>
      <w:r w:rsidRPr="00F804EF">
        <w:rPr>
          <w:b w:val="0"/>
          <w:color w:val="auto"/>
        </w:rPr>
        <w:t>(4.0%), hypertension (4.0%), and fatigue (3.8%).</w:t>
      </w:r>
    </w:p>
    <w:p w14:paraId="38FD5EFE" w14:textId="77777777" w:rsidR="00F804EF" w:rsidRPr="00F804EF" w:rsidRDefault="00F804EF" w:rsidP="00FF281A">
      <w:pPr>
        <w:pStyle w:val="Heading3"/>
        <w:spacing w:line="240" w:lineRule="auto"/>
        <w:rPr>
          <w:b w:val="0"/>
          <w:color w:val="auto"/>
        </w:rPr>
      </w:pPr>
      <w:r w:rsidRPr="00F804EF">
        <w:rPr>
          <w:b w:val="0"/>
          <w:color w:val="auto"/>
        </w:rPr>
        <w:t xml:space="preserve">Permanent discontinuation due to adverse reactions occurred in 8.1% of patients treated with </w:t>
      </w:r>
      <w:proofErr w:type="spellStart"/>
      <w:r w:rsidRPr="00F804EF">
        <w:rPr>
          <w:b w:val="0"/>
          <w:color w:val="auto"/>
        </w:rPr>
        <w:t>Gavreto</w:t>
      </w:r>
      <w:proofErr w:type="spellEnd"/>
      <w:r w:rsidRPr="00F804EF">
        <w:rPr>
          <w:b w:val="0"/>
          <w:color w:val="auto"/>
        </w:rPr>
        <w:t>.</w:t>
      </w:r>
    </w:p>
    <w:p w14:paraId="604086DF" w14:textId="2C7F30FA" w:rsidR="00F804EF" w:rsidRDefault="00F804EF" w:rsidP="00FF281A">
      <w:pPr>
        <w:pStyle w:val="Heading3"/>
        <w:spacing w:line="240" w:lineRule="auto"/>
        <w:rPr>
          <w:b w:val="0"/>
          <w:color w:val="auto"/>
        </w:rPr>
      </w:pPr>
      <w:r w:rsidRPr="00F804EF">
        <w:rPr>
          <w:b w:val="0"/>
          <w:color w:val="auto"/>
        </w:rPr>
        <w:t xml:space="preserve">The most common adverse reactions that led to permanent discontinuation of </w:t>
      </w:r>
      <w:proofErr w:type="spellStart"/>
      <w:r w:rsidRPr="00F804EF">
        <w:rPr>
          <w:b w:val="0"/>
          <w:color w:val="auto"/>
        </w:rPr>
        <w:t>Gavreto</w:t>
      </w:r>
      <w:proofErr w:type="spellEnd"/>
      <w:r w:rsidRPr="00F804EF">
        <w:rPr>
          <w:b w:val="0"/>
          <w:color w:val="auto"/>
        </w:rPr>
        <w:t xml:space="preserve"> were</w:t>
      </w:r>
      <w:r>
        <w:rPr>
          <w:b w:val="0"/>
          <w:color w:val="auto"/>
        </w:rPr>
        <w:t xml:space="preserve"> </w:t>
      </w:r>
      <w:r w:rsidRPr="00F804EF">
        <w:rPr>
          <w:b w:val="0"/>
          <w:color w:val="auto"/>
        </w:rPr>
        <w:t xml:space="preserve">pneumonia and pneumonitis (1.9% for each). </w:t>
      </w:r>
    </w:p>
    <w:p w14:paraId="2686A430" w14:textId="178E8FFB" w:rsidR="00F804EF" w:rsidRDefault="00F804EF" w:rsidP="00F804EF"/>
    <w:p w14:paraId="0765A15C" w14:textId="77777777" w:rsidR="00F804EF" w:rsidRPr="00F804EF" w:rsidRDefault="00F804EF" w:rsidP="00F804EF">
      <w:pPr>
        <w:rPr>
          <w:u w:val="single"/>
        </w:rPr>
      </w:pPr>
      <w:r w:rsidRPr="00F804EF">
        <w:rPr>
          <w:u w:val="single"/>
        </w:rPr>
        <w:t>Tabulated list of adverse reactions</w:t>
      </w:r>
    </w:p>
    <w:p w14:paraId="3CFFBC0B" w14:textId="5A1C95CB" w:rsidR="00F804EF" w:rsidRDefault="00F804EF" w:rsidP="00F804EF">
      <w:r>
        <w:t>The safety population includes a total of 528 patients, including 281 patients with advanced NCSLC, as well as patients with other solid tumours (including RET fusion</w:t>
      </w:r>
      <w:r w:rsidR="00FF281A">
        <w:t>-positive thyroid cancer</w:t>
      </w:r>
      <w:r>
        <w:t xml:space="preserve">), who received </w:t>
      </w:r>
      <w:proofErr w:type="spellStart"/>
      <w:r>
        <w:t>pralsetinib</w:t>
      </w:r>
      <w:proofErr w:type="spellEnd"/>
      <w:r>
        <w:t xml:space="preserve"> a</w:t>
      </w:r>
      <w:r w:rsidR="000749E1">
        <w:t>t a starting dose of 400 mg</w:t>
      </w:r>
      <w:r>
        <w:t>. No clinically relevant differences in the safety profile across indications have been observed.</w:t>
      </w:r>
    </w:p>
    <w:p w14:paraId="2BE4F97C" w14:textId="77777777" w:rsidR="00F804EF" w:rsidRDefault="00F804EF" w:rsidP="00F804EF"/>
    <w:p w14:paraId="0A8E9D30" w14:textId="4A8F5D1E" w:rsidR="00F804EF" w:rsidRDefault="00F804EF" w:rsidP="00F804EF">
      <w:r>
        <w:t xml:space="preserve">Adverse reactions reported in patients treated with </w:t>
      </w:r>
      <w:proofErr w:type="spellStart"/>
      <w:r>
        <w:t>Gavreto</w:t>
      </w:r>
      <w:proofErr w:type="spellEnd"/>
      <w:r>
        <w:t xml:space="preserve"> in the ARROW trial are listed below (Table </w:t>
      </w:r>
      <w:r w:rsidR="00A6055E" w:rsidRPr="00A6055E">
        <w:t>4</w:t>
      </w:r>
      <w:r w:rsidRPr="00A6055E">
        <w:t>),</w:t>
      </w:r>
      <w:r>
        <w:t xml:space="preserve"> according to the MedDRA System Organ Class and frequency.</w:t>
      </w:r>
    </w:p>
    <w:p w14:paraId="351CAD07" w14:textId="7C13F0DF" w:rsidR="00F804EF" w:rsidRDefault="00F804EF" w:rsidP="00F804EF">
      <w:r>
        <w:t>Frequencies are defined using the following convention: very common (≥1/10); common (≥1/100 to &lt;1/10), uncommon (≥1/1,000 to &lt;1/100), rare (≥1/10,000 to &lt;1/1,000), very rare (&lt;1/10,000), and not known (cannot be estimated from the available data).</w:t>
      </w:r>
    </w:p>
    <w:p w14:paraId="240CA209" w14:textId="77777777" w:rsidR="00F804EF" w:rsidRDefault="00F804EF" w:rsidP="00F804EF"/>
    <w:p w14:paraId="53364768" w14:textId="59C62694" w:rsidR="00F804EF" w:rsidRDefault="00F804EF" w:rsidP="00F804EF">
      <w:r>
        <w:t>Within each system organ class, adverse reactions are presented in order of decreasing frequency and severity.</w:t>
      </w:r>
    </w:p>
    <w:p w14:paraId="21C2E6B1" w14:textId="30EE125B" w:rsidR="00F804EF" w:rsidRDefault="00F804EF" w:rsidP="00F804EF"/>
    <w:p w14:paraId="24FAE3AA" w14:textId="3871B20E" w:rsidR="00F804EF" w:rsidRPr="00F804EF" w:rsidRDefault="00F804EF" w:rsidP="00F804EF">
      <w:pPr>
        <w:rPr>
          <w:b/>
        </w:rPr>
      </w:pPr>
      <w:r w:rsidRPr="00F804EF">
        <w:rPr>
          <w:b/>
        </w:rPr>
        <w:t xml:space="preserve">Table </w:t>
      </w:r>
      <w:r w:rsidR="00A6055E" w:rsidRPr="00A6055E">
        <w:rPr>
          <w:b/>
        </w:rPr>
        <w:t>4</w:t>
      </w:r>
      <w:r w:rsidRPr="00A6055E">
        <w:rPr>
          <w:b/>
        </w:rPr>
        <w:t>.</w:t>
      </w:r>
      <w:r w:rsidRPr="00F804EF">
        <w:rPr>
          <w:b/>
        </w:rPr>
        <w:t xml:space="preserve"> Adverse reactions reported in all patients treated with 400 mg </w:t>
      </w:r>
      <w:proofErr w:type="spellStart"/>
      <w:r w:rsidRPr="00F804EF">
        <w:rPr>
          <w:b/>
        </w:rPr>
        <w:t>Gavreto</w:t>
      </w:r>
      <w:proofErr w:type="spellEnd"/>
      <w:r w:rsidRPr="00F804EF">
        <w:rPr>
          <w:b/>
        </w:rPr>
        <w:t xml:space="preserve"> in the</w:t>
      </w:r>
    </w:p>
    <w:p w14:paraId="3842FC2F" w14:textId="328C0EFE" w:rsidR="00F804EF" w:rsidRDefault="00F804EF" w:rsidP="00F804EF">
      <w:pPr>
        <w:rPr>
          <w:b/>
        </w:rPr>
      </w:pPr>
      <w:r>
        <w:rPr>
          <w:b/>
        </w:rPr>
        <w:t>ARROW trial (n</w:t>
      </w:r>
      <w:r w:rsidRPr="00F804EF">
        <w:rPr>
          <w:b/>
        </w:rPr>
        <w:t>=528)</w:t>
      </w:r>
    </w:p>
    <w:p w14:paraId="422802E3" w14:textId="2C0800D0" w:rsidR="00F804EF" w:rsidRDefault="00F804EF" w:rsidP="00F804EF">
      <w:pPr>
        <w:rPr>
          <w:b/>
        </w:rPr>
      </w:pPr>
    </w:p>
    <w:p w14:paraId="0C011E11" w14:textId="77777777" w:rsidR="00F804EF" w:rsidRPr="00F804EF" w:rsidRDefault="00F804EF" w:rsidP="00F804EF">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4"/>
        <w:rPr>
          <w:sz w:val="6"/>
          <w:szCs w:val="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691"/>
        <w:gridCol w:w="1690"/>
        <w:gridCol w:w="1549"/>
      </w:tblGrid>
      <w:tr w:rsidR="0061692C" w:rsidRPr="0061692C" w14:paraId="643170F8" w14:textId="77777777" w:rsidTr="00BF1CBC">
        <w:trPr>
          <w:tblHeader/>
        </w:trPr>
        <w:tc>
          <w:tcPr>
            <w:tcW w:w="2266" w:type="pct"/>
            <w:shd w:val="clear" w:color="auto" w:fill="auto"/>
          </w:tcPr>
          <w:p w14:paraId="6CB7619D" w14:textId="77777777" w:rsidR="0061692C" w:rsidRPr="0061692C" w:rsidRDefault="0061692C" w:rsidP="0061692C">
            <w:pPr>
              <w:rPr>
                <w:b/>
                <w:bCs/>
                <w:u w:val="double"/>
                <w:lang w:val="en-GB"/>
              </w:rPr>
            </w:pPr>
            <w:r w:rsidRPr="0061692C">
              <w:rPr>
                <w:b/>
                <w:bCs/>
                <w:lang w:val="en-GB"/>
              </w:rPr>
              <w:t xml:space="preserve">System organ class / </w:t>
            </w:r>
            <w:r w:rsidRPr="0061692C">
              <w:rPr>
                <w:b/>
                <w:bCs/>
                <w:lang w:val="en-GB"/>
              </w:rPr>
              <w:br/>
            </w:r>
            <w:r w:rsidRPr="0061692C">
              <w:rPr>
                <w:bCs/>
                <w:lang w:val="en-GB"/>
              </w:rPr>
              <w:t>Adverse reactions</w:t>
            </w:r>
          </w:p>
        </w:tc>
        <w:tc>
          <w:tcPr>
            <w:tcW w:w="938" w:type="pct"/>
            <w:shd w:val="clear" w:color="auto" w:fill="auto"/>
            <w:vAlign w:val="center"/>
          </w:tcPr>
          <w:p w14:paraId="5228C403" w14:textId="77777777" w:rsidR="0061692C" w:rsidRPr="0061692C" w:rsidRDefault="0061692C" w:rsidP="0061692C">
            <w:pPr>
              <w:rPr>
                <w:b/>
                <w:bCs/>
                <w:u w:val="double"/>
                <w:lang w:val="en-GB"/>
              </w:rPr>
            </w:pPr>
            <w:r w:rsidRPr="0061692C">
              <w:rPr>
                <w:b/>
                <w:bCs/>
                <w:lang w:val="en-GB"/>
              </w:rPr>
              <w:t>Frequency category</w:t>
            </w:r>
          </w:p>
        </w:tc>
        <w:tc>
          <w:tcPr>
            <w:tcW w:w="937" w:type="pct"/>
            <w:shd w:val="clear" w:color="auto" w:fill="auto"/>
            <w:vAlign w:val="center"/>
          </w:tcPr>
          <w:p w14:paraId="00F48A39" w14:textId="77777777" w:rsidR="0061692C" w:rsidRPr="0061692C" w:rsidRDefault="0061692C" w:rsidP="0061692C">
            <w:pPr>
              <w:rPr>
                <w:b/>
                <w:bCs/>
                <w:lang w:val="en-GB"/>
              </w:rPr>
            </w:pPr>
            <w:r w:rsidRPr="0061692C">
              <w:rPr>
                <w:b/>
                <w:bCs/>
                <w:lang w:val="en-GB"/>
              </w:rPr>
              <w:t>All grades</w:t>
            </w:r>
          </w:p>
          <w:p w14:paraId="40676C19" w14:textId="77777777" w:rsidR="0061692C" w:rsidRPr="0061692C" w:rsidRDefault="0061692C" w:rsidP="0061692C">
            <w:pPr>
              <w:rPr>
                <w:b/>
                <w:bCs/>
                <w:u w:val="double"/>
                <w:lang w:val="en-GB"/>
              </w:rPr>
            </w:pPr>
            <w:r w:rsidRPr="0061692C">
              <w:rPr>
                <w:b/>
                <w:bCs/>
                <w:lang w:val="en-GB"/>
              </w:rPr>
              <w:t>%</w:t>
            </w:r>
          </w:p>
        </w:tc>
        <w:tc>
          <w:tcPr>
            <w:tcW w:w="859" w:type="pct"/>
            <w:shd w:val="clear" w:color="auto" w:fill="auto"/>
            <w:vAlign w:val="center"/>
          </w:tcPr>
          <w:p w14:paraId="5AAAC82F" w14:textId="77777777" w:rsidR="0061692C" w:rsidRPr="0061692C" w:rsidRDefault="0061692C" w:rsidP="0061692C">
            <w:pPr>
              <w:rPr>
                <w:b/>
                <w:bCs/>
                <w:lang w:val="en-GB"/>
              </w:rPr>
            </w:pPr>
            <w:r w:rsidRPr="0061692C">
              <w:rPr>
                <w:b/>
                <w:bCs/>
                <w:lang w:val="en-GB"/>
              </w:rPr>
              <w:t>Grades 3-4</w:t>
            </w:r>
          </w:p>
          <w:p w14:paraId="64CE94DB" w14:textId="77777777" w:rsidR="0061692C" w:rsidRPr="0061692C" w:rsidRDefault="0061692C" w:rsidP="0061692C">
            <w:pPr>
              <w:rPr>
                <w:b/>
                <w:bCs/>
                <w:lang w:val="en-GB"/>
              </w:rPr>
            </w:pPr>
            <w:r w:rsidRPr="0061692C">
              <w:rPr>
                <w:b/>
                <w:bCs/>
                <w:lang w:val="en-GB"/>
              </w:rPr>
              <w:t>%</w:t>
            </w:r>
          </w:p>
        </w:tc>
      </w:tr>
      <w:tr w:rsidR="0061692C" w:rsidRPr="0061692C" w14:paraId="26C401AA" w14:textId="77777777" w:rsidTr="005C3599">
        <w:tc>
          <w:tcPr>
            <w:tcW w:w="5000" w:type="pct"/>
            <w:gridSpan w:val="4"/>
          </w:tcPr>
          <w:p w14:paraId="57C7CB02" w14:textId="77777777" w:rsidR="0061692C" w:rsidRPr="0061692C" w:rsidRDefault="0061692C" w:rsidP="0061692C">
            <w:pPr>
              <w:rPr>
                <w:bCs/>
                <w:lang w:val="en-GB"/>
              </w:rPr>
            </w:pPr>
            <w:r w:rsidRPr="0061692C">
              <w:rPr>
                <w:b/>
                <w:bCs/>
                <w:lang w:val="en-GB"/>
              </w:rPr>
              <w:t>Infections and infestations</w:t>
            </w:r>
          </w:p>
        </w:tc>
      </w:tr>
      <w:tr w:rsidR="0061692C" w:rsidRPr="0061692C" w14:paraId="2E06BB35" w14:textId="77777777" w:rsidTr="005C3599">
        <w:trPr>
          <w:trHeight w:val="440"/>
        </w:trPr>
        <w:tc>
          <w:tcPr>
            <w:tcW w:w="2266" w:type="pct"/>
          </w:tcPr>
          <w:p w14:paraId="4880ACDA" w14:textId="77777777" w:rsidR="0061692C" w:rsidRPr="0061692C" w:rsidRDefault="0061692C" w:rsidP="0061692C">
            <w:pPr>
              <w:rPr>
                <w:bCs/>
                <w:lang w:val="en-GB"/>
              </w:rPr>
            </w:pPr>
            <w:r w:rsidRPr="0061692C">
              <w:rPr>
                <w:bCs/>
                <w:lang w:val="en-GB"/>
              </w:rPr>
              <w:t>Pneumonia</w:t>
            </w:r>
            <w:r w:rsidRPr="0061692C">
              <w:rPr>
                <w:bCs/>
                <w:vertAlign w:val="superscript"/>
                <w:lang w:val="en-GB"/>
              </w:rPr>
              <w:t>1</w:t>
            </w:r>
          </w:p>
          <w:p w14:paraId="0B73F5B9" w14:textId="77777777" w:rsidR="0061692C" w:rsidRPr="0061692C" w:rsidRDefault="0061692C" w:rsidP="0061692C">
            <w:pPr>
              <w:rPr>
                <w:b/>
                <w:bCs/>
                <w:u w:val="double"/>
                <w:lang w:val="en-GB"/>
              </w:rPr>
            </w:pPr>
            <w:r w:rsidRPr="0061692C">
              <w:rPr>
                <w:bCs/>
                <w:lang w:val="en-GB"/>
              </w:rPr>
              <w:t>Urinary tract infection</w:t>
            </w:r>
          </w:p>
        </w:tc>
        <w:tc>
          <w:tcPr>
            <w:tcW w:w="938" w:type="pct"/>
            <w:shd w:val="clear" w:color="auto" w:fill="auto"/>
            <w:vAlign w:val="center"/>
          </w:tcPr>
          <w:p w14:paraId="7AA67B77" w14:textId="77777777" w:rsidR="0061692C" w:rsidRPr="0061692C" w:rsidRDefault="0061692C" w:rsidP="0061692C">
            <w:pPr>
              <w:rPr>
                <w:bCs/>
                <w:u w:val="double"/>
                <w:lang w:val="en-GB"/>
              </w:rPr>
            </w:pPr>
            <w:r w:rsidRPr="0061692C">
              <w:rPr>
                <w:bCs/>
                <w:lang w:val="en-GB"/>
              </w:rPr>
              <w:t>Very common</w:t>
            </w:r>
          </w:p>
        </w:tc>
        <w:tc>
          <w:tcPr>
            <w:tcW w:w="937" w:type="pct"/>
          </w:tcPr>
          <w:p w14:paraId="5FDB8C73" w14:textId="77777777" w:rsidR="0061692C" w:rsidRPr="0061692C" w:rsidRDefault="0061692C" w:rsidP="0061692C">
            <w:pPr>
              <w:rPr>
                <w:bCs/>
                <w:lang w:val="en-GB"/>
              </w:rPr>
            </w:pPr>
            <w:r w:rsidRPr="0061692C">
              <w:rPr>
                <w:bCs/>
                <w:lang w:val="en-GB"/>
              </w:rPr>
              <w:t>17.4</w:t>
            </w:r>
          </w:p>
          <w:p w14:paraId="04A7FA50" w14:textId="77777777" w:rsidR="0061692C" w:rsidRPr="0061692C" w:rsidRDefault="0061692C" w:rsidP="0061692C">
            <w:pPr>
              <w:rPr>
                <w:bCs/>
                <w:u w:val="double"/>
                <w:lang w:val="en-GB"/>
              </w:rPr>
            </w:pPr>
            <w:r w:rsidRPr="0061692C">
              <w:rPr>
                <w:bCs/>
                <w:lang w:val="en-GB"/>
              </w:rPr>
              <w:t>12.7</w:t>
            </w:r>
          </w:p>
        </w:tc>
        <w:tc>
          <w:tcPr>
            <w:tcW w:w="859" w:type="pct"/>
          </w:tcPr>
          <w:p w14:paraId="3B3A7D12" w14:textId="77777777" w:rsidR="0061692C" w:rsidRPr="0061692C" w:rsidRDefault="0061692C" w:rsidP="0061692C">
            <w:pPr>
              <w:rPr>
                <w:bCs/>
                <w:lang w:val="en-GB"/>
              </w:rPr>
            </w:pPr>
            <w:r w:rsidRPr="0061692C">
              <w:rPr>
                <w:bCs/>
                <w:lang w:val="en-GB"/>
              </w:rPr>
              <w:t>10.2</w:t>
            </w:r>
          </w:p>
          <w:p w14:paraId="4DDCE33F" w14:textId="77777777" w:rsidR="0061692C" w:rsidRPr="0061692C" w:rsidRDefault="0061692C" w:rsidP="0061692C">
            <w:pPr>
              <w:rPr>
                <w:bCs/>
                <w:lang w:val="en-GB"/>
              </w:rPr>
            </w:pPr>
            <w:r w:rsidRPr="0061692C">
              <w:rPr>
                <w:bCs/>
                <w:lang w:val="en-GB"/>
              </w:rPr>
              <w:t>3.8</w:t>
            </w:r>
          </w:p>
        </w:tc>
      </w:tr>
      <w:tr w:rsidR="0061692C" w:rsidRPr="0061692C" w14:paraId="2800FD6D" w14:textId="77777777" w:rsidTr="005C3599">
        <w:trPr>
          <w:trHeight w:val="240"/>
        </w:trPr>
        <w:tc>
          <w:tcPr>
            <w:tcW w:w="5000" w:type="pct"/>
            <w:gridSpan w:val="4"/>
          </w:tcPr>
          <w:p w14:paraId="5348B97E" w14:textId="77777777" w:rsidR="0061692C" w:rsidRPr="0061692C" w:rsidRDefault="0061692C" w:rsidP="0061692C">
            <w:pPr>
              <w:rPr>
                <w:bCs/>
                <w:lang w:val="en-GB"/>
              </w:rPr>
            </w:pPr>
            <w:r w:rsidRPr="0061692C">
              <w:rPr>
                <w:b/>
                <w:bCs/>
                <w:lang w:val="en-GB"/>
              </w:rPr>
              <w:t>Blood and lymphatic system disorders</w:t>
            </w:r>
          </w:p>
        </w:tc>
      </w:tr>
      <w:tr w:rsidR="0061692C" w:rsidRPr="0061692C" w14:paraId="4A854D38" w14:textId="77777777" w:rsidTr="005C3599">
        <w:trPr>
          <w:trHeight w:val="1205"/>
        </w:trPr>
        <w:tc>
          <w:tcPr>
            <w:tcW w:w="2266" w:type="pct"/>
          </w:tcPr>
          <w:p w14:paraId="49071298" w14:textId="77777777" w:rsidR="0061692C" w:rsidRPr="0061692C" w:rsidRDefault="0061692C" w:rsidP="0061692C">
            <w:pPr>
              <w:rPr>
                <w:bCs/>
                <w:lang w:val="it-IT"/>
              </w:rPr>
            </w:pPr>
            <w:r w:rsidRPr="0061692C">
              <w:rPr>
                <w:bCs/>
                <w:lang w:val="it-IT"/>
              </w:rPr>
              <w:lastRenderedPageBreak/>
              <w:t>Anaemia</w:t>
            </w:r>
            <w:r w:rsidRPr="0061692C">
              <w:rPr>
                <w:bCs/>
                <w:vertAlign w:val="superscript"/>
                <w:lang w:val="it-IT"/>
              </w:rPr>
              <w:t>2</w:t>
            </w:r>
          </w:p>
          <w:p w14:paraId="2F611C73" w14:textId="77777777" w:rsidR="0061692C" w:rsidRPr="0061692C" w:rsidRDefault="0061692C" w:rsidP="0061692C">
            <w:pPr>
              <w:rPr>
                <w:bCs/>
                <w:lang w:val="it-IT"/>
              </w:rPr>
            </w:pPr>
            <w:r w:rsidRPr="0061692C">
              <w:rPr>
                <w:bCs/>
                <w:lang w:val="it-IT"/>
              </w:rPr>
              <w:t>Neutropenia</w:t>
            </w:r>
            <w:r w:rsidRPr="0061692C">
              <w:rPr>
                <w:bCs/>
                <w:vertAlign w:val="superscript"/>
                <w:lang w:val="it-IT"/>
              </w:rPr>
              <w:t>3</w:t>
            </w:r>
          </w:p>
          <w:p w14:paraId="3B8D2957" w14:textId="77777777" w:rsidR="0061692C" w:rsidRPr="0061692C" w:rsidRDefault="0061692C" w:rsidP="0061692C">
            <w:pPr>
              <w:rPr>
                <w:bCs/>
                <w:lang w:val="it-IT"/>
              </w:rPr>
            </w:pPr>
            <w:r w:rsidRPr="0061692C">
              <w:rPr>
                <w:bCs/>
                <w:lang w:val="it-IT"/>
              </w:rPr>
              <w:t>Leukopenia</w:t>
            </w:r>
            <w:r w:rsidRPr="0061692C">
              <w:rPr>
                <w:bCs/>
                <w:vertAlign w:val="superscript"/>
                <w:lang w:val="it-IT"/>
              </w:rPr>
              <w:t>4</w:t>
            </w:r>
          </w:p>
          <w:p w14:paraId="3177C5F9" w14:textId="77777777" w:rsidR="0061692C" w:rsidRPr="0061692C" w:rsidRDefault="0061692C" w:rsidP="0061692C">
            <w:pPr>
              <w:rPr>
                <w:bCs/>
                <w:lang w:val="it-IT"/>
              </w:rPr>
            </w:pPr>
            <w:r w:rsidRPr="0061692C">
              <w:rPr>
                <w:bCs/>
                <w:lang w:val="it-IT"/>
              </w:rPr>
              <w:t>Lymphopenia</w:t>
            </w:r>
            <w:r w:rsidRPr="0061692C">
              <w:rPr>
                <w:bCs/>
                <w:vertAlign w:val="superscript"/>
                <w:lang w:val="it-IT"/>
              </w:rPr>
              <w:t>5</w:t>
            </w:r>
          </w:p>
          <w:p w14:paraId="5AF2B35A" w14:textId="77777777" w:rsidR="0061692C" w:rsidRPr="0061692C" w:rsidRDefault="0061692C" w:rsidP="0061692C">
            <w:pPr>
              <w:rPr>
                <w:b/>
                <w:bCs/>
                <w:u w:val="double"/>
                <w:lang w:val="it-IT"/>
              </w:rPr>
            </w:pPr>
            <w:r w:rsidRPr="0061692C">
              <w:rPr>
                <w:bCs/>
                <w:lang w:val="it-IT"/>
              </w:rPr>
              <w:t>Thrombocytopenia</w:t>
            </w:r>
            <w:r w:rsidRPr="0061692C">
              <w:rPr>
                <w:bCs/>
                <w:vertAlign w:val="superscript"/>
                <w:lang w:val="it-IT"/>
              </w:rPr>
              <w:t>6</w:t>
            </w:r>
          </w:p>
        </w:tc>
        <w:tc>
          <w:tcPr>
            <w:tcW w:w="938" w:type="pct"/>
            <w:shd w:val="clear" w:color="auto" w:fill="auto"/>
            <w:vAlign w:val="center"/>
          </w:tcPr>
          <w:p w14:paraId="2BD771FE" w14:textId="77777777" w:rsidR="0061692C" w:rsidRPr="0061692C" w:rsidRDefault="0061692C" w:rsidP="0061692C">
            <w:pPr>
              <w:rPr>
                <w:bCs/>
                <w:u w:val="double"/>
                <w:lang w:val="en-GB"/>
              </w:rPr>
            </w:pPr>
            <w:r w:rsidRPr="0061692C">
              <w:rPr>
                <w:bCs/>
                <w:lang w:val="en-GB"/>
              </w:rPr>
              <w:t>Very common</w:t>
            </w:r>
          </w:p>
        </w:tc>
        <w:tc>
          <w:tcPr>
            <w:tcW w:w="937" w:type="pct"/>
          </w:tcPr>
          <w:p w14:paraId="033CDF24" w14:textId="77777777" w:rsidR="0061692C" w:rsidRPr="0061692C" w:rsidRDefault="0061692C" w:rsidP="0061692C">
            <w:pPr>
              <w:rPr>
                <w:bCs/>
                <w:lang w:val="en-GB"/>
              </w:rPr>
            </w:pPr>
            <w:r w:rsidRPr="0061692C">
              <w:rPr>
                <w:bCs/>
                <w:lang w:val="en-GB"/>
              </w:rPr>
              <w:t>47.2</w:t>
            </w:r>
          </w:p>
          <w:p w14:paraId="51490E97" w14:textId="77777777" w:rsidR="0061692C" w:rsidRPr="0061692C" w:rsidRDefault="0061692C" w:rsidP="0061692C">
            <w:pPr>
              <w:rPr>
                <w:bCs/>
                <w:lang w:val="en-GB"/>
              </w:rPr>
            </w:pPr>
            <w:r w:rsidRPr="0061692C">
              <w:rPr>
                <w:bCs/>
                <w:lang w:val="en-GB"/>
              </w:rPr>
              <w:t>43.9</w:t>
            </w:r>
          </w:p>
          <w:p w14:paraId="7AC19EA1" w14:textId="77777777" w:rsidR="0061692C" w:rsidRPr="0061692C" w:rsidRDefault="0061692C" w:rsidP="0061692C">
            <w:pPr>
              <w:rPr>
                <w:bCs/>
                <w:lang w:val="en-GB"/>
              </w:rPr>
            </w:pPr>
            <w:r w:rsidRPr="0061692C">
              <w:rPr>
                <w:bCs/>
                <w:lang w:val="en-GB"/>
              </w:rPr>
              <w:t>35.4</w:t>
            </w:r>
          </w:p>
          <w:p w14:paraId="70EF8D48" w14:textId="77777777" w:rsidR="0061692C" w:rsidRPr="0061692C" w:rsidRDefault="0061692C" w:rsidP="0061692C">
            <w:pPr>
              <w:rPr>
                <w:bCs/>
                <w:lang w:val="en-GB"/>
              </w:rPr>
            </w:pPr>
            <w:r w:rsidRPr="0061692C">
              <w:rPr>
                <w:bCs/>
                <w:lang w:val="en-GB"/>
              </w:rPr>
              <w:t>22.3</w:t>
            </w:r>
          </w:p>
          <w:p w14:paraId="310BFAAB" w14:textId="77777777" w:rsidR="0061692C" w:rsidRPr="0061692C" w:rsidRDefault="0061692C" w:rsidP="0061692C">
            <w:pPr>
              <w:rPr>
                <w:bCs/>
                <w:u w:val="double"/>
                <w:lang w:val="en-GB"/>
              </w:rPr>
            </w:pPr>
            <w:r w:rsidRPr="0061692C">
              <w:rPr>
                <w:bCs/>
                <w:lang w:val="en-GB"/>
              </w:rPr>
              <w:t>18.8</w:t>
            </w:r>
          </w:p>
        </w:tc>
        <w:tc>
          <w:tcPr>
            <w:tcW w:w="859" w:type="pct"/>
          </w:tcPr>
          <w:p w14:paraId="339C412C" w14:textId="77777777" w:rsidR="0061692C" w:rsidRPr="0061692C" w:rsidRDefault="0061692C" w:rsidP="0061692C">
            <w:pPr>
              <w:rPr>
                <w:bCs/>
                <w:lang w:val="en-GB"/>
              </w:rPr>
            </w:pPr>
            <w:r w:rsidRPr="0061692C">
              <w:rPr>
                <w:bCs/>
                <w:lang w:val="en-GB"/>
              </w:rPr>
              <w:t>17.6</w:t>
            </w:r>
          </w:p>
          <w:p w14:paraId="0C7D00AA" w14:textId="77777777" w:rsidR="0061692C" w:rsidRPr="0061692C" w:rsidRDefault="0061692C" w:rsidP="0061692C">
            <w:pPr>
              <w:rPr>
                <w:bCs/>
                <w:lang w:val="en-GB"/>
              </w:rPr>
            </w:pPr>
            <w:r w:rsidRPr="0061692C">
              <w:rPr>
                <w:bCs/>
                <w:lang w:val="en-GB"/>
              </w:rPr>
              <w:t>20.1</w:t>
            </w:r>
          </w:p>
          <w:p w14:paraId="328F3EC5" w14:textId="77777777" w:rsidR="0061692C" w:rsidRPr="0061692C" w:rsidRDefault="0061692C" w:rsidP="0061692C">
            <w:pPr>
              <w:rPr>
                <w:bCs/>
                <w:lang w:val="en-GB"/>
              </w:rPr>
            </w:pPr>
            <w:r w:rsidRPr="0061692C">
              <w:rPr>
                <w:bCs/>
                <w:lang w:val="en-GB"/>
              </w:rPr>
              <w:t>8.3</w:t>
            </w:r>
          </w:p>
          <w:p w14:paraId="3C67CA35" w14:textId="77777777" w:rsidR="0061692C" w:rsidRPr="0061692C" w:rsidRDefault="0061692C" w:rsidP="0061692C">
            <w:pPr>
              <w:rPr>
                <w:bCs/>
                <w:lang w:val="en-GB"/>
              </w:rPr>
            </w:pPr>
            <w:r w:rsidRPr="0061692C">
              <w:rPr>
                <w:bCs/>
                <w:lang w:val="en-GB"/>
              </w:rPr>
              <w:t>14.2</w:t>
            </w:r>
          </w:p>
          <w:p w14:paraId="74C52765" w14:textId="77777777" w:rsidR="0061692C" w:rsidRPr="0061692C" w:rsidRDefault="0061692C" w:rsidP="0061692C">
            <w:pPr>
              <w:rPr>
                <w:bCs/>
                <w:lang w:val="en-GB"/>
              </w:rPr>
            </w:pPr>
            <w:r w:rsidRPr="0061692C">
              <w:rPr>
                <w:bCs/>
                <w:lang w:val="en-GB"/>
              </w:rPr>
              <w:t>4.7</w:t>
            </w:r>
          </w:p>
        </w:tc>
      </w:tr>
      <w:tr w:rsidR="0061692C" w:rsidRPr="0061692C" w14:paraId="7967CD66" w14:textId="77777777" w:rsidTr="005C3599">
        <w:tc>
          <w:tcPr>
            <w:tcW w:w="5000" w:type="pct"/>
            <w:gridSpan w:val="4"/>
          </w:tcPr>
          <w:p w14:paraId="76F03D2D" w14:textId="77777777" w:rsidR="0061692C" w:rsidRPr="0061692C" w:rsidRDefault="0061692C" w:rsidP="0061692C">
            <w:pPr>
              <w:rPr>
                <w:bCs/>
                <w:lang w:val="en-GB"/>
              </w:rPr>
            </w:pPr>
            <w:r w:rsidRPr="0061692C">
              <w:rPr>
                <w:b/>
                <w:bCs/>
                <w:lang w:val="en-GB"/>
              </w:rPr>
              <w:t>Metabolism and nutrition disorders</w:t>
            </w:r>
          </w:p>
        </w:tc>
      </w:tr>
      <w:tr w:rsidR="0061692C" w:rsidRPr="0061692C" w14:paraId="7C3FD46F" w14:textId="77777777" w:rsidTr="005C3599">
        <w:trPr>
          <w:trHeight w:val="88"/>
        </w:trPr>
        <w:tc>
          <w:tcPr>
            <w:tcW w:w="2266" w:type="pct"/>
          </w:tcPr>
          <w:p w14:paraId="1E3FAB2E" w14:textId="77777777" w:rsidR="0061692C" w:rsidRPr="0061692C" w:rsidRDefault="0061692C" w:rsidP="0061692C">
            <w:pPr>
              <w:rPr>
                <w:bCs/>
                <w:lang w:val="en-GB"/>
              </w:rPr>
            </w:pPr>
            <w:r w:rsidRPr="0061692C">
              <w:rPr>
                <w:bCs/>
                <w:lang w:val="en-GB"/>
              </w:rPr>
              <w:t>Hypocalcaemia</w:t>
            </w:r>
          </w:p>
          <w:p w14:paraId="0B96D78F" w14:textId="77777777" w:rsidR="0061692C" w:rsidRPr="0061692C" w:rsidRDefault="0061692C" w:rsidP="0061692C">
            <w:pPr>
              <w:rPr>
                <w:bCs/>
                <w:lang w:val="en-GB"/>
              </w:rPr>
            </w:pPr>
            <w:proofErr w:type="spellStart"/>
            <w:r w:rsidRPr="0061692C">
              <w:rPr>
                <w:bCs/>
                <w:lang w:val="en-GB"/>
              </w:rPr>
              <w:t>Hyperphosphataemia</w:t>
            </w:r>
            <w:proofErr w:type="spellEnd"/>
          </w:p>
          <w:p w14:paraId="34D8463E" w14:textId="77777777" w:rsidR="0061692C" w:rsidRPr="0061692C" w:rsidRDefault="0061692C" w:rsidP="0061692C">
            <w:pPr>
              <w:rPr>
                <w:bCs/>
                <w:lang w:val="en-GB"/>
              </w:rPr>
            </w:pPr>
            <w:proofErr w:type="spellStart"/>
            <w:r w:rsidRPr="0061692C">
              <w:rPr>
                <w:bCs/>
                <w:lang w:val="en-GB"/>
              </w:rPr>
              <w:t>Hypoalbuminaemia</w:t>
            </w:r>
            <w:proofErr w:type="spellEnd"/>
          </w:p>
          <w:p w14:paraId="680B8253" w14:textId="77777777" w:rsidR="0061692C" w:rsidRPr="0061692C" w:rsidRDefault="0061692C" w:rsidP="0061692C">
            <w:pPr>
              <w:rPr>
                <w:bCs/>
                <w:lang w:val="en-GB"/>
              </w:rPr>
            </w:pPr>
            <w:proofErr w:type="spellStart"/>
            <w:r w:rsidRPr="0061692C">
              <w:rPr>
                <w:bCs/>
                <w:lang w:val="en-GB"/>
              </w:rPr>
              <w:t>Hypophosphataemia</w:t>
            </w:r>
            <w:proofErr w:type="spellEnd"/>
          </w:p>
          <w:p w14:paraId="1C93A723" w14:textId="77777777" w:rsidR="0061692C" w:rsidRPr="0061692C" w:rsidRDefault="0061692C" w:rsidP="0061692C">
            <w:pPr>
              <w:rPr>
                <w:b/>
                <w:bCs/>
                <w:u w:val="double"/>
                <w:lang w:val="en-GB"/>
              </w:rPr>
            </w:pPr>
            <w:r w:rsidRPr="0061692C">
              <w:rPr>
                <w:bCs/>
                <w:lang w:val="en-GB"/>
              </w:rPr>
              <w:t>Hyponatraemia</w:t>
            </w:r>
          </w:p>
        </w:tc>
        <w:tc>
          <w:tcPr>
            <w:tcW w:w="938" w:type="pct"/>
            <w:shd w:val="clear" w:color="auto" w:fill="auto"/>
            <w:vAlign w:val="center"/>
          </w:tcPr>
          <w:p w14:paraId="677F9C4A" w14:textId="77777777" w:rsidR="0061692C" w:rsidRPr="0061692C" w:rsidRDefault="0061692C" w:rsidP="0061692C">
            <w:pPr>
              <w:rPr>
                <w:bCs/>
                <w:u w:val="double"/>
                <w:lang w:val="en-GB"/>
              </w:rPr>
            </w:pPr>
            <w:r w:rsidRPr="0061692C">
              <w:rPr>
                <w:bCs/>
                <w:lang w:val="en-GB"/>
              </w:rPr>
              <w:t>Very common</w:t>
            </w:r>
          </w:p>
        </w:tc>
        <w:tc>
          <w:tcPr>
            <w:tcW w:w="937" w:type="pct"/>
          </w:tcPr>
          <w:p w14:paraId="259BB407" w14:textId="77777777" w:rsidR="0061692C" w:rsidRPr="0061692C" w:rsidRDefault="0061692C" w:rsidP="0061692C">
            <w:pPr>
              <w:rPr>
                <w:bCs/>
                <w:lang w:val="en-GB"/>
              </w:rPr>
            </w:pPr>
            <w:r w:rsidRPr="0061692C">
              <w:rPr>
                <w:bCs/>
                <w:lang w:val="en-GB"/>
              </w:rPr>
              <w:t>20.6</w:t>
            </w:r>
          </w:p>
          <w:p w14:paraId="61562EA8" w14:textId="77777777" w:rsidR="0061692C" w:rsidRPr="0061692C" w:rsidRDefault="0061692C" w:rsidP="0061692C">
            <w:pPr>
              <w:rPr>
                <w:bCs/>
                <w:lang w:val="en-GB"/>
              </w:rPr>
            </w:pPr>
            <w:r w:rsidRPr="0061692C">
              <w:rPr>
                <w:bCs/>
                <w:lang w:val="en-GB"/>
              </w:rPr>
              <w:t>17.8</w:t>
            </w:r>
          </w:p>
          <w:p w14:paraId="4248D320" w14:textId="77777777" w:rsidR="0061692C" w:rsidRPr="0061692C" w:rsidRDefault="0061692C" w:rsidP="0061692C">
            <w:pPr>
              <w:rPr>
                <w:bCs/>
                <w:lang w:val="en-GB"/>
              </w:rPr>
            </w:pPr>
            <w:r w:rsidRPr="0061692C">
              <w:rPr>
                <w:bCs/>
                <w:lang w:val="en-GB"/>
              </w:rPr>
              <w:t>11.6</w:t>
            </w:r>
          </w:p>
          <w:p w14:paraId="7ED84245" w14:textId="77777777" w:rsidR="0061692C" w:rsidRPr="0061692C" w:rsidRDefault="0061692C" w:rsidP="0061692C">
            <w:pPr>
              <w:rPr>
                <w:bCs/>
                <w:lang w:val="en-GB"/>
              </w:rPr>
            </w:pPr>
            <w:r w:rsidRPr="0061692C">
              <w:rPr>
                <w:bCs/>
                <w:lang w:val="en-GB"/>
              </w:rPr>
              <w:t>10.4</w:t>
            </w:r>
          </w:p>
          <w:p w14:paraId="4973547E" w14:textId="77777777" w:rsidR="0061692C" w:rsidRPr="0061692C" w:rsidRDefault="0061692C" w:rsidP="0061692C">
            <w:pPr>
              <w:rPr>
                <w:bCs/>
                <w:u w:val="double"/>
                <w:lang w:val="en-GB"/>
              </w:rPr>
            </w:pPr>
            <w:r w:rsidRPr="0061692C">
              <w:rPr>
                <w:bCs/>
                <w:lang w:val="en-GB"/>
              </w:rPr>
              <w:t>10.2</w:t>
            </w:r>
          </w:p>
        </w:tc>
        <w:tc>
          <w:tcPr>
            <w:tcW w:w="859" w:type="pct"/>
          </w:tcPr>
          <w:p w14:paraId="687D3053" w14:textId="77777777" w:rsidR="0061692C" w:rsidRPr="0061692C" w:rsidRDefault="0061692C" w:rsidP="0061692C">
            <w:pPr>
              <w:rPr>
                <w:bCs/>
                <w:lang w:val="en-GB"/>
              </w:rPr>
            </w:pPr>
            <w:r w:rsidRPr="0061692C">
              <w:rPr>
                <w:bCs/>
                <w:lang w:val="en-GB"/>
              </w:rPr>
              <w:t>3.6</w:t>
            </w:r>
          </w:p>
          <w:p w14:paraId="25B3D617" w14:textId="77777777" w:rsidR="0061692C" w:rsidRPr="0061692C" w:rsidRDefault="0061692C" w:rsidP="0061692C">
            <w:pPr>
              <w:rPr>
                <w:bCs/>
                <w:lang w:val="en-GB"/>
              </w:rPr>
            </w:pPr>
            <w:r w:rsidRPr="0061692C">
              <w:rPr>
                <w:bCs/>
                <w:lang w:val="en-GB"/>
              </w:rPr>
              <w:t>0.2</w:t>
            </w:r>
          </w:p>
          <w:p w14:paraId="7F290672" w14:textId="77777777" w:rsidR="0061692C" w:rsidRPr="0061692C" w:rsidRDefault="0061692C" w:rsidP="0061692C">
            <w:pPr>
              <w:rPr>
                <w:bCs/>
                <w:lang w:val="en-GB"/>
              </w:rPr>
            </w:pPr>
            <w:r w:rsidRPr="0061692C">
              <w:rPr>
                <w:bCs/>
                <w:lang w:val="en-GB"/>
              </w:rPr>
              <w:t>-</w:t>
            </w:r>
          </w:p>
          <w:p w14:paraId="63E9384D" w14:textId="77777777" w:rsidR="0061692C" w:rsidRPr="0061692C" w:rsidRDefault="0061692C" w:rsidP="0061692C">
            <w:pPr>
              <w:rPr>
                <w:bCs/>
                <w:lang w:val="en-GB"/>
              </w:rPr>
            </w:pPr>
            <w:r w:rsidRPr="0061692C">
              <w:rPr>
                <w:bCs/>
                <w:lang w:val="en-GB"/>
              </w:rPr>
              <w:t>5.5</w:t>
            </w:r>
          </w:p>
          <w:p w14:paraId="0521C99A" w14:textId="77777777" w:rsidR="0061692C" w:rsidRPr="0061692C" w:rsidRDefault="0061692C" w:rsidP="0061692C">
            <w:pPr>
              <w:rPr>
                <w:bCs/>
                <w:lang w:val="en-GB"/>
              </w:rPr>
            </w:pPr>
            <w:r w:rsidRPr="0061692C">
              <w:rPr>
                <w:bCs/>
                <w:lang w:val="en-GB"/>
              </w:rPr>
              <w:t>4.2</w:t>
            </w:r>
          </w:p>
        </w:tc>
      </w:tr>
      <w:tr w:rsidR="0061692C" w:rsidRPr="0061692C" w14:paraId="35DA0C0C" w14:textId="77777777" w:rsidTr="005C3599">
        <w:tc>
          <w:tcPr>
            <w:tcW w:w="5000" w:type="pct"/>
            <w:gridSpan w:val="4"/>
          </w:tcPr>
          <w:p w14:paraId="37C5AF12" w14:textId="77777777" w:rsidR="0061692C" w:rsidRPr="0061692C" w:rsidRDefault="0061692C" w:rsidP="0061692C">
            <w:pPr>
              <w:rPr>
                <w:bCs/>
                <w:lang w:val="en-GB"/>
              </w:rPr>
            </w:pPr>
            <w:r w:rsidRPr="0061692C">
              <w:rPr>
                <w:b/>
                <w:bCs/>
                <w:lang w:val="en-GB"/>
              </w:rPr>
              <w:t>Nervous system disorders</w:t>
            </w:r>
          </w:p>
        </w:tc>
      </w:tr>
      <w:tr w:rsidR="0061692C" w:rsidRPr="0061692C" w14:paraId="70CBC096" w14:textId="77777777" w:rsidTr="005C3599">
        <w:trPr>
          <w:trHeight w:val="35"/>
        </w:trPr>
        <w:tc>
          <w:tcPr>
            <w:tcW w:w="2266" w:type="pct"/>
          </w:tcPr>
          <w:p w14:paraId="090CFF48" w14:textId="77777777" w:rsidR="0061692C" w:rsidRPr="0061692C" w:rsidRDefault="0061692C" w:rsidP="0061692C">
            <w:pPr>
              <w:rPr>
                <w:bCs/>
                <w:lang w:val="en-GB"/>
              </w:rPr>
            </w:pPr>
            <w:r w:rsidRPr="0061692C">
              <w:rPr>
                <w:bCs/>
                <w:lang w:val="en-GB"/>
              </w:rPr>
              <w:t>Taste disorder</w:t>
            </w:r>
            <w:r w:rsidRPr="0061692C">
              <w:rPr>
                <w:bCs/>
                <w:vertAlign w:val="superscript"/>
                <w:lang w:val="en-GB"/>
              </w:rPr>
              <w:t>7</w:t>
            </w:r>
          </w:p>
          <w:p w14:paraId="52AA153E" w14:textId="77777777" w:rsidR="0061692C" w:rsidRPr="0061692C" w:rsidRDefault="0061692C" w:rsidP="0061692C">
            <w:pPr>
              <w:rPr>
                <w:b/>
                <w:bCs/>
                <w:u w:val="double"/>
                <w:lang w:val="en-GB"/>
              </w:rPr>
            </w:pPr>
            <w:r w:rsidRPr="0061692C">
              <w:rPr>
                <w:bCs/>
                <w:lang w:val="en-GB"/>
              </w:rPr>
              <w:t>Headache</w:t>
            </w:r>
            <w:r w:rsidRPr="0061692C">
              <w:rPr>
                <w:bCs/>
                <w:vertAlign w:val="superscript"/>
                <w:lang w:val="en-GB"/>
              </w:rPr>
              <w:t>8</w:t>
            </w:r>
          </w:p>
        </w:tc>
        <w:tc>
          <w:tcPr>
            <w:tcW w:w="938" w:type="pct"/>
            <w:shd w:val="clear" w:color="auto" w:fill="auto"/>
            <w:vAlign w:val="center"/>
          </w:tcPr>
          <w:p w14:paraId="61FDCC2E" w14:textId="77777777" w:rsidR="0061692C" w:rsidRPr="0061692C" w:rsidRDefault="0061692C" w:rsidP="0061692C">
            <w:pPr>
              <w:rPr>
                <w:bCs/>
                <w:u w:val="double"/>
                <w:lang w:val="en-GB"/>
              </w:rPr>
            </w:pPr>
            <w:r w:rsidRPr="0061692C">
              <w:rPr>
                <w:bCs/>
                <w:lang w:val="en-GB"/>
              </w:rPr>
              <w:t>Very common</w:t>
            </w:r>
          </w:p>
        </w:tc>
        <w:tc>
          <w:tcPr>
            <w:tcW w:w="937" w:type="pct"/>
          </w:tcPr>
          <w:p w14:paraId="608EE6B0" w14:textId="77777777" w:rsidR="0061692C" w:rsidRPr="0061692C" w:rsidRDefault="0061692C" w:rsidP="0061692C">
            <w:pPr>
              <w:rPr>
                <w:bCs/>
                <w:lang w:val="en-GB"/>
              </w:rPr>
            </w:pPr>
            <w:r w:rsidRPr="0061692C">
              <w:rPr>
                <w:bCs/>
                <w:lang w:val="en-GB"/>
              </w:rPr>
              <w:t>15.9</w:t>
            </w:r>
          </w:p>
          <w:p w14:paraId="6534CFF1" w14:textId="77777777" w:rsidR="0061692C" w:rsidRPr="0061692C" w:rsidRDefault="0061692C" w:rsidP="0061692C">
            <w:pPr>
              <w:rPr>
                <w:bCs/>
                <w:u w:val="double"/>
                <w:lang w:val="en-GB"/>
              </w:rPr>
            </w:pPr>
            <w:r w:rsidRPr="0061692C">
              <w:rPr>
                <w:bCs/>
                <w:lang w:val="en-GB"/>
              </w:rPr>
              <w:t>15.7</w:t>
            </w:r>
          </w:p>
        </w:tc>
        <w:tc>
          <w:tcPr>
            <w:tcW w:w="859" w:type="pct"/>
          </w:tcPr>
          <w:p w14:paraId="361A40DF" w14:textId="77777777" w:rsidR="0061692C" w:rsidRPr="0061692C" w:rsidRDefault="0061692C" w:rsidP="0061692C">
            <w:pPr>
              <w:rPr>
                <w:bCs/>
                <w:lang w:val="en-GB"/>
              </w:rPr>
            </w:pPr>
            <w:r w:rsidRPr="0061692C">
              <w:rPr>
                <w:bCs/>
                <w:lang w:val="en-GB"/>
              </w:rPr>
              <w:t>-</w:t>
            </w:r>
          </w:p>
          <w:p w14:paraId="28376934" w14:textId="77777777" w:rsidR="0061692C" w:rsidRPr="0061692C" w:rsidRDefault="0061692C" w:rsidP="0061692C">
            <w:pPr>
              <w:rPr>
                <w:bCs/>
                <w:lang w:val="en-GB"/>
              </w:rPr>
            </w:pPr>
            <w:r w:rsidRPr="0061692C">
              <w:rPr>
                <w:bCs/>
                <w:lang w:val="en-GB"/>
              </w:rPr>
              <w:t>0.4</w:t>
            </w:r>
          </w:p>
        </w:tc>
      </w:tr>
      <w:tr w:rsidR="0061692C" w:rsidRPr="0061692C" w14:paraId="75BB8909" w14:textId="77777777" w:rsidTr="005C3599">
        <w:tc>
          <w:tcPr>
            <w:tcW w:w="5000" w:type="pct"/>
            <w:gridSpan w:val="4"/>
          </w:tcPr>
          <w:p w14:paraId="53A82C62" w14:textId="77777777" w:rsidR="0061692C" w:rsidRPr="0061692C" w:rsidRDefault="0061692C" w:rsidP="0061692C">
            <w:pPr>
              <w:rPr>
                <w:bCs/>
                <w:lang w:val="en-GB"/>
              </w:rPr>
            </w:pPr>
            <w:r w:rsidRPr="0061692C">
              <w:rPr>
                <w:b/>
                <w:bCs/>
                <w:lang w:val="en-GB"/>
              </w:rPr>
              <w:t>Vascular disorders</w:t>
            </w:r>
          </w:p>
        </w:tc>
      </w:tr>
      <w:tr w:rsidR="0061692C" w:rsidRPr="0061692C" w14:paraId="4C6E9F18" w14:textId="77777777" w:rsidTr="005C3599">
        <w:trPr>
          <w:trHeight w:val="35"/>
        </w:trPr>
        <w:tc>
          <w:tcPr>
            <w:tcW w:w="2266" w:type="pct"/>
          </w:tcPr>
          <w:p w14:paraId="36850B84" w14:textId="77777777" w:rsidR="0061692C" w:rsidRPr="0061692C" w:rsidRDefault="0061692C" w:rsidP="0061692C">
            <w:pPr>
              <w:rPr>
                <w:bCs/>
                <w:lang w:val="en-GB"/>
              </w:rPr>
            </w:pPr>
            <w:r w:rsidRPr="0061692C">
              <w:rPr>
                <w:bCs/>
                <w:lang w:val="en-GB"/>
              </w:rPr>
              <w:t>Hypertension</w:t>
            </w:r>
            <w:r w:rsidRPr="0061692C">
              <w:rPr>
                <w:bCs/>
                <w:vertAlign w:val="superscript"/>
                <w:lang w:val="en-GB"/>
              </w:rPr>
              <w:t>9</w:t>
            </w:r>
          </w:p>
          <w:p w14:paraId="29179A80" w14:textId="77777777" w:rsidR="0061692C" w:rsidRPr="0061692C" w:rsidRDefault="0061692C" w:rsidP="0061692C">
            <w:pPr>
              <w:rPr>
                <w:b/>
                <w:bCs/>
                <w:u w:val="double"/>
                <w:lang w:val="en-GB"/>
              </w:rPr>
            </w:pPr>
            <w:r w:rsidRPr="0061692C">
              <w:rPr>
                <w:bCs/>
                <w:lang w:val="en-GB"/>
              </w:rPr>
              <w:t>Haemorrhage</w:t>
            </w:r>
            <w:r w:rsidRPr="0061692C">
              <w:rPr>
                <w:bCs/>
                <w:vertAlign w:val="superscript"/>
                <w:lang w:val="en-GB"/>
              </w:rPr>
              <w:t>10</w:t>
            </w:r>
          </w:p>
        </w:tc>
        <w:tc>
          <w:tcPr>
            <w:tcW w:w="938" w:type="pct"/>
            <w:shd w:val="clear" w:color="auto" w:fill="auto"/>
            <w:vAlign w:val="center"/>
          </w:tcPr>
          <w:p w14:paraId="098EE849" w14:textId="77777777" w:rsidR="0061692C" w:rsidRPr="0061692C" w:rsidRDefault="0061692C" w:rsidP="0061692C">
            <w:pPr>
              <w:rPr>
                <w:bCs/>
                <w:u w:val="double"/>
                <w:lang w:val="en-GB"/>
              </w:rPr>
            </w:pPr>
            <w:r w:rsidRPr="0061692C">
              <w:rPr>
                <w:bCs/>
                <w:lang w:val="en-GB"/>
              </w:rPr>
              <w:t>Very common</w:t>
            </w:r>
          </w:p>
        </w:tc>
        <w:tc>
          <w:tcPr>
            <w:tcW w:w="937" w:type="pct"/>
          </w:tcPr>
          <w:p w14:paraId="4A71EC72" w14:textId="77777777" w:rsidR="0061692C" w:rsidRPr="0061692C" w:rsidRDefault="0061692C" w:rsidP="0061692C">
            <w:pPr>
              <w:rPr>
                <w:bCs/>
                <w:lang w:val="en-GB"/>
              </w:rPr>
            </w:pPr>
            <w:r w:rsidRPr="0061692C">
              <w:rPr>
                <w:bCs/>
                <w:lang w:val="en-GB"/>
              </w:rPr>
              <w:t>33.0</w:t>
            </w:r>
          </w:p>
          <w:p w14:paraId="0F88A689" w14:textId="77777777" w:rsidR="0061692C" w:rsidRPr="0061692C" w:rsidRDefault="0061692C" w:rsidP="0061692C">
            <w:pPr>
              <w:rPr>
                <w:bCs/>
                <w:u w:val="double"/>
                <w:lang w:val="en-GB"/>
              </w:rPr>
            </w:pPr>
            <w:r w:rsidRPr="0061692C">
              <w:rPr>
                <w:bCs/>
                <w:lang w:val="en-GB"/>
              </w:rPr>
              <w:t>18.8</w:t>
            </w:r>
          </w:p>
        </w:tc>
        <w:tc>
          <w:tcPr>
            <w:tcW w:w="859" w:type="pct"/>
          </w:tcPr>
          <w:p w14:paraId="08699670" w14:textId="77777777" w:rsidR="0061692C" w:rsidRPr="0061692C" w:rsidRDefault="0061692C" w:rsidP="0061692C">
            <w:pPr>
              <w:rPr>
                <w:bCs/>
                <w:lang w:val="en-GB"/>
              </w:rPr>
            </w:pPr>
            <w:r w:rsidRPr="0061692C">
              <w:rPr>
                <w:bCs/>
                <w:lang w:val="en-GB"/>
              </w:rPr>
              <w:t>16.1</w:t>
            </w:r>
          </w:p>
          <w:p w14:paraId="55BCF0CC" w14:textId="77777777" w:rsidR="0061692C" w:rsidRPr="0061692C" w:rsidRDefault="0061692C" w:rsidP="0061692C">
            <w:pPr>
              <w:rPr>
                <w:bCs/>
                <w:lang w:val="en-GB"/>
              </w:rPr>
            </w:pPr>
            <w:r w:rsidRPr="0061692C">
              <w:rPr>
                <w:bCs/>
                <w:lang w:val="en-GB"/>
              </w:rPr>
              <w:t>3.0</w:t>
            </w:r>
          </w:p>
        </w:tc>
      </w:tr>
      <w:tr w:rsidR="0061692C" w:rsidRPr="0061692C" w14:paraId="32A9C513" w14:textId="77777777" w:rsidTr="005C3599">
        <w:tc>
          <w:tcPr>
            <w:tcW w:w="5000" w:type="pct"/>
            <w:gridSpan w:val="4"/>
          </w:tcPr>
          <w:p w14:paraId="4ADA4584" w14:textId="77777777" w:rsidR="0061692C" w:rsidRPr="0061692C" w:rsidRDefault="0061692C" w:rsidP="0061692C">
            <w:pPr>
              <w:rPr>
                <w:bCs/>
                <w:lang w:val="en-GB"/>
              </w:rPr>
            </w:pPr>
            <w:r w:rsidRPr="0061692C">
              <w:rPr>
                <w:b/>
                <w:bCs/>
                <w:lang w:val="en-GB"/>
              </w:rPr>
              <w:t xml:space="preserve">Respiratory, </w:t>
            </w:r>
            <w:proofErr w:type="gramStart"/>
            <w:r w:rsidRPr="0061692C">
              <w:rPr>
                <w:b/>
                <w:bCs/>
                <w:lang w:val="en-GB"/>
              </w:rPr>
              <w:t>thoracic</w:t>
            </w:r>
            <w:proofErr w:type="gramEnd"/>
            <w:r w:rsidRPr="0061692C">
              <w:rPr>
                <w:b/>
                <w:bCs/>
                <w:lang w:val="en-GB"/>
              </w:rPr>
              <w:t xml:space="preserve"> and mediastinal disorders</w:t>
            </w:r>
          </w:p>
        </w:tc>
      </w:tr>
      <w:tr w:rsidR="0061692C" w:rsidRPr="0061692C" w14:paraId="11170BF2" w14:textId="77777777" w:rsidTr="005C3599">
        <w:trPr>
          <w:trHeight w:val="52"/>
        </w:trPr>
        <w:tc>
          <w:tcPr>
            <w:tcW w:w="2266" w:type="pct"/>
          </w:tcPr>
          <w:p w14:paraId="35FA47DD" w14:textId="77777777" w:rsidR="0061692C" w:rsidRPr="0061692C" w:rsidRDefault="0061692C" w:rsidP="0061692C">
            <w:pPr>
              <w:rPr>
                <w:bCs/>
                <w:lang w:val="en-GB"/>
              </w:rPr>
            </w:pPr>
            <w:r w:rsidRPr="0061692C">
              <w:rPr>
                <w:bCs/>
                <w:lang w:val="en-GB"/>
              </w:rPr>
              <w:t>Cough</w:t>
            </w:r>
            <w:r w:rsidRPr="0061692C">
              <w:rPr>
                <w:bCs/>
                <w:vertAlign w:val="superscript"/>
                <w:lang w:val="en-GB"/>
              </w:rPr>
              <w:t>11</w:t>
            </w:r>
          </w:p>
          <w:p w14:paraId="5DA3BA95" w14:textId="77777777" w:rsidR="0061692C" w:rsidRPr="0061692C" w:rsidRDefault="0061692C" w:rsidP="0061692C">
            <w:pPr>
              <w:rPr>
                <w:bCs/>
                <w:lang w:val="en-GB"/>
              </w:rPr>
            </w:pPr>
            <w:r w:rsidRPr="0061692C">
              <w:rPr>
                <w:bCs/>
                <w:lang w:val="en-GB"/>
              </w:rPr>
              <w:t>Dyspnoea</w:t>
            </w:r>
          </w:p>
          <w:p w14:paraId="6D39C30A" w14:textId="77777777" w:rsidR="0061692C" w:rsidRPr="0061692C" w:rsidRDefault="0061692C" w:rsidP="0061692C">
            <w:pPr>
              <w:rPr>
                <w:bCs/>
                <w:u w:val="double"/>
                <w:lang w:val="en-GB"/>
              </w:rPr>
            </w:pPr>
            <w:r w:rsidRPr="0061692C">
              <w:rPr>
                <w:bCs/>
                <w:lang w:val="en-GB"/>
              </w:rPr>
              <w:t>Pneumonitis</w:t>
            </w:r>
            <w:r w:rsidRPr="0061692C">
              <w:rPr>
                <w:bCs/>
                <w:vertAlign w:val="superscript"/>
                <w:lang w:val="en-GB"/>
              </w:rPr>
              <w:t>12</w:t>
            </w:r>
          </w:p>
        </w:tc>
        <w:tc>
          <w:tcPr>
            <w:tcW w:w="938" w:type="pct"/>
            <w:shd w:val="clear" w:color="auto" w:fill="auto"/>
            <w:vAlign w:val="center"/>
          </w:tcPr>
          <w:p w14:paraId="5BFC3976" w14:textId="77777777" w:rsidR="0061692C" w:rsidRPr="0061692C" w:rsidRDefault="0061692C" w:rsidP="0061692C">
            <w:pPr>
              <w:rPr>
                <w:bCs/>
                <w:u w:val="double"/>
                <w:lang w:val="en-GB"/>
              </w:rPr>
            </w:pPr>
            <w:r w:rsidRPr="0061692C">
              <w:rPr>
                <w:bCs/>
                <w:lang w:val="en-GB"/>
              </w:rPr>
              <w:t>Very common</w:t>
            </w:r>
          </w:p>
        </w:tc>
        <w:tc>
          <w:tcPr>
            <w:tcW w:w="937" w:type="pct"/>
          </w:tcPr>
          <w:p w14:paraId="7635542F" w14:textId="77777777" w:rsidR="0061692C" w:rsidRPr="0061692C" w:rsidRDefault="0061692C" w:rsidP="0061692C">
            <w:pPr>
              <w:rPr>
                <w:bCs/>
                <w:lang w:val="en-GB"/>
              </w:rPr>
            </w:pPr>
            <w:r w:rsidRPr="0061692C">
              <w:rPr>
                <w:bCs/>
                <w:lang w:val="en-GB"/>
              </w:rPr>
              <w:t>23.7</w:t>
            </w:r>
          </w:p>
          <w:p w14:paraId="76EB73A0" w14:textId="77777777" w:rsidR="0061692C" w:rsidRPr="0061692C" w:rsidRDefault="0061692C" w:rsidP="0061692C">
            <w:pPr>
              <w:rPr>
                <w:bCs/>
                <w:lang w:val="en-GB"/>
              </w:rPr>
            </w:pPr>
            <w:r w:rsidRPr="0061692C">
              <w:rPr>
                <w:bCs/>
                <w:lang w:val="en-GB"/>
              </w:rPr>
              <w:t>16.9</w:t>
            </w:r>
          </w:p>
          <w:p w14:paraId="41BFB856" w14:textId="77777777" w:rsidR="0061692C" w:rsidRPr="0061692C" w:rsidRDefault="0061692C" w:rsidP="0061692C">
            <w:pPr>
              <w:rPr>
                <w:bCs/>
                <w:u w:val="double"/>
                <w:lang w:val="en-GB"/>
              </w:rPr>
            </w:pPr>
            <w:r w:rsidRPr="0061692C">
              <w:rPr>
                <w:bCs/>
                <w:lang w:val="en-GB"/>
              </w:rPr>
              <w:t>11.6</w:t>
            </w:r>
          </w:p>
        </w:tc>
        <w:tc>
          <w:tcPr>
            <w:tcW w:w="859" w:type="pct"/>
          </w:tcPr>
          <w:p w14:paraId="730F94C7" w14:textId="77777777" w:rsidR="0061692C" w:rsidRPr="0061692C" w:rsidRDefault="0061692C" w:rsidP="0061692C">
            <w:pPr>
              <w:rPr>
                <w:bCs/>
                <w:lang w:val="en-GB"/>
              </w:rPr>
            </w:pPr>
            <w:r w:rsidRPr="0061692C">
              <w:rPr>
                <w:bCs/>
                <w:lang w:val="en-GB"/>
              </w:rPr>
              <w:t>0.6</w:t>
            </w:r>
          </w:p>
          <w:p w14:paraId="37CB98D2" w14:textId="77777777" w:rsidR="0061692C" w:rsidRPr="0061692C" w:rsidRDefault="0061692C" w:rsidP="0061692C">
            <w:pPr>
              <w:rPr>
                <w:bCs/>
                <w:lang w:val="en-GB"/>
              </w:rPr>
            </w:pPr>
            <w:r w:rsidRPr="0061692C">
              <w:rPr>
                <w:bCs/>
                <w:lang w:val="en-GB"/>
              </w:rPr>
              <w:t>2.1</w:t>
            </w:r>
          </w:p>
          <w:p w14:paraId="18B273F4" w14:textId="77777777" w:rsidR="0061692C" w:rsidRPr="0061692C" w:rsidRDefault="0061692C" w:rsidP="0061692C">
            <w:pPr>
              <w:rPr>
                <w:bCs/>
                <w:lang w:val="en-GB"/>
              </w:rPr>
            </w:pPr>
            <w:r w:rsidRPr="0061692C">
              <w:rPr>
                <w:bCs/>
                <w:lang w:val="en-GB"/>
              </w:rPr>
              <w:t>3.0</w:t>
            </w:r>
          </w:p>
        </w:tc>
      </w:tr>
      <w:tr w:rsidR="0061692C" w:rsidRPr="0061692C" w14:paraId="6289FA39" w14:textId="77777777" w:rsidTr="005C3599">
        <w:tc>
          <w:tcPr>
            <w:tcW w:w="5000" w:type="pct"/>
            <w:gridSpan w:val="4"/>
          </w:tcPr>
          <w:p w14:paraId="3C31EE26" w14:textId="77777777" w:rsidR="0061692C" w:rsidRPr="0061692C" w:rsidRDefault="0061692C" w:rsidP="0061692C">
            <w:pPr>
              <w:rPr>
                <w:bCs/>
                <w:lang w:val="en-GB"/>
              </w:rPr>
            </w:pPr>
            <w:r w:rsidRPr="0061692C">
              <w:rPr>
                <w:b/>
                <w:bCs/>
                <w:lang w:val="en-GB"/>
              </w:rPr>
              <w:t>Gastrointestinal disorders</w:t>
            </w:r>
          </w:p>
        </w:tc>
      </w:tr>
      <w:tr w:rsidR="0061692C" w:rsidRPr="0061692C" w14:paraId="2BDA0E62" w14:textId="77777777" w:rsidTr="005C3599">
        <w:trPr>
          <w:trHeight w:val="104"/>
        </w:trPr>
        <w:tc>
          <w:tcPr>
            <w:tcW w:w="2266" w:type="pct"/>
          </w:tcPr>
          <w:p w14:paraId="6251556A" w14:textId="77777777" w:rsidR="0061692C" w:rsidRPr="0061692C" w:rsidRDefault="0061692C" w:rsidP="0061692C">
            <w:pPr>
              <w:rPr>
                <w:bCs/>
                <w:lang w:val="en-GB"/>
              </w:rPr>
            </w:pPr>
            <w:r w:rsidRPr="0061692C">
              <w:rPr>
                <w:bCs/>
                <w:lang w:val="en-GB"/>
              </w:rPr>
              <w:t>Constipation</w:t>
            </w:r>
          </w:p>
          <w:p w14:paraId="6546B53F" w14:textId="77777777" w:rsidR="0061692C" w:rsidRPr="0061692C" w:rsidRDefault="0061692C" w:rsidP="0061692C">
            <w:pPr>
              <w:rPr>
                <w:bCs/>
                <w:lang w:val="en-GB"/>
              </w:rPr>
            </w:pPr>
            <w:r w:rsidRPr="0061692C">
              <w:rPr>
                <w:bCs/>
                <w:lang w:val="en-GB"/>
              </w:rPr>
              <w:t>Diarrhoea</w:t>
            </w:r>
          </w:p>
          <w:p w14:paraId="64A427BF" w14:textId="77777777" w:rsidR="0061692C" w:rsidRPr="0061692C" w:rsidRDefault="0061692C" w:rsidP="0061692C">
            <w:pPr>
              <w:rPr>
                <w:bCs/>
                <w:lang w:val="en-GB"/>
              </w:rPr>
            </w:pPr>
            <w:r w:rsidRPr="0061692C">
              <w:rPr>
                <w:bCs/>
                <w:lang w:val="en-GB"/>
              </w:rPr>
              <w:t>Dry mouth</w:t>
            </w:r>
          </w:p>
          <w:p w14:paraId="0895BFE1" w14:textId="77777777" w:rsidR="0061692C" w:rsidRPr="0061692C" w:rsidRDefault="0061692C" w:rsidP="0061692C">
            <w:pPr>
              <w:rPr>
                <w:bCs/>
                <w:lang w:val="en-GB"/>
              </w:rPr>
            </w:pPr>
            <w:r w:rsidRPr="0061692C">
              <w:rPr>
                <w:bCs/>
                <w:lang w:val="en-GB"/>
              </w:rPr>
              <w:t>Nausea</w:t>
            </w:r>
          </w:p>
          <w:p w14:paraId="73EEC705" w14:textId="77777777" w:rsidR="0061692C" w:rsidRPr="0061692C" w:rsidRDefault="0061692C" w:rsidP="0061692C">
            <w:pPr>
              <w:rPr>
                <w:bCs/>
                <w:vertAlign w:val="superscript"/>
                <w:lang w:val="en-GB"/>
              </w:rPr>
            </w:pPr>
            <w:r w:rsidRPr="0061692C">
              <w:rPr>
                <w:bCs/>
                <w:lang w:val="en-GB"/>
              </w:rPr>
              <w:t>Abdominal pain</w:t>
            </w:r>
            <w:r w:rsidRPr="0061692C">
              <w:rPr>
                <w:bCs/>
                <w:vertAlign w:val="superscript"/>
                <w:lang w:val="en-GB"/>
              </w:rPr>
              <w:t>13</w:t>
            </w:r>
          </w:p>
          <w:p w14:paraId="2A55F212" w14:textId="77777777" w:rsidR="0061692C" w:rsidRPr="0061692C" w:rsidRDefault="0061692C" w:rsidP="0061692C">
            <w:pPr>
              <w:rPr>
                <w:b/>
                <w:bCs/>
                <w:u w:val="double"/>
                <w:lang w:val="en-GB"/>
              </w:rPr>
            </w:pPr>
            <w:r w:rsidRPr="0061692C">
              <w:rPr>
                <w:bCs/>
                <w:lang w:val="en-GB"/>
              </w:rPr>
              <w:t>Vomiting</w:t>
            </w:r>
          </w:p>
        </w:tc>
        <w:tc>
          <w:tcPr>
            <w:tcW w:w="938" w:type="pct"/>
            <w:shd w:val="clear" w:color="auto" w:fill="auto"/>
            <w:vAlign w:val="center"/>
          </w:tcPr>
          <w:p w14:paraId="3E345BB4" w14:textId="77777777" w:rsidR="0061692C" w:rsidRPr="0061692C" w:rsidRDefault="0061692C" w:rsidP="0061692C">
            <w:pPr>
              <w:rPr>
                <w:bCs/>
                <w:u w:val="double"/>
                <w:lang w:val="en-GB"/>
              </w:rPr>
            </w:pPr>
            <w:r w:rsidRPr="0061692C">
              <w:rPr>
                <w:bCs/>
                <w:lang w:val="en-GB"/>
              </w:rPr>
              <w:t>Very common</w:t>
            </w:r>
          </w:p>
        </w:tc>
        <w:tc>
          <w:tcPr>
            <w:tcW w:w="937" w:type="pct"/>
          </w:tcPr>
          <w:p w14:paraId="79AEE6F2" w14:textId="77777777" w:rsidR="0061692C" w:rsidRPr="0061692C" w:rsidRDefault="0061692C" w:rsidP="0061692C">
            <w:pPr>
              <w:rPr>
                <w:bCs/>
                <w:lang w:val="en-GB"/>
              </w:rPr>
            </w:pPr>
            <w:r w:rsidRPr="0061692C">
              <w:rPr>
                <w:bCs/>
                <w:lang w:val="en-GB"/>
              </w:rPr>
              <w:t>41.9</w:t>
            </w:r>
          </w:p>
          <w:p w14:paraId="45DEDAF5" w14:textId="77777777" w:rsidR="0061692C" w:rsidRPr="0061692C" w:rsidRDefault="0061692C" w:rsidP="0061692C">
            <w:pPr>
              <w:rPr>
                <w:bCs/>
                <w:lang w:val="en-GB"/>
              </w:rPr>
            </w:pPr>
            <w:r w:rsidRPr="0061692C">
              <w:rPr>
                <w:bCs/>
                <w:lang w:val="en-GB"/>
              </w:rPr>
              <w:t>29.4</w:t>
            </w:r>
          </w:p>
          <w:p w14:paraId="1182CB63" w14:textId="77777777" w:rsidR="0061692C" w:rsidRPr="0061692C" w:rsidRDefault="0061692C" w:rsidP="0061692C">
            <w:pPr>
              <w:rPr>
                <w:bCs/>
                <w:lang w:val="en-GB"/>
              </w:rPr>
            </w:pPr>
            <w:r w:rsidRPr="0061692C">
              <w:rPr>
                <w:bCs/>
                <w:lang w:val="en-GB"/>
              </w:rPr>
              <w:t>15.9</w:t>
            </w:r>
          </w:p>
          <w:p w14:paraId="61C15B65" w14:textId="77777777" w:rsidR="0061692C" w:rsidRPr="0061692C" w:rsidRDefault="0061692C" w:rsidP="0061692C">
            <w:pPr>
              <w:rPr>
                <w:bCs/>
                <w:lang w:val="en-GB"/>
              </w:rPr>
            </w:pPr>
            <w:r w:rsidRPr="0061692C">
              <w:rPr>
                <w:bCs/>
                <w:lang w:val="en-GB"/>
              </w:rPr>
              <w:t>15.9</w:t>
            </w:r>
          </w:p>
          <w:p w14:paraId="51DC2801" w14:textId="77777777" w:rsidR="0061692C" w:rsidRPr="0061692C" w:rsidRDefault="0061692C" w:rsidP="0061692C">
            <w:pPr>
              <w:rPr>
                <w:bCs/>
                <w:lang w:val="en-GB"/>
              </w:rPr>
            </w:pPr>
            <w:r w:rsidRPr="0061692C">
              <w:rPr>
                <w:bCs/>
                <w:lang w:val="en-GB"/>
              </w:rPr>
              <w:t>15.3</w:t>
            </w:r>
          </w:p>
          <w:p w14:paraId="05F780F0" w14:textId="77777777" w:rsidR="0061692C" w:rsidRPr="0061692C" w:rsidRDefault="0061692C" w:rsidP="0061692C">
            <w:pPr>
              <w:rPr>
                <w:bCs/>
                <w:u w:val="double"/>
                <w:lang w:val="en-GB"/>
              </w:rPr>
            </w:pPr>
            <w:r w:rsidRPr="0061692C">
              <w:rPr>
                <w:bCs/>
                <w:lang w:val="en-GB"/>
              </w:rPr>
              <w:t>12.3</w:t>
            </w:r>
          </w:p>
        </w:tc>
        <w:tc>
          <w:tcPr>
            <w:tcW w:w="859" w:type="pct"/>
          </w:tcPr>
          <w:p w14:paraId="031A311C" w14:textId="77777777" w:rsidR="0061692C" w:rsidRPr="0061692C" w:rsidRDefault="0061692C" w:rsidP="0061692C">
            <w:pPr>
              <w:rPr>
                <w:bCs/>
                <w:lang w:val="en-GB"/>
              </w:rPr>
            </w:pPr>
            <w:r w:rsidRPr="0061692C">
              <w:rPr>
                <w:bCs/>
                <w:lang w:val="en-GB"/>
              </w:rPr>
              <w:t>0.6</w:t>
            </w:r>
          </w:p>
          <w:p w14:paraId="1EDAC24F" w14:textId="77777777" w:rsidR="0061692C" w:rsidRPr="0061692C" w:rsidRDefault="0061692C" w:rsidP="0061692C">
            <w:pPr>
              <w:rPr>
                <w:bCs/>
                <w:lang w:val="en-GB"/>
              </w:rPr>
            </w:pPr>
            <w:r w:rsidRPr="0061692C">
              <w:rPr>
                <w:bCs/>
                <w:lang w:val="en-GB"/>
              </w:rPr>
              <w:t>2.8</w:t>
            </w:r>
          </w:p>
          <w:p w14:paraId="495D20F3" w14:textId="77777777" w:rsidR="0061692C" w:rsidRPr="0061692C" w:rsidRDefault="0061692C" w:rsidP="0061692C">
            <w:pPr>
              <w:rPr>
                <w:bCs/>
                <w:lang w:val="en-GB"/>
              </w:rPr>
            </w:pPr>
            <w:r w:rsidRPr="0061692C">
              <w:rPr>
                <w:bCs/>
                <w:lang w:val="en-GB"/>
              </w:rPr>
              <w:t>-</w:t>
            </w:r>
          </w:p>
          <w:p w14:paraId="14C5E95D" w14:textId="77777777" w:rsidR="0061692C" w:rsidRPr="0061692C" w:rsidRDefault="0061692C" w:rsidP="0061692C">
            <w:pPr>
              <w:rPr>
                <w:bCs/>
                <w:lang w:val="en-GB"/>
              </w:rPr>
            </w:pPr>
            <w:r w:rsidRPr="0061692C">
              <w:rPr>
                <w:bCs/>
                <w:lang w:val="en-GB"/>
              </w:rPr>
              <w:t>0.2</w:t>
            </w:r>
          </w:p>
          <w:p w14:paraId="07965B85" w14:textId="77777777" w:rsidR="0061692C" w:rsidRPr="0061692C" w:rsidRDefault="0061692C" w:rsidP="0061692C">
            <w:pPr>
              <w:rPr>
                <w:bCs/>
                <w:lang w:val="en-GB"/>
              </w:rPr>
            </w:pPr>
            <w:r w:rsidRPr="0061692C">
              <w:rPr>
                <w:bCs/>
                <w:lang w:val="en-GB"/>
              </w:rPr>
              <w:t>1.3</w:t>
            </w:r>
          </w:p>
          <w:p w14:paraId="2E41C2C7" w14:textId="77777777" w:rsidR="0061692C" w:rsidRPr="0061692C" w:rsidRDefault="0061692C" w:rsidP="0061692C">
            <w:pPr>
              <w:rPr>
                <w:bCs/>
                <w:lang w:val="en-GB"/>
              </w:rPr>
            </w:pPr>
            <w:r w:rsidRPr="0061692C">
              <w:rPr>
                <w:bCs/>
                <w:lang w:val="en-GB"/>
              </w:rPr>
              <w:t>1.1</w:t>
            </w:r>
          </w:p>
        </w:tc>
      </w:tr>
      <w:tr w:rsidR="0061692C" w:rsidRPr="0061692C" w14:paraId="10CD6125" w14:textId="77777777" w:rsidTr="005C3599">
        <w:tc>
          <w:tcPr>
            <w:tcW w:w="2266" w:type="pct"/>
          </w:tcPr>
          <w:p w14:paraId="67668105" w14:textId="77777777" w:rsidR="0061692C" w:rsidRPr="0061692C" w:rsidRDefault="0061692C" w:rsidP="0061692C">
            <w:pPr>
              <w:rPr>
                <w:b/>
                <w:bCs/>
                <w:u w:val="double"/>
                <w:lang w:val="en-GB"/>
              </w:rPr>
            </w:pPr>
            <w:r w:rsidRPr="0061692C">
              <w:rPr>
                <w:bCs/>
                <w:lang w:val="en-GB"/>
              </w:rPr>
              <w:t>Stomatitis</w:t>
            </w:r>
            <w:r w:rsidRPr="0061692C">
              <w:rPr>
                <w:bCs/>
                <w:vertAlign w:val="superscript"/>
                <w:lang w:val="en-GB"/>
              </w:rPr>
              <w:t>14</w:t>
            </w:r>
          </w:p>
        </w:tc>
        <w:tc>
          <w:tcPr>
            <w:tcW w:w="938" w:type="pct"/>
            <w:shd w:val="clear" w:color="auto" w:fill="auto"/>
            <w:vAlign w:val="center"/>
          </w:tcPr>
          <w:p w14:paraId="6270783A" w14:textId="77777777" w:rsidR="0061692C" w:rsidRPr="0061692C" w:rsidRDefault="0061692C" w:rsidP="0061692C">
            <w:pPr>
              <w:rPr>
                <w:bCs/>
                <w:u w:val="double"/>
                <w:vertAlign w:val="superscript"/>
                <w:lang w:val="en-GB"/>
              </w:rPr>
            </w:pPr>
            <w:r w:rsidRPr="0061692C">
              <w:rPr>
                <w:bCs/>
                <w:lang w:val="en-GB"/>
              </w:rPr>
              <w:t>Common</w:t>
            </w:r>
          </w:p>
        </w:tc>
        <w:tc>
          <w:tcPr>
            <w:tcW w:w="937" w:type="pct"/>
          </w:tcPr>
          <w:p w14:paraId="0FC139FE" w14:textId="77777777" w:rsidR="0061692C" w:rsidRPr="0061692C" w:rsidRDefault="0061692C" w:rsidP="0061692C">
            <w:pPr>
              <w:rPr>
                <w:bCs/>
                <w:u w:val="double"/>
                <w:lang w:val="en-GB"/>
              </w:rPr>
            </w:pPr>
            <w:r w:rsidRPr="0061692C">
              <w:rPr>
                <w:bCs/>
                <w:lang w:val="en-GB"/>
              </w:rPr>
              <w:t>6.8</w:t>
            </w:r>
          </w:p>
        </w:tc>
        <w:tc>
          <w:tcPr>
            <w:tcW w:w="859" w:type="pct"/>
          </w:tcPr>
          <w:p w14:paraId="02DA6E7D" w14:textId="77777777" w:rsidR="0061692C" w:rsidRPr="0061692C" w:rsidRDefault="0061692C" w:rsidP="0061692C">
            <w:pPr>
              <w:rPr>
                <w:bCs/>
                <w:lang w:val="en-GB"/>
              </w:rPr>
            </w:pPr>
            <w:r w:rsidRPr="0061692C">
              <w:rPr>
                <w:bCs/>
                <w:lang w:val="en-GB"/>
              </w:rPr>
              <w:t>1.3</w:t>
            </w:r>
          </w:p>
        </w:tc>
      </w:tr>
      <w:tr w:rsidR="0061692C" w:rsidRPr="0061692C" w14:paraId="5530C293" w14:textId="77777777" w:rsidTr="005C3599">
        <w:tc>
          <w:tcPr>
            <w:tcW w:w="5000" w:type="pct"/>
            <w:gridSpan w:val="4"/>
          </w:tcPr>
          <w:p w14:paraId="3214709B" w14:textId="77777777" w:rsidR="0061692C" w:rsidRPr="0061692C" w:rsidRDefault="0061692C" w:rsidP="0061692C">
            <w:pPr>
              <w:rPr>
                <w:bCs/>
                <w:lang w:val="en-GB"/>
              </w:rPr>
            </w:pPr>
            <w:r w:rsidRPr="0061692C">
              <w:rPr>
                <w:b/>
                <w:bCs/>
                <w:lang w:val="en-GB"/>
              </w:rPr>
              <w:t>Hepatobiliary disorders</w:t>
            </w:r>
          </w:p>
        </w:tc>
      </w:tr>
      <w:tr w:rsidR="0061692C" w:rsidRPr="0061692C" w14:paraId="4A15930D" w14:textId="77777777" w:rsidTr="005C3599">
        <w:trPr>
          <w:trHeight w:val="779"/>
        </w:trPr>
        <w:tc>
          <w:tcPr>
            <w:tcW w:w="2266" w:type="pct"/>
          </w:tcPr>
          <w:p w14:paraId="4AA55A31" w14:textId="77777777" w:rsidR="0061692C" w:rsidRPr="0061692C" w:rsidRDefault="0061692C" w:rsidP="0061692C">
            <w:pPr>
              <w:rPr>
                <w:vertAlign w:val="superscript"/>
                <w:lang w:val="en-GB"/>
              </w:rPr>
            </w:pPr>
            <w:r w:rsidRPr="0061692C">
              <w:rPr>
                <w:lang w:val="en-GB"/>
              </w:rPr>
              <w:t>Aspartate aminotransferase increased</w:t>
            </w:r>
            <w:r w:rsidRPr="0061692C">
              <w:rPr>
                <w:vertAlign w:val="superscript"/>
                <w:lang w:val="en-GB"/>
              </w:rPr>
              <w:t>*</w:t>
            </w:r>
          </w:p>
          <w:p w14:paraId="4481ED02" w14:textId="77777777" w:rsidR="0061692C" w:rsidRPr="0061692C" w:rsidRDefault="0061692C" w:rsidP="0061692C">
            <w:pPr>
              <w:rPr>
                <w:vertAlign w:val="superscript"/>
                <w:lang w:val="en-GB"/>
              </w:rPr>
            </w:pPr>
            <w:r w:rsidRPr="0061692C">
              <w:rPr>
                <w:lang w:val="en-GB"/>
              </w:rPr>
              <w:t>Alanine aminotransferase increased</w:t>
            </w:r>
            <w:r w:rsidRPr="0061692C">
              <w:rPr>
                <w:vertAlign w:val="superscript"/>
                <w:lang w:val="en-GB"/>
              </w:rPr>
              <w:t>*</w:t>
            </w:r>
          </w:p>
          <w:p w14:paraId="476E2C16" w14:textId="77777777" w:rsidR="0061692C" w:rsidRPr="0061692C" w:rsidRDefault="0061692C" w:rsidP="0061692C">
            <w:pPr>
              <w:rPr>
                <w:u w:val="double"/>
                <w:vertAlign w:val="superscript"/>
                <w:lang w:val="en-GB"/>
              </w:rPr>
            </w:pPr>
            <w:r w:rsidRPr="0061692C">
              <w:rPr>
                <w:bCs/>
                <w:lang w:val="en-GB"/>
              </w:rPr>
              <w:t>Hyperbilirubinaemia</w:t>
            </w:r>
            <w:r w:rsidRPr="0061692C">
              <w:rPr>
                <w:bCs/>
                <w:vertAlign w:val="superscript"/>
                <w:lang w:val="en-GB"/>
              </w:rPr>
              <w:t>15</w:t>
            </w:r>
          </w:p>
        </w:tc>
        <w:tc>
          <w:tcPr>
            <w:tcW w:w="938" w:type="pct"/>
            <w:shd w:val="clear" w:color="auto" w:fill="auto"/>
            <w:vAlign w:val="center"/>
          </w:tcPr>
          <w:p w14:paraId="689E10F8" w14:textId="77777777" w:rsidR="0061692C" w:rsidRPr="0061692C" w:rsidRDefault="0061692C" w:rsidP="0061692C">
            <w:pPr>
              <w:rPr>
                <w:u w:val="double"/>
                <w:vertAlign w:val="superscript"/>
                <w:lang w:val="en-GB"/>
              </w:rPr>
            </w:pPr>
            <w:r w:rsidRPr="0061692C">
              <w:rPr>
                <w:bCs/>
                <w:lang w:val="en-GB"/>
              </w:rPr>
              <w:t>Very common</w:t>
            </w:r>
          </w:p>
        </w:tc>
        <w:tc>
          <w:tcPr>
            <w:tcW w:w="937" w:type="pct"/>
          </w:tcPr>
          <w:p w14:paraId="12FDF727" w14:textId="77777777" w:rsidR="0061692C" w:rsidRPr="0061692C" w:rsidRDefault="0061692C" w:rsidP="0061692C">
            <w:pPr>
              <w:rPr>
                <w:bCs/>
                <w:lang w:val="en-GB"/>
              </w:rPr>
            </w:pPr>
            <w:r w:rsidRPr="0061692C">
              <w:rPr>
                <w:bCs/>
                <w:lang w:val="en-GB"/>
              </w:rPr>
              <w:t>46.0</w:t>
            </w:r>
          </w:p>
          <w:p w14:paraId="33FF4CB7" w14:textId="77777777" w:rsidR="0061692C" w:rsidRPr="0061692C" w:rsidRDefault="0061692C" w:rsidP="0061692C">
            <w:pPr>
              <w:rPr>
                <w:bCs/>
                <w:lang w:val="en-GB"/>
              </w:rPr>
            </w:pPr>
            <w:r w:rsidRPr="0061692C">
              <w:rPr>
                <w:bCs/>
                <w:lang w:val="en-GB"/>
              </w:rPr>
              <w:t>33.9</w:t>
            </w:r>
          </w:p>
          <w:p w14:paraId="642ECF23" w14:textId="77777777" w:rsidR="0061692C" w:rsidRPr="0061692C" w:rsidRDefault="0061692C" w:rsidP="0061692C">
            <w:pPr>
              <w:rPr>
                <w:bCs/>
                <w:u w:val="double"/>
                <w:lang w:val="en-GB"/>
              </w:rPr>
            </w:pPr>
            <w:r w:rsidRPr="0061692C">
              <w:rPr>
                <w:bCs/>
                <w:lang w:val="en-GB"/>
              </w:rPr>
              <w:t>13.4</w:t>
            </w:r>
          </w:p>
        </w:tc>
        <w:tc>
          <w:tcPr>
            <w:tcW w:w="859" w:type="pct"/>
          </w:tcPr>
          <w:p w14:paraId="72CD5691" w14:textId="77777777" w:rsidR="0061692C" w:rsidRPr="0061692C" w:rsidRDefault="0061692C" w:rsidP="0061692C">
            <w:pPr>
              <w:rPr>
                <w:bCs/>
                <w:lang w:val="en-GB"/>
              </w:rPr>
            </w:pPr>
            <w:r w:rsidRPr="0061692C">
              <w:rPr>
                <w:bCs/>
                <w:lang w:val="en-GB"/>
              </w:rPr>
              <w:t>5.7</w:t>
            </w:r>
          </w:p>
          <w:p w14:paraId="4A7EE53F" w14:textId="77777777" w:rsidR="0061692C" w:rsidRPr="0061692C" w:rsidRDefault="0061692C" w:rsidP="0061692C">
            <w:pPr>
              <w:rPr>
                <w:bCs/>
                <w:lang w:val="en-GB"/>
              </w:rPr>
            </w:pPr>
            <w:r w:rsidRPr="0061692C">
              <w:rPr>
                <w:bCs/>
                <w:lang w:val="en-GB"/>
              </w:rPr>
              <w:t>4.2</w:t>
            </w:r>
          </w:p>
          <w:p w14:paraId="012D835F" w14:textId="77777777" w:rsidR="0061692C" w:rsidRPr="0061692C" w:rsidRDefault="0061692C" w:rsidP="0061692C">
            <w:pPr>
              <w:rPr>
                <w:bCs/>
                <w:lang w:val="en-GB"/>
              </w:rPr>
            </w:pPr>
            <w:r w:rsidRPr="0061692C">
              <w:rPr>
                <w:bCs/>
                <w:lang w:val="en-GB"/>
              </w:rPr>
              <w:t>1.3</w:t>
            </w:r>
          </w:p>
        </w:tc>
      </w:tr>
      <w:tr w:rsidR="0061692C" w:rsidRPr="0061692C" w14:paraId="676FF661" w14:textId="77777777" w:rsidTr="005C3599">
        <w:tc>
          <w:tcPr>
            <w:tcW w:w="5000" w:type="pct"/>
            <w:gridSpan w:val="4"/>
          </w:tcPr>
          <w:p w14:paraId="38B734C3" w14:textId="77777777" w:rsidR="0061692C" w:rsidRPr="0061692C" w:rsidRDefault="0061692C" w:rsidP="0061692C">
            <w:pPr>
              <w:rPr>
                <w:bCs/>
                <w:lang w:val="en-GB"/>
              </w:rPr>
            </w:pPr>
            <w:r w:rsidRPr="0061692C">
              <w:rPr>
                <w:b/>
                <w:bCs/>
                <w:lang w:val="en-GB"/>
              </w:rPr>
              <w:t>Skin and subcutaneous tissue disorders</w:t>
            </w:r>
          </w:p>
        </w:tc>
      </w:tr>
      <w:tr w:rsidR="0061692C" w:rsidRPr="0061692C" w14:paraId="0FD61078" w14:textId="77777777" w:rsidTr="005C3599">
        <w:tc>
          <w:tcPr>
            <w:tcW w:w="2266" w:type="pct"/>
          </w:tcPr>
          <w:p w14:paraId="4D4BC366" w14:textId="77777777" w:rsidR="0061692C" w:rsidRPr="0061692C" w:rsidRDefault="0061692C" w:rsidP="0061692C">
            <w:pPr>
              <w:rPr>
                <w:b/>
                <w:bCs/>
                <w:u w:val="double"/>
                <w:lang w:val="en-GB"/>
              </w:rPr>
            </w:pPr>
            <w:r w:rsidRPr="0061692C">
              <w:rPr>
                <w:bCs/>
                <w:lang w:val="en-GB"/>
              </w:rPr>
              <w:t>Rash</w:t>
            </w:r>
            <w:r w:rsidRPr="0061692C">
              <w:rPr>
                <w:bCs/>
                <w:vertAlign w:val="superscript"/>
                <w:lang w:val="en-GB"/>
              </w:rPr>
              <w:t>16</w:t>
            </w:r>
          </w:p>
        </w:tc>
        <w:tc>
          <w:tcPr>
            <w:tcW w:w="938" w:type="pct"/>
            <w:shd w:val="clear" w:color="auto" w:fill="auto"/>
            <w:vAlign w:val="center"/>
          </w:tcPr>
          <w:p w14:paraId="6E9409ED" w14:textId="77777777" w:rsidR="0061692C" w:rsidRPr="0061692C" w:rsidRDefault="0061692C" w:rsidP="0061692C">
            <w:pPr>
              <w:rPr>
                <w:bCs/>
                <w:u w:val="double"/>
                <w:lang w:val="en-GB"/>
              </w:rPr>
            </w:pPr>
            <w:r w:rsidRPr="0061692C">
              <w:rPr>
                <w:bCs/>
                <w:lang w:val="en-GB"/>
              </w:rPr>
              <w:t>Very common</w:t>
            </w:r>
          </w:p>
        </w:tc>
        <w:tc>
          <w:tcPr>
            <w:tcW w:w="937" w:type="pct"/>
          </w:tcPr>
          <w:p w14:paraId="404DBC30" w14:textId="77777777" w:rsidR="0061692C" w:rsidRPr="0061692C" w:rsidRDefault="0061692C" w:rsidP="0061692C">
            <w:pPr>
              <w:rPr>
                <w:bCs/>
                <w:u w:val="double"/>
                <w:lang w:val="en-GB"/>
              </w:rPr>
            </w:pPr>
            <w:r w:rsidRPr="0061692C">
              <w:rPr>
                <w:bCs/>
                <w:lang w:val="en-GB"/>
              </w:rPr>
              <w:t>17.2</w:t>
            </w:r>
          </w:p>
        </w:tc>
        <w:tc>
          <w:tcPr>
            <w:tcW w:w="859" w:type="pct"/>
          </w:tcPr>
          <w:p w14:paraId="01395748" w14:textId="77777777" w:rsidR="0061692C" w:rsidRPr="0061692C" w:rsidRDefault="0061692C" w:rsidP="0061692C">
            <w:pPr>
              <w:rPr>
                <w:bCs/>
                <w:lang w:val="en-GB"/>
              </w:rPr>
            </w:pPr>
            <w:r w:rsidRPr="0061692C">
              <w:rPr>
                <w:bCs/>
                <w:lang w:val="en-GB"/>
              </w:rPr>
              <w:t>-</w:t>
            </w:r>
          </w:p>
        </w:tc>
      </w:tr>
      <w:tr w:rsidR="0061692C" w:rsidRPr="0061692C" w14:paraId="6C00737C" w14:textId="77777777" w:rsidTr="005C3599">
        <w:tc>
          <w:tcPr>
            <w:tcW w:w="5000" w:type="pct"/>
            <w:gridSpan w:val="4"/>
          </w:tcPr>
          <w:p w14:paraId="22427EA0" w14:textId="77777777" w:rsidR="0061692C" w:rsidRPr="0061692C" w:rsidRDefault="0061692C" w:rsidP="0061692C">
            <w:pPr>
              <w:rPr>
                <w:bCs/>
                <w:lang w:val="en-GB"/>
              </w:rPr>
            </w:pPr>
            <w:r w:rsidRPr="0061692C">
              <w:rPr>
                <w:b/>
                <w:bCs/>
                <w:lang w:val="en-GB"/>
              </w:rPr>
              <w:t>Musculoskeletal and connective tissue disorders</w:t>
            </w:r>
          </w:p>
        </w:tc>
      </w:tr>
      <w:tr w:rsidR="0061692C" w:rsidRPr="0061692C" w14:paraId="267B2FD0" w14:textId="77777777" w:rsidTr="005C3599">
        <w:tc>
          <w:tcPr>
            <w:tcW w:w="2266" w:type="pct"/>
          </w:tcPr>
          <w:p w14:paraId="685B5CCF" w14:textId="77777777" w:rsidR="0061692C" w:rsidRPr="0061692C" w:rsidRDefault="0061692C" w:rsidP="0061692C">
            <w:pPr>
              <w:rPr>
                <w:bCs/>
                <w:lang w:val="en-GB"/>
              </w:rPr>
            </w:pPr>
            <w:r w:rsidRPr="0061692C">
              <w:rPr>
                <w:bCs/>
                <w:lang w:val="en-GB"/>
              </w:rPr>
              <w:t>Musculoskeletal pain</w:t>
            </w:r>
            <w:r w:rsidRPr="0061692C">
              <w:rPr>
                <w:bCs/>
                <w:vertAlign w:val="superscript"/>
                <w:lang w:val="en-GB"/>
              </w:rPr>
              <w:t>17</w:t>
            </w:r>
          </w:p>
          <w:p w14:paraId="14046411" w14:textId="77777777" w:rsidR="0061692C" w:rsidRPr="0061692C" w:rsidRDefault="0061692C" w:rsidP="0061692C">
            <w:pPr>
              <w:rPr>
                <w:bCs/>
                <w:u w:val="double"/>
                <w:lang w:val="en-GB"/>
              </w:rPr>
            </w:pPr>
            <w:r w:rsidRPr="0061692C">
              <w:rPr>
                <w:lang w:val="en-GB"/>
              </w:rPr>
              <w:t>Blood creatine phosphokinase increased</w:t>
            </w:r>
          </w:p>
        </w:tc>
        <w:tc>
          <w:tcPr>
            <w:tcW w:w="938" w:type="pct"/>
            <w:shd w:val="clear" w:color="auto" w:fill="auto"/>
            <w:vAlign w:val="center"/>
          </w:tcPr>
          <w:p w14:paraId="077FA51D" w14:textId="77777777" w:rsidR="0061692C" w:rsidRPr="0061692C" w:rsidRDefault="0061692C" w:rsidP="0061692C">
            <w:pPr>
              <w:rPr>
                <w:bCs/>
                <w:u w:val="double"/>
                <w:lang w:val="en-GB"/>
              </w:rPr>
            </w:pPr>
            <w:r w:rsidRPr="0061692C">
              <w:rPr>
                <w:bCs/>
                <w:lang w:val="en-GB"/>
              </w:rPr>
              <w:t>Very common</w:t>
            </w:r>
          </w:p>
        </w:tc>
        <w:tc>
          <w:tcPr>
            <w:tcW w:w="937" w:type="pct"/>
          </w:tcPr>
          <w:p w14:paraId="46EE0135" w14:textId="77777777" w:rsidR="0061692C" w:rsidRPr="0061692C" w:rsidRDefault="0061692C" w:rsidP="0061692C">
            <w:pPr>
              <w:rPr>
                <w:bCs/>
                <w:lang w:val="en-GB"/>
              </w:rPr>
            </w:pPr>
            <w:r w:rsidRPr="0061692C">
              <w:rPr>
                <w:bCs/>
                <w:lang w:val="en-GB"/>
              </w:rPr>
              <w:t>39.8</w:t>
            </w:r>
          </w:p>
          <w:p w14:paraId="33B12685" w14:textId="77777777" w:rsidR="0061692C" w:rsidRPr="0061692C" w:rsidRDefault="0061692C" w:rsidP="0061692C">
            <w:pPr>
              <w:rPr>
                <w:bCs/>
                <w:u w:val="double"/>
                <w:lang w:val="en-GB"/>
              </w:rPr>
            </w:pPr>
            <w:r w:rsidRPr="0061692C">
              <w:rPr>
                <w:bCs/>
                <w:lang w:val="en-GB"/>
              </w:rPr>
              <w:t>16.3</w:t>
            </w:r>
          </w:p>
        </w:tc>
        <w:tc>
          <w:tcPr>
            <w:tcW w:w="859" w:type="pct"/>
          </w:tcPr>
          <w:p w14:paraId="2E1F951C" w14:textId="77777777" w:rsidR="0061692C" w:rsidRPr="0061692C" w:rsidRDefault="0061692C" w:rsidP="0061692C">
            <w:pPr>
              <w:rPr>
                <w:bCs/>
                <w:lang w:val="en-GB"/>
              </w:rPr>
            </w:pPr>
            <w:r w:rsidRPr="0061692C">
              <w:rPr>
                <w:bCs/>
                <w:lang w:val="en-GB"/>
              </w:rPr>
              <w:t>2.1</w:t>
            </w:r>
          </w:p>
          <w:p w14:paraId="0CA81004" w14:textId="77777777" w:rsidR="0061692C" w:rsidRPr="0061692C" w:rsidRDefault="0061692C" w:rsidP="0061692C">
            <w:pPr>
              <w:rPr>
                <w:bCs/>
                <w:lang w:val="en-GB"/>
              </w:rPr>
            </w:pPr>
            <w:r w:rsidRPr="0061692C">
              <w:rPr>
                <w:bCs/>
                <w:lang w:val="en-GB"/>
              </w:rPr>
              <w:t>6.4</w:t>
            </w:r>
          </w:p>
        </w:tc>
      </w:tr>
      <w:tr w:rsidR="0061692C" w:rsidRPr="0061692C" w14:paraId="39BC3630" w14:textId="77777777" w:rsidTr="005C3599">
        <w:tc>
          <w:tcPr>
            <w:tcW w:w="5000" w:type="pct"/>
            <w:gridSpan w:val="4"/>
          </w:tcPr>
          <w:p w14:paraId="5EE6078B" w14:textId="77777777" w:rsidR="0061692C" w:rsidRPr="0061692C" w:rsidRDefault="0061692C" w:rsidP="0061692C">
            <w:pPr>
              <w:rPr>
                <w:bCs/>
                <w:lang w:val="en-GB"/>
              </w:rPr>
            </w:pPr>
            <w:r w:rsidRPr="0061692C">
              <w:rPr>
                <w:b/>
                <w:bCs/>
                <w:lang w:val="en-GB"/>
              </w:rPr>
              <w:t>General disorders and administration site conditions</w:t>
            </w:r>
          </w:p>
        </w:tc>
      </w:tr>
      <w:tr w:rsidR="0061692C" w:rsidRPr="0061692C" w14:paraId="0E90588B" w14:textId="77777777" w:rsidTr="005C3599">
        <w:tc>
          <w:tcPr>
            <w:tcW w:w="2266" w:type="pct"/>
          </w:tcPr>
          <w:p w14:paraId="0477AF5A" w14:textId="77777777" w:rsidR="0061692C" w:rsidRPr="0061692C" w:rsidRDefault="0061692C" w:rsidP="0061692C">
            <w:pPr>
              <w:rPr>
                <w:bCs/>
                <w:lang w:val="en-GB"/>
              </w:rPr>
            </w:pPr>
            <w:r w:rsidRPr="0061692C">
              <w:rPr>
                <w:bCs/>
                <w:lang w:val="en-GB"/>
              </w:rPr>
              <w:t>Fatigue</w:t>
            </w:r>
            <w:r w:rsidRPr="0061692C">
              <w:rPr>
                <w:bCs/>
                <w:vertAlign w:val="superscript"/>
                <w:lang w:val="en-GB"/>
              </w:rPr>
              <w:t>18</w:t>
            </w:r>
          </w:p>
          <w:p w14:paraId="7E8EAFFC" w14:textId="77777777" w:rsidR="0061692C" w:rsidRPr="0061692C" w:rsidRDefault="0061692C" w:rsidP="0061692C">
            <w:pPr>
              <w:rPr>
                <w:bCs/>
                <w:vertAlign w:val="superscript"/>
                <w:lang w:val="en-GB"/>
              </w:rPr>
            </w:pPr>
            <w:r w:rsidRPr="0061692C">
              <w:rPr>
                <w:bCs/>
                <w:lang w:val="en-GB"/>
              </w:rPr>
              <w:t>Oedema</w:t>
            </w:r>
            <w:r w:rsidRPr="0061692C">
              <w:rPr>
                <w:bCs/>
                <w:vertAlign w:val="superscript"/>
                <w:lang w:val="en-GB"/>
              </w:rPr>
              <w:t>19</w:t>
            </w:r>
          </w:p>
          <w:p w14:paraId="430261C4" w14:textId="77777777" w:rsidR="0061692C" w:rsidRPr="0061692C" w:rsidRDefault="0061692C" w:rsidP="0061692C">
            <w:pPr>
              <w:rPr>
                <w:b/>
                <w:bCs/>
                <w:u w:val="double"/>
                <w:lang w:val="en-GB"/>
              </w:rPr>
            </w:pPr>
            <w:r w:rsidRPr="0061692C">
              <w:rPr>
                <w:bCs/>
                <w:lang w:val="en-GB"/>
              </w:rPr>
              <w:t>Pyrexia</w:t>
            </w:r>
          </w:p>
        </w:tc>
        <w:tc>
          <w:tcPr>
            <w:tcW w:w="938" w:type="pct"/>
            <w:shd w:val="clear" w:color="auto" w:fill="auto"/>
            <w:vAlign w:val="center"/>
          </w:tcPr>
          <w:p w14:paraId="4D6D628F" w14:textId="77777777" w:rsidR="0061692C" w:rsidRPr="0061692C" w:rsidRDefault="0061692C" w:rsidP="0061692C">
            <w:pPr>
              <w:rPr>
                <w:bCs/>
                <w:u w:val="double"/>
                <w:lang w:val="en-GB"/>
              </w:rPr>
            </w:pPr>
            <w:r w:rsidRPr="0061692C">
              <w:rPr>
                <w:bCs/>
                <w:lang w:val="en-GB"/>
              </w:rPr>
              <w:t>Very common</w:t>
            </w:r>
          </w:p>
        </w:tc>
        <w:tc>
          <w:tcPr>
            <w:tcW w:w="937" w:type="pct"/>
          </w:tcPr>
          <w:p w14:paraId="786AF74A" w14:textId="77777777" w:rsidR="0061692C" w:rsidRPr="0061692C" w:rsidRDefault="0061692C" w:rsidP="0061692C">
            <w:pPr>
              <w:rPr>
                <w:bCs/>
                <w:lang w:val="en-GB"/>
              </w:rPr>
            </w:pPr>
            <w:r w:rsidRPr="0061692C">
              <w:rPr>
                <w:bCs/>
                <w:lang w:val="en-GB"/>
              </w:rPr>
              <w:t>37.3</w:t>
            </w:r>
          </w:p>
          <w:p w14:paraId="3A9DCEF0" w14:textId="77777777" w:rsidR="0061692C" w:rsidRPr="0061692C" w:rsidRDefault="0061692C" w:rsidP="0061692C">
            <w:pPr>
              <w:rPr>
                <w:bCs/>
                <w:lang w:val="en-GB"/>
              </w:rPr>
            </w:pPr>
            <w:r w:rsidRPr="0061692C">
              <w:rPr>
                <w:bCs/>
                <w:lang w:val="en-GB"/>
              </w:rPr>
              <w:t>28.2</w:t>
            </w:r>
          </w:p>
          <w:p w14:paraId="5318AD2B" w14:textId="77777777" w:rsidR="0061692C" w:rsidRPr="0061692C" w:rsidRDefault="0061692C" w:rsidP="0061692C">
            <w:pPr>
              <w:rPr>
                <w:bCs/>
                <w:u w:val="double"/>
                <w:lang w:val="en-GB"/>
              </w:rPr>
            </w:pPr>
            <w:r w:rsidRPr="0061692C">
              <w:rPr>
                <w:bCs/>
                <w:lang w:val="en-GB"/>
              </w:rPr>
              <w:t>25.2</w:t>
            </w:r>
          </w:p>
        </w:tc>
        <w:tc>
          <w:tcPr>
            <w:tcW w:w="859" w:type="pct"/>
          </w:tcPr>
          <w:p w14:paraId="74B83E9B" w14:textId="77777777" w:rsidR="0061692C" w:rsidRPr="0061692C" w:rsidRDefault="0061692C" w:rsidP="0061692C">
            <w:pPr>
              <w:rPr>
                <w:bCs/>
                <w:lang w:val="en-GB"/>
              </w:rPr>
            </w:pPr>
            <w:r w:rsidRPr="0061692C">
              <w:rPr>
                <w:bCs/>
                <w:lang w:val="en-GB"/>
              </w:rPr>
              <w:t>4.0</w:t>
            </w:r>
          </w:p>
          <w:p w14:paraId="5B46C767" w14:textId="77777777" w:rsidR="0061692C" w:rsidRPr="0061692C" w:rsidRDefault="0061692C" w:rsidP="0061692C">
            <w:pPr>
              <w:rPr>
                <w:bCs/>
                <w:lang w:val="en-GB"/>
              </w:rPr>
            </w:pPr>
            <w:r w:rsidRPr="0061692C">
              <w:rPr>
                <w:bCs/>
                <w:lang w:val="en-GB"/>
              </w:rPr>
              <w:t>0.2</w:t>
            </w:r>
          </w:p>
          <w:p w14:paraId="455CA770" w14:textId="77777777" w:rsidR="0061692C" w:rsidRPr="0061692C" w:rsidRDefault="0061692C" w:rsidP="0061692C">
            <w:pPr>
              <w:rPr>
                <w:bCs/>
                <w:lang w:val="en-GB"/>
              </w:rPr>
            </w:pPr>
            <w:r w:rsidRPr="0061692C">
              <w:rPr>
                <w:bCs/>
                <w:lang w:val="en-GB"/>
              </w:rPr>
              <w:t>1.1</w:t>
            </w:r>
          </w:p>
        </w:tc>
      </w:tr>
      <w:tr w:rsidR="0061692C" w:rsidRPr="0061692C" w14:paraId="1B85E4CD" w14:textId="77777777" w:rsidTr="005C3599">
        <w:tc>
          <w:tcPr>
            <w:tcW w:w="5000" w:type="pct"/>
            <w:gridSpan w:val="4"/>
            <w:shd w:val="clear" w:color="auto" w:fill="auto"/>
          </w:tcPr>
          <w:p w14:paraId="52A192B4" w14:textId="77777777" w:rsidR="0061692C" w:rsidRPr="0061692C" w:rsidRDefault="0061692C" w:rsidP="0061692C">
            <w:pPr>
              <w:rPr>
                <w:bCs/>
                <w:lang w:val="en-GB"/>
              </w:rPr>
            </w:pPr>
            <w:r w:rsidRPr="0061692C">
              <w:rPr>
                <w:b/>
                <w:bCs/>
                <w:lang w:val="en-US"/>
              </w:rPr>
              <w:t>Cardiac disorders</w:t>
            </w:r>
            <w:r w:rsidRPr="0061692C">
              <w:rPr>
                <w:b/>
                <w:bCs/>
                <w:lang w:val="en-US"/>
              </w:rPr>
              <w:tab/>
            </w:r>
          </w:p>
        </w:tc>
      </w:tr>
      <w:tr w:rsidR="0061692C" w:rsidRPr="0061692C" w14:paraId="6CC331D3" w14:textId="77777777" w:rsidTr="005C3599">
        <w:tc>
          <w:tcPr>
            <w:tcW w:w="2266" w:type="pct"/>
            <w:shd w:val="clear" w:color="auto" w:fill="auto"/>
          </w:tcPr>
          <w:p w14:paraId="7AA7450A" w14:textId="77777777" w:rsidR="0061692C" w:rsidRPr="0061692C" w:rsidRDefault="0061692C" w:rsidP="0061692C">
            <w:pPr>
              <w:rPr>
                <w:bCs/>
                <w:lang w:val="en-GB"/>
              </w:rPr>
            </w:pPr>
            <w:r w:rsidRPr="0061692C">
              <w:rPr>
                <w:bCs/>
                <w:lang w:val="en-US"/>
              </w:rPr>
              <w:t>QT prolongation</w:t>
            </w:r>
            <w:r w:rsidRPr="0061692C">
              <w:rPr>
                <w:bCs/>
                <w:vertAlign w:val="superscript"/>
                <w:lang w:val="en-US"/>
              </w:rPr>
              <w:t>20</w:t>
            </w:r>
          </w:p>
        </w:tc>
        <w:tc>
          <w:tcPr>
            <w:tcW w:w="938" w:type="pct"/>
            <w:shd w:val="clear" w:color="auto" w:fill="auto"/>
            <w:vAlign w:val="center"/>
          </w:tcPr>
          <w:p w14:paraId="7E109627" w14:textId="77777777" w:rsidR="0061692C" w:rsidRPr="0061692C" w:rsidRDefault="0061692C" w:rsidP="0061692C">
            <w:pPr>
              <w:rPr>
                <w:bCs/>
                <w:lang w:val="en-GB"/>
              </w:rPr>
            </w:pPr>
            <w:r w:rsidRPr="0061692C">
              <w:rPr>
                <w:bCs/>
                <w:lang w:val="en-US"/>
              </w:rPr>
              <w:t>Common</w:t>
            </w:r>
          </w:p>
        </w:tc>
        <w:tc>
          <w:tcPr>
            <w:tcW w:w="937" w:type="pct"/>
            <w:shd w:val="clear" w:color="auto" w:fill="auto"/>
          </w:tcPr>
          <w:p w14:paraId="5D5D4A61" w14:textId="77777777" w:rsidR="0061692C" w:rsidRPr="0061692C" w:rsidRDefault="0061692C" w:rsidP="0061692C">
            <w:pPr>
              <w:rPr>
                <w:bCs/>
                <w:lang w:val="en-GB"/>
              </w:rPr>
            </w:pPr>
            <w:r w:rsidRPr="0061692C">
              <w:rPr>
                <w:lang w:val="en-US"/>
              </w:rPr>
              <w:t>5.1</w:t>
            </w:r>
          </w:p>
        </w:tc>
        <w:tc>
          <w:tcPr>
            <w:tcW w:w="859" w:type="pct"/>
            <w:shd w:val="clear" w:color="auto" w:fill="auto"/>
          </w:tcPr>
          <w:p w14:paraId="5EFB60F3" w14:textId="77777777" w:rsidR="0061692C" w:rsidRPr="0061692C" w:rsidRDefault="0061692C" w:rsidP="0061692C">
            <w:pPr>
              <w:rPr>
                <w:bCs/>
                <w:lang w:val="en-GB"/>
              </w:rPr>
            </w:pPr>
            <w:r w:rsidRPr="0061692C">
              <w:rPr>
                <w:lang w:val="en-US"/>
              </w:rPr>
              <w:t>0.4</w:t>
            </w:r>
          </w:p>
        </w:tc>
      </w:tr>
      <w:tr w:rsidR="0061692C" w:rsidRPr="0061692C" w14:paraId="296DC07F" w14:textId="77777777" w:rsidTr="005C3599">
        <w:tc>
          <w:tcPr>
            <w:tcW w:w="5000" w:type="pct"/>
            <w:gridSpan w:val="4"/>
          </w:tcPr>
          <w:p w14:paraId="175B6CE8" w14:textId="77777777" w:rsidR="0061692C" w:rsidRPr="0061692C" w:rsidRDefault="0061692C" w:rsidP="0061692C">
            <w:pPr>
              <w:rPr>
                <w:b/>
                <w:bCs/>
                <w:lang w:val="en-GB"/>
              </w:rPr>
            </w:pPr>
            <w:r w:rsidRPr="0061692C">
              <w:rPr>
                <w:b/>
                <w:bCs/>
                <w:lang w:val="en-GB"/>
              </w:rPr>
              <w:t>Renal and urinary disorders</w:t>
            </w:r>
          </w:p>
        </w:tc>
      </w:tr>
      <w:tr w:rsidR="0061692C" w:rsidRPr="0061692C" w14:paraId="39FB8F77" w14:textId="77777777" w:rsidTr="005C3599">
        <w:tc>
          <w:tcPr>
            <w:tcW w:w="2266" w:type="pct"/>
          </w:tcPr>
          <w:p w14:paraId="727E9529" w14:textId="77777777" w:rsidR="0061692C" w:rsidRPr="0061692C" w:rsidRDefault="0061692C" w:rsidP="0061692C">
            <w:pPr>
              <w:rPr>
                <w:u w:val="double"/>
                <w:lang w:val="en-GB"/>
              </w:rPr>
            </w:pPr>
            <w:r w:rsidRPr="0061692C">
              <w:rPr>
                <w:lang w:val="en-GB"/>
              </w:rPr>
              <w:t>Blood creatinine increased</w:t>
            </w:r>
          </w:p>
        </w:tc>
        <w:tc>
          <w:tcPr>
            <w:tcW w:w="938" w:type="pct"/>
          </w:tcPr>
          <w:p w14:paraId="7D2D3B9A" w14:textId="77777777" w:rsidR="0061692C" w:rsidRPr="0061692C" w:rsidRDefault="0061692C" w:rsidP="0061692C">
            <w:pPr>
              <w:rPr>
                <w:bCs/>
                <w:u w:val="double"/>
                <w:lang w:val="en-GB"/>
              </w:rPr>
            </w:pPr>
            <w:r w:rsidRPr="0061692C">
              <w:rPr>
                <w:bCs/>
                <w:lang w:val="en-GB"/>
              </w:rPr>
              <w:t>Very common</w:t>
            </w:r>
          </w:p>
        </w:tc>
        <w:tc>
          <w:tcPr>
            <w:tcW w:w="937" w:type="pct"/>
          </w:tcPr>
          <w:p w14:paraId="4B5490EF" w14:textId="77777777" w:rsidR="0061692C" w:rsidRPr="0061692C" w:rsidRDefault="0061692C" w:rsidP="0061692C">
            <w:pPr>
              <w:rPr>
                <w:b/>
                <w:bCs/>
                <w:u w:val="double"/>
                <w:lang w:val="en-GB"/>
              </w:rPr>
            </w:pPr>
            <w:r w:rsidRPr="0061692C">
              <w:rPr>
                <w:bCs/>
                <w:lang w:val="en-GB"/>
              </w:rPr>
              <w:t>22.3</w:t>
            </w:r>
          </w:p>
        </w:tc>
        <w:tc>
          <w:tcPr>
            <w:tcW w:w="859" w:type="pct"/>
          </w:tcPr>
          <w:p w14:paraId="064902C2" w14:textId="77777777" w:rsidR="0061692C" w:rsidRPr="0061692C" w:rsidRDefault="0061692C" w:rsidP="0061692C">
            <w:pPr>
              <w:rPr>
                <w:bCs/>
                <w:lang w:val="en-GB"/>
              </w:rPr>
            </w:pPr>
            <w:r w:rsidRPr="0061692C">
              <w:rPr>
                <w:bCs/>
                <w:lang w:val="en-GB"/>
              </w:rPr>
              <w:t>0.4</w:t>
            </w:r>
          </w:p>
        </w:tc>
      </w:tr>
      <w:tr w:rsidR="0061692C" w:rsidRPr="0061692C" w14:paraId="1F2DD8B3" w14:textId="77777777" w:rsidTr="0061692C">
        <w:tc>
          <w:tcPr>
            <w:tcW w:w="5000" w:type="pct"/>
            <w:gridSpan w:val="4"/>
          </w:tcPr>
          <w:p w14:paraId="2CCF138D" w14:textId="7C7635F6" w:rsidR="0061692C" w:rsidRPr="0061692C" w:rsidRDefault="0061692C" w:rsidP="0061692C">
            <w:pPr>
              <w:rPr>
                <w:bCs/>
                <w:lang w:val="en-GB"/>
              </w:rPr>
            </w:pPr>
            <w:r w:rsidRPr="0061692C">
              <w:rPr>
                <w:b/>
                <w:lang w:val="en-GB"/>
              </w:rPr>
              <w:lastRenderedPageBreak/>
              <w:t>Investigations</w:t>
            </w:r>
          </w:p>
        </w:tc>
      </w:tr>
      <w:tr w:rsidR="0061692C" w:rsidRPr="0061692C" w14:paraId="475C67A8" w14:textId="77777777" w:rsidTr="005C3599">
        <w:tc>
          <w:tcPr>
            <w:tcW w:w="2266" w:type="pct"/>
          </w:tcPr>
          <w:p w14:paraId="3AD49E88" w14:textId="5957143C" w:rsidR="0061692C" w:rsidRPr="0061692C" w:rsidRDefault="0061692C" w:rsidP="0061692C">
            <w:pPr>
              <w:rPr>
                <w:lang w:val="en-GB"/>
              </w:rPr>
            </w:pPr>
            <w:r w:rsidRPr="0061692C">
              <w:rPr>
                <w:lang w:val="en-GB"/>
              </w:rPr>
              <w:t>Blood alkaline phosphatase increased</w:t>
            </w:r>
          </w:p>
        </w:tc>
        <w:tc>
          <w:tcPr>
            <w:tcW w:w="938" w:type="pct"/>
          </w:tcPr>
          <w:p w14:paraId="09D29A81" w14:textId="2391A076" w:rsidR="0061692C" w:rsidRPr="0061692C" w:rsidRDefault="0061692C" w:rsidP="0061692C">
            <w:pPr>
              <w:rPr>
                <w:bCs/>
                <w:lang w:val="en-GB"/>
              </w:rPr>
            </w:pPr>
            <w:r>
              <w:rPr>
                <w:bCs/>
                <w:lang w:val="en-GB"/>
              </w:rPr>
              <w:t>Very common</w:t>
            </w:r>
          </w:p>
        </w:tc>
        <w:tc>
          <w:tcPr>
            <w:tcW w:w="937" w:type="pct"/>
          </w:tcPr>
          <w:p w14:paraId="6F7E0B32" w14:textId="0C249215" w:rsidR="0061692C" w:rsidRPr="0061692C" w:rsidRDefault="0061692C" w:rsidP="0061692C">
            <w:pPr>
              <w:rPr>
                <w:bCs/>
                <w:lang w:val="en-GB"/>
              </w:rPr>
            </w:pPr>
            <w:r>
              <w:rPr>
                <w:bCs/>
                <w:lang w:val="en-GB"/>
              </w:rPr>
              <w:t>10.4</w:t>
            </w:r>
          </w:p>
        </w:tc>
        <w:tc>
          <w:tcPr>
            <w:tcW w:w="859" w:type="pct"/>
          </w:tcPr>
          <w:p w14:paraId="5180702E" w14:textId="3B4BFF35" w:rsidR="0061692C" w:rsidRPr="0061692C" w:rsidRDefault="0061692C" w:rsidP="0061692C">
            <w:pPr>
              <w:rPr>
                <w:bCs/>
                <w:lang w:val="en-GB"/>
              </w:rPr>
            </w:pPr>
            <w:r>
              <w:rPr>
                <w:bCs/>
                <w:lang w:val="en-GB"/>
              </w:rPr>
              <w:t>1.1</w:t>
            </w:r>
          </w:p>
        </w:tc>
      </w:tr>
    </w:tbl>
    <w:p w14:paraId="4ED8CFF6" w14:textId="77777777" w:rsidR="0061692C" w:rsidRPr="005A6246" w:rsidRDefault="0061692C" w:rsidP="0088407D">
      <w:pPr>
        <w:pStyle w:val="CommentText"/>
        <w:keepLines/>
        <w:tabs>
          <w:tab w:val="left" w:pos="172"/>
        </w:tabs>
        <w:rPr>
          <w:bCs/>
          <w:sz w:val="22"/>
          <w:szCs w:val="22"/>
          <w:lang w:val="en-GB"/>
        </w:rPr>
      </w:pPr>
      <w:r w:rsidRPr="005A6246">
        <w:rPr>
          <w:vertAlign w:val="superscript"/>
          <w:lang w:val="en-GB"/>
        </w:rPr>
        <w:t>1</w:t>
      </w:r>
      <w:r w:rsidRPr="005A6246">
        <w:rPr>
          <w:sz w:val="22"/>
          <w:szCs w:val="22"/>
          <w:lang w:val="en-GB"/>
        </w:rPr>
        <w:tab/>
      </w:r>
      <w:r w:rsidRPr="005A6246">
        <w:rPr>
          <w:szCs w:val="22"/>
          <w:lang w:val="en-GB"/>
        </w:rPr>
        <w:t xml:space="preserve">includes </w:t>
      </w:r>
      <w:r w:rsidRPr="009065BA">
        <w:rPr>
          <w:szCs w:val="22"/>
          <w:lang w:val="en-GB"/>
        </w:rPr>
        <w:t xml:space="preserve">pneumonia, pneumocystis </w:t>
      </w:r>
      <w:proofErr w:type="spellStart"/>
      <w:r w:rsidRPr="009065BA">
        <w:rPr>
          <w:szCs w:val="22"/>
          <w:lang w:val="en-GB"/>
        </w:rPr>
        <w:t>jirovecii</w:t>
      </w:r>
      <w:proofErr w:type="spellEnd"/>
      <w:r w:rsidRPr="009065BA">
        <w:rPr>
          <w:szCs w:val="22"/>
          <w:lang w:val="en-GB"/>
        </w:rPr>
        <w:t xml:space="preserve"> pneumonia, pneumonia cytomegaloviral, atypical pneumonia, lung infection, pneumonia bacterial, pneumonia haemophilus, pneumonia </w:t>
      </w:r>
      <w:proofErr w:type="spellStart"/>
      <w:r w:rsidRPr="009065BA">
        <w:rPr>
          <w:szCs w:val="22"/>
          <w:lang w:val="en-GB"/>
        </w:rPr>
        <w:t>influenzal</w:t>
      </w:r>
      <w:proofErr w:type="spellEnd"/>
      <w:r w:rsidRPr="009065BA">
        <w:rPr>
          <w:szCs w:val="22"/>
          <w:lang w:val="en-GB"/>
        </w:rPr>
        <w:t>, pneumonia</w:t>
      </w:r>
      <w:r w:rsidRPr="00DA0D1F">
        <w:rPr>
          <w:szCs w:val="22"/>
          <w:lang w:val="en-GB"/>
        </w:rPr>
        <w:t xml:space="preserve"> streptococcal</w:t>
      </w:r>
      <w:r>
        <w:rPr>
          <w:szCs w:val="22"/>
          <w:lang w:val="en-GB"/>
        </w:rPr>
        <w:t xml:space="preserve">, </w:t>
      </w:r>
      <w:r w:rsidRPr="00DA0D1F">
        <w:rPr>
          <w:szCs w:val="22"/>
          <w:lang w:val="en-GB"/>
        </w:rPr>
        <w:t xml:space="preserve">pneumonia </w:t>
      </w:r>
      <w:proofErr w:type="spellStart"/>
      <w:r w:rsidRPr="00DA0D1F">
        <w:rPr>
          <w:szCs w:val="22"/>
          <w:lang w:val="en-GB"/>
        </w:rPr>
        <w:t>moraxella</w:t>
      </w:r>
      <w:proofErr w:type="spellEnd"/>
      <w:r w:rsidRPr="00DA0D1F">
        <w:rPr>
          <w:szCs w:val="22"/>
          <w:lang w:val="en-GB"/>
        </w:rPr>
        <w:t>,</w:t>
      </w:r>
      <w:r>
        <w:rPr>
          <w:szCs w:val="22"/>
          <w:lang w:val="en-GB"/>
        </w:rPr>
        <w:t xml:space="preserve"> </w:t>
      </w:r>
      <w:r w:rsidRPr="00DA0D1F">
        <w:rPr>
          <w:szCs w:val="22"/>
          <w:lang w:val="en-GB"/>
        </w:rPr>
        <w:t>pneumonia staphylococcal</w:t>
      </w:r>
      <w:r>
        <w:rPr>
          <w:szCs w:val="22"/>
          <w:lang w:val="en-GB"/>
        </w:rPr>
        <w:t xml:space="preserve">, </w:t>
      </w:r>
      <w:r w:rsidRPr="00DA0D1F">
        <w:rPr>
          <w:szCs w:val="22"/>
          <w:lang w:val="en-GB"/>
        </w:rPr>
        <w:t>pneumonia pseudomonal</w:t>
      </w:r>
      <w:r>
        <w:rPr>
          <w:szCs w:val="22"/>
          <w:lang w:val="en-GB"/>
        </w:rPr>
        <w:t xml:space="preserve">, </w:t>
      </w:r>
      <w:r w:rsidRPr="00DA0D1F">
        <w:rPr>
          <w:szCs w:val="22"/>
          <w:lang w:val="en-GB"/>
        </w:rPr>
        <w:t>atypical mycobacterial pneumonia</w:t>
      </w:r>
      <w:r>
        <w:rPr>
          <w:szCs w:val="22"/>
          <w:lang w:val="en-GB"/>
        </w:rPr>
        <w:t xml:space="preserve">, </w:t>
      </w:r>
      <w:r w:rsidRPr="00DA0D1F">
        <w:rPr>
          <w:szCs w:val="22"/>
          <w:lang w:val="en-GB"/>
        </w:rPr>
        <w:t xml:space="preserve">pneumonia </w:t>
      </w:r>
      <w:proofErr w:type="gramStart"/>
      <w:r w:rsidRPr="00DA0D1F">
        <w:rPr>
          <w:szCs w:val="22"/>
          <w:lang w:val="en-GB"/>
        </w:rPr>
        <w:t>legionella</w:t>
      </w:r>
      <w:proofErr w:type="gramEnd"/>
    </w:p>
    <w:p w14:paraId="6EAEF4B2"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2</w:t>
      </w:r>
      <w:r w:rsidRPr="005A6246">
        <w:rPr>
          <w:vertAlign w:val="superscript"/>
          <w:lang w:val="en-GB"/>
        </w:rPr>
        <w:tab/>
      </w:r>
      <w:r w:rsidRPr="005A6246">
        <w:rPr>
          <w:lang w:val="en-GB"/>
        </w:rPr>
        <w:t xml:space="preserve">includes anaemia, haematocrit decreased, red blood cell count decreased, haemoglobin decreased, aplastic </w:t>
      </w:r>
      <w:proofErr w:type="gramStart"/>
      <w:r w:rsidRPr="005A6246">
        <w:rPr>
          <w:lang w:val="en-GB"/>
        </w:rPr>
        <w:t>anaemia</w:t>
      </w:r>
      <w:proofErr w:type="gramEnd"/>
    </w:p>
    <w:p w14:paraId="48EE32D2"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3</w:t>
      </w:r>
      <w:r w:rsidRPr="005A6246">
        <w:rPr>
          <w:vertAlign w:val="superscript"/>
          <w:lang w:val="en-GB"/>
        </w:rPr>
        <w:tab/>
      </w:r>
      <w:r w:rsidRPr="005A6246">
        <w:rPr>
          <w:lang w:val="en-GB"/>
        </w:rPr>
        <w:t xml:space="preserve">includes neutrophil count decreased, </w:t>
      </w:r>
      <w:proofErr w:type="gramStart"/>
      <w:r w:rsidRPr="005A6246">
        <w:rPr>
          <w:lang w:val="en-GB"/>
        </w:rPr>
        <w:t>neutropenia</w:t>
      </w:r>
      <w:proofErr w:type="gramEnd"/>
    </w:p>
    <w:p w14:paraId="75207A54"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4</w:t>
      </w:r>
      <w:r w:rsidRPr="005A6246">
        <w:rPr>
          <w:vertAlign w:val="superscript"/>
          <w:lang w:val="en-GB"/>
        </w:rPr>
        <w:tab/>
      </w:r>
      <w:r w:rsidRPr="005A6246">
        <w:rPr>
          <w:lang w:val="en-GB"/>
        </w:rPr>
        <w:t xml:space="preserve">includes white blood cell count decreased, </w:t>
      </w:r>
      <w:proofErr w:type="gramStart"/>
      <w:r w:rsidRPr="005A6246">
        <w:rPr>
          <w:lang w:val="en-GB"/>
        </w:rPr>
        <w:t>leukopenia</w:t>
      </w:r>
      <w:proofErr w:type="gramEnd"/>
    </w:p>
    <w:p w14:paraId="7A01D2C3"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5</w:t>
      </w:r>
      <w:r w:rsidRPr="005A6246">
        <w:rPr>
          <w:vertAlign w:val="superscript"/>
          <w:lang w:val="en-GB"/>
        </w:rPr>
        <w:tab/>
      </w:r>
      <w:r w:rsidRPr="005A6246">
        <w:rPr>
          <w:lang w:val="en-GB"/>
        </w:rPr>
        <w:t xml:space="preserve">includes lymphopenia, lymphocyte count </w:t>
      </w:r>
      <w:proofErr w:type="gramStart"/>
      <w:r w:rsidRPr="005A6246">
        <w:rPr>
          <w:lang w:val="en-GB"/>
        </w:rPr>
        <w:t>decreased</w:t>
      </w:r>
      <w:proofErr w:type="gramEnd"/>
    </w:p>
    <w:p w14:paraId="32FF728F"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6</w:t>
      </w:r>
      <w:r w:rsidRPr="005A6246">
        <w:rPr>
          <w:vertAlign w:val="superscript"/>
          <w:lang w:val="en-GB"/>
        </w:rPr>
        <w:tab/>
      </w:r>
      <w:r w:rsidRPr="005A6246">
        <w:rPr>
          <w:lang w:val="en-GB"/>
        </w:rPr>
        <w:t xml:space="preserve">includes thrombocytopenia, platelet count </w:t>
      </w:r>
      <w:proofErr w:type="gramStart"/>
      <w:r w:rsidRPr="005A6246">
        <w:rPr>
          <w:lang w:val="en-GB"/>
        </w:rPr>
        <w:t>decreased</w:t>
      </w:r>
      <w:proofErr w:type="gramEnd"/>
    </w:p>
    <w:p w14:paraId="0CDAAB33"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7</w:t>
      </w:r>
      <w:r w:rsidRPr="005A6246">
        <w:rPr>
          <w:vertAlign w:val="superscript"/>
          <w:lang w:val="en-GB"/>
        </w:rPr>
        <w:tab/>
      </w:r>
      <w:r w:rsidRPr="005A6246">
        <w:rPr>
          <w:lang w:val="en-GB"/>
        </w:rPr>
        <w:t xml:space="preserve">includes ageusia, </w:t>
      </w:r>
      <w:proofErr w:type="gramStart"/>
      <w:r w:rsidRPr="005A6246">
        <w:rPr>
          <w:lang w:val="en-GB"/>
        </w:rPr>
        <w:t>dysgeusia</w:t>
      </w:r>
      <w:proofErr w:type="gramEnd"/>
    </w:p>
    <w:p w14:paraId="3BE66F70"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8</w:t>
      </w:r>
      <w:r w:rsidRPr="005A6246">
        <w:rPr>
          <w:vertAlign w:val="superscript"/>
          <w:lang w:val="en-GB"/>
        </w:rPr>
        <w:tab/>
      </w:r>
      <w:r w:rsidRPr="005A6246">
        <w:rPr>
          <w:lang w:val="en-GB"/>
        </w:rPr>
        <w:t xml:space="preserve">includes headache, tension </w:t>
      </w:r>
      <w:proofErr w:type="gramStart"/>
      <w:r w:rsidRPr="005A6246">
        <w:rPr>
          <w:lang w:val="en-GB"/>
        </w:rPr>
        <w:t>headache</w:t>
      </w:r>
      <w:proofErr w:type="gramEnd"/>
    </w:p>
    <w:p w14:paraId="124DE01A"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9</w:t>
      </w:r>
      <w:r w:rsidRPr="005A6246">
        <w:rPr>
          <w:vertAlign w:val="superscript"/>
          <w:lang w:val="en-GB"/>
        </w:rPr>
        <w:tab/>
      </w:r>
      <w:r w:rsidRPr="005A6246">
        <w:rPr>
          <w:lang w:val="en-GB"/>
        </w:rPr>
        <w:t xml:space="preserve">includes hypertension, blood pressure </w:t>
      </w:r>
      <w:proofErr w:type="gramStart"/>
      <w:r w:rsidRPr="005A6246">
        <w:rPr>
          <w:lang w:val="en-GB"/>
        </w:rPr>
        <w:t>increased</w:t>
      </w:r>
      <w:proofErr w:type="gramEnd"/>
    </w:p>
    <w:p w14:paraId="509AF2B4"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10</w:t>
      </w:r>
      <w:r w:rsidRPr="005A6246">
        <w:rPr>
          <w:vertAlign w:val="superscript"/>
          <w:lang w:val="en-GB"/>
        </w:rPr>
        <w:tab/>
      </w:r>
      <w:r>
        <w:rPr>
          <w:lang w:val="en-GB"/>
        </w:rPr>
        <w:t>includes 39 preferred terms</w:t>
      </w:r>
      <w:r w:rsidRPr="00A17D52">
        <w:rPr>
          <w:lang w:val="en-GB"/>
        </w:rPr>
        <w:t xml:space="preserve"> from the SMQ Haemorrhage (</w:t>
      </w:r>
      <w:proofErr w:type="spellStart"/>
      <w:r w:rsidRPr="00A17D52">
        <w:rPr>
          <w:lang w:val="en-GB"/>
        </w:rPr>
        <w:t>excl</w:t>
      </w:r>
      <w:proofErr w:type="spellEnd"/>
      <w:r w:rsidRPr="00A17D52">
        <w:rPr>
          <w:lang w:val="en-GB"/>
        </w:rPr>
        <w:t xml:space="preserve"> laboratory terms) narrow, with the exclusion of terms related to invasive drug administration, terms related to rupture, disseminated intravascular coagulopathy, terms related to traumatic haemorrhages, and haemorrhagic terms related </w:t>
      </w:r>
      <w:r>
        <w:rPr>
          <w:lang w:val="en-GB"/>
        </w:rPr>
        <w:t xml:space="preserve">to pregnancy, birth or </w:t>
      </w:r>
      <w:proofErr w:type="gramStart"/>
      <w:r>
        <w:rPr>
          <w:lang w:val="en-GB"/>
        </w:rPr>
        <w:t>neonatal</w:t>
      </w:r>
      <w:proofErr w:type="gramEnd"/>
      <w:r w:rsidRPr="00A17D52">
        <w:rPr>
          <w:lang w:val="en-GB"/>
        </w:rPr>
        <w:t xml:space="preserve">  </w:t>
      </w:r>
    </w:p>
    <w:p w14:paraId="635DB223"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11</w:t>
      </w:r>
      <w:r w:rsidRPr="005A6246">
        <w:rPr>
          <w:vertAlign w:val="superscript"/>
          <w:lang w:val="en-GB"/>
        </w:rPr>
        <w:tab/>
      </w:r>
      <w:r w:rsidRPr="005A6246">
        <w:rPr>
          <w:lang w:val="en-GB"/>
        </w:rPr>
        <w:t xml:space="preserve">includes cough, productive </w:t>
      </w:r>
      <w:proofErr w:type="gramStart"/>
      <w:r w:rsidRPr="005A6246">
        <w:rPr>
          <w:lang w:val="en-GB"/>
        </w:rPr>
        <w:t>cough</w:t>
      </w:r>
      <w:proofErr w:type="gramEnd"/>
    </w:p>
    <w:p w14:paraId="1C87E540"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12</w:t>
      </w:r>
      <w:r w:rsidRPr="005A6246">
        <w:rPr>
          <w:vertAlign w:val="superscript"/>
          <w:lang w:val="en-GB"/>
        </w:rPr>
        <w:tab/>
      </w:r>
      <w:r w:rsidRPr="005A6246">
        <w:rPr>
          <w:lang w:val="en-GB"/>
        </w:rPr>
        <w:t xml:space="preserve">includes pneumonitis, interstitial lung </w:t>
      </w:r>
      <w:proofErr w:type="gramStart"/>
      <w:r w:rsidRPr="005A6246">
        <w:rPr>
          <w:lang w:val="en-GB"/>
        </w:rPr>
        <w:t>disease</w:t>
      </w:r>
      <w:proofErr w:type="gramEnd"/>
    </w:p>
    <w:p w14:paraId="24727762"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13</w:t>
      </w:r>
      <w:r w:rsidRPr="005A6246">
        <w:rPr>
          <w:vertAlign w:val="superscript"/>
          <w:lang w:val="en-GB"/>
        </w:rPr>
        <w:tab/>
      </w:r>
      <w:r w:rsidRPr="005A6246">
        <w:rPr>
          <w:lang w:val="en-GB"/>
        </w:rPr>
        <w:t xml:space="preserve">includes abdominal pain, abdominal pain </w:t>
      </w:r>
      <w:proofErr w:type="gramStart"/>
      <w:r w:rsidRPr="005A6246">
        <w:rPr>
          <w:lang w:val="en-GB"/>
        </w:rPr>
        <w:t>upper</w:t>
      </w:r>
      <w:proofErr w:type="gramEnd"/>
    </w:p>
    <w:p w14:paraId="565AA7BE"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14</w:t>
      </w:r>
      <w:r w:rsidRPr="005A6246">
        <w:rPr>
          <w:vertAlign w:val="superscript"/>
          <w:lang w:val="en-GB"/>
        </w:rPr>
        <w:tab/>
      </w:r>
      <w:r w:rsidRPr="005A6246">
        <w:rPr>
          <w:lang w:val="en-GB"/>
        </w:rPr>
        <w:t xml:space="preserve">includes stomatitis, aphthous </w:t>
      </w:r>
      <w:proofErr w:type="gramStart"/>
      <w:r w:rsidRPr="005A6246">
        <w:rPr>
          <w:lang w:val="en-GB"/>
        </w:rPr>
        <w:t>ulcer</w:t>
      </w:r>
      <w:proofErr w:type="gramEnd"/>
    </w:p>
    <w:p w14:paraId="6EE20640"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15</w:t>
      </w:r>
      <w:r w:rsidRPr="005A6246">
        <w:rPr>
          <w:vertAlign w:val="superscript"/>
          <w:lang w:val="en-GB"/>
        </w:rPr>
        <w:tab/>
      </w:r>
      <w:r w:rsidRPr="005A6246">
        <w:rPr>
          <w:lang w:val="en-GB"/>
        </w:rPr>
        <w:t xml:space="preserve">includes </w:t>
      </w:r>
      <w:bookmarkStart w:id="1" w:name="OLE_LINK3"/>
      <w:bookmarkStart w:id="2" w:name="OLE_LINK4"/>
      <w:r w:rsidRPr="005A6246">
        <w:rPr>
          <w:lang w:val="en-GB"/>
        </w:rPr>
        <w:t xml:space="preserve">blood bilirubin increased, </w:t>
      </w:r>
      <w:proofErr w:type="spellStart"/>
      <w:r w:rsidRPr="005A6246">
        <w:rPr>
          <w:lang w:val="en-GB"/>
        </w:rPr>
        <w:t>hyperbilirubinaemia</w:t>
      </w:r>
      <w:proofErr w:type="spellEnd"/>
      <w:r w:rsidRPr="005A6246">
        <w:rPr>
          <w:lang w:val="en-GB"/>
        </w:rPr>
        <w:t xml:space="preserve">, bilirubin conjugated increased, blood bilirubin unconjugated </w:t>
      </w:r>
      <w:proofErr w:type="gramStart"/>
      <w:r w:rsidRPr="005A6246">
        <w:rPr>
          <w:lang w:val="en-GB"/>
        </w:rPr>
        <w:t>increased</w:t>
      </w:r>
      <w:bookmarkEnd w:id="1"/>
      <w:bookmarkEnd w:id="2"/>
      <w:proofErr w:type="gramEnd"/>
    </w:p>
    <w:p w14:paraId="7016CA78" w14:textId="77777777" w:rsidR="0061692C" w:rsidRPr="005A6246" w:rsidRDefault="0061692C" w:rsidP="0088407D">
      <w:pPr>
        <w:pStyle w:val="CommentText"/>
        <w:keepLines/>
        <w:tabs>
          <w:tab w:val="left" w:pos="172"/>
        </w:tabs>
        <w:ind w:left="170" w:hanging="170"/>
        <w:rPr>
          <w:lang w:val="en-GB"/>
        </w:rPr>
      </w:pPr>
      <w:r w:rsidRPr="005A6246">
        <w:rPr>
          <w:vertAlign w:val="superscript"/>
          <w:lang w:val="en-GB"/>
        </w:rPr>
        <w:t>16</w:t>
      </w:r>
      <w:r w:rsidRPr="005A6246">
        <w:rPr>
          <w:vertAlign w:val="superscript"/>
          <w:lang w:val="en-GB"/>
        </w:rPr>
        <w:tab/>
      </w:r>
      <w:r w:rsidRPr="005A6246">
        <w:rPr>
          <w:lang w:val="en-GB"/>
        </w:rPr>
        <w:t xml:space="preserve">includes rash, rash maculo-papular, dermatitis acneiform, erythema, rash generalised, rash </w:t>
      </w:r>
      <w:proofErr w:type="spellStart"/>
      <w:r w:rsidRPr="005A6246">
        <w:rPr>
          <w:lang w:val="en-GB"/>
        </w:rPr>
        <w:t>papular</w:t>
      </w:r>
      <w:proofErr w:type="spellEnd"/>
      <w:r w:rsidRPr="005A6246">
        <w:rPr>
          <w:lang w:val="en-GB"/>
        </w:rPr>
        <w:t xml:space="preserve">, rash pustular, rash macular, rash </w:t>
      </w:r>
      <w:proofErr w:type="gramStart"/>
      <w:r w:rsidRPr="005A6246">
        <w:rPr>
          <w:lang w:val="en-GB"/>
        </w:rPr>
        <w:t>erythematous</w:t>
      </w:r>
      <w:proofErr w:type="gramEnd"/>
    </w:p>
    <w:p w14:paraId="35625C4C"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17</w:t>
      </w:r>
      <w:r w:rsidRPr="005A6246">
        <w:rPr>
          <w:vertAlign w:val="superscript"/>
          <w:lang w:val="en-GB"/>
        </w:rPr>
        <w:tab/>
      </w:r>
      <w:r w:rsidRPr="005A6246">
        <w:rPr>
          <w:lang w:val="en-GB"/>
        </w:rPr>
        <w:t xml:space="preserve">includes musculoskeletal chest pain, myalgia, arthralgia, pain in extremity, neck pain, musculoskeletal pain, back pain, bone pain, spinal pain, musculoskeletal </w:t>
      </w:r>
      <w:proofErr w:type="gramStart"/>
      <w:r w:rsidRPr="005A6246">
        <w:rPr>
          <w:lang w:val="en-GB"/>
        </w:rPr>
        <w:t>stiffness</w:t>
      </w:r>
      <w:proofErr w:type="gramEnd"/>
    </w:p>
    <w:p w14:paraId="197BAF72" w14:textId="77777777" w:rsidR="0061692C" w:rsidRPr="005A6246" w:rsidRDefault="0061692C" w:rsidP="0088407D">
      <w:pPr>
        <w:pStyle w:val="CommentText"/>
        <w:keepLines/>
        <w:tabs>
          <w:tab w:val="left" w:pos="172"/>
        </w:tabs>
        <w:ind w:left="170" w:hanging="170"/>
        <w:rPr>
          <w:vertAlign w:val="superscript"/>
          <w:lang w:val="en-GB"/>
        </w:rPr>
      </w:pPr>
      <w:r w:rsidRPr="005A6246">
        <w:rPr>
          <w:vertAlign w:val="superscript"/>
          <w:lang w:val="en-GB"/>
        </w:rPr>
        <w:t>18</w:t>
      </w:r>
      <w:r w:rsidRPr="005A6246">
        <w:rPr>
          <w:vertAlign w:val="superscript"/>
          <w:lang w:val="en-GB"/>
        </w:rPr>
        <w:tab/>
      </w:r>
      <w:r w:rsidRPr="005A6246">
        <w:rPr>
          <w:lang w:val="en-GB"/>
        </w:rPr>
        <w:t xml:space="preserve">includes asthenia, </w:t>
      </w:r>
      <w:proofErr w:type="gramStart"/>
      <w:r w:rsidRPr="005A6246">
        <w:rPr>
          <w:lang w:val="en-GB"/>
        </w:rPr>
        <w:t>fatigue</w:t>
      </w:r>
      <w:proofErr w:type="gramEnd"/>
    </w:p>
    <w:p w14:paraId="3906681B" w14:textId="77777777" w:rsidR="0061692C" w:rsidRDefault="0061692C" w:rsidP="0088407D">
      <w:pPr>
        <w:pStyle w:val="CommentText"/>
        <w:keepLines/>
        <w:tabs>
          <w:tab w:val="left" w:pos="172"/>
        </w:tabs>
        <w:ind w:left="170" w:hanging="170"/>
        <w:rPr>
          <w:lang w:val="en-GB"/>
        </w:rPr>
      </w:pPr>
      <w:r w:rsidRPr="005A6246">
        <w:rPr>
          <w:vertAlign w:val="superscript"/>
          <w:lang w:val="en-GB"/>
        </w:rPr>
        <w:t>19</w:t>
      </w:r>
      <w:r w:rsidRPr="005A6246">
        <w:rPr>
          <w:vertAlign w:val="superscript"/>
          <w:lang w:val="en-GB"/>
        </w:rPr>
        <w:tab/>
      </w:r>
      <w:r w:rsidRPr="005A6246">
        <w:rPr>
          <w:lang w:val="en-GB"/>
        </w:rPr>
        <w:t xml:space="preserve">includes oedema, swelling face, peripheral swelling, oedema peripheral, face oedema, periorbital oedema, eyelid oedema, generalised oedema, swelling, localised </w:t>
      </w:r>
      <w:proofErr w:type="gramStart"/>
      <w:r w:rsidRPr="005A6246">
        <w:rPr>
          <w:lang w:val="en-GB"/>
        </w:rPr>
        <w:t>oedema</w:t>
      </w:r>
      <w:proofErr w:type="gramEnd"/>
    </w:p>
    <w:p w14:paraId="45D4966B" w14:textId="77777777" w:rsidR="0061692C" w:rsidRPr="00C05513" w:rsidRDefault="0061692C" w:rsidP="0088407D">
      <w:pPr>
        <w:pStyle w:val="CommentText"/>
        <w:keepLines/>
        <w:tabs>
          <w:tab w:val="left" w:pos="172"/>
        </w:tabs>
        <w:ind w:left="170" w:hanging="170"/>
        <w:rPr>
          <w:vertAlign w:val="superscript"/>
        </w:rPr>
      </w:pPr>
      <w:r>
        <w:rPr>
          <w:vertAlign w:val="superscript"/>
        </w:rPr>
        <w:t xml:space="preserve">20 </w:t>
      </w:r>
      <w:r>
        <w:t xml:space="preserve">includes </w:t>
      </w:r>
      <w:r w:rsidRPr="001F4A3E">
        <w:t>electrocardiogram QT prolonged</w:t>
      </w:r>
      <w:r>
        <w:t>,</w:t>
      </w:r>
      <w:r w:rsidRPr="001F4A3E">
        <w:t xml:space="preserve"> long QT </w:t>
      </w:r>
      <w:proofErr w:type="gramStart"/>
      <w:r w:rsidRPr="001F4A3E">
        <w:t>syndrome</w:t>
      </w:r>
      <w:proofErr w:type="gramEnd"/>
    </w:p>
    <w:p w14:paraId="079B7312" w14:textId="77777777" w:rsidR="0061692C" w:rsidRDefault="0061692C" w:rsidP="0088407D">
      <w:pPr>
        <w:pStyle w:val="CommentText"/>
        <w:keepLines/>
        <w:tabs>
          <w:tab w:val="left" w:pos="172"/>
        </w:tabs>
        <w:ind w:left="170" w:hanging="170"/>
        <w:rPr>
          <w:bCs/>
          <w:sz w:val="22"/>
          <w:szCs w:val="22"/>
          <w:lang w:val="en-GB"/>
        </w:rPr>
      </w:pPr>
      <w:r w:rsidRPr="005A6246">
        <w:rPr>
          <w:vertAlign w:val="superscript"/>
          <w:lang w:val="en-GB"/>
        </w:rPr>
        <w:t>*</w:t>
      </w:r>
      <w:r w:rsidRPr="005A6246">
        <w:rPr>
          <w:vertAlign w:val="superscript"/>
          <w:lang w:val="en-GB"/>
        </w:rPr>
        <w:tab/>
      </w:r>
      <w:proofErr w:type="gramStart"/>
      <w:r w:rsidRPr="005A6246">
        <w:rPr>
          <w:lang w:val="en-GB"/>
        </w:rPr>
        <w:t>additionally</w:t>
      </w:r>
      <w:proofErr w:type="gramEnd"/>
      <w:r w:rsidRPr="005A6246">
        <w:rPr>
          <w:lang w:val="en-GB"/>
        </w:rPr>
        <w:t>, 3.0% transaminases increased were reported (0.6% Grades 3-4)</w:t>
      </w:r>
    </w:p>
    <w:p w14:paraId="4A13EF13" w14:textId="50768262" w:rsidR="00F804EF" w:rsidRDefault="00F804EF" w:rsidP="00F804EF"/>
    <w:p w14:paraId="3207C868" w14:textId="77777777" w:rsidR="004C4281" w:rsidRPr="00413B23" w:rsidRDefault="004C4281" w:rsidP="004C4281">
      <w:pPr>
        <w:rPr>
          <w:u w:val="single"/>
        </w:rPr>
      </w:pPr>
      <w:r w:rsidRPr="00C7067C">
        <w:rPr>
          <w:u w:val="single"/>
        </w:rPr>
        <w:t xml:space="preserve">Description </w:t>
      </w:r>
      <w:r w:rsidRPr="00413B23">
        <w:rPr>
          <w:u w:val="single"/>
        </w:rPr>
        <w:t>of selected adverse reactions</w:t>
      </w:r>
    </w:p>
    <w:p w14:paraId="0EB8C5F0" w14:textId="77777777" w:rsidR="00413B23" w:rsidRDefault="00413B23" w:rsidP="00413B23">
      <w:pPr>
        <w:keepNext/>
        <w:keepLines/>
        <w:autoSpaceDE w:val="0"/>
        <w:autoSpaceDN w:val="0"/>
        <w:adjustRightInd w:val="0"/>
        <w:jc w:val="both"/>
        <w:rPr>
          <w:i/>
          <w:iCs/>
          <w:u w:val="single"/>
          <w:lang w:val="en-GB"/>
        </w:rPr>
      </w:pPr>
    </w:p>
    <w:p w14:paraId="618E3CDC" w14:textId="77777777" w:rsidR="00413B23" w:rsidRDefault="00413B23" w:rsidP="00413B23">
      <w:pPr>
        <w:keepNext/>
        <w:keepLines/>
        <w:autoSpaceDE w:val="0"/>
        <w:autoSpaceDN w:val="0"/>
        <w:adjustRightInd w:val="0"/>
        <w:jc w:val="both"/>
        <w:rPr>
          <w:i/>
          <w:iCs/>
          <w:u w:val="single"/>
          <w:lang w:val="en-GB"/>
        </w:rPr>
      </w:pPr>
      <w:r w:rsidRPr="005A6246">
        <w:rPr>
          <w:i/>
          <w:iCs/>
          <w:u w:val="single"/>
          <w:lang w:val="en-GB"/>
        </w:rPr>
        <w:t>Pneumonitis</w:t>
      </w:r>
      <w:r w:rsidRPr="005A6246">
        <w:rPr>
          <w:rStyle w:val="CommentReference"/>
          <w:i/>
          <w:sz w:val="22"/>
          <w:szCs w:val="22"/>
          <w:u w:val="single"/>
          <w:lang w:val="en-GB"/>
        </w:rPr>
        <w:t>/I</w:t>
      </w:r>
      <w:r w:rsidRPr="005A6246">
        <w:rPr>
          <w:i/>
          <w:iCs/>
          <w:u w:val="single"/>
          <w:lang w:val="en-GB"/>
        </w:rPr>
        <w:t>LD</w:t>
      </w:r>
    </w:p>
    <w:p w14:paraId="28C1B85D" w14:textId="77777777" w:rsidR="00413B23" w:rsidRPr="005A6246" w:rsidRDefault="00413B23" w:rsidP="00413B23">
      <w:pPr>
        <w:keepNext/>
        <w:keepLines/>
        <w:autoSpaceDE w:val="0"/>
        <w:autoSpaceDN w:val="0"/>
        <w:adjustRightInd w:val="0"/>
        <w:jc w:val="both"/>
        <w:rPr>
          <w:i/>
          <w:iCs/>
          <w:u w:val="single"/>
          <w:lang w:val="en-GB"/>
        </w:rPr>
      </w:pPr>
    </w:p>
    <w:p w14:paraId="2ACA859A" w14:textId="4286EE48" w:rsidR="00413B23" w:rsidRPr="005A6246" w:rsidRDefault="00413B23" w:rsidP="00413B23">
      <w:pPr>
        <w:autoSpaceDE w:val="0"/>
        <w:autoSpaceDN w:val="0"/>
        <w:adjustRightInd w:val="0"/>
        <w:rPr>
          <w:bCs/>
          <w:lang w:val="en-GB"/>
        </w:rPr>
      </w:pPr>
      <w:r w:rsidRPr="005A6246">
        <w:rPr>
          <w:bCs/>
          <w:lang w:val="en-GB"/>
        </w:rPr>
        <w:t xml:space="preserve">Pneumonitis and ILD occurred in 11.6% of </w:t>
      </w:r>
      <w:r w:rsidRPr="005A6246">
        <w:rPr>
          <w:lang w:val="en-GB"/>
        </w:rPr>
        <w:t>528</w:t>
      </w:r>
      <w:r w:rsidRPr="005A6246">
        <w:rPr>
          <w:bCs/>
          <w:lang w:val="en-GB"/>
        </w:rPr>
        <w:t xml:space="preserve"> patients with NSCLC or other solid tumours, enrolled in the ARROW Study who received </w:t>
      </w:r>
      <w:proofErr w:type="spellStart"/>
      <w:r w:rsidRPr="005A6246">
        <w:rPr>
          <w:bCs/>
          <w:lang w:val="en-GB"/>
        </w:rPr>
        <w:t>Gavreto</w:t>
      </w:r>
      <w:proofErr w:type="spellEnd"/>
      <w:r w:rsidRPr="005A6246">
        <w:rPr>
          <w:bCs/>
          <w:lang w:val="en-GB"/>
        </w:rPr>
        <w:t xml:space="preserve"> </w:t>
      </w:r>
      <w:r w:rsidR="00C2117C" w:rsidRPr="005A6246">
        <w:rPr>
          <w:bCs/>
          <w:lang w:val="en-GB"/>
        </w:rPr>
        <w:t>(see section 4.4</w:t>
      </w:r>
      <w:r w:rsidR="00C2117C">
        <w:rPr>
          <w:bCs/>
          <w:lang w:val="en-GB"/>
        </w:rPr>
        <w:t xml:space="preserve"> </w:t>
      </w:r>
      <w:r w:rsidR="00C2117C" w:rsidRPr="00986453">
        <w:rPr>
          <w:i/>
        </w:rPr>
        <w:t>Special warnings and precautions for use</w:t>
      </w:r>
      <w:r w:rsidR="00C2117C" w:rsidRPr="005A6246">
        <w:rPr>
          <w:bCs/>
          <w:lang w:val="en-GB"/>
        </w:rPr>
        <w:t>)</w:t>
      </w:r>
      <w:r w:rsidRPr="005A6246">
        <w:rPr>
          <w:bCs/>
          <w:lang w:val="en-GB"/>
        </w:rPr>
        <w:t>. Among the patients who had pneumonitis/ILD, the median time to onset was 15.6 weeks.</w:t>
      </w:r>
    </w:p>
    <w:p w14:paraId="3674392A" w14:textId="77777777" w:rsidR="00413B23" w:rsidRPr="005A6246" w:rsidRDefault="00413B23" w:rsidP="00413B23">
      <w:pPr>
        <w:autoSpaceDE w:val="0"/>
        <w:autoSpaceDN w:val="0"/>
        <w:adjustRightInd w:val="0"/>
        <w:rPr>
          <w:bCs/>
          <w:lang w:val="en-GB"/>
        </w:rPr>
      </w:pPr>
    </w:p>
    <w:p w14:paraId="23C1E065" w14:textId="77777777" w:rsidR="00413B23" w:rsidRPr="005A6246" w:rsidRDefault="00413B23" w:rsidP="00413B23">
      <w:pPr>
        <w:pStyle w:val="CommentText"/>
        <w:rPr>
          <w:sz w:val="22"/>
          <w:lang w:val="en-GB"/>
        </w:rPr>
      </w:pPr>
      <w:r w:rsidRPr="005A6246">
        <w:rPr>
          <w:sz w:val="22"/>
          <w:lang w:val="en-GB"/>
        </w:rPr>
        <w:t xml:space="preserve">Serious adverse reactions of pneumonitis/ILD were reported for 5.3% of patients, including Grade 3 events (2.5%), Grade 4 (0.6%) and one fatal (Grade 5) event (0.2%). </w:t>
      </w:r>
    </w:p>
    <w:p w14:paraId="5FCA37E4" w14:textId="77777777" w:rsidR="00413B23" w:rsidRPr="005A6246" w:rsidRDefault="00413B23" w:rsidP="00413B23">
      <w:pPr>
        <w:autoSpaceDE w:val="0"/>
        <w:autoSpaceDN w:val="0"/>
        <w:adjustRightInd w:val="0"/>
        <w:rPr>
          <w:lang w:val="en-GB"/>
        </w:rPr>
      </w:pPr>
    </w:p>
    <w:p w14:paraId="6BCEFE51" w14:textId="77777777" w:rsidR="00413B23" w:rsidRPr="005A6246" w:rsidRDefault="00413B23" w:rsidP="00413B23">
      <w:pPr>
        <w:autoSpaceDE w:val="0"/>
        <w:autoSpaceDN w:val="0"/>
        <w:adjustRightInd w:val="0"/>
        <w:rPr>
          <w:lang w:val="en-GB"/>
        </w:rPr>
      </w:pPr>
      <w:r w:rsidRPr="005A6246">
        <w:rPr>
          <w:lang w:val="en-GB"/>
        </w:rPr>
        <w:t xml:space="preserve">In clinical trials, </w:t>
      </w:r>
      <w:proofErr w:type="gramStart"/>
      <w:r w:rsidRPr="005A6246">
        <w:rPr>
          <w:lang w:val="en-GB"/>
        </w:rPr>
        <w:t>the majority of</w:t>
      </w:r>
      <w:proofErr w:type="gramEnd"/>
      <w:r w:rsidRPr="005A6246">
        <w:rPr>
          <w:lang w:val="en-GB"/>
        </w:rPr>
        <w:t xml:space="preserve"> the patients with Grade 1 or Grade 2 pneumonitis were able to continue treatment without recurrent pneumonitis/ILD following dose interruption and dose reduction. Dose interruption occurred in 8.9%, dose reduction in 5.3% and permanent dose discontinuation in 1.9% of patients due to ILD/pneumonitis. The median time to resolution was 3.7 weeks. </w:t>
      </w:r>
    </w:p>
    <w:p w14:paraId="7EFF571E" w14:textId="77777777" w:rsidR="00413B23" w:rsidRPr="005A6246" w:rsidRDefault="00413B23" w:rsidP="00413B23">
      <w:pPr>
        <w:autoSpaceDE w:val="0"/>
        <w:autoSpaceDN w:val="0"/>
        <w:adjustRightInd w:val="0"/>
        <w:rPr>
          <w:lang w:val="en-GB"/>
        </w:rPr>
      </w:pPr>
    </w:p>
    <w:p w14:paraId="24BE171B" w14:textId="77777777" w:rsidR="00413B23" w:rsidRDefault="00413B23" w:rsidP="00413B23">
      <w:pPr>
        <w:keepNext/>
        <w:rPr>
          <w:i/>
          <w:u w:val="single"/>
          <w:lang w:val="en-GB"/>
        </w:rPr>
      </w:pPr>
      <w:r w:rsidRPr="005A6246">
        <w:rPr>
          <w:i/>
          <w:u w:val="single"/>
          <w:lang w:val="en-GB"/>
        </w:rPr>
        <w:t>Hypertension</w:t>
      </w:r>
    </w:p>
    <w:p w14:paraId="2B892E5E" w14:textId="77777777" w:rsidR="00413B23" w:rsidRPr="005A6246" w:rsidRDefault="00413B23" w:rsidP="00413B23">
      <w:pPr>
        <w:keepNext/>
        <w:rPr>
          <w:i/>
          <w:u w:val="single"/>
          <w:lang w:val="en-GB"/>
        </w:rPr>
      </w:pPr>
    </w:p>
    <w:p w14:paraId="48C49188" w14:textId="77777777" w:rsidR="00413B23" w:rsidRPr="005A6246" w:rsidRDefault="00413B23" w:rsidP="00413B23">
      <w:pPr>
        <w:rPr>
          <w:lang w:val="en-GB"/>
        </w:rPr>
      </w:pPr>
      <w:r w:rsidRPr="005A6246">
        <w:rPr>
          <w:lang w:val="en-GB"/>
        </w:rPr>
        <w:t>Hypertension (including blood pressure increased) occurred in 33.0% of 528 patients with NSCLC or other solid tumours, including Grade ≤2 events in 16.9% and Grade 3 in 16.1% of patients. No Grade 4 or Grade 5 events were reported. Among the patients who had hypertension, the median time to onset was 2.1 weeks.</w:t>
      </w:r>
    </w:p>
    <w:p w14:paraId="380FEFE4" w14:textId="77777777" w:rsidR="00413B23" w:rsidRPr="005A6246" w:rsidRDefault="00413B23" w:rsidP="00413B23">
      <w:pPr>
        <w:autoSpaceDE w:val="0"/>
        <w:autoSpaceDN w:val="0"/>
        <w:adjustRightInd w:val="0"/>
        <w:rPr>
          <w:lang w:val="en-GB"/>
        </w:rPr>
      </w:pPr>
    </w:p>
    <w:p w14:paraId="5672BD5E" w14:textId="77777777" w:rsidR="00413B23" w:rsidRPr="005A6246" w:rsidRDefault="00413B23" w:rsidP="00413B23">
      <w:pPr>
        <w:autoSpaceDE w:val="0"/>
        <w:autoSpaceDN w:val="0"/>
        <w:adjustRightInd w:val="0"/>
        <w:rPr>
          <w:lang w:val="en-GB"/>
        </w:rPr>
      </w:pPr>
      <w:r w:rsidRPr="005A6246">
        <w:rPr>
          <w:lang w:val="en-GB"/>
        </w:rPr>
        <w:t>Serious adverse reactions of hypertension were reported in 1.3% of all patients (all Grade 3 events).</w:t>
      </w:r>
    </w:p>
    <w:p w14:paraId="0AD79A31" w14:textId="77777777" w:rsidR="00413B23" w:rsidRPr="005A6246" w:rsidRDefault="00413B23" w:rsidP="00413B23">
      <w:pPr>
        <w:autoSpaceDE w:val="0"/>
        <w:autoSpaceDN w:val="0"/>
        <w:adjustRightInd w:val="0"/>
        <w:rPr>
          <w:lang w:val="en-GB"/>
        </w:rPr>
      </w:pPr>
    </w:p>
    <w:p w14:paraId="0C42F184" w14:textId="77777777" w:rsidR="00413B23" w:rsidRPr="005A6246" w:rsidRDefault="00413B23" w:rsidP="00413B23">
      <w:pPr>
        <w:autoSpaceDE w:val="0"/>
        <w:autoSpaceDN w:val="0"/>
        <w:adjustRightInd w:val="0"/>
        <w:rPr>
          <w:lang w:val="en-GB"/>
        </w:rPr>
      </w:pPr>
      <w:r w:rsidRPr="005A6246">
        <w:rPr>
          <w:lang w:val="en-GB"/>
        </w:rPr>
        <w:t xml:space="preserve">Dose interruption occurred in 7.4% of patients, dose reduction in 4.0% and one patient (0.2%) required permanent dose discontinuation. The median time to resolution was 3.1 weeks. </w:t>
      </w:r>
    </w:p>
    <w:p w14:paraId="7F3812C4" w14:textId="77777777" w:rsidR="00413B23" w:rsidRPr="005A6246" w:rsidRDefault="00413B23" w:rsidP="00413B23">
      <w:pPr>
        <w:autoSpaceDE w:val="0"/>
        <w:autoSpaceDN w:val="0"/>
        <w:adjustRightInd w:val="0"/>
        <w:jc w:val="both"/>
        <w:rPr>
          <w:lang w:val="en-GB"/>
        </w:rPr>
      </w:pPr>
    </w:p>
    <w:p w14:paraId="2534E3CA" w14:textId="77777777" w:rsidR="00413B23" w:rsidRDefault="00413B23" w:rsidP="00413B23">
      <w:pPr>
        <w:keepNext/>
        <w:rPr>
          <w:i/>
          <w:u w:val="single"/>
          <w:lang w:val="en-GB"/>
        </w:rPr>
      </w:pPr>
      <w:r w:rsidRPr="005A6246">
        <w:rPr>
          <w:i/>
          <w:u w:val="single"/>
          <w:lang w:val="en-GB"/>
        </w:rPr>
        <w:t>Transaminase elevations</w:t>
      </w:r>
    </w:p>
    <w:p w14:paraId="79137626" w14:textId="77777777" w:rsidR="00413B23" w:rsidRPr="005A6246" w:rsidRDefault="00413B23" w:rsidP="00413B23">
      <w:pPr>
        <w:keepNext/>
        <w:rPr>
          <w:i/>
          <w:u w:val="single"/>
          <w:lang w:val="en-GB"/>
        </w:rPr>
      </w:pPr>
    </w:p>
    <w:p w14:paraId="7AA891BA" w14:textId="77777777" w:rsidR="00413B23" w:rsidRPr="005A6246" w:rsidRDefault="00413B23" w:rsidP="00413B23">
      <w:pPr>
        <w:autoSpaceDE w:val="0"/>
        <w:autoSpaceDN w:val="0"/>
        <w:adjustRightInd w:val="0"/>
        <w:rPr>
          <w:lang w:val="en-GB"/>
        </w:rPr>
      </w:pPr>
      <w:r w:rsidRPr="005A6246">
        <w:rPr>
          <w:lang w:val="en-GB"/>
        </w:rPr>
        <w:t>Increased AST occurred in 46.0% of 528 patients, including Grade 3 or 4 in 5.7% of patients. Increased ALT occurred in 33.9% of patients, including Grade 3 or 4 events in 4.2% of patients. The median time to first onset for increased AST was 2.1 weeks and increased ALT was 3.1 weeks.</w:t>
      </w:r>
    </w:p>
    <w:p w14:paraId="2FEB8B93" w14:textId="77777777" w:rsidR="00413B23" w:rsidRPr="005A6246" w:rsidRDefault="00413B23" w:rsidP="00413B23">
      <w:pPr>
        <w:autoSpaceDE w:val="0"/>
        <w:autoSpaceDN w:val="0"/>
        <w:adjustRightInd w:val="0"/>
        <w:rPr>
          <w:lang w:val="en-GB"/>
        </w:rPr>
      </w:pPr>
    </w:p>
    <w:p w14:paraId="7A565BBE" w14:textId="77777777" w:rsidR="00413B23" w:rsidRPr="005A6246" w:rsidRDefault="00413B23" w:rsidP="00413B23">
      <w:pPr>
        <w:autoSpaceDE w:val="0"/>
        <w:autoSpaceDN w:val="0"/>
        <w:adjustRightInd w:val="0"/>
        <w:rPr>
          <w:lang w:val="en-GB"/>
        </w:rPr>
      </w:pPr>
      <w:r w:rsidRPr="005A6246">
        <w:rPr>
          <w:lang w:val="en-GB"/>
        </w:rPr>
        <w:t>Serious adverse reactions of increased AST and ALT were each reported for 0.6% of all patients.</w:t>
      </w:r>
    </w:p>
    <w:p w14:paraId="5E0A83F4" w14:textId="77777777" w:rsidR="00413B23" w:rsidRPr="005A6246" w:rsidRDefault="00413B23" w:rsidP="00413B23">
      <w:pPr>
        <w:autoSpaceDE w:val="0"/>
        <w:autoSpaceDN w:val="0"/>
        <w:adjustRightInd w:val="0"/>
        <w:rPr>
          <w:lang w:val="en-GB"/>
        </w:rPr>
      </w:pPr>
    </w:p>
    <w:p w14:paraId="54751243" w14:textId="77777777" w:rsidR="00413B23" w:rsidRPr="005A6246" w:rsidRDefault="00413B23" w:rsidP="00413B23">
      <w:pPr>
        <w:autoSpaceDE w:val="0"/>
        <w:autoSpaceDN w:val="0"/>
        <w:adjustRightInd w:val="0"/>
        <w:rPr>
          <w:lang w:val="en-GB"/>
        </w:rPr>
      </w:pPr>
      <w:r w:rsidRPr="005A6246">
        <w:rPr>
          <w:lang w:val="en-GB"/>
        </w:rPr>
        <w:t xml:space="preserve">Dose interruption due to increased AST or ALT occurred in 4.4% and 3.4% of patients, respectively and dose reduction in 1.3% for both events. No patients required permanent dose discontinuation. The median time to resolution was 5.3 and 4.1 weeks for increased AST and ALT, respectively. </w:t>
      </w:r>
    </w:p>
    <w:p w14:paraId="2A4A8063" w14:textId="77777777" w:rsidR="00413B23" w:rsidRPr="005A6246" w:rsidRDefault="00413B23" w:rsidP="00413B23">
      <w:pPr>
        <w:autoSpaceDE w:val="0"/>
        <w:autoSpaceDN w:val="0"/>
        <w:adjustRightInd w:val="0"/>
        <w:rPr>
          <w:lang w:val="en-GB"/>
        </w:rPr>
      </w:pPr>
    </w:p>
    <w:p w14:paraId="072C2CF6" w14:textId="77777777" w:rsidR="00413B23" w:rsidRDefault="00413B23" w:rsidP="00413B23">
      <w:pPr>
        <w:keepNext/>
        <w:rPr>
          <w:i/>
          <w:u w:val="single"/>
          <w:lang w:val="en-GB"/>
        </w:rPr>
      </w:pPr>
      <w:r w:rsidRPr="005A6246">
        <w:rPr>
          <w:i/>
          <w:u w:val="single"/>
          <w:lang w:val="en-GB"/>
        </w:rPr>
        <w:t xml:space="preserve">Haemorrhagic events </w:t>
      </w:r>
    </w:p>
    <w:p w14:paraId="44C5886C" w14:textId="77777777" w:rsidR="00413B23" w:rsidRPr="005A6246" w:rsidRDefault="00413B23" w:rsidP="00413B23">
      <w:pPr>
        <w:keepNext/>
        <w:rPr>
          <w:i/>
          <w:u w:val="single"/>
          <w:lang w:val="en-GB"/>
        </w:rPr>
      </w:pPr>
    </w:p>
    <w:p w14:paraId="690F73C5" w14:textId="77777777" w:rsidR="00413B23" w:rsidRPr="005A6246" w:rsidRDefault="00413B23" w:rsidP="00413B23">
      <w:pPr>
        <w:autoSpaceDE w:val="0"/>
        <w:autoSpaceDN w:val="0"/>
        <w:adjustRightInd w:val="0"/>
        <w:rPr>
          <w:lang w:val="en-GB"/>
        </w:rPr>
      </w:pPr>
      <w:r w:rsidRPr="005A6246">
        <w:rPr>
          <w:lang w:val="en-GB"/>
        </w:rPr>
        <w:t xml:space="preserve">Haemorrhagic events occurred in </w:t>
      </w:r>
      <w:r>
        <w:rPr>
          <w:lang w:val="en-GB"/>
        </w:rPr>
        <w:t>18.8</w:t>
      </w:r>
      <w:r w:rsidRPr="005A6246">
        <w:rPr>
          <w:lang w:val="en-GB"/>
        </w:rPr>
        <w:t xml:space="preserve">% of the 528 patients, including Grade 3 events in </w:t>
      </w:r>
      <w:r>
        <w:rPr>
          <w:lang w:val="en-GB"/>
        </w:rPr>
        <w:t>2.8</w:t>
      </w:r>
      <w:r w:rsidRPr="005A6246">
        <w:rPr>
          <w:lang w:val="en-GB"/>
        </w:rPr>
        <w:t xml:space="preserve">% of patients and a Grade 4 or fatal (Grade 5) event each occurred in one patient (0.2%). </w:t>
      </w:r>
    </w:p>
    <w:p w14:paraId="10D932EC" w14:textId="77777777" w:rsidR="00413B23" w:rsidRPr="005A6246" w:rsidRDefault="00413B23" w:rsidP="00413B23">
      <w:pPr>
        <w:autoSpaceDE w:val="0"/>
        <w:autoSpaceDN w:val="0"/>
        <w:adjustRightInd w:val="0"/>
        <w:rPr>
          <w:lang w:val="en-GB"/>
        </w:rPr>
      </w:pPr>
    </w:p>
    <w:p w14:paraId="77833FDA" w14:textId="77777777" w:rsidR="00413B23" w:rsidRPr="005A6246" w:rsidRDefault="00413B23" w:rsidP="00413B23">
      <w:pPr>
        <w:autoSpaceDE w:val="0"/>
        <w:autoSpaceDN w:val="0"/>
        <w:adjustRightInd w:val="0"/>
        <w:rPr>
          <w:lang w:val="en-GB"/>
        </w:rPr>
      </w:pPr>
      <w:r w:rsidRPr="005A6246">
        <w:rPr>
          <w:lang w:val="en-GB"/>
        </w:rPr>
        <w:t xml:space="preserve">Serious adverse reactions of haemorrhage were reported for </w:t>
      </w:r>
      <w:r>
        <w:rPr>
          <w:lang w:val="en-GB"/>
        </w:rPr>
        <w:t>3.2</w:t>
      </w:r>
      <w:r w:rsidRPr="005A6246">
        <w:rPr>
          <w:lang w:val="en-GB"/>
        </w:rPr>
        <w:t xml:space="preserve">% of patients. </w:t>
      </w:r>
    </w:p>
    <w:p w14:paraId="01359046" w14:textId="77777777" w:rsidR="00413B23" w:rsidRPr="005A6246" w:rsidRDefault="00413B23" w:rsidP="00413B23">
      <w:pPr>
        <w:autoSpaceDE w:val="0"/>
        <w:autoSpaceDN w:val="0"/>
        <w:adjustRightInd w:val="0"/>
        <w:rPr>
          <w:lang w:val="en-GB"/>
        </w:rPr>
      </w:pPr>
    </w:p>
    <w:p w14:paraId="7EEC8D7D" w14:textId="77777777" w:rsidR="00413B23" w:rsidRPr="005A6246" w:rsidRDefault="00413B23" w:rsidP="00413B23">
      <w:pPr>
        <w:autoSpaceDE w:val="0"/>
        <w:autoSpaceDN w:val="0"/>
        <w:adjustRightInd w:val="0"/>
        <w:rPr>
          <w:lang w:val="en-GB"/>
        </w:rPr>
      </w:pPr>
      <w:r w:rsidRPr="005A6246">
        <w:rPr>
          <w:lang w:val="en-GB"/>
        </w:rPr>
        <w:t>Four</w:t>
      </w:r>
      <w:r>
        <w:rPr>
          <w:lang w:val="en-GB"/>
        </w:rPr>
        <w:t>teen</w:t>
      </w:r>
      <w:r w:rsidRPr="005A6246">
        <w:rPr>
          <w:lang w:val="en-GB"/>
        </w:rPr>
        <w:t xml:space="preserve"> patients (</w:t>
      </w:r>
      <w:r>
        <w:rPr>
          <w:lang w:val="en-GB"/>
        </w:rPr>
        <w:t>2.7</w:t>
      </w:r>
      <w:r w:rsidRPr="005A6246">
        <w:rPr>
          <w:lang w:val="en-GB"/>
        </w:rPr>
        <w:t xml:space="preserve">%) required dose interruption and </w:t>
      </w:r>
      <w:r>
        <w:rPr>
          <w:lang w:val="en-GB"/>
        </w:rPr>
        <w:t>dose reduction or</w:t>
      </w:r>
      <w:r w:rsidRPr="005A6246">
        <w:rPr>
          <w:lang w:val="en-GB"/>
        </w:rPr>
        <w:t xml:space="preserve"> permanent dose discontinuation due to haemorrhage</w:t>
      </w:r>
      <w:r>
        <w:rPr>
          <w:lang w:val="en-GB"/>
        </w:rPr>
        <w:t xml:space="preserve"> each occurred in one patient</w:t>
      </w:r>
      <w:r w:rsidRPr="005A6246">
        <w:rPr>
          <w:lang w:val="en-GB"/>
        </w:rPr>
        <w:t xml:space="preserve">. </w:t>
      </w:r>
    </w:p>
    <w:p w14:paraId="53FD003A" w14:textId="77777777" w:rsidR="00413B23" w:rsidRPr="005A6246" w:rsidRDefault="00413B23" w:rsidP="00413B23">
      <w:pPr>
        <w:autoSpaceDE w:val="0"/>
        <w:autoSpaceDN w:val="0"/>
        <w:adjustRightInd w:val="0"/>
        <w:rPr>
          <w:lang w:val="en-GB"/>
        </w:rPr>
      </w:pPr>
    </w:p>
    <w:p w14:paraId="2BFE9434" w14:textId="77777777" w:rsidR="00413B23" w:rsidRDefault="00413B23" w:rsidP="00413B23">
      <w:pPr>
        <w:autoSpaceDE w:val="0"/>
        <w:autoSpaceDN w:val="0"/>
        <w:adjustRightInd w:val="0"/>
        <w:rPr>
          <w:i/>
          <w:u w:val="single"/>
          <w:lang w:val="en-GB"/>
        </w:rPr>
      </w:pPr>
      <w:r w:rsidRPr="005A6246">
        <w:rPr>
          <w:i/>
          <w:u w:val="single"/>
          <w:lang w:val="en-GB"/>
        </w:rPr>
        <w:t>QT prolongation</w:t>
      </w:r>
    </w:p>
    <w:p w14:paraId="60884E47" w14:textId="77777777" w:rsidR="00413B23" w:rsidRPr="005A6246" w:rsidRDefault="00413B23" w:rsidP="00413B23">
      <w:pPr>
        <w:autoSpaceDE w:val="0"/>
        <w:autoSpaceDN w:val="0"/>
        <w:adjustRightInd w:val="0"/>
        <w:rPr>
          <w:i/>
          <w:u w:val="single"/>
          <w:lang w:val="en-GB"/>
        </w:rPr>
      </w:pPr>
    </w:p>
    <w:p w14:paraId="682FED41" w14:textId="77777777" w:rsidR="00413B23" w:rsidRPr="005A6246" w:rsidRDefault="00413B23" w:rsidP="00413B23">
      <w:pPr>
        <w:autoSpaceDE w:val="0"/>
        <w:autoSpaceDN w:val="0"/>
        <w:adjustRightInd w:val="0"/>
        <w:rPr>
          <w:lang w:val="en-GB"/>
        </w:rPr>
      </w:pPr>
      <w:r w:rsidRPr="005A6246">
        <w:rPr>
          <w:lang w:val="en-GB"/>
        </w:rPr>
        <w:t xml:space="preserve">QT prolongation occurred in 5.1% of 528 patients with NSCLC or other solid tumours. In 2 patients (0.4%) the event was assessed as serious. The majority of patients experienced non-severe events – </w:t>
      </w:r>
      <w:proofErr w:type="gramStart"/>
      <w:r w:rsidRPr="005A6246">
        <w:rPr>
          <w:lang w:val="en-GB"/>
        </w:rPr>
        <w:t>i.e.</w:t>
      </w:r>
      <w:proofErr w:type="gramEnd"/>
      <w:r w:rsidRPr="005A6246">
        <w:rPr>
          <w:lang w:val="en-GB"/>
        </w:rPr>
        <w:t xml:space="preserve"> Grade 1, in 21 (4.0%) and Grade 2, in 4 patients (0.8%). Two patients (0.4%) experienced Grade 3 events of Electrocardiogram QT prolonged, which both resolved. There was no life-threatening or fatal QT prolongation. Three patients (0.6%) had an event that remained unresolved by time of data cut-off. Dose reductions or interruptions were </w:t>
      </w:r>
      <w:r w:rsidRPr="005A6246">
        <w:rPr>
          <w:lang w:val="en-GB"/>
        </w:rPr>
        <w:lastRenderedPageBreak/>
        <w:t xml:space="preserve">required by two Electrocardiogram QT prolonged patients, each. No QT prolongation event led to permanent discontinuation of </w:t>
      </w:r>
      <w:proofErr w:type="spellStart"/>
      <w:r w:rsidRPr="005A6246">
        <w:rPr>
          <w:lang w:val="en-GB"/>
        </w:rPr>
        <w:t>pralsetinib</w:t>
      </w:r>
      <w:proofErr w:type="spellEnd"/>
      <w:r w:rsidRPr="005A6246">
        <w:rPr>
          <w:lang w:val="en-GB"/>
        </w:rPr>
        <w:t>.</w:t>
      </w:r>
    </w:p>
    <w:p w14:paraId="11ADD34C" w14:textId="77777777" w:rsidR="00413B23" w:rsidRPr="005A6246" w:rsidRDefault="00413B23" w:rsidP="00413B23">
      <w:pPr>
        <w:autoSpaceDE w:val="0"/>
        <w:autoSpaceDN w:val="0"/>
        <w:adjustRightInd w:val="0"/>
        <w:rPr>
          <w:lang w:val="en-GB"/>
        </w:rPr>
      </w:pPr>
    </w:p>
    <w:p w14:paraId="548FC7AD" w14:textId="77777777" w:rsidR="00413B23" w:rsidRDefault="00413B23" w:rsidP="00413B23">
      <w:pPr>
        <w:autoSpaceDE w:val="0"/>
        <w:autoSpaceDN w:val="0"/>
        <w:adjustRightInd w:val="0"/>
        <w:rPr>
          <w:i/>
          <w:u w:val="single"/>
          <w:lang w:val="en-GB"/>
        </w:rPr>
      </w:pPr>
      <w:r w:rsidRPr="005A6246">
        <w:rPr>
          <w:i/>
          <w:u w:val="single"/>
          <w:lang w:val="en-GB"/>
        </w:rPr>
        <w:t>Infections</w:t>
      </w:r>
    </w:p>
    <w:p w14:paraId="2AEC131D" w14:textId="77777777" w:rsidR="00413B23" w:rsidRPr="005A6246" w:rsidRDefault="00413B23" w:rsidP="00413B23">
      <w:pPr>
        <w:autoSpaceDE w:val="0"/>
        <w:autoSpaceDN w:val="0"/>
        <w:adjustRightInd w:val="0"/>
        <w:rPr>
          <w:i/>
          <w:u w:val="single"/>
          <w:lang w:val="en-GB"/>
        </w:rPr>
      </w:pPr>
    </w:p>
    <w:p w14:paraId="3DA5FC27" w14:textId="77777777" w:rsidR="00413B23" w:rsidRPr="005A6246" w:rsidRDefault="00413B23" w:rsidP="00413B23">
      <w:pPr>
        <w:autoSpaceDE w:val="0"/>
        <w:autoSpaceDN w:val="0"/>
        <w:adjustRightInd w:val="0"/>
        <w:rPr>
          <w:lang w:val="en-GB"/>
        </w:rPr>
      </w:pPr>
      <w:r w:rsidRPr="005A6246">
        <w:rPr>
          <w:lang w:val="en-GB"/>
        </w:rPr>
        <w:t xml:space="preserve">Infections were commonly experienced by 57.2% of 528 patients during the median treatment time of 9.5 months. Most frequently (&gt;10%), the preferred terms of pneumonia and urinary tract infection were reported (14.2% and 12.7%, respectively). </w:t>
      </w:r>
      <w:proofErr w:type="gramStart"/>
      <w:r w:rsidRPr="005A6246">
        <w:rPr>
          <w:lang w:val="en-GB"/>
        </w:rPr>
        <w:t>The majority of</w:t>
      </w:r>
      <w:proofErr w:type="gramEnd"/>
      <w:r w:rsidRPr="005A6246">
        <w:rPr>
          <w:lang w:val="en-GB"/>
        </w:rPr>
        <w:t xml:space="preserve"> infections were mild (Grade 1 or 2) and resolved; severe infection (Grade ≥3) occurred in 23.5% patients (with fatal events reported for 1.9%). </w:t>
      </w:r>
    </w:p>
    <w:p w14:paraId="23C73BFC" w14:textId="77777777" w:rsidR="00413B23" w:rsidRPr="005A6246" w:rsidRDefault="00413B23" w:rsidP="00413B23">
      <w:pPr>
        <w:autoSpaceDE w:val="0"/>
        <w:autoSpaceDN w:val="0"/>
        <w:adjustRightInd w:val="0"/>
        <w:rPr>
          <w:lang w:val="en-GB"/>
        </w:rPr>
      </w:pPr>
    </w:p>
    <w:p w14:paraId="2D5507E4" w14:textId="77777777" w:rsidR="00413B23" w:rsidRPr="005A6246" w:rsidRDefault="00413B23" w:rsidP="00413B23">
      <w:pPr>
        <w:autoSpaceDE w:val="0"/>
        <w:autoSpaceDN w:val="0"/>
        <w:adjustRightInd w:val="0"/>
        <w:rPr>
          <w:lang w:val="en-GB"/>
        </w:rPr>
      </w:pPr>
      <w:r w:rsidRPr="005A6246">
        <w:rPr>
          <w:lang w:val="en-GB"/>
        </w:rPr>
        <w:t xml:space="preserve">Infections reported as serious occurred for 24.2% of patients. The most common (&gt;2%) serious infection preferred term was pneumonia (9.8%), followed by urinary tract infection (3.4%) and sepsis (2.8%). </w:t>
      </w:r>
      <w:proofErr w:type="gramStart"/>
      <w:r w:rsidRPr="005A6246">
        <w:rPr>
          <w:lang w:val="en-GB"/>
        </w:rPr>
        <w:t>The majority of</w:t>
      </w:r>
      <w:proofErr w:type="gramEnd"/>
      <w:r w:rsidRPr="005A6246">
        <w:rPr>
          <w:lang w:val="en-GB"/>
        </w:rPr>
        <w:t xml:space="preserve"> patients experiencing sepsis had concurrent pneumonia or urinary tract infection reported.</w:t>
      </w:r>
    </w:p>
    <w:p w14:paraId="321C8B66" w14:textId="77777777" w:rsidR="00413B23" w:rsidRPr="005A6246" w:rsidRDefault="00413B23" w:rsidP="00413B23">
      <w:pPr>
        <w:autoSpaceDE w:val="0"/>
        <w:autoSpaceDN w:val="0"/>
        <w:adjustRightInd w:val="0"/>
        <w:rPr>
          <w:lang w:val="en-GB"/>
        </w:rPr>
      </w:pPr>
    </w:p>
    <w:p w14:paraId="0C1C8C2B" w14:textId="0DB62479" w:rsidR="00413B23" w:rsidRDefault="00413B23" w:rsidP="00413B23">
      <w:pPr>
        <w:autoSpaceDE w:val="0"/>
        <w:autoSpaceDN w:val="0"/>
        <w:adjustRightInd w:val="0"/>
        <w:rPr>
          <w:lang w:val="en-GB"/>
        </w:rPr>
      </w:pPr>
      <w:r w:rsidRPr="005A6246">
        <w:rPr>
          <w:lang w:val="en-GB"/>
        </w:rPr>
        <w:t>Dose interruption due to infection occurred for 19.5% of patients (mainly due to the preferred terms of pneumonia [6.8%] and urinary tract infection [2.7%]). Dose was reduced due to infections in 3.2% of patients (mainly due to the preferred term of pneumonia [1.9%]). Permanent treatment discontinuation was required by 3.4% of patients due to infections (mainly due to the preferred term of pneumonia [1.7%]).</w:t>
      </w:r>
    </w:p>
    <w:p w14:paraId="1FA1F606" w14:textId="77777777" w:rsidR="002732ED" w:rsidRPr="005A6246" w:rsidRDefault="002732ED" w:rsidP="00413B23">
      <w:pPr>
        <w:autoSpaceDE w:val="0"/>
        <w:autoSpaceDN w:val="0"/>
        <w:adjustRightInd w:val="0"/>
        <w:rPr>
          <w:lang w:val="en-GB"/>
        </w:rPr>
      </w:pPr>
    </w:p>
    <w:p w14:paraId="52ECC662" w14:textId="77777777" w:rsidR="00413B23" w:rsidRDefault="00413B23" w:rsidP="00413B23">
      <w:pPr>
        <w:keepNext/>
        <w:rPr>
          <w:bCs/>
          <w:i/>
          <w:u w:val="single"/>
          <w:lang w:val="en-GB"/>
        </w:rPr>
      </w:pPr>
      <w:r w:rsidRPr="005A6246">
        <w:rPr>
          <w:bCs/>
          <w:i/>
          <w:u w:val="single"/>
          <w:lang w:val="en-GB"/>
        </w:rPr>
        <w:t>Elderly</w:t>
      </w:r>
    </w:p>
    <w:p w14:paraId="60837245" w14:textId="77777777" w:rsidR="00413B23" w:rsidRPr="005A6246" w:rsidRDefault="00413B23" w:rsidP="00413B23">
      <w:pPr>
        <w:keepNext/>
        <w:rPr>
          <w:bCs/>
          <w:i/>
          <w:u w:val="single"/>
          <w:lang w:val="en-GB"/>
        </w:rPr>
      </w:pPr>
    </w:p>
    <w:p w14:paraId="2DC3A4A6" w14:textId="535C3E93" w:rsidR="00413B23" w:rsidRPr="005A6246" w:rsidRDefault="00413B23" w:rsidP="00413B23">
      <w:pPr>
        <w:autoSpaceDE w:val="0"/>
        <w:autoSpaceDN w:val="0"/>
        <w:adjustRightInd w:val="0"/>
        <w:rPr>
          <w:bCs/>
          <w:lang w:val="en-GB"/>
        </w:rPr>
      </w:pPr>
      <w:r w:rsidRPr="005A6246">
        <w:rPr>
          <w:lang w:val="en-GB"/>
        </w:rPr>
        <w:t xml:space="preserve">In </w:t>
      </w:r>
      <w:r w:rsidR="00827F71">
        <w:rPr>
          <w:lang w:val="en-GB"/>
        </w:rPr>
        <w:t xml:space="preserve">the </w:t>
      </w:r>
      <w:r w:rsidRPr="005A6246">
        <w:rPr>
          <w:lang w:val="en-GB"/>
        </w:rPr>
        <w:t xml:space="preserve">ARROW </w:t>
      </w:r>
      <w:r w:rsidR="00827F71">
        <w:rPr>
          <w:lang w:val="en-GB"/>
        </w:rPr>
        <w:t xml:space="preserve">study </w:t>
      </w:r>
      <w:r w:rsidRPr="005A6246">
        <w:rPr>
          <w:lang w:val="en-GB"/>
        </w:rPr>
        <w:t>(</w:t>
      </w:r>
      <w:r w:rsidR="00827F71">
        <w:rPr>
          <w:lang w:val="en-GB"/>
        </w:rPr>
        <w:t>n</w:t>
      </w:r>
      <w:r w:rsidRPr="005A6246">
        <w:rPr>
          <w:lang w:val="en-GB"/>
        </w:rPr>
        <w:t>=528), 37.8% of patients were 65 years of age and older. Compared with younger patients (&lt;65), more patients of ≥65 years old reported adverse reactions that led to permanent dose discontinuation (25.8% versus 13.4%). Of the commonly reported events with higher incidence in elderly patients (≥65), hypertension has the greatest difference in comparison with patients &lt;65 years of age. However, hypertension is also expected to occur more frequently in the elderly population. Older patients reported more Grade 3 or higher adverse reactions compared to younger patients (87.1% versus 72.3%).</w:t>
      </w:r>
    </w:p>
    <w:p w14:paraId="6D74B9C6" w14:textId="77777777" w:rsidR="004C4281" w:rsidRPr="00F804EF" w:rsidRDefault="004C4281" w:rsidP="00F804EF"/>
    <w:p w14:paraId="00BA472E" w14:textId="6A73318B" w:rsidR="006F052E" w:rsidRPr="00C77189" w:rsidRDefault="006F052E" w:rsidP="00F804EF">
      <w:pPr>
        <w:pStyle w:val="Heading3"/>
        <w:rPr>
          <w:color w:val="auto"/>
        </w:rPr>
      </w:pPr>
      <w:r w:rsidRPr="00C77189">
        <w:rPr>
          <w:color w:val="auto"/>
        </w:rPr>
        <w:t>Reporting of suspected adverse reactions</w:t>
      </w:r>
    </w:p>
    <w:p w14:paraId="0549666A" w14:textId="77777777" w:rsidR="00E21CCD" w:rsidRDefault="00E21CCD">
      <w:pPr>
        <w:rPr>
          <w:color w:val="0070C0"/>
        </w:rPr>
      </w:pPr>
      <w:r w:rsidRPr="00C77189">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w:t>
      </w:r>
      <w:r w:rsidRPr="00E21CCD">
        <w:rPr>
          <w:color w:val="0070C0"/>
        </w:rPr>
        <w:t xml:space="preserve"> at </w:t>
      </w:r>
      <w:hyperlink r:id="rId8" w:history="1">
        <w:r w:rsidR="00B1134D" w:rsidRPr="00FD689A">
          <w:rPr>
            <w:rStyle w:val="Hyperlink"/>
          </w:rPr>
          <w:t>www.tga.gov.au/reporting-problems</w:t>
        </w:r>
      </w:hyperlink>
      <w:r w:rsidR="00B1134D">
        <w:rPr>
          <w:color w:val="0070C0"/>
        </w:rPr>
        <w:t>.</w:t>
      </w:r>
    </w:p>
    <w:p w14:paraId="6BEA948C" w14:textId="77777777" w:rsidR="009F4C5B" w:rsidRDefault="009F4C5B">
      <w:pPr>
        <w:rPr>
          <w:color w:val="0070C0"/>
        </w:rPr>
      </w:pPr>
    </w:p>
    <w:p w14:paraId="2151B25C" w14:textId="77777777" w:rsidR="00D52399" w:rsidRDefault="00902EBE" w:rsidP="009F4C5B">
      <w:pPr>
        <w:pStyle w:val="Heading2"/>
        <w:spacing w:before="0"/>
      </w:pPr>
      <w:r>
        <w:t>4.9</w:t>
      </w:r>
      <w:r>
        <w:tab/>
        <w:t xml:space="preserve">OVERDOSE </w:t>
      </w:r>
    </w:p>
    <w:p w14:paraId="2B7FC350" w14:textId="77777777" w:rsidR="008903F2" w:rsidRDefault="008903F2"/>
    <w:p w14:paraId="7644289C" w14:textId="77777777" w:rsidR="009E0BC4" w:rsidRDefault="009E0BC4" w:rsidP="00B1498F">
      <w:pPr>
        <w:spacing w:after="240"/>
        <w:rPr>
          <w:color w:val="auto"/>
        </w:rPr>
      </w:pPr>
      <w:r w:rsidRPr="009E0BC4">
        <w:rPr>
          <w:color w:val="auto"/>
        </w:rPr>
        <w:t>There</w:t>
      </w:r>
      <w:r>
        <w:rPr>
          <w:color w:val="auto"/>
        </w:rPr>
        <w:t xml:space="preserve"> is no experience with overdose in </w:t>
      </w:r>
      <w:r w:rsidRPr="009E0BC4">
        <w:rPr>
          <w:color w:val="auto"/>
        </w:rPr>
        <w:t xml:space="preserve">clinical trials with </w:t>
      </w:r>
      <w:proofErr w:type="spellStart"/>
      <w:r w:rsidRPr="009E0BC4">
        <w:rPr>
          <w:color w:val="auto"/>
        </w:rPr>
        <w:t>Gavreto</w:t>
      </w:r>
      <w:proofErr w:type="spellEnd"/>
      <w:r w:rsidRPr="009E0BC4">
        <w:rPr>
          <w:color w:val="auto"/>
        </w:rPr>
        <w:t xml:space="preserve">. Patients who experience overdose should be closely supervised and supportive care instituted. </w:t>
      </w:r>
    </w:p>
    <w:p w14:paraId="170FED52" w14:textId="0B667FDE" w:rsidR="008903F2" w:rsidRDefault="008903F2" w:rsidP="00B1498F">
      <w:pPr>
        <w:spacing w:after="240"/>
        <w:rPr>
          <w:color w:val="auto"/>
        </w:rPr>
      </w:pPr>
      <w:r w:rsidRPr="00C77189">
        <w:rPr>
          <w:color w:val="auto"/>
        </w:rPr>
        <w:t>For information on the management of overdose, contact the Poisons Information Centre on 13 11 26 (Australia).</w:t>
      </w:r>
      <w:r w:rsidR="00BA0878" w:rsidRPr="00C77189">
        <w:rPr>
          <w:color w:val="auto"/>
        </w:rPr>
        <w:t xml:space="preserve"> </w:t>
      </w:r>
    </w:p>
    <w:p w14:paraId="220F2D5B" w14:textId="77777777" w:rsidR="00FC4099" w:rsidRPr="00C77189" w:rsidRDefault="00FC4099" w:rsidP="00B1498F">
      <w:pPr>
        <w:spacing w:after="240"/>
        <w:rPr>
          <w:color w:val="auto"/>
        </w:rPr>
      </w:pPr>
    </w:p>
    <w:p w14:paraId="5910294C" w14:textId="77777777" w:rsidR="00D52399" w:rsidRDefault="00615052" w:rsidP="0087549F">
      <w:pPr>
        <w:pStyle w:val="Heading1"/>
        <w:numPr>
          <w:ilvl w:val="0"/>
          <w:numId w:val="2"/>
        </w:numPr>
        <w:spacing w:before="0"/>
      </w:pPr>
      <w:r>
        <w:lastRenderedPageBreak/>
        <w:t>PHARMACOLOGICAL PROPERTIES</w:t>
      </w:r>
    </w:p>
    <w:p w14:paraId="5C0D1F86" w14:textId="77777777" w:rsidR="00D52399" w:rsidRDefault="00CC6729" w:rsidP="0087549F">
      <w:pPr>
        <w:pStyle w:val="Heading2"/>
        <w:spacing w:before="0"/>
      </w:pPr>
      <w:r>
        <w:t xml:space="preserve">5.1 </w:t>
      </w:r>
      <w:r>
        <w:tab/>
      </w:r>
      <w:r w:rsidR="00902EBE">
        <w:t>PHARMACODYNAMIC PROPERTIES</w:t>
      </w:r>
    </w:p>
    <w:p w14:paraId="0A524007" w14:textId="77777777" w:rsidR="004E5EBA" w:rsidRDefault="00615052">
      <w:pPr>
        <w:rPr>
          <w:szCs w:val="22"/>
        </w:rPr>
      </w:pPr>
      <w:r w:rsidRPr="009F4C5B">
        <w:rPr>
          <w:szCs w:val="22"/>
        </w:rPr>
        <w:t xml:space="preserve">Pharmacotherapeutic group: </w:t>
      </w:r>
      <w:r w:rsidR="00DE3A9D" w:rsidRPr="00DE3A9D">
        <w:rPr>
          <w:color w:val="auto"/>
          <w:szCs w:val="22"/>
        </w:rPr>
        <w:t>Antineoplastic agent, protein kinase inhibitors</w:t>
      </w:r>
    </w:p>
    <w:p w14:paraId="7E7F4C7D" w14:textId="6D3E4E64" w:rsidR="00D52399" w:rsidRPr="009F4C5B" w:rsidRDefault="00615052">
      <w:pPr>
        <w:rPr>
          <w:sz w:val="28"/>
        </w:rPr>
      </w:pPr>
      <w:r w:rsidRPr="009F4C5B">
        <w:rPr>
          <w:szCs w:val="22"/>
        </w:rPr>
        <w:t xml:space="preserve">ATC code: </w:t>
      </w:r>
      <w:r w:rsidR="00DE3A9D" w:rsidRPr="00DE3A9D">
        <w:rPr>
          <w:color w:val="auto"/>
          <w:szCs w:val="22"/>
        </w:rPr>
        <w:t>L01EX23</w:t>
      </w:r>
    </w:p>
    <w:p w14:paraId="74A65E6E" w14:textId="77777777" w:rsidR="00D52399" w:rsidRDefault="00615052">
      <w:pPr>
        <w:pStyle w:val="Heading3"/>
      </w:pPr>
      <w:r>
        <w:t>Mechanism of Action</w:t>
      </w:r>
    </w:p>
    <w:p w14:paraId="5D66ECF8" w14:textId="534990FC" w:rsidR="00980790" w:rsidRDefault="00980790" w:rsidP="00980790">
      <w:proofErr w:type="spellStart"/>
      <w:r>
        <w:t>Pralsetinib</w:t>
      </w:r>
      <w:proofErr w:type="spellEnd"/>
      <w:r>
        <w:t xml:space="preserve"> is a tyrosine kinase inhibitor that targets oncogenic RET fusions and mutations, including V804 gatekeeper mutations associated with resistance to other therapies. </w:t>
      </w:r>
      <w:r w:rsidRPr="00B754A1">
        <w:rPr>
          <w:i/>
        </w:rPr>
        <w:t>In vitro</w:t>
      </w:r>
      <w:r>
        <w:t xml:space="preserve">, </w:t>
      </w:r>
      <w:proofErr w:type="spellStart"/>
      <w:r>
        <w:t>pralsetinib</w:t>
      </w:r>
      <w:proofErr w:type="spellEnd"/>
      <w:r>
        <w:t xml:space="preserve"> inhibited several oncogenic RET fusions and mutations (CCDC6 RET, RET V804L, RET V804M and RET M918T) with half maximal inhibitory concentrations at clinically relevant concentrations. In a broad panel of purified enzyme assays, </w:t>
      </w:r>
      <w:proofErr w:type="spellStart"/>
      <w:r>
        <w:t>pralsetinib</w:t>
      </w:r>
      <w:proofErr w:type="spellEnd"/>
      <w:r>
        <w:t xml:space="preserve"> demonstrated </w:t>
      </w:r>
      <w:r w:rsidR="00BF0303">
        <w:t xml:space="preserve">the highest </w:t>
      </w:r>
      <w:r>
        <w:t>selectivity for RET.</w:t>
      </w:r>
    </w:p>
    <w:p w14:paraId="1CF12F1E" w14:textId="77777777" w:rsidR="00B754A1" w:rsidRDefault="00B754A1" w:rsidP="00980790"/>
    <w:p w14:paraId="2CF6CFC6" w14:textId="14D97ABA" w:rsidR="00D52399" w:rsidRDefault="00980790">
      <w:r>
        <w:t>RET fusion proteins and activating point mutations can drive tumorigenic potential through hyperactivation of downstream signa</w:t>
      </w:r>
      <w:r w:rsidR="00BF0303">
        <w:t>l</w:t>
      </w:r>
      <w:r>
        <w:t xml:space="preserve">ling pathways leading to uncontrolled cell proliferation. </w:t>
      </w:r>
      <w:proofErr w:type="spellStart"/>
      <w:r>
        <w:t>Pralsetinib</w:t>
      </w:r>
      <w:proofErr w:type="spellEnd"/>
      <w:r>
        <w:t xml:space="preserve"> exhibited anti-tumo</w:t>
      </w:r>
      <w:r w:rsidR="00B754A1">
        <w:t>u</w:t>
      </w:r>
      <w:r>
        <w:t>r activity in cultured cells and animal tumo</w:t>
      </w:r>
      <w:r w:rsidR="00B754A1">
        <w:t>u</w:t>
      </w:r>
      <w:r>
        <w:t>r implantation models representing multiple tumo</w:t>
      </w:r>
      <w:r w:rsidR="00B754A1">
        <w:t>u</w:t>
      </w:r>
      <w:r>
        <w:t>r types harbo</w:t>
      </w:r>
      <w:r w:rsidR="00BF0303">
        <w:t>u</w:t>
      </w:r>
      <w:r>
        <w:t xml:space="preserve">ring oncogenic RET fusions or mutations (KIF5B-RET, CCDC6-RET, RET M918T, RET C634W, as well as the V804L and V804M mutants associated with </w:t>
      </w:r>
      <w:proofErr w:type="spellStart"/>
      <w:r>
        <w:t>cabozantinib</w:t>
      </w:r>
      <w:proofErr w:type="spellEnd"/>
      <w:r>
        <w:t xml:space="preserve"> and </w:t>
      </w:r>
      <w:proofErr w:type="spellStart"/>
      <w:r>
        <w:t>vandetanib</w:t>
      </w:r>
      <w:proofErr w:type="spellEnd"/>
      <w:r>
        <w:t xml:space="preserve"> resistance).</w:t>
      </w:r>
    </w:p>
    <w:p w14:paraId="138D99C0" w14:textId="77777777" w:rsidR="00D52399" w:rsidRPr="00A8585F" w:rsidRDefault="00615052">
      <w:pPr>
        <w:pStyle w:val="Heading3"/>
        <w:rPr>
          <w:color w:val="auto"/>
        </w:rPr>
      </w:pPr>
      <w:r>
        <w:t xml:space="preserve">Clinical </w:t>
      </w:r>
      <w:r w:rsidR="00594C19">
        <w:t>trials</w:t>
      </w:r>
    </w:p>
    <w:p w14:paraId="3A5024C8" w14:textId="7A32A93F" w:rsidR="00D52399" w:rsidRPr="006421C6" w:rsidRDefault="00D52399">
      <w:pPr>
        <w:rPr>
          <w:i/>
        </w:rPr>
      </w:pPr>
    </w:p>
    <w:p w14:paraId="0493CA08" w14:textId="178194AB" w:rsidR="006421C6" w:rsidRDefault="006421C6">
      <w:pPr>
        <w:rPr>
          <w:i/>
        </w:rPr>
      </w:pPr>
      <w:r w:rsidRPr="006421C6">
        <w:rPr>
          <w:i/>
        </w:rPr>
        <w:t>RET Fusion-Positive Non-Small Cell Lung Cancer</w:t>
      </w:r>
    </w:p>
    <w:p w14:paraId="3C4AEAFF" w14:textId="4878BFFB" w:rsidR="006421C6" w:rsidRDefault="006421C6" w:rsidP="006421C6">
      <w:r>
        <w:t xml:space="preserve">The efficacy of </w:t>
      </w:r>
      <w:proofErr w:type="spellStart"/>
      <w:r>
        <w:t>G</w:t>
      </w:r>
      <w:r w:rsidR="00FF281A">
        <w:t>avreto</w:t>
      </w:r>
      <w:proofErr w:type="spellEnd"/>
      <w:r w:rsidR="00FF281A">
        <w:t xml:space="preserve"> </w:t>
      </w:r>
      <w:r>
        <w:t xml:space="preserve">was evaluated in patients with RET fusion-positive </w:t>
      </w:r>
      <w:proofErr w:type="gramStart"/>
      <w:r>
        <w:t>metastatic</w:t>
      </w:r>
      <w:proofErr w:type="gramEnd"/>
    </w:p>
    <w:p w14:paraId="1C05CAA0" w14:textId="2CB962B3" w:rsidR="006421C6" w:rsidRDefault="006421C6" w:rsidP="006421C6">
      <w:r>
        <w:t xml:space="preserve">NSCLC in a </w:t>
      </w:r>
      <w:proofErr w:type="spellStart"/>
      <w:r>
        <w:t>multicenter</w:t>
      </w:r>
      <w:proofErr w:type="spellEnd"/>
      <w:r>
        <w:t>, non-randomized, open-label, mult</w:t>
      </w:r>
      <w:r w:rsidR="00FF281A">
        <w:t>i-cohort clinical trial (ARROW</w:t>
      </w:r>
      <w:r>
        <w:t>). The study enrolled, in separate cohorts, patients with metastatic RET fusion-positive NSCLC who had progressed on platinum-based chemotherapy and treatment-</w:t>
      </w:r>
      <w:proofErr w:type="gramStart"/>
      <w:r>
        <w:t>naïve</w:t>
      </w:r>
      <w:proofErr w:type="gramEnd"/>
    </w:p>
    <w:p w14:paraId="253B106D" w14:textId="77777777" w:rsidR="006421C6" w:rsidRDefault="006421C6" w:rsidP="006421C6">
      <w:r>
        <w:t xml:space="preserve">patients with metastatic NSCLC. Identification of a RET gene fusion was determined by </w:t>
      </w:r>
      <w:proofErr w:type="gramStart"/>
      <w:r>
        <w:t>local</w:t>
      </w:r>
      <w:proofErr w:type="gramEnd"/>
    </w:p>
    <w:p w14:paraId="3FE46508" w14:textId="669FBABB" w:rsidR="006421C6" w:rsidRDefault="006421C6" w:rsidP="006421C6">
      <w:r>
        <w:t>laboratories using next generation sequencing (NGS), fluorescence in situ hybridization (FISH), and other tests. Among the 114 patients in the efficacy population(s) described in this section, samples from 59% of patients were retrospectively tested with the Life Technologies</w:t>
      </w:r>
    </w:p>
    <w:p w14:paraId="3804C83C" w14:textId="77777777" w:rsidR="006421C6" w:rsidRDefault="006421C6" w:rsidP="006421C6">
      <w:r>
        <w:t xml:space="preserve">Corporation </w:t>
      </w:r>
      <w:proofErr w:type="spellStart"/>
      <w:r>
        <w:t>Oncomine</w:t>
      </w:r>
      <w:proofErr w:type="spellEnd"/>
      <w:r>
        <w:t xml:space="preserve"> Dx Target Test (</w:t>
      </w:r>
      <w:proofErr w:type="spellStart"/>
      <w:r>
        <w:t>ODxTT</w:t>
      </w:r>
      <w:proofErr w:type="spellEnd"/>
      <w:r>
        <w:t>). Patients with asymptomatic central nervous</w:t>
      </w:r>
    </w:p>
    <w:p w14:paraId="48AB04B8" w14:textId="555EBFE8" w:rsidR="006421C6" w:rsidRDefault="006421C6" w:rsidP="006421C6">
      <w:r>
        <w:t xml:space="preserve">system (CNS) metastases, including patients with stable or decreasing steroid use within 2 weeks prior to study entry, were enrolled. Patients received </w:t>
      </w:r>
      <w:proofErr w:type="spellStart"/>
      <w:r>
        <w:t>G</w:t>
      </w:r>
      <w:r w:rsidR="00FF281A">
        <w:t>avreto</w:t>
      </w:r>
      <w:proofErr w:type="spellEnd"/>
      <w:r>
        <w:t xml:space="preserve"> 400mg orally once daily until disease progression or unacceptable toxicity.</w:t>
      </w:r>
    </w:p>
    <w:p w14:paraId="449BAAF6" w14:textId="77777777" w:rsidR="006421C6" w:rsidRDefault="006421C6" w:rsidP="006421C6"/>
    <w:p w14:paraId="63E0D84A" w14:textId="77777777" w:rsidR="006421C6" w:rsidRDefault="006421C6" w:rsidP="006421C6">
      <w:r>
        <w:t>The major efficacy outcome measures were overall response rate (ORR) and duration of</w:t>
      </w:r>
    </w:p>
    <w:p w14:paraId="43D679BB" w14:textId="77777777" w:rsidR="006421C6" w:rsidRDefault="006421C6" w:rsidP="006421C6">
      <w:r>
        <w:t>response (DOR), as assessed by a blinded independent central review (BICR) according to</w:t>
      </w:r>
    </w:p>
    <w:p w14:paraId="6131308C" w14:textId="290A12CB" w:rsidR="006421C6" w:rsidRDefault="006421C6" w:rsidP="006421C6">
      <w:r>
        <w:t>RECIST v1.1.</w:t>
      </w:r>
    </w:p>
    <w:p w14:paraId="027FBD75" w14:textId="4914A539" w:rsidR="006421C6" w:rsidRDefault="006421C6" w:rsidP="006421C6"/>
    <w:p w14:paraId="6E684E87" w14:textId="77777777" w:rsidR="006421C6" w:rsidRPr="00FF281A" w:rsidRDefault="006421C6" w:rsidP="006421C6">
      <w:pPr>
        <w:rPr>
          <w:i/>
        </w:rPr>
      </w:pPr>
      <w:r w:rsidRPr="00FF281A">
        <w:rPr>
          <w:i/>
        </w:rPr>
        <w:t>Metastatic RET Fusion-Positive NSCLC Previously Treated with Platinum Chemotherapy</w:t>
      </w:r>
    </w:p>
    <w:p w14:paraId="46A8639B" w14:textId="2B3E143B" w:rsidR="006421C6" w:rsidRDefault="006421C6" w:rsidP="006421C6">
      <w:r>
        <w:t>Efficacy was evaluated in 87 patients with RET fusion-positive NSCLC with measurable disease who were previously treated with platinum chemotherapy enrolled into a cohort of ARROW.</w:t>
      </w:r>
    </w:p>
    <w:p w14:paraId="079AD49C" w14:textId="77777777" w:rsidR="006421C6" w:rsidRDefault="006421C6" w:rsidP="006421C6"/>
    <w:p w14:paraId="6521D5EF" w14:textId="0D2DFA3C" w:rsidR="006421C6" w:rsidRDefault="006421C6" w:rsidP="006421C6">
      <w:r>
        <w:t>The median age was 60 years (range: 28 to 85); 49% were female, 53% were White, 35% were Asian, 6% were Hispanic/Latino. ECOG performance status was 0-1 (94%) or 2 (6%), 99% of patients had metastatic disease, and 43% had either a history of or current CNS metastasis.</w:t>
      </w:r>
    </w:p>
    <w:p w14:paraId="37E57663" w14:textId="77777777" w:rsidR="006421C6" w:rsidRDefault="006421C6" w:rsidP="006421C6"/>
    <w:p w14:paraId="5E192DD4" w14:textId="77777777" w:rsidR="006421C6" w:rsidRDefault="006421C6" w:rsidP="006421C6">
      <w:r>
        <w:t>Patients received a median of 2 prior systemic therapies (range 1–6); 45% had prior anti-PD-</w:t>
      </w:r>
    </w:p>
    <w:p w14:paraId="07000F76" w14:textId="77777777" w:rsidR="006421C6" w:rsidRDefault="006421C6" w:rsidP="006421C6">
      <w:r>
        <w:t xml:space="preserve">1/PD-L1 therapy and 25% had prior kinase inhibitors. A total of 52% of the patients </w:t>
      </w:r>
      <w:proofErr w:type="gramStart"/>
      <w:r>
        <w:t>received</w:t>
      </w:r>
      <w:proofErr w:type="gramEnd"/>
    </w:p>
    <w:p w14:paraId="38135F5D" w14:textId="42D431F0" w:rsidR="006421C6" w:rsidRDefault="006421C6" w:rsidP="006421C6">
      <w:r>
        <w:t xml:space="preserve">prior radiation therapy. RET fusions were detected in 77% of patients using NGS (45% tumour samples; 26% blood or plasma samples, 6% unknown), 21% using FISH, and 2% using other methods. The most common RET fusion partners were KIF5B (75%) and CCDC6 (17%). Efficacy results for RET fusion-positive NSCLC patients who received prior platinum-based chemotherapy are summarized in Table </w:t>
      </w:r>
      <w:r w:rsidR="00A6055E">
        <w:t>5.</w:t>
      </w:r>
    </w:p>
    <w:p w14:paraId="7A3F4276" w14:textId="12CCB424" w:rsidR="006421C6" w:rsidRDefault="006421C6" w:rsidP="006421C6"/>
    <w:p w14:paraId="31C7A79C" w14:textId="1B072104" w:rsidR="006421C6" w:rsidRPr="006421C6" w:rsidRDefault="006421C6" w:rsidP="006421C6">
      <w:pPr>
        <w:rPr>
          <w:b/>
        </w:rPr>
      </w:pPr>
      <w:r>
        <w:rPr>
          <w:b/>
        </w:rPr>
        <w:t xml:space="preserve">Table </w:t>
      </w:r>
      <w:r w:rsidR="00A6055E" w:rsidRPr="00A6055E">
        <w:rPr>
          <w:b/>
        </w:rPr>
        <w:t>5</w:t>
      </w:r>
      <w:r>
        <w:rPr>
          <w:b/>
        </w:rPr>
        <w:t xml:space="preserve">. </w:t>
      </w:r>
      <w:r w:rsidRPr="006421C6">
        <w:rPr>
          <w:b/>
        </w:rPr>
        <w:t>Efficacy Results in ARROW (Metastatic RET Fusion-Positive NSCLC</w:t>
      </w:r>
    </w:p>
    <w:p w14:paraId="483DB270" w14:textId="2086199D" w:rsidR="006421C6" w:rsidRDefault="006421C6" w:rsidP="006421C6">
      <w:pPr>
        <w:rPr>
          <w:b/>
        </w:rPr>
      </w:pPr>
      <w:r w:rsidRPr="006421C6">
        <w:rPr>
          <w:b/>
        </w:rPr>
        <w:t>Previously Treated with Platinum Chemotherapy)</w:t>
      </w:r>
    </w:p>
    <w:p w14:paraId="3E2CC69F"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8"/>
        <w:rPr>
          <w:sz w:val="4"/>
          <w:szCs w:val="4"/>
          <w:lang w:val="en-US"/>
        </w:rPr>
      </w:pPr>
    </w:p>
    <w:tbl>
      <w:tblPr>
        <w:tblW w:w="0" w:type="auto"/>
        <w:tblLayout w:type="fixed"/>
        <w:tblCellMar>
          <w:left w:w="0" w:type="dxa"/>
          <w:right w:w="0" w:type="dxa"/>
        </w:tblCellMar>
        <w:tblLook w:val="0000" w:firstRow="0" w:lastRow="0" w:firstColumn="0" w:lastColumn="0" w:noHBand="0" w:noVBand="0"/>
      </w:tblPr>
      <w:tblGrid>
        <w:gridCol w:w="4656"/>
        <w:gridCol w:w="1738"/>
      </w:tblGrid>
      <w:tr w:rsidR="006421C6" w:rsidRPr="006421C6" w14:paraId="154F9BA3" w14:textId="77777777" w:rsidTr="004E5EBA">
        <w:trPr>
          <w:trHeight w:hRule="exact" w:val="931"/>
        </w:trPr>
        <w:tc>
          <w:tcPr>
            <w:tcW w:w="4656" w:type="dxa"/>
            <w:tcBorders>
              <w:top w:val="single" w:sz="4" w:space="0" w:color="000000"/>
              <w:left w:val="single" w:sz="4" w:space="0" w:color="000000"/>
              <w:bottom w:val="single" w:sz="4" w:space="0" w:color="000000"/>
              <w:right w:val="single" w:sz="4" w:space="0" w:color="000000"/>
            </w:tcBorders>
          </w:tcPr>
          <w:p w14:paraId="56CCA33E"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b/>
                <w:bCs/>
                <w:spacing w:val="-1"/>
                <w:lang w:val="en-US"/>
              </w:rPr>
              <w:t>Efficacy</w:t>
            </w:r>
            <w:r w:rsidRPr="006421C6">
              <w:rPr>
                <w:b/>
                <w:bCs/>
                <w:lang w:val="en-US"/>
              </w:rPr>
              <w:t xml:space="preserve"> </w:t>
            </w:r>
            <w:r w:rsidRPr="006421C6">
              <w:rPr>
                <w:b/>
                <w:bCs/>
                <w:spacing w:val="-1"/>
                <w:lang w:val="en-US"/>
              </w:rPr>
              <w:t>Parameter</w:t>
            </w:r>
          </w:p>
        </w:tc>
        <w:tc>
          <w:tcPr>
            <w:tcW w:w="1738" w:type="dxa"/>
            <w:tcBorders>
              <w:top w:val="single" w:sz="4" w:space="0" w:color="000000"/>
              <w:left w:val="single" w:sz="4" w:space="0" w:color="000000"/>
              <w:bottom w:val="single" w:sz="4" w:space="0" w:color="000000"/>
              <w:right w:val="single" w:sz="4" w:space="0" w:color="000000"/>
            </w:tcBorders>
          </w:tcPr>
          <w:p w14:paraId="039F676E"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line="348" w:lineRule="auto"/>
              <w:ind w:left="507" w:right="256" w:hanging="252"/>
              <w:rPr>
                <w:lang w:val="en-US"/>
              </w:rPr>
            </w:pPr>
            <w:r w:rsidRPr="006421C6">
              <w:rPr>
                <w:b/>
                <w:bCs/>
                <w:spacing w:val="-1"/>
                <w:lang w:val="en-US"/>
              </w:rPr>
              <w:t>GAVRETO</w:t>
            </w:r>
            <w:r w:rsidRPr="006421C6">
              <w:rPr>
                <w:b/>
                <w:bCs/>
                <w:spacing w:val="22"/>
                <w:lang w:val="en-US"/>
              </w:rPr>
              <w:t xml:space="preserve"> </w:t>
            </w:r>
            <w:r w:rsidRPr="006421C6">
              <w:rPr>
                <w:b/>
                <w:bCs/>
                <w:spacing w:val="-1"/>
                <w:lang w:val="en-US"/>
              </w:rPr>
              <w:t>(N=87)</w:t>
            </w:r>
          </w:p>
        </w:tc>
      </w:tr>
      <w:tr w:rsidR="006421C6" w:rsidRPr="006421C6" w14:paraId="3077C308" w14:textId="77777777" w:rsidTr="004E5EBA">
        <w:trPr>
          <w:trHeight w:hRule="exact" w:val="528"/>
        </w:trPr>
        <w:tc>
          <w:tcPr>
            <w:tcW w:w="4656" w:type="dxa"/>
            <w:tcBorders>
              <w:top w:val="single" w:sz="4" w:space="0" w:color="000000"/>
              <w:left w:val="single" w:sz="4" w:space="0" w:color="000000"/>
              <w:bottom w:val="single" w:sz="4" w:space="0" w:color="000000"/>
              <w:right w:val="single" w:sz="4" w:space="0" w:color="000000"/>
            </w:tcBorders>
          </w:tcPr>
          <w:p w14:paraId="2A128A4B"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16"/>
              <w:ind w:left="102"/>
              <w:rPr>
                <w:lang w:val="en-US"/>
              </w:rPr>
            </w:pPr>
            <w:r w:rsidRPr="006421C6">
              <w:rPr>
                <w:b/>
                <w:bCs/>
                <w:spacing w:val="-1"/>
                <w:lang w:val="en-US"/>
              </w:rPr>
              <w:t>Overall Response Rate</w:t>
            </w:r>
            <w:r w:rsidRPr="006421C6">
              <w:rPr>
                <w:b/>
                <w:bCs/>
                <w:spacing w:val="1"/>
                <w:lang w:val="en-US"/>
              </w:rPr>
              <w:t xml:space="preserve"> </w:t>
            </w:r>
            <w:r w:rsidRPr="006421C6">
              <w:rPr>
                <w:b/>
                <w:bCs/>
                <w:spacing w:val="-1"/>
                <w:lang w:val="en-US"/>
              </w:rPr>
              <w:t>(ORR)</w:t>
            </w:r>
            <w:r w:rsidRPr="006421C6">
              <w:rPr>
                <w:spacing w:val="-1"/>
                <w:position w:val="10"/>
                <w:sz w:val="14"/>
                <w:szCs w:val="14"/>
                <w:lang w:val="en-US"/>
              </w:rPr>
              <w:t>a</w:t>
            </w:r>
            <w:r w:rsidRPr="006421C6">
              <w:rPr>
                <w:spacing w:val="25"/>
                <w:position w:val="10"/>
                <w:sz w:val="14"/>
                <w:szCs w:val="14"/>
                <w:lang w:val="en-US"/>
              </w:rPr>
              <w:t xml:space="preserve"> </w:t>
            </w:r>
            <w:r w:rsidRPr="006421C6">
              <w:rPr>
                <w:spacing w:val="-1"/>
                <w:lang w:val="en-US"/>
              </w:rPr>
              <w:t>(95% CI)</w:t>
            </w:r>
          </w:p>
        </w:tc>
        <w:tc>
          <w:tcPr>
            <w:tcW w:w="1738" w:type="dxa"/>
            <w:tcBorders>
              <w:top w:val="single" w:sz="4" w:space="0" w:color="000000"/>
              <w:left w:val="single" w:sz="4" w:space="0" w:color="000000"/>
              <w:bottom w:val="single" w:sz="4" w:space="0" w:color="000000"/>
              <w:right w:val="single" w:sz="4" w:space="0" w:color="000000"/>
            </w:tcBorders>
          </w:tcPr>
          <w:p w14:paraId="24501D10"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332"/>
              <w:rPr>
                <w:lang w:val="en-US"/>
              </w:rPr>
            </w:pPr>
            <w:r w:rsidRPr="006421C6">
              <w:rPr>
                <w:lang w:val="en-US"/>
              </w:rPr>
              <w:t xml:space="preserve">57 </w:t>
            </w:r>
            <w:r w:rsidRPr="006421C6">
              <w:rPr>
                <w:spacing w:val="-1"/>
                <w:lang w:val="en-US"/>
              </w:rPr>
              <w:t>(46,</w:t>
            </w:r>
            <w:r w:rsidRPr="006421C6">
              <w:rPr>
                <w:lang w:val="en-US"/>
              </w:rPr>
              <w:t xml:space="preserve"> 68)</w:t>
            </w:r>
          </w:p>
        </w:tc>
      </w:tr>
      <w:tr w:rsidR="006421C6" w:rsidRPr="006421C6" w14:paraId="1B901FCF"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7D81EA09"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822"/>
              <w:rPr>
                <w:lang w:val="en-US"/>
              </w:rPr>
            </w:pPr>
            <w:r w:rsidRPr="006421C6">
              <w:rPr>
                <w:spacing w:val="-1"/>
                <w:lang w:val="en-US"/>
              </w:rPr>
              <w:t>Complete Response,</w:t>
            </w:r>
            <w:r w:rsidRPr="006421C6">
              <w:rPr>
                <w:lang w:val="en-US"/>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BFC5D31"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2"/>
              <w:jc w:val="center"/>
              <w:rPr>
                <w:lang w:val="en-US"/>
              </w:rPr>
            </w:pPr>
            <w:r w:rsidRPr="006421C6">
              <w:rPr>
                <w:lang w:val="en-US"/>
              </w:rPr>
              <w:t>5.7</w:t>
            </w:r>
          </w:p>
        </w:tc>
      </w:tr>
      <w:tr w:rsidR="006421C6" w:rsidRPr="006421C6" w14:paraId="731B0F44"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0320F72F"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822"/>
              <w:rPr>
                <w:lang w:val="en-US"/>
              </w:rPr>
            </w:pPr>
            <w:r w:rsidRPr="006421C6">
              <w:rPr>
                <w:spacing w:val="-1"/>
                <w:lang w:val="en-US"/>
              </w:rPr>
              <w:t>Partial</w:t>
            </w:r>
            <w:r w:rsidRPr="006421C6">
              <w:rPr>
                <w:lang w:val="en-US"/>
              </w:rPr>
              <w:t xml:space="preserve"> </w:t>
            </w:r>
            <w:r w:rsidRPr="006421C6">
              <w:rPr>
                <w:spacing w:val="-1"/>
                <w:lang w:val="en-US"/>
              </w:rPr>
              <w:t>Response,</w:t>
            </w:r>
            <w:r w:rsidRPr="006421C6">
              <w:rPr>
                <w:lang w:val="en-US"/>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2B77548"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jc w:val="center"/>
              <w:rPr>
                <w:lang w:val="en-US"/>
              </w:rPr>
            </w:pPr>
            <w:r w:rsidRPr="006421C6">
              <w:rPr>
                <w:lang w:val="en-US"/>
              </w:rPr>
              <w:t>52</w:t>
            </w:r>
          </w:p>
        </w:tc>
      </w:tr>
      <w:tr w:rsidR="006421C6" w:rsidRPr="006421C6" w14:paraId="3ECA2E28"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702598D0"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b/>
                <w:bCs/>
                <w:spacing w:val="-1"/>
                <w:lang w:val="en-US"/>
              </w:rPr>
              <w:t>Duration</w:t>
            </w:r>
            <w:r w:rsidRPr="006421C6">
              <w:rPr>
                <w:b/>
                <w:bCs/>
                <w:lang w:val="en-US"/>
              </w:rPr>
              <w:t xml:space="preserve"> of</w:t>
            </w:r>
            <w:r w:rsidRPr="006421C6">
              <w:rPr>
                <w:b/>
                <w:bCs/>
                <w:spacing w:val="1"/>
                <w:lang w:val="en-US"/>
              </w:rPr>
              <w:t xml:space="preserve"> </w:t>
            </w:r>
            <w:r w:rsidRPr="006421C6">
              <w:rPr>
                <w:b/>
                <w:bCs/>
                <w:spacing w:val="-1"/>
                <w:lang w:val="en-US"/>
              </w:rPr>
              <w:t>Response (DOR)</w:t>
            </w:r>
          </w:p>
        </w:tc>
        <w:tc>
          <w:tcPr>
            <w:tcW w:w="1738" w:type="dxa"/>
            <w:tcBorders>
              <w:top w:val="single" w:sz="4" w:space="0" w:color="000000"/>
              <w:left w:val="single" w:sz="4" w:space="0" w:color="000000"/>
              <w:bottom w:val="single" w:sz="4" w:space="0" w:color="000000"/>
              <w:right w:val="single" w:sz="4" w:space="0" w:color="000000"/>
            </w:tcBorders>
          </w:tcPr>
          <w:p w14:paraId="6D64602A"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510"/>
              <w:rPr>
                <w:lang w:val="en-US"/>
              </w:rPr>
            </w:pPr>
            <w:r w:rsidRPr="006421C6">
              <w:rPr>
                <w:spacing w:val="-1"/>
                <w:lang w:val="en-US"/>
              </w:rPr>
              <w:t>(N=50)</w:t>
            </w:r>
          </w:p>
        </w:tc>
      </w:tr>
      <w:tr w:rsidR="006421C6" w:rsidRPr="006421C6" w14:paraId="4157F63F"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6D599AF5"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spacing w:val="-1"/>
                <w:lang w:val="en-US"/>
              </w:rPr>
              <w:t>Median,</w:t>
            </w:r>
            <w:r w:rsidRPr="006421C6">
              <w:rPr>
                <w:lang w:val="en-US"/>
              </w:rPr>
              <w:t xml:space="preserve"> </w:t>
            </w:r>
            <w:r w:rsidRPr="006421C6">
              <w:rPr>
                <w:spacing w:val="-1"/>
                <w:lang w:val="en-US"/>
              </w:rPr>
              <w:t>months(95%CI)</w:t>
            </w:r>
          </w:p>
        </w:tc>
        <w:tc>
          <w:tcPr>
            <w:tcW w:w="1738" w:type="dxa"/>
            <w:tcBorders>
              <w:top w:val="single" w:sz="4" w:space="0" w:color="000000"/>
              <w:left w:val="single" w:sz="4" w:space="0" w:color="000000"/>
              <w:bottom w:val="single" w:sz="4" w:space="0" w:color="000000"/>
              <w:right w:val="single" w:sz="4" w:space="0" w:color="000000"/>
            </w:tcBorders>
          </w:tcPr>
          <w:p w14:paraId="219A8E76"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64"/>
              <w:rPr>
                <w:lang w:val="en-US"/>
              </w:rPr>
            </w:pPr>
            <w:r w:rsidRPr="006421C6">
              <w:rPr>
                <w:spacing w:val="-1"/>
                <w:lang w:val="en-US"/>
              </w:rPr>
              <w:t>NE (15.2,</w:t>
            </w:r>
            <w:r w:rsidRPr="006421C6">
              <w:rPr>
                <w:lang w:val="en-US"/>
              </w:rPr>
              <w:t xml:space="preserve"> </w:t>
            </w:r>
            <w:r w:rsidRPr="006421C6">
              <w:rPr>
                <w:spacing w:val="-1"/>
                <w:lang w:val="en-US"/>
              </w:rPr>
              <w:t>NE)</w:t>
            </w:r>
          </w:p>
        </w:tc>
      </w:tr>
      <w:tr w:rsidR="006421C6" w:rsidRPr="006421C6" w14:paraId="4B190FA4"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668E9D42"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07"/>
              <w:ind w:left="822"/>
              <w:rPr>
                <w:lang w:val="en-US"/>
              </w:rPr>
            </w:pPr>
            <w:r w:rsidRPr="006421C6">
              <w:rPr>
                <w:spacing w:val="-1"/>
                <w:lang w:val="en-US"/>
              </w:rPr>
              <w:t>Patients</w:t>
            </w:r>
            <w:r w:rsidRPr="006421C6">
              <w:rPr>
                <w:lang w:val="en-US"/>
              </w:rPr>
              <w:t xml:space="preserve"> </w:t>
            </w:r>
            <w:r w:rsidRPr="006421C6">
              <w:rPr>
                <w:spacing w:val="-1"/>
                <w:lang w:val="en-US"/>
              </w:rPr>
              <w:t>with</w:t>
            </w:r>
            <w:r w:rsidRPr="006421C6">
              <w:rPr>
                <w:lang w:val="en-US"/>
              </w:rPr>
              <w:t xml:space="preserve"> </w:t>
            </w:r>
            <w:r w:rsidRPr="006421C6">
              <w:rPr>
                <w:spacing w:val="-1"/>
                <w:lang w:val="en-US"/>
              </w:rPr>
              <w:t>DOR</w:t>
            </w:r>
            <w:r w:rsidRPr="006421C6">
              <w:rPr>
                <w:lang w:val="en-US"/>
              </w:rPr>
              <w:t xml:space="preserve"> ≥ 6-months</w:t>
            </w:r>
            <w:r w:rsidRPr="006421C6">
              <w:rPr>
                <w:position w:val="9"/>
                <w:sz w:val="16"/>
                <w:szCs w:val="16"/>
                <w:lang w:val="en-US"/>
              </w:rPr>
              <w:t>b</w:t>
            </w:r>
            <w:r w:rsidRPr="006421C6">
              <w:rPr>
                <w:lang w:val="en-US"/>
              </w:rPr>
              <w:t>, %</w:t>
            </w:r>
          </w:p>
        </w:tc>
        <w:tc>
          <w:tcPr>
            <w:tcW w:w="1738" w:type="dxa"/>
            <w:tcBorders>
              <w:top w:val="single" w:sz="4" w:space="0" w:color="000000"/>
              <w:left w:val="single" w:sz="4" w:space="0" w:color="000000"/>
              <w:bottom w:val="single" w:sz="4" w:space="0" w:color="000000"/>
              <w:right w:val="single" w:sz="4" w:space="0" w:color="000000"/>
            </w:tcBorders>
          </w:tcPr>
          <w:p w14:paraId="0833ED08"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jc w:val="center"/>
              <w:rPr>
                <w:lang w:val="en-US"/>
              </w:rPr>
            </w:pPr>
            <w:r w:rsidRPr="006421C6">
              <w:rPr>
                <w:lang w:val="en-US"/>
              </w:rPr>
              <w:t>80</w:t>
            </w:r>
          </w:p>
        </w:tc>
      </w:tr>
    </w:tbl>
    <w:p w14:paraId="2CB98BCC" w14:textId="77777777" w:rsidR="006421C6" w:rsidRPr="006421C6" w:rsidRDefault="006421C6" w:rsidP="006421C6">
      <w:pPr>
        <w:rPr>
          <w:sz w:val="20"/>
          <w:szCs w:val="20"/>
        </w:rPr>
      </w:pPr>
      <w:r w:rsidRPr="006421C6">
        <w:rPr>
          <w:sz w:val="20"/>
          <w:szCs w:val="20"/>
        </w:rPr>
        <w:t>NE = not estimable</w:t>
      </w:r>
    </w:p>
    <w:p w14:paraId="6534DAC3" w14:textId="77777777" w:rsidR="006421C6" w:rsidRPr="006421C6" w:rsidRDefault="006421C6" w:rsidP="006421C6">
      <w:pPr>
        <w:rPr>
          <w:sz w:val="20"/>
          <w:szCs w:val="20"/>
        </w:rPr>
      </w:pPr>
      <w:r w:rsidRPr="006421C6">
        <w:rPr>
          <w:sz w:val="20"/>
          <w:szCs w:val="20"/>
        </w:rPr>
        <w:t xml:space="preserve">a Confirmed overall response rate assessed by </w:t>
      </w:r>
      <w:proofErr w:type="gramStart"/>
      <w:r w:rsidRPr="006421C6">
        <w:rPr>
          <w:sz w:val="20"/>
          <w:szCs w:val="20"/>
        </w:rPr>
        <w:t>BICR</w:t>
      </w:r>
      <w:proofErr w:type="gramEnd"/>
    </w:p>
    <w:p w14:paraId="0251FCEF" w14:textId="2D699F5C" w:rsidR="006421C6" w:rsidRDefault="006421C6" w:rsidP="006421C6">
      <w:pPr>
        <w:rPr>
          <w:sz w:val="20"/>
          <w:szCs w:val="20"/>
        </w:rPr>
      </w:pPr>
      <w:r w:rsidRPr="006421C6">
        <w:rPr>
          <w:sz w:val="20"/>
          <w:szCs w:val="20"/>
        </w:rPr>
        <w:t>b Calculated using the proportion of responders with an observed duration of response at least 6 months or greater</w:t>
      </w:r>
    </w:p>
    <w:p w14:paraId="48134ECF" w14:textId="4E400C80" w:rsidR="006421C6" w:rsidRDefault="006421C6" w:rsidP="006421C6">
      <w:pPr>
        <w:rPr>
          <w:sz w:val="20"/>
          <w:szCs w:val="20"/>
        </w:rPr>
      </w:pPr>
    </w:p>
    <w:p w14:paraId="5A499AC9" w14:textId="77777777" w:rsidR="006421C6" w:rsidRDefault="006421C6" w:rsidP="006421C6">
      <w:r>
        <w:t>For the 39 patients who received an anti-PD-1 or anti-PD-L1 therapy, either sequentially or</w:t>
      </w:r>
    </w:p>
    <w:p w14:paraId="7B1E6B34" w14:textId="00D7D0D8" w:rsidR="006421C6" w:rsidRDefault="006421C6" w:rsidP="006421C6">
      <w:r>
        <w:t>concurrently with platinum-based chemotherapy, an exploratory subgroup analysis of ORR was 59% (95% CI: 42, 74) and the median DOR was not reached (95% CI: 11.3, NE).</w:t>
      </w:r>
    </w:p>
    <w:p w14:paraId="727392BB" w14:textId="77777777" w:rsidR="006421C6" w:rsidRDefault="006421C6" w:rsidP="006421C6"/>
    <w:p w14:paraId="0A2C7A2F" w14:textId="12CE4E83" w:rsidR="006421C6" w:rsidRDefault="006421C6" w:rsidP="006421C6">
      <w:r>
        <w:t>Among the 87 patients with RET-fusion positive NSCLC, 8 had measurable CNS metastases at baseline as assessed by BICR. No patients received radiation therapy (RT) to the brain within 2 months prior to study entry. Responses in intracranial lesions were observed in 4 of these 8 patients including 2 patients with a CNS complete response; 75% of responders had a DOR of ≥ 6 months.</w:t>
      </w:r>
    </w:p>
    <w:p w14:paraId="0FA6C209" w14:textId="2C06117E" w:rsidR="006421C6" w:rsidRDefault="006421C6" w:rsidP="006421C6"/>
    <w:p w14:paraId="1B46CB39" w14:textId="77777777" w:rsidR="006421C6" w:rsidRPr="006421C6" w:rsidRDefault="006421C6" w:rsidP="006421C6">
      <w:pPr>
        <w:rPr>
          <w:u w:val="single"/>
        </w:rPr>
      </w:pPr>
      <w:r w:rsidRPr="006421C6">
        <w:rPr>
          <w:u w:val="single"/>
        </w:rPr>
        <w:t>Treatment-naïve RET Fusion-Positive NSCLC</w:t>
      </w:r>
    </w:p>
    <w:p w14:paraId="05EEFDC9" w14:textId="77777777" w:rsidR="006421C6" w:rsidRDefault="006421C6" w:rsidP="006421C6">
      <w:r>
        <w:t>Efficacy was evaluated in 27 patients with treatment-naïve RET fusion-positive NSCLC with</w:t>
      </w:r>
    </w:p>
    <w:p w14:paraId="3C8AC4B6" w14:textId="1036DF35" w:rsidR="006421C6" w:rsidRDefault="006421C6" w:rsidP="006421C6">
      <w:r>
        <w:t>measurable disease enrolled into ARROW.</w:t>
      </w:r>
    </w:p>
    <w:p w14:paraId="241DAF39" w14:textId="77777777" w:rsidR="006421C6" w:rsidRDefault="006421C6" w:rsidP="006421C6"/>
    <w:p w14:paraId="0DAF9A64" w14:textId="3E4EE8E5" w:rsidR="006421C6" w:rsidRDefault="006421C6" w:rsidP="006421C6">
      <w:r>
        <w:t xml:space="preserve">The median age was 65 years (range 30 to 87); 52% were female, 59% were White, 33% were Asian, and 4% were Hispanic or Latino. ECOG performance status was 0-1 for 96% of the patients and all patients (100%) had metastatic disease. 37% had either history of or current CNS metastasis. RET fusions were detected in 67% of patients using NGS (41% </w:t>
      </w:r>
      <w:r>
        <w:lastRenderedPageBreak/>
        <w:t>tumour samples; 22% blood or plasma; 4% unknown) and 33% using FISH. The most common RET fusion partners were KIF5B (70%) and CCDC6 (11%).</w:t>
      </w:r>
    </w:p>
    <w:p w14:paraId="744975CD" w14:textId="77777777" w:rsidR="006421C6" w:rsidRDefault="006421C6" w:rsidP="006421C6"/>
    <w:p w14:paraId="7FD9E024" w14:textId="0EB7C53D" w:rsidR="006421C6" w:rsidRDefault="006421C6" w:rsidP="006421C6">
      <w:r>
        <w:t>Efficacy results for treatment-naïve RET fusion-positive NSCLC are summarized in Tabl</w:t>
      </w:r>
      <w:r w:rsidRPr="00A6055E">
        <w:t xml:space="preserve">e </w:t>
      </w:r>
      <w:r w:rsidR="00A6055E" w:rsidRPr="00A6055E">
        <w:t>6</w:t>
      </w:r>
      <w:r w:rsidRPr="00A6055E">
        <w:t>.</w:t>
      </w:r>
    </w:p>
    <w:p w14:paraId="0076E1DE" w14:textId="3FB069E8" w:rsidR="006421C6" w:rsidRDefault="006421C6" w:rsidP="006421C6"/>
    <w:p w14:paraId="294E93B0" w14:textId="791B41C0" w:rsidR="006421C6" w:rsidRPr="006421C6" w:rsidRDefault="006421C6" w:rsidP="006421C6">
      <w:pPr>
        <w:rPr>
          <w:b/>
        </w:rPr>
      </w:pPr>
      <w:r w:rsidRPr="006421C6">
        <w:rPr>
          <w:b/>
        </w:rPr>
        <w:t xml:space="preserve">Table </w:t>
      </w:r>
      <w:r w:rsidR="00A6055E" w:rsidRPr="00A6055E">
        <w:rPr>
          <w:b/>
        </w:rPr>
        <w:t>6</w:t>
      </w:r>
      <w:r w:rsidRPr="00A6055E">
        <w:rPr>
          <w:b/>
        </w:rPr>
        <w:t>.</w:t>
      </w:r>
      <w:r w:rsidRPr="006421C6">
        <w:rPr>
          <w:b/>
        </w:rPr>
        <w:t xml:space="preserve"> Efficacy Results for ARROW (Treatment-Naïve Metastatic RET Fusion-</w:t>
      </w:r>
    </w:p>
    <w:p w14:paraId="1DAFB6AD" w14:textId="729025C3" w:rsidR="006421C6" w:rsidRDefault="006421C6" w:rsidP="006421C6">
      <w:pPr>
        <w:rPr>
          <w:b/>
        </w:rPr>
      </w:pPr>
      <w:r w:rsidRPr="006421C6">
        <w:rPr>
          <w:b/>
        </w:rPr>
        <w:t>Positive NSCLC</w:t>
      </w:r>
    </w:p>
    <w:p w14:paraId="46A106AD"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7"/>
        <w:rPr>
          <w:sz w:val="3"/>
          <w:szCs w:val="3"/>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4687"/>
        <w:gridCol w:w="1599"/>
      </w:tblGrid>
      <w:tr w:rsidR="006421C6" w:rsidRPr="006421C6" w14:paraId="26D5312C" w14:textId="77777777">
        <w:trPr>
          <w:trHeight w:hRule="exact" w:val="931"/>
        </w:trPr>
        <w:tc>
          <w:tcPr>
            <w:tcW w:w="4687" w:type="dxa"/>
            <w:tcBorders>
              <w:top w:val="single" w:sz="4" w:space="0" w:color="000000"/>
              <w:left w:val="single" w:sz="4" w:space="0" w:color="000000"/>
              <w:bottom w:val="single" w:sz="4" w:space="0" w:color="000000"/>
              <w:right w:val="single" w:sz="4" w:space="0" w:color="000000"/>
            </w:tcBorders>
          </w:tcPr>
          <w:p w14:paraId="2A89F49D"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102"/>
              <w:rPr>
                <w:lang w:val="en-US"/>
              </w:rPr>
            </w:pPr>
            <w:r w:rsidRPr="006421C6">
              <w:rPr>
                <w:b/>
                <w:bCs/>
                <w:spacing w:val="-1"/>
                <w:lang w:val="en-US"/>
              </w:rPr>
              <w:t>Efficacy</w:t>
            </w:r>
            <w:r w:rsidRPr="006421C6">
              <w:rPr>
                <w:b/>
                <w:bCs/>
                <w:lang w:val="en-US"/>
              </w:rPr>
              <w:t xml:space="preserve"> </w:t>
            </w:r>
            <w:r w:rsidRPr="006421C6">
              <w:rPr>
                <w:b/>
                <w:bCs/>
                <w:spacing w:val="-1"/>
                <w:lang w:val="en-US"/>
              </w:rPr>
              <w:t>Parameter</w:t>
            </w:r>
          </w:p>
        </w:tc>
        <w:tc>
          <w:tcPr>
            <w:tcW w:w="1599" w:type="dxa"/>
            <w:tcBorders>
              <w:top w:val="single" w:sz="4" w:space="0" w:color="000000"/>
              <w:left w:val="single" w:sz="4" w:space="0" w:color="000000"/>
              <w:bottom w:val="single" w:sz="4" w:space="0" w:color="000000"/>
              <w:right w:val="single" w:sz="4" w:space="0" w:color="000000"/>
            </w:tcBorders>
          </w:tcPr>
          <w:p w14:paraId="0979F5BE"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line="346" w:lineRule="auto"/>
              <w:ind w:left="438" w:right="187" w:hanging="252"/>
              <w:rPr>
                <w:lang w:val="en-US"/>
              </w:rPr>
            </w:pPr>
            <w:r w:rsidRPr="006421C6">
              <w:rPr>
                <w:b/>
                <w:bCs/>
                <w:spacing w:val="-1"/>
                <w:lang w:val="en-US"/>
              </w:rPr>
              <w:t>GAVRETO</w:t>
            </w:r>
            <w:r w:rsidRPr="006421C6">
              <w:rPr>
                <w:b/>
                <w:bCs/>
                <w:spacing w:val="22"/>
                <w:lang w:val="en-US"/>
              </w:rPr>
              <w:t xml:space="preserve"> </w:t>
            </w:r>
            <w:r w:rsidRPr="006421C6">
              <w:rPr>
                <w:b/>
                <w:bCs/>
                <w:spacing w:val="-1"/>
                <w:lang w:val="en-US"/>
              </w:rPr>
              <w:t>(N=27)</w:t>
            </w:r>
          </w:p>
        </w:tc>
      </w:tr>
      <w:tr w:rsidR="006421C6" w:rsidRPr="006421C6" w14:paraId="45FE7909"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5BCC32D5"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16"/>
              <w:ind w:left="102"/>
              <w:rPr>
                <w:lang w:val="en-US"/>
              </w:rPr>
            </w:pPr>
            <w:r w:rsidRPr="006421C6">
              <w:rPr>
                <w:b/>
                <w:bCs/>
                <w:spacing w:val="-1"/>
                <w:lang w:val="en-US"/>
              </w:rPr>
              <w:t>Overall Response Rate</w:t>
            </w:r>
            <w:r w:rsidRPr="006421C6">
              <w:rPr>
                <w:b/>
                <w:bCs/>
                <w:spacing w:val="1"/>
                <w:lang w:val="en-US"/>
              </w:rPr>
              <w:t xml:space="preserve"> </w:t>
            </w:r>
            <w:r w:rsidRPr="006421C6">
              <w:rPr>
                <w:b/>
                <w:bCs/>
                <w:spacing w:val="-1"/>
                <w:lang w:val="en-US"/>
              </w:rPr>
              <w:t>(ORR)</w:t>
            </w:r>
            <w:r w:rsidRPr="006421C6">
              <w:rPr>
                <w:spacing w:val="-1"/>
                <w:position w:val="10"/>
                <w:sz w:val="14"/>
                <w:szCs w:val="14"/>
                <w:lang w:val="en-US"/>
              </w:rPr>
              <w:t>a</w:t>
            </w:r>
            <w:r w:rsidRPr="006421C6">
              <w:rPr>
                <w:spacing w:val="25"/>
                <w:position w:val="10"/>
                <w:sz w:val="14"/>
                <w:szCs w:val="14"/>
                <w:lang w:val="en-US"/>
              </w:rPr>
              <w:t xml:space="preserve"> </w:t>
            </w:r>
            <w:r w:rsidRPr="006421C6">
              <w:rPr>
                <w:spacing w:val="-1"/>
                <w:lang w:val="en-US"/>
              </w:rPr>
              <w:t>(95% CI)</w:t>
            </w:r>
          </w:p>
        </w:tc>
        <w:tc>
          <w:tcPr>
            <w:tcW w:w="1599" w:type="dxa"/>
            <w:tcBorders>
              <w:top w:val="single" w:sz="4" w:space="0" w:color="000000"/>
              <w:left w:val="single" w:sz="4" w:space="0" w:color="000000"/>
              <w:bottom w:val="single" w:sz="4" w:space="0" w:color="000000"/>
              <w:right w:val="single" w:sz="4" w:space="0" w:color="000000"/>
            </w:tcBorders>
          </w:tcPr>
          <w:p w14:paraId="43C70B04"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262"/>
              <w:rPr>
                <w:lang w:val="en-US"/>
              </w:rPr>
            </w:pPr>
            <w:r w:rsidRPr="006421C6">
              <w:rPr>
                <w:lang w:val="en-US"/>
              </w:rPr>
              <w:t xml:space="preserve">70 </w:t>
            </w:r>
            <w:r w:rsidRPr="006421C6">
              <w:rPr>
                <w:spacing w:val="-1"/>
                <w:lang w:val="en-US"/>
              </w:rPr>
              <w:t>(50,</w:t>
            </w:r>
            <w:r w:rsidRPr="006421C6">
              <w:rPr>
                <w:lang w:val="en-US"/>
              </w:rPr>
              <w:t xml:space="preserve"> 86)</w:t>
            </w:r>
          </w:p>
        </w:tc>
      </w:tr>
      <w:tr w:rsidR="006421C6" w:rsidRPr="006421C6" w14:paraId="5E154150"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4E762D47"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822"/>
              <w:rPr>
                <w:lang w:val="en-US"/>
              </w:rPr>
            </w:pPr>
            <w:r w:rsidRPr="006421C6">
              <w:rPr>
                <w:spacing w:val="-1"/>
                <w:lang w:val="en-US"/>
              </w:rPr>
              <w:t>Complete Response,</w:t>
            </w:r>
            <w:r w:rsidRPr="006421C6">
              <w:rPr>
                <w:lang w:val="en-US"/>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6B3E2EC"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jc w:val="center"/>
              <w:rPr>
                <w:lang w:val="en-US"/>
              </w:rPr>
            </w:pPr>
            <w:r w:rsidRPr="006421C6">
              <w:rPr>
                <w:lang w:val="en-US"/>
              </w:rPr>
              <w:t>11</w:t>
            </w:r>
          </w:p>
        </w:tc>
      </w:tr>
      <w:tr w:rsidR="006421C6" w:rsidRPr="006421C6" w14:paraId="28CBAF79" w14:textId="77777777">
        <w:trPr>
          <w:trHeight w:hRule="exact" w:val="528"/>
        </w:trPr>
        <w:tc>
          <w:tcPr>
            <w:tcW w:w="4687" w:type="dxa"/>
            <w:tcBorders>
              <w:top w:val="single" w:sz="4" w:space="0" w:color="000000"/>
              <w:left w:val="single" w:sz="4" w:space="0" w:color="000000"/>
              <w:bottom w:val="single" w:sz="4" w:space="0" w:color="000000"/>
              <w:right w:val="single" w:sz="4" w:space="0" w:color="000000"/>
            </w:tcBorders>
          </w:tcPr>
          <w:p w14:paraId="70778223"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822"/>
              <w:rPr>
                <w:lang w:val="en-US"/>
              </w:rPr>
            </w:pPr>
            <w:r w:rsidRPr="006421C6">
              <w:rPr>
                <w:spacing w:val="-1"/>
                <w:lang w:val="en-US"/>
              </w:rPr>
              <w:t>Partial</w:t>
            </w:r>
            <w:r w:rsidRPr="006421C6">
              <w:rPr>
                <w:lang w:val="en-US"/>
              </w:rPr>
              <w:t xml:space="preserve"> </w:t>
            </w:r>
            <w:r w:rsidRPr="006421C6">
              <w:rPr>
                <w:spacing w:val="-1"/>
                <w:lang w:val="en-US"/>
              </w:rPr>
              <w:t>Response,</w:t>
            </w:r>
            <w:r w:rsidRPr="006421C6">
              <w:rPr>
                <w:lang w:val="en-US"/>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33C85E05"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jc w:val="center"/>
              <w:rPr>
                <w:lang w:val="en-US"/>
              </w:rPr>
            </w:pPr>
            <w:r w:rsidRPr="006421C6">
              <w:rPr>
                <w:lang w:val="en-US"/>
              </w:rPr>
              <w:t>59</w:t>
            </w:r>
          </w:p>
        </w:tc>
      </w:tr>
      <w:tr w:rsidR="006421C6" w:rsidRPr="006421C6" w14:paraId="5EF78E15"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29177DA4"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102"/>
              <w:rPr>
                <w:lang w:val="en-US"/>
              </w:rPr>
            </w:pPr>
            <w:r w:rsidRPr="006421C6">
              <w:rPr>
                <w:b/>
                <w:bCs/>
                <w:spacing w:val="-1"/>
                <w:lang w:val="en-US"/>
              </w:rPr>
              <w:t>Duration</w:t>
            </w:r>
            <w:r w:rsidRPr="006421C6">
              <w:rPr>
                <w:b/>
                <w:bCs/>
                <w:lang w:val="en-US"/>
              </w:rPr>
              <w:t xml:space="preserve"> of</w:t>
            </w:r>
            <w:r w:rsidRPr="006421C6">
              <w:rPr>
                <w:b/>
                <w:bCs/>
                <w:spacing w:val="1"/>
                <w:lang w:val="en-US"/>
              </w:rPr>
              <w:t xml:space="preserve"> </w:t>
            </w:r>
            <w:r w:rsidRPr="006421C6">
              <w:rPr>
                <w:b/>
                <w:bCs/>
                <w:spacing w:val="-1"/>
                <w:lang w:val="en-US"/>
              </w:rPr>
              <w:t>Response (DOR)</w:t>
            </w:r>
          </w:p>
        </w:tc>
        <w:tc>
          <w:tcPr>
            <w:tcW w:w="1599" w:type="dxa"/>
            <w:tcBorders>
              <w:top w:val="single" w:sz="4" w:space="0" w:color="000000"/>
              <w:left w:val="single" w:sz="4" w:space="0" w:color="000000"/>
              <w:bottom w:val="single" w:sz="4" w:space="0" w:color="000000"/>
              <w:right w:val="single" w:sz="4" w:space="0" w:color="000000"/>
            </w:tcBorders>
          </w:tcPr>
          <w:p w14:paraId="053BB767"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438"/>
              <w:rPr>
                <w:lang w:val="en-US"/>
              </w:rPr>
            </w:pPr>
            <w:r w:rsidRPr="006421C6">
              <w:rPr>
                <w:b/>
                <w:bCs/>
                <w:spacing w:val="-1"/>
                <w:lang w:val="en-US"/>
              </w:rPr>
              <w:t>(N=19)</w:t>
            </w:r>
          </w:p>
        </w:tc>
      </w:tr>
      <w:tr w:rsidR="006421C6" w:rsidRPr="006421C6" w14:paraId="4C371E4A"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5A12A726"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spacing w:val="-1"/>
                <w:lang w:val="en-US"/>
              </w:rPr>
              <w:t>Median,</w:t>
            </w:r>
            <w:r w:rsidRPr="006421C6">
              <w:rPr>
                <w:lang w:val="en-US"/>
              </w:rPr>
              <w:t xml:space="preserve"> months </w:t>
            </w:r>
            <w:r w:rsidRPr="006421C6">
              <w:rPr>
                <w:spacing w:val="-1"/>
                <w:lang w:val="en-US"/>
              </w:rPr>
              <w:t xml:space="preserve">(95% </w:t>
            </w:r>
            <w:r w:rsidRPr="006421C6">
              <w:rPr>
                <w:lang w:val="en-US"/>
              </w:rPr>
              <w:t>CI)</w:t>
            </w:r>
          </w:p>
        </w:tc>
        <w:tc>
          <w:tcPr>
            <w:tcW w:w="1599" w:type="dxa"/>
            <w:tcBorders>
              <w:top w:val="single" w:sz="4" w:space="0" w:color="000000"/>
              <w:left w:val="single" w:sz="4" w:space="0" w:color="000000"/>
              <w:bottom w:val="single" w:sz="4" w:space="0" w:color="000000"/>
              <w:right w:val="single" w:sz="4" w:space="0" w:color="000000"/>
            </w:tcBorders>
          </w:tcPr>
          <w:p w14:paraId="18A34FBF"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62"/>
              <w:rPr>
                <w:lang w:val="en-US"/>
              </w:rPr>
            </w:pPr>
            <w:r w:rsidRPr="006421C6">
              <w:rPr>
                <w:lang w:val="en-US"/>
              </w:rPr>
              <w:t xml:space="preserve">9.0 </w:t>
            </w:r>
            <w:r w:rsidRPr="006421C6">
              <w:rPr>
                <w:spacing w:val="-1"/>
                <w:lang w:val="en-US"/>
              </w:rPr>
              <w:t>(6.3,</w:t>
            </w:r>
            <w:r w:rsidRPr="006421C6">
              <w:rPr>
                <w:lang w:val="en-US"/>
              </w:rPr>
              <w:t xml:space="preserve"> </w:t>
            </w:r>
            <w:r w:rsidRPr="006421C6">
              <w:rPr>
                <w:spacing w:val="-1"/>
                <w:lang w:val="en-US"/>
              </w:rPr>
              <w:t>NE)</w:t>
            </w:r>
          </w:p>
        </w:tc>
      </w:tr>
      <w:tr w:rsidR="006421C6" w:rsidRPr="006421C6" w14:paraId="342A2318"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7991D6CB"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07"/>
              <w:ind w:left="822"/>
              <w:rPr>
                <w:lang w:val="en-US"/>
              </w:rPr>
            </w:pPr>
            <w:r w:rsidRPr="006421C6">
              <w:rPr>
                <w:spacing w:val="-1"/>
                <w:lang w:val="en-US"/>
              </w:rPr>
              <w:t>Patients</w:t>
            </w:r>
            <w:r w:rsidRPr="006421C6">
              <w:rPr>
                <w:lang w:val="en-US"/>
              </w:rPr>
              <w:t xml:space="preserve"> </w:t>
            </w:r>
            <w:r w:rsidRPr="006421C6">
              <w:rPr>
                <w:spacing w:val="-1"/>
                <w:lang w:val="en-US"/>
              </w:rPr>
              <w:t>with</w:t>
            </w:r>
            <w:r w:rsidRPr="006421C6">
              <w:rPr>
                <w:lang w:val="en-US"/>
              </w:rPr>
              <w:t xml:space="preserve"> </w:t>
            </w:r>
            <w:r w:rsidRPr="006421C6">
              <w:rPr>
                <w:spacing w:val="-1"/>
                <w:lang w:val="en-US"/>
              </w:rPr>
              <w:t>DOR</w:t>
            </w:r>
            <w:r w:rsidRPr="006421C6">
              <w:rPr>
                <w:lang w:val="en-US"/>
              </w:rPr>
              <w:t xml:space="preserve"> ≥ 6-months</w:t>
            </w:r>
            <w:r w:rsidRPr="006421C6">
              <w:rPr>
                <w:position w:val="9"/>
                <w:sz w:val="16"/>
                <w:szCs w:val="16"/>
                <w:lang w:val="en-US"/>
              </w:rPr>
              <w:t>b</w:t>
            </w:r>
            <w:r w:rsidRPr="006421C6">
              <w:rPr>
                <w:lang w:val="en-US"/>
              </w:rPr>
              <w:t>, %</w:t>
            </w:r>
          </w:p>
        </w:tc>
        <w:tc>
          <w:tcPr>
            <w:tcW w:w="1599" w:type="dxa"/>
            <w:tcBorders>
              <w:top w:val="single" w:sz="4" w:space="0" w:color="000000"/>
              <w:left w:val="single" w:sz="4" w:space="0" w:color="000000"/>
              <w:bottom w:val="single" w:sz="4" w:space="0" w:color="000000"/>
              <w:right w:val="single" w:sz="4" w:space="0" w:color="000000"/>
            </w:tcBorders>
          </w:tcPr>
          <w:p w14:paraId="6AEA28BF" w14:textId="77777777" w:rsidR="006421C6" w:rsidRPr="006421C6" w:rsidRDefault="006421C6" w:rsidP="006421C6">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jc w:val="center"/>
              <w:rPr>
                <w:lang w:val="en-US"/>
              </w:rPr>
            </w:pPr>
            <w:r w:rsidRPr="006421C6">
              <w:rPr>
                <w:lang w:val="en-US"/>
              </w:rPr>
              <w:t>58</w:t>
            </w:r>
          </w:p>
        </w:tc>
      </w:tr>
    </w:tbl>
    <w:p w14:paraId="4CBD50FF" w14:textId="77777777" w:rsidR="006421C6" w:rsidRPr="006421C6" w:rsidRDefault="006421C6" w:rsidP="006421C6">
      <w:pPr>
        <w:rPr>
          <w:sz w:val="18"/>
          <w:szCs w:val="18"/>
        </w:rPr>
      </w:pPr>
      <w:r w:rsidRPr="006421C6">
        <w:rPr>
          <w:sz w:val="18"/>
          <w:szCs w:val="18"/>
        </w:rPr>
        <w:t>NE = not estimable</w:t>
      </w:r>
    </w:p>
    <w:p w14:paraId="7677CE57" w14:textId="2869D81A" w:rsidR="006421C6" w:rsidRDefault="006421C6" w:rsidP="006421C6">
      <w:pPr>
        <w:rPr>
          <w:sz w:val="18"/>
          <w:szCs w:val="18"/>
        </w:rPr>
      </w:pPr>
      <w:r w:rsidRPr="006421C6">
        <w:rPr>
          <w:sz w:val="18"/>
          <w:szCs w:val="18"/>
        </w:rPr>
        <w:t xml:space="preserve">a Confirmed overall response rate assessed by </w:t>
      </w:r>
      <w:proofErr w:type="gramStart"/>
      <w:r w:rsidRPr="006421C6">
        <w:rPr>
          <w:sz w:val="18"/>
          <w:szCs w:val="18"/>
        </w:rPr>
        <w:t>BICR</w:t>
      </w:r>
      <w:proofErr w:type="gramEnd"/>
    </w:p>
    <w:p w14:paraId="7F942DEA" w14:textId="4E311E9D" w:rsidR="002310C2" w:rsidRDefault="002310C2" w:rsidP="006421C6">
      <w:pPr>
        <w:rPr>
          <w:sz w:val="18"/>
          <w:szCs w:val="18"/>
        </w:rPr>
      </w:pPr>
    </w:p>
    <w:p w14:paraId="6B881314" w14:textId="77777777" w:rsidR="00404311" w:rsidRPr="00404311" w:rsidRDefault="00404311" w:rsidP="00404311">
      <w:pPr>
        <w:rPr>
          <w:sz w:val="20"/>
          <w:szCs w:val="20"/>
        </w:rPr>
      </w:pPr>
      <w:r w:rsidRPr="00404311">
        <w:rPr>
          <w:sz w:val="20"/>
          <w:szCs w:val="20"/>
        </w:rPr>
        <w:t>2 Cysteine Rich Domain (including the following cysteine residues: 609, 611, 618, 620, 630, and/or 634)</w:t>
      </w:r>
    </w:p>
    <w:p w14:paraId="3E14F01C" w14:textId="40CD43DC" w:rsidR="00404311" w:rsidRPr="00A87EB1" w:rsidRDefault="00404311" w:rsidP="00404311">
      <w:pPr>
        <w:rPr>
          <w:sz w:val="20"/>
          <w:szCs w:val="20"/>
          <w:lang w:val="it-IT"/>
        </w:rPr>
      </w:pPr>
      <w:r w:rsidRPr="00A87EB1">
        <w:rPr>
          <w:sz w:val="20"/>
          <w:szCs w:val="20"/>
          <w:lang w:val="it-IT"/>
        </w:rPr>
        <w:t>3 Other included: D898_E901del (1), E632_L633del (1), L790F (1), A883F (2), K666E (1), and R844W (1)</w:t>
      </w:r>
    </w:p>
    <w:p w14:paraId="1DB131D4" w14:textId="0399B764" w:rsidR="00404311" w:rsidRPr="00A87EB1" w:rsidRDefault="00404311" w:rsidP="00404311">
      <w:pPr>
        <w:rPr>
          <w:lang w:val="it-IT"/>
        </w:rPr>
      </w:pPr>
    </w:p>
    <w:p w14:paraId="29EA6B02" w14:textId="155E94E2" w:rsidR="00F564E5" w:rsidRDefault="00F564E5" w:rsidP="00F564E5">
      <w:pPr>
        <w:rPr>
          <w:sz w:val="20"/>
          <w:szCs w:val="20"/>
          <w:lang w:val="en-US"/>
        </w:rPr>
      </w:pPr>
    </w:p>
    <w:p w14:paraId="6882538D" w14:textId="21702E14" w:rsidR="00F564E5" w:rsidRDefault="00F564E5" w:rsidP="00F564E5">
      <w:pPr>
        <w:rPr>
          <w:b/>
        </w:rPr>
      </w:pPr>
      <w:r w:rsidRPr="00F564E5">
        <w:rPr>
          <w:b/>
        </w:rPr>
        <w:t>RET Fusion-Positive Thyroid Cancer</w:t>
      </w:r>
    </w:p>
    <w:p w14:paraId="36C476C1" w14:textId="61F5C565" w:rsidR="00F564E5" w:rsidRDefault="00FF281A" w:rsidP="00F564E5">
      <w:r>
        <w:t xml:space="preserve">The efficacy of </w:t>
      </w:r>
      <w:proofErr w:type="spellStart"/>
      <w:r>
        <w:t>Gavreto</w:t>
      </w:r>
      <w:proofErr w:type="spellEnd"/>
      <w:r w:rsidR="00F564E5">
        <w:t xml:space="preserve"> was evaluated in RET fusion-positive metastatic thyroid </w:t>
      </w:r>
      <w:proofErr w:type="gramStart"/>
      <w:r w:rsidR="00F564E5">
        <w:t>cancer</w:t>
      </w:r>
      <w:proofErr w:type="gramEnd"/>
    </w:p>
    <w:p w14:paraId="4F1BDFB4" w14:textId="41AD2EB4" w:rsidR="00F564E5" w:rsidRDefault="00F564E5" w:rsidP="00F564E5">
      <w:r>
        <w:t xml:space="preserve">patients in a </w:t>
      </w:r>
      <w:proofErr w:type="spellStart"/>
      <w:r>
        <w:t>multicenter</w:t>
      </w:r>
      <w:proofErr w:type="spellEnd"/>
      <w:r>
        <w:t>, open-label, multi-cohort clinical trial (ARROW). All</w:t>
      </w:r>
      <w:r w:rsidR="00F860B8">
        <w:t xml:space="preserve"> </w:t>
      </w:r>
      <w:r>
        <w:t xml:space="preserve">patients with RET fusion-positive thyroid cancer were required to have disease progression following standard therapy, measurable disease by RECIST version 1.1, and have RET </w:t>
      </w:r>
      <w:proofErr w:type="gramStart"/>
      <w:r>
        <w:t>fusion</w:t>
      </w:r>
      <w:proofErr w:type="gramEnd"/>
    </w:p>
    <w:p w14:paraId="7B61ED3B" w14:textId="70A21525" w:rsidR="00F564E5" w:rsidRDefault="00F564E5" w:rsidP="00F564E5">
      <w:r>
        <w:t>status as detected by local testing (89% NGS tumour samples and 11% using FISH).</w:t>
      </w:r>
    </w:p>
    <w:p w14:paraId="31E77A56" w14:textId="77777777" w:rsidR="00F564E5" w:rsidRDefault="00F564E5" w:rsidP="00F564E5"/>
    <w:p w14:paraId="76D6DF66" w14:textId="77777777" w:rsidR="00F564E5" w:rsidRDefault="00F564E5" w:rsidP="00F564E5">
      <w:r>
        <w:t xml:space="preserve">The median age was 61 years (range: 46 to 74); 67% were male, 78% were White, 22% </w:t>
      </w:r>
      <w:proofErr w:type="gramStart"/>
      <w:r>
        <w:t>were</w:t>
      </w:r>
      <w:proofErr w:type="gramEnd"/>
    </w:p>
    <w:p w14:paraId="2C454CB5" w14:textId="432846F9" w:rsidR="00F564E5" w:rsidRDefault="00F564E5" w:rsidP="00F564E5">
      <w:r>
        <w:t>Asian, 11% were Hispanic/Latino.</w:t>
      </w:r>
      <w:r w:rsidR="00F860B8">
        <w:t xml:space="preserve"> </w:t>
      </w:r>
      <w:r>
        <w:t>All patients (100%) had papillary thyroid cancer. ECOG</w:t>
      </w:r>
    </w:p>
    <w:p w14:paraId="4B9193FF" w14:textId="4F805F28" w:rsidR="00F564E5" w:rsidRDefault="00F564E5" w:rsidP="00F564E5">
      <w:r>
        <w:t>performance status was 0-1 (100%), all patients (100%) had metastatic disease, and 56% had a history of CNS metastases. Patients had received a median of 2 prior therapies (range 1-8). Prior systemic treatments included prior radioactive iodine (100%) and prior sorafenib and/or</w:t>
      </w:r>
    </w:p>
    <w:p w14:paraId="2AE77B00" w14:textId="318E7C45" w:rsidR="00F564E5" w:rsidRDefault="00F564E5" w:rsidP="00F564E5">
      <w:proofErr w:type="spellStart"/>
      <w:r>
        <w:t>lenvatinib</w:t>
      </w:r>
      <w:proofErr w:type="spellEnd"/>
      <w:r>
        <w:t xml:space="preserve"> (56%).</w:t>
      </w:r>
    </w:p>
    <w:p w14:paraId="42422142" w14:textId="77777777" w:rsidR="00F564E5" w:rsidRDefault="00F564E5" w:rsidP="00F564E5"/>
    <w:p w14:paraId="67A469CA" w14:textId="62AD9881" w:rsidR="00F564E5" w:rsidRDefault="00F564E5" w:rsidP="00F564E5">
      <w:r>
        <w:t xml:space="preserve">Efficacy results are summarized in Table </w:t>
      </w:r>
      <w:r w:rsidR="00C52055">
        <w:t>7</w:t>
      </w:r>
      <w:r w:rsidR="00A6055E" w:rsidRPr="00A6055E">
        <w:t>.</w:t>
      </w:r>
    </w:p>
    <w:p w14:paraId="246C5DEC" w14:textId="56F9B986" w:rsidR="00F564E5" w:rsidRDefault="00F564E5" w:rsidP="00F564E5"/>
    <w:p w14:paraId="61CC9245" w14:textId="77777777" w:rsidR="00177EE7" w:rsidRDefault="00177EE7" w:rsidP="00F564E5">
      <w:pPr>
        <w:rPr>
          <w:b/>
        </w:rPr>
      </w:pPr>
    </w:p>
    <w:p w14:paraId="230AC91E" w14:textId="77777777" w:rsidR="00177EE7" w:rsidRDefault="00177EE7" w:rsidP="00F564E5">
      <w:pPr>
        <w:rPr>
          <w:b/>
        </w:rPr>
      </w:pPr>
    </w:p>
    <w:p w14:paraId="7420DDF1" w14:textId="77777777" w:rsidR="00177EE7" w:rsidRDefault="00177EE7" w:rsidP="00F564E5">
      <w:pPr>
        <w:rPr>
          <w:b/>
        </w:rPr>
      </w:pPr>
    </w:p>
    <w:p w14:paraId="1782ABAD" w14:textId="77777777" w:rsidR="00177EE7" w:rsidRDefault="00177EE7" w:rsidP="00F564E5">
      <w:pPr>
        <w:rPr>
          <w:b/>
        </w:rPr>
      </w:pPr>
    </w:p>
    <w:p w14:paraId="3A255D61" w14:textId="77777777" w:rsidR="00177EE7" w:rsidRDefault="00177EE7" w:rsidP="00F564E5">
      <w:pPr>
        <w:rPr>
          <w:b/>
        </w:rPr>
      </w:pPr>
    </w:p>
    <w:p w14:paraId="454F2072" w14:textId="0B00D62E" w:rsidR="00F564E5" w:rsidRDefault="00F564E5" w:rsidP="00F564E5">
      <w:pPr>
        <w:rPr>
          <w:b/>
        </w:rPr>
      </w:pPr>
      <w:r w:rsidRPr="00F564E5">
        <w:rPr>
          <w:b/>
        </w:rPr>
        <w:lastRenderedPageBreak/>
        <w:t xml:space="preserve">Table </w:t>
      </w:r>
      <w:r w:rsidR="00C52055">
        <w:rPr>
          <w:b/>
        </w:rPr>
        <w:t>7</w:t>
      </w:r>
      <w:r w:rsidRPr="00F564E5">
        <w:rPr>
          <w:b/>
        </w:rPr>
        <w:t>. Efficacy results for RET fusion-positive thyroid cancer (ARROW)</w:t>
      </w:r>
    </w:p>
    <w:p w14:paraId="3BAF6F25" w14:textId="4AF61699" w:rsidR="00F564E5" w:rsidRDefault="00F564E5" w:rsidP="00F564E5">
      <w:pPr>
        <w:rPr>
          <w:b/>
        </w:rPr>
      </w:pPr>
    </w:p>
    <w:p w14:paraId="2EF7180D"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8"/>
        <w:rPr>
          <w:sz w:val="6"/>
          <w:szCs w:val="6"/>
          <w:lang w:val="en-US"/>
        </w:rPr>
      </w:pPr>
    </w:p>
    <w:tbl>
      <w:tblPr>
        <w:tblW w:w="9350" w:type="dxa"/>
        <w:tblInd w:w="94" w:type="dxa"/>
        <w:tblLayout w:type="fixed"/>
        <w:tblCellMar>
          <w:left w:w="0" w:type="dxa"/>
          <w:right w:w="0" w:type="dxa"/>
        </w:tblCellMar>
        <w:tblLook w:val="0000" w:firstRow="0" w:lastRow="0" w:firstColumn="0" w:lastColumn="0" w:noHBand="0" w:noVBand="0"/>
      </w:tblPr>
      <w:tblGrid>
        <w:gridCol w:w="6415"/>
        <w:gridCol w:w="2935"/>
      </w:tblGrid>
      <w:tr w:rsidR="00F564E5" w:rsidRPr="00F564E5" w14:paraId="25199ABA" w14:textId="77777777" w:rsidTr="00F564E5">
        <w:trPr>
          <w:trHeight w:hRule="exact" w:val="569"/>
        </w:trPr>
        <w:tc>
          <w:tcPr>
            <w:tcW w:w="6415" w:type="dxa"/>
            <w:tcBorders>
              <w:top w:val="single" w:sz="4" w:space="0" w:color="000000"/>
              <w:left w:val="single" w:sz="4" w:space="0" w:color="000000"/>
              <w:bottom w:val="single" w:sz="4" w:space="0" w:color="000000"/>
              <w:right w:val="single" w:sz="4" w:space="0" w:color="000000"/>
            </w:tcBorders>
          </w:tcPr>
          <w:p w14:paraId="58627234"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F564E5">
              <w:rPr>
                <w:b/>
                <w:bCs/>
                <w:spacing w:val="-1"/>
                <w:lang w:val="en-US"/>
              </w:rPr>
              <w:t>Efficacy</w:t>
            </w:r>
            <w:r w:rsidRPr="00F564E5">
              <w:rPr>
                <w:b/>
                <w:bCs/>
                <w:lang w:val="en-US"/>
              </w:rPr>
              <w:t xml:space="preserve"> </w:t>
            </w:r>
            <w:r w:rsidRPr="00F564E5">
              <w:rPr>
                <w:b/>
                <w:bCs/>
                <w:spacing w:val="-1"/>
                <w:lang w:val="en-US"/>
              </w:rPr>
              <w:t>Parameters</w:t>
            </w:r>
          </w:p>
        </w:tc>
        <w:tc>
          <w:tcPr>
            <w:tcW w:w="2935" w:type="dxa"/>
            <w:tcBorders>
              <w:top w:val="single" w:sz="4" w:space="0" w:color="000000"/>
              <w:left w:val="single" w:sz="4" w:space="0" w:color="000000"/>
              <w:bottom w:val="single" w:sz="4" w:space="0" w:color="000000"/>
              <w:right w:val="single" w:sz="4" w:space="0" w:color="000000"/>
            </w:tcBorders>
          </w:tcPr>
          <w:p w14:paraId="53C419AB"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26" w:line="264" w:lineRule="auto"/>
              <w:ind w:left="1191" w:right="908" w:hanging="288"/>
              <w:rPr>
                <w:lang w:val="en-US"/>
              </w:rPr>
            </w:pPr>
            <w:r w:rsidRPr="00F564E5">
              <w:rPr>
                <w:b/>
                <w:bCs/>
                <w:spacing w:val="-2"/>
                <w:sz w:val="22"/>
                <w:szCs w:val="22"/>
                <w:lang w:val="en-US"/>
              </w:rPr>
              <w:t>GAVRETO</w:t>
            </w:r>
            <w:r w:rsidRPr="00F564E5">
              <w:rPr>
                <w:b/>
                <w:bCs/>
                <w:spacing w:val="24"/>
                <w:sz w:val="22"/>
                <w:szCs w:val="22"/>
                <w:lang w:val="en-US"/>
              </w:rPr>
              <w:t xml:space="preserve"> </w:t>
            </w:r>
            <w:r w:rsidRPr="00F564E5">
              <w:rPr>
                <w:b/>
                <w:bCs/>
                <w:spacing w:val="-1"/>
                <w:sz w:val="22"/>
                <w:szCs w:val="22"/>
                <w:lang w:val="en-US"/>
              </w:rPr>
              <w:t>(N=9)</w:t>
            </w:r>
          </w:p>
        </w:tc>
      </w:tr>
      <w:tr w:rsidR="00F564E5" w:rsidRPr="00F564E5" w14:paraId="69EC663D" w14:textId="77777777" w:rsidTr="00F564E5">
        <w:trPr>
          <w:trHeight w:hRule="exact" w:val="530"/>
        </w:trPr>
        <w:tc>
          <w:tcPr>
            <w:tcW w:w="6415" w:type="dxa"/>
            <w:tcBorders>
              <w:top w:val="single" w:sz="4" w:space="0" w:color="000000"/>
              <w:left w:val="single" w:sz="4" w:space="0" w:color="000000"/>
              <w:bottom w:val="single" w:sz="4" w:space="0" w:color="000000"/>
              <w:right w:val="single" w:sz="4" w:space="0" w:color="000000"/>
            </w:tcBorders>
          </w:tcPr>
          <w:p w14:paraId="625190BC"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1"/>
              <w:ind w:left="102"/>
              <w:rPr>
                <w:lang w:val="en-US"/>
              </w:rPr>
            </w:pPr>
            <w:r w:rsidRPr="00F564E5">
              <w:rPr>
                <w:b/>
                <w:bCs/>
                <w:spacing w:val="-1"/>
                <w:sz w:val="22"/>
                <w:szCs w:val="22"/>
                <w:lang w:val="en-US"/>
              </w:rPr>
              <w:t>Overall</w:t>
            </w:r>
            <w:r w:rsidRPr="00F564E5">
              <w:rPr>
                <w:b/>
                <w:bCs/>
                <w:sz w:val="22"/>
                <w:szCs w:val="22"/>
                <w:lang w:val="en-US"/>
              </w:rPr>
              <w:t xml:space="preserve"> </w:t>
            </w:r>
            <w:r w:rsidRPr="00F564E5">
              <w:rPr>
                <w:b/>
                <w:bCs/>
                <w:spacing w:val="-1"/>
                <w:sz w:val="22"/>
                <w:szCs w:val="22"/>
                <w:lang w:val="en-US"/>
              </w:rPr>
              <w:t>Response</w:t>
            </w:r>
            <w:r w:rsidRPr="00F564E5">
              <w:rPr>
                <w:b/>
                <w:bCs/>
                <w:sz w:val="22"/>
                <w:szCs w:val="22"/>
                <w:lang w:val="en-US"/>
              </w:rPr>
              <w:t xml:space="preserve"> </w:t>
            </w:r>
            <w:r w:rsidRPr="00F564E5">
              <w:rPr>
                <w:b/>
                <w:bCs/>
                <w:spacing w:val="-1"/>
                <w:sz w:val="22"/>
                <w:szCs w:val="22"/>
                <w:lang w:val="en-US"/>
              </w:rPr>
              <w:t>Rate</w:t>
            </w:r>
            <w:r w:rsidRPr="00F564E5">
              <w:rPr>
                <w:b/>
                <w:bCs/>
                <w:sz w:val="22"/>
                <w:szCs w:val="22"/>
                <w:lang w:val="en-US"/>
              </w:rPr>
              <w:t xml:space="preserve"> </w:t>
            </w:r>
            <w:r w:rsidRPr="00F564E5">
              <w:rPr>
                <w:b/>
                <w:bCs/>
                <w:spacing w:val="-1"/>
                <w:sz w:val="22"/>
                <w:szCs w:val="22"/>
                <w:lang w:val="en-US"/>
              </w:rPr>
              <w:t>(ORR)</w:t>
            </w:r>
            <w:r w:rsidRPr="00F564E5">
              <w:rPr>
                <w:spacing w:val="-1"/>
                <w:position w:val="10"/>
                <w:sz w:val="14"/>
                <w:szCs w:val="14"/>
                <w:lang w:val="en-US"/>
              </w:rPr>
              <w:t>a</w:t>
            </w:r>
            <w:r w:rsidRPr="00F564E5">
              <w:rPr>
                <w:spacing w:val="20"/>
                <w:position w:val="10"/>
                <w:sz w:val="14"/>
                <w:szCs w:val="14"/>
                <w:lang w:val="en-US"/>
              </w:rPr>
              <w:t xml:space="preserve"> </w:t>
            </w:r>
            <w:r w:rsidRPr="00F564E5">
              <w:rPr>
                <w:spacing w:val="-1"/>
                <w:sz w:val="22"/>
                <w:szCs w:val="22"/>
                <w:lang w:val="en-US"/>
              </w:rPr>
              <w:t>(95%</w:t>
            </w:r>
            <w:r w:rsidRPr="00F564E5">
              <w:rPr>
                <w:spacing w:val="1"/>
                <w:sz w:val="22"/>
                <w:szCs w:val="22"/>
                <w:lang w:val="en-US"/>
              </w:rPr>
              <w:t xml:space="preserve"> </w:t>
            </w:r>
            <w:r w:rsidRPr="00F564E5">
              <w:rPr>
                <w:spacing w:val="-2"/>
                <w:sz w:val="22"/>
                <w:szCs w:val="22"/>
                <w:lang w:val="en-US"/>
              </w:rPr>
              <w:t>CI)</w:t>
            </w:r>
          </w:p>
        </w:tc>
        <w:tc>
          <w:tcPr>
            <w:tcW w:w="2935" w:type="dxa"/>
            <w:tcBorders>
              <w:top w:val="single" w:sz="4" w:space="0" w:color="000000"/>
              <w:left w:val="single" w:sz="4" w:space="0" w:color="000000"/>
              <w:bottom w:val="single" w:sz="4" w:space="0" w:color="000000"/>
              <w:right w:val="single" w:sz="4" w:space="0" w:color="000000"/>
            </w:tcBorders>
          </w:tcPr>
          <w:p w14:paraId="6E2A5ADB"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ind w:left="920"/>
              <w:rPr>
                <w:lang w:val="en-US"/>
              </w:rPr>
            </w:pPr>
            <w:r w:rsidRPr="00F564E5">
              <w:rPr>
                <w:sz w:val="22"/>
                <w:szCs w:val="22"/>
                <w:lang w:val="en-US"/>
              </w:rPr>
              <w:t>89 (52,</w:t>
            </w:r>
            <w:r w:rsidRPr="00F564E5">
              <w:rPr>
                <w:spacing w:val="-3"/>
                <w:sz w:val="22"/>
                <w:szCs w:val="22"/>
                <w:lang w:val="en-US"/>
              </w:rPr>
              <w:t xml:space="preserve"> </w:t>
            </w:r>
            <w:r w:rsidRPr="00F564E5">
              <w:rPr>
                <w:sz w:val="22"/>
                <w:szCs w:val="22"/>
                <w:lang w:val="en-US"/>
              </w:rPr>
              <w:t>100)</w:t>
            </w:r>
          </w:p>
        </w:tc>
      </w:tr>
      <w:tr w:rsidR="00F564E5" w:rsidRPr="00F564E5" w14:paraId="47482069" w14:textId="77777777" w:rsidTr="00F564E5">
        <w:trPr>
          <w:trHeight w:hRule="exact" w:val="530"/>
        </w:trPr>
        <w:tc>
          <w:tcPr>
            <w:tcW w:w="6415" w:type="dxa"/>
            <w:tcBorders>
              <w:top w:val="single" w:sz="4" w:space="0" w:color="000000"/>
              <w:left w:val="single" w:sz="4" w:space="0" w:color="000000"/>
              <w:bottom w:val="single" w:sz="4" w:space="0" w:color="000000"/>
              <w:right w:val="single" w:sz="4" w:space="0" w:color="000000"/>
            </w:tcBorders>
          </w:tcPr>
          <w:p w14:paraId="2D1B148B"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ind w:left="822"/>
              <w:rPr>
                <w:lang w:val="en-US"/>
              </w:rPr>
            </w:pPr>
            <w:r w:rsidRPr="00F564E5">
              <w:rPr>
                <w:spacing w:val="-1"/>
                <w:sz w:val="22"/>
                <w:szCs w:val="22"/>
                <w:lang w:val="en-US"/>
              </w:rPr>
              <w:t>Complete</w:t>
            </w:r>
            <w:r w:rsidRPr="00F564E5">
              <w:rPr>
                <w:sz w:val="22"/>
                <w:szCs w:val="22"/>
                <w:lang w:val="en-US"/>
              </w:rPr>
              <w:t xml:space="preserve"> </w:t>
            </w:r>
            <w:r w:rsidRPr="00F564E5">
              <w:rPr>
                <w:spacing w:val="-1"/>
                <w:sz w:val="22"/>
                <w:szCs w:val="22"/>
                <w:lang w:val="en-US"/>
              </w:rPr>
              <w:t>Response,</w:t>
            </w:r>
            <w:r w:rsidRPr="00F564E5">
              <w:rPr>
                <w:spacing w:val="-3"/>
                <w:sz w:val="22"/>
                <w:szCs w:val="22"/>
                <w:lang w:val="en-US"/>
              </w:rPr>
              <w:t xml:space="preserve"> </w:t>
            </w:r>
            <w:r w:rsidRPr="00F564E5">
              <w:rPr>
                <w:sz w:val="22"/>
                <w:szCs w:val="22"/>
                <w:lang w:val="en-US"/>
              </w:rPr>
              <w:t>%</w:t>
            </w:r>
          </w:p>
        </w:tc>
        <w:tc>
          <w:tcPr>
            <w:tcW w:w="2935" w:type="dxa"/>
            <w:tcBorders>
              <w:top w:val="single" w:sz="4" w:space="0" w:color="000000"/>
              <w:left w:val="single" w:sz="4" w:space="0" w:color="000000"/>
              <w:bottom w:val="single" w:sz="4" w:space="0" w:color="000000"/>
              <w:right w:val="single" w:sz="4" w:space="0" w:color="000000"/>
            </w:tcBorders>
          </w:tcPr>
          <w:p w14:paraId="02EFDEEF"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jc w:val="center"/>
              <w:rPr>
                <w:lang w:val="en-US"/>
              </w:rPr>
            </w:pPr>
            <w:r w:rsidRPr="00F564E5">
              <w:rPr>
                <w:sz w:val="22"/>
                <w:szCs w:val="22"/>
                <w:lang w:val="en-US"/>
              </w:rPr>
              <w:t>0</w:t>
            </w:r>
          </w:p>
        </w:tc>
      </w:tr>
      <w:tr w:rsidR="00F564E5" w:rsidRPr="00F564E5" w14:paraId="653254A2" w14:textId="77777777" w:rsidTr="00F564E5">
        <w:trPr>
          <w:trHeight w:hRule="exact" w:val="530"/>
        </w:trPr>
        <w:tc>
          <w:tcPr>
            <w:tcW w:w="6415" w:type="dxa"/>
            <w:tcBorders>
              <w:top w:val="single" w:sz="4" w:space="0" w:color="000000"/>
              <w:left w:val="single" w:sz="4" w:space="0" w:color="000000"/>
              <w:bottom w:val="single" w:sz="4" w:space="0" w:color="000000"/>
              <w:right w:val="single" w:sz="4" w:space="0" w:color="000000"/>
            </w:tcBorders>
          </w:tcPr>
          <w:p w14:paraId="35102EB8"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ind w:left="822"/>
              <w:rPr>
                <w:lang w:val="en-US"/>
              </w:rPr>
            </w:pPr>
            <w:r w:rsidRPr="00F564E5">
              <w:rPr>
                <w:spacing w:val="-1"/>
                <w:sz w:val="22"/>
                <w:szCs w:val="22"/>
                <w:lang w:val="en-US"/>
              </w:rPr>
              <w:t>Partial</w:t>
            </w:r>
            <w:r w:rsidRPr="00F564E5">
              <w:rPr>
                <w:spacing w:val="1"/>
                <w:sz w:val="22"/>
                <w:szCs w:val="22"/>
                <w:lang w:val="en-US"/>
              </w:rPr>
              <w:t xml:space="preserve"> </w:t>
            </w:r>
            <w:r w:rsidRPr="00F564E5">
              <w:rPr>
                <w:spacing w:val="-1"/>
                <w:sz w:val="22"/>
                <w:szCs w:val="22"/>
                <w:lang w:val="en-US"/>
              </w:rPr>
              <w:t>Response,</w:t>
            </w:r>
            <w:r w:rsidRPr="00F564E5">
              <w:rPr>
                <w:spacing w:val="-3"/>
                <w:sz w:val="22"/>
                <w:szCs w:val="22"/>
                <w:lang w:val="en-US"/>
              </w:rPr>
              <w:t xml:space="preserve"> </w:t>
            </w:r>
            <w:r w:rsidRPr="00F564E5">
              <w:rPr>
                <w:sz w:val="22"/>
                <w:szCs w:val="22"/>
                <w:lang w:val="en-US"/>
              </w:rPr>
              <w:t>%</w:t>
            </w:r>
          </w:p>
        </w:tc>
        <w:tc>
          <w:tcPr>
            <w:tcW w:w="2935" w:type="dxa"/>
            <w:tcBorders>
              <w:top w:val="single" w:sz="4" w:space="0" w:color="000000"/>
              <w:left w:val="single" w:sz="4" w:space="0" w:color="000000"/>
              <w:bottom w:val="single" w:sz="4" w:space="0" w:color="000000"/>
              <w:right w:val="single" w:sz="4" w:space="0" w:color="000000"/>
            </w:tcBorders>
          </w:tcPr>
          <w:p w14:paraId="48DD19C4"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jc w:val="center"/>
              <w:rPr>
                <w:lang w:val="en-US"/>
              </w:rPr>
            </w:pPr>
            <w:r w:rsidRPr="00F564E5">
              <w:rPr>
                <w:sz w:val="22"/>
                <w:szCs w:val="22"/>
                <w:lang w:val="en-US"/>
              </w:rPr>
              <w:t>89</w:t>
            </w:r>
          </w:p>
        </w:tc>
      </w:tr>
      <w:tr w:rsidR="00F564E5" w:rsidRPr="00F564E5" w14:paraId="166DEBA9" w14:textId="77777777" w:rsidTr="00F564E5">
        <w:trPr>
          <w:trHeight w:hRule="exact" w:val="530"/>
        </w:trPr>
        <w:tc>
          <w:tcPr>
            <w:tcW w:w="6415" w:type="dxa"/>
            <w:tcBorders>
              <w:top w:val="single" w:sz="4" w:space="0" w:color="000000"/>
              <w:left w:val="single" w:sz="4" w:space="0" w:color="000000"/>
              <w:bottom w:val="single" w:sz="4" w:space="0" w:color="000000"/>
              <w:right w:val="single" w:sz="4" w:space="0" w:color="000000"/>
            </w:tcBorders>
          </w:tcPr>
          <w:p w14:paraId="56E5C249"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ind w:left="102"/>
              <w:rPr>
                <w:lang w:val="en-US"/>
              </w:rPr>
            </w:pPr>
            <w:r w:rsidRPr="00F564E5">
              <w:rPr>
                <w:b/>
                <w:bCs/>
                <w:spacing w:val="-1"/>
                <w:sz w:val="22"/>
                <w:szCs w:val="22"/>
                <w:lang w:val="en-US"/>
              </w:rPr>
              <w:t>Duration</w:t>
            </w:r>
            <w:r w:rsidRPr="00F564E5">
              <w:rPr>
                <w:b/>
                <w:bCs/>
                <w:spacing w:val="-3"/>
                <w:sz w:val="22"/>
                <w:szCs w:val="22"/>
                <w:lang w:val="en-US"/>
              </w:rPr>
              <w:t xml:space="preserve"> </w:t>
            </w:r>
            <w:r w:rsidRPr="00F564E5">
              <w:rPr>
                <w:b/>
                <w:bCs/>
                <w:spacing w:val="-2"/>
                <w:sz w:val="22"/>
                <w:szCs w:val="22"/>
                <w:lang w:val="en-US"/>
              </w:rPr>
              <w:t>of</w:t>
            </w:r>
            <w:r w:rsidRPr="00F564E5">
              <w:rPr>
                <w:b/>
                <w:bCs/>
                <w:spacing w:val="3"/>
                <w:sz w:val="22"/>
                <w:szCs w:val="22"/>
                <w:lang w:val="en-US"/>
              </w:rPr>
              <w:t xml:space="preserve"> </w:t>
            </w:r>
            <w:r w:rsidRPr="00F564E5">
              <w:rPr>
                <w:b/>
                <w:bCs/>
                <w:spacing w:val="-2"/>
                <w:sz w:val="22"/>
                <w:szCs w:val="22"/>
                <w:lang w:val="en-US"/>
              </w:rPr>
              <w:t>Response</w:t>
            </w:r>
            <w:r w:rsidRPr="00F564E5">
              <w:rPr>
                <w:b/>
                <w:bCs/>
                <w:sz w:val="22"/>
                <w:szCs w:val="22"/>
                <w:lang w:val="en-US"/>
              </w:rPr>
              <w:t xml:space="preserve"> </w:t>
            </w:r>
            <w:r w:rsidRPr="00F564E5">
              <w:rPr>
                <w:b/>
                <w:bCs/>
                <w:spacing w:val="-2"/>
                <w:sz w:val="22"/>
                <w:szCs w:val="22"/>
                <w:lang w:val="en-US"/>
              </w:rPr>
              <w:t>(DOR)</w:t>
            </w:r>
          </w:p>
        </w:tc>
        <w:tc>
          <w:tcPr>
            <w:tcW w:w="2935" w:type="dxa"/>
            <w:tcBorders>
              <w:top w:val="single" w:sz="4" w:space="0" w:color="000000"/>
              <w:left w:val="single" w:sz="4" w:space="0" w:color="000000"/>
              <w:bottom w:val="single" w:sz="4" w:space="0" w:color="000000"/>
              <w:right w:val="single" w:sz="4" w:space="0" w:color="000000"/>
            </w:tcBorders>
          </w:tcPr>
          <w:p w14:paraId="475B58E4"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right="2"/>
              <w:jc w:val="center"/>
              <w:rPr>
                <w:lang w:val="en-US"/>
              </w:rPr>
            </w:pPr>
            <w:r w:rsidRPr="00F564E5">
              <w:rPr>
                <w:b/>
                <w:bCs/>
                <w:spacing w:val="-1"/>
                <w:lang w:val="en-US"/>
              </w:rPr>
              <w:t>(N=8)</w:t>
            </w:r>
          </w:p>
        </w:tc>
      </w:tr>
      <w:tr w:rsidR="00F564E5" w:rsidRPr="00F564E5" w14:paraId="0BFEA4EA" w14:textId="77777777" w:rsidTr="00F564E5">
        <w:trPr>
          <w:trHeight w:hRule="exact" w:val="528"/>
        </w:trPr>
        <w:tc>
          <w:tcPr>
            <w:tcW w:w="6415" w:type="dxa"/>
            <w:tcBorders>
              <w:top w:val="single" w:sz="4" w:space="0" w:color="000000"/>
              <w:left w:val="single" w:sz="4" w:space="0" w:color="000000"/>
              <w:bottom w:val="single" w:sz="4" w:space="0" w:color="000000"/>
              <w:right w:val="single" w:sz="4" w:space="0" w:color="000000"/>
            </w:tcBorders>
          </w:tcPr>
          <w:p w14:paraId="11F67B27"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ind w:left="599"/>
              <w:rPr>
                <w:lang w:val="en-US"/>
              </w:rPr>
            </w:pPr>
            <w:r w:rsidRPr="00F564E5">
              <w:rPr>
                <w:spacing w:val="-1"/>
                <w:sz w:val="22"/>
                <w:szCs w:val="22"/>
                <w:lang w:val="en-US"/>
              </w:rPr>
              <w:t>Median</w:t>
            </w:r>
            <w:r w:rsidRPr="00F564E5">
              <w:rPr>
                <w:sz w:val="22"/>
                <w:szCs w:val="22"/>
                <w:lang w:val="en-US"/>
              </w:rPr>
              <w:t xml:space="preserve"> in</w:t>
            </w:r>
            <w:r w:rsidRPr="00F564E5">
              <w:rPr>
                <w:spacing w:val="-3"/>
                <w:sz w:val="22"/>
                <w:szCs w:val="22"/>
                <w:lang w:val="en-US"/>
              </w:rPr>
              <w:t xml:space="preserve"> </w:t>
            </w:r>
            <w:r w:rsidRPr="00F564E5">
              <w:rPr>
                <w:spacing w:val="-1"/>
                <w:sz w:val="22"/>
                <w:szCs w:val="22"/>
                <w:lang w:val="en-US"/>
              </w:rPr>
              <w:t>months</w:t>
            </w:r>
            <w:r w:rsidRPr="00F564E5">
              <w:rPr>
                <w:sz w:val="22"/>
                <w:szCs w:val="22"/>
                <w:lang w:val="en-US"/>
              </w:rPr>
              <w:t xml:space="preserve"> </w:t>
            </w:r>
            <w:r w:rsidRPr="00F564E5">
              <w:rPr>
                <w:spacing w:val="-1"/>
                <w:sz w:val="22"/>
                <w:szCs w:val="22"/>
                <w:lang w:val="en-US"/>
              </w:rPr>
              <w:t>(95%</w:t>
            </w:r>
            <w:r w:rsidRPr="00F564E5">
              <w:rPr>
                <w:spacing w:val="1"/>
                <w:sz w:val="22"/>
                <w:szCs w:val="22"/>
                <w:lang w:val="en-US"/>
              </w:rPr>
              <w:t xml:space="preserve"> </w:t>
            </w:r>
            <w:r w:rsidRPr="00F564E5">
              <w:rPr>
                <w:spacing w:val="-2"/>
                <w:sz w:val="22"/>
                <w:szCs w:val="22"/>
                <w:lang w:val="en-US"/>
              </w:rPr>
              <w:t>CI)</w:t>
            </w:r>
          </w:p>
        </w:tc>
        <w:tc>
          <w:tcPr>
            <w:tcW w:w="2935" w:type="dxa"/>
            <w:tcBorders>
              <w:top w:val="single" w:sz="4" w:space="0" w:color="000000"/>
              <w:left w:val="single" w:sz="4" w:space="0" w:color="000000"/>
              <w:bottom w:val="single" w:sz="4" w:space="0" w:color="000000"/>
              <w:right w:val="single" w:sz="4" w:space="0" w:color="000000"/>
            </w:tcBorders>
          </w:tcPr>
          <w:p w14:paraId="37DF48F5"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6"/>
              <w:ind w:left="858"/>
              <w:rPr>
                <w:lang w:val="en-US"/>
              </w:rPr>
            </w:pPr>
            <w:r w:rsidRPr="00F564E5">
              <w:rPr>
                <w:spacing w:val="-1"/>
                <w:sz w:val="22"/>
                <w:szCs w:val="22"/>
                <w:lang w:val="en-US"/>
              </w:rPr>
              <w:t>NR (NE,</w:t>
            </w:r>
            <w:r w:rsidRPr="00F564E5">
              <w:rPr>
                <w:sz w:val="22"/>
                <w:szCs w:val="22"/>
                <w:lang w:val="en-US"/>
              </w:rPr>
              <w:t xml:space="preserve"> </w:t>
            </w:r>
            <w:r w:rsidRPr="00F564E5">
              <w:rPr>
                <w:spacing w:val="-1"/>
                <w:sz w:val="22"/>
                <w:szCs w:val="22"/>
                <w:lang w:val="en-US"/>
              </w:rPr>
              <w:t>NE)</w:t>
            </w:r>
          </w:p>
        </w:tc>
      </w:tr>
      <w:tr w:rsidR="00F564E5" w:rsidRPr="00F564E5" w14:paraId="1F4C41E3" w14:textId="77777777" w:rsidTr="00F564E5">
        <w:trPr>
          <w:trHeight w:hRule="exact" w:val="530"/>
        </w:trPr>
        <w:tc>
          <w:tcPr>
            <w:tcW w:w="6415" w:type="dxa"/>
            <w:tcBorders>
              <w:top w:val="single" w:sz="4" w:space="0" w:color="000000"/>
              <w:left w:val="single" w:sz="4" w:space="0" w:color="000000"/>
              <w:bottom w:val="single" w:sz="4" w:space="0" w:color="000000"/>
              <w:right w:val="single" w:sz="4" w:space="0" w:color="000000"/>
            </w:tcBorders>
          </w:tcPr>
          <w:p w14:paraId="43096A8B"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3"/>
              <w:ind w:left="822"/>
              <w:rPr>
                <w:lang w:val="en-US"/>
              </w:rPr>
            </w:pPr>
            <w:r w:rsidRPr="00F564E5">
              <w:rPr>
                <w:spacing w:val="-1"/>
                <w:sz w:val="22"/>
                <w:szCs w:val="22"/>
                <w:lang w:val="en-US"/>
              </w:rPr>
              <w:t>Patients with</w:t>
            </w:r>
            <w:r w:rsidRPr="00F564E5">
              <w:rPr>
                <w:sz w:val="22"/>
                <w:szCs w:val="22"/>
                <w:lang w:val="en-US"/>
              </w:rPr>
              <w:t xml:space="preserve"> </w:t>
            </w:r>
            <w:r w:rsidRPr="00F564E5">
              <w:rPr>
                <w:spacing w:val="-1"/>
                <w:sz w:val="22"/>
                <w:szCs w:val="22"/>
                <w:lang w:val="en-US"/>
              </w:rPr>
              <w:t xml:space="preserve">DOR </w:t>
            </w:r>
            <w:r w:rsidRPr="00F564E5">
              <w:rPr>
                <w:sz w:val="22"/>
                <w:szCs w:val="22"/>
                <w:lang w:val="en-US"/>
              </w:rPr>
              <w:t>≥</w:t>
            </w:r>
            <w:r w:rsidRPr="00F564E5">
              <w:rPr>
                <w:spacing w:val="1"/>
                <w:sz w:val="22"/>
                <w:szCs w:val="22"/>
                <w:lang w:val="en-US"/>
              </w:rPr>
              <w:t xml:space="preserve"> </w:t>
            </w:r>
            <w:r w:rsidRPr="00F564E5">
              <w:rPr>
                <w:sz w:val="22"/>
                <w:szCs w:val="22"/>
                <w:lang w:val="en-US"/>
              </w:rPr>
              <w:t xml:space="preserve">6 </w:t>
            </w:r>
            <w:r w:rsidRPr="00F564E5">
              <w:rPr>
                <w:spacing w:val="-1"/>
                <w:sz w:val="22"/>
                <w:szCs w:val="22"/>
                <w:lang w:val="en-US"/>
              </w:rPr>
              <w:t>months</w:t>
            </w:r>
            <w:r w:rsidRPr="00F564E5">
              <w:rPr>
                <w:spacing w:val="-1"/>
                <w:position w:val="8"/>
                <w:sz w:val="14"/>
                <w:szCs w:val="14"/>
                <w:lang w:val="en-US"/>
              </w:rPr>
              <w:t>b</w:t>
            </w:r>
            <w:r w:rsidRPr="00F564E5">
              <w:rPr>
                <w:spacing w:val="-1"/>
                <w:sz w:val="22"/>
                <w:szCs w:val="22"/>
                <w:lang w:val="en-US"/>
              </w:rPr>
              <w:t>,</w:t>
            </w:r>
            <w:r w:rsidRPr="00F564E5">
              <w:rPr>
                <w:spacing w:val="-3"/>
                <w:sz w:val="22"/>
                <w:szCs w:val="22"/>
                <w:lang w:val="en-US"/>
              </w:rPr>
              <w:t xml:space="preserve"> </w:t>
            </w:r>
            <w:r w:rsidRPr="00F564E5">
              <w:rPr>
                <w:sz w:val="22"/>
                <w:szCs w:val="22"/>
                <w:lang w:val="en-US"/>
              </w:rPr>
              <w:t>%</w:t>
            </w:r>
          </w:p>
        </w:tc>
        <w:tc>
          <w:tcPr>
            <w:tcW w:w="2935" w:type="dxa"/>
            <w:tcBorders>
              <w:top w:val="single" w:sz="4" w:space="0" w:color="000000"/>
              <w:left w:val="single" w:sz="4" w:space="0" w:color="000000"/>
              <w:bottom w:val="single" w:sz="4" w:space="0" w:color="000000"/>
              <w:right w:val="single" w:sz="4" w:space="0" w:color="000000"/>
            </w:tcBorders>
          </w:tcPr>
          <w:p w14:paraId="5B491F8D" w14:textId="77777777" w:rsidR="00F564E5" w:rsidRPr="00F564E5" w:rsidRDefault="00F564E5" w:rsidP="00F564E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49"/>
              <w:jc w:val="center"/>
              <w:rPr>
                <w:lang w:val="en-US"/>
              </w:rPr>
            </w:pPr>
            <w:r w:rsidRPr="00F564E5">
              <w:rPr>
                <w:sz w:val="22"/>
                <w:szCs w:val="22"/>
                <w:lang w:val="en-US"/>
              </w:rPr>
              <w:t>100</w:t>
            </w:r>
          </w:p>
        </w:tc>
      </w:tr>
    </w:tbl>
    <w:p w14:paraId="17E244FC" w14:textId="77777777" w:rsidR="00F564E5" w:rsidRPr="00F564E5" w:rsidRDefault="00F564E5" w:rsidP="00F564E5">
      <w:pPr>
        <w:rPr>
          <w:sz w:val="20"/>
          <w:szCs w:val="20"/>
        </w:rPr>
      </w:pPr>
      <w:r w:rsidRPr="00F564E5">
        <w:rPr>
          <w:sz w:val="20"/>
          <w:szCs w:val="20"/>
        </w:rPr>
        <w:t>NR = Not Reached; NE = Not Estimable</w:t>
      </w:r>
    </w:p>
    <w:p w14:paraId="5E7D3DE7" w14:textId="77777777" w:rsidR="00F564E5" w:rsidRPr="00F564E5" w:rsidRDefault="00F564E5" w:rsidP="00F564E5">
      <w:pPr>
        <w:rPr>
          <w:sz w:val="20"/>
          <w:szCs w:val="20"/>
        </w:rPr>
      </w:pPr>
      <w:r w:rsidRPr="00F564E5">
        <w:rPr>
          <w:sz w:val="20"/>
          <w:szCs w:val="20"/>
        </w:rPr>
        <w:t xml:space="preserve">a Confirmed overall response rate assessed by </w:t>
      </w:r>
      <w:proofErr w:type="gramStart"/>
      <w:r w:rsidRPr="00F564E5">
        <w:rPr>
          <w:sz w:val="20"/>
          <w:szCs w:val="20"/>
        </w:rPr>
        <w:t>BICR</w:t>
      </w:r>
      <w:proofErr w:type="gramEnd"/>
    </w:p>
    <w:p w14:paraId="05BCB644" w14:textId="77777777" w:rsidR="00F564E5" w:rsidRPr="00F564E5" w:rsidRDefault="00F564E5" w:rsidP="00F564E5">
      <w:pPr>
        <w:rPr>
          <w:sz w:val="20"/>
          <w:szCs w:val="20"/>
        </w:rPr>
      </w:pPr>
      <w:r w:rsidRPr="00F564E5">
        <w:rPr>
          <w:sz w:val="20"/>
          <w:szCs w:val="20"/>
        </w:rPr>
        <w:t>b Calculated using the proportion of responders with an observed duration of response at least 6 months or greater</w:t>
      </w:r>
    </w:p>
    <w:p w14:paraId="21410B81" w14:textId="365DC92B" w:rsidR="00D52399" w:rsidRPr="00FF281A" w:rsidRDefault="00D52399">
      <w:pPr>
        <w:rPr>
          <w:color w:val="auto"/>
        </w:rPr>
      </w:pPr>
    </w:p>
    <w:p w14:paraId="2994638A" w14:textId="77777777" w:rsidR="00D52399" w:rsidRDefault="00902EBE" w:rsidP="00902EBE">
      <w:pPr>
        <w:pStyle w:val="Heading2"/>
      </w:pPr>
      <w:r>
        <w:t>5.2</w:t>
      </w:r>
      <w:r>
        <w:tab/>
        <w:t xml:space="preserve">PHARMACOKINETIC PROPERTIES </w:t>
      </w:r>
    </w:p>
    <w:p w14:paraId="0AFC143B" w14:textId="77777777" w:rsidR="000A1BB4" w:rsidRDefault="000A1BB4" w:rsidP="009F4C5B">
      <w:pPr>
        <w:pStyle w:val="Heading3"/>
        <w:spacing w:before="0"/>
        <w:rPr>
          <w:b w:val="0"/>
        </w:rPr>
      </w:pPr>
      <w:r w:rsidRPr="000A1BB4">
        <w:rPr>
          <w:b w:val="0"/>
        </w:rPr>
        <w:t xml:space="preserve">Following administration of </w:t>
      </w:r>
      <w:proofErr w:type="spellStart"/>
      <w:r w:rsidRPr="000A1BB4">
        <w:rPr>
          <w:b w:val="0"/>
        </w:rPr>
        <w:t>pralsetinib</w:t>
      </w:r>
      <w:proofErr w:type="spellEnd"/>
      <w:r w:rsidRPr="000A1BB4">
        <w:rPr>
          <w:b w:val="0"/>
        </w:rPr>
        <w:t xml:space="preserve"> once daily, steady state was reached by 3-5 days. After single dose and repeat dosing of </w:t>
      </w:r>
      <w:proofErr w:type="spellStart"/>
      <w:r w:rsidRPr="000A1BB4">
        <w:rPr>
          <w:b w:val="0"/>
        </w:rPr>
        <w:t>pralsetinib</w:t>
      </w:r>
      <w:proofErr w:type="spellEnd"/>
      <w:r w:rsidRPr="000A1BB4">
        <w:rPr>
          <w:b w:val="0"/>
        </w:rPr>
        <w:t xml:space="preserve"> once daily, a dose-dependent increase in systemic exposure was observed over the dose range of 60-600 mg; however, the increase was not dose proportional.  At 400 mg QD dosing, the </w:t>
      </w:r>
      <w:proofErr w:type="gramStart"/>
      <w:r w:rsidRPr="000A1BB4">
        <w:rPr>
          <w:b w:val="0"/>
        </w:rPr>
        <w:t>steady-state</w:t>
      </w:r>
      <w:proofErr w:type="gramEnd"/>
      <w:r w:rsidRPr="000A1BB4">
        <w:rPr>
          <w:b w:val="0"/>
        </w:rPr>
        <w:t xml:space="preserve"> mean accumulation ratio (%CV) based on AUC was 2.46 (1.83%).  The steady state geometric mean [% coefficient of variation (CV %)] of maximum observed plasma concentration (</w:t>
      </w:r>
      <w:proofErr w:type="spellStart"/>
      <w:r w:rsidRPr="000A1BB4">
        <w:rPr>
          <w:b w:val="0"/>
        </w:rPr>
        <w:t>Cmax</w:t>
      </w:r>
      <w:proofErr w:type="spellEnd"/>
      <w:r w:rsidRPr="000A1BB4">
        <w:rPr>
          <w:b w:val="0"/>
        </w:rPr>
        <w:t xml:space="preserve">) and area under the concentration-time curve (AUC0-24h) of </w:t>
      </w:r>
      <w:proofErr w:type="spellStart"/>
      <w:r w:rsidRPr="000A1BB4">
        <w:rPr>
          <w:b w:val="0"/>
        </w:rPr>
        <w:t>pralsetinib</w:t>
      </w:r>
      <w:proofErr w:type="spellEnd"/>
      <w:r w:rsidRPr="000A1BB4">
        <w:rPr>
          <w:b w:val="0"/>
        </w:rPr>
        <w:t xml:space="preserve"> at 400 mg was 2470 (55.1%) ng/mL and 36700 (66.3%) </w:t>
      </w:r>
      <w:proofErr w:type="spellStart"/>
      <w:r w:rsidRPr="000A1BB4">
        <w:rPr>
          <w:b w:val="0"/>
        </w:rPr>
        <w:t>h•ng</w:t>
      </w:r>
      <w:proofErr w:type="spellEnd"/>
      <w:r w:rsidRPr="000A1BB4">
        <w:rPr>
          <w:b w:val="0"/>
        </w:rPr>
        <w:t xml:space="preserve">/mL, respectively. </w:t>
      </w:r>
    </w:p>
    <w:p w14:paraId="287F00E1" w14:textId="77777777" w:rsidR="000A1BB4" w:rsidRDefault="000A1BB4" w:rsidP="009F4C5B">
      <w:pPr>
        <w:pStyle w:val="Heading3"/>
        <w:spacing w:before="0"/>
        <w:rPr>
          <w:b w:val="0"/>
        </w:rPr>
      </w:pPr>
    </w:p>
    <w:p w14:paraId="7F539004" w14:textId="5EB38841" w:rsidR="00D52399" w:rsidRDefault="00615052" w:rsidP="009F4C5B">
      <w:pPr>
        <w:pStyle w:val="Heading3"/>
        <w:spacing w:before="0"/>
      </w:pPr>
      <w:r>
        <w:t>Absorption</w:t>
      </w:r>
    </w:p>
    <w:p w14:paraId="43C8D80C" w14:textId="7CE17940" w:rsidR="00D52399" w:rsidRDefault="000A1BB4">
      <w:r w:rsidRPr="000A1BB4">
        <w:t xml:space="preserve">Following administration of single oral doses of </w:t>
      </w:r>
      <w:proofErr w:type="spellStart"/>
      <w:r w:rsidRPr="000A1BB4">
        <w:t>pralsetinib</w:t>
      </w:r>
      <w:proofErr w:type="spellEnd"/>
      <w:r w:rsidRPr="000A1BB4">
        <w:t xml:space="preserve"> of 60 to 600 mg, the median time to peak concentration (</w:t>
      </w:r>
      <w:proofErr w:type="spellStart"/>
      <w:r w:rsidRPr="000A1BB4">
        <w:t>T</w:t>
      </w:r>
      <w:r w:rsidRPr="000A1BB4">
        <w:rPr>
          <w:vertAlign w:val="subscript"/>
        </w:rPr>
        <w:t>max</w:t>
      </w:r>
      <w:proofErr w:type="spellEnd"/>
      <w:r w:rsidRPr="000A1BB4">
        <w:t xml:space="preserve">) ranged from 2 to 4 hours </w:t>
      </w:r>
      <w:proofErr w:type="spellStart"/>
      <w:r w:rsidRPr="000A1BB4">
        <w:t>postdose</w:t>
      </w:r>
      <w:proofErr w:type="spellEnd"/>
      <w:r w:rsidRPr="000A1BB4">
        <w:t>.</w:t>
      </w:r>
    </w:p>
    <w:p w14:paraId="70F585EE" w14:textId="66C84747" w:rsidR="000A1BB4" w:rsidRDefault="000A1BB4"/>
    <w:p w14:paraId="5CE87F8C" w14:textId="77777777" w:rsidR="000A1BB4" w:rsidRPr="000A1BB4" w:rsidRDefault="000A1BB4" w:rsidP="000A1BB4">
      <w:pPr>
        <w:rPr>
          <w:i/>
        </w:rPr>
      </w:pPr>
      <w:r w:rsidRPr="000A1BB4">
        <w:rPr>
          <w:i/>
        </w:rPr>
        <w:t>Effect of food</w:t>
      </w:r>
    </w:p>
    <w:p w14:paraId="2C635B37" w14:textId="1676C188" w:rsidR="000A1BB4" w:rsidRDefault="000A1BB4" w:rsidP="000A1BB4">
      <w:r>
        <w:t xml:space="preserve">Food </w:t>
      </w:r>
      <w:proofErr w:type="gramStart"/>
      <w:r>
        <w:t>had an effect on</w:t>
      </w:r>
      <w:proofErr w:type="gramEnd"/>
      <w:r>
        <w:t xml:space="preserve"> both the rate and extent of absorption. </w:t>
      </w:r>
      <w:proofErr w:type="spellStart"/>
      <w:r>
        <w:t>Pralsetinib</w:t>
      </w:r>
      <w:proofErr w:type="spellEnd"/>
      <w:r>
        <w:t xml:space="preserve"> </w:t>
      </w:r>
      <w:proofErr w:type="spellStart"/>
      <w:r>
        <w:t>C</w:t>
      </w:r>
      <w:r w:rsidRPr="000A1BB4">
        <w:rPr>
          <w:vertAlign w:val="subscript"/>
        </w:rPr>
        <w:t>max</w:t>
      </w:r>
      <w:proofErr w:type="spellEnd"/>
      <w:r>
        <w:t xml:space="preserve"> and AUC</w:t>
      </w:r>
      <w:r w:rsidRPr="000A1BB4">
        <w:rPr>
          <w:vertAlign w:val="subscript"/>
        </w:rPr>
        <w:t>0</w:t>
      </w:r>
      <w:r>
        <w:rPr>
          <w:vertAlign w:val="subscript"/>
        </w:rPr>
        <w:t>-</w:t>
      </w:r>
      <w:r w:rsidRPr="000A1BB4">
        <w:rPr>
          <w:vertAlign w:val="subscript"/>
        </w:rPr>
        <w:t xml:space="preserve">inf </w:t>
      </w:r>
      <w:r>
        <w:t xml:space="preserve">were increased by 104% and 122%, respectively in healthy subjects who were administered </w:t>
      </w:r>
      <w:proofErr w:type="spellStart"/>
      <w:r>
        <w:t>pralsetinib</w:t>
      </w:r>
      <w:proofErr w:type="spellEnd"/>
      <w:r>
        <w:t xml:space="preserve"> after a standardized high-fat meal (~800-1000 calories and ~50 – 60% of calories from fat) compared to the </w:t>
      </w:r>
      <w:proofErr w:type="spellStart"/>
      <w:r>
        <w:t>C</w:t>
      </w:r>
      <w:r w:rsidRPr="000A1BB4">
        <w:rPr>
          <w:vertAlign w:val="subscript"/>
        </w:rPr>
        <w:t>max</w:t>
      </w:r>
      <w:proofErr w:type="spellEnd"/>
      <w:r>
        <w:t xml:space="preserve"> and AUC</w:t>
      </w:r>
      <w:r>
        <w:rPr>
          <w:vertAlign w:val="subscript"/>
        </w:rPr>
        <w:t>0-</w:t>
      </w:r>
      <w:r w:rsidRPr="000A1BB4">
        <w:rPr>
          <w:vertAlign w:val="subscript"/>
        </w:rPr>
        <w:t xml:space="preserve">inf </w:t>
      </w:r>
      <w:r>
        <w:t>after overnight fasting.</w:t>
      </w:r>
    </w:p>
    <w:p w14:paraId="64EB2DB0" w14:textId="286EDEE1" w:rsidR="005406B9" w:rsidRDefault="005406B9" w:rsidP="000A1BB4"/>
    <w:p w14:paraId="4A4AF322" w14:textId="7D33767B" w:rsidR="005406B9" w:rsidRDefault="005406B9" w:rsidP="005406B9">
      <w:r>
        <w:t xml:space="preserve">Food delayed the absorption of </w:t>
      </w:r>
      <w:proofErr w:type="spellStart"/>
      <w:r>
        <w:t>pralsetinib</w:t>
      </w:r>
      <w:proofErr w:type="spellEnd"/>
      <w:r>
        <w:t xml:space="preserve"> with a statistically significant (p-value &lt;.0001) and the median </w:t>
      </w:r>
      <w:proofErr w:type="spellStart"/>
      <w:r>
        <w:t>T</w:t>
      </w:r>
      <w:r w:rsidRPr="005406B9">
        <w:rPr>
          <w:vertAlign w:val="subscript"/>
        </w:rPr>
        <w:t>max</w:t>
      </w:r>
      <w:proofErr w:type="spellEnd"/>
      <w:r>
        <w:t xml:space="preserve"> was delayed (4 hours under fasted conditions vs. 8.5 hours under fed conditions). </w:t>
      </w:r>
    </w:p>
    <w:p w14:paraId="5251EB89" w14:textId="77777777" w:rsidR="005406B9" w:rsidRDefault="005406B9" w:rsidP="005406B9"/>
    <w:p w14:paraId="406924C5" w14:textId="385E3CB7" w:rsidR="005406B9" w:rsidRDefault="005406B9" w:rsidP="005406B9">
      <w:proofErr w:type="spellStart"/>
      <w:r>
        <w:t>Gavreto</w:t>
      </w:r>
      <w:proofErr w:type="spellEnd"/>
      <w:r>
        <w:t xml:space="preserve"> is recommended to be administered on an empty stomach.</w:t>
      </w:r>
    </w:p>
    <w:p w14:paraId="25FE5E11" w14:textId="77777777" w:rsidR="00177EE7" w:rsidRDefault="00177EE7">
      <w:pPr>
        <w:pStyle w:val="Heading3"/>
      </w:pPr>
    </w:p>
    <w:p w14:paraId="0B152219" w14:textId="467C34B2" w:rsidR="00D52399" w:rsidRDefault="00615052">
      <w:pPr>
        <w:pStyle w:val="Heading3"/>
      </w:pPr>
      <w:r>
        <w:lastRenderedPageBreak/>
        <w:t>Distribution</w:t>
      </w:r>
    </w:p>
    <w:p w14:paraId="6F880C37" w14:textId="1FBB8193" w:rsidR="005406B9" w:rsidRPr="005406B9" w:rsidRDefault="005406B9" w:rsidP="005406B9">
      <w:proofErr w:type="spellStart"/>
      <w:r w:rsidRPr="005406B9">
        <w:t>Pralsetinib</w:t>
      </w:r>
      <w:proofErr w:type="spellEnd"/>
      <w:r w:rsidRPr="005406B9">
        <w:t xml:space="preserve"> is 97.1% bound to human plasma proteins in vitro and the binding is not </w:t>
      </w:r>
      <w:proofErr w:type="gramStart"/>
      <w:r w:rsidRPr="005406B9">
        <w:t>concentration-dependent</w:t>
      </w:r>
      <w:proofErr w:type="gramEnd"/>
      <w:r w:rsidRPr="005406B9">
        <w:t xml:space="preserve">. The blood-to-plasma ratio is 0.6 to 0.7. Following a single 400 mg oral dose of </w:t>
      </w:r>
      <w:proofErr w:type="spellStart"/>
      <w:r w:rsidRPr="005406B9">
        <w:t>pralseti</w:t>
      </w:r>
      <w:r>
        <w:t>nib</w:t>
      </w:r>
      <w:proofErr w:type="spellEnd"/>
      <w:r>
        <w:t xml:space="preserve">, the geometric mean (CV %) </w:t>
      </w:r>
      <w:r w:rsidRPr="005406B9">
        <w:t>apparent volume of distribution (</w:t>
      </w:r>
      <w:proofErr w:type="spellStart"/>
      <w:r w:rsidRPr="005406B9">
        <w:t>Vd</w:t>
      </w:r>
      <w:proofErr w:type="spellEnd"/>
      <w:r w:rsidRPr="005406B9">
        <w:t xml:space="preserve">/F) of </w:t>
      </w:r>
      <w:proofErr w:type="spellStart"/>
      <w:r w:rsidRPr="005406B9">
        <w:t>pralsetinib</w:t>
      </w:r>
      <w:proofErr w:type="spellEnd"/>
      <w:r w:rsidRPr="005406B9">
        <w:t xml:space="preserve"> was 303L (68%) indicating extensive distribution into tissues from plasma.</w:t>
      </w:r>
    </w:p>
    <w:p w14:paraId="44C9D579" w14:textId="77777777" w:rsidR="00D52399" w:rsidRPr="00A8585F" w:rsidRDefault="00D52399">
      <w:pPr>
        <w:rPr>
          <w:b/>
          <w:color w:val="auto"/>
        </w:rPr>
      </w:pPr>
    </w:p>
    <w:p w14:paraId="0E0F6C3C" w14:textId="77777777" w:rsidR="00BA0878" w:rsidRPr="005406B9" w:rsidRDefault="00BA0878">
      <w:pPr>
        <w:rPr>
          <w:b/>
          <w:color w:val="auto"/>
        </w:rPr>
      </w:pPr>
      <w:r w:rsidRPr="005406B9">
        <w:rPr>
          <w:b/>
          <w:color w:val="auto"/>
        </w:rPr>
        <w:t>Metabolism</w:t>
      </w:r>
    </w:p>
    <w:p w14:paraId="2C443A86" w14:textId="552C00DF" w:rsidR="00D52399" w:rsidRDefault="005406B9">
      <w:r w:rsidRPr="005406B9">
        <w:rPr>
          <w:i/>
        </w:rPr>
        <w:t>In vitro</w:t>
      </w:r>
      <w:r w:rsidRPr="005406B9">
        <w:t xml:space="preserve"> studies demonstrated that the oxidative metabolism of </w:t>
      </w:r>
      <w:proofErr w:type="spellStart"/>
      <w:r w:rsidRPr="005406B9">
        <w:t>pralsetinib</w:t>
      </w:r>
      <w:proofErr w:type="spellEnd"/>
      <w:r w:rsidRPr="005406B9">
        <w:t xml:space="preserve"> is primarily mediated by CYP3A4 with minor contribution from CYP2D6 and </w:t>
      </w:r>
      <w:proofErr w:type="gramStart"/>
      <w:r w:rsidRPr="005406B9">
        <w:t>CYP1A2;</w:t>
      </w:r>
      <w:proofErr w:type="gramEnd"/>
      <w:r w:rsidRPr="005406B9">
        <w:t xml:space="preserve"> while glucuronidation is primarily </w:t>
      </w:r>
      <w:proofErr w:type="spellStart"/>
      <w:r w:rsidRPr="005406B9">
        <w:t>catalyzed</w:t>
      </w:r>
      <w:proofErr w:type="spellEnd"/>
      <w:r w:rsidRPr="005406B9">
        <w:t xml:space="preserve"> by UGT1A4. Following a single oral dose of approximately 310 mg of </w:t>
      </w:r>
      <w:proofErr w:type="spellStart"/>
      <w:r w:rsidRPr="005406B9">
        <w:t>radiolabeled</w:t>
      </w:r>
      <w:proofErr w:type="spellEnd"/>
      <w:r w:rsidRPr="005406B9">
        <w:t xml:space="preserve"> </w:t>
      </w:r>
      <w:proofErr w:type="spellStart"/>
      <w:r w:rsidRPr="005406B9">
        <w:t>pralsetinib</w:t>
      </w:r>
      <w:proofErr w:type="spellEnd"/>
      <w:r w:rsidRPr="005406B9">
        <w:t xml:space="preserve"> to healthy subjects, </w:t>
      </w:r>
      <w:proofErr w:type="spellStart"/>
      <w:r w:rsidRPr="005406B9">
        <w:t>pralsetinib</w:t>
      </w:r>
      <w:proofErr w:type="spellEnd"/>
      <w:r w:rsidRPr="005406B9">
        <w:t xml:space="preserve"> metabolites from oxidation (M531, M453, M549b) and glucuronidation (M709) were detected as 5% or less</w:t>
      </w:r>
      <w:r>
        <w:t>.</w:t>
      </w:r>
    </w:p>
    <w:p w14:paraId="3E227EC2" w14:textId="77777777" w:rsidR="00D52399" w:rsidRPr="005406B9" w:rsidRDefault="00D52399">
      <w:pPr>
        <w:rPr>
          <w:color w:val="auto"/>
        </w:rPr>
      </w:pPr>
    </w:p>
    <w:p w14:paraId="4C65C0C7" w14:textId="77777777" w:rsidR="00BA0878" w:rsidRPr="005406B9" w:rsidRDefault="00BA0878">
      <w:pPr>
        <w:rPr>
          <w:b/>
          <w:color w:val="auto"/>
        </w:rPr>
      </w:pPr>
      <w:r w:rsidRPr="005406B9">
        <w:rPr>
          <w:b/>
          <w:color w:val="auto"/>
        </w:rPr>
        <w:t>Excretion</w:t>
      </w:r>
    </w:p>
    <w:p w14:paraId="25814979" w14:textId="77777777" w:rsidR="005406B9" w:rsidRPr="005406B9" w:rsidRDefault="005406B9" w:rsidP="005406B9">
      <w:pPr>
        <w:rPr>
          <w:color w:val="auto"/>
        </w:rPr>
      </w:pPr>
      <w:r w:rsidRPr="005406B9">
        <w:rPr>
          <w:color w:val="auto"/>
        </w:rPr>
        <w:t xml:space="preserve">The mean (±standard deviation) plasma elimination half-life of </w:t>
      </w:r>
      <w:proofErr w:type="spellStart"/>
      <w:r w:rsidRPr="005406B9">
        <w:rPr>
          <w:color w:val="auto"/>
        </w:rPr>
        <w:t>pralsetinib</w:t>
      </w:r>
      <w:proofErr w:type="spellEnd"/>
      <w:r w:rsidRPr="005406B9">
        <w:rPr>
          <w:color w:val="auto"/>
        </w:rPr>
        <w:t xml:space="preserve"> was 15.7 hours (9.8) following single doses and 20 (11.7) hours following multiple doses of </w:t>
      </w:r>
      <w:proofErr w:type="spellStart"/>
      <w:r w:rsidRPr="005406B9">
        <w:rPr>
          <w:color w:val="auto"/>
        </w:rPr>
        <w:t>pralsetinib</w:t>
      </w:r>
      <w:proofErr w:type="spellEnd"/>
      <w:r w:rsidRPr="005406B9">
        <w:rPr>
          <w:color w:val="auto"/>
        </w:rPr>
        <w:t>.</w:t>
      </w:r>
    </w:p>
    <w:p w14:paraId="6BEC73AE" w14:textId="6F510662" w:rsidR="005406B9" w:rsidRDefault="005406B9" w:rsidP="005406B9">
      <w:pPr>
        <w:rPr>
          <w:color w:val="auto"/>
        </w:rPr>
      </w:pPr>
      <w:r w:rsidRPr="005406B9">
        <w:rPr>
          <w:color w:val="auto"/>
        </w:rPr>
        <w:t xml:space="preserve">Following oral administration of </w:t>
      </w:r>
      <w:proofErr w:type="spellStart"/>
      <w:r w:rsidRPr="005406B9">
        <w:rPr>
          <w:color w:val="auto"/>
        </w:rPr>
        <w:t>pralsetinib</w:t>
      </w:r>
      <w:proofErr w:type="spellEnd"/>
      <w:r w:rsidRPr="005406B9">
        <w:rPr>
          <w:color w:val="auto"/>
        </w:rPr>
        <w:t xml:space="preserve"> 400 mg once daily, the steady state geometric mean apparent oral clearance (CL/F) was 10.9 L/h (66%).</w:t>
      </w:r>
    </w:p>
    <w:p w14:paraId="126EBEC9" w14:textId="77777777" w:rsidR="005406B9" w:rsidRPr="005406B9" w:rsidRDefault="005406B9" w:rsidP="005406B9">
      <w:pPr>
        <w:rPr>
          <w:color w:val="auto"/>
        </w:rPr>
      </w:pPr>
    </w:p>
    <w:p w14:paraId="28D8305F" w14:textId="3DD44097" w:rsidR="00D52399" w:rsidRDefault="005406B9" w:rsidP="005406B9">
      <w:pPr>
        <w:rPr>
          <w:color w:val="auto"/>
        </w:rPr>
      </w:pPr>
      <w:r w:rsidRPr="005406B9">
        <w:rPr>
          <w:color w:val="auto"/>
        </w:rPr>
        <w:t xml:space="preserve">Following a single oral dose of ~ 310 </w:t>
      </w:r>
      <w:proofErr w:type="gramStart"/>
      <w:r w:rsidRPr="005406B9">
        <w:rPr>
          <w:color w:val="auto"/>
        </w:rPr>
        <w:t>mg  administered</w:t>
      </w:r>
      <w:proofErr w:type="gramEnd"/>
      <w:r w:rsidRPr="005406B9">
        <w:rPr>
          <w:color w:val="auto"/>
        </w:rPr>
        <w:t xml:space="preserve"> as 3 x 100 mg  capsules plus one capsule containing ~10 mg (~100 </w:t>
      </w:r>
      <w:proofErr w:type="spellStart"/>
      <w:r w:rsidRPr="005406B9">
        <w:rPr>
          <w:color w:val="auto"/>
        </w:rPr>
        <w:t>μCi</w:t>
      </w:r>
      <w:proofErr w:type="spellEnd"/>
      <w:r w:rsidRPr="005406B9">
        <w:rPr>
          <w:color w:val="auto"/>
        </w:rPr>
        <w:t>) [14C]</w:t>
      </w:r>
      <w:proofErr w:type="spellStart"/>
      <w:r w:rsidRPr="005406B9">
        <w:rPr>
          <w:color w:val="auto"/>
        </w:rPr>
        <w:t>pralsetinib</w:t>
      </w:r>
      <w:proofErr w:type="spellEnd"/>
      <w:r w:rsidRPr="005406B9">
        <w:rPr>
          <w:color w:val="auto"/>
        </w:rPr>
        <w:t xml:space="preserve"> to healthy subjects, 73% of the radioactive dose was recovered in f</w:t>
      </w:r>
      <w:r w:rsidR="00F860B8">
        <w:rPr>
          <w:color w:val="auto"/>
        </w:rPr>
        <w:t>a</w:t>
      </w:r>
      <w:r w:rsidRPr="005406B9">
        <w:rPr>
          <w:color w:val="auto"/>
        </w:rPr>
        <w:t xml:space="preserve">eces and 6% was recovered in urine. Unchanged </w:t>
      </w:r>
      <w:proofErr w:type="spellStart"/>
      <w:r w:rsidRPr="005406B9">
        <w:rPr>
          <w:color w:val="auto"/>
        </w:rPr>
        <w:t>pralsetinib</w:t>
      </w:r>
      <w:proofErr w:type="spellEnd"/>
      <w:r w:rsidRPr="005406B9">
        <w:rPr>
          <w:color w:val="auto"/>
        </w:rPr>
        <w:t xml:space="preserve"> represented approximately 66% and 4.8% of the total radioactive dose in f</w:t>
      </w:r>
      <w:r>
        <w:rPr>
          <w:color w:val="auto"/>
        </w:rPr>
        <w:t>a</w:t>
      </w:r>
      <w:r w:rsidRPr="005406B9">
        <w:rPr>
          <w:color w:val="auto"/>
        </w:rPr>
        <w:t>eces and urine, respectively.</w:t>
      </w:r>
    </w:p>
    <w:p w14:paraId="12BEAB43" w14:textId="72B5012E" w:rsidR="00F860B8" w:rsidRDefault="00F860B8" w:rsidP="005406B9">
      <w:pPr>
        <w:rPr>
          <w:color w:val="auto"/>
        </w:rPr>
      </w:pPr>
    </w:p>
    <w:p w14:paraId="303A1DDC" w14:textId="1D93455D" w:rsidR="00F860B8" w:rsidRPr="00F860B8" w:rsidRDefault="00F860B8" w:rsidP="00F860B8">
      <w:pPr>
        <w:rPr>
          <w:b/>
          <w:color w:val="auto"/>
        </w:rPr>
      </w:pPr>
      <w:r w:rsidRPr="00F860B8">
        <w:rPr>
          <w:b/>
          <w:color w:val="auto"/>
        </w:rPr>
        <w:t>Elderly Population</w:t>
      </w:r>
    </w:p>
    <w:p w14:paraId="40984B67" w14:textId="3F703109" w:rsidR="00F860B8" w:rsidRDefault="00F860B8" w:rsidP="00F860B8">
      <w:pPr>
        <w:rPr>
          <w:color w:val="auto"/>
        </w:rPr>
      </w:pPr>
      <w:r>
        <w:rPr>
          <w:color w:val="auto"/>
        </w:rPr>
        <w:t>Data obtained in elderly</w:t>
      </w:r>
      <w:r w:rsidRPr="00F860B8">
        <w:rPr>
          <w:color w:val="auto"/>
        </w:rPr>
        <w:t xml:space="preserve"> patients show that pharmacokinetic parameters for </w:t>
      </w:r>
      <w:proofErr w:type="spellStart"/>
      <w:r w:rsidRPr="00F860B8">
        <w:rPr>
          <w:color w:val="auto"/>
        </w:rPr>
        <w:t>Gavreto</w:t>
      </w:r>
      <w:proofErr w:type="spellEnd"/>
      <w:r w:rsidRPr="00F860B8">
        <w:rPr>
          <w:color w:val="auto"/>
        </w:rPr>
        <w:t xml:space="preserve"> are not significantly affected i</w:t>
      </w:r>
      <w:r>
        <w:rPr>
          <w:color w:val="auto"/>
        </w:rPr>
        <w:t xml:space="preserve">n this population. </w:t>
      </w:r>
    </w:p>
    <w:p w14:paraId="4E1609D9" w14:textId="77777777" w:rsidR="00F860B8" w:rsidRPr="00F860B8" w:rsidRDefault="00F860B8" w:rsidP="00F860B8">
      <w:pPr>
        <w:rPr>
          <w:color w:val="auto"/>
        </w:rPr>
      </w:pPr>
    </w:p>
    <w:p w14:paraId="2D917706" w14:textId="77777777" w:rsidR="00F860B8" w:rsidRPr="00F860B8" w:rsidRDefault="00F860B8" w:rsidP="00F860B8">
      <w:pPr>
        <w:rPr>
          <w:b/>
          <w:color w:val="auto"/>
        </w:rPr>
      </w:pPr>
      <w:r w:rsidRPr="00F860B8">
        <w:rPr>
          <w:b/>
          <w:color w:val="auto"/>
        </w:rPr>
        <w:t>Renal impairment</w:t>
      </w:r>
    </w:p>
    <w:p w14:paraId="408FFB65" w14:textId="5010B577" w:rsidR="00F860B8" w:rsidRDefault="00F860B8" w:rsidP="00F860B8">
      <w:pPr>
        <w:rPr>
          <w:color w:val="auto"/>
        </w:rPr>
      </w:pPr>
      <w:r w:rsidRPr="00F860B8">
        <w:rPr>
          <w:color w:val="auto"/>
        </w:rPr>
        <w:t xml:space="preserve">Based on a population pharmacokinetic analysis, </w:t>
      </w:r>
      <w:proofErr w:type="spellStart"/>
      <w:r w:rsidRPr="00F860B8">
        <w:rPr>
          <w:color w:val="auto"/>
        </w:rPr>
        <w:t>Gavreto</w:t>
      </w:r>
      <w:proofErr w:type="spellEnd"/>
      <w:r w:rsidRPr="00F860B8">
        <w:rPr>
          <w:color w:val="auto"/>
        </w:rPr>
        <w:t xml:space="preserve"> exposures were similar among 94 subjects with mild renal impairment (CL</w:t>
      </w:r>
      <w:r w:rsidRPr="00F860B8">
        <w:rPr>
          <w:color w:val="auto"/>
          <w:vertAlign w:val="subscript"/>
        </w:rPr>
        <w:t>CR</w:t>
      </w:r>
      <w:r w:rsidRPr="00F860B8">
        <w:rPr>
          <w:color w:val="auto"/>
        </w:rPr>
        <w:t xml:space="preserve"> 60-89 mL/min), 12 subjects with moderate renal impairment (CL</w:t>
      </w:r>
      <w:r w:rsidRPr="00F860B8">
        <w:rPr>
          <w:color w:val="auto"/>
          <w:vertAlign w:val="subscript"/>
        </w:rPr>
        <w:t>CR</w:t>
      </w:r>
      <w:r w:rsidRPr="00F860B8">
        <w:rPr>
          <w:color w:val="auto"/>
        </w:rPr>
        <w:t xml:space="preserve"> 30-59 mL/min) and 76 subjects with normal renal function (CL</w:t>
      </w:r>
      <w:r w:rsidRPr="00F860B8">
        <w:rPr>
          <w:color w:val="auto"/>
          <w:vertAlign w:val="subscript"/>
        </w:rPr>
        <w:t>CR</w:t>
      </w:r>
      <w:r w:rsidRPr="00F860B8">
        <w:rPr>
          <w:color w:val="auto"/>
        </w:rPr>
        <w:t xml:space="preserve"> ≥ 90 mL/min). The pharmacokinetics of </w:t>
      </w:r>
      <w:proofErr w:type="spellStart"/>
      <w:r w:rsidRPr="00F860B8">
        <w:rPr>
          <w:color w:val="auto"/>
        </w:rPr>
        <w:t>Gavreto</w:t>
      </w:r>
      <w:proofErr w:type="spellEnd"/>
      <w:r w:rsidRPr="00F860B8">
        <w:rPr>
          <w:color w:val="auto"/>
        </w:rPr>
        <w:t xml:space="preserve"> in patients with severe renal impairment (CL</w:t>
      </w:r>
      <w:r w:rsidRPr="00F860B8">
        <w:rPr>
          <w:color w:val="auto"/>
          <w:vertAlign w:val="subscript"/>
        </w:rPr>
        <w:t>CR</w:t>
      </w:r>
      <w:r w:rsidRPr="00F860B8">
        <w:rPr>
          <w:color w:val="auto"/>
        </w:rPr>
        <w:t xml:space="preserve"> 15-29 mL/min) or end-stage renal disease (CL</w:t>
      </w:r>
      <w:r w:rsidRPr="00F860B8">
        <w:rPr>
          <w:color w:val="auto"/>
          <w:vertAlign w:val="subscript"/>
        </w:rPr>
        <w:t>CR</w:t>
      </w:r>
      <w:r w:rsidRPr="00F860B8">
        <w:rPr>
          <w:color w:val="auto"/>
        </w:rPr>
        <w:t xml:space="preserve"> &lt;15 mL/min) have not be</w:t>
      </w:r>
      <w:r>
        <w:rPr>
          <w:color w:val="auto"/>
        </w:rPr>
        <w:t xml:space="preserve">en studied. </w:t>
      </w:r>
    </w:p>
    <w:p w14:paraId="2C0E795D" w14:textId="77777777" w:rsidR="00F860B8" w:rsidRPr="00F860B8" w:rsidRDefault="00F860B8" w:rsidP="00F860B8">
      <w:pPr>
        <w:rPr>
          <w:color w:val="auto"/>
        </w:rPr>
      </w:pPr>
    </w:p>
    <w:p w14:paraId="6EAC1FD7" w14:textId="77777777" w:rsidR="00F860B8" w:rsidRPr="00F860B8" w:rsidRDefault="00F860B8" w:rsidP="00F860B8">
      <w:pPr>
        <w:rPr>
          <w:b/>
          <w:color w:val="auto"/>
        </w:rPr>
      </w:pPr>
      <w:r w:rsidRPr="00F860B8">
        <w:rPr>
          <w:b/>
          <w:color w:val="auto"/>
        </w:rPr>
        <w:t>Hepatic impairment</w:t>
      </w:r>
    </w:p>
    <w:p w14:paraId="054890FE" w14:textId="5C4E6640" w:rsidR="00F860B8" w:rsidRDefault="00F860B8" w:rsidP="00F860B8">
      <w:pPr>
        <w:rPr>
          <w:color w:val="auto"/>
        </w:rPr>
      </w:pPr>
      <w:r w:rsidRPr="00F860B8">
        <w:rPr>
          <w:color w:val="auto"/>
        </w:rPr>
        <w:t xml:space="preserve">As hepatic elimination is a major route of excretion for </w:t>
      </w:r>
      <w:proofErr w:type="spellStart"/>
      <w:r w:rsidRPr="00F860B8">
        <w:rPr>
          <w:color w:val="auto"/>
        </w:rPr>
        <w:t>Gavreto</w:t>
      </w:r>
      <w:proofErr w:type="spellEnd"/>
      <w:r w:rsidRPr="00F860B8">
        <w:rPr>
          <w:color w:val="auto"/>
        </w:rPr>
        <w:t xml:space="preserve">, hepatic impairment may result in increased plasma concentrations. Based on a population pharmacokinetic </w:t>
      </w:r>
      <w:proofErr w:type="gramStart"/>
      <w:r w:rsidRPr="00F860B8">
        <w:rPr>
          <w:color w:val="auto"/>
        </w:rPr>
        <w:t xml:space="preserve">analysis,  </w:t>
      </w:r>
      <w:proofErr w:type="spellStart"/>
      <w:r w:rsidRPr="00F860B8">
        <w:rPr>
          <w:color w:val="auto"/>
        </w:rPr>
        <w:t>Gavreto</w:t>
      </w:r>
      <w:proofErr w:type="spellEnd"/>
      <w:proofErr w:type="gramEnd"/>
      <w:r w:rsidRPr="00F860B8">
        <w:rPr>
          <w:color w:val="auto"/>
        </w:rPr>
        <w:t xml:space="preserve"> exposures were similar between 7 subjects with mild hepatic impairment (total bilirubin within upper limit of normal [ULN] and AST &gt; ULN or total bilirubin &gt;1 to 1.5 times ULN and any AST) and 175 subjects with normal hepatic function (total bilirubin and AST within ULN). The pharmacokinetics of </w:t>
      </w:r>
      <w:proofErr w:type="spellStart"/>
      <w:r w:rsidRPr="00F860B8">
        <w:rPr>
          <w:color w:val="auto"/>
        </w:rPr>
        <w:t>Gavreto</w:t>
      </w:r>
      <w:proofErr w:type="spellEnd"/>
      <w:r w:rsidRPr="00F860B8">
        <w:rPr>
          <w:color w:val="auto"/>
        </w:rPr>
        <w:t xml:space="preserve"> in patients with moderate (total bilirubin &gt;1.5 to 3.0 × upper limit of normal [ULN] and any aspartate aminotransferase [AST]) or severe hepatic impairment (total bilirubin &gt;3.0 times ULN and any AST) have not been studied.</w:t>
      </w:r>
    </w:p>
    <w:p w14:paraId="5A61FA0F" w14:textId="77777777" w:rsidR="003D0C3B" w:rsidRDefault="003D0C3B" w:rsidP="009F4C5B">
      <w:pPr>
        <w:pStyle w:val="Heading2"/>
        <w:spacing w:before="0"/>
      </w:pPr>
    </w:p>
    <w:p w14:paraId="740197C8" w14:textId="271B38E2" w:rsidR="00D52399" w:rsidRDefault="00902EBE" w:rsidP="009F4C5B">
      <w:pPr>
        <w:pStyle w:val="Heading2"/>
        <w:spacing w:before="0"/>
      </w:pPr>
      <w:r>
        <w:lastRenderedPageBreak/>
        <w:t>5.3</w:t>
      </w:r>
      <w:r>
        <w:tab/>
        <w:t>PRECLINICAL SAFETY DATA</w:t>
      </w:r>
    </w:p>
    <w:p w14:paraId="43F5C072" w14:textId="56C751A8" w:rsidR="00B1134D" w:rsidRPr="005406B9" w:rsidRDefault="00413B23" w:rsidP="00B1134D">
      <w:pPr>
        <w:pStyle w:val="Heading3"/>
        <w:rPr>
          <w:color w:val="auto"/>
        </w:rPr>
      </w:pPr>
      <w:r>
        <w:rPr>
          <w:color w:val="auto"/>
        </w:rPr>
        <w:t>Genotoxicity</w:t>
      </w:r>
    </w:p>
    <w:p w14:paraId="323090A5" w14:textId="464FBAAD" w:rsidR="005406B9" w:rsidRPr="005406B9" w:rsidRDefault="005406B9" w:rsidP="005406B9">
      <w:proofErr w:type="spellStart"/>
      <w:r w:rsidRPr="005406B9">
        <w:t>Pralsetinib</w:t>
      </w:r>
      <w:proofErr w:type="spellEnd"/>
      <w:r w:rsidRPr="005406B9">
        <w:t xml:space="preserve"> was not mutagenic in vitro in the bacterial reverse mutation (Ames) assay, with and without metabolic activation.  </w:t>
      </w:r>
      <w:proofErr w:type="spellStart"/>
      <w:r w:rsidRPr="005406B9">
        <w:t>Pralsetinib</w:t>
      </w:r>
      <w:proofErr w:type="spellEnd"/>
      <w:r w:rsidRPr="005406B9">
        <w:t xml:space="preserve"> was negative in both in vitro human lymphocyte chromosome aberration assay and in vivo rat bone marrow micronucleus tests.</w:t>
      </w:r>
    </w:p>
    <w:p w14:paraId="45E4B9E5" w14:textId="558CDF6A" w:rsidR="00B1134D" w:rsidRPr="005406B9" w:rsidRDefault="00413B23" w:rsidP="00B1134D">
      <w:pPr>
        <w:pStyle w:val="Heading3"/>
        <w:rPr>
          <w:color w:val="auto"/>
        </w:rPr>
      </w:pPr>
      <w:r>
        <w:rPr>
          <w:color w:val="auto"/>
        </w:rPr>
        <w:t>Carcinogenicity</w:t>
      </w:r>
    </w:p>
    <w:p w14:paraId="4A51B11F" w14:textId="1863D05C" w:rsidR="00184203" w:rsidRDefault="00BF0303" w:rsidP="00363C7F">
      <w:pPr>
        <w:rPr>
          <w:color w:val="auto"/>
        </w:rPr>
      </w:pPr>
      <w:r>
        <w:rPr>
          <w:color w:val="auto"/>
        </w:rPr>
        <w:t xml:space="preserve">Carcinogenicity studies with </w:t>
      </w:r>
      <w:proofErr w:type="spellStart"/>
      <w:r>
        <w:rPr>
          <w:color w:val="auto"/>
        </w:rPr>
        <w:t>pralsetinib</w:t>
      </w:r>
      <w:proofErr w:type="spellEnd"/>
      <w:r>
        <w:rPr>
          <w:color w:val="auto"/>
        </w:rPr>
        <w:t xml:space="preserve"> have not been conducted.</w:t>
      </w:r>
    </w:p>
    <w:p w14:paraId="2F76ECBD" w14:textId="77777777" w:rsidR="00363C7F" w:rsidRDefault="00363C7F"/>
    <w:p w14:paraId="1C33F5F5" w14:textId="77777777" w:rsidR="00D52399" w:rsidRDefault="00615052" w:rsidP="009F4C5B">
      <w:pPr>
        <w:pStyle w:val="Heading1"/>
        <w:numPr>
          <w:ilvl w:val="0"/>
          <w:numId w:val="2"/>
        </w:numPr>
        <w:spacing w:before="0"/>
      </w:pPr>
      <w:r>
        <w:t>PHARMACEUTICAL PARTICULARS</w:t>
      </w:r>
    </w:p>
    <w:p w14:paraId="106F7C44" w14:textId="77777777" w:rsidR="00D52399" w:rsidRDefault="00CC6729" w:rsidP="009F4C5B">
      <w:pPr>
        <w:pStyle w:val="Heading2"/>
        <w:spacing w:before="0"/>
      </w:pPr>
      <w:r>
        <w:t>6.1</w:t>
      </w:r>
      <w:r>
        <w:tab/>
        <w:t>LIST OF EXCIPIENTS</w:t>
      </w:r>
    </w:p>
    <w:p w14:paraId="4E7A007D" w14:textId="77777777" w:rsidR="00980790" w:rsidRPr="00980790" w:rsidRDefault="00980790" w:rsidP="00980790">
      <w:pPr>
        <w:spacing w:before="200" w:line="271" w:lineRule="auto"/>
        <w:jc w:val="both"/>
        <w:outlineLvl w:val="2"/>
        <w:rPr>
          <w:b/>
          <w:color w:val="auto"/>
        </w:rPr>
      </w:pPr>
      <w:r w:rsidRPr="00980790">
        <w:rPr>
          <w:b/>
          <w:color w:val="auto"/>
        </w:rPr>
        <w:t>Capsule content</w:t>
      </w:r>
    </w:p>
    <w:p w14:paraId="6213F157" w14:textId="77777777" w:rsidR="000749E1" w:rsidRDefault="000749E1" w:rsidP="00980790">
      <w:pPr>
        <w:jc w:val="both"/>
        <w:rPr>
          <w:color w:val="auto"/>
        </w:rPr>
      </w:pPr>
      <w:r w:rsidRPr="000749E1">
        <w:rPr>
          <w:color w:val="auto"/>
        </w:rPr>
        <w:t>Hypromellose</w:t>
      </w:r>
    </w:p>
    <w:p w14:paraId="53C29D94" w14:textId="00EEBEA2" w:rsidR="00980790" w:rsidRPr="000749E1" w:rsidRDefault="00980790" w:rsidP="00980790">
      <w:pPr>
        <w:jc w:val="both"/>
        <w:rPr>
          <w:color w:val="auto"/>
        </w:rPr>
      </w:pPr>
      <w:r w:rsidRPr="000749E1">
        <w:rPr>
          <w:color w:val="auto"/>
        </w:rPr>
        <w:t>Microcrystalline cellulose</w:t>
      </w:r>
    </w:p>
    <w:p w14:paraId="6C241CBE" w14:textId="2F86FDFF" w:rsidR="00980790" w:rsidRPr="00B35909" w:rsidRDefault="000749E1" w:rsidP="00980790">
      <w:pPr>
        <w:jc w:val="both"/>
        <w:rPr>
          <w:color w:val="auto"/>
        </w:rPr>
      </w:pPr>
      <w:r w:rsidRPr="00B35909">
        <w:rPr>
          <w:color w:val="auto"/>
        </w:rPr>
        <w:t xml:space="preserve">Sodium </w:t>
      </w:r>
      <w:r w:rsidR="00B35909" w:rsidRPr="00B35909">
        <w:rPr>
          <w:color w:val="auto"/>
        </w:rPr>
        <w:t>bicarbonate</w:t>
      </w:r>
    </w:p>
    <w:p w14:paraId="119C07DD" w14:textId="3A5233FB" w:rsidR="00980790" w:rsidRPr="00B35909" w:rsidRDefault="00B35909" w:rsidP="00980790">
      <w:pPr>
        <w:jc w:val="both"/>
        <w:rPr>
          <w:color w:val="auto"/>
        </w:rPr>
      </w:pPr>
      <w:r w:rsidRPr="00B35909">
        <w:rPr>
          <w:color w:val="auto"/>
        </w:rPr>
        <w:t>Citric acid, anhydrous</w:t>
      </w:r>
    </w:p>
    <w:p w14:paraId="70CAC13D" w14:textId="77777777" w:rsidR="00B35909" w:rsidRDefault="00980790" w:rsidP="00B35909">
      <w:pPr>
        <w:jc w:val="both"/>
        <w:rPr>
          <w:color w:val="auto"/>
        </w:rPr>
      </w:pPr>
      <w:r w:rsidRPr="00B35909">
        <w:rPr>
          <w:color w:val="auto"/>
        </w:rPr>
        <w:t>Magnesium stearate</w:t>
      </w:r>
    </w:p>
    <w:p w14:paraId="487689F6" w14:textId="6D73066F" w:rsidR="00B35909" w:rsidRDefault="00B35909" w:rsidP="00B35909">
      <w:pPr>
        <w:jc w:val="both"/>
        <w:rPr>
          <w:color w:val="auto"/>
        </w:rPr>
      </w:pPr>
      <w:r w:rsidRPr="00B35909">
        <w:rPr>
          <w:color w:val="auto"/>
        </w:rPr>
        <w:t>Pregelatinized Starch</w:t>
      </w:r>
    </w:p>
    <w:p w14:paraId="6C017F57" w14:textId="5F7FE4BA" w:rsidR="00980790" w:rsidRPr="00B35909" w:rsidRDefault="00980790" w:rsidP="00980790">
      <w:pPr>
        <w:spacing w:before="200" w:line="271" w:lineRule="auto"/>
        <w:jc w:val="both"/>
        <w:outlineLvl w:val="2"/>
        <w:rPr>
          <w:b/>
          <w:color w:val="auto"/>
        </w:rPr>
      </w:pPr>
      <w:r w:rsidRPr="00B35909">
        <w:rPr>
          <w:b/>
          <w:color w:val="auto"/>
        </w:rPr>
        <w:t>Capsule shell</w:t>
      </w:r>
    </w:p>
    <w:p w14:paraId="107F3068" w14:textId="77777777" w:rsidR="00980790" w:rsidRPr="00B35909" w:rsidRDefault="00980790" w:rsidP="00980790">
      <w:pPr>
        <w:jc w:val="both"/>
        <w:rPr>
          <w:color w:val="auto"/>
        </w:rPr>
      </w:pPr>
      <w:r w:rsidRPr="00B35909">
        <w:rPr>
          <w:color w:val="auto"/>
        </w:rPr>
        <w:t>Hypromellose</w:t>
      </w:r>
    </w:p>
    <w:p w14:paraId="7A70CCBC" w14:textId="77777777" w:rsidR="00980790" w:rsidRPr="00B35909" w:rsidRDefault="00980790" w:rsidP="00980790">
      <w:pPr>
        <w:jc w:val="both"/>
        <w:rPr>
          <w:color w:val="auto"/>
        </w:rPr>
      </w:pPr>
      <w:r w:rsidRPr="00B35909">
        <w:rPr>
          <w:color w:val="auto"/>
        </w:rPr>
        <w:t>Titanium dioxide</w:t>
      </w:r>
    </w:p>
    <w:p w14:paraId="546B4906" w14:textId="1E78357E" w:rsidR="00980790" w:rsidRPr="00B35909" w:rsidRDefault="00B35909" w:rsidP="00980790">
      <w:pPr>
        <w:jc w:val="both"/>
        <w:rPr>
          <w:color w:val="auto"/>
        </w:rPr>
      </w:pPr>
      <w:r w:rsidRPr="00B35909">
        <w:rPr>
          <w:color w:val="auto"/>
        </w:rPr>
        <w:t xml:space="preserve">Brilliant </w:t>
      </w:r>
      <w:r>
        <w:rPr>
          <w:color w:val="auto"/>
        </w:rPr>
        <w:t>b</w:t>
      </w:r>
      <w:r w:rsidRPr="00B35909">
        <w:rPr>
          <w:color w:val="auto"/>
        </w:rPr>
        <w:t xml:space="preserve">lue </w:t>
      </w:r>
      <w:r>
        <w:rPr>
          <w:color w:val="auto"/>
        </w:rPr>
        <w:t>FCF</w:t>
      </w:r>
    </w:p>
    <w:p w14:paraId="6E099E59" w14:textId="77777777" w:rsidR="00980790" w:rsidRPr="00B35909" w:rsidRDefault="00980790" w:rsidP="00980790">
      <w:pPr>
        <w:spacing w:before="200" w:line="271" w:lineRule="auto"/>
        <w:jc w:val="both"/>
        <w:outlineLvl w:val="2"/>
        <w:rPr>
          <w:b/>
          <w:color w:val="auto"/>
        </w:rPr>
      </w:pPr>
      <w:r w:rsidRPr="00B35909">
        <w:rPr>
          <w:b/>
          <w:color w:val="auto"/>
        </w:rPr>
        <w:t>Printing ink</w:t>
      </w:r>
    </w:p>
    <w:p w14:paraId="44EAD328" w14:textId="7CAD881C" w:rsidR="00980790" w:rsidRDefault="00DC7D51" w:rsidP="00980790">
      <w:pPr>
        <w:rPr>
          <w:color w:val="auto"/>
        </w:rPr>
      </w:pPr>
      <w:proofErr w:type="spellStart"/>
      <w:r w:rsidRPr="00DC7D51">
        <w:rPr>
          <w:color w:val="auto"/>
        </w:rPr>
        <w:t>TekPrint</w:t>
      </w:r>
      <w:proofErr w:type="spellEnd"/>
      <w:r>
        <w:rPr>
          <w:color w:val="auto"/>
        </w:rPr>
        <w:t>™ SW-0012 White Ink (PI no. 13175)</w:t>
      </w:r>
    </w:p>
    <w:p w14:paraId="284B90A3" w14:textId="77777777" w:rsidR="00997AAF" w:rsidRPr="00980790" w:rsidRDefault="00997AAF" w:rsidP="00980790">
      <w:pPr>
        <w:rPr>
          <w:b/>
          <w:color w:val="auto"/>
        </w:rPr>
      </w:pPr>
    </w:p>
    <w:p w14:paraId="71799A6B" w14:textId="77777777" w:rsidR="00D52399" w:rsidRDefault="00902EBE" w:rsidP="009F4C5B">
      <w:pPr>
        <w:pStyle w:val="Heading2"/>
        <w:spacing w:before="0"/>
      </w:pPr>
      <w:r>
        <w:t>6.2</w:t>
      </w:r>
      <w:r>
        <w:tab/>
        <w:t>INCOMPATIBILITIES</w:t>
      </w:r>
    </w:p>
    <w:p w14:paraId="6125FDC5" w14:textId="59CEDBBB" w:rsidR="00D52399" w:rsidRPr="000C7595" w:rsidRDefault="000C7595">
      <w:pPr>
        <w:rPr>
          <w:color w:val="auto"/>
        </w:rPr>
      </w:pPr>
      <w:r w:rsidRPr="000C7595">
        <w:rPr>
          <w:color w:val="auto"/>
        </w:rPr>
        <w:t>Not applicable.</w:t>
      </w:r>
    </w:p>
    <w:p w14:paraId="098554FF" w14:textId="77777777" w:rsidR="00D52399" w:rsidRPr="00BB2798" w:rsidRDefault="00D52399">
      <w:pPr>
        <w:rPr>
          <w:color w:val="FF0000"/>
        </w:rPr>
      </w:pPr>
    </w:p>
    <w:p w14:paraId="6180B104" w14:textId="77777777" w:rsidR="00D52399" w:rsidRDefault="00902EBE" w:rsidP="009F4C5B">
      <w:pPr>
        <w:pStyle w:val="Heading2"/>
        <w:spacing w:before="0"/>
      </w:pPr>
      <w:r>
        <w:t>6.3</w:t>
      </w:r>
      <w:r>
        <w:tab/>
        <w:t>SHELF LIFE</w:t>
      </w:r>
    </w:p>
    <w:p w14:paraId="294EDFAF" w14:textId="77777777" w:rsidR="008903F2" w:rsidRPr="00ED17FA" w:rsidRDefault="008903F2" w:rsidP="009F4C5B">
      <w:pPr>
        <w:spacing w:after="240"/>
        <w:rPr>
          <w:color w:val="auto"/>
        </w:rPr>
      </w:pPr>
      <w:r w:rsidRPr="00ED17FA">
        <w:rPr>
          <w:color w:val="auto"/>
        </w:rPr>
        <w:t>In Australia, information on the shelf life can be found on the public summary of the Australian Register of Therapeutic Goods (ARTG). The expiry date can be found on the packaging.</w:t>
      </w:r>
    </w:p>
    <w:p w14:paraId="51E810B8" w14:textId="77777777" w:rsidR="00D52399" w:rsidRPr="00902EBE" w:rsidRDefault="00902EBE" w:rsidP="009F4C5B">
      <w:pPr>
        <w:pStyle w:val="Heading2"/>
        <w:spacing w:before="0"/>
      </w:pPr>
      <w:r w:rsidRPr="00902EBE">
        <w:t>6.4</w:t>
      </w:r>
      <w:r w:rsidRPr="00902EBE">
        <w:tab/>
        <w:t>SPECIAL PRECAUTIONS FOR STORAGE</w:t>
      </w:r>
    </w:p>
    <w:p w14:paraId="16E7A938" w14:textId="694163EE" w:rsidR="00ED17FA" w:rsidRDefault="00ED17FA" w:rsidP="00ED17FA">
      <w:r>
        <w:t xml:space="preserve">Store below </w:t>
      </w:r>
      <w:r w:rsidR="000266AA">
        <w:t>30</w:t>
      </w:r>
      <w:r>
        <w:t xml:space="preserve">°C. </w:t>
      </w:r>
      <w:r w:rsidR="00DC78CE">
        <w:t xml:space="preserve">Keep the bottle tightly closed to protect from moisture. </w:t>
      </w:r>
    </w:p>
    <w:p w14:paraId="407F372C" w14:textId="77777777" w:rsidR="00997AAF" w:rsidRDefault="00997AAF" w:rsidP="00ED17FA"/>
    <w:p w14:paraId="0BC8F86A" w14:textId="5053941F" w:rsidR="00D52399" w:rsidRDefault="00ED17FA" w:rsidP="00ED17FA">
      <w:r>
        <w:t>This medicine should not be used after the expiry date (EXP) shown on the pack.</w:t>
      </w:r>
    </w:p>
    <w:p w14:paraId="37EEAC43" w14:textId="58A024A8" w:rsidR="00D52399" w:rsidRDefault="00902EBE" w:rsidP="00902EBE">
      <w:pPr>
        <w:pStyle w:val="Heading2"/>
      </w:pPr>
      <w:r>
        <w:t>6.5</w:t>
      </w:r>
      <w:r>
        <w:tab/>
        <w:t xml:space="preserve">NATURE AND CONTENTS OF CONTAINER </w:t>
      </w:r>
    </w:p>
    <w:p w14:paraId="02F647AC" w14:textId="0078DA38" w:rsidR="0077424E" w:rsidRPr="00F860B8" w:rsidRDefault="00DC7D51" w:rsidP="0077424E">
      <w:proofErr w:type="spellStart"/>
      <w:r>
        <w:t>Gavreto</w:t>
      </w:r>
      <w:proofErr w:type="spellEnd"/>
      <w:r>
        <w:t xml:space="preserve"> 100 mg capsules </w:t>
      </w:r>
      <w:r w:rsidRPr="00DC7D51">
        <w:t xml:space="preserve">are contained in an HDPE bottle, </w:t>
      </w:r>
      <w:r>
        <w:t xml:space="preserve">and </w:t>
      </w:r>
      <w:r w:rsidR="0077424E" w:rsidRPr="00F860B8">
        <w:t>are supplied as follows:</w:t>
      </w:r>
    </w:p>
    <w:p w14:paraId="5616D9CB" w14:textId="77777777" w:rsidR="0077424E" w:rsidRPr="00F860B8" w:rsidRDefault="0077424E" w:rsidP="0077424E"/>
    <w:p w14:paraId="3D2854FF" w14:textId="7BFF4E1E" w:rsidR="0077424E" w:rsidRPr="00F860B8" w:rsidRDefault="0077424E" w:rsidP="0077424E">
      <w:pPr>
        <w:pStyle w:val="ListParagraph"/>
        <w:numPr>
          <w:ilvl w:val="0"/>
          <w:numId w:val="5"/>
        </w:numPr>
      </w:pPr>
      <w:r w:rsidRPr="00F860B8">
        <w:t xml:space="preserve">Bottles of 60 capsules (AUST R </w:t>
      </w:r>
      <w:r w:rsidR="00B5381F">
        <w:t>380812</w:t>
      </w:r>
      <w:r w:rsidRPr="00F860B8">
        <w:t>)</w:t>
      </w:r>
    </w:p>
    <w:p w14:paraId="4F51875D" w14:textId="11AC6B14" w:rsidR="0077424E" w:rsidRPr="00F860B8" w:rsidRDefault="0077424E" w:rsidP="0077424E">
      <w:pPr>
        <w:pStyle w:val="ListParagraph"/>
        <w:numPr>
          <w:ilvl w:val="0"/>
          <w:numId w:val="5"/>
        </w:numPr>
      </w:pPr>
      <w:r w:rsidRPr="00F860B8">
        <w:t xml:space="preserve">Bottles of 90 capsules (AUST R </w:t>
      </w:r>
      <w:r w:rsidR="00B5381F">
        <w:t>380812</w:t>
      </w:r>
      <w:r w:rsidRPr="00F860B8">
        <w:t>)</w:t>
      </w:r>
    </w:p>
    <w:p w14:paraId="5A535131" w14:textId="1E948C20" w:rsidR="00D52399" w:rsidRDefault="0077424E" w:rsidP="0077424E">
      <w:pPr>
        <w:pStyle w:val="ListParagraph"/>
        <w:numPr>
          <w:ilvl w:val="0"/>
          <w:numId w:val="5"/>
        </w:numPr>
      </w:pPr>
      <w:r w:rsidRPr="00F860B8">
        <w:t xml:space="preserve">Bottles of 120 capsules (AUST R </w:t>
      </w:r>
      <w:r w:rsidR="00B5381F">
        <w:t>380812</w:t>
      </w:r>
      <w:r w:rsidRPr="00F860B8">
        <w:t>)</w:t>
      </w:r>
    </w:p>
    <w:p w14:paraId="78CDBF4E" w14:textId="77777777" w:rsidR="00177EE7" w:rsidRPr="00F860B8" w:rsidRDefault="00177EE7" w:rsidP="0084776C">
      <w:pPr>
        <w:pStyle w:val="ListParagraph"/>
      </w:pPr>
    </w:p>
    <w:p w14:paraId="495EB03F" w14:textId="75F11652" w:rsidR="00D52399" w:rsidRDefault="00902EBE" w:rsidP="00902EBE">
      <w:pPr>
        <w:pStyle w:val="Heading2"/>
      </w:pPr>
      <w:r>
        <w:lastRenderedPageBreak/>
        <w:t>6.6</w:t>
      </w:r>
      <w:r>
        <w:tab/>
        <w:t>SPECIAL PRECAUTIONS F</w:t>
      </w:r>
      <w:r w:rsidR="0077424E">
        <w:t xml:space="preserve">OR DISPOSAL </w:t>
      </w:r>
    </w:p>
    <w:p w14:paraId="267C2E0C" w14:textId="2A41319F" w:rsidR="00161BD6" w:rsidRDefault="00C80F64" w:rsidP="00FF39B4">
      <w:r w:rsidRPr="00C80F64">
        <w:t>The release of pharmaceuticals in the environment should be minimised. Medicines should not be disposed of via wastewater and disposal through household waste should be avoided</w:t>
      </w:r>
      <w:r>
        <w:t>.</w:t>
      </w:r>
    </w:p>
    <w:p w14:paraId="22195CC8" w14:textId="77777777" w:rsidR="00FF39B4" w:rsidRDefault="00FF39B4" w:rsidP="00FF39B4">
      <w:pPr>
        <w:rPr>
          <w:color w:val="auto"/>
        </w:rPr>
      </w:pPr>
    </w:p>
    <w:p w14:paraId="48B1DC0E" w14:textId="7329D278" w:rsidR="008903F2" w:rsidRDefault="008903F2" w:rsidP="00C80F64">
      <w:pPr>
        <w:spacing w:after="240"/>
        <w:rPr>
          <w:color w:val="0070C0"/>
        </w:rPr>
      </w:pPr>
      <w:r w:rsidRPr="00C55FD9">
        <w:rPr>
          <w:color w:val="auto"/>
        </w:rPr>
        <w:t>In Australia, any unused medicine or waste material should be disposed of by taking to your local pharmacy</w:t>
      </w:r>
      <w:r w:rsidRPr="008903F2">
        <w:rPr>
          <w:color w:val="0070C0"/>
        </w:rPr>
        <w:t>.</w:t>
      </w:r>
    </w:p>
    <w:p w14:paraId="6A53DE79" w14:textId="77777777" w:rsidR="008903F2" w:rsidRPr="002A2003" w:rsidRDefault="00902EBE" w:rsidP="009F4C5B">
      <w:pPr>
        <w:pStyle w:val="Heading2"/>
        <w:spacing w:before="0"/>
        <w:rPr>
          <w:color w:val="auto"/>
        </w:rPr>
      </w:pPr>
      <w:r w:rsidRPr="002A2003">
        <w:rPr>
          <w:color w:val="auto"/>
        </w:rPr>
        <w:t>6.7</w:t>
      </w:r>
      <w:r w:rsidRPr="002A2003">
        <w:rPr>
          <w:color w:val="auto"/>
        </w:rPr>
        <w:tab/>
        <w:t xml:space="preserve">PHYSIOCHEMICAL PROPERTIES </w:t>
      </w:r>
    </w:p>
    <w:p w14:paraId="7DC8DC76" w14:textId="108AD556" w:rsidR="009B3628" w:rsidRDefault="002A2003">
      <w:pPr>
        <w:rPr>
          <w:b/>
          <w:color w:val="auto"/>
        </w:rPr>
      </w:pPr>
      <w:r w:rsidRPr="002A2003">
        <w:rPr>
          <w:b/>
          <w:color w:val="auto"/>
        </w:rPr>
        <w:t>Chemical structure</w:t>
      </w:r>
    </w:p>
    <w:p w14:paraId="3926F5D8" w14:textId="40EC8D99" w:rsidR="002A2003" w:rsidRDefault="002A2003">
      <w:pPr>
        <w:rPr>
          <w:b/>
          <w:color w:val="auto"/>
        </w:rPr>
      </w:pPr>
    </w:p>
    <w:p w14:paraId="35E48EBF" w14:textId="49D740FB" w:rsidR="002A2003" w:rsidRPr="002A2003" w:rsidRDefault="00EB57CA">
      <w:pPr>
        <w:rPr>
          <w:b/>
          <w:color w:val="auto"/>
        </w:rPr>
      </w:pPr>
      <w:r>
        <w:rPr>
          <w:b/>
          <w:noProof/>
          <w:color w:val="auto"/>
          <w:lang w:eastAsia="en-NZ"/>
        </w:rPr>
        <w:drawing>
          <wp:inline distT="0" distB="0" distL="0" distR="0" wp14:anchorId="15F1928E" wp14:editId="46A69696">
            <wp:extent cx="2114550" cy="1700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l strutur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8188" cy="1702932"/>
                    </a:xfrm>
                    <a:prstGeom prst="rect">
                      <a:avLst/>
                    </a:prstGeom>
                  </pic:spPr>
                </pic:pic>
              </a:graphicData>
            </a:graphic>
          </wp:inline>
        </w:drawing>
      </w:r>
    </w:p>
    <w:p w14:paraId="6C9DACD9" w14:textId="77777777" w:rsidR="002A2003" w:rsidRPr="002A2003" w:rsidRDefault="002A2003">
      <w:pPr>
        <w:rPr>
          <w:b/>
          <w:color w:val="0070C0"/>
        </w:rPr>
      </w:pPr>
    </w:p>
    <w:p w14:paraId="1DBE8C50" w14:textId="1D3206E8" w:rsidR="009B3628" w:rsidRDefault="009B3628" w:rsidP="00095A55">
      <w:pPr>
        <w:rPr>
          <w:b/>
          <w:color w:val="auto"/>
        </w:rPr>
      </w:pPr>
      <w:r w:rsidRPr="00095A55">
        <w:rPr>
          <w:b/>
          <w:color w:val="auto"/>
        </w:rPr>
        <w:t>CAS number</w:t>
      </w:r>
    </w:p>
    <w:p w14:paraId="233FB3FF" w14:textId="77028460" w:rsidR="00095A55" w:rsidRDefault="00095A55" w:rsidP="009F4C5B">
      <w:pPr>
        <w:spacing w:after="240"/>
        <w:rPr>
          <w:color w:val="auto"/>
        </w:rPr>
      </w:pPr>
      <w:r w:rsidRPr="00095A55">
        <w:rPr>
          <w:color w:val="auto"/>
        </w:rPr>
        <w:t>2097132-94-8</w:t>
      </w:r>
    </w:p>
    <w:p w14:paraId="0F3AB8A9" w14:textId="77777777" w:rsidR="00DC7D51" w:rsidRPr="00AA4860" w:rsidRDefault="00DC7D51" w:rsidP="00DC7D51">
      <w:pPr>
        <w:rPr>
          <w:color w:val="auto"/>
        </w:rPr>
      </w:pPr>
      <w:r w:rsidRPr="00AA4860">
        <w:rPr>
          <w:color w:val="auto"/>
        </w:rPr>
        <w:t xml:space="preserve">The chemical name for </w:t>
      </w:r>
      <w:proofErr w:type="spellStart"/>
      <w:r w:rsidRPr="00AA4860">
        <w:rPr>
          <w:color w:val="auto"/>
        </w:rPr>
        <w:t>pralsetinib</w:t>
      </w:r>
      <w:proofErr w:type="spellEnd"/>
      <w:r w:rsidRPr="00AA4860">
        <w:rPr>
          <w:color w:val="auto"/>
        </w:rPr>
        <w:t xml:space="preserve"> is (cis)-N-((S)-1-(6-(4-fluoro-1H-pyrazol-1-</w:t>
      </w:r>
      <w:proofErr w:type="gramStart"/>
      <w:r w:rsidRPr="00AA4860">
        <w:rPr>
          <w:color w:val="auto"/>
        </w:rPr>
        <w:t>yl)pyridin</w:t>
      </w:r>
      <w:proofErr w:type="gramEnd"/>
      <w:r w:rsidRPr="00AA4860">
        <w:rPr>
          <w:color w:val="auto"/>
        </w:rPr>
        <w:t xml:space="preserve">-3-yl)ethyl)-1-methoxy-4-(4-methyl-6-(5- methyl-1H-pyrazol-3-ylamino)pyrimidin-2-l)cyclohexanecarboxamide. The molecular formula for </w:t>
      </w:r>
      <w:proofErr w:type="spellStart"/>
      <w:r w:rsidRPr="00AA4860">
        <w:rPr>
          <w:color w:val="auto"/>
        </w:rPr>
        <w:t>pralsetinib</w:t>
      </w:r>
      <w:proofErr w:type="spellEnd"/>
      <w:r w:rsidRPr="00AA4860">
        <w:rPr>
          <w:color w:val="auto"/>
        </w:rPr>
        <w:t xml:space="preserve"> is C</w:t>
      </w:r>
      <w:r w:rsidRPr="00AA4860">
        <w:rPr>
          <w:color w:val="auto"/>
          <w:vertAlign w:val="subscript"/>
        </w:rPr>
        <w:t>27</w:t>
      </w:r>
      <w:r w:rsidRPr="00AA4860">
        <w:rPr>
          <w:color w:val="auto"/>
        </w:rPr>
        <w:t>H</w:t>
      </w:r>
      <w:r w:rsidRPr="00AA4860">
        <w:rPr>
          <w:color w:val="auto"/>
          <w:vertAlign w:val="subscript"/>
        </w:rPr>
        <w:t>32</w:t>
      </w:r>
      <w:r w:rsidRPr="00AA4860">
        <w:rPr>
          <w:color w:val="auto"/>
        </w:rPr>
        <w:t>FN</w:t>
      </w:r>
      <w:r w:rsidRPr="00AA4860">
        <w:rPr>
          <w:color w:val="auto"/>
          <w:vertAlign w:val="subscript"/>
        </w:rPr>
        <w:t>9</w:t>
      </w:r>
      <w:r w:rsidRPr="00AA4860">
        <w:rPr>
          <w:color w:val="auto"/>
        </w:rPr>
        <w:t>O</w:t>
      </w:r>
      <w:r w:rsidRPr="00AA4860">
        <w:rPr>
          <w:color w:val="auto"/>
          <w:vertAlign w:val="subscript"/>
        </w:rPr>
        <w:t>2</w:t>
      </w:r>
      <w:r w:rsidRPr="00AA4860">
        <w:rPr>
          <w:color w:val="auto"/>
        </w:rPr>
        <w:t xml:space="preserve">, and the molecular weight is 533.61 g/mol. The solubility of </w:t>
      </w:r>
      <w:proofErr w:type="spellStart"/>
      <w:r w:rsidRPr="00AA4860">
        <w:rPr>
          <w:color w:val="auto"/>
        </w:rPr>
        <w:t>pralsetinib</w:t>
      </w:r>
      <w:proofErr w:type="spellEnd"/>
      <w:r w:rsidRPr="00AA4860">
        <w:rPr>
          <w:color w:val="auto"/>
        </w:rPr>
        <w:t xml:space="preserve"> in aqueous media decreases over the range pH 1.99 to pH 7.64 from</w:t>
      </w:r>
    </w:p>
    <w:p w14:paraId="5ACAD906" w14:textId="77777777" w:rsidR="00DC7D51" w:rsidRPr="00AA4860" w:rsidRDefault="00DC7D51" w:rsidP="00DC7D51">
      <w:pPr>
        <w:rPr>
          <w:color w:val="auto"/>
        </w:rPr>
      </w:pPr>
      <w:r w:rsidRPr="00AA4860">
        <w:rPr>
          <w:color w:val="auto"/>
        </w:rPr>
        <w:t xml:space="preserve">0.880 mg/mL to &lt;0.001 mg/mL, indicating a decrease in solubility with increasing </w:t>
      </w:r>
      <w:proofErr w:type="spellStart"/>
      <w:r w:rsidRPr="00AA4860">
        <w:rPr>
          <w:color w:val="auto"/>
        </w:rPr>
        <w:t>pH.</w:t>
      </w:r>
      <w:proofErr w:type="spellEnd"/>
    </w:p>
    <w:p w14:paraId="369D48EB" w14:textId="77777777" w:rsidR="00DC7D51" w:rsidRPr="00095A55" w:rsidRDefault="00DC7D51" w:rsidP="009F4C5B">
      <w:pPr>
        <w:spacing w:after="240"/>
        <w:rPr>
          <w:color w:val="auto"/>
        </w:rPr>
      </w:pPr>
    </w:p>
    <w:p w14:paraId="32198CD7" w14:textId="77777777" w:rsidR="00D52399" w:rsidRDefault="00615052" w:rsidP="009F4C5B">
      <w:pPr>
        <w:pStyle w:val="Heading1"/>
        <w:numPr>
          <w:ilvl w:val="0"/>
          <w:numId w:val="2"/>
        </w:numPr>
        <w:spacing w:before="0"/>
      </w:pPr>
      <w:r>
        <w:t xml:space="preserve"> MEDICINE SCHEDULE</w:t>
      </w:r>
      <w:r w:rsidR="00594C19" w:rsidRPr="002D2A61">
        <w:rPr>
          <w:color w:val="auto"/>
        </w:rPr>
        <w:t xml:space="preserve"> (POISONS STANDARD)</w:t>
      </w:r>
    </w:p>
    <w:p w14:paraId="61C4E917" w14:textId="6E1DA59A" w:rsidR="002D2A61" w:rsidRPr="00B1134D" w:rsidRDefault="002D2A61" w:rsidP="009F4C5B">
      <w:pPr>
        <w:spacing w:after="240"/>
        <w:rPr>
          <w:sz w:val="28"/>
        </w:rPr>
      </w:pPr>
      <w:r w:rsidRPr="002D2A61">
        <w:rPr>
          <w:szCs w:val="22"/>
        </w:rPr>
        <w:t>Schedule 4 – Prescription Only Medicine</w:t>
      </w:r>
    </w:p>
    <w:p w14:paraId="4EB56ECA" w14:textId="77777777" w:rsidR="00D52399" w:rsidRDefault="00615052" w:rsidP="009F4C5B">
      <w:pPr>
        <w:pStyle w:val="Heading1"/>
        <w:numPr>
          <w:ilvl w:val="0"/>
          <w:numId w:val="2"/>
        </w:numPr>
        <w:spacing w:before="0"/>
      </w:pPr>
      <w:r>
        <w:t>SPONSOR</w:t>
      </w:r>
    </w:p>
    <w:p w14:paraId="0AE715F7" w14:textId="77777777" w:rsidR="00363C7F" w:rsidRDefault="00363C7F">
      <w:pPr>
        <w:rPr>
          <w:color w:val="FF0000"/>
        </w:rPr>
      </w:pPr>
    </w:p>
    <w:p w14:paraId="5E42519C" w14:textId="77777777" w:rsidR="00363C7F" w:rsidRPr="00C55FD9" w:rsidRDefault="00363C7F" w:rsidP="00363C7F">
      <w:pPr>
        <w:rPr>
          <w:color w:val="auto"/>
          <w:lang w:val="en-GB"/>
        </w:rPr>
      </w:pPr>
      <w:r w:rsidRPr="00C55FD9">
        <w:rPr>
          <w:color w:val="auto"/>
          <w:lang w:val="en-GB"/>
        </w:rPr>
        <w:t>Roche Products Pty Limited</w:t>
      </w:r>
    </w:p>
    <w:p w14:paraId="3141C64F" w14:textId="77777777" w:rsidR="00363C7F" w:rsidRPr="00C55FD9" w:rsidRDefault="00363C7F" w:rsidP="00363C7F">
      <w:pPr>
        <w:rPr>
          <w:color w:val="auto"/>
          <w:lang w:val="en-GB"/>
        </w:rPr>
      </w:pPr>
      <w:r w:rsidRPr="00C55FD9">
        <w:rPr>
          <w:color w:val="auto"/>
          <w:lang w:val="en-GB"/>
        </w:rPr>
        <w:t>ABN 70 000 132 865</w:t>
      </w:r>
    </w:p>
    <w:p w14:paraId="4361891C" w14:textId="77777777" w:rsidR="00363C7F" w:rsidRPr="00C55FD9" w:rsidRDefault="00363C7F" w:rsidP="00363C7F">
      <w:pPr>
        <w:rPr>
          <w:color w:val="auto"/>
          <w:lang w:val="en-GB"/>
        </w:rPr>
      </w:pPr>
      <w:r w:rsidRPr="00C55FD9">
        <w:rPr>
          <w:color w:val="auto"/>
          <w:lang w:val="en-GB"/>
        </w:rPr>
        <w:t xml:space="preserve">Level 8, 30 – 34 Hickson Road </w:t>
      </w:r>
    </w:p>
    <w:p w14:paraId="0FD5CACC" w14:textId="77777777" w:rsidR="00363C7F" w:rsidRPr="00C55FD9" w:rsidRDefault="00363C7F" w:rsidP="00363C7F">
      <w:pPr>
        <w:rPr>
          <w:color w:val="auto"/>
          <w:lang w:val="en-GB"/>
        </w:rPr>
      </w:pPr>
      <w:r w:rsidRPr="00C55FD9">
        <w:rPr>
          <w:color w:val="auto"/>
          <w:lang w:val="en-GB"/>
        </w:rPr>
        <w:t>Sydney NSW 2000</w:t>
      </w:r>
    </w:p>
    <w:p w14:paraId="17D19C80" w14:textId="77777777" w:rsidR="00363C7F" w:rsidRPr="00C55FD9" w:rsidRDefault="00363C7F" w:rsidP="00363C7F">
      <w:pPr>
        <w:rPr>
          <w:color w:val="auto"/>
          <w:lang w:val="en-GB"/>
        </w:rPr>
      </w:pPr>
      <w:r w:rsidRPr="00C55FD9">
        <w:rPr>
          <w:color w:val="auto"/>
          <w:lang w:val="en-GB"/>
        </w:rPr>
        <w:t>AUSTRALIA</w:t>
      </w:r>
    </w:p>
    <w:p w14:paraId="5F6D8A4D" w14:textId="77777777" w:rsidR="00363C7F" w:rsidRPr="003F4DF6" w:rsidRDefault="00363C7F" w:rsidP="00363C7F">
      <w:pPr>
        <w:rPr>
          <w:color w:val="0070C0"/>
          <w:lang w:val="en-GB"/>
        </w:rPr>
      </w:pPr>
    </w:p>
    <w:p w14:paraId="085FA7D5" w14:textId="77777777" w:rsidR="00363C7F" w:rsidRPr="002D2A61" w:rsidRDefault="00363C7F" w:rsidP="009F4C5B">
      <w:pPr>
        <w:spacing w:after="240"/>
        <w:rPr>
          <w:color w:val="auto"/>
        </w:rPr>
      </w:pPr>
      <w:r w:rsidRPr="002D2A61">
        <w:rPr>
          <w:color w:val="auto"/>
          <w:lang w:val="en-GB"/>
        </w:rPr>
        <w:t>Medical enquiries: 1800 233 950</w:t>
      </w:r>
    </w:p>
    <w:p w14:paraId="58B65385" w14:textId="77777777" w:rsidR="00D52399" w:rsidRDefault="00615052" w:rsidP="009F4C5B">
      <w:pPr>
        <w:pStyle w:val="Heading1"/>
        <w:numPr>
          <w:ilvl w:val="0"/>
          <w:numId w:val="2"/>
        </w:numPr>
        <w:spacing w:before="0"/>
      </w:pPr>
      <w:r>
        <w:t>DATE OF FIRST APPROVAL</w:t>
      </w:r>
    </w:p>
    <w:p w14:paraId="65AEF78C" w14:textId="1CAB1E34" w:rsidR="00D52399" w:rsidRPr="00C55FD9" w:rsidRDefault="0088407D">
      <w:pPr>
        <w:rPr>
          <w:b/>
          <w:color w:val="auto"/>
        </w:rPr>
      </w:pPr>
      <w:r>
        <w:rPr>
          <w:b/>
          <w:color w:val="auto"/>
        </w:rPr>
        <w:t>29 March 2023</w:t>
      </w:r>
    </w:p>
    <w:p w14:paraId="045B94B9" w14:textId="77777777" w:rsidR="009B3628" w:rsidRDefault="009B3628"/>
    <w:p w14:paraId="6CCA3E17" w14:textId="4BA8BF22" w:rsidR="00D52399" w:rsidRDefault="00615052" w:rsidP="009F4C5B">
      <w:pPr>
        <w:pStyle w:val="Heading1"/>
        <w:numPr>
          <w:ilvl w:val="0"/>
          <w:numId w:val="2"/>
        </w:numPr>
        <w:spacing w:before="0"/>
      </w:pPr>
      <w:r>
        <w:t xml:space="preserve">DATE OF REVISION </w:t>
      </w:r>
    </w:p>
    <w:p w14:paraId="25BCDFAF" w14:textId="1C408C83" w:rsidR="00D52399" w:rsidRDefault="0088407D">
      <w:r>
        <w:t>6 April 2023</w:t>
      </w:r>
    </w:p>
    <w:p w14:paraId="25038DD7" w14:textId="0B30A91A" w:rsidR="00D52399" w:rsidRPr="00E7214A" w:rsidRDefault="00902EBE" w:rsidP="00A8585F">
      <w:pPr>
        <w:pStyle w:val="Heading3"/>
        <w:spacing w:after="240"/>
        <w:rPr>
          <w:color w:val="auto"/>
        </w:rPr>
      </w:pPr>
      <w:r w:rsidRPr="00E7214A">
        <w:rPr>
          <w:color w:val="auto"/>
        </w:rPr>
        <w:lastRenderedPageBreak/>
        <w:t>Summary table of changes</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14:paraId="333A263E" w14:textId="77777777" w:rsidTr="00407592">
        <w:tc>
          <w:tcPr>
            <w:tcW w:w="1951" w:type="dxa"/>
          </w:tcPr>
          <w:p w14:paraId="14652FF9" w14:textId="77777777" w:rsidR="00D52399" w:rsidRDefault="00615052">
            <w:pPr>
              <w:rPr>
                <w:b/>
              </w:rPr>
            </w:pPr>
            <w:r>
              <w:rPr>
                <w:b/>
              </w:rPr>
              <w:t>Section Changed</w:t>
            </w:r>
          </w:p>
        </w:tc>
        <w:tc>
          <w:tcPr>
            <w:tcW w:w="7291" w:type="dxa"/>
          </w:tcPr>
          <w:p w14:paraId="08EE2626" w14:textId="77777777" w:rsidR="00D52399" w:rsidRDefault="00615052">
            <w:pPr>
              <w:rPr>
                <w:b/>
              </w:rPr>
            </w:pPr>
            <w:r>
              <w:rPr>
                <w:b/>
              </w:rPr>
              <w:t>Summary of new information</w:t>
            </w:r>
          </w:p>
        </w:tc>
      </w:tr>
      <w:tr w:rsidR="00D52399" w14:paraId="34D9F8BA" w14:textId="77777777" w:rsidTr="00407592">
        <w:tc>
          <w:tcPr>
            <w:tcW w:w="1951" w:type="dxa"/>
          </w:tcPr>
          <w:p w14:paraId="58D9F954" w14:textId="240AD5E8" w:rsidR="00D52399" w:rsidRDefault="0088407D">
            <w:r>
              <w:t xml:space="preserve">4.1, </w:t>
            </w:r>
            <w:r w:rsidR="00B274CB">
              <w:t xml:space="preserve">4.2, 4.4, 4.8, </w:t>
            </w:r>
            <w:r>
              <w:t>5.1</w:t>
            </w:r>
          </w:p>
        </w:tc>
        <w:tc>
          <w:tcPr>
            <w:tcW w:w="7291" w:type="dxa"/>
          </w:tcPr>
          <w:p w14:paraId="3D3EFF6E" w14:textId="20ED2A4F" w:rsidR="00D52399" w:rsidRDefault="009316A1" w:rsidP="0088407D">
            <w:r>
              <w:t xml:space="preserve">New </w:t>
            </w:r>
            <w:r w:rsidR="0088407D">
              <w:t>Indication (RET-fusion positive Thyroid cancer)</w:t>
            </w:r>
          </w:p>
        </w:tc>
      </w:tr>
    </w:tbl>
    <w:p w14:paraId="2927C247" w14:textId="77777777" w:rsidR="00D52399" w:rsidRDefault="00D52399"/>
    <w:sectPr w:rsidR="00D52399" w:rsidSect="00C97612">
      <w:headerReference w:type="default" r:id="rId10"/>
      <w:footerReference w:type="default" r:id="rId11"/>
      <w:headerReference w:type="first" r:id="rId12"/>
      <w:footerReference w:type="first" r:id="rId13"/>
      <w:pgSz w:w="11906" w:h="16838"/>
      <w:pgMar w:top="1440" w:right="1440" w:bottom="1440" w:left="1440" w:header="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4403" w14:textId="77777777" w:rsidR="007A15DF" w:rsidRDefault="007A15DF">
      <w:r>
        <w:separator/>
      </w:r>
    </w:p>
  </w:endnote>
  <w:endnote w:type="continuationSeparator" w:id="0">
    <w:p w14:paraId="48BA519A" w14:textId="77777777" w:rsidR="007A15DF" w:rsidRDefault="007A15DF">
      <w:r>
        <w:continuationSeparator/>
      </w:r>
    </w:p>
  </w:endnote>
  <w:endnote w:type="continuationNotice" w:id="1">
    <w:p w14:paraId="62742E96" w14:textId="77777777" w:rsidR="007A15DF" w:rsidRDefault="007A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1C1" w14:textId="48E04917" w:rsidR="000925C1" w:rsidRPr="00926DAE" w:rsidRDefault="000925C1" w:rsidP="009E0BC4">
    <w:pPr>
      <w:tabs>
        <w:tab w:val="center" w:pos="4513"/>
        <w:tab w:val="right" w:pos="9026"/>
      </w:tabs>
      <w:ind w:right="400"/>
      <w:rPr>
        <w:sz w:val="20"/>
        <w:szCs w:val="20"/>
      </w:rPr>
    </w:pPr>
    <w:r w:rsidRPr="00BF1CBC">
      <w:rPr>
        <w:color w:val="auto"/>
        <w:sz w:val="20"/>
        <w:szCs w:val="20"/>
      </w:rPr>
      <w:t xml:space="preserve">GAVRETO </w:t>
    </w:r>
    <w:r w:rsidR="00733C85">
      <w:rPr>
        <w:color w:val="auto"/>
        <w:sz w:val="20"/>
        <w:szCs w:val="20"/>
      </w:rPr>
      <w:t>20230</w:t>
    </w:r>
    <w:r w:rsidR="0088407D">
      <w:rPr>
        <w:color w:val="auto"/>
        <w:sz w:val="20"/>
        <w:szCs w:val="20"/>
      </w:rPr>
      <w:t xml:space="preserve">406                </w:t>
    </w:r>
    <w:r>
      <w:rPr>
        <w:sz w:val="20"/>
        <w:szCs w:val="20"/>
      </w:rPr>
      <w:t xml:space="preserve">                                                                                                                    </w:t>
    </w:r>
    <w:r w:rsidRPr="00CC6729">
      <w:rPr>
        <w:sz w:val="20"/>
        <w:szCs w:val="20"/>
      </w:rPr>
      <w:fldChar w:fldCharType="begin"/>
    </w:r>
    <w:r w:rsidRPr="00CC6729">
      <w:rPr>
        <w:sz w:val="20"/>
        <w:szCs w:val="20"/>
      </w:rPr>
      <w:instrText>PAGE</w:instrText>
    </w:r>
    <w:r w:rsidRPr="00CC6729">
      <w:rPr>
        <w:sz w:val="20"/>
        <w:szCs w:val="20"/>
      </w:rPr>
      <w:fldChar w:fldCharType="separate"/>
    </w:r>
    <w:r w:rsidR="00B274CB">
      <w:rPr>
        <w:noProof/>
        <w:sz w:val="20"/>
        <w:szCs w:val="20"/>
      </w:rPr>
      <w:t>20</w:t>
    </w:r>
    <w:r w:rsidRPr="00CC672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0277" w14:textId="629ADBAE" w:rsidR="000925C1" w:rsidRPr="00CC6729" w:rsidRDefault="000925C1" w:rsidP="00CC6729">
    <w:pPr>
      <w:tabs>
        <w:tab w:val="center" w:pos="4513"/>
        <w:tab w:val="right" w:pos="9026"/>
      </w:tabs>
      <w:rPr>
        <w:sz w:val="20"/>
        <w:szCs w:val="20"/>
      </w:rPr>
    </w:pPr>
    <w:r w:rsidRPr="009E0BC4">
      <w:rPr>
        <w:color w:val="auto"/>
        <w:sz w:val="20"/>
        <w:szCs w:val="20"/>
      </w:rPr>
      <w:t xml:space="preserve">GAVRETO </w:t>
    </w:r>
    <w:r>
      <w:rPr>
        <w:color w:val="auto"/>
        <w:sz w:val="20"/>
        <w:szCs w:val="20"/>
      </w:rPr>
      <w:t>2023</w:t>
    </w:r>
    <w:r w:rsidR="0088407D">
      <w:rPr>
        <w:color w:val="auto"/>
        <w:sz w:val="20"/>
        <w:szCs w:val="20"/>
      </w:rPr>
      <w:t xml:space="preserve">0406             </w:t>
    </w:r>
    <w:r w:rsidR="0091133A">
      <w:rPr>
        <w:sz w:val="20"/>
        <w:szCs w:val="20"/>
      </w:rPr>
      <w:t xml:space="preserve">                                                           </w:t>
    </w:r>
    <w:r w:rsidR="0088407D">
      <w:rPr>
        <w:sz w:val="20"/>
        <w:szCs w:val="20"/>
      </w:rPr>
      <w:t xml:space="preserve">                                                           </w:t>
    </w:r>
    <w:r w:rsidR="0091133A">
      <w:rPr>
        <w:sz w:val="20"/>
        <w:szCs w:val="20"/>
      </w:rPr>
      <w:t xml:space="preserve">     </w:t>
    </w:r>
    <w:r w:rsidRPr="00CC6729">
      <w:rPr>
        <w:sz w:val="20"/>
        <w:szCs w:val="20"/>
      </w:rPr>
      <w:fldChar w:fldCharType="begin"/>
    </w:r>
    <w:r w:rsidRPr="00CC6729">
      <w:rPr>
        <w:sz w:val="20"/>
        <w:szCs w:val="20"/>
      </w:rPr>
      <w:instrText>PAGE</w:instrText>
    </w:r>
    <w:r w:rsidRPr="00CC6729">
      <w:rPr>
        <w:sz w:val="20"/>
        <w:szCs w:val="20"/>
      </w:rPr>
      <w:fldChar w:fldCharType="separate"/>
    </w:r>
    <w:r w:rsidR="00B274CB">
      <w:rPr>
        <w:noProof/>
        <w:sz w:val="20"/>
        <w:szCs w:val="20"/>
      </w:rPr>
      <w:t>1</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9A62" w14:textId="77777777" w:rsidR="007A15DF" w:rsidRDefault="007A15DF">
      <w:r>
        <w:separator/>
      </w:r>
    </w:p>
  </w:footnote>
  <w:footnote w:type="continuationSeparator" w:id="0">
    <w:p w14:paraId="110AE3D4" w14:textId="77777777" w:rsidR="007A15DF" w:rsidRDefault="007A15DF">
      <w:r>
        <w:continuationSeparator/>
      </w:r>
    </w:p>
  </w:footnote>
  <w:footnote w:type="continuationNotice" w:id="1">
    <w:p w14:paraId="5CD5BF76" w14:textId="77777777" w:rsidR="007A15DF" w:rsidRDefault="007A1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9B08" w14:textId="77777777" w:rsidR="00A72BC5" w:rsidRDefault="00A72BC5">
    <w:pPr>
      <w:pStyle w:val="Header"/>
    </w:pPr>
  </w:p>
  <w:p w14:paraId="6258A023" w14:textId="77777777" w:rsidR="00A72BC5" w:rsidRDefault="00A72BC5">
    <w:pPr>
      <w:pStyle w:val="Header"/>
    </w:pPr>
  </w:p>
  <w:tbl>
    <w:tblPr>
      <w:tblStyle w:val="TableGrid"/>
      <w:tblW w:w="0" w:type="auto"/>
      <w:tblInd w:w="0" w:type="dxa"/>
      <w:shd w:val="clear" w:color="auto" w:fill="E4F2E0"/>
      <w:tblLook w:val="04A0" w:firstRow="1" w:lastRow="0" w:firstColumn="1" w:lastColumn="0" w:noHBand="0" w:noVBand="1"/>
    </w:tblPr>
    <w:tblGrid>
      <w:gridCol w:w="9016"/>
    </w:tblGrid>
    <w:tr w:rsidR="00A72BC5" w:rsidRPr="000B2145" w14:paraId="51E2A5F8" w14:textId="77777777" w:rsidTr="00A13B08">
      <w:trPr>
        <w:trHeight w:val="1012"/>
      </w:trPr>
      <w:tc>
        <w:tcPr>
          <w:tcW w:w="9039" w:type="dxa"/>
          <w:shd w:val="clear" w:color="auto" w:fill="E4F2E0"/>
        </w:tcPr>
        <w:p w14:paraId="374AF696" w14:textId="77777777" w:rsidR="00A72BC5" w:rsidRPr="000E4791" w:rsidRDefault="00A72BC5" w:rsidP="00A72BC5">
          <w:pPr>
            <w:pStyle w:val="Footer"/>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proofErr w:type="spellStart"/>
          <w:r w:rsidRPr="00426C45">
            <w:rPr>
              <w:b/>
              <w:sz w:val="18"/>
              <w:szCs w:val="18"/>
            </w:rPr>
            <w:t>Gavreto</w:t>
          </w:r>
          <w:proofErr w:type="spellEnd"/>
          <w:r w:rsidRPr="00426C45">
            <w:rPr>
              <w:b/>
              <w:sz w:val="18"/>
              <w:szCs w:val="18"/>
            </w:rPr>
            <w:t xml:space="preserve"> </w:t>
          </w:r>
          <w:r>
            <w:rPr>
              <w:b/>
              <w:sz w:val="18"/>
              <w:szCs w:val="18"/>
            </w:rPr>
            <w:t>–</w:t>
          </w:r>
          <w:r w:rsidRPr="00482FFF">
            <w:rPr>
              <w:b/>
              <w:sz w:val="18"/>
              <w:szCs w:val="18"/>
            </w:rPr>
            <w:t xml:space="preserve"> </w:t>
          </w:r>
          <w:proofErr w:type="spellStart"/>
          <w:r w:rsidRPr="00852C9E">
            <w:rPr>
              <w:b/>
              <w:sz w:val="18"/>
              <w:szCs w:val="18"/>
            </w:rPr>
            <w:t>Pralsetinib</w:t>
          </w:r>
          <w:proofErr w:type="spellEnd"/>
          <w:r w:rsidRPr="00852C9E">
            <w:rPr>
              <w:b/>
              <w:sz w:val="18"/>
              <w:szCs w:val="18"/>
            </w:rPr>
            <w:t xml:space="preserve"> </w:t>
          </w:r>
          <w:r>
            <w:rPr>
              <w:b/>
              <w:sz w:val="18"/>
              <w:szCs w:val="18"/>
            </w:rPr>
            <w:t>–</w:t>
          </w:r>
          <w:r w:rsidRPr="00482FFF">
            <w:rPr>
              <w:b/>
              <w:sz w:val="18"/>
              <w:szCs w:val="18"/>
            </w:rPr>
            <w:t xml:space="preserve"> </w:t>
          </w:r>
          <w:r w:rsidRPr="009864DF">
            <w:rPr>
              <w:b/>
              <w:sz w:val="18"/>
              <w:szCs w:val="18"/>
            </w:rPr>
            <w:t>Roche Products Pty Limited</w:t>
          </w:r>
          <w:r>
            <w:rPr>
              <w:b/>
              <w:sz w:val="18"/>
              <w:szCs w:val="18"/>
            </w:rPr>
            <w:t xml:space="preserve"> </w:t>
          </w:r>
          <w:r w:rsidRPr="00482FFF">
            <w:rPr>
              <w:b/>
              <w:sz w:val="18"/>
              <w:szCs w:val="18"/>
            </w:rPr>
            <w:t xml:space="preserve">- </w:t>
          </w:r>
          <w:r w:rsidRPr="005613D8">
            <w:rPr>
              <w:b/>
              <w:sz w:val="18"/>
              <w:szCs w:val="18"/>
            </w:rPr>
            <w:t>PM-2021-05762-1-4</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sidRPr="00EF0A57">
            <w:rPr>
              <w:b/>
              <w:sz w:val="18"/>
              <w:szCs w:val="18"/>
            </w:rPr>
            <w:t>26 October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25F4B185" w14:textId="77777777" w:rsidR="00A72BC5" w:rsidRDefault="00A72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CC71" w14:textId="77777777" w:rsidR="000925C1" w:rsidRDefault="000925C1" w:rsidP="00A72BC5"/>
  <w:p w14:paraId="6702E626" w14:textId="77777777" w:rsidR="00A72BC5" w:rsidRDefault="00A72BC5" w:rsidP="00A72BC5"/>
  <w:tbl>
    <w:tblPr>
      <w:tblStyle w:val="TableGrid"/>
      <w:tblW w:w="0" w:type="auto"/>
      <w:tblInd w:w="0" w:type="dxa"/>
      <w:shd w:val="clear" w:color="auto" w:fill="E4F2E0"/>
      <w:tblLook w:val="04A0" w:firstRow="1" w:lastRow="0" w:firstColumn="1" w:lastColumn="0" w:noHBand="0" w:noVBand="1"/>
    </w:tblPr>
    <w:tblGrid>
      <w:gridCol w:w="9016"/>
    </w:tblGrid>
    <w:tr w:rsidR="00A72BC5" w:rsidRPr="000B2145" w14:paraId="0740C895" w14:textId="77777777" w:rsidTr="00A13B08">
      <w:trPr>
        <w:trHeight w:val="1012"/>
      </w:trPr>
      <w:tc>
        <w:tcPr>
          <w:tcW w:w="9039" w:type="dxa"/>
          <w:shd w:val="clear" w:color="auto" w:fill="E4F2E0"/>
        </w:tcPr>
        <w:p w14:paraId="68AB1B3C" w14:textId="77777777" w:rsidR="00A72BC5" w:rsidRPr="000E4791" w:rsidRDefault="00A72BC5" w:rsidP="00A72BC5">
          <w:pPr>
            <w:pStyle w:val="Footer"/>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proofErr w:type="spellStart"/>
          <w:r w:rsidRPr="00426C45">
            <w:rPr>
              <w:b/>
              <w:sz w:val="18"/>
              <w:szCs w:val="18"/>
            </w:rPr>
            <w:t>Gavreto</w:t>
          </w:r>
          <w:proofErr w:type="spellEnd"/>
          <w:r w:rsidRPr="00426C45">
            <w:rPr>
              <w:b/>
              <w:sz w:val="18"/>
              <w:szCs w:val="18"/>
            </w:rPr>
            <w:t xml:space="preserve"> </w:t>
          </w:r>
          <w:r>
            <w:rPr>
              <w:b/>
              <w:sz w:val="18"/>
              <w:szCs w:val="18"/>
            </w:rPr>
            <w:t>–</w:t>
          </w:r>
          <w:r w:rsidRPr="00482FFF">
            <w:rPr>
              <w:b/>
              <w:sz w:val="18"/>
              <w:szCs w:val="18"/>
            </w:rPr>
            <w:t xml:space="preserve"> </w:t>
          </w:r>
          <w:proofErr w:type="spellStart"/>
          <w:r w:rsidRPr="00852C9E">
            <w:rPr>
              <w:b/>
              <w:sz w:val="18"/>
              <w:szCs w:val="18"/>
            </w:rPr>
            <w:t>Pralsetinib</w:t>
          </w:r>
          <w:proofErr w:type="spellEnd"/>
          <w:r w:rsidRPr="00852C9E">
            <w:rPr>
              <w:b/>
              <w:sz w:val="18"/>
              <w:szCs w:val="18"/>
            </w:rPr>
            <w:t xml:space="preserve"> </w:t>
          </w:r>
          <w:r>
            <w:rPr>
              <w:b/>
              <w:sz w:val="18"/>
              <w:szCs w:val="18"/>
            </w:rPr>
            <w:t>–</w:t>
          </w:r>
          <w:r w:rsidRPr="00482FFF">
            <w:rPr>
              <w:b/>
              <w:sz w:val="18"/>
              <w:szCs w:val="18"/>
            </w:rPr>
            <w:t xml:space="preserve"> </w:t>
          </w:r>
          <w:r w:rsidRPr="009864DF">
            <w:rPr>
              <w:b/>
              <w:sz w:val="18"/>
              <w:szCs w:val="18"/>
            </w:rPr>
            <w:t>Roche Products Pty Limited</w:t>
          </w:r>
          <w:r>
            <w:rPr>
              <w:b/>
              <w:sz w:val="18"/>
              <w:szCs w:val="18"/>
            </w:rPr>
            <w:t xml:space="preserve"> </w:t>
          </w:r>
          <w:r w:rsidRPr="00482FFF">
            <w:rPr>
              <w:b/>
              <w:sz w:val="18"/>
              <w:szCs w:val="18"/>
            </w:rPr>
            <w:t xml:space="preserve">- </w:t>
          </w:r>
          <w:r w:rsidRPr="005613D8">
            <w:rPr>
              <w:b/>
              <w:sz w:val="18"/>
              <w:szCs w:val="18"/>
            </w:rPr>
            <w:t>PM-2021-05762-1-4</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sidRPr="00EF0A57">
            <w:rPr>
              <w:b/>
              <w:sz w:val="18"/>
              <w:szCs w:val="18"/>
            </w:rPr>
            <w:t>26 October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51C0B34B" w14:textId="77777777" w:rsidR="00A72BC5" w:rsidRDefault="00A72BC5" w:rsidP="00A72B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53715A16"/>
    <w:multiLevelType w:val="hybridMultilevel"/>
    <w:tmpl w:val="7DA6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6427864">
    <w:abstractNumId w:val="4"/>
  </w:num>
  <w:num w:numId="2" w16cid:durableId="1824858649">
    <w:abstractNumId w:val="1"/>
  </w:num>
  <w:num w:numId="3" w16cid:durableId="289367044">
    <w:abstractNumId w:val="0"/>
  </w:num>
  <w:num w:numId="4" w16cid:durableId="1883899237">
    <w:abstractNumId w:val="3"/>
  </w:num>
  <w:num w:numId="5" w16cid:durableId="1711759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B"/>
    <w:rsid w:val="000035EB"/>
    <w:rsid w:val="00020FF3"/>
    <w:rsid w:val="000266AA"/>
    <w:rsid w:val="00031721"/>
    <w:rsid w:val="00035873"/>
    <w:rsid w:val="00045105"/>
    <w:rsid w:val="00053663"/>
    <w:rsid w:val="000749E1"/>
    <w:rsid w:val="000925C1"/>
    <w:rsid w:val="00095A55"/>
    <w:rsid w:val="000A1BB4"/>
    <w:rsid w:val="000A665B"/>
    <w:rsid w:val="000B2D6F"/>
    <w:rsid w:val="000B779C"/>
    <w:rsid w:val="000C4F31"/>
    <w:rsid w:val="000C7595"/>
    <w:rsid w:val="000D2550"/>
    <w:rsid w:val="000E2E73"/>
    <w:rsid w:val="00114A4D"/>
    <w:rsid w:val="0011694A"/>
    <w:rsid w:val="00121E9F"/>
    <w:rsid w:val="001234ED"/>
    <w:rsid w:val="001305E9"/>
    <w:rsid w:val="00140BC4"/>
    <w:rsid w:val="00153B5F"/>
    <w:rsid w:val="001616A3"/>
    <w:rsid w:val="00161BD6"/>
    <w:rsid w:val="001623DD"/>
    <w:rsid w:val="0016247A"/>
    <w:rsid w:val="00177498"/>
    <w:rsid w:val="00177D8C"/>
    <w:rsid w:val="00177EE7"/>
    <w:rsid w:val="00184203"/>
    <w:rsid w:val="001A0C8D"/>
    <w:rsid w:val="001E2087"/>
    <w:rsid w:val="001F26D2"/>
    <w:rsid w:val="00205A38"/>
    <w:rsid w:val="00210998"/>
    <w:rsid w:val="00213084"/>
    <w:rsid w:val="00213ABE"/>
    <w:rsid w:val="002310C2"/>
    <w:rsid w:val="00233F9C"/>
    <w:rsid w:val="002732ED"/>
    <w:rsid w:val="002909E4"/>
    <w:rsid w:val="00290B34"/>
    <w:rsid w:val="002A2003"/>
    <w:rsid w:val="002C16C1"/>
    <w:rsid w:val="002C7A57"/>
    <w:rsid w:val="002D268D"/>
    <w:rsid w:val="002D2A61"/>
    <w:rsid w:val="002E05F6"/>
    <w:rsid w:val="00302709"/>
    <w:rsid w:val="003075C4"/>
    <w:rsid w:val="003169DE"/>
    <w:rsid w:val="0032221F"/>
    <w:rsid w:val="00351950"/>
    <w:rsid w:val="00363C7F"/>
    <w:rsid w:val="00373930"/>
    <w:rsid w:val="0037495B"/>
    <w:rsid w:val="003760C0"/>
    <w:rsid w:val="00392BFB"/>
    <w:rsid w:val="003933BD"/>
    <w:rsid w:val="003A138D"/>
    <w:rsid w:val="003A7D42"/>
    <w:rsid w:val="003D0C3B"/>
    <w:rsid w:val="003D2168"/>
    <w:rsid w:val="003D32BB"/>
    <w:rsid w:val="003D6C17"/>
    <w:rsid w:val="003E51CC"/>
    <w:rsid w:val="003F2838"/>
    <w:rsid w:val="003F4DF6"/>
    <w:rsid w:val="003F78CA"/>
    <w:rsid w:val="00404311"/>
    <w:rsid w:val="00406D36"/>
    <w:rsid w:val="00407592"/>
    <w:rsid w:val="00407719"/>
    <w:rsid w:val="00413B23"/>
    <w:rsid w:val="00420623"/>
    <w:rsid w:val="0043223B"/>
    <w:rsid w:val="00433B6C"/>
    <w:rsid w:val="00446138"/>
    <w:rsid w:val="004556D2"/>
    <w:rsid w:val="004667E1"/>
    <w:rsid w:val="004712BE"/>
    <w:rsid w:val="004723BB"/>
    <w:rsid w:val="00484BE8"/>
    <w:rsid w:val="004852F5"/>
    <w:rsid w:val="004A4DE8"/>
    <w:rsid w:val="004C4281"/>
    <w:rsid w:val="004E5EBA"/>
    <w:rsid w:val="004F1432"/>
    <w:rsid w:val="00513230"/>
    <w:rsid w:val="00517995"/>
    <w:rsid w:val="00525913"/>
    <w:rsid w:val="005406B9"/>
    <w:rsid w:val="005470B2"/>
    <w:rsid w:val="00554474"/>
    <w:rsid w:val="00564F38"/>
    <w:rsid w:val="0058141F"/>
    <w:rsid w:val="005904B8"/>
    <w:rsid w:val="00594C19"/>
    <w:rsid w:val="005A0695"/>
    <w:rsid w:val="005A2864"/>
    <w:rsid w:val="005A28DA"/>
    <w:rsid w:val="005B3EEA"/>
    <w:rsid w:val="005C2A8A"/>
    <w:rsid w:val="005C3599"/>
    <w:rsid w:val="005E182E"/>
    <w:rsid w:val="005E400C"/>
    <w:rsid w:val="005F5D87"/>
    <w:rsid w:val="005F64E1"/>
    <w:rsid w:val="00601523"/>
    <w:rsid w:val="0060329B"/>
    <w:rsid w:val="00603484"/>
    <w:rsid w:val="006077A2"/>
    <w:rsid w:val="00615052"/>
    <w:rsid w:val="0061692C"/>
    <w:rsid w:val="00617AF1"/>
    <w:rsid w:val="0062200E"/>
    <w:rsid w:val="00624397"/>
    <w:rsid w:val="00634067"/>
    <w:rsid w:val="006421C6"/>
    <w:rsid w:val="00644D3D"/>
    <w:rsid w:val="00664060"/>
    <w:rsid w:val="00665CB2"/>
    <w:rsid w:val="00670EEF"/>
    <w:rsid w:val="00674CFD"/>
    <w:rsid w:val="0067686C"/>
    <w:rsid w:val="006843F9"/>
    <w:rsid w:val="0068601A"/>
    <w:rsid w:val="006967ED"/>
    <w:rsid w:val="006B75A4"/>
    <w:rsid w:val="006C73C2"/>
    <w:rsid w:val="006D11CD"/>
    <w:rsid w:val="006E61A1"/>
    <w:rsid w:val="006E6A76"/>
    <w:rsid w:val="006F052E"/>
    <w:rsid w:val="00702018"/>
    <w:rsid w:val="0070362F"/>
    <w:rsid w:val="00720C98"/>
    <w:rsid w:val="00733C85"/>
    <w:rsid w:val="00751FE0"/>
    <w:rsid w:val="0075559B"/>
    <w:rsid w:val="007577EC"/>
    <w:rsid w:val="007622FB"/>
    <w:rsid w:val="007651C1"/>
    <w:rsid w:val="0077424E"/>
    <w:rsid w:val="00781FBE"/>
    <w:rsid w:val="00793212"/>
    <w:rsid w:val="007A15DF"/>
    <w:rsid w:val="007A706E"/>
    <w:rsid w:val="007B38B4"/>
    <w:rsid w:val="00811FEA"/>
    <w:rsid w:val="00827F71"/>
    <w:rsid w:val="00834C48"/>
    <w:rsid w:val="008431F5"/>
    <w:rsid w:val="0084776C"/>
    <w:rsid w:val="008528E8"/>
    <w:rsid w:val="0086361F"/>
    <w:rsid w:val="0087549F"/>
    <w:rsid w:val="0088407D"/>
    <w:rsid w:val="008903F2"/>
    <w:rsid w:val="00891BCA"/>
    <w:rsid w:val="008955B6"/>
    <w:rsid w:val="00896CDA"/>
    <w:rsid w:val="008A581F"/>
    <w:rsid w:val="008B223A"/>
    <w:rsid w:val="008D30F9"/>
    <w:rsid w:val="008D412A"/>
    <w:rsid w:val="008D7392"/>
    <w:rsid w:val="008E0232"/>
    <w:rsid w:val="008F3947"/>
    <w:rsid w:val="00902EBE"/>
    <w:rsid w:val="0091133A"/>
    <w:rsid w:val="00926DAE"/>
    <w:rsid w:val="009316A1"/>
    <w:rsid w:val="00980790"/>
    <w:rsid w:val="00981701"/>
    <w:rsid w:val="00986453"/>
    <w:rsid w:val="00997AAF"/>
    <w:rsid w:val="009B3628"/>
    <w:rsid w:val="009B7207"/>
    <w:rsid w:val="009C357B"/>
    <w:rsid w:val="009E0BC4"/>
    <w:rsid w:val="009E5714"/>
    <w:rsid w:val="009F4C5B"/>
    <w:rsid w:val="00A01A37"/>
    <w:rsid w:val="00A12CF0"/>
    <w:rsid w:val="00A15F57"/>
    <w:rsid w:val="00A21DC3"/>
    <w:rsid w:val="00A23C7C"/>
    <w:rsid w:val="00A32FCC"/>
    <w:rsid w:val="00A3616E"/>
    <w:rsid w:val="00A363EE"/>
    <w:rsid w:val="00A42A78"/>
    <w:rsid w:val="00A536D4"/>
    <w:rsid w:val="00A5551E"/>
    <w:rsid w:val="00A6055E"/>
    <w:rsid w:val="00A64CD0"/>
    <w:rsid w:val="00A72BC5"/>
    <w:rsid w:val="00A76A37"/>
    <w:rsid w:val="00A8585F"/>
    <w:rsid w:val="00A87EB1"/>
    <w:rsid w:val="00A91EEC"/>
    <w:rsid w:val="00AA4860"/>
    <w:rsid w:val="00AA60D3"/>
    <w:rsid w:val="00AA7BC6"/>
    <w:rsid w:val="00AB2F0A"/>
    <w:rsid w:val="00AC5B15"/>
    <w:rsid w:val="00AD7105"/>
    <w:rsid w:val="00AE34B2"/>
    <w:rsid w:val="00AE4C21"/>
    <w:rsid w:val="00AF3FFA"/>
    <w:rsid w:val="00B029BF"/>
    <w:rsid w:val="00B02BF2"/>
    <w:rsid w:val="00B11030"/>
    <w:rsid w:val="00B1134D"/>
    <w:rsid w:val="00B1498F"/>
    <w:rsid w:val="00B23C63"/>
    <w:rsid w:val="00B274CB"/>
    <w:rsid w:val="00B32AA9"/>
    <w:rsid w:val="00B35909"/>
    <w:rsid w:val="00B35A34"/>
    <w:rsid w:val="00B421E9"/>
    <w:rsid w:val="00B46A72"/>
    <w:rsid w:val="00B5381F"/>
    <w:rsid w:val="00B562EB"/>
    <w:rsid w:val="00B73BF2"/>
    <w:rsid w:val="00B754A1"/>
    <w:rsid w:val="00B769BE"/>
    <w:rsid w:val="00B903BF"/>
    <w:rsid w:val="00B92E5D"/>
    <w:rsid w:val="00B93B81"/>
    <w:rsid w:val="00B94DA3"/>
    <w:rsid w:val="00B967E5"/>
    <w:rsid w:val="00BA0878"/>
    <w:rsid w:val="00BB2798"/>
    <w:rsid w:val="00BF0303"/>
    <w:rsid w:val="00BF1CBC"/>
    <w:rsid w:val="00C01995"/>
    <w:rsid w:val="00C07BFD"/>
    <w:rsid w:val="00C114D0"/>
    <w:rsid w:val="00C2117C"/>
    <w:rsid w:val="00C21DCB"/>
    <w:rsid w:val="00C22081"/>
    <w:rsid w:val="00C24A7B"/>
    <w:rsid w:val="00C425BC"/>
    <w:rsid w:val="00C472A3"/>
    <w:rsid w:val="00C52055"/>
    <w:rsid w:val="00C55FD9"/>
    <w:rsid w:val="00C568D3"/>
    <w:rsid w:val="00C7067C"/>
    <w:rsid w:val="00C73271"/>
    <w:rsid w:val="00C75BE3"/>
    <w:rsid w:val="00C77189"/>
    <w:rsid w:val="00C775BD"/>
    <w:rsid w:val="00C80F64"/>
    <w:rsid w:val="00C92DFA"/>
    <w:rsid w:val="00C9369C"/>
    <w:rsid w:val="00C96D3B"/>
    <w:rsid w:val="00C97612"/>
    <w:rsid w:val="00CB6D43"/>
    <w:rsid w:val="00CC4CF2"/>
    <w:rsid w:val="00CC6729"/>
    <w:rsid w:val="00CD0077"/>
    <w:rsid w:val="00CD70FC"/>
    <w:rsid w:val="00CF1AAF"/>
    <w:rsid w:val="00CF3BFF"/>
    <w:rsid w:val="00D05BF9"/>
    <w:rsid w:val="00D128EC"/>
    <w:rsid w:val="00D277F3"/>
    <w:rsid w:val="00D32550"/>
    <w:rsid w:val="00D328DE"/>
    <w:rsid w:val="00D449CC"/>
    <w:rsid w:val="00D51AAF"/>
    <w:rsid w:val="00D52399"/>
    <w:rsid w:val="00D60776"/>
    <w:rsid w:val="00D67844"/>
    <w:rsid w:val="00D7275F"/>
    <w:rsid w:val="00D9468E"/>
    <w:rsid w:val="00DA0EF1"/>
    <w:rsid w:val="00DA2272"/>
    <w:rsid w:val="00DA6F55"/>
    <w:rsid w:val="00DB7BBC"/>
    <w:rsid w:val="00DC78CE"/>
    <w:rsid w:val="00DC7D51"/>
    <w:rsid w:val="00DE3A9D"/>
    <w:rsid w:val="00DF235A"/>
    <w:rsid w:val="00E21CCD"/>
    <w:rsid w:val="00E21FC5"/>
    <w:rsid w:val="00E23185"/>
    <w:rsid w:val="00E44B26"/>
    <w:rsid w:val="00E51DC8"/>
    <w:rsid w:val="00E52747"/>
    <w:rsid w:val="00E54A1B"/>
    <w:rsid w:val="00E7214A"/>
    <w:rsid w:val="00E74323"/>
    <w:rsid w:val="00E76E30"/>
    <w:rsid w:val="00E83125"/>
    <w:rsid w:val="00E8439C"/>
    <w:rsid w:val="00EA6018"/>
    <w:rsid w:val="00EB42A3"/>
    <w:rsid w:val="00EB57CA"/>
    <w:rsid w:val="00EB7BA0"/>
    <w:rsid w:val="00ED17FA"/>
    <w:rsid w:val="00ED3A94"/>
    <w:rsid w:val="00EF65C6"/>
    <w:rsid w:val="00F00DE1"/>
    <w:rsid w:val="00F01634"/>
    <w:rsid w:val="00F01C39"/>
    <w:rsid w:val="00F03855"/>
    <w:rsid w:val="00F05F6B"/>
    <w:rsid w:val="00F076C1"/>
    <w:rsid w:val="00F11049"/>
    <w:rsid w:val="00F13D3A"/>
    <w:rsid w:val="00F32269"/>
    <w:rsid w:val="00F36D76"/>
    <w:rsid w:val="00F40F29"/>
    <w:rsid w:val="00F43017"/>
    <w:rsid w:val="00F477E2"/>
    <w:rsid w:val="00F5220C"/>
    <w:rsid w:val="00F564E5"/>
    <w:rsid w:val="00F804EF"/>
    <w:rsid w:val="00F855A6"/>
    <w:rsid w:val="00F860B8"/>
    <w:rsid w:val="00FC4099"/>
    <w:rsid w:val="00FD40B4"/>
    <w:rsid w:val="00FF281A"/>
    <w:rsid w:val="00FF39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FEF2"/>
  <w15:docId w15:val="{5A6B33A3-EA53-462A-B65A-054F30F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qFormat/>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12+,Caption 12pt,Caption 12pt+,Caption 3,Caption Char Char,Caption Char Char Char,Caption Char Char Char Char,Caption Char Char1,Caption Char1,Caption Char1 Char Char,Char,Courier New Body,Table,Table Caption"/>
    <w:basedOn w:val="Normal"/>
    <w:next w:val="Normal"/>
    <w:link w:val="CaptionChar"/>
    <w:unhideWhenUsed/>
    <w:qFormat/>
    <w:rsid w:val="00DB7BBC"/>
    <w:pPr>
      <w:spacing w:after="200"/>
    </w:pPr>
    <w:rPr>
      <w:iCs/>
      <w:color w:val="auto"/>
      <w:sz w:val="22"/>
      <w:szCs w:val="18"/>
    </w:rPr>
  </w:style>
  <w:style w:type="character" w:styleId="CommentReference">
    <w:name w:val="annotation reference"/>
    <w:basedOn w:val="DefaultParagraphFont"/>
    <w:uiPriority w:val="99"/>
    <w:semiHidden/>
    <w:unhideWhenUsed/>
    <w:rsid w:val="00C97612"/>
    <w:rPr>
      <w:sz w:val="16"/>
      <w:szCs w:val="16"/>
    </w:rPr>
  </w:style>
  <w:style w:type="paragraph" w:styleId="CommentText">
    <w:name w:val="annotation text"/>
    <w:aliases w:val=" Car17, Car17 Car,Annotationtext,Char Char Char,Char Char1,Comment Text Char Char,Comment Text Char Char Char Char,Comment Text Char Char1,Comment Text Char1,Comment Text Char1 Char,Comment Text Char1 Char Char"/>
    <w:basedOn w:val="Normal"/>
    <w:link w:val="CommentTextChar"/>
    <w:unhideWhenUsed/>
    <w:qFormat/>
    <w:rsid w:val="00C97612"/>
    <w:rPr>
      <w:sz w:val="20"/>
      <w:szCs w:val="20"/>
    </w:rPr>
  </w:style>
  <w:style w:type="character" w:customStyle="1" w:styleId="CommentTextChar">
    <w:name w:val="Comment Text Char"/>
    <w:aliases w:val=" Car17 Char, Car17 Car Char,Annotationtext Char,Char Char Char Char,Char Char1 Char,Comment Text Char Char Char,Comment Text Char Char Char Char Char,Comment Text Char Char1 Char,Comment Text Char1 Char1,Comment Text Char1 Char Char1"/>
    <w:basedOn w:val="DefaultParagraphFont"/>
    <w:link w:val="CommentText"/>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C-TableHeader">
    <w:name w:val="C-Table Header"/>
    <w:next w:val="C-TableText"/>
    <w:rsid w:val="00B421E9"/>
    <w:pPr>
      <w:keepNext/>
      <w:pBdr>
        <w:top w:val="none" w:sz="0" w:space="0" w:color="auto"/>
        <w:left w:val="none" w:sz="0" w:space="0" w:color="auto"/>
        <w:bottom w:val="none" w:sz="0" w:space="0" w:color="auto"/>
        <w:right w:val="none" w:sz="0" w:space="0" w:color="auto"/>
        <w:between w:val="none" w:sz="0" w:space="0" w:color="auto"/>
      </w:pBdr>
      <w:spacing w:before="60" w:after="60"/>
    </w:pPr>
    <w:rPr>
      <w:b/>
      <w:color w:val="auto"/>
      <w:sz w:val="22"/>
      <w:szCs w:val="20"/>
      <w:lang w:val="en-US" w:eastAsia="en-US"/>
    </w:rPr>
  </w:style>
  <w:style w:type="paragraph" w:customStyle="1" w:styleId="C-TableText">
    <w:name w:val="C-Table Text"/>
    <w:link w:val="C-TableTextChar"/>
    <w:rsid w:val="00B421E9"/>
    <w:pPr>
      <w:pBdr>
        <w:top w:val="none" w:sz="0" w:space="0" w:color="auto"/>
        <w:left w:val="none" w:sz="0" w:space="0" w:color="auto"/>
        <w:bottom w:val="none" w:sz="0" w:space="0" w:color="auto"/>
        <w:right w:val="none" w:sz="0" w:space="0" w:color="auto"/>
        <w:between w:val="none" w:sz="0" w:space="0" w:color="auto"/>
      </w:pBdr>
      <w:spacing w:before="60" w:after="60"/>
    </w:pPr>
    <w:rPr>
      <w:color w:val="auto"/>
      <w:sz w:val="22"/>
      <w:szCs w:val="20"/>
      <w:lang w:val="en-US" w:eastAsia="en-US"/>
    </w:rPr>
  </w:style>
  <w:style w:type="character" w:customStyle="1" w:styleId="C-TableTextChar">
    <w:name w:val="C-Table Text Char"/>
    <w:basedOn w:val="DefaultParagraphFont"/>
    <w:link w:val="C-TableText"/>
    <w:rsid w:val="00B421E9"/>
    <w:rPr>
      <w:color w:val="auto"/>
      <w:sz w:val="22"/>
      <w:szCs w:val="20"/>
      <w:lang w:val="en-US" w:eastAsia="en-US"/>
    </w:rPr>
  </w:style>
  <w:style w:type="paragraph" w:customStyle="1" w:styleId="C-BodyText">
    <w:name w:val="C-Body Text"/>
    <w:link w:val="C-BodyTextChar"/>
    <w:rsid w:val="00B421E9"/>
    <w:pPr>
      <w:pBdr>
        <w:top w:val="none" w:sz="0" w:space="0" w:color="auto"/>
        <w:left w:val="none" w:sz="0" w:space="0" w:color="auto"/>
        <w:bottom w:val="none" w:sz="0" w:space="0" w:color="auto"/>
        <w:right w:val="none" w:sz="0" w:space="0" w:color="auto"/>
        <w:between w:val="none" w:sz="0" w:space="0" w:color="auto"/>
      </w:pBdr>
      <w:spacing w:before="120" w:after="120" w:line="280" w:lineRule="atLeast"/>
    </w:pPr>
    <w:rPr>
      <w:color w:val="auto"/>
      <w:szCs w:val="20"/>
      <w:lang w:val="en-US" w:eastAsia="en-US"/>
    </w:rPr>
  </w:style>
  <w:style w:type="character" w:customStyle="1" w:styleId="C-BodyTextChar">
    <w:name w:val="C-Body Text Char"/>
    <w:link w:val="C-BodyText"/>
    <w:rsid w:val="00B421E9"/>
    <w:rPr>
      <w:color w:val="auto"/>
      <w:szCs w:val="20"/>
      <w:lang w:val="en-US" w:eastAsia="en-US"/>
    </w:rPr>
  </w:style>
  <w:style w:type="character" w:customStyle="1" w:styleId="C-TableCallout">
    <w:name w:val="C-Table Callout"/>
    <w:rsid w:val="00B421E9"/>
    <w:rPr>
      <w:rFonts w:ascii="Times New Roman" w:hAnsi="Times New Roman"/>
      <w:dstrike w:val="0"/>
      <w:color w:val="auto"/>
      <w:spacing w:val="0"/>
      <w:w w:val="100"/>
      <w:position w:val="-1"/>
      <w:sz w:val="22"/>
      <w:szCs w:val="22"/>
      <w:u w:val="none"/>
      <w:effect w:val="none"/>
      <w:vertAlign w:val="superscript"/>
    </w:rPr>
  </w:style>
  <w:style w:type="paragraph" w:customStyle="1" w:styleId="TableCell10Left">
    <w:name w:val="Table Cell 10 Left"/>
    <w:basedOn w:val="Normal"/>
    <w:rsid w:val="003D6C17"/>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character" w:customStyle="1" w:styleId="CaptionChar">
    <w:name w:val="Caption Char"/>
    <w:aliases w:val="12 Char,12+ Char,Caption 12pt Char,Caption 12pt+ Char,Caption 3 Char,Caption Char Char Char1,Caption Char Char Char Char1,Caption Char Char Char Char Char,Caption Char Char1 Char,Caption Char1 Char,Caption Char1 Char Char Char,Char Char"/>
    <w:link w:val="Caption"/>
    <w:locked/>
    <w:rsid w:val="003D6C17"/>
    <w:rPr>
      <w:iCs/>
      <w:color w:val="auto"/>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RegANZ\Templates\Product%20Information\Data%20Sheet%20and%20Product%20Information%20(DSPI)%20Template-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7AEC-41DC-42BE-AD51-CC3DBB22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Sheet and Product Information (DSPI) Template-v5.dotx</Template>
  <TotalTime>13</TotalTime>
  <Pages>22</Pages>
  <Words>7171</Words>
  <Characters>40737</Characters>
  <Application>Microsoft Office Word</Application>
  <DocSecurity>0</DocSecurity>
  <Lines>905</Lines>
  <Paragraphs>570</Paragraphs>
  <ScaleCrop>false</ScaleCrop>
  <HeadingPairs>
    <vt:vector size="2" baseType="variant">
      <vt:variant>
        <vt:lpstr>Title</vt:lpstr>
      </vt:variant>
      <vt:variant>
        <vt:i4>1</vt:i4>
      </vt:variant>
    </vt:vector>
  </HeadingPairs>
  <TitlesOfParts>
    <vt:vector size="1" baseType="lpstr">
      <vt:lpstr>AusPAR Attachment 1: Product Information for Gavreto</vt:lpstr>
    </vt:vector>
  </TitlesOfParts>
  <Company>Therapeutic Goods Administration, Department of Health and Aged Care</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Gavreto</dc:title>
  <dc:subject>Prescription medicines</dc:subject>
  <dc:creator>Roche Products Pty Limited </dc:creator>
  <cp:revision>35</cp:revision>
  <dcterms:created xsi:type="dcterms:W3CDTF">2023-10-30T01:36:00Z</dcterms:created>
  <dcterms:modified xsi:type="dcterms:W3CDTF">2023-10-30T01:51:00Z</dcterms:modified>
</cp:coreProperties>
</file>