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173F" w14:textId="4172BA09" w:rsidR="00375DF3" w:rsidRPr="000E1342" w:rsidRDefault="00375DF3" w:rsidP="006018AE">
      <w:pPr>
        <w:tabs>
          <w:tab w:val="left" w:pos="284"/>
        </w:tabs>
        <w:spacing w:after="480" w:line="240" w:lineRule="auto"/>
        <w:rPr>
          <w:rFonts w:asciiTheme="majorBidi" w:hAnsiTheme="majorBidi" w:cstheme="majorBidi"/>
          <w:sz w:val="24"/>
          <w:szCs w:val="24"/>
        </w:rPr>
      </w:pPr>
      <w:r w:rsidRPr="000E1342">
        <w:rPr>
          <w:rFonts w:asciiTheme="majorBidi" w:hAnsiTheme="majorBidi" w:cstheme="majorBidi"/>
          <w:noProof/>
          <w:sz w:val="24"/>
          <w:szCs w:val="24"/>
          <w:lang w:eastAsia="en-AU"/>
        </w:rPr>
        <mc:AlternateContent>
          <mc:Choice Requires="wps">
            <w:drawing>
              <wp:inline distT="0" distB="0" distL="0" distR="0" wp14:anchorId="3EC8B37E" wp14:editId="349ACB61">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F975F" w14:textId="77777777" w:rsidR="00CA3EE1" w:rsidRPr="00BE2A26" w:rsidRDefault="00CA3EE1"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EC8B37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517F975F" w14:textId="77777777" w:rsidR="00CA3EE1" w:rsidRPr="00BE2A26" w:rsidRDefault="00CA3EE1"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0E1342">
        <w:rPr>
          <w:rFonts w:asciiTheme="majorBidi" w:hAnsiTheme="majorBidi" w:cstheme="majorBidi"/>
          <w:sz w:val="24"/>
          <w:szCs w:val="24"/>
        </w:rPr>
        <w:t xml:space="preserve">This medicinal product is subject to additional monitoring in Australia. This will allow quick identification of new safety information. Healthcare professionals are asked to report any suspected adverse events at </w:t>
      </w:r>
      <w:r w:rsidR="00ED73B7" w:rsidRPr="00ED73B7">
        <w:rPr>
          <w:rFonts w:asciiTheme="majorBidi" w:hAnsiTheme="majorBidi" w:cstheme="majorBidi"/>
          <w:sz w:val="24"/>
          <w:szCs w:val="24"/>
        </w:rPr>
        <w:t>www.tga.gov.au/reporting-problems</w:t>
      </w:r>
      <w:r w:rsidRPr="000E1342">
        <w:rPr>
          <w:rFonts w:asciiTheme="majorBidi" w:hAnsiTheme="majorBidi" w:cstheme="majorBidi"/>
          <w:sz w:val="24"/>
          <w:szCs w:val="24"/>
        </w:rPr>
        <w:t>.</w:t>
      </w:r>
    </w:p>
    <w:p w14:paraId="166B8F2D" w14:textId="424F2ED2" w:rsidR="00087945" w:rsidRPr="000E1342" w:rsidRDefault="006018AE" w:rsidP="00087945">
      <w:pPr>
        <w:pStyle w:val="Heading1"/>
        <w:numPr>
          <w:ilvl w:val="0"/>
          <w:numId w:val="0"/>
        </w:numPr>
        <w:spacing w:after="240"/>
        <w:jc w:val="center"/>
        <w:rPr>
          <w:rFonts w:asciiTheme="majorBidi" w:eastAsia="SimSun" w:hAnsiTheme="majorBidi"/>
        </w:rPr>
      </w:pPr>
      <w:r w:rsidRPr="000E1342">
        <w:rPr>
          <w:rFonts w:asciiTheme="majorBidi" w:eastAsia="SimSun" w:hAnsiTheme="majorBidi"/>
        </w:rPr>
        <w:t>Australian P</w:t>
      </w:r>
      <w:r w:rsidR="0021200F" w:rsidRPr="000E1342">
        <w:rPr>
          <w:rFonts w:asciiTheme="majorBidi" w:eastAsia="SimSun" w:hAnsiTheme="majorBidi"/>
        </w:rPr>
        <w:t xml:space="preserve">roduct </w:t>
      </w:r>
      <w:r w:rsidRPr="000E1342">
        <w:rPr>
          <w:rFonts w:asciiTheme="majorBidi" w:eastAsia="SimSun" w:hAnsiTheme="majorBidi"/>
        </w:rPr>
        <w:t>I</w:t>
      </w:r>
      <w:r w:rsidR="0021200F" w:rsidRPr="000E1342">
        <w:rPr>
          <w:rFonts w:asciiTheme="majorBidi" w:eastAsia="SimSun" w:hAnsiTheme="majorBidi"/>
        </w:rPr>
        <w:t>nformation</w:t>
      </w:r>
      <w:r w:rsidR="00B45199">
        <w:rPr>
          <w:rFonts w:asciiTheme="majorBidi" w:eastAsia="SimSun" w:hAnsiTheme="majorBidi"/>
        </w:rPr>
        <w:fldChar w:fldCharType="begin"/>
      </w:r>
      <w:r w:rsidR="00B45199">
        <w:rPr>
          <w:rFonts w:asciiTheme="majorBidi" w:eastAsia="SimSun" w:hAnsiTheme="majorBidi"/>
        </w:rPr>
        <w:instrText xml:space="preserve"> DOCVARIABLE VAULT_ND_d0449813-407d-457f-be29-007e0bc4da85 \* MERGEFORMAT </w:instrText>
      </w:r>
      <w:r w:rsidR="00B45199">
        <w:rPr>
          <w:rFonts w:asciiTheme="majorBidi" w:eastAsia="SimSun" w:hAnsiTheme="majorBidi"/>
        </w:rPr>
        <w:fldChar w:fldCharType="separate"/>
      </w:r>
      <w:r w:rsidR="00B45199">
        <w:rPr>
          <w:rFonts w:asciiTheme="majorBidi" w:eastAsia="SimSun" w:hAnsiTheme="majorBidi"/>
        </w:rPr>
        <w:t xml:space="preserve"> </w:t>
      </w:r>
      <w:r w:rsidR="00B45199">
        <w:rPr>
          <w:rFonts w:asciiTheme="majorBidi" w:eastAsia="SimSun" w:hAnsiTheme="majorBidi"/>
        </w:rPr>
        <w:fldChar w:fldCharType="end"/>
      </w:r>
    </w:p>
    <w:p w14:paraId="3760692C" w14:textId="083AB0F0" w:rsidR="006018AE" w:rsidRPr="000E1342" w:rsidRDefault="00691205" w:rsidP="00087945">
      <w:pPr>
        <w:pStyle w:val="Heading1"/>
        <w:numPr>
          <w:ilvl w:val="0"/>
          <w:numId w:val="0"/>
        </w:numPr>
        <w:spacing w:after="240"/>
        <w:jc w:val="center"/>
        <w:rPr>
          <w:rFonts w:asciiTheme="majorBidi" w:eastAsia="SimSun" w:hAnsiTheme="majorBidi"/>
          <w:caps w:val="0"/>
        </w:rPr>
      </w:pPr>
      <w:r w:rsidRPr="000E1342">
        <w:rPr>
          <w:rFonts w:asciiTheme="majorBidi" w:eastAsia="SimSun" w:hAnsiTheme="majorBidi"/>
          <w:caps w:val="0"/>
        </w:rPr>
        <w:t>ESPEROCT</w:t>
      </w:r>
      <w:r w:rsidR="00087945" w:rsidRPr="000E1342">
        <w:rPr>
          <w:rFonts w:asciiTheme="majorBidi" w:eastAsia="SimSun" w:hAnsiTheme="majorBidi"/>
          <w:caps w:val="0"/>
          <w:vertAlign w:val="superscript"/>
        </w:rPr>
        <w:t>®</w:t>
      </w:r>
      <w:r w:rsidR="00AF238D" w:rsidRPr="000E1342">
        <w:rPr>
          <w:rFonts w:asciiTheme="majorBidi" w:eastAsia="SimSun" w:hAnsiTheme="majorBidi"/>
          <w:caps w:val="0"/>
        </w:rPr>
        <w:t xml:space="preserve"> </w:t>
      </w:r>
      <w:r w:rsidR="006018AE" w:rsidRPr="000E1342">
        <w:rPr>
          <w:rFonts w:asciiTheme="majorBidi" w:eastAsia="SimSun" w:hAnsiTheme="majorBidi"/>
          <w:caps w:val="0"/>
        </w:rPr>
        <w:t>(</w:t>
      </w:r>
      <w:proofErr w:type="spellStart"/>
      <w:r w:rsidR="00087945" w:rsidRPr="000E1342">
        <w:rPr>
          <w:rFonts w:asciiTheme="majorBidi" w:eastAsia="SimSun" w:hAnsiTheme="majorBidi"/>
          <w:caps w:val="0"/>
        </w:rPr>
        <w:t>turoctocog</w:t>
      </w:r>
      <w:proofErr w:type="spellEnd"/>
      <w:r w:rsidR="00087945" w:rsidRPr="000E1342">
        <w:rPr>
          <w:rFonts w:asciiTheme="majorBidi" w:eastAsia="SimSun" w:hAnsiTheme="majorBidi"/>
          <w:caps w:val="0"/>
        </w:rPr>
        <w:t> alfa pegol</w:t>
      </w:r>
      <w:r w:rsidR="006018AE" w:rsidRPr="000E1342">
        <w:rPr>
          <w:rFonts w:asciiTheme="majorBidi" w:eastAsia="SimSun" w:hAnsiTheme="majorBidi"/>
          <w:caps w:val="0"/>
        </w:rPr>
        <w:t>)</w:t>
      </w:r>
      <w:r w:rsidR="00A64655" w:rsidRPr="000E1342">
        <w:rPr>
          <w:rFonts w:asciiTheme="majorBidi" w:eastAsia="SimSun" w:hAnsiTheme="majorBidi"/>
          <w:caps w:val="0"/>
        </w:rPr>
        <w:t xml:space="preserve"> </w:t>
      </w:r>
      <w:r w:rsidRPr="000E1342">
        <w:rPr>
          <w:rFonts w:asciiTheme="majorBidi" w:eastAsia="SimSun" w:hAnsiTheme="majorBidi"/>
          <w:caps w:val="0"/>
        </w:rPr>
        <w:t>powder</w:t>
      </w:r>
      <w:r w:rsidR="00087945" w:rsidRPr="000E1342">
        <w:rPr>
          <w:rFonts w:asciiTheme="majorBidi" w:eastAsia="SimSun" w:hAnsiTheme="majorBidi"/>
          <w:caps w:val="0"/>
        </w:rPr>
        <w:t xml:space="preserve"> for injection</w:t>
      </w:r>
      <w:r w:rsidRPr="000E1342">
        <w:rPr>
          <w:rFonts w:asciiTheme="majorBidi" w:eastAsia="SimSun" w:hAnsiTheme="majorBidi"/>
          <w:caps w:val="0"/>
        </w:rPr>
        <w:t xml:space="preserve"> with </w:t>
      </w:r>
      <w:r w:rsidR="005850A8" w:rsidRPr="000E1342">
        <w:rPr>
          <w:rFonts w:asciiTheme="majorBidi" w:eastAsia="SimSun" w:hAnsiTheme="majorBidi"/>
          <w:caps w:val="0"/>
        </w:rPr>
        <w:t>solvent</w:t>
      </w:r>
      <w:r w:rsidR="00B45199">
        <w:rPr>
          <w:rFonts w:asciiTheme="majorBidi" w:eastAsia="SimSun" w:hAnsiTheme="majorBidi"/>
          <w:caps w:val="0"/>
        </w:rPr>
        <w:fldChar w:fldCharType="begin"/>
      </w:r>
      <w:r w:rsidR="00B45199">
        <w:rPr>
          <w:rFonts w:asciiTheme="majorBidi" w:eastAsia="SimSun" w:hAnsiTheme="majorBidi"/>
          <w:caps w:val="0"/>
        </w:rPr>
        <w:instrText xml:space="preserve"> DOCVARIABLE vault_nd_b7576bab-7b46-4777-9899-0556e4f4c4b9 \* MERGEFORMAT </w:instrText>
      </w:r>
      <w:r w:rsidR="00B45199">
        <w:rPr>
          <w:rFonts w:asciiTheme="majorBidi" w:eastAsia="SimSun" w:hAnsiTheme="majorBidi"/>
          <w:caps w:val="0"/>
        </w:rPr>
        <w:fldChar w:fldCharType="separate"/>
      </w:r>
      <w:r w:rsidR="00B45199">
        <w:rPr>
          <w:rFonts w:asciiTheme="majorBidi" w:eastAsia="SimSun" w:hAnsiTheme="majorBidi"/>
          <w:caps w:val="0"/>
        </w:rPr>
        <w:t xml:space="preserve"> </w:t>
      </w:r>
      <w:r w:rsidR="00B45199">
        <w:rPr>
          <w:rFonts w:asciiTheme="majorBidi" w:eastAsia="SimSun" w:hAnsiTheme="majorBidi"/>
          <w:caps w:val="0"/>
        </w:rPr>
        <w:fldChar w:fldCharType="end"/>
      </w:r>
    </w:p>
    <w:p w14:paraId="08AF7CD4" w14:textId="5D51EF12" w:rsidR="001A3992" w:rsidRPr="00B45199" w:rsidRDefault="001A3992" w:rsidP="001A3992">
      <w:pPr>
        <w:pStyle w:val="Heading1"/>
        <w:spacing w:before="0" w:after="120"/>
        <w:rPr>
          <w:rFonts w:asciiTheme="majorBidi" w:hAnsiTheme="majorBidi"/>
        </w:rPr>
      </w:pPr>
      <w:r w:rsidRPr="00B45199">
        <w:rPr>
          <w:rFonts w:asciiTheme="majorBidi" w:hAnsiTheme="majorBidi"/>
        </w:rPr>
        <w:t>Name of the medicine</w:t>
      </w:r>
      <w:r w:rsidR="00B45199">
        <w:rPr>
          <w:rFonts w:asciiTheme="majorBidi" w:hAnsiTheme="majorBidi"/>
        </w:rPr>
        <w:fldChar w:fldCharType="begin"/>
      </w:r>
      <w:r w:rsidR="00B45199">
        <w:rPr>
          <w:rFonts w:asciiTheme="majorBidi" w:hAnsiTheme="majorBidi"/>
        </w:rPr>
        <w:instrText xml:space="preserve"> DOCVARIABLE VAULT_ND_5e89b4ba-9683-4c01-a6b3-78dcb0972314 \* MERGEFORMAT </w:instrText>
      </w:r>
      <w:r w:rsidR="00B45199">
        <w:rPr>
          <w:rFonts w:asciiTheme="majorBidi" w:hAnsiTheme="majorBidi"/>
        </w:rPr>
        <w:fldChar w:fldCharType="separate"/>
      </w:r>
      <w:r w:rsidR="00B45199">
        <w:rPr>
          <w:rFonts w:asciiTheme="majorBidi" w:hAnsiTheme="majorBidi"/>
        </w:rPr>
        <w:t xml:space="preserve"> </w:t>
      </w:r>
      <w:r w:rsidR="00B45199">
        <w:rPr>
          <w:rFonts w:asciiTheme="majorBidi" w:hAnsiTheme="majorBidi"/>
        </w:rPr>
        <w:fldChar w:fldCharType="end"/>
      </w:r>
    </w:p>
    <w:p w14:paraId="4F547B33" w14:textId="439BB48A" w:rsidR="00175EDF" w:rsidRPr="000E1342" w:rsidRDefault="00087945" w:rsidP="00175EDF">
      <w:pPr>
        <w:rPr>
          <w:rFonts w:asciiTheme="majorBidi" w:hAnsiTheme="majorBidi" w:cstheme="majorBidi"/>
          <w:sz w:val="24"/>
          <w:szCs w:val="24"/>
        </w:rPr>
      </w:pPr>
      <w:proofErr w:type="spellStart"/>
      <w:r w:rsidRPr="000E1342">
        <w:rPr>
          <w:rFonts w:asciiTheme="majorBidi" w:hAnsiTheme="majorBidi" w:cstheme="majorBidi"/>
          <w:sz w:val="24"/>
          <w:szCs w:val="24"/>
        </w:rPr>
        <w:t>Turoctocog</w:t>
      </w:r>
      <w:proofErr w:type="spellEnd"/>
      <w:r w:rsidRPr="000E1342">
        <w:rPr>
          <w:rFonts w:asciiTheme="majorBidi" w:hAnsiTheme="majorBidi" w:cstheme="majorBidi"/>
          <w:sz w:val="24"/>
          <w:szCs w:val="24"/>
        </w:rPr>
        <w:t> alfa pegol</w:t>
      </w:r>
    </w:p>
    <w:p w14:paraId="7707377B" w14:textId="4769F9E9" w:rsidR="001A3992" w:rsidRPr="00B45199" w:rsidRDefault="001A3992" w:rsidP="001A3992">
      <w:pPr>
        <w:pStyle w:val="Heading1"/>
        <w:spacing w:before="0" w:after="120"/>
        <w:rPr>
          <w:rFonts w:asciiTheme="majorBidi" w:hAnsiTheme="majorBidi"/>
        </w:rPr>
      </w:pPr>
      <w:r w:rsidRPr="00B45199">
        <w:rPr>
          <w:rFonts w:asciiTheme="majorBidi" w:hAnsiTheme="majorBidi"/>
        </w:rPr>
        <w:t>Qualitative and quantitative composition</w:t>
      </w:r>
      <w:r w:rsidR="00B45199">
        <w:rPr>
          <w:rFonts w:asciiTheme="majorBidi" w:hAnsiTheme="majorBidi"/>
          <w:vertAlign w:val="superscript"/>
        </w:rPr>
        <w:fldChar w:fldCharType="begin"/>
      </w:r>
      <w:r w:rsidR="00B45199">
        <w:rPr>
          <w:rFonts w:asciiTheme="majorBidi" w:hAnsiTheme="majorBidi"/>
          <w:vertAlign w:val="superscript"/>
        </w:rPr>
        <w:instrText xml:space="preserve"> DOCVARIABLE VAULT_ND_edfbe1d3-eb72-45d4-aa55-8a15d020fd26 \* MERGEFORMAT </w:instrText>
      </w:r>
      <w:r w:rsidR="00B45199">
        <w:rPr>
          <w:rFonts w:asciiTheme="majorBidi" w:hAnsiTheme="majorBidi"/>
          <w:vertAlign w:val="superscript"/>
        </w:rPr>
        <w:fldChar w:fldCharType="separate"/>
      </w:r>
      <w:r w:rsidR="00B45199">
        <w:rPr>
          <w:rFonts w:asciiTheme="majorBidi" w:hAnsiTheme="majorBidi"/>
          <w:vertAlign w:val="superscript"/>
        </w:rPr>
        <w:t xml:space="preserve"> </w:t>
      </w:r>
      <w:r w:rsidR="00B45199">
        <w:rPr>
          <w:rFonts w:asciiTheme="majorBidi" w:hAnsiTheme="majorBidi"/>
          <w:vertAlign w:val="superscript"/>
        </w:rPr>
        <w:fldChar w:fldCharType="end"/>
      </w:r>
    </w:p>
    <w:p w14:paraId="6AE84F5C" w14:textId="77777777" w:rsidR="00087945" w:rsidRPr="000E1342" w:rsidRDefault="00691205" w:rsidP="005B2812">
      <w:pPr>
        <w:rPr>
          <w:rFonts w:asciiTheme="majorBidi" w:hAnsiTheme="majorBidi" w:cstheme="majorBidi"/>
          <w:sz w:val="24"/>
          <w:szCs w:val="24"/>
        </w:rPr>
      </w:pPr>
      <w:proofErr w:type="spellStart"/>
      <w:r w:rsidRPr="000E1342">
        <w:rPr>
          <w:rFonts w:asciiTheme="majorBidi" w:hAnsiTheme="majorBidi" w:cstheme="majorBidi"/>
          <w:sz w:val="24"/>
          <w:szCs w:val="24"/>
        </w:rPr>
        <w:t>Turoctocog</w:t>
      </w:r>
      <w:proofErr w:type="spellEnd"/>
      <w:r w:rsidRPr="000E1342">
        <w:rPr>
          <w:rFonts w:asciiTheme="majorBidi" w:hAnsiTheme="majorBidi" w:cstheme="majorBidi"/>
          <w:sz w:val="24"/>
          <w:szCs w:val="24"/>
        </w:rPr>
        <w:t xml:space="preserve"> alfa pegol is a human factor VIII produced by recombinant DNA technology in Chinese Hamster Ovary (CHO) cells, covalently conjugated to a 40 </w:t>
      </w:r>
      <w:proofErr w:type="spellStart"/>
      <w:r w:rsidRPr="000E1342">
        <w:rPr>
          <w:rFonts w:asciiTheme="majorBidi" w:hAnsiTheme="majorBidi" w:cstheme="majorBidi"/>
          <w:sz w:val="24"/>
          <w:szCs w:val="24"/>
        </w:rPr>
        <w:t>kDa</w:t>
      </w:r>
      <w:proofErr w:type="spellEnd"/>
      <w:r w:rsidRPr="000E1342">
        <w:rPr>
          <w:rFonts w:asciiTheme="majorBidi" w:hAnsiTheme="majorBidi" w:cstheme="majorBidi"/>
          <w:sz w:val="24"/>
          <w:szCs w:val="24"/>
        </w:rPr>
        <w:t xml:space="preserve"> polyethylene glycol (PEG).</w:t>
      </w:r>
    </w:p>
    <w:p w14:paraId="6D3968FE" w14:textId="77777777" w:rsidR="00691205" w:rsidRPr="000E1342" w:rsidRDefault="00691205" w:rsidP="00691205">
      <w:pPr>
        <w:rPr>
          <w:rFonts w:asciiTheme="majorBidi" w:hAnsiTheme="majorBidi" w:cstheme="majorBidi"/>
          <w:sz w:val="24"/>
          <w:szCs w:val="24"/>
        </w:rPr>
      </w:pPr>
      <w:r w:rsidRPr="000E1342">
        <w:rPr>
          <w:rFonts w:asciiTheme="majorBidi" w:hAnsiTheme="majorBidi" w:cstheme="majorBidi"/>
          <w:sz w:val="24"/>
          <w:szCs w:val="24"/>
        </w:rPr>
        <w:t>Each vial contains 500 IU, 1</w:t>
      </w:r>
      <w:r w:rsidR="005850A8" w:rsidRPr="000E1342">
        <w:rPr>
          <w:rFonts w:asciiTheme="majorBidi" w:hAnsiTheme="majorBidi" w:cstheme="majorBidi"/>
          <w:sz w:val="24"/>
          <w:szCs w:val="24"/>
        </w:rPr>
        <w:t>000 IU, 1500 IU, 2000 IU or 3</w:t>
      </w:r>
      <w:r w:rsidRPr="000E1342">
        <w:rPr>
          <w:rFonts w:asciiTheme="majorBidi" w:hAnsiTheme="majorBidi" w:cstheme="majorBidi"/>
          <w:sz w:val="24"/>
          <w:szCs w:val="24"/>
        </w:rPr>
        <w:t xml:space="preserve">000 IU </w:t>
      </w:r>
      <w:proofErr w:type="spellStart"/>
      <w:r w:rsidRPr="000E1342">
        <w:rPr>
          <w:rFonts w:asciiTheme="majorBidi" w:hAnsiTheme="majorBidi" w:cstheme="majorBidi"/>
          <w:sz w:val="24"/>
          <w:szCs w:val="24"/>
        </w:rPr>
        <w:t>turoctocog</w:t>
      </w:r>
      <w:proofErr w:type="spellEnd"/>
      <w:r w:rsidRPr="000E1342">
        <w:rPr>
          <w:rFonts w:asciiTheme="majorBidi" w:hAnsiTheme="majorBidi" w:cstheme="majorBidi"/>
          <w:sz w:val="24"/>
          <w:szCs w:val="24"/>
        </w:rPr>
        <w:t xml:space="preserve"> alfa pegol according to the declaration.</w:t>
      </w:r>
    </w:p>
    <w:p w14:paraId="4E7DB9C1" w14:textId="385EDED4" w:rsidR="00691205" w:rsidRPr="000E1342" w:rsidRDefault="00691205" w:rsidP="00691205">
      <w:pPr>
        <w:rPr>
          <w:rFonts w:asciiTheme="majorBidi" w:hAnsiTheme="majorBidi" w:cstheme="majorBidi"/>
          <w:sz w:val="24"/>
          <w:szCs w:val="24"/>
        </w:rPr>
      </w:pPr>
      <w:r w:rsidRPr="000E1342">
        <w:rPr>
          <w:rFonts w:asciiTheme="majorBidi" w:hAnsiTheme="majorBidi" w:cstheme="majorBidi"/>
          <w:sz w:val="24"/>
          <w:szCs w:val="24"/>
        </w:rPr>
        <w:t>After reconstit</w:t>
      </w:r>
      <w:r w:rsidR="005850A8" w:rsidRPr="000E1342">
        <w:rPr>
          <w:rFonts w:asciiTheme="majorBidi" w:hAnsiTheme="majorBidi" w:cstheme="majorBidi"/>
          <w:sz w:val="24"/>
          <w:szCs w:val="24"/>
        </w:rPr>
        <w:t>ution of the solution, each 1 mL</w:t>
      </w:r>
      <w:r w:rsidRPr="000E1342">
        <w:rPr>
          <w:rFonts w:asciiTheme="majorBidi" w:hAnsiTheme="majorBidi" w:cstheme="majorBidi"/>
          <w:sz w:val="24"/>
          <w:szCs w:val="24"/>
        </w:rPr>
        <w:t xml:space="preserve">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contains approximately 125 IU, 250 IU, 375 IU, 500 IU or 750 IU </w:t>
      </w:r>
      <w:proofErr w:type="spellStart"/>
      <w:r w:rsidRPr="000E1342">
        <w:rPr>
          <w:rFonts w:asciiTheme="majorBidi" w:hAnsiTheme="majorBidi" w:cstheme="majorBidi"/>
          <w:sz w:val="24"/>
          <w:szCs w:val="24"/>
        </w:rPr>
        <w:t>turoctocog</w:t>
      </w:r>
      <w:proofErr w:type="spellEnd"/>
      <w:r w:rsidRPr="000E1342">
        <w:rPr>
          <w:rFonts w:asciiTheme="majorBidi" w:hAnsiTheme="majorBidi" w:cstheme="majorBidi"/>
          <w:sz w:val="24"/>
          <w:szCs w:val="24"/>
        </w:rPr>
        <w:t xml:space="preserve"> alfa pegol, respectively.</w:t>
      </w:r>
    </w:p>
    <w:p w14:paraId="484C0717" w14:textId="0875B485" w:rsidR="00691205" w:rsidRPr="000E1342" w:rsidRDefault="00691205" w:rsidP="00691205">
      <w:pPr>
        <w:rPr>
          <w:rFonts w:asciiTheme="majorBidi" w:hAnsiTheme="majorBidi" w:cstheme="majorBidi"/>
          <w:sz w:val="24"/>
          <w:szCs w:val="24"/>
        </w:rPr>
      </w:pPr>
      <w:r w:rsidRPr="000E1342">
        <w:rPr>
          <w:rFonts w:asciiTheme="majorBidi" w:hAnsiTheme="majorBidi" w:cstheme="majorBidi"/>
          <w:sz w:val="24"/>
          <w:szCs w:val="24"/>
        </w:rPr>
        <w:t xml:space="preserve">The potency (IU) is determined using the European Pharmacopoeia chromogenic assay. The specific activity of </w:t>
      </w:r>
      <w:r w:rsidR="00EE565D">
        <w:rPr>
          <w:rFonts w:asciiTheme="majorBidi" w:hAnsiTheme="majorBidi" w:cstheme="majorBidi"/>
          <w:sz w:val="24"/>
          <w:szCs w:val="24"/>
        </w:rPr>
        <w:t>ESPEROCT</w:t>
      </w:r>
      <w:r w:rsidR="005850A8" w:rsidRPr="000E1342">
        <w:rPr>
          <w:rFonts w:asciiTheme="majorBidi" w:hAnsiTheme="majorBidi" w:cstheme="majorBidi"/>
          <w:sz w:val="24"/>
          <w:szCs w:val="24"/>
        </w:rPr>
        <w:t xml:space="preserve"> is 9</w:t>
      </w:r>
      <w:r w:rsidRPr="000E1342">
        <w:rPr>
          <w:rFonts w:asciiTheme="majorBidi" w:hAnsiTheme="majorBidi" w:cstheme="majorBidi"/>
          <w:sz w:val="24"/>
          <w:szCs w:val="24"/>
        </w:rPr>
        <w:t>500 IU/mg protein on average.</w:t>
      </w:r>
    </w:p>
    <w:p w14:paraId="26EB4107" w14:textId="47A52913" w:rsidR="00671278" w:rsidRPr="000E1342" w:rsidRDefault="00F96EB0" w:rsidP="00F96EB0">
      <w:pPr>
        <w:rPr>
          <w:rFonts w:asciiTheme="majorBidi" w:hAnsiTheme="majorBidi" w:cstheme="majorBidi"/>
          <w:b/>
          <w:sz w:val="24"/>
          <w:szCs w:val="24"/>
        </w:rPr>
      </w:pPr>
      <w:r w:rsidRPr="000E1342">
        <w:rPr>
          <w:rFonts w:asciiTheme="majorBidi" w:hAnsiTheme="majorBidi" w:cstheme="majorBidi"/>
          <w:b/>
          <w:sz w:val="24"/>
          <w:szCs w:val="24"/>
        </w:rPr>
        <w:t>Excipient with known effect</w:t>
      </w:r>
    </w:p>
    <w:p w14:paraId="303AE2F6" w14:textId="49EE3233" w:rsidR="00040393" w:rsidRPr="000E1342" w:rsidRDefault="00040393" w:rsidP="00040393">
      <w:pPr>
        <w:rPr>
          <w:rFonts w:asciiTheme="majorBidi" w:hAnsiTheme="majorBidi" w:cstheme="majorBidi"/>
          <w:sz w:val="24"/>
          <w:szCs w:val="24"/>
        </w:rPr>
      </w:pPr>
      <w:r w:rsidRPr="000E1342">
        <w:rPr>
          <w:rFonts w:asciiTheme="majorBidi" w:hAnsiTheme="majorBidi" w:cstheme="majorBidi"/>
          <w:sz w:val="24"/>
          <w:szCs w:val="24"/>
        </w:rPr>
        <w:t>This medicine contains 30.5 mg sodium per reconstituted vial</w:t>
      </w:r>
      <w:r w:rsidR="00903575">
        <w:rPr>
          <w:rFonts w:asciiTheme="majorBidi" w:hAnsiTheme="majorBidi" w:cstheme="majorBidi"/>
          <w:sz w:val="24"/>
          <w:szCs w:val="24"/>
        </w:rPr>
        <w:t xml:space="preserve"> (see Section 4.4 </w:t>
      </w:r>
      <w:r w:rsidR="001909AB">
        <w:rPr>
          <w:rFonts w:asciiTheme="majorBidi" w:hAnsiTheme="majorBidi" w:cstheme="majorBidi"/>
          <w:sz w:val="24"/>
          <w:szCs w:val="24"/>
        </w:rPr>
        <w:t xml:space="preserve">Special </w:t>
      </w:r>
      <w:r w:rsidR="00FD168B">
        <w:rPr>
          <w:rFonts w:asciiTheme="majorBidi" w:hAnsiTheme="majorBidi" w:cstheme="majorBidi"/>
          <w:sz w:val="24"/>
          <w:szCs w:val="24"/>
        </w:rPr>
        <w:t>w</w:t>
      </w:r>
      <w:r w:rsidR="001909AB">
        <w:rPr>
          <w:rFonts w:asciiTheme="majorBidi" w:hAnsiTheme="majorBidi" w:cstheme="majorBidi"/>
          <w:sz w:val="24"/>
          <w:szCs w:val="24"/>
        </w:rPr>
        <w:t xml:space="preserve">arnings and </w:t>
      </w:r>
      <w:r w:rsidR="00FD168B">
        <w:rPr>
          <w:rFonts w:asciiTheme="majorBidi" w:hAnsiTheme="majorBidi" w:cstheme="majorBidi"/>
          <w:sz w:val="24"/>
          <w:szCs w:val="24"/>
        </w:rPr>
        <w:t>p</w:t>
      </w:r>
      <w:r w:rsidR="001909AB">
        <w:rPr>
          <w:rFonts w:asciiTheme="majorBidi" w:hAnsiTheme="majorBidi" w:cstheme="majorBidi"/>
          <w:sz w:val="24"/>
          <w:szCs w:val="24"/>
        </w:rPr>
        <w:t>recautions for use)</w:t>
      </w:r>
      <w:r w:rsidRPr="000E1342">
        <w:rPr>
          <w:rFonts w:asciiTheme="majorBidi" w:hAnsiTheme="majorBidi" w:cstheme="majorBidi"/>
          <w:sz w:val="24"/>
          <w:szCs w:val="24"/>
        </w:rPr>
        <w:t>.</w:t>
      </w:r>
    </w:p>
    <w:p w14:paraId="7A5DBCBC" w14:textId="77777777" w:rsidR="005B2812" w:rsidRPr="000E1342" w:rsidRDefault="005B2812" w:rsidP="005B2812">
      <w:pPr>
        <w:rPr>
          <w:rFonts w:asciiTheme="majorBidi" w:hAnsiTheme="majorBidi" w:cstheme="majorBidi"/>
          <w:sz w:val="24"/>
          <w:szCs w:val="24"/>
        </w:rPr>
      </w:pPr>
      <w:r w:rsidRPr="000E1342">
        <w:rPr>
          <w:rFonts w:asciiTheme="majorBidi" w:hAnsiTheme="majorBidi" w:cstheme="majorBidi"/>
          <w:sz w:val="24"/>
          <w:szCs w:val="24"/>
        </w:rPr>
        <w:t>For the full list of excipients, see Section 6.</w:t>
      </w:r>
      <w:r w:rsidR="00087945" w:rsidRPr="000E1342">
        <w:rPr>
          <w:rFonts w:asciiTheme="majorBidi" w:hAnsiTheme="majorBidi" w:cstheme="majorBidi"/>
          <w:sz w:val="24"/>
          <w:szCs w:val="24"/>
        </w:rPr>
        <w:t>1 List of excipients.</w:t>
      </w:r>
    </w:p>
    <w:p w14:paraId="791E8336" w14:textId="303B9E9E" w:rsidR="001A3992" w:rsidRPr="00B45199" w:rsidRDefault="001A3992" w:rsidP="001A3992">
      <w:pPr>
        <w:pStyle w:val="Heading1"/>
        <w:spacing w:before="0" w:after="120"/>
        <w:rPr>
          <w:rFonts w:asciiTheme="majorBidi" w:hAnsiTheme="majorBidi"/>
        </w:rPr>
      </w:pPr>
      <w:r w:rsidRPr="00B45199">
        <w:rPr>
          <w:rFonts w:asciiTheme="majorBidi" w:hAnsiTheme="majorBidi"/>
        </w:rPr>
        <w:t>Pharmaceutical form</w:t>
      </w:r>
      <w:r w:rsidR="00B45199">
        <w:rPr>
          <w:rFonts w:asciiTheme="majorBidi" w:hAnsiTheme="majorBidi"/>
          <w:vertAlign w:val="superscript"/>
        </w:rPr>
        <w:fldChar w:fldCharType="begin"/>
      </w:r>
      <w:r w:rsidR="00B45199">
        <w:rPr>
          <w:rFonts w:asciiTheme="majorBidi" w:hAnsiTheme="majorBidi"/>
          <w:vertAlign w:val="superscript"/>
        </w:rPr>
        <w:instrText xml:space="preserve"> DOCVARIABLE VAULT_ND_fbe97337-79c4-43e1-aad6-74df5090e602 \* MERGEFORMAT </w:instrText>
      </w:r>
      <w:r w:rsidR="00B45199">
        <w:rPr>
          <w:rFonts w:asciiTheme="majorBidi" w:hAnsiTheme="majorBidi"/>
          <w:vertAlign w:val="superscript"/>
        </w:rPr>
        <w:fldChar w:fldCharType="separate"/>
      </w:r>
      <w:r w:rsidR="00B45199">
        <w:rPr>
          <w:rFonts w:asciiTheme="majorBidi" w:hAnsiTheme="majorBidi"/>
          <w:vertAlign w:val="superscript"/>
        </w:rPr>
        <w:t xml:space="preserve"> </w:t>
      </w:r>
      <w:r w:rsidR="00B45199">
        <w:rPr>
          <w:rFonts w:asciiTheme="majorBidi" w:hAnsiTheme="majorBidi"/>
          <w:vertAlign w:val="superscript"/>
        </w:rPr>
        <w:fldChar w:fldCharType="end"/>
      </w:r>
    </w:p>
    <w:p w14:paraId="229CA5D5" w14:textId="16CFB650" w:rsidR="00F96EB0" w:rsidRPr="000E1342" w:rsidRDefault="005850A8" w:rsidP="00691205">
      <w:pPr>
        <w:rPr>
          <w:rFonts w:asciiTheme="majorBidi" w:hAnsiTheme="majorBidi" w:cstheme="majorBidi"/>
          <w:sz w:val="24"/>
          <w:szCs w:val="24"/>
        </w:rPr>
      </w:pPr>
      <w:r w:rsidRPr="000E1342">
        <w:rPr>
          <w:rFonts w:asciiTheme="majorBidi" w:hAnsiTheme="majorBidi" w:cstheme="majorBidi"/>
          <w:sz w:val="24"/>
          <w:szCs w:val="24"/>
        </w:rPr>
        <w:t>Powder</w:t>
      </w:r>
      <w:r w:rsidR="007F5A85">
        <w:rPr>
          <w:rFonts w:asciiTheme="majorBidi" w:hAnsiTheme="majorBidi" w:cstheme="majorBidi"/>
          <w:sz w:val="24"/>
          <w:szCs w:val="24"/>
        </w:rPr>
        <w:t xml:space="preserve"> and solvent for solution</w:t>
      </w:r>
      <w:r w:rsidRPr="000E1342">
        <w:rPr>
          <w:rFonts w:asciiTheme="majorBidi" w:hAnsiTheme="majorBidi" w:cstheme="majorBidi"/>
          <w:sz w:val="24"/>
          <w:szCs w:val="24"/>
        </w:rPr>
        <w:t xml:space="preserve"> for injection.</w:t>
      </w:r>
    </w:p>
    <w:p w14:paraId="6E928F8D" w14:textId="71AA4663" w:rsidR="00087945" w:rsidRPr="000E1342" w:rsidRDefault="00691205" w:rsidP="00087945">
      <w:pPr>
        <w:rPr>
          <w:rFonts w:asciiTheme="majorBidi" w:hAnsiTheme="majorBidi" w:cstheme="majorBidi"/>
          <w:sz w:val="24"/>
          <w:szCs w:val="24"/>
        </w:rPr>
      </w:pPr>
      <w:r w:rsidRPr="000E1342">
        <w:rPr>
          <w:rFonts w:asciiTheme="majorBidi" w:hAnsiTheme="majorBidi" w:cstheme="majorBidi"/>
          <w:sz w:val="24"/>
          <w:szCs w:val="24"/>
        </w:rPr>
        <w:t xml:space="preserve">The powder is white to </w:t>
      </w:r>
      <w:r w:rsidR="00F96EB0" w:rsidRPr="000E1342">
        <w:rPr>
          <w:rFonts w:asciiTheme="majorBidi" w:hAnsiTheme="majorBidi" w:cstheme="majorBidi"/>
          <w:sz w:val="24"/>
          <w:szCs w:val="24"/>
        </w:rPr>
        <w:t>off-</w:t>
      </w:r>
      <w:r w:rsidRPr="000E1342">
        <w:rPr>
          <w:rFonts w:asciiTheme="majorBidi" w:hAnsiTheme="majorBidi" w:cstheme="majorBidi"/>
          <w:sz w:val="24"/>
          <w:szCs w:val="24"/>
        </w:rPr>
        <w:t>white.</w:t>
      </w:r>
      <w:r w:rsidR="00F96EB0" w:rsidRPr="000E1342">
        <w:rPr>
          <w:rFonts w:asciiTheme="majorBidi" w:hAnsiTheme="majorBidi" w:cstheme="majorBidi"/>
          <w:sz w:val="24"/>
          <w:szCs w:val="24"/>
        </w:rPr>
        <w:t xml:space="preserve"> </w:t>
      </w:r>
      <w:r w:rsidRPr="000E1342">
        <w:rPr>
          <w:rFonts w:asciiTheme="majorBidi" w:hAnsiTheme="majorBidi" w:cstheme="majorBidi"/>
          <w:sz w:val="24"/>
          <w:szCs w:val="24"/>
        </w:rPr>
        <w:t>The s</w:t>
      </w:r>
      <w:r w:rsidR="00F96EB0" w:rsidRPr="000E1342">
        <w:rPr>
          <w:rFonts w:asciiTheme="majorBidi" w:hAnsiTheme="majorBidi" w:cstheme="majorBidi"/>
          <w:sz w:val="24"/>
          <w:szCs w:val="24"/>
        </w:rPr>
        <w:t>olvent is cl</w:t>
      </w:r>
      <w:r w:rsidR="0096476A" w:rsidRPr="000E1342">
        <w:rPr>
          <w:rFonts w:asciiTheme="majorBidi" w:hAnsiTheme="majorBidi" w:cstheme="majorBidi"/>
          <w:sz w:val="24"/>
          <w:szCs w:val="24"/>
        </w:rPr>
        <w:t>e</w:t>
      </w:r>
      <w:r w:rsidR="00F96EB0" w:rsidRPr="000E1342">
        <w:rPr>
          <w:rFonts w:asciiTheme="majorBidi" w:hAnsiTheme="majorBidi" w:cstheme="majorBidi"/>
          <w:sz w:val="24"/>
          <w:szCs w:val="24"/>
        </w:rPr>
        <w:t>ar and colourless.</w:t>
      </w:r>
    </w:p>
    <w:p w14:paraId="079A16C0" w14:textId="77777777" w:rsidR="00F96EB0" w:rsidRDefault="00F96EB0" w:rsidP="00F96EB0">
      <w:pPr>
        <w:rPr>
          <w:rFonts w:asciiTheme="majorBidi" w:hAnsiTheme="majorBidi" w:cstheme="majorBidi"/>
          <w:sz w:val="24"/>
          <w:szCs w:val="24"/>
        </w:rPr>
      </w:pPr>
      <w:r w:rsidRPr="000E1342">
        <w:rPr>
          <w:rFonts w:asciiTheme="majorBidi" w:hAnsiTheme="majorBidi" w:cstheme="majorBidi"/>
          <w:sz w:val="24"/>
          <w:szCs w:val="24"/>
        </w:rPr>
        <w:t>After reconstitution the solution appears as a clear and colourless liquid, free from visible particles.</w:t>
      </w:r>
    </w:p>
    <w:p w14:paraId="70AF419C" w14:textId="77777777" w:rsidR="00436454" w:rsidRPr="000E1342" w:rsidRDefault="00436454" w:rsidP="00F96EB0">
      <w:pPr>
        <w:rPr>
          <w:rFonts w:asciiTheme="majorBidi" w:hAnsiTheme="majorBidi" w:cstheme="majorBidi"/>
          <w:sz w:val="24"/>
          <w:szCs w:val="24"/>
        </w:rPr>
      </w:pPr>
    </w:p>
    <w:p w14:paraId="3D678769" w14:textId="1C231009" w:rsidR="001A3992" w:rsidRPr="00B45199" w:rsidRDefault="001A3992" w:rsidP="001A3992">
      <w:pPr>
        <w:pStyle w:val="Heading1"/>
        <w:spacing w:before="0" w:after="120"/>
        <w:rPr>
          <w:rFonts w:asciiTheme="majorBidi" w:hAnsiTheme="majorBidi"/>
        </w:rPr>
      </w:pPr>
      <w:r w:rsidRPr="00B45199">
        <w:rPr>
          <w:rFonts w:asciiTheme="majorBidi" w:hAnsiTheme="majorBidi"/>
        </w:rPr>
        <w:lastRenderedPageBreak/>
        <w:t>Clinical particulars</w:t>
      </w:r>
      <w:r w:rsidR="00B45199">
        <w:rPr>
          <w:rFonts w:asciiTheme="majorBidi" w:hAnsiTheme="majorBidi"/>
        </w:rPr>
        <w:fldChar w:fldCharType="begin"/>
      </w:r>
      <w:r w:rsidR="00B45199">
        <w:rPr>
          <w:rFonts w:asciiTheme="majorBidi" w:hAnsiTheme="majorBidi"/>
        </w:rPr>
        <w:instrText xml:space="preserve"> DOCVARIABLE VAULT_ND_db9c7fb0-1ad5-4d8a-a76d-f295982fc64b \* MERGEFORMAT </w:instrText>
      </w:r>
      <w:r w:rsidR="00B45199">
        <w:rPr>
          <w:rFonts w:asciiTheme="majorBidi" w:hAnsiTheme="majorBidi"/>
        </w:rPr>
        <w:fldChar w:fldCharType="separate"/>
      </w:r>
      <w:r w:rsidR="00B45199">
        <w:rPr>
          <w:rFonts w:asciiTheme="majorBidi" w:hAnsiTheme="majorBidi"/>
        </w:rPr>
        <w:t xml:space="preserve"> </w:t>
      </w:r>
      <w:r w:rsidR="00B45199">
        <w:rPr>
          <w:rFonts w:asciiTheme="majorBidi" w:hAnsiTheme="majorBidi"/>
        </w:rPr>
        <w:fldChar w:fldCharType="end"/>
      </w:r>
    </w:p>
    <w:p w14:paraId="47C2A1CF" w14:textId="4C56039A" w:rsidR="001A3992" w:rsidRPr="000E1342" w:rsidRDefault="001A3992" w:rsidP="001A3992">
      <w:pPr>
        <w:pStyle w:val="Heading2"/>
        <w:spacing w:before="0" w:after="120"/>
        <w:rPr>
          <w:rFonts w:asciiTheme="majorBidi" w:hAnsiTheme="majorBidi" w:cstheme="majorBidi"/>
        </w:rPr>
      </w:pPr>
      <w:r w:rsidRPr="000E1342">
        <w:rPr>
          <w:rFonts w:asciiTheme="majorBidi" w:hAnsiTheme="majorBidi" w:cstheme="majorBidi"/>
        </w:rPr>
        <w:t>Therapeutic indications</w:t>
      </w:r>
      <w:r w:rsidR="00B45199">
        <w:rPr>
          <w:rFonts w:asciiTheme="majorBidi" w:hAnsiTheme="majorBidi" w:cstheme="majorBidi"/>
        </w:rPr>
        <w:fldChar w:fldCharType="begin"/>
      </w:r>
      <w:r w:rsidR="00B45199">
        <w:rPr>
          <w:rFonts w:asciiTheme="majorBidi" w:hAnsiTheme="majorBidi" w:cstheme="majorBidi"/>
        </w:rPr>
        <w:instrText xml:space="preserve"> DOCVARIABLE vault_nd_86497d45-180d-4f94-a216-9705fce6c77f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33F2BE76" w14:textId="34C584FD" w:rsidR="005736B6" w:rsidRPr="005736B6" w:rsidRDefault="005736B6" w:rsidP="005736B6">
      <w:pPr>
        <w:rPr>
          <w:rFonts w:asciiTheme="majorBidi" w:hAnsiTheme="majorBidi" w:cstheme="majorBidi"/>
          <w:sz w:val="24"/>
          <w:szCs w:val="24"/>
        </w:rPr>
      </w:pPr>
      <w:bookmarkStart w:id="0" w:name="_Hlk100542003"/>
      <w:r w:rsidRPr="005736B6">
        <w:rPr>
          <w:rFonts w:asciiTheme="majorBidi" w:hAnsiTheme="majorBidi" w:cstheme="majorBidi"/>
          <w:sz w:val="24"/>
          <w:szCs w:val="24"/>
        </w:rPr>
        <w:t>ESPEROCT, is a long-acting recombinant Factor VIII concentrate indicated for use in</w:t>
      </w:r>
      <w:r>
        <w:rPr>
          <w:rFonts w:asciiTheme="majorBidi" w:hAnsiTheme="majorBidi" w:cstheme="majorBidi"/>
          <w:sz w:val="24"/>
          <w:szCs w:val="24"/>
        </w:rPr>
        <w:t xml:space="preserve"> </w:t>
      </w:r>
      <w:r w:rsidRPr="005736B6">
        <w:rPr>
          <w:rFonts w:asciiTheme="majorBidi" w:hAnsiTheme="majorBidi" w:cstheme="majorBidi"/>
          <w:sz w:val="24"/>
          <w:szCs w:val="24"/>
        </w:rPr>
        <w:t>previously treated patients with haemophilia A for:</w:t>
      </w:r>
    </w:p>
    <w:p w14:paraId="02818C8A" w14:textId="339451E2" w:rsidR="005736B6" w:rsidRPr="005736B6" w:rsidRDefault="005736B6" w:rsidP="005736B6">
      <w:pPr>
        <w:pStyle w:val="ListParagraph"/>
        <w:numPr>
          <w:ilvl w:val="0"/>
          <w:numId w:val="31"/>
        </w:numPr>
        <w:rPr>
          <w:rFonts w:asciiTheme="majorBidi" w:hAnsiTheme="majorBidi" w:cstheme="majorBidi"/>
          <w:sz w:val="24"/>
          <w:szCs w:val="24"/>
        </w:rPr>
      </w:pPr>
      <w:r w:rsidRPr="005736B6">
        <w:rPr>
          <w:rFonts w:asciiTheme="majorBidi" w:hAnsiTheme="majorBidi" w:cstheme="majorBidi"/>
          <w:sz w:val="24"/>
          <w:szCs w:val="24"/>
        </w:rPr>
        <w:t xml:space="preserve">Routine prophylactic treatment to prevent or reduce the frequency of bleeding </w:t>
      </w:r>
      <w:proofErr w:type="gramStart"/>
      <w:r w:rsidRPr="005736B6">
        <w:rPr>
          <w:rFonts w:asciiTheme="majorBidi" w:hAnsiTheme="majorBidi" w:cstheme="majorBidi"/>
          <w:sz w:val="24"/>
          <w:szCs w:val="24"/>
        </w:rPr>
        <w:t>episodes</w:t>
      </w:r>
      <w:proofErr w:type="gramEnd"/>
    </w:p>
    <w:p w14:paraId="3EF92B2D" w14:textId="63157C49" w:rsidR="005736B6" w:rsidRPr="005736B6" w:rsidRDefault="005736B6" w:rsidP="005736B6">
      <w:pPr>
        <w:pStyle w:val="ListParagraph"/>
        <w:numPr>
          <w:ilvl w:val="0"/>
          <w:numId w:val="31"/>
        </w:numPr>
        <w:rPr>
          <w:rFonts w:asciiTheme="majorBidi" w:hAnsiTheme="majorBidi" w:cstheme="majorBidi"/>
          <w:sz w:val="24"/>
          <w:szCs w:val="24"/>
        </w:rPr>
      </w:pPr>
      <w:r w:rsidRPr="005736B6">
        <w:rPr>
          <w:rFonts w:asciiTheme="majorBidi" w:hAnsiTheme="majorBidi" w:cstheme="majorBidi"/>
          <w:sz w:val="24"/>
          <w:szCs w:val="24"/>
        </w:rPr>
        <w:t>On-demand treatment and control of bleeding episodes</w:t>
      </w:r>
    </w:p>
    <w:p w14:paraId="77FA3B28" w14:textId="77607D94" w:rsidR="005736B6" w:rsidRPr="005736B6" w:rsidRDefault="005736B6" w:rsidP="005736B6">
      <w:pPr>
        <w:pStyle w:val="ListParagraph"/>
        <w:numPr>
          <w:ilvl w:val="0"/>
          <w:numId w:val="31"/>
        </w:numPr>
        <w:rPr>
          <w:rFonts w:asciiTheme="majorBidi" w:hAnsiTheme="majorBidi" w:cstheme="majorBidi"/>
          <w:sz w:val="24"/>
          <w:szCs w:val="24"/>
        </w:rPr>
      </w:pPr>
      <w:r w:rsidRPr="005736B6">
        <w:rPr>
          <w:rFonts w:asciiTheme="majorBidi" w:hAnsiTheme="majorBidi" w:cstheme="majorBidi"/>
          <w:sz w:val="24"/>
          <w:szCs w:val="24"/>
        </w:rPr>
        <w:t>Peri-operative management of bleeding (surgical prophylaxis)</w:t>
      </w:r>
    </w:p>
    <w:p w14:paraId="23898B88" w14:textId="0EC53D8F" w:rsidR="00F96EB0" w:rsidRPr="000E1342" w:rsidRDefault="005736B6" w:rsidP="00F96EB0">
      <w:pPr>
        <w:rPr>
          <w:rFonts w:asciiTheme="majorBidi" w:hAnsiTheme="majorBidi" w:cstheme="majorBidi"/>
          <w:sz w:val="24"/>
          <w:szCs w:val="24"/>
        </w:rPr>
      </w:pPr>
      <w:r w:rsidRPr="005736B6">
        <w:rPr>
          <w:rFonts w:asciiTheme="majorBidi" w:hAnsiTheme="majorBidi" w:cstheme="majorBidi"/>
          <w:sz w:val="24"/>
          <w:szCs w:val="24"/>
        </w:rPr>
        <w:t>ESPEROCT does not contain von Willebrand factor, and therefore is not indicated in patients with von Willebrand’s disease.</w:t>
      </w:r>
      <w:bookmarkEnd w:id="0"/>
    </w:p>
    <w:p w14:paraId="6EBAB2C0" w14:textId="1AD51A4B" w:rsidR="001A3992" w:rsidRPr="000E1342" w:rsidRDefault="001A3992" w:rsidP="001A3992">
      <w:pPr>
        <w:pStyle w:val="Heading2"/>
        <w:spacing w:before="0" w:after="120"/>
        <w:rPr>
          <w:rFonts w:asciiTheme="majorBidi" w:hAnsiTheme="majorBidi" w:cstheme="majorBidi"/>
        </w:rPr>
      </w:pPr>
      <w:r w:rsidRPr="000E1342">
        <w:rPr>
          <w:rFonts w:asciiTheme="majorBidi" w:hAnsiTheme="majorBidi" w:cstheme="majorBidi"/>
        </w:rPr>
        <w:t>Dose and method of administration</w:t>
      </w:r>
      <w:r w:rsidR="00B45199">
        <w:rPr>
          <w:rFonts w:asciiTheme="majorBidi" w:hAnsiTheme="majorBidi" w:cstheme="majorBidi"/>
        </w:rPr>
        <w:fldChar w:fldCharType="begin"/>
      </w:r>
      <w:r w:rsidR="00B45199">
        <w:rPr>
          <w:rFonts w:asciiTheme="majorBidi" w:hAnsiTheme="majorBidi" w:cstheme="majorBidi"/>
        </w:rPr>
        <w:instrText xml:space="preserve"> DOCVARIABLE vault_nd_c2dab978-017d-4395-8cd1-5729fa4e8801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3E189456" w14:textId="6A9C5F6B" w:rsidR="00671278" w:rsidRPr="000E1342" w:rsidRDefault="00671278" w:rsidP="00671278">
      <w:pPr>
        <w:rPr>
          <w:rFonts w:asciiTheme="majorBidi" w:hAnsiTheme="majorBidi" w:cstheme="majorBidi"/>
          <w:sz w:val="24"/>
          <w:szCs w:val="24"/>
        </w:rPr>
      </w:pPr>
      <w:r w:rsidRPr="000E1342">
        <w:rPr>
          <w:rFonts w:asciiTheme="majorBidi" w:hAnsiTheme="majorBidi" w:cstheme="majorBidi"/>
          <w:sz w:val="24"/>
          <w:szCs w:val="24"/>
        </w:rPr>
        <w:t>Treatment should be initiated under the supervision of a physician experienced in the treatment of haemophilia.</w:t>
      </w:r>
    </w:p>
    <w:p w14:paraId="0C058017" w14:textId="588552DC" w:rsidR="00671278" w:rsidRPr="000E1342" w:rsidRDefault="00671278" w:rsidP="00966876">
      <w:pPr>
        <w:rPr>
          <w:rFonts w:asciiTheme="majorBidi" w:hAnsiTheme="majorBidi" w:cstheme="majorBidi"/>
          <w:b/>
          <w:sz w:val="24"/>
          <w:szCs w:val="24"/>
        </w:rPr>
      </w:pPr>
      <w:r w:rsidRPr="000E1342">
        <w:rPr>
          <w:rFonts w:asciiTheme="majorBidi" w:hAnsiTheme="majorBidi" w:cstheme="majorBidi"/>
          <w:b/>
          <w:sz w:val="24"/>
          <w:szCs w:val="24"/>
        </w:rPr>
        <w:t>Previously untreated patients</w:t>
      </w:r>
    </w:p>
    <w:p w14:paraId="3CB035E3" w14:textId="3188BEDF" w:rsidR="00671278" w:rsidRPr="000E1342" w:rsidRDefault="00671278" w:rsidP="00671278">
      <w:pPr>
        <w:rPr>
          <w:rFonts w:asciiTheme="majorBidi" w:hAnsiTheme="majorBidi" w:cstheme="majorBidi"/>
          <w:sz w:val="24"/>
          <w:szCs w:val="24"/>
        </w:rPr>
      </w:pPr>
      <w:r w:rsidRPr="000E1342">
        <w:rPr>
          <w:rFonts w:asciiTheme="majorBidi" w:hAnsiTheme="majorBidi" w:cstheme="majorBidi"/>
          <w:sz w:val="24"/>
          <w:szCs w:val="24"/>
        </w:rPr>
        <w:t xml:space="preserve">The safety and efficacy of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in previously untreated patients have not yet been established.</w:t>
      </w:r>
    </w:p>
    <w:p w14:paraId="3F6D4F99" w14:textId="7C5E5F92" w:rsidR="00671278" w:rsidRPr="000E1342" w:rsidRDefault="00671278" w:rsidP="00671278">
      <w:pPr>
        <w:rPr>
          <w:rFonts w:asciiTheme="majorBidi" w:hAnsiTheme="majorBidi" w:cstheme="majorBidi"/>
          <w:b/>
          <w:sz w:val="24"/>
          <w:szCs w:val="24"/>
        </w:rPr>
      </w:pPr>
      <w:r w:rsidRPr="000E1342">
        <w:rPr>
          <w:rFonts w:asciiTheme="majorBidi" w:hAnsiTheme="majorBidi" w:cstheme="majorBidi"/>
          <w:b/>
          <w:sz w:val="24"/>
          <w:szCs w:val="24"/>
        </w:rPr>
        <w:t>Treatment monitoring</w:t>
      </w:r>
    </w:p>
    <w:p w14:paraId="469DB6B9" w14:textId="5C72B8AC" w:rsidR="001B77EA" w:rsidRPr="000E1342" w:rsidRDefault="00671278" w:rsidP="00A142EF">
      <w:pPr>
        <w:rPr>
          <w:rFonts w:asciiTheme="majorBidi" w:hAnsiTheme="majorBidi" w:cstheme="majorBidi"/>
          <w:sz w:val="24"/>
          <w:szCs w:val="24"/>
        </w:rPr>
      </w:pPr>
      <w:proofErr w:type="gramStart"/>
      <w:r w:rsidRPr="000E1342">
        <w:rPr>
          <w:rFonts w:asciiTheme="majorBidi" w:hAnsiTheme="majorBidi" w:cstheme="majorBidi"/>
          <w:sz w:val="24"/>
          <w:szCs w:val="24"/>
        </w:rPr>
        <w:t>During the course of</w:t>
      </w:r>
      <w:proofErr w:type="gramEnd"/>
      <w:r w:rsidRPr="000E1342">
        <w:rPr>
          <w:rFonts w:asciiTheme="majorBidi" w:hAnsiTheme="majorBidi" w:cstheme="majorBidi"/>
          <w:sz w:val="24"/>
          <w:szCs w:val="24"/>
        </w:rPr>
        <w:t xml:space="preserve"> treatment, </w:t>
      </w:r>
      <w:r w:rsidR="00A142EF" w:rsidRPr="000E1342">
        <w:rPr>
          <w:rFonts w:asciiTheme="majorBidi" w:hAnsiTheme="majorBidi" w:cstheme="majorBidi"/>
          <w:sz w:val="24"/>
          <w:szCs w:val="24"/>
        </w:rPr>
        <w:t>appropriate determination of</w:t>
      </w:r>
      <w:r w:rsidR="001B77EA" w:rsidRPr="000E1342">
        <w:rPr>
          <w:rFonts w:asciiTheme="majorBidi" w:hAnsiTheme="majorBidi" w:cstheme="majorBidi"/>
          <w:sz w:val="24"/>
          <w:szCs w:val="24"/>
        </w:rPr>
        <w:t xml:space="preserve"> </w:t>
      </w:r>
      <w:r w:rsidRPr="000E1342">
        <w:rPr>
          <w:rFonts w:asciiTheme="majorBidi" w:hAnsiTheme="majorBidi" w:cstheme="majorBidi"/>
          <w:sz w:val="24"/>
          <w:szCs w:val="24"/>
        </w:rPr>
        <w:t xml:space="preserve">factor VIII levels </w:t>
      </w:r>
      <w:r w:rsidR="00A142EF" w:rsidRPr="000E1342">
        <w:rPr>
          <w:rFonts w:asciiTheme="majorBidi" w:hAnsiTheme="majorBidi" w:cstheme="majorBidi"/>
          <w:sz w:val="24"/>
          <w:szCs w:val="24"/>
        </w:rPr>
        <w:t xml:space="preserve">is advised </w:t>
      </w:r>
      <w:r w:rsidR="001B77EA" w:rsidRPr="000E1342">
        <w:rPr>
          <w:rFonts w:asciiTheme="majorBidi" w:hAnsiTheme="majorBidi" w:cstheme="majorBidi"/>
          <w:sz w:val="24"/>
          <w:szCs w:val="24"/>
          <w:lang w:bidi="en-GB"/>
        </w:rPr>
        <w:t xml:space="preserve">to </w:t>
      </w:r>
      <w:r w:rsidR="00A142EF" w:rsidRPr="000E1342">
        <w:rPr>
          <w:rFonts w:asciiTheme="majorBidi" w:hAnsiTheme="majorBidi" w:cstheme="majorBidi"/>
          <w:sz w:val="24"/>
          <w:szCs w:val="24"/>
          <w:lang w:bidi="en-GB"/>
        </w:rPr>
        <w:t xml:space="preserve">guide </w:t>
      </w:r>
      <w:r w:rsidR="001B77EA" w:rsidRPr="000E1342">
        <w:rPr>
          <w:rFonts w:asciiTheme="majorBidi" w:hAnsiTheme="majorBidi" w:cstheme="majorBidi"/>
          <w:sz w:val="24"/>
          <w:szCs w:val="24"/>
          <w:lang w:bidi="en-GB"/>
        </w:rPr>
        <w:t>adjust</w:t>
      </w:r>
      <w:r w:rsidR="00A142EF" w:rsidRPr="000E1342">
        <w:rPr>
          <w:rFonts w:asciiTheme="majorBidi" w:hAnsiTheme="majorBidi" w:cstheme="majorBidi"/>
          <w:sz w:val="24"/>
          <w:szCs w:val="24"/>
          <w:lang w:bidi="en-GB"/>
        </w:rPr>
        <w:t xml:space="preserve">ment of </w:t>
      </w:r>
      <w:r w:rsidR="001B77EA" w:rsidRPr="000E1342">
        <w:rPr>
          <w:rFonts w:asciiTheme="majorBidi" w:hAnsiTheme="majorBidi" w:cstheme="majorBidi"/>
          <w:sz w:val="24"/>
          <w:szCs w:val="24"/>
          <w:lang w:bidi="en-GB"/>
        </w:rPr>
        <w:t>the dos</w:t>
      </w:r>
      <w:r w:rsidR="00A142EF" w:rsidRPr="000E1342">
        <w:rPr>
          <w:rFonts w:asciiTheme="majorBidi" w:hAnsiTheme="majorBidi" w:cstheme="majorBidi"/>
          <w:sz w:val="24"/>
          <w:szCs w:val="24"/>
          <w:lang w:bidi="en-GB"/>
        </w:rPr>
        <w:t xml:space="preserve">ing regimen of </w:t>
      </w:r>
      <w:r w:rsidR="00EE565D">
        <w:rPr>
          <w:rFonts w:asciiTheme="majorBidi" w:hAnsiTheme="majorBidi" w:cstheme="majorBidi"/>
          <w:sz w:val="24"/>
          <w:szCs w:val="24"/>
          <w:lang w:bidi="en-GB"/>
        </w:rPr>
        <w:t>ESPEROCT</w:t>
      </w:r>
      <w:r w:rsidR="00A142EF" w:rsidRPr="000E1342">
        <w:rPr>
          <w:rFonts w:asciiTheme="majorBidi" w:hAnsiTheme="majorBidi" w:cstheme="majorBidi"/>
          <w:sz w:val="24"/>
          <w:szCs w:val="24"/>
          <w:lang w:bidi="en-GB"/>
        </w:rPr>
        <w:t>.</w:t>
      </w:r>
      <w:r w:rsidRPr="000E1342">
        <w:rPr>
          <w:rFonts w:asciiTheme="majorBidi" w:hAnsiTheme="majorBidi" w:cstheme="majorBidi"/>
          <w:sz w:val="24"/>
          <w:szCs w:val="24"/>
        </w:rPr>
        <w:t xml:space="preserve"> </w:t>
      </w:r>
      <w:r w:rsidR="001B77EA" w:rsidRPr="000E1342">
        <w:rPr>
          <w:rFonts w:asciiTheme="majorBidi" w:hAnsiTheme="majorBidi" w:cstheme="majorBidi"/>
          <w:sz w:val="24"/>
          <w:szCs w:val="24"/>
          <w:lang w:bidi="en-GB"/>
        </w:rPr>
        <w:t xml:space="preserve">Individual patients </w:t>
      </w:r>
      <w:r w:rsidR="00A142EF" w:rsidRPr="000E1342">
        <w:rPr>
          <w:rFonts w:asciiTheme="majorBidi" w:hAnsiTheme="majorBidi" w:cstheme="majorBidi"/>
          <w:sz w:val="24"/>
          <w:szCs w:val="24"/>
          <w:lang w:bidi="en-GB"/>
        </w:rPr>
        <w:t>may vary in their response to</w:t>
      </w:r>
      <w:r w:rsidR="001B77EA" w:rsidRPr="000E1342">
        <w:rPr>
          <w:rFonts w:asciiTheme="majorBidi" w:hAnsiTheme="majorBidi" w:cstheme="majorBidi"/>
          <w:sz w:val="24"/>
          <w:szCs w:val="24"/>
          <w:lang w:bidi="en-GB"/>
        </w:rPr>
        <w:t xml:space="preserve"> factor VIII, </w:t>
      </w:r>
      <w:r w:rsidR="00A142EF" w:rsidRPr="000E1342">
        <w:rPr>
          <w:rFonts w:asciiTheme="majorBidi" w:hAnsiTheme="majorBidi" w:cstheme="majorBidi"/>
          <w:sz w:val="24"/>
          <w:szCs w:val="24"/>
          <w:lang w:bidi="en-GB"/>
        </w:rPr>
        <w:t>demonstrating</w:t>
      </w:r>
      <w:r w:rsidR="001B77EA" w:rsidRPr="000E1342">
        <w:rPr>
          <w:rFonts w:asciiTheme="majorBidi" w:hAnsiTheme="majorBidi" w:cstheme="majorBidi"/>
          <w:sz w:val="24"/>
          <w:szCs w:val="24"/>
          <w:lang w:bidi="en-GB"/>
        </w:rPr>
        <w:t xml:space="preserve"> different half-lives and recover</w:t>
      </w:r>
      <w:r w:rsidR="00A142EF" w:rsidRPr="000E1342">
        <w:rPr>
          <w:rFonts w:asciiTheme="majorBidi" w:hAnsiTheme="majorBidi" w:cstheme="majorBidi"/>
          <w:sz w:val="24"/>
          <w:szCs w:val="24"/>
          <w:lang w:bidi="en-GB"/>
        </w:rPr>
        <w:t>ies</w:t>
      </w:r>
      <w:r w:rsidR="001B77EA" w:rsidRPr="000E1342">
        <w:rPr>
          <w:rFonts w:asciiTheme="majorBidi" w:hAnsiTheme="majorBidi" w:cstheme="majorBidi"/>
          <w:sz w:val="24"/>
          <w:szCs w:val="24"/>
          <w:lang w:bidi="en-GB"/>
        </w:rPr>
        <w:t xml:space="preserve">. In the case of major surgical </w:t>
      </w:r>
      <w:r w:rsidR="00A142EF" w:rsidRPr="000E1342">
        <w:rPr>
          <w:rFonts w:asciiTheme="majorBidi" w:hAnsiTheme="majorBidi" w:cstheme="majorBidi"/>
          <w:sz w:val="24"/>
          <w:szCs w:val="24"/>
          <w:lang w:bidi="en-GB"/>
        </w:rPr>
        <w:t xml:space="preserve">interventions </w:t>
      </w:r>
      <w:r w:rsidR="001B77EA" w:rsidRPr="000E1342">
        <w:rPr>
          <w:rFonts w:asciiTheme="majorBidi" w:hAnsiTheme="majorBidi" w:cstheme="majorBidi"/>
          <w:sz w:val="24"/>
          <w:szCs w:val="24"/>
          <w:lang w:bidi="en-GB"/>
        </w:rPr>
        <w:t xml:space="preserve">in particular, </w:t>
      </w:r>
      <w:r w:rsidR="00A142EF" w:rsidRPr="000E1342">
        <w:rPr>
          <w:rFonts w:asciiTheme="majorBidi" w:hAnsiTheme="majorBidi" w:cstheme="majorBidi"/>
          <w:sz w:val="24"/>
          <w:szCs w:val="24"/>
          <w:lang w:bidi="en-GB"/>
        </w:rPr>
        <w:t>precise</w:t>
      </w:r>
      <w:r w:rsidR="001B77EA" w:rsidRPr="000E1342">
        <w:rPr>
          <w:rFonts w:asciiTheme="majorBidi" w:hAnsiTheme="majorBidi" w:cstheme="majorBidi"/>
          <w:sz w:val="24"/>
          <w:szCs w:val="24"/>
          <w:lang w:bidi="en-GB"/>
        </w:rPr>
        <w:t xml:space="preserve"> monitoring of </w:t>
      </w:r>
      <w:r w:rsidR="00A142EF" w:rsidRPr="000E1342">
        <w:rPr>
          <w:rFonts w:asciiTheme="majorBidi" w:hAnsiTheme="majorBidi" w:cstheme="majorBidi"/>
          <w:sz w:val="24"/>
          <w:szCs w:val="24"/>
          <w:lang w:bidi="en-GB"/>
        </w:rPr>
        <w:t>the substitution</w:t>
      </w:r>
      <w:r w:rsidR="001B77EA" w:rsidRPr="000E1342">
        <w:rPr>
          <w:rFonts w:asciiTheme="majorBidi" w:hAnsiTheme="majorBidi" w:cstheme="majorBidi"/>
          <w:sz w:val="24"/>
          <w:szCs w:val="24"/>
          <w:lang w:bidi="en-GB"/>
        </w:rPr>
        <w:t xml:space="preserve"> therapy </w:t>
      </w:r>
      <w:r w:rsidR="00A142EF" w:rsidRPr="000E1342">
        <w:rPr>
          <w:rFonts w:asciiTheme="majorBidi" w:hAnsiTheme="majorBidi" w:cstheme="majorBidi"/>
          <w:sz w:val="24"/>
          <w:szCs w:val="24"/>
          <w:lang w:bidi="en-GB"/>
        </w:rPr>
        <w:t xml:space="preserve">by means of coagulation analysis (plasma factor VIII activity) is </w:t>
      </w:r>
      <w:r w:rsidR="0058567C">
        <w:rPr>
          <w:rFonts w:asciiTheme="majorBidi" w:hAnsiTheme="majorBidi" w:cstheme="majorBidi"/>
          <w:sz w:val="24"/>
          <w:szCs w:val="24"/>
          <w:lang w:bidi="en-GB"/>
        </w:rPr>
        <w:t>necessary</w:t>
      </w:r>
      <w:r w:rsidR="001B77EA" w:rsidRPr="000E1342">
        <w:rPr>
          <w:rFonts w:asciiTheme="majorBidi" w:hAnsiTheme="majorBidi" w:cstheme="majorBidi"/>
          <w:sz w:val="24"/>
          <w:szCs w:val="24"/>
          <w:lang w:bidi="en-GB"/>
        </w:rPr>
        <w:t>.</w:t>
      </w:r>
    </w:p>
    <w:p w14:paraId="0643CEF9" w14:textId="2DF5E9A4" w:rsidR="00671278" w:rsidRPr="000E1342" w:rsidRDefault="00671278" w:rsidP="00702028">
      <w:pPr>
        <w:rPr>
          <w:rFonts w:asciiTheme="majorBidi" w:hAnsiTheme="majorBidi" w:cstheme="majorBidi"/>
          <w:sz w:val="24"/>
          <w:szCs w:val="24"/>
        </w:rPr>
      </w:pPr>
      <w:r w:rsidRPr="000E1342">
        <w:rPr>
          <w:rFonts w:asciiTheme="majorBidi" w:hAnsiTheme="majorBidi" w:cstheme="majorBidi"/>
          <w:sz w:val="24"/>
          <w:szCs w:val="24"/>
        </w:rPr>
        <w:t>The</w:t>
      </w:r>
      <w:r w:rsidR="00702028" w:rsidRPr="000E1342">
        <w:rPr>
          <w:rFonts w:asciiTheme="majorBidi" w:hAnsiTheme="majorBidi" w:cstheme="majorBidi"/>
          <w:sz w:val="24"/>
          <w:szCs w:val="24"/>
        </w:rPr>
        <w:t xml:space="preserve"> factor VIII activity of </w:t>
      </w:r>
      <w:r w:rsidR="00EE565D">
        <w:rPr>
          <w:rFonts w:asciiTheme="majorBidi" w:hAnsiTheme="majorBidi" w:cstheme="majorBidi"/>
          <w:sz w:val="24"/>
          <w:szCs w:val="24"/>
        </w:rPr>
        <w:t>ESPEROCT</w:t>
      </w:r>
      <w:r w:rsidR="00702028" w:rsidRPr="000E1342">
        <w:rPr>
          <w:rFonts w:asciiTheme="majorBidi" w:hAnsiTheme="majorBidi" w:cstheme="majorBidi"/>
          <w:sz w:val="24"/>
          <w:szCs w:val="24"/>
        </w:rPr>
        <w:t xml:space="preserve"> can be reliably measured in conventional factor VIII assays such as the one-stage coagulation test and chromogenic assay.</w:t>
      </w:r>
    </w:p>
    <w:p w14:paraId="4A0F9B44" w14:textId="78E1D259" w:rsidR="00671278" w:rsidRPr="000E1342" w:rsidRDefault="00702028" w:rsidP="001B77EA">
      <w:pPr>
        <w:rPr>
          <w:rFonts w:asciiTheme="majorBidi" w:hAnsiTheme="majorBidi" w:cstheme="majorBidi"/>
          <w:sz w:val="24"/>
          <w:szCs w:val="24"/>
        </w:rPr>
      </w:pPr>
      <w:r w:rsidRPr="000E1342">
        <w:rPr>
          <w:rFonts w:asciiTheme="majorBidi" w:hAnsiTheme="majorBidi" w:cstheme="majorBidi"/>
          <w:sz w:val="24"/>
          <w:szCs w:val="24"/>
        </w:rPr>
        <w:t>Silica based re</w:t>
      </w:r>
      <w:r w:rsidR="00E31E04" w:rsidRPr="000E1342">
        <w:rPr>
          <w:rFonts w:asciiTheme="majorBidi" w:hAnsiTheme="majorBidi" w:cstheme="majorBidi"/>
          <w:sz w:val="24"/>
          <w:szCs w:val="24"/>
        </w:rPr>
        <w:t>agents</w:t>
      </w:r>
      <w:r w:rsidRPr="000E1342">
        <w:rPr>
          <w:rFonts w:asciiTheme="majorBidi" w:hAnsiTheme="majorBidi" w:cstheme="majorBidi"/>
          <w:sz w:val="24"/>
          <w:szCs w:val="24"/>
        </w:rPr>
        <w:t xml:space="preserve"> </w:t>
      </w:r>
      <w:r w:rsidR="001B77EA" w:rsidRPr="000E1342">
        <w:rPr>
          <w:rFonts w:asciiTheme="majorBidi" w:hAnsiTheme="majorBidi" w:cstheme="majorBidi"/>
          <w:sz w:val="24"/>
          <w:szCs w:val="24"/>
          <w:lang w:bidi="en-GB"/>
        </w:rPr>
        <w:t>(</w:t>
      </w:r>
      <w:proofErr w:type="gramStart"/>
      <w:r w:rsidR="001B77EA" w:rsidRPr="000E1342">
        <w:rPr>
          <w:rFonts w:asciiTheme="majorBidi" w:hAnsiTheme="majorBidi" w:cstheme="majorBidi"/>
          <w:sz w:val="24"/>
          <w:szCs w:val="24"/>
          <w:lang w:bidi="en-GB"/>
        </w:rPr>
        <w:t>e.g.</w:t>
      </w:r>
      <w:proofErr w:type="gramEnd"/>
      <w:r w:rsidR="001B77EA" w:rsidRPr="000E1342">
        <w:rPr>
          <w:rFonts w:asciiTheme="majorBidi" w:hAnsiTheme="majorBidi" w:cstheme="majorBidi"/>
          <w:sz w:val="24"/>
          <w:szCs w:val="24"/>
          <w:lang w:bidi="en-GB"/>
        </w:rPr>
        <w:t xml:space="preserve"> </w:t>
      </w:r>
      <w:proofErr w:type="spellStart"/>
      <w:r w:rsidR="001B77EA" w:rsidRPr="000E1342">
        <w:rPr>
          <w:rFonts w:asciiTheme="majorBidi" w:hAnsiTheme="majorBidi" w:cstheme="majorBidi"/>
          <w:sz w:val="24"/>
          <w:szCs w:val="24"/>
          <w:lang w:bidi="en-GB"/>
        </w:rPr>
        <w:t>aPTT</w:t>
      </w:r>
      <w:proofErr w:type="spellEnd"/>
      <w:r w:rsidR="001B77EA" w:rsidRPr="000E1342">
        <w:rPr>
          <w:rFonts w:asciiTheme="majorBidi" w:hAnsiTheme="majorBidi" w:cstheme="majorBidi"/>
          <w:sz w:val="24"/>
          <w:szCs w:val="24"/>
          <w:lang w:bidi="en-GB"/>
        </w:rPr>
        <w:t xml:space="preserve">-SP, STA-PTT, </w:t>
      </w:r>
      <w:proofErr w:type="spellStart"/>
      <w:r w:rsidR="001B77EA" w:rsidRPr="000E1342">
        <w:rPr>
          <w:rFonts w:asciiTheme="majorBidi" w:hAnsiTheme="majorBidi" w:cstheme="majorBidi"/>
          <w:sz w:val="24"/>
          <w:szCs w:val="24"/>
          <w:lang w:bidi="en-GB"/>
        </w:rPr>
        <w:t>Triniclot</w:t>
      </w:r>
      <w:proofErr w:type="spellEnd"/>
      <w:r w:rsidR="001B77EA" w:rsidRPr="000E1342">
        <w:rPr>
          <w:rFonts w:asciiTheme="majorBidi" w:hAnsiTheme="majorBidi" w:cstheme="majorBidi"/>
          <w:sz w:val="24"/>
          <w:szCs w:val="24"/>
          <w:lang w:bidi="en-GB"/>
        </w:rPr>
        <w:t xml:space="preserve">) </w:t>
      </w:r>
      <w:r w:rsidRPr="000E1342">
        <w:rPr>
          <w:rFonts w:asciiTheme="majorBidi" w:hAnsiTheme="majorBidi" w:cstheme="majorBidi"/>
          <w:sz w:val="24"/>
          <w:szCs w:val="24"/>
        </w:rPr>
        <w:t>should not be used with the one-stage coagulation assay</w:t>
      </w:r>
      <w:r w:rsidR="00671278" w:rsidRPr="000E1342">
        <w:rPr>
          <w:rFonts w:asciiTheme="majorBidi" w:hAnsiTheme="majorBidi" w:cstheme="majorBidi"/>
          <w:sz w:val="24"/>
          <w:szCs w:val="24"/>
        </w:rPr>
        <w:t xml:space="preserve"> as they cause underestimation. </w:t>
      </w:r>
      <w:r w:rsidRPr="000E1342">
        <w:rPr>
          <w:rFonts w:asciiTheme="majorBidi" w:hAnsiTheme="majorBidi" w:cstheme="majorBidi"/>
          <w:sz w:val="24"/>
          <w:szCs w:val="24"/>
        </w:rPr>
        <w:t>This is particularly important when changing laboratories or changing the reagents used in the test.</w:t>
      </w:r>
    </w:p>
    <w:p w14:paraId="03972423" w14:textId="4B856A4F" w:rsidR="00E31E04" w:rsidRPr="000E1342" w:rsidRDefault="00E31E04" w:rsidP="00E31E04">
      <w:pPr>
        <w:rPr>
          <w:rFonts w:asciiTheme="majorBidi" w:hAnsiTheme="majorBidi" w:cstheme="majorBidi"/>
          <w:b/>
          <w:sz w:val="24"/>
          <w:szCs w:val="24"/>
        </w:rPr>
      </w:pPr>
      <w:r w:rsidRPr="000E1342">
        <w:rPr>
          <w:rFonts w:asciiTheme="majorBidi" w:hAnsiTheme="majorBidi" w:cstheme="majorBidi"/>
          <w:b/>
          <w:sz w:val="24"/>
          <w:szCs w:val="24"/>
        </w:rPr>
        <w:t>Dosage</w:t>
      </w:r>
    </w:p>
    <w:p w14:paraId="20D3BF78" w14:textId="3D627531" w:rsidR="00E31E04" w:rsidRPr="000E1342" w:rsidRDefault="00E31E04" w:rsidP="00E31E04">
      <w:pPr>
        <w:rPr>
          <w:rFonts w:asciiTheme="majorBidi" w:hAnsiTheme="majorBidi" w:cstheme="majorBidi"/>
          <w:sz w:val="24"/>
          <w:szCs w:val="24"/>
        </w:rPr>
      </w:pPr>
      <w:r w:rsidRPr="000E1342">
        <w:rPr>
          <w:rFonts w:asciiTheme="majorBidi" w:hAnsiTheme="majorBidi" w:cstheme="majorBidi"/>
          <w:sz w:val="24"/>
          <w:szCs w:val="24"/>
        </w:rPr>
        <w:t xml:space="preserve">The dose, dosing interval and duration of </w:t>
      </w:r>
      <w:r w:rsidR="00A142EF" w:rsidRPr="000E1342">
        <w:rPr>
          <w:rFonts w:asciiTheme="majorBidi" w:hAnsiTheme="majorBidi" w:cstheme="majorBidi"/>
          <w:sz w:val="24"/>
          <w:szCs w:val="24"/>
        </w:rPr>
        <w:t>substitution</w:t>
      </w:r>
      <w:r w:rsidRPr="000E1342">
        <w:rPr>
          <w:rFonts w:asciiTheme="majorBidi" w:hAnsiTheme="majorBidi" w:cstheme="majorBidi"/>
          <w:sz w:val="24"/>
          <w:szCs w:val="24"/>
        </w:rPr>
        <w:t xml:space="preserve"> therapy depend on the severity of the factor VIII deficiency, the location and extent of bleeding, the targeted factor VIII activity level and the patient’s clinical condition. The quantity of factor VIII administered is expressed in International Units (IU), in accordance with the current WHO concentrate standard for factor VIII products. Factor VIII activity in plasma is expressed either as </w:t>
      </w:r>
      <w:r w:rsidRPr="000E1342">
        <w:rPr>
          <w:rFonts w:asciiTheme="majorBidi" w:hAnsiTheme="majorBidi" w:cstheme="majorBidi"/>
          <w:sz w:val="24"/>
          <w:szCs w:val="24"/>
        </w:rPr>
        <w:lastRenderedPageBreak/>
        <w:t>percentage (relative to normal human plasma) or in International Units per decilitre (IU/dL) (relative to the current international standard for factor VIII in plasma).</w:t>
      </w:r>
    </w:p>
    <w:p w14:paraId="722EF921" w14:textId="77777777" w:rsidR="00E31E04" w:rsidRPr="000E1342" w:rsidRDefault="00E31E04" w:rsidP="00E31E04">
      <w:pPr>
        <w:rPr>
          <w:rFonts w:asciiTheme="majorBidi" w:hAnsiTheme="majorBidi" w:cstheme="majorBidi"/>
          <w:sz w:val="24"/>
          <w:szCs w:val="24"/>
          <w:u w:val="single"/>
        </w:rPr>
      </w:pPr>
      <w:r w:rsidRPr="000E1342">
        <w:rPr>
          <w:rFonts w:asciiTheme="majorBidi" w:hAnsiTheme="majorBidi" w:cstheme="majorBidi"/>
          <w:sz w:val="24"/>
          <w:szCs w:val="24"/>
          <w:u w:val="single"/>
        </w:rPr>
        <w:t>On-demand treatment and treatment of bleeding episodes</w:t>
      </w:r>
    </w:p>
    <w:p w14:paraId="0F186420" w14:textId="0BE85409" w:rsidR="00E31E04" w:rsidRPr="000E1342" w:rsidRDefault="00905971" w:rsidP="00E31E04">
      <w:pPr>
        <w:rPr>
          <w:rFonts w:asciiTheme="majorBidi" w:hAnsiTheme="majorBidi" w:cstheme="majorBidi"/>
          <w:sz w:val="24"/>
          <w:szCs w:val="24"/>
        </w:rPr>
      </w:pPr>
      <w:r w:rsidRPr="000E1342">
        <w:rPr>
          <w:rFonts w:asciiTheme="majorBidi" w:hAnsiTheme="majorBidi" w:cstheme="majorBidi"/>
          <w:sz w:val="24"/>
          <w:szCs w:val="24"/>
        </w:rPr>
        <w:t xml:space="preserve">The calculation of the required dose of factor VIII is based on the empirical finding that </w:t>
      </w:r>
      <w:r w:rsidR="00E31E04" w:rsidRPr="000E1342">
        <w:rPr>
          <w:rFonts w:asciiTheme="majorBidi" w:hAnsiTheme="majorBidi" w:cstheme="majorBidi"/>
          <w:sz w:val="24"/>
          <w:szCs w:val="24"/>
        </w:rPr>
        <w:t xml:space="preserve">1 international unit (IU) factor VIII per kg body weight </w:t>
      </w:r>
      <w:r w:rsidRPr="000E1342">
        <w:rPr>
          <w:rFonts w:asciiTheme="majorBidi" w:hAnsiTheme="majorBidi" w:cstheme="majorBidi"/>
          <w:sz w:val="24"/>
          <w:szCs w:val="24"/>
        </w:rPr>
        <w:t>raises the</w:t>
      </w:r>
      <w:r w:rsidR="00E31E04" w:rsidRPr="000E1342">
        <w:rPr>
          <w:rFonts w:asciiTheme="majorBidi" w:hAnsiTheme="majorBidi" w:cstheme="majorBidi"/>
          <w:sz w:val="24"/>
          <w:szCs w:val="24"/>
        </w:rPr>
        <w:t xml:space="preserve"> </w:t>
      </w:r>
      <w:r w:rsidRPr="000E1342">
        <w:rPr>
          <w:rFonts w:asciiTheme="majorBidi" w:hAnsiTheme="majorBidi" w:cstheme="majorBidi"/>
          <w:sz w:val="24"/>
          <w:szCs w:val="24"/>
        </w:rPr>
        <w:t xml:space="preserve">plasma </w:t>
      </w:r>
      <w:r w:rsidR="00E31E04" w:rsidRPr="000E1342">
        <w:rPr>
          <w:rFonts w:asciiTheme="majorBidi" w:hAnsiTheme="majorBidi" w:cstheme="majorBidi"/>
          <w:sz w:val="24"/>
          <w:szCs w:val="24"/>
        </w:rPr>
        <w:t>factor VIII activity by 2 IU/dL.</w:t>
      </w:r>
    </w:p>
    <w:p w14:paraId="35C5D0DB" w14:textId="7FFA1FBE" w:rsidR="00E31E04" w:rsidRPr="000E1342" w:rsidRDefault="00E31E04" w:rsidP="00E31E04">
      <w:pPr>
        <w:rPr>
          <w:rFonts w:asciiTheme="majorBidi" w:hAnsiTheme="majorBidi" w:cstheme="majorBidi"/>
          <w:sz w:val="24"/>
          <w:szCs w:val="24"/>
        </w:rPr>
      </w:pPr>
      <w:r w:rsidRPr="000E1342">
        <w:rPr>
          <w:rFonts w:asciiTheme="majorBidi" w:hAnsiTheme="majorBidi" w:cstheme="majorBidi"/>
          <w:sz w:val="24"/>
          <w:szCs w:val="24"/>
        </w:rPr>
        <w:t xml:space="preserve">The required dose is </w:t>
      </w:r>
      <w:r w:rsidR="00905971" w:rsidRPr="000E1342">
        <w:rPr>
          <w:rFonts w:asciiTheme="majorBidi" w:hAnsiTheme="majorBidi" w:cstheme="majorBidi"/>
          <w:sz w:val="24"/>
          <w:szCs w:val="24"/>
        </w:rPr>
        <w:t>determined</w:t>
      </w:r>
      <w:r w:rsidRPr="000E1342">
        <w:rPr>
          <w:rFonts w:asciiTheme="majorBidi" w:hAnsiTheme="majorBidi" w:cstheme="majorBidi"/>
          <w:sz w:val="24"/>
          <w:szCs w:val="24"/>
        </w:rPr>
        <w:t xml:space="preserve"> using the following formula:</w:t>
      </w:r>
    </w:p>
    <w:p w14:paraId="4B30312A" w14:textId="6B031D3B" w:rsidR="00671278" w:rsidRPr="000E1342" w:rsidRDefault="00E31E04" w:rsidP="00E31E04">
      <w:pPr>
        <w:rPr>
          <w:rFonts w:asciiTheme="majorBidi" w:hAnsiTheme="majorBidi" w:cstheme="majorBidi"/>
          <w:sz w:val="24"/>
          <w:szCs w:val="24"/>
        </w:rPr>
      </w:pPr>
      <w:r w:rsidRPr="000E1342">
        <w:rPr>
          <w:rFonts w:asciiTheme="majorBidi" w:hAnsiTheme="majorBidi" w:cstheme="majorBidi"/>
          <w:sz w:val="24"/>
          <w:szCs w:val="24"/>
        </w:rPr>
        <w:t>Required units (IU) = body weight (kg) × desired factor VIII rise (%) (IU/dL) × 0.5 (IU/kg per IU/dL)</w:t>
      </w:r>
    </w:p>
    <w:p w14:paraId="13D0D516" w14:textId="7C1CB128" w:rsidR="00E31E04" w:rsidRPr="000E1342" w:rsidRDefault="00E31E04" w:rsidP="00E31E04">
      <w:pPr>
        <w:rPr>
          <w:rFonts w:asciiTheme="majorBidi" w:hAnsiTheme="majorBidi" w:cstheme="majorBidi"/>
          <w:sz w:val="24"/>
          <w:szCs w:val="24"/>
        </w:rPr>
      </w:pPr>
      <w:r w:rsidRPr="000E1342">
        <w:rPr>
          <w:rFonts w:asciiTheme="majorBidi" w:hAnsiTheme="majorBidi" w:cstheme="majorBidi"/>
          <w:sz w:val="24"/>
          <w:szCs w:val="24"/>
        </w:rPr>
        <w:t xml:space="preserve">Patients may differ in terms of pharmacokinetic </w:t>
      </w:r>
      <w:r w:rsidR="00905971" w:rsidRPr="000E1342">
        <w:rPr>
          <w:rFonts w:asciiTheme="majorBidi" w:hAnsiTheme="majorBidi" w:cstheme="majorBidi"/>
          <w:sz w:val="24"/>
          <w:szCs w:val="24"/>
        </w:rPr>
        <w:t>response</w:t>
      </w:r>
      <w:r w:rsidRPr="000E1342">
        <w:rPr>
          <w:rFonts w:asciiTheme="majorBidi" w:hAnsiTheme="majorBidi" w:cstheme="majorBidi"/>
          <w:sz w:val="24"/>
          <w:szCs w:val="24"/>
        </w:rPr>
        <w:t xml:space="preserve"> (</w:t>
      </w:r>
      <w:proofErr w:type="gramStart"/>
      <w:r w:rsidRPr="000E1342">
        <w:rPr>
          <w:rFonts w:asciiTheme="majorBidi" w:hAnsiTheme="majorBidi" w:cstheme="majorBidi"/>
          <w:sz w:val="24"/>
          <w:szCs w:val="24"/>
        </w:rPr>
        <w:t>e.g.</w:t>
      </w:r>
      <w:proofErr w:type="gramEnd"/>
      <w:r w:rsidRPr="000E1342">
        <w:rPr>
          <w:rFonts w:asciiTheme="majorBidi" w:hAnsiTheme="majorBidi" w:cstheme="majorBidi"/>
          <w:sz w:val="24"/>
          <w:szCs w:val="24"/>
        </w:rPr>
        <w:t xml:space="preserve"> half-life, </w:t>
      </w:r>
      <w:r w:rsidRPr="000E1342">
        <w:rPr>
          <w:rFonts w:asciiTheme="majorBidi" w:hAnsiTheme="majorBidi" w:cstheme="majorBidi"/>
          <w:i/>
          <w:sz w:val="24"/>
          <w:szCs w:val="24"/>
        </w:rPr>
        <w:t>in vivo</w:t>
      </w:r>
      <w:r w:rsidRPr="000E1342">
        <w:rPr>
          <w:rFonts w:asciiTheme="majorBidi" w:hAnsiTheme="majorBidi" w:cstheme="majorBidi"/>
          <w:sz w:val="24"/>
          <w:szCs w:val="24"/>
        </w:rPr>
        <w:t xml:space="preserve"> recovery) and clinical response. The dosage and frequency of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administration should be based on the individual clinical response.</w:t>
      </w:r>
    </w:p>
    <w:p w14:paraId="623A591A" w14:textId="733F19BC" w:rsidR="00E31E04" w:rsidRPr="000E1342" w:rsidRDefault="00E31E04" w:rsidP="00E31E04">
      <w:pPr>
        <w:rPr>
          <w:rFonts w:asciiTheme="majorBidi" w:hAnsiTheme="majorBidi" w:cstheme="majorBidi"/>
          <w:sz w:val="24"/>
          <w:szCs w:val="24"/>
        </w:rPr>
      </w:pPr>
      <w:r w:rsidRPr="000E1342">
        <w:rPr>
          <w:rFonts w:asciiTheme="majorBidi" w:hAnsiTheme="majorBidi" w:cstheme="majorBidi"/>
          <w:sz w:val="24"/>
          <w:szCs w:val="24"/>
        </w:rPr>
        <w:t xml:space="preserve">Guidance for the dosage of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during on-demand treatment and treatment of bleeding episodes can be found in Table 1. Care must be taken to ensure that factor VIII activity is maintained accordingly or based on the stated plasma levels (in IU/dL or as a percentage of the standard). The frequency of administration and duration of treatment must be adapted on a case-by-case basis </w:t>
      </w:r>
      <w:proofErr w:type="gramStart"/>
      <w:r w:rsidRPr="000E1342">
        <w:rPr>
          <w:rFonts w:asciiTheme="majorBidi" w:hAnsiTheme="majorBidi" w:cstheme="majorBidi"/>
          <w:sz w:val="24"/>
          <w:szCs w:val="24"/>
        </w:rPr>
        <w:t>in order to</w:t>
      </w:r>
      <w:proofErr w:type="gramEnd"/>
      <w:r w:rsidRPr="000E1342">
        <w:rPr>
          <w:rFonts w:asciiTheme="majorBidi" w:hAnsiTheme="majorBidi" w:cstheme="majorBidi"/>
          <w:sz w:val="24"/>
          <w:szCs w:val="24"/>
        </w:rPr>
        <w:t xml:space="preserve"> achieve optimum clinical efficacy.</w:t>
      </w:r>
    </w:p>
    <w:p w14:paraId="26AEE182" w14:textId="584C45B8" w:rsidR="00E31E04" w:rsidRPr="000E1342" w:rsidRDefault="00E31E04" w:rsidP="00E31E04">
      <w:pPr>
        <w:pStyle w:val="Caption"/>
        <w:keepNext/>
        <w:rPr>
          <w:rFonts w:asciiTheme="majorBidi" w:hAnsiTheme="majorBidi" w:cstheme="majorBidi"/>
          <w:b/>
          <w:i w:val="0"/>
          <w:iCs w:val="0"/>
          <w:color w:val="auto"/>
          <w:sz w:val="24"/>
          <w:szCs w:val="24"/>
        </w:rPr>
      </w:pPr>
      <w:r w:rsidRPr="000E1342">
        <w:rPr>
          <w:rFonts w:asciiTheme="majorBidi" w:hAnsiTheme="majorBidi" w:cstheme="majorBidi"/>
          <w:b/>
          <w:i w:val="0"/>
          <w:iCs w:val="0"/>
          <w:color w:val="auto"/>
          <w:sz w:val="24"/>
          <w:szCs w:val="24"/>
        </w:rPr>
        <w:t xml:space="preserve">Table </w:t>
      </w:r>
      <w:r w:rsidR="007E3269">
        <w:rPr>
          <w:rFonts w:asciiTheme="majorBidi" w:hAnsiTheme="majorBidi" w:cstheme="majorBidi"/>
          <w:b/>
          <w:i w:val="0"/>
          <w:iCs w:val="0"/>
          <w:color w:val="auto"/>
          <w:sz w:val="24"/>
          <w:szCs w:val="24"/>
        </w:rPr>
        <w:t>1</w:t>
      </w:r>
      <w:r w:rsidRPr="000E1342">
        <w:rPr>
          <w:rFonts w:asciiTheme="majorBidi" w:hAnsiTheme="majorBidi" w:cstheme="majorBidi"/>
          <w:b/>
          <w:i w:val="0"/>
          <w:iCs w:val="0"/>
          <w:color w:val="auto"/>
          <w:sz w:val="24"/>
          <w:szCs w:val="24"/>
        </w:rPr>
        <w:tab/>
      </w:r>
      <w:r w:rsidR="003C1854" w:rsidRPr="000E1342">
        <w:rPr>
          <w:rFonts w:asciiTheme="majorBidi" w:hAnsiTheme="majorBidi" w:cstheme="majorBidi"/>
          <w:b/>
          <w:i w:val="0"/>
          <w:iCs w:val="0"/>
          <w:color w:val="auto"/>
          <w:sz w:val="24"/>
          <w:szCs w:val="24"/>
        </w:rPr>
        <w:t>Dosing guide for</w:t>
      </w:r>
      <w:r w:rsidRPr="000E1342">
        <w:rPr>
          <w:rFonts w:asciiTheme="majorBidi" w:hAnsiTheme="majorBidi" w:cstheme="majorBidi"/>
          <w:b/>
          <w:i w:val="0"/>
          <w:iCs w:val="0"/>
          <w:color w:val="auto"/>
          <w:sz w:val="24"/>
          <w:szCs w:val="24"/>
        </w:rPr>
        <w:t xml:space="preserve"> treatment of bleeding episodes with </w:t>
      </w:r>
      <w:r w:rsidR="00EE565D">
        <w:rPr>
          <w:rFonts w:asciiTheme="majorBidi" w:hAnsiTheme="majorBidi" w:cstheme="majorBidi"/>
          <w:b/>
          <w:i w:val="0"/>
          <w:iCs w:val="0"/>
          <w:color w:val="auto"/>
          <w:sz w:val="24"/>
          <w:szCs w:val="24"/>
        </w:rPr>
        <w:t>ESPEROCT</w:t>
      </w:r>
    </w:p>
    <w:tbl>
      <w:tblPr>
        <w:tblStyle w:val="TableGrid"/>
        <w:tblW w:w="0" w:type="auto"/>
        <w:tblLook w:val="04A0" w:firstRow="1" w:lastRow="0" w:firstColumn="1" w:lastColumn="0" w:noHBand="0" w:noVBand="1"/>
      </w:tblPr>
      <w:tblGrid>
        <w:gridCol w:w="3005"/>
        <w:gridCol w:w="3005"/>
        <w:gridCol w:w="3006"/>
      </w:tblGrid>
      <w:tr w:rsidR="00E31E04" w:rsidRPr="000E1342" w14:paraId="2526BAE0" w14:textId="77777777" w:rsidTr="00E31E04">
        <w:tc>
          <w:tcPr>
            <w:tcW w:w="3005" w:type="dxa"/>
          </w:tcPr>
          <w:p w14:paraId="4B468DF5" w14:textId="38239925" w:rsidR="00E31E04" w:rsidRPr="000E1342" w:rsidRDefault="00E31E04" w:rsidP="00E31E04">
            <w:pPr>
              <w:rPr>
                <w:rFonts w:asciiTheme="majorBidi" w:hAnsiTheme="majorBidi" w:cstheme="majorBidi"/>
              </w:rPr>
            </w:pPr>
            <w:r w:rsidRPr="000E1342">
              <w:rPr>
                <w:rFonts w:asciiTheme="majorBidi" w:hAnsiTheme="majorBidi" w:cstheme="majorBidi"/>
                <w:b/>
              </w:rPr>
              <w:t xml:space="preserve">Degree of </w:t>
            </w:r>
            <w:r w:rsidR="00867F45">
              <w:rPr>
                <w:rFonts w:asciiTheme="majorBidi" w:hAnsiTheme="majorBidi" w:cstheme="majorBidi"/>
                <w:b/>
              </w:rPr>
              <w:t>bleeding</w:t>
            </w:r>
          </w:p>
        </w:tc>
        <w:tc>
          <w:tcPr>
            <w:tcW w:w="3005" w:type="dxa"/>
          </w:tcPr>
          <w:p w14:paraId="29125702" w14:textId="77777777" w:rsidR="00E31E04" w:rsidRPr="000E1342" w:rsidRDefault="00E31E04" w:rsidP="00E31E04">
            <w:pPr>
              <w:rPr>
                <w:rFonts w:asciiTheme="majorBidi" w:hAnsiTheme="majorBidi" w:cstheme="majorBidi"/>
                <w:b/>
                <w:vertAlign w:val="superscript"/>
              </w:rPr>
            </w:pPr>
            <w:r w:rsidRPr="000E1342">
              <w:rPr>
                <w:rFonts w:asciiTheme="majorBidi" w:hAnsiTheme="majorBidi" w:cstheme="majorBidi"/>
                <w:b/>
              </w:rPr>
              <w:t xml:space="preserve">Factor VIII level required (IU/dL or % of the </w:t>
            </w:r>
            <w:proofErr w:type="gramStart"/>
            <w:r w:rsidRPr="000E1342">
              <w:rPr>
                <w:rFonts w:asciiTheme="majorBidi" w:hAnsiTheme="majorBidi" w:cstheme="majorBidi"/>
                <w:b/>
              </w:rPr>
              <w:t>standard)</w:t>
            </w:r>
            <w:r w:rsidRPr="000E1342">
              <w:rPr>
                <w:rFonts w:asciiTheme="majorBidi" w:hAnsiTheme="majorBidi" w:cstheme="majorBidi"/>
                <w:b/>
                <w:vertAlign w:val="superscript"/>
              </w:rPr>
              <w:t>a</w:t>
            </w:r>
            <w:proofErr w:type="gramEnd"/>
            <w:r w:rsidRPr="000E1342">
              <w:rPr>
                <w:rFonts w:asciiTheme="majorBidi" w:hAnsiTheme="majorBidi" w:cstheme="majorBidi"/>
                <w:b/>
                <w:vertAlign w:val="superscript"/>
              </w:rPr>
              <w:t xml:space="preserve"> </w:t>
            </w:r>
          </w:p>
          <w:p w14:paraId="6CC0CE69" w14:textId="75316357" w:rsidR="008005F5" w:rsidRPr="000E1342" w:rsidRDefault="008005F5" w:rsidP="00E31E04">
            <w:pPr>
              <w:rPr>
                <w:rFonts w:asciiTheme="majorBidi" w:hAnsiTheme="majorBidi" w:cstheme="majorBidi"/>
              </w:rPr>
            </w:pPr>
          </w:p>
        </w:tc>
        <w:tc>
          <w:tcPr>
            <w:tcW w:w="3006" w:type="dxa"/>
          </w:tcPr>
          <w:p w14:paraId="31833E2B" w14:textId="77777777" w:rsidR="0008745B" w:rsidRPr="000E1342" w:rsidRDefault="00E31E04" w:rsidP="0008745B">
            <w:pPr>
              <w:rPr>
                <w:rFonts w:asciiTheme="majorBidi" w:hAnsiTheme="majorBidi" w:cstheme="majorBidi"/>
                <w:b/>
              </w:rPr>
            </w:pPr>
            <w:r w:rsidRPr="000E1342">
              <w:rPr>
                <w:rFonts w:asciiTheme="majorBidi" w:hAnsiTheme="majorBidi" w:cstheme="majorBidi"/>
                <w:b/>
              </w:rPr>
              <w:t>Frequency of doses (hours)/</w:t>
            </w:r>
          </w:p>
          <w:p w14:paraId="3BBB8D41" w14:textId="3D8A5E38" w:rsidR="00E31E04" w:rsidRPr="000E1342" w:rsidRDefault="00E31E04" w:rsidP="0008745B">
            <w:pPr>
              <w:rPr>
                <w:rFonts w:asciiTheme="majorBidi" w:hAnsiTheme="majorBidi" w:cstheme="majorBidi"/>
                <w:b/>
              </w:rPr>
            </w:pPr>
            <w:r w:rsidRPr="000E1342">
              <w:rPr>
                <w:rFonts w:asciiTheme="majorBidi" w:hAnsiTheme="majorBidi" w:cstheme="majorBidi"/>
                <w:b/>
              </w:rPr>
              <w:t xml:space="preserve">duration of </w:t>
            </w:r>
            <w:r w:rsidR="003C1854" w:rsidRPr="000E1342">
              <w:rPr>
                <w:rFonts w:asciiTheme="majorBidi" w:hAnsiTheme="majorBidi" w:cstheme="majorBidi"/>
                <w:b/>
              </w:rPr>
              <w:t>therapy</w:t>
            </w:r>
            <w:r w:rsidRPr="000E1342">
              <w:rPr>
                <w:rFonts w:asciiTheme="majorBidi" w:hAnsiTheme="majorBidi" w:cstheme="majorBidi"/>
                <w:b/>
              </w:rPr>
              <w:t xml:space="preserve"> (days)</w:t>
            </w:r>
          </w:p>
        </w:tc>
      </w:tr>
      <w:tr w:rsidR="00E31E04" w:rsidRPr="000E1342" w14:paraId="4670DF21" w14:textId="77777777" w:rsidTr="00E31E04">
        <w:tc>
          <w:tcPr>
            <w:tcW w:w="3005" w:type="dxa"/>
          </w:tcPr>
          <w:p w14:paraId="126363DF" w14:textId="77777777" w:rsidR="00E31E04" w:rsidRPr="000E1342" w:rsidRDefault="00E31E04" w:rsidP="00E31E04">
            <w:pPr>
              <w:rPr>
                <w:rFonts w:asciiTheme="majorBidi" w:hAnsiTheme="majorBidi" w:cstheme="majorBidi"/>
                <w:b/>
                <w:lang w:eastAsia="da-DK"/>
              </w:rPr>
            </w:pPr>
            <w:r w:rsidRPr="000E1342">
              <w:rPr>
                <w:rFonts w:asciiTheme="majorBidi" w:hAnsiTheme="majorBidi" w:cstheme="majorBidi"/>
                <w:b/>
              </w:rPr>
              <w:t>Mild</w:t>
            </w:r>
          </w:p>
          <w:p w14:paraId="59DBE90F" w14:textId="2C895F65" w:rsidR="00E31E04" w:rsidRPr="000E1342" w:rsidRDefault="00E31E04" w:rsidP="0008745B">
            <w:pPr>
              <w:rPr>
                <w:rFonts w:asciiTheme="majorBidi" w:hAnsiTheme="majorBidi" w:cstheme="majorBidi"/>
              </w:rPr>
            </w:pPr>
            <w:r w:rsidRPr="000E1342">
              <w:rPr>
                <w:rFonts w:asciiTheme="majorBidi" w:hAnsiTheme="majorBidi" w:cstheme="majorBidi"/>
              </w:rPr>
              <w:t xml:space="preserve">Early stage </w:t>
            </w:r>
            <w:proofErr w:type="spellStart"/>
            <w:r w:rsidRPr="000E1342">
              <w:rPr>
                <w:rFonts w:asciiTheme="majorBidi" w:hAnsiTheme="majorBidi" w:cstheme="majorBidi"/>
              </w:rPr>
              <w:t>haemarthrosis</w:t>
            </w:r>
            <w:proofErr w:type="spellEnd"/>
            <w:r w:rsidRPr="000E1342">
              <w:rPr>
                <w:rFonts w:asciiTheme="majorBidi" w:hAnsiTheme="majorBidi" w:cstheme="majorBidi"/>
              </w:rPr>
              <w:t xml:space="preserve">, </w:t>
            </w:r>
            <w:r w:rsidR="0008745B" w:rsidRPr="000E1342">
              <w:rPr>
                <w:rFonts w:asciiTheme="majorBidi" w:hAnsiTheme="majorBidi" w:cstheme="majorBidi"/>
              </w:rPr>
              <w:t>mild</w:t>
            </w:r>
            <w:r w:rsidRPr="000E1342">
              <w:rPr>
                <w:rFonts w:asciiTheme="majorBidi" w:hAnsiTheme="majorBidi" w:cstheme="majorBidi"/>
              </w:rPr>
              <w:t xml:space="preserve"> muscle bleeding or </w:t>
            </w:r>
            <w:r w:rsidR="0008745B" w:rsidRPr="000E1342">
              <w:rPr>
                <w:rFonts w:asciiTheme="majorBidi" w:hAnsiTheme="majorBidi" w:cstheme="majorBidi"/>
              </w:rPr>
              <w:t>mild</w:t>
            </w:r>
            <w:r w:rsidRPr="000E1342">
              <w:rPr>
                <w:rFonts w:asciiTheme="majorBidi" w:hAnsiTheme="majorBidi" w:cstheme="majorBidi"/>
              </w:rPr>
              <w:t xml:space="preserve"> oral bleeding</w:t>
            </w:r>
          </w:p>
        </w:tc>
        <w:tc>
          <w:tcPr>
            <w:tcW w:w="3005" w:type="dxa"/>
          </w:tcPr>
          <w:p w14:paraId="6488BB70" w14:textId="033A2E24" w:rsidR="00E31E04" w:rsidRPr="000E1342" w:rsidRDefault="00E31E04" w:rsidP="00E31E04">
            <w:pPr>
              <w:rPr>
                <w:rFonts w:asciiTheme="majorBidi" w:hAnsiTheme="majorBidi" w:cstheme="majorBidi"/>
              </w:rPr>
            </w:pPr>
            <w:r w:rsidRPr="000E1342">
              <w:rPr>
                <w:rFonts w:asciiTheme="majorBidi" w:hAnsiTheme="majorBidi" w:cstheme="majorBidi"/>
              </w:rPr>
              <w:t>20 – 40</w:t>
            </w:r>
          </w:p>
        </w:tc>
        <w:tc>
          <w:tcPr>
            <w:tcW w:w="3006" w:type="dxa"/>
          </w:tcPr>
          <w:p w14:paraId="6C8BB377" w14:textId="597A9CE3" w:rsidR="00E31E04" w:rsidRPr="000E1342" w:rsidRDefault="0008745B" w:rsidP="0008745B">
            <w:pPr>
              <w:rPr>
                <w:rFonts w:asciiTheme="majorBidi" w:hAnsiTheme="majorBidi" w:cstheme="majorBidi"/>
                <w:lang w:eastAsia="da-DK"/>
              </w:rPr>
            </w:pPr>
            <w:r w:rsidRPr="000E1342">
              <w:rPr>
                <w:rFonts w:asciiTheme="majorBidi" w:hAnsiTheme="majorBidi" w:cstheme="majorBidi"/>
              </w:rPr>
              <w:t>Repeat</w:t>
            </w:r>
            <w:r w:rsidR="00484DD1">
              <w:rPr>
                <w:rFonts w:asciiTheme="majorBidi" w:hAnsiTheme="majorBidi" w:cstheme="majorBidi"/>
              </w:rPr>
              <w:t xml:space="preserve"> IV injection</w:t>
            </w:r>
            <w:r w:rsidRPr="000E1342">
              <w:rPr>
                <w:rFonts w:asciiTheme="majorBidi" w:hAnsiTheme="majorBidi" w:cstheme="majorBidi"/>
              </w:rPr>
              <w:t xml:space="preserve"> every 12 to 24 hours</w:t>
            </w:r>
            <w:r w:rsidR="00484DD1">
              <w:rPr>
                <w:rFonts w:asciiTheme="majorBidi" w:hAnsiTheme="majorBidi" w:cstheme="majorBidi"/>
              </w:rPr>
              <w:t xml:space="preserve">, for at </w:t>
            </w:r>
            <w:r w:rsidR="00E31E04" w:rsidRPr="000E1342">
              <w:rPr>
                <w:rFonts w:asciiTheme="majorBidi" w:hAnsiTheme="majorBidi" w:cstheme="majorBidi"/>
              </w:rPr>
              <w:t>least 1 day, until the bleeding episode, indicated by pain, has stopped or healing has been achieved.</w:t>
            </w:r>
          </w:p>
        </w:tc>
      </w:tr>
      <w:tr w:rsidR="00E31E04" w:rsidRPr="000E1342" w14:paraId="2A79478C" w14:textId="77777777" w:rsidTr="00E31E04">
        <w:tc>
          <w:tcPr>
            <w:tcW w:w="3005" w:type="dxa"/>
          </w:tcPr>
          <w:p w14:paraId="7ACDC30C" w14:textId="77777777" w:rsidR="0008745B" w:rsidRPr="000E1342" w:rsidRDefault="0008745B" w:rsidP="0008745B">
            <w:pPr>
              <w:rPr>
                <w:rFonts w:asciiTheme="majorBidi" w:hAnsiTheme="majorBidi" w:cstheme="majorBidi"/>
                <w:b/>
                <w:lang w:eastAsia="da-DK"/>
              </w:rPr>
            </w:pPr>
            <w:r w:rsidRPr="000E1342">
              <w:rPr>
                <w:rFonts w:asciiTheme="majorBidi" w:hAnsiTheme="majorBidi" w:cstheme="majorBidi"/>
                <w:b/>
              </w:rPr>
              <w:t>Moderate</w:t>
            </w:r>
          </w:p>
          <w:p w14:paraId="732CDB6A" w14:textId="25F6BB9D" w:rsidR="00E31E04" w:rsidRPr="000E1342" w:rsidRDefault="0008745B" w:rsidP="0008745B">
            <w:pPr>
              <w:rPr>
                <w:rFonts w:asciiTheme="majorBidi" w:hAnsiTheme="majorBidi" w:cstheme="majorBidi"/>
              </w:rPr>
            </w:pPr>
            <w:r w:rsidRPr="000E1342">
              <w:rPr>
                <w:rFonts w:asciiTheme="majorBidi" w:hAnsiTheme="majorBidi" w:cstheme="majorBidi"/>
              </w:rPr>
              <w:t xml:space="preserve">More extensive </w:t>
            </w:r>
            <w:proofErr w:type="spellStart"/>
            <w:r w:rsidRPr="000E1342">
              <w:rPr>
                <w:rFonts w:asciiTheme="majorBidi" w:hAnsiTheme="majorBidi" w:cstheme="majorBidi"/>
              </w:rPr>
              <w:t>haemarthrosis</w:t>
            </w:r>
            <w:proofErr w:type="spellEnd"/>
            <w:r w:rsidRPr="000E1342">
              <w:rPr>
                <w:rFonts w:asciiTheme="majorBidi" w:hAnsiTheme="majorBidi" w:cstheme="majorBidi"/>
              </w:rPr>
              <w:t>, muscle bleeding or haematoma</w:t>
            </w:r>
          </w:p>
        </w:tc>
        <w:tc>
          <w:tcPr>
            <w:tcW w:w="3005" w:type="dxa"/>
          </w:tcPr>
          <w:p w14:paraId="1AEA56F7" w14:textId="1E423E99" w:rsidR="00E31E04" w:rsidRPr="000E1342" w:rsidRDefault="0008745B" w:rsidP="00E31E04">
            <w:pPr>
              <w:rPr>
                <w:rFonts w:asciiTheme="majorBidi" w:hAnsiTheme="majorBidi" w:cstheme="majorBidi"/>
              </w:rPr>
            </w:pPr>
            <w:r w:rsidRPr="000E1342">
              <w:rPr>
                <w:rFonts w:asciiTheme="majorBidi" w:hAnsiTheme="majorBidi" w:cstheme="majorBidi"/>
              </w:rPr>
              <w:t>30 – 60</w:t>
            </w:r>
          </w:p>
        </w:tc>
        <w:tc>
          <w:tcPr>
            <w:tcW w:w="3006" w:type="dxa"/>
          </w:tcPr>
          <w:p w14:paraId="2B16F31C" w14:textId="59D9A608" w:rsidR="00E31E04" w:rsidRPr="000E1342" w:rsidRDefault="0008745B" w:rsidP="00E31E04">
            <w:pPr>
              <w:rPr>
                <w:rFonts w:asciiTheme="majorBidi" w:hAnsiTheme="majorBidi" w:cstheme="majorBidi"/>
                <w:lang w:eastAsia="da-DK"/>
              </w:rPr>
            </w:pPr>
            <w:r w:rsidRPr="000E1342">
              <w:rPr>
                <w:rFonts w:asciiTheme="majorBidi" w:hAnsiTheme="majorBidi" w:cstheme="majorBidi"/>
              </w:rPr>
              <w:t xml:space="preserve">Repeat </w:t>
            </w:r>
            <w:r w:rsidR="00980888">
              <w:rPr>
                <w:rFonts w:asciiTheme="majorBidi" w:hAnsiTheme="majorBidi" w:cstheme="majorBidi"/>
              </w:rPr>
              <w:t>IV injection</w:t>
            </w:r>
            <w:r w:rsidR="00980888" w:rsidRPr="000E1342">
              <w:rPr>
                <w:rFonts w:asciiTheme="majorBidi" w:hAnsiTheme="majorBidi" w:cstheme="majorBidi"/>
              </w:rPr>
              <w:t xml:space="preserve"> </w:t>
            </w:r>
            <w:r w:rsidRPr="000E1342">
              <w:rPr>
                <w:rFonts w:asciiTheme="majorBidi" w:hAnsiTheme="majorBidi" w:cstheme="majorBidi"/>
              </w:rPr>
              <w:t>every 12 – 24 hours for 3 – 4 days or more, until pain and acute impairment have been eliminated.</w:t>
            </w:r>
          </w:p>
        </w:tc>
      </w:tr>
      <w:tr w:rsidR="0008745B" w:rsidRPr="000E1342" w14:paraId="518691B1" w14:textId="77777777" w:rsidTr="00E31E04">
        <w:tc>
          <w:tcPr>
            <w:tcW w:w="3005" w:type="dxa"/>
          </w:tcPr>
          <w:p w14:paraId="09BA9F8D" w14:textId="11CBF8C2" w:rsidR="0008745B" w:rsidRPr="000E1342" w:rsidRDefault="0008745B" w:rsidP="0008745B">
            <w:pPr>
              <w:rPr>
                <w:rFonts w:asciiTheme="majorBidi" w:hAnsiTheme="majorBidi" w:cstheme="majorBidi"/>
              </w:rPr>
            </w:pPr>
            <w:r w:rsidRPr="000E1342">
              <w:rPr>
                <w:rFonts w:asciiTheme="majorBidi" w:hAnsiTheme="majorBidi" w:cstheme="majorBidi"/>
                <w:b/>
              </w:rPr>
              <w:t xml:space="preserve">Severe or life-threatening </w:t>
            </w:r>
            <w:r w:rsidR="00D73F56">
              <w:rPr>
                <w:rFonts w:asciiTheme="majorBidi" w:hAnsiTheme="majorBidi" w:cstheme="majorBidi"/>
                <w:b/>
              </w:rPr>
              <w:t>bleed</w:t>
            </w:r>
            <w:r w:rsidR="004779AB">
              <w:rPr>
                <w:rFonts w:asciiTheme="majorBidi" w:hAnsiTheme="majorBidi" w:cstheme="majorBidi"/>
                <w:b/>
              </w:rPr>
              <w:t>ing</w:t>
            </w:r>
          </w:p>
        </w:tc>
        <w:tc>
          <w:tcPr>
            <w:tcW w:w="3005" w:type="dxa"/>
          </w:tcPr>
          <w:p w14:paraId="5787A7F5" w14:textId="02EA2CE9" w:rsidR="0008745B" w:rsidRPr="000E1342" w:rsidRDefault="0008745B" w:rsidP="0008745B">
            <w:pPr>
              <w:rPr>
                <w:rFonts w:asciiTheme="majorBidi" w:hAnsiTheme="majorBidi" w:cstheme="majorBidi"/>
              </w:rPr>
            </w:pPr>
            <w:r w:rsidRPr="000E1342">
              <w:rPr>
                <w:rFonts w:asciiTheme="majorBidi" w:hAnsiTheme="majorBidi" w:cstheme="majorBidi"/>
              </w:rPr>
              <w:t>60 – 100</w:t>
            </w:r>
          </w:p>
        </w:tc>
        <w:tc>
          <w:tcPr>
            <w:tcW w:w="3006" w:type="dxa"/>
          </w:tcPr>
          <w:p w14:paraId="0A4343A4" w14:textId="1CEFC6DE" w:rsidR="0008745B" w:rsidRPr="000E1342" w:rsidRDefault="0008745B" w:rsidP="0008745B">
            <w:pPr>
              <w:rPr>
                <w:rFonts w:asciiTheme="majorBidi" w:hAnsiTheme="majorBidi" w:cstheme="majorBidi"/>
                <w:lang w:eastAsia="da-DK"/>
              </w:rPr>
            </w:pPr>
            <w:r w:rsidRPr="000E1342">
              <w:rPr>
                <w:rFonts w:asciiTheme="majorBidi" w:hAnsiTheme="majorBidi" w:cstheme="majorBidi"/>
              </w:rPr>
              <w:t xml:space="preserve">Repeat </w:t>
            </w:r>
            <w:r w:rsidR="00520DA8">
              <w:rPr>
                <w:rFonts w:asciiTheme="majorBidi" w:hAnsiTheme="majorBidi" w:cstheme="majorBidi"/>
              </w:rPr>
              <w:t>IV injection</w:t>
            </w:r>
            <w:r w:rsidR="00520DA8" w:rsidRPr="000E1342">
              <w:rPr>
                <w:rFonts w:asciiTheme="majorBidi" w:hAnsiTheme="majorBidi" w:cstheme="majorBidi"/>
              </w:rPr>
              <w:t xml:space="preserve"> </w:t>
            </w:r>
            <w:r w:rsidRPr="000E1342">
              <w:rPr>
                <w:rFonts w:asciiTheme="majorBidi" w:hAnsiTheme="majorBidi" w:cstheme="majorBidi"/>
              </w:rPr>
              <w:t>every 8 – 24 hours until the risk has subsided.</w:t>
            </w:r>
          </w:p>
        </w:tc>
      </w:tr>
    </w:tbl>
    <w:p w14:paraId="73F20C21" w14:textId="36284110" w:rsidR="008005F5" w:rsidRDefault="0008745B" w:rsidP="0008745B">
      <w:pPr>
        <w:spacing w:line="240" w:lineRule="auto"/>
        <w:rPr>
          <w:rFonts w:asciiTheme="majorBidi" w:hAnsiTheme="majorBidi" w:cstheme="majorBidi"/>
          <w:iCs/>
          <w:sz w:val="20"/>
          <w:szCs w:val="20"/>
        </w:rPr>
      </w:pPr>
      <w:proofErr w:type="spellStart"/>
      <w:r w:rsidRPr="000E1342">
        <w:rPr>
          <w:rFonts w:asciiTheme="majorBidi" w:hAnsiTheme="majorBidi" w:cstheme="majorBidi"/>
          <w:iCs/>
          <w:sz w:val="20"/>
          <w:szCs w:val="20"/>
          <w:vertAlign w:val="superscript"/>
        </w:rPr>
        <w:t>a</w:t>
      </w:r>
      <w:proofErr w:type="spellEnd"/>
      <w:r w:rsidRPr="000E1342">
        <w:rPr>
          <w:rFonts w:asciiTheme="majorBidi" w:hAnsiTheme="majorBidi" w:cstheme="majorBidi"/>
          <w:iCs/>
          <w:sz w:val="20"/>
          <w:szCs w:val="20"/>
          <w:vertAlign w:val="superscript"/>
        </w:rPr>
        <w:t xml:space="preserve"> </w:t>
      </w:r>
      <w:proofErr w:type="gramStart"/>
      <w:r w:rsidRPr="000E1342">
        <w:rPr>
          <w:rFonts w:asciiTheme="majorBidi" w:hAnsiTheme="majorBidi" w:cstheme="majorBidi"/>
          <w:iCs/>
          <w:sz w:val="20"/>
          <w:szCs w:val="20"/>
        </w:rPr>
        <w:t>The</w:t>
      </w:r>
      <w:proofErr w:type="gramEnd"/>
      <w:r w:rsidRPr="000E1342">
        <w:rPr>
          <w:rFonts w:asciiTheme="majorBidi" w:hAnsiTheme="majorBidi" w:cstheme="majorBidi"/>
          <w:iCs/>
          <w:sz w:val="20"/>
          <w:szCs w:val="20"/>
        </w:rPr>
        <w:t xml:space="preserve"> required dose is calculated using the following formula:</w:t>
      </w:r>
      <w:r w:rsidRPr="000E1342">
        <w:rPr>
          <w:rFonts w:asciiTheme="majorBidi" w:hAnsiTheme="majorBidi" w:cstheme="majorBidi"/>
          <w:iCs/>
          <w:sz w:val="20"/>
          <w:szCs w:val="20"/>
        </w:rPr>
        <w:br/>
        <w:t>Required units (IU) = body weight (in kg) × desired factor VIII rise (in %) (IU/dL) × 0.5 (IU/kg per IU/dL)</w:t>
      </w:r>
      <w:r w:rsidR="00980888">
        <w:rPr>
          <w:rFonts w:asciiTheme="majorBidi" w:hAnsiTheme="majorBidi" w:cstheme="majorBidi"/>
          <w:iCs/>
          <w:sz w:val="20"/>
          <w:szCs w:val="20"/>
        </w:rPr>
        <w:br/>
        <w:t>IV = intravenous</w:t>
      </w:r>
    </w:p>
    <w:p w14:paraId="354B5971" w14:textId="77777777" w:rsidR="00436454" w:rsidRDefault="00436454" w:rsidP="0008745B">
      <w:pPr>
        <w:spacing w:line="240" w:lineRule="auto"/>
        <w:rPr>
          <w:rFonts w:asciiTheme="majorBidi" w:hAnsiTheme="majorBidi" w:cstheme="majorBidi"/>
          <w:iCs/>
          <w:sz w:val="20"/>
          <w:szCs w:val="20"/>
        </w:rPr>
      </w:pPr>
    </w:p>
    <w:p w14:paraId="3ECB39CE" w14:textId="77777777" w:rsidR="00436454" w:rsidRPr="000E1342" w:rsidRDefault="00436454" w:rsidP="0008745B">
      <w:pPr>
        <w:spacing w:line="240" w:lineRule="auto"/>
        <w:rPr>
          <w:rFonts w:asciiTheme="majorBidi" w:hAnsiTheme="majorBidi" w:cstheme="majorBidi"/>
          <w:iCs/>
          <w:sz w:val="20"/>
          <w:szCs w:val="20"/>
        </w:rPr>
      </w:pPr>
    </w:p>
    <w:p w14:paraId="0BE55FF3" w14:textId="77777777" w:rsidR="00D42B03" w:rsidRPr="000E1342" w:rsidRDefault="00D42B03" w:rsidP="00D42B03">
      <w:pPr>
        <w:rPr>
          <w:rFonts w:asciiTheme="majorBidi" w:hAnsiTheme="majorBidi" w:cstheme="majorBidi"/>
          <w:sz w:val="24"/>
          <w:szCs w:val="24"/>
          <w:u w:val="single"/>
        </w:rPr>
      </w:pPr>
      <w:r w:rsidRPr="000E1342">
        <w:rPr>
          <w:rFonts w:asciiTheme="majorBidi" w:hAnsiTheme="majorBidi" w:cstheme="majorBidi"/>
          <w:sz w:val="24"/>
          <w:szCs w:val="24"/>
          <w:u w:val="single"/>
        </w:rPr>
        <w:lastRenderedPageBreak/>
        <w:t>Perioperative care</w:t>
      </w:r>
    </w:p>
    <w:p w14:paraId="799EA04D" w14:textId="3EB9866F" w:rsidR="00D42B03" w:rsidRPr="000E1342" w:rsidRDefault="00D42B03" w:rsidP="00D42B03">
      <w:pPr>
        <w:rPr>
          <w:rFonts w:asciiTheme="majorBidi" w:hAnsiTheme="majorBidi" w:cstheme="majorBidi"/>
          <w:sz w:val="24"/>
          <w:szCs w:val="24"/>
        </w:rPr>
      </w:pPr>
      <w:r w:rsidRPr="000E1342">
        <w:rPr>
          <w:rFonts w:asciiTheme="majorBidi" w:hAnsiTheme="majorBidi" w:cstheme="majorBidi"/>
          <w:sz w:val="24"/>
          <w:szCs w:val="24"/>
        </w:rPr>
        <w:t xml:space="preserve">The dosage and administration intervals </w:t>
      </w:r>
      <w:r w:rsidR="003C1854" w:rsidRPr="000E1342">
        <w:rPr>
          <w:rFonts w:asciiTheme="majorBidi" w:hAnsiTheme="majorBidi" w:cstheme="majorBidi"/>
          <w:sz w:val="24"/>
          <w:szCs w:val="24"/>
        </w:rPr>
        <w:t>during</w:t>
      </w:r>
      <w:r w:rsidRPr="000E1342">
        <w:rPr>
          <w:rFonts w:asciiTheme="majorBidi" w:hAnsiTheme="majorBidi" w:cstheme="majorBidi"/>
          <w:sz w:val="24"/>
          <w:szCs w:val="24"/>
        </w:rPr>
        <w:t xml:space="preserve"> surgery depend on the procedure and local practice. The frequency of administration and duration of treatment should be adjusted based on the individual clinical response.</w:t>
      </w:r>
    </w:p>
    <w:p w14:paraId="0C81E255" w14:textId="4779381A" w:rsidR="00E31E04" w:rsidRPr="000E1342" w:rsidRDefault="00D42B03" w:rsidP="00D42B03">
      <w:pPr>
        <w:rPr>
          <w:rFonts w:asciiTheme="majorBidi" w:hAnsiTheme="majorBidi" w:cstheme="majorBidi"/>
          <w:sz w:val="24"/>
          <w:szCs w:val="24"/>
        </w:rPr>
      </w:pPr>
      <w:r w:rsidRPr="000E1342">
        <w:rPr>
          <w:rFonts w:asciiTheme="majorBidi" w:hAnsiTheme="majorBidi" w:cstheme="majorBidi"/>
          <w:sz w:val="24"/>
          <w:szCs w:val="24"/>
        </w:rPr>
        <w:t xml:space="preserve">Table 2 contains general recommendations regarding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dosage for perioperative care. The aim should be to keep factor VIII activity at or above the target range.</w:t>
      </w:r>
    </w:p>
    <w:p w14:paraId="30FE62EA" w14:textId="011B88B4" w:rsidR="00D42B03" w:rsidRPr="000E1342" w:rsidRDefault="00D42B03" w:rsidP="00D42B03">
      <w:pPr>
        <w:pStyle w:val="Caption"/>
        <w:keepNext/>
        <w:rPr>
          <w:rFonts w:asciiTheme="majorBidi" w:hAnsiTheme="majorBidi" w:cstheme="majorBidi"/>
          <w:b/>
          <w:i w:val="0"/>
          <w:iCs w:val="0"/>
          <w:color w:val="auto"/>
          <w:sz w:val="24"/>
          <w:szCs w:val="24"/>
        </w:rPr>
      </w:pPr>
      <w:r w:rsidRPr="000E1342">
        <w:rPr>
          <w:rFonts w:asciiTheme="majorBidi" w:hAnsiTheme="majorBidi" w:cstheme="majorBidi"/>
          <w:b/>
          <w:i w:val="0"/>
          <w:iCs w:val="0"/>
          <w:color w:val="auto"/>
          <w:sz w:val="24"/>
          <w:szCs w:val="24"/>
        </w:rPr>
        <w:t xml:space="preserve">Table </w:t>
      </w:r>
      <w:r w:rsidR="00A31FA7">
        <w:rPr>
          <w:rFonts w:asciiTheme="majorBidi" w:hAnsiTheme="majorBidi" w:cstheme="majorBidi"/>
          <w:b/>
          <w:i w:val="0"/>
          <w:iCs w:val="0"/>
          <w:color w:val="auto"/>
          <w:sz w:val="24"/>
          <w:szCs w:val="24"/>
        </w:rPr>
        <w:t>2</w:t>
      </w:r>
      <w:r w:rsidRPr="000E1342">
        <w:rPr>
          <w:rFonts w:asciiTheme="majorBidi" w:hAnsiTheme="majorBidi" w:cstheme="majorBidi"/>
          <w:b/>
          <w:i w:val="0"/>
          <w:iCs w:val="0"/>
          <w:color w:val="auto"/>
          <w:sz w:val="24"/>
          <w:szCs w:val="24"/>
        </w:rPr>
        <w:tab/>
      </w:r>
      <w:r w:rsidR="003C1854" w:rsidRPr="000E1342">
        <w:rPr>
          <w:rFonts w:asciiTheme="majorBidi" w:hAnsiTheme="majorBidi" w:cstheme="majorBidi"/>
          <w:b/>
          <w:i w:val="0"/>
          <w:iCs w:val="0"/>
          <w:color w:val="auto"/>
          <w:sz w:val="24"/>
          <w:szCs w:val="24"/>
        </w:rPr>
        <w:t xml:space="preserve">Dosing guide </w:t>
      </w:r>
      <w:r w:rsidRPr="000E1342">
        <w:rPr>
          <w:rFonts w:asciiTheme="majorBidi" w:hAnsiTheme="majorBidi" w:cstheme="majorBidi"/>
          <w:b/>
          <w:i w:val="0"/>
          <w:iCs w:val="0"/>
          <w:color w:val="auto"/>
          <w:sz w:val="24"/>
          <w:szCs w:val="24"/>
        </w:rPr>
        <w:t xml:space="preserve">for </w:t>
      </w:r>
      <w:r w:rsidR="00EE565D">
        <w:rPr>
          <w:rFonts w:asciiTheme="majorBidi" w:hAnsiTheme="majorBidi" w:cstheme="majorBidi"/>
          <w:b/>
          <w:i w:val="0"/>
          <w:iCs w:val="0"/>
          <w:color w:val="auto"/>
          <w:sz w:val="24"/>
          <w:szCs w:val="24"/>
        </w:rPr>
        <w:t>ESPEROCT</w:t>
      </w:r>
      <w:r w:rsidRPr="000E1342">
        <w:rPr>
          <w:rFonts w:asciiTheme="majorBidi" w:hAnsiTheme="majorBidi" w:cstheme="majorBidi"/>
          <w:b/>
          <w:i w:val="0"/>
          <w:iCs w:val="0"/>
          <w:color w:val="auto"/>
          <w:sz w:val="24"/>
          <w:szCs w:val="24"/>
        </w:rPr>
        <w:t xml:space="preserve"> during perioperative </w:t>
      </w:r>
      <w:r w:rsidR="009F5DB2" w:rsidRPr="000E1342">
        <w:rPr>
          <w:rFonts w:asciiTheme="majorBidi" w:hAnsiTheme="majorBidi" w:cstheme="majorBidi"/>
          <w:b/>
          <w:i w:val="0"/>
          <w:iCs w:val="0"/>
          <w:color w:val="auto"/>
          <w:sz w:val="24"/>
          <w:szCs w:val="24"/>
        </w:rPr>
        <w:t>care</w:t>
      </w:r>
    </w:p>
    <w:tbl>
      <w:tblPr>
        <w:tblStyle w:val="TableGrid"/>
        <w:tblW w:w="0" w:type="auto"/>
        <w:tblLook w:val="04A0" w:firstRow="1" w:lastRow="0" w:firstColumn="1" w:lastColumn="0" w:noHBand="0" w:noVBand="1"/>
      </w:tblPr>
      <w:tblGrid>
        <w:gridCol w:w="3005"/>
        <w:gridCol w:w="3005"/>
        <w:gridCol w:w="3006"/>
      </w:tblGrid>
      <w:tr w:rsidR="00D42B03" w:rsidRPr="000E1342" w14:paraId="6743572A" w14:textId="77777777" w:rsidTr="002D4F6A">
        <w:tc>
          <w:tcPr>
            <w:tcW w:w="3005" w:type="dxa"/>
          </w:tcPr>
          <w:p w14:paraId="2A257616" w14:textId="32CFEAB8" w:rsidR="00D42B03" w:rsidRPr="000E1342" w:rsidRDefault="00D42B03" w:rsidP="002D4F6A">
            <w:pPr>
              <w:rPr>
                <w:rFonts w:asciiTheme="majorBidi" w:hAnsiTheme="majorBidi" w:cstheme="majorBidi"/>
              </w:rPr>
            </w:pPr>
            <w:r w:rsidRPr="000E1342">
              <w:rPr>
                <w:rFonts w:asciiTheme="majorBidi" w:hAnsiTheme="majorBidi" w:cstheme="majorBidi"/>
                <w:b/>
              </w:rPr>
              <w:t>Type of surgical procedure</w:t>
            </w:r>
          </w:p>
        </w:tc>
        <w:tc>
          <w:tcPr>
            <w:tcW w:w="3005" w:type="dxa"/>
          </w:tcPr>
          <w:p w14:paraId="3FA09E5A" w14:textId="77777777" w:rsidR="00D42B03" w:rsidRPr="000E1342" w:rsidRDefault="00D42B03" w:rsidP="00D42B03">
            <w:pPr>
              <w:rPr>
                <w:rFonts w:asciiTheme="majorBidi" w:hAnsiTheme="majorBidi" w:cstheme="majorBidi"/>
                <w:b/>
                <w:vertAlign w:val="superscript"/>
              </w:rPr>
            </w:pPr>
            <w:r w:rsidRPr="000E1342">
              <w:rPr>
                <w:rFonts w:asciiTheme="majorBidi" w:hAnsiTheme="majorBidi" w:cstheme="majorBidi"/>
                <w:b/>
              </w:rPr>
              <w:t>Factor VIII level required (%) (IU/</w:t>
            </w:r>
            <w:proofErr w:type="gramStart"/>
            <w:r w:rsidRPr="000E1342">
              <w:rPr>
                <w:rFonts w:asciiTheme="majorBidi" w:hAnsiTheme="majorBidi" w:cstheme="majorBidi"/>
                <w:b/>
              </w:rPr>
              <w:t>dL)</w:t>
            </w:r>
            <w:r w:rsidRPr="000E1342">
              <w:rPr>
                <w:rFonts w:asciiTheme="majorBidi" w:hAnsiTheme="majorBidi" w:cstheme="majorBidi"/>
                <w:b/>
                <w:vertAlign w:val="superscript"/>
              </w:rPr>
              <w:t>a</w:t>
            </w:r>
            <w:proofErr w:type="gramEnd"/>
            <w:r w:rsidRPr="000E1342">
              <w:rPr>
                <w:rFonts w:asciiTheme="majorBidi" w:hAnsiTheme="majorBidi" w:cstheme="majorBidi"/>
                <w:b/>
                <w:vertAlign w:val="superscript"/>
              </w:rPr>
              <w:t xml:space="preserve"> </w:t>
            </w:r>
          </w:p>
          <w:p w14:paraId="7A3003FA" w14:textId="3EF0AC45" w:rsidR="008005F5" w:rsidRPr="000E1342" w:rsidRDefault="008005F5" w:rsidP="00D42B03">
            <w:pPr>
              <w:rPr>
                <w:rFonts w:asciiTheme="majorBidi" w:hAnsiTheme="majorBidi" w:cstheme="majorBidi"/>
              </w:rPr>
            </w:pPr>
          </w:p>
        </w:tc>
        <w:tc>
          <w:tcPr>
            <w:tcW w:w="3006" w:type="dxa"/>
          </w:tcPr>
          <w:p w14:paraId="1F1593CB" w14:textId="77777777" w:rsidR="00D42B03" w:rsidRPr="000E1342" w:rsidRDefault="00D42B03" w:rsidP="002D4F6A">
            <w:pPr>
              <w:rPr>
                <w:rFonts w:asciiTheme="majorBidi" w:hAnsiTheme="majorBidi" w:cstheme="majorBidi"/>
                <w:b/>
              </w:rPr>
            </w:pPr>
            <w:r w:rsidRPr="000E1342">
              <w:rPr>
                <w:rFonts w:asciiTheme="majorBidi" w:hAnsiTheme="majorBidi" w:cstheme="majorBidi"/>
                <w:b/>
              </w:rPr>
              <w:t>Frequency of doses (hours)/</w:t>
            </w:r>
          </w:p>
          <w:p w14:paraId="19D3A3E5" w14:textId="77777777" w:rsidR="00D42B03" w:rsidRPr="000E1342" w:rsidRDefault="00D42B03" w:rsidP="002D4F6A">
            <w:pPr>
              <w:rPr>
                <w:rFonts w:asciiTheme="majorBidi" w:hAnsiTheme="majorBidi" w:cstheme="majorBidi"/>
                <w:b/>
              </w:rPr>
            </w:pPr>
            <w:r w:rsidRPr="000E1342">
              <w:rPr>
                <w:rFonts w:asciiTheme="majorBidi" w:hAnsiTheme="majorBidi" w:cstheme="majorBidi"/>
                <w:b/>
              </w:rPr>
              <w:t>duration of treatment (days)</w:t>
            </w:r>
          </w:p>
        </w:tc>
      </w:tr>
      <w:tr w:rsidR="00D42B03" w:rsidRPr="000E1342" w14:paraId="61136E62" w14:textId="77777777" w:rsidTr="002D4F6A">
        <w:tc>
          <w:tcPr>
            <w:tcW w:w="3005" w:type="dxa"/>
          </w:tcPr>
          <w:p w14:paraId="1C7748A0" w14:textId="77777777" w:rsidR="00D42B03" w:rsidRPr="000E1342" w:rsidRDefault="00D42B03" w:rsidP="00D42B03">
            <w:pPr>
              <w:rPr>
                <w:rFonts w:asciiTheme="majorBidi" w:hAnsiTheme="majorBidi" w:cstheme="majorBidi"/>
                <w:b/>
              </w:rPr>
            </w:pPr>
            <w:r w:rsidRPr="000E1342">
              <w:rPr>
                <w:rFonts w:asciiTheme="majorBidi" w:hAnsiTheme="majorBidi" w:cstheme="majorBidi"/>
                <w:b/>
              </w:rPr>
              <w:t>Minor procedures</w:t>
            </w:r>
          </w:p>
          <w:p w14:paraId="0D7829A7" w14:textId="77777777" w:rsidR="00D42B03" w:rsidRPr="000E1342" w:rsidRDefault="00D42B03" w:rsidP="00D42B03">
            <w:pPr>
              <w:rPr>
                <w:rFonts w:asciiTheme="majorBidi" w:hAnsiTheme="majorBidi" w:cstheme="majorBidi"/>
              </w:rPr>
            </w:pPr>
            <w:r w:rsidRPr="000E1342">
              <w:rPr>
                <w:rFonts w:asciiTheme="majorBidi" w:hAnsiTheme="majorBidi" w:cstheme="majorBidi"/>
              </w:rPr>
              <w:t>including tooth extraction</w:t>
            </w:r>
          </w:p>
          <w:p w14:paraId="69230E6A" w14:textId="2729E663" w:rsidR="00D42B03" w:rsidRPr="000E1342" w:rsidRDefault="00D42B03" w:rsidP="00D42B03">
            <w:pPr>
              <w:rPr>
                <w:rFonts w:asciiTheme="majorBidi" w:hAnsiTheme="majorBidi" w:cstheme="majorBidi"/>
              </w:rPr>
            </w:pPr>
          </w:p>
        </w:tc>
        <w:tc>
          <w:tcPr>
            <w:tcW w:w="3005" w:type="dxa"/>
          </w:tcPr>
          <w:p w14:paraId="00ECDA25" w14:textId="4E393E21" w:rsidR="00D42B03" w:rsidRPr="000E1342" w:rsidRDefault="00D42B03" w:rsidP="00D42B03">
            <w:pPr>
              <w:rPr>
                <w:rFonts w:asciiTheme="majorBidi" w:hAnsiTheme="majorBidi" w:cstheme="majorBidi"/>
              </w:rPr>
            </w:pPr>
            <w:r w:rsidRPr="000E1342">
              <w:rPr>
                <w:rFonts w:asciiTheme="majorBidi" w:hAnsiTheme="majorBidi" w:cstheme="majorBidi"/>
              </w:rPr>
              <w:t>30 – 60</w:t>
            </w:r>
          </w:p>
        </w:tc>
        <w:tc>
          <w:tcPr>
            <w:tcW w:w="3006" w:type="dxa"/>
          </w:tcPr>
          <w:p w14:paraId="1979648F" w14:textId="06D8A888" w:rsidR="00D42B03" w:rsidRPr="000E1342" w:rsidRDefault="00D42B03" w:rsidP="00D42B03">
            <w:pPr>
              <w:rPr>
                <w:rFonts w:asciiTheme="majorBidi" w:hAnsiTheme="majorBidi" w:cstheme="majorBidi"/>
              </w:rPr>
            </w:pPr>
            <w:r w:rsidRPr="000E1342">
              <w:rPr>
                <w:rFonts w:asciiTheme="majorBidi" w:hAnsiTheme="majorBidi" w:cstheme="majorBidi"/>
              </w:rPr>
              <w:t xml:space="preserve">Every 24 hours for at least 1 day until healing </w:t>
            </w:r>
            <w:proofErr w:type="gramStart"/>
            <w:r w:rsidRPr="000E1342">
              <w:rPr>
                <w:rFonts w:asciiTheme="majorBidi" w:hAnsiTheme="majorBidi" w:cstheme="majorBidi"/>
              </w:rPr>
              <w:t>is</w:t>
            </w:r>
            <w:proofErr w:type="gramEnd"/>
            <w:r w:rsidRPr="000E1342">
              <w:rPr>
                <w:rFonts w:asciiTheme="majorBidi" w:hAnsiTheme="majorBidi" w:cstheme="majorBidi"/>
              </w:rPr>
              <w:t xml:space="preserve"> achieved.</w:t>
            </w:r>
          </w:p>
        </w:tc>
      </w:tr>
      <w:tr w:rsidR="00D42B03" w:rsidRPr="000E1342" w14:paraId="65A5D52E" w14:textId="77777777" w:rsidTr="002D4F6A">
        <w:tc>
          <w:tcPr>
            <w:tcW w:w="3005" w:type="dxa"/>
          </w:tcPr>
          <w:p w14:paraId="417E7FEE" w14:textId="0C46F1DC" w:rsidR="00D42B03" w:rsidRPr="000E1342" w:rsidRDefault="00D42B03" w:rsidP="002D4F6A">
            <w:pPr>
              <w:rPr>
                <w:rFonts w:asciiTheme="majorBidi" w:hAnsiTheme="majorBidi" w:cstheme="majorBidi"/>
              </w:rPr>
            </w:pPr>
            <w:r w:rsidRPr="000E1342">
              <w:rPr>
                <w:rFonts w:asciiTheme="majorBidi" w:hAnsiTheme="majorBidi" w:cstheme="majorBidi"/>
                <w:b/>
              </w:rPr>
              <w:t>Major procedures</w:t>
            </w:r>
          </w:p>
        </w:tc>
        <w:tc>
          <w:tcPr>
            <w:tcW w:w="3005" w:type="dxa"/>
          </w:tcPr>
          <w:p w14:paraId="2CFE92D9" w14:textId="3C7616C0" w:rsidR="00D42B03" w:rsidRPr="000E1342" w:rsidRDefault="00D42B03" w:rsidP="002D4F6A">
            <w:pPr>
              <w:rPr>
                <w:rFonts w:asciiTheme="majorBidi" w:hAnsiTheme="majorBidi" w:cstheme="majorBidi"/>
              </w:rPr>
            </w:pPr>
            <w:r w:rsidRPr="000E1342">
              <w:rPr>
                <w:rFonts w:asciiTheme="majorBidi" w:hAnsiTheme="majorBidi" w:cstheme="majorBidi"/>
              </w:rPr>
              <w:t>80 – 100 (pre- and post-operative)</w:t>
            </w:r>
          </w:p>
        </w:tc>
        <w:tc>
          <w:tcPr>
            <w:tcW w:w="3006" w:type="dxa"/>
          </w:tcPr>
          <w:p w14:paraId="3D5449F3" w14:textId="30088558" w:rsidR="008005F5" w:rsidRPr="000E1342" w:rsidRDefault="00D42B03" w:rsidP="00D42B03">
            <w:pPr>
              <w:rPr>
                <w:rFonts w:asciiTheme="majorBidi" w:hAnsiTheme="majorBidi" w:cstheme="majorBidi"/>
              </w:rPr>
            </w:pPr>
            <w:r w:rsidRPr="000E1342">
              <w:rPr>
                <w:rFonts w:asciiTheme="majorBidi" w:hAnsiTheme="majorBidi" w:cstheme="majorBidi"/>
              </w:rPr>
              <w:t xml:space="preserve">Repeat </w:t>
            </w:r>
            <w:r w:rsidR="00D25E7B">
              <w:rPr>
                <w:rFonts w:asciiTheme="majorBidi" w:hAnsiTheme="majorBidi" w:cstheme="majorBidi"/>
              </w:rPr>
              <w:t xml:space="preserve">IV </w:t>
            </w:r>
            <w:r w:rsidR="009F5DB2" w:rsidRPr="000E1342">
              <w:rPr>
                <w:rFonts w:asciiTheme="majorBidi" w:hAnsiTheme="majorBidi" w:cstheme="majorBidi"/>
              </w:rPr>
              <w:t>injections</w:t>
            </w:r>
            <w:r w:rsidRPr="000E1342">
              <w:rPr>
                <w:rFonts w:asciiTheme="majorBidi" w:hAnsiTheme="majorBidi" w:cstheme="majorBidi"/>
              </w:rPr>
              <w:t xml:space="preserve"> every 8 to 24 hours until adequate wound healing is achieved, then treat for at least another 7 days to maintain a factor VIII activity of 30% to 60% (IU/dL).</w:t>
            </w:r>
          </w:p>
        </w:tc>
      </w:tr>
    </w:tbl>
    <w:p w14:paraId="25F020C0" w14:textId="77777777" w:rsidR="00D42B03" w:rsidRPr="000E1342" w:rsidRDefault="00D42B03" w:rsidP="00D42B03">
      <w:pPr>
        <w:spacing w:line="240" w:lineRule="auto"/>
        <w:rPr>
          <w:rFonts w:asciiTheme="majorBidi" w:hAnsiTheme="majorBidi" w:cstheme="majorBidi"/>
          <w:bCs/>
          <w:iCs/>
          <w:sz w:val="20"/>
          <w:szCs w:val="20"/>
        </w:rPr>
      </w:pPr>
      <w:proofErr w:type="spellStart"/>
      <w:r w:rsidRPr="000E1342">
        <w:rPr>
          <w:rFonts w:asciiTheme="majorBidi" w:hAnsiTheme="majorBidi" w:cstheme="majorBidi"/>
          <w:iCs/>
          <w:sz w:val="20"/>
          <w:szCs w:val="20"/>
          <w:vertAlign w:val="superscript"/>
        </w:rPr>
        <w:t>a</w:t>
      </w:r>
      <w:proofErr w:type="spellEnd"/>
      <w:r w:rsidRPr="000E1342">
        <w:rPr>
          <w:rFonts w:asciiTheme="majorBidi" w:hAnsiTheme="majorBidi" w:cstheme="majorBidi"/>
          <w:iCs/>
          <w:sz w:val="20"/>
          <w:szCs w:val="20"/>
          <w:vertAlign w:val="superscript"/>
        </w:rPr>
        <w:t xml:space="preserve"> </w:t>
      </w:r>
      <w:proofErr w:type="gramStart"/>
      <w:r w:rsidRPr="000E1342">
        <w:rPr>
          <w:rFonts w:asciiTheme="majorBidi" w:hAnsiTheme="majorBidi" w:cstheme="majorBidi"/>
          <w:iCs/>
          <w:sz w:val="20"/>
          <w:szCs w:val="20"/>
        </w:rPr>
        <w:t>The</w:t>
      </w:r>
      <w:proofErr w:type="gramEnd"/>
      <w:r w:rsidRPr="000E1342">
        <w:rPr>
          <w:rFonts w:asciiTheme="majorBidi" w:hAnsiTheme="majorBidi" w:cstheme="majorBidi"/>
          <w:iCs/>
          <w:sz w:val="20"/>
          <w:szCs w:val="20"/>
        </w:rPr>
        <w:t xml:space="preserve"> required dose is calculated using the following formula:</w:t>
      </w:r>
      <w:r w:rsidRPr="000E1342">
        <w:rPr>
          <w:rFonts w:asciiTheme="majorBidi" w:hAnsiTheme="majorBidi" w:cstheme="majorBidi"/>
          <w:iCs/>
          <w:sz w:val="20"/>
          <w:szCs w:val="20"/>
        </w:rPr>
        <w:br/>
        <w:t>Required units (IU) = body weight (in kg) × desired factor VIII rise (in %) (IU/dL) × 0.5 (IU/kg per IU/dL)</w:t>
      </w:r>
    </w:p>
    <w:p w14:paraId="616C7E24" w14:textId="255CF934" w:rsidR="008005F5" w:rsidRPr="000E1342" w:rsidRDefault="008005F5" w:rsidP="008005F5">
      <w:pPr>
        <w:rPr>
          <w:rFonts w:asciiTheme="majorBidi" w:hAnsiTheme="majorBidi" w:cstheme="majorBidi"/>
          <w:sz w:val="24"/>
          <w:szCs w:val="24"/>
          <w:u w:val="single"/>
        </w:rPr>
      </w:pPr>
      <w:r w:rsidRPr="000E1342">
        <w:rPr>
          <w:rFonts w:asciiTheme="majorBidi" w:hAnsiTheme="majorBidi" w:cstheme="majorBidi"/>
          <w:sz w:val="24"/>
          <w:szCs w:val="24"/>
          <w:u w:val="single"/>
        </w:rPr>
        <w:t xml:space="preserve">Routine prophylaxis with </w:t>
      </w:r>
      <w:r w:rsidR="00EE565D">
        <w:rPr>
          <w:rFonts w:asciiTheme="majorBidi" w:hAnsiTheme="majorBidi" w:cstheme="majorBidi"/>
          <w:sz w:val="24"/>
          <w:szCs w:val="24"/>
          <w:u w:val="single"/>
        </w:rPr>
        <w:t>ESPEROCT</w:t>
      </w:r>
    </w:p>
    <w:p w14:paraId="23611288" w14:textId="77777777" w:rsidR="0023304F" w:rsidRDefault="008005F5" w:rsidP="008005F5">
      <w:pPr>
        <w:rPr>
          <w:rFonts w:asciiTheme="majorBidi" w:hAnsiTheme="majorBidi" w:cstheme="majorBidi"/>
          <w:sz w:val="24"/>
          <w:szCs w:val="24"/>
        </w:rPr>
      </w:pPr>
      <w:r w:rsidRPr="000E1342">
        <w:rPr>
          <w:rFonts w:asciiTheme="majorBidi" w:hAnsiTheme="majorBidi" w:cstheme="majorBidi"/>
          <w:sz w:val="24"/>
          <w:szCs w:val="24"/>
        </w:rPr>
        <w:t xml:space="preserve">Adults and adolescents (12 years and above): The recommended initial dose is 50 IU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per kg body weight every 4 days.</w:t>
      </w:r>
    </w:p>
    <w:p w14:paraId="1A300AFD" w14:textId="407844E1" w:rsidR="008005F5" w:rsidRPr="000E1342" w:rsidRDefault="00A71419" w:rsidP="008005F5">
      <w:pPr>
        <w:rPr>
          <w:rFonts w:asciiTheme="majorBidi" w:hAnsiTheme="majorBidi" w:cstheme="majorBidi"/>
          <w:sz w:val="24"/>
          <w:szCs w:val="24"/>
        </w:rPr>
      </w:pPr>
      <w:r>
        <w:rPr>
          <w:rFonts w:asciiTheme="majorBidi" w:hAnsiTheme="majorBidi" w:cstheme="majorBidi"/>
          <w:sz w:val="24"/>
          <w:szCs w:val="24"/>
        </w:rPr>
        <w:t>Thereafter</w:t>
      </w:r>
      <w:r w:rsidR="008005F5" w:rsidRPr="000E1342">
        <w:rPr>
          <w:rFonts w:asciiTheme="majorBidi" w:hAnsiTheme="majorBidi" w:cstheme="majorBidi"/>
          <w:sz w:val="24"/>
          <w:szCs w:val="24"/>
        </w:rPr>
        <w:t xml:space="preserve">, the dosing </w:t>
      </w:r>
      <w:r w:rsidR="009F5DB2" w:rsidRPr="000E1342">
        <w:rPr>
          <w:rFonts w:asciiTheme="majorBidi" w:hAnsiTheme="majorBidi" w:cstheme="majorBidi"/>
          <w:sz w:val="24"/>
          <w:szCs w:val="24"/>
        </w:rPr>
        <w:t>schedule</w:t>
      </w:r>
      <w:r w:rsidR="008005F5" w:rsidRPr="000E1342">
        <w:rPr>
          <w:rFonts w:asciiTheme="majorBidi" w:hAnsiTheme="majorBidi" w:cstheme="majorBidi"/>
          <w:sz w:val="24"/>
          <w:szCs w:val="24"/>
        </w:rPr>
        <w:t xml:space="preserve"> </w:t>
      </w:r>
      <w:r>
        <w:rPr>
          <w:rFonts w:asciiTheme="majorBidi" w:hAnsiTheme="majorBidi" w:cstheme="majorBidi"/>
          <w:sz w:val="24"/>
          <w:szCs w:val="24"/>
        </w:rPr>
        <w:t>may</w:t>
      </w:r>
      <w:r w:rsidRPr="000E1342">
        <w:rPr>
          <w:rFonts w:asciiTheme="majorBidi" w:hAnsiTheme="majorBidi" w:cstheme="majorBidi"/>
          <w:sz w:val="24"/>
          <w:szCs w:val="24"/>
        </w:rPr>
        <w:t xml:space="preserve"> </w:t>
      </w:r>
      <w:r w:rsidR="008005F5" w:rsidRPr="000E1342">
        <w:rPr>
          <w:rFonts w:asciiTheme="majorBidi" w:hAnsiTheme="majorBidi" w:cstheme="majorBidi"/>
          <w:sz w:val="24"/>
          <w:szCs w:val="24"/>
        </w:rPr>
        <w:t>be adjusted to 50 IU/kg every 3 – 4 days or 75 IU/kg every 7 days based on the patient's response (</w:t>
      </w:r>
      <w:r w:rsidR="000F64D2">
        <w:rPr>
          <w:rFonts w:asciiTheme="majorBidi" w:hAnsiTheme="majorBidi" w:cstheme="majorBidi"/>
          <w:sz w:val="24"/>
          <w:szCs w:val="24"/>
        </w:rPr>
        <w:t xml:space="preserve">with a </w:t>
      </w:r>
      <w:r w:rsidR="008005F5" w:rsidRPr="000E1342">
        <w:rPr>
          <w:rFonts w:asciiTheme="majorBidi" w:hAnsiTheme="majorBidi" w:cstheme="majorBidi"/>
          <w:sz w:val="24"/>
          <w:szCs w:val="24"/>
        </w:rPr>
        <w:t xml:space="preserve">low bleeding rate of 0 – 2 bleeding episodes </w:t>
      </w:r>
      <w:r w:rsidR="000F64D2">
        <w:rPr>
          <w:rFonts w:asciiTheme="majorBidi" w:hAnsiTheme="majorBidi" w:cstheme="majorBidi"/>
          <w:sz w:val="24"/>
          <w:szCs w:val="24"/>
        </w:rPr>
        <w:t>during</w:t>
      </w:r>
      <w:r w:rsidR="000F64D2" w:rsidRPr="000E1342">
        <w:rPr>
          <w:rFonts w:asciiTheme="majorBidi" w:hAnsiTheme="majorBidi" w:cstheme="majorBidi"/>
          <w:sz w:val="24"/>
          <w:szCs w:val="24"/>
        </w:rPr>
        <w:t xml:space="preserve"> </w:t>
      </w:r>
      <w:r w:rsidR="008005F5" w:rsidRPr="000E1342">
        <w:rPr>
          <w:rFonts w:asciiTheme="majorBidi" w:hAnsiTheme="majorBidi" w:cstheme="majorBidi"/>
          <w:sz w:val="24"/>
          <w:szCs w:val="24"/>
        </w:rPr>
        <w:t>the last 6 months</w:t>
      </w:r>
      <w:r w:rsidR="000F64D2">
        <w:rPr>
          <w:rFonts w:asciiTheme="majorBidi" w:hAnsiTheme="majorBidi" w:cstheme="majorBidi"/>
          <w:sz w:val="24"/>
          <w:szCs w:val="24"/>
        </w:rPr>
        <w:t xml:space="preserve"> </w:t>
      </w:r>
      <w:r w:rsidR="000F64D2" w:rsidRPr="000F64D2">
        <w:rPr>
          <w:rFonts w:asciiTheme="majorBidi" w:hAnsiTheme="majorBidi" w:cstheme="majorBidi"/>
          <w:sz w:val="24"/>
          <w:szCs w:val="24"/>
        </w:rPr>
        <w:t>prior to changing dose/dose frequency</w:t>
      </w:r>
      <w:r w:rsidR="008005F5" w:rsidRPr="000E1342">
        <w:rPr>
          <w:rFonts w:asciiTheme="majorBidi" w:hAnsiTheme="majorBidi" w:cstheme="majorBidi"/>
          <w:sz w:val="24"/>
          <w:szCs w:val="24"/>
        </w:rPr>
        <w:t xml:space="preserve">) and at the </w:t>
      </w:r>
      <w:r w:rsidR="00D7555F" w:rsidRPr="000E1342">
        <w:rPr>
          <w:rFonts w:asciiTheme="majorBidi" w:hAnsiTheme="majorBidi" w:cstheme="majorBidi"/>
          <w:sz w:val="24"/>
          <w:szCs w:val="24"/>
        </w:rPr>
        <w:t xml:space="preserve">discretion </w:t>
      </w:r>
      <w:r w:rsidR="00D7555F">
        <w:rPr>
          <w:rFonts w:asciiTheme="majorBidi" w:hAnsiTheme="majorBidi" w:cstheme="majorBidi"/>
          <w:sz w:val="24"/>
          <w:szCs w:val="24"/>
        </w:rPr>
        <w:t xml:space="preserve">of the </w:t>
      </w:r>
      <w:r w:rsidR="008005F5" w:rsidRPr="000E1342">
        <w:rPr>
          <w:rFonts w:asciiTheme="majorBidi" w:hAnsiTheme="majorBidi" w:cstheme="majorBidi"/>
          <w:sz w:val="24"/>
          <w:szCs w:val="24"/>
        </w:rPr>
        <w:t>treating physician.</w:t>
      </w:r>
      <w:r w:rsidR="009811FB">
        <w:rPr>
          <w:rFonts w:asciiTheme="majorBidi" w:hAnsiTheme="majorBidi" w:cstheme="majorBidi"/>
          <w:sz w:val="24"/>
          <w:szCs w:val="24"/>
        </w:rPr>
        <w:t xml:space="preserve"> </w:t>
      </w:r>
      <w:r w:rsidR="009811FB" w:rsidRPr="009811FB">
        <w:rPr>
          <w:rFonts w:asciiTheme="majorBidi" w:hAnsiTheme="majorBidi" w:cstheme="majorBidi"/>
          <w:sz w:val="24"/>
          <w:szCs w:val="24"/>
        </w:rPr>
        <w:t xml:space="preserve">Following a change to dose regimen the treating physician should re-evaluate bleeding tendency and consider the need to re-measure </w:t>
      </w:r>
      <w:r w:rsidR="00C70A2F">
        <w:rPr>
          <w:rFonts w:asciiTheme="majorBidi" w:hAnsiTheme="majorBidi" w:cstheme="majorBidi"/>
          <w:sz w:val="24"/>
          <w:szCs w:val="24"/>
        </w:rPr>
        <w:t>f</w:t>
      </w:r>
      <w:r w:rsidR="009811FB" w:rsidRPr="009811FB">
        <w:rPr>
          <w:rFonts w:asciiTheme="majorBidi" w:hAnsiTheme="majorBidi" w:cstheme="majorBidi"/>
          <w:sz w:val="24"/>
          <w:szCs w:val="24"/>
        </w:rPr>
        <w:t>actor VIII levels.</w:t>
      </w:r>
    </w:p>
    <w:p w14:paraId="639372FC" w14:textId="269A167E" w:rsidR="00E31E04" w:rsidRPr="000E1342" w:rsidRDefault="008005F5" w:rsidP="008005F5">
      <w:pPr>
        <w:rPr>
          <w:rFonts w:asciiTheme="majorBidi" w:hAnsiTheme="majorBidi" w:cstheme="majorBidi"/>
          <w:sz w:val="24"/>
          <w:szCs w:val="24"/>
        </w:rPr>
      </w:pPr>
      <w:r w:rsidRPr="000E1342">
        <w:rPr>
          <w:rFonts w:asciiTheme="majorBidi" w:hAnsiTheme="majorBidi" w:cstheme="majorBidi"/>
          <w:sz w:val="24"/>
          <w:szCs w:val="24"/>
        </w:rPr>
        <w:t xml:space="preserve">Children (below 12 years): One dose of 65 IU (50 – 75 IU)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per kg body weight administered twice a week.</w:t>
      </w:r>
    </w:p>
    <w:p w14:paraId="571A285F" w14:textId="7AD11382" w:rsidR="009F5DB2" w:rsidRPr="000E1342" w:rsidRDefault="009F5DB2" w:rsidP="009F5DB2">
      <w:pPr>
        <w:rPr>
          <w:rFonts w:asciiTheme="majorBidi" w:hAnsiTheme="majorBidi" w:cstheme="majorBidi"/>
          <w:b/>
          <w:sz w:val="24"/>
          <w:szCs w:val="24"/>
        </w:rPr>
      </w:pPr>
      <w:r w:rsidRPr="000E1342">
        <w:rPr>
          <w:rFonts w:asciiTheme="majorBidi" w:hAnsiTheme="majorBidi" w:cstheme="majorBidi"/>
          <w:b/>
          <w:sz w:val="24"/>
          <w:szCs w:val="24"/>
        </w:rPr>
        <w:t>Method of administration</w:t>
      </w:r>
    </w:p>
    <w:p w14:paraId="3D28CEE2" w14:textId="256A5BEF" w:rsidR="009F5DB2" w:rsidRPr="000E1342" w:rsidRDefault="00EE565D" w:rsidP="009F5DB2">
      <w:pPr>
        <w:rPr>
          <w:rFonts w:asciiTheme="majorBidi" w:hAnsiTheme="majorBidi" w:cstheme="majorBidi"/>
          <w:sz w:val="24"/>
          <w:szCs w:val="24"/>
        </w:rPr>
      </w:pPr>
      <w:r>
        <w:rPr>
          <w:rFonts w:asciiTheme="majorBidi" w:hAnsiTheme="majorBidi" w:cstheme="majorBidi"/>
          <w:sz w:val="24"/>
          <w:szCs w:val="24"/>
        </w:rPr>
        <w:t>ESPEROCT</w:t>
      </w:r>
      <w:r w:rsidR="009F5DB2" w:rsidRPr="000E1342">
        <w:rPr>
          <w:rFonts w:asciiTheme="majorBidi" w:hAnsiTheme="majorBidi" w:cstheme="majorBidi"/>
          <w:sz w:val="24"/>
          <w:szCs w:val="24"/>
        </w:rPr>
        <w:t xml:space="preserve"> should be administered by intravenous injection (over about 2 minutes) after reconstitution of the lyophilised powder with 4 mL 0.9% sodium chloride solvent (</w:t>
      </w:r>
      <w:r w:rsidR="002E26C5" w:rsidRPr="000E1342">
        <w:rPr>
          <w:rFonts w:asciiTheme="majorBidi" w:hAnsiTheme="majorBidi" w:cstheme="majorBidi"/>
          <w:sz w:val="24"/>
          <w:szCs w:val="24"/>
        </w:rPr>
        <w:t>provided</w:t>
      </w:r>
      <w:r w:rsidR="009F5DB2" w:rsidRPr="000E1342">
        <w:rPr>
          <w:rFonts w:asciiTheme="majorBidi" w:hAnsiTheme="majorBidi" w:cstheme="majorBidi"/>
          <w:sz w:val="24"/>
          <w:szCs w:val="24"/>
        </w:rPr>
        <w:t>).</w:t>
      </w:r>
    </w:p>
    <w:p w14:paraId="61958493" w14:textId="7EA11BBF" w:rsidR="009F5DB2" w:rsidRPr="000E1342" w:rsidRDefault="00EE565D" w:rsidP="009F5DB2">
      <w:pPr>
        <w:rPr>
          <w:rFonts w:asciiTheme="majorBidi" w:hAnsiTheme="majorBidi" w:cstheme="majorBidi"/>
          <w:sz w:val="24"/>
          <w:szCs w:val="24"/>
        </w:rPr>
      </w:pPr>
      <w:r>
        <w:rPr>
          <w:rFonts w:asciiTheme="majorBidi" w:hAnsiTheme="majorBidi" w:cstheme="majorBidi"/>
          <w:sz w:val="24"/>
          <w:szCs w:val="24"/>
        </w:rPr>
        <w:t>ESPEROCT</w:t>
      </w:r>
      <w:r w:rsidR="009F5DB2" w:rsidRPr="000E1342">
        <w:rPr>
          <w:rFonts w:asciiTheme="majorBidi" w:hAnsiTheme="majorBidi" w:cstheme="majorBidi"/>
          <w:sz w:val="24"/>
          <w:szCs w:val="24"/>
        </w:rPr>
        <w:t xml:space="preserve"> must not be mixed or reconstituted with solutions for injection other than the sodium chloride solvent provided.</w:t>
      </w:r>
    </w:p>
    <w:p w14:paraId="19C95412" w14:textId="1FA32F79" w:rsidR="00CA3196" w:rsidRPr="000E1342" w:rsidRDefault="00CA3196" w:rsidP="00CA3196">
      <w:pPr>
        <w:rPr>
          <w:rFonts w:asciiTheme="majorBidi" w:hAnsiTheme="majorBidi" w:cstheme="majorBidi"/>
          <w:sz w:val="24"/>
          <w:szCs w:val="24"/>
        </w:rPr>
      </w:pPr>
      <w:r w:rsidRPr="000E1342">
        <w:rPr>
          <w:rFonts w:asciiTheme="majorBidi" w:hAnsiTheme="majorBidi" w:cstheme="majorBidi"/>
          <w:sz w:val="24"/>
          <w:szCs w:val="24"/>
        </w:rPr>
        <w:lastRenderedPageBreak/>
        <w:t>After reconstitution, the solution appears as a clear and colourless liquid, free of visible particles. The reconstituted medicine should be inspected visually for particulate matter and discolouration prior to administration. The solution should be clear and colourless. Do not use solutions that are cloudy or have deposits.</w:t>
      </w:r>
    </w:p>
    <w:p w14:paraId="0DA54514" w14:textId="08269B2F" w:rsidR="00CA3196" w:rsidRPr="000E1342" w:rsidRDefault="00CA3196" w:rsidP="00CA3196">
      <w:pPr>
        <w:rPr>
          <w:rFonts w:asciiTheme="majorBidi" w:hAnsiTheme="majorBidi" w:cstheme="majorBidi"/>
          <w:sz w:val="24"/>
          <w:szCs w:val="24"/>
        </w:rPr>
      </w:pPr>
      <w:r w:rsidRPr="000E1342">
        <w:rPr>
          <w:rFonts w:asciiTheme="majorBidi" w:hAnsiTheme="majorBidi" w:cstheme="majorBidi"/>
          <w:sz w:val="24"/>
          <w:szCs w:val="24"/>
        </w:rPr>
        <w:t xml:space="preserve">For instructions on reconstitution of the medicinal product </w:t>
      </w:r>
      <w:r w:rsidR="00F4263E" w:rsidRPr="000E1342">
        <w:rPr>
          <w:rFonts w:asciiTheme="majorBidi" w:hAnsiTheme="majorBidi" w:cstheme="majorBidi"/>
          <w:sz w:val="24"/>
          <w:szCs w:val="24"/>
        </w:rPr>
        <w:t>and</w:t>
      </w:r>
      <w:r w:rsidRPr="000E1342">
        <w:rPr>
          <w:rFonts w:asciiTheme="majorBidi" w:hAnsiTheme="majorBidi" w:cstheme="majorBidi"/>
          <w:sz w:val="24"/>
          <w:szCs w:val="24"/>
        </w:rPr>
        <w:t xml:space="preserve"> administration, see package insert.</w:t>
      </w:r>
    </w:p>
    <w:p w14:paraId="6CDF58F4" w14:textId="77777777" w:rsidR="00CA3196" w:rsidRPr="000E1342" w:rsidRDefault="00CA3196" w:rsidP="00CA3196">
      <w:pPr>
        <w:rPr>
          <w:rFonts w:asciiTheme="majorBidi" w:hAnsiTheme="majorBidi" w:cstheme="majorBidi"/>
          <w:sz w:val="24"/>
          <w:szCs w:val="24"/>
        </w:rPr>
      </w:pPr>
      <w:r w:rsidRPr="000E1342">
        <w:rPr>
          <w:rFonts w:asciiTheme="majorBidi" w:hAnsiTheme="majorBidi" w:cstheme="majorBidi"/>
          <w:sz w:val="24"/>
          <w:szCs w:val="24"/>
        </w:rPr>
        <w:t>Always use an aseptic technique.</w:t>
      </w:r>
    </w:p>
    <w:p w14:paraId="75A5C553" w14:textId="270A8278" w:rsidR="00CA3196" w:rsidRPr="000E1342" w:rsidRDefault="00CA3196" w:rsidP="00CA3196">
      <w:pPr>
        <w:rPr>
          <w:rFonts w:asciiTheme="majorBidi" w:hAnsiTheme="majorBidi" w:cstheme="majorBidi"/>
          <w:sz w:val="24"/>
          <w:szCs w:val="24"/>
        </w:rPr>
      </w:pPr>
      <w:r w:rsidRPr="000E1342">
        <w:rPr>
          <w:rFonts w:asciiTheme="majorBidi" w:hAnsiTheme="majorBidi" w:cstheme="majorBidi"/>
          <w:sz w:val="24"/>
          <w:szCs w:val="24"/>
        </w:rPr>
        <w:t xml:space="preserve">Do not administer reconstituted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in the same tubing or containers as other medicinal products.</w:t>
      </w:r>
    </w:p>
    <w:p w14:paraId="7C0B2A06" w14:textId="77777777" w:rsidR="00CA3196" w:rsidRPr="000E1342" w:rsidRDefault="00CA3196" w:rsidP="00CA3196">
      <w:pPr>
        <w:rPr>
          <w:rFonts w:asciiTheme="majorBidi" w:hAnsiTheme="majorBidi" w:cstheme="majorBidi"/>
          <w:sz w:val="24"/>
          <w:szCs w:val="24"/>
        </w:rPr>
      </w:pPr>
      <w:r w:rsidRPr="000E1342">
        <w:rPr>
          <w:rFonts w:asciiTheme="majorBidi" w:hAnsiTheme="majorBidi" w:cstheme="majorBidi"/>
          <w:sz w:val="24"/>
          <w:szCs w:val="24"/>
        </w:rPr>
        <w:t>The rate of administration of approximately 2 minutes should be determined based on the patient’s comfort level.</w:t>
      </w:r>
    </w:p>
    <w:p w14:paraId="79F7D36A" w14:textId="6E2C1DE2" w:rsidR="00CA3196" w:rsidRPr="000E1342" w:rsidRDefault="00CA3196" w:rsidP="00CA3196">
      <w:pPr>
        <w:rPr>
          <w:rFonts w:asciiTheme="majorBidi" w:hAnsiTheme="majorBidi" w:cstheme="majorBidi"/>
          <w:sz w:val="24"/>
          <w:szCs w:val="24"/>
        </w:rPr>
      </w:pPr>
      <w:r w:rsidRPr="000E1342">
        <w:rPr>
          <w:rFonts w:asciiTheme="majorBidi" w:hAnsiTheme="majorBidi" w:cstheme="majorBidi"/>
          <w:sz w:val="24"/>
          <w:szCs w:val="24"/>
        </w:rPr>
        <w:t xml:space="preserve">An infusion set (tubing and butterfly needle), sterile alcohol swabs, gauze pads and plasters will be also required for administration. These accessories are not included in the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pack.</w:t>
      </w:r>
    </w:p>
    <w:p w14:paraId="1C6F9C74" w14:textId="482A7441" w:rsidR="00E31E04" w:rsidRPr="000E1342" w:rsidRDefault="009F5DB2" w:rsidP="00CA3196">
      <w:pPr>
        <w:rPr>
          <w:rFonts w:asciiTheme="majorBidi" w:hAnsiTheme="majorBidi" w:cstheme="majorBidi"/>
          <w:sz w:val="24"/>
          <w:szCs w:val="24"/>
        </w:rPr>
      </w:pPr>
      <w:r w:rsidRPr="000E1342">
        <w:rPr>
          <w:rFonts w:asciiTheme="majorBidi" w:hAnsiTheme="majorBidi" w:cstheme="majorBidi"/>
          <w:sz w:val="24"/>
          <w:szCs w:val="24"/>
        </w:rPr>
        <w:t xml:space="preserve">If the medicinal product is to be administered by the patient or a </w:t>
      </w:r>
      <w:proofErr w:type="spellStart"/>
      <w:r w:rsidRPr="000E1342">
        <w:rPr>
          <w:rFonts w:asciiTheme="majorBidi" w:hAnsiTheme="majorBidi" w:cstheme="majorBidi"/>
          <w:sz w:val="24"/>
          <w:szCs w:val="24"/>
        </w:rPr>
        <w:t>carer</w:t>
      </w:r>
      <w:proofErr w:type="spellEnd"/>
      <w:r w:rsidRPr="000E1342">
        <w:rPr>
          <w:rFonts w:asciiTheme="majorBidi" w:hAnsiTheme="majorBidi" w:cstheme="majorBidi"/>
          <w:sz w:val="24"/>
          <w:szCs w:val="24"/>
        </w:rPr>
        <w:t>, appropriate training must be given.</w:t>
      </w:r>
    </w:p>
    <w:p w14:paraId="0B68617F" w14:textId="41E65757" w:rsidR="001A3992" w:rsidRPr="000E1342" w:rsidRDefault="001A3992" w:rsidP="001A3992">
      <w:pPr>
        <w:pStyle w:val="Heading2"/>
        <w:spacing w:before="0" w:after="120"/>
        <w:rPr>
          <w:rFonts w:asciiTheme="majorBidi" w:hAnsiTheme="majorBidi" w:cstheme="majorBidi"/>
        </w:rPr>
      </w:pPr>
      <w:r w:rsidRPr="000E1342">
        <w:rPr>
          <w:rFonts w:asciiTheme="majorBidi" w:hAnsiTheme="majorBidi" w:cstheme="majorBidi"/>
        </w:rPr>
        <w:t>Contraindications</w:t>
      </w:r>
      <w:r w:rsidR="00B45199">
        <w:rPr>
          <w:rFonts w:asciiTheme="majorBidi" w:hAnsiTheme="majorBidi" w:cstheme="majorBidi"/>
        </w:rPr>
        <w:fldChar w:fldCharType="begin"/>
      </w:r>
      <w:r w:rsidR="00B45199">
        <w:rPr>
          <w:rFonts w:asciiTheme="majorBidi" w:hAnsiTheme="majorBidi" w:cstheme="majorBidi"/>
        </w:rPr>
        <w:instrText xml:space="preserve"> DOCVARIABLE vault_nd_0ca37699-c17b-45a8-bc69-c6a21b67e528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5A3D3CBC" w14:textId="251BD487" w:rsidR="00CA3196" w:rsidRPr="000E1342" w:rsidRDefault="00CA3196" w:rsidP="00CA3196">
      <w:pPr>
        <w:rPr>
          <w:rFonts w:asciiTheme="majorBidi" w:hAnsiTheme="majorBidi" w:cstheme="majorBidi"/>
          <w:sz w:val="24"/>
          <w:szCs w:val="24"/>
        </w:rPr>
      </w:pPr>
      <w:r w:rsidRPr="000E1342">
        <w:rPr>
          <w:rFonts w:asciiTheme="majorBidi" w:hAnsiTheme="majorBidi" w:cstheme="majorBidi"/>
          <w:sz w:val="24"/>
          <w:szCs w:val="24"/>
        </w:rPr>
        <w:t xml:space="preserve">Hypersensitivity to </w:t>
      </w:r>
      <w:proofErr w:type="spellStart"/>
      <w:r w:rsidR="00F4263E" w:rsidRPr="000E1342">
        <w:rPr>
          <w:rFonts w:asciiTheme="majorBidi" w:hAnsiTheme="majorBidi" w:cstheme="majorBidi"/>
          <w:sz w:val="24"/>
          <w:szCs w:val="24"/>
        </w:rPr>
        <w:t>turoctocog</w:t>
      </w:r>
      <w:proofErr w:type="spellEnd"/>
      <w:r w:rsidR="00F4263E" w:rsidRPr="000E1342">
        <w:rPr>
          <w:rFonts w:asciiTheme="majorBidi" w:hAnsiTheme="majorBidi" w:cstheme="majorBidi"/>
          <w:sz w:val="24"/>
          <w:szCs w:val="24"/>
        </w:rPr>
        <w:t xml:space="preserve"> alfa pegol </w:t>
      </w:r>
      <w:r w:rsidRPr="000E1342">
        <w:rPr>
          <w:rFonts w:asciiTheme="majorBidi" w:hAnsiTheme="majorBidi" w:cstheme="majorBidi"/>
          <w:sz w:val="24"/>
          <w:szCs w:val="24"/>
        </w:rPr>
        <w:t>or to any of the excipients.  Known allergic reaction to hamster protein.</w:t>
      </w:r>
    </w:p>
    <w:p w14:paraId="3E70EE6C" w14:textId="341AB814" w:rsidR="001A3992" w:rsidRPr="000E1342" w:rsidRDefault="00E74A56" w:rsidP="001A3992">
      <w:pPr>
        <w:pStyle w:val="Heading2"/>
        <w:spacing w:before="0" w:after="120"/>
        <w:rPr>
          <w:rFonts w:asciiTheme="majorBidi" w:hAnsiTheme="majorBidi" w:cstheme="majorBidi"/>
        </w:rPr>
      </w:pPr>
      <w:r w:rsidRPr="000E1342">
        <w:rPr>
          <w:rFonts w:asciiTheme="majorBidi" w:hAnsiTheme="majorBidi" w:cstheme="majorBidi"/>
        </w:rPr>
        <w:t>Special warnings and p</w:t>
      </w:r>
      <w:r w:rsidR="001A3992" w:rsidRPr="000E1342">
        <w:rPr>
          <w:rFonts w:asciiTheme="majorBidi" w:hAnsiTheme="majorBidi" w:cstheme="majorBidi"/>
        </w:rPr>
        <w:t xml:space="preserve">recautions </w:t>
      </w:r>
      <w:r w:rsidRPr="000E1342">
        <w:rPr>
          <w:rFonts w:asciiTheme="majorBidi" w:hAnsiTheme="majorBidi" w:cstheme="majorBidi"/>
        </w:rPr>
        <w:t>for use</w:t>
      </w:r>
      <w:r w:rsidR="00B45199">
        <w:rPr>
          <w:rFonts w:asciiTheme="majorBidi" w:hAnsiTheme="majorBidi" w:cstheme="majorBidi"/>
        </w:rPr>
        <w:fldChar w:fldCharType="begin"/>
      </w:r>
      <w:r w:rsidR="00B45199">
        <w:rPr>
          <w:rFonts w:asciiTheme="majorBidi" w:hAnsiTheme="majorBidi" w:cstheme="majorBidi"/>
        </w:rPr>
        <w:instrText xml:space="preserve"> DOCVARIABLE vault_nd_cd91fa36-c577-4429-a174-205c86d1bb18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74396DB5" w14:textId="0FD923B4" w:rsidR="005736B6" w:rsidRDefault="005736B6" w:rsidP="00380E57">
      <w:pPr>
        <w:pStyle w:val="Heading3"/>
        <w:spacing w:before="0" w:after="120"/>
        <w:ind w:left="0"/>
        <w:rPr>
          <w:rFonts w:asciiTheme="majorBidi" w:hAnsiTheme="majorBidi"/>
          <w:sz w:val="24"/>
          <w:szCs w:val="24"/>
        </w:rPr>
      </w:pPr>
      <w:r w:rsidRPr="005736B6">
        <w:rPr>
          <w:rFonts w:asciiTheme="majorBidi" w:hAnsiTheme="majorBidi"/>
          <w:sz w:val="24"/>
          <w:szCs w:val="24"/>
        </w:rPr>
        <w:t>Traceability</w:t>
      </w:r>
    </w:p>
    <w:p w14:paraId="183B5FF9" w14:textId="2C2BBE22" w:rsidR="005736B6" w:rsidRPr="005736B6" w:rsidRDefault="005736B6" w:rsidP="005736B6">
      <w:pPr>
        <w:pStyle w:val="BodyText"/>
      </w:pPr>
      <w:proofErr w:type="gramStart"/>
      <w:r w:rsidRPr="005736B6">
        <w:t>In order to</w:t>
      </w:r>
      <w:proofErr w:type="gramEnd"/>
      <w:r w:rsidRPr="005736B6">
        <w:t xml:space="preserve"> improve traceability of biological medicinal products, the name and the batch number of the administered product should be clearly recorded.</w:t>
      </w:r>
    </w:p>
    <w:p w14:paraId="6D1F3FA8" w14:textId="065133B5" w:rsidR="00380E57" w:rsidRPr="000E1342" w:rsidRDefault="00380E57" w:rsidP="00380E57">
      <w:pPr>
        <w:pStyle w:val="Heading3"/>
        <w:spacing w:before="0" w:after="120"/>
        <w:ind w:left="0"/>
        <w:rPr>
          <w:rFonts w:asciiTheme="majorBidi" w:hAnsiTheme="majorBidi"/>
          <w:sz w:val="24"/>
          <w:szCs w:val="24"/>
        </w:rPr>
      </w:pPr>
      <w:r w:rsidRPr="000E1342">
        <w:rPr>
          <w:rFonts w:asciiTheme="majorBidi" w:hAnsiTheme="majorBidi"/>
          <w:sz w:val="24"/>
          <w:szCs w:val="24"/>
        </w:rPr>
        <w:t>Hypersensitivity</w:t>
      </w:r>
      <w:r w:rsidR="00B45199">
        <w:rPr>
          <w:rFonts w:asciiTheme="majorBidi" w:hAnsiTheme="majorBidi"/>
          <w:sz w:val="24"/>
          <w:szCs w:val="24"/>
          <w:vertAlign w:val="superscript"/>
        </w:rPr>
        <w:fldChar w:fldCharType="begin"/>
      </w:r>
      <w:r w:rsidR="00B45199">
        <w:rPr>
          <w:rFonts w:asciiTheme="majorBidi" w:hAnsiTheme="majorBidi"/>
          <w:sz w:val="24"/>
          <w:szCs w:val="24"/>
          <w:vertAlign w:val="superscript"/>
        </w:rPr>
        <w:instrText xml:space="preserve"> DOCVARIABLE vault_nd_e2ca3d59-518b-4513-9a01-915c3e3976b3 \* MERGEFORMAT </w:instrText>
      </w:r>
      <w:r w:rsidR="00B45199">
        <w:rPr>
          <w:rFonts w:asciiTheme="majorBidi" w:hAnsiTheme="majorBidi"/>
          <w:sz w:val="24"/>
          <w:szCs w:val="24"/>
          <w:vertAlign w:val="superscript"/>
        </w:rPr>
        <w:fldChar w:fldCharType="separate"/>
      </w:r>
      <w:r w:rsidR="00B45199">
        <w:rPr>
          <w:rFonts w:asciiTheme="majorBidi" w:hAnsiTheme="majorBidi"/>
          <w:sz w:val="24"/>
          <w:szCs w:val="24"/>
          <w:vertAlign w:val="superscript"/>
        </w:rPr>
        <w:t xml:space="preserve"> </w:t>
      </w:r>
      <w:r w:rsidR="00B45199">
        <w:rPr>
          <w:rFonts w:asciiTheme="majorBidi" w:hAnsiTheme="majorBidi"/>
          <w:sz w:val="24"/>
          <w:szCs w:val="24"/>
          <w:vertAlign w:val="superscript"/>
        </w:rPr>
        <w:fldChar w:fldCharType="end"/>
      </w:r>
    </w:p>
    <w:p w14:paraId="62D9F1D0" w14:textId="60F74D25" w:rsidR="00380E57" w:rsidRPr="000E1342" w:rsidRDefault="00F4263E" w:rsidP="00380E57">
      <w:pPr>
        <w:rPr>
          <w:rFonts w:asciiTheme="majorBidi" w:hAnsiTheme="majorBidi" w:cstheme="majorBidi"/>
          <w:sz w:val="24"/>
          <w:szCs w:val="24"/>
        </w:rPr>
      </w:pPr>
      <w:r w:rsidRPr="000E1342">
        <w:rPr>
          <w:rFonts w:asciiTheme="majorBidi" w:hAnsiTheme="majorBidi" w:cstheme="majorBidi"/>
          <w:sz w:val="24"/>
          <w:szCs w:val="24"/>
        </w:rPr>
        <w:t>A</w:t>
      </w:r>
      <w:r w:rsidR="00380E57" w:rsidRPr="000E1342">
        <w:rPr>
          <w:rFonts w:asciiTheme="majorBidi" w:hAnsiTheme="majorBidi" w:cstheme="majorBidi"/>
          <w:sz w:val="24"/>
          <w:szCs w:val="24"/>
        </w:rPr>
        <w:t>llergic</w:t>
      </w:r>
      <w:r w:rsidR="00526245" w:rsidRPr="000E1342">
        <w:rPr>
          <w:rFonts w:asciiTheme="majorBidi" w:hAnsiTheme="majorBidi" w:cstheme="majorBidi"/>
          <w:sz w:val="24"/>
          <w:szCs w:val="24"/>
        </w:rPr>
        <w:t>-type</w:t>
      </w:r>
      <w:r w:rsidR="00380E57" w:rsidRPr="000E1342">
        <w:rPr>
          <w:rFonts w:asciiTheme="majorBidi" w:hAnsiTheme="majorBidi" w:cstheme="majorBidi"/>
          <w:sz w:val="24"/>
          <w:szCs w:val="24"/>
        </w:rPr>
        <w:t xml:space="preserve"> hypersensitivity reactions are possible with </w:t>
      </w:r>
      <w:r w:rsidR="00EE565D">
        <w:rPr>
          <w:rFonts w:asciiTheme="majorBidi" w:hAnsiTheme="majorBidi" w:cstheme="majorBidi"/>
          <w:sz w:val="24"/>
          <w:szCs w:val="24"/>
        </w:rPr>
        <w:t>ESPEROCT</w:t>
      </w:r>
      <w:r w:rsidR="00380E57" w:rsidRPr="000E1342">
        <w:rPr>
          <w:rFonts w:asciiTheme="majorBidi" w:hAnsiTheme="majorBidi" w:cstheme="majorBidi"/>
          <w:sz w:val="24"/>
          <w:szCs w:val="24"/>
        </w:rPr>
        <w:t xml:space="preserve">. The </w:t>
      </w:r>
      <w:r w:rsidR="00D97B7F" w:rsidRPr="000E1342">
        <w:rPr>
          <w:rFonts w:asciiTheme="majorBidi" w:hAnsiTheme="majorBidi" w:cstheme="majorBidi"/>
          <w:sz w:val="24"/>
          <w:szCs w:val="24"/>
        </w:rPr>
        <w:t>product</w:t>
      </w:r>
      <w:r w:rsidR="00380E57" w:rsidRPr="000E1342">
        <w:rPr>
          <w:rFonts w:asciiTheme="majorBidi" w:hAnsiTheme="majorBidi" w:cstheme="majorBidi"/>
          <w:sz w:val="24"/>
          <w:szCs w:val="24"/>
        </w:rPr>
        <w:t xml:space="preserve"> contains traces of hamster proteins, which </w:t>
      </w:r>
      <w:r w:rsidR="00D97B7F" w:rsidRPr="000E1342">
        <w:rPr>
          <w:rFonts w:asciiTheme="majorBidi" w:hAnsiTheme="majorBidi" w:cstheme="majorBidi"/>
          <w:sz w:val="24"/>
          <w:szCs w:val="24"/>
        </w:rPr>
        <w:t>in some patients may</w:t>
      </w:r>
      <w:r w:rsidR="00380E57" w:rsidRPr="000E1342">
        <w:rPr>
          <w:rFonts w:asciiTheme="majorBidi" w:hAnsiTheme="majorBidi" w:cstheme="majorBidi"/>
          <w:sz w:val="24"/>
          <w:szCs w:val="24"/>
        </w:rPr>
        <w:t xml:space="preserve"> </w:t>
      </w:r>
      <w:r w:rsidR="00D97B7F" w:rsidRPr="000E1342">
        <w:rPr>
          <w:rFonts w:asciiTheme="majorBidi" w:hAnsiTheme="majorBidi" w:cstheme="majorBidi"/>
          <w:sz w:val="24"/>
          <w:szCs w:val="24"/>
        </w:rPr>
        <w:t>cause</w:t>
      </w:r>
      <w:r w:rsidR="00380E57" w:rsidRPr="000E1342">
        <w:rPr>
          <w:rFonts w:asciiTheme="majorBidi" w:hAnsiTheme="majorBidi" w:cstheme="majorBidi"/>
          <w:sz w:val="24"/>
          <w:szCs w:val="24"/>
        </w:rPr>
        <w:t xml:space="preserve"> allergic reactions. If symptoms of hypersensitivity occur, patients should be advised to discontinue use of </w:t>
      </w:r>
      <w:r w:rsidR="00EE565D">
        <w:rPr>
          <w:rFonts w:asciiTheme="majorBidi" w:hAnsiTheme="majorBidi" w:cstheme="majorBidi"/>
          <w:sz w:val="24"/>
          <w:szCs w:val="24"/>
        </w:rPr>
        <w:t>ESPEROCT</w:t>
      </w:r>
      <w:r w:rsidR="002A6153" w:rsidRPr="000E1342">
        <w:rPr>
          <w:rFonts w:asciiTheme="majorBidi" w:hAnsiTheme="majorBidi" w:cstheme="majorBidi"/>
          <w:sz w:val="24"/>
          <w:szCs w:val="24"/>
        </w:rPr>
        <w:t xml:space="preserve"> immediately </w:t>
      </w:r>
      <w:r w:rsidR="00380E57" w:rsidRPr="000E1342">
        <w:rPr>
          <w:rFonts w:asciiTheme="majorBidi" w:hAnsiTheme="majorBidi" w:cstheme="majorBidi"/>
          <w:sz w:val="24"/>
          <w:szCs w:val="24"/>
        </w:rPr>
        <w:t xml:space="preserve">and contact their physician. Patients should be informed of the early signs of hypersensitivity reactions </w:t>
      </w:r>
      <w:r w:rsidR="00606E0E" w:rsidRPr="000E1342">
        <w:rPr>
          <w:rFonts w:asciiTheme="majorBidi" w:hAnsiTheme="majorBidi" w:cstheme="majorBidi"/>
          <w:sz w:val="24"/>
          <w:szCs w:val="24"/>
        </w:rPr>
        <w:t xml:space="preserve">including </w:t>
      </w:r>
      <w:r w:rsidR="00526245" w:rsidRPr="000E1342">
        <w:rPr>
          <w:rFonts w:asciiTheme="majorBidi" w:hAnsiTheme="majorBidi" w:cstheme="majorBidi"/>
          <w:sz w:val="24"/>
          <w:szCs w:val="24"/>
        </w:rPr>
        <w:t>hives</w:t>
      </w:r>
      <w:r w:rsidR="00380E57" w:rsidRPr="000E1342">
        <w:rPr>
          <w:rFonts w:asciiTheme="majorBidi" w:hAnsiTheme="majorBidi" w:cstheme="majorBidi"/>
          <w:sz w:val="24"/>
          <w:szCs w:val="24"/>
        </w:rPr>
        <w:t>, generalised urticaria, tightness of the chest, wheezing, hypotension and anaphylaxis.</w:t>
      </w:r>
    </w:p>
    <w:p w14:paraId="0C5FCA57" w14:textId="0E2D8D53" w:rsidR="00380E57" w:rsidRPr="000E1342" w:rsidRDefault="00380E57" w:rsidP="00526245">
      <w:pPr>
        <w:rPr>
          <w:rFonts w:asciiTheme="majorBidi" w:hAnsiTheme="majorBidi" w:cstheme="majorBidi"/>
          <w:sz w:val="24"/>
          <w:szCs w:val="24"/>
        </w:rPr>
      </w:pPr>
      <w:r w:rsidRPr="000E1342">
        <w:rPr>
          <w:rFonts w:asciiTheme="majorBidi" w:hAnsiTheme="majorBidi" w:cstheme="majorBidi"/>
          <w:sz w:val="24"/>
          <w:szCs w:val="24"/>
        </w:rPr>
        <w:t xml:space="preserve">In case of </w:t>
      </w:r>
      <w:r w:rsidR="00AB6275">
        <w:rPr>
          <w:rFonts w:asciiTheme="majorBidi" w:hAnsiTheme="majorBidi" w:cstheme="majorBidi"/>
          <w:sz w:val="24"/>
          <w:szCs w:val="24"/>
        </w:rPr>
        <w:t xml:space="preserve">anaphylactic </w:t>
      </w:r>
      <w:r w:rsidRPr="000E1342">
        <w:rPr>
          <w:rFonts w:asciiTheme="majorBidi" w:hAnsiTheme="majorBidi" w:cstheme="majorBidi"/>
          <w:sz w:val="24"/>
          <w:szCs w:val="24"/>
        </w:rPr>
        <w:t>shock, standard medical treatment for shock should be implemented.</w:t>
      </w:r>
    </w:p>
    <w:p w14:paraId="00176F98" w14:textId="7FC2B34A" w:rsidR="00526245" w:rsidRPr="000E1342" w:rsidRDefault="00526245" w:rsidP="00526245">
      <w:pPr>
        <w:pStyle w:val="Heading3"/>
        <w:spacing w:before="0" w:after="120"/>
        <w:ind w:left="0"/>
        <w:rPr>
          <w:rFonts w:asciiTheme="majorBidi" w:hAnsiTheme="majorBidi"/>
          <w:sz w:val="24"/>
          <w:szCs w:val="24"/>
        </w:rPr>
      </w:pPr>
      <w:r w:rsidRPr="000E1342">
        <w:rPr>
          <w:rFonts w:asciiTheme="majorBidi" w:hAnsiTheme="majorBidi"/>
          <w:sz w:val="24"/>
          <w:szCs w:val="24"/>
        </w:rPr>
        <w:lastRenderedPageBreak/>
        <w:t>Inhibitors</w:t>
      </w:r>
      <w:r w:rsidR="00B45199">
        <w:rPr>
          <w:rFonts w:asciiTheme="majorBidi" w:hAnsiTheme="majorBidi"/>
          <w:sz w:val="24"/>
          <w:szCs w:val="24"/>
          <w:vertAlign w:val="superscript"/>
        </w:rPr>
        <w:fldChar w:fldCharType="begin"/>
      </w:r>
      <w:r w:rsidR="00B45199">
        <w:rPr>
          <w:rFonts w:asciiTheme="majorBidi" w:hAnsiTheme="majorBidi"/>
          <w:sz w:val="24"/>
          <w:szCs w:val="24"/>
          <w:vertAlign w:val="superscript"/>
        </w:rPr>
        <w:instrText xml:space="preserve"> DOCVARIABLE vault_nd_bac89bed-67ce-479d-bb8c-71caf8bb7c93 \* MERGEFORMAT </w:instrText>
      </w:r>
      <w:r w:rsidR="00B45199">
        <w:rPr>
          <w:rFonts w:asciiTheme="majorBidi" w:hAnsiTheme="majorBidi"/>
          <w:sz w:val="24"/>
          <w:szCs w:val="24"/>
          <w:vertAlign w:val="superscript"/>
        </w:rPr>
        <w:fldChar w:fldCharType="separate"/>
      </w:r>
      <w:r w:rsidR="00B45199">
        <w:rPr>
          <w:rFonts w:asciiTheme="majorBidi" w:hAnsiTheme="majorBidi"/>
          <w:sz w:val="24"/>
          <w:szCs w:val="24"/>
          <w:vertAlign w:val="superscript"/>
        </w:rPr>
        <w:t xml:space="preserve"> </w:t>
      </w:r>
      <w:r w:rsidR="00B45199">
        <w:rPr>
          <w:rFonts w:asciiTheme="majorBidi" w:hAnsiTheme="majorBidi"/>
          <w:sz w:val="24"/>
          <w:szCs w:val="24"/>
          <w:vertAlign w:val="superscript"/>
        </w:rPr>
        <w:fldChar w:fldCharType="end"/>
      </w:r>
    </w:p>
    <w:p w14:paraId="1E20CC46" w14:textId="21C2EB45" w:rsidR="00526245" w:rsidRPr="000E1342" w:rsidRDefault="00526245" w:rsidP="00526245">
      <w:pPr>
        <w:rPr>
          <w:rFonts w:asciiTheme="majorBidi" w:hAnsiTheme="majorBidi" w:cstheme="majorBidi"/>
          <w:sz w:val="24"/>
          <w:szCs w:val="24"/>
        </w:rPr>
      </w:pPr>
      <w:r w:rsidRPr="000E1342">
        <w:rPr>
          <w:rFonts w:asciiTheme="majorBidi" w:hAnsiTheme="majorBidi" w:cstheme="majorBidi"/>
          <w:sz w:val="24"/>
          <w:szCs w:val="24"/>
        </w:rPr>
        <w:t xml:space="preserve">The formation of neutralising antibodies (inhibitors) to factor VIII is a known complication in the management of </w:t>
      </w:r>
      <w:r w:rsidR="00606E0E" w:rsidRPr="000E1342">
        <w:rPr>
          <w:rFonts w:asciiTheme="majorBidi" w:hAnsiTheme="majorBidi" w:cstheme="majorBidi"/>
          <w:sz w:val="24"/>
          <w:szCs w:val="24"/>
        </w:rPr>
        <w:t>individuals</w:t>
      </w:r>
      <w:r w:rsidRPr="000E1342">
        <w:rPr>
          <w:rFonts w:asciiTheme="majorBidi" w:hAnsiTheme="majorBidi" w:cstheme="majorBidi"/>
          <w:sz w:val="24"/>
          <w:szCs w:val="24"/>
        </w:rPr>
        <w:t xml:space="preserve"> with haemophilia A. These inhibitors are usually IgG immunoglobulins directed against the factor VIII procoagulant activity, which are quantified in Bethesda Units (BU) </w:t>
      </w:r>
      <w:r w:rsidR="00D97B7F" w:rsidRPr="000E1342">
        <w:rPr>
          <w:rFonts w:asciiTheme="majorBidi" w:hAnsiTheme="majorBidi" w:cstheme="majorBidi"/>
          <w:sz w:val="24"/>
          <w:szCs w:val="24"/>
        </w:rPr>
        <w:t xml:space="preserve">per mL of plasma </w:t>
      </w:r>
      <w:r w:rsidRPr="000E1342">
        <w:rPr>
          <w:rFonts w:asciiTheme="majorBidi" w:hAnsiTheme="majorBidi" w:cstheme="majorBidi"/>
          <w:sz w:val="24"/>
          <w:szCs w:val="24"/>
        </w:rPr>
        <w:t xml:space="preserve">using the modified assay. The risk of developing inhibitors </w:t>
      </w:r>
      <w:r w:rsidR="00D97B7F" w:rsidRPr="000E1342">
        <w:rPr>
          <w:rFonts w:asciiTheme="majorBidi" w:hAnsiTheme="majorBidi" w:cstheme="majorBidi"/>
          <w:sz w:val="24"/>
          <w:szCs w:val="24"/>
        </w:rPr>
        <w:t xml:space="preserve">is </w:t>
      </w:r>
      <w:r w:rsidRPr="000E1342">
        <w:rPr>
          <w:rFonts w:asciiTheme="majorBidi" w:hAnsiTheme="majorBidi" w:cstheme="majorBidi"/>
          <w:sz w:val="24"/>
          <w:szCs w:val="24"/>
        </w:rPr>
        <w:t>correlate</w:t>
      </w:r>
      <w:r w:rsidR="00D97B7F" w:rsidRPr="000E1342">
        <w:rPr>
          <w:rFonts w:asciiTheme="majorBidi" w:hAnsiTheme="majorBidi" w:cstheme="majorBidi"/>
          <w:sz w:val="24"/>
          <w:szCs w:val="24"/>
        </w:rPr>
        <w:t>d</w:t>
      </w:r>
      <w:r w:rsidRPr="000E1342">
        <w:rPr>
          <w:rFonts w:asciiTheme="majorBidi" w:hAnsiTheme="majorBidi" w:cstheme="majorBidi"/>
          <w:sz w:val="24"/>
          <w:szCs w:val="24"/>
        </w:rPr>
        <w:t xml:space="preserve"> to the severity of the </w:t>
      </w:r>
      <w:r w:rsidR="00D97B7F" w:rsidRPr="000E1342">
        <w:rPr>
          <w:rFonts w:asciiTheme="majorBidi" w:hAnsiTheme="majorBidi" w:cstheme="majorBidi"/>
          <w:sz w:val="24"/>
          <w:szCs w:val="24"/>
        </w:rPr>
        <w:t>disease</w:t>
      </w:r>
      <w:r w:rsidRPr="000E1342">
        <w:rPr>
          <w:rFonts w:asciiTheme="majorBidi" w:hAnsiTheme="majorBidi" w:cstheme="majorBidi"/>
          <w:sz w:val="24"/>
          <w:szCs w:val="24"/>
        </w:rPr>
        <w:t xml:space="preserve"> and the </w:t>
      </w:r>
      <w:r w:rsidR="00D97B7F" w:rsidRPr="000E1342">
        <w:rPr>
          <w:rFonts w:asciiTheme="majorBidi" w:hAnsiTheme="majorBidi" w:cstheme="majorBidi"/>
          <w:sz w:val="24"/>
          <w:szCs w:val="24"/>
        </w:rPr>
        <w:t xml:space="preserve">exposure to </w:t>
      </w:r>
      <w:r w:rsidRPr="000E1342">
        <w:rPr>
          <w:rFonts w:asciiTheme="majorBidi" w:hAnsiTheme="majorBidi" w:cstheme="majorBidi"/>
          <w:sz w:val="24"/>
          <w:szCs w:val="24"/>
        </w:rPr>
        <w:t>factor VIII</w:t>
      </w:r>
      <w:r w:rsidR="00606E0E" w:rsidRPr="000E1342">
        <w:rPr>
          <w:rFonts w:asciiTheme="majorBidi" w:hAnsiTheme="majorBidi" w:cstheme="majorBidi"/>
          <w:sz w:val="24"/>
          <w:szCs w:val="24"/>
        </w:rPr>
        <w:t xml:space="preserve">, this risk being highest within the first </w:t>
      </w:r>
      <w:r w:rsidR="005D016B" w:rsidRPr="000E1342">
        <w:rPr>
          <w:rFonts w:asciiTheme="majorBidi" w:hAnsiTheme="majorBidi" w:cstheme="majorBidi"/>
          <w:sz w:val="24"/>
          <w:szCs w:val="24"/>
        </w:rPr>
        <w:t>2</w:t>
      </w:r>
      <w:r w:rsidR="00606E0E" w:rsidRPr="000E1342">
        <w:rPr>
          <w:rFonts w:asciiTheme="majorBidi" w:hAnsiTheme="majorBidi" w:cstheme="majorBidi"/>
          <w:sz w:val="24"/>
          <w:szCs w:val="24"/>
        </w:rPr>
        <w:t xml:space="preserve">0 exposure </w:t>
      </w:r>
      <w:r w:rsidR="005D016B" w:rsidRPr="000E1342">
        <w:rPr>
          <w:rFonts w:asciiTheme="majorBidi" w:hAnsiTheme="majorBidi" w:cstheme="majorBidi"/>
          <w:sz w:val="24"/>
          <w:szCs w:val="24"/>
        </w:rPr>
        <w:t>days</w:t>
      </w:r>
      <w:r w:rsidRPr="000E1342">
        <w:rPr>
          <w:rFonts w:asciiTheme="majorBidi" w:hAnsiTheme="majorBidi" w:cstheme="majorBidi"/>
          <w:sz w:val="24"/>
          <w:szCs w:val="24"/>
        </w:rPr>
        <w:t xml:space="preserve">. Rarely, inhibitors may </w:t>
      </w:r>
      <w:r w:rsidR="00606E0E" w:rsidRPr="000E1342">
        <w:rPr>
          <w:rFonts w:asciiTheme="majorBidi" w:hAnsiTheme="majorBidi" w:cstheme="majorBidi"/>
          <w:sz w:val="24"/>
          <w:szCs w:val="24"/>
        </w:rPr>
        <w:t>develop</w:t>
      </w:r>
      <w:r w:rsidRPr="000E1342">
        <w:rPr>
          <w:rFonts w:asciiTheme="majorBidi" w:hAnsiTheme="majorBidi" w:cstheme="majorBidi"/>
          <w:sz w:val="24"/>
          <w:szCs w:val="24"/>
        </w:rPr>
        <w:t xml:space="preserve"> after the first 100 </w:t>
      </w:r>
      <w:r w:rsidR="00C4373B" w:rsidRPr="000E1342">
        <w:rPr>
          <w:rFonts w:asciiTheme="majorBidi" w:hAnsiTheme="majorBidi" w:cstheme="majorBidi"/>
          <w:sz w:val="24"/>
          <w:szCs w:val="24"/>
        </w:rPr>
        <w:t xml:space="preserve">exposure </w:t>
      </w:r>
      <w:r w:rsidRPr="000E1342">
        <w:rPr>
          <w:rFonts w:asciiTheme="majorBidi" w:hAnsiTheme="majorBidi" w:cstheme="majorBidi"/>
          <w:sz w:val="24"/>
          <w:szCs w:val="24"/>
        </w:rPr>
        <w:t>days.</w:t>
      </w:r>
    </w:p>
    <w:p w14:paraId="6B4959CB" w14:textId="232D267C" w:rsidR="00526245" w:rsidRPr="000E1342" w:rsidRDefault="00526245" w:rsidP="00526245">
      <w:pPr>
        <w:rPr>
          <w:rFonts w:asciiTheme="majorBidi" w:hAnsiTheme="majorBidi" w:cstheme="majorBidi"/>
          <w:sz w:val="24"/>
          <w:szCs w:val="24"/>
        </w:rPr>
      </w:pPr>
      <w:r w:rsidRPr="000E1342">
        <w:rPr>
          <w:rFonts w:asciiTheme="majorBidi" w:hAnsiTheme="majorBidi" w:cstheme="majorBidi"/>
          <w:sz w:val="24"/>
          <w:szCs w:val="24"/>
        </w:rPr>
        <w:t xml:space="preserve">Cases of </w:t>
      </w:r>
      <w:r w:rsidR="00606E0E" w:rsidRPr="000E1342">
        <w:rPr>
          <w:rFonts w:asciiTheme="majorBidi" w:hAnsiTheme="majorBidi" w:cstheme="majorBidi"/>
          <w:sz w:val="24"/>
          <w:szCs w:val="24"/>
        </w:rPr>
        <w:t xml:space="preserve">recurrent </w:t>
      </w:r>
      <w:r w:rsidRPr="000E1342">
        <w:rPr>
          <w:rFonts w:asciiTheme="majorBidi" w:hAnsiTheme="majorBidi" w:cstheme="majorBidi"/>
          <w:sz w:val="24"/>
          <w:szCs w:val="24"/>
        </w:rPr>
        <w:t xml:space="preserve">inhibitors </w:t>
      </w:r>
      <w:r w:rsidR="00C4373B" w:rsidRPr="000E1342">
        <w:rPr>
          <w:rFonts w:asciiTheme="majorBidi" w:hAnsiTheme="majorBidi" w:cstheme="majorBidi"/>
          <w:sz w:val="24"/>
          <w:szCs w:val="24"/>
        </w:rPr>
        <w:t>(</w:t>
      </w:r>
      <w:proofErr w:type="gramStart"/>
      <w:r w:rsidR="00C4373B" w:rsidRPr="000E1342">
        <w:rPr>
          <w:rFonts w:asciiTheme="majorBidi" w:hAnsiTheme="majorBidi" w:cstheme="majorBidi"/>
          <w:sz w:val="24"/>
          <w:szCs w:val="24"/>
        </w:rPr>
        <w:t>low-titre</w:t>
      </w:r>
      <w:proofErr w:type="gramEnd"/>
      <w:r w:rsidR="00C4373B" w:rsidRPr="000E1342">
        <w:rPr>
          <w:rFonts w:asciiTheme="majorBidi" w:hAnsiTheme="majorBidi" w:cstheme="majorBidi"/>
          <w:sz w:val="24"/>
          <w:szCs w:val="24"/>
        </w:rPr>
        <w:t xml:space="preserve">) </w:t>
      </w:r>
      <w:r w:rsidRPr="000E1342">
        <w:rPr>
          <w:rFonts w:asciiTheme="majorBidi" w:hAnsiTheme="majorBidi" w:cstheme="majorBidi"/>
          <w:sz w:val="24"/>
          <w:szCs w:val="24"/>
        </w:rPr>
        <w:t xml:space="preserve">have been observed </w:t>
      </w:r>
      <w:r w:rsidR="00C4373B" w:rsidRPr="000E1342">
        <w:rPr>
          <w:rFonts w:asciiTheme="majorBidi" w:hAnsiTheme="majorBidi" w:cstheme="majorBidi"/>
          <w:sz w:val="24"/>
          <w:szCs w:val="24"/>
        </w:rPr>
        <w:t xml:space="preserve">after switching from </w:t>
      </w:r>
      <w:r w:rsidRPr="000E1342">
        <w:rPr>
          <w:rFonts w:asciiTheme="majorBidi" w:hAnsiTheme="majorBidi" w:cstheme="majorBidi"/>
          <w:sz w:val="24"/>
          <w:szCs w:val="24"/>
        </w:rPr>
        <w:t xml:space="preserve">one factor VIII product to another in previously treated patients with </w:t>
      </w:r>
      <w:r w:rsidR="00C4373B" w:rsidRPr="000E1342">
        <w:rPr>
          <w:rFonts w:asciiTheme="majorBidi" w:hAnsiTheme="majorBidi" w:cstheme="majorBidi"/>
          <w:sz w:val="24"/>
          <w:szCs w:val="24"/>
        </w:rPr>
        <w:t xml:space="preserve">more than 100 exposure days </w:t>
      </w:r>
      <w:r w:rsidRPr="000E1342">
        <w:rPr>
          <w:rFonts w:asciiTheme="majorBidi" w:hAnsiTheme="majorBidi" w:cstheme="majorBidi"/>
          <w:sz w:val="24"/>
          <w:szCs w:val="24"/>
        </w:rPr>
        <w:t xml:space="preserve">and a history of inhibitor </w:t>
      </w:r>
      <w:r w:rsidR="00C4373B" w:rsidRPr="000E1342">
        <w:rPr>
          <w:rFonts w:asciiTheme="majorBidi" w:hAnsiTheme="majorBidi" w:cstheme="majorBidi"/>
          <w:sz w:val="24"/>
          <w:szCs w:val="24"/>
        </w:rPr>
        <w:t>development</w:t>
      </w:r>
      <w:r w:rsidRPr="000E1342">
        <w:rPr>
          <w:rFonts w:asciiTheme="majorBidi" w:hAnsiTheme="majorBidi" w:cstheme="majorBidi"/>
          <w:sz w:val="24"/>
          <w:szCs w:val="24"/>
        </w:rPr>
        <w:t xml:space="preserve">. Therefore, it is </w:t>
      </w:r>
      <w:r w:rsidR="00C4373B" w:rsidRPr="000E1342">
        <w:rPr>
          <w:rFonts w:asciiTheme="majorBidi" w:hAnsiTheme="majorBidi" w:cstheme="majorBidi"/>
          <w:sz w:val="24"/>
          <w:szCs w:val="24"/>
        </w:rPr>
        <w:t>recommended</w:t>
      </w:r>
      <w:r w:rsidRPr="000E1342">
        <w:rPr>
          <w:rFonts w:asciiTheme="majorBidi" w:hAnsiTheme="majorBidi" w:cstheme="majorBidi"/>
          <w:sz w:val="24"/>
          <w:szCs w:val="24"/>
        </w:rPr>
        <w:t xml:space="preserve"> to monitor all patients carefully for inhibitor</w:t>
      </w:r>
      <w:r w:rsidR="00C4373B" w:rsidRPr="000E1342">
        <w:rPr>
          <w:rFonts w:asciiTheme="majorBidi" w:hAnsiTheme="majorBidi" w:cstheme="majorBidi"/>
          <w:sz w:val="24"/>
          <w:szCs w:val="24"/>
        </w:rPr>
        <w:t xml:space="preserve"> occurrence</w:t>
      </w:r>
      <w:r w:rsidRPr="000E1342">
        <w:rPr>
          <w:rFonts w:asciiTheme="majorBidi" w:hAnsiTheme="majorBidi" w:cstheme="majorBidi"/>
          <w:sz w:val="24"/>
          <w:szCs w:val="24"/>
        </w:rPr>
        <w:t xml:space="preserve"> following a</w:t>
      </w:r>
      <w:r w:rsidR="00C4373B" w:rsidRPr="000E1342">
        <w:rPr>
          <w:rFonts w:asciiTheme="majorBidi" w:hAnsiTheme="majorBidi" w:cstheme="majorBidi"/>
          <w:sz w:val="24"/>
          <w:szCs w:val="24"/>
        </w:rPr>
        <w:t>ny</w:t>
      </w:r>
      <w:r w:rsidRPr="000E1342">
        <w:rPr>
          <w:rFonts w:asciiTheme="majorBidi" w:hAnsiTheme="majorBidi" w:cstheme="majorBidi"/>
          <w:sz w:val="24"/>
          <w:szCs w:val="24"/>
        </w:rPr>
        <w:t xml:space="preserve"> product</w:t>
      </w:r>
      <w:r w:rsidR="00C4373B" w:rsidRPr="000E1342">
        <w:rPr>
          <w:rFonts w:asciiTheme="majorBidi" w:hAnsiTheme="majorBidi" w:cstheme="majorBidi"/>
          <w:sz w:val="24"/>
          <w:szCs w:val="24"/>
        </w:rPr>
        <w:t xml:space="preserve"> switch</w:t>
      </w:r>
      <w:r w:rsidRPr="000E1342">
        <w:rPr>
          <w:rFonts w:asciiTheme="majorBidi" w:hAnsiTheme="majorBidi" w:cstheme="majorBidi"/>
          <w:sz w:val="24"/>
          <w:szCs w:val="24"/>
        </w:rPr>
        <w:t>.</w:t>
      </w:r>
    </w:p>
    <w:p w14:paraId="0D05C8B6" w14:textId="19A64D2D" w:rsidR="00526245" w:rsidRPr="000E1342" w:rsidRDefault="00526245" w:rsidP="00526245">
      <w:pPr>
        <w:rPr>
          <w:rFonts w:asciiTheme="majorBidi" w:hAnsiTheme="majorBidi" w:cstheme="majorBidi"/>
          <w:sz w:val="24"/>
          <w:szCs w:val="24"/>
        </w:rPr>
      </w:pPr>
      <w:r w:rsidRPr="000E1342">
        <w:rPr>
          <w:rFonts w:asciiTheme="majorBidi" w:hAnsiTheme="majorBidi" w:cstheme="majorBidi"/>
          <w:sz w:val="24"/>
          <w:szCs w:val="24"/>
        </w:rPr>
        <w:t xml:space="preserve">The clinical relevance of inhibitor development </w:t>
      </w:r>
      <w:r w:rsidR="00606E0E" w:rsidRPr="000E1342">
        <w:rPr>
          <w:rFonts w:asciiTheme="majorBidi" w:hAnsiTheme="majorBidi" w:cstheme="majorBidi"/>
          <w:sz w:val="24"/>
          <w:szCs w:val="24"/>
        </w:rPr>
        <w:t xml:space="preserve">will </w:t>
      </w:r>
      <w:r w:rsidRPr="000E1342">
        <w:rPr>
          <w:rFonts w:asciiTheme="majorBidi" w:hAnsiTheme="majorBidi" w:cstheme="majorBidi"/>
          <w:sz w:val="24"/>
          <w:szCs w:val="24"/>
        </w:rPr>
        <w:t xml:space="preserve">depend on the titre of the inhibitor, </w:t>
      </w:r>
      <w:r w:rsidR="00606E0E" w:rsidRPr="000E1342">
        <w:rPr>
          <w:rFonts w:asciiTheme="majorBidi" w:hAnsiTheme="majorBidi" w:cstheme="majorBidi"/>
          <w:sz w:val="24"/>
          <w:szCs w:val="24"/>
        </w:rPr>
        <w:t>with</w:t>
      </w:r>
      <w:r w:rsidRPr="000E1342">
        <w:rPr>
          <w:rFonts w:asciiTheme="majorBidi" w:hAnsiTheme="majorBidi" w:cstheme="majorBidi"/>
          <w:sz w:val="24"/>
          <w:szCs w:val="24"/>
        </w:rPr>
        <w:t xml:space="preserve"> low-titre inhibitors </w:t>
      </w:r>
      <w:r w:rsidR="00606E0E" w:rsidRPr="000E1342">
        <w:rPr>
          <w:rFonts w:asciiTheme="majorBidi" w:hAnsiTheme="majorBidi" w:cstheme="majorBidi"/>
          <w:sz w:val="24"/>
          <w:szCs w:val="24"/>
        </w:rPr>
        <w:t>which</w:t>
      </w:r>
      <w:r w:rsidRPr="000E1342">
        <w:rPr>
          <w:rFonts w:asciiTheme="majorBidi" w:hAnsiTheme="majorBidi" w:cstheme="majorBidi"/>
          <w:sz w:val="24"/>
          <w:szCs w:val="24"/>
        </w:rPr>
        <w:t xml:space="preserve"> are</w:t>
      </w:r>
      <w:r w:rsidR="005D016B" w:rsidRPr="000E1342">
        <w:rPr>
          <w:rFonts w:asciiTheme="majorBidi" w:hAnsiTheme="majorBidi" w:cstheme="majorBidi"/>
          <w:sz w:val="24"/>
          <w:szCs w:val="24"/>
        </w:rPr>
        <w:t xml:space="preserve"> transiently</w:t>
      </w:r>
      <w:r w:rsidRPr="000E1342">
        <w:rPr>
          <w:rFonts w:asciiTheme="majorBidi" w:hAnsiTheme="majorBidi" w:cstheme="majorBidi"/>
          <w:sz w:val="24"/>
          <w:szCs w:val="24"/>
        </w:rPr>
        <w:t xml:space="preserve"> present or </w:t>
      </w:r>
      <w:r w:rsidR="005D016B" w:rsidRPr="000E1342">
        <w:rPr>
          <w:rFonts w:asciiTheme="majorBidi" w:hAnsiTheme="majorBidi" w:cstheme="majorBidi"/>
          <w:sz w:val="24"/>
          <w:szCs w:val="24"/>
        </w:rPr>
        <w:t>remain consistently</w:t>
      </w:r>
      <w:r w:rsidRPr="000E1342">
        <w:rPr>
          <w:rFonts w:asciiTheme="majorBidi" w:hAnsiTheme="majorBidi" w:cstheme="majorBidi"/>
          <w:sz w:val="24"/>
          <w:szCs w:val="24"/>
        </w:rPr>
        <w:t xml:space="preserve"> low-titre pos</w:t>
      </w:r>
      <w:r w:rsidR="005D016B" w:rsidRPr="000E1342">
        <w:rPr>
          <w:rFonts w:asciiTheme="majorBidi" w:hAnsiTheme="majorBidi" w:cstheme="majorBidi"/>
          <w:sz w:val="24"/>
          <w:szCs w:val="24"/>
        </w:rPr>
        <w:t>ing</w:t>
      </w:r>
      <w:r w:rsidRPr="000E1342">
        <w:rPr>
          <w:rFonts w:asciiTheme="majorBidi" w:hAnsiTheme="majorBidi" w:cstheme="majorBidi"/>
          <w:sz w:val="24"/>
          <w:szCs w:val="24"/>
        </w:rPr>
        <w:t xml:space="preserve"> a lower risk of </w:t>
      </w:r>
      <w:r w:rsidR="005D016B" w:rsidRPr="000E1342">
        <w:rPr>
          <w:rFonts w:asciiTheme="majorBidi" w:hAnsiTheme="majorBidi" w:cstheme="majorBidi"/>
          <w:sz w:val="24"/>
          <w:szCs w:val="24"/>
        </w:rPr>
        <w:t>insufficient</w:t>
      </w:r>
      <w:r w:rsidRPr="000E1342">
        <w:rPr>
          <w:rFonts w:asciiTheme="majorBidi" w:hAnsiTheme="majorBidi" w:cstheme="majorBidi"/>
          <w:sz w:val="24"/>
          <w:szCs w:val="24"/>
        </w:rPr>
        <w:t xml:space="preserve"> clinical response than high-titre inhibitors.</w:t>
      </w:r>
    </w:p>
    <w:p w14:paraId="332786AA" w14:textId="33F1BE3F" w:rsidR="00C4373B" w:rsidRPr="000E1342" w:rsidRDefault="00526245" w:rsidP="00C4373B">
      <w:pPr>
        <w:rPr>
          <w:rFonts w:asciiTheme="majorBidi" w:hAnsiTheme="majorBidi" w:cstheme="majorBidi"/>
          <w:sz w:val="24"/>
          <w:szCs w:val="24"/>
        </w:rPr>
      </w:pPr>
      <w:r w:rsidRPr="000E1342">
        <w:rPr>
          <w:rFonts w:asciiTheme="majorBidi" w:hAnsiTheme="majorBidi" w:cstheme="majorBidi"/>
          <w:sz w:val="24"/>
          <w:szCs w:val="24"/>
        </w:rPr>
        <w:t xml:space="preserve">All patients treated with coagulation factor VIII products must always be carefully monitored for </w:t>
      </w:r>
      <w:r w:rsidR="00C4373B" w:rsidRPr="000E1342">
        <w:rPr>
          <w:rFonts w:asciiTheme="majorBidi" w:hAnsiTheme="majorBidi" w:cstheme="majorBidi"/>
          <w:sz w:val="24"/>
          <w:szCs w:val="24"/>
        </w:rPr>
        <w:t xml:space="preserve">the development of </w:t>
      </w:r>
      <w:r w:rsidRPr="000E1342">
        <w:rPr>
          <w:rFonts w:asciiTheme="majorBidi" w:hAnsiTheme="majorBidi" w:cstheme="majorBidi"/>
          <w:sz w:val="24"/>
          <w:szCs w:val="24"/>
        </w:rPr>
        <w:t>inhibitor</w:t>
      </w:r>
      <w:r w:rsidR="00C4373B" w:rsidRPr="000E1342">
        <w:rPr>
          <w:rFonts w:asciiTheme="majorBidi" w:hAnsiTheme="majorBidi" w:cstheme="majorBidi"/>
          <w:sz w:val="24"/>
          <w:szCs w:val="24"/>
        </w:rPr>
        <w:t xml:space="preserve">s by appropriate clinical observations </w:t>
      </w:r>
      <w:r w:rsidRPr="000E1342">
        <w:rPr>
          <w:rFonts w:asciiTheme="majorBidi" w:hAnsiTheme="majorBidi" w:cstheme="majorBidi"/>
          <w:sz w:val="24"/>
          <w:szCs w:val="24"/>
        </w:rPr>
        <w:t>and laboratory tests. If the expected factor VIII activity plasma</w:t>
      </w:r>
      <w:r w:rsidR="00C4373B" w:rsidRPr="000E1342">
        <w:rPr>
          <w:rFonts w:asciiTheme="majorBidi" w:hAnsiTheme="majorBidi" w:cstheme="majorBidi"/>
          <w:sz w:val="24"/>
          <w:szCs w:val="24"/>
        </w:rPr>
        <w:t xml:space="preserve"> level</w:t>
      </w:r>
      <w:r w:rsidRPr="000E1342">
        <w:rPr>
          <w:rFonts w:asciiTheme="majorBidi" w:hAnsiTheme="majorBidi" w:cstheme="majorBidi"/>
          <w:sz w:val="24"/>
          <w:szCs w:val="24"/>
        </w:rPr>
        <w:t xml:space="preserve"> is not </w:t>
      </w:r>
      <w:r w:rsidR="00C4373B" w:rsidRPr="000E1342">
        <w:rPr>
          <w:rFonts w:asciiTheme="majorBidi" w:hAnsiTheme="majorBidi" w:cstheme="majorBidi"/>
          <w:sz w:val="24"/>
          <w:szCs w:val="24"/>
        </w:rPr>
        <w:t>attained</w:t>
      </w:r>
      <w:r w:rsidRPr="000E1342">
        <w:rPr>
          <w:rFonts w:asciiTheme="majorBidi" w:hAnsiTheme="majorBidi" w:cstheme="majorBidi"/>
          <w:sz w:val="24"/>
          <w:szCs w:val="24"/>
        </w:rPr>
        <w:t xml:space="preserve">, or </w:t>
      </w:r>
      <w:r w:rsidR="00C4373B" w:rsidRPr="000E1342">
        <w:rPr>
          <w:rFonts w:asciiTheme="majorBidi" w:hAnsiTheme="majorBidi" w:cstheme="majorBidi"/>
          <w:sz w:val="24"/>
          <w:szCs w:val="24"/>
        </w:rPr>
        <w:t>if bleeding is not controlled</w:t>
      </w:r>
      <w:r w:rsidRPr="000E1342">
        <w:rPr>
          <w:rFonts w:asciiTheme="majorBidi" w:hAnsiTheme="majorBidi" w:cstheme="majorBidi"/>
          <w:sz w:val="24"/>
          <w:szCs w:val="24"/>
        </w:rPr>
        <w:t xml:space="preserve"> with a</w:t>
      </w:r>
      <w:r w:rsidR="00C4373B" w:rsidRPr="000E1342">
        <w:rPr>
          <w:rFonts w:asciiTheme="majorBidi" w:hAnsiTheme="majorBidi" w:cstheme="majorBidi"/>
          <w:sz w:val="24"/>
          <w:szCs w:val="24"/>
        </w:rPr>
        <w:t xml:space="preserve">n appropriate </w:t>
      </w:r>
      <w:r w:rsidRPr="000E1342">
        <w:rPr>
          <w:rFonts w:asciiTheme="majorBidi" w:hAnsiTheme="majorBidi" w:cstheme="majorBidi"/>
          <w:sz w:val="24"/>
          <w:szCs w:val="24"/>
        </w:rPr>
        <w:t xml:space="preserve">dose, </w:t>
      </w:r>
      <w:r w:rsidR="00C4373B" w:rsidRPr="000E1342">
        <w:rPr>
          <w:rFonts w:asciiTheme="majorBidi" w:hAnsiTheme="majorBidi" w:cstheme="majorBidi"/>
          <w:sz w:val="24"/>
          <w:szCs w:val="24"/>
        </w:rPr>
        <w:t>testing for factor VIII inhibitor presence should be performed. In patients with high levels of inhibitor, factor VIII therapy may not be effective and other therapeutic options should be considered. Management of such patients should be directed by physicians with experience in the care of haemophilia and factor VIII inhibitors.</w:t>
      </w:r>
    </w:p>
    <w:p w14:paraId="4D754A6D" w14:textId="6B6523A1" w:rsidR="00526245" w:rsidRPr="000E1342" w:rsidRDefault="00526245" w:rsidP="005D016B">
      <w:pPr>
        <w:pStyle w:val="Heading3"/>
        <w:spacing w:before="0" w:after="120"/>
        <w:ind w:left="0"/>
        <w:rPr>
          <w:rFonts w:asciiTheme="majorBidi" w:hAnsiTheme="majorBidi"/>
          <w:sz w:val="24"/>
          <w:szCs w:val="24"/>
        </w:rPr>
      </w:pPr>
      <w:r w:rsidRPr="000E1342">
        <w:rPr>
          <w:rFonts w:asciiTheme="majorBidi" w:hAnsiTheme="majorBidi"/>
          <w:sz w:val="24"/>
          <w:szCs w:val="24"/>
        </w:rPr>
        <w:t>Decreased factor VIII activity in previously treated patients</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vault_nd_30c1d0ff-82eb-4f77-b644-81dc0d123d0f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60EB8671" w14:textId="229F2916" w:rsidR="00526245" w:rsidRPr="000E1342" w:rsidRDefault="00526245" w:rsidP="00526245">
      <w:pPr>
        <w:rPr>
          <w:rFonts w:asciiTheme="majorBidi" w:hAnsiTheme="majorBidi" w:cstheme="majorBidi"/>
          <w:sz w:val="24"/>
          <w:szCs w:val="24"/>
        </w:rPr>
      </w:pPr>
      <w:r w:rsidRPr="000E1342">
        <w:rPr>
          <w:rFonts w:asciiTheme="majorBidi" w:hAnsiTheme="majorBidi" w:cstheme="majorBidi"/>
          <w:sz w:val="24"/>
          <w:szCs w:val="24"/>
        </w:rPr>
        <w:t xml:space="preserve">From post marketing reports, a decreased factor VIII activity in the absence of detectable factor VIII inhibitors has been reported in previously treated patients. The decreased factor VIII activity was observed at time of switching to </w:t>
      </w:r>
      <w:r w:rsidR="00EE565D">
        <w:rPr>
          <w:rFonts w:asciiTheme="majorBidi" w:hAnsiTheme="majorBidi" w:cstheme="majorBidi"/>
          <w:sz w:val="24"/>
          <w:szCs w:val="24"/>
        </w:rPr>
        <w:t>ESPEROCT</w:t>
      </w:r>
      <w:r w:rsidR="001C04E4">
        <w:rPr>
          <w:rFonts w:asciiTheme="majorBidi" w:hAnsiTheme="majorBidi" w:cstheme="majorBidi"/>
          <w:sz w:val="24"/>
          <w:szCs w:val="24"/>
        </w:rPr>
        <w:t xml:space="preserve"> and may, in some cases, have been associated </w:t>
      </w:r>
      <w:r w:rsidR="002B58DE">
        <w:rPr>
          <w:rFonts w:asciiTheme="majorBidi" w:hAnsiTheme="majorBidi" w:cstheme="majorBidi"/>
          <w:sz w:val="24"/>
          <w:szCs w:val="24"/>
        </w:rPr>
        <w:t>with anti-PEG antibodies</w:t>
      </w:r>
      <w:r w:rsidRPr="000E1342">
        <w:rPr>
          <w:rFonts w:asciiTheme="majorBidi" w:hAnsiTheme="majorBidi" w:cstheme="majorBidi"/>
          <w:sz w:val="24"/>
          <w:szCs w:val="24"/>
        </w:rPr>
        <w:t xml:space="preserve">. Appropriate determination of factor VIII activity upon switching should be considered. </w:t>
      </w:r>
      <w:r w:rsidR="00321B14">
        <w:rPr>
          <w:rFonts w:asciiTheme="majorBidi" w:hAnsiTheme="majorBidi" w:cstheme="majorBidi"/>
          <w:sz w:val="24"/>
          <w:szCs w:val="24"/>
        </w:rPr>
        <w:t>See</w:t>
      </w:r>
      <w:r w:rsidR="00321B14" w:rsidRPr="000E1342">
        <w:rPr>
          <w:rFonts w:asciiTheme="majorBidi" w:hAnsiTheme="majorBidi" w:cstheme="majorBidi"/>
          <w:sz w:val="24"/>
          <w:szCs w:val="24"/>
        </w:rPr>
        <w:t xml:space="preserve"> Section </w:t>
      </w:r>
      <w:r w:rsidR="00321B14">
        <w:rPr>
          <w:rFonts w:asciiTheme="majorBidi" w:hAnsiTheme="majorBidi" w:cstheme="majorBidi"/>
          <w:sz w:val="24"/>
          <w:szCs w:val="24"/>
        </w:rPr>
        <w:t>4.8 for additional information.</w:t>
      </w:r>
    </w:p>
    <w:p w14:paraId="3A36755E" w14:textId="2214BA2C" w:rsidR="00C4373B" w:rsidRPr="000E1342" w:rsidRDefault="00C4373B" w:rsidP="00C4373B">
      <w:pPr>
        <w:pStyle w:val="Heading3"/>
        <w:spacing w:before="0" w:after="120"/>
        <w:ind w:left="0"/>
        <w:rPr>
          <w:rFonts w:asciiTheme="majorBidi" w:hAnsiTheme="majorBidi"/>
          <w:sz w:val="24"/>
          <w:szCs w:val="24"/>
        </w:rPr>
      </w:pPr>
      <w:r w:rsidRPr="000E1342">
        <w:rPr>
          <w:rFonts w:asciiTheme="majorBidi" w:hAnsiTheme="majorBidi"/>
          <w:sz w:val="24"/>
          <w:szCs w:val="24"/>
        </w:rPr>
        <w:t>Cardiovascular events</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vault_nd_608e53d2-f53b-4b3a-9f75-5b54ca71a133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1F432B9D" w14:textId="4F4EB702" w:rsidR="00C4373B" w:rsidRPr="000E1342" w:rsidRDefault="00C4373B" w:rsidP="00C4373B">
      <w:pPr>
        <w:rPr>
          <w:rFonts w:asciiTheme="majorBidi" w:hAnsiTheme="majorBidi" w:cstheme="majorBidi"/>
          <w:sz w:val="24"/>
          <w:szCs w:val="24"/>
        </w:rPr>
      </w:pPr>
      <w:r w:rsidRPr="000E1342">
        <w:rPr>
          <w:rFonts w:asciiTheme="majorBidi" w:hAnsiTheme="majorBidi" w:cstheme="majorBidi"/>
          <w:sz w:val="24"/>
          <w:szCs w:val="24"/>
        </w:rPr>
        <w:t>In patients with existing cardiovascular risk factors, substitution therapy with FVIII may increase the cardiovascular risk.</w:t>
      </w:r>
    </w:p>
    <w:p w14:paraId="4EC93A16" w14:textId="1036E601" w:rsidR="00C4373B" w:rsidRPr="000E1342" w:rsidRDefault="00C4373B" w:rsidP="00C4373B">
      <w:pPr>
        <w:pStyle w:val="Heading3"/>
        <w:spacing w:before="0" w:after="120"/>
        <w:ind w:left="0"/>
        <w:rPr>
          <w:rFonts w:asciiTheme="majorBidi" w:hAnsiTheme="majorBidi"/>
          <w:sz w:val="24"/>
          <w:szCs w:val="24"/>
        </w:rPr>
      </w:pPr>
      <w:r w:rsidRPr="000E1342">
        <w:rPr>
          <w:rFonts w:asciiTheme="majorBidi" w:hAnsiTheme="majorBidi"/>
          <w:sz w:val="24"/>
          <w:szCs w:val="24"/>
        </w:rPr>
        <w:t>Catheter-related complications</w:t>
      </w:r>
      <w:r w:rsidR="00B45199">
        <w:rPr>
          <w:rFonts w:asciiTheme="majorBidi" w:hAnsiTheme="majorBidi"/>
          <w:sz w:val="24"/>
          <w:szCs w:val="24"/>
          <w:vertAlign w:val="superscript"/>
        </w:rPr>
        <w:fldChar w:fldCharType="begin"/>
      </w:r>
      <w:r w:rsidR="00B45199">
        <w:rPr>
          <w:rFonts w:asciiTheme="majorBidi" w:hAnsiTheme="majorBidi"/>
          <w:sz w:val="24"/>
          <w:szCs w:val="24"/>
          <w:vertAlign w:val="superscript"/>
        </w:rPr>
        <w:instrText xml:space="preserve"> DOCVARIABLE vault_nd_daf79075-ba53-4b68-805b-35d399116c1f \* MERGEFORMAT </w:instrText>
      </w:r>
      <w:r w:rsidR="00B45199">
        <w:rPr>
          <w:rFonts w:asciiTheme="majorBidi" w:hAnsiTheme="majorBidi"/>
          <w:sz w:val="24"/>
          <w:szCs w:val="24"/>
          <w:vertAlign w:val="superscript"/>
        </w:rPr>
        <w:fldChar w:fldCharType="separate"/>
      </w:r>
      <w:r w:rsidR="00B45199">
        <w:rPr>
          <w:rFonts w:asciiTheme="majorBidi" w:hAnsiTheme="majorBidi"/>
          <w:sz w:val="24"/>
          <w:szCs w:val="24"/>
          <w:vertAlign w:val="superscript"/>
        </w:rPr>
        <w:t xml:space="preserve"> </w:t>
      </w:r>
      <w:r w:rsidR="00B45199">
        <w:rPr>
          <w:rFonts w:asciiTheme="majorBidi" w:hAnsiTheme="majorBidi"/>
          <w:sz w:val="24"/>
          <w:szCs w:val="24"/>
          <w:vertAlign w:val="superscript"/>
        </w:rPr>
        <w:fldChar w:fldCharType="end"/>
      </w:r>
    </w:p>
    <w:p w14:paraId="18C643D3" w14:textId="6842500E" w:rsidR="00C4373B" w:rsidRPr="000E1342" w:rsidRDefault="00C4373B" w:rsidP="00C4373B">
      <w:pPr>
        <w:rPr>
          <w:rFonts w:asciiTheme="majorBidi" w:hAnsiTheme="majorBidi" w:cstheme="majorBidi"/>
          <w:sz w:val="24"/>
          <w:szCs w:val="24"/>
        </w:rPr>
      </w:pPr>
      <w:r w:rsidRPr="000E1342">
        <w:rPr>
          <w:rFonts w:asciiTheme="majorBidi" w:hAnsiTheme="majorBidi" w:cstheme="majorBidi"/>
          <w:sz w:val="24"/>
          <w:szCs w:val="24"/>
        </w:rPr>
        <w:t xml:space="preserve">If a central venous access device (CVAD) is required, risk of CVAD-related complications including local infections, bacteraemia and catheter site thrombosis should be considered. </w:t>
      </w:r>
    </w:p>
    <w:p w14:paraId="25A6E3AF" w14:textId="25227ACC" w:rsidR="00040393" w:rsidRPr="000E1342" w:rsidRDefault="00040393" w:rsidP="00040393">
      <w:pPr>
        <w:pStyle w:val="Heading3"/>
        <w:spacing w:before="0" w:after="120"/>
        <w:ind w:left="0"/>
        <w:rPr>
          <w:rFonts w:asciiTheme="majorBidi" w:hAnsiTheme="majorBidi"/>
          <w:sz w:val="24"/>
          <w:szCs w:val="24"/>
        </w:rPr>
      </w:pPr>
      <w:r w:rsidRPr="000E1342">
        <w:rPr>
          <w:rFonts w:asciiTheme="majorBidi" w:hAnsiTheme="majorBidi"/>
          <w:sz w:val="24"/>
          <w:szCs w:val="24"/>
        </w:rPr>
        <w:lastRenderedPageBreak/>
        <w:t>Excipient-related considerations</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vault_nd_966dbcd3-fbac-4787-b35b-5e66e663f853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530619C7" w14:textId="3B397587" w:rsidR="00040393" w:rsidRPr="000E1342" w:rsidRDefault="00040393" w:rsidP="00040393">
      <w:pPr>
        <w:rPr>
          <w:rFonts w:asciiTheme="majorBidi" w:hAnsiTheme="majorBidi" w:cstheme="majorBidi"/>
          <w:sz w:val="24"/>
          <w:szCs w:val="24"/>
        </w:rPr>
      </w:pPr>
      <w:r w:rsidRPr="000E1342">
        <w:rPr>
          <w:rFonts w:asciiTheme="majorBidi" w:hAnsiTheme="majorBidi" w:cstheme="majorBidi"/>
          <w:sz w:val="24"/>
          <w:szCs w:val="24"/>
        </w:rPr>
        <w:t>This medicine contains 30.5 mg sodium per reconstituted vial. This corresponds to 1.5 % of the WHO's recommended daily dose of sodium for adults of 2.0 g. Patients on a sodium-controlled diet should take this into consideration.</w:t>
      </w:r>
    </w:p>
    <w:p w14:paraId="234407B1" w14:textId="36CDB40F" w:rsidR="001A3992" w:rsidRPr="000E1342" w:rsidRDefault="001A3992" w:rsidP="00040393">
      <w:pPr>
        <w:pStyle w:val="Heading3"/>
        <w:spacing w:before="0" w:after="120"/>
        <w:ind w:left="0"/>
        <w:rPr>
          <w:rFonts w:asciiTheme="majorBidi" w:hAnsiTheme="majorBidi"/>
          <w:sz w:val="24"/>
          <w:szCs w:val="24"/>
        </w:rPr>
      </w:pPr>
      <w:r w:rsidRPr="000E1342">
        <w:rPr>
          <w:rFonts w:asciiTheme="majorBidi" w:hAnsiTheme="majorBidi"/>
          <w:sz w:val="24"/>
          <w:szCs w:val="24"/>
        </w:rPr>
        <w:t>Use in the elderly</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vault_nd_f353a0ba-9bdb-4029-a9d3-b9bd4f024737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3FCA0DA6" w14:textId="4127A0CB" w:rsidR="00C70A2F" w:rsidRPr="000E1342" w:rsidRDefault="00C70A2F" w:rsidP="00DA66E4">
      <w:pPr>
        <w:rPr>
          <w:rFonts w:asciiTheme="majorBidi" w:hAnsiTheme="majorBidi" w:cstheme="majorBidi"/>
          <w:sz w:val="24"/>
          <w:szCs w:val="24"/>
        </w:rPr>
      </w:pPr>
      <w:r w:rsidRPr="00C70A2F">
        <w:rPr>
          <w:rFonts w:asciiTheme="majorBidi" w:hAnsiTheme="majorBidi" w:cstheme="majorBidi"/>
          <w:sz w:val="24"/>
          <w:szCs w:val="24"/>
        </w:rPr>
        <w:t>The safety of this product for use in the elderly population has not been established in clinical studies</w:t>
      </w:r>
      <w:r>
        <w:rPr>
          <w:rFonts w:asciiTheme="majorBidi" w:hAnsiTheme="majorBidi" w:cstheme="majorBidi"/>
          <w:sz w:val="24"/>
          <w:szCs w:val="24"/>
        </w:rPr>
        <w:t>.</w:t>
      </w:r>
    </w:p>
    <w:p w14:paraId="03E7DF15" w14:textId="215A5842" w:rsidR="001A3992" w:rsidRPr="000E1342" w:rsidRDefault="001A3992" w:rsidP="00040393">
      <w:pPr>
        <w:pStyle w:val="Heading3"/>
        <w:spacing w:before="0" w:after="120"/>
        <w:ind w:left="0"/>
        <w:rPr>
          <w:rFonts w:asciiTheme="majorBidi" w:hAnsiTheme="majorBidi"/>
          <w:sz w:val="24"/>
          <w:szCs w:val="24"/>
        </w:rPr>
      </w:pPr>
      <w:r w:rsidRPr="000E1342">
        <w:rPr>
          <w:rFonts w:asciiTheme="majorBidi" w:hAnsiTheme="majorBidi"/>
          <w:sz w:val="24"/>
          <w:szCs w:val="24"/>
        </w:rPr>
        <w:t>Paediatric use</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vault_nd_469687f2-f8ca-42c9-a0dd-3607b1ab2688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1AB59093" w14:textId="2A23D40D" w:rsidR="005736B6" w:rsidRPr="000E1342" w:rsidRDefault="00040393" w:rsidP="00727DE6">
      <w:pPr>
        <w:rPr>
          <w:rFonts w:asciiTheme="majorBidi" w:hAnsiTheme="majorBidi" w:cstheme="majorBidi"/>
          <w:sz w:val="24"/>
          <w:szCs w:val="24"/>
        </w:rPr>
      </w:pPr>
      <w:r w:rsidRPr="000E1342">
        <w:rPr>
          <w:rFonts w:asciiTheme="majorBidi" w:hAnsiTheme="majorBidi" w:cstheme="majorBidi"/>
          <w:sz w:val="24"/>
          <w:szCs w:val="24"/>
        </w:rPr>
        <w:t>The listed warnings and precautions apply both to adults and children</w:t>
      </w:r>
      <w:r w:rsidR="00906FAB" w:rsidRPr="000E1342">
        <w:rPr>
          <w:rFonts w:asciiTheme="majorBidi" w:hAnsiTheme="majorBidi" w:cstheme="majorBidi"/>
          <w:sz w:val="24"/>
          <w:szCs w:val="24"/>
        </w:rPr>
        <w:t>.</w:t>
      </w:r>
      <w:r w:rsidR="00813DD6">
        <w:rPr>
          <w:rFonts w:asciiTheme="majorBidi" w:hAnsiTheme="majorBidi" w:cstheme="majorBidi"/>
          <w:sz w:val="24"/>
          <w:szCs w:val="24"/>
        </w:rPr>
        <w:t xml:space="preserve"> </w:t>
      </w:r>
      <w:r w:rsidR="00813DD6" w:rsidRPr="00813DD6">
        <w:rPr>
          <w:rFonts w:asciiTheme="majorBidi" w:hAnsiTheme="majorBidi" w:cstheme="majorBidi"/>
          <w:sz w:val="24"/>
          <w:szCs w:val="24"/>
        </w:rPr>
        <w:t xml:space="preserve">There is limited evidence of efficacy, long-term safety has yet to be established. </w:t>
      </w:r>
    </w:p>
    <w:p w14:paraId="7165CA92" w14:textId="1D6273EE" w:rsidR="001A3992" w:rsidRPr="000E1342" w:rsidRDefault="001A3992" w:rsidP="00040393">
      <w:pPr>
        <w:pStyle w:val="Heading3"/>
        <w:spacing w:before="0" w:after="120"/>
        <w:ind w:left="0"/>
        <w:rPr>
          <w:rFonts w:asciiTheme="majorBidi" w:hAnsiTheme="majorBidi"/>
          <w:sz w:val="24"/>
          <w:szCs w:val="24"/>
        </w:rPr>
      </w:pPr>
      <w:r w:rsidRPr="000E1342">
        <w:rPr>
          <w:rFonts w:asciiTheme="majorBidi" w:hAnsiTheme="majorBidi"/>
          <w:sz w:val="24"/>
          <w:szCs w:val="24"/>
        </w:rPr>
        <w:t>Effects on laboratory tests</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vault_nd_c88a3cc0-7b42-46f3-a225-b61540b58c90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0CC7B083" w14:textId="63C20A10" w:rsidR="00040393" w:rsidRPr="000E1342" w:rsidRDefault="0099380F" w:rsidP="00040393">
      <w:pPr>
        <w:rPr>
          <w:rFonts w:asciiTheme="majorBidi" w:hAnsiTheme="majorBidi" w:cstheme="majorBidi"/>
          <w:sz w:val="24"/>
          <w:szCs w:val="24"/>
        </w:rPr>
      </w:pPr>
      <w:r w:rsidRPr="000E1342">
        <w:rPr>
          <w:rFonts w:asciiTheme="majorBidi" w:hAnsiTheme="majorBidi" w:cstheme="majorBidi"/>
          <w:sz w:val="24"/>
          <w:szCs w:val="24"/>
        </w:rPr>
        <w:t>No data available.</w:t>
      </w:r>
    </w:p>
    <w:p w14:paraId="691927BE" w14:textId="2AC2C352" w:rsidR="001A3992" w:rsidRPr="000E1342" w:rsidRDefault="001A3992" w:rsidP="001A3992">
      <w:pPr>
        <w:pStyle w:val="Heading2"/>
        <w:keepNext/>
        <w:keepLines/>
        <w:spacing w:before="0" w:after="120"/>
        <w:rPr>
          <w:rFonts w:asciiTheme="majorBidi" w:hAnsiTheme="majorBidi" w:cstheme="majorBidi"/>
        </w:rPr>
      </w:pPr>
      <w:r w:rsidRPr="000E1342">
        <w:rPr>
          <w:rFonts w:asciiTheme="majorBidi" w:hAnsiTheme="majorBidi" w:cstheme="majorBidi"/>
        </w:rPr>
        <w:t>Interactions with other medicines and other forms of interactions</w:t>
      </w:r>
      <w:r w:rsidR="00B45199">
        <w:rPr>
          <w:rFonts w:asciiTheme="majorBidi" w:hAnsiTheme="majorBidi" w:cstheme="majorBidi"/>
        </w:rPr>
        <w:fldChar w:fldCharType="begin"/>
      </w:r>
      <w:r w:rsidR="00B45199">
        <w:rPr>
          <w:rFonts w:asciiTheme="majorBidi" w:hAnsiTheme="majorBidi" w:cstheme="majorBidi"/>
        </w:rPr>
        <w:instrText xml:space="preserve"> DOCVARIABLE vault_nd_76426e0c-a372-4216-a08c-1dd82fd8fbbe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000738FE" w14:textId="189652C3" w:rsidR="0099380F" w:rsidRPr="000E1342" w:rsidRDefault="0099380F" w:rsidP="0099380F">
      <w:pPr>
        <w:rPr>
          <w:rFonts w:asciiTheme="majorBidi" w:hAnsiTheme="majorBidi" w:cstheme="majorBidi"/>
          <w:sz w:val="24"/>
          <w:szCs w:val="24"/>
        </w:rPr>
      </w:pPr>
      <w:r w:rsidRPr="000E1342">
        <w:rPr>
          <w:rFonts w:asciiTheme="majorBidi" w:hAnsiTheme="majorBidi" w:cstheme="majorBidi"/>
          <w:sz w:val="24"/>
          <w:szCs w:val="24"/>
        </w:rPr>
        <w:t>No interactions of human coagulation factor VIII (rDNA) preparations with other medicinal products have been reported.</w:t>
      </w:r>
    </w:p>
    <w:p w14:paraId="051682A9" w14:textId="3AAA1A61" w:rsidR="001A3992" w:rsidRPr="000E1342" w:rsidRDefault="001A3992" w:rsidP="001A3992">
      <w:pPr>
        <w:pStyle w:val="Heading2"/>
        <w:spacing w:before="0" w:after="120"/>
        <w:rPr>
          <w:rFonts w:asciiTheme="majorBidi" w:hAnsiTheme="majorBidi" w:cstheme="majorBidi"/>
        </w:rPr>
      </w:pPr>
      <w:r w:rsidRPr="000E1342">
        <w:rPr>
          <w:rFonts w:asciiTheme="majorBidi" w:hAnsiTheme="majorBidi" w:cstheme="majorBidi"/>
        </w:rPr>
        <w:t>Fertility, pregnancy and lactation</w:t>
      </w:r>
      <w:r w:rsidR="00B45199">
        <w:rPr>
          <w:rFonts w:asciiTheme="majorBidi" w:hAnsiTheme="majorBidi" w:cstheme="majorBidi"/>
          <w:vertAlign w:val="superscript"/>
        </w:rPr>
        <w:fldChar w:fldCharType="begin"/>
      </w:r>
      <w:r w:rsidR="00B45199">
        <w:rPr>
          <w:rFonts w:asciiTheme="majorBidi" w:hAnsiTheme="majorBidi" w:cstheme="majorBidi"/>
          <w:vertAlign w:val="superscript"/>
        </w:rPr>
        <w:instrText xml:space="preserve"> DOCVARIABLE vault_nd_ef10e324-2c7e-4f96-a9f8-9e2822b61f98 \* MERGEFORMAT </w:instrText>
      </w:r>
      <w:r w:rsidR="00B45199">
        <w:rPr>
          <w:rFonts w:asciiTheme="majorBidi" w:hAnsiTheme="majorBidi" w:cstheme="majorBidi"/>
          <w:vertAlign w:val="superscript"/>
        </w:rPr>
        <w:fldChar w:fldCharType="separate"/>
      </w:r>
      <w:r w:rsidR="00B45199">
        <w:rPr>
          <w:rFonts w:asciiTheme="majorBidi" w:hAnsiTheme="majorBidi" w:cstheme="majorBidi"/>
          <w:vertAlign w:val="superscript"/>
        </w:rPr>
        <w:t xml:space="preserve"> </w:t>
      </w:r>
      <w:r w:rsidR="00B45199">
        <w:rPr>
          <w:rFonts w:asciiTheme="majorBidi" w:hAnsiTheme="majorBidi" w:cstheme="majorBidi"/>
          <w:vertAlign w:val="superscript"/>
        </w:rPr>
        <w:fldChar w:fldCharType="end"/>
      </w:r>
    </w:p>
    <w:p w14:paraId="4B9F50AE" w14:textId="15524C4C" w:rsidR="001A3992" w:rsidRPr="000E1342" w:rsidRDefault="001A3992" w:rsidP="002D4F6A">
      <w:pPr>
        <w:pStyle w:val="Heading3"/>
        <w:spacing w:before="0" w:after="120"/>
        <w:ind w:left="0"/>
        <w:rPr>
          <w:rFonts w:asciiTheme="majorBidi" w:hAnsiTheme="majorBidi"/>
          <w:sz w:val="24"/>
          <w:szCs w:val="24"/>
        </w:rPr>
      </w:pPr>
      <w:r w:rsidRPr="000E1342">
        <w:rPr>
          <w:rFonts w:asciiTheme="majorBidi" w:hAnsiTheme="majorBidi"/>
          <w:sz w:val="24"/>
          <w:szCs w:val="24"/>
        </w:rPr>
        <w:t>Effects on fertility</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vault_nd_f67cb12a-e3e8-400a-8149-1486c041b09d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48362F39" w14:textId="3194E34D" w:rsidR="002D4F6A" w:rsidRPr="000E1342" w:rsidRDefault="0057093B" w:rsidP="002D4F6A">
      <w:pPr>
        <w:rPr>
          <w:rFonts w:asciiTheme="majorBidi" w:hAnsiTheme="majorBidi" w:cstheme="majorBidi"/>
          <w:sz w:val="24"/>
          <w:szCs w:val="24"/>
        </w:rPr>
      </w:pPr>
      <w:r w:rsidRPr="000E1342">
        <w:rPr>
          <w:rFonts w:asciiTheme="majorBidi" w:hAnsiTheme="majorBidi" w:cstheme="majorBidi"/>
          <w:sz w:val="24"/>
          <w:szCs w:val="24"/>
          <w:lang w:bidi="en-GB"/>
        </w:rPr>
        <w:t>Animal s</w:t>
      </w:r>
      <w:r w:rsidR="002D4F6A" w:rsidRPr="000E1342">
        <w:rPr>
          <w:rFonts w:asciiTheme="majorBidi" w:hAnsiTheme="majorBidi" w:cstheme="majorBidi"/>
          <w:sz w:val="24"/>
          <w:szCs w:val="24"/>
          <w:lang w:bidi="en-GB"/>
        </w:rPr>
        <w:t xml:space="preserve">tudies to determine the effects of </w:t>
      </w:r>
      <w:proofErr w:type="spellStart"/>
      <w:r w:rsidR="00171BE8">
        <w:rPr>
          <w:rFonts w:asciiTheme="majorBidi" w:hAnsiTheme="majorBidi" w:cstheme="majorBidi"/>
          <w:sz w:val="24"/>
          <w:szCs w:val="24"/>
          <w:lang w:bidi="en-GB"/>
        </w:rPr>
        <w:t>turoctocog</w:t>
      </w:r>
      <w:proofErr w:type="spellEnd"/>
      <w:r w:rsidR="00171BE8">
        <w:rPr>
          <w:rFonts w:asciiTheme="majorBidi" w:hAnsiTheme="majorBidi" w:cstheme="majorBidi"/>
          <w:sz w:val="24"/>
          <w:szCs w:val="24"/>
          <w:lang w:bidi="en-GB"/>
        </w:rPr>
        <w:t xml:space="preserve"> alfa pegol</w:t>
      </w:r>
      <w:r w:rsidR="00171BE8" w:rsidRPr="000E1342">
        <w:rPr>
          <w:rFonts w:asciiTheme="majorBidi" w:hAnsiTheme="majorBidi" w:cstheme="majorBidi"/>
          <w:sz w:val="24"/>
          <w:szCs w:val="24"/>
          <w:lang w:bidi="en-GB"/>
        </w:rPr>
        <w:t xml:space="preserve"> </w:t>
      </w:r>
      <w:r w:rsidR="002D4F6A" w:rsidRPr="000E1342">
        <w:rPr>
          <w:rFonts w:asciiTheme="majorBidi" w:hAnsiTheme="majorBidi" w:cstheme="majorBidi"/>
          <w:sz w:val="24"/>
          <w:szCs w:val="24"/>
          <w:lang w:bidi="en-GB"/>
        </w:rPr>
        <w:t>on fertility have not been performed</w:t>
      </w:r>
      <w:r w:rsidR="008C4EF3" w:rsidRPr="000E1342">
        <w:rPr>
          <w:rFonts w:asciiTheme="majorBidi" w:hAnsiTheme="majorBidi" w:cstheme="majorBidi"/>
          <w:sz w:val="24"/>
          <w:szCs w:val="24"/>
          <w:lang w:bidi="en-GB"/>
        </w:rPr>
        <w:t xml:space="preserve">. It is unknown whether </w:t>
      </w:r>
      <w:r w:rsidR="00EE565D">
        <w:rPr>
          <w:rFonts w:asciiTheme="majorBidi" w:hAnsiTheme="majorBidi" w:cstheme="majorBidi"/>
          <w:sz w:val="24"/>
          <w:szCs w:val="24"/>
          <w:lang w:bidi="en-GB"/>
        </w:rPr>
        <w:t>ESPEROCT</w:t>
      </w:r>
      <w:r w:rsidR="008C4EF3" w:rsidRPr="000E1342">
        <w:rPr>
          <w:rFonts w:asciiTheme="majorBidi" w:hAnsiTheme="majorBidi" w:cstheme="majorBidi"/>
          <w:sz w:val="24"/>
          <w:szCs w:val="24"/>
          <w:lang w:bidi="en-GB"/>
        </w:rPr>
        <w:t xml:space="preserve"> can affect </w:t>
      </w:r>
      <w:r w:rsidR="00171BE8">
        <w:rPr>
          <w:rFonts w:asciiTheme="majorBidi" w:hAnsiTheme="majorBidi" w:cstheme="majorBidi"/>
          <w:sz w:val="24"/>
          <w:szCs w:val="24"/>
          <w:lang w:bidi="en-GB"/>
        </w:rPr>
        <w:t xml:space="preserve">human </w:t>
      </w:r>
      <w:r w:rsidR="008C4EF3" w:rsidRPr="000E1342">
        <w:rPr>
          <w:rFonts w:asciiTheme="majorBidi" w:hAnsiTheme="majorBidi" w:cstheme="majorBidi"/>
          <w:sz w:val="24"/>
          <w:szCs w:val="24"/>
          <w:lang w:bidi="en-GB"/>
        </w:rPr>
        <w:t>fertility.</w:t>
      </w:r>
    </w:p>
    <w:p w14:paraId="39E70166" w14:textId="39E02360" w:rsidR="001A3992" w:rsidRPr="000E1342" w:rsidRDefault="001A3992" w:rsidP="008C4EF3">
      <w:pPr>
        <w:pStyle w:val="Heading3"/>
        <w:spacing w:before="0" w:after="120"/>
        <w:ind w:left="0"/>
        <w:rPr>
          <w:rFonts w:asciiTheme="majorBidi" w:hAnsiTheme="majorBidi"/>
          <w:sz w:val="24"/>
          <w:szCs w:val="24"/>
        </w:rPr>
      </w:pPr>
      <w:r w:rsidRPr="000E1342">
        <w:rPr>
          <w:rFonts w:asciiTheme="majorBidi" w:hAnsiTheme="majorBidi"/>
          <w:sz w:val="24"/>
          <w:szCs w:val="24"/>
        </w:rPr>
        <w:t xml:space="preserve">Use in pregnancy </w:t>
      </w:r>
      <w:r w:rsidR="005B2812" w:rsidRPr="000E1342">
        <w:rPr>
          <w:rFonts w:asciiTheme="majorBidi" w:hAnsiTheme="majorBidi"/>
          <w:sz w:val="24"/>
          <w:szCs w:val="24"/>
        </w:rPr>
        <w:t>– Pregnancy Category B2</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vault_nd_3033a6ed-7a99-4676-8b12-4840694cb1ca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12EF1E88" w14:textId="37E0C7C8" w:rsidR="008C4EF3" w:rsidRPr="000E1342" w:rsidRDefault="008C4EF3" w:rsidP="008C4EF3">
      <w:pPr>
        <w:rPr>
          <w:rFonts w:asciiTheme="majorBidi" w:hAnsiTheme="majorBidi" w:cstheme="majorBidi"/>
          <w:sz w:val="24"/>
          <w:szCs w:val="24"/>
        </w:rPr>
      </w:pPr>
      <w:r w:rsidRPr="000E1342">
        <w:rPr>
          <w:rFonts w:asciiTheme="majorBidi" w:hAnsiTheme="majorBidi" w:cstheme="majorBidi"/>
          <w:sz w:val="24"/>
          <w:szCs w:val="24"/>
          <w:lang w:bidi="en-GB"/>
        </w:rPr>
        <w:t xml:space="preserve">Animal reproduction studies have not been conducted with </w:t>
      </w:r>
      <w:proofErr w:type="spellStart"/>
      <w:r w:rsidR="00407783">
        <w:rPr>
          <w:rFonts w:asciiTheme="majorBidi" w:hAnsiTheme="majorBidi" w:cstheme="majorBidi"/>
          <w:sz w:val="24"/>
          <w:szCs w:val="24"/>
          <w:lang w:bidi="en-GB"/>
        </w:rPr>
        <w:t>turoctocog</w:t>
      </w:r>
      <w:proofErr w:type="spellEnd"/>
      <w:r w:rsidR="00407783">
        <w:rPr>
          <w:rFonts w:asciiTheme="majorBidi" w:hAnsiTheme="majorBidi" w:cstheme="majorBidi"/>
          <w:sz w:val="24"/>
          <w:szCs w:val="24"/>
          <w:lang w:bidi="en-GB"/>
        </w:rPr>
        <w:t xml:space="preserve"> alfa pegol</w:t>
      </w:r>
      <w:r w:rsidRPr="000E1342">
        <w:rPr>
          <w:rFonts w:asciiTheme="majorBidi" w:hAnsiTheme="majorBidi" w:cstheme="majorBidi"/>
          <w:sz w:val="24"/>
          <w:szCs w:val="24"/>
          <w:lang w:bidi="en-GB"/>
        </w:rPr>
        <w:t xml:space="preserve">. Due to the rare occurrence of haemophilia A in women, clinical experience regarding the use of </w:t>
      </w:r>
      <w:r w:rsidR="00EE565D">
        <w:rPr>
          <w:rFonts w:asciiTheme="majorBidi" w:hAnsiTheme="majorBidi" w:cstheme="majorBidi"/>
          <w:sz w:val="24"/>
          <w:szCs w:val="24"/>
          <w:lang w:bidi="en-GB"/>
        </w:rPr>
        <w:t>ESPEROCT</w:t>
      </w:r>
      <w:r w:rsidRPr="000E1342">
        <w:rPr>
          <w:rFonts w:asciiTheme="majorBidi" w:hAnsiTheme="majorBidi" w:cstheme="majorBidi"/>
          <w:sz w:val="24"/>
          <w:szCs w:val="24"/>
          <w:lang w:bidi="en-GB"/>
        </w:rPr>
        <w:t xml:space="preserve"> during pregnancy is not available. </w:t>
      </w:r>
      <w:r w:rsidR="00407783" w:rsidRPr="00407783">
        <w:rPr>
          <w:rFonts w:asciiTheme="majorBidi" w:hAnsiTheme="majorBidi" w:cstheme="majorBidi"/>
          <w:sz w:val="24"/>
          <w:szCs w:val="24"/>
          <w:lang w:bidi="en-GB"/>
        </w:rPr>
        <w:t xml:space="preserve">It is not known whether ESPEROCT poses any risk to the </w:t>
      </w:r>
      <w:proofErr w:type="spellStart"/>
      <w:r w:rsidR="00407783" w:rsidRPr="00407783">
        <w:rPr>
          <w:rFonts w:asciiTheme="majorBidi" w:hAnsiTheme="majorBidi" w:cstheme="majorBidi"/>
          <w:sz w:val="24"/>
          <w:szCs w:val="24"/>
          <w:lang w:bidi="en-GB"/>
        </w:rPr>
        <w:t>fetus</w:t>
      </w:r>
      <w:proofErr w:type="spellEnd"/>
      <w:r w:rsidR="00407783" w:rsidRPr="00407783">
        <w:rPr>
          <w:rFonts w:asciiTheme="majorBidi" w:hAnsiTheme="majorBidi" w:cstheme="majorBidi"/>
          <w:sz w:val="24"/>
          <w:szCs w:val="24"/>
          <w:lang w:bidi="en-GB"/>
        </w:rPr>
        <w:t xml:space="preserve"> when administered to a pregnant woman</w:t>
      </w:r>
      <w:r w:rsidR="00407783">
        <w:rPr>
          <w:rFonts w:asciiTheme="majorBidi" w:hAnsiTheme="majorBidi" w:cstheme="majorBidi"/>
          <w:sz w:val="24"/>
          <w:szCs w:val="24"/>
          <w:lang w:bidi="en-GB"/>
        </w:rPr>
        <w:t>.</w:t>
      </w:r>
      <w:r w:rsidR="00407783" w:rsidRPr="00407783">
        <w:rPr>
          <w:rFonts w:asciiTheme="majorBidi" w:hAnsiTheme="majorBidi" w:cstheme="majorBidi"/>
          <w:sz w:val="24"/>
          <w:szCs w:val="24"/>
          <w:lang w:bidi="en-GB"/>
        </w:rPr>
        <w:t xml:space="preserve"> </w:t>
      </w:r>
      <w:r w:rsidRPr="000E1342">
        <w:rPr>
          <w:rFonts w:asciiTheme="majorBidi" w:hAnsiTheme="majorBidi" w:cstheme="majorBidi"/>
          <w:sz w:val="24"/>
          <w:szCs w:val="24"/>
          <w:lang w:bidi="en-GB"/>
        </w:rPr>
        <w:t xml:space="preserve">Therefore, </w:t>
      </w:r>
      <w:r w:rsidR="00EE565D">
        <w:rPr>
          <w:rFonts w:asciiTheme="majorBidi" w:hAnsiTheme="majorBidi" w:cstheme="majorBidi"/>
          <w:sz w:val="24"/>
          <w:szCs w:val="24"/>
          <w:lang w:bidi="en-GB"/>
        </w:rPr>
        <w:t>ESPEROCT</w:t>
      </w:r>
      <w:r w:rsidRPr="000E1342">
        <w:rPr>
          <w:rFonts w:asciiTheme="majorBidi" w:hAnsiTheme="majorBidi" w:cstheme="majorBidi"/>
          <w:sz w:val="24"/>
          <w:szCs w:val="24"/>
          <w:lang w:bidi="en-GB"/>
        </w:rPr>
        <w:t xml:space="preserve"> should be used during pregnancy only if clearly indicated.</w:t>
      </w:r>
    </w:p>
    <w:p w14:paraId="6E2D65E4" w14:textId="6A3A4180" w:rsidR="001A3992" w:rsidRPr="000E1342" w:rsidRDefault="001A3992" w:rsidP="008C4EF3">
      <w:pPr>
        <w:pStyle w:val="Heading3"/>
        <w:spacing w:before="0" w:after="120"/>
        <w:ind w:left="0"/>
        <w:rPr>
          <w:rFonts w:asciiTheme="majorBidi" w:hAnsiTheme="majorBidi"/>
          <w:sz w:val="24"/>
          <w:szCs w:val="24"/>
        </w:rPr>
      </w:pPr>
      <w:r w:rsidRPr="000E1342">
        <w:rPr>
          <w:rFonts w:asciiTheme="majorBidi" w:hAnsiTheme="majorBidi"/>
          <w:sz w:val="24"/>
          <w:szCs w:val="24"/>
        </w:rPr>
        <w:t>Use in lactation</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vault_nd_aa352cc9-2aee-4aae-b4cd-52cec3c964d9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1FE96CEC" w14:textId="7FA127E3" w:rsidR="008C4EF3" w:rsidRPr="000E1342" w:rsidRDefault="00407783" w:rsidP="008C4EF3">
      <w:pPr>
        <w:rPr>
          <w:rFonts w:asciiTheme="majorBidi" w:hAnsiTheme="majorBidi" w:cstheme="majorBidi"/>
          <w:sz w:val="24"/>
          <w:szCs w:val="24"/>
        </w:rPr>
      </w:pPr>
      <w:r w:rsidRPr="00407783">
        <w:rPr>
          <w:rFonts w:asciiTheme="majorBidi" w:hAnsiTheme="majorBidi" w:cstheme="majorBidi"/>
          <w:sz w:val="24"/>
          <w:szCs w:val="24"/>
          <w:lang w:bidi="en-GB"/>
        </w:rPr>
        <w:t>The safety of ESPEROCT for use in lactating women has not</w:t>
      </w:r>
      <w:r>
        <w:rPr>
          <w:rFonts w:asciiTheme="majorBidi" w:hAnsiTheme="majorBidi" w:cstheme="majorBidi"/>
          <w:sz w:val="24"/>
          <w:szCs w:val="24"/>
          <w:lang w:bidi="en-GB"/>
        </w:rPr>
        <w:t xml:space="preserve"> </w:t>
      </w:r>
      <w:r w:rsidRPr="00407783">
        <w:rPr>
          <w:rFonts w:asciiTheme="majorBidi" w:hAnsiTheme="majorBidi" w:cstheme="majorBidi"/>
          <w:sz w:val="24"/>
          <w:szCs w:val="24"/>
          <w:lang w:bidi="en-GB"/>
        </w:rPr>
        <w:t>been established. It is not known if ESPEROCT or its metabolites (including the PEG component) are excreted in human milk.</w:t>
      </w:r>
      <w:r>
        <w:rPr>
          <w:rFonts w:asciiTheme="majorBidi" w:hAnsiTheme="majorBidi" w:cstheme="majorBidi"/>
          <w:sz w:val="24"/>
          <w:szCs w:val="24"/>
          <w:lang w:bidi="en-GB"/>
        </w:rPr>
        <w:t xml:space="preserve"> </w:t>
      </w:r>
      <w:r w:rsidR="008C4EF3" w:rsidRPr="000E1342">
        <w:rPr>
          <w:rFonts w:asciiTheme="majorBidi" w:hAnsiTheme="majorBidi" w:cstheme="majorBidi"/>
          <w:sz w:val="24"/>
          <w:szCs w:val="24"/>
          <w:lang w:bidi="en-GB"/>
        </w:rPr>
        <w:t xml:space="preserve">Therefore, </w:t>
      </w:r>
      <w:r w:rsidR="00EE565D">
        <w:rPr>
          <w:rFonts w:asciiTheme="majorBidi" w:hAnsiTheme="majorBidi" w:cstheme="majorBidi"/>
          <w:sz w:val="24"/>
          <w:szCs w:val="24"/>
          <w:lang w:bidi="en-GB"/>
        </w:rPr>
        <w:t>ESPEROCT</w:t>
      </w:r>
      <w:r w:rsidR="008C4EF3" w:rsidRPr="000E1342">
        <w:rPr>
          <w:rFonts w:asciiTheme="majorBidi" w:hAnsiTheme="majorBidi" w:cstheme="majorBidi"/>
          <w:sz w:val="24"/>
          <w:szCs w:val="24"/>
          <w:lang w:bidi="en-GB"/>
        </w:rPr>
        <w:t xml:space="preserve"> should be used during lactation only if clearly indicated.</w:t>
      </w:r>
    </w:p>
    <w:p w14:paraId="5EAAD2BD" w14:textId="0CCBF097" w:rsidR="001A3992" w:rsidRPr="000E1342" w:rsidRDefault="001A3992" w:rsidP="001A3992">
      <w:pPr>
        <w:pStyle w:val="Heading2"/>
        <w:spacing w:before="0" w:after="120"/>
        <w:rPr>
          <w:rFonts w:asciiTheme="majorBidi" w:hAnsiTheme="majorBidi" w:cstheme="majorBidi"/>
        </w:rPr>
      </w:pPr>
      <w:r w:rsidRPr="000E1342">
        <w:rPr>
          <w:rFonts w:asciiTheme="majorBidi" w:hAnsiTheme="majorBidi" w:cstheme="majorBidi"/>
        </w:rPr>
        <w:t>Effects on ability to drive and use machines</w:t>
      </w:r>
      <w:r w:rsidR="00B45199">
        <w:rPr>
          <w:rFonts w:asciiTheme="majorBidi" w:hAnsiTheme="majorBidi" w:cstheme="majorBidi"/>
          <w:vertAlign w:val="superscript"/>
        </w:rPr>
        <w:fldChar w:fldCharType="begin"/>
      </w:r>
      <w:r w:rsidR="00B45199">
        <w:rPr>
          <w:rFonts w:asciiTheme="majorBidi" w:hAnsiTheme="majorBidi" w:cstheme="majorBidi"/>
          <w:vertAlign w:val="superscript"/>
        </w:rPr>
        <w:instrText xml:space="preserve"> DOCVARIABLE vault_nd_44c962d1-84c5-4e69-80b8-e1eaf1133c14 \* MERGEFORMAT </w:instrText>
      </w:r>
      <w:r w:rsidR="00B45199">
        <w:rPr>
          <w:rFonts w:asciiTheme="majorBidi" w:hAnsiTheme="majorBidi" w:cstheme="majorBidi"/>
          <w:vertAlign w:val="superscript"/>
        </w:rPr>
        <w:fldChar w:fldCharType="separate"/>
      </w:r>
      <w:r w:rsidR="00B45199">
        <w:rPr>
          <w:rFonts w:asciiTheme="majorBidi" w:hAnsiTheme="majorBidi" w:cstheme="majorBidi"/>
          <w:vertAlign w:val="superscript"/>
        </w:rPr>
        <w:t xml:space="preserve"> </w:t>
      </w:r>
      <w:r w:rsidR="00B45199">
        <w:rPr>
          <w:rFonts w:asciiTheme="majorBidi" w:hAnsiTheme="majorBidi" w:cstheme="majorBidi"/>
          <w:vertAlign w:val="superscript"/>
        </w:rPr>
        <w:fldChar w:fldCharType="end"/>
      </w:r>
    </w:p>
    <w:p w14:paraId="5A6380B0" w14:textId="105245D1" w:rsidR="005B2812" w:rsidRPr="000E1342" w:rsidRDefault="00EE565D" w:rsidP="005B2812">
      <w:pPr>
        <w:rPr>
          <w:rFonts w:asciiTheme="majorBidi" w:hAnsiTheme="majorBidi" w:cstheme="majorBidi"/>
          <w:sz w:val="24"/>
          <w:szCs w:val="24"/>
        </w:rPr>
      </w:pPr>
      <w:r>
        <w:rPr>
          <w:rFonts w:asciiTheme="majorBidi" w:hAnsiTheme="majorBidi" w:cstheme="majorBidi"/>
          <w:sz w:val="24"/>
          <w:szCs w:val="24"/>
        </w:rPr>
        <w:t>ESPEROCT</w:t>
      </w:r>
      <w:r w:rsidR="0099380F" w:rsidRPr="000E1342">
        <w:rPr>
          <w:rFonts w:asciiTheme="majorBidi" w:hAnsiTheme="majorBidi" w:cstheme="majorBidi"/>
          <w:sz w:val="24"/>
          <w:szCs w:val="24"/>
        </w:rPr>
        <w:t xml:space="preserve"> has no influence on the ability to drive and use machines.</w:t>
      </w:r>
    </w:p>
    <w:p w14:paraId="364CCC96" w14:textId="672A0E36" w:rsidR="001A3992" w:rsidRPr="000E1342" w:rsidRDefault="001A3992" w:rsidP="001A3992">
      <w:pPr>
        <w:pStyle w:val="Heading2"/>
        <w:keepNext/>
        <w:keepLines/>
        <w:spacing w:before="0" w:after="120"/>
        <w:rPr>
          <w:rFonts w:asciiTheme="majorBidi" w:hAnsiTheme="majorBidi" w:cstheme="majorBidi"/>
        </w:rPr>
      </w:pPr>
      <w:r w:rsidRPr="000E1342">
        <w:rPr>
          <w:rFonts w:asciiTheme="majorBidi" w:hAnsiTheme="majorBidi" w:cstheme="majorBidi"/>
        </w:rPr>
        <w:lastRenderedPageBreak/>
        <w:t>Adverse effects (Undesirable effects)</w:t>
      </w:r>
      <w:r w:rsidR="00B45199">
        <w:rPr>
          <w:rFonts w:asciiTheme="majorBidi" w:hAnsiTheme="majorBidi" w:cstheme="majorBidi"/>
        </w:rPr>
        <w:fldChar w:fldCharType="begin"/>
      </w:r>
      <w:r w:rsidR="00B45199">
        <w:rPr>
          <w:rFonts w:asciiTheme="majorBidi" w:hAnsiTheme="majorBidi" w:cstheme="majorBidi"/>
        </w:rPr>
        <w:instrText xml:space="preserve"> DOCVARIABLE vault_nd_c1389252-b7db-4888-aa7f-b80bccf00cb8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43F6C51C" w14:textId="06D9957E" w:rsidR="0057093B" w:rsidRPr="000E1342" w:rsidRDefault="0057093B" w:rsidP="00EA6539">
      <w:pPr>
        <w:pStyle w:val="Heading3"/>
        <w:spacing w:before="0" w:after="120"/>
        <w:ind w:left="0"/>
        <w:rPr>
          <w:rFonts w:asciiTheme="majorBidi" w:hAnsiTheme="majorBidi"/>
          <w:sz w:val="24"/>
          <w:szCs w:val="24"/>
        </w:rPr>
      </w:pPr>
      <w:r w:rsidRPr="000E1342">
        <w:rPr>
          <w:rFonts w:asciiTheme="majorBidi" w:hAnsiTheme="majorBidi"/>
          <w:sz w:val="24"/>
          <w:szCs w:val="24"/>
        </w:rPr>
        <w:t>Summary of the safety profile</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vault_nd_e315f225-4508-4e87-9755-78fc97f11a58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78B03779" w14:textId="4E2A3316" w:rsidR="0057093B" w:rsidRPr="000E1342" w:rsidRDefault="0057093B" w:rsidP="0057093B">
      <w:pPr>
        <w:rPr>
          <w:rFonts w:asciiTheme="majorBidi" w:hAnsiTheme="majorBidi" w:cstheme="majorBidi"/>
          <w:sz w:val="24"/>
          <w:szCs w:val="24"/>
          <w:lang w:bidi="en-GB"/>
        </w:rPr>
      </w:pPr>
      <w:r w:rsidRPr="000E1342">
        <w:rPr>
          <w:rFonts w:asciiTheme="majorBidi" w:hAnsiTheme="majorBidi" w:cstheme="majorBidi"/>
          <w:sz w:val="24"/>
          <w:szCs w:val="24"/>
          <w:lang w:bidi="en-GB"/>
        </w:rPr>
        <w:t xml:space="preserve">Hypersensitivity reactions and/or allergic reactions (such as hypersensitivity, skin rash, </w:t>
      </w:r>
      <w:proofErr w:type="gramStart"/>
      <w:r w:rsidRPr="000E1342">
        <w:rPr>
          <w:rFonts w:asciiTheme="majorBidi" w:hAnsiTheme="majorBidi" w:cstheme="majorBidi"/>
          <w:sz w:val="24"/>
          <w:szCs w:val="24"/>
          <w:lang w:bidi="en-GB"/>
        </w:rPr>
        <w:t>erythema</w:t>
      </w:r>
      <w:proofErr w:type="gramEnd"/>
      <w:r w:rsidRPr="000E1342">
        <w:rPr>
          <w:rFonts w:asciiTheme="majorBidi" w:hAnsiTheme="majorBidi" w:cstheme="majorBidi"/>
          <w:sz w:val="24"/>
          <w:szCs w:val="24"/>
          <w:lang w:bidi="en-GB"/>
        </w:rPr>
        <w:t xml:space="preserve"> and pruritus) have been observed and in some cases may develop into severe anaphylaxis (including anaphylactic shock).</w:t>
      </w:r>
    </w:p>
    <w:p w14:paraId="055EA9B5" w14:textId="43EAF2A0" w:rsidR="0057093B" w:rsidRPr="000E1342" w:rsidRDefault="0057093B" w:rsidP="0057093B">
      <w:pPr>
        <w:rPr>
          <w:rFonts w:asciiTheme="majorBidi" w:hAnsiTheme="majorBidi" w:cstheme="majorBidi"/>
          <w:sz w:val="24"/>
          <w:szCs w:val="24"/>
          <w:lang w:bidi="en-GB"/>
        </w:rPr>
      </w:pPr>
      <w:r w:rsidRPr="000E1342">
        <w:rPr>
          <w:rFonts w:asciiTheme="majorBidi" w:hAnsiTheme="majorBidi" w:cstheme="majorBidi"/>
          <w:sz w:val="24"/>
          <w:szCs w:val="24"/>
          <w:lang w:bidi="en-GB"/>
        </w:rPr>
        <w:t>Very rarely, development of antibodies to hamster proteins with related hypersensitivity reactions has been observed.</w:t>
      </w:r>
    </w:p>
    <w:p w14:paraId="276ABECA" w14:textId="0B41A084" w:rsidR="0057093B" w:rsidRPr="000E1342" w:rsidRDefault="0057093B" w:rsidP="00EA6539">
      <w:pPr>
        <w:rPr>
          <w:rFonts w:asciiTheme="majorBidi" w:hAnsiTheme="majorBidi" w:cstheme="majorBidi"/>
          <w:sz w:val="24"/>
          <w:szCs w:val="24"/>
          <w:lang w:bidi="en-GB"/>
        </w:rPr>
      </w:pPr>
      <w:r w:rsidRPr="000E1342">
        <w:rPr>
          <w:rFonts w:asciiTheme="majorBidi" w:hAnsiTheme="majorBidi" w:cstheme="majorBidi"/>
          <w:sz w:val="24"/>
          <w:szCs w:val="24"/>
          <w:lang w:bidi="en-GB"/>
        </w:rPr>
        <w:t xml:space="preserve">In patients with haemophilia A who are treated with factor VIII, including </w:t>
      </w:r>
      <w:r w:rsidR="00EE565D">
        <w:rPr>
          <w:rFonts w:asciiTheme="majorBidi" w:hAnsiTheme="majorBidi" w:cstheme="majorBidi"/>
          <w:sz w:val="24"/>
          <w:szCs w:val="24"/>
          <w:lang w:bidi="en-GB"/>
        </w:rPr>
        <w:t>ESPEROCT</w:t>
      </w:r>
      <w:r w:rsidRPr="000E1342">
        <w:rPr>
          <w:rFonts w:asciiTheme="majorBidi" w:hAnsiTheme="majorBidi" w:cstheme="majorBidi"/>
          <w:sz w:val="24"/>
          <w:szCs w:val="24"/>
          <w:lang w:bidi="en-GB"/>
        </w:rPr>
        <w:t xml:space="preserve">, neutralising antibodies (inhibitors) may develop. If such inhibitors occur, this condition will manifest </w:t>
      </w:r>
      <w:r w:rsidR="00EA6539" w:rsidRPr="000E1342">
        <w:rPr>
          <w:rFonts w:asciiTheme="majorBidi" w:hAnsiTheme="majorBidi" w:cstheme="majorBidi"/>
          <w:sz w:val="24"/>
          <w:szCs w:val="24"/>
          <w:lang w:bidi="en-GB"/>
        </w:rPr>
        <w:t xml:space="preserve">itself </w:t>
      </w:r>
      <w:r w:rsidRPr="000E1342">
        <w:rPr>
          <w:rFonts w:asciiTheme="majorBidi" w:hAnsiTheme="majorBidi" w:cstheme="majorBidi"/>
          <w:sz w:val="24"/>
          <w:szCs w:val="24"/>
          <w:lang w:bidi="en-GB"/>
        </w:rPr>
        <w:t xml:space="preserve">as an inadequate clinical response. </w:t>
      </w:r>
      <w:r w:rsidR="00EA6539" w:rsidRPr="000E1342">
        <w:rPr>
          <w:rFonts w:asciiTheme="majorBidi" w:hAnsiTheme="majorBidi" w:cstheme="majorBidi"/>
          <w:sz w:val="24"/>
          <w:szCs w:val="24"/>
          <w:lang w:bidi="en-GB"/>
        </w:rPr>
        <w:t>In such cases, it is recommended that a specialised haemophilia centre be contacted</w:t>
      </w:r>
      <w:r w:rsidRPr="000E1342">
        <w:rPr>
          <w:rFonts w:asciiTheme="majorBidi" w:hAnsiTheme="majorBidi" w:cstheme="majorBidi"/>
          <w:sz w:val="24"/>
          <w:szCs w:val="24"/>
          <w:lang w:bidi="en-GB"/>
        </w:rPr>
        <w:t>.</w:t>
      </w:r>
    </w:p>
    <w:p w14:paraId="4D613879" w14:textId="6448C4EF" w:rsidR="00EA6539" w:rsidRPr="000E1342" w:rsidRDefault="00EA6539" w:rsidP="00EA6539">
      <w:pPr>
        <w:pStyle w:val="Heading3"/>
        <w:spacing w:before="0" w:after="120"/>
        <w:ind w:left="0"/>
        <w:rPr>
          <w:rFonts w:asciiTheme="majorBidi" w:hAnsiTheme="majorBidi"/>
          <w:sz w:val="24"/>
          <w:szCs w:val="24"/>
        </w:rPr>
      </w:pPr>
      <w:r w:rsidRPr="000E1342">
        <w:rPr>
          <w:rFonts w:asciiTheme="majorBidi" w:hAnsiTheme="majorBidi"/>
          <w:sz w:val="24"/>
          <w:szCs w:val="24"/>
        </w:rPr>
        <w:t>Table of adverse reactions</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vault_nd_da1d3226-5262-4bb6-a687-d04107b4a37f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25C04D47" w14:textId="1B40476F" w:rsidR="00EA6539" w:rsidRPr="000E1342" w:rsidRDefault="00EA6539" w:rsidP="00EA6539">
      <w:pPr>
        <w:rPr>
          <w:rFonts w:asciiTheme="majorBidi" w:hAnsiTheme="majorBidi" w:cstheme="majorBidi"/>
          <w:sz w:val="24"/>
          <w:szCs w:val="24"/>
          <w:lang w:bidi="en-GB"/>
        </w:rPr>
      </w:pPr>
      <w:r w:rsidRPr="000E1342">
        <w:rPr>
          <w:rFonts w:asciiTheme="majorBidi" w:hAnsiTheme="majorBidi" w:cstheme="majorBidi"/>
          <w:sz w:val="24"/>
          <w:szCs w:val="24"/>
          <w:lang w:bidi="en-GB"/>
        </w:rPr>
        <w:t>The frequencies of adverse reactions, which occurred in 270 individual previously treated patients (PTPs) with severe haemophilia A (&lt; 1% endogenous factor VIII activity) and with no history of inhibitors in five prospective, multicentre clinical trials, are listed in Table 3. The information in the table is classified according to MedDRA (System Organ Class and Preferred Terms level).</w:t>
      </w:r>
    </w:p>
    <w:p w14:paraId="7EF9F78E" w14:textId="77777777" w:rsidR="00EA6539" w:rsidRPr="000E1342" w:rsidRDefault="00EA6539" w:rsidP="00EA6539">
      <w:pPr>
        <w:rPr>
          <w:rFonts w:asciiTheme="majorBidi" w:hAnsiTheme="majorBidi" w:cstheme="majorBidi"/>
          <w:sz w:val="24"/>
          <w:szCs w:val="24"/>
          <w:lang w:bidi="en-GB"/>
        </w:rPr>
      </w:pPr>
      <w:r w:rsidRPr="000E1342">
        <w:rPr>
          <w:rFonts w:asciiTheme="majorBidi" w:hAnsiTheme="majorBidi" w:cstheme="majorBidi"/>
          <w:sz w:val="24"/>
          <w:szCs w:val="24"/>
          <w:lang w:bidi="en-GB"/>
        </w:rPr>
        <w:t>Frequencies have been evaluated according to the following convention: very common (≥ 1/10); common (≥ 1/100 to &lt; 1/10); uncommon (≥ 1/1,000 to &lt; 1/100); rare (≥ 1/10,000 to &lt; 1/1,000); very rare (&lt; 1/10,000), not known (cannot be estimated from the available data).</w:t>
      </w:r>
    </w:p>
    <w:p w14:paraId="12E69B38" w14:textId="2110D554" w:rsidR="00EA6539" w:rsidRPr="000E1342" w:rsidRDefault="00EA6539" w:rsidP="00CE46CB">
      <w:pPr>
        <w:pStyle w:val="Caption"/>
        <w:keepNext/>
        <w:rPr>
          <w:rFonts w:asciiTheme="majorBidi" w:hAnsiTheme="majorBidi" w:cstheme="majorBidi"/>
          <w:b/>
          <w:i w:val="0"/>
          <w:iCs w:val="0"/>
          <w:color w:val="auto"/>
          <w:sz w:val="24"/>
          <w:szCs w:val="24"/>
        </w:rPr>
      </w:pPr>
      <w:r w:rsidRPr="000E1342">
        <w:rPr>
          <w:rFonts w:asciiTheme="majorBidi" w:hAnsiTheme="majorBidi" w:cstheme="majorBidi"/>
          <w:b/>
          <w:i w:val="0"/>
          <w:iCs w:val="0"/>
          <w:color w:val="auto"/>
          <w:sz w:val="24"/>
          <w:szCs w:val="24"/>
        </w:rPr>
        <w:t>Table 3</w:t>
      </w:r>
      <w:r w:rsidRPr="000E1342">
        <w:rPr>
          <w:rFonts w:asciiTheme="majorBidi" w:hAnsiTheme="majorBidi" w:cstheme="majorBidi"/>
          <w:b/>
          <w:i w:val="0"/>
          <w:iCs w:val="0"/>
          <w:color w:val="auto"/>
          <w:sz w:val="24"/>
          <w:szCs w:val="24"/>
        </w:rPr>
        <w:tab/>
        <w:t xml:space="preserve">Frequency of undesirable effects </w:t>
      </w:r>
      <w:r w:rsidR="00893C9C">
        <w:rPr>
          <w:rFonts w:asciiTheme="majorBidi" w:hAnsiTheme="majorBidi" w:cstheme="majorBidi"/>
          <w:b/>
          <w:i w:val="0"/>
          <w:iCs w:val="0"/>
          <w:color w:val="auto"/>
          <w:sz w:val="24"/>
          <w:szCs w:val="24"/>
        </w:rPr>
        <w:t>in</w:t>
      </w:r>
      <w:r w:rsidRPr="000E1342">
        <w:rPr>
          <w:rFonts w:asciiTheme="majorBidi" w:hAnsiTheme="majorBidi" w:cstheme="majorBidi"/>
          <w:b/>
          <w:i w:val="0"/>
          <w:iCs w:val="0"/>
          <w:color w:val="auto"/>
          <w:sz w:val="24"/>
          <w:szCs w:val="24"/>
        </w:rPr>
        <w:t xml:space="preserve"> PTPs*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31"/>
        <w:gridCol w:w="3233"/>
        <w:gridCol w:w="2552"/>
      </w:tblGrid>
      <w:tr w:rsidR="00EA6539" w:rsidRPr="000E1342" w14:paraId="07AE56AF" w14:textId="77777777" w:rsidTr="00CA3EE1">
        <w:tc>
          <w:tcPr>
            <w:tcW w:w="1792" w:type="pct"/>
            <w:shd w:val="clear" w:color="auto" w:fill="auto"/>
          </w:tcPr>
          <w:p w14:paraId="33DD7BE0" w14:textId="77777777" w:rsidR="00EA6539" w:rsidRPr="000E1342" w:rsidRDefault="00EA6539" w:rsidP="00CE46CB">
            <w:pPr>
              <w:spacing w:after="0" w:line="240" w:lineRule="auto"/>
              <w:rPr>
                <w:rFonts w:asciiTheme="majorBidi" w:hAnsiTheme="majorBidi" w:cstheme="majorBidi"/>
                <w:b/>
              </w:rPr>
            </w:pPr>
            <w:proofErr w:type="spellStart"/>
            <w:r w:rsidRPr="000E1342">
              <w:rPr>
                <w:rFonts w:asciiTheme="majorBidi" w:hAnsiTheme="majorBidi" w:cstheme="majorBidi"/>
                <w:b/>
              </w:rPr>
              <w:t>MeDRA</w:t>
            </w:r>
            <w:proofErr w:type="spellEnd"/>
            <w:r w:rsidRPr="000E1342">
              <w:rPr>
                <w:rFonts w:asciiTheme="majorBidi" w:hAnsiTheme="majorBidi" w:cstheme="majorBidi"/>
                <w:b/>
              </w:rPr>
              <w:t xml:space="preserve"> System Organ Class</w:t>
            </w:r>
          </w:p>
        </w:tc>
        <w:tc>
          <w:tcPr>
            <w:tcW w:w="1793" w:type="pct"/>
            <w:shd w:val="clear" w:color="auto" w:fill="auto"/>
          </w:tcPr>
          <w:p w14:paraId="52E6139F" w14:textId="77777777" w:rsidR="00EA6539" w:rsidRPr="000E1342" w:rsidRDefault="00EA6539" w:rsidP="00CE46CB">
            <w:pPr>
              <w:spacing w:after="0" w:line="240" w:lineRule="auto"/>
              <w:rPr>
                <w:rFonts w:asciiTheme="majorBidi" w:hAnsiTheme="majorBidi" w:cstheme="majorBidi"/>
                <w:b/>
              </w:rPr>
            </w:pPr>
            <w:r w:rsidRPr="000E1342">
              <w:rPr>
                <w:rFonts w:asciiTheme="majorBidi" w:hAnsiTheme="majorBidi" w:cstheme="majorBidi"/>
                <w:b/>
              </w:rPr>
              <w:t>Adverse reaction</w:t>
            </w:r>
          </w:p>
        </w:tc>
        <w:tc>
          <w:tcPr>
            <w:tcW w:w="1415" w:type="pct"/>
          </w:tcPr>
          <w:p w14:paraId="5F8B8D08" w14:textId="77777777" w:rsidR="00EA6539" w:rsidRPr="000E1342" w:rsidRDefault="00EA6539" w:rsidP="00CE46CB">
            <w:pPr>
              <w:spacing w:after="0" w:line="240" w:lineRule="auto"/>
              <w:rPr>
                <w:rFonts w:asciiTheme="majorBidi" w:hAnsiTheme="majorBidi" w:cstheme="majorBidi"/>
                <w:b/>
              </w:rPr>
            </w:pPr>
            <w:r w:rsidRPr="000E1342">
              <w:rPr>
                <w:rFonts w:asciiTheme="majorBidi" w:hAnsiTheme="majorBidi" w:cstheme="majorBidi"/>
                <w:b/>
              </w:rPr>
              <w:t>Frequency* (%)</w:t>
            </w:r>
          </w:p>
        </w:tc>
      </w:tr>
      <w:tr w:rsidR="00EA6539" w:rsidRPr="000E1342" w14:paraId="5D093A06" w14:textId="77777777" w:rsidTr="00CA3EE1">
        <w:tc>
          <w:tcPr>
            <w:tcW w:w="1792" w:type="pct"/>
            <w:shd w:val="clear" w:color="auto" w:fill="auto"/>
          </w:tcPr>
          <w:p w14:paraId="464024D5" w14:textId="77777777" w:rsidR="00EA6539" w:rsidRPr="000E1342" w:rsidRDefault="00EA6539" w:rsidP="00CE46CB">
            <w:pPr>
              <w:spacing w:after="0" w:line="240" w:lineRule="auto"/>
              <w:rPr>
                <w:rFonts w:asciiTheme="majorBidi" w:hAnsiTheme="majorBidi" w:cstheme="majorBidi"/>
                <w:b/>
              </w:rPr>
            </w:pPr>
            <w:r w:rsidRPr="000E1342">
              <w:rPr>
                <w:rFonts w:asciiTheme="majorBidi" w:hAnsiTheme="majorBidi" w:cstheme="majorBidi"/>
                <w:b/>
              </w:rPr>
              <w:t>Blood and lymphatic system disorders</w:t>
            </w:r>
          </w:p>
        </w:tc>
        <w:tc>
          <w:tcPr>
            <w:tcW w:w="1793" w:type="pct"/>
            <w:shd w:val="clear" w:color="auto" w:fill="auto"/>
          </w:tcPr>
          <w:p w14:paraId="25D1CE21" w14:textId="77777777" w:rsidR="00EA6539" w:rsidRPr="000E1342" w:rsidRDefault="00EA6539" w:rsidP="00CE46CB">
            <w:pPr>
              <w:spacing w:after="0" w:line="240" w:lineRule="auto"/>
              <w:rPr>
                <w:rFonts w:asciiTheme="majorBidi" w:hAnsiTheme="majorBidi" w:cstheme="majorBidi"/>
                <w:bCs/>
              </w:rPr>
            </w:pPr>
            <w:r w:rsidRPr="000E1342">
              <w:rPr>
                <w:rFonts w:asciiTheme="majorBidi" w:hAnsiTheme="majorBidi" w:cstheme="majorBidi"/>
                <w:bCs/>
              </w:rPr>
              <w:t>Factor VIII inhibition</w:t>
            </w:r>
          </w:p>
        </w:tc>
        <w:tc>
          <w:tcPr>
            <w:tcW w:w="1415" w:type="pct"/>
          </w:tcPr>
          <w:p w14:paraId="7CDD9E27" w14:textId="77777777" w:rsidR="00EA6539" w:rsidRPr="000E1342" w:rsidRDefault="00EA6539" w:rsidP="00CE46CB">
            <w:pPr>
              <w:spacing w:after="0" w:line="240" w:lineRule="auto"/>
              <w:rPr>
                <w:rFonts w:asciiTheme="majorBidi" w:hAnsiTheme="majorBidi" w:cstheme="majorBidi"/>
                <w:bCs/>
              </w:rPr>
            </w:pPr>
            <w:r w:rsidRPr="000E1342">
              <w:rPr>
                <w:rFonts w:asciiTheme="majorBidi" w:hAnsiTheme="majorBidi" w:cstheme="majorBidi"/>
                <w:bCs/>
              </w:rPr>
              <w:t>Uncommon***</w:t>
            </w:r>
          </w:p>
        </w:tc>
      </w:tr>
      <w:tr w:rsidR="00EA6539" w:rsidRPr="000E1342" w14:paraId="3333F80F" w14:textId="77777777" w:rsidTr="00CA3EE1">
        <w:tc>
          <w:tcPr>
            <w:tcW w:w="1792" w:type="pct"/>
            <w:shd w:val="clear" w:color="auto" w:fill="auto"/>
          </w:tcPr>
          <w:p w14:paraId="4603DBC2" w14:textId="77777777" w:rsidR="00EA6539" w:rsidRPr="000E1342" w:rsidRDefault="00EA6539" w:rsidP="00CE46CB">
            <w:pPr>
              <w:spacing w:after="0" w:line="240" w:lineRule="auto"/>
              <w:rPr>
                <w:rFonts w:asciiTheme="majorBidi" w:hAnsiTheme="majorBidi" w:cstheme="majorBidi"/>
                <w:b/>
              </w:rPr>
            </w:pPr>
            <w:r w:rsidRPr="000E1342">
              <w:rPr>
                <w:rFonts w:asciiTheme="majorBidi" w:hAnsiTheme="majorBidi" w:cstheme="majorBidi"/>
                <w:b/>
              </w:rPr>
              <w:t>General disorders and administration site conditions</w:t>
            </w:r>
          </w:p>
        </w:tc>
        <w:tc>
          <w:tcPr>
            <w:tcW w:w="1793" w:type="pct"/>
            <w:shd w:val="clear" w:color="auto" w:fill="auto"/>
          </w:tcPr>
          <w:p w14:paraId="1D128AAE" w14:textId="77777777" w:rsidR="00EA6539" w:rsidRPr="000E1342" w:rsidRDefault="00EA6539" w:rsidP="00CE46CB">
            <w:pPr>
              <w:spacing w:after="0" w:line="240" w:lineRule="auto"/>
              <w:rPr>
                <w:rFonts w:asciiTheme="majorBidi" w:hAnsiTheme="majorBidi" w:cstheme="majorBidi"/>
                <w:bCs/>
              </w:rPr>
            </w:pPr>
            <w:r w:rsidRPr="000E1342">
              <w:rPr>
                <w:rFonts w:asciiTheme="majorBidi" w:hAnsiTheme="majorBidi" w:cstheme="majorBidi"/>
                <w:bCs/>
              </w:rPr>
              <w:t>Injection site reactions**</w:t>
            </w:r>
          </w:p>
        </w:tc>
        <w:tc>
          <w:tcPr>
            <w:tcW w:w="1415" w:type="pct"/>
          </w:tcPr>
          <w:p w14:paraId="6B5EE995" w14:textId="77777777" w:rsidR="00EA6539" w:rsidRPr="000E1342" w:rsidRDefault="00EA6539" w:rsidP="00CE46CB">
            <w:pPr>
              <w:spacing w:after="0" w:line="240" w:lineRule="auto"/>
              <w:rPr>
                <w:rFonts w:asciiTheme="majorBidi" w:hAnsiTheme="majorBidi" w:cstheme="majorBidi"/>
                <w:bCs/>
              </w:rPr>
            </w:pPr>
            <w:r w:rsidRPr="000E1342">
              <w:rPr>
                <w:rFonts w:asciiTheme="majorBidi" w:hAnsiTheme="majorBidi" w:cstheme="majorBidi"/>
                <w:bCs/>
              </w:rPr>
              <w:t>Common</w:t>
            </w:r>
          </w:p>
        </w:tc>
      </w:tr>
      <w:tr w:rsidR="00EA6539" w:rsidRPr="000E1342" w14:paraId="3A2422F8" w14:textId="77777777" w:rsidTr="00CA3EE1">
        <w:tc>
          <w:tcPr>
            <w:tcW w:w="1792" w:type="pct"/>
            <w:shd w:val="clear" w:color="auto" w:fill="auto"/>
          </w:tcPr>
          <w:p w14:paraId="6BC025E6" w14:textId="77777777" w:rsidR="00EA6539" w:rsidRPr="000E1342" w:rsidRDefault="00EA6539" w:rsidP="00CE46CB">
            <w:pPr>
              <w:spacing w:after="0" w:line="240" w:lineRule="auto"/>
              <w:rPr>
                <w:rFonts w:asciiTheme="majorBidi" w:hAnsiTheme="majorBidi" w:cstheme="majorBidi"/>
                <w:b/>
              </w:rPr>
            </w:pPr>
            <w:r w:rsidRPr="000E1342">
              <w:rPr>
                <w:rFonts w:asciiTheme="majorBidi" w:hAnsiTheme="majorBidi" w:cstheme="majorBidi"/>
                <w:b/>
              </w:rPr>
              <w:t>Immune system disorders</w:t>
            </w:r>
          </w:p>
        </w:tc>
        <w:tc>
          <w:tcPr>
            <w:tcW w:w="1793" w:type="pct"/>
            <w:shd w:val="clear" w:color="auto" w:fill="auto"/>
          </w:tcPr>
          <w:p w14:paraId="457AC936" w14:textId="77777777" w:rsidR="00EA6539" w:rsidRPr="000E1342" w:rsidRDefault="00EA6539" w:rsidP="00CE46CB">
            <w:pPr>
              <w:spacing w:after="0" w:line="240" w:lineRule="auto"/>
              <w:rPr>
                <w:rFonts w:asciiTheme="majorBidi" w:hAnsiTheme="majorBidi" w:cstheme="majorBidi"/>
                <w:bCs/>
              </w:rPr>
            </w:pPr>
            <w:r w:rsidRPr="000E1342">
              <w:rPr>
                <w:rFonts w:asciiTheme="majorBidi" w:hAnsiTheme="majorBidi" w:cstheme="majorBidi"/>
                <w:bCs/>
              </w:rPr>
              <w:t>Hypersensitivity</w:t>
            </w:r>
          </w:p>
        </w:tc>
        <w:tc>
          <w:tcPr>
            <w:tcW w:w="1415" w:type="pct"/>
          </w:tcPr>
          <w:p w14:paraId="128602BF" w14:textId="77777777" w:rsidR="00EA6539" w:rsidRPr="000E1342" w:rsidRDefault="00EA6539" w:rsidP="00CE46CB">
            <w:pPr>
              <w:spacing w:after="0" w:line="240" w:lineRule="auto"/>
              <w:rPr>
                <w:rFonts w:asciiTheme="majorBidi" w:hAnsiTheme="majorBidi" w:cstheme="majorBidi"/>
                <w:bCs/>
              </w:rPr>
            </w:pPr>
            <w:r w:rsidRPr="000E1342">
              <w:rPr>
                <w:rFonts w:asciiTheme="majorBidi" w:hAnsiTheme="majorBidi" w:cstheme="majorBidi"/>
                <w:bCs/>
              </w:rPr>
              <w:t>Uncommon</w:t>
            </w:r>
          </w:p>
        </w:tc>
      </w:tr>
      <w:tr w:rsidR="00C60DA1" w:rsidRPr="000E1342" w14:paraId="7E67E7F9" w14:textId="77777777" w:rsidTr="00CA3EE1">
        <w:tc>
          <w:tcPr>
            <w:tcW w:w="1792" w:type="pct"/>
            <w:vMerge w:val="restart"/>
            <w:shd w:val="clear" w:color="auto" w:fill="auto"/>
          </w:tcPr>
          <w:p w14:paraId="175E45CF" w14:textId="77777777" w:rsidR="00C60DA1" w:rsidRPr="000E1342" w:rsidRDefault="00C60DA1" w:rsidP="00CE46CB">
            <w:pPr>
              <w:spacing w:after="0" w:line="240" w:lineRule="auto"/>
              <w:rPr>
                <w:rFonts w:asciiTheme="majorBidi" w:hAnsiTheme="majorBidi" w:cstheme="majorBidi"/>
                <w:b/>
              </w:rPr>
            </w:pPr>
            <w:r w:rsidRPr="000E1342">
              <w:rPr>
                <w:rFonts w:asciiTheme="majorBidi" w:hAnsiTheme="majorBidi" w:cstheme="majorBidi"/>
                <w:b/>
              </w:rPr>
              <w:t>Skin and subcutaneous tissue disorders</w:t>
            </w:r>
          </w:p>
        </w:tc>
        <w:tc>
          <w:tcPr>
            <w:tcW w:w="1793" w:type="pct"/>
            <w:shd w:val="clear" w:color="auto" w:fill="auto"/>
          </w:tcPr>
          <w:p w14:paraId="16A8D524" w14:textId="4C62C188" w:rsidR="00C60DA1" w:rsidRPr="000E1342" w:rsidRDefault="00C60DA1" w:rsidP="00CE46CB">
            <w:pPr>
              <w:spacing w:after="0" w:line="240" w:lineRule="auto"/>
              <w:rPr>
                <w:rFonts w:asciiTheme="majorBidi" w:hAnsiTheme="majorBidi" w:cstheme="majorBidi"/>
                <w:bCs/>
              </w:rPr>
            </w:pPr>
            <w:r w:rsidRPr="000E1342">
              <w:rPr>
                <w:rFonts w:asciiTheme="majorBidi" w:hAnsiTheme="majorBidi" w:cstheme="majorBidi"/>
                <w:bCs/>
              </w:rPr>
              <w:t>Rash</w:t>
            </w:r>
          </w:p>
        </w:tc>
        <w:tc>
          <w:tcPr>
            <w:tcW w:w="1415" w:type="pct"/>
          </w:tcPr>
          <w:p w14:paraId="66058FBB" w14:textId="77777777" w:rsidR="00C60DA1" w:rsidRPr="000E1342" w:rsidRDefault="00C60DA1" w:rsidP="00CE46CB">
            <w:pPr>
              <w:spacing w:after="0" w:line="240" w:lineRule="auto"/>
              <w:rPr>
                <w:rFonts w:asciiTheme="majorBidi" w:hAnsiTheme="majorBidi" w:cstheme="majorBidi"/>
                <w:bCs/>
              </w:rPr>
            </w:pPr>
            <w:r w:rsidRPr="000E1342">
              <w:rPr>
                <w:rFonts w:asciiTheme="majorBidi" w:hAnsiTheme="majorBidi" w:cstheme="majorBidi"/>
                <w:bCs/>
              </w:rPr>
              <w:t>Common</w:t>
            </w:r>
          </w:p>
        </w:tc>
      </w:tr>
      <w:tr w:rsidR="00C60DA1" w:rsidRPr="000E1342" w14:paraId="26BC6B89" w14:textId="77777777" w:rsidTr="00CA3EE1">
        <w:tc>
          <w:tcPr>
            <w:tcW w:w="1792" w:type="pct"/>
            <w:vMerge/>
            <w:shd w:val="clear" w:color="auto" w:fill="auto"/>
          </w:tcPr>
          <w:p w14:paraId="733B4300" w14:textId="1376EEFA" w:rsidR="00C60DA1" w:rsidRPr="000E1342" w:rsidRDefault="00C60DA1" w:rsidP="00CE46CB">
            <w:pPr>
              <w:spacing w:after="0" w:line="240" w:lineRule="auto"/>
              <w:rPr>
                <w:rFonts w:asciiTheme="majorBidi" w:hAnsiTheme="majorBidi" w:cstheme="majorBidi"/>
                <w:b/>
              </w:rPr>
            </w:pPr>
          </w:p>
        </w:tc>
        <w:tc>
          <w:tcPr>
            <w:tcW w:w="1793" w:type="pct"/>
            <w:shd w:val="clear" w:color="auto" w:fill="auto"/>
          </w:tcPr>
          <w:p w14:paraId="43864778" w14:textId="77777777" w:rsidR="00C60DA1" w:rsidRPr="000E1342" w:rsidRDefault="00C60DA1" w:rsidP="00CE46CB">
            <w:pPr>
              <w:spacing w:after="0" w:line="240" w:lineRule="auto"/>
              <w:rPr>
                <w:rFonts w:asciiTheme="majorBidi" w:hAnsiTheme="majorBidi" w:cstheme="majorBidi"/>
                <w:bCs/>
              </w:rPr>
            </w:pPr>
            <w:r w:rsidRPr="000E1342">
              <w:rPr>
                <w:rFonts w:asciiTheme="majorBidi" w:hAnsiTheme="majorBidi" w:cstheme="majorBidi"/>
                <w:bCs/>
              </w:rPr>
              <w:t>Erythema</w:t>
            </w:r>
          </w:p>
        </w:tc>
        <w:tc>
          <w:tcPr>
            <w:tcW w:w="1415" w:type="pct"/>
          </w:tcPr>
          <w:p w14:paraId="117092CD" w14:textId="77777777" w:rsidR="00C60DA1" w:rsidRPr="000E1342" w:rsidRDefault="00C60DA1" w:rsidP="00CE46CB">
            <w:pPr>
              <w:spacing w:after="0" w:line="240" w:lineRule="auto"/>
              <w:rPr>
                <w:rFonts w:asciiTheme="majorBidi" w:hAnsiTheme="majorBidi" w:cstheme="majorBidi"/>
                <w:bCs/>
              </w:rPr>
            </w:pPr>
            <w:r w:rsidRPr="000E1342">
              <w:rPr>
                <w:rFonts w:asciiTheme="majorBidi" w:hAnsiTheme="majorBidi" w:cstheme="majorBidi"/>
                <w:bCs/>
              </w:rPr>
              <w:t>Common</w:t>
            </w:r>
          </w:p>
        </w:tc>
      </w:tr>
      <w:tr w:rsidR="00C60DA1" w:rsidRPr="000E1342" w14:paraId="7A306ECA" w14:textId="77777777" w:rsidTr="00CA3EE1">
        <w:tc>
          <w:tcPr>
            <w:tcW w:w="1792" w:type="pct"/>
            <w:vMerge/>
            <w:shd w:val="clear" w:color="auto" w:fill="auto"/>
          </w:tcPr>
          <w:p w14:paraId="25762EED" w14:textId="54BAA5D7" w:rsidR="00C60DA1" w:rsidRPr="000E1342" w:rsidRDefault="00C60DA1" w:rsidP="00CE46CB">
            <w:pPr>
              <w:spacing w:after="0" w:line="240" w:lineRule="auto"/>
              <w:rPr>
                <w:rFonts w:asciiTheme="majorBidi" w:hAnsiTheme="majorBidi" w:cstheme="majorBidi"/>
                <w:b/>
              </w:rPr>
            </w:pPr>
          </w:p>
        </w:tc>
        <w:tc>
          <w:tcPr>
            <w:tcW w:w="1793" w:type="pct"/>
            <w:shd w:val="clear" w:color="auto" w:fill="auto"/>
          </w:tcPr>
          <w:p w14:paraId="41F310DD" w14:textId="77777777" w:rsidR="00C60DA1" w:rsidRPr="000E1342" w:rsidRDefault="00C60DA1" w:rsidP="00CE46CB">
            <w:pPr>
              <w:spacing w:after="0" w:line="240" w:lineRule="auto"/>
              <w:rPr>
                <w:rFonts w:asciiTheme="majorBidi" w:hAnsiTheme="majorBidi" w:cstheme="majorBidi"/>
                <w:bCs/>
              </w:rPr>
            </w:pPr>
            <w:r w:rsidRPr="000E1342">
              <w:rPr>
                <w:rFonts w:asciiTheme="majorBidi" w:hAnsiTheme="majorBidi" w:cstheme="majorBidi"/>
                <w:bCs/>
              </w:rPr>
              <w:t>Pruritus</w:t>
            </w:r>
          </w:p>
        </w:tc>
        <w:tc>
          <w:tcPr>
            <w:tcW w:w="1415" w:type="pct"/>
          </w:tcPr>
          <w:p w14:paraId="24DAD52A" w14:textId="77777777" w:rsidR="00C60DA1" w:rsidRPr="000E1342" w:rsidRDefault="00C60DA1" w:rsidP="00CE46CB">
            <w:pPr>
              <w:spacing w:after="0" w:line="240" w:lineRule="auto"/>
              <w:rPr>
                <w:rFonts w:asciiTheme="majorBidi" w:hAnsiTheme="majorBidi" w:cstheme="majorBidi"/>
                <w:bCs/>
              </w:rPr>
            </w:pPr>
            <w:r w:rsidRPr="000E1342">
              <w:rPr>
                <w:rFonts w:asciiTheme="majorBidi" w:hAnsiTheme="majorBidi" w:cstheme="majorBidi"/>
                <w:bCs/>
              </w:rPr>
              <w:t>Common</w:t>
            </w:r>
          </w:p>
        </w:tc>
      </w:tr>
      <w:tr w:rsidR="00EA6539" w:rsidRPr="000E1342" w14:paraId="70669E3D" w14:textId="77777777" w:rsidTr="00CA3EE1">
        <w:tc>
          <w:tcPr>
            <w:tcW w:w="1792" w:type="pct"/>
            <w:shd w:val="clear" w:color="auto" w:fill="auto"/>
          </w:tcPr>
          <w:p w14:paraId="2F1746FA" w14:textId="77777777" w:rsidR="00EA6539" w:rsidRPr="000E1342" w:rsidRDefault="00EA6539" w:rsidP="00CE46CB">
            <w:pPr>
              <w:spacing w:after="0" w:line="240" w:lineRule="auto"/>
              <w:rPr>
                <w:rFonts w:asciiTheme="majorBidi" w:hAnsiTheme="majorBidi" w:cstheme="majorBidi"/>
                <w:b/>
              </w:rPr>
            </w:pPr>
            <w:r w:rsidRPr="000E1342">
              <w:rPr>
                <w:rFonts w:asciiTheme="majorBidi" w:hAnsiTheme="majorBidi" w:cstheme="majorBidi"/>
                <w:b/>
              </w:rPr>
              <w:t>Investigations</w:t>
            </w:r>
          </w:p>
        </w:tc>
        <w:tc>
          <w:tcPr>
            <w:tcW w:w="1793" w:type="pct"/>
            <w:shd w:val="clear" w:color="auto" w:fill="auto"/>
          </w:tcPr>
          <w:p w14:paraId="2B0AA795" w14:textId="6921F7B1" w:rsidR="00EA6539" w:rsidRPr="000E1342" w:rsidRDefault="00EA6539" w:rsidP="00CE46CB">
            <w:pPr>
              <w:spacing w:after="0" w:line="240" w:lineRule="auto"/>
              <w:rPr>
                <w:rFonts w:asciiTheme="majorBidi" w:hAnsiTheme="majorBidi" w:cstheme="majorBidi"/>
                <w:bCs/>
              </w:rPr>
            </w:pPr>
            <w:r w:rsidRPr="000E1342">
              <w:rPr>
                <w:rFonts w:asciiTheme="majorBidi" w:hAnsiTheme="majorBidi" w:cstheme="majorBidi"/>
                <w:bCs/>
              </w:rPr>
              <w:t>Coagulation factor VIII level decreased</w:t>
            </w:r>
          </w:p>
        </w:tc>
        <w:tc>
          <w:tcPr>
            <w:tcW w:w="1415" w:type="pct"/>
          </w:tcPr>
          <w:p w14:paraId="52CBD2E6" w14:textId="77777777" w:rsidR="00EA6539" w:rsidRPr="000E1342" w:rsidRDefault="00EA6539" w:rsidP="00CE46CB">
            <w:pPr>
              <w:spacing w:after="0" w:line="240" w:lineRule="auto"/>
              <w:rPr>
                <w:rFonts w:asciiTheme="majorBidi" w:hAnsiTheme="majorBidi" w:cstheme="majorBidi"/>
                <w:bCs/>
              </w:rPr>
            </w:pPr>
            <w:r w:rsidRPr="000E1342">
              <w:rPr>
                <w:rFonts w:asciiTheme="majorBidi" w:hAnsiTheme="majorBidi" w:cstheme="majorBidi"/>
                <w:bCs/>
              </w:rPr>
              <w:t>Unknown****</w:t>
            </w:r>
          </w:p>
        </w:tc>
      </w:tr>
    </w:tbl>
    <w:p w14:paraId="0CAB8D0D" w14:textId="77777777" w:rsidR="00C60DA1" w:rsidRPr="000E1342" w:rsidRDefault="00EA6539" w:rsidP="00C60DA1">
      <w:pPr>
        <w:spacing w:after="0" w:line="240" w:lineRule="auto"/>
        <w:rPr>
          <w:rFonts w:asciiTheme="majorBidi" w:hAnsiTheme="majorBidi" w:cstheme="majorBidi"/>
          <w:iCs/>
          <w:sz w:val="20"/>
          <w:szCs w:val="20"/>
        </w:rPr>
      </w:pPr>
      <w:r w:rsidRPr="000E1342">
        <w:rPr>
          <w:rFonts w:asciiTheme="majorBidi" w:hAnsiTheme="majorBidi" w:cstheme="majorBidi"/>
          <w:iCs/>
          <w:sz w:val="20"/>
          <w:szCs w:val="20"/>
        </w:rPr>
        <w:lastRenderedPageBreak/>
        <w:t>* PTPs: previously treated patients.</w:t>
      </w:r>
      <w:r w:rsidR="00C60DA1" w:rsidRPr="000E1342">
        <w:rPr>
          <w:rFonts w:asciiTheme="majorBidi" w:hAnsiTheme="majorBidi" w:cstheme="majorBidi"/>
          <w:iCs/>
          <w:sz w:val="20"/>
          <w:szCs w:val="20"/>
        </w:rPr>
        <w:br/>
      </w:r>
      <w:r w:rsidRPr="000E1342">
        <w:rPr>
          <w:rFonts w:asciiTheme="majorBidi" w:hAnsiTheme="majorBidi" w:cstheme="majorBidi"/>
          <w:iCs/>
          <w:sz w:val="20"/>
          <w:szCs w:val="20"/>
        </w:rPr>
        <w:t xml:space="preserve">** Injection site reactions </w:t>
      </w:r>
      <w:proofErr w:type="gramStart"/>
      <w:r w:rsidRPr="000E1342">
        <w:rPr>
          <w:rFonts w:asciiTheme="majorBidi" w:hAnsiTheme="majorBidi" w:cstheme="majorBidi"/>
          <w:iCs/>
          <w:sz w:val="20"/>
          <w:szCs w:val="20"/>
        </w:rPr>
        <w:t>include:</w:t>
      </w:r>
      <w:proofErr w:type="gramEnd"/>
      <w:r w:rsidRPr="000E1342">
        <w:rPr>
          <w:rFonts w:asciiTheme="majorBidi" w:hAnsiTheme="majorBidi" w:cstheme="majorBidi"/>
          <w:iCs/>
          <w:sz w:val="20"/>
          <w:szCs w:val="20"/>
        </w:rPr>
        <w:t xml:space="preserve"> injection site reaction, </w:t>
      </w:r>
      <w:r w:rsidR="00C60DA1" w:rsidRPr="000E1342">
        <w:rPr>
          <w:rFonts w:asciiTheme="majorBidi" w:hAnsiTheme="majorBidi" w:cstheme="majorBidi"/>
          <w:iCs/>
          <w:sz w:val="20"/>
          <w:szCs w:val="20"/>
        </w:rPr>
        <w:t xml:space="preserve">vessel </w:t>
      </w:r>
      <w:r w:rsidRPr="000E1342">
        <w:rPr>
          <w:rFonts w:asciiTheme="majorBidi" w:hAnsiTheme="majorBidi" w:cstheme="majorBidi"/>
          <w:iCs/>
          <w:sz w:val="20"/>
          <w:szCs w:val="20"/>
        </w:rPr>
        <w:t>puncture site haematoma, infusion site reaction, injection site erythema, injection site rash,</w:t>
      </w:r>
      <w:r w:rsidR="00C60DA1" w:rsidRPr="000E1342">
        <w:rPr>
          <w:rFonts w:asciiTheme="majorBidi" w:hAnsiTheme="majorBidi" w:cstheme="majorBidi"/>
          <w:iCs/>
          <w:sz w:val="20"/>
          <w:szCs w:val="20"/>
        </w:rPr>
        <w:t xml:space="preserve"> vessel</w:t>
      </w:r>
      <w:r w:rsidRPr="000E1342">
        <w:rPr>
          <w:rFonts w:asciiTheme="majorBidi" w:hAnsiTheme="majorBidi" w:cstheme="majorBidi"/>
          <w:iCs/>
          <w:sz w:val="20"/>
          <w:szCs w:val="20"/>
        </w:rPr>
        <w:t xml:space="preserve"> puncture site pain and injection site swelling.</w:t>
      </w:r>
    </w:p>
    <w:p w14:paraId="432B20EC" w14:textId="2C4EE7D1" w:rsidR="00C60DA1" w:rsidRPr="000E1342" w:rsidRDefault="00C60DA1" w:rsidP="00C60DA1">
      <w:pPr>
        <w:spacing w:line="240" w:lineRule="auto"/>
        <w:rPr>
          <w:rFonts w:asciiTheme="majorBidi" w:hAnsiTheme="majorBidi" w:cstheme="majorBidi"/>
          <w:iCs/>
          <w:sz w:val="18"/>
          <w:szCs w:val="18"/>
        </w:rPr>
      </w:pPr>
      <w:r w:rsidRPr="000E1342">
        <w:rPr>
          <w:rFonts w:asciiTheme="majorBidi" w:hAnsiTheme="majorBidi" w:cstheme="majorBidi"/>
          <w:iCs/>
          <w:sz w:val="20"/>
          <w:szCs w:val="20"/>
        </w:rPr>
        <w:t>*** Frequency based on trials on all FVIII products, including in patients with severe haemophilia A.</w:t>
      </w:r>
      <w:r w:rsidRPr="000E1342">
        <w:rPr>
          <w:rFonts w:asciiTheme="majorBidi" w:hAnsiTheme="majorBidi" w:cstheme="majorBidi"/>
          <w:iCs/>
          <w:sz w:val="20"/>
          <w:szCs w:val="20"/>
        </w:rPr>
        <w:br/>
        <w:t>**** Based on post marketing reports.</w:t>
      </w:r>
    </w:p>
    <w:p w14:paraId="6D9F64C1" w14:textId="77777777" w:rsidR="005936AD" w:rsidRPr="009C06E7" w:rsidRDefault="005936AD" w:rsidP="005936AD">
      <w:pPr>
        <w:pStyle w:val="Heading3"/>
        <w:spacing w:before="0" w:after="120"/>
        <w:ind w:left="0"/>
        <w:rPr>
          <w:rFonts w:asciiTheme="majorBidi" w:hAnsiTheme="majorBidi"/>
          <w:sz w:val="24"/>
          <w:szCs w:val="24"/>
        </w:rPr>
      </w:pPr>
      <w:r w:rsidRPr="009C06E7">
        <w:rPr>
          <w:rFonts w:asciiTheme="majorBidi" w:hAnsiTheme="majorBidi"/>
          <w:sz w:val="24"/>
          <w:szCs w:val="24"/>
        </w:rPr>
        <w:t>Description of selected adverse reactions</w:t>
      </w:r>
      <w:r>
        <w:rPr>
          <w:rFonts w:asciiTheme="majorBidi" w:hAnsiTheme="majorBidi"/>
          <w:sz w:val="24"/>
          <w:szCs w:val="24"/>
        </w:rPr>
        <w:fldChar w:fldCharType="begin"/>
      </w:r>
      <w:r>
        <w:rPr>
          <w:rFonts w:asciiTheme="majorBidi" w:hAnsiTheme="majorBidi"/>
          <w:sz w:val="24"/>
          <w:szCs w:val="24"/>
        </w:rPr>
        <w:instrText xml:space="preserve"> DOCVARIABLE vault_nd_4367b2ac-6024-42f5-aa96-2f34c11a21e9 \* MERGEFORMAT </w:instrText>
      </w:r>
      <w:r>
        <w:rPr>
          <w:rFonts w:asciiTheme="majorBidi" w:hAnsiTheme="majorBidi"/>
          <w:sz w:val="24"/>
          <w:szCs w:val="24"/>
        </w:rPr>
        <w:fldChar w:fldCharType="separate"/>
      </w:r>
      <w:r>
        <w:rPr>
          <w:rFonts w:asciiTheme="majorBidi" w:hAnsiTheme="majorBidi"/>
          <w:sz w:val="24"/>
          <w:szCs w:val="24"/>
        </w:rPr>
        <w:t xml:space="preserve"> </w:t>
      </w:r>
      <w:r>
        <w:rPr>
          <w:rFonts w:asciiTheme="majorBidi" w:hAnsiTheme="majorBidi"/>
          <w:sz w:val="24"/>
          <w:szCs w:val="24"/>
        </w:rPr>
        <w:fldChar w:fldCharType="end"/>
      </w:r>
    </w:p>
    <w:p w14:paraId="16E92CD6" w14:textId="77777777" w:rsidR="005936AD" w:rsidRPr="00C55146" w:rsidRDefault="005936AD" w:rsidP="005936AD">
      <w:pPr>
        <w:pStyle w:val="BodyText"/>
        <w:rPr>
          <w:u w:val="single"/>
        </w:rPr>
      </w:pPr>
      <w:r w:rsidRPr="00C55146">
        <w:rPr>
          <w:u w:val="single"/>
        </w:rPr>
        <w:t>Factor VIII inhibitors</w:t>
      </w:r>
    </w:p>
    <w:p w14:paraId="0A69D6CD" w14:textId="77777777" w:rsidR="005936AD" w:rsidRPr="003F4C50" w:rsidRDefault="005936AD" w:rsidP="005936AD">
      <w:pPr>
        <w:pStyle w:val="BodyText"/>
      </w:pPr>
      <w:r w:rsidRPr="003F4C50">
        <w:t xml:space="preserve">One confirmed case of factor VIII inhibitor occurred in an </w:t>
      </w:r>
      <w:proofErr w:type="gramStart"/>
      <w:r w:rsidRPr="003F4C50">
        <w:t>18 year</w:t>
      </w:r>
      <w:r>
        <w:t xml:space="preserve"> </w:t>
      </w:r>
      <w:r w:rsidRPr="003F4C50">
        <w:t>old</w:t>
      </w:r>
      <w:proofErr w:type="gramEnd"/>
      <w:r w:rsidRPr="003F4C50">
        <w:t xml:space="preserve"> previously treated patient on prophylactic treatment with </w:t>
      </w:r>
      <w:r w:rsidRPr="00400E94">
        <w:t>ESPEROCT</w:t>
      </w:r>
      <w:r w:rsidRPr="003F4C50">
        <w:t>. The patient had a factor VIII gene intron 22 inversion and was at a high risk of developing factor VIII inhibitors.</w:t>
      </w:r>
    </w:p>
    <w:p w14:paraId="19622DC6" w14:textId="77777777" w:rsidR="005936AD" w:rsidRDefault="005936AD" w:rsidP="005936AD">
      <w:pPr>
        <w:pStyle w:val="BodyText"/>
      </w:pPr>
      <w:r w:rsidRPr="003F4C50">
        <w:t xml:space="preserve">There is no indication of an increased risk of factor VIII inhibitor development with treatment of </w:t>
      </w:r>
      <w:r w:rsidRPr="00400E94">
        <w:t>ESPEROCT</w:t>
      </w:r>
      <w:r w:rsidRPr="003F4C50" w:rsidDel="00930853">
        <w:t xml:space="preserve"> </w:t>
      </w:r>
      <w:r w:rsidRPr="003F4C50">
        <w:t>as compared to other factor VIII products.</w:t>
      </w:r>
    </w:p>
    <w:p w14:paraId="6682BA5A" w14:textId="77777777" w:rsidR="005936AD" w:rsidRPr="00C55146" w:rsidRDefault="005936AD" w:rsidP="005936AD">
      <w:pPr>
        <w:pStyle w:val="BodyText"/>
        <w:rPr>
          <w:u w:val="single"/>
        </w:rPr>
      </w:pPr>
      <w:r w:rsidRPr="00C55146">
        <w:rPr>
          <w:u w:val="single"/>
        </w:rPr>
        <w:t>Anti-drug antibodies</w:t>
      </w:r>
    </w:p>
    <w:p w14:paraId="4033FC17" w14:textId="77777777" w:rsidR="005936AD" w:rsidRDefault="005936AD" w:rsidP="005936AD">
      <w:pPr>
        <w:pStyle w:val="BodyText"/>
      </w:pPr>
      <w:r>
        <w:t xml:space="preserve">There was one case of persistent anti-drug antibodies concomitant with the confirmed case of factor VIII inhibitors (see Factor VIII inhibitors). Three patients had transiently positive test results for anti-drug antibodies after administration of </w:t>
      </w:r>
      <w:r w:rsidRPr="00400E94">
        <w:t>ESPEROCT</w:t>
      </w:r>
      <w:r w:rsidDel="00930853">
        <w:t xml:space="preserve"> </w:t>
      </w:r>
      <w:r>
        <w:t>but no correlation with adverse events could be established.</w:t>
      </w:r>
    </w:p>
    <w:p w14:paraId="255ADFB0" w14:textId="77777777" w:rsidR="005936AD" w:rsidRPr="00C55146" w:rsidRDefault="005936AD" w:rsidP="005936AD">
      <w:pPr>
        <w:pStyle w:val="BodyText"/>
        <w:rPr>
          <w:u w:val="single"/>
        </w:rPr>
      </w:pPr>
      <w:r w:rsidRPr="00C55146">
        <w:rPr>
          <w:u w:val="single"/>
        </w:rPr>
        <w:t>Anti-PEG antibodies</w:t>
      </w:r>
    </w:p>
    <w:p w14:paraId="2A443AE8" w14:textId="77777777" w:rsidR="005936AD" w:rsidRDefault="005936AD" w:rsidP="005936AD">
      <w:pPr>
        <w:pStyle w:val="BodyText"/>
      </w:pPr>
      <w:r w:rsidRPr="00267A5B">
        <w:t>During the clinical trial programme, t</w:t>
      </w:r>
      <w:r>
        <w:t xml:space="preserve">hirty-two patients had pre-existing anti-PEG antibodies before administration of </w:t>
      </w:r>
      <w:r w:rsidRPr="00400E94">
        <w:t>ESPEROCT. Twenty of the 32 patients were negative for anti-PEG antibodies post administration of ESPEROCT. Eleven</w:t>
      </w:r>
      <w:r>
        <w:t xml:space="preserve"> patients developed transient low titre anti-PEG antibodies. No correlation with adverse events could be established.</w:t>
      </w:r>
    </w:p>
    <w:p w14:paraId="16949333" w14:textId="77777777" w:rsidR="005936AD" w:rsidRPr="00542C5B" w:rsidRDefault="005936AD" w:rsidP="005936AD">
      <w:pPr>
        <w:pStyle w:val="BodyText"/>
      </w:pPr>
      <w:r w:rsidRPr="00267A5B">
        <w:t xml:space="preserve">From post-marketing reporting, occurrence of anti-PEG-antibodies has also been observed at time of switching to ESPEROCT. In some patients anti-PEG antibodies may have been associated with </w:t>
      </w:r>
      <w:proofErr w:type="gramStart"/>
      <w:r w:rsidRPr="00267A5B">
        <w:t>lower than expected</w:t>
      </w:r>
      <w:proofErr w:type="gramEnd"/>
      <w:r w:rsidRPr="00267A5B">
        <w:t xml:space="preserve"> level of FVIII activity.</w:t>
      </w:r>
    </w:p>
    <w:p w14:paraId="518FB269" w14:textId="56B7ED93" w:rsidR="00C60DA1" w:rsidRPr="00C55146" w:rsidRDefault="00C60DA1" w:rsidP="00C60DA1">
      <w:pPr>
        <w:rPr>
          <w:rFonts w:asciiTheme="majorBidi" w:hAnsiTheme="majorBidi" w:cstheme="majorBidi"/>
          <w:sz w:val="24"/>
          <w:szCs w:val="24"/>
        </w:rPr>
      </w:pPr>
      <w:r w:rsidRPr="00C55146">
        <w:rPr>
          <w:rFonts w:asciiTheme="majorBidi" w:hAnsiTheme="majorBidi" w:cstheme="majorBidi"/>
          <w:b/>
          <w:bCs/>
          <w:sz w:val="24"/>
          <w:szCs w:val="24"/>
        </w:rPr>
        <w:t>Children and adolescents</w:t>
      </w:r>
    </w:p>
    <w:p w14:paraId="10BC3A38" w14:textId="72CCB161" w:rsidR="00C60DA1" w:rsidRPr="000E1342" w:rsidRDefault="00C60DA1" w:rsidP="00C60DA1">
      <w:pPr>
        <w:rPr>
          <w:rFonts w:asciiTheme="majorBidi" w:hAnsiTheme="majorBidi" w:cstheme="majorBidi"/>
          <w:sz w:val="24"/>
          <w:szCs w:val="24"/>
        </w:rPr>
      </w:pPr>
      <w:r w:rsidRPr="000E1342">
        <w:rPr>
          <w:rFonts w:asciiTheme="majorBidi" w:hAnsiTheme="majorBidi" w:cstheme="majorBidi"/>
          <w:sz w:val="24"/>
          <w:szCs w:val="24"/>
        </w:rPr>
        <w:t xml:space="preserve">Previously treated patients: In the safety profile of </w:t>
      </w:r>
      <w:r w:rsidR="00EE565D">
        <w:rPr>
          <w:rFonts w:asciiTheme="majorBidi" w:hAnsiTheme="majorBidi" w:cstheme="majorBidi"/>
          <w:sz w:val="24"/>
          <w:szCs w:val="24"/>
        </w:rPr>
        <w:t>ESPEROCT</w:t>
      </w:r>
      <w:r w:rsidRPr="000E1342">
        <w:rPr>
          <w:rFonts w:asciiTheme="majorBidi" w:hAnsiTheme="majorBidi" w:cstheme="majorBidi"/>
          <w:sz w:val="24"/>
          <w:szCs w:val="24"/>
        </w:rPr>
        <w:t>, no difference was detected between previously treated children and adolescents and adults.</w:t>
      </w:r>
    </w:p>
    <w:p w14:paraId="56D628F4" w14:textId="26077065" w:rsidR="00971EFB" w:rsidRPr="000E1342" w:rsidRDefault="00971EFB" w:rsidP="00971EFB">
      <w:pPr>
        <w:pStyle w:val="Heading3"/>
        <w:spacing w:before="0" w:after="120"/>
        <w:ind w:left="0"/>
        <w:rPr>
          <w:rFonts w:asciiTheme="majorBidi" w:hAnsiTheme="majorBidi"/>
          <w:sz w:val="24"/>
          <w:szCs w:val="24"/>
        </w:rPr>
      </w:pPr>
      <w:r w:rsidRPr="000E1342">
        <w:rPr>
          <w:rFonts w:asciiTheme="majorBidi" w:hAnsiTheme="majorBidi"/>
          <w:sz w:val="24"/>
          <w:szCs w:val="24"/>
        </w:rPr>
        <w:t>Reporting suspected adverse effects</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vault_nd_96ec33f0-5927-4efe-b13d-648a9e1c6551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2EB304D7" w14:textId="648430CA" w:rsidR="00EA6539" w:rsidRPr="000E1342" w:rsidRDefault="00971EFB" w:rsidP="00C569B7">
      <w:pPr>
        <w:rPr>
          <w:rFonts w:asciiTheme="majorBidi" w:hAnsiTheme="majorBidi" w:cstheme="majorBidi"/>
          <w:sz w:val="24"/>
          <w:szCs w:val="24"/>
        </w:rPr>
      </w:pPr>
      <w:r w:rsidRPr="000E1342">
        <w:rPr>
          <w:rFonts w:asciiTheme="majorBidi" w:hAnsiTheme="majorBidi" w:cstheme="majorBidi"/>
          <w:sz w:val="24"/>
          <w:szCs w:val="24"/>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ED73B7" w:rsidRPr="00ED73B7">
        <w:rPr>
          <w:rFonts w:asciiTheme="majorBidi" w:hAnsiTheme="majorBidi" w:cstheme="majorBidi"/>
          <w:sz w:val="24"/>
          <w:szCs w:val="24"/>
        </w:rPr>
        <w:t>www.tga.gov.au/reporting-problems</w:t>
      </w:r>
      <w:r w:rsidRPr="000E1342">
        <w:rPr>
          <w:rFonts w:asciiTheme="majorBidi" w:hAnsiTheme="majorBidi" w:cstheme="majorBidi"/>
          <w:sz w:val="24"/>
          <w:szCs w:val="24"/>
        </w:rPr>
        <w:t>.</w:t>
      </w:r>
    </w:p>
    <w:p w14:paraId="05A7F763" w14:textId="57283297" w:rsidR="001A3992" w:rsidRPr="000E1342" w:rsidRDefault="001A3992" w:rsidP="001A3992">
      <w:pPr>
        <w:pStyle w:val="Heading2"/>
        <w:keepNext/>
        <w:keepLines/>
        <w:spacing w:before="0" w:after="120"/>
        <w:rPr>
          <w:rFonts w:asciiTheme="majorBidi" w:hAnsiTheme="majorBidi" w:cstheme="majorBidi"/>
          <w:szCs w:val="24"/>
        </w:rPr>
      </w:pPr>
      <w:r w:rsidRPr="000E1342">
        <w:rPr>
          <w:rFonts w:asciiTheme="majorBidi" w:hAnsiTheme="majorBidi" w:cstheme="majorBidi"/>
          <w:szCs w:val="24"/>
        </w:rPr>
        <w:t>Overdose</w:t>
      </w:r>
      <w:r w:rsidR="00B45199">
        <w:rPr>
          <w:rFonts w:asciiTheme="majorBidi" w:hAnsiTheme="majorBidi" w:cstheme="majorBidi"/>
          <w:szCs w:val="24"/>
        </w:rPr>
        <w:fldChar w:fldCharType="begin"/>
      </w:r>
      <w:r w:rsidR="00B45199">
        <w:rPr>
          <w:rFonts w:asciiTheme="majorBidi" w:hAnsiTheme="majorBidi" w:cstheme="majorBidi"/>
          <w:szCs w:val="24"/>
        </w:rPr>
        <w:instrText xml:space="preserve"> DOCVARIABLE vault_nd_ca49834d-ebb2-406f-b3a9-9cb2f248ccd1 \* MERGEFORMAT </w:instrText>
      </w:r>
      <w:r w:rsidR="00B45199">
        <w:rPr>
          <w:rFonts w:asciiTheme="majorBidi" w:hAnsiTheme="majorBidi" w:cstheme="majorBidi"/>
          <w:szCs w:val="24"/>
        </w:rPr>
        <w:fldChar w:fldCharType="separate"/>
      </w:r>
      <w:r w:rsidR="00B45199">
        <w:rPr>
          <w:rFonts w:asciiTheme="majorBidi" w:hAnsiTheme="majorBidi" w:cstheme="majorBidi"/>
          <w:szCs w:val="24"/>
        </w:rPr>
        <w:t xml:space="preserve"> </w:t>
      </w:r>
      <w:r w:rsidR="00B45199">
        <w:rPr>
          <w:rFonts w:asciiTheme="majorBidi" w:hAnsiTheme="majorBidi" w:cstheme="majorBidi"/>
          <w:szCs w:val="24"/>
        </w:rPr>
        <w:fldChar w:fldCharType="end"/>
      </w:r>
    </w:p>
    <w:p w14:paraId="6CFFCAD2" w14:textId="731F73D2" w:rsidR="00F476FA" w:rsidRPr="000E1342" w:rsidRDefault="00F476FA" w:rsidP="005B2812">
      <w:pPr>
        <w:rPr>
          <w:rFonts w:asciiTheme="majorBidi" w:hAnsiTheme="majorBidi" w:cstheme="majorBidi"/>
          <w:sz w:val="24"/>
          <w:szCs w:val="24"/>
        </w:rPr>
      </w:pPr>
      <w:r w:rsidRPr="000E1342">
        <w:rPr>
          <w:rFonts w:asciiTheme="majorBidi" w:hAnsiTheme="majorBidi" w:cstheme="majorBidi"/>
          <w:sz w:val="24"/>
          <w:szCs w:val="24"/>
        </w:rPr>
        <w:t xml:space="preserve">In clinical trials with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overdose of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was reported at doses of up to 114 IU/kg. No clinical symptoms associated with overdoses of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have been reported.</w:t>
      </w:r>
    </w:p>
    <w:p w14:paraId="17CA34C9" w14:textId="4F2C2E7A" w:rsidR="005B2812" w:rsidRPr="000E1342" w:rsidRDefault="005B2812" w:rsidP="005B2812">
      <w:pPr>
        <w:rPr>
          <w:rFonts w:asciiTheme="majorBidi" w:hAnsiTheme="majorBidi" w:cstheme="majorBidi"/>
          <w:sz w:val="24"/>
          <w:szCs w:val="24"/>
        </w:rPr>
      </w:pPr>
      <w:r w:rsidRPr="000E1342">
        <w:rPr>
          <w:rFonts w:asciiTheme="majorBidi" w:hAnsiTheme="majorBidi" w:cstheme="majorBidi"/>
          <w:sz w:val="24"/>
          <w:szCs w:val="24"/>
        </w:rPr>
        <w:lastRenderedPageBreak/>
        <w:t>For information on the management of overdose, contact the Poisons Information Centre on 13 11 26 (Australia).</w:t>
      </w:r>
    </w:p>
    <w:p w14:paraId="4357AFC0" w14:textId="07313230" w:rsidR="001A3992" w:rsidRPr="00B45199" w:rsidRDefault="001A3992" w:rsidP="001A3992">
      <w:pPr>
        <w:pStyle w:val="Heading1"/>
        <w:spacing w:before="0" w:after="120"/>
        <w:rPr>
          <w:rFonts w:asciiTheme="majorBidi" w:hAnsiTheme="majorBidi"/>
        </w:rPr>
      </w:pPr>
      <w:r w:rsidRPr="00B45199">
        <w:rPr>
          <w:rFonts w:asciiTheme="majorBidi" w:hAnsiTheme="majorBidi"/>
        </w:rPr>
        <w:t>Pharmacological properties</w:t>
      </w:r>
      <w:r w:rsidR="00B45199">
        <w:rPr>
          <w:rFonts w:asciiTheme="majorBidi" w:hAnsiTheme="majorBidi"/>
        </w:rPr>
        <w:fldChar w:fldCharType="begin"/>
      </w:r>
      <w:r w:rsidR="00B45199">
        <w:rPr>
          <w:rFonts w:asciiTheme="majorBidi" w:hAnsiTheme="majorBidi"/>
        </w:rPr>
        <w:instrText xml:space="preserve"> DOCVARIABLE VAULT_ND_d7ed429a-c938-49d8-9603-18e8ef0525bb \* MERGEFORMAT </w:instrText>
      </w:r>
      <w:r w:rsidR="00B45199">
        <w:rPr>
          <w:rFonts w:asciiTheme="majorBidi" w:hAnsiTheme="majorBidi"/>
        </w:rPr>
        <w:fldChar w:fldCharType="separate"/>
      </w:r>
      <w:r w:rsidR="00B45199">
        <w:rPr>
          <w:rFonts w:asciiTheme="majorBidi" w:hAnsiTheme="majorBidi"/>
        </w:rPr>
        <w:t xml:space="preserve"> </w:t>
      </w:r>
      <w:r w:rsidR="00B45199">
        <w:rPr>
          <w:rFonts w:asciiTheme="majorBidi" w:hAnsiTheme="majorBidi"/>
        </w:rPr>
        <w:fldChar w:fldCharType="end"/>
      </w:r>
    </w:p>
    <w:p w14:paraId="15FE4373" w14:textId="442C5404" w:rsidR="001A3992" w:rsidRPr="000E1342" w:rsidRDefault="001A3992" w:rsidP="001A3992">
      <w:pPr>
        <w:pStyle w:val="Heading2"/>
        <w:spacing w:before="0" w:after="120"/>
        <w:rPr>
          <w:rFonts w:asciiTheme="majorBidi" w:hAnsiTheme="majorBidi" w:cstheme="majorBidi"/>
        </w:rPr>
      </w:pPr>
      <w:r w:rsidRPr="000E1342">
        <w:rPr>
          <w:rFonts w:asciiTheme="majorBidi" w:hAnsiTheme="majorBidi" w:cstheme="majorBidi"/>
        </w:rPr>
        <w:t>Pharmacodynamic properties</w:t>
      </w:r>
      <w:r w:rsidR="00B45199">
        <w:rPr>
          <w:rFonts w:asciiTheme="majorBidi" w:hAnsiTheme="majorBidi" w:cstheme="majorBidi"/>
        </w:rPr>
        <w:fldChar w:fldCharType="begin"/>
      </w:r>
      <w:r w:rsidR="00B45199">
        <w:rPr>
          <w:rFonts w:asciiTheme="majorBidi" w:hAnsiTheme="majorBidi" w:cstheme="majorBidi"/>
        </w:rPr>
        <w:instrText xml:space="preserve"> DOCVARIABLE vault_nd_4ec6a447-0455-4414-a008-51b5f22d2a40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2106C69B" w14:textId="284EE7EB" w:rsidR="00E82538" w:rsidRPr="00E82538" w:rsidRDefault="007D78F7" w:rsidP="00AE59D5">
      <w:pPr>
        <w:rPr>
          <w:rFonts w:asciiTheme="majorBidi" w:hAnsiTheme="majorBidi" w:cstheme="majorBidi"/>
          <w:sz w:val="24"/>
          <w:szCs w:val="24"/>
        </w:rPr>
      </w:pPr>
      <w:r w:rsidRPr="007D78F7">
        <w:rPr>
          <w:rFonts w:asciiTheme="majorBidi" w:hAnsiTheme="majorBidi" w:cstheme="majorBidi"/>
          <w:sz w:val="24"/>
          <w:szCs w:val="24"/>
          <w:lang w:val="en-US"/>
        </w:rPr>
        <w:t xml:space="preserve">Pharmacotherapeutic group: </w:t>
      </w:r>
      <w:proofErr w:type="spellStart"/>
      <w:r w:rsidRPr="007D78F7">
        <w:rPr>
          <w:rFonts w:asciiTheme="majorBidi" w:hAnsiTheme="majorBidi" w:cstheme="majorBidi"/>
          <w:sz w:val="24"/>
          <w:szCs w:val="24"/>
          <w:lang w:val="en-US"/>
        </w:rPr>
        <w:t>antihaemorrhagics</w:t>
      </w:r>
      <w:proofErr w:type="spellEnd"/>
      <w:r w:rsidRPr="007D78F7">
        <w:rPr>
          <w:rFonts w:asciiTheme="majorBidi" w:hAnsiTheme="majorBidi" w:cstheme="majorBidi"/>
          <w:sz w:val="24"/>
          <w:szCs w:val="24"/>
          <w:lang w:val="en-US"/>
        </w:rPr>
        <w:t>, blood coagulation factor VIII</w:t>
      </w:r>
      <w:r w:rsidR="00AE59D5">
        <w:rPr>
          <w:rFonts w:asciiTheme="majorBidi" w:hAnsiTheme="majorBidi" w:cstheme="majorBidi"/>
          <w:sz w:val="24"/>
          <w:szCs w:val="24"/>
          <w:lang w:val="en-US"/>
        </w:rPr>
        <w:t xml:space="preserve">. </w:t>
      </w:r>
      <w:r w:rsidR="00E82538" w:rsidRPr="00E82538">
        <w:rPr>
          <w:rFonts w:asciiTheme="majorBidi" w:hAnsiTheme="majorBidi" w:cstheme="majorBidi"/>
          <w:sz w:val="24"/>
          <w:szCs w:val="24"/>
        </w:rPr>
        <w:t xml:space="preserve">ATC code: B02BD02 </w:t>
      </w:r>
    </w:p>
    <w:p w14:paraId="566E5F6E" w14:textId="3C29BD46" w:rsidR="001A3992" w:rsidRPr="000E1342" w:rsidRDefault="001A3992" w:rsidP="007E67AC">
      <w:pPr>
        <w:pStyle w:val="Heading3"/>
        <w:spacing w:before="0" w:after="120"/>
        <w:ind w:left="0"/>
        <w:rPr>
          <w:rFonts w:asciiTheme="majorBidi" w:hAnsiTheme="majorBidi"/>
          <w:sz w:val="24"/>
          <w:szCs w:val="24"/>
        </w:rPr>
      </w:pPr>
      <w:r w:rsidRPr="000E1342">
        <w:rPr>
          <w:rFonts w:asciiTheme="majorBidi" w:hAnsiTheme="majorBidi"/>
          <w:sz w:val="24"/>
          <w:szCs w:val="24"/>
        </w:rPr>
        <w:t>Mechanism of action</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vault_nd_8ed23311-df9a-4566-bfbf-73586a9788cb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5F432B78" w14:textId="33A24DD9" w:rsidR="0019429E" w:rsidRDefault="0019429E" w:rsidP="007E67AC">
      <w:pPr>
        <w:rPr>
          <w:rFonts w:asciiTheme="majorBidi" w:hAnsiTheme="majorBidi" w:cstheme="majorBidi"/>
          <w:sz w:val="24"/>
          <w:szCs w:val="24"/>
        </w:rPr>
      </w:pPr>
      <w:r w:rsidRPr="0019429E">
        <w:rPr>
          <w:rFonts w:asciiTheme="majorBidi" w:hAnsiTheme="majorBidi" w:cstheme="majorBidi"/>
          <w:sz w:val="24"/>
          <w:szCs w:val="24"/>
        </w:rPr>
        <w:t xml:space="preserve">The factor VIII/von Willebrand factor complex consists of two molecules (factor VIII and von Willebrand factor) with different physiological functions. When infused into a patient with haemophilia, factor VIII binds to </w:t>
      </w:r>
      <w:r w:rsidR="00B8734E">
        <w:rPr>
          <w:rFonts w:asciiTheme="majorBidi" w:hAnsiTheme="majorBidi" w:cstheme="majorBidi"/>
          <w:sz w:val="24"/>
          <w:szCs w:val="24"/>
        </w:rPr>
        <w:t xml:space="preserve">the </w:t>
      </w:r>
      <w:r w:rsidRPr="0019429E">
        <w:rPr>
          <w:rFonts w:asciiTheme="majorBidi" w:hAnsiTheme="majorBidi" w:cstheme="majorBidi"/>
          <w:sz w:val="24"/>
          <w:szCs w:val="24"/>
        </w:rPr>
        <w:t>patient’s von Willebrand factor. Activated factor VIII acts as a cofactor for activated factor IX, accelerating the conversion of factor X to activated factor X. Activated factor X converts prothrombin into thrombin. Thrombin then converts fibrinogen into fibrin and a clot can be formed.</w:t>
      </w:r>
    </w:p>
    <w:p w14:paraId="2DBDB82A" w14:textId="06E6CC95" w:rsidR="0019429E" w:rsidRDefault="0019429E" w:rsidP="007E67AC">
      <w:pPr>
        <w:rPr>
          <w:rFonts w:asciiTheme="majorBidi" w:hAnsiTheme="majorBidi" w:cstheme="majorBidi"/>
          <w:sz w:val="24"/>
          <w:szCs w:val="24"/>
        </w:rPr>
      </w:pPr>
      <w:r w:rsidRPr="0019429E">
        <w:rPr>
          <w:rFonts w:asciiTheme="majorBidi" w:hAnsiTheme="majorBidi" w:cstheme="majorBidi"/>
          <w:sz w:val="24"/>
          <w:szCs w:val="24"/>
        </w:rPr>
        <w:t xml:space="preserve">Haemophilia A is a X-chromosomal hereditary disorder of blood coagulation due to decreased levels or absence of factor VIII:C that results in bleeding into joints, </w:t>
      </w:r>
      <w:proofErr w:type="gramStart"/>
      <w:r w:rsidRPr="0019429E">
        <w:rPr>
          <w:rFonts w:asciiTheme="majorBidi" w:hAnsiTheme="majorBidi" w:cstheme="majorBidi"/>
          <w:sz w:val="24"/>
          <w:szCs w:val="24"/>
        </w:rPr>
        <w:t>muscles</w:t>
      </w:r>
      <w:proofErr w:type="gramEnd"/>
      <w:r w:rsidRPr="0019429E">
        <w:rPr>
          <w:rFonts w:asciiTheme="majorBidi" w:hAnsiTheme="majorBidi" w:cstheme="majorBidi"/>
          <w:sz w:val="24"/>
          <w:szCs w:val="24"/>
        </w:rPr>
        <w:t xml:space="preserve"> or internal organs, either spontaneously or as a result of accidental or surgical trauma.</w:t>
      </w:r>
    </w:p>
    <w:p w14:paraId="50D12B0A" w14:textId="1C52453F" w:rsidR="007E67AC" w:rsidRPr="000E1342" w:rsidRDefault="00B8734E" w:rsidP="007E67AC">
      <w:pPr>
        <w:rPr>
          <w:rFonts w:asciiTheme="majorBidi" w:hAnsiTheme="majorBidi" w:cstheme="majorBidi"/>
          <w:sz w:val="24"/>
          <w:szCs w:val="24"/>
        </w:rPr>
      </w:pPr>
      <w:proofErr w:type="spellStart"/>
      <w:r>
        <w:rPr>
          <w:rFonts w:asciiTheme="majorBidi" w:hAnsiTheme="majorBidi" w:cstheme="majorBidi"/>
          <w:sz w:val="24"/>
          <w:szCs w:val="24"/>
        </w:rPr>
        <w:t>T</w:t>
      </w:r>
      <w:r w:rsidRPr="000E1342">
        <w:rPr>
          <w:rFonts w:asciiTheme="majorBidi" w:hAnsiTheme="majorBidi" w:cstheme="majorBidi"/>
          <w:sz w:val="24"/>
          <w:szCs w:val="24"/>
        </w:rPr>
        <w:t>uroctocog</w:t>
      </w:r>
      <w:proofErr w:type="spellEnd"/>
      <w:r w:rsidRPr="000E1342">
        <w:rPr>
          <w:rFonts w:asciiTheme="majorBidi" w:hAnsiTheme="majorBidi" w:cstheme="majorBidi"/>
          <w:sz w:val="24"/>
          <w:szCs w:val="24"/>
        </w:rPr>
        <w:t xml:space="preserve"> alfa</w:t>
      </w:r>
      <w:r w:rsidDel="00B8734E">
        <w:rPr>
          <w:rFonts w:asciiTheme="majorBidi" w:hAnsiTheme="majorBidi" w:cstheme="majorBidi"/>
          <w:sz w:val="24"/>
          <w:szCs w:val="24"/>
        </w:rPr>
        <w:t xml:space="preserve"> </w:t>
      </w:r>
      <w:r>
        <w:rPr>
          <w:rFonts w:asciiTheme="majorBidi" w:hAnsiTheme="majorBidi" w:cstheme="majorBidi"/>
          <w:sz w:val="24"/>
          <w:szCs w:val="24"/>
        </w:rPr>
        <w:t xml:space="preserve">pegol </w:t>
      </w:r>
      <w:r w:rsidR="007E67AC" w:rsidRPr="000E1342">
        <w:rPr>
          <w:rFonts w:asciiTheme="majorBidi" w:hAnsiTheme="majorBidi" w:cstheme="majorBidi"/>
          <w:sz w:val="24"/>
          <w:szCs w:val="24"/>
        </w:rPr>
        <w:t>is a purified recombinant human factor VIII (</w:t>
      </w:r>
      <w:proofErr w:type="spellStart"/>
      <w:r w:rsidR="007E67AC" w:rsidRPr="000E1342">
        <w:rPr>
          <w:rFonts w:asciiTheme="majorBidi" w:hAnsiTheme="majorBidi" w:cstheme="majorBidi"/>
          <w:sz w:val="24"/>
          <w:szCs w:val="24"/>
        </w:rPr>
        <w:t>rFVIII</w:t>
      </w:r>
      <w:proofErr w:type="spellEnd"/>
      <w:r w:rsidR="007E67AC" w:rsidRPr="000E1342">
        <w:rPr>
          <w:rFonts w:asciiTheme="majorBidi" w:hAnsiTheme="majorBidi" w:cstheme="majorBidi"/>
          <w:sz w:val="24"/>
          <w:szCs w:val="24"/>
        </w:rPr>
        <w:t xml:space="preserve">) product with 40 </w:t>
      </w:r>
      <w:proofErr w:type="spellStart"/>
      <w:r w:rsidR="007E67AC" w:rsidRPr="000E1342">
        <w:rPr>
          <w:rFonts w:asciiTheme="majorBidi" w:hAnsiTheme="majorBidi" w:cstheme="majorBidi"/>
          <w:sz w:val="24"/>
          <w:szCs w:val="24"/>
        </w:rPr>
        <w:t>kDa</w:t>
      </w:r>
      <w:proofErr w:type="spellEnd"/>
      <w:r w:rsidR="007E67AC" w:rsidRPr="000E1342">
        <w:rPr>
          <w:rFonts w:asciiTheme="majorBidi" w:hAnsiTheme="majorBidi" w:cstheme="majorBidi"/>
          <w:sz w:val="24"/>
          <w:szCs w:val="24"/>
        </w:rPr>
        <w:t xml:space="preserve"> polyethylene glycol (PEG), which is conjugated to protein. The PEG is attached to the O-linked glycan in the truncated B domain of </w:t>
      </w:r>
      <w:proofErr w:type="spellStart"/>
      <w:r w:rsidR="007E67AC" w:rsidRPr="000E1342">
        <w:rPr>
          <w:rFonts w:asciiTheme="majorBidi" w:hAnsiTheme="majorBidi" w:cstheme="majorBidi"/>
          <w:sz w:val="24"/>
          <w:szCs w:val="24"/>
        </w:rPr>
        <w:t>rFVIII</w:t>
      </w:r>
      <w:proofErr w:type="spellEnd"/>
      <w:r w:rsidR="007E67AC" w:rsidRPr="000E1342">
        <w:rPr>
          <w:rFonts w:asciiTheme="majorBidi" w:hAnsiTheme="majorBidi" w:cstheme="majorBidi"/>
          <w:sz w:val="24"/>
          <w:szCs w:val="24"/>
        </w:rPr>
        <w:t xml:space="preserve"> (</w:t>
      </w:r>
      <w:proofErr w:type="spellStart"/>
      <w:r w:rsidR="007E67AC" w:rsidRPr="000E1342">
        <w:rPr>
          <w:rFonts w:asciiTheme="majorBidi" w:hAnsiTheme="majorBidi" w:cstheme="majorBidi"/>
          <w:sz w:val="24"/>
          <w:szCs w:val="24"/>
        </w:rPr>
        <w:t>turoctocog</w:t>
      </w:r>
      <w:proofErr w:type="spellEnd"/>
      <w:r w:rsidR="007E67AC" w:rsidRPr="000E1342">
        <w:rPr>
          <w:rFonts w:asciiTheme="majorBidi" w:hAnsiTheme="majorBidi" w:cstheme="majorBidi"/>
          <w:sz w:val="24"/>
          <w:szCs w:val="24"/>
        </w:rPr>
        <w:t xml:space="preserve"> alfa). The mechanism of action of </w:t>
      </w:r>
      <w:proofErr w:type="spellStart"/>
      <w:r w:rsidR="00A15800">
        <w:rPr>
          <w:rFonts w:asciiTheme="majorBidi" w:hAnsiTheme="majorBidi" w:cstheme="majorBidi"/>
          <w:sz w:val="24"/>
          <w:szCs w:val="24"/>
        </w:rPr>
        <w:t>t</w:t>
      </w:r>
      <w:r w:rsidR="00A15800" w:rsidRPr="000E1342">
        <w:rPr>
          <w:rFonts w:asciiTheme="majorBidi" w:hAnsiTheme="majorBidi" w:cstheme="majorBidi"/>
          <w:sz w:val="24"/>
          <w:szCs w:val="24"/>
        </w:rPr>
        <w:t>uroctocog</w:t>
      </w:r>
      <w:proofErr w:type="spellEnd"/>
      <w:r w:rsidR="00A15800" w:rsidRPr="000E1342">
        <w:rPr>
          <w:rFonts w:asciiTheme="majorBidi" w:hAnsiTheme="majorBidi" w:cstheme="majorBidi"/>
          <w:sz w:val="24"/>
          <w:szCs w:val="24"/>
        </w:rPr>
        <w:t xml:space="preserve"> alfa</w:t>
      </w:r>
      <w:r w:rsidR="00A15800" w:rsidDel="00B8734E">
        <w:rPr>
          <w:rFonts w:asciiTheme="majorBidi" w:hAnsiTheme="majorBidi" w:cstheme="majorBidi"/>
          <w:sz w:val="24"/>
          <w:szCs w:val="24"/>
        </w:rPr>
        <w:t xml:space="preserve"> </w:t>
      </w:r>
      <w:r w:rsidR="00A15800">
        <w:rPr>
          <w:rFonts w:asciiTheme="majorBidi" w:hAnsiTheme="majorBidi" w:cstheme="majorBidi"/>
          <w:sz w:val="24"/>
          <w:szCs w:val="24"/>
        </w:rPr>
        <w:t xml:space="preserve">pegol </w:t>
      </w:r>
      <w:r w:rsidR="007E67AC" w:rsidRPr="000E1342">
        <w:rPr>
          <w:rFonts w:asciiTheme="majorBidi" w:hAnsiTheme="majorBidi" w:cstheme="majorBidi"/>
          <w:sz w:val="24"/>
          <w:szCs w:val="24"/>
        </w:rPr>
        <w:t>is based on the substitution of inadequate or absent factor VIII in patients with haemophilia A.</w:t>
      </w:r>
    </w:p>
    <w:p w14:paraId="036CF375" w14:textId="32516813" w:rsidR="007E67AC" w:rsidRPr="000E1342" w:rsidRDefault="007E67AC" w:rsidP="007E67AC">
      <w:pPr>
        <w:rPr>
          <w:rFonts w:asciiTheme="majorBidi" w:hAnsiTheme="majorBidi" w:cstheme="majorBidi"/>
          <w:sz w:val="24"/>
          <w:szCs w:val="24"/>
        </w:rPr>
      </w:pPr>
      <w:r w:rsidRPr="000E1342">
        <w:rPr>
          <w:rFonts w:asciiTheme="majorBidi" w:hAnsiTheme="majorBidi" w:cstheme="majorBidi"/>
          <w:sz w:val="24"/>
          <w:szCs w:val="24"/>
        </w:rPr>
        <w:t xml:space="preserve">When </w:t>
      </w:r>
      <w:proofErr w:type="spellStart"/>
      <w:r w:rsidR="00A15800">
        <w:rPr>
          <w:rFonts w:asciiTheme="majorBidi" w:hAnsiTheme="majorBidi" w:cstheme="majorBidi"/>
          <w:sz w:val="24"/>
          <w:szCs w:val="24"/>
        </w:rPr>
        <w:t>t</w:t>
      </w:r>
      <w:r w:rsidR="00A15800" w:rsidRPr="000E1342">
        <w:rPr>
          <w:rFonts w:asciiTheme="majorBidi" w:hAnsiTheme="majorBidi" w:cstheme="majorBidi"/>
          <w:sz w:val="24"/>
          <w:szCs w:val="24"/>
        </w:rPr>
        <w:t>uroctocog</w:t>
      </w:r>
      <w:proofErr w:type="spellEnd"/>
      <w:r w:rsidR="00A15800" w:rsidRPr="000E1342">
        <w:rPr>
          <w:rFonts w:asciiTheme="majorBidi" w:hAnsiTheme="majorBidi" w:cstheme="majorBidi"/>
          <w:sz w:val="24"/>
          <w:szCs w:val="24"/>
        </w:rPr>
        <w:t xml:space="preserve"> alfa</w:t>
      </w:r>
      <w:r w:rsidR="00A15800" w:rsidDel="00B8734E">
        <w:rPr>
          <w:rFonts w:asciiTheme="majorBidi" w:hAnsiTheme="majorBidi" w:cstheme="majorBidi"/>
          <w:sz w:val="24"/>
          <w:szCs w:val="24"/>
        </w:rPr>
        <w:t xml:space="preserve"> </w:t>
      </w:r>
      <w:r w:rsidR="00A15800">
        <w:rPr>
          <w:rFonts w:asciiTheme="majorBidi" w:hAnsiTheme="majorBidi" w:cstheme="majorBidi"/>
          <w:sz w:val="24"/>
          <w:szCs w:val="24"/>
        </w:rPr>
        <w:t xml:space="preserve">pegol </w:t>
      </w:r>
      <w:r w:rsidRPr="000E1342">
        <w:rPr>
          <w:rFonts w:asciiTheme="majorBidi" w:hAnsiTheme="majorBidi" w:cstheme="majorBidi"/>
          <w:sz w:val="24"/>
          <w:szCs w:val="24"/>
        </w:rPr>
        <w:t>is activated by thrombin at the injury site, the a3 region and the B domains containing the PEG are cleaved off, producing active recombinant factor VIII (</w:t>
      </w:r>
      <w:proofErr w:type="spellStart"/>
      <w:r w:rsidRPr="000E1342">
        <w:rPr>
          <w:rFonts w:asciiTheme="majorBidi" w:hAnsiTheme="majorBidi" w:cstheme="majorBidi"/>
          <w:sz w:val="24"/>
          <w:szCs w:val="24"/>
        </w:rPr>
        <w:t>rFVIIIa</w:t>
      </w:r>
      <w:proofErr w:type="spellEnd"/>
      <w:r w:rsidRPr="000E1342">
        <w:rPr>
          <w:rFonts w:asciiTheme="majorBidi" w:hAnsiTheme="majorBidi" w:cstheme="majorBidi"/>
          <w:sz w:val="24"/>
          <w:szCs w:val="24"/>
        </w:rPr>
        <w:t xml:space="preserve">), which is similar in structure to native factor </w:t>
      </w:r>
      <w:proofErr w:type="spellStart"/>
      <w:r w:rsidRPr="000E1342">
        <w:rPr>
          <w:rFonts w:asciiTheme="majorBidi" w:hAnsiTheme="majorBidi" w:cstheme="majorBidi"/>
          <w:sz w:val="24"/>
          <w:szCs w:val="24"/>
        </w:rPr>
        <w:t>VIIIa</w:t>
      </w:r>
      <w:proofErr w:type="spellEnd"/>
      <w:r w:rsidRPr="000E1342">
        <w:rPr>
          <w:rFonts w:asciiTheme="majorBidi" w:hAnsiTheme="majorBidi" w:cstheme="majorBidi"/>
          <w:sz w:val="24"/>
          <w:szCs w:val="24"/>
        </w:rPr>
        <w:t>.</w:t>
      </w:r>
    </w:p>
    <w:p w14:paraId="4D71D470" w14:textId="05C4744C" w:rsidR="007E67AC" w:rsidRPr="000E1342" w:rsidRDefault="007E67AC" w:rsidP="007E67AC">
      <w:pPr>
        <w:rPr>
          <w:rFonts w:asciiTheme="majorBidi" w:hAnsiTheme="majorBidi" w:cstheme="majorBidi"/>
          <w:sz w:val="24"/>
          <w:szCs w:val="24"/>
        </w:rPr>
      </w:pPr>
      <w:r w:rsidRPr="000E1342">
        <w:rPr>
          <w:rFonts w:asciiTheme="majorBidi" w:hAnsiTheme="majorBidi" w:cstheme="majorBidi"/>
          <w:sz w:val="24"/>
          <w:szCs w:val="24"/>
        </w:rPr>
        <w:t>This replacement therapy raises factor VIII plasma levels, temporarily correcting the factor VIII deficiency and bleeding tendency.</w:t>
      </w:r>
    </w:p>
    <w:p w14:paraId="634FD1D4" w14:textId="45021E7B" w:rsidR="001A3992" w:rsidRPr="000E1342" w:rsidRDefault="001A3992" w:rsidP="007E67AC">
      <w:pPr>
        <w:pStyle w:val="Heading3"/>
        <w:spacing w:before="0" w:after="120"/>
        <w:ind w:left="0"/>
        <w:rPr>
          <w:rFonts w:asciiTheme="majorBidi" w:hAnsiTheme="majorBidi"/>
          <w:sz w:val="24"/>
          <w:szCs w:val="24"/>
        </w:rPr>
      </w:pPr>
      <w:r w:rsidRPr="000E1342">
        <w:rPr>
          <w:rFonts w:asciiTheme="majorBidi" w:hAnsiTheme="majorBidi"/>
          <w:sz w:val="24"/>
          <w:szCs w:val="24"/>
        </w:rPr>
        <w:t>Clinical trials</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vault_nd_3c0a9d4c-0dcd-4203-9395-ef2d1ed99315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5EC5D9A7" w14:textId="7623F2C4" w:rsidR="003911EF" w:rsidRPr="000E1342" w:rsidRDefault="003911EF" w:rsidP="003911EF">
      <w:pPr>
        <w:rPr>
          <w:rFonts w:asciiTheme="majorBidi" w:hAnsiTheme="majorBidi" w:cstheme="majorBidi"/>
          <w:sz w:val="24"/>
          <w:szCs w:val="24"/>
          <w:u w:val="single"/>
        </w:rPr>
      </w:pPr>
      <w:r w:rsidRPr="000E1342">
        <w:rPr>
          <w:rFonts w:asciiTheme="majorBidi" w:hAnsiTheme="majorBidi" w:cstheme="majorBidi"/>
          <w:sz w:val="24"/>
          <w:szCs w:val="24"/>
          <w:u w:val="single"/>
        </w:rPr>
        <w:t>Clinical efficacy in the prophylaxis and treatment of bleeding episodes</w:t>
      </w:r>
    </w:p>
    <w:p w14:paraId="69C29DAB" w14:textId="5E6FB309" w:rsidR="007E67AC" w:rsidRDefault="003911EF" w:rsidP="003911EF">
      <w:pPr>
        <w:rPr>
          <w:rFonts w:asciiTheme="majorBidi" w:hAnsiTheme="majorBidi" w:cstheme="majorBidi"/>
          <w:sz w:val="24"/>
          <w:szCs w:val="24"/>
        </w:rPr>
      </w:pPr>
      <w:r w:rsidRPr="000E1342">
        <w:rPr>
          <w:rFonts w:asciiTheme="majorBidi" w:hAnsiTheme="majorBidi" w:cstheme="majorBidi"/>
          <w:sz w:val="24"/>
          <w:szCs w:val="24"/>
        </w:rPr>
        <w:t xml:space="preserve">The clinical efficacy of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in the prophylaxis and treatment of </w:t>
      </w:r>
      <w:r w:rsidR="00867F45">
        <w:rPr>
          <w:rFonts w:asciiTheme="majorBidi" w:hAnsiTheme="majorBidi" w:cstheme="majorBidi"/>
          <w:sz w:val="24"/>
          <w:szCs w:val="24"/>
        </w:rPr>
        <w:t>bleed</w:t>
      </w:r>
      <w:r w:rsidR="007D6CD4">
        <w:rPr>
          <w:rFonts w:asciiTheme="majorBidi" w:hAnsiTheme="majorBidi" w:cstheme="majorBidi"/>
          <w:sz w:val="24"/>
          <w:szCs w:val="24"/>
        </w:rPr>
        <w:t>ing</w:t>
      </w:r>
      <w:r w:rsidR="00867F45" w:rsidRPr="000E1342">
        <w:rPr>
          <w:rFonts w:asciiTheme="majorBidi" w:hAnsiTheme="majorBidi" w:cstheme="majorBidi"/>
          <w:sz w:val="24"/>
          <w:szCs w:val="24"/>
        </w:rPr>
        <w:t xml:space="preserve"> </w:t>
      </w:r>
      <w:r w:rsidRPr="000E1342">
        <w:rPr>
          <w:rFonts w:asciiTheme="majorBidi" w:hAnsiTheme="majorBidi" w:cstheme="majorBidi"/>
          <w:sz w:val="24"/>
          <w:szCs w:val="24"/>
        </w:rPr>
        <w:t xml:space="preserve">was investigated in five prospective, multicentre clinical trials </w:t>
      </w:r>
      <w:r w:rsidR="006C435A" w:rsidRPr="000E1342">
        <w:rPr>
          <w:rFonts w:asciiTheme="majorBidi" w:hAnsiTheme="majorBidi" w:cstheme="majorBidi"/>
          <w:sz w:val="24"/>
          <w:szCs w:val="24"/>
        </w:rPr>
        <w:t>in</w:t>
      </w:r>
      <w:r w:rsidRPr="000E1342">
        <w:rPr>
          <w:rFonts w:asciiTheme="majorBidi" w:hAnsiTheme="majorBidi" w:cstheme="majorBidi"/>
          <w:sz w:val="24"/>
          <w:szCs w:val="24"/>
        </w:rPr>
        <w:t xml:space="preserve"> previously treated patients (PTPs) with severe haemophilia A. The haemostatic effect was confirmed in adults/adolescents and in children.</w:t>
      </w:r>
    </w:p>
    <w:p w14:paraId="5425C138" w14:textId="77777777" w:rsidR="00436454" w:rsidRDefault="00436454" w:rsidP="003911EF">
      <w:pPr>
        <w:rPr>
          <w:rFonts w:asciiTheme="majorBidi" w:hAnsiTheme="majorBidi" w:cstheme="majorBidi"/>
          <w:sz w:val="24"/>
          <w:szCs w:val="24"/>
        </w:rPr>
      </w:pPr>
    </w:p>
    <w:p w14:paraId="096308C6" w14:textId="77777777" w:rsidR="00436454" w:rsidRPr="000E1342" w:rsidRDefault="00436454" w:rsidP="003911EF">
      <w:pPr>
        <w:rPr>
          <w:rFonts w:asciiTheme="majorBidi" w:hAnsiTheme="majorBidi" w:cstheme="majorBidi"/>
          <w:sz w:val="24"/>
          <w:szCs w:val="24"/>
        </w:rPr>
      </w:pPr>
    </w:p>
    <w:p w14:paraId="5348629E" w14:textId="5C254595" w:rsidR="004059BC" w:rsidRPr="006C64D9" w:rsidRDefault="004059BC" w:rsidP="004059BC">
      <w:pPr>
        <w:rPr>
          <w:rFonts w:asciiTheme="majorBidi" w:hAnsiTheme="majorBidi" w:cstheme="majorBidi"/>
          <w:sz w:val="24"/>
          <w:szCs w:val="24"/>
          <w:u w:val="single"/>
          <w:lang w:val="fr-FR"/>
        </w:rPr>
      </w:pPr>
      <w:r w:rsidRPr="006C64D9">
        <w:rPr>
          <w:rFonts w:asciiTheme="majorBidi" w:hAnsiTheme="majorBidi" w:cstheme="majorBidi"/>
          <w:sz w:val="24"/>
          <w:szCs w:val="24"/>
          <w:u w:val="single"/>
          <w:lang w:val="fr-FR"/>
        </w:rPr>
        <w:lastRenderedPageBreak/>
        <w:t xml:space="preserve">Routine </w:t>
      </w:r>
      <w:proofErr w:type="spellStart"/>
      <w:r w:rsidRPr="006C64D9">
        <w:rPr>
          <w:rFonts w:asciiTheme="majorBidi" w:hAnsiTheme="majorBidi" w:cstheme="majorBidi"/>
          <w:sz w:val="24"/>
          <w:szCs w:val="24"/>
          <w:u w:val="single"/>
          <w:lang w:val="fr-FR"/>
        </w:rPr>
        <w:t>prophylaxis</w:t>
      </w:r>
      <w:proofErr w:type="spellEnd"/>
      <w:r w:rsidRPr="006C64D9">
        <w:rPr>
          <w:rFonts w:asciiTheme="majorBidi" w:hAnsiTheme="majorBidi" w:cstheme="majorBidi"/>
          <w:sz w:val="24"/>
          <w:szCs w:val="24"/>
          <w:u w:val="single"/>
          <w:lang w:val="fr-FR"/>
        </w:rPr>
        <w:t xml:space="preserve"> in </w:t>
      </w:r>
      <w:proofErr w:type="spellStart"/>
      <w:r w:rsidRPr="006C64D9">
        <w:rPr>
          <w:rFonts w:asciiTheme="majorBidi" w:hAnsiTheme="majorBidi" w:cstheme="majorBidi"/>
          <w:sz w:val="24"/>
          <w:szCs w:val="24"/>
          <w:u w:val="single"/>
          <w:lang w:val="fr-FR"/>
        </w:rPr>
        <w:t>adults</w:t>
      </w:r>
      <w:proofErr w:type="spellEnd"/>
      <w:r w:rsidRPr="006C64D9">
        <w:rPr>
          <w:rFonts w:asciiTheme="majorBidi" w:hAnsiTheme="majorBidi" w:cstheme="majorBidi"/>
          <w:sz w:val="24"/>
          <w:szCs w:val="24"/>
          <w:u w:val="single"/>
          <w:lang w:val="fr-FR"/>
        </w:rPr>
        <w:t>/adolescents</w:t>
      </w:r>
    </w:p>
    <w:p w14:paraId="54775FA2" w14:textId="49E6A2A6" w:rsidR="004059BC" w:rsidRPr="000E1342" w:rsidRDefault="004059BC" w:rsidP="00A205D8">
      <w:pPr>
        <w:rPr>
          <w:rFonts w:asciiTheme="majorBidi" w:hAnsiTheme="majorBidi" w:cstheme="majorBidi"/>
          <w:sz w:val="24"/>
          <w:szCs w:val="24"/>
        </w:rPr>
      </w:pPr>
      <w:r w:rsidRPr="000E1342">
        <w:rPr>
          <w:rFonts w:asciiTheme="majorBidi" w:hAnsiTheme="majorBidi" w:cstheme="majorBidi"/>
          <w:sz w:val="24"/>
          <w:szCs w:val="24"/>
        </w:rPr>
        <w:t xml:space="preserve">In adults/adolescents (12 </w:t>
      </w:r>
      <w:r w:rsidR="00DE565B" w:rsidRPr="000E1342">
        <w:rPr>
          <w:rFonts w:asciiTheme="majorBidi" w:hAnsiTheme="majorBidi" w:cstheme="majorBidi"/>
          <w:sz w:val="24"/>
          <w:szCs w:val="24"/>
        </w:rPr>
        <w:t xml:space="preserve">years </w:t>
      </w:r>
      <w:r w:rsidRPr="000E1342">
        <w:rPr>
          <w:rFonts w:asciiTheme="majorBidi" w:hAnsiTheme="majorBidi" w:cstheme="majorBidi"/>
          <w:sz w:val="24"/>
          <w:szCs w:val="24"/>
        </w:rPr>
        <w:t xml:space="preserve">and </w:t>
      </w:r>
      <w:r w:rsidR="00DE565B" w:rsidRPr="000E1342">
        <w:rPr>
          <w:rFonts w:asciiTheme="majorBidi" w:hAnsiTheme="majorBidi" w:cstheme="majorBidi"/>
          <w:sz w:val="24"/>
          <w:szCs w:val="24"/>
        </w:rPr>
        <w:t>above</w:t>
      </w:r>
      <w:r w:rsidRPr="000E1342">
        <w:rPr>
          <w:rFonts w:asciiTheme="majorBidi" w:hAnsiTheme="majorBidi" w:cstheme="majorBidi"/>
          <w:sz w:val="24"/>
          <w:szCs w:val="24"/>
        </w:rPr>
        <w:t xml:space="preserve">), the prophylactic effect of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was demonstrated with a dose of 50 IU per kg body weight every 3 to 4 days in 175 patients</w:t>
      </w:r>
      <w:r w:rsidR="00D860E7" w:rsidRPr="000E1342">
        <w:rPr>
          <w:rFonts w:asciiTheme="majorBidi" w:hAnsiTheme="majorBidi" w:cstheme="majorBidi"/>
          <w:sz w:val="24"/>
          <w:szCs w:val="24"/>
        </w:rPr>
        <w:t xml:space="preserve"> (see Table 4)</w:t>
      </w:r>
      <w:r w:rsidRPr="000E1342">
        <w:rPr>
          <w:rFonts w:asciiTheme="majorBidi" w:hAnsiTheme="majorBidi" w:cstheme="majorBidi"/>
          <w:sz w:val="24"/>
          <w:szCs w:val="24"/>
        </w:rPr>
        <w:t xml:space="preserve">. The median annualised bleeding rate (ABR) in adults and adolescents who received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every 3 – 4 days was 1.18 (interquartile range </w:t>
      </w:r>
      <w:r w:rsidR="00076F85">
        <w:rPr>
          <w:rFonts w:asciiTheme="majorBidi" w:hAnsiTheme="majorBidi" w:cstheme="majorBidi"/>
          <w:sz w:val="24"/>
          <w:szCs w:val="24"/>
        </w:rPr>
        <w:t>[</w:t>
      </w:r>
      <w:r w:rsidRPr="000E1342">
        <w:rPr>
          <w:rFonts w:asciiTheme="majorBidi" w:hAnsiTheme="majorBidi" w:cstheme="majorBidi"/>
          <w:sz w:val="24"/>
          <w:szCs w:val="24"/>
        </w:rPr>
        <w:t>IQR</w:t>
      </w:r>
      <w:r w:rsidR="00851665">
        <w:rPr>
          <w:rFonts w:asciiTheme="majorBidi" w:hAnsiTheme="majorBidi" w:cstheme="majorBidi"/>
          <w:sz w:val="24"/>
          <w:szCs w:val="24"/>
        </w:rPr>
        <w:t>]</w:t>
      </w:r>
      <w:r w:rsidRPr="000E1342">
        <w:rPr>
          <w:rFonts w:asciiTheme="majorBidi" w:hAnsiTheme="majorBidi" w:cstheme="majorBidi"/>
          <w:sz w:val="24"/>
          <w:szCs w:val="24"/>
        </w:rPr>
        <w:t xml:space="preserve">: 0.00; 4.25), while the annualised spontaneous bleeding was 0.00 (IQR: 0.00; 1.82), the annualised traumatic bleeding rate was 0.00 (IQR: 0.00; 1.74) and the annualised joint bleeding rate was 0.85 (IQR: 0.00; 2.84). Of the 175 adults/adolescents receiving prophylactic treatment, 70 (40%) had no bleeding at all. </w:t>
      </w:r>
    </w:p>
    <w:p w14:paraId="029CBB99" w14:textId="792D5607" w:rsidR="004059BC" w:rsidRPr="000E1342" w:rsidRDefault="004059BC" w:rsidP="004059BC">
      <w:pPr>
        <w:rPr>
          <w:rFonts w:asciiTheme="majorBidi" w:hAnsiTheme="majorBidi" w:cstheme="majorBidi"/>
          <w:sz w:val="24"/>
          <w:szCs w:val="24"/>
        </w:rPr>
      </w:pPr>
      <w:r w:rsidRPr="000E1342">
        <w:rPr>
          <w:rFonts w:asciiTheme="majorBidi" w:hAnsiTheme="majorBidi" w:cstheme="majorBidi"/>
          <w:sz w:val="24"/>
          <w:szCs w:val="24"/>
        </w:rPr>
        <w:t xml:space="preserve">Adults/adolescents with a low bleeding rate of 0 – 2 bleeding episodes over the last 6 months and who received at least 50 doses of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had the option of being randomised to receive prophylactic treatment with 75 IU/kg every 7 days or 50 IU/kg every 4 days. In total, 55 of the suitable patients decided in favour of this randomisation (17 for administration every 4 days, 38 for administration of 75 IU every 7 days). </w:t>
      </w:r>
      <w:r w:rsidR="00AD6288" w:rsidRPr="00AD6288">
        <w:rPr>
          <w:rFonts w:asciiTheme="majorBidi" w:hAnsiTheme="majorBidi" w:cstheme="majorBidi"/>
          <w:sz w:val="24"/>
          <w:szCs w:val="24"/>
        </w:rPr>
        <w:t>In part 2 of the extension phase, the prophylaxis treatment of patients could be changed to Q4D or Q7D, according to predefined rules and at the investigator’s discretion. In total 61 patients received ESPEROCT 75 IU/kg every 7 days. The mean ABR was 2.88 (median 0.99) for patients receiving ESPEROCT 50 IU/kg every 4 days and 4.45 (median 1.94) for patients receiving</w:t>
      </w:r>
      <w:r w:rsidR="000F01C9">
        <w:rPr>
          <w:rFonts w:asciiTheme="majorBidi" w:hAnsiTheme="majorBidi" w:cstheme="majorBidi"/>
          <w:sz w:val="24"/>
          <w:szCs w:val="24"/>
        </w:rPr>
        <w:t xml:space="preserve"> </w:t>
      </w:r>
      <w:r w:rsidR="00AD6288" w:rsidRPr="00AD6288">
        <w:rPr>
          <w:rFonts w:asciiTheme="majorBidi" w:hAnsiTheme="majorBidi" w:cstheme="majorBidi"/>
          <w:sz w:val="24"/>
          <w:szCs w:val="24"/>
        </w:rPr>
        <w:t>ESPEROCT 75 mg/kg every 7 days.</w:t>
      </w:r>
    </w:p>
    <w:p w14:paraId="54BA4C72" w14:textId="77777777" w:rsidR="00D041AA" w:rsidRDefault="00D041AA">
      <w:pPr>
        <w:rPr>
          <w:rFonts w:asciiTheme="majorBidi" w:hAnsiTheme="majorBidi" w:cstheme="majorBidi"/>
          <w:b/>
          <w:sz w:val="24"/>
          <w:szCs w:val="24"/>
        </w:rPr>
      </w:pPr>
      <w:r>
        <w:rPr>
          <w:rFonts w:asciiTheme="majorBidi" w:hAnsiTheme="majorBidi" w:cstheme="majorBidi"/>
          <w:b/>
          <w:i/>
          <w:iCs/>
          <w:sz w:val="24"/>
          <w:szCs w:val="24"/>
        </w:rPr>
        <w:br w:type="page"/>
      </w:r>
    </w:p>
    <w:p w14:paraId="59AC4639" w14:textId="0ADDDF1C" w:rsidR="00293D3A" w:rsidRPr="000E1342" w:rsidRDefault="00B45935" w:rsidP="00B45935">
      <w:pPr>
        <w:pStyle w:val="Caption"/>
        <w:keepNext/>
        <w:ind w:left="1440" w:hanging="1440"/>
        <w:rPr>
          <w:rFonts w:asciiTheme="majorBidi" w:hAnsiTheme="majorBidi" w:cstheme="majorBidi"/>
          <w:b/>
          <w:i w:val="0"/>
          <w:iCs w:val="0"/>
          <w:color w:val="auto"/>
          <w:sz w:val="24"/>
          <w:szCs w:val="24"/>
        </w:rPr>
      </w:pPr>
      <w:r w:rsidRPr="000E1342">
        <w:rPr>
          <w:rFonts w:asciiTheme="majorBidi" w:hAnsiTheme="majorBidi" w:cstheme="majorBidi"/>
          <w:b/>
          <w:i w:val="0"/>
          <w:iCs w:val="0"/>
          <w:color w:val="auto"/>
          <w:sz w:val="24"/>
          <w:szCs w:val="24"/>
        </w:rPr>
        <w:lastRenderedPageBreak/>
        <w:t xml:space="preserve">Table </w:t>
      </w:r>
      <w:r w:rsidR="00A30B89" w:rsidRPr="000E1342">
        <w:rPr>
          <w:rFonts w:asciiTheme="majorBidi" w:hAnsiTheme="majorBidi" w:cstheme="majorBidi"/>
          <w:b/>
          <w:i w:val="0"/>
          <w:iCs w:val="0"/>
          <w:color w:val="auto"/>
          <w:sz w:val="24"/>
          <w:szCs w:val="24"/>
        </w:rPr>
        <w:t>4</w:t>
      </w:r>
      <w:r w:rsidRPr="000E1342">
        <w:rPr>
          <w:rFonts w:asciiTheme="majorBidi" w:hAnsiTheme="majorBidi" w:cstheme="majorBidi"/>
          <w:b/>
          <w:i w:val="0"/>
          <w:iCs w:val="0"/>
          <w:color w:val="auto"/>
          <w:sz w:val="24"/>
          <w:szCs w:val="24"/>
        </w:rPr>
        <w:tab/>
        <w:t xml:space="preserve">Efficacy of </w:t>
      </w:r>
      <w:r w:rsidR="00EE565D">
        <w:rPr>
          <w:rFonts w:asciiTheme="majorBidi" w:hAnsiTheme="majorBidi" w:cstheme="majorBidi"/>
          <w:b/>
          <w:i w:val="0"/>
          <w:iCs w:val="0"/>
          <w:color w:val="auto"/>
          <w:sz w:val="24"/>
          <w:szCs w:val="24"/>
        </w:rPr>
        <w:t>ESPEROCT</w:t>
      </w:r>
      <w:r w:rsidRPr="000E1342">
        <w:rPr>
          <w:rFonts w:asciiTheme="majorBidi" w:hAnsiTheme="majorBidi" w:cstheme="majorBidi"/>
          <w:b/>
          <w:i w:val="0"/>
          <w:iCs w:val="0"/>
          <w:color w:val="auto"/>
          <w:sz w:val="24"/>
          <w:szCs w:val="24"/>
        </w:rPr>
        <w:t xml:space="preserve"> in routine prophylaxis in adults/adolescents, median/estimated mean ABR by treatment regimen and bleed </w:t>
      </w:r>
      <w:proofErr w:type="gramStart"/>
      <w:r w:rsidRPr="000E1342">
        <w:rPr>
          <w:rFonts w:asciiTheme="majorBidi" w:hAnsiTheme="majorBidi" w:cstheme="majorBidi"/>
          <w:b/>
          <w:i w:val="0"/>
          <w:iCs w:val="0"/>
          <w:color w:val="auto"/>
          <w:sz w:val="24"/>
          <w:szCs w:val="24"/>
        </w:rPr>
        <w:t>type</w:t>
      </w:r>
      <w:proofErr w:type="gramEnd"/>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9"/>
        <w:gridCol w:w="1843"/>
        <w:gridCol w:w="1843"/>
        <w:gridCol w:w="1791"/>
      </w:tblGrid>
      <w:tr w:rsidR="003012E0" w:rsidRPr="000E1342" w14:paraId="1EA248E7" w14:textId="77777777" w:rsidTr="00D41399">
        <w:trPr>
          <w:trHeight w:val="273"/>
        </w:trPr>
        <w:tc>
          <w:tcPr>
            <w:tcW w:w="3539" w:type="dxa"/>
            <w:tcBorders>
              <w:top w:val="nil"/>
              <w:left w:val="nil"/>
              <w:bottom w:val="nil"/>
              <w:right w:val="single" w:sz="4" w:space="0" w:color="auto"/>
            </w:tcBorders>
          </w:tcPr>
          <w:p w14:paraId="0F039F09" w14:textId="77777777" w:rsidR="00293D3A" w:rsidRPr="00293D3A" w:rsidRDefault="00293D3A" w:rsidP="000D25BB">
            <w:pPr>
              <w:spacing w:after="0" w:line="240" w:lineRule="auto"/>
              <w:rPr>
                <w:rFonts w:asciiTheme="majorBidi" w:hAnsiTheme="majorBidi" w:cstheme="majorBidi"/>
              </w:rPr>
            </w:pPr>
          </w:p>
        </w:tc>
        <w:tc>
          <w:tcPr>
            <w:tcW w:w="5477" w:type="dxa"/>
            <w:gridSpan w:val="3"/>
            <w:tcBorders>
              <w:left w:val="single" w:sz="4" w:space="0" w:color="auto"/>
            </w:tcBorders>
          </w:tcPr>
          <w:p w14:paraId="18F8DF7C" w14:textId="77777777" w:rsidR="00293D3A" w:rsidRPr="00293D3A" w:rsidRDefault="00293D3A" w:rsidP="00CE2087">
            <w:pPr>
              <w:spacing w:after="0" w:line="240" w:lineRule="auto"/>
              <w:jc w:val="center"/>
              <w:rPr>
                <w:rFonts w:asciiTheme="majorBidi" w:hAnsiTheme="majorBidi" w:cstheme="majorBidi"/>
                <w:b/>
                <w:bCs/>
              </w:rPr>
            </w:pPr>
            <w:r w:rsidRPr="00293D3A">
              <w:rPr>
                <w:rFonts w:asciiTheme="majorBidi" w:hAnsiTheme="majorBidi" w:cstheme="majorBidi"/>
                <w:b/>
                <w:bCs/>
              </w:rPr>
              <w:t>Prophylaxis Regimen 50 IU/kg every 3–4 days</w:t>
            </w:r>
          </w:p>
        </w:tc>
      </w:tr>
      <w:tr w:rsidR="002C691C" w:rsidRPr="000E1342" w14:paraId="5269D077" w14:textId="77777777" w:rsidTr="00D41399">
        <w:trPr>
          <w:trHeight w:val="817"/>
        </w:trPr>
        <w:tc>
          <w:tcPr>
            <w:tcW w:w="3539" w:type="dxa"/>
            <w:tcBorders>
              <w:top w:val="nil"/>
              <w:left w:val="nil"/>
              <w:bottom w:val="single" w:sz="4" w:space="0" w:color="auto"/>
              <w:right w:val="single" w:sz="4" w:space="0" w:color="auto"/>
            </w:tcBorders>
          </w:tcPr>
          <w:p w14:paraId="52D389E1" w14:textId="77777777" w:rsidR="00293D3A" w:rsidRPr="00293D3A" w:rsidRDefault="00293D3A" w:rsidP="000D25BB">
            <w:pPr>
              <w:spacing w:after="0" w:line="240" w:lineRule="auto"/>
              <w:rPr>
                <w:rFonts w:asciiTheme="majorBidi" w:hAnsiTheme="majorBidi" w:cstheme="majorBidi"/>
              </w:rPr>
            </w:pPr>
          </w:p>
        </w:tc>
        <w:tc>
          <w:tcPr>
            <w:tcW w:w="1843" w:type="dxa"/>
            <w:tcBorders>
              <w:left w:val="single" w:sz="4" w:space="0" w:color="auto"/>
              <w:bottom w:val="single" w:sz="4" w:space="0" w:color="auto"/>
            </w:tcBorders>
          </w:tcPr>
          <w:p w14:paraId="678E1845" w14:textId="77777777" w:rsidR="00C8538D" w:rsidRPr="000E1342" w:rsidRDefault="00293D3A" w:rsidP="00CE2087">
            <w:pPr>
              <w:spacing w:after="0" w:line="240" w:lineRule="auto"/>
              <w:jc w:val="center"/>
              <w:rPr>
                <w:rFonts w:asciiTheme="majorBidi" w:hAnsiTheme="majorBidi" w:cstheme="majorBidi"/>
                <w:b/>
                <w:bCs/>
              </w:rPr>
            </w:pPr>
            <w:r w:rsidRPr="00293D3A">
              <w:rPr>
                <w:rFonts w:asciiTheme="majorBidi" w:hAnsiTheme="majorBidi" w:cstheme="majorBidi"/>
                <w:b/>
                <w:bCs/>
              </w:rPr>
              <w:t>Prophylaxis</w:t>
            </w:r>
          </w:p>
          <w:p w14:paraId="4E5C6E1F" w14:textId="6C6486A3" w:rsidR="00293D3A" w:rsidRPr="00293D3A" w:rsidRDefault="00293D3A" w:rsidP="00CE2087">
            <w:pPr>
              <w:spacing w:after="0" w:line="240" w:lineRule="auto"/>
              <w:jc w:val="center"/>
              <w:rPr>
                <w:rFonts w:asciiTheme="majorBidi" w:hAnsiTheme="majorBidi" w:cstheme="majorBidi"/>
                <w:b/>
                <w:bCs/>
              </w:rPr>
            </w:pPr>
            <w:r w:rsidRPr="00293D3A">
              <w:rPr>
                <w:rFonts w:asciiTheme="majorBidi" w:hAnsiTheme="majorBidi" w:cstheme="majorBidi"/>
                <w:b/>
                <w:bCs/>
              </w:rPr>
              <w:t>12 to</w:t>
            </w:r>
            <w:r w:rsidR="00C8538D" w:rsidRPr="000E1342">
              <w:rPr>
                <w:rFonts w:asciiTheme="majorBidi" w:hAnsiTheme="majorBidi" w:cstheme="majorBidi"/>
                <w:b/>
                <w:bCs/>
              </w:rPr>
              <w:t xml:space="preserve"> </w:t>
            </w:r>
            <w:r w:rsidRPr="00293D3A">
              <w:rPr>
                <w:rFonts w:asciiTheme="majorBidi" w:hAnsiTheme="majorBidi" w:cstheme="majorBidi"/>
                <w:b/>
                <w:bCs/>
              </w:rPr>
              <w:t>17 years</w:t>
            </w:r>
          </w:p>
          <w:p w14:paraId="4AF96F2E" w14:textId="77777777" w:rsidR="00293D3A" w:rsidRPr="00293D3A" w:rsidRDefault="00293D3A" w:rsidP="00CE2087">
            <w:pPr>
              <w:spacing w:after="0" w:line="240" w:lineRule="auto"/>
              <w:jc w:val="center"/>
              <w:rPr>
                <w:rFonts w:asciiTheme="majorBidi" w:hAnsiTheme="majorBidi" w:cstheme="majorBidi"/>
                <w:b/>
                <w:bCs/>
              </w:rPr>
            </w:pPr>
            <w:r w:rsidRPr="00293D3A">
              <w:rPr>
                <w:rFonts w:asciiTheme="majorBidi" w:hAnsiTheme="majorBidi" w:cstheme="majorBidi"/>
                <w:b/>
                <w:bCs/>
              </w:rPr>
              <w:t>N=25</w:t>
            </w:r>
          </w:p>
        </w:tc>
        <w:tc>
          <w:tcPr>
            <w:tcW w:w="1843" w:type="dxa"/>
            <w:tcBorders>
              <w:bottom w:val="single" w:sz="4" w:space="0" w:color="auto"/>
            </w:tcBorders>
          </w:tcPr>
          <w:p w14:paraId="62519E10" w14:textId="77777777" w:rsidR="00C8538D" w:rsidRPr="000E1342" w:rsidRDefault="00293D3A" w:rsidP="00CE2087">
            <w:pPr>
              <w:spacing w:after="0" w:line="240" w:lineRule="auto"/>
              <w:jc w:val="center"/>
              <w:rPr>
                <w:rFonts w:asciiTheme="majorBidi" w:hAnsiTheme="majorBidi" w:cstheme="majorBidi"/>
                <w:b/>
                <w:bCs/>
              </w:rPr>
            </w:pPr>
            <w:r w:rsidRPr="00293D3A">
              <w:rPr>
                <w:rFonts w:asciiTheme="majorBidi" w:hAnsiTheme="majorBidi" w:cstheme="majorBidi"/>
                <w:b/>
                <w:bCs/>
              </w:rPr>
              <w:t>Prophylaxis</w:t>
            </w:r>
          </w:p>
          <w:p w14:paraId="37D102ED" w14:textId="58D1E01C" w:rsidR="00293D3A" w:rsidRPr="00293D3A" w:rsidRDefault="00293D3A" w:rsidP="00CE2087">
            <w:pPr>
              <w:spacing w:after="0" w:line="240" w:lineRule="auto"/>
              <w:jc w:val="center"/>
              <w:rPr>
                <w:rFonts w:asciiTheme="majorBidi" w:hAnsiTheme="majorBidi" w:cstheme="majorBidi"/>
                <w:b/>
                <w:bCs/>
              </w:rPr>
            </w:pPr>
            <w:r w:rsidRPr="00293D3A">
              <w:rPr>
                <w:rFonts w:asciiTheme="majorBidi" w:hAnsiTheme="majorBidi" w:cstheme="majorBidi"/>
                <w:b/>
                <w:bCs/>
              </w:rPr>
              <w:t>18</w:t>
            </w:r>
            <w:r w:rsidR="00C8538D" w:rsidRPr="000E1342">
              <w:rPr>
                <w:rFonts w:asciiTheme="majorBidi" w:hAnsiTheme="majorBidi" w:cstheme="majorBidi"/>
                <w:b/>
                <w:bCs/>
              </w:rPr>
              <w:t xml:space="preserve"> </w:t>
            </w:r>
            <w:r w:rsidRPr="00293D3A">
              <w:rPr>
                <w:rFonts w:asciiTheme="majorBidi" w:hAnsiTheme="majorBidi" w:cstheme="majorBidi"/>
                <w:b/>
                <w:bCs/>
              </w:rPr>
              <w:t>years and</w:t>
            </w:r>
            <w:r w:rsidR="00C8538D" w:rsidRPr="000E1342">
              <w:rPr>
                <w:rFonts w:asciiTheme="majorBidi" w:hAnsiTheme="majorBidi" w:cstheme="majorBidi"/>
                <w:b/>
                <w:bCs/>
              </w:rPr>
              <w:t xml:space="preserve"> </w:t>
            </w:r>
            <w:r w:rsidRPr="00293D3A">
              <w:rPr>
                <w:rFonts w:asciiTheme="majorBidi" w:hAnsiTheme="majorBidi" w:cstheme="majorBidi"/>
                <w:b/>
                <w:bCs/>
              </w:rPr>
              <w:t>above N=150</w:t>
            </w:r>
          </w:p>
        </w:tc>
        <w:tc>
          <w:tcPr>
            <w:tcW w:w="1791" w:type="dxa"/>
            <w:tcBorders>
              <w:bottom w:val="single" w:sz="4" w:space="0" w:color="auto"/>
            </w:tcBorders>
          </w:tcPr>
          <w:p w14:paraId="49C3A15E" w14:textId="232D7DBD" w:rsidR="00C8538D" w:rsidRPr="000E1342" w:rsidRDefault="00293D3A" w:rsidP="00CE2087">
            <w:pPr>
              <w:spacing w:after="0" w:line="240" w:lineRule="auto"/>
              <w:jc w:val="center"/>
              <w:rPr>
                <w:rFonts w:asciiTheme="majorBidi" w:hAnsiTheme="majorBidi" w:cstheme="majorBidi"/>
                <w:b/>
                <w:bCs/>
              </w:rPr>
            </w:pPr>
            <w:r w:rsidRPr="00293D3A">
              <w:rPr>
                <w:rFonts w:asciiTheme="majorBidi" w:hAnsiTheme="majorBidi" w:cstheme="majorBidi"/>
                <w:b/>
                <w:bCs/>
              </w:rPr>
              <w:t>Prophylaxis</w:t>
            </w:r>
          </w:p>
          <w:p w14:paraId="48B7E8C6" w14:textId="184D5049" w:rsidR="00293D3A" w:rsidRPr="00293D3A" w:rsidRDefault="00293D3A" w:rsidP="00684F0C">
            <w:pPr>
              <w:spacing w:after="0" w:line="240" w:lineRule="auto"/>
              <w:jc w:val="center"/>
              <w:rPr>
                <w:rFonts w:asciiTheme="majorBidi" w:hAnsiTheme="majorBidi" w:cstheme="majorBidi"/>
                <w:b/>
                <w:bCs/>
              </w:rPr>
            </w:pPr>
            <w:r w:rsidRPr="00293D3A">
              <w:rPr>
                <w:rFonts w:asciiTheme="majorBidi" w:hAnsiTheme="majorBidi" w:cstheme="majorBidi"/>
                <w:b/>
                <w:bCs/>
              </w:rPr>
              <w:t>12 years and above</w:t>
            </w:r>
            <w:r w:rsidR="00684F0C" w:rsidRPr="000E1342">
              <w:rPr>
                <w:rFonts w:asciiTheme="majorBidi" w:hAnsiTheme="majorBidi" w:cstheme="majorBidi"/>
                <w:b/>
                <w:bCs/>
              </w:rPr>
              <w:t xml:space="preserve"> </w:t>
            </w:r>
            <w:r w:rsidRPr="00293D3A">
              <w:rPr>
                <w:rFonts w:asciiTheme="majorBidi" w:hAnsiTheme="majorBidi" w:cstheme="majorBidi"/>
                <w:b/>
                <w:bCs/>
              </w:rPr>
              <w:t>N=175</w:t>
            </w:r>
          </w:p>
        </w:tc>
      </w:tr>
      <w:tr w:rsidR="002C691C" w:rsidRPr="000E1342" w14:paraId="619C3631" w14:textId="77777777" w:rsidTr="00D41399">
        <w:trPr>
          <w:trHeight w:val="527"/>
        </w:trPr>
        <w:tc>
          <w:tcPr>
            <w:tcW w:w="3539" w:type="dxa"/>
            <w:tcBorders>
              <w:top w:val="single" w:sz="4" w:space="0" w:color="auto"/>
            </w:tcBorders>
          </w:tcPr>
          <w:p w14:paraId="406F4B95" w14:textId="77777777" w:rsidR="00293D3A" w:rsidRPr="00293D3A" w:rsidRDefault="00293D3A" w:rsidP="000D25BB">
            <w:pPr>
              <w:spacing w:after="0" w:line="240" w:lineRule="auto"/>
              <w:rPr>
                <w:rFonts w:asciiTheme="majorBidi" w:hAnsiTheme="majorBidi" w:cstheme="majorBidi"/>
              </w:rPr>
            </w:pPr>
            <w:r w:rsidRPr="00293D3A">
              <w:rPr>
                <w:rFonts w:asciiTheme="majorBidi" w:hAnsiTheme="majorBidi" w:cstheme="majorBidi"/>
              </w:rPr>
              <w:t xml:space="preserve">Mean treatment </w:t>
            </w:r>
            <w:proofErr w:type="gramStart"/>
            <w:r w:rsidRPr="00293D3A">
              <w:rPr>
                <w:rFonts w:asciiTheme="majorBidi" w:hAnsiTheme="majorBidi" w:cstheme="majorBidi"/>
              </w:rPr>
              <w:t>duration</w:t>
            </w:r>
            <w:proofErr w:type="gramEnd"/>
          </w:p>
          <w:p w14:paraId="08B3719E" w14:textId="77777777" w:rsidR="00293D3A" w:rsidRPr="00293D3A" w:rsidRDefault="00293D3A" w:rsidP="000D25BB">
            <w:pPr>
              <w:spacing w:after="0" w:line="240" w:lineRule="auto"/>
              <w:rPr>
                <w:rFonts w:asciiTheme="majorBidi" w:hAnsiTheme="majorBidi" w:cstheme="majorBidi"/>
              </w:rPr>
            </w:pPr>
            <w:r w:rsidRPr="00293D3A">
              <w:rPr>
                <w:rFonts w:asciiTheme="majorBidi" w:hAnsiTheme="majorBidi" w:cstheme="majorBidi"/>
              </w:rPr>
              <w:t>(years)</w:t>
            </w:r>
          </w:p>
        </w:tc>
        <w:tc>
          <w:tcPr>
            <w:tcW w:w="1843" w:type="dxa"/>
            <w:tcBorders>
              <w:top w:val="single" w:sz="4" w:space="0" w:color="auto"/>
            </w:tcBorders>
          </w:tcPr>
          <w:p w14:paraId="671A6FBF"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0.85</w:t>
            </w:r>
          </w:p>
        </w:tc>
        <w:tc>
          <w:tcPr>
            <w:tcW w:w="1843" w:type="dxa"/>
            <w:tcBorders>
              <w:top w:val="single" w:sz="4" w:space="0" w:color="auto"/>
            </w:tcBorders>
          </w:tcPr>
          <w:p w14:paraId="7C3DD8CF"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0.81</w:t>
            </w:r>
          </w:p>
        </w:tc>
        <w:tc>
          <w:tcPr>
            <w:tcW w:w="1791" w:type="dxa"/>
            <w:tcBorders>
              <w:top w:val="single" w:sz="4" w:space="0" w:color="auto"/>
            </w:tcBorders>
          </w:tcPr>
          <w:p w14:paraId="6BB38903"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0.82</w:t>
            </w:r>
          </w:p>
        </w:tc>
      </w:tr>
      <w:tr w:rsidR="002C691C" w:rsidRPr="000E1342" w14:paraId="5DBEAC6D" w14:textId="77777777" w:rsidTr="003012E0">
        <w:trPr>
          <w:trHeight w:val="255"/>
        </w:trPr>
        <w:tc>
          <w:tcPr>
            <w:tcW w:w="3539" w:type="dxa"/>
            <w:tcBorders>
              <w:bottom w:val="nil"/>
            </w:tcBorders>
          </w:tcPr>
          <w:p w14:paraId="40D7EA9D" w14:textId="7D18E1B0" w:rsidR="00293D3A" w:rsidRPr="00293D3A" w:rsidRDefault="00293D3A" w:rsidP="000D25BB">
            <w:pPr>
              <w:spacing w:after="0" w:line="240" w:lineRule="auto"/>
              <w:rPr>
                <w:rFonts w:asciiTheme="majorBidi" w:hAnsiTheme="majorBidi" w:cstheme="majorBidi"/>
                <w:b/>
              </w:rPr>
            </w:pPr>
            <w:r w:rsidRPr="00293D3A">
              <w:rPr>
                <w:rFonts w:asciiTheme="majorBidi" w:hAnsiTheme="majorBidi" w:cstheme="majorBidi"/>
                <w:b/>
              </w:rPr>
              <w:t>No. of p</w:t>
            </w:r>
            <w:r w:rsidR="002D5766" w:rsidRPr="000E1342">
              <w:rPr>
                <w:rFonts w:asciiTheme="majorBidi" w:hAnsiTheme="majorBidi" w:cstheme="majorBidi"/>
                <w:b/>
              </w:rPr>
              <w:t>a</w:t>
            </w:r>
            <w:r w:rsidRPr="00293D3A">
              <w:rPr>
                <w:rFonts w:asciiTheme="majorBidi" w:hAnsiTheme="majorBidi" w:cstheme="majorBidi"/>
                <w:b/>
              </w:rPr>
              <w:t>t</w:t>
            </w:r>
            <w:r w:rsidR="002D5766" w:rsidRPr="000E1342">
              <w:rPr>
                <w:rFonts w:asciiTheme="majorBidi" w:hAnsiTheme="majorBidi" w:cstheme="majorBidi"/>
                <w:b/>
              </w:rPr>
              <w:t>ient</w:t>
            </w:r>
            <w:r w:rsidRPr="00293D3A">
              <w:rPr>
                <w:rFonts w:asciiTheme="majorBidi" w:hAnsiTheme="majorBidi" w:cstheme="majorBidi"/>
                <w:b/>
              </w:rPr>
              <w:t>s (%):</w:t>
            </w:r>
          </w:p>
        </w:tc>
        <w:tc>
          <w:tcPr>
            <w:tcW w:w="1843" w:type="dxa"/>
            <w:tcBorders>
              <w:bottom w:val="nil"/>
            </w:tcBorders>
          </w:tcPr>
          <w:p w14:paraId="365069B2" w14:textId="77777777" w:rsidR="00293D3A" w:rsidRPr="00293D3A" w:rsidRDefault="00293D3A" w:rsidP="00CE2087">
            <w:pPr>
              <w:spacing w:after="0" w:line="240" w:lineRule="auto"/>
              <w:jc w:val="center"/>
              <w:rPr>
                <w:rFonts w:asciiTheme="majorBidi" w:hAnsiTheme="majorBidi" w:cstheme="majorBidi"/>
              </w:rPr>
            </w:pPr>
          </w:p>
        </w:tc>
        <w:tc>
          <w:tcPr>
            <w:tcW w:w="1843" w:type="dxa"/>
            <w:tcBorders>
              <w:bottom w:val="nil"/>
            </w:tcBorders>
          </w:tcPr>
          <w:p w14:paraId="45F39147" w14:textId="77777777" w:rsidR="00293D3A" w:rsidRPr="00293D3A" w:rsidRDefault="00293D3A" w:rsidP="00CE2087">
            <w:pPr>
              <w:spacing w:after="0" w:line="240" w:lineRule="auto"/>
              <w:jc w:val="center"/>
              <w:rPr>
                <w:rFonts w:asciiTheme="majorBidi" w:hAnsiTheme="majorBidi" w:cstheme="majorBidi"/>
              </w:rPr>
            </w:pPr>
          </w:p>
        </w:tc>
        <w:tc>
          <w:tcPr>
            <w:tcW w:w="1791" w:type="dxa"/>
            <w:tcBorders>
              <w:bottom w:val="nil"/>
            </w:tcBorders>
          </w:tcPr>
          <w:p w14:paraId="2C1932CD" w14:textId="77777777" w:rsidR="00293D3A" w:rsidRPr="00293D3A" w:rsidRDefault="00293D3A" w:rsidP="00CE2087">
            <w:pPr>
              <w:spacing w:after="0" w:line="240" w:lineRule="auto"/>
              <w:jc w:val="center"/>
              <w:rPr>
                <w:rFonts w:asciiTheme="majorBidi" w:hAnsiTheme="majorBidi" w:cstheme="majorBidi"/>
              </w:rPr>
            </w:pPr>
          </w:p>
        </w:tc>
      </w:tr>
      <w:tr w:rsidR="002C691C" w:rsidRPr="000E1342" w14:paraId="0134ECAB" w14:textId="77777777" w:rsidTr="003012E0">
        <w:trPr>
          <w:trHeight w:val="272"/>
        </w:trPr>
        <w:tc>
          <w:tcPr>
            <w:tcW w:w="3539" w:type="dxa"/>
            <w:tcBorders>
              <w:top w:val="nil"/>
              <w:bottom w:val="nil"/>
            </w:tcBorders>
          </w:tcPr>
          <w:p w14:paraId="76E9B626" w14:textId="77777777" w:rsidR="00293D3A" w:rsidRPr="00293D3A" w:rsidRDefault="00293D3A" w:rsidP="000D25BB">
            <w:pPr>
              <w:spacing w:after="0" w:line="240" w:lineRule="auto"/>
              <w:rPr>
                <w:rFonts w:asciiTheme="majorBidi" w:hAnsiTheme="majorBidi" w:cstheme="majorBidi"/>
              </w:rPr>
            </w:pPr>
            <w:r w:rsidRPr="00293D3A">
              <w:rPr>
                <w:rFonts w:asciiTheme="majorBidi" w:hAnsiTheme="majorBidi" w:cstheme="majorBidi"/>
              </w:rPr>
              <w:t>Zero bleeds</w:t>
            </w:r>
          </w:p>
        </w:tc>
        <w:tc>
          <w:tcPr>
            <w:tcW w:w="1843" w:type="dxa"/>
            <w:tcBorders>
              <w:top w:val="nil"/>
              <w:bottom w:val="nil"/>
            </w:tcBorders>
          </w:tcPr>
          <w:p w14:paraId="7EFDC6DD"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6 (24%)</w:t>
            </w:r>
          </w:p>
        </w:tc>
        <w:tc>
          <w:tcPr>
            <w:tcW w:w="1843" w:type="dxa"/>
            <w:tcBorders>
              <w:top w:val="nil"/>
              <w:bottom w:val="nil"/>
            </w:tcBorders>
          </w:tcPr>
          <w:p w14:paraId="68C2FE40"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64 (43%)</w:t>
            </w:r>
          </w:p>
        </w:tc>
        <w:tc>
          <w:tcPr>
            <w:tcW w:w="1791" w:type="dxa"/>
            <w:tcBorders>
              <w:top w:val="nil"/>
              <w:bottom w:val="nil"/>
            </w:tcBorders>
          </w:tcPr>
          <w:p w14:paraId="1BA0C1BB"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70 (40%)</w:t>
            </w:r>
          </w:p>
        </w:tc>
      </w:tr>
      <w:tr w:rsidR="002C691C" w:rsidRPr="000E1342" w14:paraId="13D278B3" w14:textId="77777777" w:rsidTr="003012E0">
        <w:trPr>
          <w:trHeight w:val="264"/>
        </w:trPr>
        <w:tc>
          <w:tcPr>
            <w:tcW w:w="3539" w:type="dxa"/>
            <w:tcBorders>
              <w:top w:val="nil"/>
              <w:bottom w:val="nil"/>
            </w:tcBorders>
          </w:tcPr>
          <w:p w14:paraId="66680568" w14:textId="4588D533" w:rsidR="00293D3A" w:rsidRPr="00293D3A" w:rsidRDefault="00293D3A" w:rsidP="000D25BB">
            <w:pPr>
              <w:spacing w:after="0" w:line="240" w:lineRule="auto"/>
              <w:rPr>
                <w:rFonts w:asciiTheme="majorBidi" w:hAnsiTheme="majorBidi" w:cstheme="majorBidi"/>
              </w:rPr>
            </w:pPr>
            <w:r w:rsidRPr="00293D3A">
              <w:rPr>
                <w:rFonts w:asciiTheme="majorBidi" w:hAnsiTheme="majorBidi" w:cstheme="majorBidi"/>
              </w:rPr>
              <w:t>Zero spontaneous bleeds</w:t>
            </w:r>
            <w:r w:rsidR="00717B9D" w:rsidRPr="000E1342">
              <w:rPr>
                <w:rFonts w:asciiTheme="majorBidi" w:hAnsiTheme="majorBidi" w:cstheme="majorBidi"/>
              </w:rPr>
              <w:t xml:space="preserve"> </w:t>
            </w:r>
            <w:r w:rsidR="00717B9D" w:rsidRPr="00293D3A">
              <w:rPr>
                <w:rFonts w:asciiTheme="majorBidi" w:hAnsiTheme="majorBidi" w:cstheme="majorBidi"/>
              </w:rPr>
              <w:t>(%)</w:t>
            </w:r>
          </w:p>
        </w:tc>
        <w:tc>
          <w:tcPr>
            <w:tcW w:w="1843" w:type="dxa"/>
            <w:tcBorders>
              <w:top w:val="nil"/>
              <w:bottom w:val="nil"/>
            </w:tcBorders>
          </w:tcPr>
          <w:p w14:paraId="3FA443D8"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14 (56%)</w:t>
            </w:r>
          </w:p>
        </w:tc>
        <w:tc>
          <w:tcPr>
            <w:tcW w:w="1843" w:type="dxa"/>
            <w:tcBorders>
              <w:top w:val="nil"/>
              <w:bottom w:val="nil"/>
            </w:tcBorders>
          </w:tcPr>
          <w:p w14:paraId="1BCB8B57"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85 (57%)</w:t>
            </w:r>
          </w:p>
        </w:tc>
        <w:tc>
          <w:tcPr>
            <w:tcW w:w="1791" w:type="dxa"/>
            <w:tcBorders>
              <w:top w:val="nil"/>
              <w:bottom w:val="nil"/>
            </w:tcBorders>
          </w:tcPr>
          <w:p w14:paraId="6AAD4239"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99 (57%)</w:t>
            </w:r>
          </w:p>
        </w:tc>
      </w:tr>
      <w:tr w:rsidR="002C691C" w:rsidRPr="000E1342" w14:paraId="5940A5A5" w14:textId="77777777" w:rsidTr="003012E0">
        <w:trPr>
          <w:trHeight w:val="283"/>
        </w:trPr>
        <w:tc>
          <w:tcPr>
            <w:tcW w:w="3539" w:type="dxa"/>
            <w:tcBorders>
              <w:top w:val="nil"/>
              <w:bottom w:val="nil"/>
            </w:tcBorders>
          </w:tcPr>
          <w:p w14:paraId="0235F9D4" w14:textId="77777777" w:rsidR="00293D3A" w:rsidRPr="00293D3A" w:rsidRDefault="00293D3A" w:rsidP="000D25BB">
            <w:pPr>
              <w:spacing w:after="0" w:line="240" w:lineRule="auto"/>
              <w:rPr>
                <w:rFonts w:asciiTheme="majorBidi" w:hAnsiTheme="majorBidi" w:cstheme="majorBidi"/>
              </w:rPr>
            </w:pPr>
            <w:r w:rsidRPr="00293D3A">
              <w:rPr>
                <w:rFonts w:asciiTheme="majorBidi" w:hAnsiTheme="majorBidi" w:cstheme="majorBidi"/>
              </w:rPr>
              <w:t>Zero traumatic bleeds (%)</w:t>
            </w:r>
          </w:p>
        </w:tc>
        <w:tc>
          <w:tcPr>
            <w:tcW w:w="1843" w:type="dxa"/>
            <w:tcBorders>
              <w:top w:val="nil"/>
              <w:bottom w:val="nil"/>
            </w:tcBorders>
          </w:tcPr>
          <w:p w14:paraId="6BBDE10D"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9 (36%)</w:t>
            </w:r>
          </w:p>
        </w:tc>
        <w:tc>
          <w:tcPr>
            <w:tcW w:w="1843" w:type="dxa"/>
            <w:tcBorders>
              <w:top w:val="nil"/>
              <w:bottom w:val="nil"/>
            </w:tcBorders>
          </w:tcPr>
          <w:p w14:paraId="6E6FA1EA"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93 (62%)</w:t>
            </w:r>
          </w:p>
        </w:tc>
        <w:tc>
          <w:tcPr>
            <w:tcW w:w="1791" w:type="dxa"/>
            <w:tcBorders>
              <w:top w:val="nil"/>
              <w:bottom w:val="nil"/>
            </w:tcBorders>
          </w:tcPr>
          <w:p w14:paraId="4BA37808"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102 (58%)</w:t>
            </w:r>
          </w:p>
        </w:tc>
      </w:tr>
      <w:tr w:rsidR="002C691C" w:rsidRPr="000E1342" w14:paraId="54CDE0C8" w14:textId="77777777" w:rsidTr="003012E0">
        <w:trPr>
          <w:trHeight w:val="298"/>
        </w:trPr>
        <w:tc>
          <w:tcPr>
            <w:tcW w:w="3539" w:type="dxa"/>
            <w:tcBorders>
              <w:top w:val="nil"/>
            </w:tcBorders>
          </w:tcPr>
          <w:p w14:paraId="201F8382" w14:textId="77777777" w:rsidR="00293D3A" w:rsidRPr="00293D3A" w:rsidRDefault="00293D3A" w:rsidP="000D25BB">
            <w:pPr>
              <w:spacing w:after="0" w:line="240" w:lineRule="auto"/>
              <w:rPr>
                <w:rFonts w:asciiTheme="majorBidi" w:hAnsiTheme="majorBidi" w:cstheme="majorBidi"/>
              </w:rPr>
            </w:pPr>
            <w:r w:rsidRPr="00293D3A">
              <w:rPr>
                <w:rFonts w:asciiTheme="majorBidi" w:hAnsiTheme="majorBidi" w:cstheme="majorBidi"/>
              </w:rPr>
              <w:t>Zero joint bleeds (%)</w:t>
            </w:r>
          </w:p>
        </w:tc>
        <w:tc>
          <w:tcPr>
            <w:tcW w:w="1843" w:type="dxa"/>
            <w:tcBorders>
              <w:top w:val="nil"/>
            </w:tcBorders>
          </w:tcPr>
          <w:p w14:paraId="7404E086"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9 (36%)</w:t>
            </w:r>
          </w:p>
        </w:tc>
        <w:tc>
          <w:tcPr>
            <w:tcW w:w="1843" w:type="dxa"/>
            <w:tcBorders>
              <w:top w:val="nil"/>
            </w:tcBorders>
          </w:tcPr>
          <w:p w14:paraId="7A266DC3"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76 (51%)</w:t>
            </w:r>
          </w:p>
        </w:tc>
        <w:tc>
          <w:tcPr>
            <w:tcW w:w="1791" w:type="dxa"/>
            <w:tcBorders>
              <w:top w:val="nil"/>
            </w:tcBorders>
          </w:tcPr>
          <w:p w14:paraId="2F4DC010" w14:textId="3443D43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85</w:t>
            </w:r>
            <w:r w:rsidR="008F4C1C">
              <w:rPr>
                <w:rFonts w:asciiTheme="majorBidi" w:hAnsiTheme="majorBidi" w:cstheme="majorBidi"/>
              </w:rPr>
              <w:t xml:space="preserve"> </w:t>
            </w:r>
            <w:r w:rsidRPr="00293D3A">
              <w:rPr>
                <w:rFonts w:asciiTheme="majorBidi" w:hAnsiTheme="majorBidi" w:cstheme="majorBidi"/>
              </w:rPr>
              <w:t>(49%)</w:t>
            </w:r>
          </w:p>
        </w:tc>
      </w:tr>
      <w:tr w:rsidR="002C691C" w:rsidRPr="000E1342" w14:paraId="315502FC" w14:textId="77777777" w:rsidTr="003012E0">
        <w:trPr>
          <w:trHeight w:val="1247"/>
        </w:trPr>
        <w:tc>
          <w:tcPr>
            <w:tcW w:w="3539" w:type="dxa"/>
          </w:tcPr>
          <w:p w14:paraId="7935309E" w14:textId="77777777" w:rsidR="00293D3A" w:rsidRPr="00293D3A" w:rsidRDefault="00293D3A" w:rsidP="00C8538D">
            <w:pPr>
              <w:spacing w:after="0" w:line="240" w:lineRule="auto"/>
              <w:rPr>
                <w:rFonts w:asciiTheme="majorBidi" w:hAnsiTheme="majorBidi" w:cstheme="majorBidi"/>
                <w:b/>
              </w:rPr>
            </w:pPr>
            <w:r w:rsidRPr="00293D3A">
              <w:rPr>
                <w:rFonts w:asciiTheme="majorBidi" w:hAnsiTheme="majorBidi" w:cstheme="majorBidi"/>
                <w:b/>
              </w:rPr>
              <w:t>All bleeds</w:t>
            </w:r>
          </w:p>
          <w:p w14:paraId="0897270C" w14:textId="77777777" w:rsidR="00293D3A" w:rsidRPr="00293D3A" w:rsidRDefault="00293D3A" w:rsidP="00C8538D">
            <w:pPr>
              <w:spacing w:after="0" w:line="240" w:lineRule="auto"/>
              <w:rPr>
                <w:rFonts w:asciiTheme="majorBidi" w:hAnsiTheme="majorBidi" w:cstheme="majorBidi"/>
              </w:rPr>
            </w:pPr>
            <w:r w:rsidRPr="00293D3A">
              <w:rPr>
                <w:rFonts w:asciiTheme="majorBidi" w:hAnsiTheme="majorBidi" w:cstheme="majorBidi"/>
              </w:rPr>
              <w:t>No. of bleeds</w:t>
            </w:r>
          </w:p>
          <w:p w14:paraId="0723CAEC" w14:textId="77777777" w:rsidR="00C5334A" w:rsidRPr="000E1342" w:rsidRDefault="00293D3A" w:rsidP="00C8538D">
            <w:pPr>
              <w:spacing w:after="0" w:line="240" w:lineRule="auto"/>
              <w:rPr>
                <w:rFonts w:asciiTheme="majorBidi" w:hAnsiTheme="majorBidi" w:cstheme="majorBidi"/>
              </w:rPr>
            </w:pPr>
            <w:r w:rsidRPr="00293D3A">
              <w:rPr>
                <w:rFonts w:asciiTheme="majorBidi" w:hAnsiTheme="majorBidi" w:cstheme="majorBidi"/>
              </w:rPr>
              <w:t>No. of pts with bleeds (%)</w:t>
            </w:r>
          </w:p>
          <w:p w14:paraId="0C1D2735" w14:textId="77777777" w:rsidR="00C5334A" w:rsidRPr="000E1342" w:rsidRDefault="00293D3A" w:rsidP="00C8538D">
            <w:pPr>
              <w:spacing w:after="0" w:line="240" w:lineRule="auto"/>
              <w:rPr>
                <w:rFonts w:asciiTheme="majorBidi" w:hAnsiTheme="majorBidi" w:cstheme="majorBidi"/>
              </w:rPr>
            </w:pPr>
            <w:r w:rsidRPr="00293D3A">
              <w:rPr>
                <w:rFonts w:asciiTheme="majorBidi" w:hAnsiTheme="majorBidi" w:cstheme="majorBidi"/>
              </w:rPr>
              <w:t>Median ABR (IQR)</w:t>
            </w:r>
          </w:p>
          <w:p w14:paraId="03E67AE3" w14:textId="5DAB3500" w:rsidR="00293D3A" w:rsidRPr="00293D3A" w:rsidRDefault="00293D3A" w:rsidP="00C8538D">
            <w:pPr>
              <w:spacing w:after="0" w:line="240" w:lineRule="auto"/>
              <w:rPr>
                <w:rFonts w:asciiTheme="majorBidi" w:hAnsiTheme="majorBidi" w:cstheme="majorBidi"/>
              </w:rPr>
            </w:pPr>
            <w:r w:rsidRPr="00293D3A">
              <w:rPr>
                <w:rFonts w:asciiTheme="majorBidi" w:hAnsiTheme="majorBidi" w:cstheme="majorBidi"/>
              </w:rPr>
              <w:t>Estimated mean ABR</w:t>
            </w:r>
            <w:r w:rsidR="00C5334A" w:rsidRPr="000E1342">
              <w:rPr>
                <w:rFonts w:asciiTheme="majorBidi" w:hAnsiTheme="majorBidi" w:cstheme="majorBidi"/>
              </w:rPr>
              <w:t xml:space="preserve"> </w:t>
            </w:r>
            <w:r w:rsidRPr="00293D3A">
              <w:rPr>
                <w:rFonts w:asciiTheme="majorBidi" w:hAnsiTheme="majorBidi" w:cstheme="majorBidi"/>
              </w:rPr>
              <w:t>(95% CI)</w:t>
            </w:r>
          </w:p>
        </w:tc>
        <w:tc>
          <w:tcPr>
            <w:tcW w:w="1843" w:type="dxa"/>
          </w:tcPr>
          <w:p w14:paraId="3C05030C" w14:textId="77777777" w:rsidR="00293D3A" w:rsidRPr="00293D3A" w:rsidRDefault="00293D3A" w:rsidP="00CE2087">
            <w:pPr>
              <w:spacing w:after="0" w:line="240" w:lineRule="auto"/>
              <w:jc w:val="center"/>
              <w:rPr>
                <w:rFonts w:asciiTheme="majorBidi" w:hAnsiTheme="majorBidi" w:cstheme="majorBidi"/>
              </w:rPr>
            </w:pPr>
          </w:p>
          <w:p w14:paraId="2752C01F"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67</w:t>
            </w:r>
          </w:p>
          <w:p w14:paraId="2CA13A28"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19 (76%)</w:t>
            </w:r>
          </w:p>
          <w:p w14:paraId="4040E2A7"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2.22 (0.87;4.73)</w:t>
            </w:r>
          </w:p>
          <w:p w14:paraId="1443FD82"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3.16 (2.06;4.83)</w:t>
            </w:r>
          </w:p>
        </w:tc>
        <w:tc>
          <w:tcPr>
            <w:tcW w:w="1843" w:type="dxa"/>
          </w:tcPr>
          <w:p w14:paraId="0F6119BB" w14:textId="77777777" w:rsidR="00293D3A" w:rsidRPr="00293D3A" w:rsidRDefault="00293D3A" w:rsidP="00CE2087">
            <w:pPr>
              <w:spacing w:after="0" w:line="240" w:lineRule="auto"/>
              <w:jc w:val="center"/>
              <w:rPr>
                <w:rFonts w:asciiTheme="majorBidi" w:hAnsiTheme="majorBidi" w:cstheme="majorBidi"/>
              </w:rPr>
            </w:pPr>
          </w:p>
          <w:p w14:paraId="1B24C293"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369</w:t>
            </w:r>
          </w:p>
          <w:p w14:paraId="6C49383F"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86 (57%)</w:t>
            </w:r>
          </w:p>
          <w:p w14:paraId="4FFFC797"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1.17 (0.00;3.71)</w:t>
            </w:r>
          </w:p>
          <w:p w14:paraId="2298CBB1"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3.02 (2.37;3.85)</w:t>
            </w:r>
          </w:p>
        </w:tc>
        <w:tc>
          <w:tcPr>
            <w:tcW w:w="1791" w:type="dxa"/>
          </w:tcPr>
          <w:p w14:paraId="5ACB04FD" w14:textId="77777777" w:rsidR="00293D3A" w:rsidRPr="00293D3A" w:rsidRDefault="00293D3A" w:rsidP="00CE2087">
            <w:pPr>
              <w:spacing w:after="0" w:line="240" w:lineRule="auto"/>
              <w:jc w:val="center"/>
              <w:rPr>
                <w:rFonts w:asciiTheme="majorBidi" w:hAnsiTheme="majorBidi" w:cstheme="majorBidi"/>
              </w:rPr>
            </w:pPr>
          </w:p>
          <w:p w14:paraId="398B46E3"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436</w:t>
            </w:r>
          </w:p>
          <w:p w14:paraId="2F2B384D"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105 (60%)</w:t>
            </w:r>
          </w:p>
          <w:p w14:paraId="281BA08A"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1.18 (0.00;4.25)</w:t>
            </w:r>
          </w:p>
          <w:p w14:paraId="46EA9B4F"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3.04 (2.45;3.77)</w:t>
            </w:r>
          </w:p>
        </w:tc>
      </w:tr>
      <w:tr w:rsidR="002C691C" w:rsidRPr="000E1342" w14:paraId="30E7A534" w14:textId="77777777" w:rsidTr="003012E0">
        <w:trPr>
          <w:trHeight w:val="257"/>
        </w:trPr>
        <w:tc>
          <w:tcPr>
            <w:tcW w:w="3539" w:type="dxa"/>
            <w:tcBorders>
              <w:bottom w:val="nil"/>
            </w:tcBorders>
          </w:tcPr>
          <w:p w14:paraId="25605CDC" w14:textId="77777777" w:rsidR="00293D3A" w:rsidRPr="00293D3A" w:rsidRDefault="00293D3A" w:rsidP="000D25BB">
            <w:pPr>
              <w:spacing w:after="0" w:line="240" w:lineRule="auto"/>
              <w:rPr>
                <w:rFonts w:asciiTheme="majorBidi" w:hAnsiTheme="majorBidi" w:cstheme="majorBidi"/>
                <w:b/>
              </w:rPr>
            </w:pPr>
            <w:r w:rsidRPr="00293D3A">
              <w:rPr>
                <w:rFonts w:asciiTheme="majorBidi" w:hAnsiTheme="majorBidi" w:cstheme="majorBidi"/>
                <w:b/>
              </w:rPr>
              <w:t>Spontaneous bleeds</w:t>
            </w:r>
          </w:p>
        </w:tc>
        <w:tc>
          <w:tcPr>
            <w:tcW w:w="1843" w:type="dxa"/>
            <w:tcBorders>
              <w:bottom w:val="nil"/>
            </w:tcBorders>
          </w:tcPr>
          <w:p w14:paraId="7CD71931" w14:textId="77777777" w:rsidR="00293D3A" w:rsidRPr="00293D3A" w:rsidRDefault="00293D3A" w:rsidP="00CE2087">
            <w:pPr>
              <w:spacing w:after="0" w:line="240" w:lineRule="auto"/>
              <w:jc w:val="center"/>
              <w:rPr>
                <w:rFonts w:asciiTheme="majorBidi" w:hAnsiTheme="majorBidi" w:cstheme="majorBidi"/>
              </w:rPr>
            </w:pPr>
          </w:p>
        </w:tc>
        <w:tc>
          <w:tcPr>
            <w:tcW w:w="1843" w:type="dxa"/>
            <w:tcBorders>
              <w:bottom w:val="nil"/>
            </w:tcBorders>
          </w:tcPr>
          <w:p w14:paraId="62EE729F" w14:textId="77777777" w:rsidR="00293D3A" w:rsidRPr="00293D3A" w:rsidRDefault="00293D3A" w:rsidP="00CE2087">
            <w:pPr>
              <w:spacing w:after="0" w:line="240" w:lineRule="auto"/>
              <w:jc w:val="center"/>
              <w:rPr>
                <w:rFonts w:asciiTheme="majorBidi" w:hAnsiTheme="majorBidi" w:cstheme="majorBidi"/>
              </w:rPr>
            </w:pPr>
          </w:p>
        </w:tc>
        <w:tc>
          <w:tcPr>
            <w:tcW w:w="1791" w:type="dxa"/>
            <w:tcBorders>
              <w:bottom w:val="nil"/>
            </w:tcBorders>
          </w:tcPr>
          <w:p w14:paraId="70B0277C" w14:textId="77777777" w:rsidR="00293D3A" w:rsidRPr="00293D3A" w:rsidRDefault="00293D3A" w:rsidP="00CE2087">
            <w:pPr>
              <w:spacing w:after="0" w:line="240" w:lineRule="auto"/>
              <w:jc w:val="center"/>
              <w:rPr>
                <w:rFonts w:asciiTheme="majorBidi" w:hAnsiTheme="majorBidi" w:cstheme="majorBidi"/>
              </w:rPr>
            </w:pPr>
          </w:p>
        </w:tc>
      </w:tr>
      <w:tr w:rsidR="002C691C" w:rsidRPr="000E1342" w14:paraId="35A55CC3" w14:textId="77777777" w:rsidTr="003012E0">
        <w:trPr>
          <w:trHeight w:val="272"/>
        </w:trPr>
        <w:tc>
          <w:tcPr>
            <w:tcW w:w="3539" w:type="dxa"/>
            <w:tcBorders>
              <w:top w:val="nil"/>
              <w:bottom w:val="nil"/>
            </w:tcBorders>
          </w:tcPr>
          <w:p w14:paraId="41B977C2" w14:textId="77777777" w:rsidR="00293D3A" w:rsidRPr="00293D3A" w:rsidRDefault="00293D3A" w:rsidP="000D25BB">
            <w:pPr>
              <w:spacing w:after="0" w:line="240" w:lineRule="auto"/>
              <w:rPr>
                <w:rFonts w:asciiTheme="majorBidi" w:hAnsiTheme="majorBidi" w:cstheme="majorBidi"/>
              </w:rPr>
            </w:pPr>
            <w:r w:rsidRPr="00293D3A">
              <w:rPr>
                <w:rFonts w:asciiTheme="majorBidi" w:hAnsiTheme="majorBidi" w:cstheme="majorBidi"/>
              </w:rPr>
              <w:t>No. of bleeds</w:t>
            </w:r>
          </w:p>
        </w:tc>
        <w:tc>
          <w:tcPr>
            <w:tcW w:w="1843" w:type="dxa"/>
            <w:tcBorders>
              <w:top w:val="nil"/>
              <w:bottom w:val="nil"/>
            </w:tcBorders>
          </w:tcPr>
          <w:p w14:paraId="03342C57"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30</w:t>
            </w:r>
          </w:p>
        </w:tc>
        <w:tc>
          <w:tcPr>
            <w:tcW w:w="1843" w:type="dxa"/>
            <w:tcBorders>
              <w:top w:val="nil"/>
              <w:bottom w:val="nil"/>
            </w:tcBorders>
          </w:tcPr>
          <w:p w14:paraId="0395B770"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221</w:t>
            </w:r>
          </w:p>
        </w:tc>
        <w:tc>
          <w:tcPr>
            <w:tcW w:w="1791" w:type="dxa"/>
            <w:tcBorders>
              <w:top w:val="nil"/>
              <w:bottom w:val="nil"/>
            </w:tcBorders>
          </w:tcPr>
          <w:p w14:paraId="21AAEF27"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251</w:t>
            </w:r>
          </w:p>
        </w:tc>
      </w:tr>
      <w:tr w:rsidR="002C691C" w:rsidRPr="000E1342" w14:paraId="1640618F" w14:textId="77777777" w:rsidTr="003012E0">
        <w:trPr>
          <w:trHeight w:val="263"/>
        </w:trPr>
        <w:tc>
          <w:tcPr>
            <w:tcW w:w="3539" w:type="dxa"/>
            <w:tcBorders>
              <w:top w:val="nil"/>
              <w:bottom w:val="nil"/>
            </w:tcBorders>
          </w:tcPr>
          <w:p w14:paraId="23E478E0" w14:textId="10142689" w:rsidR="00293D3A" w:rsidRPr="00293D3A" w:rsidRDefault="00293D3A" w:rsidP="000D25BB">
            <w:pPr>
              <w:spacing w:after="0" w:line="240" w:lineRule="auto"/>
              <w:rPr>
                <w:rFonts w:asciiTheme="majorBidi" w:hAnsiTheme="majorBidi" w:cstheme="majorBidi"/>
              </w:rPr>
            </w:pPr>
            <w:r w:rsidRPr="00293D3A">
              <w:rPr>
                <w:rFonts w:asciiTheme="majorBidi" w:hAnsiTheme="majorBidi" w:cstheme="majorBidi"/>
              </w:rPr>
              <w:t>No. of pts with</w:t>
            </w:r>
            <w:r w:rsidR="00C27E66" w:rsidRPr="000E1342">
              <w:rPr>
                <w:rFonts w:asciiTheme="majorBidi" w:hAnsiTheme="majorBidi" w:cstheme="majorBidi"/>
              </w:rPr>
              <w:t xml:space="preserve"> </w:t>
            </w:r>
            <w:r w:rsidR="00C27E66" w:rsidRPr="00293D3A">
              <w:rPr>
                <w:rFonts w:asciiTheme="majorBidi" w:hAnsiTheme="majorBidi" w:cstheme="majorBidi"/>
              </w:rPr>
              <w:t>spontaneous bleeds (%)</w:t>
            </w:r>
          </w:p>
        </w:tc>
        <w:tc>
          <w:tcPr>
            <w:tcW w:w="1843" w:type="dxa"/>
            <w:tcBorders>
              <w:top w:val="nil"/>
              <w:bottom w:val="nil"/>
            </w:tcBorders>
          </w:tcPr>
          <w:p w14:paraId="0EFDE4DF"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11 (44%)</w:t>
            </w:r>
          </w:p>
        </w:tc>
        <w:tc>
          <w:tcPr>
            <w:tcW w:w="1843" w:type="dxa"/>
            <w:tcBorders>
              <w:top w:val="nil"/>
              <w:bottom w:val="nil"/>
            </w:tcBorders>
          </w:tcPr>
          <w:p w14:paraId="3D41FB08"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65 (43%)</w:t>
            </w:r>
          </w:p>
        </w:tc>
        <w:tc>
          <w:tcPr>
            <w:tcW w:w="1791" w:type="dxa"/>
            <w:tcBorders>
              <w:top w:val="nil"/>
              <w:bottom w:val="nil"/>
            </w:tcBorders>
          </w:tcPr>
          <w:p w14:paraId="27482857"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76 (43%)</w:t>
            </w:r>
          </w:p>
        </w:tc>
      </w:tr>
      <w:tr w:rsidR="002C691C" w:rsidRPr="000E1342" w14:paraId="3642ADC9" w14:textId="77777777" w:rsidTr="003012E0">
        <w:trPr>
          <w:trHeight w:val="284"/>
        </w:trPr>
        <w:tc>
          <w:tcPr>
            <w:tcW w:w="3539" w:type="dxa"/>
            <w:tcBorders>
              <w:top w:val="nil"/>
              <w:bottom w:val="nil"/>
            </w:tcBorders>
          </w:tcPr>
          <w:p w14:paraId="62F111FD" w14:textId="77777777" w:rsidR="00293D3A" w:rsidRPr="00293D3A" w:rsidRDefault="00293D3A" w:rsidP="000D25BB">
            <w:pPr>
              <w:spacing w:after="0" w:line="240" w:lineRule="auto"/>
              <w:rPr>
                <w:rFonts w:asciiTheme="majorBidi" w:hAnsiTheme="majorBidi" w:cstheme="majorBidi"/>
              </w:rPr>
            </w:pPr>
            <w:r w:rsidRPr="00293D3A">
              <w:rPr>
                <w:rFonts w:asciiTheme="majorBidi" w:hAnsiTheme="majorBidi" w:cstheme="majorBidi"/>
              </w:rPr>
              <w:t>Median ABR (IQR)</w:t>
            </w:r>
          </w:p>
        </w:tc>
        <w:tc>
          <w:tcPr>
            <w:tcW w:w="1843" w:type="dxa"/>
            <w:tcBorders>
              <w:top w:val="nil"/>
              <w:bottom w:val="nil"/>
            </w:tcBorders>
          </w:tcPr>
          <w:p w14:paraId="554C01E8"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0.00 (0.00;1.47)</w:t>
            </w:r>
          </w:p>
        </w:tc>
        <w:tc>
          <w:tcPr>
            <w:tcW w:w="1843" w:type="dxa"/>
            <w:tcBorders>
              <w:top w:val="nil"/>
              <w:bottom w:val="nil"/>
            </w:tcBorders>
          </w:tcPr>
          <w:p w14:paraId="5FF209CE"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0.00 (0.00;1.85)</w:t>
            </w:r>
          </w:p>
        </w:tc>
        <w:tc>
          <w:tcPr>
            <w:tcW w:w="1791" w:type="dxa"/>
            <w:tcBorders>
              <w:top w:val="nil"/>
              <w:bottom w:val="nil"/>
            </w:tcBorders>
          </w:tcPr>
          <w:p w14:paraId="636F0C95"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0.00 (0.00;1.82)</w:t>
            </w:r>
          </w:p>
        </w:tc>
      </w:tr>
      <w:tr w:rsidR="002C691C" w:rsidRPr="000E1342" w14:paraId="63C8BCE0" w14:textId="77777777" w:rsidTr="003012E0">
        <w:trPr>
          <w:trHeight w:val="261"/>
        </w:trPr>
        <w:tc>
          <w:tcPr>
            <w:tcW w:w="3539" w:type="dxa"/>
            <w:tcBorders>
              <w:top w:val="nil"/>
              <w:bottom w:val="nil"/>
            </w:tcBorders>
          </w:tcPr>
          <w:p w14:paraId="3711C2F3" w14:textId="1AC26A67" w:rsidR="00293D3A" w:rsidRPr="00293D3A" w:rsidRDefault="00293D3A" w:rsidP="000D25BB">
            <w:pPr>
              <w:spacing w:after="0" w:line="240" w:lineRule="auto"/>
              <w:rPr>
                <w:rFonts w:asciiTheme="majorBidi" w:hAnsiTheme="majorBidi" w:cstheme="majorBidi"/>
              </w:rPr>
            </w:pPr>
            <w:r w:rsidRPr="00293D3A">
              <w:rPr>
                <w:rFonts w:asciiTheme="majorBidi" w:hAnsiTheme="majorBidi" w:cstheme="majorBidi"/>
              </w:rPr>
              <w:t>Estimated mean ABR</w:t>
            </w:r>
            <w:r w:rsidR="00C8538D" w:rsidRPr="000E1342">
              <w:rPr>
                <w:rFonts w:asciiTheme="majorBidi" w:hAnsiTheme="majorBidi" w:cstheme="majorBidi"/>
              </w:rPr>
              <w:t xml:space="preserve"> </w:t>
            </w:r>
            <w:r w:rsidR="00C8538D" w:rsidRPr="00293D3A">
              <w:rPr>
                <w:rFonts w:asciiTheme="majorBidi" w:hAnsiTheme="majorBidi" w:cstheme="majorBidi"/>
              </w:rPr>
              <w:t>(95% CI)</w:t>
            </w:r>
          </w:p>
        </w:tc>
        <w:tc>
          <w:tcPr>
            <w:tcW w:w="1843" w:type="dxa"/>
            <w:tcBorders>
              <w:top w:val="nil"/>
              <w:bottom w:val="nil"/>
            </w:tcBorders>
          </w:tcPr>
          <w:p w14:paraId="3F70B054"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1.41 (0.75;2.65)</w:t>
            </w:r>
          </w:p>
        </w:tc>
        <w:tc>
          <w:tcPr>
            <w:tcW w:w="1843" w:type="dxa"/>
            <w:tcBorders>
              <w:top w:val="nil"/>
              <w:bottom w:val="nil"/>
            </w:tcBorders>
          </w:tcPr>
          <w:p w14:paraId="61296E5D"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1.81 (1.35;2.43)</w:t>
            </w:r>
          </w:p>
        </w:tc>
        <w:tc>
          <w:tcPr>
            <w:tcW w:w="1791" w:type="dxa"/>
            <w:tcBorders>
              <w:top w:val="nil"/>
              <w:bottom w:val="nil"/>
            </w:tcBorders>
          </w:tcPr>
          <w:p w14:paraId="0D7BDC8D" w14:textId="77777777" w:rsidR="00293D3A" w:rsidRPr="00293D3A" w:rsidRDefault="00293D3A" w:rsidP="00CE2087">
            <w:pPr>
              <w:spacing w:after="0" w:line="240" w:lineRule="auto"/>
              <w:jc w:val="center"/>
              <w:rPr>
                <w:rFonts w:asciiTheme="majorBidi" w:hAnsiTheme="majorBidi" w:cstheme="majorBidi"/>
              </w:rPr>
            </w:pPr>
            <w:r w:rsidRPr="00293D3A">
              <w:rPr>
                <w:rFonts w:asciiTheme="majorBidi" w:hAnsiTheme="majorBidi" w:cstheme="majorBidi"/>
              </w:rPr>
              <w:t>1.75 (1.34;2.29)</w:t>
            </w:r>
          </w:p>
        </w:tc>
      </w:tr>
      <w:tr w:rsidR="00717B9D" w:rsidRPr="000E1342" w14:paraId="2D1FFE13" w14:textId="77777777" w:rsidTr="003012E0">
        <w:trPr>
          <w:trHeight w:val="256"/>
        </w:trPr>
        <w:tc>
          <w:tcPr>
            <w:tcW w:w="3539" w:type="dxa"/>
            <w:tcBorders>
              <w:bottom w:val="nil"/>
            </w:tcBorders>
          </w:tcPr>
          <w:p w14:paraId="25BC6229" w14:textId="77777777" w:rsidR="002C691C" w:rsidRPr="002C691C" w:rsidRDefault="002C691C" w:rsidP="002C691C">
            <w:pPr>
              <w:spacing w:after="0" w:line="240" w:lineRule="auto"/>
              <w:rPr>
                <w:rFonts w:asciiTheme="majorBidi" w:eastAsiaTheme="minorEastAsia" w:hAnsiTheme="majorBidi" w:cstheme="majorBidi"/>
                <w:b/>
              </w:rPr>
            </w:pPr>
            <w:r w:rsidRPr="002C691C">
              <w:rPr>
                <w:rFonts w:asciiTheme="majorBidi" w:eastAsiaTheme="minorEastAsia" w:hAnsiTheme="majorBidi" w:cstheme="majorBidi"/>
                <w:b/>
              </w:rPr>
              <w:t>Traumatic bleeds</w:t>
            </w:r>
          </w:p>
        </w:tc>
        <w:tc>
          <w:tcPr>
            <w:tcW w:w="1843" w:type="dxa"/>
            <w:tcBorders>
              <w:bottom w:val="nil"/>
            </w:tcBorders>
          </w:tcPr>
          <w:p w14:paraId="470E7DAF" w14:textId="77777777" w:rsidR="002C691C" w:rsidRPr="002C691C" w:rsidRDefault="002C691C" w:rsidP="00CE2087">
            <w:pPr>
              <w:spacing w:after="0" w:line="240" w:lineRule="auto"/>
              <w:jc w:val="center"/>
              <w:rPr>
                <w:rFonts w:asciiTheme="majorBidi" w:eastAsiaTheme="minorEastAsia" w:hAnsiTheme="majorBidi" w:cstheme="majorBidi"/>
              </w:rPr>
            </w:pPr>
          </w:p>
        </w:tc>
        <w:tc>
          <w:tcPr>
            <w:tcW w:w="1843" w:type="dxa"/>
            <w:tcBorders>
              <w:bottom w:val="nil"/>
            </w:tcBorders>
          </w:tcPr>
          <w:p w14:paraId="11F884A9" w14:textId="77777777" w:rsidR="002C691C" w:rsidRPr="002C691C" w:rsidRDefault="002C691C" w:rsidP="00CE2087">
            <w:pPr>
              <w:spacing w:after="0" w:line="240" w:lineRule="auto"/>
              <w:jc w:val="center"/>
              <w:rPr>
                <w:rFonts w:asciiTheme="majorBidi" w:eastAsiaTheme="minorEastAsia" w:hAnsiTheme="majorBidi" w:cstheme="majorBidi"/>
              </w:rPr>
            </w:pPr>
          </w:p>
        </w:tc>
        <w:tc>
          <w:tcPr>
            <w:tcW w:w="1791" w:type="dxa"/>
            <w:tcBorders>
              <w:bottom w:val="nil"/>
            </w:tcBorders>
          </w:tcPr>
          <w:p w14:paraId="0605F1F5" w14:textId="77777777" w:rsidR="002C691C" w:rsidRPr="002C691C" w:rsidRDefault="002C691C" w:rsidP="00CE2087">
            <w:pPr>
              <w:spacing w:after="0" w:line="240" w:lineRule="auto"/>
              <w:jc w:val="center"/>
              <w:rPr>
                <w:rFonts w:asciiTheme="majorBidi" w:eastAsiaTheme="minorEastAsia" w:hAnsiTheme="majorBidi" w:cstheme="majorBidi"/>
              </w:rPr>
            </w:pPr>
          </w:p>
        </w:tc>
      </w:tr>
      <w:tr w:rsidR="00717B9D" w:rsidRPr="000E1342" w14:paraId="717365A4" w14:textId="77777777" w:rsidTr="003012E0">
        <w:trPr>
          <w:trHeight w:val="273"/>
        </w:trPr>
        <w:tc>
          <w:tcPr>
            <w:tcW w:w="3539" w:type="dxa"/>
            <w:tcBorders>
              <w:top w:val="nil"/>
              <w:bottom w:val="nil"/>
            </w:tcBorders>
          </w:tcPr>
          <w:p w14:paraId="3F62EFFA" w14:textId="77777777" w:rsidR="002C691C" w:rsidRPr="002C691C" w:rsidRDefault="002C691C" w:rsidP="002C691C">
            <w:pPr>
              <w:spacing w:after="0" w:line="240" w:lineRule="auto"/>
              <w:rPr>
                <w:rFonts w:asciiTheme="majorBidi" w:eastAsiaTheme="minorEastAsia" w:hAnsiTheme="majorBidi" w:cstheme="majorBidi"/>
              </w:rPr>
            </w:pPr>
            <w:r w:rsidRPr="002C691C">
              <w:rPr>
                <w:rFonts w:asciiTheme="majorBidi" w:eastAsiaTheme="minorEastAsia" w:hAnsiTheme="majorBidi" w:cstheme="majorBidi"/>
              </w:rPr>
              <w:t>No. of bleeds</w:t>
            </w:r>
          </w:p>
        </w:tc>
        <w:tc>
          <w:tcPr>
            <w:tcW w:w="1843" w:type="dxa"/>
            <w:tcBorders>
              <w:top w:val="nil"/>
              <w:bottom w:val="nil"/>
            </w:tcBorders>
          </w:tcPr>
          <w:p w14:paraId="519D11D3"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37</w:t>
            </w:r>
          </w:p>
        </w:tc>
        <w:tc>
          <w:tcPr>
            <w:tcW w:w="1843" w:type="dxa"/>
            <w:tcBorders>
              <w:top w:val="nil"/>
              <w:bottom w:val="nil"/>
            </w:tcBorders>
          </w:tcPr>
          <w:p w14:paraId="11C1BAD9"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146</w:t>
            </w:r>
          </w:p>
        </w:tc>
        <w:tc>
          <w:tcPr>
            <w:tcW w:w="1791" w:type="dxa"/>
            <w:tcBorders>
              <w:top w:val="nil"/>
              <w:bottom w:val="nil"/>
            </w:tcBorders>
          </w:tcPr>
          <w:p w14:paraId="5029DF96"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183</w:t>
            </w:r>
          </w:p>
        </w:tc>
      </w:tr>
      <w:tr w:rsidR="00717B9D" w:rsidRPr="000E1342" w14:paraId="15EAD0E5" w14:textId="77777777" w:rsidTr="003012E0">
        <w:trPr>
          <w:trHeight w:val="272"/>
        </w:trPr>
        <w:tc>
          <w:tcPr>
            <w:tcW w:w="3539" w:type="dxa"/>
            <w:tcBorders>
              <w:top w:val="nil"/>
              <w:bottom w:val="nil"/>
            </w:tcBorders>
          </w:tcPr>
          <w:p w14:paraId="709D249E" w14:textId="69D57CB8" w:rsidR="002C691C" w:rsidRPr="002C691C" w:rsidRDefault="00C27E66" w:rsidP="002C691C">
            <w:pPr>
              <w:spacing w:after="0" w:line="240" w:lineRule="auto"/>
              <w:rPr>
                <w:rFonts w:asciiTheme="majorBidi" w:eastAsiaTheme="minorEastAsia" w:hAnsiTheme="majorBidi" w:cstheme="majorBidi"/>
              </w:rPr>
            </w:pPr>
            <w:r w:rsidRPr="002C691C">
              <w:rPr>
                <w:rFonts w:asciiTheme="majorBidi" w:eastAsiaTheme="minorEastAsia" w:hAnsiTheme="majorBidi" w:cstheme="majorBidi"/>
              </w:rPr>
              <w:t>No. of pts with traumatic</w:t>
            </w:r>
            <w:r w:rsidRPr="000E1342">
              <w:rPr>
                <w:rFonts w:asciiTheme="majorBidi" w:eastAsiaTheme="minorEastAsia" w:hAnsiTheme="majorBidi" w:cstheme="majorBidi"/>
              </w:rPr>
              <w:t xml:space="preserve"> </w:t>
            </w:r>
            <w:r w:rsidR="002C691C" w:rsidRPr="002C691C">
              <w:rPr>
                <w:rFonts w:asciiTheme="majorBidi" w:eastAsiaTheme="minorEastAsia" w:hAnsiTheme="majorBidi" w:cstheme="majorBidi"/>
              </w:rPr>
              <w:t>bleeds (%)</w:t>
            </w:r>
          </w:p>
        </w:tc>
        <w:tc>
          <w:tcPr>
            <w:tcW w:w="1843" w:type="dxa"/>
            <w:tcBorders>
              <w:top w:val="nil"/>
              <w:bottom w:val="nil"/>
            </w:tcBorders>
          </w:tcPr>
          <w:p w14:paraId="5792B11E"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16 (64%)</w:t>
            </w:r>
          </w:p>
        </w:tc>
        <w:tc>
          <w:tcPr>
            <w:tcW w:w="1843" w:type="dxa"/>
            <w:tcBorders>
              <w:top w:val="nil"/>
              <w:bottom w:val="nil"/>
            </w:tcBorders>
          </w:tcPr>
          <w:p w14:paraId="31A19F25"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57 (38%)</w:t>
            </w:r>
          </w:p>
        </w:tc>
        <w:tc>
          <w:tcPr>
            <w:tcW w:w="1791" w:type="dxa"/>
            <w:tcBorders>
              <w:top w:val="nil"/>
              <w:bottom w:val="nil"/>
            </w:tcBorders>
          </w:tcPr>
          <w:p w14:paraId="206320B7"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73 (42%)</w:t>
            </w:r>
          </w:p>
        </w:tc>
      </w:tr>
      <w:tr w:rsidR="00717B9D" w:rsidRPr="000E1342" w14:paraId="12BB1192" w14:textId="77777777" w:rsidTr="003012E0">
        <w:trPr>
          <w:trHeight w:val="272"/>
        </w:trPr>
        <w:tc>
          <w:tcPr>
            <w:tcW w:w="3539" w:type="dxa"/>
            <w:tcBorders>
              <w:top w:val="nil"/>
              <w:bottom w:val="nil"/>
            </w:tcBorders>
          </w:tcPr>
          <w:p w14:paraId="6C5C8E72" w14:textId="77777777" w:rsidR="002C691C" w:rsidRPr="002C691C" w:rsidRDefault="002C691C" w:rsidP="002C691C">
            <w:pPr>
              <w:spacing w:after="0" w:line="240" w:lineRule="auto"/>
              <w:rPr>
                <w:rFonts w:asciiTheme="majorBidi" w:eastAsiaTheme="minorEastAsia" w:hAnsiTheme="majorBidi" w:cstheme="majorBidi"/>
              </w:rPr>
            </w:pPr>
            <w:r w:rsidRPr="002C691C">
              <w:rPr>
                <w:rFonts w:asciiTheme="majorBidi" w:eastAsiaTheme="minorEastAsia" w:hAnsiTheme="majorBidi" w:cstheme="majorBidi"/>
              </w:rPr>
              <w:t>Median ABR (IQR)</w:t>
            </w:r>
          </w:p>
        </w:tc>
        <w:tc>
          <w:tcPr>
            <w:tcW w:w="1843" w:type="dxa"/>
            <w:tcBorders>
              <w:top w:val="nil"/>
              <w:bottom w:val="nil"/>
            </w:tcBorders>
          </w:tcPr>
          <w:p w14:paraId="35D1A087" w14:textId="70CFB2E6"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1.33</w:t>
            </w:r>
            <w:r w:rsidR="00EA4586">
              <w:rPr>
                <w:rFonts w:asciiTheme="majorBidi" w:eastAsiaTheme="minorEastAsia" w:hAnsiTheme="majorBidi" w:cstheme="majorBidi"/>
              </w:rPr>
              <w:t xml:space="preserve"> </w:t>
            </w:r>
            <w:r w:rsidRPr="002C691C">
              <w:rPr>
                <w:rFonts w:asciiTheme="majorBidi" w:eastAsiaTheme="minorEastAsia" w:hAnsiTheme="majorBidi" w:cstheme="majorBidi"/>
              </w:rPr>
              <w:t>(0.00;2.58)</w:t>
            </w:r>
          </w:p>
        </w:tc>
        <w:tc>
          <w:tcPr>
            <w:tcW w:w="1843" w:type="dxa"/>
            <w:tcBorders>
              <w:top w:val="nil"/>
              <w:bottom w:val="nil"/>
            </w:tcBorders>
          </w:tcPr>
          <w:p w14:paraId="46083149"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0.00 (0.00;1.42)</w:t>
            </w:r>
          </w:p>
        </w:tc>
        <w:tc>
          <w:tcPr>
            <w:tcW w:w="1791" w:type="dxa"/>
            <w:tcBorders>
              <w:top w:val="nil"/>
              <w:bottom w:val="nil"/>
            </w:tcBorders>
          </w:tcPr>
          <w:p w14:paraId="435799FB"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0.00 (0.00;1.74)</w:t>
            </w:r>
          </w:p>
        </w:tc>
      </w:tr>
      <w:tr w:rsidR="00717B9D" w:rsidRPr="000E1342" w14:paraId="30FDD5B6" w14:textId="77777777" w:rsidTr="003012E0">
        <w:trPr>
          <w:trHeight w:val="263"/>
        </w:trPr>
        <w:tc>
          <w:tcPr>
            <w:tcW w:w="3539" w:type="dxa"/>
            <w:tcBorders>
              <w:top w:val="nil"/>
              <w:bottom w:val="nil"/>
            </w:tcBorders>
          </w:tcPr>
          <w:p w14:paraId="2D9DCA48" w14:textId="0089A0AC" w:rsidR="002C691C" w:rsidRPr="002C691C" w:rsidRDefault="002C691C" w:rsidP="002C691C">
            <w:pPr>
              <w:spacing w:after="0" w:line="240" w:lineRule="auto"/>
              <w:rPr>
                <w:rFonts w:asciiTheme="majorBidi" w:eastAsiaTheme="minorEastAsia" w:hAnsiTheme="majorBidi" w:cstheme="majorBidi"/>
              </w:rPr>
            </w:pPr>
            <w:r w:rsidRPr="002C691C">
              <w:rPr>
                <w:rFonts w:asciiTheme="majorBidi" w:eastAsiaTheme="minorEastAsia" w:hAnsiTheme="majorBidi" w:cstheme="majorBidi"/>
              </w:rPr>
              <w:t>Estimated mean ABR</w:t>
            </w:r>
            <w:r w:rsidR="00C8538D" w:rsidRPr="000E1342">
              <w:rPr>
                <w:rFonts w:asciiTheme="majorBidi" w:eastAsiaTheme="minorEastAsia" w:hAnsiTheme="majorBidi" w:cstheme="majorBidi"/>
              </w:rPr>
              <w:t xml:space="preserve"> </w:t>
            </w:r>
            <w:r w:rsidR="00C8538D" w:rsidRPr="002C691C">
              <w:rPr>
                <w:rFonts w:asciiTheme="majorBidi" w:eastAsiaTheme="minorEastAsia" w:hAnsiTheme="majorBidi" w:cstheme="majorBidi"/>
              </w:rPr>
              <w:t>(95% CI)</w:t>
            </w:r>
          </w:p>
        </w:tc>
        <w:tc>
          <w:tcPr>
            <w:tcW w:w="1843" w:type="dxa"/>
            <w:tcBorders>
              <w:top w:val="nil"/>
              <w:bottom w:val="nil"/>
            </w:tcBorders>
          </w:tcPr>
          <w:p w14:paraId="1966077F"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1.74 (1.13;2.69)</w:t>
            </w:r>
          </w:p>
        </w:tc>
        <w:tc>
          <w:tcPr>
            <w:tcW w:w="1843" w:type="dxa"/>
            <w:tcBorders>
              <w:top w:val="nil"/>
              <w:bottom w:val="nil"/>
            </w:tcBorders>
          </w:tcPr>
          <w:p w14:paraId="7A3A56B8"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1.19 (0.89;1.60)</w:t>
            </w:r>
          </w:p>
        </w:tc>
        <w:tc>
          <w:tcPr>
            <w:tcW w:w="1791" w:type="dxa"/>
            <w:tcBorders>
              <w:top w:val="nil"/>
              <w:bottom w:val="nil"/>
            </w:tcBorders>
          </w:tcPr>
          <w:p w14:paraId="2B1DCAE7"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1.28 (0.99;1.64)</w:t>
            </w:r>
          </w:p>
        </w:tc>
      </w:tr>
      <w:tr w:rsidR="00717B9D" w:rsidRPr="000E1342" w14:paraId="557CA805" w14:textId="77777777" w:rsidTr="003012E0">
        <w:trPr>
          <w:trHeight w:val="256"/>
        </w:trPr>
        <w:tc>
          <w:tcPr>
            <w:tcW w:w="3539" w:type="dxa"/>
            <w:tcBorders>
              <w:bottom w:val="nil"/>
            </w:tcBorders>
          </w:tcPr>
          <w:p w14:paraId="78F743B8" w14:textId="77777777" w:rsidR="002C691C" w:rsidRPr="002C691C" w:rsidRDefault="002C691C" w:rsidP="002C691C">
            <w:pPr>
              <w:spacing w:after="0" w:line="240" w:lineRule="auto"/>
              <w:rPr>
                <w:rFonts w:asciiTheme="majorBidi" w:eastAsiaTheme="minorEastAsia" w:hAnsiTheme="majorBidi" w:cstheme="majorBidi"/>
                <w:b/>
              </w:rPr>
            </w:pPr>
            <w:r w:rsidRPr="002C691C">
              <w:rPr>
                <w:rFonts w:asciiTheme="majorBidi" w:eastAsiaTheme="minorEastAsia" w:hAnsiTheme="majorBidi" w:cstheme="majorBidi"/>
                <w:b/>
              </w:rPr>
              <w:t>Joint bleeds</w:t>
            </w:r>
          </w:p>
        </w:tc>
        <w:tc>
          <w:tcPr>
            <w:tcW w:w="1843" w:type="dxa"/>
            <w:tcBorders>
              <w:bottom w:val="nil"/>
            </w:tcBorders>
          </w:tcPr>
          <w:p w14:paraId="40EDD85D" w14:textId="77777777" w:rsidR="002C691C" w:rsidRPr="002C691C" w:rsidRDefault="002C691C" w:rsidP="00CE2087">
            <w:pPr>
              <w:spacing w:after="0" w:line="240" w:lineRule="auto"/>
              <w:jc w:val="center"/>
              <w:rPr>
                <w:rFonts w:asciiTheme="majorBidi" w:eastAsiaTheme="minorEastAsia" w:hAnsiTheme="majorBidi" w:cstheme="majorBidi"/>
              </w:rPr>
            </w:pPr>
          </w:p>
        </w:tc>
        <w:tc>
          <w:tcPr>
            <w:tcW w:w="1843" w:type="dxa"/>
            <w:tcBorders>
              <w:bottom w:val="nil"/>
            </w:tcBorders>
          </w:tcPr>
          <w:p w14:paraId="7F923EA0" w14:textId="77777777" w:rsidR="002C691C" w:rsidRPr="002C691C" w:rsidRDefault="002C691C" w:rsidP="00CE2087">
            <w:pPr>
              <w:spacing w:after="0" w:line="240" w:lineRule="auto"/>
              <w:jc w:val="center"/>
              <w:rPr>
                <w:rFonts w:asciiTheme="majorBidi" w:eastAsiaTheme="minorEastAsia" w:hAnsiTheme="majorBidi" w:cstheme="majorBidi"/>
              </w:rPr>
            </w:pPr>
          </w:p>
        </w:tc>
        <w:tc>
          <w:tcPr>
            <w:tcW w:w="1791" w:type="dxa"/>
            <w:tcBorders>
              <w:bottom w:val="nil"/>
            </w:tcBorders>
          </w:tcPr>
          <w:p w14:paraId="28796DF9" w14:textId="77777777" w:rsidR="002C691C" w:rsidRPr="002C691C" w:rsidRDefault="002C691C" w:rsidP="00CE2087">
            <w:pPr>
              <w:spacing w:after="0" w:line="240" w:lineRule="auto"/>
              <w:jc w:val="center"/>
              <w:rPr>
                <w:rFonts w:asciiTheme="majorBidi" w:eastAsiaTheme="minorEastAsia" w:hAnsiTheme="majorBidi" w:cstheme="majorBidi"/>
              </w:rPr>
            </w:pPr>
          </w:p>
        </w:tc>
      </w:tr>
      <w:tr w:rsidR="00717B9D" w:rsidRPr="000E1342" w14:paraId="3989706C" w14:textId="77777777" w:rsidTr="003012E0">
        <w:trPr>
          <w:trHeight w:val="272"/>
        </w:trPr>
        <w:tc>
          <w:tcPr>
            <w:tcW w:w="3539" w:type="dxa"/>
            <w:tcBorders>
              <w:top w:val="nil"/>
              <w:bottom w:val="nil"/>
            </w:tcBorders>
          </w:tcPr>
          <w:p w14:paraId="2A46BB5C" w14:textId="77777777" w:rsidR="002C691C" w:rsidRPr="002C691C" w:rsidRDefault="002C691C" w:rsidP="002C691C">
            <w:pPr>
              <w:spacing w:after="0" w:line="240" w:lineRule="auto"/>
              <w:rPr>
                <w:rFonts w:asciiTheme="majorBidi" w:eastAsiaTheme="minorEastAsia" w:hAnsiTheme="majorBidi" w:cstheme="majorBidi"/>
              </w:rPr>
            </w:pPr>
            <w:r w:rsidRPr="002C691C">
              <w:rPr>
                <w:rFonts w:asciiTheme="majorBidi" w:eastAsiaTheme="minorEastAsia" w:hAnsiTheme="majorBidi" w:cstheme="majorBidi"/>
              </w:rPr>
              <w:t>No. of bleeds</w:t>
            </w:r>
          </w:p>
        </w:tc>
        <w:tc>
          <w:tcPr>
            <w:tcW w:w="1843" w:type="dxa"/>
            <w:tcBorders>
              <w:top w:val="nil"/>
              <w:bottom w:val="nil"/>
            </w:tcBorders>
          </w:tcPr>
          <w:p w14:paraId="768E6F57"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37</w:t>
            </w:r>
          </w:p>
        </w:tc>
        <w:tc>
          <w:tcPr>
            <w:tcW w:w="1843" w:type="dxa"/>
            <w:tcBorders>
              <w:top w:val="nil"/>
              <w:bottom w:val="nil"/>
            </w:tcBorders>
          </w:tcPr>
          <w:p w14:paraId="51526247"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288</w:t>
            </w:r>
          </w:p>
        </w:tc>
        <w:tc>
          <w:tcPr>
            <w:tcW w:w="1791" w:type="dxa"/>
            <w:tcBorders>
              <w:top w:val="nil"/>
              <w:bottom w:val="nil"/>
            </w:tcBorders>
          </w:tcPr>
          <w:p w14:paraId="6091196E"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325</w:t>
            </w:r>
          </w:p>
        </w:tc>
      </w:tr>
      <w:tr w:rsidR="00717B9D" w:rsidRPr="000E1342" w14:paraId="1A9EC671" w14:textId="77777777" w:rsidTr="003012E0">
        <w:trPr>
          <w:trHeight w:val="272"/>
        </w:trPr>
        <w:tc>
          <w:tcPr>
            <w:tcW w:w="3539" w:type="dxa"/>
            <w:tcBorders>
              <w:top w:val="nil"/>
              <w:bottom w:val="nil"/>
            </w:tcBorders>
          </w:tcPr>
          <w:p w14:paraId="46E39B9C" w14:textId="2D3577C1" w:rsidR="002C691C" w:rsidRPr="002C691C" w:rsidRDefault="00C8538D" w:rsidP="002C691C">
            <w:pPr>
              <w:spacing w:after="0" w:line="240" w:lineRule="auto"/>
              <w:rPr>
                <w:rFonts w:asciiTheme="majorBidi" w:eastAsiaTheme="minorEastAsia" w:hAnsiTheme="majorBidi" w:cstheme="majorBidi"/>
              </w:rPr>
            </w:pPr>
            <w:r w:rsidRPr="002C691C">
              <w:rPr>
                <w:rFonts w:asciiTheme="majorBidi" w:eastAsiaTheme="minorEastAsia" w:hAnsiTheme="majorBidi" w:cstheme="majorBidi"/>
              </w:rPr>
              <w:t>No. of pts with joint</w:t>
            </w:r>
            <w:r w:rsidRPr="000E1342">
              <w:rPr>
                <w:rFonts w:asciiTheme="majorBidi" w:eastAsiaTheme="minorEastAsia" w:hAnsiTheme="majorBidi" w:cstheme="majorBidi"/>
              </w:rPr>
              <w:t xml:space="preserve"> </w:t>
            </w:r>
            <w:r w:rsidR="002C691C" w:rsidRPr="002C691C">
              <w:rPr>
                <w:rFonts w:asciiTheme="majorBidi" w:eastAsiaTheme="minorEastAsia" w:hAnsiTheme="majorBidi" w:cstheme="majorBidi"/>
              </w:rPr>
              <w:t>bleeds</w:t>
            </w:r>
          </w:p>
        </w:tc>
        <w:tc>
          <w:tcPr>
            <w:tcW w:w="1843" w:type="dxa"/>
            <w:tcBorders>
              <w:top w:val="nil"/>
              <w:bottom w:val="nil"/>
            </w:tcBorders>
          </w:tcPr>
          <w:p w14:paraId="24D5968D"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16 (64%)</w:t>
            </w:r>
          </w:p>
        </w:tc>
        <w:tc>
          <w:tcPr>
            <w:tcW w:w="1843" w:type="dxa"/>
            <w:tcBorders>
              <w:top w:val="nil"/>
              <w:bottom w:val="nil"/>
            </w:tcBorders>
          </w:tcPr>
          <w:p w14:paraId="30FD61C3"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74 (49%)</w:t>
            </w:r>
          </w:p>
        </w:tc>
        <w:tc>
          <w:tcPr>
            <w:tcW w:w="1791" w:type="dxa"/>
            <w:tcBorders>
              <w:top w:val="nil"/>
              <w:bottom w:val="nil"/>
            </w:tcBorders>
          </w:tcPr>
          <w:p w14:paraId="039C34B5"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90 (51%)</w:t>
            </w:r>
          </w:p>
        </w:tc>
      </w:tr>
      <w:tr w:rsidR="00717B9D" w:rsidRPr="000E1342" w14:paraId="7F0BF8A1" w14:textId="77777777" w:rsidTr="003012E0">
        <w:trPr>
          <w:trHeight w:val="273"/>
        </w:trPr>
        <w:tc>
          <w:tcPr>
            <w:tcW w:w="3539" w:type="dxa"/>
            <w:tcBorders>
              <w:top w:val="nil"/>
              <w:bottom w:val="nil"/>
            </w:tcBorders>
          </w:tcPr>
          <w:p w14:paraId="582FA9DA" w14:textId="77777777" w:rsidR="002C691C" w:rsidRPr="002C691C" w:rsidRDefault="002C691C" w:rsidP="002C691C">
            <w:pPr>
              <w:spacing w:after="0" w:line="240" w:lineRule="auto"/>
              <w:rPr>
                <w:rFonts w:asciiTheme="majorBidi" w:eastAsiaTheme="minorEastAsia" w:hAnsiTheme="majorBidi" w:cstheme="majorBidi"/>
              </w:rPr>
            </w:pPr>
            <w:r w:rsidRPr="002C691C">
              <w:rPr>
                <w:rFonts w:asciiTheme="majorBidi" w:eastAsiaTheme="minorEastAsia" w:hAnsiTheme="majorBidi" w:cstheme="majorBidi"/>
              </w:rPr>
              <w:t>Median ABR (IQR)</w:t>
            </w:r>
          </w:p>
        </w:tc>
        <w:tc>
          <w:tcPr>
            <w:tcW w:w="1843" w:type="dxa"/>
            <w:tcBorders>
              <w:top w:val="nil"/>
              <w:bottom w:val="nil"/>
            </w:tcBorders>
          </w:tcPr>
          <w:p w14:paraId="3793F101"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1.22 (0.00;2.84)</w:t>
            </w:r>
          </w:p>
        </w:tc>
        <w:tc>
          <w:tcPr>
            <w:tcW w:w="1843" w:type="dxa"/>
            <w:tcBorders>
              <w:top w:val="nil"/>
              <w:bottom w:val="nil"/>
            </w:tcBorders>
          </w:tcPr>
          <w:p w14:paraId="419180EA"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0.00(0.00;2.84)</w:t>
            </w:r>
          </w:p>
        </w:tc>
        <w:tc>
          <w:tcPr>
            <w:tcW w:w="1791" w:type="dxa"/>
            <w:tcBorders>
              <w:top w:val="nil"/>
              <w:bottom w:val="nil"/>
            </w:tcBorders>
          </w:tcPr>
          <w:p w14:paraId="060B6AC7"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0.85 (0.00;2.84)</w:t>
            </w:r>
          </w:p>
        </w:tc>
      </w:tr>
      <w:tr w:rsidR="00717B9D" w:rsidRPr="000E1342" w14:paraId="7D690747" w14:textId="77777777" w:rsidTr="003012E0">
        <w:trPr>
          <w:trHeight w:val="262"/>
        </w:trPr>
        <w:tc>
          <w:tcPr>
            <w:tcW w:w="3539" w:type="dxa"/>
            <w:tcBorders>
              <w:top w:val="nil"/>
              <w:bottom w:val="single" w:sz="4" w:space="0" w:color="auto"/>
            </w:tcBorders>
          </w:tcPr>
          <w:p w14:paraId="094E3C5E" w14:textId="71104AA8" w:rsidR="002C691C" w:rsidRPr="002C691C" w:rsidRDefault="002C691C" w:rsidP="002C691C">
            <w:pPr>
              <w:spacing w:after="0" w:line="240" w:lineRule="auto"/>
              <w:rPr>
                <w:rFonts w:asciiTheme="majorBidi" w:eastAsiaTheme="minorEastAsia" w:hAnsiTheme="majorBidi" w:cstheme="majorBidi"/>
              </w:rPr>
            </w:pPr>
            <w:r w:rsidRPr="002C691C">
              <w:rPr>
                <w:rFonts w:asciiTheme="majorBidi" w:eastAsiaTheme="minorEastAsia" w:hAnsiTheme="majorBidi" w:cstheme="majorBidi"/>
              </w:rPr>
              <w:t>Estimated mean ABR</w:t>
            </w:r>
            <w:r w:rsidR="00C8538D" w:rsidRPr="000E1342">
              <w:rPr>
                <w:rFonts w:asciiTheme="majorBidi" w:eastAsiaTheme="minorEastAsia" w:hAnsiTheme="majorBidi" w:cstheme="majorBidi"/>
              </w:rPr>
              <w:t xml:space="preserve"> </w:t>
            </w:r>
            <w:r w:rsidR="00C8538D" w:rsidRPr="002C691C">
              <w:rPr>
                <w:rFonts w:asciiTheme="majorBidi" w:eastAsiaTheme="minorEastAsia" w:hAnsiTheme="majorBidi" w:cstheme="majorBidi"/>
              </w:rPr>
              <w:t>(95% CI)</w:t>
            </w:r>
          </w:p>
        </w:tc>
        <w:tc>
          <w:tcPr>
            <w:tcW w:w="1843" w:type="dxa"/>
            <w:tcBorders>
              <w:top w:val="nil"/>
              <w:bottom w:val="single" w:sz="4" w:space="0" w:color="auto"/>
            </w:tcBorders>
          </w:tcPr>
          <w:p w14:paraId="196E89A3"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1.74 (1.10;2.76)</w:t>
            </w:r>
          </w:p>
        </w:tc>
        <w:tc>
          <w:tcPr>
            <w:tcW w:w="1843" w:type="dxa"/>
            <w:tcBorders>
              <w:top w:val="nil"/>
              <w:bottom w:val="single" w:sz="4" w:space="0" w:color="auto"/>
            </w:tcBorders>
          </w:tcPr>
          <w:p w14:paraId="40A3017D" w14:textId="52C0982F"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2.36</w:t>
            </w:r>
            <w:r w:rsidR="001177B6">
              <w:rPr>
                <w:rFonts w:asciiTheme="majorBidi" w:eastAsiaTheme="minorEastAsia" w:hAnsiTheme="majorBidi" w:cstheme="majorBidi"/>
              </w:rPr>
              <w:t xml:space="preserve"> </w:t>
            </w:r>
            <w:r w:rsidRPr="002C691C">
              <w:rPr>
                <w:rFonts w:asciiTheme="majorBidi" w:eastAsiaTheme="minorEastAsia" w:hAnsiTheme="majorBidi" w:cstheme="majorBidi"/>
              </w:rPr>
              <w:t>(1.79;311)</w:t>
            </w:r>
          </w:p>
        </w:tc>
        <w:tc>
          <w:tcPr>
            <w:tcW w:w="1791" w:type="dxa"/>
            <w:tcBorders>
              <w:top w:val="nil"/>
              <w:bottom w:val="single" w:sz="4" w:space="0" w:color="auto"/>
            </w:tcBorders>
          </w:tcPr>
          <w:p w14:paraId="487CF8FE" w14:textId="77777777" w:rsidR="002C691C" w:rsidRPr="002C691C" w:rsidRDefault="002C691C" w:rsidP="00CE2087">
            <w:pPr>
              <w:spacing w:after="0" w:line="240" w:lineRule="auto"/>
              <w:jc w:val="center"/>
              <w:rPr>
                <w:rFonts w:asciiTheme="majorBidi" w:eastAsiaTheme="minorEastAsia" w:hAnsiTheme="majorBidi" w:cstheme="majorBidi"/>
              </w:rPr>
            </w:pPr>
            <w:r w:rsidRPr="002C691C">
              <w:rPr>
                <w:rFonts w:asciiTheme="majorBidi" w:eastAsiaTheme="minorEastAsia" w:hAnsiTheme="majorBidi" w:cstheme="majorBidi"/>
              </w:rPr>
              <w:t>2.27 (1.76;2.92)</w:t>
            </w:r>
          </w:p>
        </w:tc>
      </w:tr>
    </w:tbl>
    <w:p w14:paraId="1A546132" w14:textId="549BBEA3" w:rsidR="002D5766" w:rsidRPr="000E1342" w:rsidRDefault="00225A5B" w:rsidP="002F2898">
      <w:pPr>
        <w:spacing w:line="240" w:lineRule="auto"/>
        <w:rPr>
          <w:rFonts w:asciiTheme="majorBidi" w:hAnsiTheme="majorBidi" w:cstheme="majorBidi"/>
          <w:iCs/>
          <w:sz w:val="20"/>
          <w:szCs w:val="20"/>
        </w:rPr>
      </w:pPr>
      <w:r w:rsidRPr="000E1342">
        <w:rPr>
          <w:rFonts w:asciiTheme="majorBidi" w:hAnsiTheme="majorBidi" w:cstheme="majorBidi"/>
          <w:iCs/>
          <w:sz w:val="20"/>
          <w:szCs w:val="20"/>
        </w:rPr>
        <w:t>ABR</w:t>
      </w:r>
      <w:r w:rsidR="00F14246" w:rsidRPr="000E1342">
        <w:rPr>
          <w:rFonts w:asciiTheme="majorBidi" w:hAnsiTheme="majorBidi" w:cstheme="majorBidi"/>
          <w:iCs/>
          <w:sz w:val="20"/>
          <w:szCs w:val="20"/>
        </w:rPr>
        <w:t xml:space="preserve"> </w:t>
      </w:r>
      <w:r w:rsidRPr="000E1342">
        <w:rPr>
          <w:rFonts w:asciiTheme="majorBidi" w:hAnsiTheme="majorBidi" w:cstheme="majorBidi"/>
          <w:iCs/>
          <w:sz w:val="20"/>
          <w:szCs w:val="20"/>
        </w:rPr>
        <w:t>=</w:t>
      </w:r>
      <w:r w:rsidR="00F14246" w:rsidRPr="000E1342">
        <w:rPr>
          <w:rFonts w:asciiTheme="majorBidi" w:hAnsiTheme="majorBidi" w:cstheme="majorBidi"/>
          <w:iCs/>
          <w:sz w:val="20"/>
          <w:szCs w:val="20"/>
        </w:rPr>
        <w:t xml:space="preserve"> annualised bleeding rate</w:t>
      </w:r>
      <w:r w:rsidRPr="000E1342">
        <w:rPr>
          <w:rFonts w:asciiTheme="majorBidi" w:hAnsiTheme="majorBidi" w:cstheme="majorBidi"/>
          <w:iCs/>
          <w:sz w:val="20"/>
          <w:szCs w:val="20"/>
        </w:rPr>
        <w:t xml:space="preserve">; </w:t>
      </w:r>
      <w:r w:rsidR="00F14246" w:rsidRPr="000E1342">
        <w:rPr>
          <w:rFonts w:asciiTheme="majorBidi" w:hAnsiTheme="majorBidi" w:cstheme="majorBidi"/>
          <w:iCs/>
          <w:sz w:val="20"/>
          <w:szCs w:val="20"/>
        </w:rPr>
        <w:t>CI = confidence interval; IQR</w:t>
      </w:r>
      <w:r w:rsidR="005E2C91" w:rsidRPr="000E1342">
        <w:rPr>
          <w:rFonts w:asciiTheme="majorBidi" w:hAnsiTheme="majorBidi" w:cstheme="majorBidi"/>
          <w:iCs/>
          <w:sz w:val="20"/>
          <w:szCs w:val="20"/>
        </w:rPr>
        <w:t xml:space="preserve"> </w:t>
      </w:r>
      <w:r w:rsidR="00F14246" w:rsidRPr="000E1342">
        <w:rPr>
          <w:rFonts w:asciiTheme="majorBidi" w:hAnsiTheme="majorBidi" w:cstheme="majorBidi"/>
          <w:iCs/>
          <w:sz w:val="20"/>
          <w:szCs w:val="20"/>
        </w:rPr>
        <w:t>=</w:t>
      </w:r>
      <w:r w:rsidR="005E2C91" w:rsidRPr="000E1342">
        <w:rPr>
          <w:rFonts w:asciiTheme="majorBidi" w:hAnsiTheme="majorBidi" w:cstheme="majorBidi"/>
          <w:iCs/>
          <w:sz w:val="20"/>
          <w:szCs w:val="20"/>
        </w:rPr>
        <w:t xml:space="preserve"> interquartile range</w:t>
      </w:r>
      <w:r w:rsidR="00F14246" w:rsidRPr="000E1342">
        <w:rPr>
          <w:rFonts w:asciiTheme="majorBidi" w:hAnsiTheme="majorBidi" w:cstheme="majorBidi"/>
          <w:iCs/>
          <w:sz w:val="20"/>
          <w:szCs w:val="20"/>
        </w:rPr>
        <w:t>;</w:t>
      </w:r>
      <w:r w:rsidR="005E2C91" w:rsidRPr="000E1342">
        <w:rPr>
          <w:rFonts w:asciiTheme="majorBidi" w:hAnsiTheme="majorBidi" w:cstheme="majorBidi"/>
          <w:iCs/>
          <w:sz w:val="20"/>
          <w:szCs w:val="20"/>
        </w:rPr>
        <w:t xml:space="preserve"> No = number;</w:t>
      </w:r>
      <w:r w:rsidR="00F14246" w:rsidRPr="000E1342">
        <w:rPr>
          <w:rFonts w:asciiTheme="majorBidi" w:hAnsiTheme="majorBidi" w:cstheme="majorBidi"/>
          <w:iCs/>
          <w:sz w:val="20"/>
          <w:szCs w:val="20"/>
        </w:rPr>
        <w:t xml:space="preserve"> Pts</w:t>
      </w:r>
      <w:r w:rsidR="005E2C91" w:rsidRPr="000E1342">
        <w:rPr>
          <w:rFonts w:asciiTheme="majorBidi" w:hAnsiTheme="majorBidi" w:cstheme="majorBidi"/>
          <w:iCs/>
          <w:sz w:val="20"/>
          <w:szCs w:val="20"/>
        </w:rPr>
        <w:t xml:space="preserve"> </w:t>
      </w:r>
      <w:r w:rsidR="00F14246" w:rsidRPr="000E1342">
        <w:rPr>
          <w:rFonts w:asciiTheme="majorBidi" w:hAnsiTheme="majorBidi" w:cstheme="majorBidi"/>
          <w:iCs/>
          <w:sz w:val="20"/>
          <w:szCs w:val="20"/>
        </w:rPr>
        <w:t>=</w:t>
      </w:r>
      <w:r w:rsidR="005E2C91" w:rsidRPr="000E1342">
        <w:rPr>
          <w:rFonts w:asciiTheme="majorBidi" w:hAnsiTheme="majorBidi" w:cstheme="majorBidi"/>
          <w:iCs/>
          <w:sz w:val="20"/>
          <w:szCs w:val="20"/>
        </w:rPr>
        <w:t xml:space="preserve"> </w:t>
      </w:r>
      <w:r w:rsidR="00F14246" w:rsidRPr="000E1342">
        <w:rPr>
          <w:rFonts w:asciiTheme="majorBidi" w:hAnsiTheme="majorBidi" w:cstheme="majorBidi"/>
          <w:iCs/>
          <w:sz w:val="20"/>
          <w:szCs w:val="20"/>
        </w:rPr>
        <w:t>patients</w:t>
      </w:r>
    </w:p>
    <w:p w14:paraId="33476436" w14:textId="3B8938CA" w:rsidR="006E40B1" w:rsidRPr="000E1342" w:rsidRDefault="004059BC" w:rsidP="004059BC">
      <w:pPr>
        <w:rPr>
          <w:rFonts w:asciiTheme="majorBidi" w:hAnsiTheme="majorBidi" w:cstheme="majorBidi"/>
          <w:sz w:val="24"/>
          <w:szCs w:val="24"/>
        </w:rPr>
      </w:pPr>
      <w:r w:rsidRPr="000E1342">
        <w:rPr>
          <w:rFonts w:asciiTheme="majorBidi" w:hAnsiTheme="majorBidi" w:cstheme="majorBidi"/>
          <w:sz w:val="24"/>
          <w:szCs w:val="24"/>
        </w:rPr>
        <w:t>No obvious differences in terms of ABR were found between different age groups.</w:t>
      </w:r>
    </w:p>
    <w:p w14:paraId="67E81D0B" w14:textId="7CC4F049" w:rsidR="006710AB" w:rsidRPr="000E1342" w:rsidRDefault="006710AB" w:rsidP="006710AB">
      <w:pPr>
        <w:rPr>
          <w:rFonts w:asciiTheme="majorBidi" w:hAnsiTheme="majorBidi" w:cstheme="majorBidi"/>
          <w:sz w:val="24"/>
          <w:szCs w:val="24"/>
          <w:u w:val="single"/>
        </w:rPr>
      </w:pPr>
      <w:r w:rsidRPr="000E1342">
        <w:rPr>
          <w:rFonts w:asciiTheme="majorBidi" w:hAnsiTheme="majorBidi" w:cstheme="majorBidi"/>
          <w:sz w:val="24"/>
          <w:szCs w:val="24"/>
          <w:u w:val="single"/>
        </w:rPr>
        <w:t>Routine prophylaxis in children (</w:t>
      </w:r>
      <w:r w:rsidR="00F663C4" w:rsidRPr="000E1342">
        <w:rPr>
          <w:rFonts w:asciiTheme="majorBidi" w:hAnsiTheme="majorBidi" w:cstheme="majorBidi"/>
          <w:sz w:val="24"/>
          <w:szCs w:val="24"/>
          <w:u w:val="single"/>
        </w:rPr>
        <w:t>below</w:t>
      </w:r>
      <w:r w:rsidRPr="000E1342">
        <w:rPr>
          <w:rFonts w:asciiTheme="majorBidi" w:hAnsiTheme="majorBidi" w:cstheme="majorBidi"/>
          <w:sz w:val="24"/>
          <w:szCs w:val="24"/>
          <w:u w:val="single"/>
        </w:rPr>
        <w:t xml:space="preserve"> 12</w:t>
      </w:r>
      <w:r w:rsidR="00F663C4" w:rsidRPr="000E1342">
        <w:rPr>
          <w:rFonts w:asciiTheme="majorBidi" w:hAnsiTheme="majorBidi" w:cstheme="majorBidi"/>
          <w:sz w:val="24"/>
          <w:szCs w:val="24"/>
          <w:u w:val="single"/>
        </w:rPr>
        <w:t xml:space="preserve"> years</w:t>
      </w:r>
      <w:r w:rsidRPr="000E1342">
        <w:rPr>
          <w:rFonts w:asciiTheme="majorBidi" w:hAnsiTheme="majorBidi" w:cstheme="majorBidi"/>
          <w:sz w:val="24"/>
          <w:szCs w:val="24"/>
          <w:u w:val="single"/>
        </w:rPr>
        <w:t>)</w:t>
      </w:r>
    </w:p>
    <w:p w14:paraId="4EAF1739" w14:textId="62469A41" w:rsidR="006710AB" w:rsidRPr="000E1342" w:rsidRDefault="006710AB" w:rsidP="006710AB">
      <w:pPr>
        <w:rPr>
          <w:rFonts w:asciiTheme="majorBidi" w:hAnsiTheme="majorBidi" w:cstheme="majorBidi"/>
          <w:sz w:val="24"/>
          <w:szCs w:val="24"/>
        </w:rPr>
      </w:pPr>
      <w:r w:rsidRPr="000E1342">
        <w:rPr>
          <w:rFonts w:asciiTheme="majorBidi" w:hAnsiTheme="majorBidi" w:cstheme="majorBidi"/>
          <w:sz w:val="24"/>
          <w:szCs w:val="24"/>
        </w:rPr>
        <w:t xml:space="preserve">In total, 68 children under 12 years of age received prophylactic treatment with </w:t>
      </w:r>
      <w:r w:rsidR="00EE565D">
        <w:rPr>
          <w:rFonts w:asciiTheme="majorBidi" w:hAnsiTheme="majorBidi" w:cstheme="majorBidi"/>
          <w:sz w:val="24"/>
          <w:szCs w:val="24"/>
        </w:rPr>
        <w:t>ESPEROCT</w:t>
      </w:r>
      <w:r w:rsidRPr="000E1342">
        <w:rPr>
          <w:rFonts w:asciiTheme="majorBidi" w:hAnsiTheme="majorBidi" w:cstheme="majorBidi"/>
          <w:sz w:val="24"/>
          <w:szCs w:val="24"/>
        </w:rPr>
        <w:t>, with a dose of 65 IU per kg body weight (50 – 75 IU/kg) twice weekly</w:t>
      </w:r>
      <w:r w:rsidR="000F5B12">
        <w:rPr>
          <w:rFonts w:asciiTheme="majorBidi" w:hAnsiTheme="majorBidi" w:cstheme="majorBidi"/>
          <w:sz w:val="24"/>
          <w:szCs w:val="24"/>
        </w:rPr>
        <w:t xml:space="preserve"> (see Table 5)</w:t>
      </w:r>
      <w:r w:rsidRPr="000E1342">
        <w:rPr>
          <w:rFonts w:asciiTheme="majorBidi" w:hAnsiTheme="majorBidi" w:cstheme="majorBidi"/>
          <w:sz w:val="24"/>
          <w:szCs w:val="24"/>
        </w:rPr>
        <w:t xml:space="preserve">. </w:t>
      </w:r>
      <w:r w:rsidR="00AD6288" w:rsidRPr="00AD6288">
        <w:rPr>
          <w:rFonts w:asciiTheme="majorBidi" w:hAnsiTheme="majorBidi" w:cstheme="majorBidi"/>
          <w:sz w:val="24"/>
          <w:szCs w:val="24"/>
        </w:rPr>
        <w:t>The median and estimated mean annualised bleeding rate in children below 12 years receiving ESPEROCT twice weekly was 1.95 and 2.13 (95% CI: 1.48;3.06), whereas the spontaneous ABR was 0.00 and 0.58 (95% CI: 0.24;1.40), traumatic ABR was 0.00 and 1.52 (95% CI:1.07;2.17) and joint ABR was 0.00 and 1.03 (95% CI: 0.59;1.81), respectively. Of the 68 children below 12 years on prophylaxis, 29 (42.6%) did not have any bleeds. The mean annual consumption for prophylaxis was 6475 IU/kg.</w:t>
      </w:r>
      <w:r w:rsidRPr="000E1342">
        <w:rPr>
          <w:rFonts w:asciiTheme="majorBidi" w:hAnsiTheme="majorBidi" w:cstheme="majorBidi"/>
          <w:sz w:val="24"/>
          <w:szCs w:val="24"/>
        </w:rPr>
        <w:t xml:space="preserve"> In 29 (42.6%) of the 68 paediatric </w:t>
      </w:r>
      <w:r w:rsidRPr="000E1342">
        <w:rPr>
          <w:rFonts w:asciiTheme="majorBidi" w:hAnsiTheme="majorBidi" w:cstheme="majorBidi"/>
          <w:sz w:val="24"/>
          <w:szCs w:val="24"/>
        </w:rPr>
        <w:lastRenderedPageBreak/>
        <w:t xml:space="preserve">patients, no bleeding occurred during prophylactic treatment with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at a dose of 65 IU/kg (50 – 75 IU/kg). </w:t>
      </w:r>
    </w:p>
    <w:p w14:paraId="5141E5E7" w14:textId="2C2AFEC4" w:rsidR="006710AB" w:rsidRPr="000E1342" w:rsidRDefault="002D20D4" w:rsidP="006710AB">
      <w:pPr>
        <w:rPr>
          <w:rFonts w:asciiTheme="majorBidi" w:hAnsiTheme="majorBidi" w:cstheme="majorBidi"/>
          <w:sz w:val="24"/>
          <w:szCs w:val="24"/>
        </w:rPr>
      </w:pPr>
      <w:r>
        <w:rPr>
          <w:rFonts w:asciiTheme="majorBidi" w:hAnsiTheme="majorBidi" w:cstheme="majorBidi"/>
          <w:sz w:val="24"/>
          <w:szCs w:val="24"/>
        </w:rPr>
        <w:t>O</w:t>
      </w:r>
      <w:r w:rsidR="006710AB" w:rsidRPr="000E1342">
        <w:rPr>
          <w:rFonts w:asciiTheme="majorBidi" w:hAnsiTheme="majorBidi" w:cstheme="majorBidi"/>
          <w:sz w:val="24"/>
          <w:szCs w:val="24"/>
        </w:rPr>
        <w:t>ut of 13 patients with 17 target joints at baseline</w:t>
      </w:r>
      <w:r>
        <w:rPr>
          <w:rFonts w:asciiTheme="majorBidi" w:hAnsiTheme="majorBidi" w:cstheme="majorBidi"/>
          <w:sz w:val="24"/>
          <w:szCs w:val="24"/>
        </w:rPr>
        <w:t>, 10</w:t>
      </w:r>
      <w:r w:rsidR="006710AB" w:rsidRPr="000E1342">
        <w:rPr>
          <w:rFonts w:asciiTheme="majorBidi" w:hAnsiTheme="majorBidi" w:cstheme="majorBidi"/>
          <w:sz w:val="24"/>
          <w:szCs w:val="24"/>
        </w:rPr>
        <w:t xml:space="preserve"> had no bleeding in 14 of their target joints during the 12-month treatment phase. </w:t>
      </w:r>
    </w:p>
    <w:p w14:paraId="681DBEB5" w14:textId="02127C1B" w:rsidR="006710AB" w:rsidRDefault="006710AB" w:rsidP="006710AB">
      <w:pPr>
        <w:rPr>
          <w:rFonts w:asciiTheme="majorBidi" w:hAnsiTheme="majorBidi" w:cstheme="majorBidi"/>
          <w:sz w:val="24"/>
          <w:szCs w:val="24"/>
        </w:rPr>
      </w:pPr>
      <w:r w:rsidRPr="000E1342">
        <w:rPr>
          <w:rFonts w:asciiTheme="majorBidi" w:hAnsiTheme="majorBidi" w:cstheme="majorBidi"/>
          <w:sz w:val="24"/>
          <w:szCs w:val="24"/>
        </w:rPr>
        <w:t>If the data from the extension phase of the trial with the mean exposure of 3.4 years are included, the median annualised bleeding rate is 0.98 (IQR: 0.27; 1.44).</w:t>
      </w:r>
    </w:p>
    <w:p w14:paraId="2AAB7A6B" w14:textId="6E19F60E" w:rsidR="00AE3BBC" w:rsidRPr="000F5B12" w:rsidRDefault="00AE3BBC" w:rsidP="000F5B12">
      <w:pPr>
        <w:pStyle w:val="Caption"/>
        <w:keepNext/>
        <w:ind w:left="1440" w:hanging="1440"/>
        <w:rPr>
          <w:rFonts w:asciiTheme="majorBidi" w:hAnsiTheme="majorBidi" w:cstheme="majorBidi"/>
          <w:b/>
          <w:i w:val="0"/>
          <w:iCs w:val="0"/>
          <w:color w:val="auto"/>
          <w:sz w:val="24"/>
          <w:szCs w:val="24"/>
        </w:rPr>
      </w:pPr>
      <w:r w:rsidRPr="000E1342">
        <w:rPr>
          <w:rFonts w:asciiTheme="majorBidi" w:hAnsiTheme="majorBidi" w:cstheme="majorBidi"/>
          <w:b/>
          <w:i w:val="0"/>
          <w:iCs w:val="0"/>
          <w:color w:val="auto"/>
          <w:sz w:val="24"/>
          <w:szCs w:val="24"/>
        </w:rPr>
        <w:t xml:space="preserve">Table </w:t>
      </w:r>
      <w:r>
        <w:rPr>
          <w:rFonts w:asciiTheme="majorBidi" w:hAnsiTheme="majorBidi" w:cstheme="majorBidi"/>
          <w:b/>
          <w:i w:val="0"/>
          <w:iCs w:val="0"/>
          <w:color w:val="auto"/>
          <w:sz w:val="24"/>
          <w:szCs w:val="24"/>
        </w:rPr>
        <w:t>5</w:t>
      </w:r>
      <w:r w:rsidRPr="000E1342">
        <w:rPr>
          <w:rFonts w:asciiTheme="majorBidi" w:hAnsiTheme="majorBidi" w:cstheme="majorBidi"/>
          <w:b/>
          <w:i w:val="0"/>
          <w:iCs w:val="0"/>
          <w:color w:val="auto"/>
          <w:sz w:val="24"/>
          <w:szCs w:val="24"/>
        </w:rPr>
        <w:tab/>
        <w:t xml:space="preserve">Efficacy of </w:t>
      </w:r>
      <w:r w:rsidR="00EE565D">
        <w:rPr>
          <w:rFonts w:asciiTheme="majorBidi" w:hAnsiTheme="majorBidi" w:cstheme="majorBidi"/>
          <w:b/>
          <w:i w:val="0"/>
          <w:iCs w:val="0"/>
          <w:color w:val="auto"/>
          <w:sz w:val="24"/>
          <w:szCs w:val="24"/>
        </w:rPr>
        <w:t>ESPEROCT</w:t>
      </w:r>
      <w:r w:rsidRPr="000E1342">
        <w:rPr>
          <w:rFonts w:asciiTheme="majorBidi" w:hAnsiTheme="majorBidi" w:cstheme="majorBidi"/>
          <w:b/>
          <w:i w:val="0"/>
          <w:iCs w:val="0"/>
          <w:color w:val="auto"/>
          <w:sz w:val="24"/>
          <w:szCs w:val="24"/>
        </w:rPr>
        <w:t xml:space="preserve"> in routine prophylaxis in </w:t>
      </w:r>
      <w:r w:rsidR="00A36E3E">
        <w:rPr>
          <w:rFonts w:asciiTheme="majorBidi" w:hAnsiTheme="majorBidi" w:cstheme="majorBidi"/>
          <w:b/>
          <w:i w:val="0"/>
          <w:iCs w:val="0"/>
          <w:color w:val="auto"/>
          <w:sz w:val="24"/>
          <w:szCs w:val="24"/>
        </w:rPr>
        <w:t>children below 12 years</w:t>
      </w:r>
      <w:r w:rsidRPr="000E1342">
        <w:rPr>
          <w:rFonts w:asciiTheme="majorBidi" w:hAnsiTheme="majorBidi" w:cstheme="majorBidi"/>
          <w:b/>
          <w:i w:val="0"/>
          <w:iCs w:val="0"/>
          <w:color w:val="auto"/>
          <w:sz w:val="24"/>
          <w:szCs w:val="24"/>
        </w:rPr>
        <w:t xml:space="preserve">, median/estimated mean ABR by bleed </w:t>
      </w:r>
      <w:proofErr w:type="gramStart"/>
      <w:r w:rsidRPr="000E1342">
        <w:rPr>
          <w:rFonts w:asciiTheme="majorBidi" w:hAnsiTheme="majorBidi" w:cstheme="majorBidi"/>
          <w:b/>
          <w:i w:val="0"/>
          <w:iCs w:val="0"/>
          <w:color w:val="auto"/>
          <w:sz w:val="24"/>
          <w:szCs w:val="24"/>
        </w:rPr>
        <w:t>type</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11"/>
        <w:gridCol w:w="1732"/>
        <w:gridCol w:w="1844"/>
        <w:gridCol w:w="1934"/>
      </w:tblGrid>
      <w:tr w:rsidR="006C64D9" w:rsidRPr="00B4575E" w14:paraId="4F2072C3" w14:textId="77777777" w:rsidTr="006C64D9">
        <w:trPr>
          <w:trHeight w:val="251"/>
        </w:trPr>
        <w:tc>
          <w:tcPr>
            <w:tcW w:w="1946" w:type="pct"/>
            <w:vMerge w:val="restart"/>
            <w:tcBorders>
              <w:top w:val="nil"/>
              <w:left w:val="nil"/>
              <w:bottom w:val="nil"/>
              <w:right w:val="single" w:sz="4" w:space="0" w:color="auto"/>
            </w:tcBorders>
          </w:tcPr>
          <w:p w14:paraId="12F4D0A4" w14:textId="77777777" w:rsidR="00B4575E" w:rsidRDefault="00B4575E" w:rsidP="00F808F6">
            <w:pPr>
              <w:spacing w:after="0" w:line="240" w:lineRule="auto"/>
              <w:rPr>
                <w:rFonts w:asciiTheme="majorBidi" w:hAnsiTheme="majorBidi" w:cstheme="majorBidi"/>
                <w:lang w:val="en-US"/>
              </w:rPr>
            </w:pPr>
          </w:p>
          <w:p w14:paraId="1E2F0247" w14:textId="25D90DD8" w:rsidR="006C64D9" w:rsidRPr="00B4575E" w:rsidRDefault="006C64D9" w:rsidP="006C64D9">
            <w:pPr>
              <w:rPr>
                <w:rFonts w:asciiTheme="majorBidi" w:hAnsiTheme="majorBidi" w:cstheme="majorBidi"/>
                <w:lang w:val="en-US"/>
              </w:rPr>
            </w:pPr>
          </w:p>
        </w:tc>
        <w:tc>
          <w:tcPr>
            <w:tcW w:w="3054" w:type="pct"/>
            <w:gridSpan w:val="3"/>
            <w:tcBorders>
              <w:left w:val="single" w:sz="4" w:space="0" w:color="auto"/>
              <w:bottom w:val="nil"/>
            </w:tcBorders>
          </w:tcPr>
          <w:p w14:paraId="0C7712FF" w14:textId="77777777" w:rsidR="00B4575E" w:rsidRPr="00B4575E" w:rsidRDefault="00B4575E" w:rsidP="00C51D24">
            <w:pPr>
              <w:spacing w:after="0" w:line="240" w:lineRule="auto"/>
              <w:jc w:val="center"/>
              <w:rPr>
                <w:rFonts w:asciiTheme="majorBidi" w:hAnsiTheme="majorBidi" w:cstheme="majorBidi"/>
                <w:b/>
                <w:bCs/>
                <w:lang w:val="en-US"/>
              </w:rPr>
            </w:pPr>
            <w:r w:rsidRPr="00B4575E">
              <w:rPr>
                <w:rFonts w:asciiTheme="majorBidi" w:hAnsiTheme="majorBidi" w:cstheme="majorBidi"/>
                <w:b/>
                <w:bCs/>
                <w:lang w:val="en-US"/>
              </w:rPr>
              <w:t>Prophylaxis Regimen</w:t>
            </w:r>
          </w:p>
        </w:tc>
      </w:tr>
      <w:tr w:rsidR="006C64D9" w:rsidRPr="00B4575E" w14:paraId="110F8485" w14:textId="77777777" w:rsidTr="006C64D9">
        <w:trPr>
          <w:trHeight w:val="285"/>
        </w:trPr>
        <w:tc>
          <w:tcPr>
            <w:tcW w:w="1946" w:type="pct"/>
            <w:vMerge/>
            <w:tcBorders>
              <w:top w:val="nil"/>
              <w:left w:val="nil"/>
              <w:bottom w:val="nil"/>
              <w:right w:val="single" w:sz="4" w:space="0" w:color="auto"/>
            </w:tcBorders>
          </w:tcPr>
          <w:p w14:paraId="2ADF9089" w14:textId="77777777" w:rsidR="00B4575E" w:rsidRPr="00B4575E" w:rsidRDefault="00B4575E" w:rsidP="00F808F6">
            <w:pPr>
              <w:spacing w:after="0" w:line="240" w:lineRule="auto"/>
              <w:rPr>
                <w:rFonts w:asciiTheme="majorBidi" w:hAnsiTheme="majorBidi" w:cstheme="majorBidi"/>
                <w:lang w:val="en-US"/>
              </w:rPr>
            </w:pPr>
          </w:p>
        </w:tc>
        <w:tc>
          <w:tcPr>
            <w:tcW w:w="3054" w:type="pct"/>
            <w:gridSpan w:val="3"/>
            <w:tcBorders>
              <w:top w:val="nil"/>
              <w:left w:val="single" w:sz="4" w:space="0" w:color="auto"/>
            </w:tcBorders>
          </w:tcPr>
          <w:p w14:paraId="5DB8AE9C" w14:textId="2BB25434" w:rsidR="00B4575E" w:rsidRPr="00B4575E" w:rsidRDefault="006C02BD" w:rsidP="00C51D24">
            <w:pPr>
              <w:spacing w:after="0" w:line="240" w:lineRule="auto"/>
              <w:jc w:val="center"/>
              <w:rPr>
                <w:rFonts w:asciiTheme="majorBidi" w:hAnsiTheme="majorBidi" w:cstheme="majorBidi"/>
                <w:b/>
                <w:bCs/>
                <w:lang w:val="en-US"/>
              </w:rPr>
            </w:pPr>
            <w:r>
              <w:rPr>
                <w:rFonts w:asciiTheme="majorBidi" w:hAnsiTheme="majorBidi" w:cstheme="majorBidi"/>
                <w:b/>
                <w:bCs/>
                <w:lang w:val="en-US"/>
              </w:rPr>
              <w:t>65</w:t>
            </w:r>
            <w:r w:rsidRPr="00B4575E">
              <w:rPr>
                <w:rFonts w:asciiTheme="majorBidi" w:hAnsiTheme="majorBidi" w:cstheme="majorBidi"/>
                <w:b/>
                <w:bCs/>
                <w:lang w:val="en-US"/>
              </w:rPr>
              <w:t xml:space="preserve"> </w:t>
            </w:r>
            <w:r w:rsidR="00B4575E" w:rsidRPr="00B4575E">
              <w:rPr>
                <w:rFonts w:asciiTheme="majorBidi" w:hAnsiTheme="majorBidi" w:cstheme="majorBidi"/>
                <w:b/>
                <w:bCs/>
                <w:lang w:val="en-US"/>
              </w:rPr>
              <w:t xml:space="preserve">IU/kg (50–75 IU/kg) </w:t>
            </w:r>
            <w:r w:rsidR="0096356A">
              <w:rPr>
                <w:rFonts w:asciiTheme="majorBidi" w:hAnsiTheme="majorBidi" w:cstheme="majorBidi"/>
                <w:b/>
                <w:bCs/>
                <w:lang w:val="en-US"/>
              </w:rPr>
              <w:t>twice weekly</w:t>
            </w:r>
          </w:p>
        </w:tc>
      </w:tr>
      <w:tr w:rsidR="006C64D9" w:rsidRPr="00B4575E" w14:paraId="3DF91A4D" w14:textId="77777777" w:rsidTr="006C64D9">
        <w:trPr>
          <w:trHeight w:val="250"/>
        </w:trPr>
        <w:tc>
          <w:tcPr>
            <w:tcW w:w="1946" w:type="pct"/>
            <w:vMerge/>
            <w:tcBorders>
              <w:top w:val="nil"/>
              <w:left w:val="nil"/>
              <w:bottom w:val="nil"/>
              <w:right w:val="single" w:sz="4" w:space="0" w:color="auto"/>
            </w:tcBorders>
          </w:tcPr>
          <w:p w14:paraId="1B5BA0BC" w14:textId="77777777" w:rsidR="00B4575E" w:rsidRPr="00B4575E" w:rsidRDefault="00B4575E" w:rsidP="00F808F6">
            <w:pPr>
              <w:spacing w:after="0" w:line="240" w:lineRule="auto"/>
              <w:rPr>
                <w:rFonts w:asciiTheme="majorBidi" w:hAnsiTheme="majorBidi" w:cstheme="majorBidi"/>
                <w:lang w:val="en-US"/>
              </w:rPr>
            </w:pPr>
          </w:p>
        </w:tc>
        <w:tc>
          <w:tcPr>
            <w:tcW w:w="960" w:type="pct"/>
            <w:tcBorders>
              <w:left w:val="single" w:sz="4" w:space="0" w:color="auto"/>
              <w:bottom w:val="nil"/>
            </w:tcBorders>
          </w:tcPr>
          <w:p w14:paraId="25320B8A" w14:textId="77777777" w:rsidR="00B4575E" w:rsidRPr="00B4575E" w:rsidRDefault="00B4575E" w:rsidP="00C51D24">
            <w:pPr>
              <w:spacing w:after="0" w:line="240" w:lineRule="auto"/>
              <w:jc w:val="center"/>
              <w:rPr>
                <w:rFonts w:asciiTheme="majorBidi" w:hAnsiTheme="majorBidi" w:cstheme="majorBidi"/>
                <w:b/>
                <w:bCs/>
                <w:lang w:val="en-US"/>
              </w:rPr>
            </w:pPr>
            <w:r w:rsidRPr="00B4575E">
              <w:rPr>
                <w:rFonts w:asciiTheme="majorBidi" w:hAnsiTheme="majorBidi" w:cstheme="majorBidi"/>
                <w:b/>
                <w:bCs/>
                <w:lang w:val="en-US"/>
              </w:rPr>
              <w:t>0 to below 6 years</w:t>
            </w:r>
          </w:p>
        </w:tc>
        <w:tc>
          <w:tcPr>
            <w:tcW w:w="1022" w:type="pct"/>
            <w:tcBorders>
              <w:bottom w:val="nil"/>
            </w:tcBorders>
          </w:tcPr>
          <w:p w14:paraId="0BF16C4D" w14:textId="77777777" w:rsidR="00B4575E" w:rsidRPr="00B4575E" w:rsidRDefault="00B4575E" w:rsidP="00C51D24">
            <w:pPr>
              <w:spacing w:after="0" w:line="240" w:lineRule="auto"/>
              <w:jc w:val="center"/>
              <w:rPr>
                <w:rFonts w:asciiTheme="majorBidi" w:hAnsiTheme="majorBidi" w:cstheme="majorBidi"/>
                <w:b/>
                <w:bCs/>
                <w:lang w:val="en-US"/>
              </w:rPr>
            </w:pPr>
            <w:r w:rsidRPr="00B4575E">
              <w:rPr>
                <w:rFonts w:asciiTheme="majorBidi" w:hAnsiTheme="majorBidi" w:cstheme="majorBidi"/>
                <w:b/>
                <w:bCs/>
                <w:lang w:val="en-US"/>
              </w:rPr>
              <w:t>6 to below 12 years</w:t>
            </w:r>
          </w:p>
        </w:tc>
        <w:tc>
          <w:tcPr>
            <w:tcW w:w="1072" w:type="pct"/>
            <w:tcBorders>
              <w:bottom w:val="nil"/>
            </w:tcBorders>
          </w:tcPr>
          <w:p w14:paraId="47D47E2B" w14:textId="77777777" w:rsidR="00B4575E" w:rsidRPr="00B4575E" w:rsidRDefault="00B4575E" w:rsidP="00C51D24">
            <w:pPr>
              <w:spacing w:after="0" w:line="240" w:lineRule="auto"/>
              <w:jc w:val="center"/>
              <w:rPr>
                <w:rFonts w:asciiTheme="majorBidi" w:hAnsiTheme="majorBidi" w:cstheme="majorBidi"/>
                <w:b/>
                <w:bCs/>
                <w:lang w:val="en-US"/>
              </w:rPr>
            </w:pPr>
            <w:r w:rsidRPr="00B4575E">
              <w:rPr>
                <w:rFonts w:asciiTheme="majorBidi" w:hAnsiTheme="majorBidi" w:cstheme="majorBidi"/>
                <w:b/>
                <w:bCs/>
                <w:lang w:val="en-US"/>
              </w:rPr>
              <w:t>Below 12 years</w:t>
            </w:r>
          </w:p>
        </w:tc>
      </w:tr>
      <w:tr w:rsidR="006C64D9" w:rsidRPr="00B4575E" w14:paraId="591A9E35" w14:textId="77777777" w:rsidTr="006C64D9">
        <w:trPr>
          <w:trHeight w:val="284"/>
        </w:trPr>
        <w:tc>
          <w:tcPr>
            <w:tcW w:w="1946" w:type="pct"/>
            <w:vMerge/>
            <w:tcBorders>
              <w:top w:val="nil"/>
              <w:left w:val="nil"/>
              <w:bottom w:val="single" w:sz="4" w:space="0" w:color="auto"/>
              <w:right w:val="single" w:sz="4" w:space="0" w:color="auto"/>
            </w:tcBorders>
          </w:tcPr>
          <w:p w14:paraId="1872DE48" w14:textId="77777777" w:rsidR="00B4575E" w:rsidRPr="00B4575E" w:rsidRDefault="00B4575E" w:rsidP="00F808F6">
            <w:pPr>
              <w:spacing w:after="0" w:line="240" w:lineRule="auto"/>
              <w:rPr>
                <w:rFonts w:asciiTheme="majorBidi" w:hAnsiTheme="majorBidi" w:cstheme="majorBidi"/>
                <w:lang w:val="en-US"/>
              </w:rPr>
            </w:pPr>
          </w:p>
        </w:tc>
        <w:tc>
          <w:tcPr>
            <w:tcW w:w="960" w:type="pct"/>
            <w:tcBorders>
              <w:top w:val="nil"/>
              <w:left w:val="single" w:sz="4" w:space="0" w:color="auto"/>
              <w:bottom w:val="single" w:sz="4" w:space="0" w:color="auto"/>
            </w:tcBorders>
          </w:tcPr>
          <w:p w14:paraId="09C62FA0" w14:textId="77777777" w:rsidR="00B4575E" w:rsidRPr="00B4575E" w:rsidRDefault="00B4575E" w:rsidP="00C51D24">
            <w:pPr>
              <w:spacing w:after="0" w:line="240" w:lineRule="auto"/>
              <w:jc w:val="center"/>
              <w:rPr>
                <w:rFonts w:asciiTheme="majorBidi" w:hAnsiTheme="majorBidi" w:cstheme="majorBidi"/>
                <w:b/>
                <w:bCs/>
                <w:lang w:val="en-US"/>
              </w:rPr>
            </w:pPr>
            <w:r w:rsidRPr="00B4575E">
              <w:rPr>
                <w:rFonts w:asciiTheme="majorBidi" w:hAnsiTheme="majorBidi" w:cstheme="majorBidi"/>
                <w:b/>
                <w:bCs/>
                <w:lang w:val="en-US"/>
              </w:rPr>
              <w:t>N=34</w:t>
            </w:r>
          </w:p>
        </w:tc>
        <w:tc>
          <w:tcPr>
            <w:tcW w:w="1022" w:type="pct"/>
            <w:tcBorders>
              <w:top w:val="nil"/>
              <w:bottom w:val="single" w:sz="4" w:space="0" w:color="auto"/>
            </w:tcBorders>
          </w:tcPr>
          <w:p w14:paraId="131DBAD6" w14:textId="77777777" w:rsidR="00B4575E" w:rsidRPr="00B4575E" w:rsidRDefault="00B4575E" w:rsidP="00C51D24">
            <w:pPr>
              <w:spacing w:after="0" w:line="240" w:lineRule="auto"/>
              <w:jc w:val="center"/>
              <w:rPr>
                <w:rFonts w:asciiTheme="majorBidi" w:hAnsiTheme="majorBidi" w:cstheme="majorBidi"/>
                <w:b/>
                <w:bCs/>
                <w:lang w:val="en-US"/>
              </w:rPr>
            </w:pPr>
            <w:r w:rsidRPr="00B4575E">
              <w:rPr>
                <w:rFonts w:asciiTheme="majorBidi" w:hAnsiTheme="majorBidi" w:cstheme="majorBidi"/>
                <w:b/>
                <w:bCs/>
                <w:lang w:val="en-US"/>
              </w:rPr>
              <w:t>N=34</w:t>
            </w:r>
          </w:p>
        </w:tc>
        <w:tc>
          <w:tcPr>
            <w:tcW w:w="1072" w:type="pct"/>
            <w:tcBorders>
              <w:top w:val="nil"/>
              <w:bottom w:val="single" w:sz="4" w:space="0" w:color="auto"/>
            </w:tcBorders>
          </w:tcPr>
          <w:p w14:paraId="76954F92" w14:textId="77777777" w:rsidR="00B4575E" w:rsidRPr="00B4575E" w:rsidRDefault="00B4575E" w:rsidP="00C51D24">
            <w:pPr>
              <w:spacing w:after="0" w:line="240" w:lineRule="auto"/>
              <w:jc w:val="center"/>
              <w:rPr>
                <w:rFonts w:asciiTheme="majorBidi" w:hAnsiTheme="majorBidi" w:cstheme="majorBidi"/>
                <w:b/>
                <w:bCs/>
                <w:lang w:val="en-US"/>
              </w:rPr>
            </w:pPr>
            <w:r w:rsidRPr="00B4575E">
              <w:rPr>
                <w:rFonts w:asciiTheme="majorBidi" w:hAnsiTheme="majorBidi" w:cstheme="majorBidi"/>
                <w:b/>
                <w:bCs/>
                <w:lang w:val="en-US"/>
              </w:rPr>
              <w:t>N=68</w:t>
            </w:r>
          </w:p>
        </w:tc>
      </w:tr>
      <w:tr w:rsidR="006C64D9" w:rsidRPr="00B4575E" w14:paraId="59A650BD" w14:textId="77777777" w:rsidTr="006C64D9">
        <w:trPr>
          <w:trHeight w:val="242"/>
        </w:trPr>
        <w:tc>
          <w:tcPr>
            <w:tcW w:w="1946" w:type="pct"/>
            <w:tcBorders>
              <w:top w:val="single" w:sz="4" w:space="0" w:color="auto"/>
              <w:bottom w:val="nil"/>
            </w:tcBorders>
          </w:tcPr>
          <w:p w14:paraId="6D342EFE" w14:textId="6D318A13" w:rsidR="00B4575E" w:rsidRPr="00B4575E" w:rsidRDefault="00B4575E" w:rsidP="00F808F6">
            <w:pPr>
              <w:spacing w:after="0" w:line="240" w:lineRule="auto"/>
              <w:rPr>
                <w:rFonts w:asciiTheme="majorBidi" w:hAnsiTheme="majorBidi" w:cstheme="majorBidi"/>
                <w:lang w:val="en-US"/>
              </w:rPr>
            </w:pPr>
            <w:r w:rsidRPr="00B4575E">
              <w:rPr>
                <w:rFonts w:asciiTheme="majorBidi" w:hAnsiTheme="majorBidi" w:cstheme="majorBidi"/>
                <w:lang w:val="en-US"/>
              </w:rPr>
              <w:t>Mean treatment duration</w:t>
            </w:r>
            <w:r w:rsidR="006C64D9">
              <w:rPr>
                <w:rFonts w:asciiTheme="majorBidi" w:hAnsiTheme="majorBidi" w:cstheme="majorBidi"/>
                <w:lang w:val="en-US"/>
              </w:rPr>
              <w:t xml:space="preserve"> </w:t>
            </w:r>
            <w:r w:rsidR="006C64D9" w:rsidRPr="00B4575E">
              <w:rPr>
                <w:rFonts w:asciiTheme="majorBidi" w:hAnsiTheme="majorBidi" w:cstheme="majorBidi"/>
                <w:lang w:val="en-US"/>
              </w:rPr>
              <w:t>(years)</w:t>
            </w:r>
          </w:p>
        </w:tc>
        <w:tc>
          <w:tcPr>
            <w:tcW w:w="960" w:type="pct"/>
            <w:tcBorders>
              <w:top w:val="single" w:sz="4" w:space="0" w:color="auto"/>
              <w:bottom w:val="nil"/>
            </w:tcBorders>
          </w:tcPr>
          <w:p w14:paraId="05FBBB04" w14:textId="77777777" w:rsidR="00B4575E" w:rsidRPr="00B4575E" w:rsidRDefault="00B4575E"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0.46</w:t>
            </w:r>
          </w:p>
        </w:tc>
        <w:tc>
          <w:tcPr>
            <w:tcW w:w="1022" w:type="pct"/>
            <w:tcBorders>
              <w:top w:val="single" w:sz="4" w:space="0" w:color="auto"/>
              <w:bottom w:val="nil"/>
            </w:tcBorders>
          </w:tcPr>
          <w:p w14:paraId="25423BEE" w14:textId="77777777" w:rsidR="00B4575E" w:rsidRPr="00B4575E" w:rsidRDefault="00B4575E"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0.51</w:t>
            </w:r>
          </w:p>
        </w:tc>
        <w:tc>
          <w:tcPr>
            <w:tcW w:w="1072" w:type="pct"/>
            <w:tcBorders>
              <w:top w:val="single" w:sz="4" w:space="0" w:color="auto"/>
              <w:bottom w:val="nil"/>
            </w:tcBorders>
          </w:tcPr>
          <w:p w14:paraId="7901EB21" w14:textId="77777777" w:rsidR="00B4575E" w:rsidRPr="00B4575E" w:rsidRDefault="00B4575E"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0.48</w:t>
            </w:r>
          </w:p>
        </w:tc>
      </w:tr>
      <w:tr w:rsidR="006C64D9" w:rsidRPr="00B4575E" w14:paraId="014E9079" w14:textId="77777777" w:rsidTr="006C64D9">
        <w:trPr>
          <w:trHeight w:val="250"/>
        </w:trPr>
        <w:tc>
          <w:tcPr>
            <w:tcW w:w="1946" w:type="pct"/>
            <w:tcBorders>
              <w:bottom w:val="nil"/>
            </w:tcBorders>
          </w:tcPr>
          <w:p w14:paraId="1DADF20E" w14:textId="63ACBBAF" w:rsidR="00B4575E" w:rsidRPr="00B4575E" w:rsidRDefault="00B4575E" w:rsidP="00F808F6">
            <w:pPr>
              <w:spacing w:after="0" w:line="240" w:lineRule="auto"/>
              <w:rPr>
                <w:rFonts w:asciiTheme="majorBidi" w:hAnsiTheme="majorBidi" w:cstheme="majorBidi"/>
                <w:b/>
                <w:lang w:val="en-US"/>
              </w:rPr>
            </w:pPr>
            <w:r w:rsidRPr="00B4575E">
              <w:rPr>
                <w:rFonts w:asciiTheme="majorBidi" w:hAnsiTheme="majorBidi" w:cstheme="majorBidi"/>
                <w:b/>
                <w:lang w:val="en-US"/>
              </w:rPr>
              <w:t>No of p</w:t>
            </w:r>
            <w:r w:rsidR="006C64D9">
              <w:rPr>
                <w:rFonts w:asciiTheme="majorBidi" w:hAnsiTheme="majorBidi" w:cstheme="majorBidi"/>
                <w:b/>
                <w:lang w:val="en-US"/>
              </w:rPr>
              <w:t>a</w:t>
            </w:r>
            <w:r w:rsidRPr="00B4575E">
              <w:rPr>
                <w:rFonts w:asciiTheme="majorBidi" w:hAnsiTheme="majorBidi" w:cstheme="majorBidi"/>
                <w:b/>
                <w:lang w:val="en-US"/>
              </w:rPr>
              <w:t>t</w:t>
            </w:r>
            <w:r w:rsidR="006C64D9">
              <w:rPr>
                <w:rFonts w:asciiTheme="majorBidi" w:hAnsiTheme="majorBidi" w:cstheme="majorBidi"/>
                <w:b/>
                <w:lang w:val="en-US"/>
              </w:rPr>
              <w:t>ient</w:t>
            </w:r>
            <w:r w:rsidRPr="00B4575E">
              <w:rPr>
                <w:rFonts w:asciiTheme="majorBidi" w:hAnsiTheme="majorBidi" w:cstheme="majorBidi"/>
                <w:b/>
                <w:lang w:val="en-US"/>
              </w:rPr>
              <w:t>s (%):</w:t>
            </w:r>
          </w:p>
        </w:tc>
        <w:tc>
          <w:tcPr>
            <w:tcW w:w="960" w:type="pct"/>
            <w:tcBorders>
              <w:bottom w:val="nil"/>
            </w:tcBorders>
          </w:tcPr>
          <w:p w14:paraId="352BB810" w14:textId="77777777" w:rsidR="00B4575E" w:rsidRPr="00B4575E" w:rsidRDefault="00B4575E" w:rsidP="00C51D24">
            <w:pPr>
              <w:spacing w:after="0" w:line="240" w:lineRule="auto"/>
              <w:jc w:val="center"/>
              <w:rPr>
                <w:rFonts w:asciiTheme="majorBidi" w:hAnsiTheme="majorBidi" w:cstheme="majorBidi"/>
                <w:lang w:val="en-US"/>
              </w:rPr>
            </w:pPr>
          </w:p>
        </w:tc>
        <w:tc>
          <w:tcPr>
            <w:tcW w:w="1022" w:type="pct"/>
            <w:tcBorders>
              <w:bottom w:val="nil"/>
            </w:tcBorders>
          </w:tcPr>
          <w:p w14:paraId="69410165" w14:textId="77777777" w:rsidR="00B4575E" w:rsidRPr="00B4575E" w:rsidRDefault="00B4575E" w:rsidP="00C51D24">
            <w:pPr>
              <w:spacing w:after="0" w:line="240" w:lineRule="auto"/>
              <w:jc w:val="center"/>
              <w:rPr>
                <w:rFonts w:asciiTheme="majorBidi" w:hAnsiTheme="majorBidi" w:cstheme="majorBidi"/>
                <w:lang w:val="en-US"/>
              </w:rPr>
            </w:pPr>
          </w:p>
        </w:tc>
        <w:tc>
          <w:tcPr>
            <w:tcW w:w="1072" w:type="pct"/>
            <w:tcBorders>
              <w:bottom w:val="nil"/>
            </w:tcBorders>
          </w:tcPr>
          <w:p w14:paraId="7DDF79BF" w14:textId="77777777" w:rsidR="00B4575E" w:rsidRPr="00B4575E" w:rsidRDefault="00B4575E" w:rsidP="00C51D24">
            <w:pPr>
              <w:spacing w:after="0" w:line="240" w:lineRule="auto"/>
              <w:jc w:val="center"/>
              <w:rPr>
                <w:rFonts w:asciiTheme="majorBidi" w:hAnsiTheme="majorBidi" w:cstheme="majorBidi"/>
                <w:lang w:val="en-US"/>
              </w:rPr>
            </w:pPr>
          </w:p>
        </w:tc>
      </w:tr>
      <w:tr w:rsidR="006C64D9" w:rsidRPr="00B4575E" w14:paraId="77FF11F4" w14:textId="77777777" w:rsidTr="006C64D9">
        <w:trPr>
          <w:trHeight w:val="262"/>
        </w:trPr>
        <w:tc>
          <w:tcPr>
            <w:tcW w:w="1946" w:type="pct"/>
            <w:tcBorders>
              <w:top w:val="nil"/>
              <w:bottom w:val="nil"/>
            </w:tcBorders>
          </w:tcPr>
          <w:p w14:paraId="3E091DA4" w14:textId="77777777" w:rsidR="00B4575E" w:rsidRPr="00B4575E" w:rsidRDefault="00B4575E" w:rsidP="00F808F6">
            <w:pPr>
              <w:spacing w:after="0" w:line="240" w:lineRule="auto"/>
              <w:rPr>
                <w:rFonts w:asciiTheme="majorBidi" w:hAnsiTheme="majorBidi" w:cstheme="majorBidi"/>
                <w:lang w:val="en-US"/>
              </w:rPr>
            </w:pPr>
            <w:r w:rsidRPr="00B4575E">
              <w:rPr>
                <w:rFonts w:asciiTheme="majorBidi" w:hAnsiTheme="majorBidi" w:cstheme="majorBidi"/>
                <w:lang w:val="en-US"/>
              </w:rPr>
              <w:t>Zero bleeds</w:t>
            </w:r>
          </w:p>
        </w:tc>
        <w:tc>
          <w:tcPr>
            <w:tcW w:w="960" w:type="pct"/>
            <w:tcBorders>
              <w:top w:val="nil"/>
              <w:bottom w:val="nil"/>
            </w:tcBorders>
          </w:tcPr>
          <w:p w14:paraId="7EC2F272" w14:textId="77777777" w:rsidR="00B4575E" w:rsidRPr="00B4575E" w:rsidRDefault="00B4575E"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15 (44.1%)</w:t>
            </w:r>
          </w:p>
        </w:tc>
        <w:tc>
          <w:tcPr>
            <w:tcW w:w="1022" w:type="pct"/>
            <w:tcBorders>
              <w:top w:val="nil"/>
              <w:bottom w:val="nil"/>
            </w:tcBorders>
          </w:tcPr>
          <w:p w14:paraId="17DBEADD" w14:textId="77777777" w:rsidR="00B4575E" w:rsidRPr="00B4575E" w:rsidRDefault="00B4575E"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14 (41.2%)</w:t>
            </w:r>
          </w:p>
        </w:tc>
        <w:tc>
          <w:tcPr>
            <w:tcW w:w="1072" w:type="pct"/>
            <w:tcBorders>
              <w:top w:val="nil"/>
              <w:bottom w:val="nil"/>
            </w:tcBorders>
          </w:tcPr>
          <w:p w14:paraId="6ACDE60B" w14:textId="77777777" w:rsidR="00B4575E" w:rsidRPr="00B4575E" w:rsidRDefault="00B4575E"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29 (42.6%)</w:t>
            </w:r>
          </w:p>
        </w:tc>
      </w:tr>
      <w:tr w:rsidR="00AE3BBC" w:rsidRPr="00B4575E" w14:paraId="1E9F4AFE" w14:textId="77777777" w:rsidTr="006C64D9">
        <w:trPr>
          <w:trHeight w:val="253"/>
        </w:trPr>
        <w:tc>
          <w:tcPr>
            <w:tcW w:w="1946" w:type="pct"/>
            <w:tcBorders>
              <w:top w:val="nil"/>
              <w:bottom w:val="nil"/>
            </w:tcBorders>
          </w:tcPr>
          <w:p w14:paraId="0F60B574" w14:textId="020CB77A"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Zero spontaneous bleeds</w:t>
            </w:r>
            <w:r>
              <w:rPr>
                <w:rFonts w:asciiTheme="majorBidi" w:hAnsiTheme="majorBidi" w:cstheme="majorBidi"/>
                <w:lang w:val="en-US"/>
              </w:rPr>
              <w:t xml:space="preserve"> </w:t>
            </w:r>
            <w:r w:rsidRPr="00B4575E">
              <w:rPr>
                <w:rFonts w:asciiTheme="majorBidi" w:hAnsiTheme="majorBidi" w:cstheme="majorBidi"/>
                <w:lang w:val="en-US"/>
              </w:rPr>
              <w:t>(%)</w:t>
            </w:r>
          </w:p>
        </w:tc>
        <w:tc>
          <w:tcPr>
            <w:tcW w:w="960" w:type="pct"/>
            <w:tcBorders>
              <w:top w:val="nil"/>
              <w:bottom w:val="nil"/>
            </w:tcBorders>
          </w:tcPr>
          <w:p w14:paraId="0C1DE7B4" w14:textId="5149B9E9"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28 (82%)</w:t>
            </w:r>
          </w:p>
        </w:tc>
        <w:tc>
          <w:tcPr>
            <w:tcW w:w="1022" w:type="pct"/>
            <w:tcBorders>
              <w:top w:val="nil"/>
              <w:bottom w:val="nil"/>
            </w:tcBorders>
          </w:tcPr>
          <w:p w14:paraId="724E9F95" w14:textId="146E05C6"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27 (79%)</w:t>
            </w:r>
          </w:p>
        </w:tc>
        <w:tc>
          <w:tcPr>
            <w:tcW w:w="1072" w:type="pct"/>
            <w:tcBorders>
              <w:top w:val="nil"/>
              <w:bottom w:val="nil"/>
            </w:tcBorders>
          </w:tcPr>
          <w:p w14:paraId="4D4D0400" w14:textId="5BE04682"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55 (81%)</w:t>
            </w:r>
          </w:p>
        </w:tc>
      </w:tr>
      <w:tr w:rsidR="00AE3BBC" w:rsidRPr="00B4575E" w14:paraId="3C9F677D" w14:textId="77777777" w:rsidTr="006C64D9">
        <w:trPr>
          <w:trHeight w:val="271"/>
        </w:trPr>
        <w:tc>
          <w:tcPr>
            <w:tcW w:w="1946" w:type="pct"/>
            <w:tcBorders>
              <w:top w:val="nil"/>
              <w:bottom w:val="nil"/>
            </w:tcBorders>
          </w:tcPr>
          <w:p w14:paraId="51A5DDBD" w14:textId="0EC2AE8F"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Zero traumatic bleeds</w:t>
            </w:r>
            <w:r>
              <w:rPr>
                <w:rFonts w:asciiTheme="majorBidi" w:hAnsiTheme="majorBidi" w:cstheme="majorBidi"/>
                <w:lang w:val="en-US"/>
              </w:rPr>
              <w:t xml:space="preserve"> </w:t>
            </w:r>
            <w:r w:rsidRPr="00B4575E">
              <w:rPr>
                <w:rFonts w:asciiTheme="majorBidi" w:hAnsiTheme="majorBidi" w:cstheme="majorBidi"/>
                <w:lang w:val="en-US"/>
              </w:rPr>
              <w:t>(%)</w:t>
            </w:r>
          </w:p>
        </w:tc>
        <w:tc>
          <w:tcPr>
            <w:tcW w:w="960" w:type="pct"/>
            <w:tcBorders>
              <w:top w:val="nil"/>
              <w:bottom w:val="nil"/>
            </w:tcBorders>
          </w:tcPr>
          <w:p w14:paraId="63386FBA"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19 (56%)</w:t>
            </w:r>
          </w:p>
        </w:tc>
        <w:tc>
          <w:tcPr>
            <w:tcW w:w="1022" w:type="pct"/>
            <w:tcBorders>
              <w:top w:val="nil"/>
              <w:bottom w:val="nil"/>
            </w:tcBorders>
          </w:tcPr>
          <w:p w14:paraId="07232B22"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17 (50%)</w:t>
            </w:r>
          </w:p>
        </w:tc>
        <w:tc>
          <w:tcPr>
            <w:tcW w:w="1072" w:type="pct"/>
            <w:tcBorders>
              <w:top w:val="nil"/>
              <w:bottom w:val="nil"/>
            </w:tcBorders>
          </w:tcPr>
          <w:p w14:paraId="6B3A74CA"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36 (53%)</w:t>
            </w:r>
          </w:p>
        </w:tc>
      </w:tr>
      <w:tr w:rsidR="00AE3BBC" w:rsidRPr="00B4575E" w14:paraId="03E062DD" w14:textId="77777777" w:rsidTr="006C64D9">
        <w:trPr>
          <w:trHeight w:val="305"/>
        </w:trPr>
        <w:tc>
          <w:tcPr>
            <w:tcW w:w="1946" w:type="pct"/>
            <w:tcBorders>
              <w:top w:val="nil"/>
            </w:tcBorders>
          </w:tcPr>
          <w:p w14:paraId="4A51F4DC" w14:textId="77777777"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Zero Joint bleeds (%)</w:t>
            </w:r>
          </w:p>
        </w:tc>
        <w:tc>
          <w:tcPr>
            <w:tcW w:w="960" w:type="pct"/>
            <w:tcBorders>
              <w:top w:val="nil"/>
            </w:tcBorders>
          </w:tcPr>
          <w:p w14:paraId="452B7C94"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27 (79%)</w:t>
            </w:r>
          </w:p>
        </w:tc>
        <w:tc>
          <w:tcPr>
            <w:tcW w:w="1022" w:type="pct"/>
            <w:tcBorders>
              <w:top w:val="nil"/>
            </w:tcBorders>
          </w:tcPr>
          <w:p w14:paraId="30571FBF"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22 (65%)</w:t>
            </w:r>
          </w:p>
        </w:tc>
        <w:tc>
          <w:tcPr>
            <w:tcW w:w="1072" w:type="pct"/>
            <w:tcBorders>
              <w:top w:val="nil"/>
            </w:tcBorders>
          </w:tcPr>
          <w:p w14:paraId="19699E08"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49 (72%)</w:t>
            </w:r>
          </w:p>
        </w:tc>
      </w:tr>
      <w:tr w:rsidR="00AE3BBC" w:rsidRPr="00B4575E" w14:paraId="508D0BAA" w14:textId="77777777" w:rsidTr="006C64D9">
        <w:trPr>
          <w:trHeight w:val="251"/>
        </w:trPr>
        <w:tc>
          <w:tcPr>
            <w:tcW w:w="1946" w:type="pct"/>
            <w:tcBorders>
              <w:bottom w:val="nil"/>
            </w:tcBorders>
          </w:tcPr>
          <w:p w14:paraId="523D767A" w14:textId="77777777" w:rsidR="00AE3BBC" w:rsidRPr="00B4575E" w:rsidRDefault="00AE3BBC" w:rsidP="00AE3BBC">
            <w:pPr>
              <w:spacing w:after="0" w:line="240" w:lineRule="auto"/>
              <w:rPr>
                <w:rFonts w:asciiTheme="majorBidi" w:hAnsiTheme="majorBidi" w:cstheme="majorBidi"/>
                <w:b/>
                <w:lang w:val="en-US"/>
              </w:rPr>
            </w:pPr>
            <w:r w:rsidRPr="00B4575E">
              <w:rPr>
                <w:rFonts w:asciiTheme="majorBidi" w:hAnsiTheme="majorBidi" w:cstheme="majorBidi"/>
                <w:b/>
                <w:lang w:val="en-US"/>
              </w:rPr>
              <w:t>All bleeds</w:t>
            </w:r>
          </w:p>
        </w:tc>
        <w:tc>
          <w:tcPr>
            <w:tcW w:w="960" w:type="pct"/>
            <w:tcBorders>
              <w:bottom w:val="nil"/>
            </w:tcBorders>
          </w:tcPr>
          <w:p w14:paraId="1AF6F705" w14:textId="77777777" w:rsidR="00AE3BBC" w:rsidRPr="00B4575E" w:rsidRDefault="00AE3BBC" w:rsidP="00C51D24">
            <w:pPr>
              <w:spacing w:after="0" w:line="240" w:lineRule="auto"/>
              <w:jc w:val="center"/>
              <w:rPr>
                <w:rFonts w:asciiTheme="majorBidi" w:hAnsiTheme="majorBidi" w:cstheme="majorBidi"/>
                <w:lang w:val="en-US"/>
              </w:rPr>
            </w:pPr>
          </w:p>
        </w:tc>
        <w:tc>
          <w:tcPr>
            <w:tcW w:w="1022" w:type="pct"/>
            <w:tcBorders>
              <w:bottom w:val="nil"/>
            </w:tcBorders>
          </w:tcPr>
          <w:p w14:paraId="0F6F4659" w14:textId="77777777" w:rsidR="00AE3BBC" w:rsidRPr="00B4575E" w:rsidRDefault="00AE3BBC" w:rsidP="00C51D24">
            <w:pPr>
              <w:spacing w:after="0" w:line="240" w:lineRule="auto"/>
              <w:jc w:val="center"/>
              <w:rPr>
                <w:rFonts w:asciiTheme="majorBidi" w:hAnsiTheme="majorBidi" w:cstheme="majorBidi"/>
                <w:lang w:val="en-US"/>
              </w:rPr>
            </w:pPr>
          </w:p>
        </w:tc>
        <w:tc>
          <w:tcPr>
            <w:tcW w:w="1072" w:type="pct"/>
            <w:tcBorders>
              <w:bottom w:val="nil"/>
            </w:tcBorders>
          </w:tcPr>
          <w:p w14:paraId="3AEA7B68" w14:textId="77777777" w:rsidR="00AE3BBC" w:rsidRPr="00B4575E" w:rsidRDefault="00AE3BBC" w:rsidP="00C51D24">
            <w:pPr>
              <w:spacing w:after="0" w:line="240" w:lineRule="auto"/>
              <w:jc w:val="center"/>
              <w:rPr>
                <w:rFonts w:asciiTheme="majorBidi" w:hAnsiTheme="majorBidi" w:cstheme="majorBidi"/>
                <w:lang w:val="en-US"/>
              </w:rPr>
            </w:pPr>
          </w:p>
        </w:tc>
      </w:tr>
      <w:tr w:rsidR="00AE3BBC" w:rsidRPr="00B4575E" w14:paraId="347FF2E0" w14:textId="77777777" w:rsidTr="006C64D9">
        <w:trPr>
          <w:trHeight w:val="263"/>
        </w:trPr>
        <w:tc>
          <w:tcPr>
            <w:tcW w:w="1946" w:type="pct"/>
            <w:tcBorders>
              <w:top w:val="nil"/>
              <w:bottom w:val="nil"/>
            </w:tcBorders>
          </w:tcPr>
          <w:p w14:paraId="4E054C27" w14:textId="77777777"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No. of bleeds</w:t>
            </w:r>
          </w:p>
        </w:tc>
        <w:tc>
          <w:tcPr>
            <w:tcW w:w="960" w:type="pct"/>
            <w:tcBorders>
              <w:top w:val="nil"/>
              <w:bottom w:val="nil"/>
            </w:tcBorders>
          </w:tcPr>
          <w:p w14:paraId="3C475460"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30</w:t>
            </w:r>
          </w:p>
        </w:tc>
        <w:tc>
          <w:tcPr>
            <w:tcW w:w="1022" w:type="pct"/>
            <w:tcBorders>
              <w:top w:val="nil"/>
              <w:bottom w:val="nil"/>
            </w:tcBorders>
          </w:tcPr>
          <w:p w14:paraId="177CC969"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40</w:t>
            </w:r>
          </w:p>
        </w:tc>
        <w:tc>
          <w:tcPr>
            <w:tcW w:w="1072" w:type="pct"/>
            <w:tcBorders>
              <w:top w:val="nil"/>
              <w:bottom w:val="nil"/>
            </w:tcBorders>
          </w:tcPr>
          <w:p w14:paraId="29476F27"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70</w:t>
            </w:r>
          </w:p>
        </w:tc>
      </w:tr>
      <w:tr w:rsidR="00AE3BBC" w:rsidRPr="00B4575E" w14:paraId="0AF81DE6" w14:textId="77777777" w:rsidTr="006C64D9">
        <w:trPr>
          <w:trHeight w:val="262"/>
        </w:trPr>
        <w:tc>
          <w:tcPr>
            <w:tcW w:w="1946" w:type="pct"/>
            <w:tcBorders>
              <w:top w:val="nil"/>
              <w:bottom w:val="nil"/>
            </w:tcBorders>
          </w:tcPr>
          <w:p w14:paraId="28D45FEF" w14:textId="6E0F48CA"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No. of pts with bleeds</w:t>
            </w:r>
            <w:r>
              <w:rPr>
                <w:rFonts w:asciiTheme="majorBidi" w:hAnsiTheme="majorBidi" w:cstheme="majorBidi"/>
                <w:lang w:val="en-US"/>
              </w:rPr>
              <w:t xml:space="preserve"> </w:t>
            </w:r>
            <w:r w:rsidRPr="00B4575E">
              <w:rPr>
                <w:rFonts w:asciiTheme="majorBidi" w:hAnsiTheme="majorBidi" w:cstheme="majorBidi"/>
                <w:lang w:val="en-US"/>
              </w:rPr>
              <w:t>(%)</w:t>
            </w:r>
          </w:p>
        </w:tc>
        <w:tc>
          <w:tcPr>
            <w:tcW w:w="960" w:type="pct"/>
            <w:tcBorders>
              <w:top w:val="nil"/>
              <w:bottom w:val="nil"/>
            </w:tcBorders>
          </w:tcPr>
          <w:p w14:paraId="76712711"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19 (56%)</w:t>
            </w:r>
          </w:p>
        </w:tc>
        <w:tc>
          <w:tcPr>
            <w:tcW w:w="1022" w:type="pct"/>
            <w:tcBorders>
              <w:top w:val="nil"/>
              <w:bottom w:val="nil"/>
            </w:tcBorders>
          </w:tcPr>
          <w:p w14:paraId="6DF4AFCF"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20 (59%)</w:t>
            </w:r>
          </w:p>
        </w:tc>
        <w:tc>
          <w:tcPr>
            <w:tcW w:w="1072" w:type="pct"/>
            <w:tcBorders>
              <w:top w:val="nil"/>
              <w:bottom w:val="nil"/>
            </w:tcBorders>
          </w:tcPr>
          <w:p w14:paraId="5F09831F"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39 (57%)</w:t>
            </w:r>
          </w:p>
        </w:tc>
      </w:tr>
      <w:tr w:rsidR="00AE3BBC" w:rsidRPr="00B4575E" w14:paraId="2CC11B3D" w14:textId="77777777" w:rsidTr="006C64D9">
        <w:trPr>
          <w:trHeight w:val="262"/>
        </w:trPr>
        <w:tc>
          <w:tcPr>
            <w:tcW w:w="1946" w:type="pct"/>
            <w:tcBorders>
              <w:top w:val="nil"/>
              <w:bottom w:val="nil"/>
            </w:tcBorders>
          </w:tcPr>
          <w:p w14:paraId="6B9FA7AA" w14:textId="77777777"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Median (IQR)</w:t>
            </w:r>
          </w:p>
        </w:tc>
        <w:tc>
          <w:tcPr>
            <w:tcW w:w="960" w:type="pct"/>
            <w:tcBorders>
              <w:top w:val="nil"/>
              <w:bottom w:val="nil"/>
            </w:tcBorders>
          </w:tcPr>
          <w:p w14:paraId="66F01DEA"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1.94 (0.00;2.08)</w:t>
            </w:r>
          </w:p>
        </w:tc>
        <w:tc>
          <w:tcPr>
            <w:tcW w:w="1022" w:type="pct"/>
            <w:tcBorders>
              <w:top w:val="nil"/>
              <w:bottom w:val="nil"/>
            </w:tcBorders>
          </w:tcPr>
          <w:p w14:paraId="24B88F46"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1.97 (0.00;3.91)</w:t>
            </w:r>
          </w:p>
        </w:tc>
        <w:tc>
          <w:tcPr>
            <w:tcW w:w="1072" w:type="pct"/>
            <w:tcBorders>
              <w:top w:val="nil"/>
              <w:bottom w:val="nil"/>
            </w:tcBorders>
          </w:tcPr>
          <w:p w14:paraId="575D2E2B"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1.95 (0.00;2.79)</w:t>
            </w:r>
          </w:p>
        </w:tc>
      </w:tr>
      <w:tr w:rsidR="00AE3BBC" w:rsidRPr="00B4575E" w14:paraId="46BADF10" w14:textId="77777777" w:rsidTr="006C64D9">
        <w:trPr>
          <w:trHeight w:val="253"/>
        </w:trPr>
        <w:tc>
          <w:tcPr>
            <w:tcW w:w="1946" w:type="pct"/>
            <w:tcBorders>
              <w:top w:val="nil"/>
              <w:bottom w:val="nil"/>
            </w:tcBorders>
          </w:tcPr>
          <w:p w14:paraId="073EB10E" w14:textId="2EE5B059"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Estimated mean ABR</w:t>
            </w:r>
            <w:r w:rsidR="00C51D24">
              <w:rPr>
                <w:rFonts w:asciiTheme="majorBidi" w:hAnsiTheme="majorBidi" w:cstheme="majorBidi"/>
                <w:lang w:val="en-US"/>
              </w:rPr>
              <w:t xml:space="preserve"> </w:t>
            </w:r>
            <w:r w:rsidR="00C51D24" w:rsidRPr="00B4575E">
              <w:rPr>
                <w:rFonts w:asciiTheme="majorBidi" w:hAnsiTheme="majorBidi" w:cstheme="majorBidi"/>
                <w:lang w:val="en-US"/>
              </w:rPr>
              <w:t>(95% CI)</w:t>
            </w:r>
          </w:p>
        </w:tc>
        <w:tc>
          <w:tcPr>
            <w:tcW w:w="960" w:type="pct"/>
            <w:tcBorders>
              <w:top w:val="nil"/>
              <w:bottom w:val="nil"/>
            </w:tcBorders>
          </w:tcPr>
          <w:p w14:paraId="0B1B1AEA"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1.94 (1.10;3.42)</w:t>
            </w:r>
          </w:p>
        </w:tc>
        <w:tc>
          <w:tcPr>
            <w:tcW w:w="1022" w:type="pct"/>
            <w:tcBorders>
              <w:top w:val="nil"/>
              <w:bottom w:val="nil"/>
            </w:tcBorders>
          </w:tcPr>
          <w:p w14:paraId="29E438A8"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2.30 (1.40;3.75)</w:t>
            </w:r>
          </w:p>
        </w:tc>
        <w:tc>
          <w:tcPr>
            <w:tcW w:w="1072" w:type="pct"/>
            <w:tcBorders>
              <w:top w:val="nil"/>
              <w:bottom w:val="nil"/>
            </w:tcBorders>
          </w:tcPr>
          <w:p w14:paraId="335E60F8"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2.13 (1.48;3.06)</w:t>
            </w:r>
          </w:p>
        </w:tc>
      </w:tr>
      <w:tr w:rsidR="00AE3BBC" w:rsidRPr="00B4575E" w14:paraId="11519148" w14:textId="77777777" w:rsidTr="006C64D9">
        <w:trPr>
          <w:trHeight w:val="250"/>
        </w:trPr>
        <w:tc>
          <w:tcPr>
            <w:tcW w:w="1946" w:type="pct"/>
            <w:tcBorders>
              <w:bottom w:val="nil"/>
            </w:tcBorders>
          </w:tcPr>
          <w:p w14:paraId="0C31704A" w14:textId="77777777" w:rsidR="00AE3BBC" w:rsidRPr="00B4575E" w:rsidRDefault="00AE3BBC" w:rsidP="00AE3BBC">
            <w:pPr>
              <w:spacing w:after="0" w:line="240" w:lineRule="auto"/>
              <w:rPr>
                <w:rFonts w:asciiTheme="majorBidi" w:hAnsiTheme="majorBidi" w:cstheme="majorBidi"/>
                <w:b/>
                <w:lang w:val="en-US"/>
              </w:rPr>
            </w:pPr>
            <w:r w:rsidRPr="00B4575E">
              <w:rPr>
                <w:rFonts w:asciiTheme="majorBidi" w:hAnsiTheme="majorBidi" w:cstheme="majorBidi"/>
                <w:b/>
                <w:lang w:val="en-US"/>
              </w:rPr>
              <w:t>Spontaneous bleeds</w:t>
            </w:r>
          </w:p>
        </w:tc>
        <w:tc>
          <w:tcPr>
            <w:tcW w:w="960" w:type="pct"/>
            <w:tcBorders>
              <w:bottom w:val="nil"/>
            </w:tcBorders>
          </w:tcPr>
          <w:p w14:paraId="5FAD8CCA" w14:textId="77777777" w:rsidR="00AE3BBC" w:rsidRPr="00B4575E" w:rsidRDefault="00AE3BBC" w:rsidP="00C51D24">
            <w:pPr>
              <w:spacing w:after="0" w:line="240" w:lineRule="auto"/>
              <w:jc w:val="center"/>
              <w:rPr>
                <w:rFonts w:asciiTheme="majorBidi" w:hAnsiTheme="majorBidi" w:cstheme="majorBidi"/>
                <w:lang w:val="en-US"/>
              </w:rPr>
            </w:pPr>
          </w:p>
        </w:tc>
        <w:tc>
          <w:tcPr>
            <w:tcW w:w="1022" w:type="pct"/>
            <w:tcBorders>
              <w:bottom w:val="nil"/>
            </w:tcBorders>
          </w:tcPr>
          <w:p w14:paraId="1FFF0D48" w14:textId="77777777" w:rsidR="00AE3BBC" w:rsidRPr="00B4575E" w:rsidRDefault="00AE3BBC" w:rsidP="00C51D24">
            <w:pPr>
              <w:spacing w:after="0" w:line="240" w:lineRule="auto"/>
              <w:jc w:val="center"/>
              <w:rPr>
                <w:rFonts w:asciiTheme="majorBidi" w:hAnsiTheme="majorBidi" w:cstheme="majorBidi"/>
                <w:lang w:val="en-US"/>
              </w:rPr>
            </w:pPr>
          </w:p>
        </w:tc>
        <w:tc>
          <w:tcPr>
            <w:tcW w:w="1072" w:type="pct"/>
            <w:tcBorders>
              <w:bottom w:val="nil"/>
            </w:tcBorders>
          </w:tcPr>
          <w:p w14:paraId="16AD4C37" w14:textId="77777777" w:rsidR="00AE3BBC" w:rsidRPr="00B4575E" w:rsidRDefault="00AE3BBC" w:rsidP="00C51D24">
            <w:pPr>
              <w:spacing w:after="0" w:line="240" w:lineRule="auto"/>
              <w:jc w:val="center"/>
              <w:rPr>
                <w:rFonts w:asciiTheme="majorBidi" w:hAnsiTheme="majorBidi" w:cstheme="majorBidi"/>
                <w:lang w:val="en-US"/>
              </w:rPr>
            </w:pPr>
          </w:p>
        </w:tc>
      </w:tr>
      <w:tr w:rsidR="00AE3BBC" w:rsidRPr="00B4575E" w14:paraId="1260B682" w14:textId="77777777" w:rsidTr="006C64D9">
        <w:trPr>
          <w:trHeight w:val="262"/>
        </w:trPr>
        <w:tc>
          <w:tcPr>
            <w:tcW w:w="1946" w:type="pct"/>
            <w:tcBorders>
              <w:top w:val="nil"/>
              <w:bottom w:val="nil"/>
            </w:tcBorders>
          </w:tcPr>
          <w:p w14:paraId="013F2C96" w14:textId="77777777"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No. of bleeds</w:t>
            </w:r>
          </w:p>
        </w:tc>
        <w:tc>
          <w:tcPr>
            <w:tcW w:w="960" w:type="pct"/>
            <w:tcBorders>
              <w:top w:val="nil"/>
              <w:bottom w:val="nil"/>
            </w:tcBorders>
          </w:tcPr>
          <w:p w14:paraId="6F9E1729"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9</w:t>
            </w:r>
          </w:p>
        </w:tc>
        <w:tc>
          <w:tcPr>
            <w:tcW w:w="1022" w:type="pct"/>
            <w:tcBorders>
              <w:top w:val="nil"/>
              <w:bottom w:val="nil"/>
            </w:tcBorders>
          </w:tcPr>
          <w:p w14:paraId="1EEB613B"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10</w:t>
            </w:r>
          </w:p>
        </w:tc>
        <w:tc>
          <w:tcPr>
            <w:tcW w:w="1072" w:type="pct"/>
            <w:tcBorders>
              <w:top w:val="nil"/>
              <w:bottom w:val="nil"/>
            </w:tcBorders>
          </w:tcPr>
          <w:p w14:paraId="46FDD1A6"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19</w:t>
            </w:r>
          </w:p>
        </w:tc>
      </w:tr>
      <w:tr w:rsidR="00AE3BBC" w:rsidRPr="00B4575E" w14:paraId="3A063E46" w14:textId="77777777" w:rsidTr="006C64D9">
        <w:trPr>
          <w:trHeight w:val="262"/>
        </w:trPr>
        <w:tc>
          <w:tcPr>
            <w:tcW w:w="1946" w:type="pct"/>
            <w:tcBorders>
              <w:top w:val="nil"/>
              <w:bottom w:val="nil"/>
            </w:tcBorders>
          </w:tcPr>
          <w:p w14:paraId="60E84A85" w14:textId="2CB04478"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No. of pts with</w:t>
            </w:r>
            <w:r>
              <w:rPr>
                <w:rFonts w:asciiTheme="majorBidi" w:hAnsiTheme="majorBidi" w:cstheme="majorBidi"/>
                <w:lang w:val="en-US"/>
              </w:rPr>
              <w:t xml:space="preserve"> </w:t>
            </w:r>
            <w:r w:rsidRPr="00B4575E">
              <w:rPr>
                <w:rFonts w:asciiTheme="majorBidi" w:hAnsiTheme="majorBidi" w:cstheme="majorBidi"/>
                <w:lang w:val="en-US"/>
              </w:rPr>
              <w:t>spontaneous bleeds (%)</w:t>
            </w:r>
          </w:p>
        </w:tc>
        <w:tc>
          <w:tcPr>
            <w:tcW w:w="960" w:type="pct"/>
            <w:tcBorders>
              <w:top w:val="nil"/>
              <w:bottom w:val="nil"/>
            </w:tcBorders>
          </w:tcPr>
          <w:p w14:paraId="4A7FC7AD"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6 (18%)</w:t>
            </w:r>
          </w:p>
        </w:tc>
        <w:tc>
          <w:tcPr>
            <w:tcW w:w="1022" w:type="pct"/>
            <w:tcBorders>
              <w:top w:val="nil"/>
              <w:bottom w:val="nil"/>
            </w:tcBorders>
          </w:tcPr>
          <w:p w14:paraId="231C1F40"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7 (21%)</w:t>
            </w:r>
          </w:p>
        </w:tc>
        <w:tc>
          <w:tcPr>
            <w:tcW w:w="1072" w:type="pct"/>
            <w:tcBorders>
              <w:top w:val="nil"/>
              <w:bottom w:val="nil"/>
            </w:tcBorders>
          </w:tcPr>
          <w:p w14:paraId="08E7A734"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13 (19%)</w:t>
            </w:r>
          </w:p>
        </w:tc>
      </w:tr>
      <w:tr w:rsidR="00AE3BBC" w:rsidRPr="00B4575E" w14:paraId="7D347D2D" w14:textId="77777777" w:rsidTr="006C64D9">
        <w:trPr>
          <w:trHeight w:val="262"/>
        </w:trPr>
        <w:tc>
          <w:tcPr>
            <w:tcW w:w="1946" w:type="pct"/>
            <w:tcBorders>
              <w:top w:val="nil"/>
              <w:bottom w:val="nil"/>
            </w:tcBorders>
          </w:tcPr>
          <w:p w14:paraId="617CDD84" w14:textId="69062C5C"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Median (IQR)</w:t>
            </w:r>
          </w:p>
        </w:tc>
        <w:tc>
          <w:tcPr>
            <w:tcW w:w="960" w:type="pct"/>
            <w:tcBorders>
              <w:top w:val="nil"/>
              <w:bottom w:val="nil"/>
            </w:tcBorders>
          </w:tcPr>
          <w:p w14:paraId="0E4B09AA"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0.00 (0.00;0.00)</w:t>
            </w:r>
          </w:p>
        </w:tc>
        <w:tc>
          <w:tcPr>
            <w:tcW w:w="1022" w:type="pct"/>
            <w:tcBorders>
              <w:top w:val="nil"/>
              <w:bottom w:val="nil"/>
            </w:tcBorders>
          </w:tcPr>
          <w:p w14:paraId="6FBE8A22"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0.00 (0.00;0.00)</w:t>
            </w:r>
          </w:p>
        </w:tc>
        <w:tc>
          <w:tcPr>
            <w:tcW w:w="1072" w:type="pct"/>
            <w:tcBorders>
              <w:top w:val="nil"/>
              <w:bottom w:val="nil"/>
            </w:tcBorders>
          </w:tcPr>
          <w:p w14:paraId="7BC63036"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0.00 (0.00;0.00)</w:t>
            </w:r>
          </w:p>
        </w:tc>
      </w:tr>
      <w:tr w:rsidR="00AE3BBC" w:rsidRPr="00B4575E" w14:paraId="5EABF546" w14:textId="77777777" w:rsidTr="006C64D9">
        <w:trPr>
          <w:trHeight w:val="305"/>
        </w:trPr>
        <w:tc>
          <w:tcPr>
            <w:tcW w:w="1946" w:type="pct"/>
            <w:tcBorders>
              <w:top w:val="nil"/>
              <w:bottom w:val="single" w:sz="8" w:space="0" w:color="000000"/>
            </w:tcBorders>
          </w:tcPr>
          <w:p w14:paraId="61B32766" w14:textId="5418DF5D" w:rsidR="00AE3BBC" w:rsidRPr="00B4575E" w:rsidRDefault="00AE3BBC" w:rsidP="00AE3BBC">
            <w:pPr>
              <w:spacing w:after="0" w:line="240" w:lineRule="auto"/>
              <w:rPr>
                <w:rFonts w:asciiTheme="majorBidi" w:hAnsiTheme="majorBidi" w:cstheme="majorBidi"/>
                <w:lang w:val="en-US"/>
              </w:rPr>
            </w:pPr>
            <w:r w:rsidRPr="00B4575E">
              <w:rPr>
                <w:rFonts w:asciiTheme="majorBidi" w:hAnsiTheme="majorBidi" w:cstheme="majorBidi"/>
                <w:lang w:val="en-US"/>
              </w:rPr>
              <w:t>Estimated mean ABR</w:t>
            </w:r>
            <w:r>
              <w:rPr>
                <w:rFonts w:asciiTheme="majorBidi" w:hAnsiTheme="majorBidi" w:cstheme="majorBidi"/>
                <w:lang w:val="en-US"/>
              </w:rPr>
              <w:t xml:space="preserve"> </w:t>
            </w:r>
            <w:r w:rsidRPr="00B4575E">
              <w:rPr>
                <w:rFonts w:asciiTheme="majorBidi" w:hAnsiTheme="majorBidi" w:cstheme="majorBidi"/>
                <w:lang w:val="en-US"/>
              </w:rPr>
              <w:t>(95% CI)</w:t>
            </w:r>
          </w:p>
        </w:tc>
        <w:tc>
          <w:tcPr>
            <w:tcW w:w="960" w:type="pct"/>
            <w:tcBorders>
              <w:top w:val="nil"/>
              <w:bottom w:val="single" w:sz="8" w:space="0" w:color="000000"/>
            </w:tcBorders>
          </w:tcPr>
          <w:p w14:paraId="30FB5E3B"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0.58 (0.16;2.12)</w:t>
            </w:r>
          </w:p>
        </w:tc>
        <w:tc>
          <w:tcPr>
            <w:tcW w:w="1022" w:type="pct"/>
            <w:tcBorders>
              <w:top w:val="nil"/>
              <w:bottom w:val="single" w:sz="8" w:space="0" w:color="000000"/>
            </w:tcBorders>
          </w:tcPr>
          <w:p w14:paraId="365ABFAC"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0.57 (0.17;1.96)</w:t>
            </w:r>
          </w:p>
        </w:tc>
        <w:tc>
          <w:tcPr>
            <w:tcW w:w="1072" w:type="pct"/>
            <w:tcBorders>
              <w:top w:val="nil"/>
              <w:bottom w:val="single" w:sz="8" w:space="0" w:color="000000"/>
            </w:tcBorders>
          </w:tcPr>
          <w:p w14:paraId="5277F2D7" w14:textId="77777777" w:rsidR="00AE3BBC" w:rsidRPr="00B4575E" w:rsidRDefault="00AE3BBC" w:rsidP="00C51D24">
            <w:pPr>
              <w:spacing w:after="0" w:line="240" w:lineRule="auto"/>
              <w:jc w:val="center"/>
              <w:rPr>
                <w:rFonts w:asciiTheme="majorBidi" w:hAnsiTheme="majorBidi" w:cstheme="majorBidi"/>
                <w:lang w:val="en-US"/>
              </w:rPr>
            </w:pPr>
            <w:r w:rsidRPr="00B4575E">
              <w:rPr>
                <w:rFonts w:asciiTheme="majorBidi" w:hAnsiTheme="majorBidi" w:cstheme="majorBidi"/>
                <w:lang w:val="en-US"/>
              </w:rPr>
              <w:t>0.58 (0.24;1.40)</w:t>
            </w:r>
          </w:p>
        </w:tc>
      </w:tr>
      <w:tr w:rsidR="00AE3BBC" w:rsidRPr="00F808F6" w14:paraId="30BDB62E" w14:textId="77777777" w:rsidTr="006C64D9">
        <w:trPr>
          <w:trHeight w:val="256"/>
        </w:trPr>
        <w:tc>
          <w:tcPr>
            <w:tcW w:w="1946" w:type="pct"/>
            <w:tcBorders>
              <w:bottom w:val="nil"/>
            </w:tcBorders>
          </w:tcPr>
          <w:p w14:paraId="3EAC56EA" w14:textId="77777777" w:rsidR="00AE3BBC" w:rsidRPr="00F808F6" w:rsidRDefault="00AE3BBC" w:rsidP="00AE3BBC">
            <w:pPr>
              <w:spacing w:after="0" w:line="240" w:lineRule="auto"/>
              <w:rPr>
                <w:rFonts w:asciiTheme="majorBidi" w:hAnsiTheme="majorBidi" w:cstheme="majorBidi"/>
                <w:b/>
                <w:lang w:val="en-US"/>
              </w:rPr>
            </w:pPr>
            <w:r w:rsidRPr="00F808F6">
              <w:rPr>
                <w:rFonts w:asciiTheme="majorBidi" w:hAnsiTheme="majorBidi" w:cstheme="majorBidi"/>
                <w:b/>
                <w:lang w:val="en-US"/>
              </w:rPr>
              <w:t>Traumatic bleeds</w:t>
            </w:r>
          </w:p>
        </w:tc>
        <w:tc>
          <w:tcPr>
            <w:tcW w:w="960" w:type="pct"/>
            <w:tcBorders>
              <w:bottom w:val="nil"/>
            </w:tcBorders>
          </w:tcPr>
          <w:p w14:paraId="748F2553" w14:textId="77777777" w:rsidR="00AE3BBC" w:rsidRPr="00F808F6" w:rsidRDefault="00AE3BBC" w:rsidP="00C51D24">
            <w:pPr>
              <w:spacing w:after="0" w:line="240" w:lineRule="auto"/>
              <w:jc w:val="center"/>
              <w:rPr>
                <w:rFonts w:asciiTheme="majorBidi" w:hAnsiTheme="majorBidi" w:cstheme="majorBidi"/>
                <w:lang w:val="en-US"/>
              </w:rPr>
            </w:pPr>
          </w:p>
        </w:tc>
        <w:tc>
          <w:tcPr>
            <w:tcW w:w="1022" w:type="pct"/>
            <w:tcBorders>
              <w:bottom w:val="nil"/>
            </w:tcBorders>
          </w:tcPr>
          <w:p w14:paraId="3297C495" w14:textId="77777777" w:rsidR="00AE3BBC" w:rsidRPr="00F808F6" w:rsidRDefault="00AE3BBC" w:rsidP="00C51D24">
            <w:pPr>
              <w:spacing w:after="0" w:line="240" w:lineRule="auto"/>
              <w:jc w:val="center"/>
              <w:rPr>
                <w:rFonts w:asciiTheme="majorBidi" w:hAnsiTheme="majorBidi" w:cstheme="majorBidi"/>
                <w:lang w:val="en-US"/>
              </w:rPr>
            </w:pPr>
          </w:p>
        </w:tc>
        <w:tc>
          <w:tcPr>
            <w:tcW w:w="1072" w:type="pct"/>
            <w:tcBorders>
              <w:bottom w:val="nil"/>
            </w:tcBorders>
          </w:tcPr>
          <w:p w14:paraId="035D6378" w14:textId="77777777" w:rsidR="00AE3BBC" w:rsidRPr="00F808F6" w:rsidRDefault="00AE3BBC" w:rsidP="00C51D24">
            <w:pPr>
              <w:spacing w:after="0" w:line="240" w:lineRule="auto"/>
              <w:jc w:val="center"/>
              <w:rPr>
                <w:rFonts w:asciiTheme="majorBidi" w:hAnsiTheme="majorBidi" w:cstheme="majorBidi"/>
                <w:lang w:val="en-US"/>
              </w:rPr>
            </w:pPr>
          </w:p>
        </w:tc>
      </w:tr>
      <w:tr w:rsidR="00AE3BBC" w:rsidRPr="00F808F6" w14:paraId="0304FC81" w14:textId="77777777" w:rsidTr="006C64D9">
        <w:trPr>
          <w:trHeight w:val="273"/>
        </w:trPr>
        <w:tc>
          <w:tcPr>
            <w:tcW w:w="1946" w:type="pct"/>
            <w:tcBorders>
              <w:top w:val="nil"/>
              <w:bottom w:val="nil"/>
            </w:tcBorders>
          </w:tcPr>
          <w:p w14:paraId="7902D667" w14:textId="025A2371" w:rsidR="00AE3BBC" w:rsidRPr="00F808F6" w:rsidRDefault="00AE3BBC" w:rsidP="00AE3BBC">
            <w:pPr>
              <w:spacing w:after="0" w:line="240" w:lineRule="auto"/>
              <w:rPr>
                <w:rFonts w:asciiTheme="majorBidi" w:hAnsiTheme="majorBidi" w:cstheme="majorBidi"/>
                <w:lang w:val="en-US"/>
              </w:rPr>
            </w:pPr>
            <w:r w:rsidRPr="00F808F6">
              <w:rPr>
                <w:rFonts w:asciiTheme="majorBidi" w:hAnsiTheme="majorBidi" w:cstheme="majorBidi"/>
                <w:lang w:val="en-US"/>
              </w:rPr>
              <w:t>No. of bleeds</w:t>
            </w:r>
          </w:p>
        </w:tc>
        <w:tc>
          <w:tcPr>
            <w:tcW w:w="960" w:type="pct"/>
            <w:tcBorders>
              <w:top w:val="nil"/>
              <w:bottom w:val="nil"/>
            </w:tcBorders>
          </w:tcPr>
          <w:p w14:paraId="7CE8297F"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20</w:t>
            </w:r>
          </w:p>
        </w:tc>
        <w:tc>
          <w:tcPr>
            <w:tcW w:w="1022" w:type="pct"/>
            <w:tcBorders>
              <w:top w:val="nil"/>
              <w:bottom w:val="nil"/>
            </w:tcBorders>
          </w:tcPr>
          <w:p w14:paraId="718CE58B"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30</w:t>
            </w:r>
          </w:p>
        </w:tc>
        <w:tc>
          <w:tcPr>
            <w:tcW w:w="1072" w:type="pct"/>
            <w:tcBorders>
              <w:top w:val="nil"/>
              <w:bottom w:val="nil"/>
            </w:tcBorders>
          </w:tcPr>
          <w:p w14:paraId="454F01CD"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50</w:t>
            </w:r>
          </w:p>
        </w:tc>
      </w:tr>
      <w:tr w:rsidR="00AE3BBC" w:rsidRPr="00F808F6" w14:paraId="076BF334" w14:textId="77777777" w:rsidTr="006C64D9">
        <w:trPr>
          <w:trHeight w:val="262"/>
        </w:trPr>
        <w:tc>
          <w:tcPr>
            <w:tcW w:w="1946" w:type="pct"/>
            <w:tcBorders>
              <w:top w:val="nil"/>
              <w:bottom w:val="nil"/>
            </w:tcBorders>
          </w:tcPr>
          <w:p w14:paraId="2117B07E" w14:textId="4A009395" w:rsidR="00AE3BBC" w:rsidRPr="00F808F6" w:rsidRDefault="00AE3BBC" w:rsidP="00AE3BBC">
            <w:pPr>
              <w:spacing w:after="0" w:line="240" w:lineRule="auto"/>
              <w:rPr>
                <w:rFonts w:asciiTheme="majorBidi" w:hAnsiTheme="majorBidi" w:cstheme="majorBidi"/>
                <w:lang w:val="en-US"/>
              </w:rPr>
            </w:pPr>
            <w:r w:rsidRPr="00F808F6">
              <w:rPr>
                <w:rFonts w:asciiTheme="majorBidi" w:hAnsiTheme="majorBidi" w:cstheme="majorBidi"/>
                <w:lang w:val="en-US"/>
              </w:rPr>
              <w:t>No. of pts with traumatic</w:t>
            </w:r>
            <w:r>
              <w:rPr>
                <w:rFonts w:asciiTheme="majorBidi" w:hAnsiTheme="majorBidi" w:cstheme="majorBidi"/>
                <w:lang w:val="en-US"/>
              </w:rPr>
              <w:t xml:space="preserve"> </w:t>
            </w:r>
            <w:r w:rsidRPr="00F808F6">
              <w:rPr>
                <w:rFonts w:asciiTheme="majorBidi" w:hAnsiTheme="majorBidi" w:cstheme="majorBidi"/>
                <w:lang w:val="en-US"/>
              </w:rPr>
              <w:t>bleeds (%)</w:t>
            </w:r>
          </w:p>
        </w:tc>
        <w:tc>
          <w:tcPr>
            <w:tcW w:w="960" w:type="pct"/>
            <w:tcBorders>
              <w:top w:val="nil"/>
              <w:bottom w:val="nil"/>
            </w:tcBorders>
          </w:tcPr>
          <w:p w14:paraId="24DAA7B8"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15 (44%)</w:t>
            </w:r>
          </w:p>
        </w:tc>
        <w:tc>
          <w:tcPr>
            <w:tcW w:w="1022" w:type="pct"/>
            <w:tcBorders>
              <w:top w:val="nil"/>
              <w:bottom w:val="nil"/>
            </w:tcBorders>
          </w:tcPr>
          <w:p w14:paraId="7360FE6E"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17 (50%)</w:t>
            </w:r>
          </w:p>
        </w:tc>
        <w:tc>
          <w:tcPr>
            <w:tcW w:w="1072" w:type="pct"/>
            <w:tcBorders>
              <w:top w:val="nil"/>
              <w:bottom w:val="nil"/>
            </w:tcBorders>
          </w:tcPr>
          <w:p w14:paraId="6B0DB1D4"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32 (47%)</w:t>
            </w:r>
          </w:p>
        </w:tc>
      </w:tr>
      <w:tr w:rsidR="00AE3BBC" w:rsidRPr="00F808F6" w14:paraId="251A96F4" w14:textId="77777777" w:rsidTr="006C64D9">
        <w:trPr>
          <w:trHeight w:val="272"/>
        </w:trPr>
        <w:tc>
          <w:tcPr>
            <w:tcW w:w="1946" w:type="pct"/>
            <w:tcBorders>
              <w:top w:val="nil"/>
              <w:bottom w:val="nil"/>
            </w:tcBorders>
          </w:tcPr>
          <w:p w14:paraId="535DB5A1" w14:textId="7E70FA70" w:rsidR="00AE3BBC" w:rsidRPr="00F808F6" w:rsidRDefault="00AE3BBC" w:rsidP="00AE3BBC">
            <w:pPr>
              <w:spacing w:after="0" w:line="240" w:lineRule="auto"/>
              <w:rPr>
                <w:rFonts w:asciiTheme="majorBidi" w:hAnsiTheme="majorBidi" w:cstheme="majorBidi"/>
                <w:lang w:val="en-US"/>
              </w:rPr>
            </w:pPr>
            <w:r w:rsidRPr="00F808F6">
              <w:rPr>
                <w:rFonts w:asciiTheme="majorBidi" w:hAnsiTheme="majorBidi" w:cstheme="majorBidi"/>
                <w:lang w:val="en-US"/>
              </w:rPr>
              <w:t>Median (IQR)</w:t>
            </w:r>
          </w:p>
        </w:tc>
        <w:tc>
          <w:tcPr>
            <w:tcW w:w="960" w:type="pct"/>
            <w:tcBorders>
              <w:top w:val="nil"/>
              <w:bottom w:val="nil"/>
            </w:tcBorders>
          </w:tcPr>
          <w:p w14:paraId="4D0DD3FA"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0.00 (0.00;2.03)</w:t>
            </w:r>
          </w:p>
        </w:tc>
        <w:tc>
          <w:tcPr>
            <w:tcW w:w="1022" w:type="pct"/>
            <w:tcBorders>
              <w:top w:val="nil"/>
              <w:bottom w:val="nil"/>
            </w:tcBorders>
          </w:tcPr>
          <w:p w14:paraId="268A0CA4"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0.88 (0.00;2.04)</w:t>
            </w:r>
          </w:p>
        </w:tc>
        <w:tc>
          <w:tcPr>
            <w:tcW w:w="1072" w:type="pct"/>
            <w:tcBorders>
              <w:top w:val="nil"/>
              <w:bottom w:val="nil"/>
            </w:tcBorders>
          </w:tcPr>
          <w:p w14:paraId="1913BBDC"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0.00 (0.00;2.03)</w:t>
            </w:r>
          </w:p>
        </w:tc>
      </w:tr>
      <w:tr w:rsidR="00AE3BBC" w:rsidRPr="00F808F6" w14:paraId="1559877B" w14:textId="77777777" w:rsidTr="006C64D9">
        <w:trPr>
          <w:trHeight w:val="273"/>
        </w:trPr>
        <w:tc>
          <w:tcPr>
            <w:tcW w:w="1946" w:type="pct"/>
            <w:tcBorders>
              <w:top w:val="nil"/>
              <w:bottom w:val="nil"/>
            </w:tcBorders>
          </w:tcPr>
          <w:p w14:paraId="081DD2AE" w14:textId="2F70B30E" w:rsidR="00AE3BBC" w:rsidRPr="00F808F6" w:rsidRDefault="00AE3BBC" w:rsidP="00AE3BBC">
            <w:pPr>
              <w:spacing w:after="0" w:line="240" w:lineRule="auto"/>
              <w:rPr>
                <w:rFonts w:asciiTheme="majorBidi" w:hAnsiTheme="majorBidi" w:cstheme="majorBidi"/>
                <w:lang w:val="en-US"/>
              </w:rPr>
            </w:pPr>
            <w:r w:rsidRPr="00F808F6">
              <w:rPr>
                <w:rFonts w:asciiTheme="majorBidi" w:hAnsiTheme="majorBidi" w:cstheme="majorBidi"/>
                <w:lang w:val="en-US"/>
              </w:rPr>
              <w:t>Estimated mean ABR</w:t>
            </w:r>
            <w:r>
              <w:rPr>
                <w:rFonts w:asciiTheme="majorBidi" w:hAnsiTheme="majorBidi" w:cstheme="majorBidi"/>
                <w:lang w:val="en-US"/>
              </w:rPr>
              <w:t xml:space="preserve"> </w:t>
            </w:r>
            <w:r w:rsidRPr="00F808F6">
              <w:rPr>
                <w:rFonts w:asciiTheme="majorBidi" w:hAnsiTheme="majorBidi" w:cstheme="majorBidi"/>
                <w:lang w:val="en-US"/>
              </w:rPr>
              <w:t>(95% CI)</w:t>
            </w:r>
          </w:p>
        </w:tc>
        <w:tc>
          <w:tcPr>
            <w:tcW w:w="960" w:type="pct"/>
            <w:tcBorders>
              <w:top w:val="nil"/>
              <w:bottom w:val="nil"/>
            </w:tcBorders>
          </w:tcPr>
          <w:p w14:paraId="7B280DFC"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1.29 (0.74;2.26)</w:t>
            </w:r>
          </w:p>
        </w:tc>
        <w:tc>
          <w:tcPr>
            <w:tcW w:w="1022" w:type="pct"/>
            <w:tcBorders>
              <w:top w:val="nil"/>
              <w:bottom w:val="nil"/>
            </w:tcBorders>
          </w:tcPr>
          <w:p w14:paraId="4AAD8644"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1.72 (1.09;2.71)</w:t>
            </w:r>
          </w:p>
        </w:tc>
        <w:tc>
          <w:tcPr>
            <w:tcW w:w="1072" w:type="pct"/>
            <w:tcBorders>
              <w:top w:val="nil"/>
              <w:bottom w:val="nil"/>
            </w:tcBorders>
          </w:tcPr>
          <w:p w14:paraId="7E04B325"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1.52 (1.07;2.17)</w:t>
            </w:r>
          </w:p>
        </w:tc>
      </w:tr>
      <w:tr w:rsidR="00AE3BBC" w:rsidRPr="00F808F6" w14:paraId="0679FD30" w14:textId="77777777" w:rsidTr="006C64D9">
        <w:trPr>
          <w:trHeight w:val="257"/>
        </w:trPr>
        <w:tc>
          <w:tcPr>
            <w:tcW w:w="1946" w:type="pct"/>
            <w:tcBorders>
              <w:bottom w:val="nil"/>
            </w:tcBorders>
          </w:tcPr>
          <w:p w14:paraId="185011F1" w14:textId="77777777" w:rsidR="00AE3BBC" w:rsidRPr="00F808F6" w:rsidRDefault="00AE3BBC" w:rsidP="00AE3BBC">
            <w:pPr>
              <w:spacing w:after="0" w:line="240" w:lineRule="auto"/>
              <w:rPr>
                <w:rFonts w:asciiTheme="majorBidi" w:hAnsiTheme="majorBidi" w:cstheme="majorBidi"/>
                <w:b/>
                <w:lang w:val="en-US"/>
              </w:rPr>
            </w:pPr>
            <w:r w:rsidRPr="00F808F6">
              <w:rPr>
                <w:rFonts w:asciiTheme="majorBidi" w:hAnsiTheme="majorBidi" w:cstheme="majorBidi"/>
                <w:b/>
                <w:lang w:val="en-US"/>
              </w:rPr>
              <w:t>Joint bleeds</w:t>
            </w:r>
          </w:p>
        </w:tc>
        <w:tc>
          <w:tcPr>
            <w:tcW w:w="960" w:type="pct"/>
            <w:tcBorders>
              <w:bottom w:val="nil"/>
            </w:tcBorders>
          </w:tcPr>
          <w:p w14:paraId="52CCFF4D" w14:textId="77777777" w:rsidR="00AE3BBC" w:rsidRPr="00F808F6" w:rsidRDefault="00AE3BBC" w:rsidP="00C51D24">
            <w:pPr>
              <w:spacing w:after="0" w:line="240" w:lineRule="auto"/>
              <w:jc w:val="center"/>
              <w:rPr>
                <w:rFonts w:asciiTheme="majorBidi" w:hAnsiTheme="majorBidi" w:cstheme="majorBidi"/>
                <w:lang w:val="en-US"/>
              </w:rPr>
            </w:pPr>
          </w:p>
        </w:tc>
        <w:tc>
          <w:tcPr>
            <w:tcW w:w="1022" w:type="pct"/>
            <w:tcBorders>
              <w:bottom w:val="nil"/>
            </w:tcBorders>
          </w:tcPr>
          <w:p w14:paraId="1D6B0205" w14:textId="77777777" w:rsidR="00AE3BBC" w:rsidRPr="00F808F6" w:rsidRDefault="00AE3BBC" w:rsidP="00C51D24">
            <w:pPr>
              <w:spacing w:after="0" w:line="240" w:lineRule="auto"/>
              <w:jc w:val="center"/>
              <w:rPr>
                <w:rFonts w:asciiTheme="majorBidi" w:hAnsiTheme="majorBidi" w:cstheme="majorBidi"/>
                <w:lang w:val="en-US"/>
              </w:rPr>
            </w:pPr>
          </w:p>
        </w:tc>
        <w:tc>
          <w:tcPr>
            <w:tcW w:w="1072" w:type="pct"/>
            <w:tcBorders>
              <w:bottom w:val="nil"/>
            </w:tcBorders>
          </w:tcPr>
          <w:p w14:paraId="2D393383" w14:textId="77777777" w:rsidR="00AE3BBC" w:rsidRPr="00F808F6" w:rsidRDefault="00AE3BBC" w:rsidP="00C51D24">
            <w:pPr>
              <w:spacing w:after="0" w:line="240" w:lineRule="auto"/>
              <w:jc w:val="center"/>
              <w:rPr>
                <w:rFonts w:asciiTheme="majorBidi" w:hAnsiTheme="majorBidi" w:cstheme="majorBidi"/>
                <w:lang w:val="en-US"/>
              </w:rPr>
            </w:pPr>
          </w:p>
        </w:tc>
      </w:tr>
      <w:tr w:rsidR="00AE3BBC" w:rsidRPr="00F808F6" w14:paraId="3EE6B164" w14:textId="77777777" w:rsidTr="006C64D9">
        <w:trPr>
          <w:trHeight w:val="272"/>
        </w:trPr>
        <w:tc>
          <w:tcPr>
            <w:tcW w:w="1946" w:type="pct"/>
            <w:tcBorders>
              <w:top w:val="nil"/>
              <w:bottom w:val="nil"/>
            </w:tcBorders>
          </w:tcPr>
          <w:p w14:paraId="10F2D0B0" w14:textId="77777777" w:rsidR="00AE3BBC" w:rsidRPr="00F808F6" w:rsidRDefault="00AE3BBC" w:rsidP="00AE3BBC">
            <w:pPr>
              <w:spacing w:after="0" w:line="240" w:lineRule="auto"/>
              <w:rPr>
                <w:rFonts w:asciiTheme="majorBidi" w:hAnsiTheme="majorBidi" w:cstheme="majorBidi"/>
                <w:lang w:val="en-US"/>
              </w:rPr>
            </w:pPr>
            <w:r w:rsidRPr="00F808F6">
              <w:rPr>
                <w:rFonts w:asciiTheme="majorBidi" w:hAnsiTheme="majorBidi" w:cstheme="majorBidi"/>
                <w:lang w:val="en-US"/>
              </w:rPr>
              <w:t>No. of bleeds</w:t>
            </w:r>
          </w:p>
        </w:tc>
        <w:tc>
          <w:tcPr>
            <w:tcW w:w="960" w:type="pct"/>
            <w:tcBorders>
              <w:top w:val="nil"/>
              <w:bottom w:val="nil"/>
            </w:tcBorders>
          </w:tcPr>
          <w:p w14:paraId="4E3CB6E5"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10</w:t>
            </w:r>
          </w:p>
        </w:tc>
        <w:tc>
          <w:tcPr>
            <w:tcW w:w="1022" w:type="pct"/>
            <w:tcBorders>
              <w:top w:val="nil"/>
              <w:bottom w:val="nil"/>
            </w:tcBorders>
          </w:tcPr>
          <w:p w14:paraId="0A41498F"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24</w:t>
            </w:r>
          </w:p>
        </w:tc>
        <w:tc>
          <w:tcPr>
            <w:tcW w:w="1072" w:type="pct"/>
            <w:tcBorders>
              <w:top w:val="nil"/>
              <w:bottom w:val="nil"/>
            </w:tcBorders>
          </w:tcPr>
          <w:p w14:paraId="05AFA8AD"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34</w:t>
            </w:r>
          </w:p>
        </w:tc>
      </w:tr>
      <w:tr w:rsidR="00AE3BBC" w:rsidRPr="00F808F6" w14:paraId="56D89983" w14:textId="77777777" w:rsidTr="006C64D9">
        <w:trPr>
          <w:trHeight w:val="273"/>
        </w:trPr>
        <w:tc>
          <w:tcPr>
            <w:tcW w:w="1946" w:type="pct"/>
            <w:tcBorders>
              <w:top w:val="nil"/>
              <w:bottom w:val="nil"/>
            </w:tcBorders>
          </w:tcPr>
          <w:p w14:paraId="7D0ABB09" w14:textId="33F24241" w:rsidR="00AE3BBC" w:rsidRPr="00F808F6" w:rsidRDefault="00AE3BBC" w:rsidP="00AE3BBC">
            <w:pPr>
              <w:spacing w:after="0" w:line="240" w:lineRule="auto"/>
              <w:rPr>
                <w:rFonts w:asciiTheme="majorBidi" w:hAnsiTheme="majorBidi" w:cstheme="majorBidi"/>
                <w:lang w:val="en-US"/>
              </w:rPr>
            </w:pPr>
            <w:r w:rsidRPr="00F808F6">
              <w:rPr>
                <w:rFonts w:asciiTheme="majorBidi" w:hAnsiTheme="majorBidi" w:cstheme="majorBidi"/>
                <w:lang w:val="en-US"/>
              </w:rPr>
              <w:t>No. of pts with joint</w:t>
            </w:r>
            <w:r>
              <w:rPr>
                <w:rFonts w:asciiTheme="majorBidi" w:hAnsiTheme="majorBidi" w:cstheme="majorBidi"/>
                <w:lang w:val="en-US"/>
              </w:rPr>
              <w:t xml:space="preserve"> </w:t>
            </w:r>
            <w:r w:rsidRPr="00F808F6">
              <w:rPr>
                <w:rFonts w:asciiTheme="majorBidi" w:hAnsiTheme="majorBidi" w:cstheme="majorBidi"/>
                <w:lang w:val="en-US"/>
              </w:rPr>
              <w:t>bleeds (%)</w:t>
            </w:r>
          </w:p>
        </w:tc>
        <w:tc>
          <w:tcPr>
            <w:tcW w:w="960" w:type="pct"/>
            <w:tcBorders>
              <w:top w:val="nil"/>
              <w:bottom w:val="nil"/>
            </w:tcBorders>
          </w:tcPr>
          <w:p w14:paraId="1FB654EA"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7 (21%)</w:t>
            </w:r>
          </w:p>
        </w:tc>
        <w:tc>
          <w:tcPr>
            <w:tcW w:w="1022" w:type="pct"/>
            <w:tcBorders>
              <w:top w:val="nil"/>
              <w:bottom w:val="nil"/>
            </w:tcBorders>
          </w:tcPr>
          <w:p w14:paraId="30E4463D"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12 (35%)</w:t>
            </w:r>
          </w:p>
        </w:tc>
        <w:tc>
          <w:tcPr>
            <w:tcW w:w="1072" w:type="pct"/>
            <w:tcBorders>
              <w:top w:val="nil"/>
              <w:bottom w:val="nil"/>
            </w:tcBorders>
          </w:tcPr>
          <w:p w14:paraId="40675299"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19 (28%)</w:t>
            </w:r>
          </w:p>
        </w:tc>
      </w:tr>
      <w:tr w:rsidR="00AE3BBC" w:rsidRPr="00F808F6" w14:paraId="1D321FE3" w14:textId="77777777" w:rsidTr="00AE3BBC">
        <w:trPr>
          <w:trHeight w:val="272"/>
        </w:trPr>
        <w:tc>
          <w:tcPr>
            <w:tcW w:w="1946" w:type="pct"/>
            <w:tcBorders>
              <w:top w:val="nil"/>
              <w:bottom w:val="nil"/>
            </w:tcBorders>
          </w:tcPr>
          <w:p w14:paraId="4E861FF0" w14:textId="77777777" w:rsidR="00AE3BBC" w:rsidRPr="00F808F6" w:rsidRDefault="00AE3BBC" w:rsidP="00AE3BBC">
            <w:pPr>
              <w:spacing w:after="0" w:line="240" w:lineRule="auto"/>
              <w:rPr>
                <w:rFonts w:asciiTheme="majorBidi" w:hAnsiTheme="majorBidi" w:cstheme="majorBidi"/>
                <w:lang w:val="en-US"/>
              </w:rPr>
            </w:pPr>
            <w:r w:rsidRPr="00F808F6">
              <w:rPr>
                <w:rFonts w:asciiTheme="majorBidi" w:hAnsiTheme="majorBidi" w:cstheme="majorBidi"/>
                <w:lang w:val="en-US"/>
              </w:rPr>
              <w:t>Median (IQR)</w:t>
            </w:r>
          </w:p>
        </w:tc>
        <w:tc>
          <w:tcPr>
            <w:tcW w:w="960" w:type="pct"/>
            <w:tcBorders>
              <w:top w:val="nil"/>
              <w:bottom w:val="nil"/>
            </w:tcBorders>
          </w:tcPr>
          <w:p w14:paraId="0A8422DE"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0.00 (0.00;0.00)</w:t>
            </w:r>
          </w:p>
        </w:tc>
        <w:tc>
          <w:tcPr>
            <w:tcW w:w="1022" w:type="pct"/>
            <w:tcBorders>
              <w:top w:val="nil"/>
              <w:bottom w:val="nil"/>
            </w:tcBorders>
          </w:tcPr>
          <w:p w14:paraId="0A3A489D"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0.00 (0.00;2.00)</w:t>
            </w:r>
          </w:p>
        </w:tc>
        <w:tc>
          <w:tcPr>
            <w:tcW w:w="1072" w:type="pct"/>
            <w:tcBorders>
              <w:top w:val="nil"/>
              <w:bottom w:val="nil"/>
            </w:tcBorders>
          </w:tcPr>
          <w:p w14:paraId="790057B8"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0.00 (0.00;1.95)</w:t>
            </w:r>
          </w:p>
        </w:tc>
      </w:tr>
      <w:tr w:rsidR="00AE3BBC" w:rsidRPr="00F808F6" w14:paraId="308E8F68" w14:textId="77777777" w:rsidTr="00AE3BBC">
        <w:trPr>
          <w:trHeight w:val="262"/>
        </w:trPr>
        <w:tc>
          <w:tcPr>
            <w:tcW w:w="1946" w:type="pct"/>
            <w:tcBorders>
              <w:top w:val="nil"/>
              <w:bottom w:val="single" w:sz="4" w:space="0" w:color="auto"/>
            </w:tcBorders>
          </w:tcPr>
          <w:p w14:paraId="26FE0CA0" w14:textId="1DF47364" w:rsidR="00AE3BBC" w:rsidRPr="00F808F6" w:rsidRDefault="00AE3BBC" w:rsidP="00AE3BBC">
            <w:pPr>
              <w:spacing w:after="0" w:line="240" w:lineRule="auto"/>
              <w:rPr>
                <w:rFonts w:asciiTheme="majorBidi" w:hAnsiTheme="majorBidi" w:cstheme="majorBidi"/>
                <w:lang w:val="en-US"/>
              </w:rPr>
            </w:pPr>
            <w:r w:rsidRPr="00F808F6">
              <w:rPr>
                <w:rFonts w:asciiTheme="majorBidi" w:hAnsiTheme="majorBidi" w:cstheme="majorBidi"/>
                <w:lang w:val="en-US"/>
              </w:rPr>
              <w:t>Estimated mean ABR</w:t>
            </w:r>
            <w:r>
              <w:rPr>
                <w:rFonts w:asciiTheme="majorBidi" w:hAnsiTheme="majorBidi" w:cstheme="majorBidi"/>
                <w:lang w:val="en-US"/>
              </w:rPr>
              <w:t xml:space="preserve"> </w:t>
            </w:r>
            <w:r w:rsidRPr="00F808F6">
              <w:rPr>
                <w:rFonts w:asciiTheme="majorBidi" w:hAnsiTheme="majorBidi" w:cstheme="majorBidi"/>
                <w:lang w:val="en-US"/>
              </w:rPr>
              <w:t>(95% CI)</w:t>
            </w:r>
          </w:p>
        </w:tc>
        <w:tc>
          <w:tcPr>
            <w:tcW w:w="960" w:type="pct"/>
            <w:tcBorders>
              <w:top w:val="nil"/>
              <w:bottom w:val="single" w:sz="4" w:space="0" w:color="auto"/>
            </w:tcBorders>
          </w:tcPr>
          <w:p w14:paraId="7B3722B3"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0.65 (0.21;1.95)</w:t>
            </w:r>
          </w:p>
        </w:tc>
        <w:tc>
          <w:tcPr>
            <w:tcW w:w="1022" w:type="pct"/>
            <w:tcBorders>
              <w:top w:val="nil"/>
              <w:bottom w:val="single" w:sz="4" w:space="0" w:color="auto"/>
            </w:tcBorders>
          </w:tcPr>
          <w:p w14:paraId="0D3B1F4C"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1.38 (0.67;2.81)</w:t>
            </w:r>
          </w:p>
        </w:tc>
        <w:tc>
          <w:tcPr>
            <w:tcW w:w="1072" w:type="pct"/>
            <w:tcBorders>
              <w:top w:val="nil"/>
              <w:bottom w:val="single" w:sz="4" w:space="0" w:color="auto"/>
            </w:tcBorders>
          </w:tcPr>
          <w:p w14:paraId="302C5A3C" w14:textId="77777777" w:rsidR="00AE3BBC" w:rsidRPr="00F808F6" w:rsidRDefault="00AE3BBC" w:rsidP="00C51D24">
            <w:pPr>
              <w:spacing w:after="0" w:line="240" w:lineRule="auto"/>
              <w:jc w:val="center"/>
              <w:rPr>
                <w:rFonts w:asciiTheme="majorBidi" w:hAnsiTheme="majorBidi" w:cstheme="majorBidi"/>
                <w:lang w:val="en-US"/>
              </w:rPr>
            </w:pPr>
            <w:r w:rsidRPr="00F808F6">
              <w:rPr>
                <w:rFonts w:asciiTheme="majorBidi" w:hAnsiTheme="majorBidi" w:cstheme="majorBidi"/>
                <w:lang w:val="en-US"/>
              </w:rPr>
              <w:t>1.03 (0.59;1.81)</w:t>
            </w:r>
          </w:p>
        </w:tc>
      </w:tr>
    </w:tbl>
    <w:p w14:paraId="582A2641" w14:textId="268B777D" w:rsidR="006710AB" w:rsidRDefault="0030143B" w:rsidP="0030143B">
      <w:pPr>
        <w:rPr>
          <w:rFonts w:asciiTheme="majorBidi" w:hAnsiTheme="majorBidi" w:cstheme="majorBidi"/>
          <w:iCs/>
          <w:sz w:val="20"/>
          <w:szCs w:val="20"/>
        </w:rPr>
      </w:pPr>
      <w:r w:rsidRPr="000E1342">
        <w:rPr>
          <w:rFonts w:asciiTheme="majorBidi" w:hAnsiTheme="majorBidi" w:cstheme="majorBidi"/>
          <w:iCs/>
          <w:sz w:val="20"/>
          <w:szCs w:val="20"/>
        </w:rPr>
        <w:t>ABR = annualised bleeding rate; CI = confidence interval; IQR = interquartile range; No = number; Pts = patients</w:t>
      </w:r>
    </w:p>
    <w:p w14:paraId="3A3DF02F" w14:textId="77777777" w:rsidR="00436454" w:rsidRDefault="00436454" w:rsidP="0030143B">
      <w:pPr>
        <w:rPr>
          <w:rFonts w:asciiTheme="majorBidi" w:hAnsiTheme="majorBidi" w:cstheme="majorBidi"/>
          <w:iCs/>
          <w:sz w:val="20"/>
          <w:szCs w:val="20"/>
        </w:rPr>
      </w:pPr>
    </w:p>
    <w:p w14:paraId="6752E65D" w14:textId="77777777" w:rsidR="00436454" w:rsidRPr="0030143B" w:rsidRDefault="00436454" w:rsidP="0030143B">
      <w:pPr>
        <w:rPr>
          <w:rFonts w:asciiTheme="majorBidi" w:hAnsiTheme="majorBidi" w:cstheme="majorBidi"/>
          <w:sz w:val="24"/>
          <w:szCs w:val="24"/>
          <w:lang w:val="en-US"/>
        </w:rPr>
      </w:pPr>
    </w:p>
    <w:p w14:paraId="640A7928" w14:textId="2A432CC9" w:rsidR="006710AB" w:rsidRPr="000E1342" w:rsidRDefault="006710AB" w:rsidP="006710AB">
      <w:pPr>
        <w:rPr>
          <w:rFonts w:asciiTheme="majorBidi" w:hAnsiTheme="majorBidi" w:cstheme="majorBidi"/>
          <w:sz w:val="24"/>
          <w:szCs w:val="24"/>
          <w:u w:val="single"/>
        </w:rPr>
      </w:pPr>
      <w:r w:rsidRPr="000E1342">
        <w:rPr>
          <w:rFonts w:asciiTheme="majorBidi" w:hAnsiTheme="majorBidi" w:cstheme="majorBidi"/>
          <w:sz w:val="24"/>
          <w:szCs w:val="24"/>
          <w:u w:val="single"/>
        </w:rPr>
        <w:lastRenderedPageBreak/>
        <w:t xml:space="preserve">Clinical efficacy of </w:t>
      </w:r>
      <w:r w:rsidR="00EE565D">
        <w:rPr>
          <w:rFonts w:asciiTheme="majorBidi" w:hAnsiTheme="majorBidi" w:cstheme="majorBidi"/>
          <w:sz w:val="24"/>
          <w:szCs w:val="24"/>
          <w:u w:val="single"/>
        </w:rPr>
        <w:t>ESPEROCT</w:t>
      </w:r>
      <w:r w:rsidRPr="000E1342">
        <w:rPr>
          <w:rFonts w:asciiTheme="majorBidi" w:hAnsiTheme="majorBidi" w:cstheme="majorBidi"/>
          <w:sz w:val="24"/>
          <w:szCs w:val="24"/>
          <w:u w:val="single"/>
        </w:rPr>
        <w:t xml:space="preserve"> in the treatment of bleeding episodes and during on-demand treatment</w:t>
      </w:r>
    </w:p>
    <w:p w14:paraId="00D6E2CE" w14:textId="73551A0A" w:rsidR="006710AB" w:rsidRPr="000E1342" w:rsidRDefault="006710AB" w:rsidP="006710AB">
      <w:pPr>
        <w:rPr>
          <w:rFonts w:asciiTheme="majorBidi" w:hAnsiTheme="majorBidi" w:cstheme="majorBidi"/>
          <w:sz w:val="24"/>
          <w:szCs w:val="24"/>
        </w:rPr>
      </w:pPr>
      <w:r w:rsidRPr="000E1342">
        <w:rPr>
          <w:rFonts w:asciiTheme="majorBidi" w:hAnsiTheme="majorBidi" w:cstheme="majorBidi"/>
          <w:sz w:val="24"/>
          <w:szCs w:val="24"/>
        </w:rPr>
        <w:t xml:space="preserve">The efficacy of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in the treatment of bleeding episodes was demonstrated in all age groups</w:t>
      </w:r>
      <w:r w:rsidR="00B726E2">
        <w:rPr>
          <w:rFonts w:asciiTheme="majorBidi" w:hAnsiTheme="majorBidi" w:cstheme="majorBidi"/>
          <w:sz w:val="24"/>
          <w:szCs w:val="24"/>
        </w:rPr>
        <w:t xml:space="preserve"> (see Table 6)</w:t>
      </w:r>
      <w:r w:rsidRPr="000E1342">
        <w:rPr>
          <w:rFonts w:asciiTheme="majorBidi" w:hAnsiTheme="majorBidi" w:cstheme="majorBidi"/>
          <w:sz w:val="24"/>
          <w:szCs w:val="24"/>
        </w:rPr>
        <w:t xml:space="preserve">. </w:t>
      </w:r>
      <w:proofErr w:type="gramStart"/>
      <w:r w:rsidRPr="000E1342">
        <w:rPr>
          <w:rFonts w:asciiTheme="majorBidi" w:hAnsiTheme="majorBidi" w:cstheme="majorBidi"/>
          <w:sz w:val="24"/>
          <w:szCs w:val="24"/>
        </w:rPr>
        <w:t xml:space="preserve">The </w:t>
      </w:r>
      <w:r w:rsidR="004D2847">
        <w:rPr>
          <w:rFonts w:asciiTheme="majorBidi" w:hAnsiTheme="majorBidi" w:cstheme="majorBidi"/>
          <w:sz w:val="24"/>
          <w:szCs w:val="24"/>
        </w:rPr>
        <w:t>vast</w:t>
      </w:r>
      <w:r w:rsidRPr="000E1342">
        <w:rPr>
          <w:rFonts w:asciiTheme="majorBidi" w:hAnsiTheme="majorBidi" w:cstheme="majorBidi"/>
          <w:sz w:val="24"/>
          <w:szCs w:val="24"/>
        </w:rPr>
        <w:t xml:space="preserve"> majority of</w:t>
      </w:r>
      <w:proofErr w:type="gramEnd"/>
      <w:r w:rsidRPr="000E1342">
        <w:rPr>
          <w:rFonts w:asciiTheme="majorBidi" w:hAnsiTheme="majorBidi" w:cstheme="majorBidi"/>
          <w:sz w:val="24"/>
          <w:szCs w:val="24"/>
        </w:rPr>
        <w:t xml:space="preserve"> </w:t>
      </w:r>
      <w:r w:rsidR="00867F45">
        <w:rPr>
          <w:rFonts w:asciiTheme="majorBidi" w:hAnsiTheme="majorBidi" w:cstheme="majorBidi"/>
          <w:sz w:val="24"/>
          <w:szCs w:val="24"/>
        </w:rPr>
        <w:t>bleeds</w:t>
      </w:r>
      <w:r w:rsidR="00867F45" w:rsidRPr="000E1342">
        <w:rPr>
          <w:rFonts w:asciiTheme="majorBidi" w:hAnsiTheme="majorBidi" w:cstheme="majorBidi"/>
          <w:sz w:val="24"/>
          <w:szCs w:val="24"/>
        </w:rPr>
        <w:t xml:space="preserve"> </w:t>
      </w:r>
      <w:r w:rsidRPr="000E1342">
        <w:rPr>
          <w:rFonts w:asciiTheme="majorBidi" w:hAnsiTheme="majorBidi" w:cstheme="majorBidi"/>
          <w:sz w:val="24"/>
          <w:szCs w:val="24"/>
        </w:rPr>
        <w:t xml:space="preserve">that were treated with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were mild/moderate.</w:t>
      </w:r>
    </w:p>
    <w:p w14:paraId="5BA63C31" w14:textId="5285BBD3" w:rsidR="006710AB" w:rsidRDefault="006710AB" w:rsidP="006710AB">
      <w:pPr>
        <w:rPr>
          <w:rFonts w:asciiTheme="majorBidi" w:hAnsiTheme="majorBidi" w:cstheme="majorBidi"/>
          <w:sz w:val="24"/>
          <w:szCs w:val="24"/>
        </w:rPr>
      </w:pPr>
      <w:r w:rsidRPr="000E1342">
        <w:rPr>
          <w:rFonts w:asciiTheme="majorBidi" w:hAnsiTheme="majorBidi" w:cstheme="majorBidi"/>
          <w:sz w:val="24"/>
          <w:szCs w:val="24"/>
        </w:rPr>
        <w:t xml:space="preserve">In the group of patients treated on demand, 1,126 </w:t>
      </w:r>
      <w:r w:rsidR="00867F45">
        <w:rPr>
          <w:rFonts w:asciiTheme="majorBidi" w:hAnsiTheme="majorBidi" w:cstheme="majorBidi"/>
          <w:sz w:val="24"/>
          <w:szCs w:val="24"/>
        </w:rPr>
        <w:t>bleeds</w:t>
      </w:r>
      <w:r w:rsidR="00867F45" w:rsidRPr="000E1342">
        <w:rPr>
          <w:rFonts w:asciiTheme="majorBidi" w:hAnsiTheme="majorBidi" w:cstheme="majorBidi"/>
          <w:sz w:val="24"/>
          <w:szCs w:val="24"/>
        </w:rPr>
        <w:t xml:space="preserve"> </w:t>
      </w:r>
      <w:r w:rsidRPr="000E1342">
        <w:rPr>
          <w:rFonts w:asciiTheme="majorBidi" w:hAnsiTheme="majorBidi" w:cstheme="majorBidi"/>
          <w:sz w:val="24"/>
          <w:szCs w:val="24"/>
        </w:rPr>
        <w:t>were treated in 12 patients 18</w:t>
      </w:r>
      <w:r w:rsidR="00BB13A7">
        <w:rPr>
          <w:rFonts w:asciiTheme="majorBidi" w:hAnsiTheme="majorBidi" w:cstheme="majorBidi"/>
          <w:sz w:val="24"/>
          <w:szCs w:val="24"/>
        </w:rPr>
        <w:t xml:space="preserve"> years</w:t>
      </w:r>
      <w:r w:rsidR="00C43EDF">
        <w:rPr>
          <w:rFonts w:asciiTheme="majorBidi" w:hAnsiTheme="majorBidi" w:cstheme="majorBidi"/>
          <w:sz w:val="24"/>
          <w:szCs w:val="24"/>
        </w:rPr>
        <w:t xml:space="preserve"> and above</w:t>
      </w:r>
      <w:r w:rsidRPr="000E1342">
        <w:rPr>
          <w:rFonts w:asciiTheme="majorBidi" w:hAnsiTheme="majorBidi" w:cstheme="majorBidi"/>
          <w:sz w:val="24"/>
          <w:szCs w:val="24"/>
        </w:rPr>
        <w:t xml:space="preserve">, with an average treatment dose of 38.1 IU/kg for mild/moderate </w:t>
      </w:r>
      <w:r w:rsidR="00867F45">
        <w:rPr>
          <w:rFonts w:asciiTheme="majorBidi" w:hAnsiTheme="majorBidi" w:cstheme="majorBidi"/>
          <w:sz w:val="24"/>
          <w:szCs w:val="24"/>
        </w:rPr>
        <w:t>bleeds</w:t>
      </w:r>
      <w:r w:rsidRPr="000E1342">
        <w:rPr>
          <w:rFonts w:asciiTheme="majorBidi" w:hAnsiTheme="majorBidi" w:cstheme="majorBidi"/>
          <w:sz w:val="24"/>
          <w:szCs w:val="24"/>
        </w:rPr>
        <w:t xml:space="preserve">. In total, 86.9% of the 1,126 </w:t>
      </w:r>
      <w:r w:rsidR="00C5692D">
        <w:rPr>
          <w:rFonts w:asciiTheme="majorBidi" w:hAnsiTheme="majorBidi" w:cstheme="majorBidi"/>
          <w:sz w:val="24"/>
          <w:szCs w:val="24"/>
        </w:rPr>
        <w:t>bleeds</w:t>
      </w:r>
      <w:r w:rsidR="00C5692D" w:rsidRPr="000E1342">
        <w:rPr>
          <w:rFonts w:asciiTheme="majorBidi" w:hAnsiTheme="majorBidi" w:cstheme="majorBidi"/>
          <w:sz w:val="24"/>
          <w:szCs w:val="24"/>
        </w:rPr>
        <w:t xml:space="preserve"> </w:t>
      </w:r>
      <w:r w:rsidRPr="000E1342">
        <w:rPr>
          <w:rFonts w:asciiTheme="majorBidi" w:hAnsiTheme="majorBidi" w:cstheme="majorBidi"/>
          <w:sz w:val="24"/>
          <w:szCs w:val="24"/>
        </w:rPr>
        <w:t xml:space="preserve">were effectively treated after 1 injection of </w:t>
      </w:r>
      <w:r w:rsidR="00EE565D">
        <w:rPr>
          <w:rFonts w:asciiTheme="majorBidi" w:hAnsiTheme="majorBidi" w:cstheme="majorBidi"/>
          <w:sz w:val="24"/>
          <w:szCs w:val="24"/>
        </w:rPr>
        <w:t>ESPEROCT</w:t>
      </w:r>
      <w:r w:rsidRPr="000E1342">
        <w:rPr>
          <w:rFonts w:asciiTheme="majorBidi" w:hAnsiTheme="majorBidi" w:cstheme="majorBidi"/>
          <w:sz w:val="24"/>
          <w:szCs w:val="24"/>
        </w:rPr>
        <w:t xml:space="preserve">. In total, 96.8% of the 1,126 </w:t>
      </w:r>
      <w:r w:rsidR="00867F45">
        <w:rPr>
          <w:rFonts w:asciiTheme="majorBidi" w:hAnsiTheme="majorBidi" w:cstheme="majorBidi"/>
          <w:sz w:val="24"/>
          <w:szCs w:val="24"/>
        </w:rPr>
        <w:t>bleeds</w:t>
      </w:r>
      <w:r w:rsidR="00867F45" w:rsidRPr="000E1342">
        <w:rPr>
          <w:rFonts w:asciiTheme="majorBidi" w:hAnsiTheme="majorBidi" w:cstheme="majorBidi"/>
          <w:sz w:val="24"/>
          <w:szCs w:val="24"/>
        </w:rPr>
        <w:t xml:space="preserve"> </w:t>
      </w:r>
      <w:r w:rsidRPr="000E1342">
        <w:rPr>
          <w:rFonts w:asciiTheme="majorBidi" w:hAnsiTheme="majorBidi" w:cstheme="majorBidi"/>
          <w:sz w:val="24"/>
          <w:szCs w:val="24"/>
        </w:rPr>
        <w:t xml:space="preserve">were effectively treated after 1 – 2 injections of </w:t>
      </w:r>
      <w:r w:rsidR="00EE565D">
        <w:rPr>
          <w:rFonts w:asciiTheme="majorBidi" w:hAnsiTheme="majorBidi" w:cstheme="majorBidi"/>
          <w:sz w:val="24"/>
          <w:szCs w:val="24"/>
        </w:rPr>
        <w:t>ESPEROCT</w:t>
      </w:r>
      <w:r w:rsidRPr="000E1342">
        <w:rPr>
          <w:rFonts w:asciiTheme="majorBidi" w:hAnsiTheme="majorBidi" w:cstheme="majorBidi"/>
          <w:sz w:val="24"/>
          <w:szCs w:val="24"/>
        </w:rPr>
        <w:t>.</w:t>
      </w:r>
    </w:p>
    <w:p w14:paraId="06215EA1" w14:textId="5286D802" w:rsidR="009960BA" w:rsidRPr="000F5B12" w:rsidRDefault="009960BA" w:rsidP="009960BA">
      <w:pPr>
        <w:pStyle w:val="Caption"/>
        <w:keepNext/>
        <w:ind w:left="1440" w:hanging="1440"/>
        <w:rPr>
          <w:rFonts w:asciiTheme="majorBidi" w:hAnsiTheme="majorBidi" w:cstheme="majorBidi"/>
          <w:b/>
          <w:i w:val="0"/>
          <w:iCs w:val="0"/>
          <w:color w:val="auto"/>
          <w:sz w:val="24"/>
          <w:szCs w:val="24"/>
        </w:rPr>
      </w:pPr>
      <w:r w:rsidRPr="000E1342">
        <w:rPr>
          <w:rFonts w:asciiTheme="majorBidi" w:hAnsiTheme="majorBidi" w:cstheme="majorBidi"/>
          <w:b/>
          <w:i w:val="0"/>
          <w:iCs w:val="0"/>
          <w:color w:val="auto"/>
          <w:sz w:val="24"/>
          <w:szCs w:val="24"/>
        </w:rPr>
        <w:t xml:space="preserve">Table </w:t>
      </w:r>
      <w:r>
        <w:rPr>
          <w:rFonts w:asciiTheme="majorBidi" w:hAnsiTheme="majorBidi" w:cstheme="majorBidi"/>
          <w:b/>
          <w:i w:val="0"/>
          <w:iCs w:val="0"/>
          <w:color w:val="auto"/>
          <w:sz w:val="24"/>
          <w:szCs w:val="24"/>
        </w:rPr>
        <w:t>6</w:t>
      </w:r>
      <w:r w:rsidRPr="000E1342">
        <w:rPr>
          <w:rFonts w:asciiTheme="majorBidi" w:hAnsiTheme="majorBidi" w:cstheme="majorBidi"/>
          <w:b/>
          <w:i w:val="0"/>
          <w:iCs w:val="0"/>
          <w:color w:val="auto"/>
          <w:sz w:val="24"/>
          <w:szCs w:val="24"/>
        </w:rPr>
        <w:tab/>
      </w:r>
      <w:r w:rsidR="00D4475C" w:rsidRPr="00D4475C">
        <w:rPr>
          <w:rFonts w:asciiTheme="majorBidi" w:hAnsiTheme="majorBidi" w:cstheme="majorBidi"/>
          <w:b/>
          <w:i w:val="0"/>
          <w:iCs w:val="0"/>
          <w:color w:val="auto"/>
          <w:sz w:val="24"/>
          <w:szCs w:val="24"/>
        </w:rPr>
        <w:t xml:space="preserve">Efficacy of </w:t>
      </w:r>
      <w:r w:rsidR="00EE565D">
        <w:rPr>
          <w:rFonts w:asciiTheme="majorBidi" w:hAnsiTheme="majorBidi" w:cstheme="majorBidi"/>
          <w:b/>
          <w:i w:val="0"/>
          <w:iCs w:val="0"/>
          <w:color w:val="auto"/>
          <w:sz w:val="24"/>
          <w:szCs w:val="24"/>
        </w:rPr>
        <w:t>ESPEROCT</w:t>
      </w:r>
      <w:r w:rsidR="00D4475C" w:rsidRPr="00D4475C">
        <w:rPr>
          <w:rFonts w:asciiTheme="majorBidi" w:hAnsiTheme="majorBidi" w:cstheme="majorBidi"/>
          <w:b/>
          <w:i w:val="0"/>
          <w:iCs w:val="0"/>
          <w:color w:val="auto"/>
          <w:sz w:val="24"/>
          <w:szCs w:val="24"/>
        </w:rPr>
        <w:t xml:space="preserve"> in treatment of bleeding episodes by age group</w:t>
      </w: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7"/>
        <w:gridCol w:w="1134"/>
        <w:gridCol w:w="1189"/>
        <w:gridCol w:w="1363"/>
        <w:gridCol w:w="1560"/>
        <w:gridCol w:w="1243"/>
      </w:tblGrid>
      <w:tr w:rsidR="00537193" w:rsidRPr="00E306AB" w14:paraId="5A1B4488" w14:textId="77777777" w:rsidTr="00537193">
        <w:trPr>
          <w:trHeight w:val="506"/>
        </w:trPr>
        <w:tc>
          <w:tcPr>
            <w:tcW w:w="1409" w:type="pct"/>
          </w:tcPr>
          <w:p w14:paraId="2A8A112A" w14:textId="77777777" w:rsidR="00E306AB" w:rsidRPr="00E306AB" w:rsidRDefault="00E306AB" w:rsidP="00E306AB">
            <w:pPr>
              <w:widowControl w:val="0"/>
              <w:autoSpaceDE w:val="0"/>
              <w:autoSpaceDN w:val="0"/>
              <w:spacing w:after="0" w:line="240" w:lineRule="auto"/>
              <w:rPr>
                <w:rFonts w:ascii="Times New Roman" w:eastAsia="Times New Roman" w:hAnsi="Times New Roman" w:cs="Times New Roman"/>
                <w:lang w:val="en-US"/>
              </w:rPr>
            </w:pPr>
          </w:p>
        </w:tc>
        <w:tc>
          <w:tcPr>
            <w:tcW w:w="627" w:type="pct"/>
          </w:tcPr>
          <w:p w14:paraId="0DC13507"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E306AB">
              <w:rPr>
                <w:rFonts w:ascii="Times New Roman" w:eastAsia="Times New Roman" w:hAnsi="Times New Roman" w:cs="Times New Roman"/>
                <w:b/>
                <w:bCs/>
                <w:lang w:val="en-US"/>
              </w:rPr>
              <w:t>0 to below</w:t>
            </w:r>
          </w:p>
          <w:p w14:paraId="481C0CEF"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E306AB">
              <w:rPr>
                <w:rFonts w:ascii="Times New Roman" w:eastAsia="Times New Roman" w:hAnsi="Times New Roman" w:cs="Times New Roman"/>
                <w:b/>
                <w:bCs/>
                <w:lang w:val="en-US"/>
              </w:rPr>
              <w:t>6</w:t>
            </w:r>
            <w:r w:rsidRPr="00E306AB">
              <w:rPr>
                <w:rFonts w:ascii="Times New Roman" w:eastAsia="Times New Roman" w:hAnsi="Times New Roman" w:cs="Times New Roman"/>
                <w:b/>
                <w:bCs/>
                <w:spacing w:val="-1"/>
                <w:lang w:val="en-US"/>
              </w:rPr>
              <w:t xml:space="preserve"> </w:t>
            </w:r>
            <w:r w:rsidRPr="00E306AB">
              <w:rPr>
                <w:rFonts w:ascii="Times New Roman" w:eastAsia="Times New Roman" w:hAnsi="Times New Roman" w:cs="Times New Roman"/>
                <w:b/>
                <w:bCs/>
                <w:lang w:val="en-US"/>
              </w:rPr>
              <w:t>years</w:t>
            </w:r>
          </w:p>
        </w:tc>
        <w:tc>
          <w:tcPr>
            <w:tcW w:w="658" w:type="pct"/>
          </w:tcPr>
          <w:p w14:paraId="7728F9EC"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E306AB">
              <w:rPr>
                <w:rFonts w:ascii="Times New Roman" w:eastAsia="Times New Roman" w:hAnsi="Times New Roman" w:cs="Times New Roman"/>
                <w:b/>
                <w:bCs/>
                <w:lang w:val="en-US"/>
              </w:rPr>
              <w:t>6 to below</w:t>
            </w:r>
          </w:p>
          <w:p w14:paraId="7A08CF69"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E306AB">
              <w:rPr>
                <w:rFonts w:ascii="Times New Roman" w:eastAsia="Times New Roman" w:hAnsi="Times New Roman" w:cs="Times New Roman"/>
                <w:b/>
                <w:bCs/>
                <w:lang w:val="en-US"/>
              </w:rPr>
              <w:t>12</w:t>
            </w:r>
            <w:r w:rsidRPr="00E306AB">
              <w:rPr>
                <w:rFonts w:ascii="Times New Roman" w:eastAsia="Times New Roman" w:hAnsi="Times New Roman" w:cs="Times New Roman"/>
                <w:b/>
                <w:bCs/>
                <w:spacing w:val="-1"/>
                <w:lang w:val="en-US"/>
              </w:rPr>
              <w:t xml:space="preserve"> </w:t>
            </w:r>
            <w:r w:rsidRPr="00E306AB">
              <w:rPr>
                <w:rFonts w:ascii="Times New Roman" w:eastAsia="Times New Roman" w:hAnsi="Times New Roman" w:cs="Times New Roman"/>
                <w:b/>
                <w:bCs/>
                <w:lang w:val="en-US"/>
              </w:rPr>
              <w:t>years</w:t>
            </w:r>
          </w:p>
        </w:tc>
        <w:tc>
          <w:tcPr>
            <w:tcW w:w="754" w:type="pct"/>
          </w:tcPr>
          <w:p w14:paraId="3F09F8F0"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E306AB">
              <w:rPr>
                <w:rFonts w:ascii="Times New Roman" w:eastAsia="Times New Roman" w:hAnsi="Times New Roman" w:cs="Times New Roman"/>
                <w:b/>
                <w:bCs/>
                <w:lang w:val="en-US"/>
              </w:rPr>
              <w:t>12 to below</w:t>
            </w:r>
          </w:p>
          <w:p w14:paraId="7C9FEA86"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E306AB">
              <w:rPr>
                <w:rFonts w:ascii="Times New Roman" w:eastAsia="Times New Roman" w:hAnsi="Times New Roman" w:cs="Times New Roman"/>
                <w:b/>
                <w:bCs/>
                <w:lang w:val="en-US"/>
              </w:rPr>
              <w:t>18</w:t>
            </w:r>
            <w:r w:rsidRPr="00E306AB">
              <w:rPr>
                <w:rFonts w:ascii="Times New Roman" w:eastAsia="Times New Roman" w:hAnsi="Times New Roman" w:cs="Times New Roman"/>
                <w:b/>
                <w:bCs/>
                <w:spacing w:val="-1"/>
                <w:lang w:val="en-US"/>
              </w:rPr>
              <w:t xml:space="preserve"> </w:t>
            </w:r>
            <w:r w:rsidRPr="00E306AB">
              <w:rPr>
                <w:rFonts w:ascii="Times New Roman" w:eastAsia="Times New Roman" w:hAnsi="Times New Roman" w:cs="Times New Roman"/>
                <w:b/>
                <w:bCs/>
                <w:lang w:val="en-US"/>
              </w:rPr>
              <w:t>years</w:t>
            </w:r>
          </w:p>
        </w:tc>
        <w:tc>
          <w:tcPr>
            <w:tcW w:w="863" w:type="pct"/>
          </w:tcPr>
          <w:p w14:paraId="1DF500A1" w14:textId="77777777" w:rsidR="00E306AB" w:rsidRPr="00E306AB" w:rsidRDefault="00E306AB" w:rsidP="00B943DF">
            <w:pPr>
              <w:widowControl w:val="0"/>
              <w:autoSpaceDE w:val="0"/>
              <w:autoSpaceDN w:val="0"/>
              <w:spacing w:after="0" w:line="240" w:lineRule="auto"/>
              <w:ind w:left="106" w:right="297"/>
              <w:jc w:val="center"/>
              <w:rPr>
                <w:rFonts w:ascii="Times New Roman" w:eastAsia="Times New Roman" w:hAnsi="Times New Roman" w:cs="Times New Roman"/>
                <w:b/>
                <w:bCs/>
                <w:lang w:val="en-US"/>
              </w:rPr>
            </w:pPr>
            <w:r w:rsidRPr="00E306AB">
              <w:rPr>
                <w:rFonts w:ascii="Times New Roman" w:eastAsia="Times New Roman" w:hAnsi="Times New Roman" w:cs="Times New Roman"/>
                <w:b/>
                <w:bCs/>
                <w:lang w:val="en-US"/>
              </w:rPr>
              <w:t>18 years</w:t>
            </w:r>
            <w:r w:rsidRPr="00E306AB">
              <w:rPr>
                <w:rFonts w:ascii="Times New Roman" w:eastAsia="Times New Roman" w:hAnsi="Times New Roman" w:cs="Times New Roman"/>
                <w:b/>
                <w:bCs/>
                <w:spacing w:val="1"/>
                <w:lang w:val="en-US"/>
              </w:rPr>
              <w:t xml:space="preserve"> </w:t>
            </w:r>
            <w:r w:rsidRPr="00E306AB">
              <w:rPr>
                <w:rFonts w:ascii="Times New Roman" w:eastAsia="Times New Roman" w:hAnsi="Times New Roman" w:cs="Times New Roman"/>
                <w:b/>
                <w:bCs/>
                <w:lang w:val="en-US"/>
              </w:rPr>
              <w:t>and</w:t>
            </w:r>
            <w:r w:rsidRPr="00E306AB">
              <w:rPr>
                <w:rFonts w:ascii="Times New Roman" w:eastAsia="Times New Roman" w:hAnsi="Times New Roman" w:cs="Times New Roman"/>
                <w:b/>
                <w:bCs/>
                <w:spacing w:val="-11"/>
                <w:lang w:val="en-US"/>
              </w:rPr>
              <w:t xml:space="preserve"> </w:t>
            </w:r>
            <w:r w:rsidRPr="00E306AB">
              <w:rPr>
                <w:rFonts w:ascii="Times New Roman" w:eastAsia="Times New Roman" w:hAnsi="Times New Roman" w:cs="Times New Roman"/>
                <w:b/>
                <w:bCs/>
                <w:lang w:val="en-US"/>
              </w:rPr>
              <w:t>above</w:t>
            </w:r>
          </w:p>
        </w:tc>
        <w:tc>
          <w:tcPr>
            <w:tcW w:w="688" w:type="pct"/>
          </w:tcPr>
          <w:p w14:paraId="5B25F455" w14:textId="77777777" w:rsidR="00E306AB" w:rsidRPr="00E306AB" w:rsidRDefault="00E306AB" w:rsidP="00B943DF">
            <w:pPr>
              <w:widowControl w:val="0"/>
              <w:autoSpaceDE w:val="0"/>
              <w:autoSpaceDN w:val="0"/>
              <w:spacing w:after="0" w:line="240" w:lineRule="auto"/>
              <w:ind w:left="106"/>
              <w:jc w:val="center"/>
              <w:rPr>
                <w:rFonts w:ascii="Times New Roman" w:eastAsia="Times New Roman" w:hAnsi="Times New Roman" w:cs="Times New Roman"/>
                <w:b/>
                <w:bCs/>
                <w:lang w:val="en-US"/>
              </w:rPr>
            </w:pPr>
            <w:r w:rsidRPr="00E306AB">
              <w:rPr>
                <w:rFonts w:ascii="Times New Roman" w:eastAsia="Times New Roman" w:hAnsi="Times New Roman" w:cs="Times New Roman"/>
                <w:b/>
                <w:bCs/>
                <w:lang w:val="en-US"/>
              </w:rPr>
              <w:t>Total</w:t>
            </w:r>
          </w:p>
        </w:tc>
      </w:tr>
      <w:tr w:rsidR="00537193" w:rsidRPr="00E306AB" w14:paraId="6253235F" w14:textId="77777777" w:rsidTr="00537193">
        <w:trPr>
          <w:trHeight w:val="251"/>
        </w:trPr>
        <w:tc>
          <w:tcPr>
            <w:tcW w:w="1409" w:type="pct"/>
          </w:tcPr>
          <w:p w14:paraId="63210592" w14:textId="0B7FE7C7" w:rsidR="00E306AB" w:rsidRPr="00E306AB" w:rsidRDefault="00E306AB" w:rsidP="00E306AB">
            <w:pPr>
              <w:widowControl w:val="0"/>
              <w:autoSpaceDE w:val="0"/>
              <w:autoSpaceDN w:val="0"/>
              <w:spacing w:after="0" w:line="240" w:lineRule="auto"/>
              <w:ind w:left="107"/>
              <w:rPr>
                <w:rFonts w:ascii="Times New Roman" w:eastAsia="Times New Roman" w:hAnsi="Times New Roman" w:cs="Times New Roman"/>
                <w:lang w:val="en-US"/>
              </w:rPr>
            </w:pPr>
            <w:r w:rsidRPr="00E306AB">
              <w:rPr>
                <w:rFonts w:ascii="Times New Roman" w:eastAsia="Times New Roman" w:hAnsi="Times New Roman" w:cs="Times New Roman"/>
                <w:lang w:val="en-US"/>
              </w:rPr>
              <w:t>No.</w:t>
            </w:r>
            <w:r w:rsidRPr="00E306AB">
              <w:rPr>
                <w:rFonts w:ascii="Times New Roman" w:eastAsia="Times New Roman" w:hAnsi="Times New Roman" w:cs="Times New Roman"/>
                <w:spacing w:val="-2"/>
                <w:lang w:val="en-US"/>
              </w:rPr>
              <w:t xml:space="preserve"> </w:t>
            </w:r>
            <w:r w:rsidRPr="00E306AB">
              <w:rPr>
                <w:rFonts w:ascii="Times New Roman" w:eastAsia="Times New Roman" w:hAnsi="Times New Roman" w:cs="Times New Roman"/>
                <w:lang w:val="en-US"/>
              </w:rPr>
              <w:t>of</w:t>
            </w:r>
            <w:r w:rsidRPr="00E306AB">
              <w:rPr>
                <w:rFonts w:ascii="Times New Roman" w:eastAsia="Times New Roman" w:hAnsi="Times New Roman" w:cs="Times New Roman"/>
                <w:spacing w:val="-1"/>
                <w:lang w:val="en-US"/>
              </w:rPr>
              <w:t xml:space="preserve"> </w:t>
            </w:r>
            <w:r w:rsidRPr="00E306AB">
              <w:rPr>
                <w:rFonts w:ascii="Times New Roman" w:eastAsia="Times New Roman" w:hAnsi="Times New Roman" w:cs="Times New Roman"/>
                <w:lang w:val="en-US"/>
              </w:rPr>
              <w:t>p</w:t>
            </w:r>
            <w:r w:rsidR="00B943DF">
              <w:rPr>
                <w:rFonts w:ascii="Times New Roman" w:eastAsia="Times New Roman" w:hAnsi="Times New Roman" w:cs="Times New Roman"/>
                <w:lang w:val="en-US"/>
              </w:rPr>
              <w:t>a</w:t>
            </w:r>
            <w:r w:rsidRPr="00E306AB">
              <w:rPr>
                <w:rFonts w:ascii="Times New Roman" w:eastAsia="Times New Roman" w:hAnsi="Times New Roman" w:cs="Times New Roman"/>
                <w:lang w:val="en-US"/>
              </w:rPr>
              <w:t>t</w:t>
            </w:r>
            <w:r w:rsidR="00B943DF">
              <w:rPr>
                <w:rFonts w:ascii="Times New Roman" w:eastAsia="Times New Roman" w:hAnsi="Times New Roman" w:cs="Times New Roman"/>
                <w:lang w:val="en-US"/>
              </w:rPr>
              <w:t>ient</w:t>
            </w:r>
            <w:r w:rsidRPr="00E306AB">
              <w:rPr>
                <w:rFonts w:ascii="Times New Roman" w:eastAsia="Times New Roman" w:hAnsi="Times New Roman" w:cs="Times New Roman"/>
                <w:lang w:val="en-US"/>
              </w:rPr>
              <w:t>s</w:t>
            </w:r>
          </w:p>
        </w:tc>
        <w:tc>
          <w:tcPr>
            <w:tcW w:w="627" w:type="pct"/>
          </w:tcPr>
          <w:p w14:paraId="04DFAF06"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34</w:t>
            </w:r>
          </w:p>
        </w:tc>
        <w:tc>
          <w:tcPr>
            <w:tcW w:w="658" w:type="pct"/>
          </w:tcPr>
          <w:p w14:paraId="144A2BC2"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34</w:t>
            </w:r>
          </w:p>
        </w:tc>
        <w:tc>
          <w:tcPr>
            <w:tcW w:w="754" w:type="pct"/>
          </w:tcPr>
          <w:p w14:paraId="7C7D7C40"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25</w:t>
            </w:r>
          </w:p>
        </w:tc>
        <w:tc>
          <w:tcPr>
            <w:tcW w:w="863" w:type="pct"/>
          </w:tcPr>
          <w:p w14:paraId="7514AE17" w14:textId="77777777" w:rsidR="00E306AB" w:rsidRPr="00E306AB" w:rsidRDefault="00E306AB" w:rsidP="00B943DF">
            <w:pPr>
              <w:widowControl w:val="0"/>
              <w:autoSpaceDE w:val="0"/>
              <w:autoSpaceDN w:val="0"/>
              <w:spacing w:after="0" w:line="240" w:lineRule="auto"/>
              <w:ind w:left="106"/>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161</w:t>
            </w:r>
          </w:p>
        </w:tc>
        <w:tc>
          <w:tcPr>
            <w:tcW w:w="688" w:type="pct"/>
          </w:tcPr>
          <w:p w14:paraId="35679886" w14:textId="77777777" w:rsidR="00E306AB" w:rsidRPr="00E306AB" w:rsidRDefault="00E306AB" w:rsidP="00B943DF">
            <w:pPr>
              <w:widowControl w:val="0"/>
              <w:autoSpaceDE w:val="0"/>
              <w:autoSpaceDN w:val="0"/>
              <w:spacing w:after="0" w:line="240" w:lineRule="auto"/>
              <w:ind w:left="106"/>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254</w:t>
            </w:r>
          </w:p>
        </w:tc>
      </w:tr>
      <w:tr w:rsidR="00537193" w:rsidRPr="00E306AB" w14:paraId="5293028B" w14:textId="77777777" w:rsidTr="00537193">
        <w:trPr>
          <w:trHeight w:val="251"/>
        </w:trPr>
        <w:tc>
          <w:tcPr>
            <w:tcW w:w="1409" w:type="pct"/>
          </w:tcPr>
          <w:p w14:paraId="2A80D36C" w14:textId="77777777" w:rsidR="00E306AB" w:rsidRPr="00E306AB" w:rsidRDefault="00E306AB" w:rsidP="00E306AB">
            <w:pPr>
              <w:widowControl w:val="0"/>
              <w:autoSpaceDE w:val="0"/>
              <w:autoSpaceDN w:val="0"/>
              <w:spacing w:after="0" w:line="240" w:lineRule="auto"/>
              <w:ind w:left="107"/>
              <w:rPr>
                <w:rFonts w:ascii="Times New Roman" w:eastAsia="Times New Roman" w:hAnsi="Times New Roman" w:cs="Times New Roman"/>
                <w:lang w:val="en-US"/>
              </w:rPr>
            </w:pPr>
            <w:r w:rsidRPr="00E306AB">
              <w:rPr>
                <w:rFonts w:ascii="Times New Roman" w:eastAsia="Times New Roman" w:hAnsi="Times New Roman" w:cs="Times New Roman"/>
                <w:lang w:val="en-US"/>
              </w:rPr>
              <w:t>No.</w:t>
            </w:r>
            <w:r w:rsidRPr="00E306AB">
              <w:rPr>
                <w:rFonts w:ascii="Times New Roman" w:eastAsia="Times New Roman" w:hAnsi="Times New Roman" w:cs="Times New Roman"/>
                <w:spacing w:val="-2"/>
                <w:lang w:val="en-US"/>
              </w:rPr>
              <w:t xml:space="preserve"> </w:t>
            </w:r>
            <w:r w:rsidRPr="00E306AB">
              <w:rPr>
                <w:rFonts w:ascii="Times New Roman" w:eastAsia="Times New Roman" w:hAnsi="Times New Roman" w:cs="Times New Roman"/>
                <w:lang w:val="en-US"/>
              </w:rPr>
              <w:t>of</w:t>
            </w:r>
            <w:r w:rsidRPr="00E306AB">
              <w:rPr>
                <w:rFonts w:ascii="Times New Roman" w:eastAsia="Times New Roman" w:hAnsi="Times New Roman" w:cs="Times New Roman"/>
                <w:spacing w:val="-1"/>
                <w:lang w:val="en-US"/>
              </w:rPr>
              <w:t xml:space="preserve"> </w:t>
            </w:r>
            <w:r w:rsidRPr="00E306AB">
              <w:rPr>
                <w:rFonts w:ascii="Times New Roman" w:eastAsia="Times New Roman" w:hAnsi="Times New Roman" w:cs="Times New Roman"/>
                <w:lang w:val="en-US"/>
              </w:rPr>
              <w:t>bleeds</w:t>
            </w:r>
          </w:p>
        </w:tc>
        <w:tc>
          <w:tcPr>
            <w:tcW w:w="627" w:type="pct"/>
          </w:tcPr>
          <w:p w14:paraId="2B3B9CE5"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90</w:t>
            </w:r>
          </w:p>
        </w:tc>
        <w:tc>
          <w:tcPr>
            <w:tcW w:w="658" w:type="pct"/>
          </w:tcPr>
          <w:p w14:paraId="28FEBBAF"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192</w:t>
            </w:r>
          </w:p>
        </w:tc>
        <w:tc>
          <w:tcPr>
            <w:tcW w:w="754" w:type="pct"/>
          </w:tcPr>
          <w:p w14:paraId="4F72EEC8"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168</w:t>
            </w:r>
          </w:p>
        </w:tc>
        <w:tc>
          <w:tcPr>
            <w:tcW w:w="863" w:type="pct"/>
          </w:tcPr>
          <w:p w14:paraId="073F5011" w14:textId="77777777" w:rsidR="00E306AB" w:rsidRPr="00E306AB" w:rsidRDefault="00E306AB" w:rsidP="00B943DF">
            <w:pPr>
              <w:widowControl w:val="0"/>
              <w:autoSpaceDE w:val="0"/>
              <w:autoSpaceDN w:val="0"/>
              <w:spacing w:after="0" w:line="240" w:lineRule="auto"/>
              <w:ind w:left="106"/>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2316</w:t>
            </w:r>
          </w:p>
        </w:tc>
        <w:tc>
          <w:tcPr>
            <w:tcW w:w="688" w:type="pct"/>
          </w:tcPr>
          <w:p w14:paraId="22EF54C0" w14:textId="77777777" w:rsidR="00E306AB" w:rsidRPr="00E306AB" w:rsidRDefault="00E306AB" w:rsidP="00B943DF">
            <w:pPr>
              <w:widowControl w:val="0"/>
              <w:autoSpaceDE w:val="0"/>
              <w:autoSpaceDN w:val="0"/>
              <w:spacing w:after="0" w:line="240" w:lineRule="auto"/>
              <w:ind w:left="106"/>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2766</w:t>
            </w:r>
          </w:p>
        </w:tc>
      </w:tr>
      <w:tr w:rsidR="00537193" w:rsidRPr="00E306AB" w14:paraId="347CCEB4" w14:textId="77777777" w:rsidTr="00537193">
        <w:trPr>
          <w:trHeight w:val="673"/>
        </w:trPr>
        <w:tc>
          <w:tcPr>
            <w:tcW w:w="1409" w:type="pct"/>
          </w:tcPr>
          <w:p w14:paraId="6CD5828F" w14:textId="6BF72257" w:rsidR="00E306AB" w:rsidRPr="00E306AB" w:rsidRDefault="00E306AB" w:rsidP="00E306AB">
            <w:pPr>
              <w:widowControl w:val="0"/>
              <w:autoSpaceDE w:val="0"/>
              <w:autoSpaceDN w:val="0"/>
              <w:spacing w:after="0" w:line="240" w:lineRule="auto"/>
              <w:ind w:left="107" w:right="313"/>
              <w:rPr>
                <w:rFonts w:ascii="Times New Roman" w:eastAsia="Times New Roman" w:hAnsi="Times New Roman" w:cs="Times New Roman"/>
                <w:lang w:val="en-US"/>
              </w:rPr>
            </w:pPr>
            <w:proofErr w:type="spellStart"/>
            <w:r w:rsidRPr="00E306AB">
              <w:rPr>
                <w:rFonts w:ascii="Times New Roman" w:eastAsia="Times New Roman" w:hAnsi="Times New Roman" w:cs="Times New Roman"/>
                <w:lang w:val="en-US"/>
              </w:rPr>
              <w:t>Haemostatic</w:t>
            </w:r>
            <w:proofErr w:type="spellEnd"/>
            <w:r w:rsidRPr="00E306AB">
              <w:rPr>
                <w:rFonts w:ascii="Times New Roman" w:eastAsia="Times New Roman" w:hAnsi="Times New Roman" w:cs="Times New Roman"/>
                <w:spacing w:val="1"/>
                <w:lang w:val="en-US"/>
              </w:rPr>
              <w:t xml:space="preserve"> </w:t>
            </w:r>
            <w:r w:rsidRPr="00E306AB">
              <w:rPr>
                <w:rFonts w:ascii="Times New Roman" w:eastAsia="Times New Roman" w:hAnsi="Times New Roman" w:cs="Times New Roman"/>
                <w:lang w:val="en-US"/>
              </w:rPr>
              <w:t>response*</w:t>
            </w:r>
            <w:r w:rsidR="00537193">
              <w:rPr>
                <w:rFonts w:ascii="Times New Roman" w:eastAsia="Times New Roman" w:hAnsi="Times New Roman" w:cs="Times New Roman"/>
                <w:lang w:val="en-US"/>
              </w:rPr>
              <w:t xml:space="preserve"> </w:t>
            </w:r>
            <w:r w:rsidRPr="00E306AB">
              <w:rPr>
                <w:rFonts w:ascii="Times New Roman" w:eastAsia="Times New Roman" w:hAnsi="Times New Roman" w:cs="Times New Roman"/>
                <w:lang w:val="en-US"/>
              </w:rPr>
              <w:t>(excellent/good)</w:t>
            </w:r>
          </w:p>
        </w:tc>
        <w:tc>
          <w:tcPr>
            <w:tcW w:w="627" w:type="pct"/>
          </w:tcPr>
          <w:p w14:paraId="55FE8FA6"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86.7%</w:t>
            </w:r>
          </w:p>
        </w:tc>
        <w:tc>
          <w:tcPr>
            <w:tcW w:w="658" w:type="pct"/>
          </w:tcPr>
          <w:p w14:paraId="21D9BC22"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76.6%</w:t>
            </w:r>
          </w:p>
        </w:tc>
        <w:tc>
          <w:tcPr>
            <w:tcW w:w="754" w:type="pct"/>
          </w:tcPr>
          <w:p w14:paraId="39131C40" w14:textId="77777777" w:rsidR="00E306AB" w:rsidRPr="00E306AB" w:rsidRDefault="00E306AB" w:rsidP="00B943DF">
            <w:pPr>
              <w:widowControl w:val="0"/>
              <w:autoSpaceDE w:val="0"/>
              <w:autoSpaceDN w:val="0"/>
              <w:spacing w:after="0" w:line="240" w:lineRule="auto"/>
              <w:ind w:left="107"/>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76.8%</w:t>
            </w:r>
          </w:p>
        </w:tc>
        <w:tc>
          <w:tcPr>
            <w:tcW w:w="863" w:type="pct"/>
          </w:tcPr>
          <w:p w14:paraId="2D2F8A0F" w14:textId="77777777" w:rsidR="00E306AB" w:rsidRPr="00E306AB" w:rsidRDefault="00E306AB" w:rsidP="00B943DF">
            <w:pPr>
              <w:widowControl w:val="0"/>
              <w:autoSpaceDE w:val="0"/>
              <w:autoSpaceDN w:val="0"/>
              <w:spacing w:after="0" w:line="240" w:lineRule="auto"/>
              <w:ind w:left="106"/>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89.5%</w:t>
            </w:r>
          </w:p>
        </w:tc>
        <w:tc>
          <w:tcPr>
            <w:tcW w:w="688" w:type="pct"/>
          </w:tcPr>
          <w:p w14:paraId="13D02DE1" w14:textId="77777777" w:rsidR="00E306AB" w:rsidRPr="00E306AB" w:rsidRDefault="00E306AB" w:rsidP="00B943DF">
            <w:pPr>
              <w:widowControl w:val="0"/>
              <w:autoSpaceDE w:val="0"/>
              <w:autoSpaceDN w:val="0"/>
              <w:spacing w:after="0" w:line="240" w:lineRule="auto"/>
              <w:ind w:left="106"/>
              <w:jc w:val="center"/>
              <w:rPr>
                <w:rFonts w:ascii="Times New Roman" w:eastAsia="Times New Roman" w:hAnsi="Times New Roman" w:cs="Times New Roman"/>
                <w:lang w:val="en-US"/>
              </w:rPr>
            </w:pPr>
            <w:r w:rsidRPr="00E306AB">
              <w:rPr>
                <w:rFonts w:ascii="Times New Roman" w:eastAsia="Times New Roman" w:hAnsi="Times New Roman" w:cs="Times New Roman"/>
                <w:lang w:val="en-US"/>
              </w:rPr>
              <w:t>87.7%</w:t>
            </w:r>
          </w:p>
        </w:tc>
      </w:tr>
    </w:tbl>
    <w:p w14:paraId="2E7CD5C3" w14:textId="2E4E0042" w:rsidR="009960BA" w:rsidRPr="00CE532F" w:rsidRDefault="00537193" w:rsidP="00CE532F">
      <w:pPr>
        <w:rPr>
          <w:rFonts w:asciiTheme="majorBidi" w:hAnsiTheme="majorBidi" w:cstheme="majorBidi"/>
          <w:sz w:val="20"/>
          <w:szCs w:val="20"/>
        </w:rPr>
      </w:pPr>
      <w:r w:rsidRPr="00537193">
        <w:rPr>
          <w:rFonts w:asciiTheme="majorBidi" w:hAnsiTheme="majorBidi" w:cstheme="majorBidi"/>
          <w:sz w:val="20"/>
          <w:szCs w:val="20"/>
          <w:lang w:val="en-US"/>
        </w:rPr>
        <w:t>* Including missing response as failure.</w:t>
      </w:r>
    </w:p>
    <w:p w14:paraId="13601BEA" w14:textId="1A19A6F6" w:rsidR="006710AB" w:rsidRPr="000E1342" w:rsidRDefault="006710AB" w:rsidP="006710AB">
      <w:pPr>
        <w:rPr>
          <w:rFonts w:asciiTheme="majorBidi" w:hAnsiTheme="majorBidi" w:cstheme="majorBidi"/>
          <w:sz w:val="24"/>
          <w:szCs w:val="24"/>
        </w:rPr>
      </w:pPr>
      <w:r w:rsidRPr="000E1342">
        <w:rPr>
          <w:rFonts w:asciiTheme="majorBidi" w:hAnsiTheme="majorBidi" w:cstheme="majorBidi"/>
          <w:sz w:val="24"/>
          <w:szCs w:val="24"/>
        </w:rPr>
        <w:t xml:space="preserve">The overall success rate for the treatment of </w:t>
      </w:r>
      <w:r w:rsidR="00867F45">
        <w:rPr>
          <w:rFonts w:asciiTheme="majorBidi" w:hAnsiTheme="majorBidi" w:cstheme="majorBidi"/>
          <w:sz w:val="24"/>
          <w:szCs w:val="24"/>
        </w:rPr>
        <w:t>bleeds</w:t>
      </w:r>
      <w:r w:rsidR="00867F45" w:rsidRPr="000E1342">
        <w:rPr>
          <w:rFonts w:asciiTheme="majorBidi" w:hAnsiTheme="majorBidi" w:cstheme="majorBidi"/>
          <w:sz w:val="24"/>
          <w:szCs w:val="24"/>
        </w:rPr>
        <w:t xml:space="preserve"> </w:t>
      </w:r>
      <w:r w:rsidRPr="000E1342">
        <w:rPr>
          <w:rFonts w:asciiTheme="majorBidi" w:hAnsiTheme="majorBidi" w:cstheme="majorBidi"/>
          <w:sz w:val="24"/>
          <w:szCs w:val="24"/>
        </w:rPr>
        <w:t xml:space="preserve">was 87.7%, with 94.4% of </w:t>
      </w:r>
      <w:r w:rsidR="00867F45">
        <w:rPr>
          <w:rFonts w:asciiTheme="majorBidi" w:hAnsiTheme="majorBidi" w:cstheme="majorBidi"/>
          <w:sz w:val="24"/>
          <w:szCs w:val="24"/>
        </w:rPr>
        <w:t>bleeds</w:t>
      </w:r>
      <w:r w:rsidR="00867F45" w:rsidRPr="000E1342">
        <w:rPr>
          <w:rFonts w:asciiTheme="majorBidi" w:hAnsiTheme="majorBidi" w:cstheme="majorBidi"/>
          <w:sz w:val="24"/>
          <w:szCs w:val="24"/>
        </w:rPr>
        <w:t xml:space="preserve"> </w:t>
      </w:r>
      <w:r w:rsidRPr="000E1342">
        <w:rPr>
          <w:rFonts w:asciiTheme="majorBidi" w:hAnsiTheme="majorBidi" w:cstheme="majorBidi"/>
          <w:sz w:val="24"/>
          <w:szCs w:val="24"/>
        </w:rPr>
        <w:t>treated with one or two injections.</w:t>
      </w:r>
    </w:p>
    <w:p w14:paraId="62EFE277" w14:textId="75016B86" w:rsidR="006710AB" w:rsidRPr="000E1342" w:rsidRDefault="006710AB" w:rsidP="006710AB">
      <w:pPr>
        <w:rPr>
          <w:rFonts w:asciiTheme="majorBidi" w:hAnsiTheme="majorBidi" w:cstheme="majorBidi"/>
          <w:sz w:val="24"/>
          <w:szCs w:val="24"/>
          <w:u w:val="single"/>
        </w:rPr>
      </w:pPr>
      <w:r w:rsidRPr="000E1342">
        <w:rPr>
          <w:rFonts w:asciiTheme="majorBidi" w:hAnsiTheme="majorBidi" w:cstheme="majorBidi"/>
          <w:sz w:val="24"/>
          <w:szCs w:val="24"/>
          <w:u w:val="single"/>
        </w:rPr>
        <w:t xml:space="preserve">Clinical efficacy of </w:t>
      </w:r>
      <w:r w:rsidR="00EE565D">
        <w:rPr>
          <w:rFonts w:asciiTheme="majorBidi" w:hAnsiTheme="majorBidi" w:cstheme="majorBidi"/>
          <w:sz w:val="24"/>
          <w:szCs w:val="24"/>
          <w:u w:val="single"/>
        </w:rPr>
        <w:t>ESPEROCT</w:t>
      </w:r>
      <w:r w:rsidRPr="000E1342">
        <w:rPr>
          <w:rFonts w:asciiTheme="majorBidi" w:hAnsiTheme="majorBidi" w:cstheme="majorBidi"/>
          <w:sz w:val="24"/>
          <w:szCs w:val="24"/>
          <w:u w:val="single"/>
        </w:rPr>
        <w:t xml:space="preserve"> during major surgical procedures</w:t>
      </w:r>
    </w:p>
    <w:p w14:paraId="27CFE1B9" w14:textId="2F049DAC" w:rsidR="006710AB" w:rsidRDefault="000F01C9" w:rsidP="006710AB">
      <w:pPr>
        <w:rPr>
          <w:rFonts w:asciiTheme="majorBidi" w:hAnsiTheme="majorBidi" w:cstheme="majorBidi"/>
          <w:sz w:val="24"/>
          <w:szCs w:val="24"/>
        </w:rPr>
      </w:pPr>
      <w:r w:rsidRPr="00AD6288">
        <w:rPr>
          <w:rFonts w:asciiTheme="majorBidi" w:hAnsiTheme="majorBidi" w:cstheme="majorBidi"/>
          <w:sz w:val="24"/>
          <w:szCs w:val="24"/>
        </w:rPr>
        <w:t>A pre-surgery dose of ESPEROCT was administered to all patients at the day of surgery (mean dose 55.3 IU/kg; range: 27.2−86.2 IU/kg). A post-surgery dose was administered on the day of surgery in 29 cases (mean dose 31 IU/kg; range: 10.1−58.8 IU/kg). During post-operative Days 1−6, the mean ESPEROCT consumption was 33.5 IU/kg (range: 15.5−59.6 IU/kg).</w:t>
      </w:r>
      <w:r>
        <w:rPr>
          <w:rFonts w:asciiTheme="majorBidi" w:hAnsiTheme="majorBidi" w:cstheme="majorBidi"/>
          <w:sz w:val="24"/>
          <w:szCs w:val="24"/>
        </w:rPr>
        <w:t xml:space="preserve"> </w:t>
      </w:r>
      <w:r w:rsidR="00EE565D">
        <w:rPr>
          <w:rFonts w:asciiTheme="majorBidi" w:hAnsiTheme="majorBidi" w:cstheme="majorBidi"/>
          <w:sz w:val="24"/>
          <w:szCs w:val="24"/>
        </w:rPr>
        <w:t>ESPEROCT</w:t>
      </w:r>
      <w:r w:rsidR="006710AB" w:rsidRPr="000E1342">
        <w:rPr>
          <w:rFonts w:asciiTheme="majorBidi" w:hAnsiTheme="majorBidi" w:cstheme="majorBidi"/>
          <w:sz w:val="24"/>
          <w:szCs w:val="24"/>
        </w:rPr>
        <w:t xml:space="preserve"> was effective in maintaining haemostasis in major surgical procedures (in 43 out of 45, the effect was assessed as "excellent" or "good"), with a success rate of 95.6% in all major surgical procedures performed.</w:t>
      </w:r>
      <w:r w:rsidR="00AD6288">
        <w:rPr>
          <w:rFonts w:asciiTheme="majorBidi" w:hAnsiTheme="majorBidi" w:cstheme="majorBidi"/>
          <w:sz w:val="24"/>
          <w:szCs w:val="24"/>
        </w:rPr>
        <w:t xml:space="preserve"> </w:t>
      </w:r>
    </w:p>
    <w:p w14:paraId="0831AE2D" w14:textId="6526E3DC" w:rsidR="001A3992" w:rsidRDefault="001A3992" w:rsidP="001A3992">
      <w:pPr>
        <w:pStyle w:val="Heading2"/>
        <w:keepNext/>
        <w:spacing w:before="0" w:after="120"/>
        <w:rPr>
          <w:rFonts w:asciiTheme="majorBidi" w:hAnsiTheme="majorBidi" w:cstheme="majorBidi"/>
        </w:rPr>
      </w:pPr>
      <w:r w:rsidRPr="000E1342">
        <w:rPr>
          <w:rFonts w:asciiTheme="majorBidi" w:hAnsiTheme="majorBidi" w:cstheme="majorBidi"/>
        </w:rPr>
        <w:t>Pharmacokinetic properties</w:t>
      </w:r>
      <w:r w:rsidR="00B45199">
        <w:rPr>
          <w:rFonts w:asciiTheme="majorBidi" w:hAnsiTheme="majorBidi" w:cstheme="majorBidi"/>
        </w:rPr>
        <w:fldChar w:fldCharType="begin"/>
      </w:r>
      <w:r w:rsidR="00B45199">
        <w:rPr>
          <w:rFonts w:asciiTheme="majorBidi" w:hAnsiTheme="majorBidi" w:cstheme="majorBidi"/>
        </w:rPr>
        <w:instrText xml:space="preserve"> DOCVARIABLE vault_nd_fb8c7106-7c43-4956-b94d-0ebcb40a79e8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030647A2" w14:textId="4CCDACD3" w:rsidR="00F23A38" w:rsidRPr="00F23A38" w:rsidRDefault="00F23A38" w:rsidP="00F23A38">
      <w:pPr>
        <w:rPr>
          <w:rFonts w:asciiTheme="majorBidi" w:hAnsiTheme="majorBidi" w:cstheme="majorBidi"/>
          <w:sz w:val="24"/>
          <w:szCs w:val="24"/>
        </w:rPr>
      </w:pPr>
      <w:r w:rsidRPr="00F23A38">
        <w:rPr>
          <w:rFonts w:asciiTheme="majorBidi" w:hAnsiTheme="majorBidi" w:cstheme="majorBidi"/>
          <w:sz w:val="24"/>
          <w:szCs w:val="24"/>
        </w:rPr>
        <w:t xml:space="preserve">In total, 129 single-dose pharmacokinetic (PK) profiles of </w:t>
      </w:r>
      <w:r w:rsidR="00EE565D">
        <w:rPr>
          <w:rFonts w:asciiTheme="majorBidi" w:hAnsiTheme="majorBidi" w:cstheme="majorBidi"/>
          <w:sz w:val="24"/>
          <w:szCs w:val="24"/>
        </w:rPr>
        <w:t>ESPEROCT</w:t>
      </w:r>
      <w:r w:rsidRPr="00F23A38">
        <w:rPr>
          <w:rFonts w:asciiTheme="majorBidi" w:hAnsiTheme="majorBidi" w:cstheme="majorBidi"/>
          <w:sz w:val="24"/>
          <w:szCs w:val="24"/>
        </w:rPr>
        <w:t xml:space="preserve"> were evaluated in 86 patients (including 24 paediatric patients (0 – &lt;12 years of age)).</w:t>
      </w:r>
    </w:p>
    <w:p w14:paraId="6FD1DB21" w14:textId="0F6DE3E6" w:rsidR="00F23A38" w:rsidRPr="00F23A38" w:rsidRDefault="00F23A38" w:rsidP="00F23A38">
      <w:pPr>
        <w:rPr>
          <w:rFonts w:asciiTheme="majorBidi" w:hAnsiTheme="majorBidi" w:cstheme="majorBidi"/>
          <w:sz w:val="24"/>
          <w:szCs w:val="24"/>
        </w:rPr>
      </w:pPr>
      <w:r w:rsidRPr="00F23A38">
        <w:rPr>
          <w:rFonts w:asciiTheme="majorBidi" w:hAnsiTheme="majorBidi" w:cstheme="majorBidi"/>
          <w:sz w:val="24"/>
          <w:szCs w:val="24"/>
        </w:rPr>
        <w:t xml:space="preserve">All pharmacokinetic studies with </w:t>
      </w:r>
      <w:r w:rsidR="00EE565D">
        <w:rPr>
          <w:rFonts w:asciiTheme="majorBidi" w:hAnsiTheme="majorBidi" w:cstheme="majorBidi"/>
          <w:sz w:val="24"/>
          <w:szCs w:val="24"/>
        </w:rPr>
        <w:t>ESPEROCT</w:t>
      </w:r>
      <w:r w:rsidRPr="00F23A38">
        <w:rPr>
          <w:rFonts w:asciiTheme="majorBidi" w:hAnsiTheme="majorBidi" w:cstheme="majorBidi"/>
          <w:sz w:val="24"/>
          <w:szCs w:val="24"/>
        </w:rPr>
        <w:t xml:space="preserve"> were conducted in previously treated patients with severe haemophilia A (factor VIII &lt; 1%). The patients received a single dose of 50 IU/kg. Blood samples were taken before administration and at various times for up to 96 hours after administration. The pharmacokinetics of </w:t>
      </w:r>
      <w:r w:rsidR="00EE565D">
        <w:rPr>
          <w:rFonts w:asciiTheme="majorBidi" w:hAnsiTheme="majorBidi" w:cstheme="majorBidi"/>
          <w:sz w:val="24"/>
          <w:szCs w:val="24"/>
        </w:rPr>
        <w:t>ESPEROCT</w:t>
      </w:r>
      <w:r w:rsidRPr="00F23A38">
        <w:rPr>
          <w:rFonts w:asciiTheme="majorBidi" w:hAnsiTheme="majorBidi" w:cstheme="majorBidi"/>
          <w:sz w:val="24"/>
          <w:szCs w:val="24"/>
        </w:rPr>
        <w:t xml:space="preserve"> were compared with unmodified factor VIII products, which consisted of both recombinant and plasma-derived products. The half-life of </w:t>
      </w:r>
      <w:r w:rsidR="00EE565D">
        <w:rPr>
          <w:rFonts w:asciiTheme="majorBidi" w:hAnsiTheme="majorBidi" w:cstheme="majorBidi"/>
          <w:sz w:val="24"/>
          <w:szCs w:val="24"/>
        </w:rPr>
        <w:t>ESPEROCT</w:t>
      </w:r>
      <w:r w:rsidRPr="00F23A38">
        <w:rPr>
          <w:rFonts w:asciiTheme="majorBidi" w:hAnsiTheme="majorBidi" w:cstheme="majorBidi"/>
          <w:sz w:val="24"/>
          <w:szCs w:val="24"/>
        </w:rPr>
        <w:t xml:space="preserve"> was 1.6 times longer than that of unmodified factor VIII preparations.</w:t>
      </w:r>
    </w:p>
    <w:p w14:paraId="355E7B92" w14:textId="76580556" w:rsidR="00F23A38" w:rsidRPr="00F23A38" w:rsidRDefault="00F23A38" w:rsidP="006B169C">
      <w:pPr>
        <w:rPr>
          <w:rFonts w:asciiTheme="majorBidi" w:hAnsiTheme="majorBidi" w:cstheme="majorBidi"/>
          <w:sz w:val="24"/>
          <w:szCs w:val="24"/>
        </w:rPr>
      </w:pPr>
      <w:r w:rsidRPr="00F23A38">
        <w:rPr>
          <w:rFonts w:asciiTheme="majorBidi" w:hAnsiTheme="majorBidi" w:cstheme="majorBidi"/>
          <w:sz w:val="24"/>
          <w:szCs w:val="24"/>
        </w:rPr>
        <w:lastRenderedPageBreak/>
        <w:t>The plasma samples were examined for factor VIII activity by means of chromogenic and one-stage coagulation tests. The pharmacokinetic parameters resulting from both tests were comparable.</w:t>
      </w:r>
    </w:p>
    <w:p w14:paraId="04B7720D" w14:textId="20006D7A" w:rsidR="00F23A38" w:rsidRPr="00F23A38" w:rsidRDefault="00F23A38" w:rsidP="00F23A38">
      <w:pPr>
        <w:rPr>
          <w:rFonts w:asciiTheme="majorBidi" w:hAnsiTheme="majorBidi" w:cstheme="majorBidi"/>
          <w:b/>
          <w:bCs/>
          <w:sz w:val="24"/>
          <w:szCs w:val="24"/>
        </w:rPr>
      </w:pPr>
      <w:r w:rsidRPr="00F23A38">
        <w:rPr>
          <w:rFonts w:asciiTheme="majorBidi" w:hAnsiTheme="majorBidi" w:cstheme="majorBidi"/>
          <w:b/>
          <w:bCs/>
          <w:sz w:val="24"/>
          <w:szCs w:val="24"/>
        </w:rPr>
        <w:t>Pharmacokinetic parameters</w:t>
      </w:r>
    </w:p>
    <w:p w14:paraId="0C9F0051" w14:textId="2E9ECBE0" w:rsidR="00F23A38" w:rsidRPr="00F23A38" w:rsidRDefault="00F23A38" w:rsidP="00F23A38">
      <w:pPr>
        <w:rPr>
          <w:rFonts w:asciiTheme="majorBidi" w:hAnsiTheme="majorBidi" w:cstheme="majorBidi"/>
          <w:sz w:val="24"/>
          <w:szCs w:val="24"/>
        </w:rPr>
      </w:pPr>
      <w:r w:rsidRPr="00F23A38">
        <w:rPr>
          <w:rFonts w:asciiTheme="majorBidi" w:hAnsiTheme="majorBidi" w:cstheme="majorBidi"/>
          <w:sz w:val="24"/>
          <w:szCs w:val="24"/>
        </w:rPr>
        <w:t xml:space="preserve">In total, 108 single-dose pharmacokinetic profiles of 50 IU/kg </w:t>
      </w:r>
      <w:r w:rsidR="00EE565D">
        <w:rPr>
          <w:rFonts w:asciiTheme="majorBidi" w:hAnsiTheme="majorBidi" w:cstheme="majorBidi"/>
          <w:sz w:val="24"/>
          <w:szCs w:val="24"/>
        </w:rPr>
        <w:t>ESPEROCT</w:t>
      </w:r>
      <w:r w:rsidRPr="00F23A38">
        <w:rPr>
          <w:rFonts w:asciiTheme="majorBidi" w:hAnsiTheme="majorBidi" w:cstheme="majorBidi"/>
          <w:sz w:val="24"/>
          <w:szCs w:val="24"/>
        </w:rPr>
        <w:t xml:space="preserve"> were evaluated in 69 patients. The single-dose pharmacokinetic parameters are similar in young children (0 </w:t>
      </w:r>
      <w:r w:rsidR="0004018C">
        <w:rPr>
          <w:rFonts w:asciiTheme="majorBidi" w:hAnsiTheme="majorBidi" w:cstheme="majorBidi"/>
          <w:sz w:val="24"/>
          <w:szCs w:val="24"/>
        </w:rPr>
        <w:t xml:space="preserve">to </w:t>
      </w:r>
      <w:r w:rsidRPr="00F23A38">
        <w:rPr>
          <w:rFonts w:asciiTheme="majorBidi" w:hAnsiTheme="majorBidi" w:cstheme="majorBidi"/>
          <w:sz w:val="24"/>
          <w:szCs w:val="24"/>
        </w:rPr>
        <w:t>&lt;6 years of age) and older children (6</w:t>
      </w:r>
      <w:r w:rsidR="0004018C">
        <w:rPr>
          <w:rFonts w:asciiTheme="majorBidi" w:hAnsiTheme="majorBidi" w:cstheme="majorBidi"/>
          <w:sz w:val="24"/>
          <w:szCs w:val="24"/>
        </w:rPr>
        <w:t xml:space="preserve"> to </w:t>
      </w:r>
      <w:r w:rsidRPr="00F23A38">
        <w:rPr>
          <w:rFonts w:asciiTheme="majorBidi" w:hAnsiTheme="majorBidi" w:cstheme="majorBidi"/>
          <w:sz w:val="24"/>
          <w:szCs w:val="24"/>
        </w:rPr>
        <w:t xml:space="preserve">&lt;12 years of age), and in adolescents (12 </w:t>
      </w:r>
      <w:r w:rsidR="0004018C">
        <w:rPr>
          <w:rFonts w:asciiTheme="majorBidi" w:hAnsiTheme="majorBidi" w:cstheme="majorBidi"/>
          <w:sz w:val="24"/>
          <w:szCs w:val="24"/>
        </w:rPr>
        <w:t>to</w:t>
      </w:r>
      <w:r w:rsidRPr="00F23A38">
        <w:rPr>
          <w:rFonts w:asciiTheme="majorBidi" w:hAnsiTheme="majorBidi" w:cstheme="majorBidi"/>
          <w:sz w:val="24"/>
          <w:szCs w:val="24"/>
        </w:rPr>
        <w:t xml:space="preserve"> 17 years of age) and adults (≥18 years of age).</w:t>
      </w:r>
    </w:p>
    <w:p w14:paraId="4ADBE19E" w14:textId="45AD40D7" w:rsidR="00F23A38" w:rsidRPr="00F23A38" w:rsidRDefault="00F23A38" w:rsidP="00F23A38">
      <w:pPr>
        <w:rPr>
          <w:rFonts w:asciiTheme="majorBidi" w:hAnsiTheme="majorBidi" w:cstheme="majorBidi"/>
          <w:sz w:val="24"/>
          <w:szCs w:val="24"/>
        </w:rPr>
      </w:pPr>
      <w:r w:rsidRPr="00F23A38">
        <w:rPr>
          <w:rFonts w:asciiTheme="majorBidi" w:hAnsiTheme="majorBidi" w:cstheme="majorBidi"/>
          <w:sz w:val="24"/>
          <w:szCs w:val="24"/>
        </w:rPr>
        <w:t>As expected, incremental recovery was lower in children than in adolescents and adults, while body weight-adjusted clearance was higher. The general trend was that incremental recovery increased with age, while clearance (m</w:t>
      </w:r>
      <w:r w:rsidR="00C906F7">
        <w:rPr>
          <w:rFonts w:asciiTheme="majorBidi" w:hAnsiTheme="majorBidi" w:cstheme="majorBidi"/>
          <w:sz w:val="24"/>
          <w:szCs w:val="24"/>
        </w:rPr>
        <w:t>L</w:t>
      </w:r>
      <w:r w:rsidRPr="00F23A38">
        <w:rPr>
          <w:rFonts w:asciiTheme="majorBidi" w:hAnsiTheme="majorBidi" w:cstheme="majorBidi"/>
          <w:sz w:val="24"/>
          <w:szCs w:val="24"/>
        </w:rPr>
        <w:t>/h/kg) decreased. This effect has been described previously with other factor VIII products and reflects a higher volume of distribution per kg body weight in children than in adults (Table </w:t>
      </w:r>
      <w:r w:rsidR="00ED5FCE">
        <w:rPr>
          <w:rFonts w:asciiTheme="majorBidi" w:hAnsiTheme="majorBidi" w:cstheme="majorBidi"/>
          <w:sz w:val="24"/>
          <w:szCs w:val="24"/>
        </w:rPr>
        <w:t>7</w:t>
      </w:r>
      <w:r w:rsidRPr="00F23A38">
        <w:rPr>
          <w:rFonts w:asciiTheme="majorBidi" w:hAnsiTheme="majorBidi" w:cstheme="majorBidi"/>
          <w:sz w:val="24"/>
          <w:szCs w:val="24"/>
        </w:rPr>
        <w:t>).</w:t>
      </w:r>
    </w:p>
    <w:p w14:paraId="45D4EC7B" w14:textId="6AA660DF" w:rsidR="00F23A38" w:rsidRPr="00F23A38" w:rsidRDefault="00F23A38" w:rsidP="008139E7">
      <w:pPr>
        <w:rPr>
          <w:rFonts w:asciiTheme="majorBidi" w:eastAsia="Times New Roman" w:hAnsiTheme="majorBidi" w:cstheme="majorBidi"/>
          <w:b/>
          <w:lang w:eastAsia="en-GB" w:bidi="en-GB"/>
        </w:rPr>
      </w:pPr>
      <w:r w:rsidRPr="00F23A38">
        <w:rPr>
          <w:rFonts w:asciiTheme="majorBidi" w:hAnsiTheme="majorBidi" w:cstheme="majorBidi"/>
          <w:sz w:val="24"/>
          <w:szCs w:val="24"/>
        </w:rPr>
        <w:t xml:space="preserve">The single-dose pharmacokinetic parameters determined following 28 weeks of prophylactic treatment with </w:t>
      </w:r>
      <w:r w:rsidR="00EE565D">
        <w:rPr>
          <w:rFonts w:asciiTheme="majorBidi" w:hAnsiTheme="majorBidi" w:cstheme="majorBidi"/>
          <w:sz w:val="24"/>
          <w:szCs w:val="24"/>
        </w:rPr>
        <w:t>ESPEROCT</w:t>
      </w:r>
      <w:r w:rsidRPr="00F23A38">
        <w:rPr>
          <w:rFonts w:asciiTheme="majorBidi" w:hAnsiTheme="majorBidi" w:cstheme="majorBidi"/>
          <w:sz w:val="24"/>
          <w:szCs w:val="24"/>
        </w:rPr>
        <w:t xml:space="preserve"> were consistent with the initial pharmacokinetic parameters.</w:t>
      </w:r>
    </w:p>
    <w:p w14:paraId="14810AE5" w14:textId="4B74B324" w:rsidR="00F23A38" w:rsidRPr="00F23A38" w:rsidRDefault="00F23A38" w:rsidP="005C03A9">
      <w:pPr>
        <w:spacing w:after="180" w:line="240" w:lineRule="auto"/>
        <w:ind w:left="1440" w:hanging="1440"/>
        <w:rPr>
          <w:rFonts w:asciiTheme="majorBidi" w:hAnsiTheme="majorBidi" w:cstheme="majorBidi"/>
          <w:b/>
          <w:sz w:val="24"/>
          <w:szCs w:val="24"/>
        </w:rPr>
      </w:pPr>
      <w:r w:rsidRPr="00F23A38">
        <w:rPr>
          <w:rFonts w:asciiTheme="majorBidi" w:hAnsiTheme="majorBidi" w:cstheme="majorBidi"/>
          <w:b/>
          <w:sz w:val="24"/>
          <w:szCs w:val="24"/>
        </w:rPr>
        <w:t xml:space="preserve">Table </w:t>
      </w:r>
      <w:r w:rsidR="00ED5FCE" w:rsidRPr="00ED5FCE">
        <w:rPr>
          <w:rFonts w:asciiTheme="majorBidi" w:hAnsiTheme="majorBidi" w:cstheme="majorBidi"/>
          <w:b/>
          <w:sz w:val="24"/>
          <w:szCs w:val="24"/>
        </w:rPr>
        <w:t>7</w:t>
      </w:r>
      <w:r w:rsidRPr="00F23A38">
        <w:rPr>
          <w:rFonts w:asciiTheme="majorBidi" w:hAnsiTheme="majorBidi" w:cstheme="majorBidi"/>
          <w:b/>
          <w:sz w:val="24"/>
          <w:szCs w:val="24"/>
        </w:rPr>
        <w:tab/>
        <w:t xml:space="preserve">Single-dose pharmacokinetic parameters of </w:t>
      </w:r>
      <w:r w:rsidR="00EE565D">
        <w:rPr>
          <w:rFonts w:asciiTheme="majorBidi" w:hAnsiTheme="majorBidi" w:cstheme="majorBidi"/>
          <w:b/>
          <w:sz w:val="24"/>
          <w:szCs w:val="24"/>
        </w:rPr>
        <w:t>ESPEROCT</w:t>
      </w:r>
      <w:r w:rsidRPr="00F23A38">
        <w:rPr>
          <w:rFonts w:asciiTheme="majorBidi" w:hAnsiTheme="majorBidi" w:cstheme="majorBidi"/>
          <w:b/>
          <w:sz w:val="24"/>
          <w:szCs w:val="24"/>
        </w:rPr>
        <w:t xml:space="preserve"> 50 IU/kg in children, </w:t>
      </w:r>
      <w:proofErr w:type="gramStart"/>
      <w:r w:rsidRPr="00F23A38">
        <w:rPr>
          <w:rFonts w:asciiTheme="majorBidi" w:hAnsiTheme="majorBidi" w:cstheme="majorBidi"/>
          <w:b/>
          <w:sz w:val="24"/>
          <w:szCs w:val="24"/>
        </w:rPr>
        <w:t>adolescents</w:t>
      </w:r>
      <w:proofErr w:type="gramEnd"/>
      <w:r w:rsidRPr="00F23A38">
        <w:rPr>
          <w:rFonts w:asciiTheme="majorBidi" w:hAnsiTheme="majorBidi" w:cstheme="majorBidi"/>
          <w:b/>
          <w:sz w:val="24"/>
          <w:szCs w:val="24"/>
        </w:rPr>
        <w:t xml:space="preserve"> and adults by age, determined </w:t>
      </w:r>
      <w:r w:rsidR="004E3CED">
        <w:rPr>
          <w:rFonts w:asciiTheme="majorBidi" w:hAnsiTheme="majorBidi" w:cstheme="majorBidi"/>
          <w:b/>
          <w:sz w:val="24"/>
          <w:szCs w:val="24"/>
        </w:rPr>
        <w:t>using</w:t>
      </w:r>
      <w:r w:rsidRPr="00F23A38">
        <w:rPr>
          <w:rFonts w:asciiTheme="majorBidi" w:hAnsiTheme="majorBidi" w:cstheme="majorBidi"/>
          <w:b/>
          <w:sz w:val="24"/>
          <w:szCs w:val="24"/>
        </w:rPr>
        <w:t xml:space="preserve"> a chromogenic assay (geometric mean [CV%])</w:t>
      </w:r>
    </w:p>
    <w:tbl>
      <w:tblPr>
        <w:tblW w:w="5000" w:type="pct"/>
        <w:tblBorders>
          <w:left w:val="single" w:sz="4" w:space="0" w:color="auto"/>
          <w:right w:val="single" w:sz="4" w:space="0" w:color="auto"/>
          <w:insideH w:val="single" w:sz="4" w:space="0" w:color="auto"/>
          <w:insideV w:val="single" w:sz="4" w:space="0" w:color="auto"/>
        </w:tblBorders>
        <w:tblCellMar>
          <w:top w:w="113" w:type="dxa"/>
          <w:left w:w="57" w:type="dxa"/>
          <w:bottom w:w="113" w:type="dxa"/>
          <w:right w:w="57" w:type="dxa"/>
        </w:tblCellMar>
        <w:tblLook w:val="04A0" w:firstRow="1" w:lastRow="0" w:firstColumn="1" w:lastColumn="0" w:noHBand="0" w:noVBand="1"/>
      </w:tblPr>
      <w:tblGrid>
        <w:gridCol w:w="2263"/>
        <w:gridCol w:w="1843"/>
        <w:gridCol w:w="1700"/>
        <w:gridCol w:w="1560"/>
        <w:gridCol w:w="1650"/>
      </w:tblGrid>
      <w:tr w:rsidR="00E37A38" w:rsidRPr="00F23A38" w14:paraId="497E06C7" w14:textId="77777777" w:rsidTr="00A65C6D">
        <w:trPr>
          <w:trHeight w:val="288"/>
        </w:trPr>
        <w:tc>
          <w:tcPr>
            <w:tcW w:w="125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8BAF5C" w14:textId="77777777" w:rsidR="00D13799" w:rsidRPr="00F23A38" w:rsidRDefault="00D13799" w:rsidP="00D13799">
            <w:pPr>
              <w:spacing w:after="0" w:line="240" w:lineRule="auto"/>
              <w:rPr>
                <w:rFonts w:asciiTheme="majorBidi" w:eastAsia="Times New Roman" w:hAnsiTheme="majorBidi" w:cstheme="majorBidi"/>
                <w:b/>
                <w:lang w:eastAsia="en-GB" w:bidi="en-GB"/>
              </w:rPr>
            </w:pPr>
            <w:r w:rsidRPr="00F23A38">
              <w:rPr>
                <w:rFonts w:asciiTheme="majorBidi" w:eastAsia="Times New Roman" w:hAnsiTheme="majorBidi" w:cstheme="majorBidi"/>
                <w:b/>
                <w:lang w:eastAsia="en-GB" w:bidi="en-GB"/>
              </w:rPr>
              <w:t>PK parameters</w:t>
            </w:r>
          </w:p>
          <w:p w14:paraId="4AD330CA" w14:textId="77777777" w:rsidR="00D13799" w:rsidRPr="00F23A38" w:rsidRDefault="00D13799" w:rsidP="00D13799">
            <w:pPr>
              <w:spacing w:after="0" w:line="240" w:lineRule="auto"/>
              <w:rPr>
                <w:rFonts w:asciiTheme="majorBidi" w:eastAsia="Times New Roman" w:hAnsiTheme="majorBidi" w:cstheme="majorBidi"/>
                <w:b/>
                <w:lang w:eastAsia="en-GB" w:bidi="en-GB"/>
              </w:rPr>
            </w:pPr>
            <w:r w:rsidRPr="00F23A38">
              <w:rPr>
                <w:rFonts w:asciiTheme="majorBidi" w:eastAsia="Times New Roman" w:hAnsiTheme="majorBidi" w:cstheme="majorBidi"/>
                <w:b/>
                <w:lang w:eastAsia="en-GB" w:bidi="en-GB"/>
              </w:rPr>
              <w:t>n=number of patients</w:t>
            </w:r>
          </w:p>
        </w:tc>
        <w:tc>
          <w:tcPr>
            <w:tcW w:w="102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05ED20" w14:textId="77777777" w:rsidR="00A65C6D" w:rsidRDefault="00D13799" w:rsidP="00E37A38">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0 to below</w:t>
            </w:r>
          </w:p>
          <w:p w14:paraId="37AAC7A0" w14:textId="4D00994D" w:rsidR="00D13799" w:rsidRPr="00D13799" w:rsidRDefault="00D13799" w:rsidP="00E37A38">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 xml:space="preserve">6 years </w:t>
            </w:r>
          </w:p>
          <w:p w14:paraId="5DA26C76" w14:textId="666B2657" w:rsidR="00D13799" w:rsidRPr="00F23A38" w:rsidRDefault="00D13799" w:rsidP="00D13799">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N=13</w:t>
            </w:r>
          </w:p>
        </w:tc>
        <w:tc>
          <w:tcPr>
            <w:tcW w:w="9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C82DA3C" w14:textId="77777777" w:rsidR="00D13799" w:rsidRPr="00D13799" w:rsidRDefault="00D13799" w:rsidP="00D13799">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6 to below</w:t>
            </w:r>
          </w:p>
          <w:p w14:paraId="5ED254CC" w14:textId="77777777" w:rsidR="00A65C6D" w:rsidRDefault="00D13799" w:rsidP="00D13799">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12 years</w:t>
            </w:r>
          </w:p>
          <w:p w14:paraId="7F9B2675" w14:textId="15079456" w:rsidR="00D13799" w:rsidRPr="00F23A38" w:rsidRDefault="00D13799" w:rsidP="00D13799">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N=11</w:t>
            </w:r>
          </w:p>
        </w:tc>
        <w:tc>
          <w:tcPr>
            <w:tcW w:w="8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BB35BB" w14:textId="77777777" w:rsidR="00D13799" w:rsidRPr="00D13799" w:rsidRDefault="00D13799" w:rsidP="00D13799">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12 to below</w:t>
            </w:r>
          </w:p>
          <w:p w14:paraId="54F4CE0E" w14:textId="77777777" w:rsidR="00A65C6D" w:rsidRDefault="00D13799" w:rsidP="00D13799">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18 year</w:t>
            </w:r>
            <w:r w:rsidR="00A65C6D">
              <w:rPr>
                <w:rFonts w:ascii="Times New Roman" w:eastAsia="Times New Roman" w:hAnsi="Times New Roman" w:cs="Times New Roman"/>
                <w:b/>
                <w:bCs/>
                <w:lang w:val="en-US"/>
              </w:rPr>
              <w:t>s</w:t>
            </w:r>
          </w:p>
          <w:p w14:paraId="126DF997" w14:textId="573630A3" w:rsidR="00D13799" w:rsidRPr="00F23A38" w:rsidRDefault="00D13799" w:rsidP="00D13799">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N=3</w:t>
            </w:r>
          </w:p>
        </w:tc>
        <w:tc>
          <w:tcPr>
            <w:tcW w:w="91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5CFE78" w14:textId="77777777" w:rsidR="00D13799" w:rsidRPr="00D13799" w:rsidRDefault="00D13799" w:rsidP="00D13799">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18 years and above</w:t>
            </w:r>
          </w:p>
          <w:p w14:paraId="28BF2F15" w14:textId="759B25B2" w:rsidR="00D13799" w:rsidRPr="00F23A38" w:rsidRDefault="00D13799" w:rsidP="00D13799">
            <w:pPr>
              <w:widowControl w:val="0"/>
              <w:autoSpaceDE w:val="0"/>
              <w:autoSpaceDN w:val="0"/>
              <w:spacing w:after="0" w:line="240" w:lineRule="auto"/>
              <w:ind w:left="107"/>
              <w:jc w:val="center"/>
              <w:rPr>
                <w:rFonts w:ascii="Times New Roman" w:eastAsia="Times New Roman" w:hAnsi="Times New Roman" w:cs="Times New Roman"/>
                <w:b/>
                <w:bCs/>
                <w:lang w:val="en-US"/>
              </w:rPr>
            </w:pPr>
            <w:r w:rsidRPr="00D13799">
              <w:rPr>
                <w:rFonts w:ascii="Times New Roman" w:eastAsia="Times New Roman" w:hAnsi="Times New Roman" w:cs="Times New Roman"/>
                <w:b/>
                <w:bCs/>
                <w:lang w:val="en-US"/>
              </w:rPr>
              <w:t>N=42</w:t>
            </w:r>
          </w:p>
        </w:tc>
      </w:tr>
      <w:tr w:rsidR="00E37A38" w:rsidRPr="00F23A38" w14:paraId="307FC90D" w14:textId="77777777" w:rsidTr="00A65C6D">
        <w:trPr>
          <w:trHeight w:val="288"/>
        </w:trPr>
        <w:tc>
          <w:tcPr>
            <w:tcW w:w="125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D6EB72" w14:textId="77777777" w:rsidR="00F23A38" w:rsidRPr="00F23A38" w:rsidRDefault="00F23A38" w:rsidP="0075137D">
            <w:pPr>
              <w:spacing w:after="0" w:line="240" w:lineRule="auto"/>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Number of profiles</w:t>
            </w:r>
          </w:p>
        </w:tc>
        <w:tc>
          <w:tcPr>
            <w:tcW w:w="102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131E27"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13</w:t>
            </w:r>
          </w:p>
        </w:tc>
        <w:tc>
          <w:tcPr>
            <w:tcW w:w="9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787851"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11</w:t>
            </w:r>
          </w:p>
        </w:tc>
        <w:tc>
          <w:tcPr>
            <w:tcW w:w="8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AC8419"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5</w:t>
            </w:r>
          </w:p>
        </w:tc>
        <w:tc>
          <w:tcPr>
            <w:tcW w:w="91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548504"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79</w:t>
            </w:r>
          </w:p>
        </w:tc>
      </w:tr>
      <w:tr w:rsidR="00E37A38" w:rsidRPr="00F23A38" w14:paraId="2299EED5" w14:textId="77777777" w:rsidTr="00A65C6D">
        <w:trPr>
          <w:trHeight w:val="288"/>
        </w:trPr>
        <w:tc>
          <w:tcPr>
            <w:tcW w:w="125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150CABF" w14:textId="2E3D4943" w:rsidR="00F23A38" w:rsidRPr="00F23A38" w:rsidRDefault="00F23A38" w:rsidP="0075137D">
            <w:pPr>
              <w:spacing w:after="0" w:line="240" w:lineRule="auto"/>
              <w:rPr>
                <w:rFonts w:asciiTheme="majorBidi" w:eastAsia="Times New Roman" w:hAnsiTheme="majorBidi" w:cstheme="majorBidi"/>
                <w:lang w:val="pt-BR" w:eastAsia="en-GB" w:bidi="en-GB"/>
              </w:rPr>
            </w:pPr>
            <w:r w:rsidRPr="00F23A38">
              <w:rPr>
                <w:rFonts w:asciiTheme="majorBidi" w:eastAsia="Times New Roman" w:hAnsiTheme="majorBidi" w:cstheme="majorBidi"/>
                <w:lang w:val="pt-BR" w:eastAsia="en-GB" w:bidi="en-GB"/>
              </w:rPr>
              <w:t>IR (IU/d</w:t>
            </w:r>
            <w:r w:rsidR="000316C8">
              <w:rPr>
                <w:rFonts w:asciiTheme="majorBidi" w:eastAsia="Times New Roman" w:hAnsiTheme="majorBidi" w:cstheme="majorBidi"/>
                <w:lang w:val="pt-BR" w:eastAsia="en-GB" w:bidi="en-GB"/>
              </w:rPr>
              <w:t>L</w:t>
            </w:r>
            <w:r w:rsidRPr="00F23A38">
              <w:rPr>
                <w:rFonts w:asciiTheme="majorBidi" w:eastAsia="Times New Roman" w:hAnsiTheme="majorBidi" w:cstheme="majorBidi"/>
                <w:lang w:val="pt-BR" w:eastAsia="en-GB" w:bidi="en-GB"/>
              </w:rPr>
              <w:t xml:space="preserve">) per </w:t>
            </w:r>
            <w:r w:rsidR="008F03A0">
              <w:rPr>
                <w:rFonts w:asciiTheme="majorBidi" w:eastAsia="Times New Roman" w:hAnsiTheme="majorBidi" w:cstheme="majorBidi"/>
                <w:lang w:val="pt-BR" w:eastAsia="en-GB" w:bidi="en-GB"/>
              </w:rPr>
              <w:t>(</w:t>
            </w:r>
            <w:r w:rsidRPr="00F23A38">
              <w:rPr>
                <w:rFonts w:asciiTheme="majorBidi" w:eastAsia="Times New Roman" w:hAnsiTheme="majorBidi" w:cstheme="majorBidi"/>
                <w:lang w:val="pt-BR" w:eastAsia="en-GB" w:bidi="en-GB"/>
              </w:rPr>
              <w:t>IU/kg)</w:t>
            </w:r>
            <w:r w:rsidRPr="00F23A38">
              <w:rPr>
                <w:rFonts w:asciiTheme="majorBidi" w:eastAsia="Times New Roman" w:hAnsiTheme="majorBidi" w:cstheme="majorBidi"/>
                <w:vertAlign w:val="superscript"/>
                <w:lang w:val="pt-BR" w:eastAsia="en-GB" w:bidi="en-GB"/>
              </w:rPr>
              <w:t>a</w:t>
            </w:r>
          </w:p>
        </w:tc>
        <w:tc>
          <w:tcPr>
            <w:tcW w:w="102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7EBEC2"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1.80 (29)</w:t>
            </w:r>
          </w:p>
        </w:tc>
        <w:tc>
          <w:tcPr>
            <w:tcW w:w="9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068C2E3"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1.99 (25)</w:t>
            </w:r>
          </w:p>
        </w:tc>
        <w:tc>
          <w:tcPr>
            <w:tcW w:w="8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0950F6"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2.79 (12)</w:t>
            </w:r>
          </w:p>
        </w:tc>
        <w:tc>
          <w:tcPr>
            <w:tcW w:w="91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73C6B0"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2.63 (22)</w:t>
            </w:r>
          </w:p>
        </w:tc>
      </w:tr>
      <w:tr w:rsidR="00E37A38" w:rsidRPr="00F23A38" w14:paraId="25FB254B" w14:textId="77777777" w:rsidTr="00A65C6D">
        <w:trPr>
          <w:trHeight w:val="288"/>
        </w:trPr>
        <w:tc>
          <w:tcPr>
            <w:tcW w:w="125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6C3142" w14:textId="7F2338E9" w:rsidR="00F23A38" w:rsidRPr="00F23A38" w:rsidRDefault="00F23A38" w:rsidP="0075137D">
            <w:pPr>
              <w:spacing w:after="0" w:line="240" w:lineRule="auto"/>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Maximum factor VIII activity (IU/</w:t>
            </w:r>
            <w:proofErr w:type="gramStart"/>
            <w:r w:rsidRPr="00F23A38">
              <w:rPr>
                <w:rFonts w:asciiTheme="majorBidi" w:eastAsia="Times New Roman" w:hAnsiTheme="majorBidi" w:cstheme="majorBidi"/>
                <w:lang w:eastAsia="en-GB" w:bidi="en-GB"/>
              </w:rPr>
              <w:t>d</w:t>
            </w:r>
            <w:r w:rsidR="000316C8">
              <w:rPr>
                <w:rFonts w:asciiTheme="majorBidi" w:eastAsia="Times New Roman" w:hAnsiTheme="majorBidi" w:cstheme="majorBidi"/>
                <w:lang w:eastAsia="en-GB" w:bidi="en-GB"/>
              </w:rPr>
              <w:t>L</w:t>
            </w:r>
            <w:r w:rsidRPr="00F23A38">
              <w:rPr>
                <w:rFonts w:asciiTheme="majorBidi" w:eastAsia="Times New Roman" w:hAnsiTheme="majorBidi" w:cstheme="majorBidi"/>
                <w:lang w:eastAsia="en-GB" w:bidi="en-GB"/>
              </w:rPr>
              <w:t>)</w:t>
            </w:r>
            <w:r w:rsidRPr="00F23A38">
              <w:rPr>
                <w:rFonts w:asciiTheme="majorBidi" w:eastAsia="Times New Roman" w:hAnsiTheme="majorBidi" w:cstheme="majorBidi"/>
                <w:vertAlign w:val="superscript"/>
                <w:lang w:eastAsia="en-GB" w:bidi="en-GB"/>
              </w:rPr>
              <w:t>a</w:t>
            </w:r>
            <w:proofErr w:type="gramEnd"/>
          </w:p>
        </w:tc>
        <w:tc>
          <w:tcPr>
            <w:tcW w:w="102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AA5636"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101.2 (28)</w:t>
            </w:r>
          </w:p>
        </w:tc>
        <w:tc>
          <w:tcPr>
            <w:tcW w:w="9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BA6062"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119.6 (25)</w:t>
            </w:r>
          </w:p>
        </w:tc>
        <w:tc>
          <w:tcPr>
            <w:tcW w:w="8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1078BA"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133.2 (9)</w:t>
            </w:r>
          </w:p>
        </w:tc>
        <w:tc>
          <w:tcPr>
            <w:tcW w:w="91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F44B57"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134.4 (23)</w:t>
            </w:r>
          </w:p>
        </w:tc>
      </w:tr>
      <w:tr w:rsidR="00E37A38" w:rsidRPr="00F23A38" w14:paraId="6FA499A2" w14:textId="77777777" w:rsidTr="00A65C6D">
        <w:trPr>
          <w:trHeight w:val="288"/>
        </w:trPr>
        <w:tc>
          <w:tcPr>
            <w:tcW w:w="125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D27C2C" w14:textId="77777777" w:rsidR="00F23A38" w:rsidRPr="00F23A38" w:rsidRDefault="00F23A38" w:rsidP="0075137D">
            <w:pPr>
              <w:spacing w:after="0" w:line="240" w:lineRule="auto"/>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t</w:t>
            </w:r>
            <w:r w:rsidRPr="00F23A38">
              <w:rPr>
                <w:rFonts w:asciiTheme="majorBidi" w:eastAsia="Times New Roman" w:hAnsiTheme="majorBidi" w:cstheme="majorBidi"/>
                <w:vertAlign w:val="subscript"/>
                <w:lang w:eastAsia="en-GB" w:bidi="en-GB"/>
              </w:rPr>
              <w:t>1/2</w:t>
            </w:r>
            <w:r w:rsidRPr="00F23A38">
              <w:rPr>
                <w:rFonts w:asciiTheme="majorBidi" w:eastAsia="Times New Roman" w:hAnsiTheme="majorBidi" w:cstheme="majorBidi"/>
                <w:lang w:eastAsia="en-GB" w:bidi="en-GB"/>
              </w:rPr>
              <w:t xml:space="preserve"> (hours)</w:t>
            </w:r>
          </w:p>
        </w:tc>
        <w:tc>
          <w:tcPr>
            <w:tcW w:w="102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F27A3A"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13.6 (20)</w:t>
            </w:r>
          </w:p>
        </w:tc>
        <w:tc>
          <w:tcPr>
            <w:tcW w:w="9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47DF89"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14.2 (26)</w:t>
            </w:r>
          </w:p>
        </w:tc>
        <w:tc>
          <w:tcPr>
            <w:tcW w:w="8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5743CA"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15.8 (43)</w:t>
            </w:r>
          </w:p>
        </w:tc>
        <w:tc>
          <w:tcPr>
            <w:tcW w:w="91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D07EFE"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19.9 (34)</w:t>
            </w:r>
          </w:p>
        </w:tc>
      </w:tr>
      <w:tr w:rsidR="00E37A38" w:rsidRPr="00F23A38" w14:paraId="4E014B7A" w14:textId="77777777" w:rsidTr="00A65C6D">
        <w:trPr>
          <w:trHeight w:val="288"/>
        </w:trPr>
        <w:tc>
          <w:tcPr>
            <w:tcW w:w="125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A6C102" w14:textId="30AFAED8" w:rsidR="00F23A38" w:rsidRPr="00F23A38" w:rsidRDefault="00F23A38" w:rsidP="0075137D">
            <w:pPr>
              <w:spacing w:after="0" w:line="240" w:lineRule="auto"/>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AUC</w:t>
            </w:r>
            <w:r w:rsidRPr="00F23A38">
              <w:rPr>
                <w:rFonts w:asciiTheme="majorBidi" w:eastAsia="Times New Roman" w:hAnsiTheme="majorBidi" w:cstheme="majorBidi"/>
                <w:vertAlign w:val="subscript"/>
                <w:lang w:eastAsia="en-GB" w:bidi="en-GB"/>
              </w:rPr>
              <w:t>inf</w:t>
            </w:r>
            <w:r w:rsidRPr="00F23A38">
              <w:rPr>
                <w:rFonts w:asciiTheme="majorBidi" w:eastAsia="Times New Roman" w:hAnsiTheme="majorBidi" w:cstheme="majorBidi"/>
                <w:lang w:eastAsia="en-GB" w:bidi="en-GB"/>
              </w:rPr>
              <w:t xml:space="preserve"> (IU*h/d</w:t>
            </w:r>
            <w:r w:rsidR="000316C8">
              <w:rPr>
                <w:rFonts w:asciiTheme="majorBidi" w:eastAsia="Times New Roman" w:hAnsiTheme="majorBidi" w:cstheme="majorBidi"/>
                <w:lang w:eastAsia="en-GB" w:bidi="en-GB"/>
              </w:rPr>
              <w:t>L</w:t>
            </w:r>
            <w:r w:rsidRPr="00F23A38">
              <w:rPr>
                <w:rFonts w:asciiTheme="majorBidi" w:eastAsia="Times New Roman" w:hAnsiTheme="majorBidi" w:cstheme="majorBidi"/>
                <w:lang w:eastAsia="en-GB" w:bidi="en-GB"/>
              </w:rPr>
              <w:t>)</w:t>
            </w:r>
          </w:p>
        </w:tc>
        <w:tc>
          <w:tcPr>
            <w:tcW w:w="102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472598"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2,147 (47)</w:t>
            </w:r>
          </w:p>
        </w:tc>
        <w:tc>
          <w:tcPr>
            <w:tcW w:w="9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7A1714"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2,503 (42)</w:t>
            </w:r>
          </w:p>
        </w:tc>
        <w:tc>
          <w:tcPr>
            <w:tcW w:w="8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D43274"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3,100 (44)</w:t>
            </w:r>
          </w:p>
        </w:tc>
        <w:tc>
          <w:tcPr>
            <w:tcW w:w="91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A08453"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3,686 (35)</w:t>
            </w:r>
          </w:p>
        </w:tc>
      </w:tr>
      <w:tr w:rsidR="00E37A38" w:rsidRPr="00F23A38" w14:paraId="73DD91DA" w14:textId="77777777" w:rsidTr="00A65C6D">
        <w:trPr>
          <w:trHeight w:val="144"/>
        </w:trPr>
        <w:tc>
          <w:tcPr>
            <w:tcW w:w="125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B973AB" w14:textId="6C3F2C48" w:rsidR="00F23A38" w:rsidRPr="00F23A38" w:rsidRDefault="00F23A38" w:rsidP="0075137D">
            <w:pPr>
              <w:spacing w:after="0" w:line="240" w:lineRule="auto"/>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CL (m</w:t>
            </w:r>
            <w:r w:rsidR="000316C8">
              <w:rPr>
                <w:rFonts w:asciiTheme="majorBidi" w:eastAsia="Times New Roman" w:hAnsiTheme="majorBidi" w:cstheme="majorBidi"/>
                <w:lang w:eastAsia="en-GB" w:bidi="en-GB"/>
              </w:rPr>
              <w:t>L</w:t>
            </w:r>
            <w:r w:rsidRPr="00F23A38">
              <w:rPr>
                <w:rFonts w:asciiTheme="majorBidi" w:eastAsia="Times New Roman" w:hAnsiTheme="majorBidi" w:cstheme="majorBidi"/>
                <w:lang w:eastAsia="en-GB" w:bidi="en-GB"/>
              </w:rPr>
              <w:t>/h/kg)</w:t>
            </w:r>
          </w:p>
        </w:tc>
        <w:tc>
          <w:tcPr>
            <w:tcW w:w="102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9733A0"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2.6 (45)</w:t>
            </w:r>
          </w:p>
        </w:tc>
        <w:tc>
          <w:tcPr>
            <w:tcW w:w="9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A44610"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2.4 (40)</w:t>
            </w:r>
          </w:p>
        </w:tc>
        <w:tc>
          <w:tcPr>
            <w:tcW w:w="8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208B7D"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1.5 (43)</w:t>
            </w:r>
          </w:p>
        </w:tc>
        <w:tc>
          <w:tcPr>
            <w:tcW w:w="91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93EC51"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1.4 (32)</w:t>
            </w:r>
          </w:p>
        </w:tc>
      </w:tr>
      <w:tr w:rsidR="00E37A38" w:rsidRPr="00F23A38" w14:paraId="0B42425F" w14:textId="77777777" w:rsidTr="00A65C6D">
        <w:trPr>
          <w:trHeight w:val="144"/>
        </w:trPr>
        <w:tc>
          <w:tcPr>
            <w:tcW w:w="125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313B67" w14:textId="4A52CEBB" w:rsidR="00F23A38" w:rsidRPr="00F23A38" w:rsidRDefault="00F23A38" w:rsidP="0075137D">
            <w:pPr>
              <w:spacing w:after="0" w:line="240" w:lineRule="auto"/>
              <w:rPr>
                <w:rFonts w:asciiTheme="majorBidi" w:eastAsia="Times New Roman" w:hAnsiTheme="majorBidi" w:cstheme="majorBidi"/>
                <w:lang w:eastAsia="en-GB" w:bidi="en-GB"/>
              </w:rPr>
            </w:pPr>
            <w:proofErr w:type="spellStart"/>
            <w:r w:rsidRPr="00F23A38">
              <w:rPr>
                <w:rFonts w:asciiTheme="majorBidi" w:eastAsia="Times New Roman" w:hAnsiTheme="majorBidi" w:cstheme="majorBidi"/>
                <w:lang w:eastAsia="en-GB" w:bidi="en-GB"/>
              </w:rPr>
              <w:t>Vss</w:t>
            </w:r>
            <w:proofErr w:type="spellEnd"/>
            <w:r w:rsidRPr="00F23A38">
              <w:rPr>
                <w:rFonts w:asciiTheme="majorBidi" w:eastAsia="Times New Roman" w:hAnsiTheme="majorBidi" w:cstheme="majorBidi"/>
                <w:lang w:eastAsia="en-GB" w:bidi="en-GB"/>
              </w:rPr>
              <w:t xml:space="preserve"> (m</w:t>
            </w:r>
            <w:r w:rsidR="00A62F5B">
              <w:rPr>
                <w:rFonts w:asciiTheme="majorBidi" w:eastAsia="Times New Roman" w:hAnsiTheme="majorBidi" w:cstheme="majorBidi"/>
                <w:lang w:eastAsia="en-GB" w:bidi="en-GB"/>
              </w:rPr>
              <w:t>L</w:t>
            </w:r>
            <w:r w:rsidRPr="00F23A38">
              <w:rPr>
                <w:rFonts w:asciiTheme="majorBidi" w:eastAsia="Times New Roman" w:hAnsiTheme="majorBidi" w:cstheme="majorBidi"/>
                <w:lang w:eastAsia="en-GB" w:bidi="en-GB"/>
              </w:rPr>
              <w:t>/kg)</w:t>
            </w:r>
          </w:p>
        </w:tc>
        <w:tc>
          <w:tcPr>
            <w:tcW w:w="102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C0A4C6"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44.2 (34)</w:t>
            </w:r>
          </w:p>
        </w:tc>
        <w:tc>
          <w:tcPr>
            <w:tcW w:w="9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7E2F45"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41.2 (25)</w:t>
            </w:r>
          </w:p>
        </w:tc>
        <w:tc>
          <w:tcPr>
            <w:tcW w:w="8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E86745"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33.4 (10)</w:t>
            </w:r>
          </w:p>
        </w:tc>
        <w:tc>
          <w:tcPr>
            <w:tcW w:w="91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CEAFFC"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37.7 (27)</w:t>
            </w:r>
          </w:p>
        </w:tc>
      </w:tr>
      <w:tr w:rsidR="00E37A38" w:rsidRPr="00F23A38" w14:paraId="777D56FB" w14:textId="77777777" w:rsidTr="00A65C6D">
        <w:trPr>
          <w:trHeight w:val="288"/>
        </w:trPr>
        <w:tc>
          <w:tcPr>
            <w:tcW w:w="125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F8F89A" w14:textId="77777777" w:rsidR="00F23A38" w:rsidRPr="00F23A38" w:rsidRDefault="00F23A38" w:rsidP="0075137D">
            <w:pPr>
              <w:spacing w:after="0" w:line="240" w:lineRule="auto"/>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MRT (h)</w:t>
            </w:r>
          </w:p>
        </w:tc>
        <w:tc>
          <w:tcPr>
            <w:tcW w:w="102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65E75C"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17.0 (22)</w:t>
            </w:r>
          </w:p>
        </w:tc>
        <w:tc>
          <w:tcPr>
            <w:tcW w:w="9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69B632"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17.3 (31)</w:t>
            </w:r>
          </w:p>
        </w:tc>
        <w:tc>
          <w:tcPr>
            <w:tcW w:w="8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7F8D15"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21.7 (45)</w:t>
            </w:r>
          </w:p>
        </w:tc>
        <w:tc>
          <w:tcPr>
            <w:tcW w:w="91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542E34" w14:textId="77777777" w:rsidR="00F23A38" w:rsidRPr="00F23A38" w:rsidRDefault="00F23A38" w:rsidP="00322AB4">
            <w:pPr>
              <w:spacing w:after="0" w:line="240" w:lineRule="auto"/>
              <w:jc w:val="center"/>
              <w:rPr>
                <w:rFonts w:asciiTheme="majorBidi" w:eastAsia="Times New Roman" w:hAnsiTheme="majorBidi" w:cstheme="majorBidi"/>
                <w:lang w:eastAsia="en-GB" w:bidi="en-GB"/>
              </w:rPr>
            </w:pPr>
            <w:r w:rsidRPr="00F23A38">
              <w:rPr>
                <w:rFonts w:asciiTheme="majorBidi" w:eastAsia="Times New Roman" w:hAnsiTheme="majorBidi" w:cstheme="majorBidi"/>
                <w:lang w:eastAsia="en-GB" w:bidi="en-GB"/>
              </w:rPr>
              <w:t>25.2 (29)</w:t>
            </w:r>
            <w:r w:rsidRPr="00F23A38">
              <w:rPr>
                <w:rFonts w:asciiTheme="majorBidi" w:eastAsia="Times New Roman" w:hAnsiTheme="majorBidi" w:cstheme="majorBidi"/>
                <w:vertAlign w:val="superscript"/>
                <w:lang w:eastAsia="en-GB" w:bidi="en-GB"/>
              </w:rPr>
              <w:t>b</w:t>
            </w:r>
          </w:p>
        </w:tc>
      </w:tr>
    </w:tbl>
    <w:p w14:paraId="1E7ED013" w14:textId="0C4682CF" w:rsidR="00F23A38" w:rsidRPr="00F23A38" w:rsidRDefault="00F23A38" w:rsidP="00695E22">
      <w:pPr>
        <w:spacing w:after="0" w:line="240" w:lineRule="auto"/>
        <w:rPr>
          <w:rFonts w:asciiTheme="majorBidi" w:eastAsia="Times New Roman" w:hAnsiTheme="majorBidi" w:cstheme="majorBidi"/>
          <w:sz w:val="20"/>
          <w:szCs w:val="20"/>
          <w:lang w:eastAsia="en-GB" w:bidi="en-GB"/>
        </w:rPr>
      </w:pPr>
      <w:r w:rsidRPr="00F23A38">
        <w:rPr>
          <w:rFonts w:asciiTheme="majorBidi" w:eastAsia="Times New Roman" w:hAnsiTheme="majorBidi" w:cstheme="majorBidi"/>
          <w:sz w:val="20"/>
          <w:szCs w:val="20"/>
          <w:lang w:eastAsia="en-GB" w:bidi="en-GB"/>
        </w:rPr>
        <w:t>AUC = area under the factor VIII activity-time curve (profile); t</w:t>
      </w:r>
      <w:r w:rsidRPr="00F23A38">
        <w:rPr>
          <w:rFonts w:asciiTheme="majorBidi" w:eastAsia="Times New Roman" w:hAnsiTheme="majorBidi" w:cstheme="majorBidi"/>
          <w:sz w:val="20"/>
          <w:szCs w:val="20"/>
          <w:vertAlign w:val="subscript"/>
          <w:lang w:eastAsia="en-GB" w:bidi="en-GB"/>
        </w:rPr>
        <w:t xml:space="preserve">1/2 </w:t>
      </w:r>
      <w:r w:rsidRPr="00F23A38">
        <w:rPr>
          <w:rFonts w:asciiTheme="majorBidi" w:eastAsia="Times New Roman" w:hAnsiTheme="majorBidi" w:cstheme="majorBidi"/>
          <w:sz w:val="20"/>
          <w:szCs w:val="20"/>
          <w:lang w:eastAsia="en-GB" w:bidi="en-GB"/>
        </w:rPr>
        <w:t xml:space="preserve">= terminal half-life; MRT = mean residence time; CL = clearance; </w:t>
      </w:r>
      <w:proofErr w:type="spellStart"/>
      <w:r w:rsidRPr="00F23A38">
        <w:rPr>
          <w:rFonts w:asciiTheme="majorBidi" w:eastAsia="Times New Roman" w:hAnsiTheme="majorBidi" w:cstheme="majorBidi"/>
          <w:sz w:val="20"/>
          <w:szCs w:val="20"/>
          <w:lang w:eastAsia="en-GB" w:bidi="en-GB"/>
        </w:rPr>
        <w:t>Vss</w:t>
      </w:r>
      <w:proofErr w:type="spellEnd"/>
      <w:r w:rsidRPr="00F23A38">
        <w:rPr>
          <w:rFonts w:asciiTheme="majorBidi" w:eastAsia="Times New Roman" w:hAnsiTheme="majorBidi" w:cstheme="majorBidi"/>
          <w:sz w:val="20"/>
          <w:szCs w:val="20"/>
          <w:lang w:eastAsia="en-GB" w:bidi="en-GB"/>
        </w:rPr>
        <w:t xml:space="preserve"> = volume of distribution; IR = incremental recovery.</w:t>
      </w:r>
    </w:p>
    <w:p w14:paraId="02012A2B" w14:textId="10632637" w:rsidR="00F23A38" w:rsidRPr="00F23A38" w:rsidRDefault="00F23A38" w:rsidP="00695E22">
      <w:pPr>
        <w:spacing w:after="0" w:line="240" w:lineRule="auto"/>
        <w:rPr>
          <w:rFonts w:asciiTheme="majorBidi" w:eastAsia="Times New Roman" w:hAnsiTheme="majorBidi" w:cstheme="majorBidi"/>
          <w:sz w:val="20"/>
          <w:szCs w:val="20"/>
          <w:lang w:eastAsia="en-GB" w:bidi="en-GB"/>
        </w:rPr>
      </w:pPr>
      <w:proofErr w:type="spellStart"/>
      <w:proofErr w:type="gramStart"/>
      <w:r w:rsidRPr="00F23A38">
        <w:rPr>
          <w:rFonts w:asciiTheme="majorBidi" w:eastAsia="Times New Roman" w:hAnsiTheme="majorBidi" w:cstheme="majorBidi"/>
          <w:sz w:val="20"/>
          <w:szCs w:val="20"/>
          <w:vertAlign w:val="superscript"/>
          <w:lang w:eastAsia="en-GB" w:bidi="en-GB"/>
        </w:rPr>
        <w:t>a</w:t>
      </w:r>
      <w:proofErr w:type="spellEnd"/>
      <w:proofErr w:type="gramEnd"/>
      <w:r w:rsidRPr="00F23A38">
        <w:rPr>
          <w:rFonts w:asciiTheme="majorBidi" w:eastAsia="Times New Roman" w:hAnsiTheme="majorBidi" w:cstheme="majorBidi"/>
          <w:sz w:val="20"/>
          <w:szCs w:val="20"/>
          <w:lang w:eastAsia="en-GB" w:bidi="en-GB"/>
        </w:rPr>
        <w:t xml:space="preserve"> Incremental recovery and factor VIII were measured 30 minutes after administration in patients aged 12 </w:t>
      </w:r>
      <w:r w:rsidR="00112AEC">
        <w:rPr>
          <w:rFonts w:asciiTheme="majorBidi" w:eastAsia="Times New Roman" w:hAnsiTheme="majorBidi" w:cstheme="majorBidi"/>
          <w:sz w:val="20"/>
          <w:szCs w:val="20"/>
          <w:lang w:eastAsia="en-GB" w:bidi="en-GB"/>
        </w:rPr>
        <w:t xml:space="preserve">years </w:t>
      </w:r>
      <w:r w:rsidRPr="00F23A38">
        <w:rPr>
          <w:rFonts w:asciiTheme="majorBidi" w:eastAsia="Times New Roman" w:hAnsiTheme="majorBidi" w:cstheme="majorBidi"/>
          <w:sz w:val="20"/>
          <w:szCs w:val="20"/>
          <w:lang w:eastAsia="en-GB" w:bidi="en-GB"/>
        </w:rPr>
        <w:t xml:space="preserve">and </w:t>
      </w:r>
      <w:r w:rsidR="00112AEC">
        <w:rPr>
          <w:rFonts w:asciiTheme="majorBidi" w:eastAsia="Times New Roman" w:hAnsiTheme="majorBidi" w:cstheme="majorBidi"/>
          <w:sz w:val="20"/>
          <w:szCs w:val="20"/>
          <w:lang w:eastAsia="en-GB" w:bidi="en-GB"/>
        </w:rPr>
        <w:t>above</w:t>
      </w:r>
      <w:r w:rsidRPr="00F23A38">
        <w:rPr>
          <w:rFonts w:asciiTheme="majorBidi" w:eastAsia="Times New Roman" w:hAnsiTheme="majorBidi" w:cstheme="majorBidi"/>
          <w:sz w:val="20"/>
          <w:szCs w:val="20"/>
          <w:lang w:eastAsia="en-GB" w:bidi="en-GB"/>
        </w:rPr>
        <w:t xml:space="preserve"> and 60 minutes after administration in children </w:t>
      </w:r>
      <w:r w:rsidR="00112AEC">
        <w:rPr>
          <w:rFonts w:asciiTheme="majorBidi" w:eastAsia="Times New Roman" w:hAnsiTheme="majorBidi" w:cstheme="majorBidi"/>
          <w:sz w:val="20"/>
          <w:szCs w:val="20"/>
          <w:lang w:eastAsia="en-GB" w:bidi="en-GB"/>
        </w:rPr>
        <w:t>below</w:t>
      </w:r>
      <w:r w:rsidRPr="00F23A38">
        <w:rPr>
          <w:rFonts w:asciiTheme="majorBidi" w:eastAsia="Times New Roman" w:hAnsiTheme="majorBidi" w:cstheme="majorBidi"/>
          <w:sz w:val="20"/>
          <w:szCs w:val="20"/>
          <w:lang w:eastAsia="en-GB" w:bidi="en-GB"/>
        </w:rPr>
        <w:t xml:space="preserve"> 12 </w:t>
      </w:r>
      <w:r w:rsidR="00112AEC">
        <w:rPr>
          <w:rFonts w:asciiTheme="majorBidi" w:eastAsia="Times New Roman" w:hAnsiTheme="majorBidi" w:cstheme="majorBidi"/>
          <w:sz w:val="20"/>
          <w:szCs w:val="20"/>
          <w:lang w:eastAsia="en-GB" w:bidi="en-GB"/>
        </w:rPr>
        <w:t xml:space="preserve">years </w:t>
      </w:r>
      <w:r w:rsidRPr="00F23A38">
        <w:rPr>
          <w:rFonts w:asciiTheme="majorBidi" w:eastAsia="Times New Roman" w:hAnsiTheme="majorBidi" w:cstheme="majorBidi"/>
          <w:sz w:val="20"/>
          <w:szCs w:val="20"/>
          <w:lang w:eastAsia="en-GB" w:bidi="en-GB"/>
        </w:rPr>
        <w:t>(first sample).</w:t>
      </w:r>
    </w:p>
    <w:p w14:paraId="01BB6F1E" w14:textId="77777777" w:rsidR="00F23A38" w:rsidRPr="00F23A38" w:rsidRDefault="00F23A38" w:rsidP="00695E22">
      <w:pPr>
        <w:spacing w:after="0" w:line="240" w:lineRule="auto"/>
        <w:rPr>
          <w:rFonts w:asciiTheme="majorBidi" w:eastAsia="Times New Roman" w:hAnsiTheme="majorBidi" w:cstheme="majorBidi"/>
          <w:sz w:val="20"/>
          <w:szCs w:val="20"/>
          <w:lang w:eastAsia="en-GB" w:bidi="en-GB"/>
        </w:rPr>
      </w:pPr>
      <w:r w:rsidRPr="00F23A38">
        <w:rPr>
          <w:rFonts w:asciiTheme="majorBidi" w:eastAsia="Times New Roman" w:hAnsiTheme="majorBidi" w:cstheme="majorBidi"/>
          <w:sz w:val="20"/>
          <w:szCs w:val="20"/>
          <w:vertAlign w:val="superscript"/>
          <w:lang w:eastAsia="en-GB" w:bidi="en-GB"/>
        </w:rPr>
        <w:t>b</w:t>
      </w:r>
      <w:r w:rsidRPr="00F23A38">
        <w:rPr>
          <w:rFonts w:asciiTheme="majorBidi" w:eastAsia="Times New Roman" w:hAnsiTheme="majorBidi" w:cstheme="majorBidi"/>
          <w:sz w:val="20"/>
          <w:szCs w:val="20"/>
          <w:lang w:eastAsia="en-GB" w:bidi="en-GB"/>
        </w:rPr>
        <w:t xml:space="preserve"> Calculated based on 67 profiles.</w:t>
      </w:r>
    </w:p>
    <w:p w14:paraId="0EA28DEC" w14:textId="77777777" w:rsidR="00F23A38" w:rsidRPr="00F23A38" w:rsidRDefault="00F23A38" w:rsidP="00F23A38">
      <w:pPr>
        <w:spacing w:after="0" w:line="360" w:lineRule="auto"/>
        <w:rPr>
          <w:rFonts w:asciiTheme="majorBidi" w:eastAsia="Times New Roman" w:hAnsiTheme="majorBidi" w:cstheme="majorBidi"/>
          <w:lang w:eastAsia="en-GB" w:bidi="en-GB"/>
        </w:rPr>
      </w:pPr>
    </w:p>
    <w:p w14:paraId="0D2B4DCE" w14:textId="57095367" w:rsidR="00F23A38" w:rsidRPr="00F23A38" w:rsidRDefault="00F23A38" w:rsidP="002D41EB">
      <w:pPr>
        <w:rPr>
          <w:rFonts w:asciiTheme="majorBidi" w:hAnsiTheme="majorBidi" w:cstheme="majorBidi"/>
          <w:sz w:val="24"/>
          <w:szCs w:val="24"/>
        </w:rPr>
      </w:pPr>
      <w:r w:rsidRPr="00F23A38">
        <w:rPr>
          <w:rFonts w:asciiTheme="majorBidi" w:hAnsiTheme="majorBidi" w:cstheme="majorBidi"/>
          <w:sz w:val="24"/>
          <w:szCs w:val="24"/>
        </w:rPr>
        <w:lastRenderedPageBreak/>
        <w:t xml:space="preserve">The mean steady-state factor VIII plasma activity level before administration during prophylactic treatment with </w:t>
      </w:r>
      <w:r w:rsidR="00EE565D">
        <w:rPr>
          <w:rFonts w:asciiTheme="majorBidi" w:hAnsiTheme="majorBidi" w:cstheme="majorBidi"/>
          <w:sz w:val="24"/>
          <w:szCs w:val="24"/>
        </w:rPr>
        <w:t>ESPEROCT</w:t>
      </w:r>
      <w:r w:rsidRPr="00F23A38">
        <w:rPr>
          <w:rFonts w:asciiTheme="majorBidi" w:hAnsiTheme="majorBidi" w:cstheme="majorBidi"/>
          <w:sz w:val="24"/>
          <w:szCs w:val="24"/>
        </w:rPr>
        <w:t>, administered at a dose of 50 IU/kg every 4 days, is 3.0 IU/d</w:t>
      </w:r>
      <w:r w:rsidR="00D76CB4" w:rsidRPr="002D41EB">
        <w:rPr>
          <w:rFonts w:asciiTheme="majorBidi" w:hAnsiTheme="majorBidi" w:cstheme="majorBidi"/>
          <w:sz w:val="24"/>
          <w:szCs w:val="24"/>
        </w:rPr>
        <w:t>L</w:t>
      </w:r>
      <w:r w:rsidRPr="00F23A38">
        <w:rPr>
          <w:rFonts w:asciiTheme="majorBidi" w:hAnsiTheme="majorBidi" w:cstheme="majorBidi"/>
          <w:sz w:val="24"/>
          <w:szCs w:val="24"/>
        </w:rPr>
        <w:t xml:space="preserve"> (95% CI: 2.6; 3.4) in patients aged 12 years and </w:t>
      </w:r>
      <w:r w:rsidR="00717DE1" w:rsidRPr="002D41EB">
        <w:rPr>
          <w:rFonts w:asciiTheme="majorBidi" w:hAnsiTheme="majorBidi" w:cstheme="majorBidi"/>
          <w:sz w:val="24"/>
          <w:szCs w:val="24"/>
        </w:rPr>
        <w:t>above</w:t>
      </w:r>
      <w:r w:rsidRPr="00F23A38">
        <w:rPr>
          <w:rFonts w:asciiTheme="majorBidi" w:hAnsiTheme="majorBidi" w:cstheme="majorBidi"/>
          <w:sz w:val="24"/>
          <w:szCs w:val="24"/>
        </w:rPr>
        <w:t>.</w:t>
      </w:r>
    </w:p>
    <w:p w14:paraId="51549718" w14:textId="4D2295BB" w:rsidR="00F23A38" w:rsidRPr="00F23A38" w:rsidRDefault="00F23A38" w:rsidP="002D41EB">
      <w:pPr>
        <w:rPr>
          <w:rFonts w:asciiTheme="majorBidi" w:hAnsiTheme="majorBidi" w:cstheme="majorBidi"/>
          <w:sz w:val="24"/>
          <w:szCs w:val="24"/>
        </w:rPr>
      </w:pPr>
      <w:r w:rsidRPr="00F23A38">
        <w:rPr>
          <w:rFonts w:asciiTheme="majorBidi" w:hAnsiTheme="majorBidi" w:cstheme="majorBidi"/>
          <w:sz w:val="24"/>
          <w:szCs w:val="24"/>
        </w:rPr>
        <w:t xml:space="preserve">For patients </w:t>
      </w:r>
      <w:r w:rsidR="00717DE1" w:rsidRPr="002D41EB">
        <w:rPr>
          <w:rFonts w:asciiTheme="majorBidi" w:hAnsiTheme="majorBidi" w:cstheme="majorBidi"/>
          <w:sz w:val="24"/>
          <w:szCs w:val="24"/>
        </w:rPr>
        <w:t>below</w:t>
      </w:r>
      <w:r w:rsidRPr="00F23A38">
        <w:rPr>
          <w:rFonts w:asciiTheme="majorBidi" w:hAnsiTheme="majorBidi" w:cstheme="majorBidi"/>
          <w:sz w:val="24"/>
          <w:szCs w:val="24"/>
        </w:rPr>
        <w:t xml:space="preserve"> 12</w:t>
      </w:r>
      <w:r w:rsidR="00717DE1" w:rsidRPr="002D41EB">
        <w:rPr>
          <w:rFonts w:asciiTheme="majorBidi" w:hAnsiTheme="majorBidi" w:cstheme="majorBidi"/>
          <w:sz w:val="24"/>
          <w:szCs w:val="24"/>
        </w:rPr>
        <w:t xml:space="preserve"> years</w:t>
      </w:r>
      <w:r w:rsidRPr="00F23A38">
        <w:rPr>
          <w:rFonts w:asciiTheme="majorBidi" w:hAnsiTheme="majorBidi" w:cstheme="majorBidi"/>
          <w:sz w:val="24"/>
          <w:szCs w:val="24"/>
        </w:rPr>
        <w:t xml:space="preserve">, who received </w:t>
      </w:r>
      <w:r w:rsidR="001977F4">
        <w:rPr>
          <w:rFonts w:asciiTheme="majorBidi" w:hAnsiTheme="majorBidi" w:cstheme="majorBidi"/>
          <w:sz w:val="24"/>
          <w:szCs w:val="24"/>
        </w:rPr>
        <w:t>65</w:t>
      </w:r>
      <w:r w:rsidR="001977F4" w:rsidRPr="00F23A38">
        <w:rPr>
          <w:rFonts w:asciiTheme="majorBidi" w:hAnsiTheme="majorBidi" w:cstheme="majorBidi"/>
          <w:sz w:val="24"/>
          <w:szCs w:val="24"/>
        </w:rPr>
        <w:t xml:space="preserve"> </w:t>
      </w:r>
      <w:r w:rsidRPr="00F23A38">
        <w:rPr>
          <w:rFonts w:asciiTheme="majorBidi" w:hAnsiTheme="majorBidi" w:cstheme="majorBidi"/>
          <w:sz w:val="24"/>
          <w:szCs w:val="24"/>
        </w:rPr>
        <w:t>IU/kg (50 – 75 IU/kg) twice weekly, the mean steady-state factor VIII plasma activity level before administration during prophylactic treatment was 1.5 IU/d</w:t>
      </w:r>
      <w:r w:rsidR="00717DE1" w:rsidRPr="002D41EB">
        <w:rPr>
          <w:rFonts w:asciiTheme="majorBidi" w:hAnsiTheme="majorBidi" w:cstheme="majorBidi"/>
          <w:sz w:val="24"/>
          <w:szCs w:val="24"/>
        </w:rPr>
        <w:t>L</w:t>
      </w:r>
      <w:r w:rsidRPr="00F23A38">
        <w:rPr>
          <w:rFonts w:asciiTheme="majorBidi" w:hAnsiTheme="majorBidi" w:cstheme="majorBidi"/>
          <w:sz w:val="24"/>
          <w:szCs w:val="24"/>
        </w:rPr>
        <w:t xml:space="preserve"> (95% CI: 1.2; 1.9).</w:t>
      </w:r>
    </w:p>
    <w:p w14:paraId="598089F9" w14:textId="1BD182C4" w:rsidR="00F23A38" w:rsidRPr="00F23A38" w:rsidRDefault="00F23A38" w:rsidP="002D41EB">
      <w:pPr>
        <w:rPr>
          <w:rFonts w:asciiTheme="majorBidi" w:hAnsiTheme="majorBidi" w:cstheme="majorBidi"/>
          <w:b/>
          <w:bCs/>
          <w:sz w:val="24"/>
          <w:szCs w:val="24"/>
        </w:rPr>
      </w:pPr>
      <w:r w:rsidRPr="00F23A38">
        <w:rPr>
          <w:rFonts w:asciiTheme="majorBidi" w:hAnsiTheme="majorBidi" w:cstheme="majorBidi"/>
          <w:b/>
          <w:bCs/>
          <w:sz w:val="24"/>
          <w:szCs w:val="24"/>
        </w:rPr>
        <w:t>Predicted duration of factor VIII activity over 5%</w:t>
      </w:r>
    </w:p>
    <w:p w14:paraId="333A0015" w14:textId="77777777" w:rsidR="00F23A38" w:rsidRPr="00F23A38" w:rsidRDefault="00F23A38" w:rsidP="002D41EB">
      <w:pPr>
        <w:rPr>
          <w:rFonts w:asciiTheme="majorBidi" w:hAnsiTheme="majorBidi" w:cstheme="majorBidi"/>
          <w:sz w:val="24"/>
          <w:szCs w:val="24"/>
        </w:rPr>
      </w:pPr>
      <w:r w:rsidRPr="00F23A38">
        <w:rPr>
          <w:rFonts w:asciiTheme="majorBidi" w:hAnsiTheme="majorBidi" w:cstheme="majorBidi"/>
          <w:sz w:val="24"/>
          <w:szCs w:val="24"/>
        </w:rPr>
        <w:t>Steady-state factor VIII activity profiles were simulated using a single-compartment model with first order elimination kinetics with PK parameters for clearance (CL) and volume of distribution (</w:t>
      </w:r>
      <w:proofErr w:type="spellStart"/>
      <w:r w:rsidRPr="00F23A38">
        <w:rPr>
          <w:rFonts w:asciiTheme="majorBidi" w:hAnsiTheme="majorBidi" w:cstheme="majorBidi"/>
          <w:sz w:val="24"/>
          <w:szCs w:val="24"/>
        </w:rPr>
        <w:t>Vss</w:t>
      </w:r>
      <w:proofErr w:type="spellEnd"/>
      <w:r w:rsidRPr="00F23A38">
        <w:rPr>
          <w:rFonts w:asciiTheme="majorBidi" w:hAnsiTheme="majorBidi" w:cstheme="majorBidi"/>
          <w:sz w:val="24"/>
          <w:szCs w:val="24"/>
        </w:rPr>
        <w:t>) at steady state.</w:t>
      </w:r>
    </w:p>
    <w:p w14:paraId="5A920F30" w14:textId="14AA04E0" w:rsidR="00ED6389" w:rsidRPr="00B570FE" w:rsidRDefault="00F23A38" w:rsidP="00B570FE">
      <w:pPr>
        <w:rPr>
          <w:rFonts w:asciiTheme="majorBidi" w:hAnsiTheme="majorBidi" w:cstheme="majorBidi"/>
          <w:sz w:val="24"/>
          <w:szCs w:val="24"/>
        </w:rPr>
      </w:pPr>
      <w:r w:rsidRPr="00F23A38">
        <w:rPr>
          <w:rFonts w:asciiTheme="majorBidi" w:hAnsiTheme="majorBidi" w:cstheme="majorBidi"/>
          <w:sz w:val="24"/>
          <w:szCs w:val="24"/>
        </w:rPr>
        <w:t>Pharmacokinetic predictions showed that patients who received treatment every 3 – 4 days mostly (72 – 95% of the time) demonstrate a factor VIII activity of over 5% (</w:t>
      </w:r>
      <w:proofErr w:type="gramStart"/>
      <w:r w:rsidRPr="00F23A38">
        <w:rPr>
          <w:rFonts w:asciiTheme="majorBidi" w:hAnsiTheme="majorBidi" w:cstheme="majorBidi"/>
          <w:sz w:val="24"/>
          <w:szCs w:val="24"/>
        </w:rPr>
        <w:t>e.g.</w:t>
      </w:r>
      <w:proofErr w:type="gramEnd"/>
      <w:r w:rsidRPr="00F23A38">
        <w:rPr>
          <w:rFonts w:asciiTheme="majorBidi" w:hAnsiTheme="majorBidi" w:cstheme="majorBidi"/>
          <w:sz w:val="24"/>
          <w:szCs w:val="24"/>
        </w:rPr>
        <w:t xml:space="preserve"> equivalent to minor haemophilia). According to predictions, patients who receive 75 IU/kg every 7 days should achieve over 5% for 57% of the time.</w:t>
      </w:r>
    </w:p>
    <w:p w14:paraId="75035FCA" w14:textId="50DF0C16" w:rsidR="001A3992" w:rsidRPr="000E1342" w:rsidRDefault="001A3992" w:rsidP="001A3992">
      <w:pPr>
        <w:pStyle w:val="Heading2"/>
        <w:spacing w:before="0" w:after="120"/>
        <w:rPr>
          <w:rFonts w:asciiTheme="majorBidi" w:hAnsiTheme="majorBidi" w:cstheme="majorBidi"/>
        </w:rPr>
      </w:pPr>
      <w:r w:rsidRPr="000E1342">
        <w:rPr>
          <w:rFonts w:asciiTheme="majorBidi" w:hAnsiTheme="majorBidi" w:cstheme="majorBidi"/>
        </w:rPr>
        <w:t>Preclinical safety data</w:t>
      </w:r>
      <w:r w:rsidR="00B45199">
        <w:rPr>
          <w:rFonts w:asciiTheme="majorBidi" w:hAnsiTheme="majorBidi" w:cstheme="majorBidi"/>
        </w:rPr>
        <w:fldChar w:fldCharType="begin"/>
      </w:r>
      <w:r w:rsidR="00B45199">
        <w:rPr>
          <w:rFonts w:asciiTheme="majorBidi" w:hAnsiTheme="majorBidi" w:cstheme="majorBidi"/>
        </w:rPr>
        <w:instrText xml:space="preserve"> DOCVARIABLE vault_nd_e6f0e61b-956a-47ff-a349-0e63b8b2f3ec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1D7EB794" w14:textId="4F9265B4" w:rsidR="001A3992" w:rsidRPr="00001E1F" w:rsidRDefault="001A3992" w:rsidP="00BA6B66">
      <w:pPr>
        <w:pStyle w:val="Heading3"/>
        <w:spacing w:before="0" w:after="120"/>
        <w:ind w:left="0"/>
        <w:rPr>
          <w:rFonts w:asciiTheme="majorBidi" w:hAnsiTheme="majorBidi"/>
          <w:sz w:val="24"/>
          <w:szCs w:val="24"/>
        </w:rPr>
      </w:pPr>
      <w:r w:rsidRPr="00001E1F">
        <w:rPr>
          <w:rFonts w:asciiTheme="majorBidi" w:hAnsiTheme="majorBidi"/>
          <w:sz w:val="24"/>
          <w:szCs w:val="24"/>
        </w:rPr>
        <w:t>Genotoxicity</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vault_nd_9b4ca043-014e-4b17-89af-6c9960589a94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635DD758" w14:textId="158F4F39" w:rsidR="00BA6B66" w:rsidRPr="00BA6B66" w:rsidRDefault="007E07DD" w:rsidP="00BA6B66">
      <w:pPr>
        <w:rPr>
          <w:rFonts w:asciiTheme="majorBidi" w:hAnsiTheme="majorBidi" w:cstheme="majorBidi"/>
          <w:sz w:val="24"/>
          <w:szCs w:val="24"/>
        </w:rPr>
      </w:pPr>
      <w:r>
        <w:rPr>
          <w:rFonts w:asciiTheme="majorBidi" w:hAnsiTheme="majorBidi" w:cstheme="majorBidi"/>
          <w:sz w:val="24"/>
          <w:szCs w:val="24"/>
        </w:rPr>
        <w:t xml:space="preserve">No </w:t>
      </w:r>
      <w:r w:rsidRPr="00BA6B66">
        <w:rPr>
          <w:rFonts w:asciiTheme="majorBidi" w:hAnsiTheme="majorBidi" w:cstheme="majorBidi"/>
          <w:sz w:val="24"/>
          <w:szCs w:val="24"/>
        </w:rPr>
        <w:t xml:space="preserve">genotoxicity </w:t>
      </w:r>
      <w:r>
        <w:rPr>
          <w:rFonts w:asciiTheme="majorBidi" w:hAnsiTheme="majorBidi" w:cstheme="majorBidi"/>
          <w:sz w:val="24"/>
          <w:szCs w:val="24"/>
        </w:rPr>
        <w:t>s</w:t>
      </w:r>
      <w:r w:rsidR="00BA6B66" w:rsidRPr="00BA6B66">
        <w:rPr>
          <w:rFonts w:asciiTheme="majorBidi" w:hAnsiTheme="majorBidi" w:cstheme="majorBidi"/>
          <w:sz w:val="24"/>
          <w:szCs w:val="24"/>
        </w:rPr>
        <w:t xml:space="preserve">tudies </w:t>
      </w:r>
      <w:r>
        <w:rPr>
          <w:rFonts w:asciiTheme="majorBidi" w:hAnsiTheme="majorBidi" w:cstheme="majorBidi"/>
          <w:sz w:val="24"/>
          <w:szCs w:val="24"/>
        </w:rPr>
        <w:t>have been performed with</w:t>
      </w:r>
      <w:r w:rsidR="00BA6B66" w:rsidRPr="00BA6B66">
        <w:rPr>
          <w:rFonts w:asciiTheme="majorBidi" w:hAnsiTheme="majorBidi" w:cstheme="majorBidi"/>
          <w:sz w:val="24"/>
          <w:szCs w:val="24"/>
        </w:rPr>
        <w:t xml:space="preserve"> </w:t>
      </w:r>
      <w:proofErr w:type="spellStart"/>
      <w:r w:rsidR="00883401">
        <w:rPr>
          <w:rFonts w:asciiTheme="majorBidi" w:hAnsiTheme="majorBidi" w:cstheme="majorBidi"/>
          <w:sz w:val="24"/>
          <w:szCs w:val="24"/>
        </w:rPr>
        <w:t>t</w:t>
      </w:r>
      <w:r w:rsidR="00883401" w:rsidRPr="000E1342">
        <w:rPr>
          <w:rFonts w:asciiTheme="majorBidi" w:hAnsiTheme="majorBidi" w:cstheme="majorBidi"/>
          <w:sz w:val="24"/>
          <w:szCs w:val="24"/>
        </w:rPr>
        <w:t>uroctocog</w:t>
      </w:r>
      <w:proofErr w:type="spellEnd"/>
      <w:r w:rsidR="00883401" w:rsidRPr="000E1342">
        <w:rPr>
          <w:rFonts w:asciiTheme="majorBidi" w:hAnsiTheme="majorBidi" w:cstheme="majorBidi"/>
          <w:sz w:val="24"/>
          <w:szCs w:val="24"/>
        </w:rPr>
        <w:t> alfa pegol</w:t>
      </w:r>
      <w:r w:rsidR="00BA6B66" w:rsidRPr="00BA6B66">
        <w:rPr>
          <w:rFonts w:asciiTheme="majorBidi" w:hAnsiTheme="majorBidi" w:cstheme="majorBidi"/>
          <w:sz w:val="24"/>
          <w:szCs w:val="24"/>
        </w:rPr>
        <w:t xml:space="preserve">. </w:t>
      </w:r>
    </w:p>
    <w:p w14:paraId="21557186" w14:textId="3E5495B0" w:rsidR="001A3992" w:rsidRPr="00001E1F" w:rsidRDefault="001A3992" w:rsidP="00CB6C2D">
      <w:pPr>
        <w:pStyle w:val="Heading3"/>
        <w:spacing w:before="0" w:after="120"/>
        <w:ind w:left="0"/>
        <w:rPr>
          <w:rFonts w:asciiTheme="majorBidi" w:hAnsiTheme="majorBidi"/>
          <w:sz w:val="24"/>
          <w:szCs w:val="24"/>
        </w:rPr>
      </w:pPr>
      <w:r w:rsidRPr="00001E1F">
        <w:rPr>
          <w:rFonts w:asciiTheme="majorBidi" w:hAnsiTheme="majorBidi"/>
          <w:sz w:val="24"/>
          <w:szCs w:val="24"/>
        </w:rPr>
        <w:t>Carcinogenicity</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vault_nd_dea8e781-1a65-4e00-a068-b12c6a8ee239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5236A3D9" w14:textId="4DE55842" w:rsidR="00866B93" w:rsidRPr="00883401" w:rsidRDefault="00866B93" w:rsidP="00866B93">
      <w:pPr>
        <w:rPr>
          <w:rFonts w:asciiTheme="majorBidi" w:hAnsiTheme="majorBidi" w:cstheme="majorBidi"/>
          <w:sz w:val="24"/>
          <w:szCs w:val="24"/>
        </w:rPr>
      </w:pPr>
      <w:r w:rsidRPr="00883401">
        <w:rPr>
          <w:rFonts w:asciiTheme="majorBidi" w:hAnsiTheme="majorBidi" w:cstheme="majorBidi"/>
          <w:sz w:val="24"/>
          <w:szCs w:val="24"/>
        </w:rPr>
        <w:t xml:space="preserve">Long-term studies in animals to evaluate the carcinogenic potential of </w:t>
      </w:r>
      <w:proofErr w:type="spellStart"/>
      <w:r w:rsidR="00883401">
        <w:rPr>
          <w:rFonts w:asciiTheme="majorBidi" w:hAnsiTheme="majorBidi" w:cstheme="majorBidi"/>
          <w:sz w:val="24"/>
          <w:szCs w:val="24"/>
        </w:rPr>
        <w:t>t</w:t>
      </w:r>
      <w:r w:rsidR="00883401" w:rsidRPr="000E1342">
        <w:rPr>
          <w:rFonts w:asciiTheme="majorBidi" w:hAnsiTheme="majorBidi" w:cstheme="majorBidi"/>
          <w:sz w:val="24"/>
          <w:szCs w:val="24"/>
        </w:rPr>
        <w:t>uroctocog</w:t>
      </w:r>
      <w:proofErr w:type="spellEnd"/>
      <w:r w:rsidR="00883401" w:rsidRPr="000E1342">
        <w:rPr>
          <w:rFonts w:asciiTheme="majorBidi" w:hAnsiTheme="majorBidi" w:cstheme="majorBidi"/>
          <w:sz w:val="24"/>
          <w:szCs w:val="24"/>
        </w:rPr>
        <w:t> alfa pegol</w:t>
      </w:r>
      <w:r w:rsidR="00883401">
        <w:rPr>
          <w:rFonts w:asciiTheme="majorBidi" w:hAnsiTheme="majorBidi" w:cstheme="majorBidi"/>
          <w:sz w:val="24"/>
          <w:szCs w:val="24"/>
        </w:rPr>
        <w:t xml:space="preserve"> </w:t>
      </w:r>
      <w:r w:rsidRPr="00883401">
        <w:rPr>
          <w:rFonts w:asciiTheme="majorBidi" w:hAnsiTheme="majorBidi" w:cstheme="majorBidi"/>
          <w:sz w:val="24"/>
          <w:szCs w:val="24"/>
        </w:rPr>
        <w:t xml:space="preserve">have not been performed. </w:t>
      </w:r>
    </w:p>
    <w:p w14:paraId="65F0E377" w14:textId="064D66C5" w:rsidR="001A3992" w:rsidRPr="00B45199" w:rsidRDefault="001A3992" w:rsidP="001A3992">
      <w:pPr>
        <w:pStyle w:val="Heading1"/>
        <w:spacing w:before="0" w:after="120"/>
        <w:rPr>
          <w:rFonts w:asciiTheme="majorBidi" w:hAnsiTheme="majorBidi"/>
        </w:rPr>
      </w:pPr>
      <w:r w:rsidRPr="00B45199">
        <w:rPr>
          <w:rFonts w:asciiTheme="majorBidi" w:hAnsiTheme="majorBidi"/>
        </w:rPr>
        <w:t>Pharmaceutical particulars</w:t>
      </w:r>
      <w:r w:rsidR="00B45199">
        <w:rPr>
          <w:rFonts w:asciiTheme="majorBidi" w:hAnsiTheme="majorBidi"/>
        </w:rPr>
        <w:fldChar w:fldCharType="begin"/>
      </w:r>
      <w:r w:rsidR="00B45199">
        <w:rPr>
          <w:rFonts w:asciiTheme="majorBidi" w:hAnsiTheme="majorBidi"/>
        </w:rPr>
        <w:instrText xml:space="preserve"> DOCVARIABLE VAULT_ND_2f0dbd3f-fc29-452c-bb4f-dd38d186d0e0 \* MERGEFORMAT </w:instrText>
      </w:r>
      <w:r w:rsidR="00B45199">
        <w:rPr>
          <w:rFonts w:asciiTheme="majorBidi" w:hAnsiTheme="majorBidi"/>
        </w:rPr>
        <w:fldChar w:fldCharType="separate"/>
      </w:r>
      <w:r w:rsidR="00B45199">
        <w:rPr>
          <w:rFonts w:asciiTheme="majorBidi" w:hAnsiTheme="majorBidi"/>
        </w:rPr>
        <w:t xml:space="preserve"> </w:t>
      </w:r>
      <w:r w:rsidR="00B45199">
        <w:rPr>
          <w:rFonts w:asciiTheme="majorBidi" w:hAnsiTheme="majorBidi"/>
        </w:rPr>
        <w:fldChar w:fldCharType="end"/>
      </w:r>
    </w:p>
    <w:p w14:paraId="65533880" w14:textId="4DFF5EF9" w:rsidR="005B2812" w:rsidRPr="000E1342" w:rsidRDefault="005B2812" w:rsidP="005B2812">
      <w:pPr>
        <w:pStyle w:val="Heading2"/>
        <w:spacing w:before="0" w:after="120"/>
        <w:rPr>
          <w:rFonts w:asciiTheme="majorBidi" w:hAnsiTheme="majorBidi" w:cstheme="majorBidi"/>
        </w:rPr>
      </w:pPr>
      <w:r w:rsidRPr="000E1342">
        <w:rPr>
          <w:rFonts w:asciiTheme="majorBidi" w:hAnsiTheme="majorBidi" w:cstheme="majorBidi"/>
        </w:rPr>
        <w:t>List of excipients</w:t>
      </w:r>
      <w:r w:rsidR="00B45199">
        <w:rPr>
          <w:rFonts w:asciiTheme="majorBidi" w:hAnsiTheme="majorBidi" w:cstheme="majorBidi"/>
        </w:rPr>
        <w:fldChar w:fldCharType="begin"/>
      </w:r>
      <w:r w:rsidR="00B45199">
        <w:rPr>
          <w:rFonts w:asciiTheme="majorBidi" w:hAnsiTheme="majorBidi" w:cstheme="majorBidi"/>
        </w:rPr>
        <w:instrText xml:space="preserve"> DOCVARIABLE vault_nd_6731605d-4248-45bc-848c-e2b6bc81ea69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44AB7266" w14:textId="368803A9" w:rsidR="00691205" w:rsidRPr="000E1342" w:rsidRDefault="00691205" w:rsidP="00691205">
      <w:pPr>
        <w:rPr>
          <w:rFonts w:asciiTheme="majorBidi" w:hAnsiTheme="majorBidi" w:cstheme="majorBidi"/>
          <w:sz w:val="24"/>
          <w:szCs w:val="24"/>
        </w:rPr>
      </w:pPr>
      <w:r w:rsidRPr="000E1342">
        <w:rPr>
          <w:rFonts w:asciiTheme="majorBidi" w:hAnsiTheme="majorBidi" w:cstheme="majorBidi"/>
          <w:sz w:val="24"/>
          <w:szCs w:val="24"/>
          <w:u w:val="single"/>
        </w:rPr>
        <w:t>Powder</w:t>
      </w:r>
      <w:r w:rsidRPr="000E1342">
        <w:rPr>
          <w:rFonts w:asciiTheme="majorBidi" w:hAnsiTheme="majorBidi" w:cstheme="majorBidi"/>
          <w:sz w:val="24"/>
          <w:szCs w:val="24"/>
        </w:rPr>
        <w:t>: Sodium chloride, histidine, sucrose, polysorbate 80, methionine, calcium chloride dihydrate, sodium hydroxide (to adjust pH), hydrochloric acid (to adjust pH).</w:t>
      </w:r>
    </w:p>
    <w:p w14:paraId="00507C1D" w14:textId="2442D8D0" w:rsidR="00691205" w:rsidRPr="000E1342" w:rsidRDefault="00691205" w:rsidP="00691205">
      <w:pPr>
        <w:rPr>
          <w:rFonts w:asciiTheme="majorBidi" w:hAnsiTheme="majorBidi" w:cstheme="majorBidi"/>
          <w:sz w:val="24"/>
          <w:szCs w:val="24"/>
        </w:rPr>
      </w:pPr>
      <w:r w:rsidRPr="000E1342">
        <w:rPr>
          <w:rFonts w:asciiTheme="majorBidi" w:hAnsiTheme="majorBidi" w:cstheme="majorBidi"/>
          <w:sz w:val="24"/>
          <w:szCs w:val="24"/>
          <w:u w:val="single"/>
        </w:rPr>
        <w:t>Solvent</w:t>
      </w:r>
      <w:r w:rsidRPr="000E1342">
        <w:rPr>
          <w:rFonts w:asciiTheme="majorBidi" w:hAnsiTheme="majorBidi" w:cstheme="majorBidi"/>
          <w:sz w:val="24"/>
          <w:szCs w:val="24"/>
        </w:rPr>
        <w:t>: Sodium chloride, water for injection</w:t>
      </w:r>
      <w:r w:rsidR="005476FC">
        <w:rPr>
          <w:rFonts w:asciiTheme="majorBidi" w:hAnsiTheme="majorBidi" w:cstheme="majorBidi"/>
          <w:sz w:val="24"/>
          <w:szCs w:val="24"/>
        </w:rPr>
        <w:t>s</w:t>
      </w:r>
      <w:r w:rsidRPr="000E1342">
        <w:rPr>
          <w:rFonts w:asciiTheme="majorBidi" w:hAnsiTheme="majorBidi" w:cstheme="majorBidi"/>
          <w:sz w:val="24"/>
          <w:szCs w:val="24"/>
        </w:rPr>
        <w:t>.</w:t>
      </w:r>
    </w:p>
    <w:p w14:paraId="2756962B" w14:textId="58EB4EB9" w:rsidR="005B2812" w:rsidRPr="000E1342" w:rsidRDefault="005B2812" w:rsidP="005B2812">
      <w:pPr>
        <w:pStyle w:val="Heading2"/>
        <w:keepNext/>
        <w:keepLines/>
        <w:spacing w:before="0" w:after="120"/>
        <w:rPr>
          <w:rFonts w:asciiTheme="majorBidi" w:hAnsiTheme="majorBidi" w:cstheme="majorBidi"/>
        </w:rPr>
      </w:pPr>
      <w:r w:rsidRPr="000E1342">
        <w:rPr>
          <w:rFonts w:asciiTheme="majorBidi" w:hAnsiTheme="majorBidi" w:cstheme="majorBidi"/>
        </w:rPr>
        <w:t>Incompatibilities</w:t>
      </w:r>
      <w:r w:rsidR="00B45199">
        <w:rPr>
          <w:rFonts w:asciiTheme="majorBidi" w:hAnsiTheme="majorBidi" w:cstheme="majorBidi"/>
        </w:rPr>
        <w:fldChar w:fldCharType="begin"/>
      </w:r>
      <w:r w:rsidR="00B45199">
        <w:rPr>
          <w:rFonts w:asciiTheme="majorBidi" w:hAnsiTheme="majorBidi" w:cstheme="majorBidi"/>
        </w:rPr>
        <w:instrText xml:space="preserve"> DOCVARIABLE vault_nd_6d40886a-bef8-4489-877d-37aa416fd999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3FCBC50A" w14:textId="1B5FBE5F" w:rsidR="005B2812" w:rsidRPr="000E1342" w:rsidRDefault="00390718" w:rsidP="00390718">
      <w:pPr>
        <w:rPr>
          <w:rFonts w:asciiTheme="majorBidi" w:hAnsiTheme="majorBidi" w:cstheme="majorBidi"/>
          <w:sz w:val="24"/>
          <w:szCs w:val="24"/>
        </w:rPr>
      </w:pPr>
      <w:r w:rsidRPr="00390718">
        <w:rPr>
          <w:rFonts w:asciiTheme="majorBidi" w:hAnsiTheme="majorBidi" w:cstheme="majorBidi"/>
          <w:sz w:val="24"/>
          <w:szCs w:val="24"/>
          <w:lang w:bidi="en-GB"/>
        </w:rPr>
        <w:t>In the absence of compatibility studies, this medicin</w:t>
      </w:r>
      <w:r w:rsidR="00EC41F8">
        <w:rPr>
          <w:rFonts w:asciiTheme="majorBidi" w:hAnsiTheme="majorBidi" w:cstheme="majorBidi"/>
          <w:sz w:val="24"/>
          <w:szCs w:val="24"/>
          <w:lang w:bidi="en-GB"/>
        </w:rPr>
        <w:t xml:space="preserve">e </w:t>
      </w:r>
      <w:r w:rsidRPr="00390718">
        <w:rPr>
          <w:rFonts w:asciiTheme="majorBidi" w:hAnsiTheme="majorBidi" w:cstheme="majorBidi"/>
          <w:sz w:val="24"/>
          <w:szCs w:val="24"/>
          <w:lang w:bidi="en-GB"/>
        </w:rPr>
        <w:t>must not be mixed with other medicinal products</w:t>
      </w:r>
      <w:r w:rsidR="00EC41F8">
        <w:rPr>
          <w:rFonts w:asciiTheme="majorBidi" w:hAnsiTheme="majorBidi" w:cstheme="majorBidi"/>
          <w:sz w:val="24"/>
          <w:szCs w:val="24"/>
          <w:lang w:bidi="en-GB"/>
        </w:rPr>
        <w:t>.</w:t>
      </w:r>
    </w:p>
    <w:p w14:paraId="0752ED2C" w14:textId="5637E7FF" w:rsidR="005B2812" w:rsidRPr="000E1342" w:rsidRDefault="005B2812" w:rsidP="005B2812">
      <w:pPr>
        <w:pStyle w:val="Heading2"/>
        <w:spacing w:before="0" w:after="120"/>
        <w:rPr>
          <w:rFonts w:asciiTheme="majorBidi" w:hAnsiTheme="majorBidi" w:cstheme="majorBidi"/>
        </w:rPr>
      </w:pPr>
      <w:r w:rsidRPr="000E1342">
        <w:rPr>
          <w:rFonts w:asciiTheme="majorBidi" w:hAnsiTheme="majorBidi" w:cstheme="majorBidi"/>
        </w:rPr>
        <w:t>Shelf life</w:t>
      </w:r>
      <w:r w:rsidR="00B45199">
        <w:rPr>
          <w:rFonts w:asciiTheme="majorBidi" w:hAnsiTheme="majorBidi" w:cstheme="majorBidi"/>
        </w:rPr>
        <w:fldChar w:fldCharType="begin"/>
      </w:r>
      <w:r w:rsidR="00B45199">
        <w:rPr>
          <w:rFonts w:asciiTheme="majorBidi" w:hAnsiTheme="majorBidi" w:cstheme="majorBidi"/>
        </w:rPr>
        <w:instrText xml:space="preserve"> DOCVARIABLE vault_nd_16c53dfb-bc14-456d-b9e9-37ff13c9b902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136170FA" w14:textId="266BBFFC" w:rsidR="005B2812" w:rsidRDefault="005B2812" w:rsidP="005B2812">
      <w:pPr>
        <w:rPr>
          <w:rFonts w:asciiTheme="majorBidi" w:hAnsiTheme="majorBidi" w:cstheme="majorBidi"/>
          <w:sz w:val="24"/>
          <w:szCs w:val="24"/>
        </w:rPr>
      </w:pPr>
      <w:r w:rsidRPr="000E1342">
        <w:rPr>
          <w:rFonts w:asciiTheme="majorBidi" w:hAnsiTheme="majorBidi" w:cstheme="majorBidi"/>
          <w:sz w:val="24"/>
          <w:szCs w:val="24"/>
        </w:rPr>
        <w:t>In Australia, information on the shelf life can be found on the public summary of the Australian Register of Therapeutic Goods (ARTG). The expiry date can be found on the packaging.</w:t>
      </w:r>
    </w:p>
    <w:p w14:paraId="02D18089" w14:textId="77777777" w:rsidR="00696357" w:rsidRPr="00696357" w:rsidRDefault="00696357" w:rsidP="00696357">
      <w:pPr>
        <w:rPr>
          <w:rFonts w:asciiTheme="majorBidi" w:hAnsiTheme="majorBidi" w:cstheme="majorBidi"/>
          <w:b/>
          <w:bCs/>
          <w:iCs/>
          <w:sz w:val="24"/>
          <w:szCs w:val="24"/>
          <w:lang w:bidi="en-GB"/>
        </w:rPr>
      </w:pPr>
      <w:r w:rsidRPr="00696357">
        <w:rPr>
          <w:rFonts w:asciiTheme="majorBidi" w:hAnsiTheme="majorBidi" w:cstheme="majorBidi"/>
          <w:b/>
          <w:bCs/>
          <w:iCs/>
          <w:sz w:val="24"/>
          <w:szCs w:val="24"/>
          <w:lang w:bidi="en-GB"/>
        </w:rPr>
        <w:lastRenderedPageBreak/>
        <w:t>Unopened vial (before reconstitution):</w:t>
      </w:r>
    </w:p>
    <w:p w14:paraId="1FBB3306" w14:textId="77777777" w:rsidR="00EB4774" w:rsidRDefault="00EB4774" w:rsidP="00EB4774">
      <w:pPr>
        <w:rPr>
          <w:rFonts w:asciiTheme="majorBidi" w:hAnsiTheme="majorBidi" w:cstheme="majorBidi"/>
          <w:sz w:val="24"/>
          <w:szCs w:val="24"/>
          <w:lang w:val="en-AU" w:bidi="en-GB"/>
        </w:rPr>
      </w:pPr>
      <w:r w:rsidRPr="00EB4774">
        <w:rPr>
          <w:rFonts w:asciiTheme="majorBidi" w:hAnsiTheme="majorBidi" w:cstheme="majorBidi"/>
          <w:sz w:val="24"/>
          <w:szCs w:val="24"/>
          <w:lang w:val="en-AU" w:bidi="en-GB"/>
        </w:rPr>
        <w:t>Store in a refrigerator at 2°C to 8°C. Do not freeze.</w:t>
      </w:r>
    </w:p>
    <w:p w14:paraId="3A3CAAFD" w14:textId="64D6CE74" w:rsidR="00696357" w:rsidRPr="00696357" w:rsidRDefault="00696357" w:rsidP="00EF5D93">
      <w:pPr>
        <w:spacing w:after="0"/>
        <w:rPr>
          <w:rFonts w:asciiTheme="majorBidi" w:hAnsiTheme="majorBidi" w:cstheme="majorBidi"/>
          <w:sz w:val="24"/>
          <w:szCs w:val="24"/>
          <w:lang w:bidi="en-GB"/>
        </w:rPr>
      </w:pPr>
      <w:r w:rsidRPr="00696357">
        <w:rPr>
          <w:rFonts w:asciiTheme="majorBidi" w:hAnsiTheme="majorBidi" w:cstheme="majorBidi"/>
          <w:sz w:val="24"/>
          <w:szCs w:val="24"/>
          <w:lang w:bidi="en-GB"/>
        </w:rPr>
        <w:t>During its shelf life, the preparation can be stored:</w:t>
      </w:r>
    </w:p>
    <w:p w14:paraId="641A64B9" w14:textId="45967381" w:rsidR="00696357" w:rsidRDefault="00696357" w:rsidP="00F136A5">
      <w:pPr>
        <w:pStyle w:val="ListParagraph"/>
        <w:numPr>
          <w:ilvl w:val="0"/>
          <w:numId w:val="17"/>
        </w:numPr>
        <w:rPr>
          <w:rFonts w:asciiTheme="majorBidi" w:hAnsiTheme="majorBidi" w:cstheme="majorBidi"/>
          <w:sz w:val="24"/>
          <w:szCs w:val="24"/>
          <w:lang w:bidi="en-GB"/>
        </w:rPr>
      </w:pPr>
      <w:r w:rsidRPr="00696357">
        <w:rPr>
          <w:rFonts w:asciiTheme="majorBidi" w:hAnsiTheme="majorBidi" w:cstheme="majorBidi"/>
          <w:sz w:val="24"/>
          <w:szCs w:val="24"/>
          <w:lang w:bidi="en-GB"/>
        </w:rPr>
        <w:t>no longer than 12 months at temperature</w:t>
      </w:r>
      <w:r w:rsidR="003A7855">
        <w:rPr>
          <w:rFonts w:asciiTheme="majorBidi" w:hAnsiTheme="majorBidi" w:cstheme="majorBidi"/>
          <w:sz w:val="24"/>
          <w:szCs w:val="24"/>
          <w:lang w:bidi="en-GB"/>
        </w:rPr>
        <w:t>s</w:t>
      </w:r>
      <w:r w:rsidRPr="00696357">
        <w:rPr>
          <w:rFonts w:asciiTheme="majorBidi" w:hAnsiTheme="majorBidi" w:cstheme="majorBidi"/>
          <w:sz w:val="24"/>
          <w:szCs w:val="24"/>
          <w:lang w:bidi="en-GB"/>
        </w:rPr>
        <w:t xml:space="preserve"> ≤30 °C, </w:t>
      </w:r>
      <w:r>
        <w:rPr>
          <w:rFonts w:asciiTheme="majorBidi" w:hAnsiTheme="majorBidi" w:cstheme="majorBidi"/>
          <w:sz w:val="24"/>
          <w:szCs w:val="24"/>
          <w:lang w:bidi="en-GB"/>
        </w:rPr>
        <w:t>or</w:t>
      </w:r>
    </w:p>
    <w:p w14:paraId="6C559820" w14:textId="3488B278" w:rsidR="00696357" w:rsidRPr="00696357" w:rsidRDefault="00696357" w:rsidP="00F136A5">
      <w:pPr>
        <w:pStyle w:val="ListParagraph"/>
        <w:numPr>
          <w:ilvl w:val="0"/>
          <w:numId w:val="17"/>
        </w:numPr>
        <w:rPr>
          <w:rFonts w:asciiTheme="majorBidi" w:hAnsiTheme="majorBidi" w:cstheme="majorBidi"/>
          <w:sz w:val="24"/>
          <w:szCs w:val="24"/>
          <w:lang w:bidi="en-GB"/>
        </w:rPr>
      </w:pPr>
      <w:r w:rsidRPr="00696357">
        <w:rPr>
          <w:rFonts w:asciiTheme="majorBidi" w:hAnsiTheme="majorBidi" w:cstheme="majorBidi"/>
          <w:sz w:val="24"/>
          <w:szCs w:val="24"/>
          <w:lang w:bidi="en-GB"/>
        </w:rPr>
        <w:t xml:space="preserve">no longer than 3 months </w:t>
      </w:r>
      <w:r w:rsidR="003A7855">
        <w:rPr>
          <w:rFonts w:asciiTheme="majorBidi" w:hAnsiTheme="majorBidi" w:cstheme="majorBidi"/>
          <w:sz w:val="24"/>
          <w:szCs w:val="24"/>
          <w:lang w:bidi="en-GB"/>
        </w:rPr>
        <w:t>at</w:t>
      </w:r>
      <w:r w:rsidRPr="00696357">
        <w:rPr>
          <w:rFonts w:asciiTheme="majorBidi" w:hAnsiTheme="majorBidi" w:cstheme="majorBidi"/>
          <w:sz w:val="24"/>
          <w:szCs w:val="24"/>
          <w:lang w:bidi="en-GB"/>
        </w:rPr>
        <w:t xml:space="preserve"> temperature</w:t>
      </w:r>
      <w:r w:rsidR="003A7855">
        <w:rPr>
          <w:rFonts w:asciiTheme="majorBidi" w:hAnsiTheme="majorBidi" w:cstheme="majorBidi"/>
          <w:sz w:val="24"/>
          <w:szCs w:val="24"/>
          <w:lang w:bidi="en-GB"/>
        </w:rPr>
        <w:t>s</w:t>
      </w:r>
      <w:r w:rsidRPr="00696357">
        <w:rPr>
          <w:rFonts w:asciiTheme="majorBidi" w:hAnsiTheme="majorBidi" w:cstheme="majorBidi"/>
          <w:sz w:val="24"/>
          <w:szCs w:val="24"/>
          <w:lang w:bidi="en-GB"/>
        </w:rPr>
        <w:t xml:space="preserve"> &gt;30 °C – 40 °C. </w:t>
      </w:r>
    </w:p>
    <w:p w14:paraId="2AB9F37F" w14:textId="77777777" w:rsidR="00696357" w:rsidRPr="00696357" w:rsidRDefault="00696357" w:rsidP="00696357">
      <w:pPr>
        <w:rPr>
          <w:rFonts w:asciiTheme="majorBidi" w:hAnsiTheme="majorBidi" w:cstheme="majorBidi"/>
          <w:sz w:val="24"/>
          <w:szCs w:val="24"/>
          <w:lang w:bidi="en-GB"/>
        </w:rPr>
      </w:pPr>
      <w:r w:rsidRPr="00696357">
        <w:rPr>
          <w:rFonts w:asciiTheme="majorBidi" w:hAnsiTheme="majorBidi" w:cstheme="majorBidi"/>
          <w:sz w:val="24"/>
          <w:szCs w:val="24"/>
          <w:lang w:bidi="en-GB"/>
        </w:rPr>
        <w:t xml:space="preserve">Once the product has been stored outside of the refrigerator, it must not be returned to the refrigerator. </w:t>
      </w:r>
    </w:p>
    <w:p w14:paraId="3ABF09F5" w14:textId="41059163" w:rsidR="00696357" w:rsidRPr="00696357" w:rsidRDefault="00E92240" w:rsidP="00BE1915">
      <w:pPr>
        <w:rPr>
          <w:rFonts w:asciiTheme="majorBidi" w:hAnsiTheme="majorBidi" w:cstheme="majorBidi"/>
          <w:sz w:val="24"/>
          <w:szCs w:val="24"/>
          <w:lang w:val="en-US" w:bidi="en-GB"/>
        </w:rPr>
      </w:pPr>
      <w:r>
        <w:rPr>
          <w:rFonts w:asciiTheme="majorBidi" w:hAnsiTheme="majorBidi" w:cstheme="majorBidi"/>
          <w:sz w:val="24"/>
          <w:szCs w:val="24"/>
          <w:lang w:bidi="en-GB"/>
        </w:rPr>
        <w:t>Record</w:t>
      </w:r>
      <w:r w:rsidR="00696357" w:rsidRPr="00696357">
        <w:rPr>
          <w:rFonts w:asciiTheme="majorBidi" w:hAnsiTheme="majorBidi" w:cstheme="majorBidi"/>
          <w:sz w:val="24"/>
          <w:szCs w:val="24"/>
          <w:lang w:bidi="en-GB"/>
        </w:rPr>
        <w:t xml:space="preserve"> the beginning of storage and the storage temperature </w:t>
      </w:r>
      <w:r w:rsidR="00BE1915" w:rsidRPr="00BE1915">
        <w:rPr>
          <w:rFonts w:asciiTheme="majorBidi" w:hAnsiTheme="majorBidi" w:cstheme="majorBidi"/>
          <w:sz w:val="24"/>
          <w:szCs w:val="24"/>
          <w:lang w:val="en-US" w:bidi="en-GB"/>
        </w:rPr>
        <w:t>in the space provided on the carton.</w:t>
      </w:r>
      <w:r w:rsidR="00696357" w:rsidRPr="00696357">
        <w:rPr>
          <w:rFonts w:asciiTheme="majorBidi" w:hAnsiTheme="majorBidi" w:cstheme="majorBidi"/>
          <w:sz w:val="24"/>
          <w:szCs w:val="24"/>
          <w:lang w:bidi="en-GB"/>
        </w:rPr>
        <w:t xml:space="preserve"> </w:t>
      </w:r>
    </w:p>
    <w:p w14:paraId="7C90A489" w14:textId="058EA0C4" w:rsidR="00696357" w:rsidRPr="00696357" w:rsidRDefault="00696357" w:rsidP="00663DFA">
      <w:pPr>
        <w:keepNext/>
        <w:rPr>
          <w:rFonts w:asciiTheme="majorBidi" w:hAnsiTheme="majorBidi" w:cstheme="majorBidi"/>
          <w:b/>
          <w:bCs/>
          <w:sz w:val="24"/>
          <w:szCs w:val="24"/>
          <w:lang w:bidi="en-GB"/>
        </w:rPr>
      </w:pPr>
      <w:r w:rsidRPr="1886DB16">
        <w:rPr>
          <w:rFonts w:asciiTheme="majorBidi" w:hAnsiTheme="majorBidi" w:cstheme="majorBidi"/>
          <w:b/>
          <w:bCs/>
          <w:sz w:val="24"/>
          <w:szCs w:val="24"/>
          <w:lang w:bidi="en-GB"/>
        </w:rPr>
        <w:t>After reconstitution</w:t>
      </w:r>
    </w:p>
    <w:p w14:paraId="6A6BB02D" w14:textId="77777777" w:rsidR="005557B5" w:rsidRDefault="00696357" w:rsidP="005A0258">
      <w:pPr>
        <w:rPr>
          <w:rFonts w:asciiTheme="majorBidi" w:hAnsiTheme="majorBidi" w:cstheme="majorBidi"/>
          <w:sz w:val="24"/>
          <w:szCs w:val="24"/>
          <w:lang w:bidi="en-GB"/>
        </w:rPr>
      </w:pPr>
      <w:r w:rsidRPr="00877CBD">
        <w:rPr>
          <w:rFonts w:asciiTheme="majorBidi" w:hAnsiTheme="majorBidi" w:cstheme="majorBidi"/>
          <w:sz w:val="24"/>
          <w:szCs w:val="24"/>
          <w:lang w:bidi="en-GB"/>
        </w:rPr>
        <w:t>From a microbiological perspective, the medicine must be used immediately after reconstitution</w:t>
      </w:r>
      <w:r w:rsidR="005557B5">
        <w:rPr>
          <w:rFonts w:asciiTheme="majorBidi" w:hAnsiTheme="majorBidi" w:cstheme="majorBidi"/>
          <w:sz w:val="24"/>
          <w:szCs w:val="24"/>
          <w:lang w:bidi="en-GB"/>
        </w:rPr>
        <w:t>.</w:t>
      </w:r>
    </w:p>
    <w:p w14:paraId="47604060" w14:textId="0EEB1BD5" w:rsidR="005A0258" w:rsidRDefault="00D43C10" w:rsidP="005A0258">
      <w:pPr>
        <w:rPr>
          <w:rFonts w:asciiTheme="majorBidi" w:hAnsiTheme="majorBidi" w:cstheme="majorBidi"/>
          <w:sz w:val="24"/>
          <w:szCs w:val="24"/>
          <w:lang w:bidi="en-GB"/>
        </w:rPr>
      </w:pPr>
      <w:r>
        <w:rPr>
          <w:rFonts w:asciiTheme="majorBidi" w:hAnsiTheme="majorBidi" w:cstheme="majorBidi"/>
          <w:sz w:val="24"/>
          <w:szCs w:val="24"/>
          <w:lang w:bidi="en-GB"/>
        </w:rPr>
        <w:t xml:space="preserve">If </w:t>
      </w:r>
      <w:r w:rsidR="6D3D0C5F" w:rsidRPr="5059A064">
        <w:rPr>
          <w:rFonts w:asciiTheme="majorBidi" w:hAnsiTheme="majorBidi" w:cstheme="majorBidi"/>
          <w:sz w:val="24"/>
          <w:szCs w:val="24"/>
          <w:lang w:bidi="en-GB"/>
        </w:rPr>
        <w:t>storage</w:t>
      </w:r>
      <w:r>
        <w:rPr>
          <w:rFonts w:asciiTheme="majorBidi" w:hAnsiTheme="majorBidi" w:cstheme="majorBidi"/>
          <w:sz w:val="24"/>
          <w:szCs w:val="24"/>
          <w:lang w:bidi="en-GB"/>
        </w:rPr>
        <w:t xml:space="preserve"> is </w:t>
      </w:r>
      <w:r w:rsidR="6D3D0C5F" w:rsidRPr="5059A064">
        <w:rPr>
          <w:rFonts w:asciiTheme="majorBidi" w:hAnsiTheme="majorBidi" w:cstheme="majorBidi"/>
          <w:sz w:val="24"/>
          <w:szCs w:val="24"/>
          <w:lang w:bidi="en-GB"/>
        </w:rPr>
        <w:t>necessary</w:t>
      </w:r>
      <w:r>
        <w:rPr>
          <w:rFonts w:asciiTheme="majorBidi" w:hAnsiTheme="majorBidi" w:cstheme="majorBidi"/>
          <w:sz w:val="24"/>
          <w:szCs w:val="24"/>
          <w:lang w:bidi="en-GB"/>
        </w:rPr>
        <w:t xml:space="preserve">, the solution should be kept in the vial and used </w:t>
      </w:r>
      <w:r w:rsidR="003D3138" w:rsidRPr="00877CBD">
        <w:rPr>
          <w:rFonts w:asciiTheme="majorBidi" w:hAnsiTheme="majorBidi" w:cstheme="majorBidi"/>
          <w:sz w:val="24"/>
          <w:szCs w:val="24"/>
          <w:lang w:bidi="en-GB"/>
        </w:rPr>
        <w:t>within</w:t>
      </w:r>
      <w:r>
        <w:rPr>
          <w:rFonts w:asciiTheme="majorBidi" w:hAnsiTheme="majorBidi" w:cstheme="majorBidi"/>
          <w:sz w:val="24"/>
          <w:szCs w:val="24"/>
          <w:lang w:bidi="en-GB"/>
        </w:rPr>
        <w:t xml:space="preserve"> </w:t>
      </w:r>
      <w:r w:rsidRPr="00877CBD">
        <w:rPr>
          <w:rFonts w:asciiTheme="majorBidi" w:hAnsiTheme="majorBidi" w:cstheme="majorBidi"/>
          <w:sz w:val="24"/>
          <w:szCs w:val="24"/>
          <w:lang w:bidi="en-GB"/>
        </w:rPr>
        <w:t>24 hours when stored in the refrigerator (2 – 8 °C)</w:t>
      </w:r>
      <w:r>
        <w:rPr>
          <w:rFonts w:asciiTheme="majorBidi" w:hAnsiTheme="majorBidi" w:cstheme="majorBidi"/>
          <w:sz w:val="24"/>
          <w:szCs w:val="24"/>
          <w:lang w:bidi="en-GB"/>
        </w:rPr>
        <w:t>.</w:t>
      </w:r>
    </w:p>
    <w:p w14:paraId="56BCB9BD" w14:textId="74F5BC36" w:rsidR="00696357" w:rsidRPr="00696357" w:rsidRDefault="00AC4FD1" w:rsidP="00ED73B7">
      <w:pPr>
        <w:rPr>
          <w:rFonts w:asciiTheme="majorBidi" w:hAnsiTheme="majorBidi" w:cstheme="majorBidi"/>
          <w:sz w:val="24"/>
          <w:szCs w:val="24"/>
          <w:lang w:bidi="en-GB"/>
        </w:rPr>
      </w:pPr>
      <w:r>
        <w:rPr>
          <w:rFonts w:asciiTheme="majorBidi" w:hAnsiTheme="majorBidi" w:cstheme="majorBidi"/>
          <w:sz w:val="24"/>
          <w:szCs w:val="24"/>
          <w:lang w:bidi="en-GB"/>
        </w:rPr>
        <w:t>This product</w:t>
      </w:r>
      <w:r w:rsidRPr="00AC4FD1">
        <w:rPr>
          <w:rFonts w:asciiTheme="majorBidi" w:hAnsiTheme="majorBidi" w:cstheme="majorBidi"/>
          <w:sz w:val="24"/>
          <w:szCs w:val="24"/>
          <w:lang w:bidi="en-GB"/>
        </w:rPr>
        <w:t xml:space="preserve"> is for single use in one patient only. Discard any residue</w:t>
      </w:r>
      <w:r>
        <w:rPr>
          <w:rFonts w:asciiTheme="majorBidi" w:hAnsiTheme="majorBidi" w:cstheme="majorBidi"/>
          <w:sz w:val="24"/>
          <w:szCs w:val="24"/>
          <w:lang w:bidi="en-GB"/>
        </w:rPr>
        <w:t>.</w:t>
      </w:r>
    </w:p>
    <w:p w14:paraId="1C37DEF2" w14:textId="39CC04D8" w:rsidR="005B2812" w:rsidRDefault="005B2812" w:rsidP="005B2812">
      <w:pPr>
        <w:pStyle w:val="Heading2"/>
        <w:keepNext/>
        <w:keepLines/>
        <w:spacing w:before="0" w:after="120"/>
        <w:rPr>
          <w:rFonts w:asciiTheme="majorBidi" w:hAnsiTheme="majorBidi" w:cstheme="majorBidi"/>
        </w:rPr>
      </w:pPr>
      <w:r w:rsidRPr="000E1342">
        <w:rPr>
          <w:rFonts w:asciiTheme="majorBidi" w:hAnsiTheme="majorBidi" w:cstheme="majorBidi"/>
        </w:rPr>
        <w:t>Special precautions for storage</w:t>
      </w:r>
      <w:r w:rsidR="00B45199">
        <w:rPr>
          <w:rFonts w:asciiTheme="majorBidi" w:hAnsiTheme="majorBidi" w:cstheme="majorBidi"/>
        </w:rPr>
        <w:fldChar w:fldCharType="begin"/>
      </w:r>
      <w:r w:rsidR="00B45199">
        <w:rPr>
          <w:rFonts w:asciiTheme="majorBidi" w:hAnsiTheme="majorBidi" w:cstheme="majorBidi"/>
        </w:rPr>
        <w:instrText xml:space="preserve"> DOCVARIABLE vault_nd_43c63f23-472f-4859-b765-3e1c6371da5e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5A691E44" w14:textId="77777777" w:rsidR="00BB0302" w:rsidRPr="00BB0302" w:rsidRDefault="00BB0302" w:rsidP="00BB0302">
      <w:pPr>
        <w:rPr>
          <w:rFonts w:asciiTheme="majorBidi" w:hAnsiTheme="majorBidi" w:cstheme="majorBidi"/>
          <w:sz w:val="24"/>
          <w:szCs w:val="24"/>
          <w:lang w:bidi="en-GB"/>
        </w:rPr>
      </w:pPr>
      <w:r w:rsidRPr="00BB0302">
        <w:rPr>
          <w:rFonts w:asciiTheme="majorBidi" w:hAnsiTheme="majorBidi" w:cstheme="majorBidi"/>
          <w:sz w:val="24"/>
          <w:szCs w:val="24"/>
          <w:lang w:bidi="en-GB"/>
        </w:rPr>
        <w:t>Store in a refrigerator at 2°C to 8°C. Do not freeze.</w:t>
      </w:r>
    </w:p>
    <w:p w14:paraId="0550B01F" w14:textId="72A6550D" w:rsidR="00A52FA6" w:rsidRDefault="00BB0302" w:rsidP="00BB0302">
      <w:pPr>
        <w:rPr>
          <w:rFonts w:asciiTheme="majorBidi" w:hAnsiTheme="majorBidi" w:cstheme="majorBidi"/>
          <w:sz w:val="24"/>
          <w:szCs w:val="24"/>
          <w:lang w:bidi="en-GB"/>
        </w:rPr>
      </w:pPr>
      <w:r w:rsidRPr="00BB0302">
        <w:rPr>
          <w:rFonts w:asciiTheme="majorBidi" w:hAnsiTheme="majorBidi" w:cstheme="majorBidi"/>
          <w:sz w:val="24"/>
          <w:szCs w:val="24"/>
          <w:lang w:bidi="en-GB"/>
        </w:rPr>
        <w:t>Store in original package to protect from light.</w:t>
      </w:r>
    </w:p>
    <w:p w14:paraId="5FF5EA1B" w14:textId="77777777" w:rsidR="00332B78" w:rsidRPr="000E1342" w:rsidRDefault="00332B78" w:rsidP="00332B78">
      <w:pPr>
        <w:rPr>
          <w:rFonts w:asciiTheme="majorBidi" w:hAnsiTheme="majorBidi" w:cstheme="majorBidi"/>
          <w:sz w:val="24"/>
          <w:szCs w:val="24"/>
          <w:lang w:bidi="en-GB"/>
        </w:rPr>
      </w:pPr>
      <w:r w:rsidRPr="00696357">
        <w:rPr>
          <w:rFonts w:asciiTheme="majorBidi" w:hAnsiTheme="majorBidi" w:cstheme="majorBidi"/>
          <w:sz w:val="24"/>
          <w:szCs w:val="24"/>
          <w:lang w:bidi="en-GB"/>
        </w:rPr>
        <w:t>The reconstituted preparation must be stored in the vial.</w:t>
      </w:r>
    </w:p>
    <w:p w14:paraId="26709F44" w14:textId="62E298D3" w:rsidR="005B2812" w:rsidRDefault="005B2812" w:rsidP="005B2812">
      <w:pPr>
        <w:pStyle w:val="Heading2"/>
        <w:spacing w:before="0" w:after="120"/>
        <w:rPr>
          <w:rFonts w:asciiTheme="majorBidi" w:hAnsiTheme="majorBidi" w:cstheme="majorBidi"/>
        </w:rPr>
      </w:pPr>
      <w:r w:rsidRPr="000E1342">
        <w:rPr>
          <w:rFonts w:asciiTheme="majorBidi" w:hAnsiTheme="majorBidi" w:cstheme="majorBidi"/>
        </w:rPr>
        <w:t>Nature and contents of container</w:t>
      </w:r>
      <w:r w:rsidR="00B45199">
        <w:rPr>
          <w:rFonts w:asciiTheme="majorBidi" w:hAnsiTheme="majorBidi" w:cstheme="majorBidi"/>
        </w:rPr>
        <w:fldChar w:fldCharType="begin"/>
      </w:r>
      <w:r w:rsidR="00B45199">
        <w:rPr>
          <w:rFonts w:asciiTheme="majorBidi" w:hAnsiTheme="majorBidi" w:cstheme="majorBidi"/>
        </w:rPr>
        <w:instrText xml:space="preserve"> DOCVARIABLE vault_nd_4addad32-00ae-4d5a-bdd2-178448bc250f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090CA5F9" w14:textId="5A26ED9D" w:rsidR="00005934" w:rsidRPr="00005934" w:rsidRDefault="00005934" w:rsidP="00E43947">
      <w:pPr>
        <w:spacing w:after="0"/>
        <w:rPr>
          <w:rFonts w:asciiTheme="majorBidi" w:hAnsiTheme="majorBidi" w:cstheme="majorBidi"/>
          <w:sz w:val="24"/>
          <w:szCs w:val="24"/>
          <w:lang w:bidi="en-GB"/>
        </w:rPr>
      </w:pPr>
      <w:r w:rsidRPr="00005934">
        <w:rPr>
          <w:rFonts w:asciiTheme="majorBidi" w:hAnsiTheme="majorBidi" w:cstheme="majorBidi"/>
          <w:sz w:val="24"/>
          <w:szCs w:val="24"/>
          <w:lang w:bidi="en-GB"/>
        </w:rPr>
        <w:t xml:space="preserve">Each pack of </w:t>
      </w:r>
      <w:r w:rsidR="00EE565D">
        <w:rPr>
          <w:rFonts w:asciiTheme="majorBidi" w:hAnsiTheme="majorBidi" w:cstheme="majorBidi"/>
          <w:sz w:val="24"/>
          <w:szCs w:val="24"/>
          <w:lang w:bidi="en-GB"/>
        </w:rPr>
        <w:t>ESPEROCT</w:t>
      </w:r>
      <w:r w:rsidRPr="00005934">
        <w:rPr>
          <w:rFonts w:asciiTheme="majorBidi" w:hAnsiTheme="majorBidi" w:cstheme="majorBidi"/>
          <w:sz w:val="24"/>
          <w:szCs w:val="24"/>
          <w:lang w:bidi="en-GB"/>
        </w:rPr>
        <w:t xml:space="preserve"> contains:</w:t>
      </w:r>
    </w:p>
    <w:p w14:paraId="16992D0C" w14:textId="77777777" w:rsidR="00E05EA0" w:rsidRPr="00E05EA0" w:rsidRDefault="00E05EA0" w:rsidP="00CF12FB">
      <w:pPr>
        <w:pStyle w:val="ListParagraph"/>
        <w:numPr>
          <w:ilvl w:val="0"/>
          <w:numId w:val="16"/>
        </w:numPr>
        <w:rPr>
          <w:rFonts w:asciiTheme="majorBidi" w:hAnsiTheme="majorBidi" w:cstheme="majorBidi"/>
          <w:sz w:val="24"/>
          <w:szCs w:val="24"/>
          <w:lang w:bidi="en-GB"/>
        </w:rPr>
      </w:pPr>
      <w:r w:rsidRPr="00E05EA0">
        <w:rPr>
          <w:rFonts w:asciiTheme="majorBidi" w:hAnsiTheme="majorBidi" w:cstheme="majorBidi"/>
          <w:sz w:val="24"/>
          <w:szCs w:val="24"/>
          <w:lang w:bidi="en-GB"/>
        </w:rPr>
        <w:t xml:space="preserve">1 glass vial (type I) with powder and </w:t>
      </w:r>
      <w:proofErr w:type="spellStart"/>
      <w:r w:rsidRPr="00E05EA0">
        <w:rPr>
          <w:rFonts w:asciiTheme="majorBidi" w:hAnsiTheme="majorBidi" w:cstheme="majorBidi"/>
          <w:sz w:val="24"/>
          <w:szCs w:val="24"/>
          <w:lang w:bidi="en-GB"/>
        </w:rPr>
        <w:t>chlorobutyl</w:t>
      </w:r>
      <w:proofErr w:type="spellEnd"/>
      <w:r w:rsidRPr="00E05EA0">
        <w:rPr>
          <w:rFonts w:asciiTheme="majorBidi" w:hAnsiTheme="majorBidi" w:cstheme="majorBidi"/>
          <w:sz w:val="24"/>
          <w:szCs w:val="24"/>
          <w:lang w:bidi="en-GB"/>
        </w:rPr>
        <w:t xml:space="preserve"> rubber stopper, an aluminium seal with a plastic snap-off cap</w:t>
      </w:r>
    </w:p>
    <w:p w14:paraId="730DF7B2" w14:textId="77777777" w:rsidR="00005934" w:rsidRPr="00005934" w:rsidRDefault="00005934" w:rsidP="00CF12FB">
      <w:pPr>
        <w:pStyle w:val="ListParagraph"/>
        <w:numPr>
          <w:ilvl w:val="0"/>
          <w:numId w:val="16"/>
        </w:numPr>
        <w:rPr>
          <w:rFonts w:asciiTheme="majorBidi" w:hAnsiTheme="majorBidi" w:cstheme="majorBidi"/>
          <w:sz w:val="24"/>
          <w:szCs w:val="24"/>
          <w:lang w:bidi="en-GB"/>
        </w:rPr>
      </w:pPr>
      <w:r w:rsidRPr="00005934">
        <w:rPr>
          <w:rFonts w:asciiTheme="majorBidi" w:hAnsiTheme="majorBidi" w:cstheme="majorBidi"/>
          <w:sz w:val="24"/>
          <w:szCs w:val="24"/>
          <w:lang w:bidi="en-GB"/>
        </w:rPr>
        <w:t>1 sterile vial adapter for reconstitution</w:t>
      </w:r>
    </w:p>
    <w:p w14:paraId="55B2B86E" w14:textId="1BE235E2" w:rsidR="00BD4275" w:rsidRPr="00BD4275" w:rsidRDefault="00BD4275" w:rsidP="00CF12FB">
      <w:pPr>
        <w:pStyle w:val="ListParagraph"/>
        <w:numPr>
          <w:ilvl w:val="0"/>
          <w:numId w:val="16"/>
        </w:numPr>
        <w:rPr>
          <w:rFonts w:asciiTheme="majorBidi" w:hAnsiTheme="majorBidi" w:cstheme="majorBidi"/>
          <w:sz w:val="24"/>
          <w:szCs w:val="24"/>
          <w:lang w:bidi="en-GB"/>
        </w:rPr>
      </w:pPr>
      <w:r w:rsidRPr="00BD4275">
        <w:rPr>
          <w:rFonts w:asciiTheme="majorBidi" w:hAnsiTheme="majorBidi" w:cstheme="majorBidi"/>
          <w:sz w:val="24"/>
          <w:szCs w:val="24"/>
          <w:lang w:bidi="en-GB"/>
        </w:rPr>
        <w:t>1 pre-filled syringe of 4 mL solvent with backstop (polypropylene), a rubber plunger (</w:t>
      </w:r>
      <w:proofErr w:type="spellStart"/>
      <w:r w:rsidRPr="00BD4275">
        <w:rPr>
          <w:rFonts w:asciiTheme="majorBidi" w:hAnsiTheme="majorBidi" w:cstheme="majorBidi"/>
          <w:sz w:val="24"/>
          <w:szCs w:val="24"/>
          <w:lang w:bidi="en-GB"/>
        </w:rPr>
        <w:t>bromobutyl</w:t>
      </w:r>
      <w:proofErr w:type="spellEnd"/>
      <w:r w:rsidRPr="00BD4275">
        <w:rPr>
          <w:rFonts w:asciiTheme="majorBidi" w:hAnsiTheme="majorBidi" w:cstheme="majorBidi"/>
          <w:sz w:val="24"/>
          <w:szCs w:val="24"/>
          <w:lang w:bidi="en-GB"/>
        </w:rPr>
        <w:t>) and a rubber tip cap (</w:t>
      </w:r>
      <w:proofErr w:type="spellStart"/>
      <w:r w:rsidRPr="00BD4275">
        <w:rPr>
          <w:rFonts w:asciiTheme="majorBidi" w:hAnsiTheme="majorBidi" w:cstheme="majorBidi"/>
          <w:sz w:val="24"/>
          <w:szCs w:val="24"/>
          <w:lang w:bidi="en-GB"/>
        </w:rPr>
        <w:t>bromobutyl</w:t>
      </w:r>
      <w:proofErr w:type="spellEnd"/>
      <w:r w:rsidRPr="00BD4275">
        <w:rPr>
          <w:rFonts w:asciiTheme="majorBidi" w:hAnsiTheme="majorBidi" w:cstheme="majorBidi"/>
          <w:sz w:val="24"/>
          <w:szCs w:val="24"/>
          <w:lang w:bidi="en-GB"/>
        </w:rPr>
        <w:t>)</w:t>
      </w:r>
    </w:p>
    <w:p w14:paraId="4647114D" w14:textId="445A33F2" w:rsidR="00005934" w:rsidRPr="00005934" w:rsidRDefault="00BD4275" w:rsidP="00CF12FB">
      <w:pPr>
        <w:pStyle w:val="ListParagraph"/>
        <w:numPr>
          <w:ilvl w:val="0"/>
          <w:numId w:val="16"/>
        </w:numPr>
        <w:rPr>
          <w:lang w:bidi="en-GB"/>
        </w:rPr>
      </w:pPr>
      <w:r w:rsidRPr="00CF12FB">
        <w:rPr>
          <w:rFonts w:asciiTheme="majorBidi" w:hAnsiTheme="majorBidi" w:cstheme="majorBidi"/>
          <w:sz w:val="24"/>
          <w:szCs w:val="24"/>
          <w:lang w:bidi="en-GB"/>
        </w:rPr>
        <w:t>1 plunger rod (polypropylene).</w:t>
      </w:r>
    </w:p>
    <w:p w14:paraId="5E87F18A" w14:textId="5FD2521C" w:rsidR="00CE71FC" w:rsidRPr="00514CC3" w:rsidRDefault="00005934" w:rsidP="00514CC3">
      <w:pPr>
        <w:rPr>
          <w:rFonts w:asciiTheme="majorBidi" w:hAnsiTheme="majorBidi" w:cstheme="majorBidi"/>
          <w:sz w:val="24"/>
          <w:szCs w:val="24"/>
          <w:lang w:bidi="en-GB"/>
        </w:rPr>
      </w:pPr>
      <w:r w:rsidRPr="00005934">
        <w:rPr>
          <w:rFonts w:asciiTheme="majorBidi" w:hAnsiTheme="majorBidi" w:cstheme="majorBidi"/>
          <w:sz w:val="24"/>
          <w:szCs w:val="24"/>
          <w:lang w:bidi="en-GB"/>
        </w:rPr>
        <w:t xml:space="preserve">The rubber stopper, </w:t>
      </w:r>
      <w:r w:rsidR="00155F50" w:rsidRPr="00514CC3">
        <w:rPr>
          <w:rFonts w:asciiTheme="majorBidi" w:hAnsiTheme="majorBidi" w:cstheme="majorBidi"/>
          <w:sz w:val="24"/>
          <w:szCs w:val="24"/>
          <w:lang w:bidi="en-GB"/>
        </w:rPr>
        <w:t xml:space="preserve">rubber tip </w:t>
      </w:r>
      <w:r w:rsidRPr="00005934">
        <w:rPr>
          <w:rFonts w:asciiTheme="majorBidi" w:hAnsiTheme="majorBidi" w:cstheme="majorBidi"/>
          <w:sz w:val="24"/>
          <w:szCs w:val="24"/>
          <w:lang w:bidi="en-GB"/>
        </w:rPr>
        <w:t xml:space="preserve">cap </w:t>
      </w:r>
      <w:r w:rsidR="00106DA6" w:rsidRPr="00514CC3">
        <w:rPr>
          <w:rFonts w:asciiTheme="majorBidi" w:hAnsiTheme="majorBidi" w:cstheme="majorBidi"/>
          <w:sz w:val="24"/>
          <w:szCs w:val="24"/>
          <w:lang w:bidi="en-GB"/>
        </w:rPr>
        <w:t xml:space="preserve">and </w:t>
      </w:r>
      <w:r w:rsidRPr="00005934">
        <w:rPr>
          <w:rFonts w:asciiTheme="majorBidi" w:hAnsiTheme="majorBidi" w:cstheme="majorBidi"/>
          <w:sz w:val="24"/>
          <w:szCs w:val="24"/>
          <w:lang w:bidi="en-GB"/>
        </w:rPr>
        <w:t>rubber plunger are not made of natural rubber latex.</w:t>
      </w:r>
    </w:p>
    <w:p w14:paraId="499AB3C4" w14:textId="2A0DC5FF" w:rsidR="005B2812" w:rsidRPr="000E1342" w:rsidRDefault="005B2812" w:rsidP="005B2812">
      <w:pPr>
        <w:pStyle w:val="Heading2"/>
        <w:spacing w:before="0" w:after="120"/>
        <w:rPr>
          <w:rFonts w:asciiTheme="majorBidi" w:hAnsiTheme="majorBidi" w:cstheme="majorBidi"/>
        </w:rPr>
      </w:pPr>
      <w:r w:rsidRPr="000E1342">
        <w:rPr>
          <w:rFonts w:asciiTheme="majorBidi" w:hAnsiTheme="majorBidi" w:cstheme="majorBidi"/>
        </w:rPr>
        <w:t>Special precautions for disposal</w:t>
      </w:r>
      <w:r w:rsidR="00B45199">
        <w:rPr>
          <w:rFonts w:asciiTheme="majorBidi" w:hAnsiTheme="majorBidi" w:cstheme="majorBidi"/>
        </w:rPr>
        <w:fldChar w:fldCharType="begin"/>
      </w:r>
      <w:r w:rsidR="00B45199">
        <w:rPr>
          <w:rFonts w:asciiTheme="majorBidi" w:hAnsiTheme="majorBidi" w:cstheme="majorBidi"/>
        </w:rPr>
        <w:instrText xml:space="preserve"> DOCVARIABLE vault_nd_b9be1038-9927-441b-87b1-dafe9c039510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6EC4D2CC" w14:textId="77777777" w:rsidR="00CA3196" w:rsidRPr="000E1342" w:rsidRDefault="00CA3196" w:rsidP="00CA3196">
      <w:pPr>
        <w:rPr>
          <w:rFonts w:asciiTheme="majorBidi" w:hAnsiTheme="majorBidi" w:cstheme="majorBidi"/>
          <w:sz w:val="24"/>
          <w:szCs w:val="24"/>
          <w:lang w:bidi="en-GB"/>
        </w:rPr>
      </w:pPr>
      <w:r w:rsidRPr="000E1342">
        <w:rPr>
          <w:rFonts w:asciiTheme="majorBidi" w:hAnsiTheme="majorBidi" w:cstheme="majorBidi"/>
          <w:sz w:val="24"/>
          <w:szCs w:val="24"/>
          <w:lang w:bidi="en-GB"/>
        </w:rPr>
        <w:t>After injection, safely dispose of the syringe with infusion set and the vial with the vial adapter.</w:t>
      </w:r>
    </w:p>
    <w:p w14:paraId="4D36439F" w14:textId="30517D47" w:rsidR="005B2812" w:rsidRPr="000E1342" w:rsidRDefault="0021200F" w:rsidP="0021200F">
      <w:pPr>
        <w:rPr>
          <w:rFonts w:asciiTheme="majorBidi" w:hAnsiTheme="majorBidi" w:cstheme="majorBidi"/>
          <w:sz w:val="24"/>
          <w:szCs w:val="24"/>
        </w:rPr>
      </w:pPr>
      <w:r w:rsidRPr="000E1342">
        <w:rPr>
          <w:rFonts w:asciiTheme="majorBidi" w:hAnsiTheme="majorBidi" w:cstheme="majorBidi"/>
          <w:sz w:val="24"/>
          <w:szCs w:val="24"/>
        </w:rPr>
        <w:lastRenderedPageBreak/>
        <w:t>In Australia, any unused medicine or waste material should be disposed of in accordance with local requirements.</w:t>
      </w:r>
    </w:p>
    <w:p w14:paraId="35CD1190" w14:textId="6D719E54" w:rsidR="001A3992" w:rsidRPr="000E1342" w:rsidRDefault="001A3992" w:rsidP="001A3992">
      <w:pPr>
        <w:pStyle w:val="Heading2"/>
        <w:spacing w:before="0" w:after="120"/>
        <w:rPr>
          <w:rFonts w:asciiTheme="majorBidi" w:hAnsiTheme="majorBidi" w:cstheme="majorBidi"/>
        </w:rPr>
      </w:pPr>
      <w:r w:rsidRPr="000E1342">
        <w:rPr>
          <w:rFonts w:asciiTheme="majorBidi" w:hAnsiTheme="majorBidi" w:cstheme="majorBidi"/>
        </w:rPr>
        <w:t>Physicochemical properties</w:t>
      </w:r>
      <w:r w:rsidR="00B45199">
        <w:rPr>
          <w:rFonts w:asciiTheme="majorBidi" w:hAnsiTheme="majorBidi" w:cstheme="majorBidi"/>
        </w:rPr>
        <w:fldChar w:fldCharType="begin"/>
      </w:r>
      <w:r w:rsidR="00B45199">
        <w:rPr>
          <w:rFonts w:asciiTheme="majorBidi" w:hAnsiTheme="majorBidi" w:cstheme="majorBidi"/>
        </w:rPr>
        <w:instrText xml:space="preserve"> DOCVARIABLE vault_nd_69bb235f-24b7-429a-b6a6-a4713054050b \* MERGEFORMAT </w:instrText>
      </w:r>
      <w:r w:rsidR="00B45199">
        <w:rPr>
          <w:rFonts w:asciiTheme="majorBidi" w:hAnsiTheme="majorBidi" w:cstheme="majorBidi"/>
        </w:rPr>
        <w:fldChar w:fldCharType="separate"/>
      </w:r>
      <w:r w:rsidR="00B45199">
        <w:rPr>
          <w:rFonts w:asciiTheme="majorBidi" w:hAnsiTheme="majorBidi" w:cstheme="majorBidi"/>
        </w:rPr>
        <w:t xml:space="preserve"> </w:t>
      </w:r>
      <w:r w:rsidR="00B45199">
        <w:rPr>
          <w:rFonts w:asciiTheme="majorBidi" w:hAnsiTheme="majorBidi" w:cstheme="majorBidi"/>
        </w:rPr>
        <w:fldChar w:fldCharType="end"/>
      </w:r>
    </w:p>
    <w:p w14:paraId="1727A33F" w14:textId="124252F7" w:rsidR="001A3992" w:rsidRPr="000E1342" w:rsidRDefault="00286C93" w:rsidP="00371ACE">
      <w:pPr>
        <w:rPr>
          <w:rFonts w:asciiTheme="majorBidi" w:hAnsiTheme="majorBidi"/>
          <w:sz w:val="24"/>
          <w:szCs w:val="24"/>
        </w:rPr>
      </w:pPr>
      <w:proofErr w:type="spellStart"/>
      <w:r w:rsidRPr="00286C93">
        <w:rPr>
          <w:rFonts w:asciiTheme="majorBidi" w:hAnsiTheme="majorBidi" w:cstheme="majorBidi"/>
          <w:sz w:val="24"/>
          <w:szCs w:val="24"/>
        </w:rPr>
        <w:t>Turoctocog</w:t>
      </w:r>
      <w:proofErr w:type="spellEnd"/>
      <w:r w:rsidRPr="00286C93">
        <w:rPr>
          <w:rFonts w:asciiTheme="majorBidi" w:hAnsiTheme="majorBidi" w:cstheme="majorBidi"/>
          <w:sz w:val="24"/>
          <w:szCs w:val="24"/>
        </w:rPr>
        <w:t xml:space="preserve"> alfa pegol is a recombinant human factor VIII product with a </w:t>
      </w:r>
      <w:proofErr w:type="spellStart"/>
      <w:r w:rsidRPr="00286C93">
        <w:rPr>
          <w:rFonts w:asciiTheme="majorBidi" w:hAnsiTheme="majorBidi" w:cstheme="majorBidi"/>
          <w:sz w:val="24"/>
          <w:szCs w:val="24"/>
        </w:rPr>
        <w:t>glycoPEGylation</w:t>
      </w:r>
      <w:proofErr w:type="spellEnd"/>
      <w:r w:rsidRPr="00286C93">
        <w:rPr>
          <w:rFonts w:asciiTheme="majorBidi" w:hAnsiTheme="majorBidi" w:cstheme="majorBidi"/>
          <w:sz w:val="24"/>
          <w:szCs w:val="24"/>
        </w:rPr>
        <w:t xml:space="preserve"> on the</w:t>
      </w:r>
      <w:r>
        <w:rPr>
          <w:rFonts w:asciiTheme="majorBidi" w:hAnsiTheme="majorBidi" w:cstheme="majorBidi"/>
          <w:sz w:val="24"/>
          <w:szCs w:val="24"/>
        </w:rPr>
        <w:t xml:space="preserve"> </w:t>
      </w:r>
      <w:r w:rsidRPr="00286C93">
        <w:rPr>
          <w:rFonts w:asciiTheme="majorBidi" w:hAnsiTheme="majorBidi" w:cstheme="majorBidi"/>
          <w:sz w:val="24"/>
          <w:szCs w:val="24"/>
        </w:rPr>
        <w:t xml:space="preserve">O-linked glycan (Ser750) of the 21 amino acid B-domain. </w:t>
      </w:r>
      <w:r w:rsidR="00D27E2F" w:rsidRPr="00D27E2F">
        <w:rPr>
          <w:rFonts w:asciiTheme="majorBidi" w:hAnsiTheme="majorBidi" w:cstheme="majorBidi"/>
          <w:sz w:val="24"/>
          <w:szCs w:val="24"/>
        </w:rPr>
        <w:t xml:space="preserve">The molecular mass of </w:t>
      </w:r>
      <w:proofErr w:type="spellStart"/>
      <w:r w:rsidR="00D27E2F" w:rsidRPr="00D27E2F">
        <w:rPr>
          <w:rFonts w:asciiTheme="majorBidi" w:hAnsiTheme="majorBidi" w:cstheme="majorBidi"/>
          <w:sz w:val="24"/>
          <w:szCs w:val="24"/>
        </w:rPr>
        <w:t>turoctocog</w:t>
      </w:r>
      <w:proofErr w:type="spellEnd"/>
      <w:r w:rsidR="00D27E2F" w:rsidRPr="00D27E2F">
        <w:rPr>
          <w:rFonts w:asciiTheme="majorBidi" w:hAnsiTheme="majorBidi" w:cstheme="majorBidi"/>
          <w:sz w:val="24"/>
          <w:szCs w:val="24"/>
        </w:rPr>
        <w:t xml:space="preserve"> alfa pegol protein part is 166 </w:t>
      </w:r>
      <w:proofErr w:type="spellStart"/>
      <w:r w:rsidR="00D27E2F" w:rsidRPr="00D27E2F">
        <w:rPr>
          <w:rFonts w:asciiTheme="majorBidi" w:hAnsiTheme="majorBidi" w:cstheme="majorBidi"/>
          <w:sz w:val="24"/>
          <w:szCs w:val="24"/>
        </w:rPr>
        <w:t>kDa</w:t>
      </w:r>
      <w:proofErr w:type="spellEnd"/>
      <w:r w:rsidR="008E109A">
        <w:rPr>
          <w:rFonts w:asciiTheme="majorBidi" w:hAnsiTheme="majorBidi" w:cstheme="majorBidi"/>
          <w:sz w:val="24"/>
          <w:szCs w:val="24"/>
        </w:rPr>
        <w:t xml:space="preserve">. </w:t>
      </w:r>
      <w:r w:rsidRPr="00286C93">
        <w:rPr>
          <w:rFonts w:asciiTheme="majorBidi" w:hAnsiTheme="majorBidi" w:cstheme="majorBidi"/>
          <w:sz w:val="24"/>
          <w:szCs w:val="24"/>
        </w:rPr>
        <w:t>The size of the polyethylene glycol</w:t>
      </w:r>
      <w:r>
        <w:rPr>
          <w:rFonts w:asciiTheme="majorBidi" w:hAnsiTheme="majorBidi" w:cstheme="majorBidi"/>
          <w:sz w:val="24"/>
          <w:szCs w:val="24"/>
        </w:rPr>
        <w:t xml:space="preserve"> </w:t>
      </w:r>
      <w:r w:rsidRPr="00286C93">
        <w:rPr>
          <w:rFonts w:asciiTheme="majorBidi" w:hAnsiTheme="majorBidi" w:cstheme="majorBidi"/>
          <w:sz w:val="24"/>
          <w:szCs w:val="24"/>
        </w:rPr>
        <w:t xml:space="preserve">attached to the O-linked glycan is 40 </w:t>
      </w:r>
      <w:proofErr w:type="spellStart"/>
      <w:r w:rsidRPr="00286C93">
        <w:rPr>
          <w:rFonts w:asciiTheme="majorBidi" w:hAnsiTheme="majorBidi" w:cstheme="majorBidi"/>
          <w:sz w:val="24"/>
          <w:szCs w:val="24"/>
        </w:rPr>
        <w:t>kDa</w:t>
      </w:r>
      <w:proofErr w:type="spellEnd"/>
      <w:r w:rsidRPr="00286C93">
        <w:rPr>
          <w:rFonts w:asciiTheme="majorBidi" w:hAnsiTheme="majorBidi" w:cstheme="majorBidi"/>
          <w:sz w:val="24"/>
          <w:szCs w:val="24"/>
        </w:rPr>
        <w:t xml:space="preserve">. The </w:t>
      </w:r>
      <w:proofErr w:type="spellStart"/>
      <w:r w:rsidRPr="00286C93">
        <w:rPr>
          <w:rFonts w:asciiTheme="majorBidi" w:hAnsiTheme="majorBidi" w:cstheme="majorBidi"/>
          <w:sz w:val="24"/>
          <w:szCs w:val="24"/>
        </w:rPr>
        <w:t>turoctocog</w:t>
      </w:r>
      <w:proofErr w:type="spellEnd"/>
      <w:r w:rsidRPr="00286C93">
        <w:rPr>
          <w:rFonts w:asciiTheme="majorBidi" w:hAnsiTheme="majorBidi" w:cstheme="majorBidi"/>
          <w:sz w:val="24"/>
          <w:szCs w:val="24"/>
        </w:rPr>
        <w:t xml:space="preserve"> alfa pegol molecule is a</w:t>
      </w:r>
      <w:r w:rsidR="00371ACE">
        <w:rPr>
          <w:rFonts w:asciiTheme="majorBidi" w:hAnsiTheme="majorBidi" w:cstheme="majorBidi"/>
          <w:sz w:val="24"/>
          <w:szCs w:val="24"/>
        </w:rPr>
        <w:t xml:space="preserve"> </w:t>
      </w:r>
      <w:r w:rsidRPr="00286C93">
        <w:rPr>
          <w:rFonts w:asciiTheme="majorBidi" w:hAnsiTheme="majorBidi" w:cstheme="majorBidi"/>
          <w:sz w:val="24"/>
          <w:szCs w:val="24"/>
        </w:rPr>
        <w:t>polypeptide containing a Heavy chain and a Light chain held together by non-covalent interactions.</w:t>
      </w:r>
      <w:r w:rsidR="00371ACE">
        <w:rPr>
          <w:rFonts w:asciiTheme="majorBidi" w:hAnsiTheme="majorBidi" w:cstheme="majorBidi"/>
          <w:sz w:val="24"/>
          <w:szCs w:val="24"/>
        </w:rPr>
        <w:t xml:space="preserve"> </w:t>
      </w:r>
      <w:r w:rsidRPr="00286C93">
        <w:rPr>
          <w:rFonts w:asciiTheme="majorBidi" w:hAnsiTheme="majorBidi" w:cstheme="majorBidi"/>
          <w:sz w:val="24"/>
          <w:szCs w:val="24"/>
        </w:rPr>
        <w:t xml:space="preserve">In native </w:t>
      </w:r>
      <w:r w:rsidR="00C70A2F">
        <w:rPr>
          <w:rFonts w:asciiTheme="majorBidi" w:hAnsiTheme="majorBidi" w:cstheme="majorBidi"/>
          <w:sz w:val="24"/>
          <w:szCs w:val="24"/>
        </w:rPr>
        <w:t>f</w:t>
      </w:r>
      <w:r w:rsidRPr="00286C93">
        <w:rPr>
          <w:rFonts w:asciiTheme="majorBidi" w:hAnsiTheme="majorBidi" w:cstheme="majorBidi"/>
          <w:sz w:val="24"/>
          <w:szCs w:val="24"/>
        </w:rPr>
        <w:t xml:space="preserve">actor VIII these chains are connected by a native B-domain, while </w:t>
      </w:r>
      <w:proofErr w:type="spellStart"/>
      <w:r w:rsidRPr="00286C93">
        <w:rPr>
          <w:rFonts w:asciiTheme="majorBidi" w:hAnsiTheme="majorBidi" w:cstheme="majorBidi"/>
          <w:sz w:val="24"/>
          <w:szCs w:val="24"/>
        </w:rPr>
        <w:t>turoctocog</w:t>
      </w:r>
      <w:proofErr w:type="spellEnd"/>
      <w:r w:rsidRPr="00286C93">
        <w:rPr>
          <w:rFonts w:asciiTheme="majorBidi" w:hAnsiTheme="majorBidi" w:cstheme="majorBidi"/>
          <w:sz w:val="24"/>
          <w:szCs w:val="24"/>
        </w:rPr>
        <w:t xml:space="preserve"> alfa pegol</w:t>
      </w:r>
      <w:r w:rsidR="00371ACE">
        <w:rPr>
          <w:rFonts w:asciiTheme="majorBidi" w:hAnsiTheme="majorBidi" w:cstheme="majorBidi"/>
          <w:sz w:val="24"/>
          <w:szCs w:val="24"/>
        </w:rPr>
        <w:t xml:space="preserve"> </w:t>
      </w:r>
      <w:r w:rsidRPr="00286C93">
        <w:rPr>
          <w:rFonts w:asciiTheme="majorBidi" w:hAnsiTheme="majorBidi" w:cstheme="majorBidi"/>
          <w:sz w:val="24"/>
          <w:szCs w:val="24"/>
        </w:rPr>
        <w:t xml:space="preserve">has a truncated </w:t>
      </w:r>
      <w:proofErr w:type="spellStart"/>
      <w:r w:rsidRPr="00286C93">
        <w:rPr>
          <w:rFonts w:asciiTheme="majorBidi" w:hAnsiTheme="majorBidi" w:cstheme="majorBidi"/>
          <w:sz w:val="24"/>
          <w:szCs w:val="24"/>
        </w:rPr>
        <w:t>rFVIII</w:t>
      </w:r>
      <w:proofErr w:type="spellEnd"/>
      <w:r w:rsidRPr="00286C93">
        <w:rPr>
          <w:rFonts w:asciiTheme="majorBidi" w:hAnsiTheme="majorBidi" w:cstheme="majorBidi"/>
          <w:sz w:val="24"/>
          <w:szCs w:val="24"/>
        </w:rPr>
        <w:t xml:space="preserve"> containing 21 amino acids of the native B-domain.</w:t>
      </w:r>
    </w:p>
    <w:p w14:paraId="237FC0DA" w14:textId="6F6934A3" w:rsidR="00F70273" w:rsidRDefault="001A3992" w:rsidP="00F70273">
      <w:pPr>
        <w:pStyle w:val="Heading3"/>
        <w:spacing w:before="0" w:after="120"/>
        <w:ind w:left="0"/>
        <w:rPr>
          <w:rFonts w:asciiTheme="majorBidi" w:hAnsiTheme="majorBidi"/>
          <w:sz w:val="24"/>
          <w:szCs w:val="24"/>
        </w:rPr>
      </w:pPr>
      <w:r w:rsidRPr="000E1342">
        <w:rPr>
          <w:rFonts w:asciiTheme="majorBidi" w:hAnsiTheme="majorBidi"/>
          <w:sz w:val="24"/>
          <w:szCs w:val="24"/>
        </w:rPr>
        <w:t>CAS number</w:t>
      </w:r>
      <w:r w:rsidR="00B45199">
        <w:rPr>
          <w:rFonts w:asciiTheme="majorBidi" w:hAnsiTheme="majorBidi"/>
          <w:sz w:val="24"/>
          <w:szCs w:val="24"/>
        </w:rPr>
        <w:fldChar w:fldCharType="begin"/>
      </w:r>
      <w:r w:rsidR="00B45199">
        <w:rPr>
          <w:rFonts w:asciiTheme="majorBidi" w:hAnsiTheme="majorBidi"/>
          <w:sz w:val="24"/>
          <w:szCs w:val="24"/>
        </w:rPr>
        <w:instrText xml:space="preserve"> DOCVARIABLE vault_nd_11be5232-2402-47a3-8b0e-6afa75075092 \* MERGEFORMAT </w:instrText>
      </w:r>
      <w:r w:rsidR="00B45199">
        <w:rPr>
          <w:rFonts w:asciiTheme="majorBidi" w:hAnsiTheme="majorBidi"/>
          <w:sz w:val="24"/>
          <w:szCs w:val="24"/>
        </w:rPr>
        <w:fldChar w:fldCharType="separate"/>
      </w:r>
      <w:r w:rsidR="00B45199">
        <w:rPr>
          <w:rFonts w:asciiTheme="majorBidi" w:hAnsiTheme="majorBidi"/>
          <w:sz w:val="24"/>
          <w:szCs w:val="24"/>
        </w:rPr>
        <w:t xml:space="preserve"> </w:t>
      </w:r>
      <w:r w:rsidR="00B45199">
        <w:rPr>
          <w:rFonts w:asciiTheme="majorBidi" w:hAnsiTheme="majorBidi"/>
          <w:sz w:val="24"/>
          <w:szCs w:val="24"/>
        </w:rPr>
        <w:fldChar w:fldCharType="end"/>
      </w:r>
    </w:p>
    <w:p w14:paraId="60AAF0C3" w14:textId="1BDF3E4D" w:rsidR="00DB6485" w:rsidRPr="00881AF9" w:rsidRDefault="00F70273" w:rsidP="00881AF9">
      <w:pPr>
        <w:rPr>
          <w:rFonts w:asciiTheme="majorBidi" w:hAnsiTheme="majorBidi" w:cstheme="majorBidi"/>
          <w:sz w:val="24"/>
          <w:szCs w:val="24"/>
        </w:rPr>
      </w:pPr>
      <w:r w:rsidRPr="00F70273">
        <w:rPr>
          <w:rFonts w:asciiTheme="majorBidi" w:hAnsiTheme="majorBidi" w:cstheme="majorBidi"/>
          <w:sz w:val="24"/>
          <w:szCs w:val="24"/>
        </w:rPr>
        <w:t>1309086-46-1</w:t>
      </w:r>
    </w:p>
    <w:p w14:paraId="4C46D5B0" w14:textId="41F318DF" w:rsidR="001A3992" w:rsidRPr="00B45199" w:rsidRDefault="001A3992" w:rsidP="001A3992">
      <w:pPr>
        <w:pStyle w:val="Heading1"/>
        <w:spacing w:before="0" w:after="120"/>
        <w:rPr>
          <w:rFonts w:asciiTheme="majorBidi" w:hAnsiTheme="majorBidi"/>
        </w:rPr>
      </w:pPr>
      <w:r w:rsidRPr="00B45199">
        <w:rPr>
          <w:rFonts w:asciiTheme="majorBidi" w:hAnsiTheme="majorBidi"/>
        </w:rPr>
        <w:t>Medicine schedule (Poisons Standard)</w:t>
      </w:r>
      <w:r w:rsidR="00B45199">
        <w:rPr>
          <w:rFonts w:asciiTheme="majorBidi" w:hAnsiTheme="majorBidi"/>
        </w:rPr>
        <w:fldChar w:fldCharType="begin"/>
      </w:r>
      <w:r w:rsidR="00B45199">
        <w:rPr>
          <w:rFonts w:asciiTheme="majorBidi" w:hAnsiTheme="majorBidi"/>
        </w:rPr>
        <w:instrText xml:space="preserve"> DOCVARIABLE VAULT_ND_6b61c541-88e5-4a0b-ad60-a70e38da7fe4 \* MERGEFORMAT </w:instrText>
      </w:r>
      <w:r w:rsidR="00B45199">
        <w:rPr>
          <w:rFonts w:asciiTheme="majorBidi" w:hAnsiTheme="majorBidi"/>
        </w:rPr>
        <w:fldChar w:fldCharType="separate"/>
      </w:r>
      <w:r w:rsidR="00B45199">
        <w:rPr>
          <w:rFonts w:asciiTheme="majorBidi" w:hAnsiTheme="majorBidi"/>
        </w:rPr>
        <w:t xml:space="preserve"> </w:t>
      </w:r>
      <w:r w:rsidR="00B45199">
        <w:rPr>
          <w:rFonts w:asciiTheme="majorBidi" w:hAnsiTheme="majorBidi"/>
        </w:rPr>
        <w:fldChar w:fldCharType="end"/>
      </w:r>
    </w:p>
    <w:p w14:paraId="32A9E4AC" w14:textId="409B248E" w:rsidR="00416177" w:rsidRPr="000E1342" w:rsidRDefault="00416177" w:rsidP="00416177">
      <w:pPr>
        <w:rPr>
          <w:rFonts w:asciiTheme="majorBidi" w:hAnsiTheme="majorBidi" w:cstheme="majorBidi"/>
          <w:sz w:val="24"/>
          <w:szCs w:val="24"/>
        </w:rPr>
      </w:pPr>
      <w:r w:rsidRPr="000E1342">
        <w:rPr>
          <w:rFonts w:asciiTheme="majorBidi" w:hAnsiTheme="majorBidi" w:cstheme="majorBidi"/>
          <w:sz w:val="24"/>
          <w:szCs w:val="24"/>
        </w:rPr>
        <w:t>Unscheduled</w:t>
      </w:r>
    </w:p>
    <w:p w14:paraId="54809142" w14:textId="5B15CC98" w:rsidR="00285173" w:rsidRPr="00B45199" w:rsidRDefault="001A3992" w:rsidP="00285173">
      <w:pPr>
        <w:pStyle w:val="Heading1"/>
        <w:spacing w:before="0" w:after="120"/>
        <w:rPr>
          <w:rFonts w:asciiTheme="majorBidi" w:hAnsiTheme="majorBidi"/>
        </w:rPr>
      </w:pPr>
      <w:r w:rsidRPr="00B45199">
        <w:rPr>
          <w:rFonts w:asciiTheme="majorBidi" w:hAnsiTheme="majorBidi"/>
        </w:rPr>
        <w:t>Sponsor</w:t>
      </w:r>
      <w:r w:rsidR="00B45199">
        <w:rPr>
          <w:rFonts w:asciiTheme="majorBidi" w:hAnsiTheme="majorBidi"/>
        </w:rPr>
        <w:fldChar w:fldCharType="begin"/>
      </w:r>
      <w:r w:rsidR="00B45199">
        <w:rPr>
          <w:rFonts w:asciiTheme="majorBidi" w:hAnsiTheme="majorBidi"/>
        </w:rPr>
        <w:instrText xml:space="preserve"> DOCVARIABLE VAULT_ND_4376778d-b1d4-465d-9dcf-17d138790223 \* MERGEFORMAT </w:instrText>
      </w:r>
      <w:r w:rsidR="00B45199">
        <w:rPr>
          <w:rFonts w:asciiTheme="majorBidi" w:hAnsiTheme="majorBidi"/>
        </w:rPr>
        <w:fldChar w:fldCharType="separate"/>
      </w:r>
      <w:r w:rsidR="00B45199">
        <w:rPr>
          <w:rFonts w:asciiTheme="majorBidi" w:hAnsiTheme="majorBidi"/>
        </w:rPr>
        <w:t xml:space="preserve"> </w:t>
      </w:r>
      <w:r w:rsidR="00B45199">
        <w:rPr>
          <w:rFonts w:asciiTheme="majorBidi" w:hAnsiTheme="majorBidi"/>
        </w:rPr>
        <w:fldChar w:fldCharType="end"/>
      </w:r>
    </w:p>
    <w:p w14:paraId="01A48F40" w14:textId="77777777" w:rsidR="003F68C6" w:rsidRPr="003F68C6" w:rsidRDefault="003F68C6" w:rsidP="00D7612D">
      <w:pPr>
        <w:spacing w:after="0" w:line="240" w:lineRule="auto"/>
        <w:rPr>
          <w:rFonts w:asciiTheme="majorBidi" w:hAnsiTheme="majorBidi" w:cstheme="majorBidi"/>
          <w:sz w:val="24"/>
          <w:szCs w:val="24"/>
        </w:rPr>
      </w:pPr>
      <w:r w:rsidRPr="003F68C6">
        <w:rPr>
          <w:rFonts w:asciiTheme="majorBidi" w:hAnsiTheme="majorBidi" w:cstheme="majorBidi"/>
          <w:sz w:val="24"/>
          <w:szCs w:val="24"/>
        </w:rPr>
        <w:t>Novo Nordisk Pharmaceuticals Pty Limited</w:t>
      </w:r>
    </w:p>
    <w:p w14:paraId="21184BAA" w14:textId="77777777" w:rsidR="003F68C6" w:rsidRPr="003F68C6" w:rsidRDefault="003F68C6" w:rsidP="00D7612D">
      <w:pPr>
        <w:spacing w:after="0" w:line="240" w:lineRule="auto"/>
        <w:rPr>
          <w:rFonts w:asciiTheme="majorBidi" w:hAnsiTheme="majorBidi" w:cstheme="majorBidi"/>
          <w:sz w:val="24"/>
          <w:szCs w:val="24"/>
        </w:rPr>
      </w:pPr>
      <w:r w:rsidRPr="003F68C6">
        <w:rPr>
          <w:rFonts w:asciiTheme="majorBidi" w:hAnsiTheme="majorBidi" w:cstheme="majorBidi"/>
          <w:sz w:val="24"/>
          <w:szCs w:val="24"/>
        </w:rPr>
        <w:t>Level 10, 118 Mount Street,</w:t>
      </w:r>
    </w:p>
    <w:p w14:paraId="3C1B8230" w14:textId="77777777" w:rsidR="003F68C6" w:rsidRPr="003F68C6" w:rsidRDefault="003F68C6" w:rsidP="00D7612D">
      <w:pPr>
        <w:spacing w:after="0" w:line="240" w:lineRule="auto"/>
        <w:rPr>
          <w:rFonts w:asciiTheme="majorBidi" w:hAnsiTheme="majorBidi" w:cstheme="majorBidi"/>
          <w:sz w:val="24"/>
          <w:szCs w:val="24"/>
        </w:rPr>
      </w:pPr>
      <w:r w:rsidRPr="003F68C6">
        <w:rPr>
          <w:rFonts w:asciiTheme="majorBidi" w:hAnsiTheme="majorBidi" w:cstheme="majorBidi"/>
          <w:sz w:val="24"/>
          <w:szCs w:val="24"/>
        </w:rPr>
        <w:t>North Sydney, NSW 2060,</w:t>
      </w:r>
    </w:p>
    <w:p w14:paraId="065E5115" w14:textId="26CDBB84" w:rsidR="003F68C6" w:rsidRPr="003F68C6" w:rsidRDefault="003F68C6" w:rsidP="00D7612D">
      <w:pPr>
        <w:spacing w:after="0" w:line="240" w:lineRule="auto"/>
        <w:rPr>
          <w:rFonts w:asciiTheme="majorBidi" w:hAnsiTheme="majorBidi" w:cstheme="majorBidi"/>
          <w:sz w:val="24"/>
          <w:szCs w:val="24"/>
        </w:rPr>
      </w:pPr>
      <w:r w:rsidRPr="003F68C6">
        <w:rPr>
          <w:rFonts w:asciiTheme="majorBidi" w:hAnsiTheme="majorBidi" w:cstheme="majorBidi"/>
          <w:sz w:val="24"/>
          <w:szCs w:val="24"/>
        </w:rPr>
        <w:t>Australia</w:t>
      </w:r>
    </w:p>
    <w:p w14:paraId="00588C58" w14:textId="6B594222" w:rsidR="00881AF9" w:rsidRPr="003F68C6" w:rsidRDefault="003F68C6" w:rsidP="003F68C6">
      <w:pPr>
        <w:rPr>
          <w:rFonts w:asciiTheme="majorBidi" w:hAnsiTheme="majorBidi" w:cstheme="majorBidi"/>
          <w:sz w:val="24"/>
          <w:szCs w:val="24"/>
        </w:rPr>
      </w:pPr>
      <w:r w:rsidRPr="003F68C6">
        <w:rPr>
          <w:rFonts w:asciiTheme="majorBidi" w:hAnsiTheme="majorBidi" w:cstheme="majorBidi"/>
          <w:sz w:val="24"/>
          <w:szCs w:val="24"/>
        </w:rPr>
        <w:t>www.novonordisk.com.au</w:t>
      </w:r>
    </w:p>
    <w:p w14:paraId="63518663" w14:textId="3C281039" w:rsidR="00285173" w:rsidRPr="00B45199" w:rsidRDefault="00285173" w:rsidP="00285173">
      <w:pPr>
        <w:pStyle w:val="Heading1"/>
        <w:spacing w:before="0" w:after="120"/>
        <w:rPr>
          <w:rFonts w:asciiTheme="majorBidi" w:hAnsiTheme="majorBidi"/>
        </w:rPr>
      </w:pPr>
      <w:r w:rsidRPr="00B45199">
        <w:rPr>
          <w:rFonts w:asciiTheme="majorBidi" w:hAnsiTheme="majorBidi"/>
        </w:rPr>
        <w:t xml:space="preserve">Date of first approval </w:t>
      </w:r>
      <w:r w:rsidR="00B45199">
        <w:rPr>
          <w:rFonts w:asciiTheme="majorBidi" w:hAnsiTheme="majorBidi"/>
        </w:rPr>
        <w:fldChar w:fldCharType="begin"/>
      </w:r>
      <w:r w:rsidR="00B45199">
        <w:rPr>
          <w:rFonts w:asciiTheme="majorBidi" w:hAnsiTheme="majorBidi"/>
        </w:rPr>
        <w:instrText xml:space="preserve"> DOCVARIABLE VAULT_ND_d185a256-6ddd-4744-b7db-463377beb23e \* MERGEFORMAT </w:instrText>
      </w:r>
      <w:r w:rsidR="00B45199">
        <w:rPr>
          <w:rFonts w:asciiTheme="majorBidi" w:hAnsiTheme="majorBidi"/>
        </w:rPr>
        <w:fldChar w:fldCharType="separate"/>
      </w:r>
      <w:r w:rsidR="00B45199">
        <w:rPr>
          <w:rFonts w:asciiTheme="majorBidi" w:hAnsiTheme="majorBidi"/>
        </w:rPr>
        <w:t xml:space="preserve"> </w:t>
      </w:r>
      <w:r w:rsidR="00B45199">
        <w:rPr>
          <w:rFonts w:asciiTheme="majorBidi" w:hAnsiTheme="majorBidi"/>
        </w:rPr>
        <w:fldChar w:fldCharType="end"/>
      </w:r>
    </w:p>
    <w:p w14:paraId="6175C87A" w14:textId="6EBD2F35" w:rsidR="00881AF9" w:rsidRPr="003F68C6" w:rsidRDefault="00E03745" w:rsidP="00881AF9">
      <w:pPr>
        <w:rPr>
          <w:rFonts w:asciiTheme="majorBidi" w:hAnsiTheme="majorBidi" w:cstheme="majorBidi"/>
          <w:sz w:val="24"/>
          <w:szCs w:val="24"/>
        </w:rPr>
      </w:pPr>
      <w:r>
        <w:rPr>
          <w:rFonts w:asciiTheme="majorBidi" w:hAnsiTheme="majorBidi" w:cstheme="majorBidi"/>
          <w:sz w:val="24"/>
          <w:szCs w:val="24"/>
        </w:rPr>
        <w:t>5 June 2023</w:t>
      </w:r>
    </w:p>
    <w:p w14:paraId="499D7601" w14:textId="0B8355B3" w:rsidR="00285173" w:rsidRPr="00B45199" w:rsidRDefault="00285173" w:rsidP="00285173">
      <w:pPr>
        <w:pStyle w:val="Heading1"/>
        <w:spacing w:before="0" w:after="120"/>
        <w:rPr>
          <w:rFonts w:asciiTheme="majorBidi" w:hAnsiTheme="majorBidi"/>
        </w:rPr>
      </w:pPr>
      <w:r w:rsidRPr="00B45199">
        <w:rPr>
          <w:rFonts w:asciiTheme="majorBidi" w:hAnsiTheme="majorBidi"/>
        </w:rPr>
        <w:t>Date of revision</w:t>
      </w:r>
      <w:r w:rsidR="00B45199">
        <w:rPr>
          <w:rFonts w:asciiTheme="majorBidi" w:hAnsiTheme="majorBidi"/>
        </w:rPr>
        <w:fldChar w:fldCharType="begin"/>
      </w:r>
      <w:r w:rsidR="00B45199">
        <w:rPr>
          <w:rFonts w:asciiTheme="majorBidi" w:hAnsiTheme="majorBidi"/>
        </w:rPr>
        <w:instrText xml:space="preserve"> DOCVARIABLE VAULT_ND_bb54e928-3ce7-409c-9d94-7cb586bfec25 \* MERGEFORMAT </w:instrText>
      </w:r>
      <w:r w:rsidR="00B45199">
        <w:rPr>
          <w:rFonts w:asciiTheme="majorBidi" w:hAnsiTheme="majorBidi"/>
        </w:rPr>
        <w:fldChar w:fldCharType="separate"/>
      </w:r>
      <w:r w:rsidR="00B45199">
        <w:rPr>
          <w:rFonts w:asciiTheme="majorBidi" w:hAnsiTheme="majorBidi"/>
        </w:rPr>
        <w:t xml:space="preserve"> </w:t>
      </w:r>
      <w:r w:rsidR="00B45199">
        <w:rPr>
          <w:rFonts w:asciiTheme="majorBidi" w:hAnsiTheme="majorBidi"/>
        </w:rPr>
        <w:fldChar w:fldCharType="end"/>
      </w:r>
    </w:p>
    <w:p w14:paraId="795610C4" w14:textId="439AAFC0" w:rsidR="003F68C6" w:rsidRPr="003F68C6" w:rsidRDefault="003F68C6" w:rsidP="003F68C6">
      <w:pPr>
        <w:rPr>
          <w:rFonts w:asciiTheme="majorBidi" w:hAnsiTheme="majorBidi" w:cstheme="majorBidi"/>
          <w:sz w:val="24"/>
          <w:szCs w:val="24"/>
        </w:rPr>
      </w:pPr>
      <w:r w:rsidRPr="003F68C6">
        <w:rPr>
          <w:rFonts w:asciiTheme="majorBidi" w:hAnsiTheme="majorBidi" w:cstheme="majorBidi"/>
          <w:sz w:val="24"/>
          <w:szCs w:val="24"/>
        </w:rPr>
        <w:t>Not applicable</w:t>
      </w:r>
    </w:p>
    <w:sectPr w:rsidR="003F68C6" w:rsidRPr="003F68C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0DEF" w14:textId="77777777" w:rsidR="002A689F" w:rsidRDefault="002A689F" w:rsidP="001A3992">
      <w:pPr>
        <w:spacing w:after="0" w:line="240" w:lineRule="auto"/>
      </w:pPr>
      <w:r>
        <w:separator/>
      </w:r>
    </w:p>
  </w:endnote>
  <w:endnote w:type="continuationSeparator" w:id="0">
    <w:p w14:paraId="3BB35858" w14:textId="77777777" w:rsidR="002A689F" w:rsidRDefault="002A689F" w:rsidP="001A3992">
      <w:pPr>
        <w:spacing w:after="0" w:line="240" w:lineRule="auto"/>
      </w:pPr>
      <w:r>
        <w:continuationSeparator/>
      </w:r>
    </w:p>
  </w:endnote>
  <w:endnote w:type="continuationNotice" w:id="1">
    <w:p w14:paraId="419C89EA" w14:textId="77777777" w:rsidR="002A689F" w:rsidRDefault="002A6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Frutiger45">
    <w:altName w:val="Times New Roman"/>
    <w:charset w:val="00"/>
    <w:family w:val="auto"/>
    <w:pitch w:val="variable"/>
    <w:sig w:usb0="800002AF" w:usb1="4000044A"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sz w:val="20"/>
      </w:rPr>
    </w:sdtEndPr>
    <w:sdtContent>
      <w:p w14:paraId="7D2B18C9" w14:textId="48FDE96A" w:rsidR="007A2CD9" w:rsidRDefault="007A2CD9" w:rsidP="007A2CD9">
        <w:pPr>
          <w:pStyle w:val="Footer"/>
          <w:pBdr>
            <w:top w:val="single" w:sz="4" w:space="1" w:color="auto"/>
          </w:pBdr>
        </w:pPr>
        <w:r w:rsidRPr="007A2CD9">
          <w:t>esperoct-pi-</w:t>
        </w:r>
        <w:r w:rsidR="00E03745">
          <w:t>v1.0</w:t>
        </w:r>
      </w:p>
      <w:p w14:paraId="73B63001" w14:textId="1E3BF4CD" w:rsidR="00CA3EE1" w:rsidRPr="00B8074A" w:rsidRDefault="00CA3EE1" w:rsidP="002D4F6A">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Pr>
            <w:noProof/>
            <w:sz w:val="20"/>
          </w:rPr>
          <w:t>2</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9FDD" w14:textId="77777777" w:rsidR="002A689F" w:rsidRDefault="002A689F" w:rsidP="001A3992">
      <w:pPr>
        <w:spacing w:after="0" w:line="240" w:lineRule="auto"/>
      </w:pPr>
      <w:r>
        <w:separator/>
      </w:r>
    </w:p>
  </w:footnote>
  <w:footnote w:type="continuationSeparator" w:id="0">
    <w:p w14:paraId="0D876605" w14:textId="77777777" w:rsidR="002A689F" w:rsidRDefault="002A689F" w:rsidP="001A3992">
      <w:pPr>
        <w:spacing w:after="0" w:line="240" w:lineRule="auto"/>
      </w:pPr>
      <w:r>
        <w:continuationSeparator/>
      </w:r>
    </w:p>
  </w:footnote>
  <w:footnote w:type="continuationNotice" w:id="1">
    <w:p w14:paraId="1EC39F3F" w14:textId="77777777" w:rsidR="002A689F" w:rsidRDefault="002A6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7149FC" w:rsidRPr="000B2145" w14:paraId="14FCE91A" w14:textId="77777777" w:rsidTr="00A13B08">
      <w:trPr>
        <w:trHeight w:val="1012"/>
      </w:trPr>
      <w:tc>
        <w:tcPr>
          <w:tcW w:w="9039" w:type="dxa"/>
          <w:shd w:val="clear" w:color="auto" w:fill="E4F2E0"/>
        </w:tcPr>
        <w:p w14:paraId="095174DD" w14:textId="77777777" w:rsidR="007149FC" w:rsidRPr="000E4791" w:rsidRDefault="007149FC" w:rsidP="007149FC">
          <w:pPr>
            <w:pStyle w:val="Footer"/>
            <w:rPr>
              <w:b/>
              <w:sz w:val="18"/>
              <w:szCs w:val="18"/>
            </w:rPr>
          </w:pPr>
          <w:r w:rsidRPr="00EE2A41">
            <w:rPr>
              <w:b/>
              <w:sz w:val="18"/>
              <w:szCs w:val="18"/>
            </w:rPr>
            <w:t xml:space="preserve">Attachment </w:t>
          </w:r>
          <w:proofErr w:type="spellStart"/>
          <w:r w:rsidRPr="00482FFF">
            <w:rPr>
              <w:b/>
              <w:sz w:val="18"/>
              <w:szCs w:val="18"/>
            </w:rPr>
            <w:t>AusPAR</w:t>
          </w:r>
          <w:proofErr w:type="spellEnd"/>
          <w:r w:rsidRPr="00482FFF">
            <w:rPr>
              <w:b/>
              <w:sz w:val="18"/>
              <w:szCs w:val="18"/>
            </w:rPr>
            <w:t xml:space="preserve"> </w:t>
          </w:r>
          <w:r>
            <w:rPr>
              <w:b/>
              <w:sz w:val="18"/>
              <w:szCs w:val="18"/>
            </w:rPr>
            <w:t>–</w:t>
          </w:r>
          <w:r w:rsidRPr="00482FFF">
            <w:rPr>
              <w:b/>
              <w:sz w:val="18"/>
              <w:szCs w:val="18"/>
            </w:rPr>
            <w:t xml:space="preserve"> </w:t>
          </w:r>
          <w:proofErr w:type="spellStart"/>
          <w:r w:rsidRPr="00533125">
            <w:rPr>
              <w:b/>
              <w:sz w:val="18"/>
              <w:szCs w:val="18"/>
            </w:rPr>
            <w:t>Esperoct</w:t>
          </w:r>
          <w:proofErr w:type="spellEnd"/>
          <w:r w:rsidRPr="00533125">
            <w:rPr>
              <w:b/>
              <w:sz w:val="18"/>
              <w:szCs w:val="18"/>
            </w:rPr>
            <w:t xml:space="preserve"> </w:t>
          </w:r>
          <w:r>
            <w:rPr>
              <w:b/>
              <w:sz w:val="18"/>
              <w:szCs w:val="18"/>
            </w:rPr>
            <w:t>–</w:t>
          </w:r>
          <w:r w:rsidRPr="00482FFF">
            <w:rPr>
              <w:b/>
              <w:sz w:val="18"/>
              <w:szCs w:val="18"/>
            </w:rPr>
            <w:t xml:space="preserve"> </w:t>
          </w:r>
          <w:proofErr w:type="spellStart"/>
          <w:r w:rsidRPr="00D57BFB">
            <w:rPr>
              <w:b/>
              <w:sz w:val="18"/>
              <w:szCs w:val="18"/>
            </w:rPr>
            <w:t>Turoctocog</w:t>
          </w:r>
          <w:proofErr w:type="spellEnd"/>
          <w:r w:rsidRPr="00D57BFB">
            <w:rPr>
              <w:b/>
              <w:sz w:val="18"/>
              <w:szCs w:val="18"/>
            </w:rPr>
            <w:t xml:space="preserve"> alfa pegol </w:t>
          </w:r>
          <w:r>
            <w:rPr>
              <w:b/>
              <w:sz w:val="18"/>
              <w:szCs w:val="18"/>
            </w:rPr>
            <w:t>–</w:t>
          </w:r>
          <w:r w:rsidRPr="00482FFF">
            <w:rPr>
              <w:b/>
              <w:sz w:val="18"/>
              <w:szCs w:val="18"/>
            </w:rPr>
            <w:t xml:space="preserve"> </w:t>
          </w:r>
          <w:r w:rsidRPr="00C76EC8">
            <w:rPr>
              <w:b/>
              <w:sz w:val="18"/>
              <w:szCs w:val="18"/>
            </w:rPr>
            <w:t xml:space="preserve">Novo Nordisk Pharmaceuticals Pty Ltd </w:t>
          </w:r>
          <w:r w:rsidRPr="00482FFF">
            <w:rPr>
              <w:b/>
              <w:sz w:val="18"/>
              <w:szCs w:val="18"/>
            </w:rPr>
            <w:t xml:space="preserve">- </w:t>
          </w:r>
          <w:r w:rsidRPr="00E91B8B">
            <w:rPr>
              <w:b/>
              <w:sz w:val="18"/>
              <w:szCs w:val="18"/>
            </w:rPr>
            <w:t>PM-2022-01578-1-6</w:t>
          </w:r>
          <w:r>
            <w:rPr>
              <w:b/>
              <w:sz w:val="18"/>
              <w:szCs w:val="18"/>
            </w:rPr>
            <w:t xml:space="preserve"> </w:t>
          </w:r>
          <w:r w:rsidRPr="00482FFF">
            <w:rPr>
              <w:b/>
              <w:sz w:val="18"/>
              <w:szCs w:val="18"/>
            </w:rPr>
            <w:t>-</w:t>
          </w:r>
          <w:r>
            <w:rPr>
              <w:b/>
              <w:sz w:val="18"/>
              <w:szCs w:val="18"/>
            </w:rPr>
            <w:t xml:space="preserve"> </w:t>
          </w:r>
          <w:r w:rsidRPr="00482FFF">
            <w:rPr>
              <w:b/>
              <w:sz w:val="18"/>
              <w:szCs w:val="18"/>
            </w:rPr>
            <w:t xml:space="preserve">FINAL </w:t>
          </w:r>
          <w:r w:rsidRPr="00755B1C">
            <w:rPr>
              <w:b/>
              <w:sz w:val="18"/>
              <w:szCs w:val="18"/>
            </w:rPr>
            <w:t>24 October 2023</w:t>
          </w:r>
          <w:r>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sz w:val="18"/>
                <w:szCs w:val="18"/>
              </w:rPr>
              <w:t>https://www.tga.gov.au/product-information-pi</w:t>
            </w:r>
          </w:hyperlink>
          <w:r w:rsidRPr="000E4791">
            <w:rPr>
              <w:b/>
              <w:sz w:val="18"/>
              <w:szCs w:val="18"/>
              <w:u w:val="single"/>
            </w:rPr>
            <w:t>&gt;</w:t>
          </w:r>
        </w:p>
      </w:tc>
    </w:tr>
  </w:tbl>
  <w:p w14:paraId="76BAAAD5" w14:textId="77777777" w:rsidR="007149FC" w:rsidRDefault="00714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D4A8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63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4AD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0A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5E5D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3041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4C02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9A7F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86FC44"/>
    <w:lvl w:ilvl="0">
      <w:start w:val="1"/>
      <w:numFmt w:val="decimal"/>
      <w:lvlText w:val="%1."/>
      <w:lvlJc w:val="left"/>
      <w:pPr>
        <w:tabs>
          <w:tab w:val="num" w:pos="360"/>
        </w:tabs>
        <w:ind w:left="360" w:hanging="360"/>
      </w:pPr>
    </w:lvl>
  </w:abstractNum>
  <w:abstractNum w:abstractNumId="9"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8B445F"/>
    <w:multiLevelType w:val="hybridMultilevel"/>
    <w:tmpl w:val="4822C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6D0A1E"/>
    <w:multiLevelType w:val="hybridMultilevel"/>
    <w:tmpl w:val="9650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6619DC"/>
    <w:multiLevelType w:val="hybridMultilevel"/>
    <w:tmpl w:val="CB88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762B2"/>
    <w:multiLevelType w:val="hybridMultilevel"/>
    <w:tmpl w:val="FF32B496"/>
    <w:lvl w:ilvl="0" w:tplc="8C62F7AA">
      <w:start w:val="10"/>
      <w:numFmt w:val="bullet"/>
      <w:lvlText w:val="–"/>
      <w:lvlJc w:val="left"/>
      <w:pPr>
        <w:ind w:left="720" w:hanging="360"/>
      </w:pPr>
      <w:rPr>
        <w:rFonts w:ascii="AFrutiger45" w:eastAsia="Cambria" w:hAnsi="AFrutiger45"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A5693"/>
    <w:multiLevelType w:val="hybridMultilevel"/>
    <w:tmpl w:val="F78EA1D4"/>
    <w:lvl w:ilvl="0" w:tplc="C78AAC64">
      <w:numFmt w:val="bullet"/>
      <w:lvlText w:val="•"/>
      <w:lvlJc w:val="left"/>
      <w:pPr>
        <w:ind w:left="682" w:hanging="567"/>
      </w:pPr>
      <w:rPr>
        <w:rFonts w:ascii="Times New Roman" w:eastAsia="Times New Roman" w:hAnsi="Times New Roman" w:cs="Times New Roman" w:hint="default"/>
        <w:b w:val="0"/>
        <w:bCs w:val="0"/>
        <w:i w:val="0"/>
        <w:iCs w:val="0"/>
        <w:w w:val="100"/>
        <w:sz w:val="22"/>
        <w:szCs w:val="22"/>
      </w:rPr>
    </w:lvl>
    <w:lvl w:ilvl="1" w:tplc="01349238">
      <w:numFmt w:val="bullet"/>
      <w:lvlText w:val="•"/>
      <w:lvlJc w:val="left"/>
      <w:pPr>
        <w:ind w:left="1652" w:hanging="567"/>
      </w:pPr>
      <w:rPr>
        <w:rFonts w:hint="default"/>
      </w:rPr>
    </w:lvl>
    <w:lvl w:ilvl="2" w:tplc="F280D142">
      <w:numFmt w:val="bullet"/>
      <w:lvlText w:val="•"/>
      <w:lvlJc w:val="left"/>
      <w:pPr>
        <w:ind w:left="2625" w:hanging="567"/>
      </w:pPr>
      <w:rPr>
        <w:rFonts w:hint="default"/>
      </w:rPr>
    </w:lvl>
    <w:lvl w:ilvl="3" w:tplc="7DEC5498">
      <w:numFmt w:val="bullet"/>
      <w:lvlText w:val="•"/>
      <w:lvlJc w:val="left"/>
      <w:pPr>
        <w:ind w:left="3597" w:hanging="567"/>
      </w:pPr>
      <w:rPr>
        <w:rFonts w:hint="default"/>
      </w:rPr>
    </w:lvl>
    <w:lvl w:ilvl="4" w:tplc="D1B49540">
      <w:numFmt w:val="bullet"/>
      <w:lvlText w:val="•"/>
      <w:lvlJc w:val="left"/>
      <w:pPr>
        <w:ind w:left="4570" w:hanging="567"/>
      </w:pPr>
      <w:rPr>
        <w:rFonts w:hint="default"/>
      </w:rPr>
    </w:lvl>
    <w:lvl w:ilvl="5" w:tplc="451472A6">
      <w:numFmt w:val="bullet"/>
      <w:lvlText w:val="•"/>
      <w:lvlJc w:val="left"/>
      <w:pPr>
        <w:ind w:left="5543" w:hanging="567"/>
      </w:pPr>
      <w:rPr>
        <w:rFonts w:hint="default"/>
      </w:rPr>
    </w:lvl>
    <w:lvl w:ilvl="6" w:tplc="D43A4438">
      <w:numFmt w:val="bullet"/>
      <w:lvlText w:val="•"/>
      <w:lvlJc w:val="left"/>
      <w:pPr>
        <w:ind w:left="6515" w:hanging="567"/>
      </w:pPr>
      <w:rPr>
        <w:rFonts w:hint="default"/>
      </w:rPr>
    </w:lvl>
    <w:lvl w:ilvl="7" w:tplc="93F0F678">
      <w:numFmt w:val="bullet"/>
      <w:lvlText w:val="•"/>
      <w:lvlJc w:val="left"/>
      <w:pPr>
        <w:ind w:left="7488" w:hanging="567"/>
      </w:pPr>
      <w:rPr>
        <w:rFonts w:hint="default"/>
      </w:rPr>
    </w:lvl>
    <w:lvl w:ilvl="8" w:tplc="2370E25E">
      <w:numFmt w:val="bullet"/>
      <w:lvlText w:val="•"/>
      <w:lvlJc w:val="left"/>
      <w:pPr>
        <w:ind w:left="8461" w:hanging="567"/>
      </w:pPr>
      <w:rPr>
        <w:rFonts w:hint="default"/>
      </w:rPr>
    </w:lvl>
  </w:abstractNum>
  <w:abstractNum w:abstractNumId="17" w15:restartNumberingAfterBreak="0">
    <w:nsid w:val="400253ED"/>
    <w:multiLevelType w:val="hybridMultilevel"/>
    <w:tmpl w:val="949C8884"/>
    <w:lvl w:ilvl="0" w:tplc="8A660148">
      <w:start w:val="3"/>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F0C73"/>
    <w:multiLevelType w:val="hybridMultilevel"/>
    <w:tmpl w:val="0250FA2E"/>
    <w:lvl w:ilvl="0" w:tplc="26B08948">
      <w:start w:val="2"/>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77276"/>
    <w:multiLevelType w:val="hybridMultilevel"/>
    <w:tmpl w:val="BB042D14"/>
    <w:lvl w:ilvl="0" w:tplc="BADC0962">
      <w:numFmt w:val="bullet"/>
      <w:lvlText w:val="–"/>
      <w:lvlJc w:val="left"/>
      <w:pPr>
        <w:ind w:left="673" w:hanging="567"/>
      </w:pPr>
      <w:rPr>
        <w:rFonts w:ascii="Times New Roman" w:eastAsia="Times New Roman" w:hAnsi="Times New Roman" w:cs="Times New Roman" w:hint="default"/>
        <w:b w:val="0"/>
        <w:bCs w:val="0"/>
        <w:i w:val="0"/>
        <w:iCs w:val="0"/>
        <w:w w:val="100"/>
        <w:sz w:val="24"/>
        <w:szCs w:val="24"/>
      </w:rPr>
    </w:lvl>
    <w:lvl w:ilvl="1" w:tplc="2E1AE024">
      <w:numFmt w:val="bullet"/>
      <w:lvlText w:val="•"/>
      <w:lvlJc w:val="left"/>
      <w:pPr>
        <w:ind w:left="1422" w:hanging="567"/>
      </w:pPr>
      <w:rPr>
        <w:rFonts w:hint="default"/>
      </w:rPr>
    </w:lvl>
    <w:lvl w:ilvl="2" w:tplc="8938999E">
      <w:numFmt w:val="bullet"/>
      <w:lvlText w:val="•"/>
      <w:lvlJc w:val="left"/>
      <w:pPr>
        <w:ind w:left="2164" w:hanging="567"/>
      </w:pPr>
      <w:rPr>
        <w:rFonts w:hint="default"/>
      </w:rPr>
    </w:lvl>
    <w:lvl w:ilvl="3" w:tplc="CD92D818">
      <w:numFmt w:val="bullet"/>
      <w:lvlText w:val="•"/>
      <w:lvlJc w:val="left"/>
      <w:pPr>
        <w:ind w:left="2906" w:hanging="567"/>
      </w:pPr>
      <w:rPr>
        <w:rFonts w:hint="default"/>
      </w:rPr>
    </w:lvl>
    <w:lvl w:ilvl="4" w:tplc="A7304E3C">
      <w:numFmt w:val="bullet"/>
      <w:lvlText w:val="•"/>
      <w:lvlJc w:val="left"/>
      <w:pPr>
        <w:ind w:left="3648" w:hanging="567"/>
      </w:pPr>
      <w:rPr>
        <w:rFonts w:hint="default"/>
      </w:rPr>
    </w:lvl>
    <w:lvl w:ilvl="5" w:tplc="AFB2BD4A">
      <w:numFmt w:val="bullet"/>
      <w:lvlText w:val="•"/>
      <w:lvlJc w:val="left"/>
      <w:pPr>
        <w:ind w:left="4391" w:hanging="567"/>
      </w:pPr>
      <w:rPr>
        <w:rFonts w:hint="default"/>
      </w:rPr>
    </w:lvl>
    <w:lvl w:ilvl="6" w:tplc="308E3EDC">
      <w:numFmt w:val="bullet"/>
      <w:lvlText w:val="•"/>
      <w:lvlJc w:val="left"/>
      <w:pPr>
        <w:ind w:left="5133" w:hanging="567"/>
      </w:pPr>
      <w:rPr>
        <w:rFonts w:hint="default"/>
      </w:rPr>
    </w:lvl>
    <w:lvl w:ilvl="7" w:tplc="F724A3C8">
      <w:numFmt w:val="bullet"/>
      <w:lvlText w:val="•"/>
      <w:lvlJc w:val="left"/>
      <w:pPr>
        <w:ind w:left="5875" w:hanging="567"/>
      </w:pPr>
      <w:rPr>
        <w:rFonts w:hint="default"/>
      </w:rPr>
    </w:lvl>
    <w:lvl w:ilvl="8" w:tplc="D63EB352">
      <w:numFmt w:val="bullet"/>
      <w:lvlText w:val="•"/>
      <w:lvlJc w:val="left"/>
      <w:pPr>
        <w:ind w:left="6617" w:hanging="567"/>
      </w:pPr>
      <w:rPr>
        <w:rFonts w:hint="default"/>
      </w:rPr>
    </w:lvl>
  </w:abstractNum>
  <w:abstractNum w:abstractNumId="20"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1557D5"/>
    <w:multiLevelType w:val="hybridMultilevel"/>
    <w:tmpl w:val="53B6E938"/>
    <w:lvl w:ilvl="0" w:tplc="60DA06D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6B51CB"/>
    <w:multiLevelType w:val="hybridMultilevel"/>
    <w:tmpl w:val="1F0A496A"/>
    <w:lvl w:ilvl="0" w:tplc="8A660148">
      <w:start w:val="3"/>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E50862"/>
    <w:multiLevelType w:val="hybridMultilevel"/>
    <w:tmpl w:val="775C824C"/>
    <w:lvl w:ilvl="0" w:tplc="8A660148">
      <w:start w:val="3"/>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E860DD"/>
    <w:multiLevelType w:val="hybridMultilevel"/>
    <w:tmpl w:val="99C0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3428654">
    <w:abstractNumId w:val="27"/>
  </w:num>
  <w:num w:numId="2" w16cid:durableId="552236203">
    <w:abstractNumId w:val="10"/>
  </w:num>
  <w:num w:numId="3" w16cid:durableId="1776173392">
    <w:abstractNumId w:val="9"/>
  </w:num>
  <w:num w:numId="4" w16cid:durableId="826165572">
    <w:abstractNumId w:val="20"/>
  </w:num>
  <w:num w:numId="5" w16cid:durableId="954678358">
    <w:abstractNumId w:val="30"/>
  </w:num>
  <w:num w:numId="6" w16cid:durableId="1094785821">
    <w:abstractNumId w:val="28"/>
  </w:num>
  <w:num w:numId="7" w16cid:durableId="2119982081">
    <w:abstractNumId w:val="24"/>
  </w:num>
  <w:num w:numId="8" w16cid:durableId="287902262">
    <w:abstractNumId w:val="29"/>
  </w:num>
  <w:num w:numId="9" w16cid:durableId="354581797">
    <w:abstractNumId w:val="13"/>
  </w:num>
  <w:num w:numId="10" w16cid:durableId="676881346">
    <w:abstractNumId w:val="22"/>
  </w:num>
  <w:num w:numId="11" w16cid:durableId="113059560">
    <w:abstractNumId w:val="18"/>
  </w:num>
  <w:num w:numId="12" w16cid:durableId="1957174013">
    <w:abstractNumId w:val="17"/>
  </w:num>
  <w:num w:numId="13" w16cid:durableId="1378624276">
    <w:abstractNumId w:val="14"/>
  </w:num>
  <w:num w:numId="14" w16cid:durableId="585923077">
    <w:abstractNumId w:val="25"/>
  </w:num>
  <w:num w:numId="15" w16cid:durableId="1008168774">
    <w:abstractNumId w:val="23"/>
  </w:num>
  <w:num w:numId="16" w16cid:durableId="896430893">
    <w:abstractNumId w:val="26"/>
  </w:num>
  <w:num w:numId="17" w16cid:durableId="790981424">
    <w:abstractNumId w:val="12"/>
  </w:num>
  <w:num w:numId="18" w16cid:durableId="83184866">
    <w:abstractNumId w:val="15"/>
  </w:num>
  <w:num w:numId="19" w16cid:durableId="1448430248">
    <w:abstractNumId w:val="19"/>
  </w:num>
  <w:num w:numId="20" w16cid:durableId="2128699072">
    <w:abstractNumId w:val="16"/>
  </w:num>
  <w:num w:numId="21" w16cid:durableId="716467761">
    <w:abstractNumId w:val="7"/>
  </w:num>
  <w:num w:numId="22" w16cid:durableId="539173003">
    <w:abstractNumId w:val="6"/>
  </w:num>
  <w:num w:numId="23" w16cid:durableId="1643804899">
    <w:abstractNumId w:val="5"/>
  </w:num>
  <w:num w:numId="24" w16cid:durableId="1104303691">
    <w:abstractNumId w:val="4"/>
  </w:num>
  <w:num w:numId="25" w16cid:durableId="1329284428">
    <w:abstractNumId w:val="8"/>
  </w:num>
  <w:num w:numId="26" w16cid:durableId="602032158">
    <w:abstractNumId w:val="3"/>
  </w:num>
  <w:num w:numId="27" w16cid:durableId="1597902231">
    <w:abstractNumId w:val="2"/>
  </w:num>
  <w:num w:numId="28" w16cid:durableId="2111656307">
    <w:abstractNumId w:val="1"/>
  </w:num>
  <w:num w:numId="29" w16cid:durableId="1878394222">
    <w:abstractNumId w:val="0"/>
  </w:num>
  <w:num w:numId="30" w16cid:durableId="635795797">
    <w:abstractNumId w:val="11"/>
  </w:num>
  <w:num w:numId="31" w16cid:durableId="1455782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ca37699-c17b-45a8-bc69-c6a21b67e528" w:val=" "/>
    <w:docVar w:name="vault_nd_11be5232-2402-47a3-8b0e-6afa75075092" w:val=" "/>
    <w:docVar w:name="vault_nd_16c53dfb-bc14-456d-b9e9-37ff13c9b902" w:val=" "/>
    <w:docVar w:name="VAULT_ND_2f0dbd3f-fc29-452c-bb4f-dd38d186d0e0" w:val=" "/>
    <w:docVar w:name="vault_nd_3033a6ed-7a99-4676-8b12-4840694cb1ca" w:val=" "/>
    <w:docVar w:name="vault_nd_30c1d0ff-82eb-4f77-b644-81dc0d123d0f" w:val=" "/>
    <w:docVar w:name="vault_nd_3c0a9d4c-0dcd-4203-9395-ef2d1ed99315" w:val=" "/>
    <w:docVar w:name="vault_nd_4367b2ac-6024-42f5-aa96-2f34c11a21e9" w:val=" "/>
    <w:docVar w:name="VAULT_ND_4376778d-b1d4-465d-9dcf-17d138790223" w:val=" "/>
    <w:docVar w:name="vault_nd_43c63f23-472f-4859-b765-3e1c6371da5e" w:val=" "/>
    <w:docVar w:name="vault_nd_44c962d1-84c5-4e69-80b8-e1eaf1133c14" w:val=" "/>
    <w:docVar w:name="vault_nd_469687f2-f8ca-42c9-a0dd-3607b1ab2688" w:val=" "/>
    <w:docVar w:name="vault_nd_4addad32-00ae-4d5a-bdd2-178448bc250f" w:val=" "/>
    <w:docVar w:name="vault_nd_4ec6a447-0455-4414-a008-51b5f22d2a40" w:val=" "/>
    <w:docVar w:name="VAULT_ND_5e89b4ba-9683-4c01-a6b3-78dcb0972314" w:val=" "/>
    <w:docVar w:name="vault_nd_608e53d2-f53b-4b3a-9f75-5b54ca71a133" w:val=" "/>
    <w:docVar w:name="vault_nd_6731605d-4248-45bc-848c-e2b6bc81ea69" w:val=" "/>
    <w:docVar w:name="vault_nd_69bb235f-24b7-429a-b6a6-a4713054050b" w:val=" "/>
    <w:docVar w:name="VAULT_ND_6b61c541-88e5-4a0b-ad60-a70e38da7fe4" w:val=" "/>
    <w:docVar w:name="vault_nd_6d40886a-bef8-4489-877d-37aa416fd999" w:val=" "/>
    <w:docVar w:name="vault_nd_76426e0c-a372-4216-a08c-1dd82fd8fbbe" w:val=" "/>
    <w:docVar w:name="vault_nd_86497d45-180d-4f94-a216-9705fce6c77f" w:val=" "/>
    <w:docVar w:name="vault_nd_8ed23311-df9a-4566-bfbf-73586a9788cb" w:val=" "/>
    <w:docVar w:name="vault_nd_966dbcd3-fbac-4787-b35b-5e66e663f853" w:val=" "/>
    <w:docVar w:name="vault_nd_96ec33f0-5927-4efe-b13d-648a9e1c6551" w:val=" "/>
    <w:docVar w:name="vault_nd_9b4ca043-014e-4b17-89af-6c9960589a94" w:val=" "/>
    <w:docVar w:name="vault_nd_aa352cc9-2aee-4aae-b4cd-52cec3c964d9" w:val=" "/>
    <w:docVar w:name="vault_nd_b7576bab-7b46-4777-9899-0556e4f4c4b9" w:val=" "/>
    <w:docVar w:name="vault_nd_b9be1038-9927-441b-87b1-dafe9c039510" w:val=" "/>
    <w:docVar w:name="vault_nd_bac89bed-67ce-479d-bb8c-71caf8bb7c93" w:val=" "/>
    <w:docVar w:name="VAULT_ND_bb54e928-3ce7-409c-9d94-7cb586bfec25" w:val=" "/>
    <w:docVar w:name="vault_nd_c1389252-b7db-4888-aa7f-b80bccf00cb8" w:val=" "/>
    <w:docVar w:name="vault_nd_c2dab978-017d-4395-8cd1-5729fa4e8801" w:val=" "/>
    <w:docVar w:name="vault_nd_c88a3cc0-7b42-46f3-a225-b61540b58c90" w:val=" "/>
    <w:docVar w:name="vault_nd_ca49834d-ebb2-406f-b3a9-9cb2f248ccd1" w:val=" "/>
    <w:docVar w:name="vault_nd_cd91fa36-c577-4429-a174-205c86d1bb18" w:val=" "/>
    <w:docVar w:name="VAULT_ND_d0449813-407d-457f-be29-007e0bc4da85" w:val=" "/>
    <w:docVar w:name="VAULT_ND_d185a256-6ddd-4744-b7db-463377beb23e" w:val=" "/>
    <w:docVar w:name="VAULT_ND_d7ed429a-c938-49d8-9603-18e8ef0525bb" w:val=" "/>
    <w:docVar w:name="vault_nd_da1d3226-5262-4bb6-a687-d04107b4a37f" w:val=" "/>
    <w:docVar w:name="vault_nd_daf79075-ba53-4b68-805b-35d399116c1f" w:val=" "/>
    <w:docVar w:name="VAULT_ND_db9c7fb0-1ad5-4d8a-a76d-f295982fc64b" w:val=" "/>
    <w:docVar w:name="vault_nd_dea8e781-1a65-4e00-a068-b12c6a8ee239" w:val=" "/>
    <w:docVar w:name="vault_nd_e2ca3d59-518b-4513-9a01-915c3e3976b3" w:val=" "/>
    <w:docVar w:name="vault_nd_e315f225-4508-4e87-9755-78fc97f11a58" w:val=" "/>
    <w:docVar w:name="vault_nd_e6f0e61b-956a-47ff-a349-0e63b8b2f3ec" w:val=" "/>
    <w:docVar w:name="VAULT_ND_edfbe1d3-eb72-45d4-aa55-8a15d020fd26" w:val=" "/>
    <w:docVar w:name="vault_nd_ef10e324-2c7e-4f96-a9f8-9e2822b61f98" w:val=" "/>
    <w:docVar w:name="vault_nd_f353a0ba-9bdb-4029-a9d3-b9bd4f024737" w:val=" "/>
    <w:docVar w:name="vault_nd_f67cb12a-e3e8-400a-8149-1486c041b09d" w:val=" "/>
    <w:docVar w:name="vault_nd_fb8c7106-7c43-4956-b94d-0ebcb40a79e8" w:val=" "/>
    <w:docVar w:name="VAULT_ND_fbe97337-79c4-43e1-aad6-74df5090e602" w:val=" "/>
  </w:docVars>
  <w:rsids>
    <w:rsidRoot w:val="00175EDF"/>
    <w:rsid w:val="00001E1F"/>
    <w:rsid w:val="00003374"/>
    <w:rsid w:val="00005934"/>
    <w:rsid w:val="00012E55"/>
    <w:rsid w:val="0002104E"/>
    <w:rsid w:val="0002415E"/>
    <w:rsid w:val="00024FEA"/>
    <w:rsid w:val="000316C8"/>
    <w:rsid w:val="00031770"/>
    <w:rsid w:val="00037AC9"/>
    <w:rsid w:val="0004018C"/>
    <w:rsid w:val="00040393"/>
    <w:rsid w:val="00042302"/>
    <w:rsid w:val="00051310"/>
    <w:rsid w:val="000520BA"/>
    <w:rsid w:val="00054CF2"/>
    <w:rsid w:val="00057E9A"/>
    <w:rsid w:val="00066F9C"/>
    <w:rsid w:val="00070D72"/>
    <w:rsid w:val="00076F85"/>
    <w:rsid w:val="00084F99"/>
    <w:rsid w:val="00086F13"/>
    <w:rsid w:val="0008745B"/>
    <w:rsid w:val="00087945"/>
    <w:rsid w:val="00087E23"/>
    <w:rsid w:val="00096ED8"/>
    <w:rsid w:val="000B3B8D"/>
    <w:rsid w:val="000B4452"/>
    <w:rsid w:val="000B4FBC"/>
    <w:rsid w:val="000B61DE"/>
    <w:rsid w:val="000D25BB"/>
    <w:rsid w:val="000D781D"/>
    <w:rsid w:val="000E1342"/>
    <w:rsid w:val="000F01C9"/>
    <w:rsid w:val="000F54F1"/>
    <w:rsid w:val="000F55A0"/>
    <w:rsid w:val="000F5B12"/>
    <w:rsid w:val="000F64D2"/>
    <w:rsid w:val="000F7A39"/>
    <w:rsid w:val="00102EFE"/>
    <w:rsid w:val="00106DA6"/>
    <w:rsid w:val="00112AEC"/>
    <w:rsid w:val="00116F84"/>
    <w:rsid w:val="001177B6"/>
    <w:rsid w:val="00126F3F"/>
    <w:rsid w:val="0013218B"/>
    <w:rsid w:val="001436DF"/>
    <w:rsid w:val="00155F50"/>
    <w:rsid w:val="00171BE8"/>
    <w:rsid w:val="00171D36"/>
    <w:rsid w:val="00172437"/>
    <w:rsid w:val="00172C84"/>
    <w:rsid w:val="001755BB"/>
    <w:rsid w:val="00175EDF"/>
    <w:rsid w:val="00177C35"/>
    <w:rsid w:val="001827A4"/>
    <w:rsid w:val="0018283E"/>
    <w:rsid w:val="001909AB"/>
    <w:rsid w:val="0019429E"/>
    <w:rsid w:val="0019599F"/>
    <w:rsid w:val="001977F4"/>
    <w:rsid w:val="001A1186"/>
    <w:rsid w:val="001A3992"/>
    <w:rsid w:val="001B121C"/>
    <w:rsid w:val="001B6F3F"/>
    <w:rsid w:val="001B77EA"/>
    <w:rsid w:val="001C04E4"/>
    <w:rsid w:val="001C4B03"/>
    <w:rsid w:val="001C5E7F"/>
    <w:rsid w:val="001D4E69"/>
    <w:rsid w:val="001E02CE"/>
    <w:rsid w:val="001E5C6B"/>
    <w:rsid w:val="001F0603"/>
    <w:rsid w:val="001F2655"/>
    <w:rsid w:val="002037FC"/>
    <w:rsid w:val="00207442"/>
    <w:rsid w:val="0021200F"/>
    <w:rsid w:val="00225A5B"/>
    <w:rsid w:val="00226BB1"/>
    <w:rsid w:val="00230A7A"/>
    <w:rsid w:val="0023304F"/>
    <w:rsid w:val="002359D1"/>
    <w:rsid w:val="00236621"/>
    <w:rsid w:val="0025132E"/>
    <w:rsid w:val="00253E4A"/>
    <w:rsid w:val="002551E9"/>
    <w:rsid w:val="00256E2E"/>
    <w:rsid w:val="002621DB"/>
    <w:rsid w:val="00263E41"/>
    <w:rsid w:val="00267A5B"/>
    <w:rsid w:val="002844CB"/>
    <w:rsid w:val="00284CFB"/>
    <w:rsid w:val="00285173"/>
    <w:rsid w:val="0028665D"/>
    <w:rsid w:val="00286C93"/>
    <w:rsid w:val="0029231B"/>
    <w:rsid w:val="00293D3A"/>
    <w:rsid w:val="002974C7"/>
    <w:rsid w:val="002A6153"/>
    <w:rsid w:val="002A689F"/>
    <w:rsid w:val="002B58DE"/>
    <w:rsid w:val="002B6857"/>
    <w:rsid w:val="002B7BE4"/>
    <w:rsid w:val="002C3365"/>
    <w:rsid w:val="002C691C"/>
    <w:rsid w:val="002C6AC2"/>
    <w:rsid w:val="002D080E"/>
    <w:rsid w:val="002D12CD"/>
    <w:rsid w:val="002D20D4"/>
    <w:rsid w:val="002D41EB"/>
    <w:rsid w:val="002D4F6A"/>
    <w:rsid w:val="002D5766"/>
    <w:rsid w:val="002E26C5"/>
    <w:rsid w:val="002E277D"/>
    <w:rsid w:val="002E614D"/>
    <w:rsid w:val="002F2898"/>
    <w:rsid w:val="002F3610"/>
    <w:rsid w:val="002F49DC"/>
    <w:rsid w:val="002F6D5C"/>
    <w:rsid w:val="003011CC"/>
    <w:rsid w:val="003012E0"/>
    <w:rsid w:val="0030143B"/>
    <w:rsid w:val="00302984"/>
    <w:rsid w:val="00305BD4"/>
    <w:rsid w:val="00314D30"/>
    <w:rsid w:val="00315C99"/>
    <w:rsid w:val="00321B14"/>
    <w:rsid w:val="00322AB4"/>
    <w:rsid w:val="003268E4"/>
    <w:rsid w:val="003329DB"/>
    <w:rsid w:val="00332B78"/>
    <w:rsid w:val="003359BE"/>
    <w:rsid w:val="00336E2D"/>
    <w:rsid w:val="00344053"/>
    <w:rsid w:val="00345A5D"/>
    <w:rsid w:val="00353848"/>
    <w:rsid w:val="00354867"/>
    <w:rsid w:val="00356450"/>
    <w:rsid w:val="0036294D"/>
    <w:rsid w:val="00371ACE"/>
    <w:rsid w:val="00375DF3"/>
    <w:rsid w:val="00380E57"/>
    <w:rsid w:val="00390718"/>
    <w:rsid w:val="003911EF"/>
    <w:rsid w:val="00397078"/>
    <w:rsid w:val="003A2CDC"/>
    <w:rsid w:val="003A5920"/>
    <w:rsid w:val="003A6BBB"/>
    <w:rsid w:val="003A7855"/>
    <w:rsid w:val="003B3330"/>
    <w:rsid w:val="003B7A9F"/>
    <w:rsid w:val="003C1854"/>
    <w:rsid w:val="003C743C"/>
    <w:rsid w:val="003D1804"/>
    <w:rsid w:val="003D3138"/>
    <w:rsid w:val="003E288C"/>
    <w:rsid w:val="003E4E1C"/>
    <w:rsid w:val="003E66B8"/>
    <w:rsid w:val="003F0A81"/>
    <w:rsid w:val="003F4C50"/>
    <w:rsid w:val="003F5CC9"/>
    <w:rsid w:val="003F68C6"/>
    <w:rsid w:val="003F7B4B"/>
    <w:rsid w:val="00400306"/>
    <w:rsid w:val="004007BD"/>
    <w:rsid w:val="00400E94"/>
    <w:rsid w:val="004059BC"/>
    <w:rsid w:val="00407783"/>
    <w:rsid w:val="00416177"/>
    <w:rsid w:val="00417C88"/>
    <w:rsid w:val="00431ACD"/>
    <w:rsid w:val="00436454"/>
    <w:rsid w:val="00437534"/>
    <w:rsid w:val="004421EE"/>
    <w:rsid w:val="00450FE8"/>
    <w:rsid w:val="00452239"/>
    <w:rsid w:val="00452991"/>
    <w:rsid w:val="004628F9"/>
    <w:rsid w:val="00463875"/>
    <w:rsid w:val="00463BDD"/>
    <w:rsid w:val="0046605B"/>
    <w:rsid w:val="00471814"/>
    <w:rsid w:val="004738CE"/>
    <w:rsid w:val="00476457"/>
    <w:rsid w:val="004779AB"/>
    <w:rsid w:val="00481343"/>
    <w:rsid w:val="00484DD1"/>
    <w:rsid w:val="004B3919"/>
    <w:rsid w:val="004B4C98"/>
    <w:rsid w:val="004B6B19"/>
    <w:rsid w:val="004C2A84"/>
    <w:rsid w:val="004C3FC5"/>
    <w:rsid w:val="004C46C7"/>
    <w:rsid w:val="004C6B35"/>
    <w:rsid w:val="004C72F2"/>
    <w:rsid w:val="004D1694"/>
    <w:rsid w:val="004D2847"/>
    <w:rsid w:val="004E3CED"/>
    <w:rsid w:val="004E599E"/>
    <w:rsid w:val="004F5CE9"/>
    <w:rsid w:val="005005F7"/>
    <w:rsid w:val="00503C1F"/>
    <w:rsid w:val="00510045"/>
    <w:rsid w:val="00514B36"/>
    <w:rsid w:val="00514CC3"/>
    <w:rsid w:val="00515315"/>
    <w:rsid w:val="005158B8"/>
    <w:rsid w:val="00520DA8"/>
    <w:rsid w:val="005220F8"/>
    <w:rsid w:val="00525129"/>
    <w:rsid w:val="00525F59"/>
    <w:rsid w:val="00526245"/>
    <w:rsid w:val="00537193"/>
    <w:rsid w:val="00537FDF"/>
    <w:rsid w:val="00542C5B"/>
    <w:rsid w:val="005476FC"/>
    <w:rsid w:val="00551D99"/>
    <w:rsid w:val="00553615"/>
    <w:rsid w:val="0055436B"/>
    <w:rsid w:val="00555682"/>
    <w:rsid w:val="005557B5"/>
    <w:rsid w:val="00555A73"/>
    <w:rsid w:val="0057093B"/>
    <w:rsid w:val="005736B6"/>
    <w:rsid w:val="00576CF3"/>
    <w:rsid w:val="005850A8"/>
    <w:rsid w:val="005850E1"/>
    <w:rsid w:val="0058567C"/>
    <w:rsid w:val="005936AD"/>
    <w:rsid w:val="00595AFC"/>
    <w:rsid w:val="005A0258"/>
    <w:rsid w:val="005A4FCF"/>
    <w:rsid w:val="005A5F2A"/>
    <w:rsid w:val="005A6CBF"/>
    <w:rsid w:val="005B2812"/>
    <w:rsid w:val="005B74A7"/>
    <w:rsid w:val="005C03A9"/>
    <w:rsid w:val="005C0B48"/>
    <w:rsid w:val="005C6611"/>
    <w:rsid w:val="005D016B"/>
    <w:rsid w:val="005D254D"/>
    <w:rsid w:val="005E256D"/>
    <w:rsid w:val="005E2580"/>
    <w:rsid w:val="005E2C91"/>
    <w:rsid w:val="005F1D6B"/>
    <w:rsid w:val="005F62AF"/>
    <w:rsid w:val="006016F3"/>
    <w:rsid w:val="006018AE"/>
    <w:rsid w:val="00602F39"/>
    <w:rsid w:val="00606E0E"/>
    <w:rsid w:val="00613E84"/>
    <w:rsid w:val="00624BD3"/>
    <w:rsid w:val="00624F44"/>
    <w:rsid w:val="0064590E"/>
    <w:rsid w:val="006464E3"/>
    <w:rsid w:val="006478E0"/>
    <w:rsid w:val="00651804"/>
    <w:rsid w:val="0065223E"/>
    <w:rsid w:val="00660A4A"/>
    <w:rsid w:val="00663DFA"/>
    <w:rsid w:val="006660FB"/>
    <w:rsid w:val="006710AB"/>
    <w:rsid w:val="00671278"/>
    <w:rsid w:val="00672B1F"/>
    <w:rsid w:val="00674B42"/>
    <w:rsid w:val="0068346A"/>
    <w:rsid w:val="00684F0C"/>
    <w:rsid w:val="00691205"/>
    <w:rsid w:val="0069135E"/>
    <w:rsid w:val="00691EE1"/>
    <w:rsid w:val="00695E22"/>
    <w:rsid w:val="00696357"/>
    <w:rsid w:val="006979BD"/>
    <w:rsid w:val="006A242D"/>
    <w:rsid w:val="006B169C"/>
    <w:rsid w:val="006B193A"/>
    <w:rsid w:val="006B4D0C"/>
    <w:rsid w:val="006C02BD"/>
    <w:rsid w:val="006C435A"/>
    <w:rsid w:val="006C5877"/>
    <w:rsid w:val="006C64D9"/>
    <w:rsid w:val="006D3570"/>
    <w:rsid w:val="006E40B1"/>
    <w:rsid w:val="006E6198"/>
    <w:rsid w:val="006F2A6F"/>
    <w:rsid w:val="006F79A2"/>
    <w:rsid w:val="006F7D8E"/>
    <w:rsid w:val="00702028"/>
    <w:rsid w:val="007022CE"/>
    <w:rsid w:val="007149FC"/>
    <w:rsid w:val="00717B9D"/>
    <w:rsid w:val="00717DE1"/>
    <w:rsid w:val="00720D01"/>
    <w:rsid w:val="0072744C"/>
    <w:rsid w:val="00727DE6"/>
    <w:rsid w:val="00730435"/>
    <w:rsid w:val="00730F85"/>
    <w:rsid w:val="00742431"/>
    <w:rsid w:val="00746F1B"/>
    <w:rsid w:val="0075137D"/>
    <w:rsid w:val="0075167B"/>
    <w:rsid w:val="00756003"/>
    <w:rsid w:val="00761F7F"/>
    <w:rsid w:val="00770FBB"/>
    <w:rsid w:val="00791D37"/>
    <w:rsid w:val="007941CA"/>
    <w:rsid w:val="0079623F"/>
    <w:rsid w:val="007A2CD9"/>
    <w:rsid w:val="007B3A9A"/>
    <w:rsid w:val="007B5883"/>
    <w:rsid w:val="007C0F89"/>
    <w:rsid w:val="007C2243"/>
    <w:rsid w:val="007C49CB"/>
    <w:rsid w:val="007C66C8"/>
    <w:rsid w:val="007D3455"/>
    <w:rsid w:val="007D6CD4"/>
    <w:rsid w:val="007D78F7"/>
    <w:rsid w:val="007E07DD"/>
    <w:rsid w:val="007E3153"/>
    <w:rsid w:val="007E3269"/>
    <w:rsid w:val="007E5FC0"/>
    <w:rsid w:val="007E67AC"/>
    <w:rsid w:val="007F5A85"/>
    <w:rsid w:val="007F5E47"/>
    <w:rsid w:val="007F63C3"/>
    <w:rsid w:val="008005F5"/>
    <w:rsid w:val="008043B2"/>
    <w:rsid w:val="00810812"/>
    <w:rsid w:val="008139E7"/>
    <w:rsid w:val="00813DD6"/>
    <w:rsid w:val="00816B0F"/>
    <w:rsid w:val="00821430"/>
    <w:rsid w:val="008250C7"/>
    <w:rsid w:val="00832F9D"/>
    <w:rsid w:val="00833BD5"/>
    <w:rsid w:val="00836109"/>
    <w:rsid w:val="008438CD"/>
    <w:rsid w:val="00846488"/>
    <w:rsid w:val="00851665"/>
    <w:rsid w:val="00853AB8"/>
    <w:rsid w:val="00865D9B"/>
    <w:rsid w:val="00866B93"/>
    <w:rsid w:val="00867F45"/>
    <w:rsid w:val="008737C4"/>
    <w:rsid w:val="00874907"/>
    <w:rsid w:val="008750B2"/>
    <w:rsid w:val="008777C9"/>
    <w:rsid w:val="00877CBD"/>
    <w:rsid w:val="00881AF9"/>
    <w:rsid w:val="00883401"/>
    <w:rsid w:val="008859E1"/>
    <w:rsid w:val="008918F6"/>
    <w:rsid w:val="00893C9C"/>
    <w:rsid w:val="00896EC7"/>
    <w:rsid w:val="008A1113"/>
    <w:rsid w:val="008C4CE3"/>
    <w:rsid w:val="008C4EF3"/>
    <w:rsid w:val="008D316C"/>
    <w:rsid w:val="008E109A"/>
    <w:rsid w:val="008E6423"/>
    <w:rsid w:val="008E7366"/>
    <w:rsid w:val="008F03A0"/>
    <w:rsid w:val="008F4C1C"/>
    <w:rsid w:val="00903575"/>
    <w:rsid w:val="009041F3"/>
    <w:rsid w:val="00905971"/>
    <w:rsid w:val="00905FE6"/>
    <w:rsid w:val="00906C0E"/>
    <w:rsid w:val="00906FAB"/>
    <w:rsid w:val="009104A3"/>
    <w:rsid w:val="00913705"/>
    <w:rsid w:val="009219C2"/>
    <w:rsid w:val="00930853"/>
    <w:rsid w:val="00942898"/>
    <w:rsid w:val="00944148"/>
    <w:rsid w:val="00947333"/>
    <w:rsid w:val="009556C2"/>
    <w:rsid w:val="00955B0D"/>
    <w:rsid w:val="00960CD5"/>
    <w:rsid w:val="00961CE7"/>
    <w:rsid w:val="0096356A"/>
    <w:rsid w:val="0096476A"/>
    <w:rsid w:val="00966876"/>
    <w:rsid w:val="00967581"/>
    <w:rsid w:val="00971EFB"/>
    <w:rsid w:val="009773CD"/>
    <w:rsid w:val="00980888"/>
    <w:rsid w:val="009811FB"/>
    <w:rsid w:val="0099380F"/>
    <w:rsid w:val="0099387F"/>
    <w:rsid w:val="009950B5"/>
    <w:rsid w:val="009960BA"/>
    <w:rsid w:val="009B03E6"/>
    <w:rsid w:val="009B2BFF"/>
    <w:rsid w:val="009C06E7"/>
    <w:rsid w:val="009C3B9B"/>
    <w:rsid w:val="009C7A5C"/>
    <w:rsid w:val="009D4083"/>
    <w:rsid w:val="009E1374"/>
    <w:rsid w:val="009E30EB"/>
    <w:rsid w:val="009E6D2C"/>
    <w:rsid w:val="009F5DB2"/>
    <w:rsid w:val="00A06E0E"/>
    <w:rsid w:val="00A0762C"/>
    <w:rsid w:val="00A12F32"/>
    <w:rsid w:val="00A142EF"/>
    <w:rsid w:val="00A15800"/>
    <w:rsid w:val="00A175EC"/>
    <w:rsid w:val="00A205D8"/>
    <w:rsid w:val="00A2535D"/>
    <w:rsid w:val="00A2596D"/>
    <w:rsid w:val="00A27F69"/>
    <w:rsid w:val="00A308B0"/>
    <w:rsid w:val="00A30B89"/>
    <w:rsid w:val="00A31FA7"/>
    <w:rsid w:val="00A36E3E"/>
    <w:rsid w:val="00A3716E"/>
    <w:rsid w:val="00A377BB"/>
    <w:rsid w:val="00A37FC0"/>
    <w:rsid w:val="00A52FA6"/>
    <w:rsid w:val="00A61932"/>
    <w:rsid w:val="00A62F5B"/>
    <w:rsid w:val="00A64655"/>
    <w:rsid w:val="00A65C6D"/>
    <w:rsid w:val="00A65DD0"/>
    <w:rsid w:val="00A71091"/>
    <w:rsid w:val="00A71419"/>
    <w:rsid w:val="00A77C04"/>
    <w:rsid w:val="00A90C3F"/>
    <w:rsid w:val="00A95ED4"/>
    <w:rsid w:val="00A96635"/>
    <w:rsid w:val="00AA0617"/>
    <w:rsid w:val="00AA7D50"/>
    <w:rsid w:val="00AB5601"/>
    <w:rsid w:val="00AB6275"/>
    <w:rsid w:val="00AC4FD1"/>
    <w:rsid w:val="00AD1343"/>
    <w:rsid w:val="00AD14A3"/>
    <w:rsid w:val="00AD6046"/>
    <w:rsid w:val="00AD6288"/>
    <w:rsid w:val="00AE11FF"/>
    <w:rsid w:val="00AE3BBC"/>
    <w:rsid w:val="00AE59D5"/>
    <w:rsid w:val="00AE7782"/>
    <w:rsid w:val="00AF1520"/>
    <w:rsid w:val="00AF238D"/>
    <w:rsid w:val="00AF61D2"/>
    <w:rsid w:val="00B142CE"/>
    <w:rsid w:val="00B14DFA"/>
    <w:rsid w:val="00B30F3D"/>
    <w:rsid w:val="00B34BEA"/>
    <w:rsid w:val="00B3550E"/>
    <w:rsid w:val="00B3794F"/>
    <w:rsid w:val="00B4193B"/>
    <w:rsid w:val="00B45199"/>
    <w:rsid w:val="00B4575E"/>
    <w:rsid w:val="00B45935"/>
    <w:rsid w:val="00B52D7B"/>
    <w:rsid w:val="00B56102"/>
    <w:rsid w:val="00B570FE"/>
    <w:rsid w:val="00B629B4"/>
    <w:rsid w:val="00B63A19"/>
    <w:rsid w:val="00B71033"/>
    <w:rsid w:val="00B726E2"/>
    <w:rsid w:val="00B8734E"/>
    <w:rsid w:val="00B87618"/>
    <w:rsid w:val="00B878F6"/>
    <w:rsid w:val="00B93997"/>
    <w:rsid w:val="00B943DF"/>
    <w:rsid w:val="00BA40DD"/>
    <w:rsid w:val="00BA6B66"/>
    <w:rsid w:val="00BB0302"/>
    <w:rsid w:val="00BB13A7"/>
    <w:rsid w:val="00BB1576"/>
    <w:rsid w:val="00BB2923"/>
    <w:rsid w:val="00BB4184"/>
    <w:rsid w:val="00BC46AF"/>
    <w:rsid w:val="00BD4275"/>
    <w:rsid w:val="00BD5859"/>
    <w:rsid w:val="00BD6CCF"/>
    <w:rsid w:val="00BE1915"/>
    <w:rsid w:val="00BE2A26"/>
    <w:rsid w:val="00BE4AF0"/>
    <w:rsid w:val="00BF2E38"/>
    <w:rsid w:val="00C04E4F"/>
    <w:rsid w:val="00C06B9C"/>
    <w:rsid w:val="00C10465"/>
    <w:rsid w:val="00C20862"/>
    <w:rsid w:val="00C25F9B"/>
    <w:rsid w:val="00C266CD"/>
    <w:rsid w:val="00C27E66"/>
    <w:rsid w:val="00C365BA"/>
    <w:rsid w:val="00C40FD6"/>
    <w:rsid w:val="00C4373B"/>
    <w:rsid w:val="00C43EDF"/>
    <w:rsid w:val="00C50666"/>
    <w:rsid w:val="00C51D24"/>
    <w:rsid w:val="00C5334A"/>
    <w:rsid w:val="00C53E81"/>
    <w:rsid w:val="00C54790"/>
    <w:rsid w:val="00C55146"/>
    <w:rsid w:val="00C5692D"/>
    <w:rsid w:val="00C569B7"/>
    <w:rsid w:val="00C57AC6"/>
    <w:rsid w:val="00C60DA1"/>
    <w:rsid w:val="00C70A2F"/>
    <w:rsid w:val="00C77315"/>
    <w:rsid w:val="00C8097C"/>
    <w:rsid w:val="00C85047"/>
    <w:rsid w:val="00C8538D"/>
    <w:rsid w:val="00C906F7"/>
    <w:rsid w:val="00C937AB"/>
    <w:rsid w:val="00CA2C55"/>
    <w:rsid w:val="00CA2DB3"/>
    <w:rsid w:val="00CA3196"/>
    <w:rsid w:val="00CA3EE1"/>
    <w:rsid w:val="00CB6C2D"/>
    <w:rsid w:val="00CC1F3D"/>
    <w:rsid w:val="00CC3FF1"/>
    <w:rsid w:val="00CC4676"/>
    <w:rsid w:val="00CD406E"/>
    <w:rsid w:val="00CE051B"/>
    <w:rsid w:val="00CE183E"/>
    <w:rsid w:val="00CE2087"/>
    <w:rsid w:val="00CE223B"/>
    <w:rsid w:val="00CE46CB"/>
    <w:rsid w:val="00CE532F"/>
    <w:rsid w:val="00CE5840"/>
    <w:rsid w:val="00CE71FC"/>
    <w:rsid w:val="00CF12FB"/>
    <w:rsid w:val="00D041AA"/>
    <w:rsid w:val="00D04E9A"/>
    <w:rsid w:val="00D13799"/>
    <w:rsid w:val="00D172ED"/>
    <w:rsid w:val="00D2012F"/>
    <w:rsid w:val="00D23D2A"/>
    <w:rsid w:val="00D24FD2"/>
    <w:rsid w:val="00D25E7B"/>
    <w:rsid w:val="00D27E2F"/>
    <w:rsid w:val="00D36573"/>
    <w:rsid w:val="00D41399"/>
    <w:rsid w:val="00D42B03"/>
    <w:rsid w:val="00D43C10"/>
    <w:rsid w:val="00D4475C"/>
    <w:rsid w:val="00D44F94"/>
    <w:rsid w:val="00D5294F"/>
    <w:rsid w:val="00D550D0"/>
    <w:rsid w:val="00D725BA"/>
    <w:rsid w:val="00D73F56"/>
    <w:rsid w:val="00D7555F"/>
    <w:rsid w:val="00D7612D"/>
    <w:rsid w:val="00D76CB4"/>
    <w:rsid w:val="00D84BAE"/>
    <w:rsid w:val="00D860E7"/>
    <w:rsid w:val="00D87008"/>
    <w:rsid w:val="00D87EFC"/>
    <w:rsid w:val="00D91C19"/>
    <w:rsid w:val="00D929ED"/>
    <w:rsid w:val="00D932F3"/>
    <w:rsid w:val="00D97B7F"/>
    <w:rsid w:val="00DA66E4"/>
    <w:rsid w:val="00DB32C4"/>
    <w:rsid w:val="00DB6485"/>
    <w:rsid w:val="00DD7E55"/>
    <w:rsid w:val="00DE4F3C"/>
    <w:rsid w:val="00DE565B"/>
    <w:rsid w:val="00DE715A"/>
    <w:rsid w:val="00DF151F"/>
    <w:rsid w:val="00DF2096"/>
    <w:rsid w:val="00DF6E40"/>
    <w:rsid w:val="00DF73CD"/>
    <w:rsid w:val="00E03745"/>
    <w:rsid w:val="00E04643"/>
    <w:rsid w:val="00E04EA7"/>
    <w:rsid w:val="00E05063"/>
    <w:rsid w:val="00E053C0"/>
    <w:rsid w:val="00E05EA0"/>
    <w:rsid w:val="00E06A41"/>
    <w:rsid w:val="00E11269"/>
    <w:rsid w:val="00E14631"/>
    <w:rsid w:val="00E26535"/>
    <w:rsid w:val="00E306AB"/>
    <w:rsid w:val="00E31E04"/>
    <w:rsid w:val="00E37A38"/>
    <w:rsid w:val="00E43947"/>
    <w:rsid w:val="00E506DD"/>
    <w:rsid w:val="00E5154B"/>
    <w:rsid w:val="00E51C43"/>
    <w:rsid w:val="00E61579"/>
    <w:rsid w:val="00E6170F"/>
    <w:rsid w:val="00E676A6"/>
    <w:rsid w:val="00E7018E"/>
    <w:rsid w:val="00E714C0"/>
    <w:rsid w:val="00E73984"/>
    <w:rsid w:val="00E74A56"/>
    <w:rsid w:val="00E82538"/>
    <w:rsid w:val="00E83A71"/>
    <w:rsid w:val="00E91D57"/>
    <w:rsid w:val="00E92240"/>
    <w:rsid w:val="00E94F93"/>
    <w:rsid w:val="00EA3468"/>
    <w:rsid w:val="00EA4586"/>
    <w:rsid w:val="00EA6539"/>
    <w:rsid w:val="00EB00FB"/>
    <w:rsid w:val="00EB23E1"/>
    <w:rsid w:val="00EB301A"/>
    <w:rsid w:val="00EB4774"/>
    <w:rsid w:val="00EB7BD9"/>
    <w:rsid w:val="00EC407D"/>
    <w:rsid w:val="00EC41F8"/>
    <w:rsid w:val="00EC68B0"/>
    <w:rsid w:val="00ED0406"/>
    <w:rsid w:val="00ED1343"/>
    <w:rsid w:val="00ED5FCE"/>
    <w:rsid w:val="00ED6389"/>
    <w:rsid w:val="00ED73B7"/>
    <w:rsid w:val="00ED7949"/>
    <w:rsid w:val="00EE565D"/>
    <w:rsid w:val="00EF0A14"/>
    <w:rsid w:val="00EF5D93"/>
    <w:rsid w:val="00EF772C"/>
    <w:rsid w:val="00F136A5"/>
    <w:rsid w:val="00F14075"/>
    <w:rsid w:val="00F14246"/>
    <w:rsid w:val="00F14305"/>
    <w:rsid w:val="00F1601C"/>
    <w:rsid w:val="00F22E2A"/>
    <w:rsid w:val="00F23A38"/>
    <w:rsid w:val="00F4263E"/>
    <w:rsid w:val="00F46046"/>
    <w:rsid w:val="00F476FA"/>
    <w:rsid w:val="00F6141A"/>
    <w:rsid w:val="00F62C15"/>
    <w:rsid w:val="00F65119"/>
    <w:rsid w:val="00F663C4"/>
    <w:rsid w:val="00F70213"/>
    <w:rsid w:val="00F70273"/>
    <w:rsid w:val="00F808F6"/>
    <w:rsid w:val="00F80D57"/>
    <w:rsid w:val="00F8117A"/>
    <w:rsid w:val="00F83ABD"/>
    <w:rsid w:val="00F91E78"/>
    <w:rsid w:val="00F934DD"/>
    <w:rsid w:val="00F96EB0"/>
    <w:rsid w:val="00FA0208"/>
    <w:rsid w:val="00FB5B77"/>
    <w:rsid w:val="00FC52BF"/>
    <w:rsid w:val="00FD168B"/>
    <w:rsid w:val="00FE4BB5"/>
    <w:rsid w:val="00FF0AE9"/>
    <w:rsid w:val="00FF5BEB"/>
    <w:rsid w:val="00FF715F"/>
    <w:rsid w:val="00FF75B4"/>
    <w:rsid w:val="04D1E97E"/>
    <w:rsid w:val="1886DB16"/>
    <w:rsid w:val="4A474F3C"/>
    <w:rsid w:val="5059A064"/>
    <w:rsid w:val="6D3D0C5F"/>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F19D7"/>
  <w15:docId w15:val="{91E2EFEE-1FBB-48BA-9221-05CDCE6D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C50"/>
    <w:rPr>
      <w:lang w:val="en-GB"/>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qFormat/>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850A8"/>
    <w:rPr>
      <w:rFonts w:asciiTheme="minorHAnsi" w:hAnsiTheme="minorHAnsi"/>
      <w:b/>
      <w:bCs/>
    </w:rPr>
  </w:style>
  <w:style w:type="character" w:customStyle="1" w:styleId="CommentSubjectChar">
    <w:name w:val="Comment Subject Char"/>
    <w:basedOn w:val="CommentTextChar"/>
    <w:link w:val="CommentSubject"/>
    <w:uiPriority w:val="99"/>
    <w:semiHidden/>
    <w:rsid w:val="005850A8"/>
    <w:rPr>
      <w:rFonts w:ascii="Cambria" w:hAnsi="Cambria"/>
      <w:b/>
      <w:bCs/>
      <w:sz w:val="20"/>
      <w:szCs w:val="20"/>
    </w:rPr>
  </w:style>
  <w:style w:type="paragraph" w:customStyle="1" w:styleId="Default">
    <w:name w:val="Default"/>
    <w:rsid w:val="005850A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31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31E04"/>
    <w:pPr>
      <w:spacing w:line="240" w:lineRule="auto"/>
    </w:pPr>
    <w:rPr>
      <w:i/>
      <w:iCs/>
      <w:color w:val="1F497D" w:themeColor="text2"/>
      <w:sz w:val="18"/>
      <w:szCs w:val="18"/>
    </w:rPr>
  </w:style>
  <w:style w:type="paragraph" w:styleId="Header">
    <w:name w:val="header"/>
    <w:basedOn w:val="Normal"/>
    <w:link w:val="HeaderChar"/>
    <w:uiPriority w:val="99"/>
    <w:unhideWhenUsed/>
    <w:rsid w:val="00416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177"/>
  </w:style>
  <w:style w:type="character" w:styleId="UnresolvedMention">
    <w:name w:val="Unresolved Mention"/>
    <w:basedOn w:val="DefaultParagraphFont"/>
    <w:uiPriority w:val="99"/>
    <w:semiHidden/>
    <w:unhideWhenUsed/>
    <w:rsid w:val="00CE223B"/>
    <w:rPr>
      <w:color w:val="605E5C"/>
      <w:shd w:val="clear" w:color="auto" w:fill="E1DFDD"/>
    </w:rPr>
  </w:style>
  <w:style w:type="character" w:styleId="FollowedHyperlink">
    <w:name w:val="FollowedHyperlink"/>
    <w:basedOn w:val="DefaultParagraphFont"/>
    <w:uiPriority w:val="99"/>
    <w:semiHidden/>
    <w:unhideWhenUsed/>
    <w:rsid w:val="006E6198"/>
    <w:rPr>
      <w:color w:val="800080" w:themeColor="followedHyperlink"/>
      <w:u w:val="single"/>
    </w:rPr>
  </w:style>
  <w:style w:type="paragraph" w:styleId="BodyText">
    <w:name w:val="Body Text"/>
    <w:basedOn w:val="Normal"/>
    <w:link w:val="BodyTextChar"/>
    <w:uiPriority w:val="99"/>
    <w:unhideWhenUsed/>
    <w:qFormat/>
    <w:rsid w:val="003F4C50"/>
    <w:pPr>
      <w:spacing w:after="120"/>
    </w:pPr>
    <w:rPr>
      <w:rFonts w:ascii="Times New Roman" w:hAnsi="Times New Roman"/>
      <w:sz w:val="24"/>
    </w:rPr>
  </w:style>
  <w:style w:type="character" w:customStyle="1" w:styleId="BodyTextChar">
    <w:name w:val="Body Text Char"/>
    <w:basedOn w:val="DefaultParagraphFont"/>
    <w:link w:val="BodyText"/>
    <w:uiPriority w:val="99"/>
    <w:rsid w:val="003F4C50"/>
    <w:rPr>
      <w:rFonts w:ascii="Times New Roman" w:hAnsi="Times New Roman"/>
      <w:sz w:val="24"/>
      <w:lang w:val="en-GB"/>
    </w:rPr>
  </w:style>
  <w:style w:type="paragraph" w:customStyle="1" w:styleId="TableParagraph">
    <w:name w:val="Table Paragraph"/>
    <w:basedOn w:val="Normal"/>
    <w:uiPriority w:val="1"/>
    <w:qFormat/>
    <w:rsid w:val="00D13799"/>
    <w:pPr>
      <w:widowControl w:val="0"/>
      <w:autoSpaceDE w:val="0"/>
      <w:autoSpaceDN w:val="0"/>
      <w:spacing w:after="0" w:line="240" w:lineRule="auto"/>
    </w:pPr>
    <w:rPr>
      <w:rFonts w:ascii="Times New Roman" w:eastAsia="Times New Roman" w:hAnsi="Times New Roman" w:cs="Times New Roman"/>
      <w:lang w:val="en-US"/>
    </w:rPr>
  </w:style>
  <w:style w:type="paragraph" w:styleId="Title">
    <w:name w:val="Title"/>
    <w:basedOn w:val="Normal"/>
    <w:next w:val="Normal"/>
    <w:link w:val="TitleChar"/>
    <w:uiPriority w:val="10"/>
    <w:qFormat/>
    <w:rsid w:val="00B451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199"/>
    <w:rPr>
      <w:rFonts w:asciiTheme="majorHAnsi" w:eastAsiaTheme="majorEastAsia" w:hAnsiTheme="majorHAnsi" w:cstheme="majorBidi"/>
      <w:spacing w:val="-10"/>
      <w:kern w:val="28"/>
      <w:sz w:val="56"/>
      <w:szCs w:val="56"/>
      <w:lang w:val="en-GB"/>
    </w:rPr>
  </w:style>
  <w:style w:type="paragraph" w:styleId="Revision">
    <w:name w:val="Revision"/>
    <w:hidden/>
    <w:uiPriority w:val="99"/>
    <w:semiHidden/>
    <w:rsid w:val="004C2A8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2622">
      <w:bodyDiv w:val="1"/>
      <w:marLeft w:val="0"/>
      <w:marRight w:val="0"/>
      <w:marTop w:val="0"/>
      <w:marBottom w:val="0"/>
      <w:divBdr>
        <w:top w:val="none" w:sz="0" w:space="0" w:color="auto"/>
        <w:left w:val="none" w:sz="0" w:space="0" w:color="auto"/>
        <w:bottom w:val="none" w:sz="0" w:space="0" w:color="auto"/>
        <w:right w:val="none" w:sz="0" w:space="0" w:color="auto"/>
      </w:divBdr>
    </w:div>
    <w:div w:id="316081317">
      <w:bodyDiv w:val="1"/>
      <w:marLeft w:val="0"/>
      <w:marRight w:val="0"/>
      <w:marTop w:val="0"/>
      <w:marBottom w:val="0"/>
      <w:divBdr>
        <w:top w:val="none" w:sz="0" w:space="0" w:color="auto"/>
        <w:left w:val="none" w:sz="0" w:space="0" w:color="auto"/>
        <w:bottom w:val="none" w:sz="0" w:space="0" w:color="auto"/>
        <w:right w:val="none" w:sz="0" w:space="0" w:color="auto"/>
      </w:divBdr>
    </w:div>
    <w:div w:id="1155489020">
      <w:bodyDiv w:val="1"/>
      <w:marLeft w:val="0"/>
      <w:marRight w:val="0"/>
      <w:marTop w:val="0"/>
      <w:marBottom w:val="0"/>
      <w:divBdr>
        <w:top w:val="none" w:sz="0" w:space="0" w:color="auto"/>
        <w:left w:val="none" w:sz="0" w:space="0" w:color="auto"/>
        <w:bottom w:val="none" w:sz="0" w:space="0" w:color="auto"/>
        <w:right w:val="none" w:sz="0" w:space="0" w:color="auto"/>
      </w:divBdr>
    </w:div>
    <w:div w:id="1554348612">
      <w:bodyDiv w:val="1"/>
      <w:marLeft w:val="0"/>
      <w:marRight w:val="0"/>
      <w:marTop w:val="0"/>
      <w:marBottom w:val="0"/>
      <w:divBdr>
        <w:top w:val="none" w:sz="0" w:space="0" w:color="auto"/>
        <w:left w:val="none" w:sz="0" w:space="0" w:color="auto"/>
        <w:bottom w:val="none" w:sz="0" w:space="0" w:color="auto"/>
        <w:right w:val="none" w:sz="0" w:space="0" w:color="auto"/>
      </w:divBdr>
    </w:div>
    <w:div w:id="1583679350">
      <w:bodyDiv w:val="1"/>
      <w:marLeft w:val="0"/>
      <w:marRight w:val="0"/>
      <w:marTop w:val="0"/>
      <w:marBottom w:val="0"/>
      <w:divBdr>
        <w:top w:val="none" w:sz="0" w:space="0" w:color="auto"/>
        <w:left w:val="none" w:sz="0" w:space="0" w:color="auto"/>
        <w:bottom w:val="none" w:sz="0" w:space="0" w:color="auto"/>
        <w:right w:val="none" w:sz="0" w:space="0" w:color="auto"/>
      </w:divBdr>
    </w:div>
    <w:div w:id="181444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ce\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C9D961F2B2B4FBB76AB9E7ECF9005" ma:contentTypeVersion="8" ma:contentTypeDescription="Create a new document." ma:contentTypeScope="" ma:versionID="b6e64a60379b788f3d167f2fa3d75441">
  <xsd:schema xmlns:xsd="http://www.w3.org/2001/XMLSchema" xmlns:xs="http://www.w3.org/2001/XMLSchema" xmlns:p="http://schemas.microsoft.com/office/2006/metadata/properties" xmlns:ns1="http://schemas.microsoft.com/sharepoint/v3" xmlns:ns2="bfd61fac-c190-4a8b-81f4-e25d6767e775" xmlns:ns3="58bc51e9-82f7-4a33-a2b2-3395e6e73634" targetNamespace="http://schemas.microsoft.com/office/2006/metadata/properties" ma:root="true" ma:fieldsID="c1bac73587aa5b438e629453e9954b00" ns1:_="" ns2:_="" ns3:_="">
    <xsd:import namespace="http://schemas.microsoft.com/sharepoint/v3"/>
    <xsd:import namespace="bfd61fac-c190-4a8b-81f4-e25d6767e775"/>
    <xsd:import namespace="58bc51e9-82f7-4a33-a2b2-3395e6e736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61fac-c190-4a8b-81f4-e25d6767e7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bc51e9-82f7-4a33-a2b2-3395e6e736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fd61fac-c190-4a8b-81f4-e25d6767e77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7823A-663E-4850-8165-819A3916B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d61fac-c190-4a8b-81f4-e25d6767e775"/>
    <ds:schemaRef ds:uri="58bc51e9-82f7-4a33-a2b2-3395e6e73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E75A0-7FF6-4D15-B29F-DC0A4A836748}">
  <ds:schemaRefs>
    <ds:schemaRef ds:uri="http://schemas.microsoft.com/office/2006/metadata/properties"/>
    <ds:schemaRef ds:uri="http://schemas.microsoft.com/sharepoint/v3"/>
    <ds:schemaRef ds:uri="58bc51e9-82f7-4a33-a2b2-3395e6e73634"/>
    <ds:schemaRef ds:uri="http://purl.org/dc/terms/"/>
    <ds:schemaRef ds:uri="bfd61fac-c190-4a8b-81f4-e25d6767e77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907F8F0-D730-4DE1-9F3F-D325BB84952B}">
  <ds:schemaRefs>
    <ds:schemaRef ds:uri="http://schemas.openxmlformats.org/officeDocument/2006/bibliography"/>
  </ds:schemaRefs>
</ds:datastoreItem>
</file>

<file path=customXml/itemProps4.xml><?xml version="1.0" encoding="utf-8"?>
<ds:datastoreItem xmlns:ds="http://schemas.openxmlformats.org/officeDocument/2006/customXml" ds:itemID="{46AC24A3-1D03-49BD-ADB6-D388906DC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6</TotalTime>
  <Pages>18</Pages>
  <Words>5571</Words>
  <Characters>34844</Characters>
  <Application>Microsoft Office Word</Application>
  <DocSecurity>0</DocSecurity>
  <Lines>995</Lines>
  <Paragraphs>721</Paragraphs>
  <ScaleCrop>false</ScaleCrop>
  <HeadingPairs>
    <vt:vector size="2" baseType="variant">
      <vt:variant>
        <vt:lpstr>Title</vt:lpstr>
      </vt:variant>
      <vt:variant>
        <vt:i4>1</vt:i4>
      </vt:variant>
    </vt:vector>
  </HeadingPairs>
  <TitlesOfParts>
    <vt:vector size="1" baseType="lpstr">
      <vt:lpstr>AusPAR Attachment 1: Product Information for Esperoct</vt:lpstr>
    </vt:vector>
  </TitlesOfParts>
  <Company>Therapeutic Goods Administration</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Esperoct</dc:title>
  <dc:subject>Prescription medicines</dc:subject>
  <dc:creator>Novo Nordisk Pharmaceuticals Pty Ltd</dc:creator>
  <cp:lastModifiedBy>MCMAHON, Emily</cp:lastModifiedBy>
  <cp:revision>9</cp:revision>
  <cp:lastPrinted>2017-11-13T05:13:00Z</cp:lastPrinted>
  <dcterms:created xsi:type="dcterms:W3CDTF">2023-10-29T23:40:00Z</dcterms:created>
  <dcterms:modified xsi:type="dcterms:W3CDTF">2023-10-29T23:48:00Z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0x010100761C9D961F2B2B4FBB76AB9E7ECF9005</vt:lpwstr>
  </property>
</Properties>
</file>