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5E1DCBA" w14:textId="77777777" w:rsidTr="002B29B2">
        <w:tc>
          <w:tcPr>
            <w:tcW w:w="8720" w:type="dxa"/>
          </w:tcPr>
          <w:p w14:paraId="798DF44B" w14:textId="04612AC4" w:rsidR="005B445B" w:rsidRPr="00215D48" w:rsidRDefault="00457050" w:rsidP="00C3427A">
            <w:pPr>
              <w:pStyle w:val="Title"/>
            </w:pPr>
            <w:bookmarkStart w:id="0" w:name="_Hlk145935416"/>
            <w:r>
              <w:t>Notice of final decision to amend (or not amend) the current Poisons Standard</w:t>
            </w:r>
            <w:r w:rsidR="00940998">
              <w:t xml:space="preserve"> in relation to lead</w:t>
            </w:r>
            <w:bookmarkEnd w:id="0"/>
          </w:p>
        </w:tc>
      </w:tr>
      <w:tr w:rsidR="00F02AEC" w:rsidRPr="00215D48" w14:paraId="5819680E" w14:textId="77777777" w:rsidTr="002B29B2">
        <w:trPr>
          <w:trHeight w:val="1916"/>
        </w:trPr>
        <w:tc>
          <w:tcPr>
            <w:tcW w:w="8720" w:type="dxa"/>
          </w:tcPr>
          <w:p w14:paraId="54DDB299" w14:textId="200895A2" w:rsidR="00F02AEC" w:rsidRPr="00215D48" w:rsidRDefault="00C3427A" w:rsidP="00D1612F">
            <w:pPr>
              <w:pStyle w:val="Subtitle"/>
              <w:ind w:left="0"/>
            </w:pPr>
            <w:r>
              <w:t xml:space="preserve">18 </w:t>
            </w:r>
            <w:r w:rsidR="005B445B">
              <w:t>September 2023</w:t>
            </w:r>
          </w:p>
        </w:tc>
      </w:tr>
      <w:tr w:rsidR="00F02AEC" w:rsidRPr="00215D48" w14:paraId="2DBDA257" w14:textId="77777777" w:rsidTr="002B29B2">
        <w:tc>
          <w:tcPr>
            <w:tcW w:w="8720" w:type="dxa"/>
          </w:tcPr>
          <w:p w14:paraId="61B9BE12" w14:textId="2524F034" w:rsidR="00F02AEC" w:rsidRPr="00215D48" w:rsidRDefault="00F02AEC" w:rsidP="00967490">
            <w:pPr>
              <w:pStyle w:val="Date"/>
            </w:pPr>
          </w:p>
        </w:tc>
      </w:tr>
    </w:tbl>
    <w:p w14:paraId="5F09A95D" w14:textId="77777777" w:rsidR="00F02AEC" w:rsidRPr="00215D48" w:rsidRDefault="00F02AEC" w:rsidP="00967490">
      <w:pPr>
        <w:pStyle w:val="ListBullet"/>
        <w:sectPr w:rsidR="00F02AEC" w:rsidRPr="00215D48" w:rsidSect="00CB0550">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10B332C0" w14:textId="77777777" w:rsidR="00F02AEC" w:rsidRPr="001356D7" w:rsidRDefault="00F02AEC" w:rsidP="00967490">
      <w:pPr>
        <w:pStyle w:val="LegalSubheading"/>
        <w:rPr>
          <w:rFonts w:asciiTheme="minorHAnsi" w:hAnsiTheme="minorHAnsi" w:cstheme="minorHAnsi"/>
          <w:color w:val="auto"/>
        </w:rPr>
      </w:pPr>
      <w:r w:rsidRPr="001356D7">
        <w:rPr>
          <w:rFonts w:asciiTheme="minorHAnsi" w:hAnsiTheme="minorHAnsi" w:cstheme="minorHAnsi"/>
          <w:color w:val="auto"/>
        </w:rPr>
        <w:lastRenderedPageBreak/>
        <w:t>Copyright</w:t>
      </w:r>
    </w:p>
    <w:p w14:paraId="5671087C" w14:textId="486EDED3" w:rsidR="00175CD8" w:rsidRPr="001356D7" w:rsidRDefault="00F02AEC" w:rsidP="00D1612F">
      <w:pPr>
        <w:pStyle w:val="LegalCopy"/>
        <w:rPr>
          <w:rFonts w:asciiTheme="minorHAnsi" w:hAnsiTheme="minorHAnsi" w:cstheme="minorHAnsi"/>
        </w:rPr>
      </w:pPr>
      <w:r w:rsidRPr="001356D7">
        <w:rPr>
          <w:rFonts w:asciiTheme="minorHAnsi" w:hAnsiTheme="minorHAnsi" w:cstheme="minorHAnsi"/>
          <w:color w:val="auto"/>
        </w:rPr>
        <w:t>© Commonwealth of Australia 202</w:t>
      </w:r>
      <w:r w:rsidR="00457050" w:rsidRPr="001356D7">
        <w:rPr>
          <w:rFonts w:asciiTheme="minorHAnsi" w:hAnsiTheme="minorHAnsi" w:cstheme="minorHAnsi"/>
          <w:color w:val="auto"/>
        </w:rPr>
        <w:t>3</w:t>
      </w:r>
      <w:r w:rsidRPr="001356D7">
        <w:rPr>
          <w:rFonts w:asciiTheme="minorHAnsi" w:hAnsiTheme="minorHAnsi" w:cstheme="minorHAnsi"/>
          <w:color w:val="auto"/>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356D7">
        <w:rPr>
          <w:rFonts w:asciiTheme="minorHAnsi" w:hAnsiTheme="minorHAnsi" w:cstheme="minorHAnsi"/>
          <w:i/>
          <w:color w:val="auto"/>
        </w:rPr>
        <w:t>Copyright Act 1968</w:t>
      </w:r>
      <w:r w:rsidRPr="001356D7">
        <w:rPr>
          <w:rFonts w:asciiTheme="minorHAnsi" w:hAnsiTheme="minorHAnsi" w:cstheme="minorHAnsi"/>
          <w:color w:val="auto"/>
        </w:rPr>
        <w:t xml:space="preserve"> or allowed by this copyright notice, all other rights are </w:t>
      </w:r>
      <w:proofErr w:type="gramStart"/>
      <w:r w:rsidRPr="001356D7">
        <w:rPr>
          <w:rFonts w:asciiTheme="minorHAnsi" w:hAnsiTheme="minorHAnsi" w:cstheme="minorHAnsi"/>
          <w:color w:val="auto"/>
        </w:rPr>
        <w:t>reserved</w:t>
      </w:r>
      <w:proofErr w:type="gramEnd"/>
      <w:r w:rsidRPr="001356D7">
        <w:rPr>
          <w:rFonts w:asciiTheme="minorHAnsi" w:hAnsiTheme="minorHAnsi" w:cstheme="minorHAnsi"/>
          <w:color w:val="auto"/>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r w:rsidRPr="001356D7">
        <w:rPr>
          <w:rFonts w:asciiTheme="minorHAnsi" w:hAnsiTheme="minorHAnsi" w:cstheme="minorHAnsi"/>
        </w:rPr>
        <w:t>&lt;</w:t>
      </w:r>
      <w:hyperlink r:id="rId11" w:history="1">
        <w:r w:rsidRPr="001356D7">
          <w:rPr>
            <w:rStyle w:val="Hyperlink"/>
            <w:rFonts w:asciiTheme="minorHAnsi" w:hAnsiTheme="minorHAnsi" w:cstheme="minorHAnsi"/>
          </w:rPr>
          <w:t>tga.copyright@tga.gov.au</w:t>
        </w:r>
      </w:hyperlink>
      <w:r w:rsidRPr="001356D7">
        <w:rPr>
          <w:rFonts w:asciiTheme="minorHAnsi" w:hAnsiTheme="minorHAnsi" w:cstheme="minorHAnsi"/>
        </w:rPr>
        <w:t>&gt;.</w:t>
      </w:r>
    </w:p>
    <w:p w14:paraId="60670D55" w14:textId="5E9985A0" w:rsidR="001356D7" w:rsidRDefault="001356D7" w:rsidP="00D1612F">
      <w:pPr>
        <w:pStyle w:val="LegalCopy"/>
      </w:pPr>
    </w:p>
    <w:p w14:paraId="4B61DE14" w14:textId="77777777" w:rsidR="001356D7" w:rsidRPr="0090744F" w:rsidRDefault="001356D7" w:rsidP="001356D7">
      <w:pPr>
        <w:rPr>
          <w:rFonts w:cstheme="minorHAnsi"/>
          <w:b/>
          <w:sz w:val="17"/>
          <w:szCs w:val="17"/>
        </w:rPr>
      </w:pPr>
      <w:r w:rsidRPr="0090744F">
        <w:rPr>
          <w:rFonts w:cstheme="minorHAnsi"/>
          <w:b/>
          <w:sz w:val="17"/>
          <w:szCs w:val="17"/>
        </w:rPr>
        <w:t>Confidentiality</w:t>
      </w:r>
    </w:p>
    <w:p w14:paraId="04917F2F" w14:textId="77777777" w:rsidR="001356D7" w:rsidRPr="0090744F" w:rsidRDefault="001356D7" w:rsidP="001356D7">
      <w:pPr>
        <w:rPr>
          <w:rFonts w:cstheme="minorHAnsi"/>
          <w:sz w:val="17"/>
          <w:szCs w:val="17"/>
        </w:rPr>
      </w:pPr>
      <w:r w:rsidRPr="0090744F">
        <w:rPr>
          <w:rFonts w:cstheme="minorHAnsi"/>
          <w:sz w:val="17"/>
          <w:szCs w:val="17"/>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p w14:paraId="42A83E11" w14:textId="77777777" w:rsidR="001356D7" w:rsidRPr="00FA49C3" w:rsidRDefault="001356D7" w:rsidP="00D1612F">
      <w:pPr>
        <w:pStyle w:val="LegalCopy"/>
      </w:pPr>
    </w:p>
    <w:sdt>
      <w:sdtPr>
        <w:rPr>
          <w:rFonts w:ascii="Cambria" w:eastAsiaTheme="minorHAnsi" w:hAnsi="Cambria" w:cstheme="minorBidi"/>
          <w:b w:val="0"/>
          <w:color w:val="auto"/>
          <w:sz w:val="22"/>
        </w:rPr>
        <w:id w:val="21514769"/>
        <w:docPartObj>
          <w:docPartGallery w:val="Table of Contents"/>
          <w:docPartUnique/>
        </w:docPartObj>
      </w:sdtPr>
      <w:sdtEndPr>
        <w:rPr>
          <w:rFonts w:asciiTheme="minorHAnsi" w:hAnsiTheme="minorHAnsi"/>
          <w:color w:val="0D0D0D" w:themeColor="text1" w:themeTint="F2"/>
        </w:rPr>
      </w:sdtEndPr>
      <w:sdtContent>
        <w:p w14:paraId="495F5FE1" w14:textId="77777777" w:rsidR="00F02AEC" w:rsidRPr="00215D48" w:rsidRDefault="00F02AEC" w:rsidP="00967490">
          <w:pPr>
            <w:pStyle w:val="NonTOCheading2"/>
          </w:pPr>
          <w:r w:rsidRPr="00215D48">
            <w:t>Contents</w:t>
          </w:r>
        </w:p>
        <w:p w14:paraId="01E1ACFB" w14:textId="61239634" w:rsidR="00940998" w:rsidRDefault="00F02AEC">
          <w:pPr>
            <w:pStyle w:val="TOC1"/>
            <w:rPr>
              <w:rFonts w:asciiTheme="minorHAnsi" w:eastAsiaTheme="minorEastAsia" w:hAnsiTheme="minorHAnsi" w:cstheme="minorBidi"/>
              <w:b w:val="0"/>
              <w:noProof/>
              <w:color w:val="auto"/>
              <w:sz w:val="22"/>
              <w:lang w:eastAsia="en-AU"/>
            </w:rPr>
          </w:pPr>
          <w:r w:rsidRPr="00215D48">
            <w:fldChar w:fldCharType="begin"/>
          </w:r>
          <w:r w:rsidRPr="00215D48">
            <w:instrText xml:space="preserve"> TOC \h \z \u \t "Heading 2,1,Heading 3,2,Heading 4,3" </w:instrText>
          </w:r>
          <w:r w:rsidRPr="00215D48">
            <w:fldChar w:fldCharType="separate"/>
          </w:r>
          <w:hyperlink w:anchor="_Toc144449282" w:history="1">
            <w:r w:rsidR="00940998" w:rsidRPr="00AE4A23">
              <w:rPr>
                <w:rStyle w:val="Hyperlink"/>
                <w:noProof/>
              </w:rPr>
              <w:t>Notice of final decisions to amend (or not amend) the current Poisons Standard</w:t>
            </w:r>
            <w:r w:rsidR="00940998">
              <w:rPr>
                <w:noProof/>
                <w:webHidden/>
              </w:rPr>
              <w:tab/>
            </w:r>
            <w:r w:rsidR="00940998">
              <w:rPr>
                <w:noProof/>
                <w:webHidden/>
              </w:rPr>
              <w:fldChar w:fldCharType="begin"/>
            </w:r>
            <w:r w:rsidR="00940998">
              <w:rPr>
                <w:noProof/>
                <w:webHidden/>
              </w:rPr>
              <w:instrText xml:space="preserve"> PAGEREF _Toc144449282 \h </w:instrText>
            </w:r>
            <w:r w:rsidR="00940998">
              <w:rPr>
                <w:noProof/>
                <w:webHidden/>
              </w:rPr>
            </w:r>
            <w:r w:rsidR="00940998">
              <w:rPr>
                <w:noProof/>
                <w:webHidden/>
              </w:rPr>
              <w:fldChar w:fldCharType="separate"/>
            </w:r>
            <w:r w:rsidR="00940998">
              <w:rPr>
                <w:noProof/>
                <w:webHidden/>
              </w:rPr>
              <w:t>4</w:t>
            </w:r>
            <w:r w:rsidR="00940998">
              <w:rPr>
                <w:noProof/>
                <w:webHidden/>
              </w:rPr>
              <w:fldChar w:fldCharType="end"/>
            </w:r>
          </w:hyperlink>
        </w:p>
        <w:p w14:paraId="49B5CF82" w14:textId="29FDF471" w:rsidR="00940998" w:rsidRDefault="00C061E2">
          <w:pPr>
            <w:pStyle w:val="TOC1"/>
            <w:rPr>
              <w:rFonts w:asciiTheme="minorHAnsi" w:eastAsiaTheme="minorEastAsia" w:hAnsiTheme="minorHAnsi" w:cstheme="minorBidi"/>
              <w:b w:val="0"/>
              <w:noProof/>
              <w:color w:val="auto"/>
              <w:sz w:val="22"/>
              <w:lang w:eastAsia="en-AU"/>
            </w:rPr>
          </w:pPr>
          <w:hyperlink w:anchor="_Toc144449283" w:history="1">
            <w:r w:rsidR="00940998" w:rsidRPr="00AE4A23">
              <w:rPr>
                <w:rStyle w:val="Hyperlink"/>
                <w:noProof/>
              </w:rPr>
              <w:t>Final decision on a proposed amendment referred to the Advisory Committees on Medicines and Chemicals Scheduling in joint session (ACMS-ACCS #34, June 2023)</w:t>
            </w:r>
            <w:r w:rsidR="00940998">
              <w:rPr>
                <w:noProof/>
                <w:webHidden/>
              </w:rPr>
              <w:tab/>
            </w:r>
            <w:r w:rsidR="00940998">
              <w:rPr>
                <w:noProof/>
                <w:webHidden/>
              </w:rPr>
              <w:fldChar w:fldCharType="begin"/>
            </w:r>
            <w:r w:rsidR="00940998">
              <w:rPr>
                <w:noProof/>
                <w:webHidden/>
              </w:rPr>
              <w:instrText xml:space="preserve"> PAGEREF _Toc144449283 \h </w:instrText>
            </w:r>
            <w:r w:rsidR="00940998">
              <w:rPr>
                <w:noProof/>
                <w:webHidden/>
              </w:rPr>
            </w:r>
            <w:r w:rsidR="00940998">
              <w:rPr>
                <w:noProof/>
                <w:webHidden/>
              </w:rPr>
              <w:fldChar w:fldCharType="separate"/>
            </w:r>
            <w:r w:rsidR="00940998">
              <w:rPr>
                <w:noProof/>
                <w:webHidden/>
              </w:rPr>
              <w:t>5</w:t>
            </w:r>
            <w:r w:rsidR="00940998">
              <w:rPr>
                <w:noProof/>
                <w:webHidden/>
              </w:rPr>
              <w:fldChar w:fldCharType="end"/>
            </w:r>
          </w:hyperlink>
        </w:p>
        <w:p w14:paraId="5EE67C27" w14:textId="199B1581" w:rsidR="00940998" w:rsidRDefault="00C061E2">
          <w:pPr>
            <w:pStyle w:val="TOC2"/>
            <w:rPr>
              <w:rFonts w:asciiTheme="minorHAnsi" w:eastAsiaTheme="minorEastAsia" w:hAnsiTheme="minorHAnsi" w:cstheme="minorBidi"/>
              <w:b w:val="0"/>
              <w:noProof/>
              <w:color w:val="auto"/>
              <w:sz w:val="22"/>
              <w:lang w:eastAsia="en-AU"/>
            </w:rPr>
          </w:pPr>
          <w:hyperlink w:anchor="_Toc144449284" w:history="1">
            <w:r w:rsidR="00940998" w:rsidRPr="00AE4A23">
              <w:rPr>
                <w:rStyle w:val="Hyperlink"/>
                <w:noProof/>
              </w:rPr>
              <w:t>Final decision in relation to lead</w:t>
            </w:r>
            <w:r w:rsidR="00940998">
              <w:rPr>
                <w:noProof/>
                <w:webHidden/>
              </w:rPr>
              <w:tab/>
            </w:r>
            <w:r w:rsidR="00940998">
              <w:rPr>
                <w:noProof/>
                <w:webHidden/>
              </w:rPr>
              <w:fldChar w:fldCharType="begin"/>
            </w:r>
            <w:r w:rsidR="00940998">
              <w:rPr>
                <w:noProof/>
                <w:webHidden/>
              </w:rPr>
              <w:instrText xml:space="preserve"> PAGEREF _Toc144449284 \h </w:instrText>
            </w:r>
            <w:r w:rsidR="00940998">
              <w:rPr>
                <w:noProof/>
                <w:webHidden/>
              </w:rPr>
            </w:r>
            <w:r w:rsidR="00940998">
              <w:rPr>
                <w:noProof/>
                <w:webHidden/>
              </w:rPr>
              <w:fldChar w:fldCharType="separate"/>
            </w:r>
            <w:r w:rsidR="00940998">
              <w:rPr>
                <w:noProof/>
                <w:webHidden/>
              </w:rPr>
              <w:t>5</w:t>
            </w:r>
            <w:r w:rsidR="00940998">
              <w:rPr>
                <w:noProof/>
                <w:webHidden/>
              </w:rPr>
              <w:fldChar w:fldCharType="end"/>
            </w:r>
          </w:hyperlink>
        </w:p>
        <w:p w14:paraId="09B05728" w14:textId="4B35D16A" w:rsidR="00F02AEC" w:rsidRPr="00215D48" w:rsidRDefault="00F02AEC" w:rsidP="00967490">
          <w:r w:rsidRPr="00215D48">
            <w:fldChar w:fldCharType="end"/>
          </w:r>
        </w:p>
      </w:sdtContent>
    </w:sdt>
    <w:p w14:paraId="4D0C412B" w14:textId="77777777" w:rsidR="00F02AEC" w:rsidRPr="00215D48" w:rsidRDefault="00F02AEC" w:rsidP="00967490">
      <w:r w:rsidRPr="00215D48">
        <w:br w:type="page"/>
      </w:r>
    </w:p>
    <w:p w14:paraId="3A06BE1E" w14:textId="77777777" w:rsidR="00457050" w:rsidRPr="00BC2009" w:rsidRDefault="00457050" w:rsidP="00967490">
      <w:pPr>
        <w:pStyle w:val="Heading2"/>
      </w:pPr>
      <w:bookmarkStart w:id="1" w:name="_Toc97640261"/>
      <w:bookmarkStart w:id="2" w:name="_Toc144449282"/>
      <w:r w:rsidRPr="00597B50">
        <w:lastRenderedPageBreak/>
        <w:t>Notice of final decisions to amend (or not amend) the current Poisons Standard</w:t>
      </w:r>
      <w:bookmarkEnd w:id="1"/>
      <w:bookmarkEnd w:id="2"/>
      <w:r w:rsidRPr="00597B50">
        <w:t xml:space="preserve"> </w:t>
      </w:r>
    </w:p>
    <w:p w14:paraId="2FB850E1" w14:textId="69603539" w:rsidR="00457050" w:rsidRPr="00F07327" w:rsidRDefault="00457050" w:rsidP="00967490">
      <w:r w:rsidRPr="00457050">
        <w:t>This web publication constitutes a no</w:t>
      </w:r>
      <w:r w:rsidRPr="00F07327">
        <w:t>tice for the purposes of regulation 42ZCZS</w:t>
      </w:r>
      <w:r w:rsidR="007C5B84" w:rsidRPr="00F07327">
        <w:t xml:space="preserve"> </w:t>
      </w:r>
      <w:r w:rsidRPr="00F07327">
        <w:t xml:space="preserve">of the </w:t>
      </w:r>
      <w:r w:rsidRPr="00F07327">
        <w:rPr>
          <w:i/>
        </w:rPr>
        <w:t xml:space="preserve">Therapeutic Goods Regulations 1990 </w:t>
      </w:r>
      <w:r w:rsidRPr="00F07327">
        <w:t xml:space="preserve">(the </w:t>
      </w:r>
      <w:r w:rsidRPr="00F07327">
        <w:rPr>
          <w:b/>
        </w:rPr>
        <w:t>Regulations</w:t>
      </w:r>
      <w:r w:rsidRPr="00F07327">
        <w:t>). In accordance with regulations 42ZCZS, this notice publishes:</w:t>
      </w:r>
    </w:p>
    <w:p w14:paraId="4D038242" w14:textId="72E48D04" w:rsidR="00457050" w:rsidRPr="00F07327" w:rsidRDefault="00457050" w:rsidP="00967490">
      <w:pPr>
        <w:pStyle w:val="ListBullet"/>
      </w:pPr>
      <w:r w:rsidRPr="00F07327">
        <w:t>the decision made by a delegate</w:t>
      </w:r>
      <w:r w:rsidRPr="00F07327">
        <w:rPr>
          <w:rStyle w:val="FootnoteReference"/>
        </w:rPr>
        <w:footnoteReference w:id="1"/>
      </w:r>
      <w:r w:rsidRPr="00F07327">
        <w:t xml:space="preserve"> of the Secretary of the Department of Health and Aged Care (the </w:t>
      </w:r>
      <w:r w:rsidRPr="00F07327">
        <w:rPr>
          <w:b/>
          <w:bCs/>
        </w:rPr>
        <w:t>Delegate</w:t>
      </w:r>
      <w:r w:rsidRPr="00F07327">
        <w:t xml:space="preserve">) pursuant to </w:t>
      </w:r>
      <w:r w:rsidRPr="00E3174E">
        <w:t>r</w:t>
      </w:r>
      <w:r w:rsidR="00E3174E">
        <w:t> </w:t>
      </w:r>
      <w:r w:rsidRPr="00E3174E">
        <w:t>42ZCZR</w:t>
      </w:r>
    </w:p>
    <w:p w14:paraId="1AA8F280" w14:textId="1B30CB73" w:rsidR="00457050" w:rsidRPr="00F07327" w:rsidRDefault="00457050" w:rsidP="00967490">
      <w:pPr>
        <w:pStyle w:val="ListBullet"/>
      </w:pPr>
      <w:r w:rsidRPr="00F07327">
        <w:t>the reasons for the final decision</w:t>
      </w:r>
      <w:r w:rsidR="00A15271" w:rsidRPr="00F07327">
        <w:t>,</w:t>
      </w:r>
      <w:r w:rsidRPr="00F07327">
        <w:t xml:space="preserve"> and </w:t>
      </w:r>
    </w:p>
    <w:p w14:paraId="5E6BC7C7" w14:textId="7E784DA4" w:rsidR="00457050" w:rsidRPr="00457050" w:rsidRDefault="00457050" w:rsidP="00967490">
      <w:pPr>
        <w:pStyle w:val="ListBullet"/>
      </w:pPr>
      <w:r w:rsidRPr="00F07327">
        <w:t>the date of effect of the decision</w:t>
      </w:r>
      <w:r w:rsidRPr="00457050">
        <w:t>.</w:t>
      </w:r>
    </w:p>
    <w:p w14:paraId="47EA8EDB" w14:textId="77777777" w:rsidR="005A266A" w:rsidRDefault="005A266A" w:rsidP="00831B56">
      <w:pPr>
        <w:pStyle w:val="ListBullet"/>
        <w:numPr>
          <w:ilvl w:val="0"/>
          <w:numId w:val="0"/>
        </w:numPr>
        <w:rPr>
          <w:b/>
          <w:bCs/>
          <w:i/>
          <w:iCs/>
        </w:rPr>
      </w:pPr>
    </w:p>
    <w:p w14:paraId="67DC0EBB" w14:textId="647DC48F" w:rsidR="00457050" w:rsidRPr="00831B56" w:rsidRDefault="00831B56" w:rsidP="00831B56">
      <w:pPr>
        <w:pStyle w:val="ListBullet"/>
        <w:numPr>
          <w:ilvl w:val="0"/>
          <w:numId w:val="0"/>
        </w:numPr>
        <w:rPr>
          <w:b/>
          <w:bCs/>
          <w:i/>
          <w:iCs/>
        </w:rPr>
      </w:pPr>
      <w:r w:rsidRPr="00831B56">
        <w:rPr>
          <w:b/>
          <w:bCs/>
          <w:i/>
          <w:iCs/>
        </w:rPr>
        <w:t>Defined terms</w:t>
      </w:r>
    </w:p>
    <w:p w14:paraId="3518FC9A" w14:textId="39B18FB7" w:rsidR="00831B56" w:rsidRDefault="00831B56" w:rsidP="00831B56">
      <w:pPr>
        <w:pStyle w:val="ListBullet"/>
        <w:numPr>
          <w:ilvl w:val="0"/>
          <w:numId w:val="0"/>
        </w:numPr>
      </w:pPr>
      <w:r>
        <w:t>In this notice the following defined terms are used in addition to those above:</w:t>
      </w:r>
    </w:p>
    <w:p w14:paraId="6BE33439" w14:textId="52C8D27D" w:rsidR="00831B56" w:rsidRDefault="00831B56" w:rsidP="00831B56">
      <w:pPr>
        <w:pStyle w:val="ListBullet"/>
      </w:pPr>
      <w:r>
        <w:t xml:space="preserve">the </w:t>
      </w:r>
      <w:r w:rsidRPr="00AA12EC">
        <w:rPr>
          <w:i/>
          <w:iCs/>
        </w:rPr>
        <w:t>Therapeutic Goods Act 1989</w:t>
      </w:r>
      <w:r>
        <w:t xml:space="preserve"> (</w:t>
      </w:r>
      <w:proofErr w:type="spellStart"/>
      <w:r>
        <w:t>Cth</w:t>
      </w:r>
      <w:proofErr w:type="spellEnd"/>
      <w:r>
        <w:t xml:space="preserve">) (the </w:t>
      </w:r>
      <w:r w:rsidRPr="00831B56">
        <w:rPr>
          <w:b/>
          <w:bCs/>
        </w:rPr>
        <w:t>Act</w:t>
      </w:r>
      <w:r>
        <w:t>)</w:t>
      </w:r>
    </w:p>
    <w:p w14:paraId="6550B5E6" w14:textId="7D3FECF5" w:rsidR="00831B56" w:rsidRDefault="00831B56" w:rsidP="00831B56">
      <w:pPr>
        <w:pStyle w:val="ListBullet"/>
      </w:pPr>
      <w:r>
        <w:t xml:space="preserve">the </w:t>
      </w:r>
      <w:hyperlink r:id="rId12" w:history="1">
        <w:r w:rsidRPr="00AA12EC">
          <w:rPr>
            <w:rStyle w:val="Hyperlink"/>
            <w:rFonts w:asciiTheme="minorHAnsi" w:hAnsiTheme="minorHAnsi"/>
          </w:rPr>
          <w:t>Scheduling Policy Framework</w:t>
        </w:r>
      </w:hyperlink>
      <w:r>
        <w:t xml:space="preserve"> 2018 (the </w:t>
      </w:r>
      <w:r w:rsidRPr="00831B56">
        <w:rPr>
          <w:b/>
          <w:bCs/>
        </w:rPr>
        <w:t>SPF</w:t>
      </w:r>
      <w:r>
        <w:t>)</w:t>
      </w:r>
    </w:p>
    <w:p w14:paraId="4CDC567B" w14:textId="79E2C830" w:rsidR="00831B56" w:rsidRDefault="00831B56" w:rsidP="00831B56">
      <w:pPr>
        <w:pStyle w:val="ListBullet"/>
      </w:pPr>
      <w:r>
        <w:t xml:space="preserve">the Scheduling handbook: </w:t>
      </w:r>
      <w:hyperlink r:id="rId13" w:history="1">
        <w:r w:rsidRPr="00AA12EC">
          <w:rPr>
            <w:rStyle w:val="Hyperlink"/>
            <w:rFonts w:asciiTheme="minorHAnsi" w:hAnsiTheme="minorHAnsi"/>
          </w:rPr>
          <w:t>Guidance for amending the Poisons Standard</w:t>
        </w:r>
      </w:hyperlink>
      <w:r>
        <w:t xml:space="preserve"> (the </w:t>
      </w:r>
      <w:r w:rsidRPr="00831B56">
        <w:rPr>
          <w:b/>
          <w:bCs/>
        </w:rPr>
        <w:t>Handbook</w:t>
      </w:r>
      <w:r>
        <w:t>)</w:t>
      </w:r>
      <w:r w:rsidR="00D91448">
        <w:t>,</w:t>
      </w:r>
      <w:r>
        <w:t xml:space="preserve"> and</w:t>
      </w:r>
    </w:p>
    <w:p w14:paraId="78D91CCD" w14:textId="3DC73865" w:rsidR="00831B56" w:rsidRDefault="00831B56" w:rsidP="00831B56">
      <w:pPr>
        <w:pStyle w:val="ListBullet"/>
      </w:pPr>
      <w:r>
        <w:t xml:space="preserve">the Therapeutic Goods Administration (the </w:t>
      </w:r>
      <w:r w:rsidRPr="00831B56">
        <w:rPr>
          <w:b/>
          <w:bCs/>
        </w:rPr>
        <w:t>TGA</w:t>
      </w:r>
      <w:r>
        <w:t>).</w:t>
      </w:r>
    </w:p>
    <w:p w14:paraId="1ECB50B6" w14:textId="5A17E978" w:rsidR="00831B56" w:rsidRPr="00831B56" w:rsidRDefault="00831B56" w:rsidP="00831B56">
      <w:pPr>
        <w:pStyle w:val="ListBullet"/>
        <w:numPr>
          <w:ilvl w:val="0"/>
          <w:numId w:val="0"/>
        </w:numPr>
        <w:rPr>
          <w:sz w:val="20"/>
          <w:szCs w:val="20"/>
        </w:rPr>
      </w:pPr>
      <w:r w:rsidRPr="00831B56">
        <w:rPr>
          <w:sz w:val="20"/>
          <w:szCs w:val="20"/>
        </w:rPr>
        <w:t>Note: additional terms are also defined for individual decisions.</w:t>
      </w:r>
    </w:p>
    <w:p w14:paraId="601D14D7" w14:textId="77777777" w:rsidR="001356D7" w:rsidRDefault="001356D7">
      <w:pPr>
        <w:rPr>
          <w:rFonts w:ascii="Arial" w:eastAsia="Times New Roman" w:hAnsi="Arial" w:cs="Times New Roman"/>
          <w:b/>
          <w:bCs/>
          <w:color w:val="001871"/>
          <w:sz w:val="38"/>
          <w:szCs w:val="38"/>
        </w:rPr>
      </w:pPr>
      <w:bookmarkStart w:id="3" w:name="_Toc97640265"/>
      <w:r>
        <w:br w:type="page"/>
      </w:r>
    </w:p>
    <w:p w14:paraId="3952C828" w14:textId="04EF2287" w:rsidR="00457050" w:rsidRPr="00F41DCE" w:rsidRDefault="00457050" w:rsidP="00967490">
      <w:pPr>
        <w:pStyle w:val="Heading2"/>
      </w:pPr>
      <w:bookmarkStart w:id="4" w:name="_Toc144449283"/>
      <w:r>
        <w:lastRenderedPageBreak/>
        <w:t>Final</w:t>
      </w:r>
      <w:r w:rsidRPr="00FA029A">
        <w:t xml:space="preserve"> decision on </w:t>
      </w:r>
      <w:r w:rsidR="001356D7">
        <w:t xml:space="preserve">a </w:t>
      </w:r>
      <w:r w:rsidRPr="00FA029A">
        <w:t xml:space="preserve">proposed amendment referred to the </w:t>
      </w:r>
      <w:r w:rsidRPr="00F41DCE">
        <w:t>Advisory Committee</w:t>
      </w:r>
      <w:r w:rsidR="001356D7">
        <w:t>s</w:t>
      </w:r>
      <w:r w:rsidRPr="00F41DCE">
        <w:t xml:space="preserve"> on Medicines and Chemicals Scheduling in jo</w:t>
      </w:r>
      <w:r>
        <w:t>int session (ACMS-ACCS #</w:t>
      </w:r>
      <w:r w:rsidR="001356D7">
        <w:t>34</w:t>
      </w:r>
      <w:r>
        <w:t xml:space="preserve">, </w:t>
      </w:r>
      <w:r w:rsidR="001356D7">
        <w:t>June</w:t>
      </w:r>
      <w:r>
        <w:t xml:space="preserve"> 20</w:t>
      </w:r>
      <w:r w:rsidR="001356D7">
        <w:t>23</w:t>
      </w:r>
      <w:r w:rsidRPr="00F41DCE">
        <w:t>)</w:t>
      </w:r>
      <w:bookmarkEnd w:id="3"/>
      <w:bookmarkEnd w:id="4"/>
    </w:p>
    <w:p w14:paraId="37D57355" w14:textId="3116544B" w:rsidR="00457050" w:rsidRDefault="00457050" w:rsidP="00300CBB">
      <w:pPr>
        <w:pStyle w:val="Heading3"/>
      </w:pPr>
      <w:bookmarkStart w:id="5" w:name="_Toc144449284"/>
      <w:r>
        <w:t xml:space="preserve">Final decision in relation to </w:t>
      </w:r>
      <w:r w:rsidR="001356D7">
        <w:t>lead</w:t>
      </w:r>
      <w:bookmarkEnd w:id="5"/>
    </w:p>
    <w:p w14:paraId="12B664B0" w14:textId="77777777" w:rsidR="00457050" w:rsidRPr="00BB34CD" w:rsidRDefault="00457050" w:rsidP="0045067C">
      <w:pPr>
        <w:pStyle w:val="Heading4"/>
      </w:pPr>
      <w:r w:rsidRPr="00BB34CD">
        <w:t>Proposal</w:t>
      </w:r>
    </w:p>
    <w:p w14:paraId="452DC04C" w14:textId="5E31A2B7" w:rsidR="001356D7" w:rsidRDefault="001356D7" w:rsidP="001356D7">
      <w:r>
        <w:t xml:space="preserve">A final decision to amend the Poisons Standard was published in September 2021 (the </w:t>
      </w:r>
      <w:hyperlink r:id="rId14" w:history="1">
        <w:r w:rsidRPr="005528AC">
          <w:rPr>
            <w:rStyle w:val="Hyperlink"/>
            <w:rFonts w:asciiTheme="minorHAnsi" w:hAnsiTheme="minorHAnsi"/>
            <w:b/>
            <w:bCs/>
          </w:rPr>
          <w:t>2021 Decision</w:t>
        </w:r>
      </w:hyperlink>
      <w:r>
        <w:t>) relevantly amended the scheduling of lead to reduce the maximum permissible level of lead in paints to 90 mg/kg (equivalent to 90 ppm or 0.009%). Anti-fouling and anti-corrosive paints were exempted from the 2021 Decision and retained the previous maximum permissible level of 0.1%. The delegate of the 2021 Decision foreshadowed that the exemption in relation to anti-fouling and anti-corrosive paints would be repealed by 1 October 2023, in effect providing a two-year transition period for industry to develop paints that are compliant with the 0.009% level.</w:t>
      </w:r>
    </w:p>
    <w:p w14:paraId="07370552" w14:textId="77777777" w:rsidR="001356D7" w:rsidRDefault="001356D7" w:rsidP="001356D7">
      <w:pPr>
        <w:rPr>
          <w:rFonts w:eastAsia="Times New Roman"/>
          <w:color w:val="000000"/>
          <w:lang w:val="en" w:eastAsia="en-AU"/>
        </w:rPr>
      </w:pPr>
      <w:r>
        <w:t>An application was received in December 2022</w:t>
      </w:r>
      <w:r>
        <w:rPr>
          <w:rStyle w:val="FootnoteReference"/>
        </w:rPr>
        <w:footnoteReference w:id="2"/>
      </w:r>
      <w:r>
        <w:t xml:space="preserve"> to amend </w:t>
      </w:r>
      <w:r w:rsidRPr="00C01E05">
        <w:t>the limit of lead in anti-fouling paints</w:t>
      </w:r>
      <w:r>
        <w:t xml:space="preserve"> to 600 mg/kg (equivalent to 600 ppm or 0.06%). The applicant did not propose a change to the limit for anti-corrosive paints.</w:t>
      </w:r>
    </w:p>
    <w:p w14:paraId="64D3C8DE" w14:textId="547F4766" w:rsidR="001356D7" w:rsidRPr="006F1547" w:rsidRDefault="001356D7" w:rsidP="001356D7">
      <w:pPr>
        <w:rPr>
          <w:rFonts w:eastAsia="Times New Roman"/>
          <w:color w:val="000000"/>
          <w:lang w:val="en" w:eastAsia="en-AU"/>
        </w:rPr>
      </w:pPr>
      <w:r w:rsidRPr="77477234">
        <w:rPr>
          <w:rFonts w:eastAsia="Times New Roman"/>
          <w:lang w:val="en" w:eastAsia="en-AU"/>
        </w:rPr>
        <w:t>Because the application sought to amend a future version of the Poisons Standard (being the version that was foreshadowed to be in force on 1 October 2023), rather than the current Poisons Standard, the application was not valid. Th</w:t>
      </w:r>
      <w:r>
        <w:rPr>
          <w:rFonts w:eastAsia="Times New Roman"/>
          <w:lang w:val="en" w:eastAsia="en-AU"/>
        </w:rPr>
        <w:t>e</w:t>
      </w:r>
      <w:r w:rsidRPr="77477234">
        <w:rPr>
          <w:rFonts w:eastAsia="Times New Roman"/>
          <w:lang w:val="en" w:eastAsia="en-AU"/>
        </w:rPr>
        <w:t xml:space="preserve"> amendment instead proceed</w:t>
      </w:r>
      <w:r>
        <w:rPr>
          <w:rFonts w:eastAsia="Times New Roman"/>
          <w:lang w:val="en" w:eastAsia="en-AU"/>
        </w:rPr>
        <w:t>ed</w:t>
      </w:r>
      <w:r w:rsidRPr="77477234">
        <w:rPr>
          <w:rFonts w:eastAsia="Times New Roman"/>
          <w:lang w:val="en" w:eastAsia="en-AU"/>
        </w:rPr>
        <w:t xml:space="preserve"> as a Secretary-initiated amendment under section 52D of the Act.</w:t>
      </w:r>
    </w:p>
    <w:p w14:paraId="3E11722D" w14:textId="101E8F51" w:rsidR="00457050" w:rsidRPr="00BB34CD" w:rsidRDefault="00457050" w:rsidP="007E1ECB">
      <w:pPr>
        <w:pStyle w:val="Heading4"/>
      </w:pPr>
      <w:r w:rsidRPr="00BB34CD">
        <w:t>Final decision</w:t>
      </w:r>
    </w:p>
    <w:p w14:paraId="3E55F334" w14:textId="5F3B738F" w:rsidR="00457050" w:rsidRDefault="00E3174E" w:rsidP="00967490">
      <w:r>
        <w:t>T</w:t>
      </w:r>
      <w:r w:rsidR="00457050">
        <w:t>he Delegate has made a final decision</w:t>
      </w:r>
      <w:r>
        <w:rPr>
          <w:rStyle w:val="FootnoteReference"/>
        </w:rPr>
        <w:footnoteReference w:id="3"/>
      </w:r>
      <w:r w:rsidR="00457050">
        <w:t xml:space="preserve"> to </w:t>
      </w:r>
      <w:r w:rsidR="00457050" w:rsidRPr="001356D7">
        <w:t xml:space="preserve">confirm the interim decision and amend the current Poisons Standard in relation to </w:t>
      </w:r>
      <w:r w:rsidR="001356D7" w:rsidRPr="001356D7">
        <w:t>lead</w:t>
      </w:r>
      <w:r w:rsidR="00457050" w:rsidRPr="001356D7">
        <w:t xml:space="preserve"> as follows:</w:t>
      </w:r>
    </w:p>
    <w:p w14:paraId="40735C8C" w14:textId="2DFD320A" w:rsidR="001356D7" w:rsidRPr="001356D7" w:rsidRDefault="001356D7" w:rsidP="001356D7">
      <w:pPr>
        <w:ind w:left="426"/>
        <w:rPr>
          <w:b/>
          <w:color w:val="000000"/>
          <w:shd w:val="clear" w:color="auto" w:fill="FFFFFF"/>
        </w:rPr>
      </w:pPr>
      <w:r w:rsidRPr="00D0237E">
        <w:rPr>
          <w:b/>
          <w:color w:val="000000"/>
          <w:shd w:val="clear" w:color="auto" w:fill="FFFFFF"/>
        </w:rPr>
        <w:t xml:space="preserve">PART 2, </w:t>
      </w:r>
      <w:r>
        <w:rPr>
          <w:b/>
          <w:color w:val="000000"/>
          <w:shd w:val="clear" w:color="auto" w:fill="FFFFFF"/>
        </w:rPr>
        <w:t>DIVISION 9, SECTION 66 – Amend Section</w:t>
      </w:r>
    </w:p>
    <w:p w14:paraId="24B23084" w14:textId="77777777" w:rsidR="001356D7" w:rsidRDefault="001356D7" w:rsidP="001356D7">
      <w:pPr>
        <w:spacing w:before="120" w:after="180" w:line="240" w:lineRule="atLeast"/>
        <w:ind w:left="1145" w:hanging="425"/>
        <w:rPr>
          <w:rFonts w:eastAsia="Cambria" w:cstheme="minorHAnsi"/>
        </w:rPr>
      </w:pPr>
      <w:r>
        <w:rPr>
          <w:rFonts w:eastAsia="Cambria" w:cstheme="minorHAnsi"/>
        </w:rPr>
        <w:t xml:space="preserve">(2) </w:t>
      </w:r>
      <w:r>
        <w:rPr>
          <w:rFonts w:eastAsia="Cambria" w:cstheme="minorHAnsi"/>
        </w:rPr>
        <w:tab/>
        <w:t xml:space="preserve">An </w:t>
      </w:r>
      <w:r w:rsidRPr="0005664A">
        <w:rPr>
          <w:rFonts w:eastAsia="Cambria" w:cstheme="minorHAnsi"/>
        </w:rPr>
        <w:t xml:space="preserve">anti-fouling </w:t>
      </w:r>
      <w:r w:rsidRPr="0005664A">
        <w:rPr>
          <w:rFonts w:eastAsia="Cambria" w:cstheme="minorHAnsi"/>
          <w:strike/>
          <w:color w:val="FF0000"/>
        </w:rPr>
        <w:t xml:space="preserve">or anti-corrosive </w:t>
      </w:r>
      <w:r>
        <w:rPr>
          <w:rFonts w:eastAsia="Cambria" w:cstheme="minorHAnsi"/>
        </w:rPr>
        <w:t xml:space="preserve">paint containing more than 0.1% lead (the proportion of lead for the purposes of this section is calculated as a percentage of the element present in the non-volatile content of the paint) must not be manufactured, </w:t>
      </w:r>
      <w:proofErr w:type="gramStart"/>
      <w:r>
        <w:rPr>
          <w:rFonts w:eastAsia="Cambria" w:cstheme="minorHAnsi"/>
        </w:rPr>
        <w:t>supplied</w:t>
      </w:r>
      <w:proofErr w:type="gramEnd"/>
      <w:r>
        <w:rPr>
          <w:rFonts w:eastAsia="Cambria" w:cstheme="minorHAnsi"/>
        </w:rPr>
        <w:t xml:space="preserve"> or used.</w:t>
      </w:r>
    </w:p>
    <w:p w14:paraId="78B12808" w14:textId="65757ED3" w:rsidR="001356D7" w:rsidRPr="001356D7" w:rsidRDefault="001356D7" w:rsidP="001356D7">
      <w:pPr>
        <w:spacing w:before="120" w:after="180" w:line="240" w:lineRule="atLeast"/>
        <w:ind w:left="1145" w:hanging="425"/>
        <w:rPr>
          <w:rFonts w:eastAsia="Cambria" w:cstheme="minorHAnsi"/>
        </w:rPr>
      </w:pPr>
      <w:r>
        <w:rPr>
          <w:rFonts w:eastAsia="Cambria" w:cstheme="minorHAnsi"/>
        </w:rPr>
        <w:t>(3)</w:t>
      </w:r>
      <w:r>
        <w:rPr>
          <w:rFonts w:eastAsia="Cambria" w:cstheme="minorHAnsi"/>
        </w:rPr>
        <w:tab/>
        <w:t>A paint (other than an anti-fouling</w:t>
      </w:r>
      <w:r w:rsidRPr="00C56EA8">
        <w:rPr>
          <w:rFonts w:eastAsia="Cambria" w:cstheme="minorHAnsi"/>
          <w:color w:val="FF0000"/>
        </w:rPr>
        <w:t xml:space="preserve"> </w:t>
      </w:r>
      <w:r w:rsidRPr="0005664A">
        <w:rPr>
          <w:rFonts w:eastAsia="Cambria" w:cstheme="minorHAnsi"/>
          <w:strike/>
          <w:color w:val="FF0000"/>
        </w:rPr>
        <w:t>or anti-corrosive</w:t>
      </w:r>
      <w:r w:rsidRPr="00C56EA8">
        <w:rPr>
          <w:rFonts w:eastAsia="Cambria" w:cstheme="minorHAnsi"/>
          <w:strike/>
          <w:color w:val="FF0000"/>
        </w:rPr>
        <w:t xml:space="preserve"> </w:t>
      </w:r>
      <w:r w:rsidRPr="0005664A">
        <w:rPr>
          <w:rFonts w:eastAsia="Cambria" w:cstheme="minorHAnsi"/>
        </w:rPr>
        <w:t>paint</w:t>
      </w:r>
      <w:r>
        <w:rPr>
          <w:rFonts w:eastAsia="Cambria" w:cstheme="minorHAnsi"/>
        </w:rPr>
        <w:t xml:space="preserve">) or tinter containing more than 0.009% lead (calculated as a percentage of the element present in the non-volatile content of the paint) must not be manufactured, </w:t>
      </w:r>
      <w:proofErr w:type="gramStart"/>
      <w:r>
        <w:rPr>
          <w:rFonts w:eastAsia="Cambria" w:cstheme="minorHAnsi"/>
        </w:rPr>
        <w:t>supplied</w:t>
      </w:r>
      <w:proofErr w:type="gramEnd"/>
      <w:r>
        <w:rPr>
          <w:rFonts w:eastAsia="Cambria" w:cstheme="minorHAnsi"/>
        </w:rPr>
        <w:t xml:space="preserve"> or used.</w:t>
      </w:r>
    </w:p>
    <w:p w14:paraId="6E0D6E21" w14:textId="77777777" w:rsidR="001356D7" w:rsidRPr="002008D8" w:rsidRDefault="001356D7" w:rsidP="001356D7">
      <w:pPr>
        <w:spacing w:before="120" w:after="180" w:line="240" w:lineRule="atLeast"/>
        <w:ind w:left="425"/>
        <w:rPr>
          <w:rFonts w:eastAsia="Cambria" w:cstheme="minorHAnsi"/>
          <w:b/>
        </w:rPr>
      </w:pPr>
      <w:r w:rsidRPr="002008D8">
        <w:rPr>
          <w:rFonts w:eastAsia="Cambria" w:cstheme="minorHAnsi"/>
          <w:b/>
        </w:rPr>
        <w:t xml:space="preserve">Schedule </w:t>
      </w:r>
      <w:r>
        <w:rPr>
          <w:rFonts w:eastAsia="Cambria" w:cstheme="minorHAnsi"/>
          <w:b/>
        </w:rPr>
        <w:t>10</w:t>
      </w:r>
      <w:r w:rsidRPr="002008D8">
        <w:rPr>
          <w:rFonts w:eastAsia="Cambria" w:cstheme="minorHAnsi"/>
          <w:b/>
        </w:rPr>
        <w:t xml:space="preserve"> –</w:t>
      </w:r>
      <w:r>
        <w:rPr>
          <w:rFonts w:eastAsia="Cambria" w:cstheme="minorHAnsi"/>
          <w:b/>
        </w:rPr>
        <w:t xml:space="preserve"> </w:t>
      </w:r>
      <w:r w:rsidRPr="002008D8">
        <w:rPr>
          <w:rFonts w:eastAsia="Cambria" w:cstheme="minorHAnsi"/>
          <w:b/>
        </w:rPr>
        <w:t>Amend Entry</w:t>
      </w:r>
    </w:p>
    <w:p w14:paraId="1446DAEE" w14:textId="77777777" w:rsidR="001356D7" w:rsidRPr="006F1547" w:rsidRDefault="001356D7" w:rsidP="001356D7">
      <w:pPr>
        <w:shd w:val="clear" w:color="auto" w:fill="FFFFFF"/>
        <w:spacing w:after="0" w:line="240" w:lineRule="auto"/>
        <w:ind w:left="851"/>
        <w:rPr>
          <w:rFonts w:eastAsia="Times New Roman" w:cstheme="minorHAnsi"/>
          <w:i/>
          <w:iCs/>
          <w:color w:val="000000"/>
          <w:lang w:eastAsia="en-AU"/>
        </w:rPr>
      </w:pPr>
      <w:r>
        <w:rPr>
          <w:rFonts w:eastAsia="Times New Roman" w:cstheme="minorHAnsi"/>
          <w:color w:val="000000"/>
          <w:lang w:eastAsia="en-AU"/>
        </w:rPr>
        <w:t>LEAD COMPOUNDS</w:t>
      </w:r>
      <w:r w:rsidRPr="002008D8">
        <w:rPr>
          <w:rFonts w:eastAsia="Times New Roman" w:cstheme="minorHAnsi"/>
          <w:color w:val="000000"/>
          <w:lang w:eastAsia="en-AU"/>
        </w:rPr>
        <w:t xml:space="preserve"> </w:t>
      </w:r>
    </w:p>
    <w:tbl>
      <w:tblPr>
        <w:tblStyle w:val="TableGrid1"/>
        <w:tblW w:w="7840" w:type="dxa"/>
        <w:tblInd w:w="1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0"/>
      </w:tblGrid>
      <w:tr w:rsidR="001356D7" w:rsidRPr="002008D8" w14:paraId="0DD29172" w14:textId="77777777" w:rsidTr="00CD29DC">
        <w:tc>
          <w:tcPr>
            <w:tcW w:w="7840" w:type="dxa"/>
            <w:hideMark/>
          </w:tcPr>
          <w:p w14:paraId="7D49A882" w14:textId="77777777" w:rsidR="001356D7" w:rsidRPr="002008D8" w:rsidRDefault="001356D7" w:rsidP="001356D7">
            <w:pPr>
              <w:numPr>
                <w:ilvl w:val="0"/>
                <w:numId w:val="10"/>
              </w:numPr>
              <w:spacing w:before="120" w:after="120" w:line="240" w:lineRule="atLeast"/>
              <w:rPr>
                <w:rFonts w:asciiTheme="minorHAnsi" w:hAnsiTheme="minorHAnsi" w:cstheme="minorHAnsi"/>
                <w:i/>
                <w:iCs/>
                <w:strike/>
                <w:color w:val="FF0000"/>
                <w:szCs w:val="20"/>
                <w:lang w:eastAsia="en-US"/>
              </w:rPr>
            </w:pPr>
            <w:r w:rsidRPr="00A4167A">
              <w:rPr>
                <w:rFonts w:asciiTheme="minorHAnsi" w:hAnsiTheme="minorHAnsi" w:cstheme="minorHAnsi"/>
                <w:szCs w:val="20"/>
                <w:lang w:eastAsia="en-US"/>
              </w:rPr>
              <w:lastRenderedPageBreak/>
              <w:t xml:space="preserve">in anti-fouling </w:t>
            </w:r>
            <w:r>
              <w:rPr>
                <w:rFonts w:asciiTheme="minorHAnsi" w:hAnsiTheme="minorHAnsi" w:cstheme="minorHAnsi"/>
                <w:strike/>
                <w:color w:val="FF0000"/>
                <w:szCs w:val="20"/>
                <w:lang w:eastAsia="en-US"/>
              </w:rPr>
              <w:t>or anti-corrosive</w:t>
            </w:r>
            <w:r w:rsidRPr="00A4167A">
              <w:rPr>
                <w:rFonts w:asciiTheme="minorHAnsi" w:hAnsiTheme="minorHAnsi" w:cstheme="minorHAnsi"/>
                <w:strike/>
                <w:color w:val="FF0000"/>
                <w:szCs w:val="20"/>
                <w:lang w:eastAsia="en-US"/>
              </w:rPr>
              <w:t xml:space="preserve"> </w:t>
            </w:r>
            <w:r w:rsidRPr="00A4167A">
              <w:rPr>
                <w:rFonts w:asciiTheme="minorHAnsi" w:hAnsiTheme="minorHAnsi" w:cstheme="minorHAnsi"/>
                <w:szCs w:val="20"/>
                <w:lang w:eastAsia="en-US"/>
              </w:rPr>
              <w:t>paints</w:t>
            </w:r>
            <w:r w:rsidRPr="00A4167A">
              <w:rPr>
                <w:rFonts w:asciiTheme="minorHAnsi" w:hAnsiTheme="minorHAnsi" w:cstheme="minorHAnsi"/>
                <w:color w:val="FF0000"/>
                <w:szCs w:val="20"/>
                <w:lang w:eastAsia="en-US"/>
              </w:rPr>
              <w:t xml:space="preserve"> </w:t>
            </w:r>
            <w:r w:rsidRPr="00A4167A">
              <w:rPr>
                <w:rFonts w:asciiTheme="minorHAnsi" w:hAnsiTheme="minorHAnsi" w:cstheme="minorHAnsi"/>
                <w:b/>
                <w:bCs/>
                <w:szCs w:val="20"/>
                <w:lang w:eastAsia="en-US"/>
              </w:rPr>
              <w:t>except</w:t>
            </w:r>
            <w:r w:rsidRPr="00A4167A">
              <w:rPr>
                <w:rFonts w:asciiTheme="minorHAnsi" w:hAnsiTheme="minorHAnsi" w:cstheme="minorHAnsi"/>
                <w:szCs w:val="20"/>
                <w:lang w:eastAsia="en-US"/>
              </w:rPr>
              <w:t xml:space="preserve"> in preparations containing</w:t>
            </w:r>
            <w:r>
              <w:rPr>
                <w:rFonts w:asciiTheme="minorHAnsi" w:hAnsiTheme="minorHAnsi" w:cstheme="minorHAnsi"/>
                <w:szCs w:val="20"/>
                <w:lang w:eastAsia="en-US"/>
              </w:rPr>
              <w:t xml:space="preserve"> </w:t>
            </w:r>
            <w:r w:rsidRPr="00A4167A">
              <w:rPr>
                <w:rFonts w:asciiTheme="minorHAnsi" w:hAnsiTheme="minorHAnsi" w:cstheme="minorHAnsi"/>
                <w:szCs w:val="20"/>
                <w:lang w:eastAsia="en-US"/>
              </w:rPr>
              <w:t>0.1% or less of lead calculated on the non-volatile content of the paint; or</w:t>
            </w:r>
          </w:p>
        </w:tc>
      </w:tr>
      <w:tr w:rsidR="001356D7" w:rsidRPr="002008D8" w14:paraId="5DAD0D89" w14:textId="77777777" w:rsidTr="00CD29DC">
        <w:tc>
          <w:tcPr>
            <w:tcW w:w="7840" w:type="dxa"/>
            <w:hideMark/>
          </w:tcPr>
          <w:p w14:paraId="62226C99" w14:textId="77777777" w:rsidR="001356D7" w:rsidRPr="00F43069" w:rsidRDefault="001356D7" w:rsidP="001356D7">
            <w:pPr>
              <w:numPr>
                <w:ilvl w:val="0"/>
                <w:numId w:val="10"/>
              </w:numPr>
              <w:spacing w:before="120" w:after="120" w:line="240" w:lineRule="atLeast"/>
              <w:rPr>
                <w:rFonts w:asciiTheme="minorHAnsi" w:hAnsiTheme="minorHAnsi" w:cstheme="minorHAnsi"/>
              </w:rPr>
            </w:pPr>
            <w:r w:rsidRPr="007237CC">
              <w:rPr>
                <w:rFonts w:asciiTheme="minorHAnsi" w:hAnsiTheme="minorHAnsi" w:cstheme="minorHAnsi"/>
              </w:rPr>
              <w:t xml:space="preserve">in paints (other than anti-fouling </w:t>
            </w:r>
            <w:r w:rsidRPr="007237CC">
              <w:rPr>
                <w:rFonts w:asciiTheme="minorHAnsi" w:hAnsiTheme="minorHAnsi" w:cstheme="minorHAnsi"/>
                <w:strike/>
                <w:color w:val="FF0000"/>
              </w:rPr>
              <w:t>or anti-corrosive</w:t>
            </w:r>
            <w:r w:rsidRPr="00C56EA8">
              <w:rPr>
                <w:rFonts w:asciiTheme="minorHAnsi" w:hAnsiTheme="minorHAnsi" w:cstheme="minorHAnsi"/>
                <w:strike/>
                <w:color w:val="FF0000"/>
              </w:rPr>
              <w:t xml:space="preserve"> </w:t>
            </w:r>
            <w:r w:rsidRPr="007237CC">
              <w:rPr>
                <w:rFonts w:asciiTheme="minorHAnsi" w:hAnsiTheme="minorHAnsi" w:cstheme="minorHAnsi"/>
              </w:rPr>
              <w:t xml:space="preserve">paints), tinters, </w:t>
            </w:r>
            <w:proofErr w:type="gramStart"/>
            <w:r w:rsidRPr="007237CC">
              <w:rPr>
                <w:rFonts w:asciiTheme="minorHAnsi" w:hAnsiTheme="minorHAnsi" w:cstheme="minorHAnsi"/>
              </w:rPr>
              <w:t>inks</w:t>
            </w:r>
            <w:proofErr w:type="gramEnd"/>
            <w:r w:rsidRPr="007237CC">
              <w:rPr>
                <w:rFonts w:asciiTheme="minorHAnsi" w:hAnsiTheme="minorHAnsi" w:cstheme="minorHAnsi"/>
              </w:rPr>
              <w:t xml:space="preserve"> or ink additives except in preparations containing 0.009% or less of lead calculated on the non-volatile content of the paint, tinter, ink or ink additive.</w:t>
            </w:r>
          </w:p>
        </w:tc>
      </w:tr>
    </w:tbl>
    <w:p w14:paraId="025FD6FB" w14:textId="3A95EC80" w:rsidR="00457050" w:rsidRPr="00BB34CD" w:rsidRDefault="00457050" w:rsidP="009A02A1">
      <w:pPr>
        <w:pStyle w:val="Heading4"/>
      </w:pPr>
      <w:r w:rsidRPr="00BB34CD">
        <w:t>Materials considered</w:t>
      </w:r>
    </w:p>
    <w:p w14:paraId="31C6FA6E" w14:textId="77777777" w:rsidR="00457050" w:rsidRDefault="00457050" w:rsidP="00967490">
      <w:r>
        <w:t>In making this final decision, the Delegate considered the following material:</w:t>
      </w:r>
    </w:p>
    <w:p w14:paraId="39821DFD" w14:textId="795D249E" w:rsidR="00457050" w:rsidRPr="009A02A1" w:rsidRDefault="00457050" w:rsidP="00967490">
      <w:pPr>
        <w:pStyle w:val="ListBullet"/>
      </w:pPr>
      <w:r w:rsidRPr="009A02A1">
        <w:t xml:space="preserve">The </w:t>
      </w:r>
      <w:hyperlink r:id="rId15" w:history="1">
        <w:r w:rsidRPr="009A02A1">
          <w:rPr>
            <w:rStyle w:val="Hyperlink"/>
            <w:rFonts w:asciiTheme="minorHAnsi" w:hAnsiTheme="minorHAnsi"/>
          </w:rPr>
          <w:t>application</w:t>
        </w:r>
      </w:hyperlink>
      <w:r w:rsidRPr="009A02A1">
        <w:t xml:space="preserve"> to amend the current Poisons Standard with respect to </w:t>
      </w:r>
      <w:r w:rsidR="00940998" w:rsidRPr="009A02A1">
        <w:t>lead</w:t>
      </w:r>
      <w:r w:rsidRPr="009A02A1">
        <w:t xml:space="preserve"> (the </w:t>
      </w:r>
      <w:r w:rsidRPr="009A02A1">
        <w:rPr>
          <w:b/>
          <w:bCs/>
        </w:rPr>
        <w:t>Application</w:t>
      </w:r>
      <w:r w:rsidRPr="009A02A1">
        <w:t>)</w:t>
      </w:r>
      <w:r w:rsidR="00677DDA">
        <w:t>.</w:t>
      </w:r>
    </w:p>
    <w:p w14:paraId="4FC53D17" w14:textId="0552BE02" w:rsidR="00457050" w:rsidRDefault="00457050" w:rsidP="00967490">
      <w:pPr>
        <w:pStyle w:val="ListBullet"/>
      </w:pPr>
      <w:r w:rsidRPr="009A02A1">
        <w:t xml:space="preserve">The </w:t>
      </w:r>
      <w:r w:rsidR="00940998" w:rsidRPr="009A02A1">
        <w:t>17</w:t>
      </w:r>
      <w:r w:rsidRPr="009A02A1">
        <w:t xml:space="preserve"> public submissions received in response to the </w:t>
      </w:r>
      <w:hyperlink r:id="rId16" w:history="1">
        <w:r w:rsidRPr="009A02A1">
          <w:rPr>
            <w:rStyle w:val="Hyperlink"/>
            <w:rFonts w:asciiTheme="minorHAnsi" w:hAnsiTheme="minorHAnsi"/>
          </w:rPr>
          <w:t>pre-meeting consultation</w:t>
        </w:r>
      </w:hyperlink>
      <w:r>
        <w:t xml:space="preserve"> under regulation 42ZCZK of the Regulations</w:t>
      </w:r>
      <w:r w:rsidR="00677DDA">
        <w:t>.</w:t>
      </w:r>
    </w:p>
    <w:p w14:paraId="5CC56E73" w14:textId="525008E6" w:rsidR="00457050" w:rsidRDefault="00457050" w:rsidP="00967490">
      <w:pPr>
        <w:pStyle w:val="ListBullet"/>
      </w:pPr>
      <w:r>
        <w:t xml:space="preserve">The advice received from </w:t>
      </w:r>
      <w:r w:rsidRPr="003426A3">
        <w:t xml:space="preserve">the </w:t>
      </w:r>
      <w:r w:rsidR="00940998" w:rsidRPr="003426A3">
        <w:t>34</w:t>
      </w:r>
      <w:r w:rsidRPr="009A02A1">
        <w:rPr>
          <w:vertAlign w:val="superscript"/>
        </w:rPr>
        <w:t>th</w:t>
      </w:r>
      <w:r w:rsidR="009A02A1">
        <w:t xml:space="preserve"> </w:t>
      </w:r>
      <w:r w:rsidRPr="003426A3">
        <w:t xml:space="preserve">meeting of the Advisory Committees on Medicines and Chemicals Scheduling in joint session (the </w:t>
      </w:r>
      <w:r w:rsidRPr="003426A3">
        <w:rPr>
          <w:b/>
          <w:bCs/>
        </w:rPr>
        <w:t>Committee</w:t>
      </w:r>
      <w:r w:rsidRPr="003426A3">
        <w:t>)</w:t>
      </w:r>
      <w:r w:rsidR="00677DDA">
        <w:t>.</w:t>
      </w:r>
    </w:p>
    <w:p w14:paraId="78038919" w14:textId="7B756AA0" w:rsidR="00FA198E" w:rsidRDefault="00FA198E" w:rsidP="00FA198E">
      <w:pPr>
        <w:pStyle w:val="ListBullet"/>
      </w:pPr>
      <w:r>
        <w:t>T</w:t>
      </w:r>
      <w:r w:rsidR="00CB67E9" w:rsidRPr="002935AB">
        <w:t xml:space="preserve">he </w:t>
      </w:r>
      <w:r w:rsidR="00CB67E9" w:rsidRPr="00C902CA">
        <w:t xml:space="preserve">Delegate’s </w:t>
      </w:r>
      <w:hyperlink r:id="rId17" w:history="1">
        <w:r w:rsidR="00CB67E9" w:rsidRPr="00C902CA">
          <w:rPr>
            <w:rStyle w:val="Hyperlink"/>
            <w:rFonts w:asciiTheme="minorHAnsi" w:hAnsiTheme="minorHAnsi"/>
          </w:rPr>
          <w:t>2021 Decision</w:t>
        </w:r>
      </w:hyperlink>
      <w:r w:rsidR="00CB67E9" w:rsidRPr="00C902CA">
        <w:t xml:space="preserve"> to amend</w:t>
      </w:r>
      <w:r w:rsidR="00CB67E9" w:rsidRPr="002935AB">
        <w:t xml:space="preserve"> the Poisons Standard in relation to lead (in paint) in September 2021 and the materials considered in making those decisions</w:t>
      </w:r>
      <w:r w:rsidR="00677DDA">
        <w:t>.</w:t>
      </w:r>
    </w:p>
    <w:p w14:paraId="5C1D1307" w14:textId="0A3D5237" w:rsidR="00FA198E" w:rsidRPr="00F323B5" w:rsidRDefault="00FA198E" w:rsidP="00FA198E">
      <w:pPr>
        <w:pStyle w:val="ListBullet"/>
      </w:pPr>
      <w:r>
        <w:t xml:space="preserve">The </w:t>
      </w:r>
      <w:hyperlink r:id="rId18" w:history="1">
        <w:r w:rsidRPr="00FA198E">
          <w:rPr>
            <w:rStyle w:val="Hyperlink"/>
            <w:rFonts w:asciiTheme="minorHAnsi" w:hAnsiTheme="minorHAnsi"/>
          </w:rPr>
          <w:t>interim decision</w:t>
        </w:r>
      </w:hyperlink>
      <w:r>
        <w:t xml:space="preserve"> to amend the Poisons Standard </w:t>
      </w:r>
      <w:r w:rsidRPr="002935AB">
        <w:t xml:space="preserve">in relation to lead (in paint) in </w:t>
      </w:r>
      <w:r>
        <w:t>July</w:t>
      </w:r>
      <w:r w:rsidRPr="002935AB">
        <w:t xml:space="preserve"> 202</w:t>
      </w:r>
      <w:r>
        <w:t xml:space="preserve">3 under regulation </w:t>
      </w:r>
      <w:r w:rsidRPr="00FA198E">
        <w:t>42ZCZN</w:t>
      </w:r>
      <w:r w:rsidRPr="002935AB">
        <w:t xml:space="preserve"> </w:t>
      </w:r>
      <w:r>
        <w:t xml:space="preserve">of the Regulations </w:t>
      </w:r>
      <w:r w:rsidRPr="002935AB">
        <w:t>and the materials considered in making th</w:t>
      </w:r>
      <w:r>
        <w:t>e</w:t>
      </w:r>
      <w:r w:rsidRPr="002935AB">
        <w:t xml:space="preserve"> </w:t>
      </w:r>
      <w:r>
        <w:t xml:space="preserve">interim </w:t>
      </w:r>
      <w:r w:rsidRPr="002935AB">
        <w:t>decisions</w:t>
      </w:r>
      <w:r>
        <w:t xml:space="preserve"> (the </w:t>
      </w:r>
      <w:r w:rsidRPr="00FA198E">
        <w:rPr>
          <w:b/>
          <w:bCs/>
        </w:rPr>
        <w:t>interim decision</w:t>
      </w:r>
      <w:r>
        <w:t>).</w:t>
      </w:r>
    </w:p>
    <w:p w14:paraId="1D2B1C7A" w14:textId="31F0B3C4" w:rsidR="00457050" w:rsidRDefault="00457050" w:rsidP="00967490">
      <w:pPr>
        <w:pStyle w:val="ListBullet"/>
      </w:pPr>
      <w:r>
        <w:t xml:space="preserve">The </w:t>
      </w:r>
      <w:r w:rsidR="00940998">
        <w:t>2</w:t>
      </w:r>
      <w:r>
        <w:t xml:space="preserve"> public </w:t>
      </w:r>
      <w:r w:rsidRPr="003426A3">
        <w:t>submissions received</w:t>
      </w:r>
      <w:r>
        <w:t xml:space="preserve"> in response to the </w:t>
      </w:r>
      <w:hyperlink r:id="rId19" w:history="1">
        <w:r w:rsidRPr="00CB67E9">
          <w:rPr>
            <w:rStyle w:val="Hyperlink"/>
            <w:rFonts w:asciiTheme="minorHAnsi" w:hAnsiTheme="minorHAnsi"/>
          </w:rPr>
          <w:t>interim decision consultation</w:t>
        </w:r>
      </w:hyperlink>
      <w:r>
        <w:t xml:space="preserve"> </w:t>
      </w:r>
      <w:r w:rsidRPr="002C1418">
        <w:t>under regulation 42ZCZP of the Regulations</w:t>
      </w:r>
      <w:r w:rsidR="003426A3">
        <w:t xml:space="preserve"> (the </w:t>
      </w:r>
      <w:r w:rsidR="003426A3" w:rsidRPr="003426A3">
        <w:rPr>
          <w:b/>
          <w:bCs/>
        </w:rPr>
        <w:t>Submissions</w:t>
      </w:r>
      <w:r w:rsidR="003426A3">
        <w:t>)</w:t>
      </w:r>
      <w:r w:rsidR="00677DDA">
        <w:t>.</w:t>
      </w:r>
    </w:p>
    <w:p w14:paraId="19F040F9" w14:textId="7A2D41EA" w:rsidR="00457050" w:rsidRDefault="00457050" w:rsidP="00967490">
      <w:pPr>
        <w:pStyle w:val="ListBullet"/>
      </w:pPr>
      <w:r w:rsidRPr="001169AC">
        <w:t>Subsection 52E(1) of</w:t>
      </w:r>
      <w:r w:rsidR="009A02A1">
        <w:rPr>
          <w:i/>
        </w:rPr>
        <w:t xml:space="preserve"> </w:t>
      </w:r>
      <w:r w:rsidR="009A02A1">
        <w:rPr>
          <w:iCs/>
        </w:rPr>
        <w:t>the Act</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r w:rsidR="00677DDA">
        <w:t>.</w:t>
      </w:r>
    </w:p>
    <w:p w14:paraId="2842A6B7" w14:textId="7560DC4F" w:rsidR="00457050" w:rsidRDefault="00BB34CD" w:rsidP="00CB67E9">
      <w:pPr>
        <w:pStyle w:val="ListBullet"/>
      </w:pPr>
      <w:r>
        <w:t xml:space="preserve">the </w:t>
      </w:r>
      <w:r w:rsidR="00457050" w:rsidRPr="00BB34CD">
        <w:t>SPF</w:t>
      </w:r>
      <w:r w:rsidR="00457050">
        <w:t xml:space="preserve"> </w:t>
      </w:r>
      <w:r w:rsidR="00457050" w:rsidRPr="00CB67E9">
        <w:t>and</w:t>
      </w:r>
      <w:r w:rsidR="00677DDA">
        <w:t xml:space="preserve"> t</w:t>
      </w:r>
      <w:r w:rsidR="00457050">
        <w:t>he</w:t>
      </w:r>
      <w:r>
        <w:t xml:space="preserve"> Handbook</w:t>
      </w:r>
      <w:r w:rsidR="00CB67E9">
        <w:t>.</w:t>
      </w:r>
    </w:p>
    <w:p w14:paraId="20028C3B" w14:textId="77777777" w:rsidR="00457050" w:rsidRPr="00BB34CD" w:rsidRDefault="00457050" w:rsidP="00BB34CD">
      <w:pPr>
        <w:rPr>
          <w:b/>
          <w:bCs/>
          <w:i/>
          <w:iCs/>
        </w:rPr>
      </w:pPr>
      <w:r w:rsidRPr="00BB34CD">
        <w:rPr>
          <w:b/>
          <w:bCs/>
          <w:i/>
          <w:iCs/>
        </w:rPr>
        <w:t>Reasons for the final decision (including findings on material questions of fact)</w:t>
      </w:r>
    </w:p>
    <w:p w14:paraId="1170FB35" w14:textId="06AECF29" w:rsidR="003426A3" w:rsidRDefault="003426A3" w:rsidP="003426A3">
      <w:pPr>
        <w:rPr>
          <w:rFonts w:cstheme="minorHAnsi"/>
        </w:rPr>
      </w:pPr>
      <w:bookmarkStart w:id="6" w:name="_Hlk143162952"/>
      <w:r w:rsidRPr="00461C08">
        <w:rPr>
          <w:rFonts w:cstheme="minorHAnsi"/>
        </w:rPr>
        <w:t xml:space="preserve">I have made a final decision to confirm my interim decision to amend the current Poisons Standard with respect to </w:t>
      </w:r>
      <w:r>
        <w:rPr>
          <w:rFonts w:cstheme="minorHAnsi"/>
        </w:rPr>
        <w:t>lead</w:t>
      </w:r>
      <w:r w:rsidRPr="00461C08">
        <w:rPr>
          <w:rFonts w:cstheme="minorHAnsi"/>
        </w:rPr>
        <w:t xml:space="preserve">. My reasons for making the final decision are those set out in the interim decision. In making my final decision, I have </w:t>
      </w:r>
      <w:proofErr w:type="gramStart"/>
      <w:r w:rsidRPr="00461C08">
        <w:rPr>
          <w:rFonts w:cstheme="minorHAnsi"/>
        </w:rPr>
        <w:t>taken into account</w:t>
      </w:r>
      <w:proofErr w:type="gramEnd"/>
      <w:r w:rsidRPr="00461C08">
        <w:rPr>
          <w:rFonts w:cstheme="minorHAnsi"/>
        </w:rPr>
        <w:t xml:space="preserve"> the material detailed in the interim decision and the </w:t>
      </w:r>
      <w:r>
        <w:rPr>
          <w:rFonts w:cstheme="minorHAnsi"/>
        </w:rPr>
        <w:t>S</w:t>
      </w:r>
      <w:r w:rsidRPr="00DF3D0D">
        <w:rPr>
          <w:rFonts w:cstheme="minorHAnsi"/>
        </w:rPr>
        <w:t xml:space="preserve">ubmissions, </w:t>
      </w:r>
      <w:r>
        <w:rPr>
          <w:rFonts w:cstheme="minorHAnsi"/>
        </w:rPr>
        <w:t xml:space="preserve">both of which </w:t>
      </w:r>
      <w:r w:rsidRPr="00461C08">
        <w:rPr>
          <w:rFonts w:cstheme="minorHAnsi"/>
        </w:rPr>
        <w:t>were in support of the interim decision.</w:t>
      </w:r>
    </w:p>
    <w:bookmarkEnd w:id="6"/>
    <w:p w14:paraId="4ADDCF6F" w14:textId="64E410F9" w:rsidR="005D1120" w:rsidRDefault="005D1120" w:rsidP="005D1120">
      <w:r>
        <w:t>I would like to reaffirm my view that consideration should be given to making further amendments to the scheduling of lead in relation to anti-fouling paints. In particular:</w:t>
      </w:r>
    </w:p>
    <w:p w14:paraId="3A6BC472" w14:textId="308C2709" w:rsidR="005D1120" w:rsidRDefault="005D1120" w:rsidP="005D1120">
      <w:pPr>
        <w:pStyle w:val="ListParagraph"/>
        <w:numPr>
          <w:ilvl w:val="0"/>
          <w:numId w:val="11"/>
        </w:numPr>
        <w:spacing w:before="120" w:after="180" w:line="240" w:lineRule="atLeast"/>
        <w:rPr>
          <w:rFonts w:cstheme="minorHAnsi"/>
        </w:rPr>
      </w:pPr>
      <w:r w:rsidRPr="00BE1B32">
        <w:rPr>
          <w:rFonts w:cstheme="minorHAnsi"/>
        </w:rPr>
        <w:t>to reduce</w:t>
      </w:r>
      <w:r>
        <w:rPr>
          <w:rFonts w:cstheme="minorHAnsi"/>
        </w:rPr>
        <w:t xml:space="preserve"> the </w:t>
      </w:r>
      <w:r w:rsidRPr="00083723">
        <w:rPr>
          <w:rFonts w:cstheme="minorHAnsi"/>
        </w:rPr>
        <w:t>permissible maximum level of lead in anti-fouling paints</w:t>
      </w:r>
      <w:r>
        <w:rPr>
          <w:rFonts w:cstheme="minorHAnsi"/>
        </w:rPr>
        <w:t xml:space="preserve"> to 0.06% by 1</w:t>
      </w:r>
      <w:r w:rsidR="00677DDA">
        <w:rPr>
          <w:rFonts w:cstheme="minorHAnsi"/>
        </w:rPr>
        <w:t> </w:t>
      </w:r>
      <w:r>
        <w:rPr>
          <w:rFonts w:cstheme="minorHAnsi"/>
        </w:rPr>
        <w:t>October</w:t>
      </w:r>
      <w:r w:rsidR="00677DDA">
        <w:rPr>
          <w:rFonts w:cstheme="minorHAnsi"/>
        </w:rPr>
        <w:t> </w:t>
      </w:r>
      <w:r>
        <w:rPr>
          <w:rFonts w:cstheme="minorHAnsi"/>
        </w:rPr>
        <w:t xml:space="preserve">2026, and </w:t>
      </w:r>
    </w:p>
    <w:p w14:paraId="535C0B33" w14:textId="364E7BA3" w:rsidR="005D1120" w:rsidRDefault="005D1120" w:rsidP="005D1120">
      <w:pPr>
        <w:pStyle w:val="ListParagraph"/>
        <w:numPr>
          <w:ilvl w:val="0"/>
          <w:numId w:val="11"/>
        </w:numPr>
        <w:spacing w:before="120" w:after="180" w:line="240" w:lineRule="atLeast"/>
        <w:rPr>
          <w:rFonts w:cstheme="minorHAnsi"/>
        </w:rPr>
      </w:pPr>
      <w:r w:rsidRPr="00825F24">
        <w:rPr>
          <w:rFonts w:cstheme="minorHAnsi"/>
        </w:rPr>
        <w:t>to reduce the permissible maximum level of lead in anti-fouling paints to 0.0</w:t>
      </w:r>
      <w:r>
        <w:rPr>
          <w:rFonts w:cstheme="minorHAnsi"/>
        </w:rPr>
        <w:t>09</w:t>
      </w:r>
      <w:r w:rsidRPr="00825F24">
        <w:rPr>
          <w:rFonts w:cstheme="minorHAnsi"/>
        </w:rPr>
        <w:t>% by 1</w:t>
      </w:r>
      <w:r w:rsidR="00677DDA">
        <w:rPr>
          <w:rFonts w:cstheme="minorHAnsi"/>
        </w:rPr>
        <w:t> </w:t>
      </w:r>
      <w:r w:rsidRPr="00825F24">
        <w:rPr>
          <w:rFonts w:cstheme="minorHAnsi"/>
        </w:rPr>
        <w:t>October 202</w:t>
      </w:r>
      <w:r>
        <w:rPr>
          <w:rFonts w:cstheme="minorHAnsi"/>
        </w:rPr>
        <w:t>9.</w:t>
      </w:r>
    </w:p>
    <w:p w14:paraId="0D268FCD" w14:textId="206294C2" w:rsidR="005D1120" w:rsidRDefault="005D1120" w:rsidP="005D1120">
      <w:r>
        <w:t>This</w:t>
      </w:r>
      <w:r w:rsidRPr="0053559E">
        <w:t xml:space="preserve"> ‘sta</w:t>
      </w:r>
      <w:r>
        <w:t>g</w:t>
      </w:r>
      <w:r w:rsidRPr="0053559E">
        <w:t>ge</w:t>
      </w:r>
      <w:r>
        <w:t>re</w:t>
      </w:r>
      <w:r w:rsidRPr="0053559E">
        <w:t xml:space="preserve">d’ approach to the reduction of lead in anti-fouling paints should contribute to the impetus for innovation in this sector. I </w:t>
      </w:r>
      <w:r w:rsidR="003D288F">
        <w:t xml:space="preserve">anticipate </w:t>
      </w:r>
      <w:r w:rsidRPr="0053559E">
        <w:t xml:space="preserve">that </w:t>
      </w:r>
      <w:r w:rsidR="003426A3">
        <w:t xml:space="preserve">this </w:t>
      </w:r>
      <w:r w:rsidRPr="0053559E">
        <w:t xml:space="preserve">will present </w:t>
      </w:r>
      <w:r w:rsidR="003426A3">
        <w:t xml:space="preserve">ample </w:t>
      </w:r>
      <w:r w:rsidRPr="0053559E">
        <w:t xml:space="preserve">opportunity for the development of new and improved products and methods to prevent the fouling of </w:t>
      </w:r>
      <w:r w:rsidR="00CC75D7">
        <w:t xml:space="preserve">watercraft </w:t>
      </w:r>
      <w:r w:rsidRPr="0053559E">
        <w:t>hulls.</w:t>
      </w:r>
    </w:p>
    <w:p w14:paraId="6A6722C8" w14:textId="7BE9DCF3" w:rsidR="005D1120" w:rsidRPr="00C67A2C" w:rsidRDefault="005D1120" w:rsidP="005D1120">
      <w:r w:rsidRPr="77477234">
        <w:lastRenderedPageBreak/>
        <w:t xml:space="preserve">In the absence of an application to make the above amendments at the appropriate time, a </w:t>
      </w:r>
      <w:proofErr w:type="gramStart"/>
      <w:r w:rsidRPr="77477234">
        <w:t>Secretary</w:t>
      </w:r>
      <w:proofErr w:type="gramEnd"/>
      <w:r>
        <w:t>-</w:t>
      </w:r>
      <w:r w:rsidRPr="77477234">
        <w:t>initiated amendment to make the above amendments may be proposed, in accordance with the ordinary procedures to amend the Poisons Standard.</w:t>
      </w:r>
    </w:p>
    <w:p w14:paraId="5CBC093C" w14:textId="31A55F73" w:rsidR="00457050" w:rsidRPr="00BB34CD" w:rsidRDefault="00457050" w:rsidP="00BB34CD">
      <w:pPr>
        <w:rPr>
          <w:b/>
          <w:bCs/>
          <w:i/>
          <w:iCs/>
        </w:rPr>
      </w:pPr>
      <w:r w:rsidRPr="00BB34CD">
        <w:rPr>
          <w:b/>
          <w:bCs/>
          <w:i/>
          <w:iCs/>
        </w:rPr>
        <w:t xml:space="preserve">Implementation date </w:t>
      </w:r>
    </w:p>
    <w:p w14:paraId="34BB1F69" w14:textId="0848E7AD" w:rsidR="00457050" w:rsidRPr="004A213A" w:rsidRDefault="00CB67E9" w:rsidP="00967490">
      <w:r>
        <w:t>1 October 2023</w:t>
      </w:r>
    </w:p>
    <w:p w14:paraId="2A935F9D" w14:textId="77777777" w:rsidR="00F02AEC" w:rsidRPr="00215D48" w:rsidRDefault="00F02AEC" w:rsidP="00967490">
      <w:pPr>
        <w:sectPr w:rsidR="00F02AEC" w:rsidRPr="00215D48" w:rsidSect="00AE7C6A">
          <w:headerReference w:type="default" r:id="rId20"/>
          <w:footerReference w:type="default" r:id="rId21"/>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D1612F">
              <w:rPr>
                <w:color w:val="auto"/>
              </w:rPr>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5E3E9A" w:rsidRDefault="00F02AEC" w:rsidP="00300CBB">
            <w:pPr>
              <w:pStyle w:val="Address"/>
              <w:jc w:val="center"/>
              <w:rPr>
                <w:color w:val="auto"/>
              </w:rPr>
            </w:pPr>
            <w:r w:rsidRPr="005E3E9A">
              <w:rPr>
                <w:color w:val="auto"/>
              </w:rPr>
              <w:t>PO Box 100 Woden ACT 2606 Australia</w:t>
            </w:r>
          </w:p>
          <w:p w14:paraId="75B55E7E" w14:textId="77777777" w:rsidR="00F02AEC" w:rsidRPr="005E3E9A" w:rsidRDefault="00F02AEC" w:rsidP="00300CBB">
            <w:pPr>
              <w:pStyle w:val="Address"/>
              <w:jc w:val="center"/>
              <w:rPr>
                <w:color w:val="auto"/>
                <w:sz w:val="22"/>
              </w:rPr>
            </w:pPr>
            <w:r w:rsidRPr="005E3E9A">
              <w:rPr>
                <w:color w:val="auto"/>
              </w:rPr>
              <w:t>Email</w:t>
            </w:r>
            <w:r w:rsidRPr="00215D48">
              <w:t xml:space="preserve">: </w:t>
            </w:r>
            <w:hyperlink r:id="rId22" w:history="1">
              <w:r w:rsidRPr="00215D48">
                <w:rPr>
                  <w:rStyle w:val="Hyperlink"/>
                </w:rPr>
                <w:t>info@tga.gov.au</w:t>
              </w:r>
            </w:hyperlink>
            <w:r w:rsidRPr="00215D48">
              <w:t xml:space="preserve">  </w:t>
            </w:r>
            <w:r w:rsidRPr="005E3E9A">
              <w:rPr>
                <w:color w:val="auto"/>
              </w:rPr>
              <w:t xml:space="preserve">Phone: 1800 020 </w:t>
            </w:r>
            <w:proofErr w:type="gramStart"/>
            <w:r w:rsidRPr="005E3E9A">
              <w:rPr>
                <w:color w:val="auto"/>
              </w:rPr>
              <w:t>653  Fax</w:t>
            </w:r>
            <w:proofErr w:type="gramEnd"/>
            <w:r w:rsidRPr="005E3E9A">
              <w:rPr>
                <w:color w:val="auto"/>
              </w:rPr>
              <w:t>: 02 6203 1605</w:t>
            </w:r>
          </w:p>
          <w:p w14:paraId="49F7061A" w14:textId="77777777" w:rsidR="00F02AEC" w:rsidRPr="00215D48" w:rsidRDefault="00C061E2" w:rsidP="00300CBB">
            <w:pPr>
              <w:pStyle w:val="Address"/>
              <w:jc w:val="center"/>
              <w:rPr>
                <w:rStyle w:val="Hyperlink"/>
                <w:b/>
                <w:color w:val="auto"/>
                <w:sz w:val="22"/>
              </w:rPr>
            </w:pPr>
            <w:hyperlink r:id="rId23" w:history="1">
              <w:r w:rsidR="00F02AEC" w:rsidRPr="00C4721A">
                <w:rPr>
                  <w:rStyle w:val="Hyperlink"/>
                  <w:b/>
                </w:rPr>
                <w:t>https://www.tga.gov.au</w:t>
              </w:r>
            </w:hyperlink>
          </w:p>
        </w:tc>
      </w:tr>
      <w:tr w:rsidR="00F02AEC" w:rsidRPr="00215D48" w14:paraId="1B62B233" w14:textId="77777777" w:rsidTr="00564BBE">
        <w:trPr>
          <w:trHeight w:val="251"/>
          <w:jc w:val="center"/>
        </w:trPr>
        <w:tc>
          <w:tcPr>
            <w:tcW w:w="9145" w:type="dxa"/>
            <w:tcMar>
              <w:top w:w="28" w:type="dxa"/>
            </w:tcMar>
          </w:tcPr>
          <w:p w14:paraId="5A58CAA3" w14:textId="0153A928" w:rsidR="00F02AEC" w:rsidRPr="00215D48" w:rsidRDefault="00F02AEC" w:rsidP="00300CBB">
            <w:pPr>
              <w:pStyle w:val="Address"/>
              <w:jc w:val="center"/>
            </w:pPr>
          </w:p>
        </w:tc>
      </w:tr>
    </w:tbl>
    <w:p w14:paraId="221B1587" w14:textId="77777777" w:rsidR="002216A7" w:rsidRDefault="00C061E2" w:rsidP="00967490"/>
    <w:sectPr w:rsidR="002216A7" w:rsidSect="00AE7C6A">
      <w:headerReference w:type="first" r:id="rId24"/>
      <w:footerReference w:type="first" r:id="rId25"/>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C7506" w14:textId="77777777" w:rsidR="00B06BAB" w:rsidRDefault="00B06BAB" w:rsidP="00967490">
      <w:r>
        <w:separator/>
      </w:r>
    </w:p>
    <w:p w14:paraId="6F223182" w14:textId="77777777" w:rsidR="00B06BAB" w:rsidRDefault="00B06BAB" w:rsidP="00967490"/>
    <w:p w14:paraId="0DD22943" w14:textId="77777777" w:rsidR="00B06BAB" w:rsidRDefault="00B06BAB" w:rsidP="00967490"/>
  </w:endnote>
  <w:endnote w:type="continuationSeparator" w:id="0">
    <w:p w14:paraId="6D116E98" w14:textId="77777777" w:rsidR="00B06BAB" w:rsidRDefault="00B06BAB" w:rsidP="00967490">
      <w:r>
        <w:continuationSeparator/>
      </w:r>
    </w:p>
    <w:p w14:paraId="50CCAB4A" w14:textId="77777777" w:rsidR="00B06BAB" w:rsidRDefault="00B06BAB" w:rsidP="00967490"/>
    <w:p w14:paraId="56D40947" w14:textId="77777777" w:rsidR="00B06BAB" w:rsidRDefault="00B06BAB" w:rsidP="009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77777777" w:rsidR="00F02AEC" w:rsidRDefault="00F02AEC" w:rsidP="00967490">
          <w:pPr>
            <w:pStyle w:val="Footer"/>
          </w:pP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C061E2">
                <w:fldChar w:fldCharType="begin"/>
              </w:r>
              <w:r w:rsidR="00C061E2">
                <w:instrText xml:space="preserve"> NUMPAGES  </w:instrText>
              </w:r>
              <w:r w:rsidR="00C061E2">
                <w:fldChar w:fldCharType="separate"/>
              </w:r>
              <w:r>
                <w:rPr>
                  <w:noProof/>
                </w:rPr>
                <w:t>2</w:t>
              </w:r>
              <w:r w:rsidR="00C061E2">
                <w:rPr>
                  <w:noProof/>
                </w:rPr>
                <w:fldChar w:fldCharType="end"/>
              </w:r>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r w:rsidRPr="00257138">
            <w:t xml:space="preserve">V1.0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2A3F" w14:textId="77777777" w:rsidR="00F02AEC" w:rsidRDefault="00F02AEC" w:rsidP="00967490">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797"/>
      <w:gridCol w:w="1309"/>
    </w:tblGrid>
    <w:tr w:rsidR="00F02AEC" w:rsidRPr="004A3084" w14:paraId="26871269" w14:textId="77777777" w:rsidTr="00D1612F">
      <w:trPr>
        <w:trHeight w:val="423"/>
      </w:trPr>
      <w:tc>
        <w:tcPr>
          <w:tcW w:w="7797" w:type="dxa"/>
          <w:tcBorders>
            <w:top w:val="single" w:sz="4" w:space="0" w:color="auto"/>
          </w:tcBorders>
        </w:tcPr>
        <w:p w14:paraId="5FF3321B" w14:textId="4DC2A9AB" w:rsidR="00F02AEC" w:rsidRPr="004A3084" w:rsidRDefault="00940998" w:rsidP="00D1612F">
          <w:pPr>
            <w:pStyle w:val="Footer"/>
            <w:ind w:left="-113"/>
          </w:pPr>
          <w:r>
            <w:t>Notice of final decision to amend (or not amend) the current Poisons Standard in relation to lead</w:t>
          </w:r>
          <w:r w:rsidR="00F02AEC" w:rsidRPr="004A3084">
            <w:t xml:space="preserve"> </w:t>
          </w:r>
          <w:r w:rsidR="00F02AEC">
            <w:br/>
          </w:r>
          <w:r>
            <w:t>September 2023</w:t>
          </w:r>
        </w:p>
      </w:tc>
      <w:tc>
        <w:tcPr>
          <w:tcW w:w="1309" w:type="dxa"/>
          <w:tcBorders>
            <w:top w:val="single" w:sz="4" w:space="0" w:color="auto"/>
          </w:tcBorders>
        </w:tcPr>
        <w:sdt>
          <w:sdtPr>
            <w:id w:val="11571659"/>
            <w:docPartObj>
              <w:docPartGallery w:val="Page Numbers (Top of Page)"/>
              <w:docPartUnique/>
            </w:docPartObj>
          </w:sdtPr>
          <w:sdtEndPr/>
          <w:sdtContent>
            <w:p w14:paraId="0FD62CF3" w14:textId="77777777" w:rsidR="00F02AEC" w:rsidRPr="004A3084" w:rsidRDefault="00F02AEC" w:rsidP="00940998">
              <w:pPr>
                <w:pStyle w:val="Footer"/>
                <w:ind w:right="-79"/>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C061E2">
                <w:fldChar w:fldCharType="begin"/>
              </w:r>
              <w:r w:rsidR="00C061E2">
                <w:instrText xml:space="preserve"> NUMPAGES  </w:instrText>
              </w:r>
              <w:r w:rsidR="00C061E2">
                <w:fldChar w:fldCharType="separate"/>
              </w:r>
              <w:r>
                <w:rPr>
                  <w:noProof/>
                </w:rPr>
                <w:t>7</w:t>
              </w:r>
              <w:r w:rsidR="00C061E2">
                <w:rPr>
                  <w:noProof/>
                </w:rPr>
                <w:fldChar w:fldCharType="end"/>
              </w:r>
            </w:p>
          </w:sdtContent>
        </w:sdt>
      </w:tc>
    </w:tr>
  </w:tbl>
  <w:p w14:paraId="26DA1F76" w14:textId="77777777" w:rsidR="00F02AEC" w:rsidRPr="00826007" w:rsidRDefault="00F02AEC" w:rsidP="009674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EBDA" w14:textId="77777777" w:rsidR="00A77452" w:rsidRPr="008E3C43" w:rsidRDefault="00C061E2"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90D75" w14:textId="77777777" w:rsidR="00B06BAB" w:rsidRDefault="00B06BAB" w:rsidP="00967490">
      <w:r>
        <w:separator/>
      </w:r>
    </w:p>
  </w:footnote>
  <w:footnote w:type="continuationSeparator" w:id="0">
    <w:p w14:paraId="02DACF9C" w14:textId="77777777" w:rsidR="00B06BAB" w:rsidRDefault="00B06BAB" w:rsidP="00967490">
      <w:r>
        <w:continuationSeparator/>
      </w:r>
    </w:p>
    <w:p w14:paraId="1F5B4C18" w14:textId="77777777" w:rsidR="00B06BAB" w:rsidRDefault="00B06BAB" w:rsidP="00967490"/>
    <w:p w14:paraId="0C8305F2" w14:textId="77777777" w:rsidR="00B06BAB" w:rsidRDefault="00B06BAB" w:rsidP="00967490"/>
  </w:footnote>
  <w:footnote w:id="1">
    <w:p w14:paraId="799494EA" w14:textId="77777777" w:rsidR="00457050" w:rsidRPr="00967490" w:rsidRDefault="00457050" w:rsidP="00757E6A">
      <w:pPr>
        <w:pStyle w:val="FootnoteText"/>
        <w:keepLines w:val="0"/>
        <w:rPr>
          <w:sz w:val="18"/>
          <w:szCs w:val="18"/>
        </w:rPr>
      </w:pPr>
      <w:r w:rsidRPr="00967490">
        <w:rPr>
          <w:rStyle w:val="FootnoteReference"/>
          <w:sz w:val="18"/>
          <w:szCs w:val="18"/>
        </w:rPr>
        <w:footnoteRef/>
      </w:r>
      <w:r w:rsidRPr="00967490">
        <w:rPr>
          <w:sz w:val="18"/>
          <w:szCs w:val="18"/>
        </w:rPr>
        <w:t xml:space="preserve"> For the purposes of s 52D of the </w:t>
      </w:r>
      <w:r w:rsidRPr="00967490">
        <w:rPr>
          <w:i/>
          <w:iCs/>
          <w:sz w:val="18"/>
          <w:szCs w:val="18"/>
        </w:rPr>
        <w:t>Therapeutic Goods Act 1989</w:t>
      </w:r>
      <w:r w:rsidRPr="00967490">
        <w:rPr>
          <w:sz w:val="18"/>
          <w:szCs w:val="18"/>
        </w:rPr>
        <w:t xml:space="preserve"> (Cth). </w:t>
      </w:r>
    </w:p>
  </w:footnote>
  <w:footnote w:id="2">
    <w:p w14:paraId="1457EC24" w14:textId="062CA25B" w:rsidR="001356D7" w:rsidRPr="006F1547" w:rsidRDefault="001356D7" w:rsidP="001356D7">
      <w:pPr>
        <w:pStyle w:val="FootnoteText"/>
        <w:rPr>
          <w:rFonts w:asciiTheme="minorHAnsi" w:hAnsiTheme="minorHAnsi" w:cstheme="minorHAnsi"/>
          <w:sz w:val="18"/>
          <w:szCs w:val="18"/>
        </w:rPr>
      </w:pPr>
      <w:r w:rsidRPr="006F1547">
        <w:rPr>
          <w:rStyle w:val="FootnoteReference"/>
          <w:rFonts w:asciiTheme="minorHAnsi" w:hAnsiTheme="minorHAnsi" w:cstheme="minorHAnsi"/>
          <w:color w:val="000000" w:themeColor="text1"/>
          <w:sz w:val="18"/>
          <w:szCs w:val="18"/>
        </w:rPr>
        <w:footnoteRef/>
      </w:r>
      <w:r w:rsidRPr="006F1547">
        <w:rPr>
          <w:rFonts w:asciiTheme="minorHAnsi" w:hAnsiTheme="minorHAnsi" w:cstheme="minorHAnsi"/>
          <w:color w:val="000000" w:themeColor="text1"/>
          <w:sz w:val="18"/>
          <w:szCs w:val="18"/>
        </w:rPr>
        <w:t xml:space="preserve"> </w:t>
      </w:r>
      <w:hyperlink r:id="rId1" w:history="1">
        <w:r w:rsidR="00677DDA">
          <w:rPr>
            <w:rStyle w:val="Hyperlink"/>
            <w:rFonts w:asciiTheme="minorHAnsi" w:hAnsiTheme="minorHAnsi" w:cstheme="minorHAnsi"/>
            <w:sz w:val="18"/>
            <w:szCs w:val="18"/>
          </w:rPr>
          <w:t>consultations.tga.gov.au/tga/scheduling-pre-meeting-june-2023/user_uploads/june-pre-meeting-public-notice-acms--42-acms-accs--34-1.pdf</w:t>
        </w:r>
      </w:hyperlink>
      <w:r>
        <w:rPr>
          <w:rFonts w:asciiTheme="minorHAnsi" w:hAnsiTheme="minorHAnsi" w:cstheme="minorHAnsi"/>
          <w:color w:val="000000" w:themeColor="text1"/>
          <w:sz w:val="18"/>
          <w:szCs w:val="18"/>
        </w:rPr>
        <w:t xml:space="preserve"> </w:t>
      </w:r>
    </w:p>
  </w:footnote>
  <w:footnote w:id="3">
    <w:p w14:paraId="06CD2798" w14:textId="77A25A99" w:rsidR="00E3174E" w:rsidRPr="00E3174E" w:rsidRDefault="00E3174E">
      <w:pPr>
        <w:pStyle w:val="FootnoteText"/>
        <w:rPr>
          <w:rFonts w:asciiTheme="minorHAnsi" w:hAnsiTheme="minorHAnsi" w:cstheme="minorHAnsi"/>
          <w:sz w:val="18"/>
          <w:szCs w:val="18"/>
        </w:rPr>
      </w:pPr>
      <w:r w:rsidRPr="00E3174E">
        <w:rPr>
          <w:rStyle w:val="FootnoteReference"/>
          <w:rFonts w:asciiTheme="minorHAnsi" w:hAnsiTheme="minorHAnsi" w:cstheme="minorHAnsi"/>
          <w:color w:val="0D0D0D" w:themeColor="text1" w:themeTint="F2"/>
          <w:sz w:val="18"/>
          <w:szCs w:val="18"/>
        </w:rPr>
        <w:footnoteRef/>
      </w:r>
      <w:r w:rsidRPr="00E3174E">
        <w:rPr>
          <w:rFonts w:asciiTheme="minorHAnsi" w:hAnsiTheme="minorHAnsi" w:cstheme="minorHAnsi"/>
          <w:color w:val="0D0D0D" w:themeColor="text1" w:themeTint="F2"/>
          <w:sz w:val="18"/>
          <w:szCs w:val="18"/>
        </w:rPr>
        <w:t xml:space="preserve"> Pursuant to r 42ZCZR of the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151871C2" w:rsidR="00F02AEC" w:rsidRPr="002B29B2" w:rsidRDefault="00F02AEC" w:rsidP="00967490">
          <w:pPr>
            <w:rPr>
              <w:noProof/>
            </w:rPr>
          </w:pPr>
        </w:p>
      </w:tc>
    </w:tr>
  </w:tbl>
  <w:p w14:paraId="4C8EBEB5" w14:textId="77777777" w:rsidR="00F02AEC" w:rsidRDefault="00CB0550" w:rsidP="00967490">
    <w:pPr>
      <w:rPr>
        <w:noProof/>
      </w:rPr>
    </w:pPr>
    <w:r>
      <w:rPr>
        <w:noProof/>
        <w:lang w:eastAsia="en-AU"/>
      </w:rPr>
      <w:drawing>
        <wp:anchor distT="0" distB="0" distL="114300" distR="114300" simplePos="0" relativeHeight="251661312" behindDoc="0" locked="0" layoutInCell="1" allowOverlap="1" wp14:anchorId="276EFB66" wp14:editId="67AF2E27">
          <wp:simplePos x="0" y="0"/>
          <wp:positionH relativeFrom="column">
            <wp:posOffset>-400050</wp:posOffset>
          </wp:positionH>
          <wp:positionV relativeFrom="paragraph">
            <wp:posOffset>-116205</wp:posOffset>
          </wp:positionV>
          <wp:extent cx="2676525" cy="621665"/>
          <wp:effectExtent l="0" t="0" r="9525" b="698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468A6D8D" wp14:editId="47999CD4">
          <wp:simplePos x="0" y="0"/>
          <wp:positionH relativeFrom="page">
            <wp:align>left</wp:align>
          </wp:positionH>
          <wp:positionV relativeFrom="page">
            <wp:posOffset>3239495</wp:posOffset>
          </wp:positionV>
          <wp:extent cx="7663815" cy="4323091"/>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3310" w14:textId="77777777" w:rsidR="00F02AEC" w:rsidRDefault="00F02AEC" w:rsidP="00967490">
    <w:pPr>
      <w:pStyle w:val="Header"/>
    </w:pPr>
    <w:r w:rsidRPr="000F5176">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D080" w14:textId="77777777" w:rsidR="00A77452" w:rsidRPr="00FE501F" w:rsidRDefault="00C061E2"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32A77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70A8DA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68F13E9"/>
    <w:multiLevelType w:val="multilevel"/>
    <w:tmpl w:val="40B2672E"/>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CEF3ACD"/>
    <w:multiLevelType w:val="multilevel"/>
    <w:tmpl w:val="0748BD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79D3D1E"/>
    <w:multiLevelType w:val="hybridMultilevel"/>
    <w:tmpl w:val="D6646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111BA6"/>
    <w:multiLevelType w:val="multilevel"/>
    <w:tmpl w:val="555C241E"/>
    <w:lvl w:ilvl="0">
      <w:start w:val="1"/>
      <w:numFmt w:val="lowerLetter"/>
      <w:lvlText w:val="%1)"/>
      <w:lvlJc w:val="left"/>
      <w:pPr>
        <w:ind w:left="360" w:hanging="360"/>
      </w:pPr>
      <w:rPr>
        <w:rFonts w:hint="default"/>
        <w:i w:val="0"/>
        <w:iCs/>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1575018">
    <w:abstractNumId w:val="4"/>
  </w:num>
  <w:num w:numId="2" w16cid:durableId="1035231497">
    <w:abstractNumId w:val="2"/>
  </w:num>
  <w:num w:numId="3" w16cid:durableId="1248614696">
    <w:abstractNumId w:val="3"/>
  </w:num>
  <w:num w:numId="4" w16cid:durableId="297951965">
    <w:abstractNumId w:val="8"/>
  </w:num>
  <w:num w:numId="5" w16cid:durableId="1535191726">
    <w:abstractNumId w:val="6"/>
  </w:num>
  <w:num w:numId="6" w16cid:durableId="224069918">
    <w:abstractNumId w:val="7"/>
  </w:num>
  <w:num w:numId="7" w16cid:durableId="1150249122">
    <w:abstractNumId w:val="5"/>
  </w:num>
  <w:num w:numId="8" w16cid:durableId="233053789">
    <w:abstractNumId w:val="1"/>
  </w:num>
  <w:num w:numId="9" w16cid:durableId="1393187700">
    <w:abstractNumId w:val="0"/>
  </w:num>
  <w:num w:numId="10" w16cid:durableId="767890694">
    <w:abstractNumId w:val="10"/>
  </w:num>
  <w:num w:numId="11" w16cid:durableId="677711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94B81"/>
    <w:rsid w:val="0012473C"/>
    <w:rsid w:val="001356D7"/>
    <w:rsid w:val="00175CD8"/>
    <w:rsid w:val="00280444"/>
    <w:rsid w:val="003008D8"/>
    <w:rsid w:val="00300CBB"/>
    <w:rsid w:val="003426A3"/>
    <w:rsid w:val="0035444D"/>
    <w:rsid w:val="003D288F"/>
    <w:rsid w:val="004246B8"/>
    <w:rsid w:val="0045067C"/>
    <w:rsid w:val="00457050"/>
    <w:rsid w:val="00483D9D"/>
    <w:rsid w:val="004D06D7"/>
    <w:rsid w:val="0058575E"/>
    <w:rsid w:val="005A266A"/>
    <w:rsid w:val="005B445B"/>
    <w:rsid w:val="005C65E7"/>
    <w:rsid w:val="005D1120"/>
    <w:rsid w:val="005D153F"/>
    <w:rsid w:val="005E3E9A"/>
    <w:rsid w:val="0061566B"/>
    <w:rsid w:val="00677DDA"/>
    <w:rsid w:val="006A1F0B"/>
    <w:rsid w:val="00746990"/>
    <w:rsid w:val="00757E6A"/>
    <w:rsid w:val="007C5B84"/>
    <w:rsid w:val="007E1ECB"/>
    <w:rsid w:val="007F0A77"/>
    <w:rsid w:val="00831B56"/>
    <w:rsid w:val="008329DB"/>
    <w:rsid w:val="00890973"/>
    <w:rsid w:val="008B7B6B"/>
    <w:rsid w:val="00930D58"/>
    <w:rsid w:val="00940998"/>
    <w:rsid w:val="00967490"/>
    <w:rsid w:val="009A02A1"/>
    <w:rsid w:val="009A4603"/>
    <w:rsid w:val="00A15271"/>
    <w:rsid w:val="00A83C35"/>
    <w:rsid w:val="00AA12EC"/>
    <w:rsid w:val="00AB7CBF"/>
    <w:rsid w:val="00B06BAB"/>
    <w:rsid w:val="00B167C2"/>
    <w:rsid w:val="00B46BC0"/>
    <w:rsid w:val="00BB34CD"/>
    <w:rsid w:val="00BE0386"/>
    <w:rsid w:val="00BF0672"/>
    <w:rsid w:val="00C061E2"/>
    <w:rsid w:val="00C3427A"/>
    <w:rsid w:val="00CB0550"/>
    <w:rsid w:val="00CB67E9"/>
    <w:rsid w:val="00CC75D7"/>
    <w:rsid w:val="00CE4D8D"/>
    <w:rsid w:val="00D078BE"/>
    <w:rsid w:val="00D13F8A"/>
    <w:rsid w:val="00D1612F"/>
    <w:rsid w:val="00D91448"/>
    <w:rsid w:val="00D918D5"/>
    <w:rsid w:val="00D96945"/>
    <w:rsid w:val="00E3174E"/>
    <w:rsid w:val="00E42057"/>
    <w:rsid w:val="00E53D3F"/>
    <w:rsid w:val="00F02AEC"/>
    <w:rsid w:val="00F07327"/>
    <w:rsid w:val="00FA198E"/>
    <w:rsid w:val="00FA4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67C"/>
    <w:rPr>
      <w:color w:val="0D0D0D" w:themeColor="text1" w:themeTint="F2"/>
      <w:sz w:val="22"/>
      <w:szCs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45067C"/>
    <w:pPr>
      <w:keepNext/>
      <w:keepLines/>
      <w:spacing w:before="360" w:line="240" w:lineRule="atLeast"/>
      <w:outlineLvl w:val="3"/>
    </w:pPr>
    <w:rPr>
      <w:rFonts w:ascii="Arial" w:eastAsia="Cambria" w:hAnsi="Arial" w:cs="Times New Roman"/>
      <w:b/>
      <w:bCs/>
      <w:i/>
      <w:sz w:val="24"/>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autoRedefine/>
    <w:uiPriority w:val="9"/>
    <w:semiHidden/>
    <w:unhideWhenUsed/>
    <w:qFormat/>
    <w:rsid w:val="00BE0386"/>
    <w:pPr>
      <w:keepNext/>
      <w:keepLines/>
      <w:spacing w:before="200" w:after="0" w:line="240" w:lineRule="atLeast"/>
      <w:ind w:left="1440" w:hanging="14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45067C"/>
    <w:rPr>
      <w:rFonts w:ascii="Arial" w:eastAsia="Cambria" w:hAnsi="Arial" w:cs="Times New Roman"/>
      <w:b/>
      <w:bCs/>
      <w:i/>
      <w:color w:val="0D0D0D" w:themeColor="text1" w:themeTint="F2"/>
      <w:sz w:val="24"/>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aliases w:val="OECD 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autoRedefine/>
    <w:uiPriority w:val="2"/>
    <w:qFormat/>
    <w:rsid w:val="00BE0386"/>
    <w:pPr>
      <w:numPr>
        <w:numId w:val="1"/>
      </w:numPr>
      <w:spacing w:before="120" w:after="180" w:line="240" w:lineRule="atLeast"/>
    </w:pPr>
    <w:rPr>
      <w:rFonts w:eastAsia="Cambria" w:cstheme="minorHAnsi"/>
    </w:rPr>
  </w:style>
  <w:style w:type="paragraph" w:styleId="ListBullet2">
    <w:name w:val="List Bullet 2"/>
    <w:basedOn w:val="Normal"/>
    <w:autoRedefine/>
    <w:uiPriority w:val="2"/>
    <w:qFormat/>
    <w:rsid w:val="00BE0386"/>
    <w:pPr>
      <w:numPr>
        <w:ilvl w:val="1"/>
        <w:numId w:val="1"/>
      </w:numPr>
      <w:spacing w:before="120" w:after="180" w:line="240" w:lineRule="atLeast"/>
      <w:ind w:left="850" w:hanging="425"/>
    </w:pPr>
    <w:rPr>
      <w:rFonts w:ascii="Arial" w:eastAsia="Cambria" w:hAnsi="Arial" w:cs="Times New Roman"/>
    </w:rPr>
  </w:style>
  <w:style w:type="paragraph" w:styleId="ListBullet3">
    <w:name w:val="List Bullet 3"/>
    <w:basedOn w:val="Normal"/>
    <w:autoRedefine/>
    <w:uiPriority w:val="2"/>
    <w:qFormat/>
    <w:rsid w:val="00BE0386"/>
    <w:pPr>
      <w:numPr>
        <w:numId w:val="3"/>
      </w:numPr>
      <w:spacing w:before="120" w:after="180" w:line="240" w:lineRule="atLeast"/>
      <w:ind w:left="1276" w:hanging="425"/>
    </w:pPr>
    <w:rPr>
      <w:rFonts w:ascii="Arial" w:eastAsia="Cambria" w:hAnsi="Arial"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autoRedefine/>
    <w:uiPriority w:val="3"/>
    <w:qFormat/>
    <w:rsid w:val="00B46BC0"/>
    <w:pPr>
      <w:numPr>
        <w:numId w:val="2"/>
      </w:numPr>
    </w:pPr>
  </w:style>
  <w:style w:type="paragraph" w:customStyle="1" w:styleId="Numberbullet2">
    <w:name w:val="Number bullet 2"/>
    <w:basedOn w:val="ListBullet2"/>
    <w:autoRedefine/>
    <w:uiPriority w:val="3"/>
    <w:qFormat/>
    <w:rsid w:val="00F02AEC"/>
    <w:pPr>
      <w:numPr>
        <w:numId w:val="2"/>
      </w:numPr>
      <w:ind w:left="850" w:hanging="425"/>
    </w:pPr>
  </w:style>
  <w:style w:type="paragraph" w:customStyle="1" w:styleId="Numberbullet3">
    <w:name w:val="Number bullet 3"/>
    <w:basedOn w:val="Normal"/>
    <w:autoRedefine/>
    <w:uiPriority w:val="3"/>
    <w:qFormat/>
    <w:rsid w:val="00BE0386"/>
    <w:pPr>
      <w:numPr>
        <w:numId w:val="4"/>
      </w:numPr>
      <w:spacing w:before="120" w:after="180" w:line="240" w:lineRule="atLeast"/>
      <w:ind w:left="1361" w:hanging="397"/>
    </w:pPr>
    <w:rPr>
      <w:rFonts w:ascii="Arial" w:eastAsia="Cambria" w:hAnsi="Arial" w:cs="Times New Roman"/>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BE0386"/>
    <w:pPr>
      <w:numPr>
        <w:numId w:val="6"/>
      </w:numPr>
      <w:ind w:left="357" w:hanging="357"/>
    </w:pPr>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BE0386"/>
    <w:rPr>
      <w:rFonts w:asciiTheme="majorHAnsi" w:eastAsiaTheme="majorEastAsia" w:hAnsiTheme="majorHAnsi" w:cstheme="majorBidi"/>
      <w:color w:val="000000" w:themeColor="text1"/>
      <w:sz w:val="22"/>
      <w:szCs w:val="22"/>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character" w:styleId="SubtleReference">
    <w:name w:val="Subtle Reference"/>
    <w:basedOn w:val="DefaultParagraphFont"/>
    <w:uiPriority w:val="31"/>
    <w:qFormat/>
    <w:rsid w:val="00BE0386"/>
    <w:rPr>
      <w:smallCaps/>
      <w:color w:val="000000" w:themeColor="text1"/>
    </w:rPr>
  </w:style>
  <w:style w:type="character" w:styleId="SubtleEmphasis">
    <w:name w:val="Subtle Emphasis"/>
    <w:basedOn w:val="DefaultParagraphFont"/>
    <w:uiPriority w:val="19"/>
    <w:qFormat/>
    <w:rsid w:val="00BE0386"/>
    <w:rPr>
      <w:i/>
      <w:iCs/>
      <w:color w:val="000000" w:themeColor="text1"/>
    </w:rPr>
  </w:style>
  <w:style w:type="paragraph" w:styleId="Quote">
    <w:name w:val="Quote"/>
    <w:basedOn w:val="Normal"/>
    <w:next w:val="Normal"/>
    <w:link w:val="QuoteChar"/>
    <w:autoRedefine/>
    <w:uiPriority w:val="29"/>
    <w:qFormat/>
    <w:rsid w:val="00BE0386"/>
    <w:pPr>
      <w:spacing w:before="200" w:after="160"/>
      <w:ind w:left="864" w:right="864"/>
      <w:jc w:val="center"/>
    </w:pPr>
    <w:rPr>
      <w:i/>
      <w:iCs/>
    </w:rPr>
  </w:style>
  <w:style w:type="character" w:customStyle="1" w:styleId="QuoteChar">
    <w:name w:val="Quote Char"/>
    <w:basedOn w:val="DefaultParagraphFont"/>
    <w:link w:val="Quote"/>
    <w:uiPriority w:val="29"/>
    <w:rsid w:val="00BE0386"/>
    <w:rPr>
      <w:i/>
      <w:iCs/>
      <w:color w:val="000000" w:themeColor="text1"/>
      <w:sz w:val="22"/>
      <w:szCs w:val="22"/>
    </w:rPr>
  </w:style>
  <w:style w:type="paragraph" w:styleId="NoSpacing">
    <w:name w:val="No Spacing"/>
    <w:autoRedefine/>
    <w:uiPriority w:val="1"/>
    <w:qFormat/>
    <w:rsid w:val="00BE0386"/>
    <w:pPr>
      <w:spacing w:after="0" w:line="240" w:lineRule="auto"/>
    </w:pPr>
    <w:rPr>
      <w:color w:val="000000" w:themeColor="text1"/>
      <w:sz w:val="22"/>
      <w:szCs w:val="22"/>
    </w:rPr>
  </w:style>
  <w:style w:type="character" w:styleId="Emphasis">
    <w:name w:val="Emphasis"/>
    <w:basedOn w:val="DefaultParagraphFont"/>
    <w:uiPriority w:val="20"/>
    <w:qFormat/>
    <w:rsid w:val="00BE0386"/>
    <w:rPr>
      <w:i/>
      <w:iCs/>
    </w:rPr>
  </w:style>
  <w:style w:type="character" w:styleId="Strong">
    <w:name w:val="Strong"/>
    <w:basedOn w:val="DefaultParagraphFont"/>
    <w:uiPriority w:val="22"/>
    <w:qFormat/>
    <w:rsid w:val="00BE0386"/>
    <w:rPr>
      <w:b/>
      <w:bCs/>
    </w:rPr>
  </w:style>
  <w:style w:type="character" w:styleId="BookTitle">
    <w:name w:val="Book Title"/>
    <w:basedOn w:val="DefaultParagraphFont"/>
    <w:uiPriority w:val="33"/>
    <w:qFormat/>
    <w:rsid w:val="00BE0386"/>
    <w:rPr>
      <w:b/>
      <w:bCs/>
      <w:i/>
      <w:iCs/>
      <w:spacing w:val="5"/>
    </w:rPr>
  </w:style>
  <w:style w:type="paragraph" w:styleId="ListParagraph">
    <w:name w:val="List Paragraph"/>
    <w:basedOn w:val="Normal"/>
    <w:autoRedefine/>
    <w:uiPriority w:val="34"/>
    <w:qFormat/>
    <w:rsid w:val="00BE0386"/>
    <w:pPr>
      <w:ind w:left="720"/>
      <w:contextualSpacing/>
    </w:pPr>
  </w:style>
  <w:style w:type="table" w:customStyle="1" w:styleId="TableGrid1">
    <w:name w:val="Table Grid1"/>
    <w:basedOn w:val="TableNormal"/>
    <w:next w:val="TableGrid"/>
    <w:uiPriority w:val="39"/>
    <w:rsid w:val="001356D7"/>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B67E9"/>
    <w:pPr>
      <w:spacing w:before="0" w:after="12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CB67E9"/>
    <w:rPr>
      <w:rFonts w:ascii="Cambria" w:eastAsia="Cambria" w:hAnsi="Cambria" w:cs="Times New Roman"/>
      <w:b/>
      <w:bCs/>
      <w:color w:val="000000" w:themeColor="text1"/>
    </w:rPr>
  </w:style>
  <w:style w:type="character" w:styleId="FollowedHyperlink">
    <w:name w:val="FollowedHyperlink"/>
    <w:basedOn w:val="DefaultParagraphFont"/>
    <w:uiPriority w:val="99"/>
    <w:semiHidden/>
    <w:unhideWhenUsed/>
    <w:rsid w:val="009A02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ga.gov.au/publication/scheduling-handbook-guidance-amending-poisons-standard" TargetMode="External"/><Relationship Id="rId18" Type="http://schemas.openxmlformats.org/officeDocument/2006/relationships/hyperlink" Target="https://www.tga.gov.au/resources/publication/scheduling-decisions-interim/notice-interim-decision-proposed-amendments-poisons-standard-joint-acms-accs-34-june-202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tga.gov.au/publication/ahmac-scheduling-policy-framework-medicines-and-chemicals" TargetMode="External"/><Relationship Id="rId17" Type="http://schemas.openxmlformats.org/officeDocument/2006/relationships/hyperlink" Target="https://www.tga.gov.au/sites/default/files/notice-final-decisions-amend-or-not-amend-the-current-poisons-standard.pdf"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consultations.tga.gov.au/tga/scheduling-pre-meeting-june-2023/user_uploads/june-pre-meeting-public-notice-acms--42-acms-accs--34-1.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onsultations.tga.gov.au/tga/scheduling-pre-meeting-june-2023/user_uploads/june-pre-meeting-public-notice-acms--42-acms-accs--34-1.pdf" TargetMode="External"/><Relationship Id="rId23" Type="http://schemas.openxmlformats.org/officeDocument/2006/relationships/hyperlink" Target="https://www.tga.gov.au" TargetMode="External"/><Relationship Id="rId10" Type="http://schemas.openxmlformats.org/officeDocument/2006/relationships/footer" Target="footer2.xml"/><Relationship Id="rId19" Type="http://schemas.openxmlformats.org/officeDocument/2006/relationships/hyperlink" Target="https://consultations.tga.gov.au/tga/scheduling-interim-decision-lead-202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ga.gov.au/sites/default/files/notice-final-decisions-amend-or-not-amend-the-current-poisons-standard.pdf" TargetMode="External"/><Relationship Id="rId22" Type="http://schemas.openxmlformats.org/officeDocument/2006/relationships/hyperlink" Target="mailto:info@tga.gov.a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nsultations.tga.gov.au/tga/scheduling-pre-meeting-june-2023/user_uploads/june-pre-meeting-public-notice-acms--42-acms-accs--34-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 to amend (or not amend) the current Poisons Standard in relation to lead</dc:title>
  <dc:subject>scheduling</dc:subject>
  <dc:creator/>
  <cp:keywords/>
  <dc:description/>
  <cp:lastModifiedBy/>
  <cp:revision>1</cp:revision>
  <dcterms:created xsi:type="dcterms:W3CDTF">2023-09-18T03:18:00Z</dcterms:created>
  <dcterms:modified xsi:type="dcterms:W3CDTF">2023-09-18T03:20:00Z</dcterms:modified>
</cp:coreProperties>
</file>