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55E1DCBA" w14:textId="77777777" w:rsidTr="002B29B2">
        <w:tc>
          <w:tcPr>
            <w:tcW w:w="8720" w:type="dxa"/>
          </w:tcPr>
          <w:p w14:paraId="798DF44B" w14:textId="0FE7235C" w:rsidR="00F02AEC" w:rsidRPr="00215D48" w:rsidRDefault="00457050" w:rsidP="002B29B2">
            <w:pPr>
              <w:pStyle w:val="Title"/>
            </w:pPr>
            <w:bookmarkStart w:id="0" w:name="_Toc143009493"/>
            <w:r>
              <w:t>Notice of final decisions to amend (or not amend) the current Poisons Standard</w:t>
            </w:r>
            <w:bookmarkEnd w:id="0"/>
          </w:p>
        </w:tc>
      </w:tr>
      <w:tr w:rsidR="00F02AEC" w:rsidRPr="00215D48" w14:paraId="5819680E" w14:textId="77777777" w:rsidTr="002B29B2">
        <w:trPr>
          <w:trHeight w:val="1916"/>
        </w:trPr>
        <w:tc>
          <w:tcPr>
            <w:tcW w:w="8720" w:type="dxa"/>
          </w:tcPr>
          <w:p w14:paraId="1B43DA96" w14:textId="77777777" w:rsidR="00986995" w:rsidRDefault="00986995" w:rsidP="00986995">
            <w:pPr>
              <w:pStyle w:val="Subtitle"/>
              <w:ind w:left="0"/>
            </w:pPr>
          </w:p>
          <w:p w14:paraId="54DDB299" w14:textId="1C3EF30D" w:rsidR="00F02AEC" w:rsidRPr="00215D48" w:rsidRDefault="003E34C6" w:rsidP="00986995">
            <w:pPr>
              <w:pStyle w:val="Subtitle"/>
              <w:ind w:left="0"/>
            </w:pPr>
            <w:r>
              <w:t>4 September</w:t>
            </w:r>
            <w:r w:rsidR="00986995">
              <w:t xml:space="preserve"> 2023</w:t>
            </w:r>
          </w:p>
        </w:tc>
      </w:tr>
      <w:tr w:rsidR="00F02AEC" w:rsidRPr="00215D48" w14:paraId="2DBDA257" w14:textId="77777777" w:rsidTr="002B29B2">
        <w:tc>
          <w:tcPr>
            <w:tcW w:w="8720" w:type="dxa"/>
          </w:tcPr>
          <w:p w14:paraId="61B9BE12" w14:textId="2524F034" w:rsidR="00F02AEC" w:rsidRPr="00215D48" w:rsidRDefault="00F02AEC" w:rsidP="00967490">
            <w:pPr>
              <w:pStyle w:val="Date"/>
            </w:pPr>
          </w:p>
        </w:tc>
      </w:tr>
    </w:tbl>
    <w:p w14:paraId="5F09A95D" w14:textId="77777777" w:rsidR="00F02AEC" w:rsidRPr="00215D48" w:rsidRDefault="00F02AEC" w:rsidP="00967490">
      <w:pPr>
        <w:pStyle w:val="ListBullet"/>
        <w:sectPr w:rsidR="00F02AEC" w:rsidRPr="00215D48" w:rsidSect="00CB0550">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10B332C0" w14:textId="77777777" w:rsidR="00F02AEC" w:rsidRPr="008B1EEA" w:rsidRDefault="00F02AEC" w:rsidP="00967490">
      <w:pPr>
        <w:pStyle w:val="LegalSubheading"/>
        <w:rPr>
          <w:rFonts w:asciiTheme="minorHAnsi" w:hAnsiTheme="minorHAnsi" w:cstheme="minorHAnsi"/>
          <w:color w:val="auto"/>
        </w:rPr>
      </w:pPr>
      <w:bookmarkStart w:id="1" w:name="_Toc143009494"/>
      <w:r w:rsidRPr="008B1EEA">
        <w:rPr>
          <w:rFonts w:asciiTheme="minorHAnsi" w:hAnsiTheme="minorHAnsi" w:cstheme="minorHAnsi"/>
          <w:color w:val="auto"/>
        </w:rPr>
        <w:lastRenderedPageBreak/>
        <w:t>Copyright</w:t>
      </w:r>
      <w:bookmarkEnd w:id="1"/>
    </w:p>
    <w:p w14:paraId="0F1840FB" w14:textId="3B89F7F2" w:rsidR="00634C29" w:rsidRPr="00190052" w:rsidRDefault="00F02AEC" w:rsidP="00634C29">
      <w:pPr>
        <w:pStyle w:val="LegalCopy"/>
        <w:rPr>
          <w:rFonts w:asciiTheme="minorHAnsi" w:hAnsiTheme="minorHAnsi" w:cstheme="minorHAnsi"/>
        </w:rPr>
      </w:pPr>
      <w:r w:rsidRPr="00190052">
        <w:rPr>
          <w:rFonts w:asciiTheme="minorHAnsi" w:hAnsiTheme="minorHAnsi" w:cstheme="minorHAnsi"/>
          <w:color w:val="auto"/>
        </w:rPr>
        <w:t>© Commonwealth of Australia 202</w:t>
      </w:r>
      <w:r w:rsidR="00457050" w:rsidRPr="00190052">
        <w:rPr>
          <w:rFonts w:asciiTheme="minorHAnsi" w:hAnsiTheme="minorHAnsi" w:cstheme="minorHAnsi"/>
          <w:color w:val="auto"/>
        </w:rPr>
        <w:t>3</w:t>
      </w:r>
      <w:r w:rsidRPr="00190052">
        <w:rPr>
          <w:rFonts w:asciiTheme="minorHAnsi" w:hAnsiTheme="minorHAnsi" w:cstheme="minorHAnsi"/>
          <w:color w:val="auto"/>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0052">
        <w:rPr>
          <w:rFonts w:asciiTheme="minorHAnsi" w:hAnsiTheme="minorHAnsi" w:cstheme="minorHAnsi"/>
          <w:i/>
          <w:color w:val="auto"/>
        </w:rPr>
        <w:t>Copyright Act 1968</w:t>
      </w:r>
      <w:r w:rsidRPr="00190052">
        <w:rPr>
          <w:rFonts w:asciiTheme="minorHAnsi" w:hAnsiTheme="minorHAnsi" w:cstheme="minorHAnsi"/>
          <w:color w:val="auto"/>
        </w:rPr>
        <w:t xml:space="preserve"> or allowed by this copyright notice, all other rights are </w:t>
      </w:r>
      <w:r w:rsidR="00F87251" w:rsidRPr="00190052">
        <w:rPr>
          <w:rFonts w:asciiTheme="minorHAnsi" w:hAnsiTheme="minorHAnsi" w:cstheme="minorHAnsi"/>
          <w:color w:val="auto"/>
        </w:rPr>
        <w:t>reserved,</w:t>
      </w:r>
      <w:r w:rsidRPr="00190052">
        <w:rPr>
          <w:rFonts w:asciiTheme="minorHAnsi" w:hAnsiTheme="minorHAnsi" w:cstheme="minorHAnsi"/>
          <w:color w:val="auto"/>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w:t>
      </w:r>
      <w:r w:rsidRPr="00190052">
        <w:rPr>
          <w:rFonts w:asciiTheme="minorHAnsi" w:hAnsiTheme="minorHAnsi" w:cstheme="minorHAnsi"/>
        </w:rPr>
        <w:t>&lt;</w:t>
      </w:r>
      <w:hyperlink r:id="rId11" w:history="1">
        <w:r w:rsidRPr="00190052">
          <w:rPr>
            <w:rStyle w:val="Hyperlink"/>
            <w:rFonts w:asciiTheme="minorHAnsi" w:hAnsiTheme="minorHAnsi" w:cstheme="minorHAnsi"/>
          </w:rPr>
          <w:t>tga.copyright@tga.gov.au</w:t>
        </w:r>
      </w:hyperlink>
      <w:r w:rsidRPr="00190052">
        <w:rPr>
          <w:rFonts w:asciiTheme="minorHAnsi" w:hAnsiTheme="minorHAnsi" w:cstheme="minorHAnsi"/>
        </w:rPr>
        <w:t>&gt;.</w:t>
      </w:r>
    </w:p>
    <w:p w14:paraId="30419141" w14:textId="77777777" w:rsidR="00634C29" w:rsidRPr="008B1EEA" w:rsidRDefault="00634C29" w:rsidP="00634C29">
      <w:pPr>
        <w:pStyle w:val="LegalCopy"/>
        <w:rPr>
          <w:rFonts w:asciiTheme="minorHAnsi" w:hAnsiTheme="minorHAnsi" w:cstheme="minorHAnsi"/>
        </w:rPr>
      </w:pPr>
    </w:p>
    <w:p w14:paraId="182CAADE" w14:textId="77777777" w:rsidR="00634C29" w:rsidRPr="00FA49C3" w:rsidRDefault="00634C29" w:rsidP="00967490"/>
    <w:p w14:paraId="6A082530" w14:textId="74635D80" w:rsidR="00255632" w:rsidRDefault="00255632" w:rsidP="00C7111E">
      <w:pPr>
        <w:pStyle w:val="NonTOCheading2"/>
      </w:pPr>
      <w:bookmarkStart w:id="2" w:name="_Toc143009035"/>
      <w:r w:rsidRPr="00215D48">
        <w:lastRenderedPageBreak/>
        <w:t>Contents</w:t>
      </w:r>
      <w:bookmarkEnd w:id="2"/>
    </w:p>
    <w:p w14:paraId="2C63D0DD" w14:textId="1D4B3A4C" w:rsidR="004F033E" w:rsidRPr="00C7111E" w:rsidRDefault="004F033E">
      <w:pPr>
        <w:pStyle w:val="TOC1"/>
        <w:rPr>
          <w:rFonts w:asciiTheme="minorHAnsi" w:eastAsiaTheme="minorEastAsia" w:hAnsiTheme="minorHAnsi" w:cstheme="minorBidi"/>
          <w:b w:val="0"/>
          <w:noProof/>
          <w:color w:val="auto"/>
          <w:sz w:val="20"/>
          <w:szCs w:val="20"/>
          <w:lang w:eastAsia="en-AU"/>
        </w:rPr>
      </w:pPr>
      <w:r w:rsidRPr="00C7111E">
        <w:rPr>
          <w:sz w:val="28"/>
          <w:szCs w:val="20"/>
        </w:rPr>
        <w:fldChar w:fldCharType="begin"/>
      </w:r>
      <w:r w:rsidRPr="00C7111E">
        <w:rPr>
          <w:sz w:val="28"/>
          <w:szCs w:val="20"/>
        </w:rPr>
        <w:instrText xml:space="preserve"> TOC \o "1-3" \h \z \u </w:instrText>
      </w:r>
      <w:r w:rsidRPr="00C7111E">
        <w:rPr>
          <w:sz w:val="28"/>
          <w:szCs w:val="20"/>
        </w:rPr>
        <w:fldChar w:fldCharType="separate"/>
      </w:r>
      <w:hyperlink w:anchor="_Toc143009493" w:history="1">
        <w:r w:rsidRPr="00C7111E">
          <w:rPr>
            <w:rStyle w:val="Hyperlink"/>
            <w:noProof/>
            <w:sz w:val="28"/>
            <w:szCs w:val="20"/>
          </w:rPr>
          <w:t>Notice of final decisions to amend (or not amend) the current Poisons Standard</w:t>
        </w:r>
        <w:r w:rsidRPr="00C7111E">
          <w:rPr>
            <w:noProof/>
            <w:webHidden/>
            <w:sz w:val="28"/>
            <w:szCs w:val="20"/>
          </w:rPr>
          <w:tab/>
        </w:r>
        <w:r w:rsidRPr="00C7111E">
          <w:rPr>
            <w:noProof/>
            <w:webHidden/>
            <w:sz w:val="28"/>
            <w:szCs w:val="20"/>
          </w:rPr>
          <w:fldChar w:fldCharType="begin"/>
        </w:r>
        <w:r w:rsidRPr="00C7111E">
          <w:rPr>
            <w:noProof/>
            <w:webHidden/>
            <w:sz w:val="28"/>
            <w:szCs w:val="20"/>
          </w:rPr>
          <w:instrText xml:space="preserve"> PAGEREF _Toc143009493 \h </w:instrText>
        </w:r>
        <w:r w:rsidRPr="00C7111E">
          <w:rPr>
            <w:noProof/>
            <w:webHidden/>
            <w:sz w:val="28"/>
            <w:szCs w:val="20"/>
          </w:rPr>
        </w:r>
        <w:r w:rsidRPr="00C7111E">
          <w:rPr>
            <w:noProof/>
            <w:webHidden/>
            <w:sz w:val="28"/>
            <w:szCs w:val="20"/>
          </w:rPr>
          <w:fldChar w:fldCharType="separate"/>
        </w:r>
        <w:r w:rsidRPr="00C7111E">
          <w:rPr>
            <w:noProof/>
            <w:webHidden/>
            <w:sz w:val="28"/>
            <w:szCs w:val="20"/>
          </w:rPr>
          <w:t>1</w:t>
        </w:r>
        <w:r w:rsidRPr="00C7111E">
          <w:rPr>
            <w:noProof/>
            <w:webHidden/>
            <w:sz w:val="28"/>
            <w:szCs w:val="20"/>
          </w:rPr>
          <w:fldChar w:fldCharType="end"/>
        </w:r>
      </w:hyperlink>
    </w:p>
    <w:p w14:paraId="0469D481" w14:textId="3D4B7150" w:rsidR="004F033E" w:rsidRPr="00C7111E" w:rsidRDefault="00BA03C5" w:rsidP="00C7111E">
      <w:pPr>
        <w:pStyle w:val="TOC2"/>
        <w:tabs>
          <w:tab w:val="left" w:pos="851"/>
        </w:tabs>
        <w:ind w:left="720" w:hanging="295"/>
        <w:rPr>
          <w:rFonts w:asciiTheme="minorHAnsi" w:eastAsiaTheme="minorEastAsia" w:hAnsiTheme="minorHAnsi" w:cstheme="minorBidi"/>
          <w:b w:val="0"/>
          <w:noProof/>
          <w:color w:val="auto"/>
          <w:sz w:val="20"/>
          <w:szCs w:val="20"/>
          <w:lang w:eastAsia="en-AU"/>
        </w:rPr>
      </w:pPr>
      <w:hyperlink w:anchor="_Toc143009495" w:history="1">
        <w:r w:rsidR="004F033E" w:rsidRPr="00C7111E">
          <w:rPr>
            <w:rStyle w:val="Hyperlink"/>
            <w:noProof/>
            <w:sz w:val="24"/>
            <w:szCs w:val="20"/>
          </w:rPr>
          <w:t>1</w:t>
        </w:r>
        <w:r w:rsidR="004F033E" w:rsidRPr="00C7111E">
          <w:rPr>
            <w:rFonts w:asciiTheme="minorHAnsi" w:eastAsiaTheme="minorEastAsia" w:hAnsiTheme="minorHAnsi" w:cstheme="minorBidi"/>
            <w:b w:val="0"/>
            <w:noProof/>
            <w:color w:val="auto"/>
            <w:sz w:val="20"/>
            <w:szCs w:val="20"/>
            <w:lang w:eastAsia="en-AU"/>
          </w:rPr>
          <w:tab/>
        </w:r>
        <w:r w:rsidR="004F033E" w:rsidRPr="00C7111E">
          <w:rPr>
            <w:rStyle w:val="Hyperlink"/>
            <w:noProof/>
            <w:sz w:val="24"/>
            <w:szCs w:val="20"/>
          </w:rPr>
          <w:t>Notice of final decisions to amend (or not amend) the current Poisons Standard</w:t>
        </w:r>
        <w:r w:rsidR="004F033E" w:rsidRPr="00C7111E">
          <w:rPr>
            <w:noProof/>
            <w:webHidden/>
            <w:sz w:val="24"/>
            <w:szCs w:val="20"/>
          </w:rPr>
          <w:tab/>
        </w:r>
        <w:r w:rsidR="004F033E" w:rsidRPr="00C7111E">
          <w:rPr>
            <w:noProof/>
            <w:webHidden/>
            <w:sz w:val="24"/>
            <w:szCs w:val="20"/>
          </w:rPr>
          <w:fldChar w:fldCharType="begin"/>
        </w:r>
        <w:r w:rsidR="004F033E" w:rsidRPr="00C7111E">
          <w:rPr>
            <w:noProof/>
            <w:webHidden/>
            <w:sz w:val="24"/>
            <w:szCs w:val="20"/>
          </w:rPr>
          <w:instrText xml:space="preserve"> PAGEREF _Toc143009495 \h </w:instrText>
        </w:r>
        <w:r w:rsidR="004F033E" w:rsidRPr="00C7111E">
          <w:rPr>
            <w:noProof/>
            <w:webHidden/>
            <w:sz w:val="24"/>
            <w:szCs w:val="20"/>
          </w:rPr>
        </w:r>
        <w:r w:rsidR="004F033E" w:rsidRPr="00C7111E">
          <w:rPr>
            <w:noProof/>
            <w:webHidden/>
            <w:sz w:val="24"/>
            <w:szCs w:val="20"/>
          </w:rPr>
          <w:fldChar w:fldCharType="separate"/>
        </w:r>
        <w:r w:rsidR="004F033E" w:rsidRPr="00C7111E">
          <w:rPr>
            <w:noProof/>
            <w:webHidden/>
            <w:sz w:val="24"/>
            <w:szCs w:val="20"/>
          </w:rPr>
          <w:t>4</w:t>
        </w:r>
        <w:r w:rsidR="004F033E" w:rsidRPr="00C7111E">
          <w:rPr>
            <w:noProof/>
            <w:webHidden/>
            <w:sz w:val="24"/>
            <w:szCs w:val="20"/>
          </w:rPr>
          <w:fldChar w:fldCharType="end"/>
        </w:r>
      </w:hyperlink>
    </w:p>
    <w:p w14:paraId="6B0A13E8" w14:textId="0F52266A" w:rsidR="004F033E" w:rsidRPr="00C7111E" w:rsidRDefault="00BA03C5" w:rsidP="00C7111E">
      <w:pPr>
        <w:pStyle w:val="TOC2"/>
        <w:tabs>
          <w:tab w:val="left" w:pos="851"/>
        </w:tabs>
        <w:ind w:left="720" w:hanging="295"/>
        <w:rPr>
          <w:rFonts w:asciiTheme="minorHAnsi" w:eastAsiaTheme="minorEastAsia" w:hAnsiTheme="minorHAnsi" w:cstheme="minorBidi"/>
          <w:b w:val="0"/>
          <w:noProof/>
          <w:color w:val="auto"/>
          <w:sz w:val="20"/>
          <w:szCs w:val="20"/>
          <w:lang w:eastAsia="en-AU"/>
        </w:rPr>
      </w:pPr>
      <w:hyperlink w:anchor="_Toc143009496" w:history="1">
        <w:r w:rsidR="004F033E" w:rsidRPr="00C7111E">
          <w:rPr>
            <w:rStyle w:val="Hyperlink"/>
            <w:noProof/>
            <w:sz w:val="24"/>
            <w:szCs w:val="20"/>
          </w:rPr>
          <w:t>2</w:t>
        </w:r>
        <w:r w:rsidR="004F033E" w:rsidRPr="00C7111E">
          <w:rPr>
            <w:rFonts w:asciiTheme="minorHAnsi" w:eastAsiaTheme="minorEastAsia" w:hAnsiTheme="minorHAnsi" w:cstheme="minorBidi"/>
            <w:b w:val="0"/>
            <w:noProof/>
            <w:color w:val="auto"/>
            <w:sz w:val="20"/>
            <w:szCs w:val="20"/>
            <w:lang w:eastAsia="en-AU"/>
          </w:rPr>
          <w:tab/>
        </w:r>
        <w:r w:rsidR="004F033E" w:rsidRPr="00C7111E">
          <w:rPr>
            <w:rStyle w:val="Hyperlink"/>
            <w:noProof/>
            <w:sz w:val="24"/>
            <w:szCs w:val="20"/>
          </w:rPr>
          <w:t>Final decisions on proposed amendments referred to the Advisory Committee on Medicines Scheduling (ACMS #41, March 2023)</w:t>
        </w:r>
        <w:r w:rsidR="004F033E" w:rsidRPr="00C7111E">
          <w:rPr>
            <w:noProof/>
            <w:webHidden/>
            <w:sz w:val="24"/>
            <w:szCs w:val="20"/>
          </w:rPr>
          <w:tab/>
        </w:r>
        <w:r w:rsidR="004F033E" w:rsidRPr="00C7111E">
          <w:rPr>
            <w:noProof/>
            <w:webHidden/>
            <w:sz w:val="24"/>
            <w:szCs w:val="20"/>
          </w:rPr>
          <w:fldChar w:fldCharType="begin"/>
        </w:r>
        <w:r w:rsidR="004F033E" w:rsidRPr="00C7111E">
          <w:rPr>
            <w:noProof/>
            <w:webHidden/>
            <w:sz w:val="24"/>
            <w:szCs w:val="20"/>
          </w:rPr>
          <w:instrText xml:space="preserve"> PAGEREF _Toc143009496 \h </w:instrText>
        </w:r>
        <w:r w:rsidR="004F033E" w:rsidRPr="00C7111E">
          <w:rPr>
            <w:noProof/>
            <w:webHidden/>
            <w:sz w:val="24"/>
            <w:szCs w:val="20"/>
          </w:rPr>
        </w:r>
        <w:r w:rsidR="004F033E" w:rsidRPr="00C7111E">
          <w:rPr>
            <w:noProof/>
            <w:webHidden/>
            <w:sz w:val="24"/>
            <w:szCs w:val="20"/>
          </w:rPr>
          <w:fldChar w:fldCharType="separate"/>
        </w:r>
        <w:r w:rsidR="004F033E" w:rsidRPr="00C7111E">
          <w:rPr>
            <w:noProof/>
            <w:webHidden/>
            <w:sz w:val="24"/>
            <w:szCs w:val="20"/>
          </w:rPr>
          <w:t>5</w:t>
        </w:r>
        <w:r w:rsidR="004F033E" w:rsidRPr="00C7111E">
          <w:rPr>
            <w:noProof/>
            <w:webHidden/>
            <w:sz w:val="24"/>
            <w:szCs w:val="20"/>
          </w:rPr>
          <w:fldChar w:fldCharType="end"/>
        </w:r>
      </w:hyperlink>
    </w:p>
    <w:p w14:paraId="7CAA8A36" w14:textId="309F1683" w:rsidR="004F033E" w:rsidRPr="00C7111E" w:rsidRDefault="00BA03C5">
      <w:pPr>
        <w:pStyle w:val="TOC3"/>
        <w:tabs>
          <w:tab w:val="left" w:pos="1540"/>
        </w:tabs>
        <w:rPr>
          <w:rFonts w:asciiTheme="minorHAnsi" w:eastAsiaTheme="minorEastAsia" w:hAnsiTheme="minorHAnsi" w:cstheme="minorBidi"/>
          <w:b w:val="0"/>
          <w:noProof/>
          <w:color w:val="auto"/>
          <w:sz w:val="20"/>
          <w:szCs w:val="20"/>
          <w:lang w:eastAsia="en-AU"/>
        </w:rPr>
      </w:pPr>
      <w:hyperlink w:anchor="_Toc143009497" w:history="1">
        <w:r w:rsidR="004F033E" w:rsidRPr="00C7111E">
          <w:rPr>
            <w:rStyle w:val="Hyperlink"/>
            <w:noProof/>
            <w:sz w:val="20"/>
            <w:szCs w:val="20"/>
          </w:rPr>
          <w:t>2.1</w:t>
        </w:r>
        <w:r w:rsidR="004F033E" w:rsidRPr="00C7111E">
          <w:rPr>
            <w:rFonts w:asciiTheme="minorHAnsi" w:eastAsiaTheme="minorEastAsia" w:hAnsiTheme="minorHAnsi" w:cstheme="minorBidi"/>
            <w:b w:val="0"/>
            <w:noProof/>
            <w:color w:val="auto"/>
            <w:sz w:val="20"/>
            <w:szCs w:val="20"/>
            <w:lang w:eastAsia="en-AU"/>
          </w:rPr>
          <w:tab/>
        </w:r>
        <w:r w:rsidR="004F033E" w:rsidRPr="00C7111E">
          <w:rPr>
            <w:rStyle w:val="Hyperlink"/>
            <w:noProof/>
            <w:sz w:val="20"/>
            <w:szCs w:val="20"/>
          </w:rPr>
          <w:t>Final decision in relation to celecoxib</w:t>
        </w:r>
        <w:r w:rsidR="004F033E" w:rsidRPr="00C7111E">
          <w:rPr>
            <w:noProof/>
            <w:webHidden/>
            <w:sz w:val="20"/>
            <w:szCs w:val="20"/>
          </w:rPr>
          <w:tab/>
        </w:r>
        <w:r w:rsidR="004F033E" w:rsidRPr="00C7111E">
          <w:rPr>
            <w:noProof/>
            <w:webHidden/>
            <w:sz w:val="20"/>
            <w:szCs w:val="20"/>
          </w:rPr>
          <w:fldChar w:fldCharType="begin"/>
        </w:r>
        <w:r w:rsidR="004F033E" w:rsidRPr="00C7111E">
          <w:rPr>
            <w:noProof/>
            <w:webHidden/>
            <w:sz w:val="20"/>
            <w:szCs w:val="20"/>
          </w:rPr>
          <w:instrText xml:space="preserve"> PAGEREF _Toc143009497 \h </w:instrText>
        </w:r>
        <w:r w:rsidR="004F033E" w:rsidRPr="00C7111E">
          <w:rPr>
            <w:noProof/>
            <w:webHidden/>
            <w:sz w:val="20"/>
            <w:szCs w:val="20"/>
          </w:rPr>
        </w:r>
        <w:r w:rsidR="004F033E" w:rsidRPr="00C7111E">
          <w:rPr>
            <w:noProof/>
            <w:webHidden/>
            <w:sz w:val="20"/>
            <w:szCs w:val="20"/>
          </w:rPr>
          <w:fldChar w:fldCharType="separate"/>
        </w:r>
        <w:r w:rsidR="004F033E" w:rsidRPr="00C7111E">
          <w:rPr>
            <w:noProof/>
            <w:webHidden/>
            <w:sz w:val="20"/>
            <w:szCs w:val="20"/>
          </w:rPr>
          <w:t>5</w:t>
        </w:r>
        <w:r w:rsidR="004F033E" w:rsidRPr="00C7111E">
          <w:rPr>
            <w:noProof/>
            <w:webHidden/>
            <w:sz w:val="20"/>
            <w:szCs w:val="20"/>
          </w:rPr>
          <w:fldChar w:fldCharType="end"/>
        </w:r>
      </w:hyperlink>
    </w:p>
    <w:p w14:paraId="35853F37" w14:textId="1EC35647" w:rsidR="004F033E" w:rsidRPr="00C7111E" w:rsidRDefault="00BA03C5" w:rsidP="00C7111E">
      <w:pPr>
        <w:pStyle w:val="TOC2"/>
        <w:tabs>
          <w:tab w:val="left" w:pos="851"/>
        </w:tabs>
        <w:ind w:left="720" w:hanging="295"/>
        <w:rPr>
          <w:rFonts w:asciiTheme="minorHAnsi" w:eastAsiaTheme="minorEastAsia" w:hAnsiTheme="minorHAnsi" w:cstheme="minorBidi"/>
          <w:b w:val="0"/>
          <w:noProof/>
          <w:color w:val="auto"/>
          <w:sz w:val="20"/>
          <w:szCs w:val="20"/>
          <w:lang w:eastAsia="en-AU"/>
        </w:rPr>
      </w:pPr>
      <w:hyperlink w:anchor="_Toc143009498" w:history="1">
        <w:r w:rsidR="004F033E" w:rsidRPr="00C7111E">
          <w:rPr>
            <w:rStyle w:val="Hyperlink"/>
            <w:noProof/>
            <w:sz w:val="24"/>
            <w:szCs w:val="20"/>
          </w:rPr>
          <w:t>3</w:t>
        </w:r>
        <w:r w:rsidR="004F033E" w:rsidRPr="00C7111E">
          <w:rPr>
            <w:rFonts w:asciiTheme="minorHAnsi" w:eastAsiaTheme="minorEastAsia" w:hAnsiTheme="minorHAnsi" w:cstheme="minorBidi"/>
            <w:b w:val="0"/>
            <w:noProof/>
            <w:color w:val="auto"/>
            <w:sz w:val="20"/>
            <w:szCs w:val="20"/>
            <w:lang w:eastAsia="en-AU"/>
          </w:rPr>
          <w:tab/>
        </w:r>
        <w:r w:rsidR="004F033E" w:rsidRPr="00C7111E">
          <w:rPr>
            <w:rStyle w:val="Hyperlink"/>
            <w:noProof/>
            <w:sz w:val="24"/>
            <w:szCs w:val="20"/>
          </w:rPr>
          <w:t>Final decisions on proposed amendments referred to the Advisory Committee on Medicines and Chemicals Scheduling in joint session (Joint ACMS-ACCS #33, March 2023)</w:t>
        </w:r>
        <w:r w:rsidR="004F033E" w:rsidRPr="00C7111E">
          <w:rPr>
            <w:noProof/>
            <w:webHidden/>
            <w:sz w:val="24"/>
            <w:szCs w:val="20"/>
          </w:rPr>
          <w:tab/>
        </w:r>
        <w:r w:rsidR="004F033E" w:rsidRPr="00C7111E">
          <w:rPr>
            <w:noProof/>
            <w:webHidden/>
            <w:sz w:val="24"/>
            <w:szCs w:val="20"/>
          </w:rPr>
          <w:fldChar w:fldCharType="begin"/>
        </w:r>
        <w:r w:rsidR="004F033E" w:rsidRPr="00C7111E">
          <w:rPr>
            <w:noProof/>
            <w:webHidden/>
            <w:sz w:val="24"/>
            <w:szCs w:val="20"/>
          </w:rPr>
          <w:instrText xml:space="preserve"> PAGEREF _Toc143009498 \h </w:instrText>
        </w:r>
        <w:r w:rsidR="004F033E" w:rsidRPr="00C7111E">
          <w:rPr>
            <w:noProof/>
            <w:webHidden/>
            <w:sz w:val="24"/>
            <w:szCs w:val="20"/>
          </w:rPr>
        </w:r>
        <w:r w:rsidR="004F033E" w:rsidRPr="00C7111E">
          <w:rPr>
            <w:noProof/>
            <w:webHidden/>
            <w:sz w:val="24"/>
            <w:szCs w:val="20"/>
          </w:rPr>
          <w:fldChar w:fldCharType="separate"/>
        </w:r>
        <w:r w:rsidR="004F033E" w:rsidRPr="00C7111E">
          <w:rPr>
            <w:noProof/>
            <w:webHidden/>
            <w:sz w:val="24"/>
            <w:szCs w:val="20"/>
          </w:rPr>
          <w:t>7</w:t>
        </w:r>
        <w:r w:rsidR="004F033E" w:rsidRPr="00C7111E">
          <w:rPr>
            <w:noProof/>
            <w:webHidden/>
            <w:sz w:val="24"/>
            <w:szCs w:val="20"/>
          </w:rPr>
          <w:fldChar w:fldCharType="end"/>
        </w:r>
      </w:hyperlink>
    </w:p>
    <w:p w14:paraId="53D6F5B9" w14:textId="5B4AEF4E" w:rsidR="004F033E" w:rsidRPr="00C7111E" w:rsidRDefault="00BA03C5">
      <w:pPr>
        <w:pStyle w:val="TOC3"/>
        <w:tabs>
          <w:tab w:val="left" w:pos="1540"/>
        </w:tabs>
        <w:rPr>
          <w:rFonts w:asciiTheme="minorHAnsi" w:eastAsiaTheme="minorEastAsia" w:hAnsiTheme="minorHAnsi" w:cstheme="minorBidi"/>
          <w:b w:val="0"/>
          <w:noProof/>
          <w:color w:val="auto"/>
          <w:sz w:val="20"/>
          <w:szCs w:val="20"/>
          <w:lang w:eastAsia="en-AU"/>
        </w:rPr>
      </w:pPr>
      <w:hyperlink w:anchor="_Toc143009499" w:history="1">
        <w:r w:rsidR="004F033E" w:rsidRPr="00C7111E">
          <w:rPr>
            <w:rStyle w:val="Hyperlink"/>
            <w:noProof/>
            <w:sz w:val="20"/>
            <w:szCs w:val="20"/>
          </w:rPr>
          <w:t>3.1</w:t>
        </w:r>
        <w:r w:rsidR="004F033E" w:rsidRPr="00C7111E">
          <w:rPr>
            <w:rFonts w:asciiTheme="minorHAnsi" w:eastAsiaTheme="minorEastAsia" w:hAnsiTheme="minorHAnsi" w:cstheme="minorBidi"/>
            <w:b w:val="0"/>
            <w:noProof/>
            <w:color w:val="auto"/>
            <w:sz w:val="20"/>
            <w:szCs w:val="20"/>
            <w:lang w:eastAsia="en-AU"/>
          </w:rPr>
          <w:tab/>
        </w:r>
        <w:r w:rsidR="004F033E" w:rsidRPr="00C7111E">
          <w:rPr>
            <w:rStyle w:val="Hyperlink"/>
            <w:noProof/>
            <w:sz w:val="20"/>
            <w:szCs w:val="20"/>
          </w:rPr>
          <w:t>Final decision in relation to azelaic acid</w:t>
        </w:r>
        <w:r w:rsidR="004F033E" w:rsidRPr="00C7111E">
          <w:rPr>
            <w:noProof/>
            <w:webHidden/>
            <w:sz w:val="20"/>
            <w:szCs w:val="20"/>
          </w:rPr>
          <w:tab/>
        </w:r>
        <w:r w:rsidR="004F033E" w:rsidRPr="00C7111E">
          <w:rPr>
            <w:noProof/>
            <w:webHidden/>
            <w:sz w:val="20"/>
            <w:szCs w:val="20"/>
          </w:rPr>
          <w:fldChar w:fldCharType="begin"/>
        </w:r>
        <w:r w:rsidR="004F033E" w:rsidRPr="00C7111E">
          <w:rPr>
            <w:noProof/>
            <w:webHidden/>
            <w:sz w:val="20"/>
            <w:szCs w:val="20"/>
          </w:rPr>
          <w:instrText xml:space="preserve"> PAGEREF _Toc143009499 \h </w:instrText>
        </w:r>
        <w:r w:rsidR="004F033E" w:rsidRPr="00C7111E">
          <w:rPr>
            <w:noProof/>
            <w:webHidden/>
            <w:sz w:val="20"/>
            <w:szCs w:val="20"/>
          </w:rPr>
        </w:r>
        <w:r w:rsidR="004F033E" w:rsidRPr="00C7111E">
          <w:rPr>
            <w:noProof/>
            <w:webHidden/>
            <w:sz w:val="20"/>
            <w:szCs w:val="20"/>
          </w:rPr>
          <w:fldChar w:fldCharType="separate"/>
        </w:r>
        <w:r w:rsidR="004F033E" w:rsidRPr="00C7111E">
          <w:rPr>
            <w:noProof/>
            <w:webHidden/>
            <w:sz w:val="20"/>
            <w:szCs w:val="20"/>
          </w:rPr>
          <w:t>7</w:t>
        </w:r>
        <w:r w:rsidR="004F033E" w:rsidRPr="00C7111E">
          <w:rPr>
            <w:noProof/>
            <w:webHidden/>
            <w:sz w:val="20"/>
            <w:szCs w:val="20"/>
          </w:rPr>
          <w:fldChar w:fldCharType="end"/>
        </w:r>
      </w:hyperlink>
    </w:p>
    <w:p w14:paraId="789DA4C0" w14:textId="44910B1B" w:rsidR="004F033E" w:rsidRPr="00C7111E" w:rsidRDefault="00BA03C5" w:rsidP="00C7111E">
      <w:pPr>
        <w:pStyle w:val="TOC2"/>
        <w:tabs>
          <w:tab w:val="left" w:pos="851"/>
        </w:tabs>
        <w:ind w:left="720" w:hanging="295"/>
        <w:rPr>
          <w:rFonts w:asciiTheme="minorHAnsi" w:eastAsiaTheme="minorEastAsia" w:hAnsiTheme="minorHAnsi" w:cstheme="minorBidi"/>
          <w:b w:val="0"/>
          <w:noProof/>
          <w:color w:val="auto"/>
          <w:sz w:val="20"/>
          <w:szCs w:val="20"/>
          <w:lang w:eastAsia="en-AU"/>
        </w:rPr>
      </w:pPr>
      <w:hyperlink w:anchor="_Toc143009500" w:history="1">
        <w:r w:rsidR="004F033E" w:rsidRPr="00C7111E">
          <w:rPr>
            <w:rStyle w:val="Hyperlink"/>
            <w:noProof/>
            <w:sz w:val="24"/>
            <w:szCs w:val="20"/>
          </w:rPr>
          <w:t>4</w:t>
        </w:r>
        <w:r w:rsidR="004F033E" w:rsidRPr="00C7111E">
          <w:rPr>
            <w:rFonts w:asciiTheme="minorHAnsi" w:eastAsiaTheme="minorEastAsia" w:hAnsiTheme="minorHAnsi" w:cstheme="minorBidi"/>
            <w:b w:val="0"/>
            <w:noProof/>
            <w:color w:val="auto"/>
            <w:sz w:val="20"/>
            <w:szCs w:val="20"/>
            <w:lang w:eastAsia="en-AU"/>
          </w:rPr>
          <w:tab/>
        </w:r>
        <w:r w:rsidR="004F033E" w:rsidRPr="00C7111E">
          <w:rPr>
            <w:rStyle w:val="Hyperlink"/>
            <w:noProof/>
            <w:sz w:val="24"/>
            <w:szCs w:val="20"/>
          </w:rPr>
          <w:t>Final decisions on proposed amendments referred to the Advisory Committee on Chemicals Scheduling (ACCS #36, March 2023)</w:t>
        </w:r>
        <w:r w:rsidR="004F033E" w:rsidRPr="00C7111E">
          <w:rPr>
            <w:noProof/>
            <w:webHidden/>
            <w:sz w:val="24"/>
            <w:szCs w:val="20"/>
          </w:rPr>
          <w:tab/>
        </w:r>
        <w:r w:rsidR="004F033E" w:rsidRPr="00C7111E">
          <w:rPr>
            <w:noProof/>
            <w:webHidden/>
            <w:sz w:val="24"/>
            <w:szCs w:val="20"/>
          </w:rPr>
          <w:fldChar w:fldCharType="begin"/>
        </w:r>
        <w:r w:rsidR="004F033E" w:rsidRPr="00C7111E">
          <w:rPr>
            <w:noProof/>
            <w:webHidden/>
            <w:sz w:val="24"/>
            <w:szCs w:val="20"/>
          </w:rPr>
          <w:instrText xml:space="preserve"> PAGEREF _Toc143009500 \h </w:instrText>
        </w:r>
        <w:r w:rsidR="004F033E" w:rsidRPr="00C7111E">
          <w:rPr>
            <w:noProof/>
            <w:webHidden/>
            <w:sz w:val="24"/>
            <w:szCs w:val="20"/>
          </w:rPr>
        </w:r>
        <w:r w:rsidR="004F033E" w:rsidRPr="00C7111E">
          <w:rPr>
            <w:noProof/>
            <w:webHidden/>
            <w:sz w:val="24"/>
            <w:szCs w:val="20"/>
          </w:rPr>
          <w:fldChar w:fldCharType="separate"/>
        </w:r>
        <w:r w:rsidR="004F033E" w:rsidRPr="00C7111E">
          <w:rPr>
            <w:noProof/>
            <w:webHidden/>
            <w:sz w:val="24"/>
            <w:szCs w:val="20"/>
          </w:rPr>
          <w:t>10</w:t>
        </w:r>
        <w:r w:rsidR="004F033E" w:rsidRPr="00C7111E">
          <w:rPr>
            <w:noProof/>
            <w:webHidden/>
            <w:sz w:val="24"/>
            <w:szCs w:val="20"/>
          </w:rPr>
          <w:fldChar w:fldCharType="end"/>
        </w:r>
      </w:hyperlink>
    </w:p>
    <w:p w14:paraId="52C66531" w14:textId="63FC6F76" w:rsidR="004F033E" w:rsidRPr="00C7111E" w:rsidRDefault="00BA03C5">
      <w:pPr>
        <w:pStyle w:val="TOC3"/>
        <w:tabs>
          <w:tab w:val="left" w:pos="1540"/>
        </w:tabs>
        <w:rPr>
          <w:rFonts w:asciiTheme="minorHAnsi" w:eastAsiaTheme="minorEastAsia" w:hAnsiTheme="minorHAnsi" w:cstheme="minorBidi"/>
          <w:b w:val="0"/>
          <w:noProof/>
          <w:color w:val="auto"/>
          <w:sz w:val="20"/>
          <w:szCs w:val="20"/>
          <w:lang w:eastAsia="en-AU"/>
        </w:rPr>
      </w:pPr>
      <w:hyperlink w:anchor="_Toc143009501" w:history="1">
        <w:r w:rsidR="004F033E" w:rsidRPr="00C7111E">
          <w:rPr>
            <w:rStyle w:val="Hyperlink"/>
            <w:noProof/>
            <w:sz w:val="20"/>
            <w:szCs w:val="20"/>
          </w:rPr>
          <w:t>4.1</w:t>
        </w:r>
        <w:r w:rsidR="004F033E" w:rsidRPr="00C7111E">
          <w:rPr>
            <w:rFonts w:asciiTheme="minorHAnsi" w:eastAsiaTheme="minorEastAsia" w:hAnsiTheme="minorHAnsi" w:cstheme="minorBidi"/>
            <w:b w:val="0"/>
            <w:noProof/>
            <w:color w:val="auto"/>
            <w:sz w:val="20"/>
            <w:szCs w:val="20"/>
            <w:lang w:eastAsia="en-AU"/>
          </w:rPr>
          <w:tab/>
        </w:r>
        <w:r w:rsidR="004F033E" w:rsidRPr="00C7111E">
          <w:rPr>
            <w:rStyle w:val="Hyperlink"/>
            <w:noProof/>
            <w:sz w:val="20"/>
            <w:szCs w:val="20"/>
          </w:rPr>
          <w:t>Final decision in relation to bromoxynil</w:t>
        </w:r>
        <w:r w:rsidR="004F033E" w:rsidRPr="00C7111E">
          <w:rPr>
            <w:noProof/>
            <w:webHidden/>
            <w:sz w:val="20"/>
            <w:szCs w:val="20"/>
          </w:rPr>
          <w:tab/>
        </w:r>
        <w:r w:rsidR="004F033E" w:rsidRPr="00C7111E">
          <w:rPr>
            <w:noProof/>
            <w:webHidden/>
            <w:sz w:val="20"/>
            <w:szCs w:val="20"/>
          </w:rPr>
          <w:fldChar w:fldCharType="begin"/>
        </w:r>
        <w:r w:rsidR="004F033E" w:rsidRPr="00C7111E">
          <w:rPr>
            <w:noProof/>
            <w:webHidden/>
            <w:sz w:val="20"/>
            <w:szCs w:val="20"/>
          </w:rPr>
          <w:instrText xml:space="preserve"> PAGEREF _Toc143009501 \h </w:instrText>
        </w:r>
        <w:r w:rsidR="004F033E" w:rsidRPr="00C7111E">
          <w:rPr>
            <w:noProof/>
            <w:webHidden/>
            <w:sz w:val="20"/>
            <w:szCs w:val="20"/>
          </w:rPr>
        </w:r>
        <w:r w:rsidR="004F033E" w:rsidRPr="00C7111E">
          <w:rPr>
            <w:noProof/>
            <w:webHidden/>
            <w:sz w:val="20"/>
            <w:szCs w:val="20"/>
          </w:rPr>
          <w:fldChar w:fldCharType="separate"/>
        </w:r>
        <w:r w:rsidR="004F033E" w:rsidRPr="00C7111E">
          <w:rPr>
            <w:noProof/>
            <w:webHidden/>
            <w:sz w:val="20"/>
            <w:szCs w:val="20"/>
          </w:rPr>
          <w:t>10</w:t>
        </w:r>
        <w:r w:rsidR="004F033E" w:rsidRPr="00C7111E">
          <w:rPr>
            <w:noProof/>
            <w:webHidden/>
            <w:sz w:val="20"/>
            <w:szCs w:val="20"/>
          </w:rPr>
          <w:fldChar w:fldCharType="end"/>
        </w:r>
      </w:hyperlink>
    </w:p>
    <w:p w14:paraId="2024E3FE" w14:textId="6A7FF39D" w:rsidR="004F033E" w:rsidRPr="00C7111E" w:rsidRDefault="00BA03C5">
      <w:pPr>
        <w:pStyle w:val="TOC3"/>
        <w:tabs>
          <w:tab w:val="left" w:pos="1540"/>
        </w:tabs>
        <w:rPr>
          <w:rFonts w:asciiTheme="minorHAnsi" w:eastAsiaTheme="minorEastAsia" w:hAnsiTheme="minorHAnsi" w:cstheme="minorBidi"/>
          <w:b w:val="0"/>
          <w:noProof/>
          <w:color w:val="auto"/>
          <w:sz w:val="20"/>
          <w:szCs w:val="20"/>
          <w:lang w:eastAsia="en-AU"/>
        </w:rPr>
      </w:pPr>
      <w:hyperlink w:anchor="_Toc143009502" w:history="1">
        <w:r w:rsidR="004F033E" w:rsidRPr="00C7111E">
          <w:rPr>
            <w:rStyle w:val="Hyperlink"/>
            <w:noProof/>
            <w:sz w:val="20"/>
            <w:szCs w:val="20"/>
          </w:rPr>
          <w:t>4.2</w:t>
        </w:r>
        <w:r w:rsidR="004F033E" w:rsidRPr="00C7111E">
          <w:rPr>
            <w:rFonts w:asciiTheme="minorHAnsi" w:eastAsiaTheme="minorEastAsia" w:hAnsiTheme="minorHAnsi" w:cstheme="minorBidi"/>
            <w:b w:val="0"/>
            <w:noProof/>
            <w:color w:val="auto"/>
            <w:sz w:val="20"/>
            <w:szCs w:val="20"/>
            <w:lang w:eastAsia="en-AU"/>
          </w:rPr>
          <w:tab/>
        </w:r>
        <w:r w:rsidR="004F033E" w:rsidRPr="00C7111E">
          <w:rPr>
            <w:rStyle w:val="Hyperlink"/>
            <w:noProof/>
            <w:sz w:val="20"/>
            <w:szCs w:val="20"/>
          </w:rPr>
          <w:t>Final decision in relation to dioxane</w:t>
        </w:r>
        <w:r w:rsidR="004F033E" w:rsidRPr="00C7111E">
          <w:rPr>
            <w:noProof/>
            <w:webHidden/>
            <w:sz w:val="20"/>
            <w:szCs w:val="20"/>
          </w:rPr>
          <w:tab/>
        </w:r>
        <w:r w:rsidR="004F033E" w:rsidRPr="00C7111E">
          <w:rPr>
            <w:noProof/>
            <w:webHidden/>
            <w:sz w:val="20"/>
            <w:szCs w:val="20"/>
          </w:rPr>
          <w:fldChar w:fldCharType="begin"/>
        </w:r>
        <w:r w:rsidR="004F033E" w:rsidRPr="00C7111E">
          <w:rPr>
            <w:noProof/>
            <w:webHidden/>
            <w:sz w:val="20"/>
            <w:szCs w:val="20"/>
          </w:rPr>
          <w:instrText xml:space="preserve"> PAGEREF _Toc143009502 \h </w:instrText>
        </w:r>
        <w:r w:rsidR="004F033E" w:rsidRPr="00C7111E">
          <w:rPr>
            <w:noProof/>
            <w:webHidden/>
            <w:sz w:val="20"/>
            <w:szCs w:val="20"/>
          </w:rPr>
        </w:r>
        <w:r w:rsidR="004F033E" w:rsidRPr="00C7111E">
          <w:rPr>
            <w:noProof/>
            <w:webHidden/>
            <w:sz w:val="20"/>
            <w:szCs w:val="20"/>
          </w:rPr>
          <w:fldChar w:fldCharType="separate"/>
        </w:r>
        <w:r w:rsidR="004F033E" w:rsidRPr="00C7111E">
          <w:rPr>
            <w:noProof/>
            <w:webHidden/>
            <w:sz w:val="20"/>
            <w:szCs w:val="20"/>
          </w:rPr>
          <w:t>12</w:t>
        </w:r>
        <w:r w:rsidR="004F033E" w:rsidRPr="00C7111E">
          <w:rPr>
            <w:noProof/>
            <w:webHidden/>
            <w:sz w:val="20"/>
            <w:szCs w:val="20"/>
          </w:rPr>
          <w:fldChar w:fldCharType="end"/>
        </w:r>
      </w:hyperlink>
    </w:p>
    <w:p w14:paraId="424B3CEC" w14:textId="56C279D1" w:rsidR="004F033E" w:rsidRPr="00C7111E" w:rsidRDefault="00BA03C5" w:rsidP="00C7111E">
      <w:pPr>
        <w:pStyle w:val="TOC2"/>
        <w:tabs>
          <w:tab w:val="left" w:pos="851"/>
        </w:tabs>
        <w:ind w:left="720" w:hanging="295"/>
        <w:rPr>
          <w:rFonts w:asciiTheme="minorHAnsi" w:eastAsiaTheme="minorEastAsia" w:hAnsiTheme="minorHAnsi" w:cstheme="minorBidi"/>
          <w:b w:val="0"/>
          <w:noProof/>
          <w:color w:val="auto"/>
          <w:sz w:val="20"/>
          <w:szCs w:val="20"/>
          <w:lang w:eastAsia="en-AU"/>
        </w:rPr>
      </w:pPr>
      <w:hyperlink w:anchor="_Toc143009503" w:history="1">
        <w:r w:rsidR="004F033E" w:rsidRPr="00C7111E">
          <w:rPr>
            <w:rStyle w:val="Hyperlink"/>
            <w:noProof/>
            <w:sz w:val="24"/>
            <w:szCs w:val="20"/>
          </w:rPr>
          <w:t>5</w:t>
        </w:r>
        <w:r w:rsidR="004F033E" w:rsidRPr="00C7111E">
          <w:rPr>
            <w:rFonts w:asciiTheme="minorHAnsi" w:eastAsiaTheme="minorEastAsia" w:hAnsiTheme="minorHAnsi" w:cstheme="minorBidi"/>
            <w:b w:val="0"/>
            <w:noProof/>
            <w:color w:val="auto"/>
            <w:sz w:val="20"/>
            <w:szCs w:val="20"/>
            <w:lang w:eastAsia="en-AU"/>
          </w:rPr>
          <w:tab/>
        </w:r>
        <w:r w:rsidR="004F033E" w:rsidRPr="00C7111E">
          <w:rPr>
            <w:rStyle w:val="Hyperlink"/>
            <w:noProof/>
            <w:sz w:val="24"/>
            <w:szCs w:val="20"/>
          </w:rPr>
          <w:t>Final decisions on proposed amendments to the current Poisons Standard under regulation 42ZCZU</w:t>
        </w:r>
        <w:r w:rsidR="004F033E" w:rsidRPr="00C7111E">
          <w:rPr>
            <w:noProof/>
            <w:webHidden/>
            <w:sz w:val="24"/>
            <w:szCs w:val="20"/>
          </w:rPr>
          <w:tab/>
        </w:r>
        <w:r w:rsidR="004F033E" w:rsidRPr="00C7111E">
          <w:rPr>
            <w:noProof/>
            <w:webHidden/>
            <w:sz w:val="24"/>
            <w:szCs w:val="20"/>
          </w:rPr>
          <w:fldChar w:fldCharType="begin"/>
        </w:r>
        <w:r w:rsidR="004F033E" w:rsidRPr="00C7111E">
          <w:rPr>
            <w:noProof/>
            <w:webHidden/>
            <w:sz w:val="24"/>
            <w:szCs w:val="20"/>
          </w:rPr>
          <w:instrText xml:space="preserve"> PAGEREF _Toc143009503 \h </w:instrText>
        </w:r>
        <w:r w:rsidR="004F033E" w:rsidRPr="00C7111E">
          <w:rPr>
            <w:noProof/>
            <w:webHidden/>
            <w:sz w:val="24"/>
            <w:szCs w:val="20"/>
          </w:rPr>
        </w:r>
        <w:r w:rsidR="004F033E" w:rsidRPr="00C7111E">
          <w:rPr>
            <w:noProof/>
            <w:webHidden/>
            <w:sz w:val="24"/>
            <w:szCs w:val="20"/>
          </w:rPr>
          <w:fldChar w:fldCharType="separate"/>
        </w:r>
        <w:r w:rsidR="004F033E" w:rsidRPr="00C7111E">
          <w:rPr>
            <w:noProof/>
            <w:webHidden/>
            <w:sz w:val="24"/>
            <w:szCs w:val="20"/>
          </w:rPr>
          <w:t>14</w:t>
        </w:r>
        <w:r w:rsidR="004F033E" w:rsidRPr="00C7111E">
          <w:rPr>
            <w:noProof/>
            <w:webHidden/>
            <w:sz w:val="24"/>
            <w:szCs w:val="20"/>
          </w:rPr>
          <w:fldChar w:fldCharType="end"/>
        </w:r>
      </w:hyperlink>
    </w:p>
    <w:p w14:paraId="5B6D05AC" w14:textId="5B3594CE" w:rsidR="004F033E" w:rsidRPr="00C7111E" w:rsidRDefault="00BA03C5">
      <w:pPr>
        <w:pStyle w:val="TOC3"/>
        <w:tabs>
          <w:tab w:val="left" w:pos="1540"/>
        </w:tabs>
        <w:rPr>
          <w:rFonts w:asciiTheme="minorHAnsi" w:eastAsiaTheme="minorEastAsia" w:hAnsiTheme="minorHAnsi" w:cstheme="minorBidi"/>
          <w:b w:val="0"/>
          <w:noProof/>
          <w:color w:val="auto"/>
          <w:sz w:val="20"/>
          <w:szCs w:val="20"/>
          <w:lang w:eastAsia="en-AU"/>
        </w:rPr>
      </w:pPr>
      <w:hyperlink w:anchor="_Toc143009504" w:history="1">
        <w:r w:rsidR="004F033E" w:rsidRPr="00C7111E">
          <w:rPr>
            <w:rStyle w:val="Hyperlink"/>
            <w:noProof/>
            <w:sz w:val="20"/>
            <w:szCs w:val="20"/>
          </w:rPr>
          <w:t>5.1</w:t>
        </w:r>
        <w:r w:rsidR="004F033E" w:rsidRPr="00C7111E">
          <w:rPr>
            <w:rFonts w:asciiTheme="minorHAnsi" w:eastAsiaTheme="minorEastAsia" w:hAnsiTheme="minorHAnsi" w:cstheme="minorBidi"/>
            <w:b w:val="0"/>
            <w:noProof/>
            <w:color w:val="auto"/>
            <w:sz w:val="20"/>
            <w:szCs w:val="20"/>
            <w:lang w:eastAsia="en-AU"/>
          </w:rPr>
          <w:tab/>
        </w:r>
        <w:r w:rsidR="004F033E" w:rsidRPr="00C7111E">
          <w:rPr>
            <w:rStyle w:val="Hyperlink"/>
            <w:noProof/>
            <w:sz w:val="20"/>
            <w:szCs w:val="20"/>
          </w:rPr>
          <w:t>Final decision in relation to salbutamol</w:t>
        </w:r>
        <w:r w:rsidR="004F033E" w:rsidRPr="00C7111E">
          <w:rPr>
            <w:noProof/>
            <w:webHidden/>
            <w:sz w:val="20"/>
            <w:szCs w:val="20"/>
          </w:rPr>
          <w:tab/>
        </w:r>
        <w:r w:rsidR="004F033E" w:rsidRPr="00C7111E">
          <w:rPr>
            <w:noProof/>
            <w:webHidden/>
            <w:sz w:val="20"/>
            <w:szCs w:val="20"/>
          </w:rPr>
          <w:fldChar w:fldCharType="begin"/>
        </w:r>
        <w:r w:rsidR="004F033E" w:rsidRPr="00C7111E">
          <w:rPr>
            <w:noProof/>
            <w:webHidden/>
            <w:sz w:val="20"/>
            <w:szCs w:val="20"/>
          </w:rPr>
          <w:instrText xml:space="preserve"> PAGEREF _Toc143009504 \h </w:instrText>
        </w:r>
        <w:r w:rsidR="004F033E" w:rsidRPr="00C7111E">
          <w:rPr>
            <w:noProof/>
            <w:webHidden/>
            <w:sz w:val="20"/>
            <w:szCs w:val="20"/>
          </w:rPr>
        </w:r>
        <w:r w:rsidR="004F033E" w:rsidRPr="00C7111E">
          <w:rPr>
            <w:noProof/>
            <w:webHidden/>
            <w:sz w:val="20"/>
            <w:szCs w:val="20"/>
          </w:rPr>
          <w:fldChar w:fldCharType="separate"/>
        </w:r>
        <w:r w:rsidR="004F033E" w:rsidRPr="00C7111E">
          <w:rPr>
            <w:noProof/>
            <w:webHidden/>
            <w:sz w:val="20"/>
            <w:szCs w:val="20"/>
          </w:rPr>
          <w:t>14</w:t>
        </w:r>
        <w:r w:rsidR="004F033E" w:rsidRPr="00C7111E">
          <w:rPr>
            <w:noProof/>
            <w:webHidden/>
            <w:sz w:val="20"/>
            <w:szCs w:val="20"/>
          </w:rPr>
          <w:fldChar w:fldCharType="end"/>
        </w:r>
      </w:hyperlink>
    </w:p>
    <w:p w14:paraId="007F6C75" w14:textId="7AC28F47" w:rsidR="004F033E" w:rsidRPr="00C7111E" w:rsidRDefault="00BA03C5">
      <w:pPr>
        <w:pStyle w:val="TOC3"/>
        <w:tabs>
          <w:tab w:val="left" w:pos="1540"/>
        </w:tabs>
        <w:rPr>
          <w:rFonts w:asciiTheme="minorHAnsi" w:eastAsiaTheme="minorEastAsia" w:hAnsiTheme="minorHAnsi" w:cstheme="minorBidi"/>
          <w:b w:val="0"/>
          <w:noProof/>
          <w:color w:val="auto"/>
          <w:sz w:val="20"/>
          <w:szCs w:val="20"/>
          <w:lang w:eastAsia="en-AU"/>
        </w:rPr>
      </w:pPr>
      <w:hyperlink w:anchor="_Toc143009505" w:history="1">
        <w:r w:rsidR="004F033E" w:rsidRPr="00C7111E">
          <w:rPr>
            <w:rStyle w:val="Hyperlink"/>
            <w:noProof/>
            <w:sz w:val="20"/>
            <w:szCs w:val="20"/>
          </w:rPr>
          <w:t>5.2</w:t>
        </w:r>
        <w:r w:rsidR="004F033E" w:rsidRPr="00C7111E">
          <w:rPr>
            <w:rFonts w:asciiTheme="minorHAnsi" w:eastAsiaTheme="minorEastAsia" w:hAnsiTheme="minorHAnsi" w:cstheme="minorBidi"/>
            <w:b w:val="0"/>
            <w:noProof/>
            <w:color w:val="auto"/>
            <w:sz w:val="20"/>
            <w:szCs w:val="20"/>
            <w:lang w:eastAsia="en-AU"/>
          </w:rPr>
          <w:tab/>
        </w:r>
        <w:r w:rsidR="004F033E" w:rsidRPr="00C7111E">
          <w:rPr>
            <w:rStyle w:val="Hyperlink"/>
            <w:noProof/>
            <w:sz w:val="20"/>
            <w:szCs w:val="20"/>
          </w:rPr>
          <w:t>Final decision in relation to nitazenes</w:t>
        </w:r>
        <w:r w:rsidR="004F033E" w:rsidRPr="00C7111E">
          <w:rPr>
            <w:noProof/>
            <w:webHidden/>
            <w:sz w:val="20"/>
            <w:szCs w:val="20"/>
          </w:rPr>
          <w:tab/>
        </w:r>
        <w:r w:rsidR="004F033E" w:rsidRPr="00C7111E">
          <w:rPr>
            <w:noProof/>
            <w:webHidden/>
            <w:sz w:val="20"/>
            <w:szCs w:val="20"/>
          </w:rPr>
          <w:fldChar w:fldCharType="begin"/>
        </w:r>
        <w:r w:rsidR="004F033E" w:rsidRPr="00C7111E">
          <w:rPr>
            <w:noProof/>
            <w:webHidden/>
            <w:sz w:val="20"/>
            <w:szCs w:val="20"/>
          </w:rPr>
          <w:instrText xml:space="preserve"> PAGEREF _Toc143009505 \h </w:instrText>
        </w:r>
        <w:r w:rsidR="004F033E" w:rsidRPr="00C7111E">
          <w:rPr>
            <w:noProof/>
            <w:webHidden/>
            <w:sz w:val="20"/>
            <w:szCs w:val="20"/>
          </w:rPr>
        </w:r>
        <w:r w:rsidR="004F033E" w:rsidRPr="00C7111E">
          <w:rPr>
            <w:noProof/>
            <w:webHidden/>
            <w:sz w:val="20"/>
            <w:szCs w:val="20"/>
          </w:rPr>
          <w:fldChar w:fldCharType="separate"/>
        </w:r>
        <w:r w:rsidR="004F033E" w:rsidRPr="00C7111E">
          <w:rPr>
            <w:noProof/>
            <w:webHidden/>
            <w:sz w:val="20"/>
            <w:szCs w:val="20"/>
          </w:rPr>
          <w:t>15</w:t>
        </w:r>
        <w:r w:rsidR="004F033E" w:rsidRPr="00C7111E">
          <w:rPr>
            <w:noProof/>
            <w:webHidden/>
            <w:sz w:val="20"/>
            <w:szCs w:val="20"/>
          </w:rPr>
          <w:fldChar w:fldCharType="end"/>
        </w:r>
      </w:hyperlink>
    </w:p>
    <w:p w14:paraId="3370773B" w14:textId="49ABD465" w:rsidR="004F033E" w:rsidRPr="00C7111E" w:rsidRDefault="00BA03C5">
      <w:pPr>
        <w:pStyle w:val="TOC3"/>
        <w:tabs>
          <w:tab w:val="left" w:pos="1540"/>
        </w:tabs>
        <w:rPr>
          <w:rFonts w:asciiTheme="minorHAnsi" w:eastAsiaTheme="minorEastAsia" w:hAnsiTheme="minorHAnsi" w:cstheme="minorBidi"/>
          <w:b w:val="0"/>
          <w:noProof/>
          <w:color w:val="auto"/>
          <w:sz w:val="20"/>
          <w:szCs w:val="20"/>
          <w:lang w:eastAsia="en-AU"/>
        </w:rPr>
      </w:pPr>
      <w:hyperlink w:anchor="_Toc143009506" w:history="1">
        <w:r w:rsidR="004F033E" w:rsidRPr="00C7111E">
          <w:rPr>
            <w:rStyle w:val="Hyperlink"/>
            <w:noProof/>
            <w:sz w:val="20"/>
            <w:szCs w:val="20"/>
          </w:rPr>
          <w:t>5.3</w:t>
        </w:r>
        <w:r w:rsidR="004F033E" w:rsidRPr="00C7111E">
          <w:rPr>
            <w:rFonts w:asciiTheme="minorHAnsi" w:eastAsiaTheme="minorEastAsia" w:hAnsiTheme="minorHAnsi" w:cstheme="minorBidi"/>
            <w:b w:val="0"/>
            <w:noProof/>
            <w:color w:val="auto"/>
            <w:sz w:val="20"/>
            <w:szCs w:val="20"/>
            <w:lang w:eastAsia="en-AU"/>
          </w:rPr>
          <w:tab/>
        </w:r>
        <w:r w:rsidR="004F033E" w:rsidRPr="00C7111E">
          <w:rPr>
            <w:rStyle w:val="Hyperlink"/>
            <w:noProof/>
            <w:sz w:val="20"/>
            <w:szCs w:val="20"/>
          </w:rPr>
          <w:t>Final decision in relation to velagliflozin</w:t>
        </w:r>
        <w:r w:rsidR="004F033E" w:rsidRPr="00C7111E">
          <w:rPr>
            <w:noProof/>
            <w:webHidden/>
            <w:sz w:val="20"/>
            <w:szCs w:val="20"/>
          </w:rPr>
          <w:tab/>
        </w:r>
        <w:r w:rsidR="004F033E" w:rsidRPr="00C7111E">
          <w:rPr>
            <w:noProof/>
            <w:webHidden/>
            <w:sz w:val="20"/>
            <w:szCs w:val="20"/>
          </w:rPr>
          <w:fldChar w:fldCharType="begin"/>
        </w:r>
        <w:r w:rsidR="004F033E" w:rsidRPr="00C7111E">
          <w:rPr>
            <w:noProof/>
            <w:webHidden/>
            <w:sz w:val="20"/>
            <w:szCs w:val="20"/>
          </w:rPr>
          <w:instrText xml:space="preserve"> PAGEREF _Toc143009506 \h </w:instrText>
        </w:r>
        <w:r w:rsidR="004F033E" w:rsidRPr="00C7111E">
          <w:rPr>
            <w:noProof/>
            <w:webHidden/>
            <w:sz w:val="20"/>
            <w:szCs w:val="20"/>
          </w:rPr>
        </w:r>
        <w:r w:rsidR="004F033E" w:rsidRPr="00C7111E">
          <w:rPr>
            <w:noProof/>
            <w:webHidden/>
            <w:sz w:val="20"/>
            <w:szCs w:val="20"/>
          </w:rPr>
          <w:fldChar w:fldCharType="separate"/>
        </w:r>
        <w:r w:rsidR="004F033E" w:rsidRPr="00C7111E">
          <w:rPr>
            <w:noProof/>
            <w:webHidden/>
            <w:sz w:val="20"/>
            <w:szCs w:val="20"/>
          </w:rPr>
          <w:t>19</w:t>
        </w:r>
        <w:r w:rsidR="004F033E" w:rsidRPr="00C7111E">
          <w:rPr>
            <w:noProof/>
            <w:webHidden/>
            <w:sz w:val="20"/>
            <w:szCs w:val="20"/>
          </w:rPr>
          <w:fldChar w:fldCharType="end"/>
        </w:r>
      </w:hyperlink>
    </w:p>
    <w:p w14:paraId="7C9AEB26" w14:textId="7B0AF81F" w:rsidR="004F033E" w:rsidRPr="00C7111E" w:rsidRDefault="00BA03C5">
      <w:pPr>
        <w:pStyle w:val="TOC3"/>
        <w:tabs>
          <w:tab w:val="left" w:pos="1540"/>
        </w:tabs>
        <w:rPr>
          <w:rFonts w:asciiTheme="minorHAnsi" w:eastAsiaTheme="minorEastAsia" w:hAnsiTheme="minorHAnsi" w:cstheme="minorBidi"/>
          <w:b w:val="0"/>
          <w:noProof/>
          <w:color w:val="auto"/>
          <w:sz w:val="20"/>
          <w:szCs w:val="20"/>
          <w:lang w:eastAsia="en-AU"/>
        </w:rPr>
      </w:pPr>
      <w:hyperlink w:anchor="_Toc143009507" w:history="1">
        <w:r w:rsidR="004F033E" w:rsidRPr="00C7111E">
          <w:rPr>
            <w:rStyle w:val="Hyperlink"/>
            <w:noProof/>
            <w:sz w:val="20"/>
            <w:szCs w:val="20"/>
          </w:rPr>
          <w:t>5.4</w:t>
        </w:r>
        <w:r w:rsidR="004F033E" w:rsidRPr="00C7111E">
          <w:rPr>
            <w:rFonts w:asciiTheme="minorHAnsi" w:eastAsiaTheme="minorEastAsia" w:hAnsiTheme="minorHAnsi" w:cstheme="minorBidi"/>
            <w:b w:val="0"/>
            <w:noProof/>
            <w:color w:val="auto"/>
            <w:sz w:val="20"/>
            <w:szCs w:val="20"/>
            <w:lang w:eastAsia="en-AU"/>
          </w:rPr>
          <w:tab/>
        </w:r>
        <w:r w:rsidR="004F033E" w:rsidRPr="00C7111E">
          <w:rPr>
            <w:rStyle w:val="Hyperlink"/>
            <w:noProof/>
            <w:sz w:val="20"/>
            <w:szCs w:val="20"/>
          </w:rPr>
          <w:t>Final decision in relation to vadadustat</w:t>
        </w:r>
        <w:r w:rsidR="004F033E" w:rsidRPr="00C7111E">
          <w:rPr>
            <w:noProof/>
            <w:webHidden/>
            <w:sz w:val="20"/>
            <w:szCs w:val="20"/>
          </w:rPr>
          <w:tab/>
        </w:r>
        <w:r w:rsidR="004F033E" w:rsidRPr="00C7111E">
          <w:rPr>
            <w:noProof/>
            <w:webHidden/>
            <w:sz w:val="20"/>
            <w:szCs w:val="20"/>
          </w:rPr>
          <w:fldChar w:fldCharType="begin"/>
        </w:r>
        <w:r w:rsidR="004F033E" w:rsidRPr="00C7111E">
          <w:rPr>
            <w:noProof/>
            <w:webHidden/>
            <w:sz w:val="20"/>
            <w:szCs w:val="20"/>
          </w:rPr>
          <w:instrText xml:space="preserve"> PAGEREF _Toc143009507 \h </w:instrText>
        </w:r>
        <w:r w:rsidR="004F033E" w:rsidRPr="00C7111E">
          <w:rPr>
            <w:noProof/>
            <w:webHidden/>
            <w:sz w:val="20"/>
            <w:szCs w:val="20"/>
          </w:rPr>
        </w:r>
        <w:r w:rsidR="004F033E" w:rsidRPr="00C7111E">
          <w:rPr>
            <w:noProof/>
            <w:webHidden/>
            <w:sz w:val="20"/>
            <w:szCs w:val="20"/>
          </w:rPr>
          <w:fldChar w:fldCharType="separate"/>
        </w:r>
        <w:r w:rsidR="004F033E" w:rsidRPr="00C7111E">
          <w:rPr>
            <w:noProof/>
            <w:webHidden/>
            <w:sz w:val="20"/>
            <w:szCs w:val="20"/>
          </w:rPr>
          <w:t>21</w:t>
        </w:r>
        <w:r w:rsidR="004F033E" w:rsidRPr="00C7111E">
          <w:rPr>
            <w:noProof/>
            <w:webHidden/>
            <w:sz w:val="20"/>
            <w:szCs w:val="20"/>
          </w:rPr>
          <w:fldChar w:fldCharType="end"/>
        </w:r>
      </w:hyperlink>
    </w:p>
    <w:p w14:paraId="5E3BF88B" w14:textId="1F7F9F6E" w:rsidR="004F033E" w:rsidRPr="00C7111E" w:rsidRDefault="00BA03C5" w:rsidP="00C7111E">
      <w:pPr>
        <w:pStyle w:val="TOC2"/>
        <w:tabs>
          <w:tab w:val="left" w:pos="851"/>
        </w:tabs>
        <w:ind w:left="720" w:hanging="295"/>
        <w:rPr>
          <w:rFonts w:asciiTheme="minorHAnsi" w:eastAsiaTheme="minorEastAsia" w:hAnsiTheme="minorHAnsi" w:cstheme="minorBidi"/>
          <w:b w:val="0"/>
          <w:noProof/>
          <w:color w:val="auto"/>
          <w:sz w:val="20"/>
          <w:szCs w:val="20"/>
          <w:lang w:eastAsia="en-AU"/>
        </w:rPr>
      </w:pPr>
      <w:hyperlink w:anchor="_Toc143009508" w:history="1">
        <w:r w:rsidR="004F033E" w:rsidRPr="00C7111E">
          <w:rPr>
            <w:rStyle w:val="Hyperlink"/>
            <w:noProof/>
            <w:sz w:val="24"/>
            <w:szCs w:val="20"/>
          </w:rPr>
          <w:t>6</w:t>
        </w:r>
        <w:r w:rsidR="004F033E" w:rsidRPr="00C7111E">
          <w:rPr>
            <w:rFonts w:asciiTheme="minorHAnsi" w:eastAsiaTheme="minorEastAsia" w:hAnsiTheme="minorHAnsi" w:cstheme="minorBidi"/>
            <w:b w:val="0"/>
            <w:noProof/>
            <w:color w:val="auto"/>
            <w:sz w:val="20"/>
            <w:szCs w:val="20"/>
            <w:lang w:eastAsia="en-AU"/>
          </w:rPr>
          <w:tab/>
        </w:r>
        <w:r w:rsidR="004F033E" w:rsidRPr="00C7111E">
          <w:rPr>
            <w:rStyle w:val="Hyperlink"/>
            <w:noProof/>
            <w:sz w:val="24"/>
            <w:szCs w:val="20"/>
          </w:rPr>
          <w:t>Amendments to the Poison Standard in relation to New Chemical Entities (NCEs)</w:t>
        </w:r>
        <w:r w:rsidR="004F033E" w:rsidRPr="00C7111E">
          <w:rPr>
            <w:noProof/>
            <w:webHidden/>
            <w:sz w:val="24"/>
            <w:szCs w:val="20"/>
          </w:rPr>
          <w:tab/>
        </w:r>
        <w:r w:rsidR="004F033E" w:rsidRPr="00C7111E">
          <w:rPr>
            <w:noProof/>
            <w:webHidden/>
            <w:sz w:val="24"/>
            <w:szCs w:val="20"/>
          </w:rPr>
          <w:fldChar w:fldCharType="begin"/>
        </w:r>
        <w:r w:rsidR="004F033E" w:rsidRPr="00C7111E">
          <w:rPr>
            <w:noProof/>
            <w:webHidden/>
            <w:sz w:val="24"/>
            <w:szCs w:val="20"/>
          </w:rPr>
          <w:instrText xml:space="preserve"> PAGEREF _Toc143009508 \h </w:instrText>
        </w:r>
        <w:r w:rsidR="004F033E" w:rsidRPr="00C7111E">
          <w:rPr>
            <w:noProof/>
            <w:webHidden/>
            <w:sz w:val="24"/>
            <w:szCs w:val="20"/>
          </w:rPr>
        </w:r>
        <w:r w:rsidR="004F033E" w:rsidRPr="00C7111E">
          <w:rPr>
            <w:noProof/>
            <w:webHidden/>
            <w:sz w:val="24"/>
            <w:szCs w:val="20"/>
          </w:rPr>
          <w:fldChar w:fldCharType="separate"/>
        </w:r>
        <w:r w:rsidR="004F033E" w:rsidRPr="00C7111E">
          <w:rPr>
            <w:noProof/>
            <w:webHidden/>
            <w:sz w:val="24"/>
            <w:szCs w:val="20"/>
          </w:rPr>
          <w:t>24</w:t>
        </w:r>
        <w:r w:rsidR="004F033E" w:rsidRPr="00C7111E">
          <w:rPr>
            <w:noProof/>
            <w:webHidden/>
            <w:sz w:val="24"/>
            <w:szCs w:val="20"/>
          </w:rPr>
          <w:fldChar w:fldCharType="end"/>
        </w:r>
      </w:hyperlink>
    </w:p>
    <w:p w14:paraId="3DBAC5BC" w14:textId="0E237E6E" w:rsidR="004F033E" w:rsidRPr="00C7111E" w:rsidRDefault="00BA03C5">
      <w:pPr>
        <w:pStyle w:val="TOC3"/>
        <w:tabs>
          <w:tab w:val="left" w:pos="1540"/>
        </w:tabs>
        <w:rPr>
          <w:rFonts w:asciiTheme="minorHAnsi" w:eastAsiaTheme="minorEastAsia" w:hAnsiTheme="minorHAnsi" w:cstheme="minorBidi"/>
          <w:b w:val="0"/>
          <w:noProof/>
          <w:color w:val="auto"/>
          <w:sz w:val="20"/>
          <w:szCs w:val="20"/>
          <w:lang w:eastAsia="en-AU"/>
        </w:rPr>
      </w:pPr>
      <w:hyperlink w:anchor="_Toc143009509" w:history="1">
        <w:r w:rsidR="004F033E" w:rsidRPr="00C7111E">
          <w:rPr>
            <w:rStyle w:val="Hyperlink"/>
            <w:noProof/>
            <w:sz w:val="20"/>
            <w:szCs w:val="20"/>
          </w:rPr>
          <w:t>6.1</w:t>
        </w:r>
        <w:r w:rsidR="004F033E" w:rsidRPr="00C7111E">
          <w:rPr>
            <w:rFonts w:asciiTheme="minorHAnsi" w:eastAsiaTheme="minorEastAsia" w:hAnsiTheme="minorHAnsi" w:cstheme="minorBidi"/>
            <w:b w:val="0"/>
            <w:noProof/>
            <w:color w:val="auto"/>
            <w:sz w:val="20"/>
            <w:szCs w:val="20"/>
            <w:lang w:eastAsia="en-AU"/>
          </w:rPr>
          <w:tab/>
        </w:r>
        <w:r w:rsidR="004F033E" w:rsidRPr="00C7111E">
          <w:rPr>
            <w:rStyle w:val="Hyperlink"/>
            <w:noProof/>
            <w:sz w:val="20"/>
            <w:szCs w:val="20"/>
          </w:rPr>
          <w:t>Concizumab</w:t>
        </w:r>
        <w:r w:rsidR="004F033E" w:rsidRPr="00C7111E">
          <w:rPr>
            <w:noProof/>
            <w:webHidden/>
            <w:sz w:val="20"/>
            <w:szCs w:val="20"/>
          </w:rPr>
          <w:tab/>
        </w:r>
        <w:r w:rsidR="004F033E" w:rsidRPr="00C7111E">
          <w:rPr>
            <w:noProof/>
            <w:webHidden/>
            <w:sz w:val="20"/>
            <w:szCs w:val="20"/>
          </w:rPr>
          <w:fldChar w:fldCharType="begin"/>
        </w:r>
        <w:r w:rsidR="004F033E" w:rsidRPr="00C7111E">
          <w:rPr>
            <w:noProof/>
            <w:webHidden/>
            <w:sz w:val="20"/>
            <w:szCs w:val="20"/>
          </w:rPr>
          <w:instrText xml:space="preserve"> PAGEREF _Toc143009509 \h </w:instrText>
        </w:r>
        <w:r w:rsidR="004F033E" w:rsidRPr="00C7111E">
          <w:rPr>
            <w:noProof/>
            <w:webHidden/>
            <w:sz w:val="20"/>
            <w:szCs w:val="20"/>
          </w:rPr>
        </w:r>
        <w:r w:rsidR="004F033E" w:rsidRPr="00C7111E">
          <w:rPr>
            <w:noProof/>
            <w:webHidden/>
            <w:sz w:val="20"/>
            <w:szCs w:val="20"/>
          </w:rPr>
          <w:fldChar w:fldCharType="separate"/>
        </w:r>
        <w:r w:rsidR="004F033E" w:rsidRPr="00C7111E">
          <w:rPr>
            <w:noProof/>
            <w:webHidden/>
            <w:sz w:val="20"/>
            <w:szCs w:val="20"/>
          </w:rPr>
          <w:t>24</w:t>
        </w:r>
        <w:r w:rsidR="004F033E" w:rsidRPr="00C7111E">
          <w:rPr>
            <w:noProof/>
            <w:webHidden/>
            <w:sz w:val="20"/>
            <w:szCs w:val="20"/>
          </w:rPr>
          <w:fldChar w:fldCharType="end"/>
        </w:r>
      </w:hyperlink>
    </w:p>
    <w:p w14:paraId="4140A3F3" w14:textId="289A22FF" w:rsidR="004F033E" w:rsidRPr="00C7111E" w:rsidRDefault="00BA03C5">
      <w:pPr>
        <w:pStyle w:val="TOC3"/>
        <w:tabs>
          <w:tab w:val="left" w:pos="1540"/>
        </w:tabs>
        <w:rPr>
          <w:rFonts w:asciiTheme="minorHAnsi" w:eastAsiaTheme="minorEastAsia" w:hAnsiTheme="minorHAnsi" w:cstheme="minorBidi"/>
          <w:b w:val="0"/>
          <w:noProof/>
          <w:color w:val="auto"/>
          <w:sz w:val="20"/>
          <w:szCs w:val="20"/>
          <w:lang w:eastAsia="en-AU"/>
        </w:rPr>
      </w:pPr>
      <w:hyperlink w:anchor="_Toc143009510" w:history="1">
        <w:r w:rsidR="004F033E" w:rsidRPr="00C7111E">
          <w:rPr>
            <w:rStyle w:val="Hyperlink"/>
            <w:noProof/>
            <w:sz w:val="20"/>
            <w:szCs w:val="20"/>
          </w:rPr>
          <w:t>6.2</w:t>
        </w:r>
        <w:r w:rsidR="004F033E" w:rsidRPr="00C7111E">
          <w:rPr>
            <w:rFonts w:asciiTheme="minorHAnsi" w:eastAsiaTheme="minorEastAsia" w:hAnsiTheme="minorHAnsi" w:cstheme="minorBidi"/>
            <w:b w:val="0"/>
            <w:noProof/>
            <w:color w:val="auto"/>
            <w:sz w:val="20"/>
            <w:szCs w:val="20"/>
            <w:lang w:eastAsia="en-AU"/>
          </w:rPr>
          <w:tab/>
        </w:r>
        <w:r w:rsidR="004F033E" w:rsidRPr="00C7111E">
          <w:rPr>
            <w:rStyle w:val="Hyperlink"/>
            <w:noProof/>
            <w:sz w:val="20"/>
            <w:szCs w:val="20"/>
          </w:rPr>
          <w:t>Givosiran</w:t>
        </w:r>
        <w:r w:rsidR="004F033E" w:rsidRPr="00C7111E">
          <w:rPr>
            <w:noProof/>
            <w:webHidden/>
            <w:sz w:val="20"/>
            <w:szCs w:val="20"/>
          </w:rPr>
          <w:tab/>
        </w:r>
        <w:r w:rsidR="004F033E" w:rsidRPr="00C7111E">
          <w:rPr>
            <w:noProof/>
            <w:webHidden/>
            <w:sz w:val="20"/>
            <w:szCs w:val="20"/>
          </w:rPr>
          <w:fldChar w:fldCharType="begin"/>
        </w:r>
        <w:r w:rsidR="004F033E" w:rsidRPr="00C7111E">
          <w:rPr>
            <w:noProof/>
            <w:webHidden/>
            <w:sz w:val="20"/>
            <w:szCs w:val="20"/>
          </w:rPr>
          <w:instrText xml:space="preserve"> PAGEREF _Toc143009510 \h </w:instrText>
        </w:r>
        <w:r w:rsidR="004F033E" w:rsidRPr="00C7111E">
          <w:rPr>
            <w:noProof/>
            <w:webHidden/>
            <w:sz w:val="20"/>
            <w:szCs w:val="20"/>
          </w:rPr>
        </w:r>
        <w:r w:rsidR="004F033E" w:rsidRPr="00C7111E">
          <w:rPr>
            <w:noProof/>
            <w:webHidden/>
            <w:sz w:val="20"/>
            <w:szCs w:val="20"/>
          </w:rPr>
          <w:fldChar w:fldCharType="separate"/>
        </w:r>
        <w:r w:rsidR="004F033E" w:rsidRPr="00C7111E">
          <w:rPr>
            <w:noProof/>
            <w:webHidden/>
            <w:sz w:val="20"/>
            <w:szCs w:val="20"/>
          </w:rPr>
          <w:t>24</w:t>
        </w:r>
        <w:r w:rsidR="004F033E" w:rsidRPr="00C7111E">
          <w:rPr>
            <w:noProof/>
            <w:webHidden/>
            <w:sz w:val="20"/>
            <w:szCs w:val="20"/>
          </w:rPr>
          <w:fldChar w:fldCharType="end"/>
        </w:r>
      </w:hyperlink>
    </w:p>
    <w:p w14:paraId="67DE7545" w14:textId="5CC6590B" w:rsidR="004F033E" w:rsidRPr="00C7111E" w:rsidRDefault="00BA03C5">
      <w:pPr>
        <w:pStyle w:val="TOC3"/>
        <w:tabs>
          <w:tab w:val="left" w:pos="1540"/>
        </w:tabs>
        <w:rPr>
          <w:rFonts w:asciiTheme="minorHAnsi" w:eastAsiaTheme="minorEastAsia" w:hAnsiTheme="minorHAnsi" w:cstheme="minorBidi"/>
          <w:b w:val="0"/>
          <w:noProof/>
          <w:color w:val="auto"/>
          <w:sz w:val="20"/>
          <w:szCs w:val="20"/>
          <w:lang w:eastAsia="en-AU"/>
        </w:rPr>
      </w:pPr>
      <w:hyperlink w:anchor="_Toc143009511" w:history="1">
        <w:r w:rsidR="004F033E" w:rsidRPr="00C7111E">
          <w:rPr>
            <w:rStyle w:val="Hyperlink"/>
            <w:noProof/>
            <w:sz w:val="20"/>
            <w:szCs w:val="20"/>
          </w:rPr>
          <w:t>6.3</w:t>
        </w:r>
        <w:r w:rsidR="004F033E" w:rsidRPr="00C7111E">
          <w:rPr>
            <w:rFonts w:asciiTheme="minorHAnsi" w:eastAsiaTheme="minorEastAsia" w:hAnsiTheme="minorHAnsi" w:cstheme="minorBidi"/>
            <w:b w:val="0"/>
            <w:noProof/>
            <w:color w:val="auto"/>
            <w:sz w:val="20"/>
            <w:szCs w:val="20"/>
            <w:lang w:eastAsia="en-AU"/>
          </w:rPr>
          <w:tab/>
        </w:r>
        <w:r w:rsidR="004F033E" w:rsidRPr="00C7111E">
          <w:rPr>
            <w:rStyle w:val="Hyperlink"/>
            <w:noProof/>
            <w:sz w:val="20"/>
            <w:szCs w:val="20"/>
          </w:rPr>
          <w:t>Glofitamab</w:t>
        </w:r>
        <w:r w:rsidR="004F033E" w:rsidRPr="00C7111E">
          <w:rPr>
            <w:noProof/>
            <w:webHidden/>
            <w:sz w:val="20"/>
            <w:szCs w:val="20"/>
          </w:rPr>
          <w:tab/>
        </w:r>
        <w:r w:rsidR="004F033E" w:rsidRPr="00C7111E">
          <w:rPr>
            <w:noProof/>
            <w:webHidden/>
            <w:sz w:val="20"/>
            <w:szCs w:val="20"/>
          </w:rPr>
          <w:fldChar w:fldCharType="begin"/>
        </w:r>
        <w:r w:rsidR="004F033E" w:rsidRPr="00C7111E">
          <w:rPr>
            <w:noProof/>
            <w:webHidden/>
            <w:sz w:val="20"/>
            <w:szCs w:val="20"/>
          </w:rPr>
          <w:instrText xml:space="preserve"> PAGEREF _Toc143009511 \h </w:instrText>
        </w:r>
        <w:r w:rsidR="004F033E" w:rsidRPr="00C7111E">
          <w:rPr>
            <w:noProof/>
            <w:webHidden/>
            <w:sz w:val="20"/>
            <w:szCs w:val="20"/>
          </w:rPr>
        </w:r>
        <w:r w:rsidR="004F033E" w:rsidRPr="00C7111E">
          <w:rPr>
            <w:noProof/>
            <w:webHidden/>
            <w:sz w:val="20"/>
            <w:szCs w:val="20"/>
          </w:rPr>
          <w:fldChar w:fldCharType="separate"/>
        </w:r>
        <w:r w:rsidR="004F033E" w:rsidRPr="00C7111E">
          <w:rPr>
            <w:noProof/>
            <w:webHidden/>
            <w:sz w:val="20"/>
            <w:szCs w:val="20"/>
          </w:rPr>
          <w:t>24</w:t>
        </w:r>
        <w:r w:rsidR="004F033E" w:rsidRPr="00C7111E">
          <w:rPr>
            <w:noProof/>
            <w:webHidden/>
            <w:sz w:val="20"/>
            <w:szCs w:val="20"/>
          </w:rPr>
          <w:fldChar w:fldCharType="end"/>
        </w:r>
      </w:hyperlink>
    </w:p>
    <w:p w14:paraId="5C45C9A8" w14:textId="433E7D2A" w:rsidR="004F033E" w:rsidRPr="00C7111E" w:rsidRDefault="00BA03C5">
      <w:pPr>
        <w:pStyle w:val="TOC3"/>
        <w:tabs>
          <w:tab w:val="left" w:pos="1540"/>
        </w:tabs>
        <w:rPr>
          <w:rFonts w:asciiTheme="minorHAnsi" w:eastAsiaTheme="minorEastAsia" w:hAnsiTheme="minorHAnsi" w:cstheme="minorBidi"/>
          <w:b w:val="0"/>
          <w:noProof/>
          <w:color w:val="auto"/>
          <w:sz w:val="20"/>
          <w:szCs w:val="20"/>
          <w:lang w:eastAsia="en-AU"/>
        </w:rPr>
      </w:pPr>
      <w:hyperlink w:anchor="_Toc143009512" w:history="1">
        <w:r w:rsidR="004F033E" w:rsidRPr="00C7111E">
          <w:rPr>
            <w:rStyle w:val="Hyperlink"/>
            <w:noProof/>
            <w:sz w:val="20"/>
            <w:szCs w:val="20"/>
          </w:rPr>
          <w:t>6.4</w:t>
        </w:r>
        <w:r w:rsidR="004F033E" w:rsidRPr="00C7111E">
          <w:rPr>
            <w:rFonts w:asciiTheme="minorHAnsi" w:eastAsiaTheme="minorEastAsia" w:hAnsiTheme="minorHAnsi" w:cstheme="minorBidi"/>
            <w:b w:val="0"/>
            <w:noProof/>
            <w:color w:val="auto"/>
            <w:sz w:val="20"/>
            <w:szCs w:val="20"/>
            <w:lang w:eastAsia="en-AU"/>
          </w:rPr>
          <w:tab/>
        </w:r>
        <w:r w:rsidR="004F033E" w:rsidRPr="00C7111E">
          <w:rPr>
            <w:rStyle w:val="Hyperlink"/>
            <w:noProof/>
            <w:sz w:val="20"/>
            <w:szCs w:val="20"/>
          </w:rPr>
          <w:t>Imlifidase</w:t>
        </w:r>
        <w:r w:rsidR="004F033E" w:rsidRPr="00C7111E">
          <w:rPr>
            <w:noProof/>
            <w:webHidden/>
            <w:sz w:val="20"/>
            <w:szCs w:val="20"/>
          </w:rPr>
          <w:tab/>
        </w:r>
        <w:r w:rsidR="004F033E" w:rsidRPr="00C7111E">
          <w:rPr>
            <w:noProof/>
            <w:webHidden/>
            <w:sz w:val="20"/>
            <w:szCs w:val="20"/>
          </w:rPr>
          <w:fldChar w:fldCharType="begin"/>
        </w:r>
        <w:r w:rsidR="004F033E" w:rsidRPr="00C7111E">
          <w:rPr>
            <w:noProof/>
            <w:webHidden/>
            <w:sz w:val="20"/>
            <w:szCs w:val="20"/>
          </w:rPr>
          <w:instrText xml:space="preserve"> PAGEREF _Toc143009512 \h </w:instrText>
        </w:r>
        <w:r w:rsidR="004F033E" w:rsidRPr="00C7111E">
          <w:rPr>
            <w:noProof/>
            <w:webHidden/>
            <w:sz w:val="20"/>
            <w:szCs w:val="20"/>
          </w:rPr>
        </w:r>
        <w:r w:rsidR="004F033E" w:rsidRPr="00C7111E">
          <w:rPr>
            <w:noProof/>
            <w:webHidden/>
            <w:sz w:val="20"/>
            <w:szCs w:val="20"/>
          </w:rPr>
          <w:fldChar w:fldCharType="separate"/>
        </w:r>
        <w:r w:rsidR="004F033E" w:rsidRPr="00C7111E">
          <w:rPr>
            <w:noProof/>
            <w:webHidden/>
            <w:sz w:val="20"/>
            <w:szCs w:val="20"/>
          </w:rPr>
          <w:t>24</w:t>
        </w:r>
        <w:r w:rsidR="004F033E" w:rsidRPr="00C7111E">
          <w:rPr>
            <w:noProof/>
            <w:webHidden/>
            <w:sz w:val="20"/>
            <w:szCs w:val="20"/>
          </w:rPr>
          <w:fldChar w:fldCharType="end"/>
        </w:r>
      </w:hyperlink>
    </w:p>
    <w:p w14:paraId="7C5619F4" w14:textId="0F185C1F" w:rsidR="004F033E" w:rsidRPr="00C7111E" w:rsidRDefault="00BA03C5">
      <w:pPr>
        <w:pStyle w:val="TOC3"/>
        <w:tabs>
          <w:tab w:val="left" w:pos="1540"/>
        </w:tabs>
        <w:rPr>
          <w:rFonts w:asciiTheme="minorHAnsi" w:eastAsiaTheme="minorEastAsia" w:hAnsiTheme="minorHAnsi" w:cstheme="minorBidi"/>
          <w:b w:val="0"/>
          <w:noProof/>
          <w:color w:val="auto"/>
          <w:sz w:val="20"/>
          <w:szCs w:val="20"/>
          <w:lang w:eastAsia="en-AU"/>
        </w:rPr>
      </w:pPr>
      <w:hyperlink w:anchor="_Toc143009513" w:history="1">
        <w:r w:rsidR="004F033E" w:rsidRPr="00C7111E">
          <w:rPr>
            <w:rStyle w:val="Hyperlink"/>
            <w:noProof/>
            <w:sz w:val="20"/>
            <w:szCs w:val="20"/>
          </w:rPr>
          <w:t>6.5</w:t>
        </w:r>
        <w:r w:rsidR="004F033E" w:rsidRPr="00C7111E">
          <w:rPr>
            <w:rFonts w:asciiTheme="minorHAnsi" w:eastAsiaTheme="minorEastAsia" w:hAnsiTheme="minorHAnsi" w:cstheme="minorBidi"/>
            <w:b w:val="0"/>
            <w:noProof/>
            <w:color w:val="auto"/>
            <w:sz w:val="20"/>
            <w:szCs w:val="20"/>
            <w:lang w:eastAsia="en-AU"/>
          </w:rPr>
          <w:tab/>
        </w:r>
        <w:r w:rsidR="004F033E" w:rsidRPr="00C7111E">
          <w:rPr>
            <w:rStyle w:val="Hyperlink"/>
            <w:noProof/>
            <w:sz w:val="20"/>
            <w:szCs w:val="20"/>
          </w:rPr>
          <w:t>Mirikizumab</w:t>
        </w:r>
        <w:r w:rsidR="004F033E" w:rsidRPr="00C7111E">
          <w:rPr>
            <w:noProof/>
            <w:webHidden/>
            <w:sz w:val="20"/>
            <w:szCs w:val="20"/>
          </w:rPr>
          <w:tab/>
        </w:r>
        <w:r w:rsidR="004F033E" w:rsidRPr="00C7111E">
          <w:rPr>
            <w:noProof/>
            <w:webHidden/>
            <w:sz w:val="20"/>
            <w:szCs w:val="20"/>
          </w:rPr>
          <w:fldChar w:fldCharType="begin"/>
        </w:r>
        <w:r w:rsidR="004F033E" w:rsidRPr="00C7111E">
          <w:rPr>
            <w:noProof/>
            <w:webHidden/>
            <w:sz w:val="20"/>
            <w:szCs w:val="20"/>
          </w:rPr>
          <w:instrText xml:space="preserve"> PAGEREF _Toc143009513 \h </w:instrText>
        </w:r>
        <w:r w:rsidR="004F033E" w:rsidRPr="00C7111E">
          <w:rPr>
            <w:noProof/>
            <w:webHidden/>
            <w:sz w:val="20"/>
            <w:szCs w:val="20"/>
          </w:rPr>
        </w:r>
        <w:r w:rsidR="004F033E" w:rsidRPr="00C7111E">
          <w:rPr>
            <w:noProof/>
            <w:webHidden/>
            <w:sz w:val="20"/>
            <w:szCs w:val="20"/>
          </w:rPr>
          <w:fldChar w:fldCharType="separate"/>
        </w:r>
        <w:r w:rsidR="004F033E" w:rsidRPr="00C7111E">
          <w:rPr>
            <w:noProof/>
            <w:webHidden/>
            <w:sz w:val="20"/>
            <w:szCs w:val="20"/>
          </w:rPr>
          <w:t>24</w:t>
        </w:r>
        <w:r w:rsidR="004F033E" w:rsidRPr="00C7111E">
          <w:rPr>
            <w:noProof/>
            <w:webHidden/>
            <w:sz w:val="20"/>
            <w:szCs w:val="20"/>
          </w:rPr>
          <w:fldChar w:fldCharType="end"/>
        </w:r>
      </w:hyperlink>
    </w:p>
    <w:p w14:paraId="0E2EA360" w14:textId="142B7872" w:rsidR="004F033E" w:rsidRPr="00C7111E" w:rsidRDefault="00BA03C5">
      <w:pPr>
        <w:pStyle w:val="TOC3"/>
        <w:tabs>
          <w:tab w:val="left" w:pos="1540"/>
        </w:tabs>
        <w:rPr>
          <w:rFonts w:asciiTheme="minorHAnsi" w:eastAsiaTheme="minorEastAsia" w:hAnsiTheme="minorHAnsi" w:cstheme="minorBidi"/>
          <w:b w:val="0"/>
          <w:noProof/>
          <w:color w:val="auto"/>
          <w:sz w:val="20"/>
          <w:szCs w:val="20"/>
          <w:lang w:eastAsia="en-AU"/>
        </w:rPr>
      </w:pPr>
      <w:hyperlink w:anchor="_Toc143009514" w:history="1">
        <w:r w:rsidR="004F033E" w:rsidRPr="00C7111E">
          <w:rPr>
            <w:rStyle w:val="Hyperlink"/>
            <w:noProof/>
            <w:sz w:val="20"/>
            <w:szCs w:val="20"/>
          </w:rPr>
          <w:t>6.6</w:t>
        </w:r>
        <w:r w:rsidR="004F033E" w:rsidRPr="00C7111E">
          <w:rPr>
            <w:rFonts w:asciiTheme="minorHAnsi" w:eastAsiaTheme="minorEastAsia" w:hAnsiTheme="minorHAnsi" w:cstheme="minorBidi"/>
            <w:b w:val="0"/>
            <w:noProof/>
            <w:color w:val="auto"/>
            <w:sz w:val="20"/>
            <w:szCs w:val="20"/>
            <w:lang w:eastAsia="en-AU"/>
          </w:rPr>
          <w:tab/>
        </w:r>
        <w:r w:rsidR="004F033E" w:rsidRPr="00C7111E">
          <w:rPr>
            <w:rStyle w:val="Hyperlink"/>
            <w:noProof/>
            <w:sz w:val="20"/>
            <w:szCs w:val="20"/>
          </w:rPr>
          <w:t>Olipudase alfa</w:t>
        </w:r>
        <w:r w:rsidR="004F033E" w:rsidRPr="00C7111E">
          <w:rPr>
            <w:noProof/>
            <w:webHidden/>
            <w:sz w:val="20"/>
            <w:szCs w:val="20"/>
          </w:rPr>
          <w:tab/>
        </w:r>
        <w:r w:rsidR="004F033E" w:rsidRPr="00C7111E">
          <w:rPr>
            <w:noProof/>
            <w:webHidden/>
            <w:sz w:val="20"/>
            <w:szCs w:val="20"/>
          </w:rPr>
          <w:fldChar w:fldCharType="begin"/>
        </w:r>
        <w:r w:rsidR="004F033E" w:rsidRPr="00C7111E">
          <w:rPr>
            <w:noProof/>
            <w:webHidden/>
            <w:sz w:val="20"/>
            <w:szCs w:val="20"/>
          </w:rPr>
          <w:instrText xml:space="preserve"> PAGEREF _Toc143009514 \h </w:instrText>
        </w:r>
        <w:r w:rsidR="004F033E" w:rsidRPr="00C7111E">
          <w:rPr>
            <w:noProof/>
            <w:webHidden/>
            <w:sz w:val="20"/>
            <w:szCs w:val="20"/>
          </w:rPr>
        </w:r>
        <w:r w:rsidR="004F033E" w:rsidRPr="00C7111E">
          <w:rPr>
            <w:noProof/>
            <w:webHidden/>
            <w:sz w:val="20"/>
            <w:szCs w:val="20"/>
          </w:rPr>
          <w:fldChar w:fldCharType="separate"/>
        </w:r>
        <w:r w:rsidR="004F033E" w:rsidRPr="00C7111E">
          <w:rPr>
            <w:noProof/>
            <w:webHidden/>
            <w:sz w:val="20"/>
            <w:szCs w:val="20"/>
          </w:rPr>
          <w:t>25</w:t>
        </w:r>
        <w:r w:rsidR="004F033E" w:rsidRPr="00C7111E">
          <w:rPr>
            <w:noProof/>
            <w:webHidden/>
            <w:sz w:val="20"/>
            <w:szCs w:val="20"/>
          </w:rPr>
          <w:fldChar w:fldCharType="end"/>
        </w:r>
      </w:hyperlink>
    </w:p>
    <w:p w14:paraId="2E3E458F" w14:textId="05EB759C" w:rsidR="004F033E" w:rsidRPr="00C7111E" w:rsidRDefault="00BA03C5">
      <w:pPr>
        <w:pStyle w:val="TOC3"/>
        <w:tabs>
          <w:tab w:val="left" w:pos="1540"/>
        </w:tabs>
        <w:rPr>
          <w:rFonts w:asciiTheme="minorHAnsi" w:eastAsiaTheme="minorEastAsia" w:hAnsiTheme="minorHAnsi" w:cstheme="minorBidi"/>
          <w:b w:val="0"/>
          <w:noProof/>
          <w:color w:val="auto"/>
          <w:sz w:val="20"/>
          <w:szCs w:val="20"/>
          <w:lang w:eastAsia="en-AU"/>
        </w:rPr>
      </w:pPr>
      <w:hyperlink w:anchor="_Toc143009515" w:history="1">
        <w:r w:rsidR="004F033E" w:rsidRPr="00C7111E">
          <w:rPr>
            <w:rStyle w:val="Hyperlink"/>
            <w:noProof/>
            <w:sz w:val="20"/>
            <w:szCs w:val="20"/>
          </w:rPr>
          <w:t>6.7</w:t>
        </w:r>
        <w:r w:rsidR="004F033E" w:rsidRPr="00C7111E">
          <w:rPr>
            <w:rFonts w:asciiTheme="minorHAnsi" w:eastAsiaTheme="minorEastAsia" w:hAnsiTheme="minorHAnsi" w:cstheme="minorBidi"/>
            <w:b w:val="0"/>
            <w:noProof/>
            <w:color w:val="auto"/>
            <w:sz w:val="20"/>
            <w:szCs w:val="20"/>
            <w:lang w:eastAsia="en-AU"/>
          </w:rPr>
          <w:tab/>
        </w:r>
        <w:r w:rsidR="004F033E" w:rsidRPr="00C7111E">
          <w:rPr>
            <w:rStyle w:val="Hyperlink"/>
            <w:noProof/>
            <w:sz w:val="20"/>
            <w:szCs w:val="20"/>
          </w:rPr>
          <w:t>Rimegepant</w:t>
        </w:r>
        <w:r w:rsidR="004F033E" w:rsidRPr="00C7111E">
          <w:rPr>
            <w:noProof/>
            <w:webHidden/>
            <w:sz w:val="20"/>
            <w:szCs w:val="20"/>
          </w:rPr>
          <w:tab/>
        </w:r>
        <w:r w:rsidR="004F033E" w:rsidRPr="00C7111E">
          <w:rPr>
            <w:noProof/>
            <w:webHidden/>
            <w:sz w:val="20"/>
            <w:szCs w:val="20"/>
          </w:rPr>
          <w:fldChar w:fldCharType="begin"/>
        </w:r>
        <w:r w:rsidR="004F033E" w:rsidRPr="00C7111E">
          <w:rPr>
            <w:noProof/>
            <w:webHidden/>
            <w:sz w:val="20"/>
            <w:szCs w:val="20"/>
          </w:rPr>
          <w:instrText xml:space="preserve"> PAGEREF _Toc143009515 \h </w:instrText>
        </w:r>
        <w:r w:rsidR="004F033E" w:rsidRPr="00C7111E">
          <w:rPr>
            <w:noProof/>
            <w:webHidden/>
            <w:sz w:val="20"/>
            <w:szCs w:val="20"/>
          </w:rPr>
        </w:r>
        <w:r w:rsidR="004F033E" w:rsidRPr="00C7111E">
          <w:rPr>
            <w:noProof/>
            <w:webHidden/>
            <w:sz w:val="20"/>
            <w:szCs w:val="20"/>
          </w:rPr>
          <w:fldChar w:fldCharType="separate"/>
        </w:r>
        <w:r w:rsidR="004F033E" w:rsidRPr="00C7111E">
          <w:rPr>
            <w:noProof/>
            <w:webHidden/>
            <w:sz w:val="20"/>
            <w:szCs w:val="20"/>
          </w:rPr>
          <w:t>25</w:t>
        </w:r>
        <w:r w:rsidR="004F033E" w:rsidRPr="00C7111E">
          <w:rPr>
            <w:noProof/>
            <w:webHidden/>
            <w:sz w:val="20"/>
            <w:szCs w:val="20"/>
          </w:rPr>
          <w:fldChar w:fldCharType="end"/>
        </w:r>
      </w:hyperlink>
    </w:p>
    <w:p w14:paraId="25FF54D2" w14:textId="0692C728" w:rsidR="004F033E" w:rsidRPr="00C7111E" w:rsidRDefault="00BA03C5">
      <w:pPr>
        <w:pStyle w:val="TOC3"/>
        <w:tabs>
          <w:tab w:val="left" w:pos="1540"/>
        </w:tabs>
        <w:rPr>
          <w:rFonts w:asciiTheme="minorHAnsi" w:eastAsiaTheme="minorEastAsia" w:hAnsiTheme="minorHAnsi" w:cstheme="minorBidi"/>
          <w:b w:val="0"/>
          <w:noProof/>
          <w:color w:val="auto"/>
          <w:sz w:val="20"/>
          <w:szCs w:val="20"/>
          <w:lang w:eastAsia="en-AU"/>
        </w:rPr>
      </w:pPr>
      <w:hyperlink w:anchor="_Toc143009516" w:history="1">
        <w:r w:rsidR="004F033E" w:rsidRPr="00C7111E">
          <w:rPr>
            <w:rStyle w:val="Hyperlink"/>
            <w:noProof/>
            <w:sz w:val="20"/>
            <w:szCs w:val="20"/>
          </w:rPr>
          <w:t>6.8</w:t>
        </w:r>
        <w:r w:rsidR="004F033E" w:rsidRPr="00C7111E">
          <w:rPr>
            <w:rFonts w:asciiTheme="minorHAnsi" w:eastAsiaTheme="minorEastAsia" w:hAnsiTheme="minorHAnsi" w:cstheme="minorBidi"/>
            <w:b w:val="0"/>
            <w:noProof/>
            <w:color w:val="auto"/>
            <w:sz w:val="20"/>
            <w:szCs w:val="20"/>
            <w:lang w:eastAsia="en-AU"/>
          </w:rPr>
          <w:tab/>
        </w:r>
        <w:r w:rsidR="004F033E" w:rsidRPr="00C7111E">
          <w:rPr>
            <w:rStyle w:val="Hyperlink"/>
            <w:noProof/>
            <w:sz w:val="20"/>
            <w:szCs w:val="20"/>
          </w:rPr>
          <w:t>Selpercatinib</w:t>
        </w:r>
        <w:r w:rsidR="004F033E" w:rsidRPr="00C7111E">
          <w:rPr>
            <w:noProof/>
            <w:webHidden/>
            <w:sz w:val="20"/>
            <w:szCs w:val="20"/>
          </w:rPr>
          <w:tab/>
        </w:r>
        <w:r w:rsidR="004F033E" w:rsidRPr="00C7111E">
          <w:rPr>
            <w:noProof/>
            <w:webHidden/>
            <w:sz w:val="20"/>
            <w:szCs w:val="20"/>
          </w:rPr>
          <w:fldChar w:fldCharType="begin"/>
        </w:r>
        <w:r w:rsidR="004F033E" w:rsidRPr="00C7111E">
          <w:rPr>
            <w:noProof/>
            <w:webHidden/>
            <w:sz w:val="20"/>
            <w:szCs w:val="20"/>
          </w:rPr>
          <w:instrText xml:space="preserve"> PAGEREF _Toc143009516 \h </w:instrText>
        </w:r>
        <w:r w:rsidR="004F033E" w:rsidRPr="00C7111E">
          <w:rPr>
            <w:noProof/>
            <w:webHidden/>
            <w:sz w:val="20"/>
            <w:szCs w:val="20"/>
          </w:rPr>
        </w:r>
        <w:r w:rsidR="004F033E" w:rsidRPr="00C7111E">
          <w:rPr>
            <w:noProof/>
            <w:webHidden/>
            <w:sz w:val="20"/>
            <w:szCs w:val="20"/>
          </w:rPr>
          <w:fldChar w:fldCharType="separate"/>
        </w:r>
        <w:r w:rsidR="004F033E" w:rsidRPr="00C7111E">
          <w:rPr>
            <w:noProof/>
            <w:webHidden/>
            <w:sz w:val="20"/>
            <w:szCs w:val="20"/>
          </w:rPr>
          <w:t>25</w:t>
        </w:r>
        <w:r w:rsidR="004F033E" w:rsidRPr="00C7111E">
          <w:rPr>
            <w:noProof/>
            <w:webHidden/>
            <w:sz w:val="20"/>
            <w:szCs w:val="20"/>
          </w:rPr>
          <w:fldChar w:fldCharType="end"/>
        </w:r>
      </w:hyperlink>
    </w:p>
    <w:p w14:paraId="4F65B5E9" w14:textId="1052AAD7" w:rsidR="004F033E" w:rsidRPr="00C7111E" w:rsidRDefault="00BA03C5">
      <w:pPr>
        <w:pStyle w:val="TOC3"/>
        <w:tabs>
          <w:tab w:val="left" w:pos="1540"/>
        </w:tabs>
        <w:rPr>
          <w:rFonts w:asciiTheme="minorHAnsi" w:eastAsiaTheme="minorEastAsia" w:hAnsiTheme="minorHAnsi" w:cstheme="minorBidi"/>
          <w:b w:val="0"/>
          <w:noProof/>
          <w:color w:val="auto"/>
          <w:sz w:val="20"/>
          <w:szCs w:val="20"/>
          <w:lang w:eastAsia="en-AU"/>
        </w:rPr>
      </w:pPr>
      <w:hyperlink w:anchor="_Toc143009517" w:history="1">
        <w:r w:rsidR="004F033E" w:rsidRPr="00C7111E">
          <w:rPr>
            <w:rStyle w:val="Hyperlink"/>
            <w:noProof/>
            <w:sz w:val="20"/>
            <w:szCs w:val="20"/>
          </w:rPr>
          <w:t>6.9</w:t>
        </w:r>
        <w:r w:rsidR="004F033E" w:rsidRPr="00C7111E">
          <w:rPr>
            <w:rFonts w:asciiTheme="minorHAnsi" w:eastAsiaTheme="minorEastAsia" w:hAnsiTheme="minorHAnsi" w:cstheme="minorBidi"/>
            <w:b w:val="0"/>
            <w:noProof/>
            <w:color w:val="auto"/>
            <w:sz w:val="20"/>
            <w:szCs w:val="20"/>
            <w:lang w:eastAsia="en-AU"/>
          </w:rPr>
          <w:tab/>
        </w:r>
        <w:r w:rsidR="004F033E" w:rsidRPr="00C7111E">
          <w:rPr>
            <w:rStyle w:val="Hyperlink"/>
            <w:noProof/>
            <w:sz w:val="20"/>
            <w:szCs w:val="20"/>
          </w:rPr>
          <w:t>Spesolimab</w:t>
        </w:r>
        <w:r w:rsidR="004F033E" w:rsidRPr="00C7111E">
          <w:rPr>
            <w:noProof/>
            <w:webHidden/>
            <w:sz w:val="20"/>
            <w:szCs w:val="20"/>
          </w:rPr>
          <w:tab/>
        </w:r>
        <w:r w:rsidR="004F033E" w:rsidRPr="00C7111E">
          <w:rPr>
            <w:noProof/>
            <w:webHidden/>
            <w:sz w:val="20"/>
            <w:szCs w:val="20"/>
          </w:rPr>
          <w:fldChar w:fldCharType="begin"/>
        </w:r>
        <w:r w:rsidR="004F033E" w:rsidRPr="00C7111E">
          <w:rPr>
            <w:noProof/>
            <w:webHidden/>
            <w:sz w:val="20"/>
            <w:szCs w:val="20"/>
          </w:rPr>
          <w:instrText xml:space="preserve"> PAGEREF _Toc143009517 \h </w:instrText>
        </w:r>
        <w:r w:rsidR="004F033E" w:rsidRPr="00C7111E">
          <w:rPr>
            <w:noProof/>
            <w:webHidden/>
            <w:sz w:val="20"/>
            <w:szCs w:val="20"/>
          </w:rPr>
        </w:r>
        <w:r w:rsidR="004F033E" w:rsidRPr="00C7111E">
          <w:rPr>
            <w:noProof/>
            <w:webHidden/>
            <w:sz w:val="20"/>
            <w:szCs w:val="20"/>
          </w:rPr>
          <w:fldChar w:fldCharType="separate"/>
        </w:r>
        <w:r w:rsidR="004F033E" w:rsidRPr="00C7111E">
          <w:rPr>
            <w:noProof/>
            <w:webHidden/>
            <w:sz w:val="20"/>
            <w:szCs w:val="20"/>
          </w:rPr>
          <w:t>25</w:t>
        </w:r>
        <w:r w:rsidR="004F033E" w:rsidRPr="00C7111E">
          <w:rPr>
            <w:noProof/>
            <w:webHidden/>
            <w:sz w:val="20"/>
            <w:szCs w:val="20"/>
          </w:rPr>
          <w:fldChar w:fldCharType="end"/>
        </w:r>
      </w:hyperlink>
    </w:p>
    <w:p w14:paraId="0C007946" w14:textId="2711421F" w:rsidR="004F033E" w:rsidRPr="00C7111E" w:rsidRDefault="00BA03C5">
      <w:pPr>
        <w:pStyle w:val="TOC3"/>
        <w:tabs>
          <w:tab w:val="left" w:pos="1540"/>
        </w:tabs>
        <w:rPr>
          <w:rFonts w:asciiTheme="minorHAnsi" w:eastAsiaTheme="minorEastAsia" w:hAnsiTheme="minorHAnsi" w:cstheme="minorBidi"/>
          <w:b w:val="0"/>
          <w:noProof/>
          <w:color w:val="auto"/>
          <w:sz w:val="20"/>
          <w:szCs w:val="20"/>
          <w:lang w:eastAsia="en-AU"/>
        </w:rPr>
      </w:pPr>
      <w:hyperlink w:anchor="_Toc143009518" w:history="1">
        <w:r w:rsidR="004F033E" w:rsidRPr="00C7111E">
          <w:rPr>
            <w:rStyle w:val="Hyperlink"/>
            <w:noProof/>
            <w:sz w:val="20"/>
            <w:szCs w:val="20"/>
          </w:rPr>
          <w:t>6.10</w:t>
        </w:r>
        <w:r w:rsidR="004F033E" w:rsidRPr="00C7111E">
          <w:rPr>
            <w:rFonts w:asciiTheme="minorHAnsi" w:eastAsiaTheme="minorEastAsia" w:hAnsiTheme="minorHAnsi" w:cstheme="minorBidi"/>
            <w:b w:val="0"/>
            <w:noProof/>
            <w:color w:val="auto"/>
            <w:sz w:val="20"/>
            <w:szCs w:val="20"/>
            <w:lang w:eastAsia="en-AU"/>
          </w:rPr>
          <w:tab/>
        </w:r>
        <w:r w:rsidR="004F033E" w:rsidRPr="00C7111E">
          <w:rPr>
            <w:rStyle w:val="Hyperlink"/>
            <w:noProof/>
            <w:sz w:val="20"/>
            <w:szCs w:val="20"/>
          </w:rPr>
          <w:t>Tafasitamab</w:t>
        </w:r>
        <w:r w:rsidR="004F033E" w:rsidRPr="00C7111E">
          <w:rPr>
            <w:noProof/>
            <w:webHidden/>
            <w:sz w:val="20"/>
            <w:szCs w:val="20"/>
          </w:rPr>
          <w:tab/>
        </w:r>
        <w:r w:rsidR="004F033E" w:rsidRPr="00C7111E">
          <w:rPr>
            <w:noProof/>
            <w:webHidden/>
            <w:sz w:val="20"/>
            <w:szCs w:val="20"/>
          </w:rPr>
          <w:fldChar w:fldCharType="begin"/>
        </w:r>
        <w:r w:rsidR="004F033E" w:rsidRPr="00C7111E">
          <w:rPr>
            <w:noProof/>
            <w:webHidden/>
            <w:sz w:val="20"/>
            <w:szCs w:val="20"/>
          </w:rPr>
          <w:instrText xml:space="preserve"> PAGEREF _Toc143009518 \h </w:instrText>
        </w:r>
        <w:r w:rsidR="004F033E" w:rsidRPr="00C7111E">
          <w:rPr>
            <w:noProof/>
            <w:webHidden/>
            <w:sz w:val="20"/>
            <w:szCs w:val="20"/>
          </w:rPr>
        </w:r>
        <w:r w:rsidR="004F033E" w:rsidRPr="00C7111E">
          <w:rPr>
            <w:noProof/>
            <w:webHidden/>
            <w:sz w:val="20"/>
            <w:szCs w:val="20"/>
          </w:rPr>
          <w:fldChar w:fldCharType="separate"/>
        </w:r>
        <w:r w:rsidR="004F033E" w:rsidRPr="00C7111E">
          <w:rPr>
            <w:noProof/>
            <w:webHidden/>
            <w:sz w:val="20"/>
            <w:szCs w:val="20"/>
          </w:rPr>
          <w:t>25</w:t>
        </w:r>
        <w:r w:rsidR="004F033E" w:rsidRPr="00C7111E">
          <w:rPr>
            <w:noProof/>
            <w:webHidden/>
            <w:sz w:val="20"/>
            <w:szCs w:val="20"/>
          </w:rPr>
          <w:fldChar w:fldCharType="end"/>
        </w:r>
      </w:hyperlink>
    </w:p>
    <w:p w14:paraId="09392CCD" w14:textId="6571F372" w:rsidR="004F033E" w:rsidRPr="00C7111E" w:rsidRDefault="00BA03C5">
      <w:pPr>
        <w:pStyle w:val="TOC3"/>
        <w:tabs>
          <w:tab w:val="left" w:pos="1540"/>
        </w:tabs>
        <w:rPr>
          <w:rFonts w:asciiTheme="minorHAnsi" w:eastAsiaTheme="minorEastAsia" w:hAnsiTheme="minorHAnsi" w:cstheme="minorBidi"/>
          <w:b w:val="0"/>
          <w:noProof/>
          <w:color w:val="auto"/>
          <w:sz w:val="20"/>
          <w:szCs w:val="20"/>
          <w:lang w:eastAsia="en-AU"/>
        </w:rPr>
      </w:pPr>
      <w:hyperlink w:anchor="_Toc143009519" w:history="1">
        <w:r w:rsidR="004F033E" w:rsidRPr="00C7111E">
          <w:rPr>
            <w:rStyle w:val="Hyperlink"/>
            <w:noProof/>
            <w:sz w:val="20"/>
            <w:szCs w:val="20"/>
          </w:rPr>
          <w:t>6.11</w:t>
        </w:r>
        <w:r w:rsidR="004F033E" w:rsidRPr="00C7111E">
          <w:rPr>
            <w:rFonts w:asciiTheme="minorHAnsi" w:eastAsiaTheme="minorEastAsia" w:hAnsiTheme="minorHAnsi" w:cstheme="minorBidi"/>
            <w:b w:val="0"/>
            <w:noProof/>
            <w:color w:val="auto"/>
            <w:sz w:val="20"/>
            <w:szCs w:val="20"/>
            <w:lang w:eastAsia="en-AU"/>
          </w:rPr>
          <w:tab/>
        </w:r>
        <w:r w:rsidR="004F033E" w:rsidRPr="00C7111E">
          <w:rPr>
            <w:rStyle w:val="Hyperlink"/>
            <w:noProof/>
            <w:sz w:val="20"/>
            <w:szCs w:val="20"/>
          </w:rPr>
          <w:t>Tagraxofusp</w:t>
        </w:r>
        <w:r w:rsidR="004F033E" w:rsidRPr="00C7111E">
          <w:rPr>
            <w:noProof/>
            <w:webHidden/>
            <w:sz w:val="20"/>
            <w:szCs w:val="20"/>
          </w:rPr>
          <w:tab/>
        </w:r>
        <w:r w:rsidR="004F033E" w:rsidRPr="00C7111E">
          <w:rPr>
            <w:noProof/>
            <w:webHidden/>
            <w:sz w:val="20"/>
            <w:szCs w:val="20"/>
          </w:rPr>
          <w:fldChar w:fldCharType="begin"/>
        </w:r>
        <w:r w:rsidR="004F033E" w:rsidRPr="00C7111E">
          <w:rPr>
            <w:noProof/>
            <w:webHidden/>
            <w:sz w:val="20"/>
            <w:szCs w:val="20"/>
          </w:rPr>
          <w:instrText xml:space="preserve"> PAGEREF _Toc143009519 \h </w:instrText>
        </w:r>
        <w:r w:rsidR="004F033E" w:rsidRPr="00C7111E">
          <w:rPr>
            <w:noProof/>
            <w:webHidden/>
            <w:sz w:val="20"/>
            <w:szCs w:val="20"/>
          </w:rPr>
        </w:r>
        <w:r w:rsidR="004F033E" w:rsidRPr="00C7111E">
          <w:rPr>
            <w:noProof/>
            <w:webHidden/>
            <w:sz w:val="20"/>
            <w:szCs w:val="20"/>
          </w:rPr>
          <w:fldChar w:fldCharType="separate"/>
        </w:r>
        <w:r w:rsidR="004F033E" w:rsidRPr="00C7111E">
          <w:rPr>
            <w:noProof/>
            <w:webHidden/>
            <w:sz w:val="20"/>
            <w:szCs w:val="20"/>
          </w:rPr>
          <w:t>26</w:t>
        </w:r>
        <w:r w:rsidR="004F033E" w:rsidRPr="00C7111E">
          <w:rPr>
            <w:noProof/>
            <w:webHidden/>
            <w:sz w:val="20"/>
            <w:szCs w:val="20"/>
          </w:rPr>
          <w:fldChar w:fldCharType="end"/>
        </w:r>
      </w:hyperlink>
    </w:p>
    <w:p w14:paraId="71787B0D" w14:textId="337E3771" w:rsidR="004F033E" w:rsidRPr="00C7111E" w:rsidRDefault="00BA03C5">
      <w:pPr>
        <w:pStyle w:val="TOC3"/>
        <w:tabs>
          <w:tab w:val="left" w:pos="1540"/>
        </w:tabs>
        <w:rPr>
          <w:rFonts w:asciiTheme="minorHAnsi" w:eastAsiaTheme="minorEastAsia" w:hAnsiTheme="minorHAnsi" w:cstheme="minorBidi"/>
          <w:b w:val="0"/>
          <w:noProof/>
          <w:color w:val="auto"/>
          <w:sz w:val="20"/>
          <w:szCs w:val="20"/>
          <w:lang w:eastAsia="en-AU"/>
        </w:rPr>
      </w:pPr>
      <w:hyperlink w:anchor="_Toc143009520" w:history="1">
        <w:r w:rsidR="004F033E" w:rsidRPr="00C7111E">
          <w:rPr>
            <w:rStyle w:val="Hyperlink"/>
            <w:noProof/>
            <w:sz w:val="20"/>
            <w:szCs w:val="20"/>
          </w:rPr>
          <w:t>6.12</w:t>
        </w:r>
        <w:r w:rsidR="004F033E" w:rsidRPr="00C7111E">
          <w:rPr>
            <w:rFonts w:asciiTheme="minorHAnsi" w:eastAsiaTheme="minorEastAsia" w:hAnsiTheme="minorHAnsi" w:cstheme="minorBidi"/>
            <w:b w:val="0"/>
            <w:noProof/>
            <w:color w:val="auto"/>
            <w:sz w:val="20"/>
            <w:szCs w:val="20"/>
            <w:lang w:eastAsia="en-AU"/>
          </w:rPr>
          <w:tab/>
        </w:r>
        <w:r w:rsidR="004F033E" w:rsidRPr="00C7111E">
          <w:rPr>
            <w:rStyle w:val="Hyperlink"/>
            <w:noProof/>
            <w:sz w:val="20"/>
            <w:szCs w:val="20"/>
          </w:rPr>
          <w:t>Teclistamab</w:t>
        </w:r>
        <w:r w:rsidR="004F033E" w:rsidRPr="00C7111E">
          <w:rPr>
            <w:noProof/>
            <w:webHidden/>
            <w:sz w:val="20"/>
            <w:szCs w:val="20"/>
          </w:rPr>
          <w:tab/>
        </w:r>
        <w:r w:rsidR="004F033E" w:rsidRPr="00C7111E">
          <w:rPr>
            <w:noProof/>
            <w:webHidden/>
            <w:sz w:val="20"/>
            <w:szCs w:val="20"/>
          </w:rPr>
          <w:fldChar w:fldCharType="begin"/>
        </w:r>
        <w:r w:rsidR="004F033E" w:rsidRPr="00C7111E">
          <w:rPr>
            <w:noProof/>
            <w:webHidden/>
            <w:sz w:val="20"/>
            <w:szCs w:val="20"/>
          </w:rPr>
          <w:instrText xml:space="preserve"> PAGEREF _Toc143009520 \h </w:instrText>
        </w:r>
        <w:r w:rsidR="004F033E" w:rsidRPr="00C7111E">
          <w:rPr>
            <w:noProof/>
            <w:webHidden/>
            <w:sz w:val="20"/>
            <w:szCs w:val="20"/>
          </w:rPr>
        </w:r>
        <w:r w:rsidR="004F033E" w:rsidRPr="00C7111E">
          <w:rPr>
            <w:noProof/>
            <w:webHidden/>
            <w:sz w:val="20"/>
            <w:szCs w:val="20"/>
          </w:rPr>
          <w:fldChar w:fldCharType="separate"/>
        </w:r>
        <w:r w:rsidR="004F033E" w:rsidRPr="00C7111E">
          <w:rPr>
            <w:noProof/>
            <w:webHidden/>
            <w:sz w:val="20"/>
            <w:szCs w:val="20"/>
          </w:rPr>
          <w:t>26</w:t>
        </w:r>
        <w:r w:rsidR="004F033E" w:rsidRPr="00C7111E">
          <w:rPr>
            <w:noProof/>
            <w:webHidden/>
            <w:sz w:val="20"/>
            <w:szCs w:val="20"/>
          </w:rPr>
          <w:fldChar w:fldCharType="end"/>
        </w:r>
      </w:hyperlink>
    </w:p>
    <w:p w14:paraId="3615A5F9" w14:textId="2B68E8B9" w:rsidR="004F033E" w:rsidRPr="00C7111E" w:rsidRDefault="00BA03C5">
      <w:pPr>
        <w:pStyle w:val="TOC3"/>
        <w:tabs>
          <w:tab w:val="left" w:pos="1540"/>
        </w:tabs>
        <w:rPr>
          <w:rFonts w:asciiTheme="minorHAnsi" w:eastAsiaTheme="minorEastAsia" w:hAnsiTheme="minorHAnsi" w:cstheme="minorBidi"/>
          <w:b w:val="0"/>
          <w:noProof/>
          <w:color w:val="auto"/>
          <w:sz w:val="20"/>
          <w:szCs w:val="20"/>
          <w:lang w:eastAsia="en-AU"/>
        </w:rPr>
      </w:pPr>
      <w:hyperlink w:anchor="_Toc143009521" w:history="1">
        <w:r w:rsidR="004F033E" w:rsidRPr="00C7111E">
          <w:rPr>
            <w:rStyle w:val="Hyperlink"/>
            <w:noProof/>
            <w:sz w:val="20"/>
            <w:szCs w:val="20"/>
          </w:rPr>
          <w:t>6.13</w:t>
        </w:r>
        <w:r w:rsidR="004F033E" w:rsidRPr="00C7111E">
          <w:rPr>
            <w:rFonts w:asciiTheme="minorHAnsi" w:eastAsiaTheme="minorEastAsia" w:hAnsiTheme="minorHAnsi" w:cstheme="minorBidi"/>
            <w:b w:val="0"/>
            <w:noProof/>
            <w:color w:val="auto"/>
            <w:sz w:val="20"/>
            <w:szCs w:val="20"/>
            <w:lang w:eastAsia="en-AU"/>
          </w:rPr>
          <w:tab/>
        </w:r>
        <w:r w:rsidR="004F033E" w:rsidRPr="00C7111E">
          <w:rPr>
            <w:rStyle w:val="Hyperlink"/>
            <w:noProof/>
            <w:sz w:val="20"/>
            <w:szCs w:val="20"/>
          </w:rPr>
          <w:t>Tirbanibulin</w:t>
        </w:r>
        <w:r w:rsidR="004F033E" w:rsidRPr="00C7111E">
          <w:rPr>
            <w:noProof/>
            <w:webHidden/>
            <w:sz w:val="20"/>
            <w:szCs w:val="20"/>
          </w:rPr>
          <w:tab/>
        </w:r>
        <w:r w:rsidR="004F033E" w:rsidRPr="00C7111E">
          <w:rPr>
            <w:noProof/>
            <w:webHidden/>
            <w:sz w:val="20"/>
            <w:szCs w:val="20"/>
          </w:rPr>
          <w:fldChar w:fldCharType="begin"/>
        </w:r>
        <w:r w:rsidR="004F033E" w:rsidRPr="00C7111E">
          <w:rPr>
            <w:noProof/>
            <w:webHidden/>
            <w:sz w:val="20"/>
            <w:szCs w:val="20"/>
          </w:rPr>
          <w:instrText xml:space="preserve"> PAGEREF _Toc143009521 \h </w:instrText>
        </w:r>
        <w:r w:rsidR="004F033E" w:rsidRPr="00C7111E">
          <w:rPr>
            <w:noProof/>
            <w:webHidden/>
            <w:sz w:val="20"/>
            <w:szCs w:val="20"/>
          </w:rPr>
        </w:r>
        <w:r w:rsidR="004F033E" w:rsidRPr="00C7111E">
          <w:rPr>
            <w:noProof/>
            <w:webHidden/>
            <w:sz w:val="20"/>
            <w:szCs w:val="20"/>
          </w:rPr>
          <w:fldChar w:fldCharType="separate"/>
        </w:r>
        <w:r w:rsidR="004F033E" w:rsidRPr="00C7111E">
          <w:rPr>
            <w:noProof/>
            <w:webHidden/>
            <w:sz w:val="20"/>
            <w:szCs w:val="20"/>
          </w:rPr>
          <w:t>26</w:t>
        </w:r>
        <w:r w:rsidR="004F033E" w:rsidRPr="00C7111E">
          <w:rPr>
            <w:noProof/>
            <w:webHidden/>
            <w:sz w:val="20"/>
            <w:szCs w:val="20"/>
          </w:rPr>
          <w:fldChar w:fldCharType="end"/>
        </w:r>
      </w:hyperlink>
    </w:p>
    <w:p w14:paraId="4D0C412B" w14:textId="778D0BDC" w:rsidR="00F02AEC" w:rsidRPr="00215D48" w:rsidRDefault="004F033E" w:rsidP="00967490">
      <w:r w:rsidRPr="00C7111E">
        <w:rPr>
          <w:sz w:val="20"/>
          <w:szCs w:val="20"/>
        </w:rPr>
        <w:fldChar w:fldCharType="end"/>
      </w:r>
      <w:r w:rsidR="00F02AEC" w:rsidRPr="00215D48">
        <w:br w:type="page"/>
      </w:r>
    </w:p>
    <w:p w14:paraId="3A06BE1E" w14:textId="045F9E10" w:rsidR="00457050" w:rsidRPr="00BC2009" w:rsidRDefault="0031371C" w:rsidP="00C7111E">
      <w:pPr>
        <w:pStyle w:val="Heading2"/>
        <w:ind w:left="720" w:hanging="720"/>
      </w:pPr>
      <w:bookmarkStart w:id="3" w:name="_Toc97640261"/>
      <w:bookmarkStart w:id="4" w:name="_Toc143009495"/>
      <w:r>
        <w:lastRenderedPageBreak/>
        <w:t>1</w:t>
      </w:r>
      <w:r>
        <w:tab/>
      </w:r>
      <w:r w:rsidR="00457050" w:rsidRPr="00597B50">
        <w:t>Notice of final decisions to amend (or not amend) the current Poisons Standard</w:t>
      </w:r>
      <w:bookmarkEnd w:id="3"/>
      <w:bookmarkEnd w:id="4"/>
      <w:r w:rsidR="00457050" w:rsidRPr="00597B50">
        <w:t xml:space="preserve"> </w:t>
      </w:r>
    </w:p>
    <w:p w14:paraId="2FB850E1" w14:textId="5C2C90DF" w:rsidR="00457050" w:rsidRPr="008B1EEA" w:rsidRDefault="00457050" w:rsidP="00967490">
      <w:pPr>
        <w:rPr>
          <w:rFonts w:cstheme="minorHAnsi"/>
        </w:rPr>
      </w:pPr>
      <w:r w:rsidRPr="008B1EEA">
        <w:rPr>
          <w:rFonts w:cstheme="minorHAnsi"/>
        </w:rPr>
        <w:t xml:space="preserve">This web publication constitutes a notice for the purposes of regulation 42ZCZS and regulation 42ZCZX of the </w:t>
      </w:r>
      <w:r w:rsidRPr="008B1EEA">
        <w:rPr>
          <w:rFonts w:cstheme="minorHAnsi"/>
          <w:i/>
        </w:rPr>
        <w:t xml:space="preserve">Therapeutic Goods Regulations 1990 </w:t>
      </w:r>
      <w:r w:rsidRPr="008B1EEA">
        <w:rPr>
          <w:rFonts w:cstheme="minorHAnsi"/>
        </w:rPr>
        <w:t xml:space="preserve">(the </w:t>
      </w:r>
      <w:r w:rsidRPr="008B1EEA">
        <w:rPr>
          <w:rFonts w:cstheme="minorHAnsi"/>
          <w:b/>
        </w:rPr>
        <w:t>Regulations</w:t>
      </w:r>
      <w:r w:rsidRPr="008B1EEA">
        <w:rPr>
          <w:rFonts w:cstheme="minorHAnsi"/>
        </w:rPr>
        <w:t>). In accordance with regulations 42ZCZS and 42</w:t>
      </w:r>
      <w:r w:rsidR="000669A3" w:rsidRPr="008B1EEA">
        <w:rPr>
          <w:rFonts w:cstheme="minorHAnsi"/>
        </w:rPr>
        <w:t>Z</w:t>
      </w:r>
      <w:r w:rsidRPr="008B1EEA">
        <w:rPr>
          <w:rFonts w:cstheme="minorHAnsi"/>
        </w:rPr>
        <w:t>CZX, this notice publishes:</w:t>
      </w:r>
    </w:p>
    <w:p w14:paraId="4D038242" w14:textId="33A90FC0" w:rsidR="00457050" w:rsidRPr="008B1EEA" w:rsidRDefault="00457050" w:rsidP="00967490">
      <w:pPr>
        <w:pStyle w:val="ListBullet"/>
        <w:rPr>
          <w:color w:val="auto"/>
        </w:rPr>
      </w:pPr>
      <w:r w:rsidRPr="008B1EEA">
        <w:rPr>
          <w:color w:val="auto"/>
        </w:rPr>
        <w:t>the decisions made by a delegate</w:t>
      </w:r>
      <w:r w:rsidRPr="008B1EEA">
        <w:rPr>
          <w:rStyle w:val="FootnoteReference"/>
          <w:color w:val="auto"/>
        </w:rPr>
        <w:footnoteReference w:id="1"/>
      </w:r>
      <w:r w:rsidRPr="008B1EEA">
        <w:rPr>
          <w:color w:val="auto"/>
        </w:rPr>
        <w:t xml:space="preserve"> of the Secretary of the Department of Health and Aged Care (the </w:t>
      </w:r>
      <w:r w:rsidRPr="008B1EEA">
        <w:rPr>
          <w:b/>
          <w:bCs/>
          <w:color w:val="auto"/>
        </w:rPr>
        <w:t>Delegate</w:t>
      </w:r>
      <w:r w:rsidRPr="008B1EEA">
        <w:rPr>
          <w:color w:val="auto"/>
        </w:rPr>
        <w:t>) pursuant to regulations 42ZCZR</w:t>
      </w:r>
      <w:r w:rsidR="000669A3" w:rsidRPr="008B1EEA">
        <w:rPr>
          <w:color w:val="auto"/>
        </w:rPr>
        <w:t xml:space="preserve"> and </w:t>
      </w:r>
      <w:r w:rsidRPr="008B1EEA">
        <w:rPr>
          <w:color w:val="auto"/>
        </w:rPr>
        <w:t>42ZCZU</w:t>
      </w:r>
    </w:p>
    <w:p w14:paraId="1AA8F280" w14:textId="58851701" w:rsidR="00457050" w:rsidRPr="008B1EEA" w:rsidRDefault="00457050" w:rsidP="00967490">
      <w:pPr>
        <w:pStyle w:val="ListBullet"/>
        <w:rPr>
          <w:color w:val="auto"/>
        </w:rPr>
      </w:pPr>
      <w:r w:rsidRPr="008B1EEA">
        <w:rPr>
          <w:color w:val="auto"/>
        </w:rPr>
        <w:t>the reasons for those final decisions</w:t>
      </w:r>
      <w:r w:rsidR="00B611F9">
        <w:rPr>
          <w:color w:val="auto"/>
        </w:rPr>
        <w:t>,</w:t>
      </w:r>
      <w:r w:rsidRPr="008B1EEA">
        <w:rPr>
          <w:color w:val="auto"/>
        </w:rPr>
        <w:t xml:space="preserve"> and </w:t>
      </w:r>
    </w:p>
    <w:p w14:paraId="5E6BC7C7" w14:textId="23058140" w:rsidR="00457050" w:rsidRPr="008B1EEA" w:rsidRDefault="00457050" w:rsidP="00967490">
      <w:pPr>
        <w:pStyle w:val="ListBullet"/>
        <w:rPr>
          <w:color w:val="auto"/>
        </w:rPr>
      </w:pPr>
      <w:r w:rsidRPr="008B1EEA">
        <w:rPr>
          <w:color w:val="auto"/>
        </w:rPr>
        <w:t>the date of effect of those decisions.</w:t>
      </w:r>
    </w:p>
    <w:p w14:paraId="67DC0EBB" w14:textId="6E41E3CA" w:rsidR="00457050" w:rsidRPr="008B1EEA" w:rsidRDefault="00831B56" w:rsidP="002824FE">
      <w:pPr>
        <w:pStyle w:val="Heading4"/>
        <w:rPr>
          <w:rFonts w:asciiTheme="minorHAnsi" w:hAnsiTheme="minorHAnsi" w:cstheme="minorHAnsi"/>
          <w:color w:val="auto"/>
        </w:rPr>
      </w:pPr>
      <w:r w:rsidRPr="008B1EEA">
        <w:rPr>
          <w:rFonts w:asciiTheme="minorHAnsi" w:hAnsiTheme="minorHAnsi" w:cstheme="minorHAnsi"/>
          <w:color w:val="auto"/>
        </w:rPr>
        <w:t>Defined terms</w:t>
      </w:r>
    </w:p>
    <w:p w14:paraId="3518FC9A" w14:textId="39B18FB7" w:rsidR="00831B56" w:rsidRPr="008B1EEA" w:rsidRDefault="00831B56" w:rsidP="00831B56">
      <w:pPr>
        <w:pStyle w:val="ListBullet"/>
        <w:numPr>
          <w:ilvl w:val="0"/>
          <w:numId w:val="0"/>
        </w:numPr>
        <w:rPr>
          <w:color w:val="auto"/>
        </w:rPr>
      </w:pPr>
      <w:r w:rsidRPr="008B1EEA">
        <w:rPr>
          <w:color w:val="auto"/>
        </w:rPr>
        <w:t>In this notice the following defined terms are used in addition to those above:</w:t>
      </w:r>
    </w:p>
    <w:p w14:paraId="6BE33439" w14:textId="04D064DD" w:rsidR="00831B56" w:rsidRPr="008B1EEA" w:rsidRDefault="00831B56" w:rsidP="00831B56">
      <w:pPr>
        <w:pStyle w:val="ListBullet"/>
        <w:rPr>
          <w:color w:val="auto"/>
        </w:rPr>
      </w:pPr>
      <w:r w:rsidRPr="008B1EEA">
        <w:rPr>
          <w:color w:val="auto"/>
        </w:rPr>
        <w:t xml:space="preserve">the </w:t>
      </w:r>
      <w:r w:rsidRPr="008B1EEA">
        <w:rPr>
          <w:i/>
          <w:iCs/>
          <w:color w:val="auto"/>
        </w:rPr>
        <w:t>Therapeutic Goods Act 1989</w:t>
      </w:r>
      <w:r w:rsidRPr="008B1EEA">
        <w:rPr>
          <w:color w:val="auto"/>
        </w:rPr>
        <w:t xml:space="preserve"> (</w:t>
      </w:r>
      <w:proofErr w:type="spellStart"/>
      <w:r w:rsidRPr="008B1EEA">
        <w:rPr>
          <w:color w:val="auto"/>
        </w:rPr>
        <w:t>Cth</w:t>
      </w:r>
      <w:proofErr w:type="spellEnd"/>
      <w:r w:rsidRPr="008B1EEA">
        <w:rPr>
          <w:color w:val="auto"/>
        </w:rPr>
        <w:t xml:space="preserve">) (the </w:t>
      </w:r>
      <w:r w:rsidRPr="008B1EEA">
        <w:rPr>
          <w:b/>
          <w:bCs/>
          <w:color w:val="auto"/>
        </w:rPr>
        <w:t>Act</w:t>
      </w:r>
      <w:r w:rsidRPr="008B1EEA">
        <w:rPr>
          <w:color w:val="auto"/>
        </w:rPr>
        <w:t>)</w:t>
      </w:r>
    </w:p>
    <w:p w14:paraId="6550B5E6" w14:textId="49BA1EDE" w:rsidR="00831B56" w:rsidRPr="008B1EEA" w:rsidRDefault="00831B56" w:rsidP="00831B56">
      <w:pPr>
        <w:pStyle w:val="ListBullet"/>
      </w:pPr>
      <w:r w:rsidRPr="008B1EEA">
        <w:rPr>
          <w:color w:val="auto"/>
        </w:rPr>
        <w:t xml:space="preserve">the </w:t>
      </w:r>
      <w:hyperlink r:id="rId12" w:history="1">
        <w:r w:rsidRPr="008B1EEA">
          <w:rPr>
            <w:rStyle w:val="Hyperlink"/>
            <w:rFonts w:asciiTheme="minorHAnsi" w:hAnsiTheme="minorHAnsi"/>
          </w:rPr>
          <w:t>Scheduling Policy Framework</w:t>
        </w:r>
      </w:hyperlink>
      <w:r w:rsidRPr="008B1EEA">
        <w:t xml:space="preserve"> </w:t>
      </w:r>
      <w:r w:rsidRPr="008B1EEA">
        <w:rPr>
          <w:color w:val="auto"/>
        </w:rPr>
        <w:t xml:space="preserve">2018 (the </w:t>
      </w:r>
      <w:r w:rsidRPr="008B1EEA">
        <w:rPr>
          <w:b/>
          <w:bCs/>
          <w:color w:val="auto"/>
        </w:rPr>
        <w:t>SPF</w:t>
      </w:r>
      <w:r w:rsidRPr="008B1EEA">
        <w:rPr>
          <w:color w:val="auto"/>
        </w:rPr>
        <w:t>)</w:t>
      </w:r>
    </w:p>
    <w:p w14:paraId="4CDC567B" w14:textId="043F076A" w:rsidR="00831B56" w:rsidRPr="008B1EEA" w:rsidRDefault="00831B56" w:rsidP="00831B56">
      <w:pPr>
        <w:pStyle w:val="ListBullet"/>
      </w:pPr>
      <w:r w:rsidRPr="008B1EEA">
        <w:rPr>
          <w:color w:val="auto"/>
        </w:rPr>
        <w:t xml:space="preserve">the Scheduling handbook: </w:t>
      </w:r>
      <w:hyperlink r:id="rId13" w:history="1">
        <w:r w:rsidRPr="008B1EEA">
          <w:rPr>
            <w:rStyle w:val="Hyperlink"/>
            <w:rFonts w:asciiTheme="minorHAnsi" w:hAnsiTheme="minorHAnsi"/>
          </w:rPr>
          <w:t>Guidance for amending the Poisons Standard</w:t>
        </w:r>
      </w:hyperlink>
      <w:r w:rsidRPr="008B1EEA">
        <w:t xml:space="preserve"> </w:t>
      </w:r>
      <w:r w:rsidRPr="008B1EEA">
        <w:rPr>
          <w:color w:val="auto"/>
        </w:rPr>
        <w:t xml:space="preserve">(the </w:t>
      </w:r>
      <w:r w:rsidRPr="008B1EEA">
        <w:rPr>
          <w:b/>
          <w:bCs/>
          <w:color w:val="auto"/>
        </w:rPr>
        <w:t>Handbook</w:t>
      </w:r>
      <w:r w:rsidRPr="008B1EEA">
        <w:rPr>
          <w:color w:val="auto"/>
        </w:rPr>
        <w:t>)</w:t>
      </w:r>
      <w:r w:rsidR="00B611F9">
        <w:rPr>
          <w:color w:val="auto"/>
        </w:rPr>
        <w:t>,</w:t>
      </w:r>
      <w:r w:rsidRPr="008B1EEA">
        <w:rPr>
          <w:color w:val="auto"/>
        </w:rPr>
        <w:t xml:space="preserve"> and</w:t>
      </w:r>
    </w:p>
    <w:p w14:paraId="78D91CCD" w14:textId="3DC73865" w:rsidR="00831B56" w:rsidRPr="008B1EEA" w:rsidRDefault="00831B56" w:rsidP="00831B56">
      <w:pPr>
        <w:pStyle w:val="ListBullet"/>
        <w:rPr>
          <w:color w:val="auto"/>
        </w:rPr>
      </w:pPr>
      <w:r w:rsidRPr="008B1EEA">
        <w:rPr>
          <w:color w:val="auto"/>
        </w:rPr>
        <w:t xml:space="preserve">the Therapeutic Goods Administration (the </w:t>
      </w:r>
      <w:r w:rsidRPr="008B1EEA">
        <w:rPr>
          <w:b/>
          <w:bCs/>
          <w:color w:val="auto"/>
        </w:rPr>
        <w:t>TGA</w:t>
      </w:r>
      <w:r w:rsidRPr="008B1EEA">
        <w:rPr>
          <w:color w:val="auto"/>
        </w:rPr>
        <w:t>).</w:t>
      </w:r>
    </w:p>
    <w:p w14:paraId="1ECB50B6" w14:textId="5A17E978" w:rsidR="00831B56" w:rsidRPr="008B1EEA" w:rsidRDefault="00831B56" w:rsidP="00831B56">
      <w:pPr>
        <w:pStyle w:val="ListBullet"/>
        <w:numPr>
          <w:ilvl w:val="0"/>
          <w:numId w:val="0"/>
        </w:numPr>
        <w:rPr>
          <w:color w:val="auto"/>
          <w:sz w:val="20"/>
          <w:szCs w:val="20"/>
        </w:rPr>
      </w:pPr>
      <w:r w:rsidRPr="008B1EEA">
        <w:rPr>
          <w:color w:val="auto"/>
          <w:sz w:val="20"/>
          <w:szCs w:val="20"/>
        </w:rPr>
        <w:t>Note: additional terms are also defined for individual decisions.</w:t>
      </w:r>
    </w:p>
    <w:p w14:paraId="0D1D5BD0" w14:textId="77777777" w:rsidR="008B1EEA" w:rsidRDefault="008B1EEA">
      <w:pPr>
        <w:rPr>
          <w:rFonts w:ascii="Arial" w:eastAsia="Times New Roman" w:hAnsi="Arial" w:cs="Times New Roman"/>
          <w:b/>
          <w:bCs/>
          <w:color w:val="001871"/>
          <w:sz w:val="38"/>
          <w:szCs w:val="38"/>
        </w:rPr>
      </w:pPr>
      <w:bookmarkStart w:id="5" w:name="_Toc97640263"/>
      <w:r>
        <w:br w:type="page"/>
      </w:r>
    </w:p>
    <w:p w14:paraId="002E1C4A" w14:textId="3931FB10" w:rsidR="00457050" w:rsidRPr="00FA029A" w:rsidRDefault="0031371C" w:rsidP="00C7111E">
      <w:pPr>
        <w:pStyle w:val="Heading2"/>
        <w:ind w:left="720" w:hanging="720"/>
      </w:pPr>
      <w:bookmarkStart w:id="6" w:name="_Toc143009496"/>
      <w:r>
        <w:lastRenderedPageBreak/>
        <w:t>2</w:t>
      </w:r>
      <w:r>
        <w:tab/>
      </w:r>
      <w:r w:rsidR="00457050">
        <w:t>Final</w:t>
      </w:r>
      <w:r w:rsidR="00457050" w:rsidRPr="00FA029A">
        <w:t xml:space="preserve"> decisions on proposed amendments referred to the Advisory Committee o</w:t>
      </w:r>
      <w:r w:rsidR="00457050">
        <w:t>n Medicines Scheduling (ACMS #</w:t>
      </w:r>
      <w:r w:rsidR="000669A3">
        <w:t>41</w:t>
      </w:r>
      <w:r w:rsidR="00457050">
        <w:t xml:space="preserve">, </w:t>
      </w:r>
      <w:r w:rsidR="000669A3">
        <w:t>March</w:t>
      </w:r>
      <w:r w:rsidR="00457050">
        <w:t xml:space="preserve"> 20</w:t>
      </w:r>
      <w:r w:rsidR="000669A3">
        <w:t>23</w:t>
      </w:r>
      <w:r w:rsidR="00457050" w:rsidRPr="00FA029A">
        <w:t>)</w:t>
      </w:r>
      <w:bookmarkEnd w:id="5"/>
      <w:bookmarkEnd w:id="6"/>
    </w:p>
    <w:p w14:paraId="03FFFC22" w14:textId="22AC0167" w:rsidR="00457050" w:rsidRDefault="0031371C" w:rsidP="00967490">
      <w:pPr>
        <w:pStyle w:val="Heading3"/>
      </w:pPr>
      <w:bookmarkStart w:id="7" w:name="_Toc46325255"/>
      <w:bookmarkStart w:id="8" w:name="_Toc46325611"/>
      <w:bookmarkStart w:id="9" w:name="_Toc46327427"/>
      <w:bookmarkStart w:id="10" w:name="_Toc46412213"/>
      <w:bookmarkStart w:id="11" w:name="_Final_decision_in"/>
      <w:bookmarkStart w:id="12" w:name="_Toc46325256"/>
      <w:bookmarkStart w:id="13" w:name="_Toc46325612"/>
      <w:bookmarkStart w:id="14" w:name="_Toc46327428"/>
      <w:bookmarkStart w:id="15" w:name="_Toc46412214"/>
      <w:bookmarkStart w:id="16" w:name="_Toc46325257"/>
      <w:bookmarkStart w:id="17" w:name="_Toc46325613"/>
      <w:bookmarkStart w:id="18" w:name="_Toc46327429"/>
      <w:bookmarkStart w:id="19" w:name="_Toc46412215"/>
      <w:bookmarkStart w:id="20" w:name="_Toc46325258"/>
      <w:bookmarkStart w:id="21" w:name="_Toc46325614"/>
      <w:bookmarkStart w:id="22" w:name="_Toc46327430"/>
      <w:bookmarkStart w:id="23" w:name="_Toc46412216"/>
      <w:bookmarkStart w:id="24" w:name="_Toc46325259"/>
      <w:bookmarkStart w:id="25" w:name="_Toc46325615"/>
      <w:bookmarkStart w:id="26" w:name="_Toc46327431"/>
      <w:bookmarkStart w:id="27" w:name="_Toc46412217"/>
      <w:bookmarkStart w:id="28" w:name="_Final_decision_in_1"/>
      <w:bookmarkStart w:id="29" w:name="_Toc143009497"/>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t>2.1</w:t>
      </w:r>
      <w:r>
        <w:tab/>
      </w:r>
      <w:r w:rsidR="00457050">
        <w:t xml:space="preserve">Final decision in relation to </w:t>
      </w:r>
      <w:r w:rsidR="000669A3">
        <w:t>celecoxib</w:t>
      </w:r>
      <w:bookmarkEnd w:id="29"/>
    </w:p>
    <w:p w14:paraId="0E784F24" w14:textId="5658FA22" w:rsidR="00457050" w:rsidRPr="00967490" w:rsidRDefault="00457050" w:rsidP="002824FE">
      <w:pPr>
        <w:pStyle w:val="Heading4"/>
      </w:pPr>
      <w:r w:rsidRPr="00967490">
        <w:t>Proposal</w:t>
      </w:r>
    </w:p>
    <w:p w14:paraId="3880CF10" w14:textId="4882FF68" w:rsidR="00457050" w:rsidRPr="008B1EEA" w:rsidRDefault="00B1659D" w:rsidP="00AA12EC">
      <w:pPr>
        <w:rPr>
          <w:rFonts w:cstheme="minorHAnsi"/>
          <w:b/>
          <w:bCs/>
          <w:i/>
        </w:rPr>
      </w:pPr>
      <w:r w:rsidRPr="008B1EEA">
        <w:rPr>
          <w:rFonts w:cstheme="minorHAnsi"/>
        </w:rPr>
        <w:t xml:space="preserve">The applicant proposed the creation of a new Schedule 3 entry for celecoxib for oral use in capsules containing 200 mg or less per capsule when in packs containing not more than 10 dosage units (the </w:t>
      </w:r>
      <w:r w:rsidRPr="008B1EEA">
        <w:rPr>
          <w:rFonts w:cstheme="minorHAnsi"/>
          <w:b/>
          <w:bCs/>
        </w:rPr>
        <w:t>Proposal</w:t>
      </w:r>
      <w:r w:rsidRPr="008B1EEA">
        <w:rPr>
          <w:rFonts w:cstheme="minorHAnsi"/>
        </w:rPr>
        <w:t>). The new Schedule 3 entry would provide short-term treatment of period pain (primary dysmenorrhea) in adults and short-term treatment of acute pain in adults with muscle and joint injuries. The Proposal also include</w:t>
      </w:r>
      <w:r w:rsidR="006B3D68">
        <w:rPr>
          <w:rFonts w:cstheme="minorHAnsi"/>
        </w:rPr>
        <w:t>d</w:t>
      </w:r>
      <w:r w:rsidRPr="008B1EEA">
        <w:rPr>
          <w:rFonts w:cstheme="minorHAnsi"/>
        </w:rPr>
        <w:t xml:space="preserve"> a new Appendix H entry for celecoxib to permit advertising of Schedule 3 preparations. Celecoxib is a non-steroidal anti-inflammatory (NSAID) medication currently captured in Schedule 4 of the Poisons Standard.</w:t>
      </w:r>
    </w:p>
    <w:p w14:paraId="40946833" w14:textId="648D2679" w:rsidR="00457050" w:rsidRPr="00967490" w:rsidRDefault="00457050" w:rsidP="002824FE">
      <w:pPr>
        <w:pStyle w:val="Heading4"/>
      </w:pPr>
      <w:r w:rsidRPr="00967490">
        <w:t>Final decision</w:t>
      </w:r>
    </w:p>
    <w:p w14:paraId="2D65636D" w14:textId="1609ED2A" w:rsidR="0022697D" w:rsidRDefault="00457050" w:rsidP="00967490">
      <w:pPr>
        <w:rPr>
          <w:rFonts w:cstheme="minorHAnsi"/>
        </w:rPr>
      </w:pPr>
      <w:r w:rsidRPr="008B1EEA">
        <w:rPr>
          <w:rFonts w:cstheme="minorHAnsi"/>
        </w:rPr>
        <w:t xml:space="preserve">Pursuant to regulation 42ZCZR of the Regulations, the Delegate has made a final decision to confirm the interim decision and amend the current Poisons Standard in relation to </w:t>
      </w:r>
      <w:r w:rsidR="00D96362" w:rsidRPr="008B1EEA">
        <w:rPr>
          <w:rFonts w:cstheme="minorHAnsi"/>
        </w:rPr>
        <w:t xml:space="preserve">celecoxib </w:t>
      </w:r>
      <w:r w:rsidRPr="008B1EEA">
        <w:rPr>
          <w:rFonts w:cstheme="minorHAnsi"/>
        </w:rPr>
        <w:t>as follows:</w:t>
      </w:r>
      <w:r w:rsidR="003371E3">
        <w:rPr>
          <w:rStyle w:val="FootnoteReference"/>
          <w:rFonts w:cstheme="minorHAnsi"/>
        </w:rPr>
        <w:footnoteReference w:id="2"/>
      </w:r>
    </w:p>
    <w:p w14:paraId="3C44D04D" w14:textId="77777777" w:rsidR="0022697D" w:rsidRPr="00C72DAB" w:rsidRDefault="0022697D" w:rsidP="0022697D">
      <w:pPr>
        <w:ind w:left="425"/>
        <w:rPr>
          <w:b/>
        </w:rPr>
      </w:pPr>
      <w:bookmarkStart w:id="30" w:name="_Hlk135833718"/>
      <w:r w:rsidRPr="00C72DAB">
        <w:rPr>
          <w:b/>
        </w:rPr>
        <w:t xml:space="preserve">Schedule </w:t>
      </w:r>
      <w:r>
        <w:rPr>
          <w:b/>
        </w:rPr>
        <w:t>4</w:t>
      </w:r>
      <w:r w:rsidRPr="00C72DAB">
        <w:rPr>
          <w:b/>
        </w:rPr>
        <w:t xml:space="preserve"> – </w:t>
      </w:r>
      <w:r>
        <w:rPr>
          <w:b/>
        </w:rPr>
        <w:t>Amend E</w:t>
      </w:r>
      <w:r w:rsidRPr="00C72DAB">
        <w:rPr>
          <w:b/>
        </w:rPr>
        <w:t>ntry</w:t>
      </w:r>
    </w:p>
    <w:p w14:paraId="36F7E7E6" w14:textId="77777777" w:rsidR="0022697D" w:rsidRPr="00047D1D" w:rsidRDefault="00BA03C5" w:rsidP="0022697D">
      <w:pPr>
        <w:shd w:val="clear" w:color="auto" w:fill="FFFFFF"/>
        <w:spacing w:before="180" w:line="240" w:lineRule="atLeast"/>
        <w:ind w:firstLine="709"/>
        <w:rPr>
          <w:rFonts w:eastAsia="Times New Roman"/>
          <w:color w:val="000000"/>
          <w:lang w:eastAsia="en-AU"/>
        </w:rPr>
      </w:pPr>
      <w:sdt>
        <w:sdtPr>
          <w:rPr>
            <w:rFonts w:eastAsia="Times New Roman"/>
            <w:color w:val="000000"/>
            <w:lang w:eastAsia="en-AU"/>
          </w:rPr>
          <w:id w:val="1744601516"/>
          <w:placeholder>
            <w:docPart w:val="86F8FBA1FEC142B0AFD343B4AC807B34"/>
          </w:placeholder>
        </w:sdtPr>
        <w:sdtEndPr/>
        <w:sdtContent>
          <w:r w:rsidR="0022697D">
            <w:rPr>
              <w:rFonts w:eastAsia="Times New Roman"/>
              <w:color w:val="000000"/>
              <w:lang w:eastAsia="en-AU"/>
            </w:rPr>
            <w:t>CELECOXIB</w:t>
          </w:r>
        </w:sdtContent>
      </w:sdt>
      <w:r w:rsidR="0022697D" w:rsidRPr="00047D1D">
        <w:rPr>
          <w:rFonts w:eastAsia="Times New Roman"/>
          <w:color w:val="000000"/>
          <w:lang w:eastAsia="en-AU"/>
        </w:rPr>
        <w:t xml:space="preserve"> </w:t>
      </w:r>
      <w:r w:rsidR="0022697D" w:rsidRPr="00A1700A">
        <w:rPr>
          <w:rFonts w:eastAsia="Times New Roman"/>
          <w:b/>
          <w:bCs/>
          <w:color w:val="00B050"/>
          <w:u w:val="single"/>
          <w:lang w:eastAsia="en-AU"/>
        </w:rPr>
        <w:t>except</w:t>
      </w:r>
      <w:r w:rsidR="0022697D" w:rsidRPr="00A1700A">
        <w:rPr>
          <w:rFonts w:eastAsia="Times New Roman"/>
          <w:color w:val="00B050"/>
          <w:u w:val="single"/>
          <w:lang w:eastAsia="en-AU"/>
        </w:rPr>
        <w:t xml:space="preserve"> when included in Schedule 3</w:t>
      </w:r>
      <w:r w:rsidR="0022697D">
        <w:rPr>
          <w:rFonts w:eastAsia="Times New Roman"/>
          <w:color w:val="000000"/>
          <w:lang w:eastAsia="en-AU"/>
        </w:rPr>
        <w:t>.</w:t>
      </w:r>
    </w:p>
    <w:p w14:paraId="5F8838CC" w14:textId="77777777" w:rsidR="0022697D" w:rsidRDefault="0022697D" w:rsidP="0022697D">
      <w:pPr>
        <w:spacing w:before="240" w:after="100" w:afterAutospacing="1" w:line="240" w:lineRule="atLeast"/>
        <w:ind w:left="425"/>
        <w:rPr>
          <w:bCs/>
          <w:color w:val="00B050"/>
          <w:u w:val="single"/>
        </w:rPr>
      </w:pPr>
      <w:r w:rsidRPr="00C72DAB">
        <w:rPr>
          <w:b/>
        </w:rPr>
        <w:t xml:space="preserve">Schedule </w:t>
      </w:r>
      <w:r>
        <w:rPr>
          <w:b/>
        </w:rPr>
        <w:t>3</w:t>
      </w:r>
      <w:r w:rsidRPr="00C72DAB">
        <w:rPr>
          <w:b/>
        </w:rPr>
        <w:t xml:space="preserve"> – New </w:t>
      </w:r>
      <w:r>
        <w:rPr>
          <w:b/>
        </w:rPr>
        <w:t>E</w:t>
      </w:r>
      <w:r w:rsidRPr="00C72DAB">
        <w:rPr>
          <w:b/>
        </w:rPr>
        <w:t>ntry</w:t>
      </w:r>
      <w:r>
        <w:rPr>
          <w:bCs/>
          <w:color w:val="00B050"/>
          <w:u w:val="single"/>
        </w:rPr>
        <w:t xml:space="preserve"> </w:t>
      </w:r>
    </w:p>
    <w:p w14:paraId="07F7C693" w14:textId="77777777" w:rsidR="0022697D" w:rsidRPr="00C40B76" w:rsidRDefault="0022697D" w:rsidP="0022697D">
      <w:pPr>
        <w:spacing w:before="240" w:after="100" w:afterAutospacing="1" w:line="240" w:lineRule="atLeast"/>
        <w:ind w:left="720"/>
        <w:rPr>
          <w:bCs/>
          <w:color w:val="00B050"/>
          <w:u w:val="single"/>
        </w:rPr>
      </w:pPr>
      <w:r w:rsidRPr="00C40B76">
        <w:rPr>
          <w:bCs/>
          <w:color w:val="00B050"/>
          <w:u w:val="single"/>
        </w:rPr>
        <w:t>CELECOXIB in tablets or capsules of 200</w:t>
      </w:r>
      <w:r>
        <w:rPr>
          <w:bCs/>
          <w:color w:val="00B050"/>
          <w:u w:val="single"/>
        </w:rPr>
        <w:t xml:space="preserve"> </w:t>
      </w:r>
      <w:r w:rsidRPr="00C40B76">
        <w:rPr>
          <w:bCs/>
          <w:color w:val="00B050"/>
          <w:u w:val="single"/>
        </w:rPr>
        <w:t>mg or less</w:t>
      </w:r>
      <w:r>
        <w:rPr>
          <w:bCs/>
          <w:color w:val="00B050"/>
          <w:u w:val="single"/>
        </w:rPr>
        <w:t xml:space="preserve">, in a primary pack not containing more than 10 dosage units </w:t>
      </w:r>
      <w:r w:rsidRPr="00C40B76">
        <w:rPr>
          <w:bCs/>
          <w:color w:val="00B050"/>
          <w:u w:val="single"/>
        </w:rPr>
        <w:t xml:space="preserve">for </w:t>
      </w:r>
      <w:r>
        <w:rPr>
          <w:bCs/>
          <w:color w:val="00B050"/>
          <w:u w:val="single"/>
        </w:rPr>
        <w:t xml:space="preserve">the </w:t>
      </w:r>
      <w:r w:rsidRPr="00C40B76">
        <w:rPr>
          <w:bCs/>
          <w:color w:val="00B050"/>
          <w:u w:val="single"/>
        </w:rPr>
        <w:t>short-term treatment of acute pain due to primary dysmenorrhea or musculoskeletal or soft tissue injuries in adults</w:t>
      </w:r>
      <w:r>
        <w:rPr>
          <w:bCs/>
          <w:color w:val="00B050"/>
          <w:u w:val="single"/>
        </w:rPr>
        <w:t xml:space="preserve">. </w:t>
      </w:r>
    </w:p>
    <w:p w14:paraId="4789AE6C" w14:textId="77777777" w:rsidR="0022697D" w:rsidRDefault="0022697D" w:rsidP="0022697D">
      <w:pPr>
        <w:spacing w:before="180" w:line="240" w:lineRule="atLeast"/>
        <w:ind w:left="425"/>
        <w:rPr>
          <w:b/>
        </w:rPr>
      </w:pPr>
      <w:r>
        <w:rPr>
          <w:b/>
        </w:rPr>
        <w:t>Appendix H – New Entry</w:t>
      </w:r>
    </w:p>
    <w:p w14:paraId="07F547D8" w14:textId="77777777" w:rsidR="0022697D" w:rsidRPr="00A1700A" w:rsidRDefault="0022697D" w:rsidP="0022697D">
      <w:pPr>
        <w:spacing w:before="180" w:line="240" w:lineRule="atLeast"/>
        <w:ind w:left="709"/>
        <w:rPr>
          <w:bCs/>
          <w:color w:val="00B050"/>
          <w:u w:val="single"/>
        </w:rPr>
      </w:pPr>
      <w:r w:rsidRPr="00A1700A">
        <w:rPr>
          <w:bCs/>
          <w:color w:val="00B050"/>
          <w:u w:val="single"/>
        </w:rPr>
        <w:t>CELECOXIB</w:t>
      </w:r>
    </w:p>
    <w:p w14:paraId="67D1DE71" w14:textId="77777777" w:rsidR="0022697D" w:rsidRPr="00C72DAB" w:rsidRDefault="0022697D" w:rsidP="0022697D">
      <w:pPr>
        <w:spacing w:before="180" w:line="240" w:lineRule="atLeast"/>
        <w:ind w:left="426"/>
        <w:rPr>
          <w:b/>
        </w:rPr>
      </w:pPr>
      <w:r w:rsidRPr="00C72DAB">
        <w:rPr>
          <w:b/>
        </w:rPr>
        <w:t xml:space="preserve">Index – </w:t>
      </w:r>
      <w:r>
        <w:rPr>
          <w:b/>
        </w:rPr>
        <w:t>Amend</w:t>
      </w:r>
      <w:r w:rsidRPr="00C72DAB">
        <w:rPr>
          <w:b/>
        </w:rPr>
        <w:t xml:space="preserve"> Entry</w:t>
      </w:r>
    </w:p>
    <w:p w14:paraId="794F7EFF" w14:textId="77777777" w:rsidR="0022697D" w:rsidRPr="00A1700A" w:rsidRDefault="0022697D" w:rsidP="0022697D">
      <w:pPr>
        <w:spacing w:before="180" w:line="240" w:lineRule="atLeast"/>
        <w:rPr>
          <w:b/>
          <w:bCs/>
        </w:rPr>
      </w:pPr>
      <w:r>
        <w:tab/>
      </w:r>
      <w:r w:rsidRPr="00A1700A">
        <w:rPr>
          <w:b/>
          <w:bCs/>
        </w:rPr>
        <w:t>CELECOXIB</w:t>
      </w:r>
    </w:p>
    <w:p w14:paraId="52B79C33" w14:textId="28EB7B7B" w:rsidR="0022697D" w:rsidRPr="008B1EEA" w:rsidRDefault="0022697D" w:rsidP="008B1EEA">
      <w:pPr>
        <w:spacing w:before="180" w:line="240" w:lineRule="atLeast"/>
      </w:pPr>
      <w:r>
        <w:tab/>
        <w:t>Schedule 4</w:t>
      </w:r>
      <w:r>
        <w:br/>
      </w:r>
      <w:r>
        <w:tab/>
      </w:r>
      <w:r w:rsidRPr="00A1700A">
        <w:rPr>
          <w:color w:val="00B050"/>
          <w:u w:val="single"/>
        </w:rPr>
        <w:t>Schedule 3</w:t>
      </w:r>
      <w:r w:rsidRPr="00A1700A">
        <w:rPr>
          <w:color w:val="00B050"/>
          <w:u w:val="single"/>
        </w:rPr>
        <w:br/>
      </w:r>
      <w:r w:rsidRPr="00A1700A">
        <w:rPr>
          <w:color w:val="00B050"/>
        </w:rPr>
        <w:tab/>
      </w:r>
      <w:r w:rsidRPr="00A1700A">
        <w:rPr>
          <w:color w:val="00B050"/>
          <w:u w:val="single"/>
        </w:rPr>
        <w:t>Appendix H</w:t>
      </w:r>
      <w:bookmarkEnd w:id="30"/>
    </w:p>
    <w:p w14:paraId="614F8DDB" w14:textId="77777777" w:rsidR="00B611F9" w:rsidRDefault="00B611F9">
      <w:pPr>
        <w:rPr>
          <w:rFonts w:ascii="Arial" w:eastAsia="Cambria" w:hAnsi="Arial" w:cs="Times New Roman"/>
          <w:b/>
          <w:bCs/>
          <w:color w:val="001871"/>
          <w:sz w:val="28"/>
          <w:szCs w:val="26"/>
        </w:rPr>
      </w:pPr>
      <w:r>
        <w:br w:type="page"/>
      </w:r>
    </w:p>
    <w:p w14:paraId="5940B950" w14:textId="5567BE7D" w:rsidR="00457050" w:rsidRPr="008B1EEA" w:rsidRDefault="00457050" w:rsidP="009377B7">
      <w:pPr>
        <w:pStyle w:val="Heading4"/>
      </w:pPr>
      <w:r w:rsidRPr="008B1EEA">
        <w:lastRenderedPageBreak/>
        <w:t>Materials considered</w:t>
      </w:r>
    </w:p>
    <w:p w14:paraId="231207A2" w14:textId="77777777" w:rsidR="00457050" w:rsidRPr="008B1EEA" w:rsidRDefault="00457050" w:rsidP="00967490">
      <w:pPr>
        <w:rPr>
          <w:rFonts w:cstheme="minorHAnsi"/>
        </w:rPr>
      </w:pPr>
      <w:r w:rsidRPr="008B1EEA">
        <w:rPr>
          <w:rFonts w:cstheme="minorHAnsi"/>
        </w:rPr>
        <w:t>In making this final decision, the Delegate considered the following material:</w:t>
      </w:r>
    </w:p>
    <w:p w14:paraId="05BB95F7" w14:textId="0803B601" w:rsidR="00457050" w:rsidRPr="008B1EEA" w:rsidRDefault="00457050" w:rsidP="00967490">
      <w:pPr>
        <w:pStyle w:val="ListBullet"/>
      </w:pPr>
      <w:r w:rsidRPr="008B1EEA">
        <w:rPr>
          <w:color w:val="auto"/>
        </w:rPr>
        <w:t xml:space="preserve">The </w:t>
      </w:r>
      <w:hyperlink r:id="rId14" w:history="1">
        <w:r w:rsidRPr="008B1EEA">
          <w:rPr>
            <w:rStyle w:val="Hyperlink"/>
            <w:rFonts w:asciiTheme="minorHAnsi" w:hAnsiTheme="minorHAnsi"/>
          </w:rPr>
          <w:t>application</w:t>
        </w:r>
      </w:hyperlink>
      <w:r w:rsidRPr="008B1EEA">
        <w:t xml:space="preserve"> </w:t>
      </w:r>
      <w:r w:rsidRPr="008B1EEA">
        <w:rPr>
          <w:color w:val="auto"/>
        </w:rPr>
        <w:t xml:space="preserve">to amend the current Poisons Standard with respect to </w:t>
      </w:r>
      <w:r w:rsidR="00D96362" w:rsidRPr="008B1EEA">
        <w:rPr>
          <w:color w:val="auto"/>
        </w:rPr>
        <w:t>celecoxib</w:t>
      </w:r>
      <w:r w:rsidRPr="008B1EEA">
        <w:rPr>
          <w:color w:val="auto"/>
        </w:rPr>
        <w:t xml:space="preserve"> (the </w:t>
      </w:r>
      <w:r w:rsidRPr="008B1EEA">
        <w:rPr>
          <w:b/>
          <w:bCs/>
          <w:color w:val="auto"/>
        </w:rPr>
        <w:t>Application</w:t>
      </w:r>
      <w:r w:rsidRPr="008B1EEA">
        <w:rPr>
          <w:color w:val="auto"/>
        </w:rPr>
        <w:t>)</w:t>
      </w:r>
      <w:r w:rsidR="00B611F9">
        <w:rPr>
          <w:color w:val="auto"/>
        </w:rPr>
        <w:t>.</w:t>
      </w:r>
    </w:p>
    <w:p w14:paraId="0874DC7B" w14:textId="27395D18" w:rsidR="00457050" w:rsidRPr="008B1EEA" w:rsidRDefault="00457050" w:rsidP="00967490">
      <w:pPr>
        <w:pStyle w:val="ListBullet"/>
        <w:rPr>
          <w:color w:val="auto"/>
        </w:rPr>
      </w:pPr>
      <w:r w:rsidRPr="008B1EEA">
        <w:rPr>
          <w:color w:val="auto"/>
        </w:rPr>
        <w:t xml:space="preserve">The </w:t>
      </w:r>
      <w:r w:rsidR="00D96362" w:rsidRPr="008B1EEA">
        <w:rPr>
          <w:color w:val="auto"/>
        </w:rPr>
        <w:t>6</w:t>
      </w:r>
      <w:r w:rsidRPr="008B1EEA">
        <w:rPr>
          <w:color w:val="auto"/>
        </w:rPr>
        <w:t xml:space="preserve"> </w:t>
      </w:r>
      <w:hyperlink r:id="rId15" w:history="1">
        <w:r w:rsidRPr="008B1EEA">
          <w:rPr>
            <w:rStyle w:val="Hyperlink"/>
            <w:rFonts w:asciiTheme="minorHAnsi" w:hAnsiTheme="minorHAnsi"/>
          </w:rPr>
          <w:t>public submission</w:t>
        </w:r>
        <w:r w:rsidR="00D96362" w:rsidRPr="008B1EEA">
          <w:rPr>
            <w:rStyle w:val="Hyperlink"/>
            <w:rFonts w:asciiTheme="minorHAnsi" w:hAnsiTheme="minorHAnsi"/>
          </w:rPr>
          <w:t>s</w:t>
        </w:r>
      </w:hyperlink>
      <w:r w:rsidR="008A7B78">
        <w:rPr>
          <w:rStyle w:val="Hyperlink"/>
          <w:rFonts w:asciiTheme="minorHAnsi" w:hAnsiTheme="minorHAnsi"/>
        </w:rPr>
        <w:t xml:space="preserve">, </w:t>
      </w:r>
      <w:r w:rsidR="008A7B78" w:rsidRPr="008A7B78">
        <w:rPr>
          <w:rStyle w:val="Hyperlink"/>
          <w:rFonts w:asciiTheme="minorHAnsi" w:hAnsiTheme="minorHAnsi"/>
        </w:rPr>
        <w:t xml:space="preserve">with 5 including a written component, </w:t>
      </w:r>
      <w:r w:rsidRPr="008B1EEA">
        <w:rPr>
          <w:color w:val="auto"/>
        </w:rPr>
        <w:t xml:space="preserve">received in response to the </w:t>
      </w:r>
      <w:hyperlink r:id="rId16" w:history="1">
        <w:r w:rsidRPr="008B1EEA">
          <w:rPr>
            <w:rStyle w:val="Hyperlink"/>
            <w:rFonts w:asciiTheme="minorHAnsi" w:hAnsiTheme="minorHAnsi"/>
          </w:rPr>
          <w:t>pre-meeting consultation</w:t>
        </w:r>
      </w:hyperlink>
      <w:r w:rsidRPr="008B1EEA">
        <w:t xml:space="preserve"> </w:t>
      </w:r>
      <w:r w:rsidRPr="008B1EEA">
        <w:rPr>
          <w:color w:val="auto"/>
        </w:rPr>
        <w:t>under regulation 42ZCZK of the Regulations</w:t>
      </w:r>
      <w:r w:rsidR="00B24FE1">
        <w:rPr>
          <w:color w:val="auto"/>
        </w:rPr>
        <w:t xml:space="preserve"> (the </w:t>
      </w:r>
      <w:r w:rsidR="00B24FE1" w:rsidRPr="00C7111E">
        <w:rPr>
          <w:b/>
          <w:bCs/>
          <w:color w:val="auto"/>
        </w:rPr>
        <w:t>Submissions</w:t>
      </w:r>
      <w:r w:rsidR="00B24FE1">
        <w:rPr>
          <w:color w:val="auto"/>
        </w:rPr>
        <w:t>)</w:t>
      </w:r>
      <w:r w:rsidR="00B611F9">
        <w:rPr>
          <w:color w:val="auto"/>
        </w:rPr>
        <w:t>.</w:t>
      </w:r>
    </w:p>
    <w:p w14:paraId="063B138F" w14:textId="650924AD" w:rsidR="00457050" w:rsidRPr="008B1EEA" w:rsidRDefault="00457050" w:rsidP="00967490">
      <w:pPr>
        <w:pStyle w:val="ListBullet"/>
        <w:rPr>
          <w:color w:val="auto"/>
        </w:rPr>
      </w:pPr>
      <w:r w:rsidRPr="008B1EEA">
        <w:rPr>
          <w:color w:val="auto"/>
        </w:rPr>
        <w:t xml:space="preserve">The advice received from the </w:t>
      </w:r>
      <w:r w:rsidR="00D96362" w:rsidRPr="008B1EEA">
        <w:rPr>
          <w:color w:val="auto"/>
        </w:rPr>
        <w:t>41</w:t>
      </w:r>
      <w:r w:rsidR="00D96362" w:rsidRPr="008B1EEA">
        <w:rPr>
          <w:color w:val="auto"/>
          <w:vertAlign w:val="superscript"/>
        </w:rPr>
        <w:t>st</w:t>
      </w:r>
      <w:r w:rsidR="00D96362" w:rsidRPr="008B1EEA">
        <w:rPr>
          <w:color w:val="auto"/>
        </w:rPr>
        <w:t xml:space="preserve"> </w:t>
      </w:r>
      <w:r w:rsidRPr="008B1EEA">
        <w:rPr>
          <w:color w:val="auto"/>
        </w:rPr>
        <w:t xml:space="preserve">meeting of the Advisory Committee on Medicines Scheduling (the </w:t>
      </w:r>
      <w:r w:rsidRPr="008B1EEA">
        <w:rPr>
          <w:b/>
          <w:bCs/>
          <w:color w:val="auto"/>
        </w:rPr>
        <w:t>Committee</w:t>
      </w:r>
      <w:r w:rsidRPr="008B1EEA">
        <w:rPr>
          <w:color w:val="auto"/>
        </w:rPr>
        <w:t>)</w:t>
      </w:r>
      <w:r w:rsidR="00B611F9">
        <w:rPr>
          <w:color w:val="auto"/>
        </w:rPr>
        <w:t>.</w:t>
      </w:r>
      <w:r w:rsidRPr="008B1EEA">
        <w:rPr>
          <w:rStyle w:val="FootnoteReference"/>
          <w:color w:val="auto"/>
        </w:rPr>
        <w:footnoteReference w:id="3"/>
      </w:r>
    </w:p>
    <w:p w14:paraId="236A0342" w14:textId="2AD0FCDB" w:rsidR="00457050" w:rsidRPr="008B1EEA" w:rsidRDefault="00457050" w:rsidP="00967490">
      <w:pPr>
        <w:pStyle w:val="ListBullet"/>
        <w:rPr>
          <w:color w:val="auto"/>
        </w:rPr>
      </w:pPr>
      <w:r w:rsidRPr="00DF3D0D">
        <w:rPr>
          <w:color w:val="auto"/>
        </w:rPr>
        <w:t xml:space="preserve">The </w:t>
      </w:r>
      <w:r w:rsidR="008B1EEA" w:rsidRPr="00DF3D0D">
        <w:rPr>
          <w:color w:val="auto"/>
        </w:rPr>
        <w:t>2</w:t>
      </w:r>
      <w:r w:rsidRPr="00DF3D0D">
        <w:rPr>
          <w:color w:val="auto"/>
        </w:rPr>
        <w:t xml:space="preserve"> </w:t>
      </w:r>
      <w:hyperlink r:id="rId17" w:history="1">
        <w:r w:rsidRPr="007E3AED">
          <w:rPr>
            <w:rStyle w:val="Hyperlink"/>
            <w:rFonts w:asciiTheme="minorHAnsi" w:hAnsiTheme="minorHAnsi"/>
          </w:rPr>
          <w:t>public submissions</w:t>
        </w:r>
      </w:hyperlink>
      <w:r w:rsidRPr="008B1EEA">
        <w:rPr>
          <w:color w:val="auto"/>
        </w:rPr>
        <w:t xml:space="preserve"> received in response to the </w:t>
      </w:r>
      <w:hyperlink r:id="rId18" w:history="1">
        <w:r w:rsidRPr="008B1EEA">
          <w:rPr>
            <w:rStyle w:val="Hyperlink"/>
            <w:rFonts w:asciiTheme="minorHAnsi" w:hAnsiTheme="minorHAnsi"/>
          </w:rPr>
          <w:t>interim decision consultation</w:t>
        </w:r>
      </w:hyperlink>
      <w:r w:rsidRPr="008B1EEA">
        <w:t xml:space="preserve"> </w:t>
      </w:r>
      <w:r w:rsidRPr="008B1EEA">
        <w:rPr>
          <w:color w:val="auto"/>
        </w:rPr>
        <w:t>under regulation 42ZCZP of the Regulations</w:t>
      </w:r>
      <w:r w:rsidR="00461C08">
        <w:rPr>
          <w:color w:val="auto"/>
        </w:rPr>
        <w:t xml:space="preserve"> (the </w:t>
      </w:r>
      <w:r w:rsidR="00461C08" w:rsidRPr="00461C08">
        <w:rPr>
          <w:b/>
          <w:bCs/>
          <w:color w:val="auto"/>
        </w:rPr>
        <w:t>Submissions</w:t>
      </w:r>
      <w:r w:rsidR="00461C08">
        <w:rPr>
          <w:color w:val="auto"/>
        </w:rPr>
        <w:t>)</w:t>
      </w:r>
      <w:r w:rsidR="00B611F9">
        <w:rPr>
          <w:color w:val="auto"/>
        </w:rPr>
        <w:t>.</w:t>
      </w:r>
    </w:p>
    <w:p w14:paraId="350BB832" w14:textId="2E8128A3" w:rsidR="00457050" w:rsidRDefault="00457050" w:rsidP="00967490">
      <w:pPr>
        <w:pStyle w:val="ListBullet"/>
        <w:rPr>
          <w:color w:val="auto"/>
        </w:rPr>
      </w:pPr>
      <w:r w:rsidRPr="008B1EEA">
        <w:rPr>
          <w:color w:val="auto"/>
        </w:rPr>
        <w:t xml:space="preserve">Subsection 52E(1) of </w:t>
      </w:r>
      <w:r w:rsidRPr="008B1EEA">
        <w:rPr>
          <w:iCs/>
          <w:color w:val="auto"/>
        </w:rPr>
        <w:t>the Act</w:t>
      </w:r>
      <w:r w:rsidRPr="008B1EEA">
        <w:rPr>
          <w:color w:val="auto"/>
        </w:rPr>
        <w:t>, in particular (a) the risks and benefits of the use of a substance; (b) the purposes for which a substance is to be used and the extent of use of a substance; (c) the toxicity of a substance; (d) the dosage, formulation, labelling, packaging and presentation of a substance; and (f) any other matters considered necessary to protect public health</w:t>
      </w:r>
      <w:r w:rsidR="00B611F9">
        <w:rPr>
          <w:color w:val="auto"/>
        </w:rPr>
        <w:t>.</w:t>
      </w:r>
    </w:p>
    <w:p w14:paraId="6345992E" w14:textId="3619DD80" w:rsidR="008A7B78" w:rsidRDefault="008A7B78" w:rsidP="008A7B78">
      <w:pPr>
        <w:pStyle w:val="ListBullet"/>
        <w:rPr>
          <w:color w:val="auto"/>
        </w:rPr>
      </w:pPr>
      <w:r w:rsidRPr="008A7B78">
        <w:rPr>
          <w:color w:val="auto"/>
        </w:rPr>
        <w:t>Publications and references cited in the reasons below</w:t>
      </w:r>
      <w:r w:rsidR="00B611F9">
        <w:rPr>
          <w:color w:val="auto"/>
        </w:rPr>
        <w:t>.</w:t>
      </w:r>
    </w:p>
    <w:p w14:paraId="655E406D" w14:textId="195348A6" w:rsidR="00DC23CD" w:rsidRPr="00C044E1" w:rsidRDefault="00DC23CD" w:rsidP="00DC23CD">
      <w:pPr>
        <w:pStyle w:val="ListBullet"/>
        <w:rPr>
          <w:color w:val="auto"/>
        </w:rPr>
      </w:pPr>
      <w:r w:rsidRPr="00C044E1">
        <w:rPr>
          <w:color w:val="auto"/>
        </w:rPr>
        <w:t>Pursuant to paragraph 52E(2)(a) of the Act, the SPF</w:t>
      </w:r>
      <w:r w:rsidR="00B611F9">
        <w:rPr>
          <w:color w:val="auto"/>
        </w:rPr>
        <w:t>,</w:t>
      </w:r>
      <w:r w:rsidRPr="00C044E1">
        <w:rPr>
          <w:color w:val="auto"/>
        </w:rPr>
        <w:t xml:space="preserve"> and</w:t>
      </w:r>
    </w:p>
    <w:p w14:paraId="798D79FA" w14:textId="476AF845" w:rsidR="00DC23CD" w:rsidRPr="00DC23CD" w:rsidRDefault="00DC23CD" w:rsidP="00DC23CD">
      <w:pPr>
        <w:pStyle w:val="ListBullet"/>
        <w:rPr>
          <w:color w:val="auto"/>
        </w:rPr>
      </w:pPr>
      <w:r w:rsidRPr="00C044E1">
        <w:rPr>
          <w:color w:val="auto"/>
        </w:rPr>
        <w:t>The Handbook.</w:t>
      </w:r>
    </w:p>
    <w:p w14:paraId="683BC55E" w14:textId="4F18C519" w:rsidR="00457050" w:rsidRPr="004D06D7" w:rsidRDefault="00457050" w:rsidP="002824FE">
      <w:pPr>
        <w:pStyle w:val="Heading4"/>
      </w:pPr>
      <w:r w:rsidRPr="004D06D7">
        <w:t>Reasons for the final decision (including findings on material questions of fact)</w:t>
      </w:r>
    </w:p>
    <w:p w14:paraId="224E678A" w14:textId="237D0D03" w:rsidR="00457050" w:rsidRDefault="00457050" w:rsidP="003425E0">
      <w:pPr>
        <w:rPr>
          <w:rFonts w:cstheme="minorHAnsi"/>
        </w:rPr>
      </w:pPr>
      <w:bookmarkStart w:id="31" w:name="_Hlk143162952"/>
      <w:r w:rsidRPr="00461C08">
        <w:rPr>
          <w:rFonts w:cstheme="minorHAnsi"/>
        </w:rPr>
        <w:t xml:space="preserve">I have made a final decision to confirm my interim decision to amend the current Poisons Standard with respect to </w:t>
      </w:r>
      <w:r w:rsidR="008B1EEA" w:rsidRPr="00461C08">
        <w:rPr>
          <w:rFonts w:cstheme="minorHAnsi"/>
        </w:rPr>
        <w:t>celecoxib</w:t>
      </w:r>
      <w:r w:rsidRPr="00461C08">
        <w:rPr>
          <w:rFonts w:cstheme="minorHAnsi"/>
        </w:rPr>
        <w:t xml:space="preserve">. My reasons for making the final decision are those set out in the interim decision. In making my final decision, I have </w:t>
      </w:r>
      <w:proofErr w:type="gramStart"/>
      <w:r w:rsidRPr="00461C08">
        <w:rPr>
          <w:rFonts w:cstheme="minorHAnsi"/>
        </w:rPr>
        <w:t>taken into account</w:t>
      </w:r>
      <w:proofErr w:type="gramEnd"/>
      <w:r w:rsidRPr="00461C08">
        <w:rPr>
          <w:rFonts w:cstheme="minorHAnsi"/>
        </w:rPr>
        <w:t xml:space="preserve"> the material detailed in the interim decision and the </w:t>
      </w:r>
      <w:r w:rsidR="00E10644">
        <w:rPr>
          <w:rFonts w:cstheme="minorHAnsi"/>
        </w:rPr>
        <w:t>S</w:t>
      </w:r>
      <w:r w:rsidRPr="00DF3D0D">
        <w:rPr>
          <w:rFonts w:cstheme="minorHAnsi"/>
        </w:rPr>
        <w:t>ubmissions</w:t>
      </w:r>
      <w:r w:rsidR="00461C08" w:rsidRPr="00DF3D0D">
        <w:rPr>
          <w:rFonts w:cstheme="minorHAnsi"/>
        </w:rPr>
        <w:t xml:space="preserve">, </w:t>
      </w:r>
      <w:r w:rsidR="00433287">
        <w:rPr>
          <w:rFonts w:cstheme="minorHAnsi"/>
        </w:rPr>
        <w:t xml:space="preserve">the majority of </w:t>
      </w:r>
      <w:r w:rsidR="00461C08">
        <w:rPr>
          <w:rFonts w:cstheme="minorHAnsi"/>
        </w:rPr>
        <w:t xml:space="preserve">which </w:t>
      </w:r>
      <w:r w:rsidR="00433287">
        <w:rPr>
          <w:rFonts w:cstheme="minorHAnsi"/>
        </w:rPr>
        <w:t xml:space="preserve">for both consultation periods </w:t>
      </w:r>
      <w:r w:rsidR="00461C08" w:rsidRPr="00461C08">
        <w:rPr>
          <w:rFonts w:cstheme="minorHAnsi"/>
        </w:rPr>
        <w:t>were in support of the interim decision.</w:t>
      </w:r>
    </w:p>
    <w:bookmarkEnd w:id="31"/>
    <w:p w14:paraId="62CF3C36" w14:textId="3F7B3CAE" w:rsidR="00433287" w:rsidRDefault="00433287" w:rsidP="003425E0">
      <w:r w:rsidRPr="00115645">
        <w:t>I have noted that two public submissions were</w:t>
      </w:r>
      <w:r>
        <w:t xml:space="preserve"> </w:t>
      </w:r>
      <w:r w:rsidRPr="00264F6E">
        <w:t xml:space="preserve">received before the second closing date in response to the call for further submissions published on </w:t>
      </w:r>
      <w:r>
        <w:t>1</w:t>
      </w:r>
      <w:r w:rsidR="001C1AAC">
        <w:t>3</w:t>
      </w:r>
      <w:r>
        <w:t xml:space="preserve"> July</w:t>
      </w:r>
      <w:r w:rsidRPr="002141F7">
        <w:t xml:space="preserve"> 2023</w:t>
      </w:r>
      <w:r w:rsidRPr="00F94034">
        <w:t xml:space="preserve"> </w:t>
      </w:r>
      <w:r w:rsidRPr="00264F6E">
        <w:t>under regulation 42ZCZP of the Regulations.</w:t>
      </w:r>
      <w:r>
        <w:t xml:space="preserve"> Both submissions were in full support of the interim decision and included a written component.</w:t>
      </w:r>
    </w:p>
    <w:p w14:paraId="40EDBE86" w14:textId="1A8FD084" w:rsidR="00433287" w:rsidRDefault="00433287" w:rsidP="003425E0">
      <w:pPr>
        <w:rPr>
          <w:rFonts w:cstheme="minorHAnsi"/>
        </w:rPr>
      </w:pPr>
      <w:r>
        <w:rPr>
          <w:rFonts w:cstheme="minorHAnsi"/>
        </w:rPr>
        <w:t>Creation of</w:t>
      </w:r>
      <w:r w:rsidRPr="00433287">
        <w:rPr>
          <w:rFonts w:cstheme="minorHAnsi"/>
        </w:rPr>
        <w:t xml:space="preserve"> an Appendix H entry for celecoxib to permit advertising of Schedule 3 preparations is consistent with other NSAIDs that are advertised, provided adequate information is supplied in the Consumer Medicines Information (CMI) regarding potential adverse effects, allergy risk and pregnancy warning.</w:t>
      </w:r>
    </w:p>
    <w:p w14:paraId="4B6AB49E" w14:textId="7E55CCB2" w:rsidR="002B4E3C" w:rsidRDefault="008A7B78" w:rsidP="003425E0">
      <w:pPr>
        <w:rPr>
          <w:rFonts w:cstheme="minorHAnsi"/>
        </w:rPr>
      </w:pPr>
      <w:r w:rsidRPr="008A7B78">
        <w:rPr>
          <w:rFonts w:cstheme="minorHAnsi"/>
        </w:rPr>
        <w:t>I</w:t>
      </w:r>
      <w:r w:rsidR="007E0131">
        <w:rPr>
          <w:rFonts w:cstheme="minorHAnsi"/>
        </w:rPr>
        <w:t xml:space="preserve"> am</w:t>
      </w:r>
      <w:r w:rsidRPr="008A7B78">
        <w:rPr>
          <w:rFonts w:cstheme="minorHAnsi"/>
        </w:rPr>
        <w:t xml:space="preserve"> of the view that the </w:t>
      </w:r>
      <w:r>
        <w:rPr>
          <w:rFonts w:cstheme="minorHAnsi"/>
        </w:rPr>
        <w:t xml:space="preserve">creation of a </w:t>
      </w:r>
      <w:r w:rsidRPr="008A7B78">
        <w:rPr>
          <w:rFonts w:cstheme="minorHAnsi"/>
        </w:rPr>
        <w:t xml:space="preserve">Schedule </w:t>
      </w:r>
      <w:r>
        <w:rPr>
          <w:rFonts w:cstheme="minorHAnsi"/>
        </w:rPr>
        <w:t>3</w:t>
      </w:r>
      <w:r w:rsidRPr="008A7B78">
        <w:rPr>
          <w:rFonts w:cstheme="minorHAnsi"/>
        </w:rPr>
        <w:t xml:space="preserve"> entry for </w:t>
      </w:r>
      <w:r>
        <w:rPr>
          <w:rFonts w:cstheme="minorHAnsi"/>
        </w:rPr>
        <w:t>celecoxib</w:t>
      </w:r>
      <w:r w:rsidR="002B4E3C" w:rsidRPr="002B4E3C">
        <w:t xml:space="preserve"> </w:t>
      </w:r>
      <w:r w:rsidR="002B4E3C">
        <w:rPr>
          <w:rFonts w:cstheme="minorHAnsi"/>
        </w:rPr>
        <w:t>provides</w:t>
      </w:r>
      <w:r w:rsidR="002B4E3C" w:rsidRPr="002B4E3C">
        <w:rPr>
          <w:rFonts w:cstheme="minorHAnsi"/>
        </w:rPr>
        <w:t xml:space="preserve"> benefit to the public through increased access for short term use</w:t>
      </w:r>
      <w:r w:rsidR="002B4E3C">
        <w:rPr>
          <w:rFonts w:cstheme="minorHAnsi"/>
        </w:rPr>
        <w:t xml:space="preserve"> </w:t>
      </w:r>
      <w:r w:rsidR="002B4E3C" w:rsidRPr="002B4E3C">
        <w:rPr>
          <w:rFonts w:cstheme="minorHAnsi"/>
        </w:rPr>
        <w:t xml:space="preserve">under the supervision of a pharmacist. </w:t>
      </w:r>
      <w:r w:rsidR="002B4E3C">
        <w:rPr>
          <w:rFonts w:cstheme="minorHAnsi"/>
        </w:rPr>
        <w:t>In terms of safety</w:t>
      </w:r>
      <w:r w:rsidR="00433287">
        <w:rPr>
          <w:rFonts w:cstheme="minorHAnsi"/>
        </w:rPr>
        <w:t>,</w:t>
      </w:r>
      <w:r w:rsidR="002B4E3C">
        <w:rPr>
          <w:rFonts w:cstheme="minorHAnsi"/>
        </w:rPr>
        <w:t xml:space="preserve"> celecoxib has </w:t>
      </w:r>
      <w:r w:rsidR="002B4E3C" w:rsidRPr="002B4E3C">
        <w:rPr>
          <w:rFonts w:cstheme="minorHAnsi"/>
        </w:rPr>
        <w:t>a well-established safety profile comparable to other NSAID</w:t>
      </w:r>
      <w:r w:rsidR="002B4E3C">
        <w:rPr>
          <w:rFonts w:cstheme="minorHAnsi"/>
        </w:rPr>
        <w:t xml:space="preserve">s and any risk factors such as </w:t>
      </w:r>
      <w:r w:rsidR="002B4E3C" w:rsidRPr="002B4E3C">
        <w:rPr>
          <w:rFonts w:cstheme="minorHAnsi"/>
        </w:rPr>
        <w:t>adverse effects, interactions and contraindications are known, identifiable and manageable by a pharmacist.</w:t>
      </w:r>
    </w:p>
    <w:p w14:paraId="66597981" w14:textId="77777777" w:rsidR="00B611F9" w:rsidRDefault="00B611F9">
      <w:pPr>
        <w:rPr>
          <w:rFonts w:cstheme="minorHAnsi"/>
        </w:rPr>
      </w:pPr>
      <w:r>
        <w:rPr>
          <w:rFonts w:cstheme="minorHAnsi"/>
        </w:rPr>
        <w:br w:type="page"/>
      </w:r>
    </w:p>
    <w:p w14:paraId="4E3D98F5" w14:textId="1CD30452" w:rsidR="008A7B78" w:rsidRPr="00461C08" w:rsidRDefault="007E0131" w:rsidP="003425E0">
      <w:pPr>
        <w:rPr>
          <w:rFonts w:cstheme="minorHAnsi"/>
        </w:rPr>
      </w:pPr>
      <w:r w:rsidRPr="007E0131">
        <w:rPr>
          <w:rFonts w:cstheme="minorHAnsi"/>
        </w:rPr>
        <w:lastRenderedPageBreak/>
        <w:t>In alignment with the applicant’s proposal, the scheduling entry in the decision provides a limitation on indications for use of celecoxib in the Schedule 3 context. I am satisfied that these indications are within the scope of limited acute pain conditions, that can be identified and overseen by a pharmacist.</w:t>
      </w:r>
    </w:p>
    <w:p w14:paraId="34E6D7C6" w14:textId="6AB71FBE" w:rsidR="00457050" w:rsidRPr="00E42057" w:rsidRDefault="00457050" w:rsidP="002824FE">
      <w:pPr>
        <w:pStyle w:val="Heading4"/>
      </w:pPr>
      <w:r w:rsidRPr="00E42057">
        <w:t>Implementation date</w:t>
      </w:r>
    </w:p>
    <w:p w14:paraId="16F09B14" w14:textId="041B99CD" w:rsidR="00457050" w:rsidRPr="007E3AED" w:rsidRDefault="002824FE" w:rsidP="00967490">
      <w:pPr>
        <w:rPr>
          <w:b/>
          <w:bCs/>
        </w:rPr>
      </w:pPr>
      <w:r w:rsidRPr="007E3AED">
        <w:rPr>
          <w:b/>
          <w:bCs/>
        </w:rPr>
        <w:t>1 February 2024</w:t>
      </w:r>
    </w:p>
    <w:p w14:paraId="5D5A7208" w14:textId="77777777" w:rsidR="00461C08" w:rsidRDefault="00461C08">
      <w:pPr>
        <w:rPr>
          <w:rFonts w:ascii="Arial" w:eastAsia="Times New Roman" w:hAnsi="Arial" w:cs="Times New Roman"/>
          <w:b/>
          <w:bCs/>
          <w:color w:val="001871"/>
          <w:sz w:val="38"/>
          <w:szCs w:val="38"/>
        </w:rPr>
      </w:pPr>
      <w:bookmarkStart w:id="32" w:name="_Toc97640265"/>
      <w:r>
        <w:br w:type="page"/>
      </w:r>
    </w:p>
    <w:p w14:paraId="3952C828" w14:textId="69C482EC" w:rsidR="00457050" w:rsidRPr="00F41DCE" w:rsidRDefault="0031371C" w:rsidP="00C7111E">
      <w:pPr>
        <w:pStyle w:val="Heading2"/>
        <w:ind w:left="720" w:hanging="720"/>
      </w:pPr>
      <w:bookmarkStart w:id="33" w:name="_Toc143009498"/>
      <w:r>
        <w:lastRenderedPageBreak/>
        <w:t>3</w:t>
      </w:r>
      <w:r>
        <w:tab/>
      </w:r>
      <w:r w:rsidR="00457050">
        <w:t>Final</w:t>
      </w:r>
      <w:r w:rsidR="00457050" w:rsidRPr="00FA029A">
        <w:t xml:space="preserve"> decisions on proposed amendments referred to the </w:t>
      </w:r>
      <w:r w:rsidR="00457050" w:rsidRPr="00F41DCE">
        <w:t>Advisory Committee on Medicines and Chemicals Scheduling in jo</w:t>
      </w:r>
      <w:r w:rsidR="00457050">
        <w:t>int session (Joint ACMS-ACCS #</w:t>
      </w:r>
      <w:r w:rsidR="000669A3">
        <w:t>33</w:t>
      </w:r>
      <w:r w:rsidR="00457050">
        <w:t>, M</w:t>
      </w:r>
      <w:r w:rsidR="000669A3">
        <w:t>arc</w:t>
      </w:r>
      <w:r w:rsidR="00457050">
        <w:t>h 20</w:t>
      </w:r>
      <w:r w:rsidR="000669A3">
        <w:t>23</w:t>
      </w:r>
      <w:r w:rsidR="00457050" w:rsidRPr="00F41DCE">
        <w:t>)</w:t>
      </w:r>
      <w:bookmarkEnd w:id="32"/>
      <w:bookmarkEnd w:id="33"/>
    </w:p>
    <w:p w14:paraId="37D57355" w14:textId="4986BD04" w:rsidR="00457050" w:rsidRDefault="0031371C" w:rsidP="00300CBB">
      <w:pPr>
        <w:pStyle w:val="Heading3"/>
      </w:pPr>
      <w:bookmarkStart w:id="34" w:name="_Toc143009499"/>
      <w:r>
        <w:t>3.1</w:t>
      </w:r>
      <w:r>
        <w:tab/>
      </w:r>
      <w:r w:rsidR="00457050">
        <w:t xml:space="preserve">Final decision in relation to </w:t>
      </w:r>
      <w:r w:rsidR="000669A3">
        <w:t>azelaic acid</w:t>
      </w:r>
      <w:bookmarkEnd w:id="34"/>
    </w:p>
    <w:p w14:paraId="12B664B0" w14:textId="220615BC" w:rsidR="00457050" w:rsidRPr="00BB34CD" w:rsidRDefault="00457050" w:rsidP="00C80672">
      <w:pPr>
        <w:pStyle w:val="Heading4"/>
      </w:pPr>
      <w:r w:rsidRPr="00BB34CD">
        <w:t>Proposal</w:t>
      </w:r>
    </w:p>
    <w:p w14:paraId="7A41817C" w14:textId="1AD553CB" w:rsidR="00457050" w:rsidRPr="008B1EEA" w:rsidRDefault="00C80672" w:rsidP="003425E0">
      <w:pPr>
        <w:rPr>
          <w:rFonts w:cstheme="minorHAnsi"/>
          <w:b/>
          <w:bCs/>
          <w:i/>
        </w:rPr>
      </w:pPr>
      <w:r w:rsidRPr="008B1EEA">
        <w:rPr>
          <w:rFonts w:cstheme="minorHAnsi"/>
        </w:rPr>
        <w:t>A Delegate proposed amendments to the Poisons Standard with respect to azelaic acid. The amendments were intended to address non-therapeutic use of the substance, as well as clarify the existing entries for azelaic acid in Schedules 2 and 4</w:t>
      </w:r>
      <w:r w:rsidR="00457050" w:rsidRPr="008B1EEA">
        <w:rPr>
          <w:rFonts w:cstheme="minorHAnsi"/>
        </w:rPr>
        <w:t>.</w:t>
      </w:r>
    </w:p>
    <w:p w14:paraId="3E11722D" w14:textId="144BF400" w:rsidR="00457050" w:rsidRPr="00BB34CD" w:rsidRDefault="00457050" w:rsidP="00C80672">
      <w:pPr>
        <w:pStyle w:val="Heading4"/>
      </w:pPr>
      <w:r w:rsidRPr="00BB34CD">
        <w:t xml:space="preserve">Final decision </w:t>
      </w:r>
    </w:p>
    <w:p w14:paraId="3E55F334" w14:textId="5741A909" w:rsidR="00457050" w:rsidRPr="008B1EEA" w:rsidRDefault="00457050" w:rsidP="00967490">
      <w:pPr>
        <w:rPr>
          <w:rFonts w:cstheme="minorHAnsi"/>
        </w:rPr>
      </w:pPr>
      <w:r w:rsidRPr="008B1EEA">
        <w:rPr>
          <w:rFonts w:cstheme="minorHAnsi"/>
        </w:rPr>
        <w:t xml:space="preserve">Pursuant to regulation 42ZCZR of the Regulations, the Delegate has made a final decision to confirm the interim decision and amend the current Poisons Standard in relation to </w:t>
      </w:r>
      <w:r w:rsidR="00C80672" w:rsidRPr="008B1EEA">
        <w:rPr>
          <w:rFonts w:cstheme="minorHAnsi"/>
        </w:rPr>
        <w:t xml:space="preserve">azelaic acid </w:t>
      </w:r>
      <w:r w:rsidRPr="008B1EEA">
        <w:rPr>
          <w:rFonts w:cstheme="minorHAnsi"/>
        </w:rPr>
        <w:t>as follows:</w:t>
      </w:r>
      <w:r w:rsidR="003371E3">
        <w:rPr>
          <w:rStyle w:val="FootnoteReference"/>
          <w:rFonts w:cstheme="minorHAnsi"/>
        </w:rPr>
        <w:footnoteReference w:id="4"/>
      </w:r>
    </w:p>
    <w:p w14:paraId="2BBAC574" w14:textId="77777777" w:rsidR="006558F3" w:rsidRPr="008B1EEA" w:rsidRDefault="006558F3" w:rsidP="006558F3">
      <w:pPr>
        <w:spacing w:before="180"/>
        <w:ind w:left="425"/>
        <w:rPr>
          <w:rFonts w:cstheme="minorHAnsi"/>
          <w:b/>
        </w:rPr>
      </w:pPr>
      <w:r w:rsidRPr="008B1EEA">
        <w:rPr>
          <w:rFonts w:cstheme="minorHAnsi"/>
          <w:b/>
        </w:rPr>
        <w:t>Schedule 5 – New Entry</w:t>
      </w:r>
    </w:p>
    <w:p w14:paraId="3735B3CE" w14:textId="0CFE915E" w:rsidR="006558F3" w:rsidRPr="008B1EEA" w:rsidRDefault="006558F3" w:rsidP="006558F3">
      <w:pPr>
        <w:pStyle w:val="paragraph"/>
        <w:spacing w:before="180" w:beforeAutospacing="0" w:after="180" w:afterAutospacing="0"/>
        <w:ind w:left="709"/>
        <w:textAlignment w:val="baseline"/>
        <w:rPr>
          <w:rFonts w:asciiTheme="minorHAnsi" w:hAnsiTheme="minorHAnsi" w:cstheme="minorHAnsi"/>
          <w:color w:val="00AF50"/>
          <w:sz w:val="22"/>
          <w:szCs w:val="22"/>
          <w:u w:val="single"/>
        </w:rPr>
      </w:pPr>
      <w:r w:rsidRPr="008B1EEA">
        <w:rPr>
          <w:rStyle w:val="normaltextrun"/>
          <w:rFonts w:asciiTheme="minorHAnsi" w:hAnsiTheme="minorHAnsi" w:cstheme="minorHAnsi"/>
          <w:color w:val="00AF50"/>
          <w:sz w:val="22"/>
          <w:szCs w:val="22"/>
          <w:u w:val="single"/>
        </w:rPr>
        <w:t xml:space="preserve">AZELAIC ACID </w:t>
      </w:r>
      <w:r w:rsidRPr="008B1EEA">
        <w:rPr>
          <w:rStyle w:val="normaltextrun"/>
          <w:rFonts w:asciiTheme="minorHAnsi" w:hAnsiTheme="minorHAnsi" w:cstheme="minorHAnsi"/>
          <w:b/>
          <w:bCs/>
          <w:color w:val="00AF50"/>
          <w:sz w:val="22"/>
          <w:szCs w:val="22"/>
          <w:u w:val="single"/>
        </w:rPr>
        <w:t xml:space="preserve">except </w:t>
      </w:r>
      <w:r w:rsidRPr="008B1EEA">
        <w:rPr>
          <w:rStyle w:val="normaltextrun"/>
          <w:rFonts w:asciiTheme="minorHAnsi" w:hAnsiTheme="minorHAnsi" w:cstheme="minorHAnsi"/>
          <w:color w:val="00AF50"/>
          <w:sz w:val="22"/>
          <w:szCs w:val="22"/>
          <w:u w:val="single"/>
        </w:rPr>
        <w:t>when included in Schedules 2 or 4.</w:t>
      </w:r>
    </w:p>
    <w:p w14:paraId="223FB650" w14:textId="01D2DCD9" w:rsidR="006558F3" w:rsidRPr="008B1EEA" w:rsidRDefault="006558F3" w:rsidP="006558F3">
      <w:pPr>
        <w:pStyle w:val="paragraph"/>
        <w:spacing w:before="180" w:beforeAutospacing="0" w:after="180" w:afterAutospacing="0"/>
        <w:ind w:left="425"/>
        <w:textAlignment w:val="baseline"/>
        <w:rPr>
          <w:rFonts w:asciiTheme="minorHAnsi" w:hAnsiTheme="minorHAnsi" w:cstheme="minorHAnsi"/>
          <w:color w:val="000000"/>
          <w:sz w:val="18"/>
          <w:szCs w:val="18"/>
        </w:rPr>
      </w:pPr>
      <w:r w:rsidRPr="008B1EEA">
        <w:rPr>
          <w:rStyle w:val="normaltextrun"/>
          <w:rFonts w:asciiTheme="minorHAnsi" w:hAnsiTheme="minorHAnsi" w:cstheme="minorHAnsi"/>
          <w:b/>
          <w:bCs/>
          <w:color w:val="000000"/>
          <w:sz w:val="22"/>
          <w:szCs w:val="22"/>
        </w:rPr>
        <w:t xml:space="preserve">Schedule 4 – Amend </w:t>
      </w:r>
      <w:r w:rsidR="00C7111E">
        <w:rPr>
          <w:rStyle w:val="normaltextrun"/>
          <w:rFonts w:asciiTheme="minorHAnsi" w:hAnsiTheme="minorHAnsi" w:cstheme="minorHAnsi"/>
          <w:b/>
          <w:bCs/>
          <w:color w:val="000000"/>
          <w:sz w:val="22"/>
          <w:szCs w:val="22"/>
        </w:rPr>
        <w:t>E</w:t>
      </w:r>
      <w:r w:rsidRPr="008B1EEA">
        <w:rPr>
          <w:rStyle w:val="normaltextrun"/>
          <w:rFonts w:asciiTheme="minorHAnsi" w:hAnsiTheme="minorHAnsi" w:cstheme="minorHAnsi"/>
          <w:b/>
          <w:bCs/>
          <w:color w:val="000000"/>
          <w:sz w:val="22"/>
          <w:szCs w:val="22"/>
        </w:rPr>
        <w:t>ntry</w:t>
      </w:r>
    </w:p>
    <w:p w14:paraId="0141D1B0" w14:textId="08560A5A" w:rsidR="006558F3" w:rsidRPr="008B1EEA" w:rsidRDefault="006558F3" w:rsidP="006558F3">
      <w:pPr>
        <w:pStyle w:val="paragraph"/>
        <w:spacing w:before="180" w:beforeAutospacing="0" w:after="180" w:afterAutospacing="0"/>
        <w:ind w:left="709"/>
        <w:textAlignment w:val="baseline"/>
        <w:rPr>
          <w:rFonts w:asciiTheme="minorHAnsi" w:hAnsiTheme="minorHAnsi" w:cstheme="minorHAnsi"/>
          <w:color w:val="000000"/>
          <w:sz w:val="18"/>
          <w:szCs w:val="18"/>
        </w:rPr>
      </w:pPr>
      <w:r w:rsidRPr="008B1EEA">
        <w:rPr>
          <w:rStyle w:val="normaltextrun"/>
          <w:rFonts w:asciiTheme="minorHAnsi" w:hAnsiTheme="minorHAnsi" w:cstheme="minorHAnsi"/>
          <w:color w:val="000000"/>
          <w:sz w:val="22"/>
          <w:szCs w:val="22"/>
        </w:rPr>
        <w:t xml:space="preserve">AZELAIC ACID </w:t>
      </w:r>
      <w:r w:rsidRPr="008B1EEA">
        <w:rPr>
          <w:rStyle w:val="normaltextrun"/>
          <w:rFonts w:asciiTheme="minorHAnsi" w:hAnsiTheme="minorHAnsi" w:cstheme="minorHAnsi"/>
          <w:color w:val="00AF50"/>
          <w:sz w:val="22"/>
          <w:szCs w:val="22"/>
          <w:u w:val="single"/>
        </w:rPr>
        <w:t>for therapeutic use</w:t>
      </w:r>
      <w:r w:rsidRPr="008B1EEA">
        <w:rPr>
          <w:rStyle w:val="normaltextrun"/>
          <w:rFonts w:asciiTheme="minorHAnsi" w:hAnsiTheme="minorHAnsi" w:cstheme="minorHAnsi"/>
          <w:color w:val="00AF50"/>
          <w:sz w:val="22"/>
          <w:szCs w:val="22"/>
        </w:rPr>
        <w:t xml:space="preserve"> </w:t>
      </w:r>
      <w:r w:rsidRPr="008B1EEA">
        <w:rPr>
          <w:rStyle w:val="normaltextrun"/>
          <w:rFonts w:asciiTheme="minorHAnsi" w:hAnsiTheme="minorHAnsi" w:cstheme="minorHAnsi"/>
          <w:b/>
          <w:bCs/>
          <w:color w:val="000000"/>
          <w:sz w:val="22"/>
          <w:szCs w:val="22"/>
        </w:rPr>
        <w:t>except</w:t>
      </w:r>
      <w:r w:rsidRPr="008B1EEA">
        <w:rPr>
          <w:rStyle w:val="normaltextrun"/>
          <w:rFonts w:asciiTheme="minorHAnsi" w:hAnsiTheme="minorHAnsi" w:cstheme="minorHAnsi"/>
          <w:strike/>
          <w:color w:val="FF0000"/>
          <w:sz w:val="22"/>
          <w:szCs w:val="22"/>
        </w:rPr>
        <w:t>:</w:t>
      </w:r>
    </w:p>
    <w:p w14:paraId="5516105F" w14:textId="5D871514" w:rsidR="006558F3" w:rsidRPr="008B1EEA" w:rsidRDefault="006558F3" w:rsidP="006558F3">
      <w:pPr>
        <w:pStyle w:val="paragraph"/>
        <w:spacing w:before="180" w:beforeAutospacing="0" w:after="180" w:afterAutospacing="0"/>
        <w:ind w:left="1440"/>
        <w:textAlignment w:val="baseline"/>
        <w:rPr>
          <w:rFonts w:asciiTheme="minorHAnsi" w:hAnsiTheme="minorHAnsi" w:cstheme="minorHAnsi"/>
          <w:color w:val="000000"/>
          <w:sz w:val="22"/>
          <w:szCs w:val="22"/>
        </w:rPr>
      </w:pPr>
      <w:r w:rsidRPr="008B1EEA">
        <w:rPr>
          <w:rStyle w:val="normaltextrun"/>
          <w:rFonts w:asciiTheme="minorHAnsi" w:hAnsiTheme="minorHAnsi" w:cstheme="minorHAnsi"/>
          <w:strike/>
          <w:color w:val="FF0000"/>
          <w:sz w:val="22"/>
          <w:szCs w:val="22"/>
        </w:rPr>
        <w:t>a)</w:t>
      </w:r>
      <w:r w:rsidRPr="008B1EEA">
        <w:rPr>
          <w:rStyle w:val="normaltextrun"/>
          <w:rFonts w:asciiTheme="minorHAnsi" w:hAnsiTheme="minorHAnsi" w:cstheme="minorHAnsi"/>
          <w:color w:val="FF0000"/>
          <w:sz w:val="22"/>
          <w:szCs w:val="22"/>
        </w:rPr>
        <w:t xml:space="preserve"> </w:t>
      </w:r>
      <w:r w:rsidRPr="008B1EEA">
        <w:rPr>
          <w:rStyle w:val="normaltextrun"/>
          <w:rFonts w:asciiTheme="minorHAnsi" w:hAnsiTheme="minorHAnsi" w:cstheme="minorHAnsi"/>
          <w:color w:val="000000"/>
          <w:sz w:val="22"/>
          <w:szCs w:val="22"/>
        </w:rPr>
        <w:t>when included in Schedule 2</w:t>
      </w:r>
      <w:r w:rsidRPr="008B1EEA">
        <w:rPr>
          <w:rStyle w:val="normaltextrun"/>
          <w:rFonts w:asciiTheme="minorHAnsi" w:hAnsiTheme="minorHAnsi" w:cstheme="minorHAnsi"/>
          <w:color w:val="00B050"/>
          <w:sz w:val="22"/>
          <w:szCs w:val="22"/>
          <w:u w:val="single"/>
        </w:rPr>
        <w:t>.</w:t>
      </w:r>
      <w:r w:rsidRPr="008B1EEA">
        <w:rPr>
          <w:rStyle w:val="normaltextrun"/>
          <w:rFonts w:asciiTheme="minorHAnsi" w:hAnsiTheme="minorHAnsi" w:cstheme="minorHAnsi"/>
          <w:strike/>
          <w:color w:val="FF0000"/>
          <w:sz w:val="22"/>
          <w:szCs w:val="22"/>
        </w:rPr>
        <w:t>; or</w:t>
      </w:r>
    </w:p>
    <w:p w14:paraId="4A7EF8A2" w14:textId="224080A0" w:rsidR="006558F3" w:rsidRPr="008B1EEA" w:rsidRDefault="006558F3" w:rsidP="006558F3">
      <w:pPr>
        <w:pStyle w:val="paragraph"/>
        <w:spacing w:before="180" w:beforeAutospacing="0" w:after="180" w:afterAutospacing="0"/>
        <w:ind w:left="1440"/>
        <w:textAlignment w:val="baseline"/>
        <w:rPr>
          <w:rStyle w:val="normaltextrun"/>
          <w:rFonts w:asciiTheme="minorHAnsi" w:hAnsiTheme="minorHAnsi" w:cstheme="minorHAnsi"/>
          <w:strike/>
          <w:color w:val="FF0000"/>
          <w:sz w:val="22"/>
          <w:szCs w:val="22"/>
        </w:rPr>
      </w:pPr>
      <w:r w:rsidRPr="008B1EEA">
        <w:rPr>
          <w:rStyle w:val="normaltextrun"/>
          <w:rFonts w:asciiTheme="minorHAnsi" w:hAnsiTheme="minorHAnsi" w:cstheme="minorHAnsi"/>
          <w:strike/>
          <w:color w:val="FF0000"/>
          <w:sz w:val="18"/>
          <w:szCs w:val="18"/>
        </w:rPr>
        <w:t xml:space="preserve">b) </w:t>
      </w:r>
      <w:r w:rsidRPr="008B1EEA">
        <w:rPr>
          <w:rStyle w:val="normaltextrun"/>
          <w:rFonts w:asciiTheme="minorHAnsi" w:hAnsiTheme="minorHAnsi" w:cstheme="minorHAnsi"/>
          <w:strike/>
          <w:color w:val="FF0000"/>
          <w:sz w:val="22"/>
          <w:szCs w:val="22"/>
        </w:rPr>
        <w:t>in preparations containing 1% or less of azelaic acid for non-human use</w:t>
      </w:r>
    </w:p>
    <w:p w14:paraId="04154848" w14:textId="116F2031" w:rsidR="006558F3" w:rsidRPr="008B1EEA" w:rsidRDefault="006558F3" w:rsidP="006558F3">
      <w:pPr>
        <w:pStyle w:val="paragraph"/>
        <w:spacing w:before="180" w:beforeAutospacing="0" w:after="180" w:afterAutospacing="0"/>
        <w:ind w:left="425"/>
        <w:textAlignment w:val="baseline"/>
        <w:rPr>
          <w:rFonts w:asciiTheme="minorHAnsi" w:hAnsiTheme="minorHAnsi" w:cstheme="minorHAnsi"/>
          <w:color w:val="000000"/>
          <w:sz w:val="18"/>
          <w:szCs w:val="18"/>
        </w:rPr>
      </w:pPr>
      <w:r w:rsidRPr="008B1EEA">
        <w:rPr>
          <w:rStyle w:val="normaltextrun"/>
          <w:rFonts w:asciiTheme="minorHAnsi" w:hAnsiTheme="minorHAnsi" w:cstheme="minorHAnsi"/>
          <w:b/>
          <w:bCs/>
          <w:color w:val="000000"/>
          <w:sz w:val="22"/>
          <w:szCs w:val="22"/>
        </w:rPr>
        <w:t xml:space="preserve">Schedule 2 – Amend </w:t>
      </w:r>
      <w:r w:rsidR="00C7111E">
        <w:rPr>
          <w:rStyle w:val="normaltextrun"/>
          <w:rFonts w:asciiTheme="minorHAnsi" w:hAnsiTheme="minorHAnsi" w:cstheme="minorHAnsi"/>
          <w:b/>
          <w:bCs/>
          <w:color w:val="000000"/>
          <w:sz w:val="22"/>
          <w:szCs w:val="22"/>
        </w:rPr>
        <w:t>E</w:t>
      </w:r>
      <w:r w:rsidRPr="008B1EEA">
        <w:rPr>
          <w:rStyle w:val="normaltextrun"/>
          <w:rFonts w:asciiTheme="minorHAnsi" w:hAnsiTheme="minorHAnsi" w:cstheme="minorHAnsi"/>
          <w:b/>
          <w:bCs/>
          <w:color w:val="000000"/>
          <w:sz w:val="22"/>
          <w:szCs w:val="22"/>
        </w:rPr>
        <w:t>ntry</w:t>
      </w:r>
    </w:p>
    <w:p w14:paraId="3F829513" w14:textId="77777777" w:rsidR="006558F3" w:rsidRPr="008B1EEA" w:rsidRDefault="006558F3" w:rsidP="006558F3">
      <w:pPr>
        <w:pStyle w:val="paragraph"/>
        <w:spacing w:before="180" w:beforeAutospacing="0" w:after="180" w:afterAutospacing="0"/>
        <w:ind w:left="709"/>
        <w:textAlignment w:val="baseline"/>
        <w:rPr>
          <w:rStyle w:val="normaltextrun"/>
          <w:rFonts w:asciiTheme="minorHAnsi" w:hAnsiTheme="minorHAnsi" w:cstheme="minorHAnsi"/>
          <w:b/>
          <w:bCs/>
          <w:strike/>
          <w:color w:val="FF0000"/>
          <w:sz w:val="22"/>
          <w:szCs w:val="22"/>
        </w:rPr>
      </w:pPr>
      <w:r w:rsidRPr="008B1EEA">
        <w:rPr>
          <w:rStyle w:val="normaltextrun"/>
          <w:rFonts w:asciiTheme="minorHAnsi" w:hAnsiTheme="minorHAnsi" w:cstheme="minorHAnsi"/>
          <w:color w:val="000000"/>
          <w:sz w:val="22"/>
          <w:szCs w:val="22"/>
        </w:rPr>
        <w:t>AZELAIC ACID in dermal preparations</w:t>
      </w:r>
      <w:r w:rsidRPr="008B1EEA">
        <w:rPr>
          <w:rFonts w:asciiTheme="minorHAnsi" w:eastAsiaTheme="minorHAnsi" w:hAnsiTheme="minorHAnsi" w:cstheme="minorHAnsi"/>
          <w:sz w:val="22"/>
          <w:szCs w:val="20"/>
          <w:lang w:eastAsia="en-US"/>
        </w:rPr>
        <w:t xml:space="preserve"> </w:t>
      </w:r>
      <w:r w:rsidRPr="008B1EEA">
        <w:rPr>
          <w:rFonts w:asciiTheme="minorHAnsi" w:hAnsiTheme="minorHAnsi" w:cstheme="minorHAnsi"/>
          <w:color w:val="000000"/>
          <w:sz w:val="22"/>
          <w:szCs w:val="22"/>
        </w:rPr>
        <w:t xml:space="preserve">for </w:t>
      </w:r>
      <w:r w:rsidRPr="008B1EEA">
        <w:rPr>
          <w:rStyle w:val="normaltextrun"/>
          <w:rFonts w:asciiTheme="minorHAnsi" w:hAnsiTheme="minorHAnsi" w:cstheme="minorHAnsi"/>
          <w:color w:val="00AF50"/>
          <w:sz w:val="22"/>
          <w:szCs w:val="22"/>
          <w:u w:val="single"/>
        </w:rPr>
        <w:t>human therapeutic use</w:t>
      </w:r>
      <w:r w:rsidRPr="008B1EEA">
        <w:rPr>
          <w:rStyle w:val="normaltextrun"/>
          <w:rFonts w:asciiTheme="minorHAnsi" w:hAnsiTheme="minorHAnsi" w:cstheme="minorHAnsi"/>
          <w:color w:val="00AF50"/>
          <w:u w:val="single"/>
        </w:rPr>
        <w:t>.</w:t>
      </w:r>
    </w:p>
    <w:p w14:paraId="0F9DC61C" w14:textId="6F32A37C" w:rsidR="006558F3" w:rsidRPr="00461C08" w:rsidRDefault="006558F3" w:rsidP="006558F3">
      <w:pPr>
        <w:pStyle w:val="paragraph"/>
        <w:spacing w:before="180" w:beforeAutospacing="0" w:after="180" w:afterAutospacing="0"/>
        <w:ind w:left="426"/>
        <w:textAlignment w:val="baseline"/>
        <w:rPr>
          <w:rFonts w:asciiTheme="minorHAnsi" w:hAnsiTheme="minorHAnsi" w:cstheme="minorHAnsi"/>
          <w:b/>
          <w:bCs/>
          <w:sz w:val="22"/>
          <w:szCs w:val="22"/>
        </w:rPr>
      </w:pPr>
      <w:r w:rsidRPr="00461C08">
        <w:rPr>
          <w:rFonts w:asciiTheme="minorHAnsi" w:hAnsiTheme="minorHAnsi" w:cstheme="minorHAnsi"/>
          <w:b/>
          <w:bCs/>
          <w:sz w:val="22"/>
          <w:szCs w:val="22"/>
        </w:rPr>
        <w:t xml:space="preserve">Appendix E – New </w:t>
      </w:r>
      <w:r w:rsidR="00C7111E">
        <w:rPr>
          <w:rFonts w:asciiTheme="minorHAnsi" w:hAnsiTheme="minorHAnsi" w:cstheme="minorHAnsi"/>
          <w:b/>
          <w:bCs/>
          <w:sz w:val="22"/>
          <w:szCs w:val="22"/>
        </w:rPr>
        <w:t>E</w:t>
      </w:r>
      <w:r w:rsidRPr="00461C08">
        <w:rPr>
          <w:rFonts w:asciiTheme="minorHAnsi" w:hAnsiTheme="minorHAnsi" w:cstheme="minorHAnsi"/>
          <w:b/>
          <w:bCs/>
          <w:sz w:val="22"/>
          <w:szCs w:val="22"/>
        </w:rPr>
        <w:t>ntry</w:t>
      </w:r>
    </w:p>
    <w:tbl>
      <w:tblPr>
        <w:tblStyle w:val="TableTGAblue"/>
        <w:tblW w:w="8737" w:type="dxa"/>
        <w:tblInd w:w="720" w:type="dxa"/>
        <w:tblLook w:val="04A0" w:firstRow="1" w:lastRow="0" w:firstColumn="1" w:lastColumn="0" w:noHBand="0" w:noVBand="1"/>
      </w:tblPr>
      <w:tblGrid>
        <w:gridCol w:w="1360"/>
        <w:gridCol w:w="1360"/>
        <w:gridCol w:w="1881"/>
        <w:gridCol w:w="4136"/>
      </w:tblGrid>
      <w:tr w:rsidR="00621185" w:rsidRPr="009377B7" w14:paraId="6BDB9626" w14:textId="77777777" w:rsidTr="00DE5A72">
        <w:trPr>
          <w:cnfStyle w:val="100000000000" w:firstRow="1" w:lastRow="0" w:firstColumn="0" w:lastColumn="0" w:oddVBand="0" w:evenVBand="0" w:oddHBand="0"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360" w:type="dxa"/>
          </w:tcPr>
          <w:p w14:paraId="15C6B1F2" w14:textId="0AD4A83E" w:rsidR="00621185" w:rsidRPr="00621185" w:rsidDel="00621185" w:rsidRDefault="00621185" w:rsidP="008859CA">
            <w:pPr>
              <w:pStyle w:val="paragraph"/>
              <w:spacing w:before="180" w:beforeAutospacing="0" w:after="180" w:afterAutospacing="0"/>
              <w:textAlignment w:val="baseline"/>
              <w:rPr>
                <w:rFonts w:asciiTheme="minorHAnsi" w:hAnsiTheme="minorHAnsi" w:cstheme="minorHAnsi"/>
                <w:sz w:val="22"/>
                <w:szCs w:val="22"/>
              </w:rPr>
            </w:pPr>
            <w:r>
              <w:rPr>
                <w:rFonts w:asciiTheme="minorHAnsi" w:hAnsiTheme="minorHAnsi" w:cstheme="minorHAnsi"/>
                <w:sz w:val="22"/>
                <w:szCs w:val="22"/>
              </w:rPr>
              <w:t>Item</w:t>
            </w:r>
          </w:p>
        </w:tc>
        <w:tc>
          <w:tcPr>
            <w:tcW w:w="1360" w:type="dxa"/>
          </w:tcPr>
          <w:p w14:paraId="3AA5E387" w14:textId="4D4F9072" w:rsidR="00621185" w:rsidRPr="00621185" w:rsidRDefault="00621185" w:rsidP="008859CA">
            <w:pPr>
              <w:pStyle w:val="paragraph"/>
              <w:spacing w:before="180" w:beforeAutospacing="0" w:after="180" w:afterAutospacing="0"/>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2"/>
                <w:szCs w:val="22"/>
              </w:rPr>
            </w:pPr>
            <w:r w:rsidRPr="00DE5A72">
              <w:rPr>
                <w:rFonts w:asciiTheme="minorHAnsi" w:hAnsiTheme="minorHAnsi" w:cstheme="minorHAnsi"/>
                <w:color w:val="FFFFFF" w:themeColor="background1"/>
                <w:sz w:val="22"/>
                <w:szCs w:val="22"/>
              </w:rPr>
              <w:t>Poison</w:t>
            </w:r>
          </w:p>
        </w:tc>
        <w:tc>
          <w:tcPr>
            <w:tcW w:w="1881" w:type="dxa"/>
          </w:tcPr>
          <w:p w14:paraId="091676C2" w14:textId="05A5D55B" w:rsidR="00621185" w:rsidRPr="00621185" w:rsidRDefault="00621185" w:rsidP="008859CA">
            <w:pPr>
              <w:pStyle w:val="paragraph"/>
              <w:spacing w:before="180" w:beforeAutospacing="0" w:after="180" w:afterAutospacing="0"/>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2"/>
                <w:szCs w:val="22"/>
              </w:rPr>
            </w:pPr>
            <w:r w:rsidRPr="00DE5A72">
              <w:rPr>
                <w:rFonts w:asciiTheme="minorHAnsi" w:hAnsiTheme="minorHAnsi" w:cstheme="minorHAnsi"/>
                <w:color w:val="FFFFFF" w:themeColor="background1"/>
                <w:sz w:val="22"/>
                <w:szCs w:val="22"/>
              </w:rPr>
              <w:t xml:space="preserve"> Statement code</w:t>
            </w:r>
          </w:p>
        </w:tc>
        <w:tc>
          <w:tcPr>
            <w:tcW w:w="4136" w:type="dxa"/>
          </w:tcPr>
          <w:p w14:paraId="3DD6933E" w14:textId="5310A9F4" w:rsidR="00621185" w:rsidRPr="00621185" w:rsidRDefault="00621185" w:rsidP="008859CA">
            <w:pPr>
              <w:pStyle w:val="paragraph"/>
              <w:spacing w:before="180" w:beforeAutospacing="0" w:after="180" w:afterAutospacing="0"/>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2"/>
                <w:szCs w:val="22"/>
              </w:rPr>
            </w:pPr>
            <w:r w:rsidRPr="00DE5A72">
              <w:rPr>
                <w:rFonts w:asciiTheme="minorHAnsi" w:hAnsiTheme="minorHAnsi" w:cstheme="minorHAnsi"/>
                <w:color w:val="FFFFFF" w:themeColor="background1"/>
                <w:sz w:val="22"/>
                <w:szCs w:val="22"/>
              </w:rPr>
              <w:t>First aid instructions</w:t>
            </w:r>
          </w:p>
        </w:tc>
      </w:tr>
      <w:tr w:rsidR="00621185" w:rsidRPr="009377B7" w14:paraId="3B4E29ED" w14:textId="77777777" w:rsidTr="00DE5A72">
        <w:trPr>
          <w:trHeight w:val="1309"/>
        </w:trPr>
        <w:tc>
          <w:tcPr>
            <w:cnfStyle w:val="001000000000" w:firstRow="0" w:lastRow="0" w:firstColumn="1" w:lastColumn="0" w:oddVBand="0" w:evenVBand="0" w:oddHBand="0" w:evenHBand="0" w:firstRowFirstColumn="0" w:firstRowLastColumn="0" w:lastRowFirstColumn="0" w:lastRowLastColumn="0"/>
            <w:tcW w:w="1360" w:type="dxa"/>
          </w:tcPr>
          <w:p w14:paraId="1A00F935" w14:textId="28AC4B28" w:rsidR="00621185" w:rsidRPr="008B1EEA" w:rsidRDefault="00621185" w:rsidP="008859CA">
            <w:pPr>
              <w:pStyle w:val="paragraph"/>
              <w:spacing w:before="180" w:beforeAutospacing="0" w:after="180" w:afterAutospacing="0"/>
              <w:textAlignment w:val="baseline"/>
              <w:rPr>
                <w:rFonts w:asciiTheme="minorHAnsi" w:hAnsiTheme="minorHAnsi" w:cstheme="minorHAnsi"/>
                <w:color w:val="00B050"/>
                <w:sz w:val="22"/>
                <w:szCs w:val="22"/>
              </w:rPr>
            </w:pPr>
            <w:r>
              <w:rPr>
                <w:rFonts w:asciiTheme="minorHAnsi" w:hAnsiTheme="minorHAnsi" w:cstheme="minorHAnsi"/>
                <w:color w:val="00B050"/>
                <w:sz w:val="22"/>
                <w:szCs w:val="22"/>
              </w:rPr>
              <w:t>31a</w:t>
            </w:r>
          </w:p>
        </w:tc>
        <w:tc>
          <w:tcPr>
            <w:tcW w:w="1360" w:type="dxa"/>
          </w:tcPr>
          <w:p w14:paraId="6A68F2EE" w14:textId="02A5497D" w:rsidR="00621185" w:rsidRPr="008B1EEA" w:rsidRDefault="00621185" w:rsidP="008859CA">
            <w:pPr>
              <w:pStyle w:val="paragraph"/>
              <w:spacing w:before="180" w:beforeAutospacing="0" w:after="18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B050"/>
                <w:sz w:val="22"/>
                <w:szCs w:val="22"/>
              </w:rPr>
            </w:pPr>
            <w:r w:rsidRPr="008B1EEA">
              <w:rPr>
                <w:rFonts w:asciiTheme="minorHAnsi" w:hAnsiTheme="minorHAnsi" w:cstheme="minorHAnsi"/>
                <w:color w:val="00B050"/>
                <w:sz w:val="22"/>
                <w:szCs w:val="22"/>
              </w:rPr>
              <w:t>Azelaic acid</w:t>
            </w:r>
          </w:p>
        </w:tc>
        <w:tc>
          <w:tcPr>
            <w:tcW w:w="1881" w:type="dxa"/>
          </w:tcPr>
          <w:p w14:paraId="573C79B0" w14:textId="77777777" w:rsidR="00621185" w:rsidRPr="008B1EEA" w:rsidRDefault="00621185" w:rsidP="008859CA">
            <w:pPr>
              <w:pStyle w:val="paragraph"/>
              <w:spacing w:before="180" w:beforeAutospacing="0" w:after="18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B050"/>
                <w:sz w:val="22"/>
                <w:szCs w:val="22"/>
              </w:rPr>
            </w:pPr>
            <w:r w:rsidRPr="008B1EEA">
              <w:rPr>
                <w:rFonts w:asciiTheme="minorHAnsi" w:hAnsiTheme="minorHAnsi" w:cstheme="minorHAnsi"/>
                <w:color w:val="00B050"/>
                <w:sz w:val="22"/>
                <w:szCs w:val="22"/>
              </w:rPr>
              <w:t>A, E1</w:t>
            </w:r>
          </w:p>
        </w:tc>
        <w:tc>
          <w:tcPr>
            <w:tcW w:w="4136" w:type="dxa"/>
            <w:vAlign w:val="center"/>
          </w:tcPr>
          <w:p w14:paraId="46153DFD" w14:textId="6FAD578F" w:rsidR="00621185" w:rsidRPr="008B1EEA" w:rsidRDefault="00621185" w:rsidP="008859CA">
            <w:pPr>
              <w:pStyle w:val="paragraph"/>
              <w:spacing w:before="180" w:beforeAutospacing="0" w:after="18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B050"/>
                <w:sz w:val="20"/>
                <w:szCs w:val="20"/>
              </w:rPr>
            </w:pPr>
            <w:r w:rsidRPr="008B1EEA">
              <w:rPr>
                <w:rFonts w:asciiTheme="minorHAnsi" w:hAnsiTheme="minorHAnsi" w:cstheme="minorHAnsi"/>
                <w:color w:val="00B050"/>
                <w:sz w:val="20"/>
                <w:szCs w:val="20"/>
              </w:rPr>
              <w:t>A - For advice, contact a Poisons Information Centre (</w:t>
            </w:r>
            <w:proofErr w:type="gramStart"/>
            <w:r w:rsidRPr="008B1EEA">
              <w:rPr>
                <w:rFonts w:asciiTheme="minorHAnsi" w:hAnsiTheme="minorHAnsi" w:cstheme="minorHAnsi"/>
                <w:color w:val="00B050"/>
                <w:sz w:val="20"/>
                <w:szCs w:val="20"/>
              </w:rPr>
              <w:t>e.g.</w:t>
            </w:r>
            <w:proofErr w:type="gramEnd"/>
            <w:r w:rsidRPr="008B1EEA">
              <w:rPr>
                <w:rFonts w:asciiTheme="minorHAnsi" w:hAnsiTheme="minorHAnsi" w:cstheme="minorHAnsi"/>
                <w:color w:val="00B050"/>
                <w:sz w:val="20"/>
                <w:szCs w:val="20"/>
              </w:rPr>
              <w:t xml:space="preserve"> phone Australia 13 11 26; New Zealand 0800 764 766) or a doctor (at once).</w:t>
            </w:r>
          </w:p>
          <w:p w14:paraId="37F7DFB6" w14:textId="77777777" w:rsidR="00621185" w:rsidRPr="008B1EEA" w:rsidRDefault="00621185" w:rsidP="008859CA">
            <w:pPr>
              <w:pStyle w:val="paragraph"/>
              <w:spacing w:before="180" w:beforeAutospacing="0" w:after="18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B050"/>
                <w:sz w:val="22"/>
                <w:szCs w:val="22"/>
              </w:rPr>
            </w:pPr>
            <w:r w:rsidRPr="008B1EEA">
              <w:rPr>
                <w:rFonts w:asciiTheme="minorHAnsi" w:hAnsiTheme="minorHAnsi" w:cstheme="minorHAnsi"/>
                <w:color w:val="00B050"/>
                <w:sz w:val="20"/>
                <w:szCs w:val="20"/>
              </w:rPr>
              <w:t>E1 – If in eyes, wash out immediately with water</w:t>
            </w:r>
          </w:p>
        </w:tc>
      </w:tr>
    </w:tbl>
    <w:p w14:paraId="40AB36A6" w14:textId="77777777" w:rsidR="006558F3" w:rsidRPr="009377B7" w:rsidRDefault="006558F3" w:rsidP="006558F3">
      <w:pPr>
        <w:pStyle w:val="paragraph"/>
        <w:spacing w:before="180" w:beforeAutospacing="0" w:after="180" w:afterAutospacing="0"/>
        <w:textAlignment w:val="baseline"/>
        <w:rPr>
          <w:rFonts w:asciiTheme="minorHAnsi" w:hAnsiTheme="minorHAnsi" w:cstheme="minorHAnsi"/>
          <w:b/>
          <w:bCs/>
          <w:color w:val="00B050"/>
          <w:sz w:val="22"/>
          <w:szCs w:val="22"/>
        </w:rPr>
      </w:pPr>
    </w:p>
    <w:p w14:paraId="035C5813" w14:textId="0AD73B56" w:rsidR="006558F3" w:rsidRPr="00461C08" w:rsidRDefault="006558F3" w:rsidP="006558F3">
      <w:pPr>
        <w:pStyle w:val="paragraph"/>
        <w:keepNext/>
        <w:spacing w:before="180" w:beforeAutospacing="0" w:after="180" w:afterAutospacing="0"/>
        <w:ind w:left="426"/>
        <w:textAlignment w:val="baseline"/>
        <w:rPr>
          <w:rFonts w:asciiTheme="minorHAnsi" w:hAnsiTheme="minorHAnsi" w:cstheme="minorHAnsi"/>
          <w:b/>
          <w:bCs/>
          <w:sz w:val="22"/>
          <w:szCs w:val="22"/>
        </w:rPr>
      </w:pPr>
      <w:r w:rsidRPr="00461C08">
        <w:rPr>
          <w:rFonts w:asciiTheme="minorHAnsi" w:hAnsiTheme="minorHAnsi" w:cstheme="minorHAnsi"/>
          <w:b/>
          <w:bCs/>
          <w:sz w:val="22"/>
          <w:szCs w:val="22"/>
        </w:rPr>
        <w:lastRenderedPageBreak/>
        <w:t>Appendix F</w:t>
      </w:r>
      <w:r w:rsidR="00621185">
        <w:rPr>
          <w:rFonts w:asciiTheme="minorHAnsi" w:hAnsiTheme="minorHAnsi" w:cstheme="minorHAnsi"/>
          <w:b/>
          <w:bCs/>
          <w:sz w:val="22"/>
          <w:szCs w:val="22"/>
        </w:rPr>
        <w:t xml:space="preserve"> </w:t>
      </w:r>
      <w:r w:rsidRPr="00461C08">
        <w:rPr>
          <w:rFonts w:asciiTheme="minorHAnsi" w:hAnsiTheme="minorHAnsi" w:cstheme="minorHAnsi"/>
          <w:b/>
          <w:bCs/>
          <w:sz w:val="22"/>
          <w:szCs w:val="22"/>
        </w:rPr>
        <w:t xml:space="preserve">– New entry </w:t>
      </w:r>
    </w:p>
    <w:tbl>
      <w:tblPr>
        <w:tblStyle w:val="TableTGAblue"/>
        <w:tblW w:w="8573" w:type="dxa"/>
        <w:tblInd w:w="666" w:type="dxa"/>
        <w:tblLook w:val="04A0" w:firstRow="1" w:lastRow="0" w:firstColumn="1" w:lastColumn="0" w:noHBand="0" w:noVBand="1"/>
      </w:tblPr>
      <w:tblGrid>
        <w:gridCol w:w="1309"/>
        <w:gridCol w:w="1417"/>
        <w:gridCol w:w="1985"/>
        <w:gridCol w:w="3862"/>
      </w:tblGrid>
      <w:tr w:rsidR="00621185" w:rsidRPr="009377B7" w14:paraId="0EAE508A" w14:textId="77777777" w:rsidTr="00DE5A72">
        <w:trPr>
          <w:cnfStyle w:val="100000000000" w:firstRow="1" w:lastRow="0" w:firstColumn="0" w:lastColumn="0" w:oddVBand="0" w:evenVBand="0" w:oddHBand="0"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1309" w:type="dxa"/>
          </w:tcPr>
          <w:p w14:paraId="19A21442" w14:textId="57A2E12F" w:rsidR="00621185" w:rsidRPr="008B1EEA" w:rsidRDefault="00621185" w:rsidP="008859CA">
            <w:pPr>
              <w:pStyle w:val="paragraph"/>
              <w:spacing w:before="180" w:beforeAutospacing="0" w:after="180" w:afterAutospacing="0"/>
              <w:textAlignment w:val="baseline"/>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Item</w:t>
            </w:r>
          </w:p>
        </w:tc>
        <w:tc>
          <w:tcPr>
            <w:tcW w:w="1417" w:type="dxa"/>
          </w:tcPr>
          <w:p w14:paraId="08AB753F" w14:textId="1C6995BC" w:rsidR="00621185" w:rsidRPr="008B1EEA" w:rsidRDefault="00621185" w:rsidP="008859CA">
            <w:pPr>
              <w:pStyle w:val="paragraph"/>
              <w:spacing w:before="180" w:beforeAutospacing="0" w:after="180" w:afterAutospacing="0"/>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2"/>
                <w:szCs w:val="22"/>
              </w:rPr>
            </w:pPr>
            <w:r w:rsidRPr="008B1EEA">
              <w:rPr>
                <w:rFonts w:asciiTheme="minorHAnsi" w:hAnsiTheme="minorHAnsi" w:cstheme="minorHAnsi"/>
                <w:color w:val="FFFFFF" w:themeColor="background1"/>
                <w:sz w:val="22"/>
                <w:szCs w:val="22"/>
              </w:rPr>
              <w:t>Poison</w:t>
            </w:r>
          </w:p>
        </w:tc>
        <w:tc>
          <w:tcPr>
            <w:tcW w:w="1985" w:type="dxa"/>
          </w:tcPr>
          <w:p w14:paraId="34BDA909" w14:textId="4654E9EB" w:rsidR="00621185" w:rsidRPr="008B1EEA" w:rsidRDefault="00621185" w:rsidP="008859CA">
            <w:pPr>
              <w:pStyle w:val="paragraph"/>
              <w:spacing w:before="180" w:beforeAutospacing="0" w:after="180" w:afterAutospacing="0"/>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Statement code for safety directions</w:t>
            </w:r>
          </w:p>
        </w:tc>
        <w:tc>
          <w:tcPr>
            <w:tcW w:w="3862" w:type="dxa"/>
          </w:tcPr>
          <w:p w14:paraId="6B0A8C1E" w14:textId="73B0FA4C" w:rsidR="00621185" w:rsidRPr="008B1EEA" w:rsidRDefault="00621185" w:rsidP="008859CA">
            <w:pPr>
              <w:pStyle w:val="paragraph"/>
              <w:spacing w:before="180" w:beforeAutospacing="0" w:after="180" w:afterAutospacing="0"/>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2"/>
                <w:szCs w:val="22"/>
              </w:rPr>
            </w:pPr>
            <w:r w:rsidRPr="008B1EEA">
              <w:rPr>
                <w:rFonts w:asciiTheme="minorHAnsi" w:hAnsiTheme="minorHAnsi" w:cstheme="minorHAnsi"/>
                <w:color w:val="FFFFFF" w:themeColor="background1"/>
                <w:sz w:val="22"/>
                <w:szCs w:val="22"/>
              </w:rPr>
              <w:t>Safety Direction</w:t>
            </w:r>
          </w:p>
        </w:tc>
      </w:tr>
      <w:tr w:rsidR="00621185" w:rsidRPr="009377B7" w14:paraId="32483902" w14:textId="77777777" w:rsidTr="00DE5A72">
        <w:trPr>
          <w:trHeight w:val="674"/>
        </w:trPr>
        <w:tc>
          <w:tcPr>
            <w:cnfStyle w:val="001000000000" w:firstRow="0" w:lastRow="0" w:firstColumn="1" w:lastColumn="0" w:oddVBand="0" w:evenVBand="0" w:oddHBand="0" w:evenHBand="0" w:firstRowFirstColumn="0" w:firstRowLastColumn="0" w:lastRowFirstColumn="0" w:lastRowLastColumn="0"/>
            <w:tcW w:w="1309" w:type="dxa"/>
          </w:tcPr>
          <w:p w14:paraId="01D6E1E9" w14:textId="400A2663" w:rsidR="00621185" w:rsidRPr="008B1EEA" w:rsidRDefault="00621185" w:rsidP="008859CA">
            <w:pPr>
              <w:pStyle w:val="paragraph"/>
              <w:spacing w:before="180" w:beforeAutospacing="0" w:after="180" w:afterAutospacing="0"/>
              <w:textAlignment w:val="baseline"/>
              <w:rPr>
                <w:rFonts w:asciiTheme="minorHAnsi" w:hAnsiTheme="minorHAnsi" w:cstheme="minorHAnsi"/>
                <w:color w:val="00B050"/>
                <w:sz w:val="22"/>
                <w:szCs w:val="22"/>
              </w:rPr>
            </w:pPr>
            <w:r>
              <w:rPr>
                <w:rFonts w:asciiTheme="minorHAnsi" w:hAnsiTheme="minorHAnsi" w:cstheme="minorHAnsi"/>
                <w:color w:val="00B050"/>
                <w:sz w:val="22"/>
                <w:szCs w:val="22"/>
              </w:rPr>
              <w:t>32a</w:t>
            </w:r>
          </w:p>
        </w:tc>
        <w:tc>
          <w:tcPr>
            <w:tcW w:w="1417" w:type="dxa"/>
          </w:tcPr>
          <w:p w14:paraId="50547880" w14:textId="79EFDBF9" w:rsidR="00621185" w:rsidRPr="008B1EEA" w:rsidRDefault="00621185" w:rsidP="008859CA">
            <w:pPr>
              <w:pStyle w:val="paragraph"/>
              <w:spacing w:before="180" w:beforeAutospacing="0" w:after="18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B050"/>
                <w:sz w:val="22"/>
                <w:szCs w:val="22"/>
              </w:rPr>
            </w:pPr>
            <w:r w:rsidRPr="008B1EEA">
              <w:rPr>
                <w:rFonts w:asciiTheme="minorHAnsi" w:hAnsiTheme="minorHAnsi" w:cstheme="minorHAnsi"/>
                <w:color w:val="00B050"/>
                <w:sz w:val="22"/>
                <w:szCs w:val="22"/>
              </w:rPr>
              <w:t>Azelaic acid</w:t>
            </w:r>
          </w:p>
        </w:tc>
        <w:tc>
          <w:tcPr>
            <w:tcW w:w="1985" w:type="dxa"/>
          </w:tcPr>
          <w:p w14:paraId="539FB372" w14:textId="77777777" w:rsidR="00621185" w:rsidRPr="008B1EEA" w:rsidRDefault="00621185" w:rsidP="008859CA">
            <w:pPr>
              <w:pStyle w:val="paragraph"/>
              <w:spacing w:before="180" w:beforeAutospacing="0" w:after="18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B050"/>
                <w:sz w:val="22"/>
                <w:szCs w:val="22"/>
              </w:rPr>
            </w:pPr>
            <w:r w:rsidRPr="008B1EEA">
              <w:rPr>
                <w:rFonts w:asciiTheme="minorHAnsi" w:hAnsiTheme="minorHAnsi" w:cstheme="minorHAnsi"/>
                <w:color w:val="00B050"/>
                <w:sz w:val="22"/>
                <w:szCs w:val="22"/>
              </w:rPr>
              <w:t>1, 4</w:t>
            </w:r>
          </w:p>
        </w:tc>
        <w:tc>
          <w:tcPr>
            <w:tcW w:w="3862" w:type="dxa"/>
            <w:vAlign w:val="center"/>
          </w:tcPr>
          <w:p w14:paraId="30B3FA4D" w14:textId="77777777" w:rsidR="00621185" w:rsidRPr="008B1EEA" w:rsidRDefault="00621185" w:rsidP="008859CA">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B050"/>
                <w:sz w:val="20"/>
                <w:szCs w:val="20"/>
              </w:rPr>
            </w:pPr>
            <w:r w:rsidRPr="008B1EEA">
              <w:rPr>
                <w:rFonts w:asciiTheme="minorHAnsi" w:hAnsiTheme="minorHAnsi" w:cstheme="minorHAnsi"/>
                <w:color w:val="00B050"/>
                <w:sz w:val="20"/>
                <w:szCs w:val="20"/>
              </w:rPr>
              <w:t>1 - Avoid contact with eyes</w:t>
            </w:r>
          </w:p>
          <w:p w14:paraId="0396264E" w14:textId="21A20CEC" w:rsidR="00621185" w:rsidRPr="008B1EEA" w:rsidRDefault="00621185" w:rsidP="008859CA">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B050"/>
                <w:sz w:val="22"/>
                <w:szCs w:val="22"/>
              </w:rPr>
            </w:pPr>
            <w:r w:rsidRPr="008B1EEA">
              <w:rPr>
                <w:rFonts w:asciiTheme="minorHAnsi" w:hAnsiTheme="minorHAnsi" w:cstheme="minorHAnsi"/>
                <w:color w:val="00B050"/>
                <w:sz w:val="20"/>
                <w:szCs w:val="20"/>
              </w:rPr>
              <w:t>4 - Avoid contact with skin</w:t>
            </w:r>
          </w:p>
        </w:tc>
      </w:tr>
    </w:tbl>
    <w:p w14:paraId="17BFBDD2" w14:textId="04B6B8EC" w:rsidR="006558F3" w:rsidRPr="008B1EEA" w:rsidRDefault="006558F3" w:rsidP="00461C08">
      <w:pPr>
        <w:pStyle w:val="paragraph"/>
        <w:spacing w:before="180" w:beforeAutospacing="0" w:after="180" w:afterAutospacing="0"/>
        <w:ind w:left="426"/>
        <w:textAlignment w:val="baseline"/>
        <w:rPr>
          <w:rFonts w:asciiTheme="minorHAnsi" w:hAnsiTheme="minorHAnsi" w:cstheme="minorHAnsi"/>
          <w:color w:val="000000"/>
          <w:sz w:val="18"/>
          <w:szCs w:val="18"/>
        </w:rPr>
      </w:pPr>
      <w:r w:rsidRPr="008B1EEA">
        <w:rPr>
          <w:rStyle w:val="normaltextrun"/>
          <w:rFonts w:asciiTheme="minorHAnsi" w:hAnsiTheme="minorHAnsi" w:cstheme="minorHAnsi"/>
          <w:b/>
          <w:bCs/>
          <w:color w:val="000000"/>
          <w:sz w:val="22"/>
          <w:szCs w:val="22"/>
        </w:rPr>
        <w:t xml:space="preserve">Index – Amend </w:t>
      </w:r>
      <w:r w:rsidR="00C7111E">
        <w:rPr>
          <w:rStyle w:val="normaltextrun"/>
          <w:rFonts w:asciiTheme="minorHAnsi" w:hAnsiTheme="minorHAnsi" w:cstheme="minorHAnsi"/>
          <w:b/>
          <w:bCs/>
          <w:color w:val="000000"/>
          <w:sz w:val="22"/>
          <w:szCs w:val="22"/>
        </w:rPr>
        <w:t>E</w:t>
      </w:r>
      <w:r w:rsidRPr="008B1EEA">
        <w:rPr>
          <w:rStyle w:val="normaltextrun"/>
          <w:rFonts w:asciiTheme="minorHAnsi" w:hAnsiTheme="minorHAnsi" w:cstheme="minorHAnsi"/>
          <w:b/>
          <w:bCs/>
          <w:color w:val="000000"/>
          <w:sz w:val="22"/>
          <w:szCs w:val="22"/>
        </w:rPr>
        <w:t>ntry</w:t>
      </w:r>
      <w:r w:rsidRPr="008B1EEA">
        <w:rPr>
          <w:rStyle w:val="eop"/>
          <w:rFonts w:asciiTheme="minorHAnsi" w:hAnsiTheme="minorHAnsi" w:cstheme="minorHAnsi"/>
          <w:color w:val="000000"/>
          <w:sz w:val="22"/>
          <w:szCs w:val="22"/>
        </w:rPr>
        <w:t> </w:t>
      </w:r>
    </w:p>
    <w:p w14:paraId="31E1EEB1" w14:textId="40184436" w:rsidR="006558F3" w:rsidRPr="008B1EEA" w:rsidRDefault="006558F3" w:rsidP="006558F3">
      <w:pPr>
        <w:spacing w:before="180"/>
        <w:ind w:left="709" w:firstLine="11"/>
        <w:rPr>
          <w:rStyle w:val="normaltextrun"/>
          <w:rFonts w:cstheme="minorHAnsi"/>
          <w:color w:val="00AF50"/>
          <w:sz w:val="24"/>
          <w:u w:val="single"/>
          <w:lang w:eastAsia="en-AU"/>
        </w:rPr>
      </w:pPr>
      <w:r w:rsidRPr="008B1EEA">
        <w:rPr>
          <w:rStyle w:val="normaltextrun"/>
          <w:rFonts w:cstheme="minorHAnsi"/>
          <w:b/>
          <w:bCs/>
          <w:color w:val="000000"/>
        </w:rPr>
        <w:t>AZELAIC ACID</w:t>
      </w:r>
      <w:r w:rsidRPr="008B1EEA">
        <w:rPr>
          <w:rStyle w:val="scxw158489010"/>
          <w:rFonts w:cstheme="minorHAnsi"/>
          <w:color w:val="000000"/>
        </w:rPr>
        <w:t> </w:t>
      </w:r>
      <w:r w:rsidRPr="008B1EEA">
        <w:rPr>
          <w:rFonts w:cstheme="minorHAnsi"/>
          <w:color w:val="000000"/>
        </w:rPr>
        <w:br/>
      </w:r>
      <w:r w:rsidR="00F312F6">
        <w:rPr>
          <w:rStyle w:val="normaltextrun"/>
          <w:rFonts w:cstheme="minorHAnsi"/>
          <w:color w:val="00AF50"/>
          <w:u w:val="single"/>
        </w:rPr>
        <w:t>c</w:t>
      </w:r>
      <w:r w:rsidRPr="008B1EEA">
        <w:rPr>
          <w:rStyle w:val="normaltextrun"/>
          <w:rFonts w:cstheme="minorHAnsi"/>
          <w:color w:val="00AF50"/>
          <w:u w:val="single"/>
        </w:rPr>
        <w:t>ross reference: NONANEDIOIC ACID</w:t>
      </w:r>
    </w:p>
    <w:p w14:paraId="4BD4CBE1" w14:textId="31E7F004" w:rsidR="006558F3" w:rsidRPr="008B1EEA" w:rsidRDefault="006558F3" w:rsidP="006558F3">
      <w:pPr>
        <w:spacing w:before="180"/>
        <w:ind w:left="709" w:firstLine="11"/>
        <w:rPr>
          <w:rFonts w:cstheme="minorHAnsi"/>
          <w:color w:val="000000"/>
        </w:rPr>
      </w:pPr>
      <w:r w:rsidRPr="008B1EEA">
        <w:rPr>
          <w:rStyle w:val="normaltextrun"/>
          <w:rFonts w:cstheme="minorHAnsi"/>
          <w:color w:val="00AF50"/>
          <w:u w:val="single"/>
        </w:rPr>
        <w:t>Schedule 5</w:t>
      </w:r>
      <w:r w:rsidRPr="008B1EEA">
        <w:rPr>
          <w:rStyle w:val="scxw158489010"/>
          <w:rFonts w:cstheme="minorHAnsi"/>
          <w:color w:val="00AF50"/>
          <w:u w:val="single"/>
        </w:rPr>
        <w:t> </w:t>
      </w:r>
      <w:r w:rsidRPr="008B1EEA">
        <w:rPr>
          <w:rFonts w:cstheme="minorHAnsi"/>
          <w:color w:val="00AF50"/>
          <w:u w:val="single"/>
        </w:rPr>
        <w:br/>
      </w:r>
      <w:r w:rsidRPr="008B1EEA">
        <w:rPr>
          <w:rStyle w:val="normaltextrun"/>
          <w:rFonts w:cstheme="minorHAnsi"/>
          <w:color w:val="000000"/>
        </w:rPr>
        <w:t>Schedule 4</w:t>
      </w:r>
      <w:r w:rsidRPr="008B1EEA">
        <w:rPr>
          <w:rStyle w:val="scxw158489010"/>
          <w:rFonts w:cstheme="minorHAnsi"/>
          <w:color w:val="000000"/>
        </w:rPr>
        <w:t> </w:t>
      </w:r>
      <w:r w:rsidRPr="008B1EEA">
        <w:rPr>
          <w:rFonts w:cstheme="minorHAnsi"/>
          <w:color w:val="000000"/>
        </w:rPr>
        <w:br/>
      </w:r>
      <w:r w:rsidRPr="008B1EEA">
        <w:rPr>
          <w:rStyle w:val="normaltextrun"/>
          <w:rFonts w:cstheme="minorHAnsi"/>
          <w:color w:val="000000"/>
        </w:rPr>
        <w:t>Schedule 2</w:t>
      </w:r>
      <w:r w:rsidRPr="008B1EEA">
        <w:rPr>
          <w:rStyle w:val="eop"/>
          <w:rFonts w:cstheme="minorHAnsi"/>
          <w:color w:val="000000"/>
        </w:rPr>
        <w:br/>
      </w:r>
      <w:r w:rsidRPr="008B1EEA">
        <w:rPr>
          <w:rStyle w:val="eop"/>
          <w:rFonts w:cstheme="minorHAnsi"/>
          <w:color w:val="00B050"/>
          <w:u w:val="single"/>
        </w:rPr>
        <w:t>Appendix E, clause 3</w:t>
      </w:r>
      <w:r w:rsidRPr="008B1EEA">
        <w:rPr>
          <w:rStyle w:val="eop"/>
          <w:rFonts w:cstheme="minorHAnsi"/>
          <w:color w:val="00B050"/>
          <w:u w:val="single"/>
        </w:rPr>
        <w:br/>
        <w:t>Appendix F, clause 4</w:t>
      </w:r>
    </w:p>
    <w:p w14:paraId="025FD6FB" w14:textId="4FD429BC" w:rsidR="00457050" w:rsidRPr="00BB34CD" w:rsidRDefault="00457050" w:rsidP="00C80672">
      <w:pPr>
        <w:pStyle w:val="Heading4"/>
      </w:pPr>
      <w:r w:rsidRPr="00BB34CD">
        <w:t xml:space="preserve">Materials considered </w:t>
      </w:r>
    </w:p>
    <w:p w14:paraId="31C6FA6E" w14:textId="77777777" w:rsidR="00457050" w:rsidRPr="008B1EEA" w:rsidRDefault="00457050" w:rsidP="00967490">
      <w:pPr>
        <w:rPr>
          <w:rFonts w:cstheme="minorHAnsi"/>
        </w:rPr>
      </w:pPr>
      <w:r w:rsidRPr="008B1EEA">
        <w:rPr>
          <w:rFonts w:cstheme="minorHAnsi"/>
        </w:rPr>
        <w:t>In making this final decision, the Delegate considered the following material:</w:t>
      </w:r>
    </w:p>
    <w:p w14:paraId="2072B54B" w14:textId="036D9C2B" w:rsidR="00763CC1" w:rsidRPr="00763CC1" w:rsidRDefault="00763CC1" w:rsidP="00763CC1">
      <w:pPr>
        <w:pStyle w:val="ListBullet"/>
      </w:pPr>
      <w:r w:rsidRPr="00C7111E">
        <w:rPr>
          <w:color w:val="auto"/>
        </w:rPr>
        <w:t xml:space="preserve">The </w:t>
      </w:r>
      <w:hyperlink r:id="rId19" w:history="1">
        <w:r w:rsidRPr="00C7111E">
          <w:rPr>
            <w:rStyle w:val="Hyperlink"/>
            <w:rFonts w:asciiTheme="minorHAnsi" w:hAnsiTheme="minorHAnsi"/>
          </w:rPr>
          <w:t>delegate-initiated proposal</w:t>
        </w:r>
      </w:hyperlink>
      <w:r w:rsidRPr="00763CC1">
        <w:t xml:space="preserve"> </w:t>
      </w:r>
      <w:r w:rsidRPr="00C7111E">
        <w:rPr>
          <w:color w:val="auto"/>
        </w:rPr>
        <w:t xml:space="preserve">to amend the current Poisons Standard with respect to </w:t>
      </w:r>
      <w:r w:rsidR="00145B1B" w:rsidRPr="00C7111E">
        <w:rPr>
          <w:color w:val="auto"/>
        </w:rPr>
        <w:t>azelaic acid</w:t>
      </w:r>
      <w:r w:rsidRPr="00C7111E">
        <w:rPr>
          <w:color w:val="auto"/>
        </w:rPr>
        <w:t xml:space="preserve"> (the </w:t>
      </w:r>
      <w:r w:rsidRPr="00C7111E">
        <w:rPr>
          <w:b/>
          <w:bCs/>
          <w:color w:val="auto"/>
        </w:rPr>
        <w:t>Proposal</w:t>
      </w:r>
      <w:r w:rsidRPr="00C7111E">
        <w:rPr>
          <w:color w:val="auto"/>
        </w:rPr>
        <w:t>)</w:t>
      </w:r>
      <w:r w:rsidR="00B611F9">
        <w:rPr>
          <w:color w:val="auto"/>
        </w:rPr>
        <w:t>.</w:t>
      </w:r>
    </w:p>
    <w:p w14:paraId="3A48C9B3" w14:textId="4BD525B3" w:rsidR="00C80672" w:rsidRDefault="00C80672" w:rsidP="00C7111E">
      <w:pPr>
        <w:pStyle w:val="ListBullet"/>
        <w:spacing w:before="240"/>
        <w:rPr>
          <w:color w:val="auto"/>
        </w:rPr>
      </w:pPr>
      <w:r w:rsidRPr="008B1EEA">
        <w:rPr>
          <w:color w:val="auto"/>
        </w:rPr>
        <w:t xml:space="preserve">The 4 </w:t>
      </w:r>
      <w:hyperlink r:id="rId20" w:history="1">
        <w:r w:rsidRPr="008B1EEA">
          <w:rPr>
            <w:rStyle w:val="Hyperlink"/>
            <w:rFonts w:asciiTheme="minorHAnsi" w:hAnsiTheme="minorHAnsi"/>
          </w:rPr>
          <w:t>public submissions</w:t>
        </w:r>
      </w:hyperlink>
      <w:r w:rsidRPr="008B1EEA">
        <w:t xml:space="preserve"> </w:t>
      </w:r>
      <w:r w:rsidRPr="008B1EEA">
        <w:rPr>
          <w:color w:val="auto"/>
        </w:rPr>
        <w:t xml:space="preserve">received in response to the </w:t>
      </w:r>
      <w:hyperlink r:id="rId21" w:history="1">
        <w:r w:rsidRPr="008B1EEA">
          <w:rPr>
            <w:rStyle w:val="Hyperlink"/>
            <w:rFonts w:asciiTheme="minorHAnsi" w:hAnsiTheme="minorHAnsi"/>
          </w:rPr>
          <w:t>pre-meeting consultation</w:t>
        </w:r>
      </w:hyperlink>
      <w:r w:rsidRPr="008B1EEA">
        <w:t xml:space="preserve"> </w:t>
      </w:r>
      <w:r w:rsidRPr="008B1EEA">
        <w:rPr>
          <w:color w:val="auto"/>
        </w:rPr>
        <w:t>under regulation 42ZCZK of the Regulations</w:t>
      </w:r>
      <w:r w:rsidR="004121E0">
        <w:rPr>
          <w:color w:val="auto"/>
        </w:rPr>
        <w:t xml:space="preserve"> (the </w:t>
      </w:r>
      <w:r w:rsidR="004121E0" w:rsidRPr="00163AEE">
        <w:rPr>
          <w:b/>
          <w:bCs/>
          <w:color w:val="auto"/>
        </w:rPr>
        <w:t>Submissions</w:t>
      </w:r>
      <w:r w:rsidR="004121E0">
        <w:rPr>
          <w:b/>
          <w:bCs/>
          <w:color w:val="auto"/>
        </w:rPr>
        <w:t>)</w:t>
      </w:r>
      <w:r w:rsidR="00B611F9">
        <w:rPr>
          <w:b/>
          <w:bCs/>
          <w:color w:val="auto"/>
        </w:rPr>
        <w:t>.</w:t>
      </w:r>
    </w:p>
    <w:p w14:paraId="2B5729D1" w14:textId="181281C0" w:rsidR="002C6CE8" w:rsidRPr="008B1EEA" w:rsidRDefault="002C6CE8" w:rsidP="00C80672">
      <w:pPr>
        <w:pStyle w:val="ListBullet"/>
        <w:rPr>
          <w:color w:val="auto"/>
        </w:rPr>
      </w:pPr>
      <w:r>
        <w:rPr>
          <w:color w:val="auto"/>
        </w:rPr>
        <w:t xml:space="preserve">The </w:t>
      </w:r>
      <w:r w:rsidR="00B042AD">
        <w:rPr>
          <w:color w:val="auto"/>
        </w:rPr>
        <w:t xml:space="preserve">Australian Industrial Chemicals Introduction Scheme (AICIS) </w:t>
      </w:r>
      <w:hyperlink r:id="rId22" w:history="1">
        <w:r w:rsidR="00B042AD" w:rsidRPr="00B042AD">
          <w:rPr>
            <w:rStyle w:val="Hyperlink"/>
            <w:rFonts w:asciiTheme="minorHAnsi" w:hAnsiTheme="minorHAnsi"/>
          </w:rPr>
          <w:t>evaluation statement</w:t>
        </w:r>
      </w:hyperlink>
      <w:r w:rsidR="00B042AD">
        <w:rPr>
          <w:color w:val="auto"/>
        </w:rPr>
        <w:t xml:space="preserve"> on azelaic acid</w:t>
      </w:r>
      <w:r w:rsidR="00B611F9">
        <w:rPr>
          <w:color w:val="auto"/>
        </w:rPr>
        <w:t>.</w:t>
      </w:r>
    </w:p>
    <w:p w14:paraId="143997E5" w14:textId="07D8D350" w:rsidR="00C82B65" w:rsidRDefault="00C82B65" w:rsidP="00C82B65">
      <w:pPr>
        <w:numPr>
          <w:ilvl w:val="0"/>
          <w:numId w:val="1"/>
        </w:numPr>
        <w:spacing w:before="120" w:after="180" w:line="240" w:lineRule="atLeast"/>
        <w:rPr>
          <w:rFonts w:cstheme="minorHAnsi"/>
        </w:rPr>
      </w:pPr>
      <w:r w:rsidRPr="00C82B65">
        <w:rPr>
          <w:rFonts w:cstheme="minorHAnsi"/>
        </w:rPr>
        <w:t xml:space="preserve">The </w:t>
      </w:r>
      <w:hyperlink r:id="rId23" w:history="1">
        <w:r w:rsidRPr="00C7111E">
          <w:rPr>
            <w:rStyle w:val="Hyperlink"/>
            <w:rFonts w:asciiTheme="minorHAnsi" w:hAnsiTheme="minorHAnsi" w:cstheme="minorHAnsi"/>
          </w:rPr>
          <w:t>Globally Harmonized System of Classification and Labelling of Chemicals (GHS Rev. 9, 2021)</w:t>
        </w:r>
      </w:hyperlink>
      <w:r w:rsidR="00B611F9">
        <w:rPr>
          <w:rStyle w:val="Hyperlink"/>
          <w:rFonts w:asciiTheme="minorHAnsi" w:hAnsiTheme="minorHAnsi" w:cstheme="minorHAnsi"/>
        </w:rPr>
        <w:t>.</w:t>
      </w:r>
    </w:p>
    <w:p w14:paraId="002B03F9" w14:textId="246720DC" w:rsidR="00F53BA6" w:rsidRPr="00F53BA6" w:rsidRDefault="00F53BA6" w:rsidP="00F53BA6">
      <w:pPr>
        <w:pStyle w:val="ListBullet"/>
      </w:pPr>
      <w:r w:rsidRPr="008B1EEA">
        <w:rPr>
          <w:color w:val="auto"/>
        </w:rPr>
        <w:t>The advice received from the 33</w:t>
      </w:r>
      <w:r w:rsidRPr="008B1EEA">
        <w:rPr>
          <w:color w:val="auto"/>
          <w:vertAlign w:val="superscript"/>
        </w:rPr>
        <w:t>rd</w:t>
      </w:r>
      <w:r w:rsidRPr="008B1EEA">
        <w:rPr>
          <w:color w:val="auto"/>
        </w:rPr>
        <w:t xml:space="preserve"> meeting of the Advisory Committees on Medicines and </w:t>
      </w:r>
      <w:r w:rsidRPr="00C044E1">
        <w:rPr>
          <w:color w:val="auto"/>
        </w:rPr>
        <w:t xml:space="preserve">Chemical Scheduling in joint session (the </w:t>
      </w:r>
      <w:r w:rsidRPr="00C044E1">
        <w:rPr>
          <w:b/>
          <w:bCs/>
          <w:color w:val="auto"/>
        </w:rPr>
        <w:t>Committee</w:t>
      </w:r>
      <w:r w:rsidRPr="00C044E1">
        <w:rPr>
          <w:color w:val="auto"/>
        </w:rPr>
        <w:t>)</w:t>
      </w:r>
      <w:r w:rsidR="00B611F9">
        <w:rPr>
          <w:color w:val="auto"/>
        </w:rPr>
        <w:t>.</w:t>
      </w:r>
      <w:r w:rsidRPr="00C044E1">
        <w:rPr>
          <w:rStyle w:val="FootnoteReference"/>
          <w:color w:val="auto"/>
        </w:rPr>
        <w:footnoteReference w:id="5"/>
      </w:r>
    </w:p>
    <w:p w14:paraId="4F4EE9FD" w14:textId="4A5710B5" w:rsidR="00C80672" w:rsidRPr="00C044E1" w:rsidRDefault="00C80672" w:rsidP="00C80672">
      <w:pPr>
        <w:pStyle w:val="ListBullet"/>
        <w:rPr>
          <w:color w:val="auto"/>
        </w:rPr>
      </w:pPr>
      <w:r w:rsidRPr="00C044E1">
        <w:rPr>
          <w:color w:val="auto"/>
        </w:rPr>
        <w:t xml:space="preserve">The </w:t>
      </w:r>
      <w:r w:rsidR="00D11AE6" w:rsidRPr="00C044E1">
        <w:rPr>
          <w:color w:val="auto"/>
        </w:rPr>
        <w:t>4</w:t>
      </w:r>
      <w:r w:rsidRPr="00C044E1">
        <w:rPr>
          <w:color w:val="auto"/>
        </w:rPr>
        <w:t xml:space="preserve"> </w:t>
      </w:r>
      <w:hyperlink r:id="rId24" w:history="1">
        <w:r w:rsidRPr="00C044E1">
          <w:rPr>
            <w:rStyle w:val="Hyperlink"/>
            <w:rFonts w:asciiTheme="minorHAnsi" w:hAnsiTheme="minorHAnsi"/>
          </w:rPr>
          <w:t>public submissions</w:t>
        </w:r>
      </w:hyperlink>
      <w:r w:rsidRPr="00C044E1">
        <w:rPr>
          <w:color w:val="auto"/>
        </w:rPr>
        <w:t xml:space="preserve"> received in response to </w:t>
      </w:r>
      <w:r w:rsidRPr="00C044E1">
        <w:t xml:space="preserve">the </w:t>
      </w:r>
      <w:hyperlink r:id="rId25" w:history="1">
        <w:r w:rsidRPr="00C044E1">
          <w:rPr>
            <w:rStyle w:val="Hyperlink"/>
            <w:rFonts w:asciiTheme="minorHAnsi" w:hAnsiTheme="minorHAnsi"/>
          </w:rPr>
          <w:t>interim decision consultation</w:t>
        </w:r>
      </w:hyperlink>
      <w:r w:rsidRPr="00C044E1">
        <w:t xml:space="preserve"> </w:t>
      </w:r>
      <w:r w:rsidRPr="00C044E1">
        <w:rPr>
          <w:color w:val="auto"/>
        </w:rPr>
        <w:t>under regulation 42ZCZP of the Regulations</w:t>
      </w:r>
      <w:r w:rsidR="00A70FD9" w:rsidRPr="00C044E1">
        <w:rPr>
          <w:color w:val="auto"/>
        </w:rPr>
        <w:t xml:space="preserve"> (the </w:t>
      </w:r>
      <w:r w:rsidR="00A70FD9" w:rsidRPr="00C044E1">
        <w:rPr>
          <w:b/>
          <w:bCs/>
          <w:color w:val="auto"/>
        </w:rPr>
        <w:t>Submissions</w:t>
      </w:r>
      <w:r w:rsidR="00A70FD9" w:rsidRPr="00C044E1">
        <w:rPr>
          <w:color w:val="auto"/>
        </w:rPr>
        <w:t>)</w:t>
      </w:r>
    </w:p>
    <w:p w14:paraId="21736CDF" w14:textId="0928DD9A" w:rsidR="00C80672" w:rsidRPr="00C044E1" w:rsidRDefault="00C80672" w:rsidP="00C80672">
      <w:pPr>
        <w:pStyle w:val="ListBullet"/>
        <w:rPr>
          <w:color w:val="auto"/>
        </w:rPr>
      </w:pPr>
      <w:r w:rsidRPr="00C044E1">
        <w:rPr>
          <w:color w:val="auto"/>
        </w:rPr>
        <w:t xml:space="preserve">Subsection 52E(1) of </w:t>
      </w:r>
      <w:r w:rsidRPr="00C044E1">
        <w:rPr>
          <w:iCs/>
          <w:color w:val="auto"/>
        </w:rPr>
        <w:t>the Act</w:t>
      </w:r>
      <w:r w:rsidRPr="00C044E1">
        <w:rPr>
          <w:color w:val="auto"/>
        </w:rPr>
        <w:t>, in particular (a) the risks and benefits of the use of a substance; (b) the purposes for which a substance is to be used and the extent of use of a substance; (c) the toxicity of a substance; (d) the dosage, formulation, labelling, packaging and presentation of a substance; and (f) any other matters considered necessary to protect public health</w:t>
      </w:r>
      <w:r w:rsidR="00B611F9">
        <w:rPr>
          <w:color w:val="auto"/>
        </w:rPr>
        <w:t>.</w:t>
      </w:r>
    </w:p>
    <w:p w14:paraId="6424784F" w14:textId="7FCA1B5B" w:rsidR="00C80672" w:rsidRPr="00C044E1" w:rsidRDefault="00C80672" w:rsidP="00C80672">
      <w:pPr>
        <w:pStyle w:val="ListBullet"/>
        <w:rPr>
          <w:color w:val="auto"/>
        </w:rPr>
      </w:pPr>
      <w:bookmarkStart w:id="35" w:name="_Hlk143162230"/>
      <w:r w:rsidRPr="00C044E1">
        <w:rPr>
          <w:color w:val="auto"/>
        </w:rPr>
        <w:t>Pursuant to paragraph 52E(2)(a) of the Act, the SPF</w:t>
      </w:r>
      <w:r w:rsidR="00B611F9">
        <w:rPr>
          <w:color w:val="auto"/>
        </w:rPr>
        <w:t>,</w:t>
      </w:r>
      <w:r w:rsidRPr="00C044E1">
        <w:rPr>
          <w:color w:val="auto"/>
        </w:rPr>
        <w:t xml:space="preserve"> and</w:t>
      </w:r>
    </w:p>
    <w:p w14:paraId="66284B9C" w14:textId="77777777" w:rsidR="00C80672" w:rsidRPr="00C044E1" w:rsidRDefault="00C80672" w:rsidP="00C80672">
      <w:pPr>
        <w:pStyle w:val="ListBullet"/>
        <w:rPr>
          <w:color w:val="auto"/>
        </w:rPr>
      </w:pPr>
      <w:r w:rsidRPr="00C044E1">
        <w:rPr>
          <w:color w:val="auto"/>
        </w:rPr>
        <w:t>The Handbook.</w:t>
      </w:r>
    </w:p>
    <w:bookmarkEnd w:id="35"/>
    <w:p w14:paraId="743005F7" w14:textId="77777777" w:rsidR="00B611F9" w:rsidRDefault="00B611F9">
      <w:pPr>
        <w:rPr>
          <w:rFonts w:ascii="Arial" w:eastAsia="Cambria" w:hAnsi="Arial" w:cs="Times New Roman"/>
          <w:b/>
          <w:bCs/>
          <w:color w:val="001871"/>
          <w:sz w:val="28"/>
          <w:szCs w:val="26"/>
        </w:rPr>
      </w:pPr>
      <w:r>
        <w:br w:type="page"/>
      </w:r>
    </w:p>
    <w:p w14:paraId="20028C3B" w14:textId="4807F432" w:rsidR="00457050" w:rsidRPr="00C044E1" w:rsidRDefault="00457050" w:rsidP="00C80672">
      <w:pPr>
        <w:pStyle w:val="Heading4"/>
      </w:pPr>
      <w:r w:rsidRPr="00C044E1">
        <w:lastRenderedPageBreak/>
        <w:t>Reasons for the final decision (including findings on material questions of fact)</w:t>
      </w:r>
    </w:p>
    <w:p w14:paraId="402EEF7D" w14:textId="24932194" w:rsidR="00D11AE6" w:rsidRDefault="00457050" w:rsidP="00C7111E">
      <w:pPr>
        <w:pStyle w:val="ListBullet"/>
        <w:numPr>
          <w:ilvl w:val="0"/>
          <w:numId w:val="0"/>
        </w:numPr>
        <w:spacing w:before="0" w:after="120" w:line="259" w:lineRule="auto"/>
        <w:rPr>
          <w:color w:val="auto"/>
        </w:rPr>
      </w:pPr>
      <w:r w:rsidRPr="00C044E1">
        <w:rPr>
          <w:color w:val="auto"/>
        </w:rPr>
        <w:t>I have made a final decision to confirm</w:t>
      </w:r>
      <w:r w:rsidR="000661F9" w:rsidRPr="00C044E1">
        <w:rPr>
          <w:color w:val="auto"/>
        </w:rPr>
        <w:t xml:space="preserve"> my </w:t>
      </w:r>
      <w:r w:rsidRPr="00C044E1">
        <w:rPr>
          <w:color w:val="auto"/>
        </w:rPr>
        <w:t>interim decision to amend the current Poisons Standard</w:t>
      </w:r>
      <w:r w:rsidR="00D11AE6" w:rsidRPr="00C044E1">
        <w:rPr>
          <w:color w:val="auto"/>
        </w:rPr>
        <w:t xml:space="preserve"> </w:t>
      </w:r>
      <w:r w:rsidRPr="00C044E1">
        <w:rPr>
          <w:color w:val="auto"/>
        </w:rPr>
        <w:t xml:space="preserve">with respect to </w:t>
      </w:r>
      <w:r w:rsidR="000661F9" w:rsidRPr="00C044E1">
        <w:rPr>
          <w:color w:val="auto"/>
        </w:rPr>
        <w:t>azelaic acid</w:t>
      </w:r>
      <w:r w:rsidRPr="00C044E1">
        <w:rPr>
          <w:color w:val="auto"/>
        </w:rPr>
        <w:t xml:space="preserve">. My reasons for making the final decision are those set out in the interim decision. In making my final decision, I have </w:t>
      </w:r>
      <w:r w:rsidR="000932FF" w:rsidRPr="00C044E1">
        <w:rPr>
          <w:color w:val="auto"/>
        </w:rPr>
        <w:t>considered</w:t>
      </w:r>
      <w:r w:rsidRPr="00C044E1">
        <w:rPr>
          <w:color w:val="auto"/>
        </w:rPr>
        <w:t xml:space="preserve"> the material detailed in the interim decision and the </w:t>
      </w:r>
      <w:r w:rsidR="00D11AE6" w:rsidRPr="00C044E1">
        <w:rPr>
          <w:color w:val="auto"/>
        </w:rPr>
        <w:t>S</w:t>
      </w:r>
      <w:r w:rsidRPr="00C044E1">
        <w:rPr>
          <w:color w:val="auto"/>
        </w:rPr>
        <w:t>ubmission</w:t>
      </w:r>
      <w:r w:rsidR="00D11AE6" w:rsidRPr="00C044E1">
        <w:rPr>
          <w:color w:val="auto"/>
        </w:rPr>
        <w:t>s, which were all in support of the interim decision</w:t>
      </w:r>
      <w:r w:rsidRPr="00C044E1">
        <w:rPr>
          <w:color w:val="auto"/>
        </w:rPr>
        <w:t>.</w:t>
      </w:r>
    </w:p>
    <w:p w14:paraId="1CCA6D6E" w14:textId="1E4B312F" w:rsidR="00457050" w:rsidRDefault="000932FF" w:rsidP="00C7111E">
      <w:pPr>
        <w:pStyle w:val="ListBullet"/>
        <w:numPr>
          <w:ilvl w:val="0"/>
          <w:numId w:val="0"/>
        </w:numPr>
        <w:spacing w:before="0" w:after="120" w:line="259" w:lineRule="auto"/>
        <w:rPr>
          <w:color w:val="auto"/>
        </w:rPr>
      </w:pPr>
      <w:r w:rsidRPr="008B1EEA">
        <w:rPr>
          <w:color w:val="auto"/>
        </w:rPr>
        <w:t xml:space="preserve">I note that </w:t>
      </w:r>
      <w:r w:rsidR="00185817">
        <w:rPr>
          <w:color w:val="auto"/>
        </w:rPr>
        <w:t>in their public submission through the consultation, the</w:t>
      </w:r>
      <w:r w:rsidRPr="008B1EEA">
        <w:rPr>
          <w:color w:val="auto"/>
        </w:rPr>
        <w:t xml:space="preserve"> interim decision was supported by the Australasian College of Dermatologists </w:t>
      </w:r>
      <w:r w:rsidR="00D11AE6">
        <w:rPr>
          <w:color w:val="auto"/>
        </w:rPr>
        <w:t xml:space="preserve">(ACD) </w:t>
      </w:r>
      <w:r w:rsidR="00837DFB">
        <w:rPr>
          <w:color w:val="auto"/>
        </w:rPr>
        <w:t>who provided</w:t>
      </w:r>
      <w:r w:rsidR="00AF2C93" w:rsidRPr="008B1EEA">
        <w:rPr>
          <w:color w:val="auto"/>
        </w:rPr>
        <w:t xml:space="preserve"> </w:t>
      </w:r>
      <w:r w:rsidR="00C82B65">
        <w:rPr>
          <w:color w:val="auto"/>
        </w:rPr>
        <w:t xml:space="preserve">comment </w:t>
      </w:r>
      <w:r w:rsidR="00AF2C93" w:rsidRPr="008B1EEA">
        <w:rPr>
          <w:color w:val="auto"/>
        </w:rPr>
        <w:t xml:space="preserve">that the risk of skin irritation when used in </w:t>
      </w:r>
      <w:r w:rsidR="00AF2C93" w:rsidRPr="00B611F9">
        <w:rPr>
          <w:color w:val="auto"/>
        </w:rPr>
        <w:t>cosme</w:t>
      </w:r>
      <w:r w:rsidR="00B611F9" w:rsidRPr="00C7111E">
        <w:rPr>
          <w:color w:val="auto"/>
        </w:rPr>
        <w:t>tic preparations</w:t>
      </w:r>
      <w:r w:rsidR="00AF2C93" w:rsidRPr="008B1EEA">
        <w:rPr>
          <w:color w:val="auto"/>
        </w:rPr>
        <w:t>, usually at a concentration of 10% or less, would be</w:t>
      </w:r>
      <w:r w:rsidR="00837DFB">
        <w:rPr>
          <w:color w:val="auto"/>
        </w:rPr>
        <w:t xml:space="preserve"> minimal. The ACD</w:t>
      </w:r>
      <w:r w:rsidR="00D11AE6">
        <w:rPr>
          <w:color w:val="auto"/>
        </w:rPr>
        <w:t xml:space="preserve"> </w:t>
      </w:r>
      <w:r w:rsidR="00837DFB">
        <w:rPr>
          <w:color w:val="auto"/>
        </w:rPr>
        <w:t xml:space="preserve">advised that they </w:t>
      </w:r>
      <w:r w:rsidR="00AF2C93" w:rsidRPr="008B1EEA">
        <w:rPr>
          <w:color w:val="auto"/>
        </w:rPr>
        <w:t>support</w:t>
      </w:r>
      <w:r w:rsidR="00837DFB">
        <w:rPr>
          <w:color w:val="auto"/>
        </w:rPr>
        <w:t>ed</w:t>
      </w:r>
      <w:r w:rsidR="00AF2C93" w:rsidRPr="008B1EEA">
        <w:rPr>
          <w:color w:val="auto"/>
        </w:rPr>
        <w:t xml:space="preserve"> all cosmetic use of azelaic acid being captured by the new Schedule 5 entry.</w:t>
      </w:r>
    </w:p>
    <w:p w14:paraId="5F8793EA" w14:textId="0DBE8A2B" w:rsidR="00185817" w:rsidRPr="008B1EEA" w:rsidRDefault="00185817" w:rsidP="00C7111E">
      <w:pPr>
        <w:pStyle w:val="ListBullet"/>
        <w:numPr>
          <w:ilvl w:val="0"/>
          <w:numId w:val="0"/>
        </w:numPr>
        <w:spacing w:before="0" w:after="120" w:line="259" w:lineRule="auto"/>
        <w:rPr>
          <w:color w:val="auto"/>
          <w:highlight w:val="yellow"/>
        </w:rPr>
      </w:pPr>
      <w:r>
        <w:rPr>
          <w:color w:val="auto"/>
        </w:rPr>
        <w:t>In confirming my interim decision, I have taken into consideration the 4 public submissions that were all in support of the interim decision for azelaic acid and have provided an implementation date of 1</w:t>
      </w:r>
      <w:r w:rsidR="00B611F9">
        <w:rPr>
          <w:color w:val="auto"/>
        </w:rPr>
        <w:t> </w:t>
      </w:r>
      <w:r>
        <w:rPr>
          <w:color w:val="auto"/>
        </w:rPr>
        <w:t>October 2024 to allow time for industry to make any required amendments following the change.</w:t>
      </w:r>
    </w:p>
    <w:p w14:paraId="5CBC093C" w14:textId="118F0D21" w:rsidR="00457050" w:rsidRPr="00BB34CD" w:rsidRDefault="00457050" w:rsidP="00C80672">
      <w:pPr>
        <w:pStyle w:val="Heading4"/>
      </w:pPr>
      <w:r w:rsidRPr="00BB34CD">
        <w:t xml:space="preserve">Implementation date </w:t>
      </w:r>
    </w:p>
    <w:p w14:paraId="39D11488" w14:textId="322C8952" w:rsidR="00D11AE6" w:rsidRDefault="00C80672">
      <w:pPr>
        <w:rPr>
          <w:rFonts w:ascii="Arial" w:eastAsia="Times New Roman" w:hAnsi="Arial" w:cs="Times New Roman"/>
          <w:b/>
          <w:bCs/>
          <w:color w:val="001871"/>
          <w:sz w:val="38"/>
          <w:szCs w:val="38"/>
        </w:rPr>
      </w:pPr>
      <w:r w:rsidRPr="007E3AED">
        <w:rPr>
          <w:b/>
          <w:bCs/>
        </w:rPr>
        <w:t>1 October 2024</w:t>
      </w:r>
      <w:r w:rsidR="00457050" w:rsidRPr="007E3AED">
        <w:rPr>
          <w:b/>
          <w:bCs/>
        </w:rPr>
        <w:t xml:space="preserve"> </w:t>
      </w:r>
      <w:r w:rsidR="00D11AE6">
        <w:br w:type="page"/>
      </w:r>
    </w:p>
    <w:p w14:paraId="2988333F" w14:textId="7D89409A" w:rsidR="0022697D" w:rsidRPr="00FA029A" w:rsidRDefault="0031371C" w:rsidP="00C7111E">
      <w:pPr>
        <w:pStyle w:val="Heading2"/>
        <w:ind w:left="720" w:hanging="720"/>
      </w:pPr>
      <w:bookmarkStart w:id="36" w:name="_Toc143009500"/>
      <w:r>
        <w:lastRenderedPageBreak/>
        <w:t>4</w:t>
      </w:r>
      <w:r>
        <w:tab/>
      </w:r>
      <w:r w:rsidR="0022697D">
        <w:t>Final</w:t>
      </w:r>
      <w:r w:rsidR="0022697D" w:rsidRPr="00FA029A">
        <w:t xml:space="preserve"> decisions on proposed amendments referred to the </w:t>
      </w:r>
      <w:r w:rsidR="0022697D" w:rsidRPr="0065237C">
        <w:t>Advisory Committee on Chemic</w:t>
      </w:r>
      <w:r w:rsidR="0022697D">
        <w:t>als Scheduling (ACCS #36, March 2023</w:t>
      </w:r>
      <w:r w:rsidR="0022697D" w:rsidRPr="0065237C">
        <w:t>)</w:t>
      </w:r>
      <w:bookmarkEnd w:id="36"/>
    </w:p>
    <w:p w14:paraId="6922BACC" w14:textId="5DF36DAE" w:rsidR="0022697D" w:rsidRDefault="0031371C" w:rsidP="0022697D">
      <w:pPr>
        <w:pStyle w:val="Heading3"/>
      </w:pPr>
      <w:bookmarkStart w:id="37" w:name="_Toc143009501"/>
      <w:r>
        <w:t>4.1</w:t>
      </w:r>
      <w:r>
        <w:tab/>
      </w:r>
      <w:r w:rsidR="0022697D" w:rsidRPr="002824FE">
        <w:t>Final decision in relation to bromoxynil</w:t>
      </w:r>
      <w:bookmarkEnd w:id="37"/>
    </w:p>
    <w:p w14:paraId="09872841" w14:textId="52B6FA7E" w:rsidR="00F67574" w:rsidRDefault="00F67574" w:rsidP="00F67574">
      <w:pPr>
        <w:keepNext/>
        <w:keepLines/>
        <w:spacing w:before="240"/>
        <w:rPr>
          <w:b/>
          <w:bCs/>
        </w:rPr>
      </w:pPr>
      <w:bookmarkStart w:id="38" w:name="_Toc135035486"/>
      <w:r w:rsidRPr="00E21516">
        <w:rPr>
          <w:b/>
          <w:bCs/>
        </w:rPr>
        <w:t>CONTENT WARNING</w:t>
      </w:r>
    </w:p>
    <w:p w14:paraId="212005D4" w14:textId="57378B06" w:rsidR="00F67574" w:rsidRDefault="00F67574" w:rsidP="00C7111E">
      <w:pPr>
        <w:rPr>
          <w:b/>
          <w:bCs/>
          <w:i/>
          <w:iCs/>
        </w:rPr>
      </w:pPr>
      <w:r w:rsidRPr="009A488E">
        <w:t xml:space="preserve">The information below contains information regarding self-poisoning that some people may find distressing. The Department of Health and Aged Care acknowledges the devastating effects associated with acts of self-harm on individuals, their families, </w:t>
      </w:r>
      <w:proofErr w:type="gramStart"/>
      <w:r w:rsidRPr="009A488E">
        <w:t>friends</w:t>
      </w:r>
      <w:proofErr w:type="gramEnd"/>
      <w:r w:rsidRPr="009A488E">
        <w:t xml:space="preserve"> and communities. If you or someone you know needs additional support, please contact any of the below crisis support helplines:</w:t>
      </w:r>
      <w:bookmarkEnd w:id="38"/>
    </w:p>
    <w:p w14:paraId="648C630A" w14:textId="77777777" w:rsidR="00F67574" w:rsidRPr="00580364" w:rsidRDefault="00F67574" w:rsidP="00C7111E">
      <w:pPr>
        <w:ind w:left="720"/>
        <w:rPr>
          <w:b/>
        </w:rPr>
      </w:pPr>
      <w:r w:rsidRPr="00580364">
        <w:rPr>
          <w:b/>
        </w:rPr>
        <w:t>Adult</w:t>
      </w:r>
    </w:p>
    <w:p w14:paraId="78C06C58" w14:textId="77777777" w:rsidR="00F67574" w:rsidRPr="00580364" w:rsidRDefault="00BA03C5" w:rsidP="00C7111E">
      <w:pPr>
        <w:numPr>
          <w:ilvl w:val="0"/>
          <w:numId w:val="9"/>
        </w:numPr>
        <w:ind w:left="1080"/>
        <w:rPr>
          <w:rFonts w:eastAsia="Cambria" w:cs="Times New Roman"/>
        </w:rPr>
      </w:pPr>
      <w:hyperlink r:id="rId26" w:history="1">
        <w:r w:rsidR="00F67574" w:rsidRPr="00580364">
          <w:rPr>
            <w:rFonts w:eastAsia="Cambria" w:cs="Times New Roman"/>
            <w:color w:val="0000FF"/>
            <w:u w:val="single"/>
          </w:rPr>
          <w:t>Lifeline</w:t>
        </w:r>
      </w:hyperlink>
      <w:r w:rsidR="00F67574" w:rsidRPr="00580364">
        <w:rPr>
          <w:rFonts w:eastAsia="Cambria" w:cs="Times New Roman"/>
        </w:rPr>
        <w:t>: 13 11 14</w:t>
      </w:r>
    </w:p>
    <w:p w14:paraId="09095386" w14:textId="77777777" w:rsidR="00F67574" w:rsidRPr="00580364" w:rsidRDefault="00BA03C5" w:rsidP="00C7111E">
      <w:pPr>
        <w:numPr>
          <w:ilvl w:val="0"/>
          <w:numId w:val="9"/>
        </w:numPr>
        <w:ind w:left="1080"/>
        <w:rPr>
          <w:rFonts w:eastAsia="Cambria" w:cs="Times New Roman"/>
        </w:rPr>
      </w:pPr>
      <w:hyperlink r:id="rId27" w:history="1">
        <w:r w:rsidR="00F67574" w:rsidRPr="00580364">
          <w:rPr>
            <w:rFonts w:eastAsia="Cambria" w:cs="Times New Roman"/>
            <w:color w:val="0000FF"/>
            <w:u w:val="single"/>
          </w:rPr>
          <w:t>Suicide Call Back Service</w:t>
        </w:r>
      </w:hyperlink>
      <w:r w:rsidR="00F67574" w:rsidRPr="00580364">
        <w:rPr>
          <w:rFonts w:eastAsia="Cambria" w:cs="Times New Roman"/>
        </w:rPr>
        <w:t>: 1300 659 467</w:t>
      </w:r>
    </w:p>
    <w:p w14:paraId="45D5F05B" w14:textId="77777777" w:rsidR="00F67574" w:rsidRPr="00580364" w:rsidRDefault="00BA03C5" w:rsidP="00C7111E">
      <w:pPr>
        <w:numPr>
          <w:ilvl w:val="0"/>
          <w:numId w:val="9"/>
        </w:numPr>
        <w:ind w:left="1080"/>
        <w:rPr>
          <w:rFonts w:eastAsia="Cambria" w:cs="Times New Roman"/>
        </w:rPr>
      </w:pPr>
      <w:hyperlink r:id="rId28" w:history="1">
        <w:r w:rsidR="00F67574" w:rsidRPr="00580364">
          <w:rPr>
            <w:rFonts w:eastAsia="Cambria" w:cs="Times New Roman"/>
            <w:color w:val="0000FF"/>
            <w:u w:val="single"/>
          </w:rPr>
          <w:t>Beyond Blue</w:t>
        </w:r>
      </w:hyperlink>
      <w:r w:rsidR="00F67574" w:rsidRPr="00580364">
        <w:rPr>
          <w:rFonts w:eastAsia="Cambria" w:cs="Times New Roman"/>
        </w:rPr>
        <w:t>: 1800 512 348</w:t>
      </w:r>
    </w:p>
    <w:p w14:paraId="3B72A122" w14:textId="77777777" w:rsidR="00F67574" w:rsidRPr="00580364" w:rsidRDefault="00BA03C5" w:rsidP="00C7111E">
      <w:pPr>
        <w:numPr>
          <w:ilvl w:val="0"/>
          <w:numId w:val="9"/>
        </w:numPr>
        <w:ind w:left="1080"/>
        <w:rPr>
          <w:rFonts w:eastAsia="Cambria" w:cs="Times New Roman"/>
        </w:rPr>
      </w:pPr>
      <w:hyperlink r:id="rId29" w:history="1">
        <w:proofErr w:type="spellStart"/>
        <w:r w:rsidR="00F67574" w:rsidRPr="00580364">
          <w:rPr>
            <w:rFonts w:eastAsia="Cambria" w:cs="Times New Roman"/>
            <w:color w:val="0000FF"/>
            <w:u w:val="single"/>
          </w:rPr>
          <w:t>MensLine</w:t>
        </w:r>
        <w:proofErr w:type="spellEnd"/>
        <w:r w:rsidR="00F67574" w:rsidRPr="00580364">
          <w:rPr>
            <w:rFonts w:eastAsia="Cambria" w:cs="Times New Roman"/>
            <w:color w:val="0000FF"/>
            <w:u w:val="single"/>
          </w:rPr>
          <w:t xml:space="preserve"> Australia</w:t>
        </w:r>
      </w:hyperlink>
      <w:r w:rsidR="00F67574" w:rsidRPr="00580364">
        <w:rPr>
          <w:rFonts w:eastAsia="Cambria" w:cs="Times New Roman"/>
        </w:rPr>
        <w:t>: 1300 789 978</w:t>
      </w:r>
    </w:p>
    <w:p w14:paraId="379C7988" w14:textId="77777777" w:rsidR="00F67574" w:rsidRPr="00580364" w:rsidRDefault="00F67574" w:rsidP="00C7111E">
      <w:pPr>
        <w:ind w:left="720"/>
        <w:rPr>
          <w:rFonts w:eastAsia="Cambria" w:cs="Times New Roman"/>
          <w:b/>
        </w:rPr>
      </w:pPr>
      <w:r w:rsidRPr="00580364">
        <w:rPr>
          <w:rFonts w:eastAsia="Cambria" w:cs="Times New Roman"/>
          <w:b/>
        </w:rPr>
        <w:t>Youth</w:t>
      </w:r>
    </w:p>
    <w:p w14:paraId="08EF2AA1" w14:textId="77777777" w:rsidR="00F67574" w:rsidRPr="00580364" w:rsidRDefault="00BA03C5" w:rsidP="00C7111E">
      <w:pPr>
        <w:numPr>
          <w:ilvl w:val="0"/>
          <w:numId w:val="9"/>
        </w:numPr>
        <w:ind w:left="1080"/>
        <w:rPr>
          <w:rFonts w:eastAsia="Cambria" w:cs="Times New Roman"/>
        </w:rPr>
      </w:pPr>
      <w:hyperlink r:id="rId30" w:history="1">
        <w:r w:rsidR="00F67574" w:rsidRPr="00580364">
          <w:rPr>
            <w:rFonts w:eastAsia="Cambria" w:cs="Times New Roman"/>
            <w:color w:val="0000FF"/>
            <w:u w:val="single"/>
          </w:rPr>
          <w:t>Kids Helpline</w:t>
        </w:r>
      </w:hyperlink>
      <w:r w:rsidR="00F67574" w:rsidRPr="00580364">
        <w:rPr>
          <w:rFonts w:eastAsia="Cambria" w:cs="Times New Roman"/>
        </w:rPr>
        <w:t xml:space="preserve"> (5-25 years): 1800 551 800</w:t>
      </w:r>
    </w:p>
    <w:p w14:paraId="5A431C42" w14:textId="77777777" w:rsidR="00F67574" w:rsidRPr="00580364" w:rsidRDefault="00BA03C5" w:rsidP="00C7111E">
      <w:pPr>
        <w:numPr>
          <w:ilvl w:val="0"/>
          <w:numId w:val="9"/>
        </w:numPr>
        <w:ind w:left="1080"/>
        <w:rPr>
          <w:rFonts w:eastAsia="Cambria" w:cs="Times New Roman"/>
        </w:rPr>
      </w:pPr>
      <w:hyperlink r:id="rId31" w:history="1">
        <w:r w:rsidR="00F67574" w:rsidRPr="00580364">
          <w:rPr>
            <w:rFonts w:eastAsia="Cambria" w:cs="Times New Roman"/>
            <w:color w:val="0000FF"/>
            <w:u w:val="single"/>
          </w:rPr>
          <w:t>Headspace</w:t>
        </w:r>
      </w:hyperlink>
      <w:r w:rsidR="00F67574" w:rsidRPr="00580364">
        <w:rPr>
          <w:rFonts w:eastAsia="Cambria" w:cs="Times New Roman"/>
        </w:rPr>
        <w:t>: 1800 650 890</w:t>
      </w:r>
    </w:p>
    <w:p w14:paraId="5B9FEB8A" w14:textId="77777777" w:rsidR="00F67574" w:rsidRPr="00580364" w:rsidRDefault="00BA03C5" w:rsidP="00C7111E">
      <w:pPr>
        <w:numPr>
          <w:ilvl w:val="0"/>
          <w:numId w:val="9"/>
        </w:numPr>
        <w:ind w:left="1080"/>
        <w:rPr>
          <w:rFonts w:eastAsia="Cambria" w:cs="Times New Roman"/>
        </w:rPr>
      </w:pPr>
      <w:hyperlink r:id="rId32" w:history="1">
        <w:proofErr w:type="spellStart"/>
        <w:r w:rsidR="00F67574" w:rsidRPr="00580364">
          <w:rPr>
            <w:rFonts w:eastAsia="Cambria" w:cs="Times New Roman"/>
            <w:color w:val="0000FF"/>
            <w:u w:val="single"/>
          </w:rPr>
          <w:t>ReachOut</w:t>
        </w:r>
        <w:proofErr w:type="spellEnd"/>
      </w:hyperlink>
    </w:p>
    <w:p w14:paraId="746505D0" w14:textId="6ED58224" w:rsidR="0022697D" w:rsidRPr="009A4603" w:rsidRDefault="0022697D" w:rsidP="0022697D">
      <w:pPr>
        <w:pStyle w:val="Heading4"/>
      </w:pPr>
      <w:r w:rsidRPr="009A4603">
        <w:t>Proposal</w:t>
      </w:r>
    </w:p>
    <w:p w14:paraId="629CF75E" w14:textId="645763F1" w:rsidR="0022697D" w:rsidRPr="00A56CE1" w:rsidRDefault="0022697D" w:rsidP="0022697D">
      <w:pPr>
        <w:rPr>
          <w:rFonts w:cstheme="minorHAnsi"/>
        </w:rPr>
      </w:pPr>
      <w:r w:rsidRPr="00A56CE1">
        <w:rPr>
          <w:rFonts w:cstheme="minorHAnsi"/>
        </w:rPr>
        <w:t xml:space="preserve">The applicant proposed the creation of a new Schedule 7 entry for bromoxynil for preparations containing greater than 1% of bromoxynil (the </w:t>
      </w:r>
      <w:r w:rsidR="00AA6119">
        <w:rPr>
          <w:rFonts w:cstheme="minorHAnsi"/>
          <w:b/>
          <w:bCs/>
        </w:rPr>
        <w:t>Proposal</w:t>
      </w:r>
      <w:r w:rsidRPr="00A56CE1">
        <w:rPr>
          <w:rFonts w:cstheme="minorHAnsi"/>
        </w:rPr>
        <w:t>). Under the Proposal, preparations containing 1% or less of bromoxynil would continue to be captured by the existing Schedule 6 entry</w:t>
      </w:r>
      <w:r w:rsidR="00F67574">
        <w:rPr>
          <w:rFonts w:cstheme="minorHAnsi"/>
        </w:rPr>
        <w:t>.</w:t>
      </w:r>
    </w:p>
    <w:p w14:paraId="3ACAC643" w14:textId="76419AF9" w:rsidR="0022697D" w:rsidRPr="009A4603" w:rsidRDefault="0022697D" w:rsidP="0022697D">
      <w:pPr>
        <w:pStyle w:val="Heading4"/>
      </w:pPr>
      <w:r w:rsidRPr="009A4603">
        <w:t xml:space="preserve">Final decision </w:t>
      </w:r>
    </w:p>
    <w:p w14:paraId="1024CE83" w14:textId="07A1F4EA" w:rsidR="0022697D" w:rsidRDefault="0022697D" w:rsidP="0022697D">
      <w:pPr>
        <w:rPr>
          <w:rFonts w:cstheme="minorHAnsi"/>
        </w:rPr>
      </w:pPr>
      <w:r w:rsidRPr="00A56CE1">
        <w:rPr>
          <w:rFonts w:cstheme="minorHAnsi"/>
        </w:rPr>
        <w:t xml:space="preserve">Pursuant to regulation 42ZCZR of the Regulations, the Delegate has made a final decision </w:t>
      </w:r>
      <w:r w:rsidRPr="00D11AE6">
        <w:rPr>
          <w:rFonts w:cstheme="minorHAnsi"/>
        </w:rPr>
        <w:t>to confirm</w:t>
      </w:r>
      <w:r w:rsidR="00F67574" w:rsidRPr="00D11AE6">
        <w:rPr>
          <w:rFonts w:cstheme="minorHAnsi"/>
        </w:rPr>
        <w:t xml:space="preserve"> </w:t>
      </w:r>
      <w:r w:rsidRPr="00D11AE6">
        <w:rPr>
          <w:rFonts w:cstheme="minorHAnsi"/>
        </w:rPr>
        <w:t>the interim decision and amend the current Poisons Standard in relation to bromoxynil as follows:</w:t>
      </w:r>
      <w:r w:rsidR="003371E3">
        <w:rPr>
          <w:rStyle w:val="FootnoteReference"/>
          <w:rFonts w:cstheme="minorHAnsi"/>
        </w:rPr>
        <w:footnoteReference w:id="6"/>
      </w:r>
    </w:p>
    <w:p w14:paraId="506D7ECB" w14:textId="77777777" w:rsidR="00F67574" w:rsidRPr="00C72DAB" w:rsidRDefault="00F67574" w:rsidP="00F67574">
      <w:pPr>
        <w:ind w:left="425"/>
        <w:rPr>
          <w:b/>
        </w:rPr>
      </w:pPr>
      <w:r w:rsidRPr="00C72DAB">
        <w:rPr>
          <w:b/>
        </w:rPr>
        <w:t xml:space="preserve">Schedule </w:t>
      </w:r>
      <w:r>
        <w:rPr>
          <w:b/>
        </w:rPr>
        <w:t>7</w:t>
      </w:r>
      <w:r w:rsidRPr="00C72DAB">
        <w:rPr>
          <w:b/>
        </w:rPr>
        <w:t xml:space="preserve"> –</w:t>
      </w:r>
      <w:r>
        <w:rPr>
          <w:b/>
        </w:rPr>
        <w:t xml:space="preserve"> New E</w:t>
      </w:r>
      <w:r w:rsidRPr="00C72DAB">
        <w:rPr>
          <w:b/>
        </w:rPr>
        <w:t>ntry</w:t>
      </w:r>
    </w:p>
    <w:p w14:paraId="13A61DDF" w14:textId="03AA57D6" w:rsidR="00F67574" w:rsidRPr="00047D1D" w:rsidRDefault="00BA03C5" w:rsidP="00F67574">
      <w:pPr>
        <w:shd w:val="clear" w:color="auto" w:fill="FFFFFF"/>
        <w:spacing w:line="240" w:lineRule="auto"/>
        <w:ind w:firstLine="720"/>
        <w:rPr>
          <w:rFonts w:eastAsia="Times New Roman"/>
          <w:color w:val="000000"/>
          <w:lang w:eastAsia="en-AU"/>
        </w:rPr>
      </w:pPr>
      <w:sdt>
        <w:sdtPr>
          <w:rPr>
            <w:rFonts w:eastAsia="Times New Roman"/>
            <w:color w:val="000000"/>
            <w:lang w:eastAsia="en-AU"/>
          </w:rPr>
          <w:id w:val="1384748769"/>
          <w:placeholder>
            <w:docPart w:val="D16F6D7A709441FBAAEFF77C12C50654"/>
          </w:placeholder>
        </w:sdtPr>
        <w:sdtEndPr>
          <w:rPr>
            <w:color w:val="00B050"/>
            <w:u w:val="single"/>
          </w:rPr>
        </w:sdtEndPr>
        <w:sdtContent>
          <w:r w:rsidR="00F67574" w:rsidRPr="001B0122">
            <w:rPr>
              <w:rFonts w:eastAsia="Times New Roman"/>
              <w:color w:val="00B050"/>
              <w:u w:val="single"/>
              <w:lang w:eastAsia="en-AU"/>
            </w:rPr>
            <w:t xml:space="preserve">BROMOXYNIL </w:t>
          </w:r>
          <w:r w:rsidR="00F67574" w:rsidRPr="001B0122">
            <w:rPr>
              <w:rFonts w:eastAsia="Times New Roman"/>
              <w:b/>
              <w:bCs/>
              <w:color w:val="00B050"/>
              <w:u w:val="single"/>
              <w:lang w:eastAsia="en-AU"/>
            </w:rPr>
            <w:t>except</w:t>
          </w:r>
          <w:r w:rsidR="00F67574" w:rsidRPr="001B0122">
            <w:rPr>
              <w:rFonts w:eastAsia="Times New Roman"/>
              <w:color w:val="00B050"/>
              <w:u w:val="single"/>
              <w:lang w:eastAsia="en-AU"/>
            </w:rPr>
            <w:t xml:space="preserve"> when included in Schedule 6.</w:t>
          </w:r>
        </w:sdtContent>
      </w:sdt>
    </w:p>
    <w:p w14:paraId="66D4AB9B" w14:textId="77777777" w:rsidR="00F67574" w:rsidRDefault="00F67574" w:rsidP="00F67574">
      <w:pPr>
        <w:ind w:left="425"/>
        <w:rPr>
          <w:b/>
        </w:rPr>
      </w:pPr>
      <w:r w:rsidRPr="00C72DAB">
        <w:rPr>
          <w:b/>
        </w:rPr>
        <w:t xml:space="preserve">Schedule </w:t>
      </w:r>
      <w:r>
        <w:rPr>
          <w:b/>
        </w:rPr>
        <w:t>6</w:t>
      </w:r>
      <w:r w:rsidRPr="00C72DAB">
        <w:rPr>
          <w:b/>
        </w:rPr>
        <w:t xml:space="preserve"> – </w:t>
      </w:r>
      <w:r>
        <w:rPr>
          <w:b/>
        </w:rPr>
        <w:t>Amend E</w:t>
      </w:r>
      <w:r w:rsidRPr="00C72DAB">
        <w:rPr>
          <w:b/>
        </w:rPr>
        <w:t>ntry</w:t>
      </w:r>
    </w:p>
    <w:p w14:paraId="07C850F9" w14:textId="77777777" w:rsidR="00F67574" w:rsidRPr="001B0122" w:rsidRDefault="00F67574" w:rsidP="00F67574">
      <w:pPr>
        <w:ind w:left="709"/>
        <w:rPr>
          <w:bCs/>
        </w:rPr>
      </w:pPr>
      <w:r w:rsidRPr="001B0122">
        <w:rPr>
          <w:bCs/>
        </w:rPr>
        <w:t>BROMOXYNIL</w:t>
      </w:r>
      <w:r w:rsidRPr="001B0122">
        <w:rPr>
          <w:bCs/>
          <w:color w:val="00B050"/>
          <w:u w:val="single"/>
        </w:rPr>
        <w:t xml:space="preserve"> in preparations containing 1.5% or less of bromoxynil</w:t>
      </w:r>
      <w:r w:rsidRPr="001B0122">
        <w:rPr>
          <w:bCs/>
        </w:rPr>
        <w:t>.</w:t>
      </w:r>
    </w:p>
    <w:p w14:paraId="2AD71702" w14:textId="77777777" w:rsidR="00F67574" w:rsidRDefault="00F67574" w:rsidP="00F67574">
      <w:pPr>
        <w:ind w:left="426"/>
        <w:rPr>
          <w:b/>
        </w:rPr>
      </w:pPr>
      <w:r w:rsidRPr="00C72DAB">
        <w:rPr>
          <w:b/>
        </w:rPr>
        <w:lastRenderedPageBreak/>
        <w:t xml:space="preserve">Index – </w:t>
      </w:r>
      <w:r>
        <w:rPr>
          <w:b/>
        </w:rPr>
        <w:t>Amend</w:t>
      </w:r>
      <w:r w:rsidRPr="00C72DAB">
        <w:rPr>
          <w:b/>
        </w:rPr>
        <w:t xml:space="preserve"> Entry</w:t>
      </w:r>
    </w:p>
    <w:p w14:paraId="330251A3" w14:textId="77777777" w:rsidR="00F67574" w:rsidRDefault="00F67574" w:rsidP="00F67574">
      <w:pPr>
        <w:ind w:left="709"/>
        <w:rPr>
          <w:b/>
        </w:rPr>
      </w:pPr>
      <w:r>
        <w:rPr>
          <w:b/>
        </w:rPr>
        <w:t>BROMOXYNIL</w:t>
      </w:r>
    </w:p>
    <w:p w14:paraId="5363FC1C" w14:textId="1614B221" w:rsidR="00F67574" w:rsidRPr="008B1EEA" w:rsidRDefault="00F67574" w:rsidP="008B1EEA">
      <w:pPr>
        <w:ind w:left="709"/>
        <w:rPr>
          <w:b/>
        </w:rPr>
      </w:pPr>
      <w:r w:rsidRPr="00CF6E88">
        <w:rPr>
          <w:bCs/>
          <w:color w:val="00B050"/>
          <w:u w:val="single"/>
        </w:rPr>
        <w:t>Schedule 7</w:t>
      </w:r>
      <w:r w:rsidRPr="00CF6E88">
        <w:rPr>
          <w:bCs/>
        </w:rPr>
        <w:br/>
        <w:t>Schedule 6</w:t>
      </w:r>
    </w:p>
    <w:p w14:paraId="6F1326B8" w14:textId="66998D8F" w:rsidR="0022697D" w:rsidRPr="009A4603" w:rsidRDefault="0022697D" w:rsidP="0022697D">
      <w:pPr>
        <w:pStyle w:val="Heading4"/>
      </w:pPr>
      <w:r w:rsidRPr="009A4603">
        <w:t xml:space="preserve">Materials considered </w:t>
      </w:r>
    </w:p>
    <w:p w14:paraId="4CC14459" w14:textId="77777777" w:rsidR="0022697D" w:rsidRPr="00A56CE1" w:rsidRDefault="0022697D" w:rsidP="0022697D">
      <w:pPr>
        <w:rPr>
          <w:rFonts w:cstheme="minorHAnsi"/>
        </w:rPr>
      </w:pPr>
      <w:r w:rsidRPr="00A56CE1">
        <w:rPr>
          <w:rFonts w:cstheme="minorHAnsi"/>
        </w:rPr>
        <w:t>In making this final decision, the Delegate considered the following material:</w:t>
      </w:r>
    </w:p>
    <w:p w14:paraId="2D67EC91" w14:textId="521AFB80" w:rsidR="0022697D" w:rsidRPr="00A56CE1" w:rsidRDefault="0022697D" w:rsidP="0022697D">
      <w:pPr>
        <w:pStyle w:val="ListBullet"/>
      </w:pPr>
      <w:r w:rsidRPr="00A56CE1">
        <w:rPr>
          <w:color w:val="auto"/>
        </w:rPr>
        <w:t xml:space="preserve">The </w:t>
      </w:r>
      <w:hyperlink r:id="rId33" w:history="1">
        <w:r w:rsidRPr="00A56CE1">
          <w:rPr>
            <w:rStyle w:val="Hyperlink"/>
            <w:rFonts w:asciiTheme="minorHAnsi" w:hAnsiTheme="minorHAnsi"/>
          </w:rPr>
          <w:t>application</w:t>
        </w:r>
      </w:hyperlink>
      <w:r w:rsidRPr="00A56CE1">
        <w:t xml:space="preserve"> </w:t>
      </w:r>
      <w:r w:rsidRPr="00A56CE1">
        <w:rPr>
          <w:color w:val="auto"/>
        </w:rPr>
        <w:t xml:space="preserve">to amend the current Poisons Standard with respect to bromoxynil (the </w:t>
      </w:r>
      <w:r w:rsidRPr="00A56CE1">
        <w:rPr>
          <w:b/>
          <w:bCs/>
          <w:color w:val="auto"/>
        </w:rPr>
        <w:t>Application</w:t>
      </w:r>
      <w:r w:rsidRPr="00A56CE1">
        <w:rPr>
          <w:color w:val="auto"/>
        </w:rPr>
        <w:t>)</w:t>
      </w:r>
      <w:r w:rsidR="00B611F9">
        <w:rPr>
          <w:color w:val="auto"/>
        </w:rPr>
        <w:t>.</w:t>
      </w:r>
    </w:p>
    <w:p w14:paraId="06EB2F2D" w14:textId="702F4606" w:rsidR="0022697D" w:rsidRPr="00A56CE1" w:rsidRDefault="0022697D" w:rsidP="0022697D">
      <w:pPr>
        <w:pStyle w:val="ListBullet"/>
      </w:pPr>
      <w:r w:rsidRPr="00A56CE1">
        <w:t>T</w:t>
      </w:r>
      <w:r w:rsidRPr="00A56CE1">
        <w:rPr>
          <w:color w:val="auto"/>
        </w:rPr>
        <w:t xml:space="preserve">he 3 </w:t>
      </w:r>
      <w:hyperlink r:id="rId34" w:history="1">
        <w:r w:rsidRPr="00A56CE1">
          <w:rPr>
            <w:rStyle w:val="Hyperlink"/>
            <w:rFonts w:asciiTheme="minorHAnsi" w:hAnsiTheme="minorHAnsi"/>
          </w:rPr>
          <w:t>public submissions</w:t>
        </w:r>
      </w:hyperlink>
      <w:r w:rsidRPr="00A56CE1">
        <w:t xml:space="preserve"> </w:t>
      </w:r>
      <w:r w:rsidRPr="00A56CE1">
        <w:rPr>
          <w:color w:val="auto"/>
        </w:rPr>
        <w:t xml:space="preserve">received in response to the </w:t>
      </w:r>
      <w:hyperlink r:id="rId35" w:history="1">
        <w:r w:rsidRPr="00A56CE1">
          <w:rPr>
            <w:rStyle w:val="Hyperlink"/>
            <w:rFonts w:asciiTheme="minorHAnsi" w:hAnsiTheme="minorHAnsi"/>
          </w:rPr>
          <w:t>pre-meeting consultation</w:t>
        </w:r>
      </w:hyperlink>
      <w:r w:rsidRPr="00A56CE1">
        <w:t xml:space="preserve"> </w:t>
      </w:r>
      <w:r w:rsidRPr="00A56CE1">
        <w:rPr>
          <w:color w:val="auto"/>
        </w:rPr>
        <w:t>under regulation 42ZCZK of the Regulations</w:t>
      </w:r>
      <w:r w:rsidR="004121E0">
        <w:rPr>
          <w:color w:val="auto"/>
        </w:rPr>
        <w:t xml:space="preserve"> (the </w:t>
      </w:r>
      <w:r w:rsidR="004121E0" w:rsidRPr="00163AEE">
        <w:rPr>
          <w:b/>
          <w:bCs/>
          <w:color w:val="auto"/>
        </w:rPr>
        <w:t>Submissions</w:t>
      </w:r>
      <w:r w:rsidR="004121E0" w:rsidRPr="00C7111E">
        <w:rPr>
          <w:color w:val="auto"/>
        </w:rPr>
        <w:t>)</w:t>
      </w:r>
      <w:r w:rsidR="00B611F9" w:rsidRPr="00C7111E">
        <w:rPr>
          <w:color w:val="auto"/>
        </w:rPr>
        <w:t>.</w:t>
      </w:r>
    </w:p>
    <w:p w14:paraId="077D832E" w14:textId="31944DE7" w:rsidR="0022697D" w:rsidRPr="00A56CE1" w:rsidRDefault="0022697D" w:rsidP="0022697D">
      <w:pPr>
        <w:pStyle w:val="ListBullet"/>
        <w:rPr>
          <w:color w:val="auto"/>
        </w:rPr>
      </w:pPr>
      <w:r w:rsidRPr="00A56CE1">
        <w:rPr>
          <w:color w:val="auto"/>
        </w:rPr>
        <w:t>The advice received from the 36</w:t>
      </w:r>
      <w:r w:rsidRPr="00A56CE1">
        <w:rPr>
          <w:color w:val="auto"/>
          <w:vertAlign w:val="superscript"/>
        </w:rPr>
        <w:t>th</w:t>
      </w:r>
      <w:r w:rsidRPr="00A56CE1">
        <w:rPr>
          <w:color w:val="auto"/>
        </w:rPr>
        <w:t xml:space="preserve"> meeting of the Advisory Committee on Chemical Scheduling (the </w:t>
      </w:r>
      <w:r w:rsidRPr="00A56CE1">
        <w:rPr>
          <w:b/>
          <w:bCs/>
          <w:color w:val="auto"/>
        </w:rPr>
        <w:t>Committee</w:t>
      </w:r>
      <w:r w:rsidRPr="00A56CE1">
        <w:rPr>
          <w:color w:val="auto"/>
        </w:rPr>
        <w:t>)</w:t>
      </w:r>
      <w:r w:rsidR="00B611F9">
        <w:rPr>
          <w:color w:val="auto"/>
        </w:rPr>
        <w:t>.</w:t>
      </w:r>
      <w:r w:rsidRPr="00A56CE1">
        <w:rPr>
          <w:rStyle w:val="FootnoteReference"/>
          <w:color w:val="auto"/>
        </w:rPr>
        <w:footnoteReference w:id="7"/>
      </w:r>
    </w:p>
    <w:p w14:paraId="751E272B" w14:textId="217D6FC9" w:rsidR="0022697D" w:rsidRPr="00A56CE1" w:rsidRDefault="0022697D" w:rsidP="0022697D">
      <w:pPr>
        <w:pStyle w:val="ListBullet"/>
        <w:rPr>
          <w:color w:val="auto"/>
        </w:rPr>
      </w:pPr>
      <w:r w:rsidRPr="00A56CE1">
        <w:rPr>
          <w:color w:val="auto"/>
        </w:rPr>
        <w:t xml:space="preserve">The </w:t>
      </w:r>
      <w:hyperlink r:id="rId36" w:history="1">
        <w:r w:rsidRPr="007E3AED">
          <w:rPr>
            <w:rStyle w:val="Hyperlink"/>
            <w:rFonts w:asciiTheme="minorHAnsi" w:hAnsiTheme="minorHAnsi"/>
          </w:rPr>
          <w:t>public submission</w:t>
        </w:r>
      </w:hyperlink>
      <w:r w:rsidRPr="00A56CE1">
        <w:rPr>
          <w:color w:val="auto"/>
        </w:rPr>
        <w:t xml:space="preserve"> received in response to the </w:t>
      </w:r>
      <w:hyperlink r:id="rId37" w:history="1">
        <w:r w:rsidRPr="00A56CE1">
          <w:rPr>
            <w:rStyle w:val="Hyperlink"/>
            <w:rFonts w:asciiTheme="minorHAnsi" w:hAnsiTheme="minorHAnsi"/>
          </w:rPr>
          <w:t>interim decision consultation</w:t>
        </w:r>
      </w:hyperlink>
      <w:r w:rsidRPr="00A56CE1">
        <w:t xml:space="preserve"> </w:t>
      </w:r>
      <w:r w:rsidRPr="00A56CE1">
        <w:rPr>
          <w:color w:val="auto"/>
        </w:rPr>
        <w:t>under regulation 42ZCZP of the Regulations</w:t>
      </w:r>
      <w:r w:rsidR="004121E0">
        <w:rPr>
          <w:color w:val="auto"/>
        </w:rPr>
        <w:t xml:space="preserve"> (the </w:t>
      </w:r>
      <w:r w:rsidR="004121E0" w:rsidRPr="00163AEE">
        <w:rPr>
          <w:b/>
          <w:bCs/>
          <w:color w:val="auto"/>
        </w:rPr>
        <w:t>Submissions</w:t>
      </w:r>
      <w:r w:rsidR="004121E0" w:rsidRPr="00C7111E">
        <w:rPr>
          <w:color w:val="auto"/>
        </w:rPr>
        <w:t>)</w:t>
      </w:r>
      <w:r w:rsidR="00B611F9" w:rsidRPr="00C7111E">
        <w:rPr>
          <w:color w:val="auto"/>
        </w:rPr>
        <w:t>.</w:t>
      </w:r>
    </w:p>
    <w:p w14:paraId="20D183F3" w14:textId="643635D4" w:rsidR="0022697D" w:rsidRDefault="0022697D" w:rsidP="0022697D">
      <w:pPr>
        <w:pStyle w:val="ListBullet"/>
        <w:rPr>
          <w:color w:val="auto"/>
        </w:rPr>
      </w:pPr>
      <w:r w:rsidRPr="00A56CE1">
        <w:rPr>
          <w:color w:val="auto"/>
        </w:rPr>
        <w:t xml:space="preserve">Subsection 52E(1) of </w:t>
      </w:r>
      <w:r w:rsidRPr="00A56CE1">
        <w:rPr>
          <w:iCs/>
          <w:color w:val="auto"/>
        </w:rPr>
        <w:t>the Act</w:t>
      </w:r>
      <w:r w:rsidRPr="00A56CE1">
        <w:rPr>
          <w:color w:val="auto"/>
        </w:rPr>
        <w:t>, in particular (a) the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considered necessary to protect public health</w:t>
      </w:r>
      <w:r w:rsidR="00B611F9">
        <w:rPr>
          <w:color w:val="auto"/>
        </w:rPr>
        <w:t>.</w:t>
      </w:r>
    </w:p>
    <w:p w14:paraId="03F546F5" w14:textId="5ABDECC0" w:rsidR="00F67574" w:rsidRPr="008B1EEA" w:rsidRDefault="00F67574" w:rsidP="00F67574">
      <w:pPr>
        <w:pStyle w:val="ListBullet"/>
        <w:rPr>
          <w:rFonts w:eastAsiaTheme="minorHAnsi"/>
          <w:color w:val="auto"/>
        </w:rPr>
      </w:pPr>
      <w:r w:rsidRPr="008B1EEA">
        <w:rPr>
          <w:rFonts w:eastAsiaTheme="minorHAnsi"/>
          <w:color w:val="auto"/>
        </w:rPr>
        <w:t>A systematic review on means restriction of poison and method-specific suicide rates</w:t>
      </w:r>
      <w:r w:rsidR="00B611F9">
        <w:rPr>
          <w:rFonts w:eastAsiaTheme="minorHAnsi"/>
          <w:color w:val="auto"/>
        </w:rPr>
        <w:t>.</w:t>
      </w:r>
      <w:r w:rsidRPr="008B1EEA">
        <w:rPr>
          <w:rStyle w:val="FootnoteReference"/>
          <w:rFonts w:eastAsiaTheme="minorHAnsi"/>
          <w:color w:val="auto"/>
        </w:rPr>
        <w:footnoteReference w:id="8"/>
      </w:r>
    </w:p>
    <w:p w14:paraId="73AFD8ED" w14:textId="43307B49" w:rsidR="00F67574" w:rsidRPr="008B1EEA" w:rsidRDefault="00F67574" w:rsidP="00F67574">
      <w:pPr>
        <w:pStyle w:val="ListBullet"/>
        <w:rPr>
          <w:rFonts w:eastAsiaTheme="minorHAnsi"/>
          <w:color w:val="auto"/>
        </w:rPr>
      </w:pPr>
      <w:r w:rsidRPr="008B1EEA">
        <w:rPr>
          <w:rFonts w:eastAsiaTheme="minorHAnsi"/>
          <w:color w:val="auto"/>
        </w:rPr>
        <w:t>Data from the National Coronial Information System (NCIS)</w:t>
      </w:r>
      <w:r w:rsidR="00B611F9">
        <w:rPr>
          <w:rFonts w:eastAsiaTheme="minorHAnsi"/>
          <w:color w:val="auto"/>
        </w:rPr>
        <w:t>.</w:t>
      </w:r>
    </w:p>
    <w:p w14:paraId="3C21F794" w14:textId="35F66AD3" w:rsidR="00F67574" w:rsidRPr="008B1EEA" w:rsidRDefault="00F67574" w:rsidP="00F67574">
      <w:pPr>
        <w:pStyle w:val="ListBullet"/>
        <w:rPr>
          <w:rFonts w:eastAsiaTheme="minorHAnsi"/>
          <w:color w:val="auto"/>
        </w:rPr>
      </w:pPr>
      <w:r w:rsidRPr="008B1EEA">
        <w:rPr>
          <w:rFonts w:eastAsiaTheme="minorHAnsi"/>
          <w:color w:val="auto"/>
        </w:rPr>
        <w:t>Data from the New South Wales Poisons Information Centre (NSW PIC)</w:t>
      </w:r>
      <w:r w:rsidR="00B611F9">
        <w:rPr>
          <w:rFonts w:eastAsiaTheme="minorHAnsi"/>
          <w:color w:val="auto"/>
        </w:rPr>
        <w:t>.</w:t>
      </w:r>
    </w:p>
    <w:p w14:paraId="7E23CFCA" w14:textId="496CE92F" w:rsidR="00F67574" w:rsidRPr="008B1EEA" w:rsidRDefault="00F67574" w:rsidP="00F67574">
      <w:pPr>
        <w:pStyle w:val="ListBullet"/>
        <w:rPr>
          <w:rFonts w:eastAsiaTheme="minorHAnsi"/>
          <w:color w:val="auto"/>
        </w:rPr>
      </w:pPr>
      <w:r w:rsidRPr="008B1EEA">
        <w:rPr>
          <w:rFonts w:eastAsiaTheme="minorHAnsi"/>
          <w:color w:val="auto"/>
        </w:rPr>
        <w:t xml:space="preserve">Data from the </w:t>
      </w:r>
      <w:hyperlink r:id="rId38" w:history="1">
        <w:r w:rsidRPr="008B1EEA">
          <w:rPr>
            <w:rStyle w:val="Hyperlink"/>
            <w:rFonts w:asciiTheme="minorHAnsi" w:eastAsiaTheme="minorHAnsi" w:hAnsiTheme="minorHAnsi"/>
          </w:rPr>
          <w:t>APVMA Public Chemical Registration Information System (</w:t>
        </w:r>
        <w:proofErr w:type="spellStart"/>
        <w:r w:rsidRPr="008B1EEA">
          <w:rPr>
            <w:rStyle w:val="Hyperlink"/>
            <w:rFonts w:asciiTheme="minorHAnsi" w:eastAsiaTheme="minorHAnsi" w:hAnsiTheme="minorHAnsi"/>
          </w:rPr>
          <w:t>PubCRIS</w:t>
        </w:r>
        <w:proofErr w:type="spellEnd"/>
        <w:r w:rsidRPr="008B1EEA">
          <w:rPr>
            <w:rStyle w:val="Hyperlink"/>
            <w:rFonts w:asciiTheme="minorHAnsi" w:eastAsiaTheme="minorHAnsi" w:hAnsiTheme="minorHAnsi"/>
          </w:rPr>
          <w:t>)</w:t>
        </w:r>
      </w:hyperlink>
      <w:r w:rsidR="00B611F9" w:rsidRPr="00C7111E">
        <w:rPr>
          <w:rStyle w:val="Hyperlink"/>
          <w:rFonts w:asciiTheme="minorHAnsi" w:eastAsiaTheme="minorHAnsi" w:hAnsiTheme="minorHAnsi"/>
          <w:color w:val="auto"/>
          <w:u w:val="none"/>
        </w:rPr>
        <w:t>.</w:t>
      </w:r>
    </w:p>
    <w:p w14:paraId="78EEE503" w14:textId="723A8351" w:rsidR="00F67574" w:rsidRPr="008B1EEA" w:rsidRDefault="00F67574" w:rsidP="00F67574">
      <w:pPr>
        <w:pStyle w:val="ListBullet"/>
      </w:pPr>
      <w:r w:rsidRPr="008B1EEA">
        <w:rPr>
          <w:rFonts w:eastAsiaTheme="minorHAnsi"/>
          <w:color w:val="auto"/>
        </w:rPr>
        <w:t xml:space="preserve">The </w:t>
      </w:r>
      <w:hyperlink r:id="rId39" w:history="1">
        <w:r w:rsidRPr="008B1EEA">
          <w:rPr>
            <w:rStyle w:val="Hyperlink"/>
            <w:rFonts w:asciiTheme="minorHAnsi" w:eastAsiaTheme="minorHAnsi" w:hAnsiTheme="minorHAnsi"/>
          </w:rPr>
          <w:t>Commission Implementing Regulation (EU) 2020/1276, Official Journal of the European Union</w:t>
        </w:r>
      </w:hyperlink>
      <w:r w:rsidR="00B611F9" w:rsidRPr="00C7111E">
        <w:rPr>
          <w:rStyle w:val="Hyperlink"/>
          <w:rFonts w:asciiTheme="minorHAnsi" w:eastAsiaTheme="minorHAnsi" w:hAnsiTheme="minorHAnsi"/>
          <w:color w:val="auto"/>
          <w:u w:val="none"/>
        </w:rPr>
        <w:t>.</w:t>
      </w:r>
    </w:p>
    <w:p w14:paraId="20BFC756" w14:textId="49CCB30F" w:rsidR="0022697D" w:rsidRPr="00F67574" w:rsidRDefault="0022697D" w:rsidP="0022697D">
      <w:pPr>
        <w:pStyle w:val="ListBullet"/>
        <w:rPr>
          <w:color w:val="auto"/>
        </w:rPr>
      </w:pPr>
      <w:r w:rsidRPr="00F67574">
        <w:rPr>
          <w:color w:val="auto"/>
        </w:rPr>
        <w:t>Pursuant to paragraph 52E(2)(a) of the Act, the SPF</w:t>
      </w:r>
      <w:r w:rsidR="00B611F9">
        <w:rPr>
          <w:color w:val="auto"/>
        </w:rPr>
        <w:t>,</w:t>
      </w:r>
      <w:r w:rsidRPr="00F67574">
        <w:rPr>
          <w:color w:val="auto"/>
        </w:rPr>
        <w:t xml:space="preserve"> and</w:t>
      </w:r>
    </w:p>
    <w:p w14:paraId="784F01B6" w14:textId="77777777" w:rsidR="0022697D" w:rsidRPr="00A56CE1" w:rsidRDefault="0022697D" w:rsidP="0022697D">
      <w:pPr>
        <w:pStyle w:val="ListBullet"/>
        <w:rPr>
          <w:color w:val="auto"/>
        </w:rPr>
      </w:pPr>
      <w:r w:rsidRPr="00A56CE1">
        <w:rPr>
          <w:color w:val="auto"/>
        </w:rPr>
        <w:t>The Handbook.</w:t>
      </w:r>
    </w:p>
    <w:p w14:paraId="0A018A4C" w14:textId="613358B5" w:rsidR="0022697D" w:rsidRPr="00BB34CD" w:rsidRDefault="0022697D" w:rsidP="0022697D">
      <w:pPr>
        <w:pStyle w:val="Heading4"/>
      </w:pPr>
      <w:r w:rsidRPr="00BB34CD">
        <w:t>Reasons for the final decision (including findings on material questions of fact)</w:t>
      </w:r>
    </w:p>
    <w:p w14:paraId="2ABC9CEA" w14:textId="4CFE315F" w:rsidR="00EE468A" w:rsidRDefault="0022697D" w:rsidP="00C7111E">
      <w:pPr>
        <w:pStyle w:val="ListBullet"/>
        <w:numPr>
          <w:ilvl w:val="0"/>
          <w:numId w:val="0"/>
        </w:numPr>
        <w:spacing w:before="0" w:after="120" w:line="259" w:lineRule="auto"/>
        <w:rPr>
          <w:color w:val="auto"/>
        </w:rPr>
      </w:pPr>
      <w:r w:rsidRPr="00D11AE6">
        <w:rPr>
          <w:color w:val="auto"/>
        </w:rPr>
        <w:t xml:space="preserve">I have made a final decision to confirm my interim decision to amend the current Poisons Standard with respect to </w:t>
      </w:r>
      <w:r w:rsidR="00D11AE6" w:rsidRPr="00D11AE6">
        <w:rPr>
          <w:color w:val="auto"/>
        </w:rPr>
        <w:t>bromoxynil</w:t>
      </w:r>
      <w:r w:rsidRPr="00D11AE6">
        <w:rPr>
          <w:color w:val="auto"/>
        </w:rPr>
        <w:t>. My reasons for making the final decision are those set out in the interim decision.</w:t>
      </w:r>
    </w:p>
    <w:p w14:paraId="4C4E934D" w14:textId="4EB8EB11" w:rsidR="0022697D" w:rsidRDefault="0022697D" w:rsidP="00C7111E">
      <w:pPr>
        <w:pStyle w:val="ListBullet"/>
        <w:numPr>
          <w:ilvl w:val="0"/>
          <w:numId w:val="0"/>
        </w:numPr>
        <w:spacing w:before="0" w:after="120" w:line="259" w:lineRule="auto"/>
        <w:rPr>
          <w:color w:val="auto"/>
        </w:rPr>
      </w:pPr>
      <w:r w:rsidRPr="00D11AE6">
        <w:rPr>
          <w:color w:val="auto"/>
        </w:rPr>
        <w:t xml:space="preserve">In making my final decision, I have </w:t>
      </w:r>
      <w:proofErr w:type="gramStart"/>
      <w:r w:rsidRPr="00D11AE6">
        <w:rPr>
          <w:color w:val="auto"/>
        </w:rPr>
        <w:t>taken into account</w:t>
      </w:r>
      <w:proofErr w:type="gramEnd"/>
      <w:r w:rsidRPr="00D11AE6">
        <w:rPr>
          <w:color w:val="auto"/>
        </w:rPr>
        <w:t xml:space="preserve"> the material detailed in the interim decision</w:t>
      </w:r>
      <w:r w:rsidR="00D11AE6" w:rsidRPr="00D11AE6">
        <w:rPr>
          <w:color w:val="auto"/>
        </w:rPr>
        <w:t>.</w:t>
      </w:r>
      <w:r w:rsidRPr="00D11AE6">
        <w:rPr>
          <w:color w:val="auto"/>
        </w:rPr>
        <w:t xml:space="preserve"> I have noted that </w:t>
      </w:r>
      <w:r w:rsidR="00DF3D0D">
        <w:rPr>
          <w:color w:val="auto"/>
        </w:rPr>
        <w:t>the single</w:t>
      </w:r>
      <w:r w:rsidRPr="00D11AE6">
        <w:rPr>
          <w:color w:val="auto"/>
        </w:rPr>
        <w:t xml:space="preserve"> public submission </w:t>
      </w:r>
      <w:r w:rsidR="00DF3D0D">
        <w:rPr>
          <w:color w:val="auto"/>
        </w:rPr>
        <w:t>was</w:t>
      </w:r>
      <w:r w:rsidRPr="00D11AE6">
        <w:rPr>
          <w:color w:val="auto"/>
        </w:rPr>
        <w:t xml:space="preserve"> received before the second closing date in response </w:t>
      </w:r>
      <w:r w:rsidRPr="00D11AE6">
        <w:rPr>
          <w:color w:val="auto"/>
        </w:rPr>
        <w:lastRenderedPageBreak/>
        <w:t xml:space="preserve">to the call for further submissions published on </w:t>
      </w:r>
      <w:r w:rsidR="00D11AE6" w:rsidRPr="00D11AE6">
        <w:rPr>
          <w:color w:val="auto"/>
        </w:rPr>
        <w:t>13</w:t>
      </w:r>
      <w:r w:rsidRPr="00D11AE6">
        <w:rPr>
          <w:color w:val="auto"/>
        </w:rPr>
        <w:t xml:space="preserve"> </w:t>
      </w:r>
      <w:r w:rsidR="00D11AE6" w:rsidRPr="00D11AE6">
        <w:rPr>
          <w:color w:val="auto"/>
        </w:rPr>
        <w:t>July 2023</w:t>
      </w:r>
      <w:r w:rsidRPr="00D11AE6">
        <w:rPr>
          <w:color w:val="auto"/>
        </w:rPr>
        <w:t xml:space="preserve"> under regulation 42ZCZP of the Regulations</w:t>
      </w:r>
      <w:r w:rsidR="00EE468A">
        <w:rPr>
          <w:color w:val="auto"/>
        </w:rPr>
        <w:t xml:space="preserve">, </w:t>
      </w:r>
      <w:r w:rsidR="00DF3D0D">
        <w:rPr>
          <w:color w:val="auto"/>
        </w:rPr>
        <w:t>was supportive of the interim decision</w:t>
      </w:r>
      <w:r w:rsidRPr="00D11AE6">
        <w:rPr>
          <w:color w:val="auto"/>
        </w:rPr>
        <w:t>.</w:t>
      </w:r>
    </w:p>
    <w:p w14:paraId="0DB08D78" w14:textId="66089FE8" w:rsidR="00D215F1" w:rsidRPr="00C7111E" w:rsidRDefault="00D215F1" w:rsidP="00C7111E">
      <w:pPr>
        <w:pStyle w:val="ListBullet"/>
        <w:numPr>
          <w:ilvl w:val="0"/>
          <w:numId w:val="0"/>
        </w:numPr>
        <w:spacing w:before="0" w:after="120" w:line="259" w:lineRule="auto"/>
        <w:rPr>
          <w:color w:val="auto"/>
        </w:rPr>
      </w:pPr>
      <w:r w:rsidRPr="00D215F1">
        <w:rPr>
          <w:color w:val="auto"/>
        </w:rPr>
        <w:t>In confirming my interim decision,</w:t>
      </w:r>
      <w:r>
        <w:rPr>
          <w:color w:val="auto"/>
        </w:rPr>
        <w:t xml:space="preserve"> I have provided </w:t>
      </w:r>
      <w:r w:rsidRPr="00D215F1">
        <w:rPr>
          <w:color w:val="auto"/>
        </w:rPr>
        <w:t>an extended implementation period to allow: (</w:t>
      </w:r>
      <w:proofErr w:type="spellStart"/>
      <w:r w:rsidRPr="00D215F1">
        <w:rPr>
          <w:color w:val="auto"/>
        </w:rPr>
        <w:t>i</w:t>
      </w:r>
      <w:proofErr w:type="spellEnd"/>
      <w:r w:rsidRPr="00D215F1">
        <w:rPr>
          <w:color w:val="auto"/>
        </w:rPr>
        <w:t>) the agricultural chemical industries to make the necessary adjustments to product labelling and supply; and (ii) the applicable State and Territory entities to make the necessary adjustments to their compliance regimes for Schedule 7 substances, where appropriate.</w:t>
      </w:r>
    </w:p>
    <w:p w14:paraId="7D75D2FA" w14:textId="61A7F61F" w:rsidR="0022697D" w:rsidRPr="00BB34CD" w:rsidRDefault="0022697D" w:rsidP="0022697D">
      <w:pPr>
        <w:pStyle w:val="Heading4"/>
      </w:pPr>
      <w:r w:rsidRPr="00BB34CD">
        <w:t xml:space="preserve">Implementation date </w:t>
      </w:r>
    </w:p>
    <w:p w14:paraId="2C2BB124" w14:textId="77777777" w:rsidR="0022697D" w:rsidRPr="002824FE" w:rsidRDefault="0022697D" w:rsidP="0022697D">
      <w:pPr>
        <w:rPr>
          <w:b/>
          <w:bCs/>
        </w:rPr>
      </w:pPr>
      <w:r w:rsidRPr="002824FE">
        <w:rPr>
          <w:b/>
          <w:bCs/>
        </w:rPr>
        <w:t xml:space="preserve">1 June 2024 </w:t>
      </w:r>
    </w:p>
    <w:p w14:paraId="23377058" w14:textId="0B0E566C" w:rsidR="0022697D" w:rsidRDefault="0031371C" w:rsidP="0022697D">
      <w:pPr>
        <w:pStyle w:val="Heading3"/>
      </w:pPr>
      <w:bookmarkStart w:id="39" w:name="_Toc143009502"/>
      <w:r>
        <w:t>4.2</w:t>
      </w:r>
      <w:r>
        <w:tab/>
      </w:r>
      <w:r w:rsidR="0022697D">
        <w:t>Final decision in relation to dioxane</w:t>
      </w:r>
      <w:bookmarkEnd w:id="39"/>
    </w:p>
    <w:p w14:paraId="20DDB7A3" w14:textId="7D732E0C" w:rsidR="0022697D" w:rsidRPr="009A4603" w:rsidRDefault="0022697D" w:rsidP="0022697D">
      <w:pPr>
        <w:pStyle w:val="Heading4"/>
      </w:pPr>
      <w:r w:rsidRPr="009A4603">
        <w:t>Proposal</w:t>
      </w:r>
    </w:p>
    <w:p w14:paraId="74DAAF9E" w14:textId="4F0ADF33" w:rsidR="0022697D" w:rsidRDefault="0022697D" w:rsidP="003425E0">
      <w:r>
        <w:t xml:space="preserve">A Delegate proposed the deletion of the Appendix G entry for dioxane (the </w:t>
      </w:r>
      <w:r w:rsidRPr="00C80672">
        <w:rPr>
          <w:b/>
          <w:bCs/>
        </w:rPr>
        <w:t>Proposal</w:t>
      </w:r>
      <w:r>
        <w:t xml:space="preserve">). The </w:t>
      </w:r>
      <w:r w:rsidR="00B611F9">
        <w:t>Appendix </w:t>
      </w:r>
      <w:r>
        <w:t>G entry currently exempts from scheduling controls any preparation containing 100 mg/kg or less of dioxane. Deletion of the Appendix G entry would reduce this exemption limit to the default of 10 mg/kg for Schedule 6 substances, placing all preparations containing greater than this concentration of dioxane in Schedule 6.</w:t>
      </w:r>
    </w:p>
    <w:p w14:paraId="04904493" w14:textId="386EB594" w:rsidR="0022697D" w:rsidRPr="009A4603" w:rsidRDefault="0022697D" w:rsidP="0022697D">
      <w:pPr>
        <w:pStyle w:val="Heading4"/>
      </w:pPr>
      <w:r w:rsidRPr="009A4603">
        <w:t xml:space="preserve">Final decision </w:t>
      </w:r>
    </w:p>
    <w:p w14:paraId="2DA37EC4" w14:textId="6F2177A0" w:rsidR="0022697D" w:rsidRDefault="0022697D" w:rsidP="0022697D">
      <w:r>
        <w:t xml:space="preserve">Pursuant to regulation 42ZCZR of the Regulations, the Delegate has made a final </w:t>
      </w:r>
      <w:r w:rsidRPr="00C044E1">
        <w:t>decision to vary the</w:t>
      </w:r>
      <w:r w:rsidRPr="005203C8">
        <w:t xml:space="preserve"> interim </w:t>
      </w:r>
      <w:r w:rsidRPr="00B626E1">
        <w:t>decision and amend the current Poisons Standard in relation to dioxane as follows:</w:t>
      </w:r>
      <w:r w:rsidR="003371E3">
        <w:rPr>
          <w:rStyle w:val="FootnoteReference"/>
        </w:rPr>
        <w:footnoteReference w:id="9"/>
      </w:r>
    </w:p>
    <w:p w14:paraId="021138FD" w14:textId="77777777" w:rsidR="00B626E1" w:rsidRPr="00C72DAB" w:rsidRDefault="00B626E1" w:rsidP="00B626E1">
      <w:pPr>
        <w:spacing w:before="240"/>
        <w:ind w:left="425"/>
        <w:rPr>
          <w:b/>
        </w:rPr>
      </w:pPr>
      <w:r w:rsidRPr="00C72DAB">
        <w:rPr>
          <w:b/>
        </w:rPr>
        <w:t xml:space="preserve">Schedule </w:t>
      </w:r>
      <w:r>
        <w:rPr>
          <w:b/>
        </w:rPr>
        <w:t>6</w:t>
      </w:r>
      <w:r w:rsidRPr="00C72DAB">
        <w:rPr>
          <w:b/>
        </w:rPr>
        <w:t xml:space="preserve"> –</w:t>
      </w:r>
      <w:r>
        <w:rPr>
          <w:b/>
        </w:rPr>
        <w:t xml:space="preserve"> Amend E</w:t>
      </w:r>
      <w:r w:rsidRPr="00C72DAB">
        <w:rPr>
          <w:b/>
        </w:rPr>
        <w:t>ntry</w:t>
      </w:r>
    </w:p>
    <w:p w14:paraId="69C3F66F" w14:textId="71F715A1" w:rsidR="00B626E1" w:rsidRPr="005873A0" w:rsidRDefault="00B626E1" w:rsidP="00B626E1">
      <w:pPr>
        <w:shd w:val="clear" w:color="auto" w:fill="FFFFFF"/>
        <w:spacing w:line="240" w:lineRule="auto"/>
        <w:ind w:left="709"/>
        <w:rPr>
          <w:rFonts w:eastAsia="Times New Roman"/>
          <w:color w:val="00B050"/>
          <w:u w:val="single"/>
          <w:lang w:eastAsia="en-AU"/>
        </w:rPr>
      </w:pPr>
      <w:r>
        <w:rPr>
          <w:rFonts w:eastAsia="Times New Roman"/>
          <w:color w:val="000000"/>
          <w:lang w:eastAsia="en-AU"/>
        </w:rPr>
        <w:t xml:space="preserve">DIOXANE </w:t>
      </w:r>
      <w:r w:rsidRPr="005873A0">
        <w:rPr>
          <w:rFonts w:eastAsia="Times New Roman"/>
          <w:b/>
          <w:bCs/>
          <w:color w:val="00B050"/>
          <w:u w:val="single"/>
          <w:lang w:eastAsia="en-AU"/>
        </w:rPr>
        <w:t>except</w:t>
      </w:r>
      <w:r w:rsidRPr="005873A0">
        <w:rPr>
          <w:rFonts w:eastAsia="Times New Roman"/>
          <w:color w:val="00B050"/>
          <w:u w:val="single"/>
          <w:lang w:eastAsia="en-AU"/>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4"/>
      </w:tblGrid>
      <w:tr w:rsidR="00B626E1" w:rsidRPr="005873A0" w14:paraId="18913014" w14:textId="77777777" w:rsidTr="00DE5A72">
        <w:tc>
          <w:tcPr>
            <w:tcW w:w="7364" w:type="dxa"/>
            <w:hideMark/>
          </w:tcPr>
          <w:p w14:paraId="1DD1E6D5" w14:textId="344CFA27" w:rsidR="00B626E1" w:rsidRPr="00B626E1" w:rsidRDefault="00B626E1" w:rsidP="00DE5A72">
            <w:pPr>
              <w:pStyle w:val="ListParagraph"/>
              <w:numPr>
                <w:ilvl w:val="0"/>
                <w:numId w:val="10"/>
              </w:numPr>
              <w:ind w:left="1313" w:hanging="357"/>
              <w:rPr>
                <w:rFonts w:asciiTheme="minorHAnsi" w:hAnsiTheme="minorHAnsi" w:cstheme="minorHAnsi"/>
                <w:strike/>
                <w:color w:val="00B050"/>
                <w:u w:val="single"/>
              </w:rPr>
            </w:pPr>
            <w:r w:rsidRPr="00B626E1">
              <w:rPr>
                <w:rFonts w:asciiTheme="minorHAnsi" w:hAnsiTheme="minorHAnsi" w:cstheme="minorHAnsi"/>
                <w:color w:val="00B050"/>
                <w:szCs w:val="22"/>
                <w:u w:val="single"/>
              </w:rPr>
              <w:t xml:space="preserve">in preparations for cosmetic or human internal therapeutic use containing 0.001% </w:t>
            </w:r>
            <w:r>
              <w:rPr>
                <w:rFonts w:asciiTheme="minorHAnsi" w:hAnsiTheme="minorHAnsi" w:cstheme="minorHAnsi"/>
                <w:color w:val="00B050"/>
                <w:szCs w:val="22"/>
                <w:u w:val="single"/>
              </w:rPr>
              <w:t xml:space="preserve">or less </w:t>
            </w:r>
            <w:r w:rsidRPr="00B626E1">
              <w:rPr>
                <w:rFonts w:asciiTheme="minorHAnsi" w:hAnsiTheme="minorHAnsi" w:cstheme="minorHAnsi"/>
                <w:color w:val="00B050"/>
                <w:szCs w:val="22"/>
                <w:u w:val="single"/>
              </w:rPr>
              <w:t>of dioxane; or</w:t>
            </w:r>
          </w:p>
        </w:tc>
      </w:tr>
      <w:tr w:rsidR="00B626E1" w:rsidRPr="005873A0" w14:paraId="12273D20" w14:textId="77777777" w:rsidTr="00DE5A72">
        <w:tc>
          <w:tcPr>
            <w:tcW w:w="7364" w:type="dxa"/>
            <w:hideMark/>
          </w:tcPr>
          <w:p w14:paraId="14EE39AC" w14:textId="22BE5ED8" w:rsidR="00B626E1" w:rsidRPr="00B626E1" w:rsidRDefault="00B626E1" w:rsidP="00DE5A72">
            <w:pPr>
              <w:pStyle w:val="Numberbullet2"/>
              <w:numPr>
                <w:ilvl w:val="0"/>
                <w:numId w:val="10"/>
              </w:numPr>
              <w:tabs>
                <w:tab w:val="left" w:pos="720"/>
              </w:tabs>
              <w:spacing w:before="0" w:after="120" w:line="240" w:lineRule="auto"/>
              <w:ind w:left="1313" w:hanging="357"/>
              <w:rPr>
                <w:rFonts w:asciiTheme="minorHAnsi" w:hAnsiTheme="minorHAnsi" w:cstheme="minorHAnsi"/>
                <w:i/>
                <w:color w:val="00B050"/>
                <w:u w:val="single"/>
              </w:rPr>
            </w:pPr>
            <w:r w:rsidRPr="00B626E1">
              <w:rPr>
                <w:rFonts w:asciiTheme="minorHAnsi" w:hAnsiTheme="minorHAnsi" w:cstheme="minorHAnsi"/>
                <w:color w:val="00B050"/>
                <w:u w:val="single"/>
              </w:rPr>
              <w:t xml:space="preserve">in other preparations containing 0.01% </w:t>
            </w:r>
            <w:r>
              <w:rPr>
                <w:rFonts w:asciiTheme="minorHAnsi" w:hAnsiTheme="minorHAnsi" w:cstheme="minorHAnsi"/>
                <w:color w:val="00B050"/>
                <w:u w:val="single"/>
              </w:rPr>
              <w:t xml:space="preserve">or </w:t>
            </w:r>
            <w:r w:rsidRPr="00B626E1">
              <w:rPr>
                <w:rFonts w:asciiTheme="minorHAnsi" w:hAnsiTheme="minorHAnsi" w:cstheme="minorHAnsi"/>
                <w:color w:val="00B050"/>
                <w:u w:val="single"/>
              </w:rPr>
              <w:t>less of dioxane.</w:t>
            </w:r>
          </w:p>
        </w:tc>
      </w:tr>
    </w:tbl>
    <w:p w14:paraId="0660AC9A" w14:textId="77777777" w:rsidR="00B626E1" w:rsidRPr="00C72DAB" w:rsidRDefault="00B626E1" w:rsidP="00B626E1">
      <w:pPr>
        <w:spacing w:before="240"/>
        <w:ind w:left="426"/>
        <w:rPr>
          <w:b/>
        </w:rPr>
      </w:pPr>
      <w:r>
        <w:rPr>
          <w:b/>
        </w:rPr>
        <w:t>Appendix</w:t>
      </w:r>
      <w:r w:rsidRPr="00C72DAB">
        <w:rPr>
          <w:b/>
        </w:rPr>
        <w:t xml:space="preserve"> </w:t>
      </w:r>
      <w:r>
        <w:rPr>
          <w:b/>
        </w:rPr>
        <w:t>G</w:t>
      </w:r>
      <w:r w:rsidRPr="00C72DAB">
        <w:rPr>
          <w:b/>
        </w:rPr>
        <w:t xml:space="preserve"> –</w:t>
      </w:r>
      <w:r>
        <w:rPr>
          <w:b/>
        </w:rPr>
        <w:t xml:space="preserve"> Delete E</w:t>
      </w:r>
      <w:r w:rsidRPr="00C72DAB">
        <w:rPr>
          <w:b/>
        </w:rPr>
        <w:t>ntry</w:t>
      </w:r>
    </w:p>
    <w:tbl>
      <w:tblPr>
        <w:tblStyle w:val="TableTGAblue"/>
        <w:tblW w:w="0" w:type="auto"/>
        <w:tblInd w:w="983" w:type="dxa"/>
        <w:tblLook w:val="04A0" w:firstRow="1" w:lastRow="0" w:firstColumn="1" w:lastColumn="0" w:noHBand="0" w:noVBand="1"/>
      </w:tblPr>
      <w:tblGrid>
        <w:gridCol w:w="4033"/>
        <w:gridCol w:w="4034"/>
      </w:tblGrid>
      <w:tr w:rsidR="00B626E1" w:rsidRPr="00074C21" w14:paraId="04B5A047" w14:textId="77777777" w:rsidTr="008A60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dxa"/>
          </w:tcPr>
          <w:p w14:paraId="45CA375C" w14:textId="77777777" w:rsidR="00B626E1" w:rsidRPr="00074C21" w:rsidRDefault="00B626E1" w:rsidP="008A60FC">
            <w:pPr>
              <w:rPr>
                <w:rFonts w:asciiTheme="minorHAnsi" w:hAnsiTheme="minorHAnsi" w:cstheme="minorHAnsi"/>
                <w:bCs/>
              </w:rPr>
            </w:pPr>
            <w:r w:rsidRPr="00074C21">
              <w:rPr>
                <w:rFonts w:asciiTheme="minorHAnsi" w:hAnsiTheme="minorHAnsi" w:cstheme="minorHAnsi"/>
                <w:bCs/>
              </w:rPr>
              <w:t>POISON</w:t>
            </w:r>
          </w:p>
        </w:tc>
        <w:tc>
          <w:tcPr>
            <w:tcW w:w="4034" w:type="dxa"/>
          </w:tcPr>
          <w:p w14:paraId="79BA8CB9" w14:textId="77777777" w:rsidR="00B626E1" w:rsidRPr="00074C21" w:rsidRDefault="00B626E1" w:rsidP="008A60F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rPr>
            </w:pPr>
            <w:r w:rsidRPr="00074C21">
              <w:rPr>
                <w:rFonts w:asciiTheme="minorHAnsi" w:hAnsiTheme="minorHAnsi" w:cstheme="minorHAnsi"/>
                <w:bCs/>
              </w:rPr>
              <w:t>CONCENTRATION (QUANTITY PER LITRE OR KILOGRAM)</w:t>
            </w:r>
          </w:p>
        </w:tc>
      </w:tr>
      <w:tr w:rsidR="00B626E1" w:rsidRPr="00074C21" w14:paraId="3A379C0D" w14:textId="77777777" w:rsidTr="008A60FC">
        <w:tc>
          <w:tcPr>
            <w:cnfStyle w:val="001000000000" w:firstRow="0" w:lastRow="0" w:firstColumn="1" w:lastColumn="0" w:oddVBand="0" w:evenVBand="0" w:oddHBand="0" w:evenHBand="0" w:firstRowFirstColumn="0" w:firstRowLastColumn="0" w:lastRowFirstColumn="0" w:lastRowLastColumn="0"/>
            <w:tcW w:w="4033" w:type="dxa"/>
          </w:tcPr>
          <w:p w14:paraId="46D27C10" w14:textId="77777777" w:rsidR="00B626E1" w:rsidRPr="00074C21" w:rsidRDefault="00B626E1" w:rsidP="008A60FC">
            <w:pPr>
              <w:rPr>
                <w:rFonts w:asciiTheme="minorHAnsi" w:hAnsiTheme="minorHAnsi" w:cstheme="minorHAnsi"/>
                <w:bCs/>
                <w:strike/>
                <w:color w:val="FF0000"/>
              </w:rPr>
            </w:pPr>
            <w:r w:rsidRPr="00074C21">
              <w:rPr>
                <w:rFonts w:asciiTheme="minorHAnsi" w:hAnsiTheme="minorHAnsi" w:cstheme="minorHAnsi"/>
                <w:bCs/>
                <w:strike/>
                <w:color w:val="FF0000"/>
              </w:rPr>
              <w:t>DIOXANE</w:t>
            </w:r>
          </w:p>
        </w:tc>
        <w:tc>
          <w:tcPr>
            <w:tcW w:w="4034" w:type="dxa"/>
          </w:tcPr>
          <w:p w14:paraId="13EE5B77" w14:textId="77777777" w:rsidR="00B626E1" w:rsidRPr="00074C21" w:rsidRDefault="00B626E1" w:rsidP="008A60F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trike/>
                <w:color w:val="FF0000"/>
              </w:rPr>
            </w:pPr>
            <w:r w:rsidRPr="00074C21">
              <w:rPr>
                <w:rFonts w:asciiTheme="minorHAnsi" w:hAnsiTheme="minorHAnsi" w:cstheme="minorHAnsi"/>
                <w:bCs/>
                <w:strike/>
                <w:color w:val="FF0000"/>
              </w:rPr>
              <w:t>100 mg</w:t>
            </w:r>
          </w:p>
        </w:tc>
      </w:tr>
    </w:tbl>
    <w:p w14:paraId="026A84EE" w14:textId="285282AC" w:rsidR="00B626E1" w:rsidRPr="00C72DAB" w:rsidRDefault="00B626E1" w:rsidP="00B626E1">
      <w:pPr>
        <w:spacing w:before="240"/>
        <w:ind w:left="426"/>
        <w:rPr>
          <w:b/>
        </w:rPr>
      </w:pPr>
      <w:r w:rsidRPr="00C72DAB">
        <w:rPr>
          <w:b/>
        </w:rPr>
        <w:t xml:space="preserve">Index – </w:t>
      </w:r>
      <w:r>
        <w:rPr>
          <w:b/>
        </w:rPr>
        <w:t xml:space="preserve">Amend </w:t>
      </w:r>
      <w:r w:rsidRPr="00C72DAB">
        <w:rPr>
          <w:b/>
        </w:rPr>
        <w:t>Entry</w:t>
      </w:r>
    </w:p>
    <w:p w14:paraId="4B7A48A5" w14:textId="77777777" w:rsidR="00B626E1" w:rsidRPr="00A3722A" w:rsidRDefault="00B626E1" w:rsidP="00B626E1">
      <w:pPr>
        <w:ind w:left="709"/>
        <w:rPr>
          <w:b/>
          <w:bCs/>
        </w:rPr>
      </w:pPr>
      <w:r w:rsidRPr="00A3722A">
        <w:rPr>
          <w:b/>
          <w:bCs/>
        </w:rPr>
        <w:t>DIOXANE</w:t>
      </w:r>
    </w:p>
    <w:p w14:paraId="2D41C5E6" w14:textId="77777777" w:rsidR="00B626E1" w:rsidRDefault="00B626E1" w:rsidP="00B626E1">
      <w:pPr>
        <w:ind w:left="709"/>
      </w:pPr>
      <w:r>
        <w:t>Schedule 6</w:t>
      </w:r>
      <w:r>
        <w:br/>
        <w:t>Appendix E, Part 2</w:t>
      </w:r>
      <w:r>
        <w:br/>
      </w:r>
      <w:r>
        <w:lastRenderedPageBreak/>
        <w:t>Appendix F, Part 3</w:t>
      </w:r>
      <w:r>
        <w:br/>
      </w:r>
      <w:r w:rsidRPr="00753740">
        <w:rPr>
          <w:strike/>
          <w:color w:val="FF0000"/>
        </w:rPr>
        <w:t>Appendix G</w:t>
      </w:r>
    </w:p>
    <w:p w14:paraId="7442E3FD" w14:textId="2F05BFE5" w:rsidR="0022697D" w:rsidRPr="009A4603" w:rsidRDefault="0022697D" w:rsidP="0022697D">
      <w:pPr>
        <w:pStyle w:val="Heading4"/>
      </w:pPr>
      <w:r w:rsidRPr="009A4603">
        <w:t>Materials considered</w:t>
      </w:r>
    </w:p>
    <w:p w14:paraId="4531695B" w14:textId="77777777" w:rsidR="0022697D" w:rsidRDefault="0022697D" w:rsidP="0022697D">
      <w:r>
        <w:t>In making this final decision, the Delegate considered the following material:</w:t>
      </w:r>
    </w:p>
    <w:p w14:paraId="3215AA0F" w14:textId="1C053D61" w:rsidR="000E0B4C" w:rsidRPr="000E0B4C" w:rsidRDefault="000E0B4C" w:rsidP="000E0B4C">
      <w:pPr>
        <w:numPr>
          <w:ilvl w:val="0"/>
          <w:numId w:val="1"/>
        </w:numPr>
        <w:spacing w:before="120" w:after="180" w:line="240" w:lineRule="atLeast"/>
        <w:rPr>
          <w:rFonts w:cstheme="minorHAnsi"/>
        </w:rPr>
      </w:pPr>
      <w:r w:rsidRPr="000E0B4C">
        <w:rPr>
          <w:rFonts w:cstheme="minorHAnsi"/>
        </w:rPr>
        <w:t>The</w:t>
      </w:r>
      <w:sdt>
        <w:sdtPr>
          <w:rPr>
            <w:rFonts w:cstheme="minorHAnsi"/>
          </w:rPr>
          <w:alias w:val="Hyperlink to TGA website"/>
          <w:tag w:val="Hyperlink to TGA website"/>
          <w:id w:val="1602835891"/>
          <w:placeholder>
            <w:docPart w:val="5900E51799F64AE69AE062317D65DBB0"/>
          </w:placeholder>
        </w:sdtPr>
        <w:sdtEndPr>
          <w:rPr>
            <w:color w:val="0000FF"/>
            <w:u w:val="single"/>
          </w:rPr>
        </w:sdtEndPr>
        <w:sdtContent>
          <w:r w:rsidRPr="000E0B4C">
            <w:rPr>
              <w:rFonts w:cstheme="minorHAnsi"/>
            </w:rPr>
            <w:t xml:space="preserve"> </w:t>
          </w:r>
          <w:hyperlink r:id="rId40" w:history="1">
            <w:r w:rsidRPr="00C7111E">
              <w:rPr>
                <w:rStyle w:val="Hyperlink"/>
                <w:rFonts w:asciiTheme="minorHAnsi" w:hAnsiTheme="minorHAnsi" w:cstheme="minorHAnsi"/>
              </w:rPr>
              <w:t>proposal</w:t>
            </w:r>
          </w:hyperlink>
        </w:sdtContent>
      </w:sdt>
      <w:r w:rsidRPr="000E0B4C">
        <w:rPr>
          <w:rFonts w:cstheme="minorHAnsi"/>
        </w:rPr>
        <w:t xml:space="preserve"> to amend the current Poisons Standard with respect to </w:t>
      </w:r>
      <w:sdt>
        <w:sdtPr>
          <w:rPr>
            <w:rFonts w:cstheme="minorHAnsi"/>
          </w:rPr>
          <w:id w:val="180715324"/>
          <w:placeholder>
            <w:docPart w:val="6D34372595B34A948E76C723A8D87D1C"/>
          </w:placeholder>
        </w:sdtPr>
        <w:sdtEndPr>
          <w:rPr>
            <w:highlight w:val="yellow"/>
          </w:rPr>
        </w:sdtEndPr>
        <w:sdtContent>
          <w:r w:rsidRPr="000E0B4C">
            <w:rPr>
              <w:rFonts w:cstheme="minorHAnsi"/>
            </w:rPr>
            <w:t>dioxane (the</w:t>
          </w:r>
          <w:r w:rsidRPr="00C7111E">
            <w:rPr>
              <w:rFonts w:cstheme="minorHAnsi"/>
              <w:b/>
              <w:bCs/>
            </w:rPr>
            <w:t xml:space="preserve"> Proposal</w:t>
          </w:r>
          <w:r w:rsidRPr="000E0B4C">
            <w:rPr>
              <w:rFonts w:cstheme="minorHAnsi"/>
            </w:rPr>
            <w:t>)</w:t>
          </w:r>
          <w:r w:rsidR="00B611F9">
            <w:rPr>
              <w:rFonts w:cstheme="minorHAnsi"/>
            </w:rPr>
            <w:t>.</w:t>
          </w:r>
        </w:sdtContent>
      </w:sdt>
    </w:p>
    <w:p w14:paraId="0633957E" w14:textId="7D61154C" w:rsidR="0022697D" w:rsidRPr="00967490" w:rsidRDefault="0022697D" w:rsidP="004D4427">
      <w:pPr>
        <w:pStyle w:val="ListBullet"/>
      </w:pPr>
      <w:r w:rsidRPr="000E0B4C">
        <w:rPr>
          <w:color w:val="auto"/>
        </w:rPr>
        <w:t xml:space="preserve">The 6 </w:t>
      </w:r>
      <w:hyperlink r:id="rId41" w:history="1">
        <w:r w:rsidRPr="000E0B4C">
          <w:rPr>
            <w:rStyle w:val="Hyperlink"/>
            <w:rFonts w:asciiTheme="minorHAnsi" w:hAnsiTheme="minorHAnsi"/>
          </w:rPr>
          <w:t>public submissions</w:t>
        </w:r>
      </w:hyperlink>
      <w:r>
        <w:t xml:space="preserve"> </w:t>
      </w:r>
      <w:r w:rsidRPr="000E0B4C">
        <w:rPr>
          <w:color w:val="auto"/>
        </w:rPr>
        <w:t xml:space="preserve">received in response to the </w:t>
      </w:r>
      <w:hyperlink r:id="rId42" w:history="1">
        <w:r w:rsidRPr="000E0B4C">
          <w:rPr>
            <w:rStyle w:val="Hyperlink"/>
            <w:rFonts w:asciiTheme="minorHAnsi" w:hAnsiTheme="minorHAnsi"/>
          </w:rPr>
          <w:t>pre-meeting consultation</w:t>
        </w:r>
      </w:hyperlink>
      <w:r w:rsidRPr="00967490">
        <w:t xml:space="preserve"> </w:t>
      </w:r>
      <w:r w:rsidRPr="000E0B4C">
        <w:rPr>
          <w:color w:val="auto"/>
        </w:rPr>
        <w:t>under regulation 42ZCZK of the Regulations</w:t>
      </w:r>
      <w:r w:rsidR="00B611F9">
        <w:rPr>
          <w:color w:val="auto"/>
        </w:rPr>
        <w:t>.</w:t>
      </w:r>
    </w:p>
    <w:p w14:paraId="03FAA95E" w14:textId="584C8A24" w:rsidR="0022697D" w:rsidRPr="00C7111E" w:rsidRDefault="0022697D" w:rsidP="0022697D">
      <w:pPr>
        <w:pStyle w:val="ListBullet"/>
        <w:rPr>
          <w:color w:val="auto"/>
        </w:rPr>
      </w:pPr>
      <w:r w:rsidRPr="00C7111E">
        <w:rPr>
          <w:color w:val="auto"/>
        </w:rPr>
        <w:t>The advice received from the 36</w:t>
      </w:r>
      <w:r w:rsidRPr="00C7111E">
        <w:rPr>
          <w:color w:val="auto"/>
          <w:vertAlign w:val="superscript"/>
        </w:rPr>
        <w:t>th</w:t>
      </w:r>
      <w:r w:rsidRPr="00C7111E">
        <w:rPr>
          <w:color w:val="auto"/>
        </w:rPr>
        <w:t xml:space="preserve"> meeting of the Advisory Committee on Chemical Scheduling (the </w:t>
      </w:r>
      <w:r w:rsidRPr="00C7111E">
        <w:rPr>
          <w:b/>
          <w:bCs/>
          <w:color w:val="auto"/>
        </w:rPr>
        <w:t>Committee</w:t>
      </w:r>
      <w:r w:rsidRPr="00C7111E">
        <w:rPr>
          <w:color w:val="auto"/>
        </w:rPr>
        <w:t>)</w:t>
      </w:r>
      <w:r w:rsidR="00B611F9">
        <w:rPr>
          <w:color w:val="auto"/>
        </w:rPr>
        <w:t>.</w:t>
      </w:r>
      <w:r w:rsidRPr="00C7111E">
        <w:rPr>
          <w:rStyle w:val="FootnoteReference"/>
          <w:color w:val="auto"/>
        </w:rPr>
        <w:footnoteReference w:id="10"/>
      </w:r>
    </w:p>
    <w:p w14:paraId="65567263" w14:textId="0B5C590E" w:rsidR="000E0B4C" w:rsidRPr="000E0B4C" w:rsidRDefault="000E0B4C" w:rsidP="000E0B4C">
      <w:pPr>
        <w:numPr>
          <w:ilvl w:val="0"/>
          <w:numId w:val="1"/>
        </w:numPr>
        <w:spacing w:before="120" w:after="180" w:line="240" w:lineRule="atLeast"/>
        <w:rPr>
          <w:rFonts w:cstheme="minorHAnsi"/>
        </w:rPr>
      </w:pPr>
      <w:r w:rsidRPr="00B611F9">
        <w:rPr>
          <w:rFonts w:cstheme="minorHAnsi"/>
        </w:rPr>
        <w:t xml:space="preserve">The </w:t>
      </w:r>
      <w:hyperlink r:id="rId43" w:history="1">
        <w:r w:rsidRPr="00C7111E">
          <w:rPr>
            <w:rStyle w:val="Hyperlink"/>
            <w:rFonts w:asciiTheme="minorHAnsi" w:hAnsiTheme="minorHAnsi" w:cstheme="minorHAnsi"/>
          </w:rPr>
          <w:t>evaluation statement</w:t>
        </w:r>
      </w:hyperlink>
      <w:r w:rsidRPr="000E0B4C">
        <w:rPr>
          <w:rFonts w:cstheme="minorHAnsi"/>
        </w:rPr>
        <w:t xml:space="preserve"> </w:t>
      </w:r>
      <w:r w:rsidRPr="00B611F9">
        <w:rPr>
          <w:rFonts w:cstheme="minorHAnsi"/>
        </w:rPr>
        <w:t>on dioxane published by Australian Industrial Chemicals Introduction Scheme (AICIS) in June 2022</w:t>
      </w:r>
      <w:r w:rsidR="00B611F9">
        <w:rPr>
          <w:rFonts w:cstheme="minorHAnsi"/>
        </w:rPr>
        <w:t>.</w:t>
      </w:r>
    </w:p>
    <w:p w14:paraId="406F1E73" w14:textId="70D1169F" w:rsidR="000E0B4C" w:rsidRPr="000E0B4C" w:rsidRDefault="000E0B4C" w:rsidP="000E0B4C">
      <w:pPr>
        <w:numPr>
          <w:ilvl w:val="0"/>
          <w:numId w:val="1"/>
        </w:numPr>
        <w:spacing w:before="120" w:after="180" w:line="240" w:lineRule="atLeast"/>
        <w:rPr>
          <w:rFonts w:cstheme="minorHAnsi"/>
        </w:rPr>
      </w:pPr>
      <w:bookmarkStart w:id="40" w:name="_Hlk139983231"/>
      <w:r w:rsidRPr="000E0B4C">
        <w:rPr>
          <w:rFonts w:cstheme="minorHAnsi"/>
        </w:rPr>
        <w:t xml:space="preserve">The </w:t>
      </w:r>
      <w:hyperlink r:id="rId44" w:history="1">
        <w:r w:rsidRPr="00C7111E">
          <w:rPr>
            <w:rStyle w:val="Hyperlink"/>
            <w:rFonts w:asciiTheme="minorHAnsi" w:hAnsiTheme="minorHAnsi" w:cstheme="minorHAnsi"/>
          </w:rPr>
          <w:t>Globally Harmonized System of Classification and Labelling of Chemicals (GHS Rev. 9, 2021)</w:t>
        </w:r>
      </w:hyperlink>
      <w:r w:rsidR="00B611F9">
        <w:rPr>
          <w:rStyle w:val="Hyperlink"/>
          <w:rFonts w:asciiTheme="minorHAnsi" w:hAnsiTheme="minorHAnsi" w:cstheme="minorHAnsi"/>
        </w:rPr>
        <w:t>.</w:t>
      </w:r>
    </w:p>
    <w:bookmarkEnd w:id="40"/>
    <w:p w14:paraId="01EFFD7E" w14:textId="205DB5DE" w:rsidR="000E0B4C" w:rsidRPr="000E0B4C" w:rsidRDefault="000E0B4C" w:rsidP="000E0B4C">
      <w:pPr>
        <w:numPr>
          <w:ilvl w:val="0"/>
          <w:numId w:val="1"/>
        </w:numPr>
        <w:spacing w:before="120" w:after="180" w:line="240" w:lineRule="atLeast"/>
        <w:rPr>
          <w:rFonts w:cstheme="minorHAnsi"/>
        </w:rPr>
      </w:pPr>
      <w:r w:rsidRPr="000E0B4C">
        <w:rPr>
          <w:rFonts w:eastAsia="Cambria" w:cstheme="minorHAnsi"/>
        </w:rPr>
        <w:t xml:space="preserve">The </w:t>
      </w:r>
      <w:hyperlink r:id="rId45" w:history="1">
        <w:r w:rsidRPr="00C7111E">
          <w:rPr>
            <w:rStyle w:val="Hyperlink"/>
            <w:rFonts w:asciiTheme="minorHAnsi" w:eastAsia="Cambria" w:hAnsiTheme="minorHAnsi" w:cstheme="minorHAnsi"/>
          </w:rPr>
          <w:t>International Council for Harmonisation (ICH) of technical requirements for pharmaceuticals for human use, Impurities: Guideline for residual solvents Q3C(R8)</w:t>
        </w:r>
      </w:hyperlink>
      <w:r w:rsidR="00B611F9" w:rsidRPr="00C7111E">
        <w:rPr>
          <w:rStyle w:val="Hyperlink"/>
          <w:rFonts w:asciiTheme="minorHAnsi" w:eastAsia="Cambria" w:hAnsiTheme="minorHAnsi" w:cstheme="minorHAnsi"/>
          <w:color w:val="auto"/>
          <w:u w:val="none"/>
        </w:rPr>
        <w:t>.</w:t>
      </w:r>
    </w:p>
    <w:p w14:paraId="6EDC8AD6" w14:textId="4616D2E6" w:rsidR="000E0B4C" w:rsidRPr="000E0B4C" w:rsidRDefault="000E0B4C" w:rsidP="000E0B4C">
      <w:pPr>
        <w:numPr>
          <w:ilvl w:val="0"/>
          <w:numId w:val="1"/>
        </w:numPr>
        <w:spacing w:before="120" w:after="180" w:line="240" w:lineRule="atLeast"/>
        <w:rPr>
          <w:rFonts w:cstheme="minorHAnsi"/>
        </w:rPr>
      </w:pPr>
      <w:r w:rsidRPr="000E0B4C">
        <w:rPr>
          <w:rFonts w:cstheme="minorHAnsi"/>
        </w:rPr>
        <w:t xml:space="preserve">The </w:t>
      </w:r>
      <w:hyperlink r:id="rId46" w:history="1">
        <w:r w:rsidRPr="00C7111E">
          <w:rPr>
            <w:rStyle w:val="Hyperlink"/>
            <w:rFonts w:asciiTheme="minorHAnsi" w:hAnsiTheme="minorHAnsi" w:cstheme="minorHAnsi"/>
          </w:rPr>
          <w:t>Therapeutic Goods (Permissible Ingredients) Determination (No. 3) 2023</w:t>
        </w:r>
      </w:hyperlink>
      <w:r w:rsidR="00B611F9" w:rsidRPr="00C7111E">
        <w:rPr>
          <w:rStyle w:val="Hyperlink"/>
          <w:rFonts w:asciiTheme="minorHAnsi" w:hAnsiTheme="minorHAnsi" w:cstheme="minorHAnsi"/>
          <w:color w:val="auto"/>
          <w:u w:val="none"/>
        </w:rPr>
        <w:t>.</w:t>
      </w:r>
    </w:p>
    <w:p w14:paraId="3712F4AA" w14:textId="74A5A5CE" w:rsidR="000E0B4C" w:rsidRPr="000E0B4C" w:rsidRDefault="000E0B4C" w:rsidP="00C7111E">
      <w:pPr>
        <w:numPr>
          <w:ilvl w:val="0"/>
          <w:numId w:val="1"/>
        </w:numPr>
        <w:spacing w:before="120" w:after="180" w:line="240" w:lineRule="atLeast"/>
      </w:pPr>
      <w:r w:rsidRPr="000E0B4C">
        <w:rPr>
          <w:rFonts w:cstheme="minorHAnsi"/>
        </w:rPr>
        <w:t xml:space="preserve">The </w:t>
      </w:r>
      <w:hyperlink r:id="rId47" w:history="1">
        <w:r w:rsidRPr="00C7111E">
          <w:rPr>
            <w:rStyle w:val="Hyperlink"/>
            <w:rFonts w:asciiTheme="minorHAnsi" w:hAnsiTheme="minorHAnsi" w:cstheme="minorHAnsi"/>
          </w:rPr>
          <w:t>Regulation (EC) No 1223/2009 of the European Parliament and of the Council of 30 November 2009 on cosmetic products</w:t>
        </w:r>
      </w:hyperlink>
      <w:r w:rsidR="00B611F9" w:rsidRPr="00B611F9">
        <w:rPr>
          <w:rStyle w:val="Hyperlink"/>
          <w:rFonts w:asciiTheme="minorHAnsi" w:hAnsiTheme="minorHAnsi" w:cstheme="minorHAnsi"/>
          <w:color w:val="auto"/>
          <w:u w:val="none"/>
        </w:rPr>
        <w:t>.</w:t>
      </w:r>
    </w:p>
    <w:p w14:paraId="42401D2B" w14:textId="11D6D164" w:rsidR="0022697D" w:rsidRPr="00C044E1" w:rsidRDefault="0022697D" w:rsidP="0022697D">
      <w:pPr>
        <w:pStyle w:val="ListBullet"/>
        <w:rPr>
          <w:color w:val="auto"/>
        </w:rPr>
      </w:pPr>
      <w:r w:rsidRPr="00C044E1">
        <w:rPr>
          <w:color w:val="auto"/>
        </w:rPr>
        <w:t xml:space="preserve">The </w:t>
      </w:r>
      <w:r w:rsidR="00A70FD9" w:rsidRPr="00C044E1">
        <w:rPr>
          <w:color w:val="auto"/>
        </w:rPr>
        <w:t>3</w:t>
      </w:r>
      <w:r w:rsidRPr="00C044E1">
        <w:rPr>
          <w:color w:val="auto"/>
        </w:rPr>
        <w:t xml:space="preserve"> </w:t>
      </w:r>
      <w:hyperlink r:id="rId48" w:history="1">
        <w:r w:rsidRPr="00C044E1">
          <w:rPr>
            <w:rStyle w:val="Hyperlink"/>
            <w:rFonts w:asciiTheme="minorHAnsi" w:hAnsiTheme="minorHAnsi"/>
          </w:rPr>
          <w:t>public submissions</w:t>
        </w:r>
      </w:hyperlink>
      <w:r w:rsidRPr="00C044E1">
        <w:rPr>
          <w:color w:val="auto"/>
        </w:rPr>
        <w:t xml:space="preserve"> received in response to the </w:t>
      </w:r>
      <w:hyperlink r:id="rId49" w:history="1">
        <w:r w:rsidRPr="00C044E1">
          <w:rPr>
            <w:rStyle w:val="Hyperlink"/>
            <w:rFonts w:asciiTheme="minorHAnsi" w:hAnsiTheme="minorHAnsi"/>
          </w:rPr>
          <w:t>interim decision consultation</w:t>
        </w:r>
      </w:hyperlink>
      <w:r w:rsidRPr="00C044E1">
        <w:t xml:space="preserve"> </w:t>
      </w:r>
      <w:r w:rsidRPr="00C044E1">
        <w:rPr>
          <w:color w:val="auto"/>
        </w:rPr>
        <w:t>under regulation 42ZCZP of the Regulations</w:t>
      </w:r>
      <w:r w:rsidR="00A70FD9" w:rsidRPr="00C044E1">
        <w:rPr>
          <w:color w:val="auto"/>
        </w:rPr>
        <w:t xml:space="preserve"> (the </w:t>
      </w:r>
      <w:r w:rsidR="00A70FD9" w:rsidRPr="00C044E1">
        <w:rPr>
          <w:b/>
          <w:bCs/>
          <w:color w:val="auto"/>
        </w:rPr>
        <w:t>Submissions</w:t>
      </w:r>
      <w:r w:rsidR="00A70FD9" w:rsidRPr="00C044E1">
        <w:rPr>
          <w:color w:val="auto"/>
        </w:rPr>
        <w:t>)</w:t>
      </w:r>
      <w:r w:rsidR="00B611F9">
        <w:rPr>
          <w:color w:val="auto"/>
        </w:rPr>
        <w:t>.</w:t>
      </w:r>
    </w:p>
    <w:p w14:paraId="30ABBFEE" w14:textId="792B9F0C" w:rsidR="0022697D" w:rsidRPr="00C044E1" w:rsidRDefault="0022697D" w:rsidP="0022697D">
      <w:pPr>
        <w:pStyle w:val="ListBullet"/>
        <w:rPr>
          <w:color w:val="auto"/>
        </w:rPr>
      </w:pPr>
      <w:r w:rsidRPr="00C044E1">
        <w:rPr>
          <w:color w:val="auto"/>
        </w:rPr>
        <w:t xml:space="preserve">Subsection 52E(1) of </w:t>
      </w:r>
      <w:r w:rsidRPr="00C044E1">
        <w:rPr>
          <w:iCs/>
          <w:color w:val="auto"/>
        </w:rPr>
        <w:t>the Act</w:t>
      </w:r>
      <w:r w:rsidRPr="00C044E1">
        <w:rPr>
          <w:color w:val="auto"/>
        </w:rPr>
        <w:t>, in particular (a) the risks and benefits of the use of a substance; (b) the purposes for which a substance is to be used and the extent of use of a substance; (c) the toxicity of a substance; (d) the dosage, formulation, labelling, packaging and presentation of a substance; and (f) any other matters considered necessary to protect public health</w:t>
      </w:r>
      <w:r w:rsidR="00B611F9">
        <w:rPr>
          <w:color w:val="auto"/>
        </w:rPr>
        <w:t>.</w:t>
      </w:r>
    </w:p>
    <w:p w14:paraId="47EEE7F9" w14:textId="198198A1" w:rsidR="0022697D" w:rsidRPr="00C044E1" w:rsidRDefault="0022697D" w:rsidP="0022697D">
      <w:pPr>
        <w:pStyle w:val="ListBullet"/>
        <w:rPr>
          <w:color w:val="auto"/>
        </w:rPr>
      </w:pPr>
      <w:r w:rsidRPr="00C044E1">
        <w:rPr>
          <w:color w:val="auto"/>
        </w:rPr>
        <w:t>Pursuant to paragraph 52E(2)(a) of the Act, the SPF</w:t>
      </w:r>
      <w:r w:rsidR="00B611F9">
        <w:rPr>
          <w:color w:val="auto"/>
        </w:rPr>
        <w:t>,</w:t>
      </w:r>
      <w:r w:rsidRPr="00C044E1">
        <w:rPr>
          <w:color w:val="auto"/>
        </w:rPr>
        <w:t xml:space="preserve"> and</w:t>
      </w:r>
    </w:p>
    <w:p w14:paraId="3346257B" w14:textId="77777777" w:rsidR="0022697D" w:rsidRPr="00C044E1" w:rsidRDefault="0022697D" w:rsidP="0022697D">
      <w:pPr>
        <w:pStyle w:val="ListBullet"/>
        <w:rPr>
          <w:color w:val="auto"/>
        </w:rPr>
      </w:pPr>
      <w:r w:rsidRPr="00C044E1">
        <w:rPr>
          <w:color w:val="auto"/>
        </w:rPr>
        <w:t>The Handbook.</w:t>
      </w:r>
    </w:p>
    <w:p w14:paraId="2518BA59" w14:textId="0D63766C" w:rsidR="0022697D" w:rsidRPr="00C044E1" w:rsidRDefault="0022697D" w:rsidP="0022697D">
      <w:pPr>
        <w:pStyle w:val="Heading4"/>
      </w:pPr>
      <w:r w:rsidRPr="00C044E1">
        <w:t>Reasons for the final decision (including findings on material questions of fact)</w:t>
      </w:r>
    </w:p>
    <w:p w14:paraId="40B1B9EE" w14:textId="60E5D9D7" w:rsidR="0022697D" w:rsidRPr="00641991" w:rsidRDefault="0022697D" w:rsidP="00C7111E">
      <w:pPr>
        <w:pStyle w:val="ListBullet"/>
        <w:numPr>
          <w:ilvl w:val="0"/>
          <w:numId w:val="0"/>
        </w:numPr>
        <w:spacing w:before="0" w:after="120" w:line="259" w:lineRule="auto"/>
        <w:rPr>
          <w:color w:val="auto"/>
        </w:rPr>
      </w:pPr>
      <w:r w:rsidRPr="00C044E1">
        <w:rPr>
          <w:color w:val="auto"/>
        </w:rPr>
        <w:t xml:space="preserve">I have made a final decision to vary my interim decision to amend the current Poisons Standard with respect to </w:t>
      </w:r>
      <w:r w:rsidR="00A70FD9" w:rsidRPr="00C044E1">
        <w:rPr>
          <w:color w:val="auto"/>
        </w:rPr>
        <w:t>dioxane</w:t>
      </w:r>
      <w:r w:rsidRPr="00C044E1">
        <w:rPr>
          <w:color w:val="auto"/>
        </w:rPr>
        <w:t xml:space="preserve">. My reasons for making the final decision are those set out in the interim decision. In making my final decision, I have </w:t>
      </w:r>
      <w:proofErr w:type="gramStart"/>
      <w:r w:rsidRPr="00C044E1">
        <w:rPr>
          <w:color w:val="auto"/>
        </w:rPr>
        <w:t>taken into account</w:t>
      </w:r>
      <w:proofErr w:type="gramEnd"/>
      <w:r w:rsidRPr="00C044E1">
        <w:rPr>
          <w:color w:val="auto"/>
        </w:rPr>
        <w:t xml:space="preserve"> the material detailed in the interim decision and the </w:t>
      </w:r>
      <w:r w:rsidR="00A70FD9" w:rsidRPr="00C044E1">
        <w:rPr>
          <w:color w:val="auto"/>
        </w:rPr>
        <w:t>3</w:t>
      </w:r>
      <w:r w:rsidRPr="00C044E1">
        <w:rPr>
          <w:color w:val="auto"/>
        </w:rPr>
        <w:t xml:space="preserve"> public submissions received before the second closing date in response to the call for further submissions</w:t>
      </w:r>
      <w:r w:rsidRPr="00641991">
        <w:rPr>
          <w:color w:val="auto"/>
        </w:rPr>
        <w:t xml:space="preserve"> published on </w:t>
      </w:r>
      <w:r w:rsidR="00A70FD9" w:rsidRPr="00641991">
        <w:rPr>
          <w:color w:val="auto"/>
        </w:rPr>
        <w:t>13</w:t>
      </w:r>
      <w:r w:rsidRPr="00641991">
        <w:rPr>
          <w:color w:val="auto"/>
        </w:rPr>
        <w:t xml:space="preserve"> </w:t>
      </w:r>
      <w:r w:rsidR="00A70FD9" w:rsidRPr="00641991">
        <w:rPr>
          <w:color w:val="auto"/>
        </w:rPr>
        <w:t xml:space="preserve">July 2023 </w:t>
      </w:r>
      <w:r w:rsidRPr="00641991">
        <w:rPr>
          <w:color w:val="auto"/>
        </w:rPr>
        <w:t>under regulation 42ZCZP of the Regulations.</w:t>
      </w:r>
    </w:p>
    <w:p w14:paraId="60ED980A" w14:textId="77777777" w:rsidR="00B611F9" w:rsidRDefault="00B611F9">
      <w:pPr>
        <w:rPr>
          <w:rFonts w:eastAsia="Cambria" w:cstheme="minorHAnsi"/>
        </w:rPr>
      </w:pPr>
      <w:r>
        <w:br w:type="page"/>
      </w:r>
    </w:p>
    <w:p w14:paraId="6CE2E5AB" w14:textId="6FE33EE8" w:rsidR="00A70FD9" w:rsidRDefault="00A70FD9" w:rsidP="00C7111E">
      <w:pPr>
        <w:pStyle w:val="ListBullet"/>
        <w:numPr>
          <w:ilvl w:val="0"/>
          <w:numId w:val="0"/>
        </w:numPr>
        <w:spacing w:before="0" w:after="120" w:line="259" w:lineRule="auto"/>
        <w:rPr>
          <w:color w:val="auto"/>
        </w:rPr>
      </w:pPr>
      <w:r w:rsidRPr="00641991">
        <w:rPr>
          <w:color w:val="auto"/>
        </w:rPr>
        <w:lastRenderedPageBreak/>
        <w:t>I acknowledge the point raised in the submission from Accord Australia regarding the convention for exemption limits in the Poisons Standard. I have therefore decided to</w:t>
      </w:r>
      <w:r w:rsidR="000E0B4C">
        <w:rPr>
          <w:color w:val="auto"/>
        </w:rPr>
        <w:t xml:space="preserve"> make a minor</w:t>
      </w:r>
      <w:r w:rsidRPr="00641991">
        <w:rPr>
          <w:color w:val="auto"/>
        </w:rPr>
        <w:t xml:space="preserve"> amend</w:t>
      </w:r>
      <w:r w:rsidR="000E0B4C">
        <w:rPr>
          <w:color w:val="auto"/>
        </w:rPr>
        <w:t xml:space="preserve">ment to the </w:t>
      </w:r>
      <w:r w:rsidR="00F2432E">
        <w:rPr>
          <w:color w:val="auto"/>
        </w:rPr>
        <w:t xml:space="preserve">proposed </w:t>
      </w:r>
      <w:r w:rsidR="000E0B4C">
        <w:rPr>
          <w:color w:val="auto"/>
        </w:rPr>
        <w:t>Schedule 6 Poison Standard entry and vary</w:t>
      </w:r>
      <w:r w:rsidRPr="00641991">
        <w:rPr>
          <w:color w:val="auto"/>
        </w:rPr>
        <w:t xml:space="preserve"> the interim decision such that relevant preparations contain</w:t>
      </w:r>
      <w:r w:rsidR="00F2432E">
        <w:rPr>
          <w:color w:val="auto"/>
        </w:rPr>
        <w:t>ing</w:t>
      </w:r>
      <w:r w:rsidRPr="00641991">
        <w:rPr>
          <w:color w:val="auto"/>
        </w:rPr>
        <w:t xml:space="preserve"> dioxane </w:t>
      </w:r>
      <w:r w:rsidRPr="00DE5A72">
        <w:rPr>
          <w:color w:val="auto"/>
          <w:u w:val="single"/>
        </w:rPr>
        <w:t xml:space="preserve">at </w:t>
      </w:r>
      <w:r w:rsidR="00641991" w:rsidRPr="00DE5A72">
        <w:rPr>
          <w:color w:val="auto"/>
          <w:u w:val="single"/>
        </w:rPr>
        <w:t>or below</w:t>
      </w:r>
      <w:r w:rsidR="00641991">
        <w:rPr>
          <w:color w:val="auto"/>
        </w:rPr>
        <w:t xml:space="preserve"> </w:t>
      </w:r>
      <w:r w:rsidRPr="00641991">
        <w:rPr>
          <w:color w:val="auto"/>
        </w:rPr>
        <w:t>the limits specified in the Schedule 6 entry are exempt from controls under the Poisons Standard.</w:t>
      </w:r>
      <w:r w:rsidR="00641991">
        <w:rPr>
          <w:color w:val="auto"/>
        </w:rPr>
        <w:t xml:space="preserve"> The other 2 submissions received</w:t>
      </w:r>
      <w:r w:rsidR="00F2432E">
        <w:rPr>
          <w:color w:val="auto"/>
        </w:rPr>
        <w:t xml:space="preserve"> in relation to dioxane</w:t>
      </w:r>
      <w:r w:rsidR="00641991">
        <w:rPr>
          <w:color w:val="auto"/>
        </w:rPr>
        <w:t xml:space="preserve"> were </w:t>
      </w:r>
      <w:r w:rsidR="00F2432E">
        <w:rPr>
          <w:color w:val="auto"/>
        </w:rPr>
        <w:t xml:space="preserve">in </w:t>
      </w:r>
      <w:r w:rsidR="00641991">
        <w:rPr>
          <w:color w:val="auto"/>
        </w:rPr>
        <w:t>support of the interim decision</w:t>
      </w:r>
      <w:r w:rsidR="00F2432E">
        <w:rPr>
          <w:color w:val="auto"/>
        </w:rPr>
        <w:t xml:space="preserve"> published on 13 July 2023.</w:t>
      </w:r>
    </w:p>
    <w:p w14:paraId="0A4BE1AA" w14:textId="7299C997" w:rsidR="00D91465" w:rsidRPr="008B1EEA" w:rsidRDefault="00D91465" w:rsidP="00C7111E">
      <w:pPr>
        <w:pStyle w:val="ListBullet"/>
        <w:numPr>
          <w:ilvl w:val="0"/>
          <w:numId w:val="0"/>
        </w:numPr>
        <w:spacing w:before="0" w:after="120" w:line="259" w:lineRule="auto"/>
        <w:rPr>
          <w:color w:val="auto"/>
          <w:highlight w:val="yellow"/>
        </w:rPr>
      </w:pPr>
      <w:r>
        <w:rPr>
          <w:color w:val="auto"/>
        </w:rPr>
        <w:t xml:space="preserve">I have provided an implementation date of 1 June 2024 to allow </w:t>
      </w:r>
      <w:r w:rsidR="0081041D">
        <w:rPr>
          <w:color w:val="auto"/>
        </w:rPr>
        <w:t xml:space="preserve">industry </w:t>
      </w:r>
      <w:r w:rsidR="008C767E" w:rsidRPr="008C767E">
        <w:rPr>
          <w:color w:val="auto"/>
        </w:rPr>
        <w:t>sufficient time to accommodate the new limit.</w:t>
      </w:r>
    </w:p>
    <w:p w14:paraId="031A166C" w14:textId="59615B5D" w:rsidR="0022697D" w:rsidRPr="00BB34CD" w:rsidRDefault="0022697D" w:rsidP="0022697D">
      <w:pPr>
        <w:pStyle w:val="Heading4"/>
      </w:pPr>
      <w:r w:rsidRPr="00BB34CD">
        <w:t xml:space="preserve">Implementation date </w:t>
      </w:r>
    </w:p>
    <w:p w14:paraId="1ADAE31C" w14:textId="77777777" w:rsidR="0022697D" w:rsidRPr="00641991" w:rsidRDefault="0022697D" w:rsidP="0022697D">
      <w:pPr>
        <w:rPr>
          <w:b/>
          <w:bCs/>
        </w:rPr>
      </w:pPr>
      <w:r w:rsidRPr="00641991">
        <w:rPr>
          <w:b/>
          <w:bCs/>
        </w:rPr>
        <w:t xml:space="preserve">1 June 2024 </w:t>
      </w:r>
    </w:p>
    <w:p w14:paraId="52683CFF" w14:textId="77777777" w:rsidR="00641991" w:rsidRDefault="00641991">
      <w:pPr>
        <w:rPr>
          <w:rFonts w:ascii="Arial" w:eastAsia="Times New Roman" w:hAnsi="Arial" w:cs="Times New Roman"/>
          <w:b/>
          <w:bCs/>
          <w:color w:val="001871"/>
          <w:sz w:val="38"/>
          <w:szCs w:val="38"/>
        </w:rPr>
      </w:pPr>
      <w:r>
        <w:br w:type="page"/>
      </w:r>
    </w:p>
    <w:p w14:paraId="09B0C61B" w14:textId="662F2DE3" w:rsidR="00457050" w:rsidRPr="00BC2009" w:rsidRDefault="0031371C" w:rsidP="00C7111E">
      <w:pPr>
        <w:pStyle w:val="Heading2"/>
        <w:ind w:left="720" w:hanging="720"/>
      </w:pPr>
      <w:bookmarkStart w:id="41" w:name="_Toc143009503"/>
      <w:r>
        <w:lastRenderedPageBreak/>
        <w:t>5</w:t>
      </w:r>
      <w:r>
        <w:tab/>
      </w:r>
      <w:r w:rsidR="00457050" w:rsidRPr="00B41852">
        <w:t xml:space="preserve">Final decisions on proposed amendments to the current Poisons Standard under regulation </w:t>
      </w:r>
      <w:r w:rsidR="00457050" w:rsidRPr="005F3EA0">
        <w:t>42ZCZU</w:t>
      </w:r>
      <w:bookmarkEnd w:id="41"/>
    </w:p>
    <w:p w14:paraId="5DACADCF" w14:textId="64FFFF09" w:rsidR="00457050" w:rsidRPr="008A1BAB" w:rsidRDefault="00457050" w:rsidP="00967490">
      <w:pPr>
        <w:rPr>
          <w:rFonts w:cstheme="minorHAnsi"/>
        </w:rPr>
      </w:pPr>
      <w:r w:rsidRPr="008A1BAB">
        <w:rPr>
          <w:rFonts w:cstheme="minorHAnsi"/>
        </w:rPr>
        <w:t xml:space="preserve">In my capacity as a </w:t>
      </w:r>
      <w:r w:rsidR="003179E8">
        <w:rPr>
          <w:rFonts w:cstheme="minorHAnsi"/>
        </w:rPr>
        <w:t>D</w:t>
      </w:r>
      <w:r w:rsidRPr="008A1BAB">
        <w:rPr>
          <w:rFonts w:cstheme="minorHAnsi"/>
        </w:rPr>
        <w:t xml:space="preserve">elegate of the Secretary for the purpose of </w:t>
      </w:r>
      <w:r w:rsidR="003179E8">
        <w:rPr>
          <w:rFonts w:cstheme="minorHAnsi"/>
        </w:rPr>
        <w:t>r</w:t>
      </w:r>
      <w:r w:rsidRPr="008A1BAB">
        <w:rPr>
          <w:rFonts w:cstheme="minorHAnsi"/>
        </w:rPr>
        <w:t>egulation 42ZCZU</w:t>
      </w:r>
      <w:r w:rsidRPr="008A1BAB" w:rsidDel="005F3EA0">
        <w:rPr>
          <w:rFonts w:cstheme="minorHAnsi"/>
        </w:rPr>
        <w:t xml:space="preserve"> </w:t>
      </w:r>
      <w:r w:rsidRPr="008A1BAB">
        <w:rPr>
          <w:rFonts w:cstheme="minorHAnsi"/>
        </w:rPr>
        <w:t xml:space="preserve">of the </w:t>
      </w:r>
      <w:r w:rsidRPr="008A1BAB">
        <w:rPr>
          <w:rFonts w:cstheme="minorHAnsi"/>
          <w:bCs/>
        </w:rPr>
        <w:t>Regulations</w:t>
      </w:r>
      <w:r w:rsidRPr="008A1BAB">
        <w:rPr>
          <w:rFonts w:cstheme="minorHAnsi"/>
        </w:rPr>
        <w:t>, I have made final decisions under regulation 42ZCZU</w:t>
      </w:r>
      <w:r w:rsidRPr="008A1BAB" w:rsidDel="005F3EA0">
        <w:rPr>
          <w:rFonts w:cstheme="minorHAnsi"/>
        </w:rPr>
        <w:t xml:space="preserve"> </w:t>
      </w:r>
      <w:r w:rsidRPr="008A1BAB">
        <w:rPr>
          <w:rFonts w:cstheme="minorHAnsi"/>
        </w:rPr>
        <w:t>with respect to the following substances:</w:t>
      </w:r>
    </w:p>
    <w:p w14:paraId="4494BA49" w14:textId="4BE7F1E9" w:rsidR="00457050" w:rsidRPr="008A1BAB" w:rsidRDefault="00C80672" w:rsidP="00967490">
      <w:pPr>
        <w:pStyle w:val="ListBullet"/>
        <w:rPr>
          <w:color w:val="auto"/>
        </w:rPr>
      </w:pPr>
      <w:r w:rsidRPr="008A1BAB">
        <w:rPr>
          <w:color w:val="auto"/>
        </w:rPr>
        <w:t>salbutamol</w:t>
      </w:r>
    </w:p>
    <w:p w14:paraId="0CCB8BDB" w14:textId="1C3848DF" w:rsidR="00C80672" w:rsidRPr="008A1BAB" w:rsidRDefault="00C80672" w:rsidP="00967490">
      <w:pPr>
        <w:pStyle w:val="ListBullet"/>
        <w:rPr>
          <w:color w:val="auto"/>
        </w:rPr>
      </w:pPr>
      <w:proofErr w:type="spellStart"/>
      <w:r w:rsidRPr="008A1BAB">
        <w:rPr>
          <w:color w:val="auto"/>
        </w:rPr>
        <w:t>nitazenes</w:t>
      </w:r>
      <w:proofErr w:type="spellEnd"/>
    </w:p>
    <w:p w14:paraId="0536961B" w14:textId="36504298" w:rsidR="00C80672" w:rsidRDefault="00C80672" w:rsidP="00967490">
      <w:pPr>
        <w:pStyle w:val="ListBullet"/>
        <w:rPr>
          <w:color w:val="auto"/>
        </w:rPr>
      </w:pPr>
      <w:proofErr w:type="spellStart"/>
      <w:r w:rsidRPr="008A1BAB">
        <w:rPr>
          <w:color w:val="auto"/>
        </w:rPr>
        <w:t>velagliflozin</w:t>
      </w:r>
      <w:proofErr w:type="spellEnd"/>
      <w:r w:rsidR="00B611F9">
        <w:rPr>
          <w:color w:val="auto"/>
        </w:rPr>
        <w:t>,</w:t>
      </w:r>
      <w:r w:rsidR="00FD537E">
        <w:rPr>
          <w:color w:val="auto"/>
        </w:rPr>
        <w:t xml:space="preserve"> </w:t>
      </w:r>
      <w:r w:rsidR="00FD537E" w:rsidRPr="008A1BAB">
        <w:rPr>
          <w:color w:val="auto"/>
        </w:rPr>
        <w:t>and</w:t>
      </w:r>
    </w:p>
    <w:p w14:paraId="09CE1C25" w14:textId="0C208AF8" w:rsidR="00FD537E" w:rsidRPr="008A1BAB" w:rsidRDefault="00125812" w:rsidP="00967490">
      <w:pPr>
        <w:pStyle w:val="ListBullet"/>
        <w:rPr>
          <w:color w:val="auto"/>
        </w:rPr>
      </w:pPr>
      <w:proofErr w:type="spellStart"/>
      <w:r>
        <w:rPr>
          <w:color w:val="auto"/>
        </w:rPr>
        <w:t>vadadustat</w:t>
      </w:r>
      <w:proofErr w:type="spellEnd"/>
      <w:r w:rsidR="00B611F9">
        <w:rPr>
          <w:color w:val="auto"/>
        </w:rPr>
        <w:t>.</w:t>
      </w:r>
    </w:p>
    <w:p w14:paraId="18BB656D" w14:textId="610CA691" w:rsidR="00457050" w:rsidRDefault="0031371C" w:rsidP="00300CBB">
      <w:pPr>
        <w:pStyle w:val="Heading3"/>
      </w:pPr>
      <w:bookmarkStart w:id="42" w:name="_Toc97640267"/>
      <w:bookmarkStart w:id="43" w:name="_Toc143009504"/>
      <w:r>
        <w:t>5.1</w:t>
      </w:r>
      <w:r>
        <w:tab/>
      </w:r>
      <w:r w:rsidR="00457050">
        <w:t xml:space="preserve">Final decision in relation to </w:t>
      </w:r>
      <w:bookmarkEnd w:id="42"/>
      <w:r w:rsidR="000669A3">
        <w:t>salbutamol</w:t>
      </w:r>
      <w:bookmarkEnd w:id="43"/>
    </w:p>
    <w:p w14:paraId="682ED771" w14:textId="140DCDC9" w:rsidR="00457050" w:rsidRPr="00BB34CD" w:rsidRDefault="00457050" w:rsidP="00C80672">
      <w:pPr>
        <w:pStyle w:val="Heading4"/>
      </w:pPr>
      <w:r w:rsidRPr="00BB34CD">
        <w:t xml:space="preserve">Final Decision </w:t>
      </w:r>
    </w:p>
    <w:p w14:paraId="680C09E0" w14:textId="1DFA27E1" w:rsidR="00457050" w:rsidRDefault="00457050" w:rsidP="00967490">
      <w:pPr>
        <w:rPr>
          <w:rFonts w:cstheme="minorHAnsi"/>
        </w:rPr>
      </w:pPr>
      <w:r w:rsidRPr="008B1EEA">
        <w:rPr>
          <w:rFonts w:cstheme="minorHAnsi"/>
        </w:rPr>
        <w:t>Pursuant to regulation 42ZCZU</w:t>
      </w:r>
      <w:r w:rsidRPr="008B1EEA" w:rsidDel="005F3EA0">
        <w:rPr>
          <w:rFonts w:cstheme="minorHAnsi"/>
        </w:rPr>
        <w:t xml:space="preserve"> </w:t>
      </w:r>
      <w:r w:rsidRPr="008B1EEA">
        <w:rPr>
          <w:rFonts w:cstheme="minorHAnsi"/>
        </w:rPr>
        <w:t xml:space="preserve">of the Regulations, a Delegate of the Secretary has made a final </w:t>
      </w:r>
      <w:r w:rsidRPr="00850913">
        <w:rPr>
          <w:rFonts w:cstheme="minorHAnsi"/>
        </w:rPr>
        <w:t xml:space="preserve">decision to amend the current Poisons Standard in relation to </w:t>
      </w:r>
      <w:r w:rsidR="00D45B74" w:rsidRPr="00850913">
        <w:rPr>
          <w:rFonts w:cstheme="minorHAnsi"/>
        </w:rPr>
        <w:t xml:space="preserve">salbutamol </w:t>
      </w:r>
      <w:r w:rsidRPr="00850913">
        <w:rPr>
          <w:rFonts w:cstheme="minorHAnsi"/>
        </w:rPr>
        <w:t>as follows:</w:t>
      </w:r>
      <w:r w:rsidR="003371E3">
        <w:rPr>
          <w:rStyle w:val="FootnoteReference"/>
          <w:rFonts w:cstheme="minorHAnsi"/>
        </w:rPr>
        <w:footnoteReference w:id="11"/>
      </w:r>
    </w:p>
    <w:p w14:paraId="4520125D" w14:textId="77777777" w:rsidR="00641991" w:rsidRDefault="00641991" w:rsidP="00641991">
      <w:pPr>
        <w:spacing w:before="120"/>
        <w:ind w:left="425"/>
        <w:rPr>
          <w:rFonts w:cstheme="minorHAnsi"/>
          <w:b/>
          <w:bCs/>
        </w:rPr>
      </w:pPr>
      <w:r w:rsidRPr="00641991">
        <w:rPr>
          <w:rFonts w:cstheme="minorHAnsi"/>
          <w:b/>
          <w:bCs/>
        </w:rPr>
        <w:t>Schedule 3 - Amend Entry</w:t>
      </w:r>
    </w:p>
    <w:p w14:paraId="36EAD27B" w14:textId="77777777" w:rsidR="00402F2E" w:rsidRPr="00402F2E" w:rsidRDefault="00641991" w:rsidP="00402F2E">
      <w:pPr>
        <w:ind w:firstLine="720"/>
        <w:rPr>
          <w:rFonts w:cstheme="minorHAnsi"/>
        </w:rPr>
      </w:pPr>
      <w:r w:rsidRPr="00402F2E">
        <w:rPr>
          <w:rFonts w:cstheme="minorHAnsi"/>
        </w:rPr>
        <w:t>SALBUTAMOL as the only therapeutically active substance:</w:t>
      </w:r>
    </w:p>
    <w:p w14:paraId="35FE50EF" w14:textId="77777777" w:rsidR="00402F2E" w:rsidRPr="00402F2E" w:rsidRDefault="00641991" w:rsidP="00402F2E">
      <w:pPr>
        <w:pStyle w:val="ListParagraph"/>
        <w:numPr>
          <w:ilvl w:val="1"/>
          <w:numId w:val="10"/>
        </w:numPr>
        <w:spacing w:after="120"/>
        <w:ind w:left="1417" w:hanging="357"/>
        <w:contextualSpacing w:val="0"/>
        <w:rPr>
          <w:rFonts w:asciiTheme="minorHAnsi" w:hAnsiTheme="minorHAnsi" w:cstheme="minorHAnsi"/>
          <w:b/>
          <w:bCs/>
        </w:rPr>
      </w:pPr>
      <w:r w:rsidRPr="00402F2E">
        <w:rPr>
          <w:rFonts w:asciiTheme="minorHAnsi" w:hAnsiTheme="minorHAnsi" w:cstheme="minorHAnsi"/>
        </w:rPr>
        <w:t xml:space="preserve">in metered aerosols delivering 100 micrograms or less of salbutamol per metered dose; </w:t>
      </w:r>
      <w:r w:rsidR="00402F2E" w:rsidRPr="00402F2E">
        <w:rPr>
          <w:rFonts w:asciiTheme="minorHAnsi" w:hAnsiTheme="minorHAnsi" w:cstheme="minorHAnsi"/>
        </w:rPr>
        <w:t>or</w:t>
      </w:r>
    </w:p>
    <w:p w14:paraId="28BD1457" w14:textId="77777777" w:rsidR="00891F99" w:rsidRPr="00891F99" w:rsidRDefault="00641991" w:rsidP="00402F2E">
      <w:pPr>
        <w:pStyle w:val="ListParagraph"/>
        <w:numPr>
          <w:ilvl w:val="1"/>
          <w:numId w:val="10"/>
        </w:numPr>
        <w:spacing w:after="120"/>
        <w:ind w:left="1417" w:hanging="357"/>
        <w:contextualSpacing w:val="0"/>
        <w:rPr>
          <w:rFonts w:asciiTheme="minorHAnsi" w:hAnsiTheme="minorHAnsi" w:cstheme="minorHAnsi"/>
          <w:b/>
          <w:bCs/>
        </w:rPr>
      </w:pPr>
      <w:r w:rsidRPr="00402F2E">
        <w:rPr>
          <w:rFonts w:asciiTheme="minorHAnsi" w:hAnsiTheme="minorHAnsi" w:cstheme="minorHAnsi"/>
        </w:rPr>
        <w:t>in dry powders for inhalation delivering 200 micrograms or less of salbutamol per dose</w:t>
      </w:r>
      <w:r w:rsidRPr="00402F2E">
        <w:rPr>
          <w:rFonts w:asciiTheme="minorHAnsi" w:hAnsiTheme="minorHAnsi" w:cstheme="minorHAnsi"/>
          <w:strike/>
          <w:color w:val="FF0000"/>
        </w:rPr>
        <w:t>; and</w:t>
      </w:r>
    </w:p>
    <w:p w14:paraId="6C8FC5AC" w14:textId="4437B8E5" w:rsidR="00402F2E" w:rsidRPr="00402F2E" w:rsidRDefault="00641991" w:rsidP="00891F99">
      <w:pPr>
        <w:pStyle w:val="ListParagraph"/>
        <w:spacing w:after="120"/>
        <w:ind w:left="1417"/>
        <w:contextualSpacing w:val="0"/>
        <w:rPr>
          <w:rFonts w:asciiTheme="minorHAnsi" w:hAnsiTheme="minorHAnsi" w:cstheme="minorHAnsi"/>
          <w:b/>
          <w:bCs/>
        </w:rPr>
      </w:pPr>
      <w:r w:rsidRPr="00402F2E">
        <w:rPr>
          <w:rFonts w:asciiTheme="minorHAnsi" w:hAnsiTheme="minorHAnsi" w:cstheme="minorHAnsi"/>
          <w:strike/>
          <w:color w:val="FF0000"/>
        </w:rPr>
        <w:t>where supply is limited:</w:t>
      </w:r>
    </w:p>
    <w:p w14:paraId="2C64C451" w14:textId="77777777" w:rsidR="00402F2E" w:rsidRPr="00402F2E" w:rsidRDefault="00641991" w:rsidP="00402F2E">
      <w:pPr>
        <w:pStyle w:val="ListParagraph"/>
        <w:numPr>
          <w:ilvl w:val="1"/>
          <w:numId w:val="10"/>
        </w:numPr>
        <w:spacing w:after="120"/>
        <w:ind w:left="1417" w:hanging="357"/>
        <w:contextualSpacing w:val="0"/>
        <w:rPr>
          <w:rFonts w:asciiTheme="minorHAnsi" w:hAnsiTheme="minorHAnsi" w:cstheme="minorHAnsi"/>
          <w:b/>
          <w:bCs/>
          <w:strike/>
          <w:color w:val="FF0000"/>
        </w:rPr>
      </w:pPr>
      <w:r w:rsidRPr="00402F2E">
        <w:rPr>
          <w:rFonts w:asciiTheme="minorHAnsi" w:hAnsiTheme="minorHAnsi" w:cstheme="minorHAnsi"/>
          <w:strike/>
          <w:color w:val="FF0000"/>
        </w:rPr>
        <w:t>for the relief of bronchospasm in patients with asthma or chronic obstructive pulmonary disease, and for acute prophylaxis against exercise-induced asthma and other stimuli known to induce bronchospasm; or</w:t>
      </w:r>
    </w:p>
    <w:p w14:paraId="182D877D" w14:textId="77777777" w:rsidR="00402F2E" w:rsidRPr="00402F2E" w:rsidRDefault="00641991" w:rsidP="00402F2E">
      <w:pPr>
        <w:pStyle w:val="ListParagraph"/>
        <w:numPr>
          <w:ilvl w:val="1"/>
          <w:numId w:val="10"/>
        </w:numPr>
        <w:spacing w:after="120"/>
        <w:ind w:left="1417" w:hanging="357"/>
        <w:contextualSpacing w:val="0"/>
        <w:rPr>
          <w:rFonts w:asciiTheme="minorHAnsi" w:hAnsiTheme="minorHAnsi" w:cstheme="minorHAnsi"/>
          <w:b/>
          <w:bCs/>
          <w:strike/>
          <w:color w:val="FF0000"/>
        </w:rPr>
      </w:pPr>
      <w:r w:rsidRPr="00402F2E">
        <w:rPr>
          <w:rFonts w:asciiTheme="minorHAnsi" w:hAnsiTheme="minorHAnsi" w:cstheme="minorHAnsi"/>
          <w:strike/>
          <w:color w:val="FF0000"/>
        </w:rPr>
        <w:t>for the treatment of a person with a record of previous supply from a pharmacy; or</w:t>
      </w:r>
    </w:p>
    <w:p w14:paraId="4F3F7C84" w14:textId="77777777" w:rsidR="00402F2E" w:rsidRPr="00402F2E" w:rsidRDefault="00641991" w:rsidP="00402F2E">
      <w:pPr>
        <w:pStyle w:val="ListParagraph"/>
        <w:numPr>
          <w:ilvl w:val="1"/>
          <w:numId w:val="10"/>
        </w:numPr>
        <w:spacing w:after="120"/>
        <w:ind w:left="1417" w:hanging="357"/>
        <w:contextualSpacing w:val="0"/>
        <w:rPr>
          <w:rFonts w:asciiTheme="minorHAnsi" w:hAnsiTheme="minorHAnsi" w:cstheme="minorHAnsi"/>
          <w:b/>
          <w:bCs/>
          <w:strike/>
          <w:color w:val="FF0000"/>
        </w:rPr>
      </w:pPr>
      <w:r w:rsidRPr="00402F2E">
        <w:rPr>
          <w:rFonts w:asciiTheme="minorHAnsi" w:hAnsiTheme="minorHAnsi" w:cstheme="minorHAnsi"/>
          <w:strike/>
          <w:color w:val="FF0000"/>
        </w:rPr>
        <w:t>to persons authorised under a law of a State or Territory to use or supply salbutamol in the practice of their profession; or</w:t>
      </w:r>
    </w:p>
    <w:p w14:paraId="029AC7DF" w14:textId="3CF961B6" w:rsidR="00641991" w:rsidRPr="00850913" w:rsidRDefault="00641991" w:rsidP="00967490">
      <w:pPr>
        <w:pStyle w:val="ListParagraph"/>
        <w:numPr>
          <w:ilvl w:val="1"/>
          <w:numId w:val="10"/>
        </w:numPr>
        <w:spacing w:after="120"/>
        <w:ind w:left="1417" w:hanging="357"/>
        <w:contextualSpacing w:val="0"/>
        <w:rPr>
          <w:rFonts w:asciiTheme="minorHAnsi" w:hAnsiTheme="minorHAnsi" w:cstheme="minorHAnsi"/>
          <w:b/>
          <w:bCs/>
          <w:strike/>
          <w:color w:val="FF0000"/>
        </w:rPr>
      </w:pPr>
      <w:r w:rsidRPr="00402F2E">
        <w:rPr>
          <w:rFonts w:asciiTheme="minorHAnsi" w:hAnsiTheme="minorHAnsi" w:cstheme="minorHAnsi"/>
          <w:strike/>
          <w:color w:val="FF0000"/>
        </w:rPr>
        <w:t>for use in institutional first aid; and</w:t>
      </w:r>
      <w:r w:rsidRPr="00402F2E">
        <w:rPr>
          <w:rFonts w:asciiTheme="minorHAnsi" w:hAnsiTheme="minorHAnsi" w:cstheme="minorHAnsi"/>
          <w:strike/>
          <w:color w:val="FF0000"/>
        </w:rPr>
        <w:br/>
        <w:t>where paragraph (c) or (d) applies—supply is limited to one primary pack of salbutamol per person being treated</w:t>
      </w:r>
      <w:r w:rsidRPr="00402F2E">
        <w:rPr>
          <w:rFonts w:asciiTheme="minorHAnsi" w:hAnsiTheme="minorHAnsi" w:cstheme="minorHAnsi"/>
        </w:rPr>
        <w:t>.</w:t>
      </w:r>
    </w:p>
    <w:p w14:paraId="0B65B4E3" w14:textId="77777777" w:rsidR="00B611F9" w:rsidRDefault="00B611F9">
      <w:pPr>
        <w:rPr>
          <w:rFonts w:ascii="Arial" w:eastAsia="Cambria" w:hAnsi="Arial" w:cs="Times New Roman"/>
          <w:b/>
          <w:bCs/>
          <w:color w:val="001871"/>
          <w:sz w:val="28"/>
          <w:szCs w:val="26"/>
        </w:rPr>
      </w:pPr>
      <w:r>
        <w:br w:type="page"/>
      </w:r>
    </w:p>
    <w:p w14:paraId="30E3D1EF" w14:textId="2DCF791A" w:rsidR="00457050" w:rsidRPr="00BB34CD" w:rsidRDefault="00457050" w:rsidP="00D45B74">
      <w:pPr>
        <w:pStyle w:val="Heading4"/>
      </w:pPr>
      <w:r w:rsidRPr="00BB34CD">
        <w:lastRenderedPageBreak/>
        <w:t xml:space="preserve">Materials considered </w:t>
      </w:r>
    </w:p>
    <w:p w14:paraId="2EF98575" w14:textId="77777777" w:rsidR="00457050" w:rsidRPr="008B1EEA" w:rsidRDefault="00457050" w:rsidP="00967490">
      <w:pPr>
        <w:rPr>
          <w:rFonts w:cstheme="minorHAnsi"/>
        </w:rPr>
      </w:pPr>
      <w:r w:rsidRPr="008B1EEA">
        <w:rPr>
          <w:rFonts w:cstheme="minorHAnsi"/>
        </w:rPr>
        <w:t>In making this final decision, the Delegate considered the following material:</w:t>
      </w:r>
    </w:p>
    <w:p w14:paraId="49C49FEB" w14:textId="01C1CCCD" w:rsidR="00457050" w:rsidRDefault="00457050" w:rsidP="00967490">
      <w:pPr>
        <w:pStyle w:val="ListBullet"/>
        <w:rPr>
          <w:color w:val="auto"/>
        </w:rPr>
      </w:pPr>
      <w:r w:rsidRPr="008B1EEA">
        <w:rPr>
          <w:color w:val="auto"/>
        </w:rPr>
        <w:t>Subsection 52</w:t>
      </w:r>
      <w:proofErr w:type="gramStart"/>
      <w:r w:rsidRPr="008B1EEA">
        <w:rPr>
          <w:color w:val="auto"/>
        </w:rPr>
        <w:t>E(</w:t>
      </w:r>
      <w:proofErr w:type="gramEnd"/>
      <w:r w:rsidRPr="008B1EEA">
        <w:rPr>
          <w:color w:val="auto"/>
        </w:rPr>
        <w:t xml:space="preserve">1) of </w:t>
      </w:r>
      <w:r w:rsidRPr="008B1EEA">
        <w:rPr>
          <w:i/>
          <w:color w:val="auto"/>
        </w:rPr>
        <w:t>the Therapeutic Goods Act 1989</w:t>
      </w:r>
      <w:r w:rsidRPr="008B1EEA">
        <w:rPr>
          <w:color w:val="auto"/>
        </w:rPr>
        <w:t>, in particular (a) the risks and benefits of the use of a substance; (b) the purposes for which a substance is to be used and the extent of use of a substance; and (f) any other matters considered necessary to protect public health</w:t>
      </w:r>
      <w:r w:rsidR="00B611F9">
        <w:rPr>
          <w:color w:val="auto"/>
        </w:rPr>
        <w:t>.</w:t>
      </w:r>
    </w:p>
    <w:p w14:paraId="581FEF06" w14:textId="02DA7AFD" w:rsidR="00850913" w:rsidRPr="00C7111E" w:rsidRDefault="00850913" w:rsidP="00967490">
      <w:pPr>
        <w:pStyle w:val="ListBullet"/>
        <w:rPr>
          <w:color w:val="auto"/>
        </w:rPr>
      </w:pPr>
      <w:r w:rsidRPr="00C7111E">
        <w:rPr>
          <w:color w:val="auto"/>
        </w:rPr>
        <w:t>Information regarding the current status of salbutamol supplies</w:t>
      </w:r>
      <w:r w:rsidR="003B245A">
        <w:rPr>
          <w:color w:val="auto"/>
        </w:rPr>
        <w:t xml:space="preserve"> in Australia</w:t>
      </w:r>
      <w:r w:rsidR="00B611F9">
        <w:rPr>
          <w:color w:val="auto"/>
        </w:rPr>
        <w:t>.</w:t>
      </w:r>
      <w:r w:rsidR="00E10644" w:rsidRPr="00850913">
        <w:rPr>
          <w:szCs w:val="20"/>
          <w:vertAlign w:val="superscript"/>
        </w:rPr>
        <w:footnoteReference w:id="12"/>
      </w:r>
    </w:p>
    <w:p w14:paraId="1737E0A7" w14:textId="12ACFD54" w:rsidR="00457050" w:rsidRPr="008B1EEA" w:rsidRDefault="00BB34CD" w:rsidP="00967490">
      <w:pPr>
        <w:pStyle w:val="ListBullet"/>
        <w:rPr>
          <w:color w:val="auto"/>
        </w:rPr>
      </w:pPr>
      <w:r w:rsidRPr="008B1EEA">
        <w:rPr>
          <w:color w:val="auto"/>
        </w:rPr>
        <w:t xml:space="preserve">Pursuant to paragraph 52E(2)(a) of the Act, the </w:t>
      </w:r>
      <w:r w:rsidR="00457050" w:rsidRPr="008B1EEA">
        <w:rPr>
          <w:color w:val="auto"/>
        </w:rPr>
        <w:t>SPF</w:t>
      </w:r>
      <w:r w:rsidR="00B611F9">
        <w:rPr>
          <w:color w:val="auto"/>
        </w:rPr>
        <w:t>,</w:t>
      </w:r>
      <w:r w:rsidR="00457050" w:rsidRPr="008B1EEA">
        <w:rPr>
          <w:color w:val="auto"/>
        </w:rPr>
        <w:t xml:space="preserve"> and</w:t>
      </w:r>
    </w:p>
    <w:p w14:paraId="2C48B320" w14:textId="1F3B6119" w:rsidR="00457050" w:rsidRPr="008B1EEA" w:rsidRDefault="00457050" w:rsidP="00D45B74">
      <w:pPr>
        <w:pStyle w:val="ListBullet"/>
        <w:rPr>
          <w:color w:val="auto"/>
        </w:rPr>
      </w:pPr>
      <w:r w:rsidRPr="008B1EEA">
        <w:rPr>
          <w:color w:val="auto"/>
        </w:rPr>
        <w:t>The</w:t>
      </w:r>
      <w:r w:rsidR="00BB34CD" w:rsidRPr="008B1EEA">
        <w:rPr>
          <w:color w:val="auto"/>
        </w:rPr>
        <w:t xml:space="preserve"> Handbook</w:t>
      </w:r>
      <w:r w:rsidR="00B611F9">
        <w:rPr>
          <w:color w:val="auto"/>
        </w:rPr>
        <w:t>.</w:t>
      </w:r>
    </w:p>
    <w:p w14:paraId="7C0C9250" w14:textId="50DBCB72" w:rsidR="00457050" w:rsidRPr="00300CBB" w:rsidRDefault="00457050" w:rsidP="00D45B74">
      <w:pPr>
        <w:pStyle w:val="Heading4"/>
      </w:pPr>
      <w:r w:rsidRPr="00300CBB">
        <w:t>Reasons for the final decision (including findings on material questions of fact)</w:t>
      </w:r>
    </w:p>
    <w:p w14:paraId="3B89C3CE" w14:textId="77777777" w:rsidR="00850913" w:rsidRPr="00850913" w:rsidRDefault="00850913" w:rsidP="00C7111E">
      <w:pPr>
        <w:rPr>
          <w:rFonts w:eastAsia="Cambria" w:cstheme="minorHAnsi"/>
          <w:szCs w:val="20"/>
        </w:rPr>
      </w:pPr>
      <w:r w:rsidRPr="00850913">
        <w:rPr>
          <w:rFonts w:eastAsia="Cambria" w:cstheme="minorHAnsi"/>
          <w:szCs w:val="20"/>
        </w:rPr>
        <w:t xml:space="preserve">In determining that this matter will be a delegate-only decision I have </w:t>
      </w:r>
      <w:proofErr w:type="gramStart"/>
      <w:r w:rsidRPr="00850913">
        <w:rPr>
          <w:rFonts w:eastAsia="Cambria" w:cstheme="minorHAnsi"/>
          <w:szCs w:val="20"/>
        </w:rPr>
        <w:t>taken into account</w:t>
      </w:r>
      <w:proofErr w:type="gramEnd"/>
      <w:r w:rsidRPr="00850913">
        <w:rPr>
          <w:rFonts w:eastAsia="Cambria" w:cstheme="minorHAnsi"/>
          <w:szCs w:val="20"/>
        </w:rPr>
        <w:t xml:space="preserve"> the current status of salbutamol supplies</w:t>
      </w:r>
      <w:r w:rsidRPr="00850913">
        <w:rPr>
          <w:rFonts w:eastAsia="Cambria" w:cstheme="minorHAnsi"/>
          <w:szCs w:val="20"/>
          <w:vertAlign w:val="superscript"/>
        </w:rPr>
        <w:footnoteReference w:id="13"/>
      </w:r>
      <w:r w:rsidRPr="00850913">
        <w:rPr>
          <w:rFonts w:eastAsia="Cambria" w:cstheme="minorHAnsi"/>
          <w:szCs w:val="20"/>
        </w:rPr>
        <w:t xml:space="preserve"> and consumer purchasing behaviour. I note there are no current or projected shortages of salbutamol and consumer purchasing behaviour appears to have stabilised since Australia has transitioned into the new normal following the rise of COVID-19. In particular I note that:</w:t>
      </w:r>
    </w:p>
    <w:p w14:paraId="6793BBDD" w14:textId="58D0D294" w:rsidR="00850913" w:rsidRPr="00360415" w:rsidRDefault="00850913" w:rsidP="00360415">
      <w:pPr>
        <w:pStyle w:val="ListBullet"/>
        <w:rPr>
          <w:color w:val="auto"/>
        </w:rPr>
      </w:pPr>
      <w:r w:rsidRPr="00360415">
        <w:rPr>
          <w:color w:val="auto"/>
        </w:rPr>
        <w:t>The amendment will remove additional restrictions that were placed on salbutamol in March 2020, in response to potential supply shortages due to panic-buying and stockpiling in association with COVID-19. The additional restrictions were added to protect public health by ensuring continued access for all patients with a legitimate clinical need.</w:t>
      </w:r>
    </w:p>
    <w:p w14:paraId="39FA21C2" w14:textId="5E2B4A0E" w:rsidR="00850913" w:rsidRPr="00B611F9" w:rsidRDefault="00850913" w:rsidP="00360415">
      <w:pPr>
        <w:pStyle w:val="ListBullet"/>
      </w:pPr>
      <w:r w:rsidRPr="00B611F9">
        <w:t xml:space="preserve">In relation to </w:t>
      </w:r>
      <w:r w:rsidRPr="00B611F9">
        <w:rPr>
          <w:color w:val="000000"/>
        </w:rPr>
        <w:t>52E(1)</w:t>
      </w:r>
      <w:bookmarkStart w:id="44" w:name="_Hlk142391675"/>
      <w:r w:rsidRPr="00B611F9">
        <w:rPr>
          <w:color w:val="000000"/>
        </w:rPr>
        <w:t xml:space="preserve">(a) and (b) </w:t>
      </w:r>
      <w:bookmarkEnd w:id="44"/>
      <w:r w:rsidRPr="00B611F9">
        <w:rPr>
          <w:color w:val="000000"/>
        </w:rPr>
        <w:t>of the Act, there have been no reports of current or anticipated shortages of salbutamol metered dose aerosol or dry powder for inhalation products. The reported stock levels suggest treatment for patients with chronic lung conditions are no longer at risk of being interrupted. As such I recognise the level of community demand, in particular the intent of stockpiling, appears to have normalised.</w:t>
      </w:r>
    </w:p>
    <w:p w14:paraId="00FA1BA7" w14:textId="44852A1F" w:rsidR="00850913" w:rsidRPr="00B611F9" w:rsidRDefault="00850913" w:rsidP="00360415">
      <w:pPr>
        <w:pStyle w:val="ListBullet"/>
      </w:pPr>
      <w:r w:rsidRPr="00B611F9">
        <w:rPr>
          <w:color w:val="000000"/>
        </w:rPr>
        <w:t>Since supplies of salbutamol are not currently at risk and consumer purchasing behaviour appear to have normalised, I acknowledge pharmacists can use their professional discretion to determine when supply of salbutamol is appropriate, whilst maintaining the regulatory controls that apply to Schedule 3 medicines with regards to access.</w:t>
      </w:r>
    </w:p>
    <w:p w14:paraId="3682DDCB" w14:textId="43ADC0BA" w:rsidR="00A27362" w:rsidRPr="00A27362" w:rsidRDefault="00850913" w:rsidP="00360415">
      <w:pPr>
        <w:pStyle w:val="ListBullet"/>
      </w:pPr>
      <w:r w:rsidRPr="00850913">
        <w:t>I have considered the matters under part (f) of section 52E of the Therapeutic Goods Act 1989 to be relevant to this decision. The additional controls that were placed on salbutamol in consideration of the rise of COVID-19 are no longer required to protect public health, as supply shortages have now abated. Patients who require salbutamol to treat symptoms of asthma and COPD are no longer at risk of supply interruptions.</w:t>
      </w:r>
    </w:p>
    <w:p w14:paraId="31C9BD7B" w14:textId="7BC774C3" w:rsidR="00A27362" w:rsidRPr="008B1EEA" w:rsidRDefault="00A27362" w:rsidP="00A27362">
      <w:pPr>
        <w:pStyle w:val="ListBullet"/>
        <w:numPr>
          <w:ilvl w:val="0"/>
          <w:numId w:val="0"/>
        </w:numPr>
        <w:rPr>
          <w:color w:val="auto"/>
        </w:rPr>
      </w:pPr>
      <w:r w:rsidRPr="008B1EEA">
        <w:rPr>
          <w:color w:val="auto"/>
        </w:rPr>
        <w:t>On the basis of the above considerations, I have decided to amend the current Poisons Standard in the manner set out above. Th</w:t>
      </w:r>
      <w:r>
        <w:rPr>
          <w:color w:val="auto"/>
        </w:rPr>
        <w:t>is matter</w:t>
      </w:r>
      <w:r w:rsidRPr="008B1EEA">
        <w:rPr>
          <w:color w:val="auto"/>
        </w:rPr>
        <w:t xml:space="preserve"> was not referred to an expert advisory committee.</w:t>
      </w:r>
    </w:p>
    <w:p w14:paraId="5771CAF6" w14:textId="50E2D258" w:rsidR="00457050" w:rsidRPr="00300CBB" w:rsidRDefault="00457050" w:rsidP="00D45B74">
      <w:pPr>
        <w:pStyle w:val="Heading4"/>
      </w:pPr>
      <w:r w:rsidRPr="00300CBB">
        <w:t xml:space="preserve">Implementation date </w:t>
      </w:r>
    </w:p>
    <w:p w14:paraId="5B13ABBE" w14:textId="1933F447" w:rsidR="00F02AEC" w:rsidRPr="008A1BAB" w:rsidRDefault="00850913" w:rsidP="008A1BAB">
      <w:pPr>
        <w:spacing w:before="120" w:after="180" w:line="240" w:lineRule="atLeast"/>
        <w:rPr>
          <w:rFonts w:eastAsia="Cambria" w:cstheme="minorHAnsi"/>
          <w:b/>
          <w:bCs/>
          <w:szCs w:val="20"/>
        </w:rPr>
      </w:pPr>
      <w:r w:rsidRPr="00850913">
        <w:rPr>
          <w:rFonts w:eastAsia="Cambria" w:cstheme="minorHAnsi"/>
          <w:b/>
          <w:bCs/>
          <w:szCs w:val="20"/>
        </w:rPr>
        <w:t>1 October 2023</w:t>
      </w:r>
    </w:p>
    <w:p w14:paraId="1CB07370" w14:textId="443D16F5" w:rsidR="00B1659D" w:rsidRDefault="0031371C" w:rsidP="00B1659D">
      <w:pPr>
        <w:pStyle w:val="Heading3"/>
      </w:pPr>
      <w:bookmarkStart w:id="45" w:name="_Toc143009505"/>
      <w:r>
        <w:lastRenderedPageBreak/>
        <w:t>5.2</w:t>
      </w:r>
      <w:r>
        <w:tab/>
      </w:r>
      <w:r w:rsidR="00B1659D">
        <w:t xml:space="preserve">Final decision in relation to </w:t>
      </w:r>
      <w:proofErr w:type="spellStart"/>
      <w:r w:rsidR="00B1659D">
        <w:t>nitazenes</w:t>
      </w:r>
      <w:bookmarkEnd w:id="45"/>
      <w:proofErr w:type="spellEnd"/>
    </w:p>
    <w:p w14:paraId="38495A3E" w14:textId="1EA621D5" w:rsidR="00B1659D" w:rsidRPr="00BB34CD" w:rsidRDefault="00B1659D" w:rsidP="00D45B74">
      <w:pPr>
        <w:pStyle w:val="Heading4"/>
      </w:pPr>
      <w:r w:rsidRPr="00BB34CD">
        <w:t xml:space="preserve">Final Decision </w:t>
      </w:r>
    </w:p>
    <w:p w14:paraId="7117CC18" w14:textId="485DC3AF" w:rsidR="00B1659D" w:rsidRPr="008B1EEA" w:rsidRDefault="00B1659D" w:rsidP="00B1659D">
      <w:pPr>
        <w:rPr>
          <w:rFonts w:cstheme="minorHAnsi"/>
        </w:rPr>
      </w:pPr>
      <w:r w:rsidRPr="008B1EEA">
        <w:rPr>
          <w:rFonts w:cstheme="minorHAnsi"/>
        </w:rPr>
        <w:t>Pursuant to regulation 42ZCZU</w:t>
      </w:r>
      <w:r w:rsidRPr="008B1EEA" w:rsidDel="005F3EA0">
        <w:rPr>
          <w:rFonts w:cstheme="minorHAnsi"/>
        </w:rPr>
        <w:t xml:space="preserve"> </w:t>
      </w:r>
      <w:r w:rsidRPr="008B1EEA">
        <w:rPr>
          <w:rFonts w:cstheme="minorHAnsi"/>
        </w:rPr>
        <w:t xml:space="preserve">of the Regulations, a Delegate of the Secretary has made a final decision to amend the current Poisons Standard in relation to </w:t>
      </w:r>
      <w:proofErr w:type="spellStart"/>
      <w:r w:rsidR="00D45B74" w:rsidRPr="008B1EEA">
        <w:rPr>
          <w:rFonts w:cstheme="minorHAnsi"/>
        </w:rPr>
        <w:t>nitazenes</w:t>
      </w:r>
      <w:proofErr w:type="spellEnd"/>
      <w:r w:rsidR="00D45B74" w:rsidRPr="008B1EEA">
        <w:rPr>
          <w:rFonts w:cstheme="minorHAnsi"/>
        </w:rPr>
        <w:t xml:space="preserve"> </w:t>
      </w:r>
      <w:r w:rsidRPr="008B1EEA">
        <w:rPr>
          <w:rFonts w:cstheme="minorHAnsi"/>
        </w:rPr>
        <w:t>as follows:</w:t>
      </w:r>
    </w:p>
    <w:p w14:paraId="57E332EC" w14:textId="77777777" w:rsidR="00D45B74" w:rsidRPr="008B1EEA" w:rsidRDefault="00D45B74" w:rsidP="00D45B74">
      <w:pPr>
        <w:ind w:left="426"/>
        <w:rPr>
          <w:rFonts w:cstheme="minorHAnsi"/>
          <w:b/>
          <w:bCs/>
        </w:rPr>
      </w:pPr>
      <w:r w:rsidRPr="008B1EEA">
        <w:rPr>
          <w:rFonts w:cstheme="minorHAnsi"/>
          <w:b/>
          <w:bCs/>
        </w:rPr>
        <w:t>Schedule 9 – New entries</w:t>
      </w:r>
    </w:p>
    <w:p w14:paraId="42256C23" w14:textId="77777777" w:rsidR="00D45B74" w:rsidRPr="008B1EEA" w:rsidRDefault="00D45B74" w:rsidP="00D45B74">
      <w:pPr>
        <w:rPr>
          <w:rFonts w:cstheme="minorHAnsi"/>
          <w:color w:val="00B050"/>
          <w:u w:val="single"/>
        </w:rPr>
      </w:pPr>
      <w:r w:rsidRPr="008B1EEA">
        <w:rPr>
          <w:rFonts w:cstheme="minorHAnsi"/>
          <w:color w:val="00B050"/>
        </w:rPr>
        <w:tab/>
      </w:r>
      <w:r w:rsidRPr="008B1EEA">
        <w:rPr>
          <w:rFonts w:cstheme="minorHAnsi"/>
          <w:color w:val="00B050"/>
          <w:u w:val="single"/>
        </w:rPr>
        <w:t>BUTONITAZENE</w:t>
      </w:r>
    </w:p>
    <w:p w14:paraId="30B263D7" w14:textId="77777777" w:rsidR="00D45B74" w:rsidRPr="008B1EEA" w:rsidRDefault="00D45B74" w:rsidP="00D45B74">
      <w:pPr>
        <w:rPr>
          <w:rFonts w:cstheme="minorHAnsi"/>
          <w:color w:val="00B050"/>
          <w:u w:val="single"/>
        </w:rPr>
      </w:pPr>
      <w:r w:rsidRPr="008B1EEA">
        <w:rPr>
          <w:rFonts w:cstheme="minorHAnsi"/>
          <w:color w:val="00B050"/>
        </w:rPr>
        <w:tab/>
      </w:r>
      <w:r w:rsidRPr="008B1EEA">
        <w:rPr>
          <w:rFonts w:cstheme="minorHAnsi"/>
          <w:color w:val="00B050"/>
          <w:u w:val="single"/>
        </w:rPr>
        <w:t>ETODESNITAZENE</w:t>
      </w:r>
    </w:p>
    <w:p w14:paraId="46AD02E0" w14:textId="77777777" w:rsidR="00D45B74" w:rsidRPr="008B1EEA" w:rsidRDefault="00D45B74" w:rsidP="00D45B74">
      <w:pPr>
        <w:rPr>
          <w:rFonts w:cstheme="minorHAnsi"/>
          <w:color w:val="00B050"/>
          <w:u w:val="single"/>
        </w:rPr>
      </w:pPr>
      <w:r w:rsidRPr="008B1EEA">
        <w:rPr>
          <w:rFonts w:cstheme="minorHAnsi"/>
          <w:color w:val="00B050"/>
        </w:rPr>
        <w:tab/>
      </w:r>
      <w:r w:rsidRPr="008B1EEA">
        <w:rPr>
          <w:rFonts w:cstheme="minorHAnsi"/>
          <w:color w:val="00B050"/>
          <w:u w:val="single"/>
        </w:rPr>
        <w:t>ETONITAZEPIPNE</w:t>
      </w:r>
    </w:p>
    <w:p w14:paraId="7654280F" w14:textId="77777777" w:rsidR="00D45B74" w:rsidRPr="008B1EEA" w:rsidRDefault="00D45B74" w:rsidP="00D45B74">
      <w:pPr>
        <w:rPr>
          <w:rFonts w:cstheme="minorHAnsi"/>
          <w:color w:val="00B050"/>
          <w:u w:val="single"/>
        </w:rPr>
      </w:pPr>
      <w:r w:rsidRPr="008B1EEA">
        <w:rPr>
          <w:rFonts w:cstheme="minorHAnsi"/>
          <w:color w:val="00B050"/>
        </w:rPr>
        <w:tab/>
      </w:r>
      <w:r w:rsidRPr="008B1EEA">
        <w:rPr>
          <w:rFonts w:cstheme="minorHAnsi"/>
          <w:color w:val="00B050"/>
          <w:u w:val="single"/>
        </w:rPr>
        <w:t>ETONITAZEPYNE</w:t>
      </w:r>
    </w:p>
    <w:p w14:paraId="1591BBBE" w14:textId="77777777" w:rsidR="00D45B74" w:rsidRPr="008B1EEA" w:rsidRDefault="00D45B74" w:rsidP="00D45B74">
      <w:pPr>
        <w:rPr>
          <w:rFonts w:cstheme="minorHAnsi"/>
          <w:color w:val="00B050"/>
          <w:u w:val="single"/>
        </w:rPr>
      </w:pPr>
      <w:r w:rsidRPr="008B1EEA">
        <w:rPr>
          <w:rFonts w:cstheme="minorHAnsi"/>
          <w:color w:val="00B050"/>
        </w:rPr>
        <w:tab/>
      </w:r>
      <w:r w:rsidRPr="008B1EEA">
        <w:rPr>
          <w:rFonts w:cstheme="minorHAnsi"/>
          <w:color w:val="00B050"/>
          <w:u w:val="single"/>
        </w:rPr>
        <w:t>FLUNITAZENE</w:t>
      </w:r>
    </w:p>
    <w:p w14:paraId="12DC17E8" w14:textId="77777777" w:rsidR="00D45B74" w:rsidRPr="008B1EEA" w:rsidRDefault="00D45B74" w:rsidP="00D45B74">
      <w:pPr>
        <w:rPr>
          <w:rFonts w:cstheme="minorHAnsi"/>
          <w:color w:val="00B050"/>
          <w:u w:val="single"/>
        </w:rPr>
      </w:pPr>
      <w:r w:rsidRPr="008B1EEA">
        <w:rPr>
          <w:rFonts w:cstheme="minorHAnsi"/>
          <w:color w:val="00B050"/>
        </w:rPr>
        <w:tab/>
      </w:r>
      <w:r w:rsidRPr="008B1EEA">
        <w:rPr>
          <w:rFonts w:cstheme="minorHAnsi"/>
          <w:color w:val="00B050"/>
          <w:u w:val="single"/>
        </w:rPr>
        <w:t>ISOTONITAZENE</w:t>
      </w:r>
    </w:p>
    <w:p w14:paraId="208DD562" w14:textId="77777777" w:rsidR="00D45B74" w:rsidRPr="008B1EEA" w:rsidRDefault="00D45B74" w:rsidP="00D45B74">
      <w:pPr>
        <w:rPr>
          <w:rFonts w:cstheme="minorHAnsi"/>
          <w:color w:val="00B050"/>
          <w:u w:val="single"/>
        </w:rPr>
      </w:pPr>
      <w:r w:rsidRPr="008B1EEA">
        <w:rPr>
          <w:rFonts w:cstheme="minorHAnsi"/>
          <w:color w:val="00B050"/>
        </w:rPr>
        <w:tab/>
      </w:r>
      <w:r w:rsidRPr="008B1EEA">
        <w:rPr>
          <w:rFonts w:cstheme="minorHAnsi"/>
          <w:color w:val="00B050"/>
          <w:u w:val="single"/>
        </w:rPr>
        <w:t>METODESNITAZENE</w:t>
      </w:r>
    </w:p>
    <w:p w14:paraId="7C3FC99E" w14:textId="77777777" w:rsidR="00D45B74" w:rsidRPr="008B1EEA" w:rsidRDefault="00D45B74" w:rsidP="00D45B74">
      <w:pPr>
        <w:rPr>
          <w:rFonts w:cstheme="minorHAnsi"/>
          <w:color w:val="00B050"/>
          <w:u w:val="single"/>
        </w:rPr>
      </w:pPr>
      <w:r w:rsidRPr="008B1EEA">
        <w:rPr>
          <w:rFonts w:cstheme="minorHAnsi"/>
          <w:color w:val="00B050"/>
        </w:rPr>
        <w:tab/>
      </w:r>
      <w:r w:rsidRPr="008B1EEA">
        <w:rPr>
          <w:rFonts w:cstheme="minorHAnsi"/>
          <w:color w:val="00B050"/>
          <w:u w:val="single"/>
        </w:rPr>
        <w:t>METONITAZENE</w:t>
      </w:r>
    </w:p>
    <w:p w14:paraId="3626BB5E" w14:textId="77777777" w:rsidR="00D45B74" w:rsidRPr="008B1EEA" w:rsidRDefault="00D45B74" w:rsidP="00D45B74">
      <w:pPr>
        <w:rPr>
          <w:rFonts w:cstheme="minorHAnsi"/>
          <w:color w:val="00B050"/>
          <w:u w:val="single"/>
        </w:rPr>
      </w:pPr>
      <w:r w:rsidRPr="008B1EEA">
        <w:rPr>
          <w:rFonts w:cstheme="minorHAnsi"/>
          <w:color w:val="00B050"/>
        </w:rPr>
        <w:tab/>
      </w:r>
      <w:r w:rsidRPr="008B1EEA">
        <w:rPr>
          <w:rFonts w:cstheme="minorHAnsi"/>
          <w:color w:val="00B050"/>
          <w:u w:val="single"/>
        </w:rPr>
        <w:t>PROTONITAZENE</w:t>
      </w:r>
    </w:p>
    <w:p w14:paraId="06EEE07D" w14:textId="77777777" w:rsidR="00D45B74" w:rsidRPr="006D0820" w:rsidRDefault="00D45B74" w:rsidP="00D45B74">
      <w:pPr>
        <w:spacing w:before="240"/>
        <w:ind w:left="425"/>
        <w:rPr>
          <w:rFonts w:cstheme="minorHAnsi"/>
          <w:b/>
          <w:bCs/>
        </w:rPr>
      </w:pPr>
      <w:r w:rsidRPr="006D0820">
        <w:rPr>
          <w:rFonts w:cstheme="minorHAnsi"/>
          <w:b/>
          <w:bCs/>
        </w:rPr>
        <w:t>Index – New entries</w:t>
      </w:r>
    </w:p>
    <w:p w14:paraId="1526DF00" w14:textId="77777777" w:rsidR="00D45B74" w:rsidRPr="008B1EEA" w:rsidRDefault="00D45B74" w:rsidP="00D45B74">
      <w:pPr>
        <w:ind w:left="426"/>
        <w:rPr>
          <w:rFonts w:cstheme="minorHAnsi"/>
          <w:color w:val="00B050"/>
          <w:u w:val="single"/>
        </w:rPr>
      </w:pPr>
      <w:r w:rsidRPr="006D0820">
        <w:rPr>
          <w:rFonts w:cstheme="minorHAnsi"/>
          <w:b/>
          <w:bCs/>
          <w:color w:val="00B050"/>
        </w:rPr>
        <w:tab/>
      </w:r>
      <w:r w:rsidRPr="008B1EEA">
        <w:rPr>
          <w:rFonts w:cstheme="minorHAnsi"/>
          <w:b/>
          <w:bCs/>
          <w:color w:val="00B050"/>
          <w:u w:val="single"/>
        </w:rPr>
        <w:t>BUTONITAZENE</w:t>
      </w:r>
      <w:r w:rsidRPr="008B1EEA">
        <w:rPr>
          <w:rFonts w:cstheme="minorHAnsi"/>
          <w:b/>
          <w:bCs/>
          <w:color w:val="00B050"/>
          <w:u w:val="single"/>
        </w:rPr>
        <w:br/>
      </w:r>
      <w:r w:rsidRPr="008B1EEA">
        <w:rPr>
          <w:rFonts w:cstheme="minorHAnsi"/>
          <w:color w:val="00B050"/>
        </w:rPr>
        <w:tab/>
      </w:r>
      <w:r w:rsidRPr="008B1EEA">
        <w:rPr>
          <w:rFonts w:cstheme="minorHAnsi"/>
          <w:color w:val="00B050"/>
          <w:u w:val="single"/>
        </w:rPr>
        <w:t>cross reference: CAS No. 95810-54-1</w:t>
      </w:r>
    </w:p>
    <w:p w14:paraId="0F45B056" w14:textId="77777777" w:rsidR="00D45B74" w:rsidRPr="008B1EEA" w:rsidRDefault="00D45B74" w:rsidP="00D45B74">
      <w:pPr>
        <w:spacing w:line="480" w:lineRule="auto"/>
        <w:ind w:left="426"/>
        <w:rPr>
          <w:rFonts w:cstheme="minorHAnsi"/>
          <w:color w:val="00B050"/>
          <w:u w:val="single"/>
        </w:rPr>
      </w:pPr>
      <w:r w:rsidRPr="008B1EEA">
        <w:rPr>
          <w:rFonts w:cstheme="minorHAnsi"/>
          <w:color w:val="00B050"/>
        </w:rPr>
        <w:tab/>
      </w:r>
      <w:r w:rsidRPr="008B1EEA">
        <w:rPr>
          <w:rFonts w:cstheme="minorHAnsi"/>
          <w:color w:val="00B050"/>
          <w:u w:val="single"/>
        </w:rPr>
        <w:t>Schedule 9</w:t>
      </w:r>
    </w:p>
    <w:p w14:paraId="7F8A8298" w14:textId="77777777" w:rsidR="00D45B74" w:rsidRPr="008B1EEA" w:rsidRDefault="00D45B74" w:rsidP="00D45B74">
      <w:pPr>
        <w:ind w:left="426"/>
        <w:rPr>
          <w:rFonts w:cstheme="minorHAnsi"/>
          <w:color w:val="00B050"/>
          <w:u w:val="single"/>
        </w:rPr>
      </w:pPr>
      <w:r w:rsidRPr="008B1EEA">
        <w:rPr>
          <w:rFonts w:cstheme="minorHAnsi"/>
          <w:color w:val="00B050"/>
        </w:rPr>
        <w:tab/>
      </w:r>
      <w:r w:rsidRPr="008B1EEA">
        <w:rPr>
          <w:rFonts w:cstheme="minorHAnsi"/>
          <w:b/>
          <w:bCs/>
          <w:color w:val="00B050"/>
          <w:u w:val="single"/>
        </w:rPr>
        <w:t>ETODESNITAZENE</w:t>
      </w:r>
      <w:r w:rsidRPr="008B1EEA">
        <w:rPr>
          <w:rFonts w:cstheme="minorHAnsi"/>
          <w:color w:val="00B050"/>
          <w:u w:val="single"/>
        </w:rPr>
        <w:br/>
      </w:r>
      <w:r w:rsidRPr="008B1EEA">
        <w:rPr>
          <w:rFonts w:cstheme="minorHAnsi"/>
          <w:color w:val="00B050"/>
        </w:rPr>
        <w:tab/>
      </w:r>
      <w:r w:rsidRPr="008B1EEA">
        <w:rPr>
          <w:rFonts w:cstheme="minorHAnsi"/>
          <w:color w:val="00B050"/>
          <w:u w:val="single"/>
        </w:rPr>
        <w:t>cross reference: CAS No. 14030-76-3, ETAZENE</w:t>
      </w:r>
    </w:p>
    <w:p w14:paraId="7FC0F9A0" w14:textId="77777777" w:rsidR="00D45B74" w:rsidRPr="008B1EEA" w:rsidRDefault="00D45B74" w:rsidP="00D45B74">
      <w:pPr>
        <w:ind w:left="426"/>
        <w:rPr>
          <w:rFonts w:cstheme="minorHAnsi"/>
          <w:color w:val="00B050"/>
          <w:u w:val="single"/>
        </w:rPr>
      </w:pPr>
      <w:r w:rsidRPr="008B1EEA">
        <w:rPr>
          <w:rFonts w:cstheme="minorHAnsi"/>
          <w:color w:val="00B050"/>
        </w:rPr>
        <w:tab/>
      </w:r>
      <w:r w:rsidRPr="008B1EEA">
        <w:rPr>
          <w:rFonts w:cstheme="minorHAnsi"/>
          <w:color w:val="00B050"/>
          <w:u w:val="single"/>
        </w:rPr>
        <w:t>Schedule 9</w:t>
      </w:r>
    </w:p>
    <w:p w14:paraId="29356B6F" w14:textId="77777777" w:rsidR="00D45B74" w:rsidRPr="008B1EEA" w:rsidRDefault="00D45B74" w:rsidP="00D45B74">
      <w:pPr>
        <w:spacing w:before="360"/>
        <w:ind w:left="425"/>
        <w:rPr>
          <w:rFonts w:cstheme="minorHAnsi"/>
          <w:color w:val="00B050"/>
          <w:u w:val="single"/>
        </w:rPr>
      </w:pPr>
      <w:r w:rsidRPr="008B1EEA">
        <w:rPr>
          <w:rFonts w:cstheme="minorHAnsi"/>
          <w:color w:val="00B050"/>
        </w:rPr>
        <w:tab/>
      </w:r>
      <w:r w:rsidRPr="008B1EEA">
        <w:rPr>
          <w:rFonts w:cstheme="minorHAnsi"/>
          <w:b/>
          <w:bCs/>
          <w:color w:val="00B050"/>
          <w:u w:val="single"/>
        </w:rPr>
        <w:t>ETONITAZEPIPNE</w:t>
      </w:r>
      <w:r w:rsidRPr="008B1EEA">
        <w:rPr>
          <w:rFonts w:cstheme="minorHAnsi"/>
          <w:color w:val="00B050"/>
          <w:u w:val="single"/>
        </w:rPr>
        <w:br/>
      </w:r>
      <w:r w:rsidRPr="008B1EEA">
        <w:rPr>
          <w:rFonts w:cstheme="minorHAnsi"/>
          <w:color w:val="00B050"/>
        </w:rPr>
        <w:tab/>
      </w:r>
      <w:r w:rsidRPr="008B1EEA">
        <w:rPr>
          <w:rFonts w:cstheme="minorHAnsi"/>
          <w:color w:val="00B050"/>
          <w:u w:val="single"/>
        </w:rPr>
        <w:t>cross reference: CAS No. 734496-28-7, N-PIPERIDINO ETONITAZENE</w:t>
      </w:r>
    </w:p>
    <w:p w14:paraId="016741FE" w14:textId="77777777" w:rsidR="00D45B74" w:rsidRPr="008B1EEA" w:rsidRDefault="00D45B74" w:rsidP="00D45B74">
      <w:pPr>
        <w:spacing w:line="480" w:lineRule="auto"/>
        <w:ind w:left="426"/>
        <w:rPr>
          <w:rFonts w:cstheme="minorHAnsi"/>
          <w:color w:val="00B050"/>
          <w:u w:val="single"/>
        </w:rPr>
      </w:pPr>
      <w:r w:rsidRPr="008B1EEA">
        <w:rPr>
          <w:rFonts w:cstheme="minorHAnsi"/>
          <w:color w:val="00B050"/>
        </w:rPr>
        <w:tab/>
      </w:r>
      <w:r w:rsidRPr="008B1EEA">
        <w:rPr>
          <w:rFonts w:cstheme="minorHAnsi"/>
          <w:color w:val="00B050"/>
          <w:u w:val="single"/>
        </w:rPr>
        <w:t>Schedule 9</w:t>
      </w:r>
    </w:p>
    <w:p w14:paraId="715B5761" w14:textId="77777777" w:rsidR="00D45B74" w:rsidRPr="008B1EEA" w:rsidRDefault="00D45B74" w:rsidP="00D45B74">
      <w:pPr>
        <w:ind w:left="426"/>
        <w:rPr>
          <w:rFonts w:cstheme="minorHAnsi"/>
          <w:color w:val="00B050"/>
          <w:u w:val="single"/>
        </w:rPr>
      </w:pPr>
      <w:r w:rsidRPr="008B1EEA">
        <w:rPr>
          <w:rFonts w:cstheme="minorHAnsi"/>
          <w:color w:val="00B050"/>
        </w:rPr>
        <w:tab/>
      </w:r>
      <w:r w:rsidRPr="008B1EEA">
        <w:rPr>
          <w:rFonts w:cstheme="minorHAnsi"/>
          <w:b/>
          <w:bCs/>
          <w:color w:val="00B050"/>
          <w:u w:val="single"/>
        </w:rPr>
        <w:t>ETONITAZEPYNE</w:t>
      </w:r>
      <w:r w:rsidRPr="008B1EEA">
        <w:rPr>
          <w:rFonts w:cstheme="minorHAnsi"/>
          <w:color w:val="00B050"/>
          <w:u w:val="single"/>
        </w:rPr>
        <w:br/>
      </w:r>
      <w:r w:rsidRPr="008B1EEA">
        <w:rPr>
          <w:rFonts w:cstheme="minorHAnsi"/>
          <w:color w:val="00B050"/>
        </w:rPr>
        <w:tab/>
      </w:r>
      <w:r w:rsidRPr="008B1EEA">
        <w:rPr>
          <w:rFonts w:cstheme="minorHAnsi"/>
          <w:color w:val="00B050"/>
          <w:u w:val="single"/>
        </w:rPr>
        <w:t>cross reference: CAS No. 2785346-75-8, N-PYRROLIDINO ETONITAZENE</w:t>
      </w:r>
    </w:p>
    <w:p w14:paraId="58342796" w14:textId="77777777" w:rsidR="00D45B74" w:rsidRPr="008B1EEA" w:rsidRDefault="00D45B74" w:rsidP="00D45B74">
      <w:pPr>
        <w:spacing w:line="480" w:lineRule="auto"/>
        <w:ind w:left="426"/>
        <w:rPr>
          <w:rFonts w:cstheme="minorHAnsi"/>
          <w:color w:val="00B050"/>
          <w:u w:val="single"/>
        </w:rPr>
      </w:pPr>
      <w:r w:rsidRPr="008B1EEA">
        <w:rPr>
          <w:rFonts w:cstheme="minorHAnsi"/>
          <w:color w:val="00B050"/>
        </w:rPr>
        <w:tab/>
      </w:r>
      <w:r w:rsidRPr="008B1EEA">
        <w:rPr>
          <w:rFonts w:cstheme="minorHAnsi"/>
          <w:color w:val="00B050"/>
          <w:u w:val="single"/>
        </w:rPr>
        <w:t>Schedule 9</w:t>
      </w:r>
    </w:p>
    <w:p w14:paraId="63DF9AE7" w14:textId="77777777" w:rsidR="00D45B74" w:rsidRPr="008B1EEA" w:rsidRDefault="00D45B74" w:rsidP="00D45B74">
      <w:pPr>
        <w:ind w:left="426"/>
        <w:rPr>
          <w:rFonts w:cstheme="minorHAnsi"/>
          <w:color w:val="00B050"/>
          <w:u w:val="single"/>
        </w:rPr>
      </w:pPr>
      <w:r w:rsidRPr="008B1EEA">
        <w:rPr>
          <w:rFonts w:cstheme="minorHAnsi"/>
          <w:color w:val="00B050"/>
        </w:rPr>
        <w:tab/>
      </w:r>
      <w:r w:rsidRPr="008B1EEA">
        <w:rPr>
          <w:rFonts w:cstheme="minorHAnsi"/>
          <w:b/>
          <w:bCs/>
          <w:color w:val="00B050"/>
          <w:u w:val="single"/>
        </w:rPr>
        <w:t>FLUNITAZENE</w:t>
      </w:r>
      <w:r w:rsidRPr="008B1EEA">
        <w:rPr>
          <w:rFonts w:cstheme="minorHAnsi"/>
          <w:color w:val="00B050"/>
          <w:u w:val="single"/>
        </w:rPr>
        <w:br/>
      </w:r>
      <w:r w:rsidRPr="008B1EEA">
        <w:rPr>
          <w:rFonts w:cstheme="minorHAnsi"/>
          <w:color w:val="00B050"/>
        </w:rPr>
        <w:tab/>
      </w:r>
      <w:r w:rsidRPr="008B1EEA">
        <w:rPr>
          <w:rFonts w:cstheme="minorHAnsi"/>
          <w:color w:val="00B050"/>
          <w:u w:val="single"/>
        </w:rPr>
        <w:t>cross reference: CAS No. 2728-91-8</w:t>
      </w:r>
    </w:p>
    <w:p w14:paraId="144681F6" w14:textId="77777777" w:rsidR="00D45B74" w:rsidRPr="008B1EEA" w:rsidRDefault="00D45B74" w:rsidP="00D45B74">
      <w:pPr>
        <w:spacing w:line="480" w:lineRule="auto"/>
        <w:ind w:left="426"/>
        <w:rPr>
          <w:rFonts w:cstheme="minorHAnsi"/>
          <w:color w:val="00B050"/>
          <w:u w:val="single"/>
        </w:rPr>
      </w:pPr>
      <w:r w:rsidRPr="008B1EEA">
        <w:rPr>
          <w:rFonts w:cstheme="minorHAnsi"/>
          <w:color w:val="00B050"/>
        </w:rPr>
        <w:tab/>
      </w:r>
      <w:r w:rsidRPr="008B1EEA">
        <w:rPr>
          <w:rFonts w:cstheme="minorHAnsi"/>
          <w:color w:val="00B050"/>
          <w:u w:val="single"/>
        </w:rPr>
        <w:t>Schedule 9</w:t>
      </w:r>
    </w:p>
    <w:p w14:paraId="6FF47F60" w14:textId="77777777" w:rsidR="00D45B74" w:rsidRPr="008B1EEA" w:rsidRDefault="00D45B74" w:rsidP="00D45B74">
      <w:pPr>
        <w:ind w:left="426"/>
        <w:rPr>
          <w:rFonts w:cstheme="minorHAnsi"/>
          <w:color w:val="00B050"/>
          <w:u w:val="single"/>
        </w:rPr>
      </w:pPr>
      <w:r w:rsidRPr="008B1EEA">
        <w:rPr>
          <w:rFonts w:cstheme="minorHAnsi"/>
          <w:color w:val="00B050"/>
        </w:rPr>
        <w:tab/>
      </w:r>
      <w:r w:rsidRPr="008B1EEA">
        <w:rPr>
          <w:rFonts w:cstheme="minorHAnsi"/>
          <w:b/>
          <w:bCs/>
          <w:color w:val="00B050"/>
          <w:u w:val="single"/>
        </w:rPr>
        <w:t>ISOTONITAZENE</w:t>
      </w:r>
      <w:r w:rsidRPr="008B1EEA">
        <w:rPr>
          <w:rFonts w:cstheme="minorHAnsi"/>
          <w:color w:val="00B050"/>
          <w:u w:val="single"/>
        </w:rPr>
        <w:br/>
      </w:r>
      <w:r w:rsidRPr="008B1EEA">
        <w:rPr>
          <w:rFonts w:cstheme="minorHAnsi"/>
          <w:color w:val="00B050"/>
        </w:rPr>
        <w:tab/>
      </w:r>
      <w:r w:rsidRPr="008B1EEA">
        <w:rPr>
          <w:rFonts w:cstheme="minorHAnsi"/>
          <w:color w:val="00B050"/>
          <w:u w:val="single"/>
        </w:rPr>
        <w:t>cross reference: CAS No. 14188-81-9</w:t>
      </w:r>
    </w:p>
    <w:p w14:paraId="11C76AE2" w14:textId="77777777" w:rsidR="00D45B74" w:rsidRPr="008B1EEA" w:rsidRDefault="00D45B74" w:rsidP="00D45B74">
      <w:pPr>
        <w:spacing w:line="480" w:lineRule="auto"/>
        <w:ind w:left="426"/>
        <w:rPr>
          <w:rFonts w:cstheme="minorHAnsi"/>
          <w:color w:val="00B050"/>
          <w:u w:val="single"/>
        </w:rPr>
      </w:pPr>
      <w:r w:rsidRPr="008B1EEA">
        <w:rPr>
          <w:rFonts w:cstheme="minorHAnsi"/>
          <w:color w:val="00B050"/>
        </w:rPr>
        <w:tab/>
      </w:r>
      <w:r w:rsidRPr="008B1EEA">
        <w:rPr>
          <w:rFonts w:cstheme="minorHAnsi"/>
          <w:color w:val="00B050"/>
          <w:u w:val="single"/>
        </w:rPr>
        <w:t>Schedule 9</w:t>
      </w:r>
    </w:p>
    <w:p w14:paraId="2A5C0DE2" w14:textId="77777777" w:rsidR="00D45B74" w:rsidRPr="008B1EEA" w:rsidRDefault="00D45B74" w:rsidP="00D45B74">
      <w:pPr>
        <w:ind w:left="426"/>
        <w:rPr>
          <w:rFonts w:cstheme="minorHAnsi"/>
          <w:color w:val="00B050"/>
          <w:u w:val="single"/>
        </w:rPr>
      </w:pPr>
      <w:r w:rsidRPr="008B1EEA">
        <w:rPr>
          <w:rFonts w:cstheme="minorHAnsi"/>
          <w:color w:val="00B050"/>
        </w:rPr>
        <w:lastRenderedPageBreak/>
        <w:tab/>
      </w:r>
      <w:r w:rsidRPr="008B1EEA">
        <w:rPr>
          <w:rFonts w:cstheme="minorHAnsi"/>
          <w:b/>
          <w:bCs/>
          <w:color w:val="00B050"/>
          <w:u w:val="single"/>
        </w:rPr>
        <w:t>METODESNITAZENE</w:t>
      </w:r>
      <w:r w:rsidRPr="008B1EEA">
        <w:rPr>
          <w:rFonts w:cstheme="minorHAnsi"/>
          <w:color w:val="00B050"/>
          <w:u w:val="single"/>
        </w:rPr>
        <w:br/>
      </w:r>
      <w:r w:rsidRPr="008B1EEA">
        <w:rPr>
          <w:rFonts w:cstheme="minorHAnsi"/>
          <w:color w:val="00B050"/>
        </w:rPr>
        <w:tab/>
      </w:r>
      <w:r w:rsidRPr="008B1EEA">
        <w:rPr>
          <w:rFonts w:cstheme="minorHAnsi"/>
          <w:color w:val="00B050"/>
          <w:u w:val="single"/>
        </w:rPr>
        <w:t>cross reference: CAS No. 14030-77-4, METAZENE</w:t>
      </w:r>
    </w:p>
    <w:p w14:paraId="288D7045" w14:textId="77777777" w:rsidR="00D45B74" w:rsidRPr="008B1EEA" w:rsidRDefault="00D45B74" w:rsidP="00D45B74">
      <w:pPr>
        <w:spacing w:line="480" w:lineRule="auto"/>
        <w:ind w:left="426"/>
        <w:rPr>
          <w:rFonts w:cstheme="minorHAnsi"/>
          <w:color w:val="00B050"/>
          <w:u w:val="single"/>
        </w:rPr>
      </w:pPr>
      <w:r w:rsidRPr="008B1EEA">
        <w:rPr>
          <w:rFonts w:cstheme="minorHAnsi"/>
          <w:color w:val="00B050"/>
        </w:rPr>
        <w:tab/>
      </w:r>
      <w:r w:rsidRPr="008B1EEA">
        <w:rPr>
          <w:rFonts w:cstheme="minorHAnsi"/>
          <w:color w:val="00B050"/>
          <w:u w:val="single"/>
        </w:rPr>
        <w:t>Schedule 9</w:t>
      </w:r>
    </w:p>
    <w:p w14:paraId="5518C063" w14:textId="77777777" w:rsidR="00D45B74" w:rsidRPr="008B1EEA" w:rsidRDefault="00D45B74" w:rsidP="00D45B74">
      <w:pPr>
        <w:ind w:left="426"/>
        <w:rPr>
          <w:rFonts w:cstheme="minorHAnsi"/>
          <w:color w:val="00B050"/>
          <w:u w:val="single"/>
        </w:rPr>
      </w:pPr>
      <w:r w:rsidRPr="008B1EEA">
        <w:rPr>
          <w:rFonts w:cstheme="minorHAnsi"/>
          <w:color w:val="00B050"/>
        </w:rPr>
        <w:tab/>
      </w:r>
      <w:r w:rsidRPr="008B1EEA">
        <w:rPr>
          <w:rFonts w:cstheme="minorHAnsi"/>
          <w:b/>
          <w:bCs/>
          <w:color w:val="00B050"/>
          <w:u w:val="single"/>
        </w:rPr>
        <w:t>METONITAZENE</w:t>
      </w:r>
      <w:r w:rsidRPr="008B1EEA">
        <w:rPr>
          <w:rFonts w:cstheme="minorHAnsi"/>
          <w:color w:val="00B050"/>
          <w:u w:val="single"/>
        </w:rPr>
        <w:br/>
      </w:r>
      <w:r w:rsidRPr="008B1EEA">
        <w:rPr>
          <w:rFonts w:cstheme="minorHAnsi"/>
          <w:color w:val="00B050"/>
        </w:rPr>
        <w:tab/>
      </w:r>
      <w:r w:rsidRPr="008B1EEA">
        <w:rPr>
          <w:rFonts w:cstheme="minorHAnsi"/>
          <w:color w:val="00B050"/>
          <w:u w:val="single"/>
        </w:rPr>
        <w:t>cross reference: CAS No. 14680-51-4</w:t>
      </w:r>
    </w:p>
    <w:p w14:paraId="31996E15" w14:textId="77777777" w:rsidR="00D45B74" w:rsidRPr="008B1EEA" w:rsidRDefault="00D45B74" w:rsidP="00D45B74">
      <w:pPr>
        <w:spacing w:line="480" w:lineRule="auto"/>
        <w:ind w:left="426"/>
        <w:rPr>
          <w:rFonts w:cstheme="minorHAnsi"/>
          <w:color w:val="00B050"/>
          <w:u w:val="single"/>
        </w:rPr>
      </w:pPr>
      <w:r w:rsidRPr="008B1EEA">
        <w:rPr>
          <w:rFonts w:cstheme="minorHAnsi"/>
          <w:color w:val="00B050"/>
        </w:rPr>
        <w:tab/>
      </w:r>
      <w:r w:rsidRPr="008B1EEA">
        <w:rPr>
          <w:rFonts w:cstheme="minorHAnsi"/>
          <w:color w:val="00B050"/>
          <w:u w:val="single"/>
        </w:rPr>
        <w:t>Schedule 9</w:t>
      </w:r>
    </w:p>
    <w:p w14:paraId="6620E67B" w14:textId="77777777" w:rsidR="00D45B74" w:rsidRPr="008B1EEA" w:rsidRDefault="00D45B74" w:rsidP="00D45B74">
      <w:pPr>
        <w:ind w:left="426"/>
        <w:rPr>
          <w:rFonts w:cstheme="minorHAnsi"/>
          <w:color w:val="00B050"/>
          <w:u w:val="single"/>
        </w:rPr>
      </w:pPr>
      <w:r w:rsidRPr="006D0820">
        <w:rPr>
          <w:rFonts w:cstheme="minorHAnsi"/>
          <w:color w:val="00B050"/>
        </w:rPr>
        <w:tab/>
      </w:r>
      <w:r w:rsidRPr="008B1EEA">
        <w:rPr>
          <w:rFonts w:cstheme="minorHAnsi"/>
          <w:b/>
          <w:bCs/>
          <w:color w:val="00B050"/>
          <w:u w:val="single"/>
        </w:rPr>
        <w:t>PROTONITAZENE</w:t>
      </w:r>
      <w:r w:rsidRPr="008B1EEA">
        <w:rPr>
          <w:rFonts w:cstheme="minorHAnsi"/>
          <w:color w:val="00B050"/>
          <w:u w:val="single"/>
        </w:rPr>
        <w:br/>
      </w:r>
      <w:r w:rsidRPr="008B1EEA">
        <w:rPr>
          <w:rFonts w:cstheme="minorHAnsi"/>
          <w:color w:val="00B050"/>
        </w:rPr>
        <w:tab/>
      </w:r>
      <w:r w:rsidRPr="008B1EEA">
        <w:rPr>
          <w:rFonts w:cstheme="minorHAnsi"/>
          <w:color w:val="00B050"/>
          <w:u w:val="single"/>
        </w:rPr>
        <w:t>cross reference: CAS No. 95958-84-2</w:t>
      </w:r>
    </w:p>
    <w:p w14:paraId="7492E9ED" w14:textId="4157BBDE" w:rsidR="00D45B74" w:rsidRPr="008B1EEA" w:rsidRDefault="00D45B74" w:rsidP="00D45B74">
      <w:pPr>
        <w:ind w:left="426"/>
        <w:rPr>
          <w:rFonts w:cstheme="minorHAnsi"/>
        </w:rPr>
      </w:pPr>
      <w:r w:rsidRPr="008B1EEA">
        <w:rPr>
          <w:rFonts w:cstheme="minorHAnsi"/>
          <w:color w:val="00B050"/>
        </w:rPr>
        <w:tab/>
      </w:r>
      <w:r w:rsidRPr="008B1EEA">
        <w:rPr>
          <w:rFonts w:cstheme="minorHAnsi"/>
          <w:color w:val="00B050"/>
          <w:u w:val="single"/>
        </w:rPr>
        <w:t>Schedule 9</w:t>
      </w:r>
    </w:p>
    <w:p w14:paraId="38FDB12D" w14:textId="532FE219" w:rsidR="00B1659D" w:rsidRPr="00BB34CD" w:rsidRDefault="00B1659D" w:rsidP="00D45B74">
      <w:pPr>
        <w:pStyle w:val="Heading4"/>
      </w:pPr>
      <w:r w:rsidRPr="00BB34CD">
        <w:t>Materials considered</w:t>
      </w:r>
    </w:p>
    <w:p w14:paraId="7782D9F2" w14:textId="77777777" w:rsidR="00B1659D" w:rsidRPr="008B1EEA" w:rsidRDefault="00B1659D" w:rsidP="00B1659D">
      <w:pPr>
        <w:rPr>
          <w:rFonts w:cstheme="minorHAnsi"/>
        </w:rPr>
      </w:pPr>
      <w:r w:rsidRPr="008B1EEA">
        <w:rPr>
          <w:rFonts w:cstheme="minorHAnsi"/>
        </w:rPr>
        <w:t>In making this final decision, the Delegate considered the following material:</w:t>
      </w:r>
    </w:p>
    <w:p w14:paraId="205CE3F7" w14:textId="6F01CA39" w:rsidR="00B1659D" w:rsidRPr="008B1EEA" w:rsidRDefault="00B1659D" w:rsidP="00B1659D">
      <w:pPr>
        <w:pStyle w:val="ListBullet"/>
        <w:rPr>
          <w:color w:val="auto"/>
        </w:rPr>
      </w:pPr>
      <w:r w:rsidRPr="008B1EEA">
        <w:rPr>
          <w:color w:val="auto"/>
        </w:rPr>
        <w:t xml:space="preserve">Subsection 52E(1) of </w:t>
      </w:r>
      <w:r w:rsidRPr="008B1EEA">
        <w:rPr>
          <w:i/>
          <w:color w:val="auto"/>
        </w:rPr>
        <w:t>the Therapeutic Goods Act 1989</w:t>
      </w:r>
      <w:r w:rsidRPr="008B1EEA">
        <w:rPr>
          <w:color w:val="auto"/>
        </w:rPr>
        <w: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w:t>
      </w:r>
      <w:r w:rsidR="00B611F9">
        <w:rPr>
          <w:color w:val="auto"/>
        </w:rPr>
        <w:t>.</w:t>
      </w:r>
    </w:p>
    <w:p w14:paraId="1473603A" w14:textId="25023B9D" w:rsidR="00D45B74" w:rsidRPr="008B1EEA" w:rsidRDefault="00D45B74" w:rsidP="00D45B74">
      <w:pPr>
        <w:pStyle w:val="ListBullet"/>
      </w:pPr>
      <w:r w:rsidRPr="008B1EEA">
        <w:rPr>
          <w:color w:val="auto"/>
        </w:rPr>
        <w:t xml:space="preserve">Alerts published by the Departments of Health in </w:t>
      </w:r>
      <w:hyperlink r:id="rId50" w:history="1">
        <w:r w:rsidRPr="008B1EEA">
          <w:rPr>
            <w:rStyle w:val="Hyperlink"/>
            <w:rFonts w:asciiTheme="minorHAnsi" w:hAnsiTheme="minorHAnsi"/>
          </w:rPr>
          <w:t>Victoria</w:t>
        </w:r>
      </w:hyperlink>
      <w:r w:rsidRPr="008B1EEA">
        <w:t>,</w:t>
      </w:r>
      <w:r w:rsidRPr="008B1EEA">
        <w:rPr>
          <w:rStyle w:val="FootnoteReference"/>
        </w:rPr>
        <w:footnoteReference w:id="14"/>
      </w:r>
      <w:r w:rsidRPr="008B1EEA">
        <w:t xml:space="preserve"> </w:t>
      </w:r>
      <w:hyperlink r:id="rId51" w:history="1">
        <w:r w:rsidRPr="008B1EEA">
          <w:rPr>
            <w:rStyle w:val="Hyperlink"/>
            <w:rFonts w:asciiTheme="minorHAnsi" w:hAnsiTheme="minorHAnsi"/>
          </w:rPr>
          <w:t>New South Wales</w:t>
        </w:r>
      </w:hyperlink>
      <w:r w:rsidRPr="008B1EEA">
        <w:rPr>
          <w:rStyle w:val="FootnoteReference"/>
        </w:rPr>
        <w:footnoteReference w:id="15"/>
      </w:r>
      <w:r w:rsidRPr="008B1EEA">
        <w:rPr>
          <w:rStyle w:val="Hyperlink"/>
          <w:rFonts w:asciiTheme="minorHAnsi" w:hAnsiTheme="minorHAnsi"/>
          <w:color w:val="auto"/>
          <w:vertAlign w:val="superscript"/>
        </w:rPr>
        <w:t>,</w:t>
      </w:r>
      <w:r w:rsidRPr="008B1EEA">
        <w:rPr>
          <w:rStyle w:val="FootnoteReference"/>
        </w:rPr>
        <w:footnoteReference w:id="16"/>
      </w:r>
      <w:r w:rsidRPr="008B1EEA">
        <w:t xml:space="preserve"> </w:t>
      </w:r>
      <w:r w:rsidRPr="008B1EEA">
        <w:rPr>
          <w:color w:val="auto"/>
        </w:rPr>
        <w:t xml:space="preserve">and the </w:t>
      </w:r>
      <w:hyperlink r:id="rId52" w:history="1">
        <w:r w:rsidRPr="008B1EEA">
          <w:rPr>
            <w:rStyle w:val="Hyperlink"/>
            <w:rFonts w:asciiTheme="minorHAnsi" w:hAnsiTheme="minorHAnsi"/>
          </w:rPr>
          <w:t>Australian Capital Territory</w:t>
        </w:r>
      </w:hyperlink>
      <w:r w:rsidR="00B611F9" w:rsidRPr="00C7111E">
        <w:rPr>
          <w:rStyle w:val="Hyperlink"/>
          <w:rFonts w:asciiTheme="minorHAnsi" w:hAnsiTheme="minorHAnsi"/>
          <w:color w:val="auto"/>
          <w:u w:val="none"/>
        </w:rPr>
        <w:t>.</w:t>
      </w:r>
      <w:r w:rsidRPr="008B1EEA">
        <w:rPr>
          <w:rStyle w:val="FootnoteReference"/>
        </w:rPr>
        <w:footnoteReference w:id="17"/>
      </w:r>
    </w:p>
    <w:p w14:paraId="293F5F13" w14:textId="50304CF5" w:rsidR="00D45B74" w:rsidRPr="008B1EEA" w:rsidRDefault="00D45B74" w:rsidP="00D45B74">
      <w:pPr>
        <w:pStyle w:val="ListBullet"/>
      </w:pPr>
      <w:r w:rsidRPr="008B1EEA">
        <w:rPr>
          <w:color w:val="auto"/>
        </w:rPr>
        <w:t xml:space="preserve">The </w:t>
      </w:r>
      <w:hyperlink r:id="rId53" w:history="1">
        <w:r w:rsidRPr="008B1EEA">
          <w:rPr>
            <w:rStyle w:val="Hyperlink"/>
            <w:rFonts w:asciiTheme="minorHAnsi" w:hAnsiTheme="minorHAnsi"/>
          </w:rPr>
          <w:t>advice</w:t>
        </w:r>
      </w:hyperlink>
      <w:r w:rsidRPr="008B1EEA">
        <w:t xml:space="preserve"> </w:t>
      </w:r>
      <w:r w:rsidRPr="008B1EEA">
        <w:rPr>
          <w:color w:val="auto"/>
        </w:rPr>
        <w:t xml:space="preserve">provided by the United Kingdom’s Advisory Council on the Misuse of Drugs </w:t>
      </w:r>
      <w:r w:rsidR="00413BA7">
        <w:rPr>
          <w:color w:val="auto"/>
        </w:rPr>
        <w:t xml:space="preserve">(ACMD) </w:t>
      </w:r>
      <w:r w:rsidRPr="008B1EEA">
        <w:rPr>
          <w:color w:val="auto"/>
        </w:rPr>
        <w:t xml:space="preserve">regarding 2-benzyl benzimidazole and piperidine </w:t>
      </w:r>
      <w:proofErr w:type="spellStart"/>
      <w:r w:rsidRPr="008B1EEA">
        <w:rPr>
          <w:color w:val="auto"/>
        </w:rPr>
        <w:t>benzimidazolone</w:t>
      </w:r>
      <w:proofErr w:type="spellEnd"/>
      <w:r w:rsidRPr="008B1EEA">
        <w:rPr>
          <w:color w:val="auto"/>
        </w:rPr>
        <w:t xml:space="preserve"> opioids</w:t>
      </w:r>
      <w:r w:rsidR="00B611F9">
        <w:rPr>
          <w:color w:val="auto"/>
        </w:rPr>
        <w:t>.</w:t>
      </w:r>
      <w:r w:rsidRPr="008B1EEA">
        <w:rPr>
          <w:rStyle w:val="FootnoteReference"/>
          <w:color w:val="auto"/>
        </w:rPr>
        <w:footnoteReference w:id="18"/>
      </w:r>
    </w:p>
    <w:p w14:paraId="1AD4985F" w14:textId="29AA4B3D" w:rsidR="00B1659D" w:rsidRPr="00C7111E" w:rsidRDefault="00D45B74" w:rsidP="00D45B74">
      <w:pPr>
        <w:pStyle w:val="ListBullet"/>
      </w:pPr>
      <w:r w:rsidRPr="008B1EEA">
        <w:rPr>
          <w:color w:val="auto"/>
        </w:rPr>
        <w:t xml:space="preserve">The United States’ Drug Enforcement Administration’s </w:t>
      </w:r>
      <w:r w:rsidR="00413BA7">
        <w:rPr>
          <w:color w:val="auto"/>
        </w:rPr>
        <w:t xml:space="preserve">(DEA) </w:t>
      </w:r>
      <w:hyperlink r:id="rId54" w:history="1">
        <w:r w:rsidRPr="008B1EEA">
          <w:rPr>
            <w:rStyle w:val="Hyperlink"/>
            <w:rFonts w:asciiTheme="minorHAnsi" w:hAnsiTheme="minorHAnsi"/>
          </w:rPr>
          <w:t>dossier on benzimidazole-opioids</w:t>
        </w:r>
      </w:hyperlink>
      <w:r w:rsidRPr="008B1EEA">
        <w:t xml:space="preserve"> (</w:t>
      </w:r>
      <w:proofErr w:type="spellStart"/>
      <w:r w:rsidRPr="008B1EEA">
        <w:rPr>
          <w:color w:val="auto"/>
        </w:rPr>
        <w:t>nitazenes</w:t>
      </w:r>
      <w:proofErr w:type="spellEnd"/>
      <w:r w:rsidRPr="008B1EEA">
        <w:rPr>
          <w:color w:val="auto"/>
        </w:rPr>
        <w:t>)</w:t>
      </w:r>
      <w:r w:rsidR="00B611F9">
        <w:rPr>
          <w:color w:val="auto"/>
        </w:rPr>
        <w:t>.</w:t>
      </w:r>
      <w:r w:rsidRPr="008B1EEA">
        <w:rPr>
          <w:rStyle w:val="FootnoteReference"/>
          <w:color w:val="auto"/>
        </w:rPr>
        <w:footnoteReference w:id="19"/>
      </w:r>
    </w:p>
    <w:p w14:paraId="39267DF3" w14:textId="05151FB5" w:rsidR="00110D18" w:rsidRDefault="00110D18" w:rsidP="00110D18">
      <w:pPr>
        <w:pStyle w:val="ListBullet"/>
        <w:rPr>
          <w:color w:val="auto"/>
        </w:rPr>
      </w:pPr>
      <w:r w:rsidRPr="00C7111E">
        <w:rPr>
          <w:color w:val="auto"/>
        </w:rPr>
        <w:t>Pursuant to paragraph 52E(2)(a) of the Act, the SPF</w:t>
      </w:r>
      <w:r w:rsidR="00B611F9" w:rsidRPr="00C7111E">
        <w:rPr>
          <w:color w:val="auto"/>
        </w:rPr>
        <w:t>,</w:t>
      </w:r>
      <w:r w:rsidR="00413BA7" w:rsidRPr="00C7111E">
        <w:rPr>
          <w:color w:val="auto"/>
        </w:rPr>
        <w:t xml:space="preserve"> and</w:t>
      </w:r>
    </w:p>
    <w:p w14:paraId="729D6441" w14:textId="16FEB6A1" w:rsidR="00110D18" w:rsidRPr="008B1EEA" w:rsidRDefault="00110D18" w:rsidP="00B611F9">
      <w:pPr>
        <w:pStyle w:val="ListBullet"/>
      </w:pPr>
      <w:r w:rsidRPr="00C7111E">
        <w:rPr>
          <w:color w:val="auto"/>
        </w:rPr>
        <w:t>The Handbook</w:t>
      </w:r>
      <w:r w:rsidR="00413BA7" w:rsidRPr="00C7111E">
        <w:rPr>
          <w:color w:val="auto"/>
        </w:rPr>
        <w:t>.</w:t>
      </w:r>
    </w:p>
    <w:p w14:paraId="64D6B240" w14:textId="77777777" w:rsidR="00B611F9" w:rsidRDefault="00B611F9">
      <w:pPr>
        <w:rPr>
          <w:rFonts w:ascii="Arial" w:eastAsia="Cambria" w:hAnsi="Arial" w:cs="Times New Roman"/>
          <w:b/>
          <w:bCs/>
          <w:color w:val="001871"/>
          <w:sz w:val="28"/>
          <w:szCs w:val="26"/>
        </w:rPr>
      </w:pPr>
      <w:r>
        <w:br w:type="page"/>
      </w:r>
    </w:p>
    <w:p w14:paraId="642124B1" w14:textId="5A901732" w:rsidR="00BD4298" w:rsidRDefault="00B1659D" w:rsidP="00BD4298">
      <w:pPr>
        <w:pStyle w:val="Heading4"/>
      </w:pPr>
      <w:r w:rsidRPr="00300CBB">
        <w:lastRenderedPageBreak/>
        <w:t xml:space="preserve">Reasons for the final decision (including findings on material </w:t>
      </w:r>
      <w:r w:rsidR="000E3C6C">
        <w:t>questions of fact)</w:t>
      </w:r>
    </w:p>
    <w:p w14:paraId="20BD1393" w14:textId="245175CE" w:rsidR="00D45B74" w:rsidRPr="008B1EEA" w:rsidRDefault="00D45B74" w:rsidP="003425E0">
      <w:pPr>
        <w:rPr>
          <w:rFonts w:cstheme="minorHAnsi"/>
        </w:rPr>
      </w:pPr>
      <w:r w:rsidRPr="008B1EEA">
        <w:rPr>
          <w:rFonts w:cstheme="minorHAnsi"/>
        </w:rPr>
        <w:t xml:space="preserve">In exercising my power under paragraph 52D(2)(a) of the Act, I have </w:t>
      </w:r>
      <w:proofErr w:type="gramStart"/>
      <w:r w:rsidRPr="008B1EEA">
        <w:rPr>
          <w:rFonts w:cstheme="minorHAnsi"/>
        </w:rPr>
        <w:t>taken into account</w:t>
      </w:r>
      <w:proofErr w:type="gramEnd"/>
      <w:r w:rsidRPr="008B1EEA">
        <w:rPr>
          <w:rFonts w:cstheme="minorHAnsi"/>
        </w:rPr>
        <w:t xml:space="preserve"> the information provided in the materials listed above, and the matters specified under s 52E of the Act and the SPF. In particular, I note:</w:t>
      </w:r>
    </w:p>
    <w:p w14:paraId="10A4C53F" w14:textId="77777777" w:rsidR="00D45B74" w:rsidRPr="008B1EEA" w:rsidRDefault="00D45B74" w:rsidP="00D45B74">
      <w:pPr>
        <w:pStyle w:val="ListBullet"/>
        <w:rPr>
          <w:color w:val="auto"/>
        </w:rPr>
      </w:pPr>
      <w:r w:rsidRPr="008B1EEA">
        <w:rPr>
          <w:color w:val="auto"/>
        </w:rPr>
        <w:t xml:space="preserve">Regarding s 52E(1)(b) of the Act, I recognise that while the </w:t>
      </w:r>
      <w:proofErr w:type="spellStart"/>
      <w:r w:rsidRPr="008B1EEA">
        <w:rPr>
          <w:color w:val="auto"/>
        </w:rPr>
        <w:t>nitazene</w:t>
      </w:r>
      <w:proofErr w:type="spellEnd"/>
      <w:r w:rsidRPr="008B1EEA">
        <w:rPr>
          <w:color w:val="auto"/>
        </w:rPr>
        <w:t xml:space="preserve"> family of substances were originally developed with the intention to be used in anaesthesia, the pronounced potency of the substances and associated risk of respiratory depression and death means that they are considered unsuitable for use in a therapeutic context. I also recognise that there are increasing reports of the presence of these substances in drugs intended for recreational use, which has resulted in a proportionate increase in adverse events and fatalities associated with exposure to </w:t>
      </w:r>
      <w:proofErr w:type="spellStart"/>
      <w:r w:rsidRPr="008B1EEA">
        <w:rPr>
          <w:color w:val="auto"/>
        </w:rPr>
        <w:t>nitazenes</w:t>
      </w:r>
      <w:proofErr w:type="spellEnd"/>
      <w:r w:rsidRPr="008B1EEA">
        <w:rPr>
          <w:color w:val="auto"/>
        </w:rPr>
        <w:t xml:space="preserve">. While these reports are largely limited to overseas jurisdictions thus far, I note with concern the recent reports of the detection of </w:t>
      </w:r>
      <w:proofErr w:type="spellStart"/>
      <w:r w:rsidRPr="008B1EEA">
        <w:rPr>
          <w:color w:val="auto"/>
        </w:rPr>
        <w:t>nitazenes</w:t>
      </w:r>
      <w:proofErr w:type="spellEnd"/>
      <w:r w:rsidRPr="008B1EEA">
        <w:rPr>
          <w:color w:val="auto"/>
        </w:rPr>
        <w:t xml:space="preserve"> in seizures of heroin and other illicit and counterfeit drugs in Australia.</w:t>
      </w:r>
    </w:p>
    <w:p w14:paraId="1C2FC95F" w14:textId="43335F24" w:rsidR="00D45B74" w:rsidRPr="008B1EEA" w:rsidRDefault="00D45B74" w:rsidP="00D45B74">
      <w:pPr>
        <w:pStyle w:val="ListBullet"/>
        <w:rPr>
          <w:color w:val="auto"/>
        </w:rPr>
      </w:pPr>
      <w:r w:rsidRPr="008B1EEA">
        <w:rPr>
          <w:color w:val="auto"/>
        </w:rPr>
        <w:t xml:space="preserve">In relation to s 52E(1)(c) of the Act, I note that substances in the </w:t>
      </w:r>
      <w:proofErr w:type="spellStart"/>
      <w:r w:rsidRPr="008B1EEA">
        <w:rPr>
          <w:color w:val="auto"/>
        </w:rPr>
        <w:t>nitazenes</w:t>
      </w:r>
      <w:proofErr w:type="spellEnd"/>
      <w:r w:rsidRPr="008B1EEA">
        <w:rPr>
          <w:color w:val="auto"/>
        </w:rPr>
        <w:t xml:space="preserve"> class are potent agonists of the opioid receptors and have been estimated in some instances to be hundreds of times </w:t>
      </w:r>
      <w:r w:rsidR="000031D3">
        <w:rPr>
          <w:color w:val="auto"/>
        </w:rPr>
        <w:t>more</w:t>
      </w:r>
      <w:r w:rsidRPr="008B1EEA">
        <w:rPr>
          <w:color w:val="auto"/>
        </w:rPr>
        <w:t xml:space="preserve"> potent </w:t>
      </w:r>
      <w:r w:rsidR="000031D3">
        <w:rPr>
          <w:color w:val="auto"/>
        </w:rPr>
        <w:t>than</w:t>
      </w:r>
      <w:r w:rsidRPr="008B1EEA">
        <w:rPr>
          <w:color w:val="auto"/>
        </w:rPr>
        <w:t xml:space="preserve"> morphine</w:t>
      </w:r>
      <w:r w:rsidR="00B611F9">
        <w:rPr>
          <w:color w:val="auto"/>
        </w:rPr>
        <w:t>.</w:t>
      </w:r>
      <w:r w:rsidRPr="008B1EEA">
        <w:rPr>
          <w:rStyle w:val="FootnoteReference"/>
          <w:color w:val="auto"/>
        </w:rPr>
        <w:footnoteReference w:id="20"/>
      </w:r>
      <w:r w:rsidR="000031D3">
        <w:rPr>
          <w:color w:val="auto"/>
        </w:rPr>
        <w:t xml:space="preserve"> </w:t>
      </w:r>
      <w:r w:rsidRPr="008B1EEA">
        <w:rPr>
          <w:color w:val="auto"/>
        </w:rPr>
        <w:t xml:space="preserve">The effects of </w:t>
      </w:r>
      <w:proofErr w:type="spellStart"/>
      <w:r w:rsidRPr="008B1EEA">
        <w:rPr>
          <w:color w:val="auto"/>
        </w:rPr>
        <w:t>nitazenes</w:t>
      </w:r>
      <w:proofErr w:type="spellEnd"/>
      <w:r w:rsidRPr="008B1EEA">
        <w:rPr>
          <w:color w:val="auto"/>
        </w:rPr>
        <w:t xml:space="preserve"> are similar to other opioids and include analgesia and euphoria</w:t>
      </w:r>
      <w:r w:rsidR="00B611F9">
        <w:rPr>
          <w:color w:val="auto"/>
        </w:rPr>
        <w:t>. H</w:t>
      </w:r>
      <w:r w:rsidRPr="008B1EEA">
        <w:rPr>
          <w:color w:val="auto"/>
        </w:rPr>
        <w:t>owever</w:t>
      </w:r>
      <w:r w:rsidR="003E34C6">
        <w:rPr>
          <w:color w:val="auto"/>
        </w:rPr>
        <w:t>,</w:t>
      </w:r>
      <w:r w:rsidRPr="008B1EEA">
        <w:rPr>
          <w:color w:val="auto"/>
        </w:rPr>
        <w:t xml:space="preserve"> the elevated potency of the substances presents a high risk of adverse effects including respiratory depression which can lead to death. Of particular concern is that the typical therapeutic dose of an opioid antagonist such as naloxone, which acts as a life-saving antidote in an instance of opioid overdose, may not be as effective in the case of </w:t>
      </w:r>
      <w:proofErr w:type="spellStart"/>
      <w:r w:rsidRPr="008B1EEA">
        <w:rPr>
          <w:color w:val="auto"/>
        </w:rPr>
        <w:t>nitazene</w:t>
      </w:r>
      <w:proofErr w:type="spellEnd"/>
      <w:r w:rsidRPr="008B1EEA">
        <w:rPr>
          <w:color w:val="auto"/>
        </w:rPr>
        <w:t xml:space="preserve"> exposure due to the potency of these substances.</w:t>
      </w:r>
      <w:r w:rsidR="005A415E">
        <w:rPr>
          <w:rStyle w:val="FootnoteReference"/>
          <w:color w:val="auto"/>
        </w:rPr>
        <w:footnoteReference w:id="21"/>
      </w:r>
    </w:p>
    <w:p w14:paraId="704CFFED" w14:textId="343A31BB" w:rsidR="00D45B74" w:rsidRPr="008B1EEA" w:rsidRDefault="00D45B74" w:rsidP="00D45B74">
      <w:pPr>
        <w:pStyle w:val="ListBullet"/>
        <w:rPr>
          <w:color w:val="auto"/>
        </w:rPr>
      </w:pPr>
      <w:r w:rsidRPr="008B1EEA">
        <w:rPr>
          <w:color w:val="auto"/>
        </w:rPr>
        <w:t>In relation to the benefits and risks of the use of the substances pursuant to s 52E(1)(a) of the Act, I note that public exposure appears to be entirely recreational—there being no established therapeutic value for the substances—and their abuse and illicit use poses a significant risk to public health. This aligns with the factor for an entry in Schedule 9 of the Poisons Standard that ‘the substance has no currently established therapeutic value and is likely to present a high risk of dependency, abuse, misuse or illicit use’. Moreover, I am satisfied that the risks are of such significance as to warrant limiting access to these substances for strictly controlled medical and scientific research.</w:t>
      </w:r>
    </w:p>
    <w:p w14:paraId="55030CB3" w14:textId="37929565" w:rsidR="00D45B74" w:rsidRPr="008B1EEA" w:rsidRDefault="00D45B74" w:rsidP="00D45B74">
      <w:pPr>
        <w:pStyle w:val="ListBullet"/>
        <w:rPr>
          <w:color w:val="auto"/>
        </w:rPr>
      </w:pPr>
      <w:r w:rsidRPr="008B1EEA">
        <w:rPr>
          <w:color w:val="auto"/>
        </w:rPr>
        <w:t xml:space="preserve">With regards to s 52E(1)(d) of the Act, </w:t>
      </w:r>
      <w:r w:rsidR="00413BA7">
        <w:rPr>
          <w:color w:val="auto"/>
        </w:rPr>
        <w:t xml:space="preserve">in considering material from the ACMD and DEA, </w:t>
      </w:r>
      <w:r w:rsidRPr="008B1EEA">
        <w:rPr>
          <w:color w:val="auto"/>
        </w:rPr>
        <w:t xml:space="preserve">I note that the majority of cases of detection of </w:t>
      </w:r>
      <w:proofErr w:type="spellStart"/>
      <w:r w:rsidRPr="008B1EEA">
        <w:rPr>
          <w:color w:val="auto"/>
        </w:rPr>
        <w:t>nitazenes</w:t>
      </w:r>
      <w:proofErr w:type="spellEnd"/>
      <w:r w:rsidRPr="008B1EEA">
        <w:rPr>
          <w:color w:val="auto"/>
        </w:rPr>
        <w:t xml:space="preserve"> </w:t>
      </w:r>
      <w:r w:rsidR="00413BA7">
        <w:rPr>
          <w:color w:val="auto"/>
        </w:rPr>
        <w:t xml:space="preserve">internationally </w:t>
      </w:r>
      <w:r w:rsidRPr="008B1EEA">
        <w:rPr>
          <w:color w:val="auto"/>
        </w:rPr>
        <w:t xml:space="preserve">have been as contaminants and/or adulterants in seizures of illicit drugs such as heroin. However, the novel nature of these substances means that in many international jurisdictions </w:t>
      </w:r>
      <w:proofErr w:type="spellStart"/>
      <w:r w:rsidRPr="008B1EEA">
        <w:rPr>
          <w:color w:val="auto"/>
        </w:rPr>
        <w:t>nitazenes</w:t>
      </w:r>
      <w:proofErr w:type="spellEnd"/>
      <w:r w:rsidRPr="008B1EEA">
        <w:rPr>
          <w:color w:val="auto"/>
        </w:rPr>
        <w:t xml:space="preserve"> are not regulated as a class of substances, and many individual substances within the class do not have controls on their manufacture, </w:t>
      </w:r>
      <w:proofErr w:type="gramStart"/>
      <w:r w:rsidRPr="008B1EEA">
        <w:rPr>
          <w:color w:val="auto"/>
        </w:rPr>
        <w:t>supply</w:t>
      </w:r>
      <w:proofErr w:type="gramEnd"/>
      <w:r w:rsidRPr="008B1EEA">
        <w:rPr>
          <w:color w:val="auto"/>
        </w:rPr>
        <w:t xml:space="preserve"> or use. In Australia, only </w:t>
      </w:r>
      <w:proofErr w:type="spellStart"/>
      <w:r w:rsidRPr="008B1EEA">
        <w:rPr>
          <w:color w:val="auto"/>
        </w:rPr>
        <w:t>clonitazene</w:t>
      </w:r>
      <w:proofErr w:type="spellEnd"/>
      <w:r w:rsidRPr="008B1EEA">
        <w:rPr>
          <w:color w:val="auto"/>
        </w:rPr>
        <w:t xml:space="preserve"> and etonitazene (both Schedule 9) are presently included in the Poisons Standard.</w:t>
      </w:r>
    </w:p>
    <w:p w14:paraId="710B148D" w14:textId="0D7A21F4" w:rsidR="00D45B74" w:rsidRPr="008B1EEA" w:rsidRDefault="00D45B74" w:rsidP="00D45B74">
      <w:pPr>
        <w:pStyle w:val="ListBullet"/>
        <w:rPr>
          <w:color w:val="auto"/>
        </w:rPr>
      </w:pPr>
      <w:r w:rsidRPr="008B1EEA">
        <w:rPr>
          <w:color w:val="auto"/>
        </w:rPr>
        <w:t xml:space="preserve">In consideration of s 52E(1)(e) of the Act, I note from numerous sources, including the considered materials, </w:t>
      </w:r>
      <w:proofErr w:type="spellStart"/>
      <w:r w:rsidRPr="008B1EEA">
        <w:rPr>
          <w:color w:val="auto"/>
        </w:rPr>
        <w:t>nitazenes</w:t>
      </w:r>
      <w:proofErr w:type="spellEnd"/>
      <w:r w:rsidRPr="008B1EEA">
        <w:rPr>
          <w:color w:val="auto"/>
        </w:rPr>
        <w:t xml:space="preserve"> present</w:t>
      </w:r>
      <w:r w:rsidR="00B611F9">
        <w:rPr>
          <w:color w:val="auto"/>
        </w:rPr>
        <w:t>s</w:t>
      </w:r>
      <w:r w:rsidRPr="008B1EEA">
        <w:rPr>
          <w:color w:val="auto"/>
        </w:rPr>
        <w:t xml:space="preserve"> a high potential for abuse. This is expected for opioid substances with such </w:t>
      </w:r>
      <w:r w:rsidR="00FE0B6A">
        <w:rPr>
          <w:color w:val="auto"/>
        </w:rPr>
        <w:t xml:space="preserve">potent </w:t>
      </w:r>
      <w:r w:rsidRPr="008B1EEA">
        <w:rPr>
          <w:color w:val="auto"/>
        </w:rPr>
        <w:t>activity.</w:t>
      </w:r>
    </w:p>
    <w:p w14:paraId="51206A25" w14:textId="21755473" w:rsidR="00D45B74" w:rsidRPr="008B1EEA" w:rsidRDefault="00D45B74" w:rsidP="00D45B74">
      <w:pPr>
        <w:pStyle w:val="ListBullet"/>
        <w:rPr>
          <w:color w:val="auto"/>
        </w:rPr>
      </w:pPr>
      <w:r w:rsidRPr="008B1EEA">
        <w:rPr>
          <w:color w:val="auto"/>
        </w:rPr>
        <w:t xml:space="preserve">Finally, regarding s 52E(1)(f) of the Act, I have noted that as of 3 February 2023, 10 synthetic opioids have been recommended to be made Class A substances in the United Kingdom, including the 9 substances specified in this decision. The Class A classification recognises the </w:t>
      </w:r>
      <w:r w:rsidRPr="008B1EEA">
        <w:rPr>
          <w:color w:val="auto"/>
        </w:rPr>
        <w:lastRenderedPageBreak/>
        <w:t>potential harm to public health associated with these substances and is equivalent to Schedule 9 in the Poisons Standard.</w:t>
      </w:r>
    </w:p>
    <w:p w14:paraId="6394F045" w14:textId="2D358C35" w:rsidR="00D45B74" w:rsidRPr="008B1EEA" w:rsidRDefault="00D45B74" w:rsidP="00D45B74">
      <w:pPr>
        <w:pStyle w:val="ListBullet"/>
        <w:numPr>
          <w:ilvl w:val="0"/>
          <w:numId w:val="0"/>
        </w:numPr>
        <w:rPr>
          <w:color w:val="auto"/>
        </w:rPr>
      </w:pPr>
      <w:r w:rsidRPr="008B1EEA">
        <w:rPr>
          <w:color w:val="auto"/>
        </w:rPr>
        <w:t>On the basis of the above considerations and the information included in the considered materials, I have decided to amend the Poisons Standard in the manner laid out above. Due to the clear and immediate public health risks associated with these substances, and there being no current legitimate use of the substances that would be restricted by their inclusion in Schedule 9, this amendment was not formally referred to an expert advisory committee for their advice.</w:t>
      </w:r>
    </w:p>
    <w:p w14:paraId="58596186" w14:textId="4BC64F9B" w:rsidR="00B1659D" w:rsidRPr="00300CBB" w:rsidRDefault="00B1659D" w:rsidP="00BD4298">
      <w:pPr>
        <w:pStyle w:val="Heading4"/>
      </w:pPr>
      <w:r w:rsidRPr="00300CBB">
        <w:t xml:space="preserve">Implementation date </w:t>
      </w:r>
    </w:p>
    <w:p w14:paraId="77FF437E" w14:textId="508E52D6" w:rsidR="00B1659D" w:rsidRPr="00A27362" w:rsidRDefault="00BD4298" w:rsidP="00B1659D">
      <w:pPr>
        <w:rPr>
          <w:b/>
          <w:bCs/>
        </w:rPr>
      </w:pPr>
      <w:r w:rsidRPr="00A27362">
        <w:rPr>
          <w:b/>
          <w:bCs/>
        </w:rPr>
        <w:t>1 October 2023</w:t>
      </w:r>
    </w:p>
    <w:p w14:paraId="5C8C843B" w14:textId="51E83CBA" w:rsidR="00B1659D" w:rsidRDefault="0031371C" w:rsidP="00B1659D">
      <w:pPr>
        <w:pStyle w:val="Heading3"/>
      </w:pPr>
      <w:bookmarkStart w:id="46" w:name="_Toc143009506"/>
      <w:r>
        <w:t>5.3</w:t>
      </w:r>
      <w:r>
        <w:tab/>
      </w:r>
      <w:r w:rsidR="00B1659D">
        <w:t xml:space="preserve">Final decision in relation to </w:t>
      </w:r>
      <w:proofErr w:type="spellStart"/>
      <w:r w:rsidR="00B1659D">
        <w:t>velagliflozin</w:t>
      </w:r>
      <w:bookmarkEnd w:id="46"/>
      <w:proofErr w:type="spellEnd"/>
    </w:p>
    <w:p w14:paraId="15B9BD8D" w14:textId="21263CB3" w:rsidR="00B1659D" w:rsidRPr="00BB34CD" w:rsidRDefault="00B1659D" w:rsidP="000E3C6C">
      <w:pPr>
        <w:pStyle w:val="Heading4"/>
      </w:pPr>
      <w:r w:rsidRPr="00BB34CD">
        <w:t xml:space="preserve">Final Decision </w:t>
      </w:r>
    </w:p>
    <w:p w14:paraId="11A99634" w14:textId="43B28026" w:rsidR="00B1659D" w:rsidRPr="008B1EEA" w:rsidRDefault="00B1659D" w:rsidP="00B1659D">
      <w:pPr>
        <w:rPr>
          <w:rFonts w:cstheme="minorHAnsi"/>
        </w:rPr>
      </w:pPr>
      <w:r w:rsidRPr="008B1EEA">
        <w:rPr>
          <w:rFonts w:cstheme="minorHAnsi"/>
        </w:rPr>
        <w:t>Pursuant to regulation 42ZCZU</w:t>
      </w:r>
      <w:r w:rsidRPr="008B1EEA" w:rsidDel="005F3EA0">
        <w:rPr>
          <w:rFonts w:cstheme="minorHAnsi"/>
        </w:rPr>
        <w:t xml:space="preserve"> </w:t>
      </w:r>
      <w:r w:rsidRPr="008B1EEA">
        <w:rPr>
          <w:rFonts w:cstheme="minorHAnsi"/>
        </w:rPr>
        <w:t xml:space="preserve">of the Regulations, a Delegate of the Secretary has made a final </w:t>
      </w:r>
      <w:r w:rsidRPr="00A27362">
        <w:rPr>
          <w:rFonts w:cstheme="minorHAnsi"/>
        </w:rPr>
        <w:t xml:space="preserve">decision to amend the current Poisons Standard in relation to </w:t>
      </w:r>
      <w:proofErr w:type="spellStart"/>
      <w:r w:rsidR="000E3C6C" w:rsidRPr="00A27362">
        <w:rPr>
          <w:rFonts w:cstheme="minorHAnsi"/>
        </w:rPr>
        <w:t>velagliflozin</w:t>
      </w:r>
      <w:proofErr w:type="spellEnd"/>
      <w:r w:rsidRPr="00A27362">
        <w:rPr>
          <w:rFonts w:cstheme="minorHAnsi"/>
        </w:rPr>
        <w:t xml:space="preserve"> as follows:</w:t>
      </w:r>
      <w:r w:rsidR="006E7723">
        <w:rPr>
          <w:rStyle w:val="FootnoteReference"/>
          <w:rFonts w:cstheme="minorHAnsi"/>
        </w:rPr>
        <w:footnoteReference w:id="22"/>
      </w:r>
    </w:p>
    <w:p w14:paraId="51FA3DC4" w14:textId="77777777" w:rsidR="009C7EA6" w:rsidRPr="008B1EEA" w:rsidRDefault="009C7EA6" w:rsidP="00C7111E">
      <w:pPr>
        <w:ind w:left="426"/>
        <w:rPr>
          <w:rFonts w:cstheme="minorHAnsi"/>
          <w:b/>
        </w:rPr>
      </w:pPr>
      <w:r w:rsidRPr="008B1EEA">
        <w:rPr>
          <w:rFonts w:cstheme="minorHAnsi"/>
          <w:b/>
        </w:rPr>
        <w:t>Schedule 4 – New Entry</w:t>
      </w:r>
    </w:p>
    <w:p w14:paraId="08205F46" w14:textId="77777777" w:rsidR="009C7EA6" w:rsidRPr="008B1EEA" w:rsidRDefault="009C7EA6" w:rsidP="009C7EA6">
      <w:pPr>
        <w:ind w:firstLine="709"/>
        <w:rPr>
          <w:rFonts w:cstheme="minorHAnsi"/>
          <w:strike/>
          <w:color w:val="FF0000"/>
          <w:u w:val="single"/>
        </w:rPr>
      </w:pPr>
      <w:r w:rsidRPr="008B1EEA">
        <w:rPr>
          <w:rFonts w:cstheme="minorHAnsi"/>
          <w:color w:val="00B050"/>
          <w:u w:val="single"/>
        </w:rPr>
        <w:t>VELAGLIFLOZIN</w:t>
      </w:r>
    </w:p>
    <w:p w14:paraId="5CF3B674" w14:textId="77777777" w:rsidR="009C7EA6" w:rsidRPr="008B1EEA" w:rsidRDefault="009C7EA6" w:rsidP="00C7111E">
      <w:pPr>
        <w:ind w:left="426"/>
        <w:rPr>
          <w:rFonts w:cstheme="minorHAnsi"/>
          <w:b/>
        </w:rPr>
      </w:pPr>
      <w:r w:rsidRPr="008B1EEA">
        <w:rPr>
          <w:rFonts w:cstheme="minorHAnsi"/>
          <w:b/>
        </w:rPr>
        <w:t>Index – New Entry</w:t>
      </w:r>
    </w:p>
    <w:p w14:paraId="0CAB588F" w14:textId="77777777" w:rsidR="009C7EA6" w:rsidRPr="008B1EEA" w:rsidRDefault="009C7EA6" w:rsidP="009C7EA6">
      <w:pPr>
        <w:ind w:firstLine="709"/>
        <w:rPr>
          <w:rFonts w:cstheme="minorHAnsi"/>
          <w:b/>
          <w:bCs/>
          <w:color w:val="00B050"/>
          <w:u w:val="single"/>
        </w:rPr>
      </w:pPr>
      <w:r w:rsidRPr="008B1EEA">
        <w:rPr>
          <w:rFonts w:cstheme="minorHAnsi"/>
          <w:b/>
          <w:bCs/>
          <w:color w:val="00B050"/>
          <w:u w:val="single"/>
        </w:rPr>
        <w:t>VELAGLIFLOZIN</w:t>
      </w:r>
    </w:p>
    <w:p w14:paraId="0E8CFE08" w14:textId="6A14028F" w:rsidR="009C7EA6" w:rsidRPr="00A27362" w:rsidRDefault="009C7EA6" w:rsidP="00A27362">
      <w:pPr>
        <w:ind w:firstLine="709"/>
        <w:rPr>
          <w:rFonts w:cstheme="minorHAnsi"/>
          <w:strike/>
          <w:color w:val="FF0000"/>
        </w:rPr>
      </w:pPr>
      <w:r w:rsidRPr="008B1EEA">
        <w:rPr>
          <w:rFonts w:cstheme="minorHAnsi"/>
          <w:color w:val="00B050"/>
          <w:u w:val="single"/>
        </w:rPr>
        <w:t>Schedule 4</w:t>
      </w:r>
    </w:p>
    <w:p w14:paraId="31F40369" w14:textId="049CBB20" w:rsidR="00B1659D" w:rsidRPr="00BB34CD" w:rsidRDefault="00B1659D" w:rsidP="000E3C6C">
      <w:pPr>
        <w:pStyle w:val="Heading4"/>
      </w:pPr>
      <w:r w:rsidRPr="00BB34CD">
        <w:t xml:space="preserve">Materials considered </w:t>
      </w:r>
    </w:p>
    <w:p w14:paraId="7933A7A9" w14:textId="77777777" w:rsidR="00B1659D" w:rsidRDefault="00B1659D" w:rsidP="00B1659D">
      <w:r>
        <w:t>In making this final decision, the Delegate considered the following material:</w:t>
      </w:r>
    </w:p>
    <w:p w14:paraId="4DB3FA66" w14:textId="09C3B9C2" w:rsidR="00B1659D" w:rsidRPr="00C7111E" w:rsidRDefault="00B1659D" w:rsidP="00C7111E">
      <w:pPr>
        <w:pStyle w:val="ListBullet"/>
        <w:spacing w:before="0" w:after="120" w:line="259" w:lineRule="auto"/>
        <w:ind w:left="357" w:hanging="357"/>
        <w:rPr>
          <w:color w:val="auto"/>
        </w:rPr>
      </w:pPr>
      <w:r w:rsidRPr="00C7111E">
        <w:rPr>
          <w:color w:val="auto"/>
        </w:rPr>
        <w:t xml:space="preserve">The application to amend the current Poisons Standard with respect to </w:t>
      </w:r>
      <w:proofErr w:type="spellStart"/>
      <w:r w:rsidR="000E3C6C" w:rsidRPr="00C7111E">
        <w:rPr>
          <w:color w:val="auto"/>
        </w:rPr>
        <w:t>velagliflozin</w:t>
      </w:r>
      <w:proofErr w:type="spellEnd"/>
      <w:r w:rsidRPr="00C7111E">
        <w:rPr>
          <w:color w:val="auto"/>
        </w:rPr>
        <w:t xml:space="preserve"> (the </w:t>
      </w:r>
      <w:r w:rsidRPr="00C7111E">
        <w:rPr>
          <w:b/>
          <w:bCs/>
          <w:color w:val="auto"/>
        </w:rPr>
        <w:t>Application</w:t>
      </w:r>
      <w:r w:rsidRPr="00C7111E">
        <w:rPr>
          <w:color w:val="auto"/>
        </w:rPr>
        <w:t>)</w:t>
      </w:r>
      <w:r w:rsidR="00B611F9">
        <w:rPr>
          <w:color w:val="auto"/>
        </w:rPr>
        <w:t>.</w:t>
      </w:r>
    </w:p>
    <w:p w14:paraId="040DB993" w14:textId="34B9ED2B" w:rsidR="00E83B37" w:rsidRPr="00C72DAB" w:rsidRDefault="00E83B37" w:rsidP="00C7111E">
      <w:pPr>
        <w:numPr>
          <w:ilvl w:val="0"/>
          <w:numId w:val="1"/>
        </w:numPr>
        <w:ind w:left="357" w:hanging="357"/>
      </w:pPr>
      <w:r w:rsidRPr="00C72DAB">
        <w:t xml:space="preserve">Subsection 52E(1) of </w:t>
      </w:r>
      <w:r w:rsidRPr="00571A28">
        <w:rPr>
          <w:iCs/>
        </w:rPr>
        <w:t>the Act</w:t>
      </w:r>
      <w:r w:rsidRPr="00571A28">
        <w:rPr>
          <w:i/>
        </w:rPr>
        <w:t xml:space="preserve">, </w:t>
      </w:r>
      <w:r w:rsidRPr="00571A28">
        <w:t>in particular</w:t>
      </w:r>
      <w:r w:rsidRPr="00B57044">
        <w:t xml:space="preserve">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w:t>
      </w:r>
      <w:r w:rsidRPr="00C72DAB">
        <w:t xml:space="preserve"> any other matters that the Secretary considers necessary to protect public health</w:t>
      </w:r>
      <w:r w:rsidR="00B611F9">
        <w:t>.</w:t>
      </w:r>
    </w:p>
    <w:p w14:paraId="1D94DCA0" w14:textId="5BCC4C1B" w:rsidR="00E83B37" w:rsidRPr="00C72DAB" w:rsidRDefault="00E83B37" w:rsidP="00C7111E">
      <w:pPr>
        <w:numPr>
          <w:ilvl w:val="0"/>
          <w:numId w:val="1"/>
        </w:numPr>
        <w:ind w:left="357" w:hanging="357"/>
      </w:pPr>
      <w:r>
        <w:t xml:space="preserve">Pursuant to paragraph 52E(2)(a) of the Act, the </w:t>
      </w:r>
      <w:r w:rsidRPr="00571A28">
        <w:t>SPF</w:t>
      </w:r>
      <w:r w:rsidR="00B611F9">
        <w:t>,</w:t>
      </w:r>
      <w:r w:rsidRPr="00C72DAB">
        <w:t xml:space="preserve"> and</w:t>
      </w:r>
    </w:p>
    <w:p w14:paraId="72E09DA5" w14:textId="77777777" w:rsidR="00E83B37" w:rsidRPr="00C72DAB" w:rsidRDefault="00E83B37" w:rsidP="00C7111E">
      <w:pPr>
        <w:numPr>
          <w:ilvl w:val="0"/>
          <w:numId w:val="1"/>
        </w:numPr>
        <w:ind w:left="357" w:hanging="357"/>
      </w:pPr>
      <w:r w:rsidRPr="003C3828">
        <w:t>the</w:t>
      </w:r>
      <w:r w:rsidRPr="003C3828">
        <w:rPr>
          <w:b/>
          <w:bCs/>
        </w:rPr>
        <w:t xml:space="preserve"> </w:t>
      </w:r>
      <w:r w:rsidRPr="00571A28">
        <w:t>Handbook.</w:t>
      </w:r>
    </w:p>
    <w:p w14:paraId="3614DBC2" w14:textId="68A873BA" w:rsidR="00B611F9" w:rsidRDefault="00B611F9">
      <w:pPr>
        <w:rPr>
          <w:rFonts w:ascii="Arial" w:eastAsia="Cambria" w:hAnsi="Arial" w:cs="Times New Roman"/>
          <w:b/>
          <w:bCs/>
          <w:color w:val="001871"/>
          <w:sz w:val="28"/>
          <w:szCs w:val="26"/>
        </w:rPr>
      </w:pPr>
    </w:p>
    <w:p w14:paraId="11373943" w14:textId="2B92B41F" w:rsidR="00B1659D" w:rsidRPr="00300CBB" w:rsidRDefault="00B1659D" w:rsidP="000E3C6C">
      <w:pPr>
        <w:pStyle w:val="Heading4"/>
      </w:pPr>
      <w:r w:rsidRPr="00300CBB">
        <w:lastRenderedPageBreak/>
        <w:t>Reasons for the final decision (including findings on material questions of fact)</w:t>
      </w:r>
    </w:p>
    <w:p w14:paraId="55B3FC2E" w14:textId="77777777" w:rsidR="001A19E1" w:rsidRPr="008B1EEA" w:rsidRDefault="001A19E1" w:rsidP="00C7111E">
      <w:pPr>
        <w:pStyle w:val="ListBullet"/>
        <w:numPr>
          <w:ilvl w:val="0"/>
          <w:numId w:val="0"/>
        </w:numPr>
        <w:spacing w:before="0" w:after="120" w:line="259" w:lineRule="auto"/>
        <w:rPr>
          <w:bCs/>
          <w:color w:val="auto"/>
        </w:rPr>
      </w:pPr>
      <w:r w:rsidRPr="008B1EEA">
        <w:rPr>
          <w:bCs/>
          <w:color w:val="auto"/>
        </w:rPr>
        <w:t xml:space="preserve">In determining that this matter will be a delegate-only decision I have </w:t>
      </w:r>
      <w:proofErr w:type="gramStart"/>
      <w:r w:rsidRPr="008B1EEA">
        <w:rPr>
          <w:bCs/>
          <w:color w:val="auto"/>
        </w:rPr>
        <w:t>taken into account</w:t>
      </w:r>
      <w:proofErr w:type="gramEnd"/>
      <w:r w:rsidRPr="008B1EEA">
        <w:rPr>
          <w:bCs/>
          <w:color w:val="auto"/>
        </w:rPr>
        <w:t xml:space="preserve"> the information provided in the Application from the applicant, the Australian Pesticides and Veterinary Medicine Authority (APVMA), and the matters outlined under s 52E of the Act and the SPF. In particular I note that:</w:t>
      </w:r>
    </w:p>
    <w:p w14:paraId="74DE666C" w14:textId="2C090079" w:rsidR="001A19E1" w:rsidRPr="008B1EEA" w:rsidRDefault="001A19E1" w:rsidP="00C7111E">
      <w:pPr>
        <w:numPr>
          <w:ilvl w:val="0"/>
          <w:numId w:val="1"/>
        </w:numPr>
      </w:pPr>
      <w:r w:rsidRPr="008B1EEA">
        <w:t xml:space="preserve">In relation to s 52E(1)(a) of the Act, the proposed amendment to the Poisons Standard is to include an entry for </w:t>
      </w:r>
      <w:proofErr w:type="spellStart"/>
      <w:r w:rsidRPr="008B1EEA">
        <w:t>velagliflozin</w:t>
      </w:r>
      <w:proofErr w:type="spellEnd"/>
      <w:r w:rsidRPr="008B1EEA">
        <w:t xml:space="preserve"> in Schedule 4 based upon its benefit to the treatment of diabetes in companion animals. The Application did not request or provide information in support of a concentration cut-off for the substance to be unscheduled.</w:t>
      </w:r>
      <w:r w:rsidR="00771B6F" w:rsidRPr="00771B6F">
        <w:t xml:space="preserve"> The substance</w:t>
      </w:r>
      <w:r w:rsidR="00500DB5">
        <w:t xml:space="preserve"> currently</w:t>
      </w:r>
      <w:r w:rsidR="00771B6F" w:rsidRPr="00771B6F">
        <w:t xml:space="preserve"> has no established therapeutic value in </w:t>
      </w:r>
      <w:proofErr w:type="gramStart"/>
      <w:r w:rsidR="00771B6F" w:rsidRPr="00771B6F">
        <w:t>humans</w:t>
      </w:r>
      <w:proofErr w:type="gramEnd"/>
      <w:r w:rsidR="00771B6F">
        <w:t xml:space="preserve"> and</w:t>
      </w:r>
      <w:r w:rsidRPr="008B1EEA">
        <w:t xml:space="preserve"> I note that </w:t>
      </w:r>
      <w:proofErr w:type="spellStart"/>
      <w:r w:rsidRPr="008B1EEA">
        <w:t>velagliflozin</w:t>
      </w:r>
      <w:proofErr w:type="spellEnd"/>
      <w:r w:rsidRPr="008B1EEA">
        <w:t xml:space="preserve"> is not registered for human use either in Australia or internationally.</w:t>
      </w:r>
    </w:p>
    <w:p w14:paraId="130C24CA" w14:textId="7FCB9465" w:rsidR="001A19E1" w:rsidRPr="004403CD" w:rsidRDefault="001A19E1" w:rsidP="00C7111E">
      <w:pPr>
        <w:numPr>
          <w:ilvl w:val="0"/>
          <w:numId w:val="1"/>
        </w:numPr>
      </w:pPr>
      <w:r w:rsidRPr="004403CD">
        <w:t xml:space="preserve">Regarding s 52E(1)(b) of the Act, the intended use of the substance is treatment of diabetes in cats. </w:t>
      </w:r>
      <w:proofErr w:type="spellStart"/>
      <w:r w:rsidRPr="004403CD">
        <w:t>Velagliflozin</w:t>
      </w:r>
      <w:proofErr w:type="spellEnd"/>
      <w:r w:rsidRPr="004403CD">
        <w:t xml:space="preserve"> belongs to the sodium dependent glucose co-transporter (SGLT) inhibitor class of drugs. The substance decreases blood glucose and insulin concentrations through selectively binding the SGLT2 receptor. The intended</w:t>
      </w:r>
      <w:r w:rsidR="00A0036E">
        <w:t xml:space="preserve"> product</w:t>
      </w:r>
      <w:r w:rsidRPr="004403CD">
        <w:t xml:space="preserve"> formulation will contain 15 mg/mL of </w:t>
      </w:r>
      <w:proofErr w:type="spellStart"/>
      <w:r w:rsidRPr="004403CD">
        <w:t>velagliflozin</w:t>
      </w:r>
      <w:proofErr w:type="spellEnd"/>
      <w:r w:rsidRPr="004403CD">
        <w:t xml:space="preserve"> as the technical grade active constituent (TGAC)</w:t>
      </w:r>
      <w:r w:rsidR="00B9612D">
        <w:t xml:space="preserve"> </w:t>
      </w:r>
      <w:r w:rsidR="00B9612D" w:rsidRPr="004403CD">
        <w:t>in</w:t>
      </w:r>
      <w:r w:rsidR="00B9612D">
        <w:t xml:space="preserve"> a</w:t>
      </w:r>
      <w:r w:rsidR="00B9612D" w:rsidRPr="004403CD">
        <w:t xml:space="preserve"> liquid solution</w:t>
      </w:r>
      <w:r w:rsidR="00B9612D">
        <w:t xml:space="preserve">. </w:t>
      </w:r>
      <w:r w:rsidRPr="004403CD">
        <w:t xml:space="preserve"> </w:t>
      </w:r>
      <w:r w:rsidR="00207AC9">
        <w:t>It</w:t>
      </w:r>
      <w:r w:rsidRPr="004403CD">
        <w:t xml:space="preserve"> is intended to be a prescription medicine for oral administration by veterinary professionals and cat owners as a home veterinary product. </w:t>
      </w:r>
      <w:r w:rsidR="004F7A53">
        <w:t>Consistent with the factors for inclus</w:t>
      </w:r>
      <w:r w:rsidR="006047BB">
        <w:t>ion in</w:t>
      </w:r>
      <w:r w:rsidRPr="004403CD">
        <w:t xml:space="preserve"> Schedule 4,</w:t>
      </w:r>
      <w:r w:rsidR="00F16CC7">
        <w:t xml:space="preserve"> product</w:t>
      </w:r>
      <w:r w:rsidR="00516F4B">
        <w:t xml:space="preserve">s containing </w:t>
      </w:r>
      <w:proofErr w:type="spellStart"/>
      <w:r w:rsidR="00516F4B">
        <w:t>velaglif</w:t>
      </w:r>
      <w:r w:rsidR="00465E16">
        <w:t>l</w:t>
      </w:r>
      <w:r w:rsidR="00516F4B">
        <w:t>ozin</w:t>
      </w:r>
      <w:proofErr w:type="spellEnd"/>
      <w:r w:rsidR="00F16CC7">
        <w:t xml:space="preserve"> require veterinary diagnosi</w:t>
      </w:r>
      <w:r w:rsidR="0031497F">
        <w:t>s and monitoring to ensure appropriate</w:t>
      </w:r>
      <w:r w:rsidR="00414370">
        <w:t xml:space="preserve"> and safe</w:t>
      </w:r>
      <w:r w:rsidR="0031497F">
        <w:t xml:space="preserve"> use</w:t>
      </w:r>
      <w:r w:rsidR="005D1C12">
        <w:t>.</w:t>
      </w:r>
    </w:p>
    <w:p w14:paraId="53EC0E0E" w14:textId="4008D1EA" w:rsidR="001A19E1" w:rsidRPr="008B1EEA" w:rsidRDefault="001A19E1" w:rsidP="00C7111E">
      <w:pPr>
        <w:numPr>
          <w:ilvl w:val="0"/>
          <w:numId w:val="1"/>
        </w:numPr>
      </w:pPr>
      <w:r w:rsidRPr="008B1EEA">
        <w:t xml:space="preserve">In relation to s 52E(1)(c) of the Act, the APVMA provided a Human Health Risk Assessment (HHRA) for the TGAC and the intended </w:t>
      </w:r>
      <w:r w:rsidR="00414370">
        <w:t xml:space="preserve">product </w:t>
      </w:r>
      <w:r w:rsidRPr="008B1EEA">
        <w:t xml:space="preserve">formulation containing </w:t>
      </w:r>
      <w:proofErr w:type="spellStart"/>
      <w:r w:rsidRPr="008B1EEA">
        <w:t>velagliflozin</w:t>
      </w:r>
      <w:proofErr w:type="spellEnd"/>
      <w:r w:rsidRPr="008B1EEA">
        <w:t xml:space="preserve"> at 15 mg/</w:t>
      </w:r>
      <w:proofErr w:type="spellStart"/>
      <w:r w:rsidRPr="008B1EEA">
        <w:t>mL.</w:t>
      </w:r>
      <w:proofErr w:type="spellEnd"/>
      <w:r w:rsidRPr="008B1EEA">
        <w:t xml:space="preserve"> The findings from the HHRA concluded that the risks to human health and safety posed by this substance </w:t>
      </w:r>
      <w:r w:rsidR="006047BB">
        <w:t>we</w:t>
      </w:r>
      <w:r w:rsidRPr="008B1EEA">
        <w:t xml:space="preserve">re acceptable according to the criteria stipulated in Section 5A of the </w:t>
      </w:r>
      <w:r w:rsidRPr="00C7111E">
        <w:rPr>
          <w:i/>
          <w:iCs/>
        </w:rPr>
        <w:t>Agricultural and Veterinary Chemicals Code Act 1994</w:t>
      </w:r>
      <w:r w:rsidRPr="008B1EEA">
        <w:t>.</w:t>
      </w:r>
    </w:p>
    <w:p w14:paraId="21E42387" w14:textId="301B4B2D" w:rsidR="001A19E1" w:rsidRPr="008B1EEA" w:rsidRDefault="001A19E1" w:rsidP="00C7111E">
      <w:pPr>
        <w:numPr>
          <w:ilvl w:val="0"/>
          <w:numId w:val="1"/>
        </w:numPr>
      </w:pPr>
      <w:r w:rsidRPr="008B1EEA">
        <w:t xml:space="preserve">In review of the HHRA, the levels for acute oral toxicity </w:t>
      </w:r>
      <w:r w:rsidR="005E0E4A">
        <w:t>we</w:t>
      </w:r>
      <w:r w:rsidRPr="008B1EEA">
        <w:t xml:space="preserve">re low in studies conducted </w:t>
      </w:r>
      <w:r w:rsidR="005C4857">
        <w:t>i</w:t>
      </w:r>
      <w:r w:rsidRPr="008B1EEA">
        <w:t>n both mice (LD</w:t>
      </w:r>
      <w:r w:rsidRPr="00DE5A72">
        <w:rPr>
          <w:vertAlign w:val="subscript"/>
        </w:rPr>
        <w:t>50</w:t>
      </w:r>
      <w:r w:rsidRPr="008B1EEA">
        <w:t xml:space="preserve"> </w:t>
      </w:r>
      <w:r w:rsidR="005E0E4A">
        <w:t xml:space="preserve">was in the range of </w:t>
      </w:r>
      <w:r w:rsidRPr="008B1EEA">
        <w:t>&gt;1</w:t>
      </w:r>
      <w:r w:rsidR="00B611F9">
        <w:t>,</w:t>
      </w:r>
      <w:r w:rsidRPr="008B1EEA">
        <w:t>000</w:t>
      </w:r>
      <w:r w:rsidR="005E0E4A">
        <w:t xml:space="preserve"> and &lt; 2000</w:t>
      </w:r>
      <w:r w:rsidRPr="008B1EEA">
        <w:t xml:space="preserve"> mg/kg </w:t>
      </w:r>
      <w:proofErr w:type="spellStart"/>
      <w:r w:rsidRPr="008B1EEA">
        <w:t>bw</w:t>
      </w:r>
      <w:proofErr w:type="spellEnd"/>
      <w:r w:rsidRPr="008B1EEA">
        <w:t>) and rats (LD</w:t>
      </w:r>
      <w:r w:rsidRPr="00DE5A72">
        <w:rPr>
          <w:vertAlign w:val="subscript"/>
        </w:rPr>
        <w:t>50</w:t>
      </w:r>
      <w:r w:rsidRPr="008B1EEA">
        <w:t xml:space="preserve"> &gt;2</w:t>
      </w:r>
      <w:r w:rsidR="00B611F9">
        <w:t>,</w:t>
      </w:r>
      <w:r w:rsidRPr="008B1EEA">
        <w:t xml:space="preserve">000 mg/kg </w:t>
      </w:r>
      <w:proofErr w:type="spellStart"/>
      <w:r w:rsidRPr="008B1EEA">
        <w:t>bw</w:t>
      </w:r>
      <w:proofErr w:type="spellEnd"/>
      <w:r w:rsidRPr="008B1EEA">
        <w:t xml:space="preserve">), </w:t>
      </w:r>
      <w:r w:rsidR="00420527">
        <w:t xml:space="preserve">the </w:t>
      </w:r>
      <w:r w:rsidRPr="008B1EEA">
        <w:t xml:space="preserve">inhalation toxicity </w:t>
      </w:r>
      <w:r w:rsidR="00420527">
        <w:t>w</w:t>
      </w:r>
      <w:r w:rsidR="00592434">
        <w:t>a</w:t>
      </w:r>
      <w:r w:rsidRPr="008B1EEA">
        <w:t>s not a concern due to the formulation type</w:t>
      </w:r>
      <w:r w:rsidR="00592434">
        <w:t xml:space="preserve"> (no LC</w:t>
      </w:r>
      <w:r w:rsidR="00592434" w:rsidRPr="00DE5A72">
        <w:rPr>
          <w:vertAlign w:val="subscript"/>
        </w:rPr>
        <w:t>50</w:t>
      </w:r>
      <w:r w:rsidR="00592434">
        <w:t xml:space="preserve"> was provided)</w:t>
      </w:r>
      <w:r w:rsidRPr="008B1EEA">
        <w:t xml:space="preserve">, and the 15 mg/mL </w:t>
      </w:r>
      <w:r w:rsidR="00420527">
        <w:t xml:space="preserve">product </w:t>
      </w:r>
      <w:r w:rsidRPr="008B1EEA">
        <w:t xml:space="preserve">formulation </w:t>
      </w:r>
      <w:r w:rsidR="00420527">
        <w:t>wa</w:t>
      </w:r>
      <w:r w:rsidRPr="008B1EEA">
        <w:t xml:space="preserve">s not a skin irritant. The 15 mg/mL </w:t>
      </w:r>
      <w:r w:rsidR="00420527">
        <w:t xml:space="preserve">product </w:t>
      </w:r>
      <w:r w:rsidRPr="008B1EEA">
        <w:t xml:space="preserve">formulation </w:t>
      </w:r>
      <w:r w:rsidR="00420527">
        <w:t>wa</w:t>
      </w:r>
      <w:r w:rsidRPr="008B1EEA">
        <w:t xml:space="preserve">s an eye irritant, aligning with the SPF factors for inclusion in Schedule 5. I consider that the risk of eye irritation </w:t>
      </w:r>
      <w:r w:rsidR="006A36A5">
        <w:t>would be</w:t>
      </w:r>
      <w:r w:rsidRPr="008B1EEA">
        <w:t xml:space="preserve"> sufficiently mitigated as the 15 mg/mL formulation will only be available following advice from a veterinar</w:t>
      </w:r>
      <w:r w:rsidR="00E964FC">
        <w:t>ian</w:t>
      </w:r>
      <w:r w:rsidRPr="008B1EEA">
        <w:t>, where careful adherence to the label instructions will be emphasised.</w:t>
      </w:r>
    </w:p>
    <w:p w14:paraId="4833AFDC" w14:textId="7BFC6D0B" w:rsidR="001A19E1" w:rsidRPr="008B1EEA" w:rsidRDefault="001A19E1" w:rsidP="00C7111E">
      <w:pPr>
        <w:numPr>
          <w:ilvl w:val="0"/>
          <w:numId w:val="1"/>
        </w:numPr>
      </w:pPr>
      <w:r w:rsidRPr="008B1EEA">
        <w:t xml:space="preserve">In reference to reproductive and developmental toxicity in rats and rabbits, </w:t>
      </w:r>
      <w:r w:rsidR="006A36A5">
        <w:t xml:space="preserve">the </w:t>
      </w:r>
      <w:r w:rsidRPr="008B1EEA">
        <w:t xml:space="preserve">reproductive findings included effects on oestrous cycling, mating, conception, litter values and fetal weights. Skeletal abnormalities and variations were observed in </w:t>
      </w:r>
      <w:proofErr w:type="spellStart"/>
      <w:r w:rsidRPr="008B1EEA">
        <w:t>fetuses</w:t>
      </w:r>
      <w:proofErr w:type="spellEnd"/>
      <w:r w:rsidRPr="008B1EEA">
        <w:t>, most notably a constellation of malformed long bones and medially thickened or kinked ribs</w:t>
      </w:r>
      <w:r w:rsidR="00CC43EF">
        <w:t xml:space="preserve">. </w:t>
      </w:r>
      <w:r w:rsidR="002E0907">
        <w:t>An</w:t>
      </w:r>
      <w:r w:rsidRPr="008B1EEA">
        <w:t xml:space="preserve"> increased incidence of abnormal ossification of various bones w</w:t>
      </w:r>
      <w:r w:rsidR="00CC43EF">
        <w:t>as</w:t>
      </w:r>
      <w:r w:rsidRPr="008B1EEA">
        <w:t xml:space="preserve"> also observed, though this is commonly observed in underweight </w:t>
      </w:r>
      <w:proofErr w:type="spellStart"/>
      <w:r w:rsidRPr="008B1EEA">
        <w:t>fetuses</w:t>
      </w:r>
      <w:proofErr w:type="spellEnd"/>
      <w:r w:rsidRPr="008B1EEA">
        <w:t xml:space="preserve"> associated with </w:t>
      </w:r>
      <w:proofErr w:type="spellStart"/>
      <w:r w:rsidRPr="008B1EEA">
        <w:t>maternotoxicity</w:t>
      </w:r>
      <w:proofErr w:type="spellEnd"/>
      <w:r w:rsidRPr="008B1EEA">
        <w:t xml:space="preserve">. I note that the teratogenic findings at 100 and 400 mg/kg </w:t>
      </w:r>
      <w:proofErr w:type="spellStart"/>
      <w:r w:rsidRPr="008B1EEA">
        <w:t>bw</w:t>
      </w:r>
      <w:proofErr w:type="spellEnd"/>
      <w:r w:rsidRPr="008B1EEA">
        <w:t xml:space="preserve">/day </w:t>
      </w:r>
      <w:r w:rsidR="00E964FC">
        <w:t>we</w:t>
      </w:r>
      <w:r w:rsidRPr="008B1EEA">
        <w:t>re likely reflective of an exaggerated pharmacological effect of an antidiabetic drug inducing hypoglycaemia during pregnancy in a healthy animal model.</w:t>
      </w:r>
      <w:r w:rsidR="003E14E9">
        <w:t xml:space="preserve"> A NOAEL for embryofetal development </w:t>
      </w:r>
      <w:r w:rsidR="00CB2CD8">
        <w:t xml:space="preserve">was </w:t>
      </w:r>
      <w:r w:rsidR="00B97F15">
        <w:t xml:space="preserve">established at </w:t>
      </w:r>
      <w:r w:rsidR="00CB2CD8">
        <w:t>40 mg</w:t>
      </w:r>
      <w:r w:rsidR="00915DBE">
        <w:t>/</w:t>
      </w:r>
      <w:r w:rsidR="00CB2CD8">
        <w:t xml:space="preserve">kg </w:t>
      </w:r>
      <w:proofErr w:type="spellStart"/>
      <w:r w:rsidR="00CB2CD8">
        <w:t>bw</w:t>
      </w:r>
      <w:proofErr w:type="spellEnd"/>
      <w:r w:rsidR="00CB2CD8">
        <w:t>/day.</w:t>
      </w:r>
    </w:p>
    <w:p w14:paraId="01EE5F25" w14:textId="4E2BDF4C" w:rsidR="001A19E1" w:rsidRPr="008B1EEA" w:rsidRDefault="001A19E1" w:rsidP="00C7111E">
      <w:pPr>
        <w:numPr>
          <w:ilvl w:val="0"/>
          <w:numId w:val="1"/>
        </w:numPr>
      </w:pPr>
      <w:r w:rsidRPr="008B1EEA">
        <w:t xml:space="preserve">I have </w:t>
      </w:r>
      <w:r w:rsidR="006A3B8F">
        <w:t xml:space="preserve">also </w:t>
      </w:r>
      <w:r w:rsidRPr="008B1EEA">
        <w:t xml:space="preserve">considered the repeat-dose oral toxicity studies, noting that the critical effects seen in the liver were increased organ weight in all tested species and hydropic changes in mice and dogs. Effects observed in </w:t>
      </w:r>
      <w:r w:rsidR="004C73E3">
        <w:t xml:space="preserve">the </w:t>
      </w:r>
      <w:r w:rsidRPr="008B1EEA">
        <w:t xml:space="preserve">kidney were increased organ weight in all tested species and </w:t>
      </w:r>
      <w:r w:rsidRPr="008B1EEA">
        <w:lastRenderedPageBreak/>
        <w:t>tubular mineralisation in</w:t>
      </w:r>
      <w:r w:rsidR="004C73E3">
        <w:t xml:space="preserve"> the</w:t>
      </w:r>
      <w:r w:rsidRPr="008B1EEA">
        <w:t xml:space="preserve"> rat. I note that the most relevant no-observed-adverse-effect-level (NOAEL) was 30 mg/kg </w:t>
      </w:r>
      <w:proofErr w:type="spellStart"/>
      <w:r w:rsidRPr="008B1EEA">
        <w:t>bw</w:t>
      </w:r>
      <w:proofErr w:type="spellEnd"/>
      <w:r w:rsidRPr="008B1EEA">
        <w:t xml:space="preserve">/day </w:t>
      </w:r>
      <w:r w:rsidR="004C73E3">
        <w:t xml:space="preserve">- </w:t>
      </w:r>
      <w:r w:rsidRPr="008B1EEA">
        <w:t xml:space="preserve">determined in two 4-week dietary studies in rats and dogs. In rats, </w:t>
      </w:r>
      <w:r w:rsidR="00762F74">
        <w:t>the NOAEL</w:t>
      </w:r>
      <w:r w:rsidRPr="008B1EEA">
        <w:t xml:space="preserve"> was based on an increase in the incidence and severity of kidney tubular mineralisation </w:t>
      </w:r>
      <w:r w:rsidR="00B611F9">
        <w:t>in the</w:t>
      </w:r>
      <w:r w:rsidRPr="008B1EEA">
        <w:t xml:space="preserve"> 100 mg/kg </w:t>
      </w:r>
      <w:proofErr w:type="spellStart"/>
      <w:r w:rsidRPr="008B1EEA">
        <w:t>bw</w:t>
      </w:r>
      <w:proofErr w:type="spellEnd"/>
      <w:r w:rsidRPr="008B1EEA">
        <w:t>/day</w:t>
      </w:r>
      <w:r w:rsidR="00B611F9">
        <w:t xml:space="preserve"> group</w:t>
      </w:r>
      <w:r w:rsidR="00DA7D9E">
        <w:t xml:space="preserve"> (the next higher dose)</w:t>
      </w:r>
      <w:r w:rsidRPr="008B1EEA">
        <w:t xml:space="preserve">, and in dogs, based on clinical signs, reduced body weight gain and increased kidney weights </w:t>
      </w:r>
      <w:r w:rsidR="00B611F9">
        <w:t>in the</w:t>
      </w:r>
      <w:r w:rsidR="004C73E3">
        <w:t xml:space="preserve"> next higher doses of</w:t>
      </w:r>
      <w:r w:rsidR="00B611F9">
        <w:t xml:space="preserve"> </w:t>
      </w:r>
      <w:r w:rsidRPr="00B611F9">
        <w:t>60/100</w:t>
      </w:r>
      <w:r w:rsidRPr="008B1EEA">
        <w:t xml:space="preserve"> mg/kg </w:t>
      </w:r>
      <w:proofErr w:type="spellStart"/>
      <w:r w:rsidRPr="008B1EEA">
        <w:t>bw</w:t>
      </w:r>
      <w:proofErr w:type="spellEnd"/>
      <w:r w:rsidRPr="008B1EEA">
        <w:t>/day</w:t>
      </w:r>
      <w:r w:rsidR="00B611F9">
        <w:t xml:space="preserve"> grou</w:t>
      </w:r>
      <w:r w:rsidR="004C73E3">
        <w:t>p.</w:t>
      </w:r>
    </w:p>
    <w:p w14:paraId="30C4C836" w14:textId="77777777" w:rsidR="001A19E1" w:rsidRPr="008B1EEA" w:rsidRDefault="001A19E1" w:rsidP="00C7111E">
      <w:pPr>
        <w:numPr>
          <w:ilvl w:val="0"/>
          <w:numId w:val="1"/>
        </w:numPr>
      </w:pPr>
      <w:proofErr w:type="spellStart"/>
      <w:r w:rsidRPr="008B1EEA">
        <w:t>Velagliflozin</w:t>
      </w:r>
      <w:proofErr w:type="spellEnd"/>
      <w:r w:rsidRPr="008B1EEA">
        <w:t xml:space="preserve"> is unlikely to be genotoxic as demonstrated by an adequate range of assays, both </w:t>
      </w:r>
      <w:r w:rsidRPr="00DE5A72">
        <w:rPr>
          <w:i/>
          <w:iCs/>
        </w:rPr>
        <w:t>in vitro</w:t>
      </w:r>
      <w:r w:rsidRPr="008B1EEA">
        <w:t xml:space="preserve"> and </w:t>
      </w:r>
      <w:r w:rsidRPr="00DE5A72">
        <w:rPr>
          <w:i/>
          <w:iCs/>
        </w:rPr>
        <w:t>in vivo</w:t>
      </w:r>
      <w:r w:rsidRPr="008B1EEA">
        <w:t>.</w:t>
      </w:r>
    </w:p>
    <w:p w14:paraId="08419B30" w14:textId="1E612102" w:rsidR="001A19E1" w:rsidRPr="008B1EEA" w:rsidRDefault="001A19E1" w:rsidP="00C7111E">
      <w:pPr>
        <w:numPr>
          <w:ilvl w:val="0"/>
          <w:numId w:val="1"/>
        </w:numPr>
      </w:pPr>
      <w:r w:rsidRPr="008B1EEA">
        <w:t xml:space="preserve">I have considered that a number of risks in relation to toxicity were not included as part of the HHRA on the basis that there is already </w:t>
      </w:r>
      <w:r w:rsidR="00137495">
        <w:t>sufficient</w:t>
      </w:r>
      <w:r w:rsidR="00137495" w:rsidRPr="008B1EEA">
        <w:t xml:space="preserve"> </w:t>
      </w:r>
      <w:r w:rsidRPr="008B1EEA">
        <w:t>research con</w:t>
      </w:r>
      <w:r w:rsidR="006E7723">
        <w:t>ducted</w:t>
      </w:r>
      <w:r w:rsidRPr="008B1EEA">
        <w:t xml:space="preserve"> in both animals and humans in relation to</w:t>
      </w:r>
      <w:r w:rsidR="00C95B1B">
        <w:t xml:space="preserve"> similar</w:t>
      </w:r>
      <w:r w:rsidRPr="008B1EEA">
        <w:t xml:space="preserve"> drugs of the SGL</w:t>
      </w:r>
      <w:r w:rsidR="00B611F9">
        <w:t>T</w:t>
      </w:r>
      <w:r w:rsidRPr="008B1EEA">
        <w:t xml:space="preserve">2 </w:t>
      </w:r>
      <w:r w:rsidR="00B611F9">
        <w:t xml:space="preserve">inhibitor </w:t>
      </w:r>
      <w:r w:rsidRPr="008B1EEA">
        <w:t>class</w:t>
      </w:r>
      <w:r w:rsidR="00137495">
        <w:t xml:space="preserve"> to allay concer</w:t>
      </w:r>
      <w:r w:rsidR="00A14EEF">
        <w:t>ns, i.e.</w:t>
      </w:r>
    </w:p>
    <w:p w14:paraId="57EB2334" w14:textId="5CC9628B" w:rsidR="001A19E1" w:rsidRPr="008A1BAB" w:rsidRDefault="001A19E1" w:rsidP="00C7111E">
      <w:pPr>
        <w:pStyle w:val="ListBullet2"/>
        <w:spacing w:before="0" w:after="120" w:line="259" w:lineRule="auto"/>
        <w:rPr>
          <w:rFonts w:asciiTheme="minorHAnsi" w:hAnsiTheme="minorHAnsi" w:cstheme="minorHAnsi"/>
          <w:color w:val="auto"/>
        </w:rPr>
      </w:pPr>
      <w:r w:rsidRPr="008A1BAB">
        <w:rPr>
          <w:rFonts w:asciiTheme="minorHAnsi" w:hAnsiTheme="minorHAnsi" w:cstheme="minorHAnsi"/>
          <w:color w:val="auto"/>
        </w:rPr>
        <w:t>skin sensitisation - not implicated in skin sensitisation</w:t>
      </w:r>
    </w:p>
    <w:p w14:paraId="72B26684" w14:textId="7C5CE9C0" w:rsidR="001A19E1" w:rsidRPr="008A1BAB" w:rsidRDefault="001A19E1" w:rsidP="00C7111E">
      <w:pPr>
        <w:pStyle w:val="ListBullet2"/>
        <w:spacing w:before="0" w:after="120" w:line="259" w:lineRule="auto"/>
        <w:rPr>
          <w:rFonts w:asciiTheme="minorHAnsi" w:hAnsiTheme="minorHAnsi" w:cstheme="minorHAnsi"/>
          <w:color w:val="auto"/>
        </w:rPr>
      </w:pPr>
      <w:r w:rsidRPr="008A1BAB">
        <w:rPr>
          <w:rFonts w:asciiTheme="minorHAnsi" w:hAnsiTheme="minorHAnsi" w:cstheme="minorHAnsi"/>
          <w:color w:val="auto"/>
        </w:rPr>
        <w:t>carcinogenicity - these compounds are not</w:t>
      </w:r>
      <w:r w:rsidR="00C95B1B">
        <w:rPr>
          <w:rFonts w:asciiTheme="minorHAnsi" w:hAnsiTheme="minorHAnsi" w:cstheme="minorHAnsi"/>
          <w:color w:val="auto"/>
        </w:rPr>
        <w:t xml:space="preserve"> considered</w:t>
      </w:r>
      <w:r w:rsidRPr="008A1BAB">
        <w:rPr>
          <w:rFonts w:asciiTheme="minorHAnsi" w:hAnsiTheme="minorHAnsi" w:cstheme="minorHAnsi"/>
          <w:color w:val="auto"/>
        </w:rPr>
        <w:t xml:space="preserve"> carcinogenic</w:t>
      </w:r>
    </w:p>
    <w:p w14:paraId="4113D3FC" w14:textId="0F3C035A" w:rsidR="001A19E1" w:rsidRPr="008A1BAB" w:rsidRDefault="001A19E1" w:rsidP="00C7111E">
      <w:pPr>
        <w:pStyle w:val="ListBullet2"/>
        <w:spacing w:before="0" w:after="120" w:line="259" w:lineRule="auto"/>
        <w:rPr>
          <w:rFonts w:asciiTheme="minorHAnsi" w:hAnsiTheme="minorHAnsi" w:cstheme="minorHAnsi"/>
          <w:color w:val="auto"/>
        </w:rPr>
      </w:pPr>
      <w:r w:rsidRPr="008A1BAB">
        <w:rPr>
          <w:rFonts w:asciiTheme="minorHAnsi" w:hAnsiTheme="minorHAnsi" w:cstheme="minorHAnsi"/>
          <w:color w:val="auto"/>
        </w:rPr>
        <w:t xml:space="preserve">neurotoxicity or immunotoxicity - acute neurotoxicity secondary to hypoglycaemia </w:t>
      </w:r>
      <w:r w:rsidR="00137495">
        <w:rPr>
          <w:rFonts w:asciiTheme="minorHAnsi" w:hAnsiTheme="minorHAnsi" w:cstheme="minorHAnsi"/>
          <w:color w:val="auto"/>
        </w:rPr>
        <w:t>was considered</w:t>
      </w:r>
      <w:r w:rsidRPr="008A1BAB">
        <w:rPr>
          <w:rFonts w:asciiTheme="minorHAnsi" w:hAnsiTheme="minorHAnsi" w:cstheme="minorHAnsi"/>
          <w:color w:val="auto"/>
        </w:rPr>
        <w:t xml:space="preserve"> rare or unlikely.</w:t>
      </w:r>
      <w:r w:rsidRPr="008A1BAB">
        <w:rPr>
          <w:rFonts w:asciiTheme="minorHAnsi" w:hAnsiTheme="minorHAnsi" w:cstheme="minorHAnsi"/>
          <w:color w:val="auto"/>
          <w:vertAlign w:val="superscript"/>
        </w:rPr>
        <w:footnoteReference w:id="23"/>
      </w:r>
      <w:r w:rsidRPr="008A1BAB">
        <w:rPr>
          <w:rFonts w:asciiTheme="minorHAnsi" w:hAnsiTheme="minorHAnsi" w:cstheme="minorHAnsi"/>
          <w:color w:val="auto"/>
          <w:vertAlign w:val="superscript"/>
        </w:rPr>
        <w:t>,</w:t>
      </w:r>
      <w:r w:rsidRPr="008A1BAB">
        <w:rPr>
          <w:rFonts w:asciiTheme="minorHAnsi" w:hAnsiTheme="minorHAnsi" w:cstheme="minorHAnsi"/>
          <w:color w:val="auto"/>
          <w:vertAlign w:val="superscript"/>
        </w:rPr>
        <w:footnoteReference w:id="24"/>
      </w:r>
    </w:p>
    <w:p w14:paraId="30B8321B" w14:textId="1563560E" w:rsidR="001A19E1" w:rsidRPr="008B1EEA" w:rsidRDefault="001A19E1" w:rsidP="00C7111E">
      <w:pPr>
        <w:numPr>
          <w:ilvl w:val="0"/>
          <w:numId w:val="1"/>
        </w:numPr>
      </w:pPr>
      <w:r w:rsidRPr="008B1EEA">
        <w:t>Regarding the risk</w:t>
      </w:r>
      <w:r w:rsidR="003E5D78">
        <w:t xml:space="preserve"> to </w:t>
      </w:r>
      <w:r w:rsidRPr="008B1EEA">
        <w:t xml:space="preserve">humans through accidental exposure </w:t>
      </w:r>
      <w:r w:rsidR="003E5D78">
        <w:t xml:space="preserve">to </w:t>
      </w:r>
      <w:proofErr w:type="spellStart"/>
      <w:r w:rsidR="00CE44D4">
        <w:t>velagliflozin</w:t>
      </w:r>
      <w:proofErr w:type="spellEnd"/>
      <w:r w:rsidR="00654FF0">
        <w:t xml:space="preserve"> from </w:t>
      </w:r>
      <w:r w:rsidRPr="008B1EEA">
        <w:t>home veterinary product</w:t>
      </w:r>
      <w:r w:rsidR="00654FF0">
        <w:t>s</w:t>
      </w:r>
      <w:r w:rsidRPr="008B1EEA">
        <w:t xml:space="preserve">, I consider that the human health risk of </w:t>
      </w:r>
      <w:proofErr w:type="spellStart"/>
      <w:r w:rsidRPr="008B1EEA">
        <w:t>velagliflozin</w:t>
      </w:r>
      <w:proofErr w:type="spellEnd"/>
      <w:r w:rsidRPr="008B1EEA">
        <w:t>-associated adverse effects can be adequately mitigated</w:t>
      </w:r>
      <w:r w:rsidR="004F607E">
        <w:t xml:space="preserve"> at the time of product </w:t>
      </w:r>
      <w:r w:rsidR="00415E7E">
        <w:t>registration</w:t>
      </w:r>
      <w:r w:rsidRPr="008B1EEA">
        <w:t xml:space="preserve">. I am satisfied that, for the purposes of s 52E(1)(d) of the Act, the APVMA, as the regulator of </w:t>
      </w:r>
      <w:r w:rsidR="007B1F5E">
        <w:t xml:space="preserve">all </w:t>
      </w:r>
      <w:r w:rsidR="006E7723">
        <w:t xml:space="preserve">veterinary </w:t>
      </w:r>
      <w:r w:rsidRPr="008B1EEA">
        <w:t>products, will</w:t>
      </w:r>
      <w:r w:rsidR="006367A1">
        <w:t xml:space="preserve"> </w:t>
      </w:r>
      <w:r w:rsidRPr="008B1EEA">
        <w:t>consider</w:t>
      </w:r>
      <w:r w:rsidR="006367A1">
        <w:t xml:space="preserve"> th</w:t>
      </w:r>
      <w:r w:rsidR="00CE3590">
        <w:t>e</w:t>
      </w:r>
      <w:r w:rsidRPr="008B1EEA">
        <w:t xml:space="preserve"> dosage, formulation, labelling, </w:t>
      </w:r>
      <w:proofErr w:type="gramStart"/>
      <w:r w:rsidRPr="008B1EEA">
        <w:t>packaging</w:t>
      </w:r>
      <w:proofErr w:type="gramEnd"/>
      <w:r w:rsidRPr="008B1EEA">
        <w:t xml:space="preserve"> and presentation</w:t>
      </w:r>
      <w:r w:rsidR="00CD6753">
        <w:t xml:space="preserve"> of </w:t>
      </w:r>
      <w:proofErr w:type="spellStart"/>
      <w:r w:rsidR="00986174">
        <w:t>velagliflozin</w:t>
      </w:r>
      <w:proofErr w:type="spellEnd"/>
      <w:r w:rsidR="00986174">
        <w:t>-containing products</w:t>
      </w:r>
      <w:r w:rsidR="0046076C">
        <w:t xml:space="preserve"> at the time of registration</w:t>
      </w:r>
      <w:r w:rsidRPr="008B1EEA">
        <w:t xml:space="preserve">. I note that exposure is most likely to be through the dermal route, with ocular and hand-to-mouth oral also possible. </w:t>
      </w:r>
      <w:r w:rsidR="00930BC3">
        <w:t xml:space="preserve">Consistent with the findings of the HHRA, </w:t>
      </w:r>
      <w:r w:rsidRPr="008B1EEA">
        <w:t xml:space="preserve">I consider that the risk of oral and dermal toxicity is likely to be low and that the risk </w:t>
      </w:r>
      <w:r w:rsidR="00CB3CD3">
        <w:t xml:space="preserve">from </w:t>
      </w:r>
      <w:r w:rsidRPr="008B1EEA">
        <w:t>accidental exposure to a child to be sufficiently mitigated through child-resistance closures. Repeated exposure is unlikely but may occur by the dermal route in adult users and is expected to be quantitatively small and note that adequate margins of exposure were achieved when comparing potential human exposure and NOAELs.</w:t>
      </w:r>
    </w:p>
    <w:p w14:paraId="2566FB32" w14:textId="0DD1524E" w:rsidR="001A19E1" w:rsidRPr="008B1EEA" w:rsidRDefault="001A19E1" w:rsidP="00C7111E">
      <w:pPr>
        <w:numPr>
          <w:ilvl w:val="0"/>
          <w:numId w:val="1"/>
        </w:numPr>
      </w:pPr>
      <w:r w:rsidRPr="008B1EEA">
        <w:t>In human studies, I note that the most common adverse effect</w:t>
      </w:r>
      <w:r w:rsidR="000D6D7D">
        <w:t xml:space="preserve"> with </w:t>
      </w:r>
      <w:r w:rsidR="00A31A6F">
        <w:t>other SGLT2 inhibitors</w:t>
      </w:r>
      <w:r w:rsidR="00C55B6C">
        <w:t xml:space="preserve"> has been</w:t>
      </w:r>
      <w:r w:rsidRPr="008B1EEA">
        <w:t xml:space="preserve"> genital mycotic infections</w:t>
      </w:r>
      <w:r w:rsidR="00527DFB">
        <w:t xml:space="preserve">, </w:t>
      </w:r>
      <w:r w:rsidR="00302EA8">
        <w:t>considered the</w:t>
      </w:r>
      <w:r w:rsidR="00527DFB">
        <w:t xml:space="preserve"> result of increased and sustained glycosuria</w:t>
      </w:r>
      <w:r w:rsidR="00425C25">
        <w:t xml:space="preserve"> facilitating the growth of pathogenic microorganisms</w:t>
      </w:r>
      <w:r w:rsidRPr="008B1EEA">
        <w:t xml:space="preserve">. In a </w:t>
      </w:r>
      <w:r w:rsidR="00A855A4">
        <w:t>field trial</w:t>
      </w:r>
      <w:r w:rsidR="00F40F62">
        <w:t xml:space="preserve"> with </w:t>
      </w:r>
      <w:r w:rsidRPr="008B1EEA">
        <w:t>client-owned</w:t>
      </w:r>
      <w:r w:rsidR="00F40F62">
        <w:t xml:space="preserve"> animals (</w:t>
      </w:r>
      <w:r w:rsidR="00AC1340">
        <w:t xml:space="preserve">diabetic </w:t>
      </w:r>
      <w:r w:rsidRPr="008B1EEA">
        <w:t>cat</w:t>
      </w:r>
      <w:r w:rsidR="00AC1340">
        <w:t>s</w:t>
      </w:r>
      <w:r w:rsidR="00F40F62">
        <w:t>)</w:t>
      </w:r>
      <w:r w:rsidRPr="008B1EEA">
        <w:t xml:space="preserve">, </w:t>
      </w:r>
      <w:r w:rsidR="00F97D15">
        <w:t xml:space="preserve">there were </w:t>
      </w:r>
      <w:r w:rsidR="00141638">
        <w:t>nine</w:t>
      </w:r>
      <w:r w:rsidR="00307C79">
        <w:t xml:space="preserve"> reports related to dermal exposure to owners</w:t>
      </w:r>
      <w:r w:rsidR="004133C1">
        <w:t xml:space="preserve"> (product users)</w:t>
      </w:r>
      <w:r w:rsidR="00E414BB">
        <w:t xml:space="preserve"> but none of these resulted in exposure-related cl</w:t>
      </w:r>
      <w:r w:rsidR="004814DF">
        <w:t xml:space="preserve">inical signs. An additional three reports </w:t>
      </w:r>
      <w:r w:rsidR="004133C1">
        <w:t>were related to eye exposure</w:t>
      </w:r>
      <w:r w:rsidR="005B1C2E">
        <w:t xml:space="preserve"> in the owners (product users)</w:t>
      </w:r>
      <w:r w:rsidRPr="008B1EEA">
        <w:t xml:space="preserve">, but </w:t>
      </w:r>
      <w:r w:rsidR="002337FE">
        <w:t xml:space="preserve">only </w:t>
      </w:r>
      <w:r w:rsidRPr="008B1EEA">
        <w:t xml:space="preserve">2 of 3 </w:t>
      </w:r>
      <w:r w:rsidR="002337FE">
        <w:t xml:space="preserve">of these </w:t>
      </w:r>
      <w:r w:rsidRPr="008B1EEA">
        <w:t>ocular exposures were associated with</w:t>
      </w:r>
      <w:r w:rsidR="002337FE">
        <w:t xml:space="preserve"> transient eye</w:t>
      </w:r>
      <w:r w:rsidRPr="008B1EEA">
        <w:t xml:space="preserve"> irritation. From the data provided to me in the HHRA, I consider that potential risks of the </w:t>
      </w:r>
      <w:r w:rsidRPr="004403CD">
        <w:t xml:space="preserve">15 mg/mL </w:t>
      </w:r>
      <w:r w:rsidR="002337FE">
        <w:t>product formulation</w:t>
      </w:r>
      <w:r w:rsidRPr="004403CD">
        <w:t xml:space="preserve"> </w:t>
      </w:r>
      <w:r w:rsidRPr="008B1EEA">
        <w:t xml:space="preserve">can be sufficiently mitigated through adherence to product label instructions, </w:t>
      </w:r>
      <w:r w:rsidR="00E658BD">
        <w:t>consistent with</w:t>
      </w:r>
      <w:r w:rsidRPr="008B1EEA">
        <w:t xml:space="preserve"> the conclusions of the US EPA, EFSA, JMPR and Health Canada PMRA.</w:t>
      </w:r>
    </w:p>
    <w:p w14:paraId="4F406162" w14:textId="324F2DAA" w:rsidR="00302EA8" w:rsidRDefault="00302EA8" w:rsidP="00302EA8">
      <w:pPr>
        <w:numPr>
          <w:ilvl w:val="0"/>
          <w:numId w:val="1"/>
        </w:numPr>
      </w:pPr>
      <w:r w:rsidRPr="008B1EEA">
        <w:t xml:space="preserve">In relation to s 52E(1)(e) of the Act, I am satisfied the potential for misuse or abuse of </w:t>
      </w:r>
      <w:proofErr w:type="spellStart"/>
      <w:r w:rsidRPr="008B1EEA">
        <w:t>velagliflozin</w:t>
      </w:r>
      <w:proofErr w:type="spellEnd"/>
      <w:r w:rsidRPr="008B1EEA">
        <w:t xml:space="preserve"> is limited. In forming this view, I have considered the substance has no established </w:t>
      </w:r>
      <w:r w:rsidRPr="008B1EEA">
        <w:lastRenderedPageBreak/>
        <w:t>therapeutic value in humans that would indicate that there is a risk of dependency, abuse, misuse, or diversion into illicit use.</w:t>
      </w:r>
    </w:p>
    <w:p w14:paraId="7ABF6847" w14:textId="295B0042" w:rsidR="001A19E1" w:rsidRPr="008B1EEA" w:rsidRDefault="001A19E1" w:rsidP="00C7111E">
      <w:pPr>
        <w:numPr>
          <w:ilvl w:val="0"/>
          <w:numId w:val="1"/>
        </w:numPr>
      </w:pPr>
      <w:r w:rsidRPr="008B1EEA">
        <w:t xml:space="preserve">I note under paragraph 52E(1)(f) of the Act, that the </w:t>
      </w:r>
      <w:r w:rsidR="006E7723">
        <w:t xml:space="preserve">proposed </w:t>
      </w:r>
      <w:proofErr w:type="spellStart"/>
      <w:r w:rsidR="006E7723" w:rsidRPr="006E7723">
        <w:t>velagliflozin</w:t>
      </w:r>
      <w:proofErr w:type="spellEnd"/>
      <w:r w:rsidR="0087532D">
        <w:t>-</w:t>
      </w:r>
      <w:r w:rsidR="006E7723" w:rsidRPr="006E7723">
        <w:t xml:space="preserve">containing </w:t>
      </w:r>
      <w:r w:rsidRPr="008B1EEA">
        <w:t>product is for use in companion animals only and is not intended for use in food-producing animals. As such neither an Acceptable Daily Intake (ADI) nor an Acute Reference Dose (</w:t>
      </w:r>
      <w:proofErr w:type="spellStart"/>
      <w:r w:rsidRPr="008B1EEA">
        <w:t>ARfD</w:t>
      </w:r>
      <w:proofErr w:type="spellEnd"/>
      <w:r w:rsidRPr="008B1EEA">
        <w:t xml:space="preserve">) </w:t>
      </w:r>
      <w:r w:rsidR="0087532D">
        <w:t xml:space="preserve">has been established by the </w:t>
      </w:r>
      <w:r w:rsidR="00302EA8">
        <w:t>veterinary medicine regulator</w:t>
      </w:r>
      <w:r w:rsidR="0087532D">
        <w:t>.</w:t>
      </w:r>
    </w:p>
    <w:p w14:paraId="3EDAB27D" w14:textId="08BED6B7" w:rsidR="001A19E1" w:rsidRPr="008B1EEA" w:rsidRDefault="00564510" w:rsidP="00C7111E">
      <w:pPr>
        <w:pStyle w:val="ListBullet"/>
        <w:numPr>
          <w:ilvl w:val="0"/>
          <w:numId w:val="0"/>
        </w:numPr>
        <w:spacing w:before="0" w:after="120" w:line="259" w:lineRule="auto"/>
        <w:rPr>
          <w:color w:val="auto"/>
        </w:rPr>
      </w:pPr>
      <w:r w:rsidRPr="008B1EEA">
        <w:rPr>
          <w:color w:val="auto"/>
        </w:rPr>
        <w:t>Based on</w:t>
      </w:r>
      <w:r w:rsidR="001A19E1" w:rsidRPr="008B1EEA">
        <w:rPr>
          <w:color w:val="auto"/>
        </w:rPr>
        <w:t xml:space="preserve"> the above considerations and the information provided in the application, I have decided to amend the current Poisons Standard in the manner set out above. The proposed amendment was not referred to an expert advisory committee.</w:t>
      </w:r>
    </w:p>
    <w:p w14:paraId="32C7A88F" w14:textId="0ABF811C" w:rsidR="00B1659D" w:rsidRPr="00300CBB" w:rsidRDefault="00B1659D" w:rsidP="000E3C6C">
      <w:pPr>
        <w:pStyle w:val="Heading4"/>
      </w:pPr>
      <w:r w:rsidRPr="00300CBB">
        <w:t xml:space="preserve">Implementation date </w:t>
      </w:r>
    </w:p>
    <w:p w14:paraId="2A0564CC" w14:textId="6D8DBC6C" w:rsidR="00B1659D" w:rsidRPr="00F3134A" w:rsidRDefault="000E3C6C" w:rsidP="00967490">
      <w:pPr>
        <w:rPr>
          <w:rFonts w:cstheme="minorHAnsi"/>
          <w:b/>
          <w:bCs/>
        </w:rPr>
      </w:pPr>
      <w:r w:rsidRPr="00A27362">
        <w:rPr>
          <w:rFonts w:cstheme="minorHAnsi"/>
          <w:b/>
          <w:bCs/>
        </w:rPr>
        <w:t>1 October 2023</w:t>
      </w:r>
    </w:p>
    <w:p w14:paraId="152BA854" w14:textId="66F03F08" w:rsidR="00F3134A" w:rsidRDefault="0031371C" w:rsidP="00C7111E">
      <w:pPr>
        <w:pStyle w:val="Heading3"/>
      </w:pPr>
      <w:bookmarkStart w:id="48" w:name="_Toc143009507"/>
      <w:bookmarkStart w:id="49" w:name="_Toc96521437"/>
      <w:r>
        <w:t>5.4</w:t>
      </w:r>
      <w:r>
        <w:tab/>
      </w:r>
      <w:r w:rsidR="00F3134A">
        <w:t>Final</w:t>
      </w:r>
      <w:r w:rsidR="00F3134A" w:rsidRPr="00CE46AC">
        <w:t xml:space="preserve"> decision in relation to </w:t>
      </w:r>
      <w:proofErr w:type="spellStart"/>
      <w:r w:rsidR="00F3134A">
        <w:t>vadadustat</w:t>
      </w:r>
      <w:bookmarkEnd w:id="48"/>
      <w:proofErr w:type="spellEnd"/>
      <w:r w:rsidR="00F3134A" w:rsidRPr="001D6D2E">
        <w:rPr>
          <w:highlight w:val="yellow"/>
        </w:rPr>
        <w:t xml:space="preserve"> </w:t>
      </w:r>
      <w:bookmarkEnd w:id="49"/>
    </w:p>
    <w:p w14:paraId="46E55357" w14:textId="402B4A51" w:rsidR="00F3134A" w:rsidRPr="00C72DAB" w:rsidRDefault="00F3134A" w:rsidP="00F3134A">
      <w:pPr>
        <w:pStyle w:val="Heading4"/>
      </w:pPr>
      <w:r>
        <w:t>Final</w:t>
      </w:r>
      <w:r w:rsidRPr="00C72DAB">
        <w:t xml:space="preserve"> decision</w:t>
      </w:r>
    </w:p>
    <w:p w14:paraId="66BB0C9E" w14:textId="69C3A4F4" w:rsidR="00F3134A" w:rsidRPr="00C72DAB" w:rsidRDefault="00F3134A" w:rsidP="00F3134A">
      <w:r w:rsidRPr="00C72DAB">
        <w:t xml:space="preserve">Pursuant to regulation 42ZCZN of the Regulations, a </w:t>
      </w:r>
      <w:r>
        <w:t>D</w:t>
      </w:r>
      <w:r w:rsidRPr="00C72DAB">
        <w:t xml:space="preserve">elegate of the Secretary has, in relation to </w:t>
      </w:r>
      <w:r w:rsidRPr="00B57044">
        <w:t xml:space="preserve">the proposed </w:t>
      </w:r>
      <w:r w:rsidRPr="009E0BAB">
        <w:t xml:space="preserve">amendment, made a final decision to amend the current Poisons Standard in relation to </w:t>
      </w:r>
      <w:proofErr w:type="spellStart"/>
      <w:r w:rsidRPr="00F15933">
        <w:t>vadadustat</w:t>
      </w:r>
      <w:proofErr w:type="spellEnd"/>
      <w:r w:rsidRPr="00F15933">
        <w:t xml:space="preserve"> </w:t>
      </w:r>
      <w:r w:rsidRPr="009E0BAB">
        <w:t>as follows:</w:t>
      </w:r>
      <w:r w:rsidR="007B1F5E">
        <w:rPr>
          <w:rStyle w:val="FootnoteReference"/>
        </w:rPr>
        <w:footnoteReference w:id="25"/>
      </w:r>
    </w:p>
    <w:p w14:paraId="30DFE556" w14:textId="77777777" w:rsidR="00F3134A" w:rsidRPr="00C72DAB" w:rsidRDefault="00F3134A" w:rsidP="00C7111E">
      <w:pPr>
        <w:ind w:left="426"/>
        <w:rPr>
          <w:b/>
        </w:rPr>
      </w:pPr>
      <w:r w:rsidRPr="00C72DAB">
        <w:rPr>
          <w:b/>
        </w:rPr>
        <w:t>Schedule</w:t>
      </w:r>
      <w:r>
        <w:rPr>
          <w:b/>
        </w:rPr>
        <w:t xml:space="preserve"> 4 </w:t>
      </w:r>
      <w:r w:rsidRPr="00C72DAB">
        <w:rPr>
          <w:b/>
        </w:rPr>
        <w:t xml:space="preserve">– New </w:t>
      </w:r>
      <w:r>
        <w:rPr>
          <w:b/>
        </w:rPr>
        <w:t>E</w:t>
      </w:r>
      <w:r w:rsidRPr="00C72DAB">
        <w:rPr>
          <w:b/>
        </w:rPr>
        <w:t>ntry</w:t>
      </w:r>
    </w:p>
    <w:p w14:paraId="186DE937" w14:textId="77777777" w:rsidR="00F3134A" w:rsidRPr="00DB093A" w:rsidRDefault="00F3134A" w:rsidP="00F3134A">
      <w:pPr>
        <w:ind w:firstLine="709"/>
        <w:rPr>
          <w:color w:val="00B050"/>
          <w:u w:val="single"/>
        </w:rPr>
      </w:pPr>
      <w:r>
        <w:rPr>
          <w:color w:val="00B050"/>
          <w:u w:val="single"/>
        </w:rPr>
        <w:t>#</w:t>
      </w:r>
      <w:r w:rsidRPr="00DB093A">
        <w:rPr>
          <w:color w:val="00B050"/>
          <w:u w:val="single"/>
        </w:rPr>
        <w:t>VADADUSTAT</w:t>
      </w:r>
    </w:p>
    <w:p w14:paraId="4B9895B5" w14:textId="789810EB" w:rsidR="00F3134A" w:rsidRPr="00C72DAB" w:rsidRDefault="00F3134A" w:rsidP="00C7111E">
      <w:pPr>
        <w:ind w:left="426"/>
        <w:rPr>
          <w:b/>
        </w:rPr>
      </w:pPr>
      <w:r>
        <w:rPr>
          <w:b/>
        </w:rPr>
        <w:t xml:space="preserve">Appendix D, clause </w:t>
      </w:r>
      <w:r w:rsidR="006E1EE3">
        <w:rPr>
          <w:b/>
        </w:rPr>
        <w:t>5</w:t>
      </w:r>
      <w:r>
        <w:rPr>
          <w:b/>
        </w:rPr>
        <w:t xml:space="preserve"> </w:t>
      </w:r>
      <w:r w:rsidRPr="00C72DAB">
        <w:rPr>
          <w:b/>
        </w:rPr>
        <w:t xml:space="preserve">– New </w:t>
      </w:r>
      <w:r>
        <w:rPr>
          <w:b/>
        </w:rPr>
        <w:t>E</w:t>
      </w:r>
      <w:r w:rsidRPr="00C72DAB">
        <w:rPr>
          <w:b/>
        </w:rPr>
        <w:t>ntry</w:t>
      </w:r>
    </w:p>
    <w:tbl>
      <w:tblPr>
        <w:tblStyle w:val="TableTGAblue"/>
        <w:tblW w:w="0" w:type="auto"/>
        <w:tblInd w:w="699" w:type="dxa"/>
        <w:tblLook w:val="04A0" w:firstRow="1" w:lastRow="0" w:firstColumn="1" w:lastColumn="0" w:noHBand="0" w:noVBand="1"/>
      </w:tblPr>
      <w:tblGrid>
        <w:gridCol w:w="1415"/>
        <w:gridCol w:w="1416"/>
      </w:tblGrid>
      <w:tr w:rsidR="00DE2D68" w:rsidRPr="00DE2D68" w14:paraId="2AAC6160" w14:textId="77777777" w:rsidTr="00DE2D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tcPr>
          <w:p w14:paraId="7054A117" w14:textId="47E6990E" w:rsidR="00DE2D68" w:rsidRPr="00DE2D68" w:rsidRDefault="00DE2D68" w:rsidP="00DE2D68">
            <w:pPr>
              <w:spacing w:before="60" w:after="60"/>
              <w:rPr>
                <w:rFonts w:asciiTheme="minorHAnsi" w:hAnsiTheme="minorHAnsi" w:cstheme="minorHAnsi"/>
                <w:color w:val="FFFFFF" w:themeColor="background1"/>
                <w:sz w:val="20"/>
                <w:szCs w:val="20"/>
              </w:rPr>
            </w:pPr>
            <w:r w:rsidRPr="00DE2D68">
              <w:rPr>
                <w:rFonts w:asciiTheme="minorHAnsi" w:hAnsiTheme="minorHAnsi" w:cstheme="minorHAnsi"/>
                <w:color w:val="FFFFFF" w:themeColor="background1"/>
                <w:sz w:val="20"/>
                <w:szCs w:val="20"/>
              </w:rPr>
              <w:t>Item</w:t>
            </w:r>
          </w:p>
        </w:tc>
        <w:tc>
          <w:tcPr>
            <w:tcW w:w="1416" w:type="dxa"/>
          </w:tcPr>
          <w:p w14:paraId="79B4DDC2" w14:textId="0E5333DB" w:rsidR="00DE2D68" w:rsidRPr="00DE2D68" w:rsidRDefault="00DE2D68" w:rsidP="00DE2D68">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0"/>
                <w:szCs w:val="20"/>
              </w:rPr>
            </w:pPr>
            <w:r w:rsidRPr="00DE2D68">
              <w:rPr>
                <w:rFonts w:asciiTheme="minorHAnsi" w:hAnsiTheme="minorHAnsi" w:cstheme="minorHAnsi"/>
                <w:color w:val="FFFFFF" w:themeColor="background1"/>
                <w:sz w:val="20"/>
                <w:szCs w:val="20"/>
              </w:rPr>
              <w:t>Poison</w:t>
            </w:r>
          </w:p>
        </w:tc>
      </w:tr>
      <w:tr w:rsidR="00DE2D68" w:rsidRPr="00DE2D68" w14:paraId="74832F4C" w14:textId="77777777" w:rsidTr="00DE2D68">
        <w:tc>
          <w:tcPr>
            <w:cnfStyle w:val="001000000000" w:firstRow="0" w:lastRow="0" w:firstColumn="1" w:lastColumn="0" w:oddVBand="0" w:evenVBand="0" w:oddHBand="0" w:evenHBand="0" w:firstRowFirstColumn="0" w:firstRowLastColumn="0" w:lastRowFirstColumn="0" w:lastRowLastColumn="0"/>
            <w:tcW w:w="1415" w:type="dxa"/>
          </w:tcPr>
          <w:p w14:paraId="32206A21" w14:textId="438A5B17" w:rsidR="00DE2D68" w:rsidRPr="00DE2D68" w:rsidRDefault="00DE2D68" w:rsidP="00DE2D68">
            <w:pPr>
              <w:spacing w:before="60" w:after="60"/>
              <w:rPr>
                <w:rFonts w:asciiTheme="minorHAnsi" w:hAnsiTheme="minorHAnsi" w:cstheme="minorHAnsi"/>
                <w:color w:val="00B050"/>
                <w:sz w:val="20"/>
                <w:szCs w:val="20"/>
                <w:u w:val="single"/>
              </w:rPr>
            </w:pPr>
            <w:r w:rsidRPr="00DE2D68">
              <w:rPr>
                <w:rFonts w:asciiTheme="minorHAnsi" w:hAnsiTheme="minorHAnsi" w:cstheme="minorHAnsi"/>
                <w:color w:val="00B050"/>
                <w:sz w:val="20"/>
                <w:szCs w:val="20"/>
                <w:u w:val="single"/>
              </w:rPr>
              <w:t>35</w:t>
            </w:r>
          </w:p>
        </w:tc>
        <w:tc>
          <w:tcPr>
            <w:tcW w:w="1416" w:type="dxa"/>
          </w:tcPr>
          <w:p w14:paraId="20944E0E" w14:textId="17FA10C0" w:rsidR="00DE2D68" w:rsidRPr="00DE2D68" w:rsidRDefault="00DE2D68" w:rsidP="00DE2D68">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B050"/>
                <w:sz w:val="20"/>
                <w:szCs w:val="20"/>
                <w:u w:val="single"/>
              </w:rPr>
            </w:pPr>
            <w:r w:rsidRPr="00DE2D68">
              <w:rPr>
                <w:rFonts w:asciiTheme="minorHAnsi" w:hAnsiTheme="minorHAnsi" w:cstheme="minorHAnsi"/>
                <w:color w:val="00B050"/>
                <w:sz w:val="20"/>
                <w:szCs w:val="20"/>
                <w:u w:val="single"/>
              </w:rPr>
              <w:t>VADADUSTAT</w:t>
            </w:r>
          </w:p>
        </w:tc>
      </w:tr>
    </w:tbl>
    <w:p w14:paraId="1341ECD5" w14:textId="77777777" w:rsidR="00F3134A" w:rsidRPr="00C72DAB" w:rsidRDefault="00F3134A" w:rsidP="0056127F">
      <w:pPr>
        <w:spacing w:before="120"/>
        <w:ind w:left="425"/>
        <w:rPr>
          <w:b/>
        </w:rPr>
      </w:pPr>
      <w:r w:rsidRPr="00C72DAB">
        <w:rPr>
          <w:b/>
        </w:rPr>
        <w:t xml:space="preserve">Index – </w:t>
      </w:r>
      <w:r>
        <w:rPr>
          <w:b/>
        </w:rPr>
        <w:t>New</w:t>
      </w:r>
      <w:r w:rsidRPr="00C72DAB">
        <w:rPr>
          <w:b/>
        </w:rPr>
        <w:t xml:space="preserve"> Entry</w:t>
      </w:r>
    </w:p>
    <w:p w14:paraId="46EAA6A9" w14:textId="694F8EDC" w:rsidR="00DE2D68" w:rsidRPr="00DB093A" w:rsidRDefault="00F3134A" w:rsidP="00F3134A">
      <w:pPr>
        <w:spacing w:after="0"/>
        <w:ind w:firstLine="709"/>
        <w:rPr>
          <w:b/>
          <w:bCs/>
          <w:color w:val="00B050"/>
          <w:u w:val="single"/>
        </w:rPr>
      </w:pPr>
      <w:r w:rsidRPr="00DB093A">
        <w:rPr>
          <w:b/>
          <w:bCs/>
          <w:color w:val="00B050"/>
          <w:u w:val="single"/>
        </w:rPr>
        <w:t>VADADUSTAT</w:t>
      </w:r>
    </w:p>
    <w:p w14:paraId="7B47CD86" w14:textId="77777777" w:rsidR="00F3134A" w:rsidRPr="00DB093A" w:rsidRDefault="00F3134A" w:rsidP="00DE2D68">
      <w:pPr>
        <w:spacing w:before="120" w:after="0"/>
        <w:ind w:firstLine="709"/>
        <w:rPr>
          <w:color w:val="00B050"/>
          <w:u w:val="single"/>
        </w:rPr>
      </w:pPr>
      <w:r w:rsidRPr="00DB093A">
        <w:rPr>
          <w:color w:val="00B050"/>
          <w:u w:val="single"/>
        </w:rPr>
        <w:t>Schedule 4</w:t>
      </w:r>
    </w:p>
    <w:p w14:paraId="0CA48E43" w14:textId="33462D2A" w:rsidR="00F3134A" w:rsidRPr="00DB093A" w:rsidRDefault="00F3134A" w:rsidP="00F3134A">
      <w:pPr>
        <w:spacing w:after="0"/>
        <w:ind w:firstLine="709"/>
        <w:rPr>
          <w:strike/>
          <w:color w:val="FF0000"/>
          <w:u w:val="single"/>
        </w:rPr>
      </w:pPr>
      <w:r w:rsidRPr="00DB093A">
        <w:rPr>
          <w:color w:val="00B050"/>
          <w:u w:val="single"/>
        </w:rPr>
        <w:t>Appendix</w:t>
      </w:r>
      <w:r>
        <w:rPr>
          <w:color w:val="00B050"/>
          <w:u w:val="single"/>
        </w:rPr>
        <w:t xml:space="preserve"> D, clause </w:t>
      </w:r>
      <w:r w:rsidR="006E1EE3">
        <w:rPr>
          <w:color w:val="00B050"/>
          <w:u w:val="single"/>
        </w:rPr>
        <w:t>5</w:t>
      </w:r>
    </w:p>
    <w:p w14:paraId="1FF24821" w14:textId="388D217D" w:rsidR="00F3134A" w:rsidRPr="00C72DAB" w:rsidRDefault="00F3134A" w:rsidP="00F3134A">
      <w:pPr>
        <w:pStyle w:val="Heading4"/>
      </w:pPr>
      <w:r w:rsidRPr="00C72DAB">
        <w:t>Materials considered</w:t>
      </w:r>
    </w:p>
    <w:p w14:paraId="2CC5DEC6" w14:textId="77777777" w:rsidR="00F3134A" w:rsidRPr="00C72DAB" w:rsidRDefault="00F3134A" w:rsidP="00F3134A">
      <w:r w:rsidRPr="00C72DAB">
        <w:t xml:space="preserve">In making this </w:t>
      </w:r>
      <w:r>
        <w:t>final</w:t>
      </w:r>
      <w:r w:rsidRPr="00C72DAB">
        <w:t xml:space="preserve"> decision, the Delegate considered the following material:</w:t>
      </w:r>
    </w:p>
    <w:p w14:paraId="3E002207" w14:textId="119C1051" w:rsidR="00F3134A" w:rsidRPr="00C72DAB" w:rsidRDefault="00F3134A" w:rsidP="00F3134A">
      <w:pPr>
        <w:numPr>
          <w:ilvl w:val="0"/>
          <w:numId w:val="1"/>
        </w:numPr>
        <w:spacing w:before="120" w:after="180" w:line="240" w:lineRule="atLeast"/>
      </w:pPr>
      <w:r w:rsidRPr="00C72DAB">
        <w:t xml:space="preserve">The </w:t>
      </w:r>
      <w:r w:rsidRPr="006E38BE">
        <w:t>application</w:t>
      </w:r>
      <w:r w:rsidRPr="00C72DAB">
        <w:t xml:space="preserve"> with respect to </w:t>
      </w:r>
      <w:proofErr w:type="spellStart"/>
      <w:r w:rsidRPr="00BF4926">
        <w:t>vadadustat</w:t>
      </w:r>
      <w:proofErr w:type="spellEnd"/>
      <w:r w:rsidR="00B611F9">
        <w:t>.</w:t>
      </w:r>
    </w:p>
    <w:p w14:paraId="2626470D" w14:textId="2B2AA794" w:rsidR="00F3134A" w:rsidRPr="00C72DAB" w:rsidRDefault="00F3134A" w:rsidP="00F3134A">
      <w:pPr>
        <w:numPr>
          <w:ilvl w:val="0"/>
          <w:numId w:val="1"/>
        </w:numPr>
        <w:spacing w:before="120" w:after="180" w:line="240" w:lineRule="atLeast"/>
      </w:pPr>
      <w:r w:rsidRPr="00C72DAB">
        <w:t xml:space="preserve">Subsection 52E(1) of </w:t>
      </w:r>
      <w:r w:rsidRPr="00B57044">
        <w:t xml:space="preserve">the </w:t>
      </w:r>
      <w:r w:rsidRPr="00B57044">
        <w:rPr>
          <w:i/>
        </w:rPr>
        <w:t>Therapeutic Goods Act 1989</w:t>
      </w:r>
      <w:r>
        <w:rPr>
          <w:iCs/>
        </w:rPr>
        <w:t xml:space="preserve"> (</w:t>
      </w:r>
      <w:proofErr w:type="spellStart"/>
      <w:r>
        <w:rPr>
          <w:iCs/>
        </w:rPr>
        <w:t>Cth</w:t>
      </w:r>
      <w:proofErr w:type="spellEnd"/>
      <w:r>
        <w:rPr>
          <w:iCs/>
        </w:rPr>
        <w:t xml:space="preserve">) (the </w:t>
      </w:r>
      <w:r>
        <w:rPr>
          <w:b/>
          <w:bCs/>
          <w:iCs/>
        </w:rPr>
        <w:t>Act</w:t>
      </w:r>
      <w:r>
        <w:rPr>
          <w:iCs/>
        </w:rPr>
        <w:t>)</w:t>
      </w:r>
      <w:r w:rsidRPr="00B57044">
        <w:rPr>
          <w:i/>
        </w:rPr>
        <w:t xml:space="preserve">, </w:t>
      </w:r>
      <w:r w:rsidRPr="00B57044">
        <w:t>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w:t>
      </w:r>
      <w:r w:rsidRPr="00C72DAB">
        <w:t xml:space="preserve"> any other matters that the Secretary considers necessary to protect public health</w:t>
      </w:r>
      <w:r w:rsidR="00B611F9">
        <w:t>.</w:t>
      </w:r>
    </w:p>
    <w:p w14:paraId="036EC047" w14:textId="77777777" w:rsidR="00B611F9" w:rsidRPr="00C72DAB" w:rsidRDefault="00B611F9" w:rsidP="00B611F9">
      <w:pPr>
        <w:numPr>
          <w:ilvl w:val="0"/>
          <w:numId w:val="1"/>
        </w:numPr>
        <w:ind w:left="357" w:hanging="357"/>
      </w:pPr>
      <w:r>
        <w:lastRenderedPageBreak/>
        <w:t xml:space="preserve">Pursuant to paragraph 52E(2)(a) of the Act, the </w:t>
      </w:r>
      <w:r w:rsidRPr="00571A28">
        <w:t>SPF</w:t>
      </w:r>
      <w:r>
        <w:t>,</w:t>
      </w:r>
      <w:r w:rsidRPr="00C72DAB">
        <w:t xml:space="preserve"> and</w:t>
      </w:r>
    </w:p>
    <w:p w14:paraId="4AD32655" w14:textId="77777777" w:rsidR="00B611F9" w:rsidRPr="00C72DAB" w:rsidRDefault="00B611F9" w:rsidP="00B611F9">
      <w:pPr>
        <w:numPr>
          <w:ilvl w:val="0"/>
          <w:numId w:val="1"/>
        </w:numPr>
        <w:ind w:left="357" w:hanging="357"/>
      </w:pPr>
      <w:r w:rsidRPr="003C3828">
        <w:t>the</w:t>
      </w:r>
      <w:r w:rsidRPr="003C3828">
        <w:rPr>
          <w:b/>
          <w:bCs/>
        </w:rPr>
        <w:t xml:space="preserve"> </w:t>
      </w:r>
      <w:r w:rsidRPr="00571A28">
        <w:t>Handbook.</w:t>
      </w:r>
    </w:p>
    <w:p w14:paraId="4586EF8F" w14:textId="181B900B" w:rsidR="00F3134A" w:rsidRDefault="00F3134A" w:rsidP="00F3134A">
      <w:pPr>
        <w:pStyle w:val="Heading4"/>
      </w:pPr>
      <w:r w:rsidRPr="00C72DAB">
        <w:t xml:space="preserve">Reasons for the </w:t>
      </w:r>
      <w:r>
        <w:t>final</w:t>
      </w:r>
      <w:r w:rsidRPr="00C72DAB">
        <w:t xml:space="preserve"> decision (including findings on material questions of fact)</w:t>
      </w:r>
    </w:p>
    <w:p w14:paraId="64A12C8B" w14:textId="77777777" w:rsidR="00F3134A" w:rsidRPr="00F3134A" w:rsidRDefault="00F3134A" w:rsidP="00C7111E">
      <w:pPr>
        <w:pStyle w:val="ListBullet"/>
        <w:numPr>
          <w:ilvl w:val="0"/>
          <w:numId w:val="0"/>
        </w:numPr>
        <w:spacing w:before="0" w:after="120" w:line="259" w:lineRule="auto"/>
        <w:rPr>
          <w:bCs/>
          <w:color w:val="auto"/>
        </w:rPr>
      </w:pPr>
      <w:r w:rsidRPr="00F3134A">
        <w:rPr>
          <w:bCs/>
          <w:color w:val="auto"/>
        </w:rPr>
        <w:t xml:space="preserve">In determining that this matter will be a delegate-only decision I have </w:t>
      </w:r>
      <w:proofErr w:type="gramStart"/>
      <w:r w:rsidRPr="00F3134A">
        <w:rPr>
          <w:bCs/>
          <w:color w:val="auto"/>
        </w:rPr>
        <w:t>taken into account</w:t>
      </w:r>
      <w:proofErr w:type="gramEnd"/>
      <w:r w:rsidRPr="00F3134A">
        <w:rPr>
          <w:bCs/>
          <w:color w:val="auto"/>
        </w:rPr>
        <w:t xml:space="preserve"> the information provided in the application, and the matters outlined under Section 52E of the Act and the SPF. In particular I note that:</w:t>
      </w:r>
    </w:p>
    <w:p w14:paraId="1636CA68" w14:textId="77777777" w:rsidR="00F3134A" w:rsidRPr="00C7111E" w:rsidRDefault="00F3134A" w:rsidP="00C7111E">
      <w:pPr>
        <w:pStyle w:val="ListBullet"/>
        <w:rPr>
          <w:color w:val="auto"/>
        </w:rPr>
      </w:pPr>
      <w:r w:rsidRPr="00B611F9">
        <w:rPr>
          <w:color w:val="auto"/>
        </w:rPr>
        <w:t>Vadadustat</w:t>
      </w:r>
      <w:r w:rsidRPr="00C7111E">
        <w:rPr>
          <w:color w:val="auto"/>
        </w:rPr>
        <w:t xml:space="preserve"> is an oral hypoxia-inducible factor (HIF) prolyl hydroxylase inhibitor used in the treatment of symptomatic anaemia associated with chronic kidney disease (CKD) in patients on chronic maintenance dialysis.</w:t>
      </w:r>
    </w:p>
    <w:p w14:paraId="4EFFBF90" w14:textId="77777777" w:rsidR="00F3134A" w:rsidRPr="00C7111E" w:rsidRDefault="00F3134A" w:rsidP="00C7111E">
      <w:pPr>
        <w:pStyle w:val="ListBullet"/>
        <w:rPr>
          <w:color w:val="auto"/>
        </w:rPr>
      </w:pPr>
      <w:r w:rsidRPr="00C7111E">
        <w:rPr>
          <w:color w:val="auto"/>
        </w:rPr>
        <w:t xml:space="preserve">The proposed amendment to the </w:t>
      </w:r>
      <w:r w:rsidRPr="00B611F9">
        <w:rPr>
          <w:color w:val="auto"/>
        </w:rPr>
        <w:t>Poisons</w:t>
      </w:r>
      <w:r w:rsidRPr="00C7111E">
        <w:rPr>
          <w:color w:val="auto"/>
        </w:rPr>
        <w:t xml:space="preserve"> Standard is to include an entry for </w:t>
      </w:r>
      <w:proofErr w:type="spellStart"/>
      <w:r w:rsidRPr="00C7111E">
        <w:rPr>
          <w:color w:val="auto"/>
        </w:rPr>
        <w:t>vadadustat</w:t>
      </w:r>
      <w:proofErr w:type="spellEnd"/>
      <w:r w:rsidRPr="00C7111E">
        <w:rPr>
          <w:color w:val="auto"/>
        </w:rPr>
        <w:t xml:space="preserve"> in Schedule 4 as a new chemical entity with no clinical experience in Australia.</w:t>
      </w:r>
    </w:p>
    <w:p w14:paraId="4464D19A" w14:textId="6FE0F8E7" w:rsidR="00F3134A" w:rsidRPr="00C7111E" w:rsidRDefault="00F3134A" w:rsidP="00C7111E">
      <w:pPr>
        <w:pStyle w:val="ListBullet"/>
        <w:rPr>
          <w:color w:val="auto"/>
        </w:rPr>
      </w:pPr>
      <w:proofErr w:type="gramStart"/>
      <w:r w:rsidRPr="00C7111E">
        <w:rPr>
          <w:color w:val="auto"/>
        </w:rPr>
        <w:t>In regards to</w:t>
      </w:r>
      <w:proofErr w:type="gramEnd"/>
      <w:r w:rsidRPr="00C7111E">
        <w:rPr>
          <w:color w:val="auto"/>
        </w:rPr>
        <w:t xml:space="preserve"> paragraph 52E(1)(a) and (c) of the Act, I note the toxicity of </w:t>
      </w:r>
      <w:proofErr w:type="spellStart"/>
      <w:r w:rsidRPr="00C7111E">
        <w:rPr>
          <w:color w:val="auto"/>
        </w:rPr>
        <w:t>vadadustat</w:t>
      </w:r>
      <w:proofErr w:type="spellEnd"/>
      <w:r w:rsidRPr="00C7111E">
        <w:rPr>
          <w:color w:val="auto"/>
        </w:rPr>
        <w:t xml:space="preserve"> can give rise to potential cardiovascular risks, thromboembolic disease, hepatotoxicity, as well as a risk of worsening hypertension and </w:t>
      </w:r>
      <w:r w:rsidRPr="00B611F9">
        <w:rPr>
          <w:color w:val="auto"/>
        </w:rPr>
        <w:t>seizures</w:t>
      </w:r>
      <w:r w:rsidRPr="00C7111E">
        <w:rPr>
          <w:color w:val="auto"/>
        </w:rPr>
        <w:t>. I believe the potential risks, chiefly hepatotoxicity, are consistent with the SPF factors for Schedule 4.</w:t>
      </w:r>
    </w:p>
    <w:p w14:paraId="6AC9D610" w14:textId="00003DE1" w:rsidR="00F3134A" w:rsidRPr="00C7111E" w:rsidRDefault="00F3134A" w:rsidP="00C7111E">
      <w:pPr>
        <w:pStyle w:val="ListBullet"/>
        <w:rPr>
          <w:color w:val="auto"/>
        </w:rPr>
      </w:pPr>
      <w:r w:rsidRPr="00C7111E">
        <w:rPr>
          <w:color w:val="auto"/>
        </w:rPr>
        <w:t xml:space="preserve">The mechanism of action of </w:t>
      </w:r>
      <w:proofErr w:type="spellStart"/>
      <w:r w:rsidRPr="00C7111E">
        <w:rPr>
          <w:color w:val="auto"/>
        </w:rPr>
        <w:t>vadadustat</w:t>
      </w:r>
      <w:proofErr w:type="spellEnd"/>
      <w:r w:rsidRPr="00C7111E">
        <w:rPr>
          <w:color w:val="auto"/>
        </w:rPr>
        <w:t xml:space="preserve"> is the stimulation of the patients own </w:t>
      </w:r>
      <w:r w:rsidR="00564510" w:rsidRPr="00C7111E">
        <w:rPr>
          <w:color w:val="auto"/>
        </w:rPr>
        <w:t>erythropoiesis</w:t>
      </w:r>
      <w:r w:rsidRPr="00C7111E">
        <w:rPr>
          <w:color w:val="auto"/>
        </w:rPr>
        <w:t xml:space="preserve"> to increase red cell numbers and hence increase haemoglobin. Whilst the half-life of the substance is appreciably </w:t>
      </w:r>
      <w:r w:rsidRPr="00B611F9">
        <w:rPr>
          <w:color w:val="auto"/>
        </w:rPr>
        <w:t>short</w:t>
      </w:r>
      <w:r w:rsidRPr="00C7111E">
        <w:rPr>
          <w:color w:val="auto"/>
        </w:rPr>
        <w:t xml:space="preserve"> (9.5 hours), physiological effects can last from days to weeks. Furthermore, I am of the opinion that </w:t>
      </w:r>
      <w:proofErr w:type="spellStart"/>
      <w:r w:rsidRPr="00C7111E">
        <w:rPr>
          <w:color w:val="auto"/>
        </w:rPr>
        <w:t>vadadustat</w:t>
      </w:r>
      <w:proofErr w:type="spellEnd"/>
      <w:r w:rsidRPr="00C7111E">
        <w:rPr>
          <w:color w:val="auto"/>
        </w:rPr>
        <w:t xml:space="preserve"> as an oral medication with a relatively short half-life has increased potential risk for misuse compared to erythropoiesis stimulating agents (ESAs). I also note that </w:t>
      </w:r>
      <w:proofErr w:type="spellStart"/>
      <w:r w:rsidRPr="00C7111E">
        <w:rPr>
          <w:color w:val="auto"/>
        </w:rPr>
        <w:t>vadadustat</w:t>
      </w:r>
      <w:proofErr w:type="spellEnd"/>
      <w:r w:rsidRPr="00C7111E">
        <w:rPr>
          <w:color w:val="auto"/>
        </w:rPr>
        <w:t xml:space="preserve"> is included on WADA’s banned substance list. Turning my mind to paragraph 52E(1)(e) of the Act, I am of the opinion that the potential for abuse or misuse of the substance is consistent with Schedule 4 of the Poisons Standard.</w:t>
      </w:r>
    </w:p>
    <w:p w14:paraId="5C260AD6" w14:textId="7340D2D2" w:rsidR="00F3134A" w:rsidRPr="00C7111E" w:rsidRDefault="00F3134A" w:rsidP="00C7111E">
      <w:pPr>
        <w:pStyle w:val="ListBullet"/>
        <w:rPr>
          <w:color w:val="auto"/>
        </w:rPr>
      </w:pPr>
      <w:r w:rsidRPr="00C7111E">
        <w:rPr>
          <w:color w:val="auto"/>
        </w:rPr>
        <w:t xml:space="preserve">The risk and efficacy profile of </w:t>
      </w:r>
      <w:proofErr w:type="spellStart"/>
      <w:r w:rsidRPr="00C7111E">
        <w:rPr>
          <w:color w:val="auto"/>
        </w:rPr>
        <w:t>vadadustat</w:t>
      </w:r>
      <w:proofErr w:type="spellEnd"/>
      <w:r w:rsidRPr="00C7111E">
        <w:rPr>
          <w:color w:val="auto"/>
        </w:rPr>
        <w:t xml:space="preserve"> is consistent with similar substances included in Schedule 4, such as </w:t>
      </w:r>
      <w:r w:rsidR="00564510" w:rsidRPr="00C7111E">
        <w:rPr>
          <w:color w:val="auto"/>
        </w:rPr>
        <w:t>erythropoietin</w:t>
      </w:r>
      <w:r w:rsidRPr="00C7111E">
        <w:rPr>
          <w:color w:val="auto"/>
        </w:rPr>
        <w:t xml:space="preserve">. In considering the relevant SPF factors, I am of the view that the risk of misuse may be similar to ESAs, which are currently included under Appendix D, </w:t>
      </w:r>
      <w:r w:rsidR="00B611F9" w:rsidRPr="00C7111E">
        <w:rPr>
          <w:color w:val="auto"/>
        </w:rPr>
        <w:t>clause</w:t>
      </w:r>
      <w:r w:rsidR="00B611F9">
        <w:rPr>
          <w:color w:val="auto"/>
        </w:rPr>
        <w:t> </w:t>
      </w:r>
      <w:r w:rsidR="006E1EE3">
        <w:rPr>
          <w:color w:val="auto"/>
        </w:rPr>
        <w:t>5</w:t>
      </w:r>
      <w:r w:rsidRPr="00C7111E">
        <w:rPr>
          <w:color w:val="auto"/>
        </w:rPr>
        <w:t xml:space="preserve">. For these reasons I am of the view that additional access restrictions commensurate with Appendix D, clause </w:t>
      </w:r>
      <w:r w:rsidR="006E1EE3">
        <w:rPr>
          <w:color w:val="auto"/>
        </w:rPr>
        <w:t>5</w:t>
      </w:r>
      <w:r w:rsidRPr="00C7111E">
        <w:rPr>
          <w:color w:val="auto"/>
        </w:rPr>
        <w:t xml:space="preserve"> is appropriate for </w:t>
      </w:r>
      <w:proofErr w:type="spellStart"/>
      <w:r w:rsidRPr="00C7111E">
        <w:rPr>
          <w:color w:val="auto"/>
        </w:rPr>
        <w:t>vadadustat</w:t>
      </w:r>
      <w:proofErr w:type="spellEnd"/>
      <w:r w:rsidRPr="00C7111E">
        <w:rPr>
          <w:color w:val="auto"/>
        </w:rPr>
        <w:t>.</w:t>
      </w:r>
    </w:p>
    <w:p w14:paraId="3A7AAAA7" w14:textId="11917CD8" w:rsidR="00F3134A" w:rsidRPr="00F3134A" w:rsidRDefault="00F3134A" w:rsidP="00C7111E">
      <w:pPr>
        <w:pStyle w:val="ListBullet"/>
        <w:numPr>
          <w:ilvl w:val="0"/>
          <w:numId w:val="0"/>
        </w:numPr>
        <w:spacing w:before="0" w:after="120" w:line="259" w:lineRule="auto"/>
        <w:rPr>
          <w:color w:val="auto"/>
        </w:rPr>
      </w:pPr>
      <w:r w:rsidRPr="00F3134A">
        <w:rPr>
          <w:color w:val="auto"/>
        </w:rPr>
        <w:t>On the basis of the above considerations and the information provided in the application, I have decided to amend the current Poisons Standard in the manner set out above. The proposed amendment was not referred to an expert advisory committee.</w:t>
      </w:r>
    </w:p>
    <w:p w14:paraId="4F1F12E5" w14:textId="337E6922" w:rsidR="00F3134A" w:rsidRPr="00300CBB" w:rsidRDefault="00F3134A" w:rsidP="00F3134A">
      <w:pPr>
        <w:pStyle w:val="Heading4"/>
      </w:pPr>
      <w:r w:rsidRPr="00300CBB">
        <w:t xml:space="preserve">Implementation date </w:t>
      </w:r>
    </w:p>
    <w:p w14:paraId="7624B8C6" w14:textId="77777777" w:rsidR="00F3134A" w:rsidRPr="00F3134A" w:rsidRDefault="00F3134A" w:rsidP="00F3134A">
      <w:pPr>
        <w:rPr>
          <w:rFonts w:cstheme="minorHAnsi"/>
          <w:b/>
          <w:bCs/>
        </w:rPr>
      </w:pPr>
      <w:r w:rsidRPr="00A27362">
        <w:rPr>
          <w:rFonts w:cstheme="minorHAnsi"/>
          <w:b/>
          <w:bCs/>
        </w:rPr>
        <w:t>1 October 2023</w:t>
      </w:r>
    </w:p>
    <w:p w14:paraId="2A935F9D" w14:textId="7D7BE664" w:rsidR="00E10991" w:rsidRDefault="00E10991">
      <w:r>
        <w:br w:type="page"/>
      </w:r>
    </w:p>
    <w:p w14:paraId="482E3340" w14:textId="34900AE3" w:rsidR="00D629BA" w:rsidRPr="005069D2" w:rsidRDefault="0031371C" w:rsidP="00C7111E">
      <w:pPr>
        <w:pStyle w:val="Heading2"/>
        <w:ind w:left="720" w:hanging="720"/>
      </w:pPr>
      <w:bookmarkStart w:id="50" w:name="_Toc143009508"/>
      <w:r>
        <w:lastRenderedPageBreak/>
        <w:t>6</w:t>
      </w:r>
      <w:r>
        <w:tab/>
      </w:r>
      <w:r w:rsidR="00D629BA" w:rsidRPr="005069D2">
        <w:t>Amendments to the Poison Standard in relation to New Chemical Entities (NCEs)</w:t>
      </w:r>
      <w:bookmarkEnd w:id="50"/>
      <w:r w:rsidR="00D629BA" w:rsidRPr="005069D2">
        <w:t xml:space="preserve"> </w:t>
      </w:r>
    </w:p>
    <w:p w14:paraId="2F7106ED" w14:textId="7D16BE9B" w:rsidR="00D629BA" w:rsidRDefault="00D629BA" w:rsidP="00D629BA">
      <w:r>
        <w:t>The NCEs liste</w:t>
      </w:r>
      <w:r w:rsidRPr="00A27362">
        <w:t xml:space="preserve">d below will be included in the new Poisons Standard that will come into effect on </w:t>
      </w:r>
      <w:r w:rsidR="00B611F9" w:rsidRPr="00A27362">
        <w:t>1</w:t>
      </w:r>
      <w:r w:rsidR="00B611F9">
        <w:t> </w:t>
      </w:r>
      <w:r w:rsidRPr="00A27362">
        <w:t>October 2023.</w:t>
      </w:r>
    </w:p>
    <w:p w14:paraId="092D8D11" w14:textId="7731E7AA" w:rsidR="00612683" w:rsidRPr="00612683" w:rsidRDefault="0031371C" w:rsidP="00C7111E">
      <w:pPr>
        <w:pStyle w:val="Heading3"/>
        <w:spacing w:before="240" w:line="220" w:lineRule="atLeast"/>
      </w:pPr>
      <w:bookmarkStart w:id="51" w:name="_Toc143009509"/>
      <w:r>
        <w:t>6.1</w:t>
      </w:r>
      <w:r>
        <w:tab/>
      </w:r>
      <w:proofErr w:type="spellStart"/>
      <w:r w:rsidR="00D629BA">
        <w:t>Concizumab</w:t>
      </w:r>
      <w:bookmarkEnd w:id="51"/>
      <w:proofErr w:type="spellEnd"/>
    </w:p>
    <w:tbl>
      <w:tblPr>
        <w:tblStyle w:val="TableGrid"/>
        <w:tblW w:w="0" w:type="auto"/>
        <w:tblInd w:w="988" w:type="dxa"/>
        <w:tblLook w:val="04A0" w:firstRow="1" w:lastRow="0" w:firstColumn="1" w:lastColumn="0" w:noHBand="0" w:noVBand="1"/>
      </w:tblPr>
      <w:tblGrid>
        <w:gridCol w:w="8072"/>
      </w:tblGrid>
      <w:tr w:rsidR="00D629BA" w14:paraId="63635F11" w14:textId="77777777" w:rsidTr="009A15B0">
        <w:tc>
          <w:tcPr>
            <w:tcW w:w="8072" w:type="dxa"/>
          </w:tcPr>
          <w:p w14:paraId="534F3848" w14:textId="77777777" w:rsidR="00D629BA" w:rsidRPr="00105867" w:rsidRDefault="00D629BA" w:rsidP="00A27362">
            <w:pPr>
              <w:spacing w:before="120" w:after="120"/>
              <w:rPr>
                <w:rFonts w:asciiTheme="minorHAnsi" w:hAnsiTheme="minorHAnsi"/>
              </w:rPr>
            </w:pPr>
            <w:r w:rsidRPr="00105867">
              <w:rPr>
                <w:rStyle w:val="Strong"/>
                <w:rFonts w:asciiTheme="minorHAnsi" w:hAnsiTheme="minorHAnsi"/>
                <w:color w:val="000000"/>
              </w:rPr>
              <w:t xml:space="preserve">Schedule 4 </w:t>
            </w:r>
            <w:r>
              <w:rPr>
                <w:rStyle w:val="Strong"/>
                <w:rFonts w:asciiTheme="minorHAnsi" w:hAnsiTheme="minorHAnsi"/>
                <w:color w:val="000000"/>
              </w:rPr>
              <w:t>–</w:t>
            </w:r>
            <w:r w:rsidRPr="00105867">
              <w:rPr>
                <w:rStyle w:val="Strong"/>
                <w:rFonts w:asciiTheme="minorHAnsi" w:hAnsiTheme="minorHAnsi"/>
                <w:color w:val="000000"/>
              </w:rPr>
              <w:t xml:space="preserve"> New Entry</w:t>
            </w:r>
          </w:p>
          <w:p w14:paraId="212F1433" w14:textId="77777777" w:rsidR="00D629BA" w:rsidRPr="00612683" w:rsidRDefault="00D629BA" w:rsidP="00A27362">
            <w:pPr>
              <w:spacing w:before="120" w:after="120"/>
              <w:rPr>
                <w:rFonts w:asciiTheme="minorHAnsi" w:hAnsiTheme="minorHAnsi"/>
                <w:color w:val="00B050"/>
                <w:u w:val="single"/>
              </w:rPr>
            </w:pPr>
            <w:r w:rsidRPr="00612683">
              <w:rPr>
                <w:rFonts w:asciiTheme="minorHAnsi" w:hAnsiTheme="minorHAnsi"/>
                <w:color w:val="00B050"/>
                <w:u w:val="single"/>
              </w:rPr>
              <w:t>CONCIZUMAB</w:t>
            </w:r>
          </w:p>
          <w:p w14:paraId="2626AD8A" w14:textId="77777777" w:rsidR="00D629BA" w:rsidRPr="00105867" w:rsidRDefault="00D629BA" w:rsidP="00A27362">
            <w:pPr>
              <w:spacing w:before="120" w:after="120"/>
              <w:rPr>
                <w:rFonts w:asciiTheme="minorHAnsi" w:hAnsiTheme="minorHAnsi"/>
              </w:rPr>
            </w:pPr>
            <w:r w:rsidRPr="00105867">
              <w:rPr>
                <w:rStyle w:val="Strong"/>
                <w:rFonts w:asciiTheme="minorHAnsi" w:hAnsiTheme="minorHAnsi"/>
                <w:color w:val="000000"/>
              </w:rPr>
              <w:t xml:space="preserve">Index </w:t>
            </w:r>
            <w:r>
              <w:rPr>
                <w:rStyle w:val="Strong"/>
                <w:rFonts w:asciiTheme="minorHAnsi" w:hAnsiTheme="minorHAnsi"/>
                <w:color w:val="000000"/>
              </w:rPr>
              <w:t>–</w:t>
            </w:r>
            <w:r w:rsidRPr="00105867">
              <w:rPr>
                <w:rStyle w:val="Strong"/>
                <w:rFonts w:asciiTheme="minorHAnsi" w:hAnsiTheme="minorHAnsi"/>
                <w:color w:val="000000"/>
              </w:rPr>
              <w:t xml:space="preserve"> New Entry</w:t>
            </w:r>
          </w:p>
          <w:p w14:paraId="34DC45C6" w14:textId="77777777" w:rsidR="00D629BA" w:rsidRPr="008C16FF" w:rsidRDefault="00D629BA" w:rsidP="00A27362">
            <w:pPr>
              <w:spacing w:before="120" w:after="120"/>
              <w:rPr>
                <w:rFonts w:asciiTheme="minorHAnsi" w:hAnsiTheme="minorHAnsi"/>
                <w:b/>
                <w:bCs/>
                <w:color w:val="00B050"/>
                <w:u w:val="single"/>
              </w:rPr>
            </w:pPr>
            <w:r w:rsidRPr="008C16FF">
              <w:rPr>
                <w:rFonts w:asciiTheme="minorHAnsi" w:hAnsiTheme="minorHAnsi"/>
                <w:b/>
                <w:bCs/>
                <w:color w:val="00B050"/>
                <w:u w:val="single"/>
              </w:rPr>
              <w:t>CONCIZUMAB</w:t>
            </w:r>
          </w:p>
          <w:p w14:paraId="016D9114" w14:textId="77777777" w:rsidR="00D629BA" w:rsidRPr="00013BFF" w:rsidRDefault="00D629BA" w:rsidP="00A27362">
            <w:pPr>
              <w:spacing w:before="120" w:after="120"/>
              <w:rPr>
                <w:color w:val="00B050"/>
              </w:rPr>
            </w:pPr>
            <w:r w:rsidRPr="00612683">
              <w:rPr>
                <w:rFonts w:asciiTheme="minorHAnsi" w:hAnsiTheme="minorHAnsi"/>
                <w:color w:val="00B050"/>
                <w:u w:val="single"/>
              </w:rPr>
              <w:t>Schedule 4</w:t>
            </w:r>
          </w:p>
        </w:tc>
      </w:tr>
    </w:tbl>
    <w:p w14:paraId="4A2B6883" w14:textId="04BD8D57" w:rsidR="00D629BA" w:rsidRPr="002F1391" w:rsidRDefault="0031371C" w:rsidP="00C7111E">
      <w:pPr>
        <w:pStyle w:val="Heading3"/>
        <w:spacing w:before="240" w:line="220" w:lineRule="atLeast"/>
      </w:pPr>
      <w:bookmarkStart w:id="52" w:name="_Toc112069867"/>
      <w:bookmarkStart w:id="53" w:name="_Toc143009510"/>
      <w:r>
        <w:t>6.2</w:t>
      </w:r>
      <w:r>
        <w:tab/>
      </w:r>
      <w:proofErr w:type="spellStart"/>
      <w:r w:rsidR="00D629BA" w:rsidRPr="00454DFD">
        <w:t>Givosiran</w:t>
      </w:r>
      <w:bookmarkEnd w:id="52"/>
      <w:bookmarkEnd w:id="53"/>
      <w:proofErr w:type="spellEnd"/>
    </w:p>
    <w:tbl>
      <w:tblPr>
        <w:tblStyle w:val="TableGrid"/>
        <w:tblW w:w="0" w:type="auto"/>
        <w:tblInd w:w="988" w:type="dxa"/>
        <w:tblLook w:val="04A0" w:firstRow="1" w:lastRow="0" w:firstColumn="1" w:lastColumn="0" w:noHBand="0" w:noVBand="1"/>
      </w:tblPr>
      <w:tblGrid>
        <w:gridCol w:w="8072"/>
      </w:tblGrid>
      <w:tr w:rsidR="00D629BA" w14:paraId="2E4C48B2" w14:textId="77777777" w:rsidTr="009A15B0">
        <w:tc>
          <w:tcPr>
            <w:tcW w:w="8072" w:type="dxa"/>
          </w:tcPr>
          <w:p w14:paraId="7E554081" w14:textId="244F4497" w:rsidR="00D629BA" w:rsidRPr="00612683" w:rsidRDefault="00D629BA" w:rsidP="00A27362">
            <w:pPr>
              <w:spacing w:before="120" w:after="120"/>
              <w:rPr>
                <w:rFonts w:asciiTheme="minorHAnsi" w:hAnsiTheme="minorHAnsi" w:cstheme="minorHAnsi"/>
              </w:rPr>
            </w:pPr>
            <w:r w:rsidRPr="00612683">
              <w:rPr>
                <w:rStyle w:val="Strong"/>
                <w:rFonts w:asciiTheme="minorHAnsi" w:hAnsiTheme="minorHAnsi" w:cstheme="minorHAnsi"/>
                <w:color w:val="000000"/>
              </w:rPr>
              <w:t xml:space="preserve">Schedule 4 </w:t>
            </w:r>
            <w:r w:rsidR="0031371C">
              <w:rPr>
                <w:rStyle w:val="Strong"/>
                <w:rFonts w:asciiTheme="minorHAnsi" w:hAnsiTheme="minorHAnsi" w:cstheme="minorHAnsi"/>
                <w:color w:val="000000"/>
              </w:rPr>
              <w:t>–</w:t>
            </w:r>
            <w:r w:rsidRPr="00612683">
              <w:rPr>
                <w:rStyle w:val="Strong"/>
                <w:rFonts w:asciiTheme="minorHAnsi" w:hAnsiTheme="minorHAnsi" w:cstheme="minorHAnsi"/>
                <w:color w:val="000000"/>
              </w:rPr>
              <w:t xml:space="preserve"> New Entry</w:t>
            </w:r>
          </w:p>
          <w:p w14:paraId="279889AE" w14:textId="77777777" w:rsidR="00D629BA" w:rsidRPr="00612683" w:rsidRDefault="00D629BA" w:rsidP="00A27362">
            <w:pPr>
              <w:spacing w:before="120" w:after="120"/>
              <w:rPr>
                <w:rStyle w:val="Strong"/>
                <w:rFonts w:asciiTheme="minorHAnsi" w:hAnsiTheme="minorHAnsi" w:cstheme="minorHAnsi"/>
                <w:color w:val="000000"/>
                <w:u w:val="single"/>
              </w:rPr>
            </w:pPr>
            <w:r w:rsidRPr="00612683">
              <w:rPr>
                <w:rFonts w:asciiTheme="minorHAnsi" w:hAnsiTheme="minorHAnsi" w:cstheme="minorHAnsi"/>
                <w:color w:val="00B050"/>
                <w:u w:val="single"/>
              </w:rPr>
              <w:t>GIVOSIRAN</w:t>
            </w:r>
          </w:p>
          <w:p w14:paraId="21E69295" w14:textId="10070A0F" w:rsidR="00D629BA" w:rsidRPr="00612683" w:rsidRDefault="00D629BA" w:rsidP="00A27362">
            <w:pPr>
              <w:spacing w:before="120" w:after="120"/>
              <w:rPr>
                <w:rFonts w:asciiTheme="minorHAnsi" w:hAnsiTheme="minorHAnsi" w:cstheme="minorHAnsi"/>
              </w:rPr>
            </w:pPr>
            <w:r w:rsidRPr="00612683">
              <w:rPr>
                <w:rStyle w:val="Strong"/>
                <w:rFonts w:asciiTheme="minorHAnsi" w:hAnsiTheme="minorHAnsi" w:cstheme="minorHAnsi"/>
              </w:rPr>
              <w:t xml:space="preserve">Index </w:t>
            </w:r>
            <w:r w:rsidR="0031371C">
              <w:rPr>
                <w:rStyle w:val="Strong"/>
                <w:rFonts w:asciiTheme="minorHAnsi" w:hAnsiTheme="minorHAnsi" w:cstheme="minorHAnsi"/>
              </w:rPr>
              <w:t>–</w:t>
            </w:r>
            <w:r w:rsidRPr="00612683">
              <w:rPr>
                <w:rStyle w:val="Strong"/>
                <w:rFonts w:asciiTheme="minorHAnsi" w:hAnsiTheme="minorHAnsi" w:cstheme="minorHAnsi"/>
              </w:rPr>
              <w:t xml:space="preserve"> New Entry</w:t>
            </w:r>
          </w:p>
          <w:p w14:paraId="259224B7" w14:textId="77777777" w:rsidR="00D629BA" w:rsidRPr="008C16FF" w:rsidRDefault="00D629BA" w:rsidP="00A27362">
            <w:pPr>
              <w:spacing w:before="120" w:after="120"/>
              <w:rPr>
                <w:rStyle w:val="Strong"/>
                <w:rFonts w:asciiTheme="minorHAnsi" w:hAnsiTheme="minorHAnsi" w:cstheme="minorHAnsi"/>
                <w:b w:val="0"/>
                <w:bCs w:val="0"/>
                <w:color w:val="000000"/>
                <w:u w:val="single"/>
              </w:rPr>
            </w:pPr>
            <w:r w:rsidRPr="008C16FF">
              <w:rPr>
                <w:rFonts w:asciiTheme="minorHAnsi" w:hAnsiTheme="minorHAnsi" w:cstheme="minorHAnsi"/>
                <w:b/>
                <w:bCs/>
                <w:color w:val="00B050"/>
                <w:u w:val="single"/>
              </w:rPr>
              <w:t>GIVOSIRAN</w:t>
            </w:r>
          </w:p>
          <w:p w14:paraId="72973800" w14:textId="77777777" w:rsidR="00D629BA" w:rsidRPr="00013BFF" w:rsidRDefault="00D629BA" w:rsidP="00A27362">
            <w:pPr>
              <w:spacing w:before="120" w:after="120"/>
              <w:rPr>
                <w:color w:val="00B050"/>
              </w:rPr>
            </w:pPr>
            <w:r w:rsidRPr="00612683">
              <w:rPr>
                <w:rFonts w:asciiTheme="minorHAnsi" w:hAnsiTheme="minorHAnsi" w:cstheme="minorHAnsi"/>
                <w:color w:val="00B050"/>
                <w:u w:val="single"/>
              </w:rPr>
              <w:t>Schedule 4</w:t>
            </w:r>
          </w:p>
        </w:tc>
      </w:tr>
    </w:tbl>
    <w:p w14:paraId="3F8D8F55" w14:textId="2FF20FF6" w:rsidR="00D629BA" w:rsidRDefault="0031371C" w:rsidP="00C7111E">
      <w:pPr>
        <w:pStyle w:val="Heading3"/>
        <w:spacing w:before="240" w:line="220" w:lineRule="atLeast"/>
      </w:pPr>
      <w:bookmarkStart w:id="54" w:name="_Toc112069868"/>
      <w:bookmarkStart w:id="55" w:name="_Toc143009511"/>
      <w:r>
        <w:t>6.3</w:t>
      </w:r>
      <w:r>
        <w:tab/>
      </w:r>
      <w:proofErr w:type="spellStart"/>
      <w:r w:rsidR="00D629BA" w:rsidRPr="00454DFD">
        <w:t>Glofitamab</w:t>
      </w:r>
      <w:bookmarkEnd w:id="54"/>
      <w:bookmarkEnd w:id="55"/>
      <w:proofErr w:type="spellEnd"/>
    </w:p>
    <w:tbl>
      <w:tblPr>
        <w:tblStyle w:val="TableGrid"/>
        <w:tblW w:w="0" w:type="auto"/>
        <w:tblInd w:w="988" w:type="dxa"/>
        <w:tblLook w:val="04A0" w:firstRow="1" w:lastRow="0" w:firstColumn="1" w:lastColumn="0" w:noHBand="0" w:noVBand="1"/>
      </w:tblPr>
      <w:tblGrid>
        <w:gridCol w:w="8072"/>
      </w:tblGrid>
      <w:tr w:rsidR="00D629BA" w14:paraId="71BEA296" w14:textId="77777777" w:rsidTr="009A15B0">
        <w:tc>
          <w:tcPr>
            <w:tcW w:w="8072" w:type="dxa"/>
          </w:tcPr>
          <w:p w14:paraId="34C09256" w14:textId="77777777" w:rsidR="00D629BA" w:rsidRPr="00105867" w:rsidRDefault="00D629BA" w:rsidP="00A27362">
            <w:pPr>
              <w:spacing w:before="120" w:after="120"/>
              <w:rPr>
                <w:rFonts w:asciiTheme="minorHAnsi" w:hAnsiTheme="minorHAnsi"/>
              </w:rPr>
            </w:pPr>
            <w:r w:rsidRPr="00105867">
              <w:rPr>
                <w:rStyle w:val="Strong"/>
                <w:rFonts w:asciiTheme="minorHAnsi" w:hAnsiTheme="minorHAnsi"/>
                <w:color w:val="000000"/>
              </w:rPr>
              <w:t xml:space="preserve">Schedule 4 </w:t>
            </w:r>
            <w:r>
              <w:rPr>
                <w:rStyle w:val="Strong"/>
                <w:rFonts w:asciiTheme="minorHAnsi" w:hAnsiTheme="minorHAnsi"/>
                <w:color w:val="000000"/>
              </w:rPr>
              <w:t>–</w:t>
            </w:r>
            <w:r w:rsidRPr="00105867">
              <w:rPr>
                <w:rStyle w:val="Strong"/>
                <w:rFonts w:asciiTheme="minorHAnsi" w:hAnsiTheme="minorHAnsi"/>
                <w:color w:val="000000"/>
              </w:rPr>
              <w:t xml:space="preserve"> New Entry</w:t>
            </w:r>
          </w:p>
          <w:p w14:paraId="5ABABAA4" w14:textId="77777777" w:rsidR="00D629BA" w:rsidRPr="00612683" w:rsidRDefault="00D629BA" w:rsidP="00A27362">
            <w:pPr>
              <w:spacing w:before="120" w:after="120"/>
              <w:rPr>
                <w:rStyle w:val="Strong"/>
                <w:rFonts w:asciiTheme="minorHAnsi" w:hAnsiTheme="minorHAnsi"/>
                <w:color w:val="000000"/>
                <w:u w:val="single"/>
              </w:rPr>
            </w:pPr>
            <w:r w:rsidRPr="00612683">
              <w:rPr>
                <w:rFonts w:asciiTheme="minorHAnsi" w:hAnsiTheme="minorHAnsi"/>
                <w:color w:val="00B050"/>
                <w:u w:val="single"/>
              </w:rPr>
              <w:t>GLOFITAMAB</w:t>
            </w:r>
          </w:p>
          <w:p w14:paraId="489717C5" w14:textId="77777777" w:rsidR="00D629BA" w:rsidRPr="00105867" w:rsidRDefault="00D629BA" w:rsidP="00A27362">
            <w:pPr>
              <w:spacing w:before="120" w:after="120"/>
              <w:rPr>
                <w:rFonts w:asciiTheme="minorHAnsi" w:hAnsiTheme="minorHAnsi"/>
              </w:rPr>
            </w:pPr>
            <w:r w:rsidRPr="00105867">
              <w:rPr>
                <w:rStyle w:val="Strong"/>
                <w:rFonts w:asciiTheme="minorHAnsi" w:hAnsiTheme="minorHAnsi"/>
                <w:color w:val="000000"/>
              </w:rPr>
              <w:t xml:space="preserve">Index </w:t>
            </w:r>
            <w:r>
              <w:rPr>
                <w:rStyle w:val="Strong"/>
                <w:rFonts w:asciiTheme="minorHAnsi" w:hAnsiTheme="minorHAnsi"/>
                <w:color w:val="000000"/>
              </w:rPr>
              <w:t>–</w:t>
            </w:r>
            <w:r w:rsidRPr="00105867">
              <w:rPr>
                <w:rStyle w:val="Strong"/>
                <w:rFonts w:asciiTheme="minorHAnsi" w:hAnsiTheme="minorHAnsi"/>
                <w:color w:val="000000"/>
              </w:rPr>
              <w:t xml:space="preserve"> New Entry</w:t>
            </w:r>
          </w:p>
          <w:p w14:paraId="6777B383" w14:textId="77777777" w:rsidR="00D629BA" w:rsidRPr="008C16FF" w:rsidRDefault="00D629BA" w:rsidP="00A27362">
            <w:pPr>
              <w:spacing w:before="120" w:after="120"/>
              <w:rPr>
                <w:rFonts w:asciiTheme="minorHAnsi" w:hAnsiTheme="minorHAnsi"/>
                <w:b/>
                <w:bCs/>
                <w:color w:val="00B050"/>
                <w:u w:val="single"/>
              </w:rPr>
            </w:pPr>
            <w:r w:rsidRPr="008C16FF">
              <w:rPr>
                <w:rFonts w:asciiTheme="minorHAnsi" w:hAnsiTheme="minorHAnsi"/>
                <w:b/>
                <w:bCs/>
                <w:color w:val="00B050"/>
                <w:u w:val="single"/>
              </w:rPr>
              <w:t>GLOFITAMAB</w:t>
            </w:r>
          </w:p>
          <w:p w14:paraId="762E8559" w14:textId="77777777" w:rsidR="00D629BA" w:rsidRPr="00013BFF" w:rsidRDefault="00D629BA" w:rsidP="00A27362">
            <w:pPr>
              <w:spacing w:before="120" w:after="120"/>
              <w:rPr>
                <w:color w:val="00B050"/>
              </w:rPr>
            </w:pPr>
            <w:r w:rsidRPr="00612683">
              <w:rPr>
                <w:rFonts w:asciiTheme="minorHAnsi" w:hAnsiTheme="minorHAnsi"/>
                <w:color w:val="00B050"/>
                <w:u w:val="single"/>
              </w:rPr>
              <w:t>Schedule 4</w:t>
            </w:r>
          </w:p>
        </w:tc>
      </w:tr>
    </w:tbl>
    <w:p w14:paraId="39704D0D" w14:textId="7CA09A46" w:rsidR="00D629BA" w:rsidRDefault="0031371C" w:rsidP="00C7111E">
      <w:pPr>
        <w:pStyle w:val="Heading3"/>
        <w:spacing w:before="240" w:line="220" w:lineRule="atLeast"/>
      </w:pPr>
      <w:bookmarkStart w:id="56" w:name="_Toc143009512"/>
      <w:bookmarkStart w:id="57" w:name="_Toc112069869"/>
      <w:r>
        <w:t>6.4</w:t>
      </w:r>
      <w:r>
        <w:tab/>
      </w:r>
      <w:proofErr w:type="spellStart"/>
      <w:r w:rsidR="00D629BA">
        <w:t>Imlifidase</w:t>
      </w:r>
      <w:bookmarkEnd w:id="56"/>
      <w:proofErr w:type="spellEnd"/>
    </w:p>
    <w:tbl>
      <w:tblPr>
        <w:tblStyle w:val="TableGrid"/>
        <w:tblW w:w="0" w:type="auto"/>
        <w:tblInd w:w="988" w:type="dxa"/>
        <w:tblLook w:val="04A0" w:firstRow="1" w:lastRow="0" w:firstColumn="1" w:lastColumn="0" w:noHBand="0" w:noVBand="1"/>
      </w:tblPr>
      <w:tblGrid>
        <w:gridCol w:w="8072"/>
      </w:tblGrid>
      <w:tr w:rsidR="00D629BA" w14:paraId="233D6086" w14:textId="77777777" w:rsidTr="009A15B0">
        <w:tc>
          <w:tcPr>
            <w:tcW w:w="8072" w:type="dxa"/>
          </w:tcPr>
          <w:p w14:paraId="2448CF9B" w14:textId="77777777" w:rsidR="00D629BA" w:rsidRPr="00105867" w:rsidRDefault="00D629BA" w:rsidP="00A27362">
            <w:pPr>
              <w:spacing w:before="120" w:after="120"/>
              <w:rPr>
                <w:rFonts w:asciiTheme="minorHAnsi" w:hAnsiTheme="minorHAnsi"/>
              </w:rPr>
            </w:pPr>
            <w:r w:rsidRPr="00105867">
              <w:rPr>
                <w:rStyle w:val="Strong"/>
                <w:rFonts w:asciiTheme="minorHAnsi" w:hAnsiTheme="minorHAnsi"/>
                <w:color w:val="000000"/>
              </w:rPr>
              <w:t xml:space="preserve">Schedule 4 </w:t>
            </w:r>
            <w:r>
              <w:rPr>
                <w:rStyle w:val="Strong"/>
                <w:rFonts w:asciiTheme="minorHAnsi" w:hAnsiTheme="minorHAnsi"/>
                <w:color w:val="000000"/>
              </w:rPr>
              <w:t>–</w:t>
            </w:r>
            <w:r w:rsidRPr="00105867">
              <w:rPr>
                <w:rStyle w:val="Strong"/>
                <w:rFonts w:asciiTheme="minorHAnsi" w:hAnsiTheme="minorHAnsi"/>
                <w:color w:val="000000"/>
              </w:rPr>
              <w:t xml:space="preserve"> New Entry</w:t>
            </w:r>
          </w:p>
          <w:p w14:paraId="185125A8" w14:textId="77777777" w:rsidR="00D629BA" w:rsidRPr="00612683" w:rsidRDefault="00D629BA" w:rsidP="00A27362">
            <w:pPr>
              <w:spacing w:before="120" w:after="120"/>
              <w:rPr>
                <w:rStyle w:val="Strong"/>
                <w:rFonts w:asciiTheme="minorHAnsi" w:hAnsiTheme="minorHAnsi"/>
                <w:b w:val="0"/>
                <w:bCs w:val="0"/>
                <w:color w:val="00B050"/>
                <w:u w:val="single"/>
              </w:rPr>
            </w:pPr>
            <w:r w:rsidRPr="00612683">
              <w:rPr>
                <w:rFonts w:asciiTheme="minorHAnsi" w:hAnsiTheme="minorHAnsi"/>
                <w:color w:val="00B050"/>
                <w:u w:val="single"/>
              </w:rPr>
              <w:t>IMLIFIDASE</w:t>
            </w:r>
            <w:r w:rsidRPr="00612683">
              <w:rPr>
                <w:rStyle w:val="Strong"/>
                <w:rFonts w:asciiTheme="minorHAnsi" w:hAnsiTheme="minorHAnsi"/>
                <w:b w:val="0"/>
                <w:bCs w:val="0"/>
                <w:color w:val="00B050"/>
                <w:u w:val="single"/>
              </w:rPr>
              <w:t xml:space="preserve"> </w:t>
            </w:r>
          </w:p>
          <w:p w14:paraId="7C1E6848" w14:textId="77777777" w:rsidR="00D629BA" w:rsidRPr="00105867" w:rsidRDefault="00D629BA" w:rsidP="00A27362">
            <w:pPr>
              <w:spacing w:before="120" w:after="120"/>
              <w:rPr>
                <w:rFonts w:asciiTheme="minorHAnsi" w:hAnsiTheme="minorHAnsi"/>
              </w:rPr>
            </w:pPr>
            <w:r w:rsidRPr="00105867">
              <w:rPr>
                <w:rStyle w:val="Strong"/>
                <w:rFonts w:asciiTheme="minorHAnsi" w:hAnsiTheme="minorHAnsi"/>
                <w:color w:val="000000"/>
              </w:rPr>
              <w:t xml:space="preserve">Index </w:t>
            </w:r>
            <w:r>
              <w:rPr>
                <w:rStyle w:val="Strong"/>
                <w:rFonts w:asciiTheme="minorHAnsi" w:hAnsiTheme="minorHAnsi"/>
                <w:color w:val="000000"/>
              </w:rPr>
              <w:t>–</w:t>
            </w:r>
            <w:r w:rsidRPr="00105867">
              <w:rPr>
                <w:rStyle w:val="Strong"/>
                <w:rFonts w:asciiTheme="minorHAnsi" w:hAnsiTheme="minorHAnsi"/>
                <w:color w:val="000000"/>
              </w:rPr>
              <w:t xml:space="preserve"> New Entry</w:t>
            </w:r>
          </w:p>
          <w:p w14:paraId="35939296" w14:textId="77777777" w:rsidR="00D629BA" w:rsidRPr="008C16FF" w:rsidRDefault="00D629BA" w:rsidP="00A27362">
            <w:pPr>
              <w:spacing w:before="120" w:after="120"/>
              <w:rPr>
                <w:rStyle w:val="Strong"/>
                <w:rFonts w:asciiTheme="minorHAnsi" w:hAnsiTheme="minorHAnsi"/>
                <w:b w:val="0"/>
                <w:bCs w:val="0"/>
                <w:color w:val="00B050"/>
                <w:u w:val="single"/>
              </w:rPr>
            </w:pPr>
            <w:r w:rsidRPr="008C16FF">
              <w:rPr>
                <w:rFonts w:asciiTheme="minorHAnsi" w:hAnsiTheme="minorHAnsi"/>
                <w:b/>
                <w:bCs/>
                <w:color w:val="00B050"/>
                <w:u w:val="single"/>
              </w:rPr>
              <w:t>IMLIFIDASE</w:t>
            </w:r>
            <w:r w:rsidRPr="008C16FF">
              <w:rPr>
                <w:rStyle w:val="Strong"/>
                <w:rFonts w:asciiTheme="minorHAnsi" w:hAnsiTheme="minorHAnsi"/>
                <w:b w:val="0"/>
                <w:bCs w:val="0"/>
                <w:color w:val="00B050"/>
                <w:u w:val="single"/>
              </w:rPr>
              <w:t xml:space="preserve"> </w:t>
            </w:r>
          </w:p>
          <w:p w14:paraId="796B44DA" w14:textId="77777777" w:rsidR="00D629BA" w:rsidRPr="00013BFF" w:rsidRDefault="00D629BA" w:rsidP="00A27362">
            <w:pPr>
              <w:spacing w:before="120" w:after="120"/>
              <w:rPr>
                <w:color w:val="00B050"/>
              </w:rPr>
            </w:pPr>
            <w:r w:rsidRPr="00612683">
              <w:rPr>
                <w:rFonts w:asciiTheme="minorHAnsi" w:hAnsiTheme="minorHAnsi"/>
                <w:color w:val="00B050"/>
                <w:u w:val="single"/>
              </w:rPr>
              <w:t>Schedule 4</w:t>
            </w:r>
          </w:p>
        </w:tc>
      </w:tr>
    </w:tbl>
    <w:p w14:paraId="12763418" w14:textId="77777777" w:rsidR="00B611F9" w:rsidRDefault="00B611F9">
      <w:pPr>
        <w:pStyle w:val="Heading3"/>
        <w:spacing w:before="240" w:line="220" w:lineRule="atLeast"/>
      </w:pPr>
      <w:bookmarkStart w:id="58" w:name="_Toc143009513"/>
    </w:p>
    <w:p w14:paraId="69BFE83D" w14:textId="77777777" w:rsidR="00B611F9" w:rsidRDefault="00B611F9">
      <w:pPr>
        <w:rPr>
          <w:rFonts w:ascii="Arial" w:eastAsia="Times New Roman" w:hAnsi="Arial" w:cs="Times New Roman"/>
          <w:b/>
          <w:bCs/>
          <w:color w:val="001871"/>
          <w:sz w:val="32"/>
          <w:szCs w:val="32"/>
        </w:rPr>
      </w:pPr>
      <w:r>
        <w:br w:type="page"/>
      </w:r>
    </w:p>
    <w:p w14:paraId="04ACBBF1" w14:textId="7014CF5B" w:rsidR="00D629BA" w:rsidRPr="002F1391" w:rsidRDefault="0031371C" w:rsidP="00C7111E">
      <w:pPr>
        <w:pStyle w:val="Heading3"/>
        <w:spacing w:before="240" w:line="220" w:lineRule="atLeast"/>
      </w:pPr>
      <w:r>
        <w:lastRenderedPageBreak/>
        <w:t>6.5</w:t>
      </w:r>
      <w:r>
        <w:tab/>
      </w:r>
      <w:proofErr w:type="spellStart"/>
      <w:r w:rsidR="00D629BA" w:rsidRPr="00454DFD">
        <w:t>Mirikizumab</w:t>
      </w:r>
      <w:bookmarkEnd w:id="57"/>
      <w:bookmarkEnd w:id="58"/>
      <w:proofErr w:type="spellEnd"/>
    </w:p>
    <w:tbl>
      <w:tblPr>
        <w:tblStyle w:val="TableGrid"/>
        <w:tblW w:w="0" w:type="auto"/>
        <w:tblInd w:w="988" w:type="dxa"/>
        <w:tblLook w:val="04A0" w:firstRow="1" w:lastRow="0" w:firstColumn="1" w:lastColumn="0" w:noHBand="0" w:noVBand="1"/>
      </w:tblPr>
      <w:tblGrid>
        <w:gridCol w:w="8072"/>
      </w:tblGrid>
      <w:tr w:rsidR="00D629BA" w14:paraId="0510D707" w14:textId="77777777" w:rsidTr="009A15B0">
        <w:tc>
          <w:tcPr>
            <w:tcW w:w="8072" w:type="dxa"/>
          </w:tcPr>
          <w:p w14:paraId="71B2B60F" w14:textId="169EE217" w:rsidR="00D629BA" w:rsidRPr="00612683" w:rsidRDefault="00D629BA" w:rsidP="00A27362">
            <w:pPr>
              <w:spacing w:before="120" w:after="120"/>
              <w:rPr>
                <w:rStyle w:val="Strong"/>
                <w:rFonts w:asciiTheme="minorHAnsi" w:hAnsiTheme="minorHAnsi" w:cstheme="minorHAnsi"/>
                <w:color w:val="000000"/>
              </w:rPr>
            </w:pPr>
            <w:r w:rsidRPr="00612683">
              <w:rPr>
                <w:rStyle w:val="Strong"/>
                <w:rFonts w:asciiTheme="minorHAnsi" w:hAnsiTheme="minorHAnsi" w:cstheme="minorHAnsi"/>
                <w:color w:val="000000"/>
              </w:rPr>
              <w:t xml:space="preserve">Schedule 4 </w:t>
            </w:r>
            <w:r w:rsidR="0031371C">
              <w:rPr>
                <w:rStyle w:val="Strong"/>
                <w:rFonts w:asciiTheme="minorHAnsi" w:hAnsiTheme="minorHAnsi" w:cstheme="minorHAnsi"/>
                <w:color w:val="000000"/>
              </w:rPr>
              <w:t>–</w:t>
            </w:r>
            <w:r w:rsidRPr="00612683">
              <w:rPr>
                <w:rStyle w:val="Strong"/>
                <w:rFonts w:asciiTheme="minorHAnsi" w:hAnsiTheme="minorHAnsi" w:cstheme="minorHAnsi"/>
                <w:color w:val="000000"/>
              </w:rPr>
              <w:t xml:space="preserve"> New Entry</w:t>
            </w:r>
          </w:p>
          <w:p w14:paraId="6FFF4F6A" w14:textId="77777777" w:rsidR="00D629BA" w:rsidRPr="00612683" w:rsidRDefault="00D629BA" w:rsidP="00A27362">
            <w:pPr>
              <w:spacing w:before="120" w:after="120"/>
              <w:rPr>
                <w:rStyle w:val="Strong"/>
                <w:rFonts w:asciiTheme="minorHAnsi" w:hAnsiTheme="minorHAnsi" w:cstheme="minorHAnsi"/>
                <w:color w:val="000000"/>
                <w:u w:val="single"/>
              </w:rPr>
            </w:pPr>
            <w:r w:rsidRPr="00612683">
              <w:rPr>
                <w:rFonts w:asciiTheme="minorHAnsi" w:hAnsiTheme="minorHAnsi" w:cstheme="minorHAnsi"/>
                <w:color w:val="00B050"/>
                <w:u w:val="single"/>
              </w:rPr>
              <w:t>MIRIKIZUMAB</w:t>
            </w:r>
          </w:p>
          <w:p w14:paraId="309679FD" w14:textId="685444C6" w:rsidR="00D629BA" w:rsidRPr="00612683" w:rsidRDefault="00D629BA" w:rsidP="00A27362">
            <w:pPr>
              <w:spacing w:before="120" w:after="120"/>
              <w:rPr>
                <w:rStyle w:val="Strong"/>
                <w:rFonts w:asciiTheme="minorHAnsi" w:hAnsiTheme="minorHAnsi" w:cstheme="minorHAnsi"/>
              </w:rPr>
            </w:pPr>
            <w:r w:rsidRPr="00612683">
              <w:rPr>
                <w:rStyle w:val="Strong"/>
                <w:rFonts w:asciiTheme="minorHAnsi" w:hAnsiTheme="minorHAnsi" w:cstheme="minorHAnsi"/>
              </w:rPr>
              <w:t xml:space="preserve">Index </w:t>
            </w:r>
            <w:r w:rsidR="0031371C">
              <w:rPr>
                <w:rStyle w:val="Strong"/>
                <w:rFonts w:asciiTheme="minorHAnsi" w:hAnsiTheme="minorHAnsi" w:cstheme="minorHAnsi"/>
              </w:rPr>
              <w:t>–</w:t>
            </w:r>
            <w:r w:rsidRPr="00612683">
              <w:rPr>
                <w:rStyle w:val="Strong"/>
                <w:rFonts w:asciiTheme="minorHAnsi" w:hAnsiTheme="minorHAnsi" w:cstheme="minorHAnsi"/>
              </w:rPr>
              <w:t xml:space="preserve"> New Entry</w:t>
            </w:r>
          </w:p>
          <w:p w14:paraId="17D2A8B8" w14:textId="77777777" w:rsidR="00D629BA" w:rsidRPr="008C16FF" w:rsidRDefault="00D629BA" w:rsidP="00A27362">
            <w:pPr>
              <w:spacing w:before="120" w:after="120"/>
              <w:rPr>
                <w:rFonts w:asciiTheme="minorHAnsi" w:hAnsiTheme="minorHAnsi" w:cstheme="minorHAnsi"/>
                <w:b/>
                <w:bCs/>
                <w:u w:val="single"/>
              </w:rPr>
            </w:pPr>
            <w:r w:rsidRPr="008C16FF">
              <w:rPr>
                <w:rFonts w:asciiTheme="minorHAnsi" w:hAnsiTheme="minorHAnsi" w:cstheme="minorHAnsi"/>
                <w:b/>
                <w:bCs/>
                <w:color w:val="00B050"/>
                <w:u w:val="single"/>
              </w:rPr>
              <w:t>MIRIKIZUMAB</w:t>
            </w:r>
          </w:p>
          <w:p w14:paraId="079F4B1A" w14:textId="77777777" w:rsidR="00D629BA" w:rsidRPr="00013BFF" w:rsidRDefault="00D629BA" w:rsidP="00A27362">
            <w:pPr>
              <w:spacing w:before="120" w:after="120"/>
              <w:rPr>
                <w:color w:val="00B050"/>
              </w:rPr>
            </w:pPr>
            <w:r w:rsidRPr="00612683">
              <w:rPr>
                <w:rFonts w:asciiTheme="minorHAnsi" w:hAnsiTheme="minorHAnsi" w:cstheme="minorHAnsi"/>
                <w:color w:val="00B050"/>
                <w:u w:val="single"/>
              </w:rPr>
              <w:t>Schedule 4</w:t>
            </w:r>
          </w:p>
        </w:tc>
      </w:tr>
    </w:tbl>
    <w:p w14:paraId="7215CBF5" w14:textId="0740BD0F" w:rsidR="00D629BA" w:rsidRPr="002F1391" w:rsidRDefault="0031371C" w:rsidP="00C7111E">
      <w:pPr>
        <w:pStyle w:val="Heading3"/>
        <w:spacing w:before="240" w:line="220" w:lineRule="atLeast"/>
      </w:pPr>
      <w:bookmarkStart w:id="59" w:name="_Toc112069870"/>
      <w:bookmarkStart w:id="60" w:name="_Toc143009514"/>
      <w:r>
        <w:t>6.6</w:t>
      </w:r>
      <w:r>
        <w:tab/>
      </w:r>
      <w:proofErr w:type="spellStart"/>
      <w:r w:rsidR="00D629BA" w:rsidRPr="00454DFD">
        <w:t>Olipudase</w:t>
      </w:r>
      <w:proofErr w:type="spellEnd"/>
      <w:r w:rsidR="00D629BA" w:rsidRPr="00454DFD">
        <w:t xml:space="preserve"> alfa</w:t>
      </w:r>
      <w:bookmarkEnd w:id="59"/>
      <w:bookmarkEnd w:id="60"/>
    </w:p>
    <w:tbl>
      <w:tblPr>
        <w:tblStyle w:val="TableGrid"/>
        <w:tblW w:w="0" w:type="auto"/>
        <w:tblInd w:w="988" w:type="dxa"/>
        <w:tblLook w:val="04A0" w:firstRow="1" w:lastRow="0" w:firstColumn="1" w:lastColumn="0" w:noHBand="0" w:noVBand="1"/>
      </w:tblPr>
      <w:tblGrid>
        <w:gridCol w:w="8072"/>
      </w:tblGrid>
      <w:tr w:rsidR="00D629BA" w14:paraId="3AD8740F" w14:textId="77777777" w:rsidTr="009A15B0">
        <w:tc>
          <w:tcPr>
            <w:tcW w:w="8072" w:type="dxa"/>
          </w:tcPr>
          <w:p w14:paraId="493E5A7C" w14:textId="4AF67615" w:rsidR="00D629BA" w:rsidRDefault="00D629BA" w:rsidP="004403CD">
            <w:pPr>
              <w:spacing w:before="120" w:after="120"/>
              <w:rPr>
                <w:rStyle w:val="Strong"/>
                <w:rFonts w:asciiTheme="minorHAnsi" w:hAnsiTheme="minorHAnsi"/>
                <w:color w:val="000000"/>
              </w:rPr>
            </w:pPr>
            <w:r w:rsidRPr="00105867">
              <w:rPr>
                <w:rStyle w:val="Strong"/>
                <w:rFonts w:asciiTheme="minorHAnsi" w:hAnsiTheme="minorHAnsi"/>
                <w:color w:val="000000"/>
              </w:rPr>
              <w:t>Schedule 4</w:t>
            </w:r>
            <w:r>
              <w:rPr>
                <w:rStyle w:val="Strong"/>
                <w:rFonts w:asciiTheme="minorHAnsi" w:hAnsiTheme="minorHAnsi"/>
                <w:color w:val="000000"/>
              </w:rPr>
              <w:t xml:space="preserve"> </w:t>
            </w:r>
            <w:r w:rsidR="0031371C">
              <w:rPr>
                <w:rStyle w:val="Strong"/>
                <w:rFonts w:asciiTheme="minorHAnsi" w:hAnsiTheme="minorHAnsi"/>
                <w:color w:val="000000"/>
              </w:rPr>
              <w:t>–</w:t>
            </w:r>
            <w:r w:rsidRPr="00105867">
              <w:rPr>
                <w:rStyle w:val="Strong"/>
                <w:rFonts w:asciiTheme="minorHAnsi" w:hAnsiTheme="minorHAnsi"/>
                <w:color w:val="000000"/>
              </w:rPr>
              <w:t xml:space="preserve"> New Entry</w:t>
            </w:r>
          </w:p>
          <w:p w14:paraId="782210D9" w14:textId="77777777" w:rsidR="00D629BA" w:rsidRPr="00612683" w:rsidRDefault="00D629BA" w:rsidP="004403CD">
            <w:pPr>
              <w:spacing w:before="120" w:after="120"/>
              <w:rPr>
                <w:rStyle w:val="Strong"/>
                <w:rFonts w:asciiTheme="minorHAnsi" w:hAnsiTheme="minorHAnsi"/>
                <w:color w:val="000000"/>
                <w:u w:val="single"/>
              </w:rPr>
            </w:pPr>
            <w:r w:rsidRPr="00612683">
              <w:rPr>
                <w:rFonts w:asciiTheme="minorHAnsi" w:hAnsiTheme="minorHAnsi"/>
                <w:color w:val="00B050"/>
                <w:u w:val="single"/>
              </w:rPr>
              <w:t>OLIPUDASE ALFA</w:t>
            </w:r>
          </w:p>
          <w:p w14:paraId="4DED51D0" w14:textId="6C1CF345" w:rsidR="00D629BA" w:rsidRDefault="00D629BA" w:rsidP="004403CD">
            <w:pPr>
              <w:spacing w:before="120" w:after="120"/>
              <w:rPr>
                <w:rStyle w:val="Strong"/>
                <w:rFonts w:asciiTheme="minorHAnsi" w:hAnsiTheme="minorHAnsi"/>
              </w:rPr>
            </w:pPr>
            <w:r w:rsidRPr="004E10A3">
              <w:rPr>
                <w:rStyle w:val="Strong"/>
                <w:rFonts w:asciiTheme="minorHAnsi" w:hAnsiTheme="minorHAnsi"/>
              </w:rPr>
              <w:t xml:space="preserve">Index </w:t>
            </w:r>
            <w:r w:rsidR="0031371C">
              <w:rPr>
                <w:rStyle w:val="Strong"/>
                <w:rFonts w:asciiTheme="minorHAnsi" w:hAnsiTheme="minorHAnsi"/>
              </w:rPr>
              <w:t>–</w:t>
            </w:r>
            <w:r w:rsidRPr="004E10A3">
              <w:rPr>
                <w:rStyle w:val="Strong"/>
                <w:rFonts w:asciiTheme="minorHAnsi" w:hAnsiTheme="minorHAnsi"/>
              </w:rPr>
              <w:t xml:space="preserve"> New Entry</w:t>
            </w:r>
          </w:p>
          <w:p w14:paraId="24687181" w14:textId="77777777" w:rsidR="00D629BA" w:rsidRPr="008C16FF" w:rsidRDefault="00D629BA" w:rsidP="004403CD">
            <w:pPr>
              <w:spacing w:before="120" w:after="120"/>
              <w:rPr>
                <w:rStyle w:val="Strong"/>
                <w:rFonts w:asciiTheme="minorHAnsi" w:hAnsiTheme="minorHAnsi"/>
                <w:b w:val="0"/>
                <w:bCs w:val="0"/>
                <w:color w:val="000000"/>
                <w:u w:val="single"/>
              </w:rPr>
            </w:pPr>
            <w:r w:rsidRPr="008C16FF">
              <w:rPr>
                <w:rFonts w:asciiTheme="minorHAnsi" w:hAnsiTheme="minorHAnsi"/>
                <w:b/>
                <w:bCs/>
                <w:color w:val="00B050"/>
                <w:u w:val="single"/>
              </w:rPr>
              <w:t>OLIPUDASE ALFA</w:t>
            </w:r>
          </w:p>
          <w:p w14:paraId="55D72CA4" w14:textId="77777777" w:rsidR="00D629BA" w:rsidRPr="00013BFF" w:rsidRDefault="00D629BA" w:rsidP="004403CD">
            <w:pPr>
              <w:spacing w:before="120" w:after="120"/>
              <w:rPr>
                <w:color w:val="00B050"/>
              </w:rPr>
            </w:pPr>
            <w:r w:rsidRPr="00612683">
              <w:rPr>
                <w:rFonts w:asciiTheme="minorHAnsi" w:hAnsiTheme="minorHAnsi"/>
                <w:color w:val="00B050"/>
                <w:u w:val="single"/>
              </w:rPr>
              <w:t>Schedule 4</w:t>
            </w:r>
          </w:p>
        </w:tc>
      </w:tr>
    </w:tbl>
    <w:p w14:paraId="27D1D003" w14:textId="7887BCAF" w:rsidR="00D629BA" w:rsidRPr="002F1391" w:rsidRDefault="0031371C" w:rsidP="00C7111E">
      <w:pPr>
        <w:pStyle w:val="Heading3"/>
        <w:spacing w:before="240" w:line="220" w:lineRule="atLeast"/>
      </w:pPr>
      <w:bookmarkStart w:id="61" w:name="_Toc143009515"/>
      <w:r>
        <w:t>6.7</w:t>
      </w:r>
      <w:r>
        <w:tab/>
      </w:r>
      <w:r w:rsidR="00D629BA" w:rsidRPr="0022247F">
        <w:t>Rimegepant</w:t>
      </w:r>
      <w:bookmarkEnd w:id="61"/>
    </w:p>
    <w:tbl>
      <w:tblPr>
        <w:tblStyle w:val="TableGrid"/>
        <w:tblW w:w="0" w:type="auto"/>
        <w:tblInd w:w="988" w:type="dxa"/>
        <w:tblLook w:val="04A0" w:firstRow="1" w:lastRow="0" w:firstColumn="1" w:lastColumn="0" w:noHBand="0" w:noVBand="1"/>
      </w:tblPr>
      <w:tblGrid>
        <w:gridCol w:w="8072"/>
      </w:tblGrid>
      <w:tr w:rsidR="00D629BA" w14:paraId="4F389D95" w14:textId="77777777" w:rsidTr="009A15B0">
        <w:tc>
          <w:tcPr>
            <w:tcW w:w="8072" w:type="dxa"/>
          </w:tcPr>
          <w:p w14:paraId="3725C182" w14:textId="6629E23D" w:rsidR="00D629BA" w:rsidRDefault="00D629BA" w:rsidP="004403CD">
            <w:pPr>
              <w:spacing w:before="120" w:after="120"/>
              <w:rPr>
                <w:rStyle w:val="Strong"/>
                <w:rFonts w:asciiTheme="minorHAnsi" w:hAnsiTheme="minorHAnsi"/>
                <w:color w:val="000000"/>
              </w:rPr>
            </w:pPr>
            <w:r w:rsidRPr="00105867">
              <w:rPr>
                <w:rStyle w:val="Strong"/>
                <w:rFonts w:asciiTheme="minorHAnsi" w:hAnsiTheme="minorHAnsi"/>
                <w:color w:val="000000"/>
              </w:rPr>
              <w:t>Schedule 4</w:t>
            </w:r>
            <w:r>
              <w:rPr>
                <w:rStyle w:val="Strong"/>
                <w:rFonts w:asciiTheme="minorHAnsi" w:hAnsiTheme="minorHAnsi"/>
                <w:color w:val="000000"/>
              </w:rPr>
              <w:t xml:space="preserve"> </w:t>
            </w:r>
            <w:r w:rsidR="0031371C">
              <w:rPr>
                <w:rStyle w:val="Strong"/>
                <w:rFonts w:asciiTheme="minorHAnsi" w:hAnsiTheme="minorHAnsi"/>
                <w:color w:val="000000"/>
              </w:rPr>
              <w:t>–</w:t>
            </w:r>
            <w:r w:rsidRPr="00105867">
              <w:rPr>
                <w:rStyle w:val="Strong"/>
                <w:rFonts w:asciiTheme="minorHAnsi" w:hAnsiTheme="minorHAnsi"/>
                <w:color w:val="000000"/>
              </w:rPr>
              <w:t xml:space="preserve"> New Entry</w:t>
            </w:r>
          </w:p>
          <w:p w14:paraId="3E7D5777" w14:textId="77777777" w:rsidR="00D629BA" w:rsidRPr="00612683" w:rsidRDefault="00D629BA" w:rsidP="004403CD">
            <w:pPr>
              <w:spacing w:before="120" w:after="120"/>
              <w:rPr>
                <w:rStyle w:val="Strong"/>
                <w:rFonts w:asciiTheme="minorHAnsi" w:hAnsiTheme="minorHAnsi"/>
                <w:b w:val="0"/>
                <w:bCs w:val="0"/>
                <w:color w:val="00B050"/>
                <w:u w:val="single"/>
              </w:rPr>
            </w:pPr>
            <w:r w:rsidRPr="00612683">
              <w:rPr>
                <w:rFonts w:asciiTheme="minorHAnsi" w:hAnsiTheme="minorHAnsi"/>
                <w:color w:val="00B050"/>
                <w:u w:val="single"/>
              </w:rPr>
              <w:t>RIMEGEPANT</w:t>
            </w:r>
            <w:r w:rsidRPr="00612683">
              <w:rPr>
                <w:rStyle w:val="Strong"/>
                <w:rFonts w:asciiTheme="minorHAnsi" w:hAnsiTheme="minorHAnsi"/>
                <w:b w:val="0"/>
                <w:bCs w:val="0"/>
                <w:color w:val="00B050"/>
                <w:u w:val="single"/>
              </w:rPr>
              <w:t xml:space="preserve"> </w:t>
            </w:r>
          </w:p>
          <w:p w14:paraId="699155C2" w14:textId="6FD92EC6" w:rsidR="00D629BA" w:rsidRDefault="00D629BA" w:rsidP="004403CD">
            <w:pPr>
              <w:spacing w:before="120" w:after="120"/>
              <w:rPr>
                <w:rStyle w:val="Strong"/>
                <w:rFonts w:asciiTheme="minorHAnsi" w:hAnsiTheme="minorHAnsi"/>
              </w:rPr>
            </w:pPr>
            <w:r w:rsidRPr="004E10A3">
              <w:rPr>
                <w:rStyle w:val="Strong"/>
                <w:rFonts w:asciiTheme="minorHAnsi" w:hAnsiTheme="minorHAnsi"/>
              </w:rPr>
              <w:t xml:space="preserve">Index </w:t>
            </w:r>
            <w:r w:rsidR="0031371C">
              <w:rPr>
                <w:rStyle w:val="Strong"/>
                <w:rFonts w:asciiTheme="minorHAnsi" w:hAnsiTheme="minorHAnsi"/>
              </w:rPr>
              <w:t>–</w:t>
            </w:r>
            <w:r w:rsidRPr="004E10A3">
              <w:rPr>
                <w:rStyle w:val="Strong"/>
                <w:rFonts w:asciiTheme="minorHAnsi" w:hAnsiTheme="minorHAnsi"/>
              </w:rPr>
              <w:t xml:space="preserve"> New Entry</w:t>
            </w:r>
          </w:p>
          <w:p w14:paraId="0793D20A" w14:textId="77777777" w:rsidR="00D629BA" w:rsidRPr="008C16FF" w:rsidRDefault="00D629BA" w:rsidP="004403CD">
            <w:pPr>
              <w:spacing w:before="120" w:after="120"/>
              <w:rPr>
                <w:rStyle w:val="Strong"/>
                <w:rFonts w:asciiTheme="minorHAnsi" w:hAnsiTheme="minorHAnsi"/>
                <w:b w:val="0"/>
                <w:bCs w:val="0"/>
                <w:color w:val="00B050"/>
                <w:u w:val="single"/>
              </w:rPr>
            </w:pPr>
            <w:r w:rsidRPr="008C16FF">
              <w:rPr>
                <w:rFonts w:asciiTheme="minorHAnsi" w:hAnsiTheme="minorHAnsi"/>
                <w:b/>
                <w:bCs/>
                <w:color w:val="00B050"/>
                <w:u w:val="single"/>
              </w:rPr>
              <w:t>RIMEGEPANT</w:t>
            </w:r>
            <w:r w:rsidRPr="008C16FF">
              <w:rPr>
                <w:rStyle w:val="Strong"/>
                <w:rFonts w:asciiTheme="minorHAnsi" w:hAnsiTheme="minorHAnsi"/>
                <w:b w:val="0"/>
                <w:bCs w:val="0"/>
                <w:color w:val="00B050"/>
                <w:u w:val="single"/>
              </w:rPr>
              <w:t xml:space="preserve"> </w:t>
            </w:r>
          </w:p>
          <w:p w14:paraId="4CED85F3" w14:textId="77777777" w:rsidR="00D629BA" w:rsidRPr="00013BFF" w:rsidRDefault="00D629BA" w:rsidP="004403CD">
            <w:pPr>
              <w:spacing w:before="120" w:after="120"/>
              <w:rPr>
                <w:color w:val="00B050"/>
              </w:rPr>
            </w:pPr>
            <w:r w:rsidRPr="00612683">
              <w:rPr>
                <w:rFonts w:asciiTheme="minorHAnsi" w:hAnsiTheme="minorHAnsi"/>
                <w:color w:val="00B050"/>
                <w:u w:val="single"/>
              </w:rPr>
              <w:t>Schedule 4</w:t>
            </w:r>
          </w:p>
        </w:tc>
      </w:tr>
    </w:tbl>
    <w:p w14:paraId="4A0242F5" w14:textId="64F44194" w:rsidR="00D629BA" w:rsidRPr="002F1391" w:rsidRDefault="0031371C" w:rsidP="00C7111E">
      <w:pPr>
        <w:pStyle w:val="Heading3"/>
        <w:spacing w:before="240" w:line="220" w:lineRule="atLeast"/>
      </w:pPr>
      <w:bookmarkStart w:id="62" w:name="_Toc143009516"/>
      <w:r>
        <w:t>6.8</w:t>
      </w:r>
      <w:r>
        <w:tab/>
      </w:r>
      <w:proofErr w:type="spellStart"/>
      <w:r w:rsidR="00D629BA" w:rsidRPr="0022247F">
        <w:t>Selpercatinib</w:t>
      </w:r>
      <w:bookmarkEnd w:id="62"/>
      <w:proofErr w:type="spellEnd"/>
    </w:p>
    <w:tbl>
      <w:tblPr>
        <w:tblStyle w:val="TableGrid"/>
        <w:tblW w:w="0" w:type="auto"/>
        <w:tblInd w:w="988" w:type="dxa"/>
        <w:tblLook w:val="04A0" w:firstRow="1" w:lastRow="0" w:firstColumn="1" w:lastColumn="0" w:noHBand="0" w:noVBand="1"/>
      </w:tblPr>
      <w:tblGrid>
        <w:gridCol w:w="8072"/>
      </w:tblGrid>
      <w:tr w:rsidR="00D629BA" w14:paraId="4E840AAE" w14:textId="77777777" w:rsidTr="009A15B0">
        <w:tc>
          <w:tcPr>
            <w:tcW w:w="8072" w:type="dxa"/>
          </w:tcPr>
          <w:p w14:paraId="53CF8513" w14:textId="5C00F92C" w:rsidR="00D629BA" w:rsidRDefault="00D629BA" w:rsidP="004403CD">
            <w:pPr>
              <w:spacing w:before="120" w:after="120"/>
              <w:rPr>
                <w:rStyle w:val="Strong"/>
                <w:rFonts w:asciiTheme="minorHAnsi" w:hAnsiTheme="minorHAnsi"/>
                <w:color w:val="000000"/>
              </w:rPr>
            </w:pPr>
            <w:r w:rsidRPr="00105867">
              <w:rPr>
                <w:rStyle w:val="Strong"/>
                <w:rFonts w:asciiTheme="minorHAnsi" w:hAnsiTheme="minorHAnsi"/>
                <w:color w:val="000000"/>
              </w:rPr>
              <w:t>Schedule 4</w:t>
            </w:r>
            <w:r>
              <w:rPr>
                <w:rStyle w:val="Strong"/>
                <w:rFonts w:asciiTheme="minorHAnsi" w:hAnsiTheme="minorHAnsi"/>
                <w:color w:val="000000"/>
              </w:rPr>
              <w:t xml:space="preserve"> </w:t>
            </w:r>
            <w:r w:rsidR="0031371C">
              <w:rPr>
                <w:rStyle w:val="Strong"/>
                <w:rFonts w:asciiTheme="minorHAnsi" w:hAnsiTheme="minorHAnsi"/>
                <w:color w:val="000000"/>
              </w:rPr>
              <w:t>–</w:t>
            </w:r>
            <w:r w:rsidRPr="00105867">
              <w:rPr>
                <w:rStyle w:val="Strong"/>
                <w:rFonts w:asciiTheme="minorHAnsi" w:hAnsiTheme="minorHAnsi"/>
                <w:color w:val="000000"/>
              </w:rPr>
              <w:t xml:space="preserve"> New Entry</w:t>
            </w:r>
          </w:p>
          <w:p w14:paraId="5B30FC19" w14:textId="77777777" w:rsidR="00D629BA" w:rsidRPr="00612683" w:rsidRDefault="00D629BA" w:rsidP="004403CD">
            <w:pPr>
              <w:spacing w:before="120" w:after="120"/>
              <w:rPr>
                <w:rStyle w:val="Strong"/>
                <w:rFonts w:asciiTheme="minorHAnsi" w:hAnsiTheme="minorHAnsi"/>
                <w:b w:val="0"/>
                <w:bCs w:val="0"/>
                <w:color w:val="00B050"/>
                <w:u w:val="single"/>
              </w:rPr>
            </w:pPr>
            <w:r w:rsidRPr="00612683">
              <w:rPr>
                <w:rFonts w:asciiTheme="minorHAnsi" w:hAnsiTheme="minorHAnsi"/>
                <w:color w:val="00B050"/>
                <w:u w:val="single"/>
              </w:rPr>
              <w:t>SELPERCATINIB</w:t>
            </w:r>
            <w:r w:rsidRPr="00612683">
              <w:rPr>
                <w:rStyle w:val="Strong"/>
                <w:rFonts w:asciiTheme="minorHAnsi" w:hAnsiTheme="minorHAnsi"/>
                <w:b w:val="0"/>
                <w:bCs w:val="0"/>
                <w:color w:val="00B050"/>
                <w:u w:val="single"/>
              </w:rPr>
              <w:t xml:space="preserve"> </w:t>
            </w:r>
          </w:p>
          <w:p w14:paraId="01442EE4" w14:textId="2C640493" w:rsidR="00D629BA" w:rsidRDefault="00D629BA" w:rsidP="004403CD">
            <w:pPr>
              <w:spacing w:before="120" w:after="120"/>
              <w:rPr>
                <w:rStyle w:val="Strong"/>
                <w:rFonts w:asciiTheme="minorHAnsi" w:hAnsiTheme="minorHAnsi"/>
              </w:rPr>
            </w:pPr>
            <w:r w:rsidRPr="004E10A3">
              <w:rPr>
                <w:rStyle w:val="Strong"/>
                <w:rFonts w:asciiTheme="minorHAnsi" w:hAnsiTheme="minorHAnsi"/>
              </w:rPr>
              <w:t xml:space="preserve">Index </w:t>
            </w:r>
            <w:r w:rsidR="0031371C">
              <w:rPr>
                <w:rStyle w:val="Strong"/>
                <w:rFonts w:asciiTheme="minorHAnsi" w:hAnsiTheme="minorHAnsi"/>
              </w:rPr>
              <w:t>–</w:t>
            </w:r>
            <w:r w:rsidRPr="004E10A3">
              <w:rPr>
                <w:rStyle w:val="Strong"/>
                <w:rFonts w:asciiTheme="minorHAnsi" w:hAnsiTheme="minorHAnsi"/>
              </w:rPr>
              <w:t xml:space="preserve"> New Entry</w:t>
            </w:r>
          </w:p>
          <w:p w14:paraId="2FC79235" w14:textId="77777777" w:rsidR="00D629BA" w:rsidRPr="008C16FF" w:rsidRDefault="00D629BA" w:rsidP="004403CD">
            <w:pPr>
              <w:spacing w:before="120" w:after="120"/>
              <w:rPr>
                <w:rStyle w:val="Strong"/>
                <w:rFonts w:asciiTheme="minorHAnsi" w:hAnsiTheme="minorHAnsi"/>
                <w:b w:val="0"/>
                <w:bCs w:val="0"/>
                <w:color w:val="00B050"/>
                <w:u w:val="single"/>
              </w:rPr>
            </w:pPr>
            <w:r w:rsidRPr="008C16FF">
              <w:rPr>
                <w:rFonts w:asciiTheme="minorHAnsi" w:hAnsiTheme="minorHAnsi"/>
                <w:b/>
                <w:bCs/>
                <w:color w:val="00B050"/>
                <w:u w:val="single"/>
              </w:rPr>
              <w:t>SELPERCATINIB</w:t>
            </w:r>
            <w:r w:rsidRPr="008C16FF">
              <w:rPr>
                <w:rStyle w:val="Strong"/>
                <w:rFonts w:asciiTheme="minorHAnsi" w:hAnsiTheme="minorHAnsi"/>
                <w:b w:val="0"/>
                <w:bCs w:val="0"/>
                <w:color w:val="00B050"/>
                <w:u w:val="single"/>
              </w:rPr>
              <w:t xml:space="preserve"> </w:t>
            </w:r>
          </w:p>
          <w:p w14:paraId="1640C9A2" w14:textId="77777777" w:rsidR="00D629BA" w:rsidRPr="00013BFF" w:rsidRDefault="00D629BA" w:rsidP="004403CD">
            <w:pPr>
              <w:spacing w:before="120" w:after="120"/>
              <w:rPr>
                <w:color w:val="00B050"/>
              </w:rPr>
            </w:pPr>
            <w:r w:rsidRPr="00612683">
              <w:rPr>
                <w:rFonts w:asciiTheme="minorHAnsi" w:hAnsiTheme="minorHAnsi"/>
                <w:color w:val="00B050"/>
                <w:u w:val="single"/>
              </w:rPr>
              <w:t>Schedule 4</w:t>
            </w:r>
          </w:p>
        </w:tc>
      </w:tr>
    </w:tbl>
    <w:p w14:paraId="3A9A8798" w14:textId="6DFD4F02" w:rsidR="00D629BA" w:rsidRPr="002F1391" w:rsidRDefault="0031371C" w:rsidP="00C7111E">
      <w:pPr>
        <w:pStyle w:val="Heading3"/>
        <w:spacing w:before="240" w:line="220" w:lineRule="atLeast"/>
      </w:pPr>
      <w:bookmarkStart w:id="63" w:name="_Toc143009517"/>
      <w:r>
        <w:t>6.9</w:t>
      </w:r>
      <w:r>
        <w:tab/>
      </w:r>
      <w:proofErr w:type="spellStart"/>
      <w:r w:rsidR="00D629BA" w:rsidRPr="0022247F">
        <w:t>Spesolimab</w:t>
      </w:r>
      <w:bookmarkEnd w:id="63"/>
      <w:proofErr w:type="spellEnd"/>
    </w:p>
    <w:tbl>
      <w:tblPr>
        <w:tblStyle w:val="TableGrid"/>
        <w:tblW w:w="0" w:type="auto"/>
        <w:tblInd w:w="988" w:type="dxa"/>
        <w:tblLook w:val="04A0" w:firstRow="1" w:lastRow="0" w:firstColumn="1" w:lastColumn="0" w:noHBand="0" w:noVBand="1"/>
      </w:tblPr>
      <w:tblGrid>
        <w:gridCol w:w="8072"/>
      </w:tblGrid>
      <w:tr w:rsidR="00D629BA" w14:paraId="2C259FA4" w14:textId="77777777" w:rsidTr="009A15B0">
        <w:tc>
          <w:tcPr>
            <w:tcW w:w="8072" w:type="dxa"/>
          </w:tcPr>
          <w:p w14:paraId="5550B439" w14:textId="77777777" w:rsidR="00D629BA" w:rsidRDefault="00D629BA" w:rsidP="004403CD">
            <w:pPr>
              <w:spacing w:before="120" w:after="120"/>
              <w:rPr>
                <w:rStyle w:val="Strong"/>
                <w:rFonts w:asciiTheme="minorHAnsi" w:hAnsiTheme="minorHAnsi"/>
                <w:color w:val="000000"/>
              </w:rPr>
            </w:pPr>
            <w:r w:rsidRPr="00105867">
              <w:rPr>
                <w:rStyle w:val="Strong"/>
                <w:rFonts w:asciiTheme="minorHAnsi" w:hAnsiTheme="minorHAnsi"/>
                <w:color w:val="000000"/>
              </w:rPr>
              <w:t>Schedule 4</w:t>
            </w:r>
            <w:r>
              <w:rPr>
                <w:rStyle w:val="Strong"/>
                <w:rFonts w:asciiTheme="minorHAnsi" w:hAnsiTheme="minorHAnsi"/>
                <w:color w:val="000000"/>
              </w:rPr>
              <w:t xml:space="preserve"> </w:t>
            </w:r>
            <w:r w:rsidRPr="00105867">
              <w:rPr>
                <w:rStyle w:val="Strong"/>
                <w:rFonts w:asciiTheme="minorHAnsi" w:hAnsiTheme="minorHAnsi"/>
                <w:color w:val="000000"/>
              </w:rPr>
              <w:t>- New Entry</w:t>
            </w:r>
          </w:p>
          <w:p w14:paraId="141EDF07" w14:textId="77777777" w:rsidR="00D629BA" w:rsidRPr="00612683" w:rsidRDefault="00D629BA" w:rsidP="004403CD">
            <w:pPr>
              <w:spacing w:before="120" w:after="120"/>
              <w:rPr>
                <w:rStyle w:val="Strong"/>
                <w:rFonts w:asciiTheme="minorHAnsi" w:hAnsiTheme="minorHAnsi"/>
                <w:b w:val="0"/>
                <w:bCs w:val="0"/>
                <w:color w:val="00B050"/>
                <w:u w:val="single"/>
              </w:rPr>
            </w:pPr>
            <w:r w:rsidRPr="00612683">
              <w:rPr>
                <w:rFonts w:asciiTheme="minorHAnsi" w:hAnsiTheme="minorHAnsi"/>
                <w:color w:val="00B050"/>
                <w:u w:val="single"/>
              </w:rPr>
              <w:t>SPESOLIMAB</w:t>
            </w:r>
            <w:r w:rsidRPr="00612683">
              <w:rPr>
                <w:rStyle w:val="Strong"/>
                <w:rFonts w:asciiTheme="minorHAnsi" w:hAnsiTheme="minorHAnsi"/>
                <w:b w:val="0"/>
                <w:bCs w:val="0"/>
                <w:color w:val="00B050"/>
                <w:u w:val="single"/>
              </w:rPr>
              <w:t xml:space="preserve"> </w:t>
            </w:r>
          </w:p>
          <w:p w14:paraId="7F5ECDBB" w14:textId="77777777" w:rsidR="00D629BA" w:rsidRDefault="00D629BA" w:rsidP="004403CD">
            <w:pPr>
              <w:spacing w:before="120" w:after="120"/>
              <w:rPr>
                <w:rStyle w:val="Strong"/>
                <w:rFonts w:asciiTheme="minorHAnsi" w:hAnsiTheme="minorHAnsi"/>
              </w:rPr>
            </w:pPr>
            <w:r w:rsidRPr="004E10A3">
              <w:rPr>
                <w:rStyle w:val="Strong"/>
                <w:rFonts w:asciiTheme="minorHAnsi" w:hAnsiTheme="minorHAnsi"/>
              </w:rPr>
              <w:t>Index - New Entry</w:t>
            </w:r>
          </w:p>
          <w:p w14:paraId="730775FE" w14:textId="77777777" w:rsidR="00D629BA" w:rsidRPr="008C16FF" w:rsidRDefault="00D629BA" w:rsidP="004403CD">
            <w:pPr>
              <w:spacing w:before="120" w:after="120"/>
              <w:rPr>
                <w:rStyle w:val="Strong"/>
                <w:rFonts w:asciiTheme="minorHAnsi" w:hAnsiTheme="minorHAnsi"/>
                <w:b w:val="0"/>
                <w:bCs w:val="0"/>
                <w:color w:val="00B050"/>
                <w:u w:val="single"/>
              </w:rPr>
            </w:pPr>
            <w:r w:rsidRPr="008C16FF">
              <w:rPr>
                <w:rFonts w:asciiTheme="minorHAnsi" w:hAnsiTheme="minorHAnsi"/>
                <w:b/>
                <w:bCs/>
                <w:color w:val="00B050"/>
                <w:u w:val="single"/>
              </w:rPr>
              <w:t>SPESOLIMAB</w:t>
            </w:r>
            <w:r w:rsidRPr="008C16FF">
              <w:rPr>
                <w:rStyle w:val="Strong"/>
                <w:rFonts w:asciiTheme="minorHAnsi" w:hAnsiTheme="minorHAnsi"/>
                <w:b w:val="0"/>
                <w:bCs w:val="0"/>
                <w:color w:val="00B050"/>
                <w:u w:val="single"/>
              </w:rPr>
              <w:t xml:space="preserve"> </w:t>
            </w:r>
          </w:p>
          <w:p w14:paraId="0046833E" w14:textId="77777777" w:rsidR="00D629BA" w:rsidRPr="00013BFF" w:rsidRDefault="00D629BA" w:rsidP="004403CD">
            <w:pPr>
              <w:spacing w:before="120" w:after="120"/>
              <w:rPr>
                <w:color w:val="00B050"/>
              </w:rPr>
            </w:pPr>
            <w:r w:rsidRPr="00612683">
              <w:rPr>
                <w:rFonts w:asciiTheme="minorHAnsi" w:hAnsiTheme="minorHAnsi"/>
                <w:color w:val="00B050"/>
                <w:u w:val="single"/>
              </w:rPr>
              <w:t>Schedule 4</w:t>
            </w:r>
          </w:p>
        </w:tc>
      </w:tr>
    </w:tbl>
    <w:p w14:paraId="3A6A204F" w14:textId="05BACF32" w:rsidR="00D629BA" w:rsidRPr="002F1391" w:rsidRDefault="0031371C" w:rsidP="00C7111E">
      <w:pPr>
        <w:pStyle w:val="Heading3"/>
        <w:spacing w:before="240" w:line="220" w:lineRule="atLeast"/>
      </w:pPr>
      <w:bookmarkStart w:id="64" w:name="_Toc143009518"/>
      <w:r>
        <w:lastRenderedPageBreak/>
        <w:t>6.10</w:t>
      </w:r>
      <w:r>
        <w:tab/>
      </w:r>
      <w:proofErr w:type="spellStart"/>
      <w:r w:rsidR="00D629BA" w:rsidRPr="0022247F">
        <w:t>Tafasitamab</w:t>
      </w:r>
      <w:bookmarkEnd w:id="64"/>
      <w:proofErr w:type="spellEnd"/>
    </w:p>
    <w:tbl>
      <w:tblPr>
        <w:tblStyle w:val="TableGrid"/>
        <w:tblW w:w="0" w:type="auto"/>
        <w:tblInd w:w="988" w:type="dxa"/>
        <w:tblLook w:val="04A0" w:firstRow="1" w:lastRow="0" w:firstColumn="1" w:lastColumn="0" w:noHBand="0" w:noVBand="1"/>
      </w:tblPr>
      <w:tblGrid>
        <w:gridCol w:w="8072"/>
      </w:tblGrid>
      <w:tr w:rsidR="00D629BA" w14:paraId="01647F87" w14:textId="77777777" w:rsidTr="009A15B0">
        <w:tc>
          <w:tcPr>
            <w:tcW w:w="8072" w:type="dxa"/>
          </w:tcPr>
          <w:p w14:paraId="146654BD" w14:textId="602E92EE" w:rsidR="00D629BA" w:rsidRDefault="00D629BA" w:rsidP="004403CD">
            <w:pPr>
              <w:spacing w:before="120" w:after="120"/>
              <w:rPr>
                <w:rStyle w:val="Strong"/>
                <w:rFonts w:asciiTheme="minorHAnsi" w:hAnsiTheme="minorHAnsi"/>
                <w:color w:val="000000"/>
              </w:rPr>
            </w:pPr>
            <w:r w:rsidRPr="00105867">
              <w:rPr>
                <w:rStyle w:val="Strong"/>
                <w:rFonts w:asciiTheme="minorHAnsi" w:hAnsiTheme="minorHAnsi"/>
                <w:color w:val="000000"/>
              </w:rPr>
              <w:t>Schedule 4</w:t>
            </w:r>
            <w:r>
              <w:rPr>
                <w:rStyle w:val="Strong"/>
                <w:rFonts w:asciiTheme="minorHAnsi" w:hAnsiTheme="minorHAnsi"/>
                <w:color w:val="000000"/>
              </w:rPr>
              <w:t xml:space="preserve"> </w:t>
            </w:r>
            <w:r w:rsidR="0031371C">
              <w:rPr>
                <w:rStyle w:val="Strong"/>
                <w:rFonts w:asciiTheme="minorHAnsi" w:hAnsiTheme="minorHAnsi"/>
                <w:color w:val="000000"/>
              </w:rPr>
              <w:t>–</w:t>
            </w:r>
            <w:r w:rsidRPr="00105867">
              <w:rPr>
                <w:rStyle w:val="Strong"/>
                <w:rFonts w:asciiTheme="minorHAnsi" w:hAnsiTheme="minorHAnsi"/>
                <w:color w:val="000000"/>
              </w:rPr>
              <w:t xml:space="preserve"> New Entry</w:t>
            </w:r>
          </w:p>
          <w:p w14:paraId="34CD8890" w14:textId="77777777" w:rsidR="00D629BA" w:rsidRPr="00612683" w:rsidRDefault="00D629BA" w:rsidP="004403CD">
            <w:pPr>
              <w:spacing w:before="120" w:after="120"/>
              <w:rPr>
                <w:rStyle w:val="Strong"/>
                <w:rFonts w:asciiTheme="minorHAnsi" w:hAnsiTheme="minorHAnsi"/>
                <w:b w:val="0"/>
                <w:bCs w:val="0"/>
                <w:color w:val="00B050"/>
                <w:u w:val="single"/>
              </w:rPr>
            </w:pPr>
            <w:r w:rsidRPr="00612683">
              <w:rPr>
                <w:rFonts w:asciiTheme="minorHAnsi" w:hAnsiTheme="minorHAnsi"/>
                <w:color w:val="00B050"/>
                <w:u w:val="single"/>
              </w:rPr>
              <w:t>TAFASITAMAB</w:t>
            </w:r>
            <w:r w:rsidRPr="00612683">
              <w:rPr>
                <w:rStyle w:val="Strong"/>
                <w:rFonts w:asciiTheme="minorHAnsi" w:hAnsiTheme="minorHAnsi"/>
                <w:b w:val="0"/>
                <w:bCs w:val="0"/>
                <w:color w:val="00B050"/>
                <w:u w:val="single"/>
              </w:rPr>
              <w:t xml:space="preserve"> </w:t>
            </w:r>
          </w:p>
          <w:p w14:paraId="4BFCD51A" w14:textId="75C79D35" w:rsidR="00D629BA" w:rsidRDefault="00D629BA" w:rsidP="004403CD">
            <w:pPr>
              <w:spacing w:before="120" w:after="120"/>
              <w:rPr>
                <w:rStyle w:val="Strong"/>
                <w:rFonts w:asciiTheme="minorHAnsi" w:hAnsiTheme="minorHAnsi"/>
              </w:rPr>
            </w:pPr>
            <w:r w:rsidRPr="004E10A3">
              <w:rPr>
                <w:rStyle w:val="Strong"/>
                <w:rFonts w:asciiTheme="minorHAnsi" w:hAnsiTheme="minorHAnsi"/>
              </w:rPr>
              <w:t xml:space="preserve">Index </w:t>
            </w:r>
            <w:r w:rsidR="0031371C">
              <w:rPr>
                <w:rStyle w:val="Strong"/>
                <w:rFonts w:asciiTheme="minorHAnsi" w:hAnsiTheme="minorHAnsi"/>
              </w:rPr>
              <w:t>–</w:t>
            </w:r>
            <w:r w:rsidRPr="004E10A3">
              <w:rPr>
                <w:rStyle w:val="Strong"/>
                <w:rFonts w:asciiTheme="minorHAnsi" w:hAnsiTheme="minorHAnsi"/>
              </w:rPr>
              <w:t xml:space="preserve"> New Entry</w:t>
            </w:r>
          </w:p>
          <w:p w14:paraId="3D8829A7" w14:textId="77777777" w:rsidR="00D629BA" w:rsidRPr="008C16FF" w:rsidRDefault="00D629BA" w:rsidP="004403CD">
            <w:pPr>
              <w:spacing w:before="120" w:after="120"/>
              <w:rPr>
                <w:rStyle w:val="Strong"/>
                <w:rFonts w:asciiTheme="minorHAnsi" w:hAnsiTheme="minorHAnsi"/>
                <w:b w:val="0"/>
                <w:bCs w:val="0"/>
                <w:color w:val="00B050"/>
                <w:u w:val="single"/>
              </w:rPr>
            </w:pPr>
            <w:r w:rsidRPr="008C16FF">
              <w:rPr>
                <w:rFonts w:asciiTheme="minorHAnsi" w:hAnsiTheme="minorHAnsi"/>
                <w:b/>
                <w:bCs/>
                <w:color w:val="00B050"/>
                <w:u w:val="single"/>
              </w:rPr>
              <w:t>TAFASITAMAB</w:t>
            </w:r>
            <w:r w:rsidRPr="008C16FF">
              <w:rPr>
                <w:rStyle w:val="Strong"/>
                <w:rFonts w:asciiTheme="minorHAnsi" w:hAnsiTheme="minorHAnsi"/>
                <w:b w:val="0"/>
                <w:bCs w:val="0"/>
                <w:color w:val="00B050"/>
                <w:u w:val="single"/>
              </w:rPr>
              <w:t xml:space="preserve"> </w:t>
            </w:r>
          </w:p>
          <w:p w14:paraId="2BB2B207" w14:textId="77777777" w:rsidR="00D629BA" w:rsidRPr="00013BFF" w:rsidRDefault="00D629BA" w:rsidP="004403CD">
            <w:pPr>
              <w:spacing w:before="120" w:after="120"/>
              <w:rPr>
                <w:color w:val="00B050"/>
              </w:rPr>
            </w:pPr>
            <w:r w:rsidRPr="00612683">
              <w:rPr>
                <w:rFonts w:asciiTheme="minorHAnsi" w:hAnsiTheme="minorHAnsi"/>
                <w:color w:val="00B050"/>
                <w:u w:val="single"/>
              </w:rPr>
              <w:t>Schedule 4</w:t>
            </w:r>
          </w:p>
        </w:tc>
      </w:tr>
    </w:tbl>
    <w:p w14:paraId="077D0E60" w14:textId="1E6B6B2E" w:rsidR="00D629BA" w:rsidRPr="002F1391" w:rsidRDefault="0031371C" w:rsidP="00C7111E">
      <w:pPr>
        <w:pStyle w:val="Heading3"/>
        <w:spacing w:before="240" w:line="220" w:lineRule="atLeast"/>
      </w:pPr>
      <w:bookmarkStart w:id="65" w:name="_Toc143009519"/>
      <w:r>
        <w:t>6.11</w:t>
      </w:r>
      <w:r>
        <w:tab/>
      </w:r>
      <w:proofErr w:type="spellStart"/>
      <w:r w:rsidR="00D629BA" w:rsidRPr="0022247F">
        <w:t>Tagraxofusp</w:t>
      </w:r>
      <w:bookmarkEnd w:id="65"/>
      <w:proofErr w:type="spellEnd"/>
    </w:p>
    <w:tbl>
      <w:tblPr>
        <w:tblStyle w:val="TableGrid"/>
        <w:tblW w:w="0" w:type="auto"/>
        <w:tblInd w:w="988" w:type="dxa"/>
        <w:tblLook w:val="04A0" w:firstRow="1" w:lastRow="0" w:firstColumn="1" w:lastColumn="0" w:noHBand="0" w:noVBand="1"/>
      </w:tblPr>
      <w:tblGrid>
        <w:gridCol w:w="8072"/>
      </w:tblGrid>
      <w:tr w:rsidR="00D629BA" w14:paraId="250E92FE" w14:textId="77777777" w:rsidTr="009A15B0">
        <w:tc>
          <w:tcPr>
            <w:tcW w:w="8072" w:type="dxa"/>
          </w:tcPr>
          <w:p w14:paraId="639D326B" w14:textId="750C1DF4" w:rsidR="00D629BA" w:rsidRDefault="00D629BA" w:rsidP="004403CD">
            <w:pPr>
              <w:spacing w:before="120" w:after="120"/>
              <w:rPr>
                <w:rStyle w:val="Strong"/>
                <w:rFonts w:asciiTheme="minorHAnsi" w:hAnsiTheme="minorHAnsi"/>
                <w:color w:val="000000"/>
              </w:rPr>
            </w:pPr>
            <w:r w:rsidRPr="00105867">
              <w:rPr>
                <w:rStyle w:val="Strong"/>
                <w:rFonts w:asciiTheme="minorHAnsi" w:hAnsiTheme="minorHAnsi"/>
                <w:color w:val="000000"/>
              </w:rPr>
              <w:t>Schedule 4</w:t>
            </w:r>
            <w:r>
              <w:rPr>
                <w:rStyle w:val="Strong"/>
                <w:rFonts w:asciiTheme="minorHAnsi" w:hAnsiTheme="minorHAnsi"/>
                <w:color w:val="000000"/>
              </w:rPr>
              <w:t xml:space="preserve"> </w:t>
            </w:r>
            <w:r w:rsidR="0031371C">
              <w:rPr>
                <w:rStyle w:val="Strong"/>
                <w:rFonts w:asciiTheme="minorHAnsi" w:hAnsiTheme="minorHAnsi"/>
                <w:color w:val="000000"/>
              </w:rPr>
              <w:t>–</w:t>
            </w:r>
            <w:r w:rsidRPr="00105867">
              <w:rPr>
                <w:rStyle w:val="Strong"/>
                <w:rFonts w:asciiTheme="minorHAnsi" w:hAnsiTheme="minorHAnsi"/>
                <w:color w:val="000000"/>
              </w:rPr>
              <w:t xml:space="preserve"> New Entry</w:t>
            </w:r>
          </w:p>
          <w:p w14:paraId="20A42B65" w14:textId="77777777" w:rsidR="00D629BA" w:rsidRPr="00612683" w:rsidRDefault="00D629BA" w:rsidP="004403CD">
            <w:pPr>
              <w:spacing w:before="120" w:after="120"/>
              <w:rPr>
                <w:rStyle w:val="Strong"/>
                <w:rFonts w:asciiTheme="minorHAnsi" w:hAnsiTheme="minorHAnsi"/>
                <w:b w:val="0"/>
                <w:bCs w:val="0"/>
                <w:color w:val="00B050"/>
                <w:u w:val="single"/>
              </w:rPr>
            </w:pPr>
            <w:r w:rsidRPr="00612683">
              <w:rPr>
                <w:rFonts w:asciiTheme="minorHAnsi" w:hAnsiTheme="minorHAnsi"/>
                <w:color w:val="00B050"/>
                <w:u w:val="single"/>
              </w:rPr>
              <w:t>TAGRAXOFUSP</w:t>
            </w:r>
            <w:r w:rsidRPr="00612683">
              <w:rPr>
                <w:rStyle w:val="Strong"/>
                <w:rFonts w:asciiTheme="minorHAnsi" w:hAnsiTheme="minorHAnsi"/>
                <w:b w:val="0"/>
                <w:bCs w:val="0"/>
                <w:color w:val="00B050"/>
                <w:u w:val="single"/>
              </w:rPr>
              <w:t xml:space="preserve"> </w:t>
            </w:r>
          </w:p>
          <w:p w14:paraId="55218EDE" w14:textId="6CE61306" w:rsidR="00D629BA" w:rsidRDefault="00D629BA" w:rsidP="004403CD">
            <w:pPr>
              <w:spacing w:before="120" w:after="120"/>
              <w:rPr>
                <w:rStyle w:val="Strong"/>
                <w:rFonts w:asciiTheme="minorHAnsi" w:hAnsiTheme="minorHAnsi"/>
              </w:rPr>
            </w:pPr>
            <w:r w:rsidRPr="004E10A3">
              <w:rPr>
                <w:rStyle w:val="Strong"/>
                <w:rFonts w:asciiTheme="minorHAnsi" w:hAnsiTheme="minorHAnsi"/>
              </w:rPr>
              <w:t xml:space="preserve">Index </w:t>
            </w:r>
            <w:r w:rsidR="0031371C">
              <w:rPr>
                <w:rStyle w:val="Strong"/>
                <w:rFonts w:asciiTheme="minorHAnsi" w:hAnsiTheme="minorHAnsi"/>
              </w:rPr>
              <w:t>–</w:t>
            </w:r>
            <w:r w:rsidRPr="004E10A3">
              <w:rPr>
                <w:rStyle w:val="Strong"/>
                <w:rFonts w:asciiTheme="minorHAnsi" w:hAnsiTheme="minorHAnsi"/>
              </w:rPr>
              <w:t xml:space="preserve"> New Entry</w:t>
            </w:r>
          </w:p>
          <w:p w14:paraId="0372B7F0" w14:textId="77777777" w:rsidR="00D629BA" w:rsidRPr="008C16FF" w:rsidRDefault="00D629BA" w:rsidP="004403CD">
            <w:pPr>
              <w:spacing w:before="120" w:after="120"/>
              <w:rPr>
                <w:rStyle w:val="Strong"/>
                <w:rFonts w:asciiTheme="minorHAnsi" w:hAnsiTheme="minorHAnsi"/>
                <w:b w:val="0"/>
                <w:bCs w:val="0"/>
                <w:color w:val="00B050"/>
                <w:u w:val="single"/>
              </w:rPr>
            </w:pPr>
            <w:r w:rsidRPr="008C16FF">
              <w:rPr>
                <w:rFonts w:asciiTheme="minorHAnsi" w:hAnsiTheme="minorHAnsi"/>
                <w:b/>
                <w:bCs/>
                <w:color w:val="00B050"/>
                <w:u w:val="single"/>
              </w:rPr>
              <w:t>TAGRAXOFUSP</w:t>
            </w:r>
            <w:r w:rsidRPr="008C16FF">
              <w:rPr>
                <w:rStyle w:val="Strong"/>
                <w:rFonts w:asciiTheme="minorHAnsi" w:hAnsiTheme="minorHAnsi"/>
                <w:b w:val="0"/>
                <w:bCs w:val="0"/>
                <w:color w:val="00B050"/>
                <w:u w:val="single"/>
              </w:rPr>
              <w:t xml:space="preserve"> </w:t>
            </w:r>
          </w:p>
          <w:p w14:paraId="63072B22" w14:textId="77777777" w:rsidR="00D629BA" w:rsidRPr="00013BFF" w:rsidRDefault="00D629BA" w:rsidP="004403CD">
            <w:pPr>
              <w:spacing w:before="120" w:after="120"/>
              <w:rPr>
                <w:color w:val="00B050"/>
              </w:rPr>
            </w:pPr>
            <w:r w:rsidRPr="00612683">
              <w:rPr>
                <w:rFonts w:asciiTheme="minorHAnsi" w:hAnsiTheme="minorHAnsi"/>
                <w:color w:val="00B050"/>
                <w:u w:val="single"/>
              </w:rPr>
              <w:t>Schedule 4</w:t>
            </w:r>
          </w:p>
        </w:tc>
      </w:tr>
    </w:tbl>
    <w:p w14:paraId="3B29D35F" w14:textId="06BE6BBA" w:rsidR="00D629BA" w:rsidRPr="002F1391" w:rsidRDefault="0031371C" w:rsidP="00C7111E">
      <w:pPr>
        <w:pStyle w:val="Heading3"/>
        <w:spacing w:before="240" w:line="220" w:lineRule="atLeast"/>
      </w:pPr>
      <w:bookmarkStart w:id="66" w:name="_Toc143009520"/>
      <w:r>
        <w:t>6.12</w:t>
      </w:r>
      <w:r>
        <w:tab/>
      </w:r>
      <w:proofErr w:type="spellStart"/>
      <w:r w:rsidR="00D629BA" w:rsidRPr="00AC312F">
        <w:t>Teclistamab</w:t>
      </w:r>
      <w:bookmarkEnd w:id="66"/>
      <w:proofErr w:type="spellEnd"/>
    </w:p>
    <w:tbl>
      <w:tblPr>
        <w:tblStyle w:val="TableGrid"/>
        <w:tblW w:w="0" w:type="auto"/>
        <w:tblInd w:w="988" w:type="dxa"/>
        <w:tblLook w:val="04A0" w:firstRow="1" w:lastRow="0" w:firstColumn="1" w:lastColumn="0" w:noHBand="0" w:noVBand="1"/>
      </w:tblPr>
      <w:tblGrid>
        <w:gridCol w:w="8072"/>
      </w:tblGrid>
      <w:tr w:rsidR="00D629BA" w14:paraId="5DE86B94" w14:textId="77777777" w:rsidTr="009A15B0">
        <w:tc>
          <w:tcPr>
            <w:tcW w:w="8072" w:type="dxa"/>
          </w:tcPr>
          <w:p w14:paraId="4E9EA6B9" w14:textId="77777777" w:rsidR="00D629BA" w:rsidRDefault="00D629BA" w:rsidP="004403CD">
            <w:pPr>
              <w:spacing w:before="120" w:after="120"/>
              <w:rPr>
                <w:rStyle w:val="Strong"/>
                <w:rFonts w:asciiTheme="minorHAnsi" w:hAnsiTheme="minorHAnsi"/>
                <w:color w:val="000000"/>
              </w:rPr>
            </w:pPr>
            <w:r w:rsidRPr="00105867">
              <w:rPr>
                <w:rStyle w:val="Strong"/>
                <w:rFonts w:asciiTheme="minorHAnsi" w:hAnsiTheme="minorHAnsi"/>
                <w:color w:val="000000"/>
              </w:rPr>
              <w:t>Schedule 4</w:t>
            </w:r>
            <w:r>
              <w:rPr>
                <w:rStyle w:val="Strong"/>
                <w:rFonts w:asciiTheme="minorHAnsi" w:hAnsiTheme="minorHAnsi"/>
                <w:color w:val="000000"/>
              </w:rPr>
              <w:t xml:space="preserve"> </w:t>
            </w:r>
            <w:r w:rsidRPr="00105867">
              <w:rPr>
                <w:rStyle w:val="Strong"/>
                <w:rFonts w:asciiTheme="minorHAnsi" w:hAnsiTheme="minorHAnsi"/>
                <w:color w:val="000000"/>
              </w:rPr>
              <w:t>- New Entry</w:t>
            </w:r>
          </w:p>
          <w:p w14:paraId="376EDE6D" w14:textId="77777777" w:rsidR="00D629BA" w:rsidRPr="00612683" w:rsidRDefault="00D629BA" w:rsidP="004403CD">
            <w:pPr>
              <w:spacing w:before="120" w:after="120"/>
              <w:rPr>
                <w:rStyle w:val="Strong"/>
                <w:rFonts w:asciiTheme="minorHAnsi" w:hAnsiTheme="minorHAnsi"/>
                <w:b w:val="0"/>
                <w:bCs w:val="0"/>
                <w:color w:val="00B050"/>
                <w:u w:val="single"/>
              </w:rPr>
            </w:pPr>
            <w:r w:rsidRPr="00612683">
              <w:rPr>
                <w:rFonts w:asciiTheme="minorHAnsi" w:hAnsiTheme="minorHAnsi"/>
                <w:color w:val="00B050"/>
                <w:u w:val="single"/>
              </w:rPr>
              <w:t>TECLISTAMAB</w:t>
            </w:r>
            <w:r w:rsidRPr="00612683">
              <w:rPr>
                <w:rStyle w:val="Strong"/>
                <w:rFonts w:asciiTheme="minorHAnsi" w:hAnsiTheme="minorHAnsi"/>
                <w:b w:val="0"/>
                <w:bCs w:val="0"/>
                <w:color w:val="00B050"/>
                <w:u w:val="single"/>
              </w:rPr>
              <w:t xml:space="preserve"> </w:t>
            </w:r>
          </w:p>
          <w:p w14:paraId="3357BF8F" w14:textId="77777777" w:rsidR="00D629BA" w:rsidRDefault="00D629BA" w:rsidP="004403CD">
            <w:pPr>
              <w:spacing w:before="120" w:after="120"/>
              <w:rPr>
                <w:rStyle w:val="Strong"/>
                <w:rFonts w:asciiTheme="minorHAnsi" w:hAnsiTheme="minorHAnsi"/>
              </w:rPr>
            </w:pPr>
            <w:r w:rsidRPr="004E10A3">
              <w:rPr>
                <w:rStyle w:val="Strong"/>
                <w:rFonts w:asciiTheme="minorHAnsi" w:hAnsiTheme="minorHAnsi"/>
              </w:rPr>
              <w:t>Index - New Entry</w:t>
            </w:r>
          </w:p>
          <w:p w14:paraId="485CA11F" w14:textId="77777777" w:rsidR="00D629BA" w:rsidRPr="008C16FF" w:rsidRDefault="00D629BA" w:rsidP="004403CD">
            <w:pPr>
              <w:spacing w:before="120" w:after="120"/>
              <w:rPr>
                <w:rStyle w:val="Strong"/>
                <w:rFonts w:asciiTheme="minorHAnsi" w:hAnsiTheme="minorHAnsi"/>
                <w:b w:val="0"/>
                <w:bCs w:val="0"/>
                <w:color w:val="00B050"/>
                <w:u w:val="single"/>
              </w:rPr>
            </w:pPr>
            <w:r w:rsidRPr="008C16FF">
              <w:rPr>
                <w:rFonts w:asciiTheme="minorHAnsi" w:hAnsiTheme="minorHAnsi"/>
                <w:b/>
                <w:bCs/>
                <w:color w:val="00B050"/>
                <w:u w:val="single"/>
              </w:rPr>
              <w:t>TECLISTAMAB</w:t>
            </w:r>
            <w:r w:rsidRPr="008C16FF">
              <w:rPr>
                <w:rStyle w:val="Strong"/>
                <w:rFonts w:asciiTheme="minorHAnsi" w:hAnsiTheme="minorHAnsi"/>
                <w:b w:val="0"/>
                <w:bCs w:val="0"/>
                <w:color w:val="00B050"/>
                <w:u w:val="single"/>
              </w:rPr>
              <w:t xml:space="preserve"> </w:t>
            </w:r>
          </w:p>
          <w:p w14:paraId="249E09BD" w14:textId="77777777" w:rsidR="00D629BA" w:rsidRPr="00013BFF" w:rsidRDefault="00D629BA" w:rsidP="004403CD">
            <w:pPr>
              <w:spacing w:before="120" w:after="120"/>
              <w:rPr>
                <w:color w:val="00B050"/>
              </w:rPr>
            </w:pPr>
            <w:r w:rsidRPr="00612683">
              <w:rPr>
                <w:rFonts w:asciiTheme="minorHAnsi" w:hAnsiTheme="minorHAnsi"/>
                <w:color w:val="00B050"/>
                <w:u w:val="single"/>
              </w:rPr>
              <w:t>Schedule 4</w:t>
            </w:r>
          </w:p>
        </w:tc>
      </w:tr>
    </w:tbl>
    <w:p w14:paraId="1B881C7D" w14:textId="35CE8BB4" w:rsidR="009F0B61" w:rsidRPr="009F0B61" w:rsidRDefault="0031371C" w:rsidP="00C7111E">
      <w:pPr>
        <w:pStyle w:val="Heading3"/>
        <w:spacing w:before="240" w:line="220" w:lineRule="atLeast"/>
      </w:pPr>
      <w:bookmarkStart w:id="67" w:name="_Toc143009521"/>
      <w:r>
        <w:t>6.13</w:t>
      </w:r>
      <w:r>
        <w:tab/>
      </w:r>
      <w:proofErr w:type="spellStart"/>
      <w:r w:rsidR="00D629BA" w:rsidRPr="00AC312F">
        <w:t>Tirbanibulin</w:t>
      </w:r>
      <w:bookmarkEnd w:id="67"/>
      <w:proofErr w:type="spellEnd"/>
    </w:p>
    <w:tbl>
      <w:tblPr>
        <w:tblStyle w:val="TableGrid"/>
        <w:tblW w:w="0" w:type="auto"/>
        <w:tblInd w:w="988" w:type="dxa"/>
        <w:tblLook w:val="04A0" w:firstRow="1" w:lastRow="0" w:firstColumn="1" w:lastColumn="0" w:noHBand="0" w:noVBand="1"/>
      </w:tblPr>
      <w:tblGrid>
        <w:gridCol w:w="8072"/>
      </w:tblGrid>
      <w:tr w:rsidR="00D629BA" w14:paraId="5F319FFB" w14:textId="77777777" w:rsidTr="009A15B0">
        <w:tc>
          <w:tcPr>
            <w:tcW w:w="8072" w:type="dxa"/>
          </w:tcPr>
          <w:p w14:paraId="53E67D03" w14:textId="77777777" w:rsidR="00D629BA" w:rsidRDefault="00D629BA" w:rsidP="004403CD">
            <w:pPr>
              <w:spacing w:before="120" w:after="120"/>
              <w:rPr>
                <w:rStyle w:val="Strong"/>
                <w:rFonts w:asciiTheme="minorHAnsi" w:hAnsiTheme="minorHAnsi"/>
                <w:color w:val="000000"/>
              </w:rPr>
            </w:pPr>
            <w:r w:rsidRPr="00105867">
              <w:rPr>
                <w:rStyle w:val="Strong"/>
                <w:rFonts w:asciiTheme="minorHAnsi" w:hAnsiTheme="minorHAnsi"/>
                <w:color w:val="000000"/>
              </w:rPr>
              <w:t>Schedule 4</w:t>
            </w:r>
            <w:r>
              <w:rPr>
                <w:rStyle w:val="Strong"/>
                <w:rFonts w:asciiTheme="minorHAnsi" w:hAnsiTheme="minorHAnsi"/>
                <w:color w:val="000000"/>
              </w:rPr>
              <w:t xml:space="preserve"> </w:t>
            </w:r>
            <w:r w:rsidRPr="00105867">
              <w:rPr>
                <w:rStyle w:val="Strong"/>
                <w:rFonts w:asciiTheme="minorHAnsi" w:hAnsiTheme="minorHAnsi"/>
                <w:color w:val="000000"/>
              </w:rPr>
              <w:t>- New Entry</w:t>
            </w:r>
          </w:p>
          <w:p w14:paraId="4C56B315" w14:textId="77777777" w:rsidR="00D629BA" w:rsidRPr="00612683" w:rsidRDefault="00D629BA" w:rsidP="004403CD">
            <w:pPr>
              <w:spacing w:before="120" w:after="120"/>
              <w:rPr>
                <w:rStyle w:val="Strong"/>
                <w:rFonts w:asciiTheme="minorHAnsi" w:hAnsiTheme="minorHAnsi"/>
                <w:b w:val="0"/>
                <w:bCs w:val="0"/>
                <w:color w:val="00B050"/>
                <w:u w:val="single"/>
              </w:rPr>
            </w:pPr>
            <w:r w:rsidRPr="00612683">
              <w:rPr>
                <w:rFonts w:asciiTheme="minorHAnsi" w:hAnsiTheme="minorHAnsi"/>
                <w:color w:val="00B050"/>
                <w:u w:val="single"/>
              </w:rPr>
              <w:t>TIRBANIBULIN</w:t>
            </w:r>
            <w:r w:rsidRPr="00612683">
              <w:rPr>
                <w:rStyle w:val="Strong"/>
                <w:rFonts w:asciiTheme="minorHAnsi" w:hAnsiTheme="minorHAnsi"/>
                <w:b w:val="0"/>
                <w:bCs w:val="0"/>
                <w:color w:val="00B050"/>
                <w:u w:val="single"/>
              </w:rPr>
              <w:t xml:space="preserve"> </w:t>
            </w:r>
          </w:p>
          <w:p w14:paraId="3521020C" w14:textId="77777777" w:rsidR="00D629BA" w:rsidRDefault="00D629BA" w:rsidP="004403CD">
            <w:pPr>
              <w:spacing w:before="120" w:after="120"/>
              <w:rPr>
                <w:rStyle w:val="Strong"/>
                <w:rFonts w:asciiTheme="minorHAnsi" w:hAnsiTheme="minorHAnsi"/>
              </w:rPr>
            </w:pPr>
            <w:r w:rsidRPr="004E10A3">
              <w:rPr>
                <w:rStyle w:val="Strong"/>
                <w:rFonts w:asciiTheme="minorHAnsi" w:hAnsiTheme="minorHAnsi"/>
              </w:rPr>
              <w:t>Index - New Entry</w:t>
            </w:r>
          </w:p>
          <w:p w14:paraId="4E5862E5" w14:textId="77777777" w:rsidR="00D629BA" w:rsidRPr="008C16FF" w:rsidRDefault="00D629BA" w:rsidP="004403CD">
            <w:pPr>
              <w:spacing w:before="120" w:after="120"/>
              <w:rPr>
                <w:rStyle w:val="Strong"/>
                <w:rFonts w:asciiTheme="minorHAnsi" w:hAnsiTheme="minorHAnsi"/>
                <w:b w:val="0"/>
                <w:bCs w:val="0"/>
                <w:color w:val="00B050"/>
                <w:u w:val="single"/>
              </w:rPr>
            </w:pPr>
            <w:r w:rsidRPr="008C16FF">
              <w:rPr>
                <w:rFonts w:asciiTheme="minorHAnsi" w:hAnsiTheme="minorHAnsi"/>
                <w:b/>
                <w:bCs/>
                <w:color w:val="00B050"/>
                <w:u w:val="single"/>
              </w:rPr>
              <w:t>TIRBANIBULIN</w:t>
            </w:r>
            <w:r w:rsidRPr="008C16FF">
              <w:rPr>
                <w:rStyle w:val="Strong"/>
                <w:rFonts w:asciiTheme="minorHAnsi" w:hAnsiTheme="minorHAnsi"/>
                <w:b w:val="0"/>
                <w:bCs w:val="0"/>
                <w:color w:val="00B050"/>
                <w:u w:val="single"/>
              </w:rPr>
              <w:t xml:space="preserve"> </w:t>
            </w:r>
          </w:p>
          <w:p w14:paraId="2FD6D18B" w14:textId="77777777" w:rsidR="00D629BA" w:rsidRPr="00013BFF" w:rsidRDefault="00D629BA" w:rsidP="004403CD">
            <w:pPr>
              <w:spacing w:before="120" w:after="120"/>
              <w:rPr>
                <w:color w:val="00B050"/>
              </w:rPr>
            </w:pPr>
            <w:r w:rsidRPr="00612683">
              <w:rPr>
                <w:rFonts w:asciiTheme="minorHAnsi" w:hAnsiTheme="minorHAnsi"/>
                <w:color w:val="00B050"/>
                <w:u w:val="single"/>
              </w:rPr>
              <w:t>Schedule 4</w:t>
            </w:r>
          </w:p>
        </w:tc>
      </w:tr>
    </w:tbl>
    <w:p w14:paraId="08EA6CA2" w14:textId="77777777" w:rsidR="009F0B61" w:rsidRDefault="009F0B61" w:rsidP="009F0B61"/>
    <w:p w14:paraId="4C9947F1" w14:textId="12D4CDDE" w:rsidR="009F0B61" w:rsidRPr="009F0B61" w:rsidRDefault="009F0B61" w:rsidP="009F0B61">
      <w:pPr>
        <w:sectPr w:rsidR="009F0B61" w:rsidRPr="009F0B61" w:rsidSect="00AE7C6A">
          <w:headerReference w:type="default" r:id="rId55"/>
          <w:footerReference w:type="default" r:id="rId56"/>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750B8D42" w14:textId="77777777" w:rsidTr="00564BBE">
        <w:trPr>
          <w:trHeight w:hRule="exact" w:val="565"/>
          <w:jc w:val="center"/>
        </w:trPr>
        <w:tc>
          <w:tcPr>
            <w:tcW w:w="9145" w:type="dxa"/>
          </w:tcPr>
          <w:p w14:paraId="72C7C633" w14:textId="77777777" w:rsidR="00F02AEC" w:rsidRPr="00215D48" w:rsidRDefault="00F02AEC" w:rsidP="00967490">
            <w:pPr>
              <w:pStyle w:val="TGASignoff"/>
            </w:pPr>
            <w:r w:rsidRPr="00215D48">
              <w:lastRenderedPageBreak/>
              <w:t>Therapeutic Goods Administration</w:t>
            </w:r>
          </w:p>
        </w:tc>
      </w:tr>
      <w:tr w:rsidR="00F02AEC" w:rsidRPr="00215D48" w14:paraId="24B1F6E1" w14:textId="77777777" w:rsidTr="00564BBE">
        <w:trPr>
          <w:trHeight w:val="963"/>
          <w:jc w:val="center"/>
        </w:trPr>
        <w:tc>
          <w:tcPr>
            <w:tcW w:w="9145" w:type="dxa"/>
            <w:tcMar>
              <w:top w:w="28" w:type="dxa"/>
            </w:tcMar>
          </w:tcPr>
          <w:p w14:paraId="57370B32" w14:textId="77777777" w:rsidR="00F02AEC" w:rsidRPr="00215D48" w:rsidRDefault="00F02AEC" w:rsidP="00300CBB">
            <w:pPr>
              <w:pStyle w:val="Address"/>
              <w:jc w:val="center"/>
            </w:pPr>
            <w:r w:rsidRPr="00215D48">
              <w:t>PO Box 100 Woden ACT 2606 Australia</w:t>
            </w:r>
          </w:p>
          <w:p w14:paraId="75B55E7E" w14:textId="77777777" w:rsidR="00F02AEC" w:rsidRDefault="00F02AEC" w:rsidP="00300CBB">
            <w:pPr>
              <w:pStyle w:val="Address"/>
              <w:jc w:val="center"/>
              <w:rPr>
                <w:sz w:val="22"/>
              </w:rPr>
            </w:pPr>
            <w:r w:rsidRPr="00215D48">
              <w:t xml:space="preserve">Email: </w:t>
            </w:r>
            <w:hyperlink r:id="rId57"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49F7061A" w14:textId="77777777" w:rsidR="00F02AEC" w:rsidRPr="00215D48" w:rsidRDefault="00BA03C5" w:rsidP="00300CBB">
            <w:pPr>
              <w:pStyle w:val="Address"/>
              <w:jc w:val="center"/>
              <w:rPr>
                <w:rStyle w:val="Hyperlink"/>
                <w:b/>
                <w:color w:val="auto"/>
                <w:sz w:val="22"/>
              </w:rPr>
            </w:pPr>
            <w:hyperlink r:id="rId58" w:history="1">
              <w:r w:rsidR="00F02AEC" w:rsidRPr="00C4721A">
                <w:rPr>
                  <w:rStyle w:val="Hyperlink"/>
                  <w:b/>
                </w:rPr>
                <w:t>https://www.tga.gov.au</w:t>
              </w:r>
            </w:hyperlink>
          </w:p>
        </w:tc>
      </w:tr>
      <w:tr w:rsidR="00F02AEC" w:rsidRPr="00215D48" w14:paraId="1B62B233" w14:textId="77777777" w:rsidTr="00564BBE">
        <w:trPr>
          <w:trHeight w:val="251"/>
          <w:jc w:val="center"/>
        </w:trPr>
        <w:tc>
          <w:tcPr>
            <w:tcW w:w="9145" w:type="dxa"/>
            <w:tcMar>
              <w:top w:w="28" w:type="dxa"/>
            </w:tcMar>
          </w:tcPr>
          <w:p w14:paraId="5A58CAA3" w14:textId="0153A928" w:rsidR="00F02AEC" w:rsidRPr="00215D48" w:rsidRDefault="00F02AEC" w:rsidP="00300CBB">
            <w:pPr>
              <w:pStyle w:val="Address"/>
              <w:jc w:val="center"/>
            </w:pPr>
          </w:p>
        </w:tc>
      </w:tr>
    </w:tbl>
    <w:p w14:paraId="221B1587" w14:textId="77777777" w:rsidR="002216A7" w:rsidRDefault="00BA03C5" w:rsidP="00967490"/>
    <w:sectPr w:rsidR="002216A7" w:rsidSect="00AE7C6A">
      <w:headerReference w:type="first" r:id="rId59"/>
      <w:footerReference w:type="first" r:id="rId60"/>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0270F" w14:textId="77777777" w:rsidR="000F6E0E" w:rsidRDefault="000F6E0E" w:rsidP="00967490">
      <w:r>
        <w:separator/>
      </w:r>
    </w:p>
    <w:p w14:paraId="67072D0F" w14:textId="77777777" w:rsidR="000F6E0E" w:rsidRDefault="000F6E0E" w:rsidP="00967490"/>
    <w:p w14:paraId="195884A6" w14:textId="77777777" w:rsidR="000F6E0E" w:rsidRDefault="000F6E0E" w:rsidP="00967490"/>
  </w:endnote>
  <w:endnote w:type="continuationSeparator" w:id="0">
    <w:p w14:paraId="49404230" w14:textId="77777777" w:rsidR="000F6E0E" w:rsidRDefault="000F6E0E" w:rsidP="00967490">
      <w:r>
        <w:continuationSeparator/>
      </w:r>
    </w:p>
    <w:p w14:paraId="413808E0" w14:textId="77777777" w:rsidR="000F6E0E" w:rsidRDefault="000F6E0E" w:rsidP="00967490"/>
    <w:p w14:paraId="1DB94042" w14:textId="77777777" w:rsidR="000F6E0E" w:rsidRDefault="000F6E0E" w:rsidP="00967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0E0F9132" w14:textId="77777777" w:rsidTr="000B30E5">
      <w:trPr>
        <w:trHeight w:val="423"/>
      </w:trPr>
      <w:tc>
        <w:tcPr>
          <w:tcW w:w="4360" w:type="dxa"/>
          <w:tcBorders>
            <w:top w:val="single" w:sz="4" w:space="0" w:color="auto"/>
          </w:tcBorders>
        </w:tcPr>
        <w:p w14:paraId="397C609C" w14:textId="77777777" w:rsidR="00F02AEC" w:rsidRDefault="00F02AEC" w:rsidP="00967490">
          <w:pPr>
            <w:pStyle w:val="Footer"/>
          </w:pPr>
        </w:p>
        <w:p w14:paraId="7393120B" w14:textId="77777777" w:rsidR="00F02AEC" w:rsidRPr="00257138" w:rsidRDefault="00F02AEC" w:rsidP="00967490">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C2813E0" w14:textId="77777777" w:rsidR="00F02AEC" w:rsidRDefault="00F02AEC" w:rsidP="00967490">
              <w:pPr>
                <w:pStyle w:val="Footer"/>
              </w:pPr>
            </w:p>
            <w:p w14:paraId="588F5728" w14:textId="497C4EFE" w:rsidR="00F02AEC" w:rsidRPr="00257138" w:rsidRDefault="00F02AEC" w:rsidP="00967490">
              <w:pPr>
                <w:pStyle w:val="Footer"/>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BA03C5">
                <w:fldChar w:fldCharType="begin"/>
              </w:r>
              <w:r w:rsidR="00BA03C5">
                <w:instrText xml:space="preserve"> NUMPAGES  </w:instrText>
              </w:r>
              <w:r w:rsidR="00BA03C5">
                <w:fldChar w:fldCharType="separate"/>
              </w:r>
              <w:r>
                <w:rPr>
                  <w:noProof/>
                </w:rPr>
                <w:t>2</w:t>
              </w:r>
              <w:r w:rsidR="00BA03C5">
                <w:rPr>
                  <w:noProof/>
                </w:rPr>
                <w:fldChar w:fldCharType="end"/>
              </w:r>
            </w:p>
          </w:sdtContent>
        </w:sdt>
      </w:tc>
    </w:tr>
    <w:tr w:rsidR="00F02AEC" w:rsidRPr="00257138" w14:paraId="5A8E6528" w14:textId="77777777" w:rsidTr="000B30E5">
      <w:trPr>
        <w:trHeight w:val="263"/>
      </w:trPr>
      <w:tc>
        <w:tcPr>
          <w:tcW w:w="4360" w:type="dxa"/>
        </w:tcPr>
        <w:p w14:paraId="0641E1B7" w14:textId="77777777" w:rsidR="00F02AEC" w:rsidRPr="00257138" w:rsidRDefault="00F02AEC" w:rsidP="00967490">
          <w:pPr>
            <w:pStyle w:val="Footer"/>
          </w:pPr>
          <w:r w:rsidRPr="00257138">
            <w:t xml:space="preserve">V1.0 </w:t>
          </w:r>
          <w:r>
            <w:t>Month</w:t>
          </w:r>
          <w:r w:rsidRPr="00257138">
            <w:t xml:space="preserve"> 201</w:t>
          </w:r>
          <w:r>
            <w:t>2</w:t>
          </w:r>
        </w:p>
      </w:tc>
      <w:tc>
        <w:tcPr>
          <w:tcW w:w="4360" w:type="dxa"/>
        </w:tcPr>
        <w:p w14:paraId="287CE5F3" w14:textId="77777777" w:rsidR="00F02AEC" w:rsidRPr="00257138" w:rsidRDefault="00F02AEC" w:rsidP="00967490">
          <w:pPr>
            <w:pStyle w:val="Footer"/>
          </w:pPr>
        </w:p>
      </w:tc>
    </w:tr>
  </w:tbl>
  <w:p w14:paraId="23CB8D1E" w14:textId="77777777" w:rsidR="00F02AEC" w:rsidRPr="00826007" w:rsidRDefault="00F02AEC" w:rsidP="00967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92A3F" w14:textId="77777777" w:rsidR="00F02AEC" w:rsidRDefault="00F02AEC" w:rsidP="00967490">
    <w:pPr>
      <w:pStyle w:val="Footer"/>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F02AEC" w:rsidRPr="009377B7" w14:paraId="26871269" w14:textId="77777777" w:rsidTr="008B1EEA">
      <w:trPr>
        <w:trHeight w:val="423"/>
      </w:trPr>
      <w:tc>
        <w:tcPr>
          <w:tcW w:w="7338" w:type="dxa"/>
        </w:tcPr>
        <w:p w14:paraId="5FF3321B" w14:textId="38147AF5" w:rsidR="00F02AEC" w:rsidRPr="008B1EEA" w:rsidRDefault="00097169" w:rsidP="00097169">
          <w:pPr>
            <w:pStyle w:val="Footer"/>
            <w:ind w:left="-108"/>
            <w:rPr>
              <w:rFonts w:asciiTheme="minorHAnsi" w:hAnsiTheme="minorHAnsi" w:cstheme="minorHAnsi"/>
            </w:rPr>
          </w:pPr>
          <w:r>
            <w:rPr>
              <w:rFonts w:asciiTheme="minorHAnsi" w:hAnsiTheme="minorHAnsi" w:cstheme="minorHAnsi"/>
            </w:rPr>
            <w:t>Delegate’s final</w:t>
          </w:r>
          <w:r w:rsidR="008B1EEA">
            <w:rPr>
              <w:rFonts w:asciiTheme="minorHAnsi" w:hAnsiTheme="minorHAnsi" w:cstheme="minorHAnsi"/>
            </w:rPr>
            <w:t xml:space="preserve"> decisions </w:t>
          </w:r>
          <w:r>
            <w:rPr>
              <w:rFonts w:asciiTheme="minorHAnsi" w:hAnsiTheme="minorHAnsi" w:cstheme="minorHAnsi"/>
            </w:rPr>
            <w:t>and reasons for decisions (</w:t>
          </w:r>
          <w:r w:rsidRPr="00097169">
            <w:rPr>
              <w:rFonts w:asciiTheme="minorHAnsi" w:hAnsiTheme="minorHAnsi" w:cstheme="minorHAnsi"/>
            </w:rPr>
            <w:t>ACMS #4</w:t>
          </w:r>
          <w:r>
            <w:rPr>
              <w:rFonts w:asciiTheme="minorHAnsi" w:hAnsiTheme="minorHAnsi" w:cstheme="minorHAnsi"/>
            </w:rPr>
            <w:t>1</w:t>
          </w:r>
          <w:r w:rsidRPr="00097169">
            <w:rPr>
              <w:rFonts w:asciiTheme="minorHAnsi" w:hAnsiTheme="minorHAnsi" w:cstheme="minorHAnsi"/>
            </w:rPr>
            <w:t>, ACCS #3</w:t>
          </w:r>
          <w:r>
            <w:rPr>
              <w:rFonts w:asciiTheme="minorHAnsi" w:hAnsiTheme="minorHAnsi" w:cstheme="minorHAnsi"/>
            </w:rPr>
            <w:t>6</w:t>
          </w:r>
          <w:r w:rsidRPr="00097169">
            <w:rPr>
              <w:rFonts w:asciiTheme="minorHAnsi" w:hAnsiTheme="minorHAnsi" w:cstheme="minorHAnsi"/>
            </w:rPr>
            <w:t>, Joint ACMS-ACCS #3</w:t>
          </w:r>
          <w:r>
            <w:rPr>
              <w:rFonts w:asciiTheme="minorHAnsi" w:hAnsiTheme="minorHAnsi" w:cstheme="minorHAnsi"/>
            </w:rPr>
            <w:t>3, March 2023)</w:t>
          </w:r>
        </w:p>
      </w:tc>
      <w:tc>
        <w:tcPr>
          <w:tcW w:w="1734" w:type="dxa"/>
        </w:tcPr>
        <w:sdt>
          <w:sdtPr>
            <w:rPr>
              <w:rFonts w:asciiTheme="minorHAnsi" w:hAnsiTheme="minorHAnsi" w:cstheme="minorHAnsi"/>
            </w:rPr>
            <w:id w:val="11571659"/>
            <w:docPartObj>
              <w:docPartGallery w:val="Page Numbers (Top of Page)"/>
              <w:docPartUnique/>
            </w:docPartObj>
          </w:sdtPr>
          <w:sdtEndPr/>
          <w:sdtContent>
            <w:p w14:paraId="0FD62CF3" w14:textId="69AF9F4C" w:rsidR="00F02AEC" w:rsidRPr="008B1EEA" w:rsidRDefault="00F02AEC" w:rsidP="008B1EEA">
              <w:pPr>
                <w:pStyle w:val="Footer"/>
                <w:ind w:left="-78" w:right="-99"/>
                <w:jc w:val="right"/>
                <w:rPr>
                  <w:rFonts w:asciiTheme="minorHAnsi" w:hAnsiTheme="minorHAnsi" w:cstheme="minorHAnsi"/>
                </w:rPr>
              </w:pPr>
              <w:r w:rsidRPr="008B1EEA">
                <w:rPr>
                  <w:rFonts w:asciiTheme="minorHAnsi" w:hAnsiTheme="minorHAnsi" w:cstheme="minorHAnsi"/>
                </w:rPr>
                <w:t xml:space="preserve">Page </w:t>
              </w:r>
              <w:r w:rsidRPr="008B1EEA">
                <w:rPr>
                  <w:rFonts w:asciiTheme="minorHAnsi" w:hAnsiTheme="minorHAnsi" w:cstheme="minorHAnsi"/>
                </w:rPr>
                <w:fldChar w:fldCharType="begin"/>
              </w:r>
              <w:r w:rsidRPr="008B1EEA">
                <w:rPr>
                  <w:rFonts w:asciiTheme="minorHAnsi" w:hAnsiTheme="minorHAnsi" w:cstheme="minorHAnsi"/>
                </w:rPr>
                <w:instrText xml:space="preserve"> PAGE </w:instrText>
              </w:r>
              <w:r w:rsidRPr="008B1EEA">
                <w:rPr>
                  <w:rFonts w:asciiTheme="minorHAnsi" w:hAnsiTheme="minorHAnsi" w:cstheme="minorHAnsi"/>
                </w:rPr>
                <w:fldChar w:fldCharType="separate"/>
              </w:r>
              <w:r w:rsidRPr="008B1EEA">
                <w:rPr>
                  <w:rFonts w:asciiTheme="minorHAnsi" w:hAnsiTheme="minorHAnsi" w:cstheme="minorHAnsi"/>
                  <w:noProof/>
                </w:rPr>
                <w:t>6</w:t>
              </w:r>
              <w:r w:rsidRPr="008B1EEA">
                <w:rPr>
                  <w:rFonts w:asciiTheme="minorHAnsi" w:hAnsiTheme="minorHAnsi" w:cstheme="minorHAnsi"/>
                  <w:noProof/>
                </w:rPr>
                <w:fldChar w:fldCharType="end"/>
              </w:r>
              <w:r w:rsidRPr="008B1EEA">
                <w:rPr>
                  <w:rFonts w:asciiTheme="minorHAnsi" w:hAnsiTheme="minorHAnsi" w:cstheme="minorHAnsi"/>
                </w:rPr>
                <w:t xml:space="preserve"> of </w:t>
              </w:r>
              <w:r w:rsidRPr="008B1EEA">
                <w:rPr>
                  <w:rFonts w:asciiTheme="minorHAnsi" w:hAnsiTheme="minorHAnsi" w:cstheme="minorHAnsi"/>
                </w:rPr>
                <w:fldChar w:fldCharType="begin"/>
              </w:r>
              <w:r w:rsidRPr="008B1EEA">
                <w:rPr>
                  <w:rFonts w:asciiTheme="minorHAnsi" w:hAnsiTheme="minorHAnsi" w:cstheme="minorHAnsi"/>
                </w:rPr>
                <w:instrText xml:space="preserve"> NUMPAGES  </w:instrText>
              </w:r>
              <w:r w:rsidRPr="008B1EEA">
                <w:rPr>
                  <w:rFonts w:asciiTheme="minorHAnsi" w:hAnsiTheme="minorHAnsi" w:cstheme="minorHAnsi"/>
                </w:rPr>
                <w:fldChar w:fldCharType="separate"/>
              </w:r>
              <w:r w:rsidRPr="008B1EEA">
                <w:rPr>
                  <w:rFonts w:asciiTheme="minorHAnsi" w:hAnsiTheme="minorHAnsi" w:cstheme="minorHAnsi"/>
                  <w:noProof/>
                </w:rPr>
                <w:t>7</w:t>
              </w:r>
              <w:r w:rsidRPr="008B1EEA">
                <w:rPr>
                  <w:rFonts w:asciiTheme="minorHAnsi" w:hAnsiTheme="minorHAnsi" w:cstheme="minorHAnsi"/>
                  <w:noProof/>
                </w:rPr>
                <w:fldChar w:fldCharType="end"/>
              </w:r>
            </w:p>
          </w:sdtContent>
        </w:sdt>
      </w:tc>
    </w:tr>
  </w:tbl>
  <w:p w14:paraId="26DA1F76" w14:textId="77777777" w:rsidR="00F02AEC" w:rsidRPr="008B1EEA" w:rsidRDefault="00F02AEC" w:rsidP="00967490">
    <w:pPr>
      <w:pStyle w:val="Footer"/>
      <w:rPr>
        <w:rFonts w:asciiTheme="minorHAnsi" w:hAnsiTheme="minorHAnsi" w:cstheme="minorHAns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0EBDA" w14:textId="77777777" w:rsidR="00A77452" w:rsidRPr="008E3C43" w:rsidRDefault="00BA03C5" w:rsidP="00967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C3FE2" w14:textId="77777777" w:rsidR="000F6E0E" w:rsidRDefault="000F6E0E" w:rsidP="00967490">
      <w:r>
        <w:separator/>
      </w:r>
    </w:p>
  </w:footnote>
  <w:footnote w:type="continuationSeparator" w:id="0">
    <w:p w14:paraId="544E3649" w14:textId="77777777" w:rsidR="000F6E0E" w:rsidRDefault="000F6E0E" w:rsidP="00967490">
      <w:r>
        <w:continuationSeparator/>
      </w:r>
    </w:p>
    <w:p w14:paraId="578574CC" w14:textId="77777777" w:rsidR="000F6E0E" w:rsidRDefault="000F6E0E" w:rsidP="00967490"/>
    <w:p w14:paraId="35DE8DA0" w14:textId="77777777" w:rsidR="000F6E0E" w:rsidRDefault="000F6E0E" w:rsidP="00967490"/>
  </w:footnote>
  <w:footnote w:id="1">
    <w:p w14:paraId="799494EA" w14:textId="04BDEDC9" w:rsidR="00457050" w:rsidRPr="00641991" w:rsidRDefault="00457050" w:rsidP="008B1EEA">
      <w:pPr>
        <w:pStyle w:val="FootnoteText"/>
        <w:keepLines w:val="0"/>
        <w:spacing w:line="0" w:lineRule="atLeast"/>
        <w:contextualSpacing/>
        <w:rPr>
          <w:rFonts w:asciiTheme="minorHAnsi" w:hAnsiTheme="minorHAnsi" w:cstheme="minorHAnsi"/>
          <w:sz w:val="18"/>
          <w:szCs w:val="18"/>
        </w:rPr>
      </w:pPr>
      <w:r w:rsidRPr="00641991">
        <w:rPr>
          <w:rStyle w:val="FootnoteReference"/>
          <w:rFonts w:asciiTheme="minorHAnsi" w:hAnsiTheme="minorHAnsi" w:cstheme="minorHAnsi"/>
          <w:sz w:val="18"/>
          <w:szCs w:val="18"/>
        </w:rPr>
        <w:footnoteRef/>
      </w:r>
      <w:r w:rsidRPr="00641991">
        <w:rPr>
          <w:rFonts w:asciiTheme="minorHAnsi" w:hAnsiTheme="minorHAnsi" w:cstheme="minorHAnsi"/>
          <w:sz w:val="18"/>
          <w:szCs w:val="18"/>
        </w:rPr>
        <w:t xml:space="preserve"> For the purposes of s 52D of the </w:t>
      </w:r>
      <w:r w:rsidRPr="00641991">
        <w:rPr>
          <w:rFonts w:asciiTheme="minorHAnsi" w:hAnsiTheme="minorHAnsi" w:cstheme="minorHAnsi"/>
          <w:i/>
          <w:iCs/>
          <w:sz w:val="18"/>
          <w:szCs w:val="18"/>
        </w:rPr>
        <w:t>Therapeutic Goods Act 1989</w:t>
      </w:r>
      <w:r w:rsidRPr="00641991">
        <w:rPr>
          <w:rFonts w:asciiTheme="minorHAnsi" w:hAnsiTheme="minorHAnsi" w:cstheme="minorHAnsi"/>
          <w:sz w:val="18"/>
          <w:szCs w:val="18"/>
        </w:rPr>
        <w:t xml:space="preserve"> (</w:t>
      </w:r>
      <w:proofErr w:type="spellStart"/>
      <w:r w:rsidRPr="00641991">
        <w:rPr>
          <w:rFonts w:asciiTheme="minorHAnsi" w:hAnsiTheme="minorHAnsi" w:cstheme="minorHAnsi"/>
          <w:sz w:val="18"/>
          <w:szCs w:val="18"/>
        </w:rPr>
        <w:t>Cth</w:t>
      </w:r>
      <w:proofErr w:type="spellEnd"/>
      <w:r w:rsidRPr="00641991">
        <w:rPr>
          <w:rFonts w:asciiTheme="minorHAnsi" w:hAnsiTheme="minorHAnsi" w:cstheme="minorHAnsi"/>
          <w:sz w:val="18"/>
          <w:szCs w:val="18"/>
        </w:rPr>
        <w:t>).</w:t>
      </w:r>
    </w:p>
  </w:footnote>
  <w:footnote w:id="2">
    <w:p w14:paraId="42372DF9" w14:textId="2E8B9D96" w:rsidR="003371E3" w:rsidRDefault="003371E3" w:rsidP="00C7111E">
      <w:pPr>
        <w:pStyle w:val="FootnoteText"/>
        <w:tabs>
          <w:tab w:val="left" w:pos="8647"/>
        </w:tabs>
      </w:pPr>
      <w:r>
        <w:rPr>
          <w:rStyle w:val="FootnoteReference"/>
        </w:rPr>
        <w:footnoteRef/>
      </w:r>
      <w:r>
        <w:t xml:space="preserve"> </w:t>
      </w:r>
      <w:r w:rsidRPr="00163AEE">
        <w:rPr>
          <w:rFonts w:asciiTheme="minorHAnsi" w:hAnsiTheme="minorHAnsi" w:cstheme="minorHAnsi"/>
          <w:sz w:val="18"/>
          <w:szCs w:val="18"/>
        </w:rPr>
        <w:t>Proposed additions are shown in green underlined font, proposed deletions are shown in red strikethrough font, and text without this formatting represents the current text in the Poisons Standard.</w:t>
      </w:r>
    </w:p>
  </w:footnote>
  <w:footnote w:id="3">
    <w:p w14:paraId="5421D73B" w14:textId="77777777" w:rsidR="00457050" w:rsidRPr="00641991" w:rsidRDefault="00457050" w:rsidP="00967490">
      <w:pPr>
        <w:pStyle w:val="FootnoteText"/>
        <w:rPr>
          <w:rFonts w:asciiTheme="minorHAnsi" w:hAnsiTheme="minorHAnsi" w:cstheme="minorHAnsi"/>
          <w:sz w:val="18"/>
          <w:szCs w:val="18"/>
        </w:rPr>
      </w:pPr>
      <w:r w:rsidRPr="00641991">
        <w:rPr>
          <w:rStyle w:val="FootnoteReference"/>
          <w:rFonts w:asciiTheme="minorHAnsi" w:hAnsiTheme="minorHAnsi" w:cstheme="minorHAnsi"/>
          <w:sz w:val="18"/>
          <w:szCs w:val="18"/>
        </w:rPr>
        <w:footnoteRef/>
      </w:r>
      <w:r w:rsidRPr="00641991">
        <w:rPr>
          <w:rFonts w:asciiTheme="minorHAnsi" w:hAnsiTheme="minorHAnsi" w:cstheme="minorHAnsi"/>
          <w:sz w:val="18"/>
          <w:szCs w:val="18"/>
        </w:rPr>
        <w:t xml:space="preserve"> Established under sections 52B and 52C of the </w:t>
      </w:r>
      <w:r w:rsidRPr="00641991">
        <w:rPr>
          <w:rFonts w:asciiTheme="minorHAnsi" w:hAnsiTheme="minorHAnsi" w:cstheme="minorHAnsi"/>
          <w:i/>
          <w:iCs/>
          <w:sz w:val="18"/>
          <w:szCs w:val="18"/>
        </w:rPr>
        <w:t>Therapeutic Goods Act 1989</w:t>
      </w:r>
      <w:r w:rsidRPr="00641991">
        <w:rPr>
          <w:rFonts w:asciiTheme="minorHAnsi" w:hAnsiTheme="minorHAnsi" w:cstheme="minorHAnsi"/>
          <w:sz w:val="18"/>
          <w:szCs w:val="18"/>
        </w:rPr>
        <w:t xml:space="preserve"> (</w:t>
      </w:r>
      <w:proofErr w:type="spellStart"/>
      <w:r w:rsidRPr="00641991">
        <w:rPr>
          <w:rFonts w:asciiTheme="minorHAnsi" w:hAnsiTheme="minorHAnsi" w:cstheme="minorHAnsi"/>
          <w:sz w:val="18"/>
          <w:szCs w:val="18"/>
        </w:rPr>
        <w:t>Cth</w:t>
      </w:r>
      <w:proofErr w:type="spellEnd"/>
      <w:r w:rsidRPr="00641991">
        <w:rPr>
          <w:rFonts w:asciiTheme="minorHAnsi" w:hAnsiTheme="minorHAnsi" w:cstheme="minorHAnsi"/>
          <w:sz w:val="18"/>
          <w:szCs w:val="18"/>
        </w:rPr>
        <w:t>).</w:t>
      </w:r>
    </w:p>
  </w:footnote>
  <w:footnote w:id="4">
    <w:p w14:paraId="1FA031CD" w14:textId="5338F8D1" w:rsidR="003371E3" w:rsidRDefault="003371E3">
      <w:pPr>
        <w:pStyle w:val="FootnoteText"/>
      </w:pPr>
      <w:r>
        <w:rPr>
          <w:rStyle w:val="FootnoteReference"/>
        </w:rPr>
        <w:footnoteRef/>
      </w:r>
      <w:r>
        <w:t xml:space="preserve"> </w:t>
      </w:r>
      <w:r w:rsidRPr="00163AEE">
        <w:rPr>
          <w:rFonts w:asciiTheme="minorHAnsi" w:hAnsiTheme="minorHAnsi" w:cstheme="minorHAnsi"/>
          <w:sz w:val="18"/>
          <w:szCs w:val="18"/>
        </w:rPr>
        <w:t>Proposed additions are shown in green underlined font, proposed deletions are shown in red strikethrough font, and text without this formatting represents the current text in the Poisons Standard.</w:t>
      </w:r>
    </w:p>
  </w:footnote>
  <w:footnote w:id="5">
    <w:p w14:paraId="6A7CAF98" w14:textId="77777777" w:rsidR="00F53BA6" w:rsidRPr="00641991" w:rsidRDefault="00F53BA6" w:rsidP="00F53BA6">
      <w:pPr>
        <w:pStyle w:val="FootnoteText"/>
        <w:rPr>
          <w:rFonts w:asciiTheme="minorHAnsi" w:hAnsiTheme="minorHAnsi" w:cstheme="minorHAnsi"/>
          <w:sz w:val="18"/>
          <w:szCs w:val="18"/>
        </w:rPr>
      </w:pPr>
      <w:r w:rsidRPr="00641991">
        <w:rPr>
          <w:rStyle w:val="FootnoteReference"/>
          <w:rFonts w:asciiTheme="minorHAnsi" w:hAnsiTheme="minorHAnsi" w:cstheme="minorHAnsi"/>
          <w:sz w:val="18"/>
          <w:szCs w:val="18"/>
        </w:rPr>
        <w:footnoteRef/>
      </w:r>
      <w:r w:rsidRPr="00641991">
        <w:rPr>
          <w:rFonts w:asciiTheme="minorHAnsi" w:hAnsiTheme="minorHAnsi" w:cstheme="minorHAnsi"/>
          <w:sz w:val="18"/>
          <w:szCs w:val="18"/>
        </w:rPr>
        <w:t xml:space="preserve"> Established under sections 52B and 52C of the </w:t>
      </w:r>
      <w:r w:rsidRPr="00641991">
        <w:rPr>
          <w:rFonts w:asciiTheme="minorHAnsi" w:hAnsiTheme="minorHAnsi" w:cstheme="minorHAnsi"/>
          <w:i/>
          <w:iCs/>
          <w:sz w:val="18"/>
          <w:szCs w:val="18"/>
        </w:rPr>
        <w:t>Therapeutic Goods Act 1989</w:t>
      </w:r>
      <w:r w:rsidRPr="00641991">
        <w:rPr>
          <w:rFonts w:asciiTheme="minorHAnsi" w:hAnsiTheme="minorHAnsi" w:cstheme="minorHAnsi"/>
          <w:sz w:val="18"/>
          <w:szCs w:val="18"/>
        </w:rPr>
        <w:t xml:space="preserve"> (</w:t>
      </w:r>
      <w:proofErr w:type="spellStart"/>
      <w:r w:rsidRPr="00641991">
        <w:rPr>
          <w:rFonts w:asciiTheme="minorHAnsi" w:hAnsiTheme="minorHAnsi" w:cstheme="minorHAnsi"/>
          <w:sz w:val="18"/>
          <w:szCs w:val="18"/>
        </w:rPr>
        <w:t>Cth</w:t>
      </w:r>
      <w:proofErr w:type="spellEnd"/>
      <w:r w:rsidRPr="00641991">
        <w:rPr>
          <w:rFonts w:asciiTheme="minorHAnsi" w:hAnsiTheme="minorHAnsi" w:cstheme="minorHAnsi"/>
          <w:sz w:val="18"/>
          <w:szCs w:val="18"/>
        </w:rPr>
        <w:t>).</w:t>
      </w:r>
    </w:p>
  </w:footnote>
  <w:footnote w:id="6">
    <w:p w14:paraId="05F10998" w14:textId="3C62B2AE" w:rsidR="003371E3" w:rsidRDefault="003371E3">
      <w:pPr>
        <w:pStyle w:val="FootnoteText"/>
      </w:pPr>
      <w:r>
        <w:rPr>
          <w:rStyle w:val="FootnoteReference"/>
        </w:rPr>
        <w:footnoteRef/>
      </w:r>
      <w:r>
        <w:t xml:space="preserve"> </w:t>
      </w:r>
      <w:r w:rsidRPr="00163AEE">
        <w:rPr>
          <w:rFonts w:asciiTheme="minorHAnsi" w:hAnsiTheme="minorHAnsi" w:cstheme="minorHAnsi"/>
          <w:sz w:val="18"/>
          <w:szCs w:val="18"/>
        </w:rPr>
        <w:t>Proposed additions are shown in green underlined font, proposed deletions are shown in red strikethrough font, and text without this formatting represents the current text in the Poisons Standard.</w:t>
      </w:r>
    </w:p>
  </w:footnote>
  <w:footnote w:id="7">
    <w:p w14:paraId="41414191" w14:textId="77777777" w:rsidR="0022697D" w:rsidRPr="00641991" w:rsidRDefault="0022697D" w:rsidP="0022697D">
      <w:pPr>
        <w:pStyle w:val="FootnoteText"/>
        <w:rPr>
          <w:rFonts w:asciiTheme="minorHAnsi" w:hAnsiTheme="minorHAnsi" w:cstheme="minorHAnsi"/>
          <w:sz w:val="18"/>
          <w:szCs w:val="18"/>
        </w:rPr>
      </w:pPr>
      <w:r w:rsidRPr="00641991">
        <w:rPr>
          <w:rStyle w:val="FootnoteReference"/>
          <w:rFonts w:asciiTheme="minorHAnsi" w:hAnsiTheme="minorHAnsi" w:cstheme="minorHAnsi"/>
          <w:sz w:val="18"/>
          <w:szCs w:val="18"/>
        </w:rPr>
        <w:footnoteRef/>
      </w:r>
      <w:r w:rsidRPr="00641991">
        <w:rPr>
          <w:rFonts w:asciiTheme="minorHAnsi" w:hAnsiTheme="minorHAnsi" w:cstheme="minorHAnsi"/>
          <w:sz w:val="18"/>
          <w:szCs w:val="18"/>
        </w:rPr>
        <w:t xml:space="preserve"> Established under sections 52B and 52C of the </w:t>
      </w:r>
      <w:r w:rsidRPr="00641991">
        <w:rPr>
          <w:rFonts w:asciiTheme="minorHAnsi" w:hAnsiTheme="minorHAnsi" w:cstheme="minorHAnsi"/>
          <w:i/>
          <w:iCs/>
          <w:sz w:val="18"/>
          <w:szCs w:val="18"/>
        </w:rPr>
        <w:t>Therapeutic Goods Act 1989</w:t>
      </w:r>
      <w:r w:rsidRPr="00641991">
        <w:rPr>
          <w:rFonts w:asciiTheme="minorHAnsi" w:hAnsiTheme="minorHAnsi" w:cstheme="minorHAnsi"/>
          <w:sz w:val="18"/>
          <w:szCs w:val="18"/>
        </w:rPr>
        <w:t xml:space="preserve"> (</w:t>
      </w:r>
      <w:proofErr w:type="spellStart"/>
      <w:r w:rsidRPr="00641991">
        <w:rPr>
          <w:rFonts w:asciiTheme="minorHAnsi" w:hAnsiTheme="minorHAnsi" w:cstheme="minorHAnsi"/>
          <w:sz w:val="18"/>
          <w:szCs w:val="18"/>
        </w:rPr>
        <w:t>Cth</w:t>
      </w:r>
      <w:proofErr w:type="spellEnd"/>
      <w:r w:rsidRPr="00641991">
        <w:rPr>
          <w:rFonts w:asciiTheme="minorHAnsi" w:hAnsiTheme="minorHAnsi" w:cstheme="minorHAnsi"/>
          <w:sz w:val="18"/>
          <w:szCs w:val="18"/>
        </w:rPr>
        <w:t>).</w:t>
      </w:r>
    </w:p>
  </w:footnote>
  <w:footnote w:id="8">
    <w:p w14:paraId="4FA2947B" w14:textId="77777777" w:rsidR="00F67574" w:rsidRPr="00641991" w:rsidRDefault="00F67574" w:rsidP="00F67574">
      <w:pPr>
        <w:pStyle w:val="FootnoteText"/>
        <w:rPr>
          <w:rFonts w:asciiTheme="minorHAnsi" w:hAnsiTheme="minorHAnsi" w:cstheme="minorHAnsi"/>
          <w:sz w:val="18"/>
          <w:szCs w:val="18"/>
        </w:rPr>
      </w:pPr>
      <w:r w:rsidRPr="00641991">
        <w:rPr>
          <w:rStyle w:val="FootnoteReference"/>
          <w:rFonts w:asciiTheme="minorHAnsi" w:hAnsiTheme="minorHAnsi" w:cstheme="minorHAnsi"/>
          <w:sz w:val="18"/>
          <w:szCs w:val="18"/>
        </w:rPr>
        <w:footnoteRef/>
      </w:r>
      <w:r w:rsidRPr="00641991">
        <w:rPr>
          <w:rFonts w:asciiTheme="minorHAnsi" w:hAnsiTheme="minorHAnsi" w:cstheme="minorHAnsi"/>
          <w:sz w:val="18"/>
          <w:szCs w:val="18"/>
        </w:rPr>
        <w:t xml:space="preserve"> Lim JS, Buckley NA, Chitty KM, Moles RJ, Cairns R. Association Between Means Restriction of Poison and Method-Specific Suicide Rates: A Systematic Review. JAMA Health Forum. 2021;2(10</w:t>
      </w:r>
      <w:proofErr w:type="gramStart"/>
      <w:r w:rsidRPr="00641991">
        <w:rPr>
          <w:rFonts w:asciiTheme="minorHAnsi" w:hAnsiTheme="minorHAnsi" w:cstheme="minorHAnsi"/>
          <w:sz w:val="18"/>
          <w:szCs w:val="18"/>
        </w:rPr>
        <w:t>):e</w:t>
      </w:r>
      <w:proofErr w:type="gramEnd"/>
      <w:r w:rsidRPr="00641991">
        <w:rPr>
          <w:rFonts w:asciiTheme="minorHAnsi" w:hAnsiTheme="minorHAnsi" w:cstheme="minorHAnsi"/>
          <w:sz w:val="18"/>
          <w:szCs w:val="18"/>
        </w:rPr>
        <w:t>213042. doi:10.1001/jamahealthforum.2021.3042</w:t>
      </w:r>
    </w:p>
  </w:footnote>
  <w:footnote w:id="9">
    <w:p w14:paraId="2A2C6652" w14:textId="7DC9C100" w:rsidR="003371E3" w:rsidRDefault="003371E3">
      <w:pPr>
        <w:pStyle w:val="FootnoteText"/>
      </w:pPr>
      <w:r>
        <w:rPr>
          <w:rStyle w:val="FootnoteReference"/>
        </w:rPr>
        <w:footnoteRef/>
      </w:r>
      <w:r>
        <w:t xml:space="preserve"> </w:t>
      </w:r>
      <w:r w:rsidRPr="00163AEE">
        <w:rPr>
          <w:rFonts w:asciiTheme="minorHAnsi" w:hAnsiTheme="minorHAnsi" w:cstheme="minorHAnsi"/>
          <w:sz w:val="18"/>
          <w:szCs w:val="18"/>
        </w:rPr>
        <w:t>Proposed additions are shown in green underlined font, proposed deletions are shown in red strikethrough font, and text without this formatting represents the current text in the Poisons Standard.</w:t>
      </w:r>
    </w:p>
  </w:footnote>
  <w:footnote w:id="10">
    <w:p w14:paraId="7F7D2B4B" w14:textId="77777777" w:rsidR="0022697D" w:rsidRPr="00641991" w:rsidRDefault="0022697D" w:rsidP="0022697D">
      <w:pPr>
        <w:pStyle w:val="FootnoteText"/>
        <w:rPr>
          <w:rFonts w:asciiTheme="minorHAnsi" w:hAnsiTheme="minorHAnsi" w:cstheme="minorHAnsi"/>
          <w:sz w:val="18"/>
          <w:szCs w:val="18"/>
        </w:rPr>
      </w:pPr>
      <w:r w:rsidRPr="00C7111E">
        <w:rPr>
          <w:rStyle w:val="FootnoteReference"/>
          <w:rFonts w:asciiTheme="minorHAnsi" w:hAnsiTheme="minorHAnsi" w:cstheme="minorHAnsi"/>
          <w:color w:val="auto"/>
          <w:sz w:val="18"/>
          <w:szCs w:val="18"/>
        </w:rPr>
        <w:footnoteRef/>
      </w:r>
      <w:r w:rsidRPr="00C7111E">
        <w:rPr>
          <w:rFonts w:asciiTheme="minorHAnsi" w:hAnsiTheme="minorHAnsi" w:cstheme="minorHAnsi"/>
          <w:color w:val="auto"/>
          <w:sz w:val="18"/>
          <w:szCs w:val="18"/>
        </w:rPr>
        <w:t xml:space="preserve"> Established under sections 52B and 52C of the </w:t>
      </w:r>
      <w:r w:rsidRPr="00C7111E">
        <w:rPr>
          <w:rFonts w:asciiTheme="minorHAnsi" w:hAnsiTheme="minorHAnsi" w:cstheme="minorHAnsi"/>
          <w:i/>
          <w:iCs/>
          <w:color w:val="auto"/>
          <w:sz w:val="18"/>
          <w:szCs w:val="18"/>
        </w:rPr>
        <w:t>Therapeutic Goods Act 1989</w:t>
      </w:r>
      <w:r w:rsidRPr="00C7111E">
        <w:rPr>
          <w:rFonts w:asciiTheme="minorHAnsi" w:hAnsiTheme="minorHAnsi" w:cstheme="minorHAnsi"/>
          <w:color w:val="auto"/>
          <w:sz w:val="18"/>
          <w:szCs w:val="18"/>
        </w:rPr>
        <w:t xml:space="preserve"> (</w:t>
      </w:r>
      <w:proofErr w:type="spellStart"/>
      <w:r w:rsidRPr="00C7111E">
        <w:rPr>
          <w:rFonts w:asciiTheme="minorHAnsi" w:hAnsiTheme="minorHAnsi" w:cstheme="minorHAnsi"/>
          <w:color w:val="auto"/>
          <w:sz w:val="18"/>
          <w:szCs w:val="18"/>
        </w:rPr>
        <w:t>Cth</w:t>
      </w:r>
      <w:proofErr w:type="spellEnd"/>
      <w:r w:rsidRPr="00C7111E">
        <w:rPr>
          <w:rFonts w:asciiTheme="minorHAnsi" w:hAnsiTheme="minorHAnsi" w:cstheme="minorHAnsi"/>
          <w:color w:val="auto"/>
          <w:sz w:val="18"/>
          <w:szCs w:val="18"/>
        </w:rPr>
        <w:t>).</w:t>
      </w:r>
    </w:p>
  </w:footnote>
  <w:footnote w:id="11">
    <w:p w14:paraId="20D8A760" w14:textId="6A8DBBD0" w:rsidR="003371E3" w:rsidRDefault="003371E3">
      <w:pPr>
        <w:pStyle w:val="FootnoteText"/>
      </w:pPr>
      <w:r w:rsidRPr="00C7111E">
        <w:rPr>
          <w:rStyle w:val="FootnoteReference"/>
          <w:color w:val="auto"/>
        </w:rPr>
        <w:footnoteRef/>
      </w:r>
      <w:r w:rsidRPr="00C7111E">
        <w:rPr>
          <w:color w:val="auto"/>
        </w:rPr>
        <w:t xml:space="preserve"> </w:t>
      </w:r>
      <w:r w:rsidRPr="00C7111E">
        <w:rPr>
          <w:rFonts w:asciiTheme="minorHAnsi" w:hAnsiTheme="minorHAnsi" w:cstheme="minorHAnsi"/>
          <w:color w:val="auto"/>
          <w:sz w:val="18"/>
          <w:szCs w:val="18"/>
        </w:rPr>
        <w:t>Proposed additions are shown in green underlined font, proposed deletions are shown in red strikethrough font, and text without this formatting represents the current text in the Poisons Standard.</w:t>
      </w:r>
    </w:p>
  </w:footnote>
  <w:footnote w:id="12">
    <w:p w14:paraId="11B94033" w14:textId="77777777" w:rsidR="00E10644" w:rsidRPr="00A27362" w:rsidRDefault="00E10644" w:rsidP="00E10644">
      <w:pPr>
        <w:pStyle w:val="FootnoteText"/>
        <w:rPr>
          <w:rFonts w:asciiTheme="minorHAnsi" w:hAnsiTheme="minorHAnsi" w:cstheme="minorHAnsi"/>
          <w:sz w:val="18"/>
          <w:szCs w:val="18"/>
        </w:rPr>
      </w:pPr>
      <w:r w:rsidRPr="00A27362">
        <w:rPr>
          <w:rStyle w:val="FootnoteReference"/>
          <w:rFonts w:asciiTheme="minorHAnsi" w:hAnsiTheme="minorHAnsi" w:cstheme="minorHAnsi"/>
          <w:sz w:val="18"/>
          <w:szCs w:val="18"/>
        </w:rPr>
        <w:footnoteRef/>
      </w:r>
      <w:r w:rsidRPr="00A27362">
        <w:rPr>
          <w:rFonts w:asciiTheme="minorHAnsi" w:hAnsiTheme="minorHAnsi" w:cstheme="minorHAnsi"/>
          <w:sz w:val="18"/>
          <w:szCs w:val="18"/>
        </w:rPr>
        <w:t xml:space="preserve"> Therapeutic Goods Administration, Medicine shortage, reports database: </w:t>
      </w:r>
      <w:hyperlink r:id="rId1" w:history="1">
        <w:r w:rsidRPr="00A27362">
          <w:rPr>
            <w:rStyle w:val="Hyperlink"/>
            <w:rFonts w:asciiTheme="minorHAnsi" w:hAnsiTheme="minorHAnsi" w:cstheme="minorHAnsi"/>
            <w:sz w:val="18"/>
            <w:szCs w:val="18"/>
          </w:rPr>
          <w:t>https://apps.tga.gov.au/prod/MSI/search/</w:t>
        </w:r>
      </w:hyperlink>
      <w:r w:rsidRPr="00A27362">
        <w:rPr>
          <w:rFonts w:asciiTheme="minorHAnsi" w:hAnsiTheme="minorHAnsi" w:cstheme="minorHAnsi"/>
          <w:sz w:val="18"/>
          <w:szCs w:val="18"/>
        </w:rPr>
        <w:t xml:space="preserve"> </w:t>
      </w:r>
    </w:p>
  </w:footnote>
  <w:footnote w:id="13">
    <w:p w14:paraId="00F51D90" w14:textId="77777777" w:rsidR="00850913" w:rsidRPr="00A27362" w:rsidRDefault="00850913" w:rsidP="00850913">
      <w:pPr>
        <w:pStyle w:val="FootnoteText"/>
        <w:rPr>
          <w:rFonts w:asciiTheme="minorHAnsi" w:hAnsiTheme="minorHAnsi" w:cstheme="minorHAnsi"/>
          <w:sz w:val="18"/>
          <w:szCs w:val="18"/>
        </w:rPr>
      </w:pPr>
      <w:r w:rsidRPr="00A27362">
        <w:rPr>
          <w:rStyle w:val="FootnoteReference"/>
          <w:rFonts w:asciiTheme="minorHAnsi" w:hAnsiTheme="minorHAnsi" w:cstheme="minorHAnsi"/>
          <w:sz w:val="18"/>
          <w:szCs w:val="18"/>
        </w:rPr>
        <w:footnoteRef/>
      </w:r>
      <w:r w:rsidRPr="00A27362">
        <w:rPr>
          <w:rFonts w:asciiTheme="minorHAnsi" w:hAnsiTheme="minorHAnsi" w:cstheme="minorHAnsi"/>
          <w:sz w:val="18"/>
          <w:szCs w:val="18"/>
        </w:rPr>
        <w:t xml:space="preserve"> Therapeutic Goods Administration, Medicine shortage, reports database: </w:t>
      </w:r>
      <w:hyperlink r:id="rId2" w:history="1">
        <w:r w:rsidRPr="00A27362">
          <w:rPr>
            <w:rStyle w:val="Hyperlink"/>
            <w:rFonts w:asciiTheme="minorHAnsi" w:hAnsiTheme="minorHAnsi" w:cstheme="minorHAnsi"/>
            <w:sz w:val="18"/>
            <w:szCs w:val="18"/>
          </w:rPr>
          <w:t>https://apps.tga.gov.au/prod/MSI/search/</w:t>
        </w:r>
      </w:hyperlink>
      <w:r w:rsidRPr="00A27362">
        <w:rPr>
          <w:rFonts w:asciiTheme="minorHAnsi" w:hAnsiTheme="minorHAnsi" w:cstheme="minorHAnsi"/>
          <w:sz w:val="18"/>
          <w:szCs w:val="18"/>
        </w:rPr>
        <w:t xml:space="preserve"> </w:t>
      </w:r>
    </w:p>
  </w:footnote>
  <w:footnote w:id="14">
    <w:p w14:paraId="4BEF2817" w14:textId="77777777" w:rsidR="00D45B74" w:rsidRPr="00A27362" w:rsidRDefault="00D45B74" w:rsidP="00D45B74">
      <w:pPr>
        <w:pStyle w:val="FootnoteText"/>
        <w:rPr>
          <w:rFonts w:asciiTheme="minorHAnsi" w:hAnsiTheme="minorHAnsi" w:cstheme="minorHAnsi"/>
          <w:sz w:val="18"/>
          <w:szCs w:val="18"/>
        </w:rPr>
      </w:pPr>
      <w:r w:rsidRPr="00A27362">
        <w:rPr>
          <w:rStyle w:val="FootnoteReference"/>
          <w:rFonts w:asciiTheme="minorHAnsi" w:hAnsiTheme="minorHAnsi" w:cstheme="minorHAnsi"/>
          <w:color w:val="auto"/>
          <w:sz w:val="18"/>
          <w:szCs w:val="18"/>
        </w:rPr>
        <w:footnoteRef/>
      </w:r>
      <w:r w:rsidRPr="00A27362">
        <w:rPr>
          <w:rFonts w:asciiTheme="minorHAnsi" w:hAnsiTheme="minorHAnsi" w:cstheme="minorHAnsi"/>
          <w:color w:val="auto"/>
          <w:sz w:val="18"/>
          <w:szCs w:val="18"/>
        </w:rPr>
        <w:t xml:space="preserve"> Vic Dept of Health drug alert </w:t>
      </w:r>
      <w:hyperlink r:id="rId3" w:history="1">
        <w:r w:rsidRPr="00A27362">
          <w:rPr>
            <w:rStyle w:val="Hyperlink"/>
            <w:rFonts w:asciiTheme="minorHAnsi" w:hAnsiTheme="minorHAnsi" w:cstheme="minorHAnsi"/>
            <w:sz w:val="18"/>
            <w:szCs w:val="18"/>
          </w:rPr>
          <w:t>https://www.health.vic.gov.au/drug-alerts/yellow-powder-containing-protonitazene-may-be-sold-as-ketamine</w:t>
        </w:r>
      </w:hyperlink>
    </w:p>
  </w:footnote>
  <w:footnote w:id="15">
    <w:p w14:paraId="30E1DA31" w14:textId="77777777" w:rsidR="00D45B74" w:rsidRPr="00A27362" w:rsidRDefault="00D45B74" w:rsidP="00D45B74">
      <w:pPr>
        <w:pStyle w:val="FootnoteText"/>
        <w:rPr>
          <w:rFonts w:asciiTheme="minorHAnsi" w:hAnsiTheme="minorHAnsi" w:cstheme="minorHAnsi"/>
          <w:sz w:val="18"/>
          <w:szCs w:val="18"/>
        </w:rPr>
      </w:pPr>
      <w:r w:rsidRPr="00A27362">
        <w:rPr>
          <w:rStyle w:val="FootnoteReference"/>
          <w:rFonts w:asciiTheme="minorHAnsi" w:hAnsiTheme="minorHAnsi" w:cstheme="minorHAnsi"/>
          <w:color w:val="auto"/>
          <w:sz w:val="18"/>
          <w:szCs w:val="18"/>
        </w:rPr>
        <w:footnoteRef/>
      </w:r>
      <w:r w:rsidRPr="00A27362">
        <w:rPr>
          <w:rFonts w:asciiTheme="minorHAnsi" w:hAnsiTheme="minorHAnsi" w:cstheme="minorHAnsi"/>
          <w:color w:val="auto"/>
          <w:sz w:val="18"/>
          <w:szCs w:val="18"/>
        </w:rPr>
        <w:t xml:space="preserve"> NSW Health warning </w:t>
      </w:r>
      <w:hyperlink r:id="rId4" w:history="1">
        <w:r w:rsidRPr="00A27362">
          <w:rPr>
            <w:rStyle w:val="Hyperlink"/>
            <w:rFonts w:asciiTheme="minorHAnsi" w:hAnsiTheme="minorHAnsi" w:cstheme="minorHAnsi"/>
            <w:sz w:val="18"/>
            <w:szCs w:val="18"/>
          </w:rPr>
          <w:t>https://www.health.nsw.gov.au/news/Pages/20221222_01.aspx</w:t>
        </w:r>
      </w:hyperlink>
    </w:p>
  </w:footnote>
  <w:footnote w:id="16">
    <w:p w14:paraId="637C497D" w14:textId="77777777" w:rsidR="00D45B74" w:rsidRPr="00A27362" w:rsidRDefault="00D45B74" w:rsidP="00D45B74">
      <w:pPr>
        <w:pStyle w:val="FootnoteText"/>
        <w:rPr>
          <w:rFonts w:asciiTheme="minorHAnsi" w:hAnsiTheme="minorHAnsi" w:cstheme="minorHAnsi"/>
          <w:sz w:val="18"/>
          <w:szCs w:val="18"/>
        </w:rPr>
      </w:pPr>
      <w:r w:rsidRPr="00A27362">
        <w:rPr>
          <w:rStyle w:val="FootnoteReference"/>
          <w:rFonts w:asciiTheme="minorHAnsi" w:hAnsiTheme="minorHAnsi" w:cstheme="minorHAnsi"/>
          <w:color w:val="auto"/>
          <w:sz w:val="18"/>
          <w:szCs w:val="18"/>
        </w:rPr>
        <w:footnoteRef/>
      </w:r>
      <w:r w:rsidRPr="00A27362">
        <w:rPr>
          <w:rFonts w:asciiTheme="minorHAnsi" w:hAnsiTheme="minorHAnsi" w:cstheme="minorHAnsi"/>
          <w:color w:val="auto"/>
          <w:sz w:val="18"/>
          <w:szCs w:val="18"/>
        </w:rPr>
        <w:t xml:space="preserve"> NSW Health warning </w:t>
      </w:r>
      <w:hyperlink r:id="rId5" w:history="1">
        <w:r w:rsidRPr="00A27362">
          <w:rPr>
            <w:rStyle w:val="Hyperlink"/>
            <w:rFonts w:asciiTheme="minorHAnsi" w:hAnsiTheme="minorHAnsi" w:cstheme="minorHAnsi"/>
            <w:sz w:val="18"/>
            <w:szCs w:val="18"/>
          </w:rPr>
          <w:t>https://www.health.nsw.gov.au/news/Pages/20230505_02.aspx</w:t>
        </w:r>
      </w:hyperlink>
    </w:p>
  </w:footnote>
  <w:footnote w:id="17">
    <w:p w14:paraId="321C2963" w14:textId="77777777" w:rsidR="00D45B74" w:rsidRPr="00A27362" w:rsidRDefault="00D45B74" w:rsidP="00D45B74">
      <w:pPr>
        <w:pStyle w:val="FootnoteText"/>
        <w:rPr>
          <w:rFonts w:asciiTheme="minorHAnsi" w:hAnsiTheme="minorHAnsi" w:cstheme="minorHAnsi"/>
          <w:sz w:val="18"/>
          <w:szCs w:val="18"/>
        </w:rPr>
      </w:pPr>
      <w:r w:rsidRPr="00A27362">
        <w:rPr>
          <w:rStyle w:val="FootnoteReference"/>
          <w:rFonts w:asciiTheme="minorHAnsi" w:hAnsiTheme="minorHAnsi" w:cstheme="minorHAnsi"/>
          <w:color w:val="auto"/>
          <w:sz w:val="18"/>
          <w:szCs w:val="18"/>
        </w:rPr>
        <w:footnoteRef/>
      </w:r>
      <w:r w:rsidRPr="00A27362">
        <w:rPr>
          <w:rFonts w:asciiTheme="minorHAnsi" w:hAnsiTheme="minorHAnsi" w:cstheme="minorHAnsi"/>
          <w:color w:val="auto"/>
          <w:sz w:val="18"/>
          <w:szCs w:val="18"/>
        </w:rPr>
        <w:t xml:space="preserve"> ACT Health alert </w:t>
      </w:r>
      <w:hyperlink r:id="rId6" w:history="1">
        <w:r w:rsidRPr="00A27362">
          <w:rPr>
            <w:rStyle w:val="Hyperlink"/>
            <w:rFonts w:asciiTheme="minorHAnsi" w:hAnsiTheme="minorHAnsi" w:cstheme="minorHAnsi"/>
            <w:sz w:val="18"/>
            <w:szCs w:val="18"/>
          </w:rPr>
          <w:t>https://www.health.act.gov.au/public-health-alert/public-health-alert-dangerous-drug-warning-canberrans</w:t>
        </w:r>
      </w:hyperlink>
    </w:p>
  </w:footnote>
  <w:footnote w:id="18">
    <w:p w14:paraId="7D6C80CB" w14:textId="77777777" w:rsidR="00D45B74" w:rsidRPr="00A27362" w:rsidRDefault="00D45B74" w:rsidP="00D45B74">
      <w:pPr>
        <w:pStyle w:val="FootnoteText"/>
        <w:rPr>
          <w:rFonts w:asciiTheme="minorHAnsi" w:hAnsiTheme="minorHAnsi" w:cstheme="minorHAnsi"/>
          <w:sz w:val="18"/>
          <w:szCs w:val="18"/>
        </w:rPr>
      </w:pPr>
      <w:r w:rsidRPr="00A27362">
        <w:rPr>
          <w:rStyle w:val="FootnoteReference"/>
          <w:rFonts w:asciiTheme="minorHAnsi" w:hAnsiTheme="minorHAnsi" w:cstheme="minorHAnsi"/>
          <w:color w:val="auto"/>
          <w:sz w:val="18"/>
          <w:szCs w:val="18"/>
        </w:rPr>
        <w:footnoteRef/>
      </w:r>
      <w:r w:rsidRPr="00A27362">
        <w:rPr>
          <w:rFonts w:asciiTheme="minorHAnsi" w:hAnsiTheme="minorHAnsi" w:cstheme="minorHAnsi"/>
          <w:color w:val="auto"/>
          <w:sz w:val="18"/>
          <w:szCs w:val="18"/>
        </w:rPr>
        <w:t xml:space="preserve"> ACMD advice on </w:t>
      </w:r>
      <w:proofErr w:type="spellStart"/>
      <w:r w:rsidRPr="00A27362">
        <w:rPr>
          <w:rFonts w:asciiTheme="minorHAnsi" w:hAnsiTheme="minorHAnsi" w:cstheme="minorHAnsi"/>
          <w:color w:val="auto"/>
          <w:sz w:val="18"/>
          <w:szCs w:val="18"/>
        </w:rPr>
        <w:t>benzimidazolone</w:t>
      </w:r>
      <w:proofErr w:type="spellEnd"/>
      <w:r w:rsidRPr="00A27362">
        <w:rPr>
          <w:rFonts w:asciiTheme="minorHAnsi" w:hAnsiTheme="minorHAnsi" w:cstheme="minorHAnsi"/>
          <w:color w:val="auto"/>
          <w:sz w:val="18"/>
          <w:szCs w:val="18"/>
        </w:rPr>
        <w:t xml:space="preserve"> opioids </w:t>
      </w:r>
      <w:hyperlink r:id="rId7" w:history="1">
        <w:r w:rsidRPr="00A27362">
          <w:rPr>
            <w:rStyle w:val="Hyperlink"/>
            <w:rFonts w:asciiTheme="minorHAnsi" w:hAnsiTheme="minorHAnsi" w:cstheme="minorHAnsi"/>
            <w:sz w:val="18"/>
            <w:szCs w:val="18"/>
          </w:rPr>
          <w:t>https://www.gov.uk/government/publications/acmd-advice-on-2-benzyl-benzimidazole-and-piperidine-benzimidazolone-opioids/acmd-advice-on-2-benzyl-benzimidazole-and-piperidine-benzimidazolone-opioids-accessible-version</w:t>
        </w:r>
      </w:hyperlink>
    </w:p>
  </w:footnote>
  <w:footnote w:id="19">
    <w:p w14:paraId="4695F70A" w14:textId="77777777" w:rsidR="00D45B74" w:rsidRPr="00A27362" w:rsidRDefault="00D45B74" w:rsidP="00D45B74">
      <w:pPr>
        <w:pStyle w:val="FootnoteText"/>
        <w:rPr>
          <w:rFonts w:asciiTheme="minorHAnsi" w:hAnsiTheme="minorHAnsi" w:cstheme="minorHAnsi"/>
          <w:sz w:val="18"/>
          <w:szCs w:val="18"/>
        </w:rPr>
      </w:pPr>
      <w:r w:rsidRPr="00A27362">
        <w:rPr>
          <w:rStyle w:val="FootnoteReference"/>
          <w:rFonts w:asciiTheme="minorHAnsi" w:hAnsiTheme="minorHAnsi" w:cstheme="minorHAnsi"/>
          <w:color w:val="auto"/>
          <w:sz w:val="18"/>
          <w:szCs w:val="18"/>
        </w:rPr>
        <w:footnoteRef/>
      </w:r>
      <w:r w:rsidRPr="00A27362">
        <w:rPr>
          <w:rFonts w:asciiTheme="minorHAnsi" w:hAnsiTheme="minorHAnsi" w:cstheme="minorHAnsi"/>
          <w:color w:val="auto"/>
          <w:sz w:val="18"/>
          <w:szCs w:val="18"/>
        </w:rPr>
        <w:t xml:space="preserve"> DEA dossier on </w:t>
      </w:r>
      <w:proofErr w:type="spellStart"/>
      <w:r w:rsidRPr="00A27362">
        <w:rPr>
          <w:rFonts w:asciiTheme="minorHAnsi" w:hAnsiTheme="minorHAnsi" w:cstheme="minorHAnsi"/>
          <w:color w:val="auto"/>
          <w:sz w:val="18"/>
          <w:szCs w:val="18"/>
        </w:rPr>
        <w:t>nitazenes</w:t>
      </w:r>
      <w:proofErr w:type="spellEnd"/>
      <w:r w:rsidRPr="00A27362">
        <w:rPr>
          <w:rFonts w:asciiTheme="minorHAnsi" w:hAnsiTheme="minorHAnsi" w:cstheme="minorHAnsi"/>
          <w:color w:val="auto"/>
          <w:sz w:val="18"/>
          <w:szCs w:val="18"/>
        </w:rPr>
        <w:t xml:space="preserve"> </w:t>
      </w:r>
      <w:hyperlink r:id="rId8" w:history="1">
        <w:r w:rsidRPr="00A27362">
          <w:rPr>
            <w:rStyle w:val="Hyperlink"/>
            <w:rFonts w:asciiTheme="minorHAnsi" w:hAnsiTheme="minorHAnsi" w:cstheme="minorHAnsi"/>
            <w:sz w:val="18"/>
            <w:szCs w:val="18"/>
          </w:rPr>
          <w:t>https://www.deadiversion.usdoj.gov/drug_chem_info/benzimidazole-opioids.pdf</w:t>
        </w:r>
      </w:hyperlink>
    </w:p>
  </w:footnote>
  <w:footnote w:id="20">
    <w:p w14:paraId="1C37EF4A" w14:textId="77777777" w:rsidR="00D45B74" w:rsidRPr="00A27362" w:rsidRDefault="00D45B74" w:rsidP="00D45B74">
      <w:pPr>
        <w:pStyle w:val="FootnoteText"/>
        <w:rPr>
          <w:rFonts w:asciiTheme="minorHAnsi" w:hAnsiTheme="minorHAnsi" w:cstheme="minorHAnsi"/>
          <w:sz w:val="18"/>
          <w:szCs w:val="18"/>
        </w:rPr>
      </w:pPr>
      <w:r w:rsidRPr="00A27362">
        <w:rPr>
          <w:rStyle w:val="FootnoteReference"/>
          <w:rFonts w:asciiTheme="minorHAnsi" w:hAnsiTheme="minorHAnsi" w:cstheme="minorHAnsi"/>
          <w:sz w:val="18"/>
          <w:szCs w:val="18"/>
        </w:rPr>
        <w:footnoteRef/>
      </w:r>
      <w:r w:rsidRPr="00A27362">
        <w:rPr>
          <w:rFonts w:asciiTheme="minorHAnsi" w:hAnsiTheme="minorHAnsi" w:cstheme="minorHAnsi"/>
          <w:sz w:val="18"/>
          <w:szCs w:val="18"/>
        </w:rPr>
        <w:t xml:space="preserve"> </w:t>
      </w:r>
      <w:proofErr w:type="spellStart"/>
      <w:r w:rsidRPr="00A27362">
        <w:rPr>
          <w:rFonts w:asciiTheme="minorHAnsi" w:hAnsiTheme="minorHAnsi" w:cstheme="minorHAnsi"/>
          <w:sz w:val="18"/>
          <w:szCs w:val="18"/>
        </w:rPr>
        <w:t>Vandeputte</w:t>
      </w:r>
      <w:proofErr w:type="spellEnd"/>
      <w:r w:rsidRPr="00A27362">
        <w:rPr>
          <w:rFonts w:asciiTheme="minorHAnsi" w:hAnsiTheme="minorHAnsi" w:cstheme="minorHAnsi"/>
          <w:sz w:val="18"/>
          <w:szCs w:val="18"/>
        </w:rPr>
        <w:t xml:space="preserve"> et al </w:t>
      </w:r>
      <w:hyperlink r:id="rId9" w:history="1">
        <w:r w:rsidRPr="00A27362">
          <w:rPr>
            <w:rStyle w:val="Hyperlink"/>
            <w:rFonts w:asciiTheme="minorHAnsi" w:hAnsiTheme="minorHAnsi" w:cstheme="minorHAnsi"/>
            <w:sz w:val="18"/>
            <w:szCs w:val="18"/>
          </w:rPr>
          <w:t>https://link.springer.com/article/10.1007/s00204-022-03276-4</w:t>
        </w:r>
      </w:hyperlink>
    </w:p>
  </w:footnote>
  <w:footnote w:id="21">
    <w:p w14:paraId="28BFC532" w14:textId="62B15623" w:rsidR="005A415E" w:rsidRPr="00C7111E" w:rsidRDefault="005A415E">
      <w:pPr>
        <w:pStyle w:val="FootnoteText"/>
        <w:rPr>
          <w:rFonts w:asciiTheme="minorHAnsi" w:hAnsiTheme="minorHAnsi" w:cstheme="minorHAnsi"/>
          <w:sz w:val="18"/>
          <w:szCs w:val="18"/>
        </w:rPr>
      </w:pPr>
      <w:r w:rsidRPr="00C7111E">
        <w:rPr>
          <w:rStyle w:val="FootnoteReference"/>
          <w:rFonts w:asciiTheme="minorHAnsi" w:hAnsiTheme="minorHAnsi" w:cstheme="minorHAnsi"/>
          <w:sz w:val="18"/>
          <w:szCs w:val="18"/>
        </w:rPr>
        <w:footnoteRef/>
      </w:r>
      <w:r w:rsidRPr="00C7111E">
        <w:rPr>
          <w:rFonts w:asciiTheme="minorHAnsi" w:hAnsiTheme="minorHAnsi" w:cstheme="minorHAnsi"/>
          <w:sz w:val="18"/>
          <w:szCs w:val="18"/>
        </w:rPr>
        <w:t xml:space="preserve"> </w:t>
      </w:r>
      <w:hyperlink r:id="rId10" w:history="1">
        <w:r>
          <w:rPr>
            <w:rStyle w:val="Hyperlink"/>
            <w:rFonts w:asciiTheme="minorHAnsi" w:hAnsiTheme="minorHAnsi" w:cstheme="minorHAnsi"/>
            <w:sz w:val="18"/>
            <w:szCs w:val="18"/>
          </w:rPr>
          <w:t>https://adf.org.au/drug-facts/nitazenes/</w:t>
        </w:r>
      </w:hyperlink>
    </w:p>
  </w:footnote>
  <w:footnote w:id="22">
    <w:p w14:paraId="31EB0CC5" w14:textId="54190DBB" w:rsidR="006E7723" w:rsidRDefault="006E7723">
      <w:pPr>
        <w:pStyle w:val="FootnoteText"/>
      </w:pPr>
      <w:r>
        <w:rPr>
          <w:rStyle w:val="FootnoteReference"/>
        </w:rPr>
        <w:footnoteRef/>
      </w:r>
      <w:r>
        <w:t xml:space="preserve"> </w:t>
      </w:r>
      <w:bookmarkStart w:id="47" w:name="_Hlk143176770"/>
      <w:r w:rsidRPr="00C7111E">
        <w:rPr>
          <w:rFonts w:asciiTheme="minorHAnsi" w:hAnsiTheme="minorHAnsi" w:cstheme="minorHAnsi"/>
          <w:color w:val="auto"/>
          <w:sz w:val="18"/>
          <w:szCs w:val="18"/>
        </w:rPr>
        <w:t>Proposed additions are shown in green underlined font, proposed deletions are shown in red strikethrough font, and text without this formatting represents the current text in the Poisons Standard.</w:t>
      </w:r>
      <w:bookmarkEnd w:id="47"/>
    </w:p>
  </w:footnote>
  <w:footnote w:id="23">
    <w:p w14:paraId="66FE337C" w14:textId="29750FE6" w:rsidR="001A19E1" w:rsidRPr="00A27362" w:rsidRDefault="001A19E1" w:rsidP="001A19E1">
      <w:pPr>
        <w:pStyle w:val="FootnoteText"/>
        <w:rPr>
          <w:rFonts w:asciiTheme="minorHAnsi" w:hAnsiTheme="minorHAnsi" w:cstheme="minorHAnsi"/>
          <w:sz w:val="18"/>
          <w:szCs w:val="18"/>
        </w:rPr>
      </w:pPr>
      <w:r w:rsidRPr="00A27362">
        <w:rPr>
          <w:rStyle w:val="FootnoteReference"/>
          <w:rFonts w:asciiTheme="minorHAnsi" w:hAnsiTheme="minorHAnsi" w:cstheme="minorHAnsi"/>
          <w:sz w:val="18"/>
          <w:szCs w:val="18"/>
        </w:rPr>
        <w:footnoteRef/>
      </w:r>
      <w:r w:rsidRPr="00A27362">
        <w:rPr>
          <w:rFonts w:asciiTheme="minorHAnsi" w:hAnsiTheme="minorHAnsi" w:cstheme="minorHAnsi"/>
          <w:sz w:val="18"/>
          <w:szCs w:val="18"/>
        </w:rPr>
        <w:t xml:space="preserve"> </w:t>
      </w:r>
      <w:proofErr w:type="spellStart"/>
      <w:r w:rsidRPr="00A27362">
        <w:rPr>
          <w:rStyle w:val="cf01"/>
          <w:rFonts w:asciiTheme="minorHAnsi" w:hAnsiTheme="minorHAnsi" w:cstheme="minorHAnsi"/>
        </w:rPr>
        <w:t>Mudaliar</w:t>
      </w:r>
      <w:proofErr w:type="spellEnd"/>
      <w:r w:rsidR="00B47D85">
        <w:rPr>
          <w:rStyle w:val="cf01"/>
          <w:rFonts w:asciiTheme="minorHAnsi" w:hAnsiTheme="minorHAnsi" w:cstheme="minorHAnsi"/>
        </w:rPr>
        <w:t xml:space="preserve"> et al.</w:t>
      </w:r>
      <w:r w:rsidRPr="00A27362">
        <w:rPr>
          <w:rStyle w:val="cf01"/>
          <w:rFonts w:asciiTheme="minorHAnsi" w:hAnsiTheme="minorHAnsi" w:cstheme="minorHAnsi"/>
        </w:rPr>
        <w:t xml:space="preserve"> </w:t>
      </w:r>
      <w:hyperlink r:id="rId11" w:history="1">
        <w:r w:rsidR="00B611F9">
          <w:rPr>
            <w:rStyle w:val="Hyperlink"/>
            <w:rFonts w:asciiTheme="minorHAnsi" w:hAnsiTheme="minorHAnsi" w:cstheme="minorHAnsi"/>
            <w:sz w:val="18"/>
            <w:szCs w:val="18"/>
            <w:shd w:val="clear" w:color="auto" w:fill="FFFFFF"/>
          </w:rPr>
          <w:t>Sodium–Glucose Cotransporter Inhibitors: Effects on Renal and Intestinal Glucose Transport: From Bench to Bedside</w:t>
        </w:r>
      </w:hyperlink>
      <w:r w:rsidR="00B47D85">
        <w:rPr>
          <w:rStyle w:val="cf01"/>
          <w:rFonts w:asciiTheme="minorHAnsi" w:hAnsiTheme="minorHAnsi" w:cstheme="minorHAnsi"/>
        </w:rPr>
        <w:t xml:space="preserve"> </w:t>
      </w:r>
    </w:p>
  </w:footnote>
  <w:footnote w:id="24">
    <w:p w14:paraId="410A003A" w14:textId="55D3AC4D" w:rsidR="001A19E1" w:rsidRPr="00A27362" w:rsidRDefault="001A19E1" w:rsidP="001A19E1">
      <w:pPr>
        <w:spacing w:after="0" w:line="276" w:lineRule="auto"/>
        <w:rPr>
          <w:rFonts w:cstheme="minorHAnsi"/>
          <w:color w:val="0000FF"/>
          <w:sz w:val="18"/>
          <w:szCs w:val="18"/>
          <w:u w:val="single"/>
        </w:rPr>
      </w:pPr>
      <w:r w:rsidRPr="00A27362">
        <w:rPr>
          <w:rStyle w:val="FootnoteReference"/>
          <w:rFonts w:cstheme="minorHAnsi"/>
          <w:sz w:val="18"/>
          <w:szCs w:val="18"/>
        </w:rPr>
        <w:footnoteRef/>
      </w:r>
      <w:r w:rsidRPr="00A27362">
        <w:rPr>
          <w:rFonts w:cstheme="minorHAnsi"/>
          <w:sz w:val="18"/>
          <w:szCs w:val="18"/>
        </w:rPr>
        <w:t xml:space="preserve"> </w:t>
      </w:r>
      <w:proofErr w:type="spellStart"/>
      <w:r w:rsidRPr="00EE2756">
        <w:rPr>
          <w:rStyle w:val="Hyperlink"/>
          <w:rFonts w:asciiTheme="minorHAnsi" w:hAnsiTheme="minorHAnsi" w:cstheme="minorHAnsi"/>
          <w:color w:val="auto"/>
          <w:sz w:val="18"/>
          <w:szCs w:val="18"/>
          <w:u w:val="none"/>
        </w:rPr>
        <w:t>Cuypers</w:t>
      </w:r>
      <w:proofErr w:type="spellEnd"/>
      <w:r w:rsidRPr="00EE2756">
        <w:rPr>
          <w:rStyle w:val="Hyperlink"/>
          <w:rFonts w:asciiTheme="minorHAnsi" w:hAnsiTheme="minorHAnsi" w:cstheme="minorHAnsi"/>
          <w:color w:val="auto"/>
          <w:sz w:val="18"/>
          <w:szCs w:val="18"/>
          <w:u w:val="none"/>
        </w:rPr>
        <w:t>, J.</w:t>
      </w:r>
      <w:r w:rsidR="00EE2756" w:rsidRPr="00EE2756">
        <w:rPr>
          <w:rStyle w:val="Hyperlink"/>
          <w:rFonts w:asciiTheme="minorHAnsi" w:hAnsiTheme="minorHAnsi" w:cstheme="minorHAnsi"/>
          <w:color w:val="auto"/>
          <w:sz w:val="18"/>
          <w:szCs w:val="18"/>
          <w:u w:val="none"/>
        </w:rPr>
        <w:t xml:space="preserve"> et al.</w:t>
      </w:r>
      <w:r w:rsidR="00EE2756">
        <w:rPr>
          <w:rStyle w:val="Hyperlink"/>
          <w:rFonts w:asciiTheme="minorHAnsi" w:hAnsiTheme="minorHAnsi" w:cstheme="minorHAnsi"/>
          <w:color w:val="auto"/>
          <w:sz w:val="18"/>
          <w:szCs w:val="18"/>
        </w:rPr>
        <w:t xml:space="preserve"> </w:t>
      </w:r>
      <w:hyperlink r:id="rId12" w:history="1">
        <w:r w:rsidR="00EE2756" w:rsidRPr="00EE2756">
          <w:rPr>
            <w:rStyle w:val="Hyperlink"/>
            <w:rFonts w:asciiTheme="minorHAnsi" w:hAnsiTheme="minorHAnsi" w:cstheme="minorHAnsi"/>
            <w:sz w:val="18"/>
            <w:szCs w:val="18"/>
          </w:rPr>
          <w:t xml:space="preserve">SGLT2-INHIBITORS: A NOVEL CLASS FOR THE TREATMENT OF TYPE 2 DIABETES INTRODUCTION OF SGLT2-INHIBITORS IN CLINICAL PRACTICE: Acta </w:t>
        </w:r>
        <w:proofErr w:type="spellStart"/>
        <w:r w:rsidR="00EE2756" w:rsidRPr="00EE2756">
          <w:rPr>
            <w:rStyle w:val="Hyperlink"/>
            <w:rFonts w:asciiTheme="minorHAnsi" w:hAnsiTheme="minorHAnsi" w:cstheme="minorHAnsi"/>
            <w:sz w:val="18"/>
            <w:szCs w:val="18"/>
          </w:rPr>
          <w:t>Clinica</w:t>
        </w:r>
        <w:proofErr w:type="spellEnd"/>
        <w:r w:rsidR="00EE2756" w:rsidRPr="00EE2756">
          <w:rPr>
            <w:rStyle w:val="Hyperlink"/>
            <w:rFonts w:asciiTheme="minorHAnsi" w:hAnsiTheme="minorHAnsi" w:cstheme="minorHAnsi"/>
            <w:sz w:val="18"/>
            <w:szCs w:val="18"/>
          </w:rPr>
          <w:t xml:space="preserve"> </w:t>
        </w:r>
        <w:proofErr w:type="spellStart"/>
        <w:r w:rsidR="00EE2756" w:rsidRPr="00EE2756">
          <w:rPr>
            <w:rStyle w:val="Hyperlink"/>
            <w:rFonts w:asciiTheme="minorHAnsi" w:hAnsiTheme="minorHAnsi" w:cstheme="minorHAnsi"/>
            <w:sz w:val="18"/>
            <w:szCs w:val="18"/>
          </w:rPr>
          <w:t>Belgica</w:t>
        </w:r>
        <w:proofErr w:type="spellEnd"/>
        <w:r w:rsidR="00EE2756" w:rsidRPr="00EE2756">
          <w:rPr>
            <w:rStyle w:val="Hyperlink"/>
            <w:rFonts w:asciiTheme="minorHAnsi" w:hAnsiTheme="minorHAnsi" w:cstheme="minorHAnsi"/>
            <w:sz w:val="18"/>
            <w:szCs w:val="18"/>
          </w:rPr>
          <w:t>: Vol 68, No 4 (tandfonline.com)</w:t>
        </w:r>
      </w:hyperlink>
      <w:r w:rsidR="00EE2756" w:rsidRPr="00EE2756">
        <w:rPr>
          <w:rFonts w:cstheme="minorHAnsi"/>
          <w:sz w:val="18"/>
          <w:szCs w:val="18"/>
          <w:u w:val="single"/>
        </w:rPr>
        <w:t xml:space="preserve"> </w:t>
      </w:r>
    </w:p>
  </w:footnote>
  <w:footnote w:id="25">
    <w:p w14:paraId="2BCA17C3" w14:textId="46EA3E84" w:rsidR="007B1F5E" w:rsidRDefault="007B1F5E">
      <w:pPr>
        <w:pStyle w:val="FootnoteText"/>
      </w:pPr>
      <w:r w:rsidRPr="00C7111E">
        <w:rPr>
          <w:rStyle w:val="FootnoteReference"/>
          <w:rFonts w:asciiTheme="minorHAnsi" w:hAnsiTheme="minorHAnsi" w:cstheme="minorHAnsi"/>
          <w:sz w:val="18"/>
          <w:szCs w:val="18"/>
        </w:rPr>
        <w:footnoteRef/>
      </w:r>
      <w:r>
        <w:t xml:space="preserve"> </w:t>
      </w:r>
      <w:r w:rsidRPr="00C7111E">
        <w:rPr>
          <w:rFonts w:asciiTheme="minorHAnsi" w:hAnsiTheme="minorHAnsi" w:cstheme="minorHAnsi"/>
          <w:sz w:val="18"/>
          <w:szCs w:val="18"/>
        </w:rPr>
        <w:t>Proposed additions are shown in green underlined font, proposed deletions are shown in red strikethrough font, and text without this formatting represents the current text in the Poisons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5EADCC98" w14:textId="77777777" w:rsidTr="00F71E1E">
      <w:trPr>
        <w:trHeight w:hRule="exact" w:val="8845"/>
      </w:trPr>
      <w:tc>
        <w:tcPr>
          <w:tcW w:w="11964" w:type="dxa"/>
          <w:vAlign w:val="center"/>
        </w:tcPr>
        <w:p w14:paraId="17B03A00" w14:textId="151871C2" w:rsidR="00F02AEC" w:rsidRPr="002B29B2" w:rsidRDefault="00F02AEC" w:rsidP="00967490">
          <w:pPr>
            <w:rPr>
              <w:noProof/>
            </w:rPr>
          </w:pPr>
        </w:p>
      </w:tc>
    </w:tr>
  </w:tbl>
  <w:p w14:paraId="4C8EBEB5" w14:textId="77777777" w:rsidR="00F02AEC" w:rsidRDefault="00CB0550" w:rsidP="00967490">
    <w:pPr>
      <w:rPr>
        <w:noProof/>
      </w:rPr>
    </w:pPr>
    <w:r>
      <w:rPr>
        <w:noProof/>
        <w:lang w:eastAsia="en-AU"/>
      </w:rPr>
      <w:drawing>
        <wp:anchor distT="0" distB="0" distL="114300" distR="114300" simplePos="0" relativeHeight="251661312" behindDoc="0" locked="0" layoutInCell="1" allowOverlap="1" wp14:anchorId="276EFB66" wp14:editId="67AF2E27">
          <wp:simplePos x="0" y="0"/>
          <wp:positionH relativeFrom="column">
            <wp:posOffset>-400050</wp:posOffset>
          </wp:positionH>
          <wp:positionV relativeFrom="paragraph">
            <wp:posOffset>-116205</wp:posOffset>
          </wp:positionV>
          <wp:extent cx="2676525" cy="621665"/>
          <wp:effectExtent l="0" t="0" r="9525" b="6985"/>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2AEC" w:rsidRPr="002B29B2">
      <w:rPr>
        <w:noProof/>
        <w:lang w:eastAsia="en-AU"/>
      </w:rPr>
      <w:drawing>
        <wp:anchor distT="0" distB="0" distL="114300" distR="114300" simplePos="0" relativeHeight="251660288" behindDoc="0" locked="0" layoutInCell="0" allowOverlap="1" wp14:anchorId="468A6D8D" wp14:editId="47999CD4">
          <wp:simplePos x="0" y="0"/>
          <wp:positionH relativeFrom="page">
            <wp:align>left</wp:align>
          </wp:positionH>
          <wp:positionV relativeFrom="page">
            <wp:posOffset>3239495</wp:posOffset>
          </wp:positionV>
          <wp:extent cx="7663815" cy="4323091"/>
          <wp:effectExtent l="0" t="0" r="0" b="127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03310" w14:textId="720639B1" w:rsidR="00F02AEC" w:rsidRPr="008B1EEA" w:rsidRDefault="00F02AEC" w:rsidP="00967490">
    <w:pPr>
      <w:pStyle w:val="Header"/>
      <w:rPr>
        <w:rFonts w:asciiTheme="minorHAnsi" w:hAnsiTheme="minorHAnsi" w:cstheme="minorHAnsi"/>
      </w:rPr>
    </w:pPr>
    <w:r w:rsidRPr="008B1EEA">
      <w:rPr>
        <w:rFonts w:asciiTheme="minorHAnsi" w:hAnsiTheme="minorHAnsi" w:cstheme="minorHAnsi"/>
      </w:rP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BD080" w14:textId="77777777" w:rsidR="00A77452" w:rsidRPr="00FE501F" w:rsidRDefault="00BA03C5" w:rsidP="00967490">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CFA"/>
    <w:multiLevelType w:val="hybridMultilevel"/>
    <w:tmpl w:val="EF8439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72D6FDE"/>
    <w:multiLevelType w:val="hybridMultilevel"/>
    <w:tmpl w:val="C5828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 w15:restartNumberingAfterBreak="0">
    <w:nsid w:val="168F13E9"/>
    <w:multiLevelType w:val="multilevel"/>
    <w:tmpl w:val="40B2672E"/>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1CEF3ACD"/>
    <w:multiLevelType w:val="multilevel"/>
    <w:tmpl w:val="0748BD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7" w15:restartNumberingAfterBreak="0">
    <w:nsid w:val="33270A94"/>
    <w:multiLevelType w:val="hybridMultilevel"/>
    <w:tmpl w:val="E81861E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4B06708B"/>
    <w:multiLevelType w:val="multilevel"/>
    <w:tmpl w:val="706A2EDA"/>
    <w:lvl w:ilvl="0">
      <w:start w:val="1"/>
      <w:numFmt w:val="lowerLetter"/>
      <w:lvlText w:val="%1)"/>
      <w:lvlJc w:val="left"/>
      <w:pPr>
        <w:ind w:left="360" w:hanging="360"/>
      </w:pPr>
      <w:rPr>
        <w:rFonts w:hint="default"/>
        <w:i w:val="0"/>
        <w:iCs/>
        <w:strike w:val="0"/>
        <w:color w:val="00B050"/>
        <w:u w:val="single"/>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0"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27C1820"/>
    <w:multiLevelType w:val="hybridMultilevel"/>
    <w:tmpl w:val="80AA8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4723941">
    <w:abstractNumId w:val="4"/>
  </w:num>
  <w:num w:numId="2" w16cid:durableId="882597559">
    <w:abstractNumId w:val="2"/>
  </w:num>
  <w:num w:numId="3" w16cid:durableId="896204989">
    <w:abstractNumId w:val="3"/>
  </w:num>
  <w:num w:numId="4" w16cid:durableId="106122296">
    <w:abstractNumId w:val="10"/>
  </w:num>
  <w:num w:numId="5" w16cid:durableId="1663780025">
    <w:abstractNumId w:val="6"/>
  </w:num>
  <w:num w:numId="6" w16cid:durableId="1242957035">
    <w:abstractNumId w:val="9"/>
  </w:num>
  <w:num w:numId="7" w16cid:durableId="1613319112">
    <w:abstractNumId w:val="5"/>
  </w:num>
  <w:num w:numId="8" w16cid:durableId="46421074">
    <w:abstractNumId w:val="11"/>
  </w:num>
  <w:num w:numId="9" w16cid:durableId="1585458837">
    <w:abstractNumId w:val="1"/>
  </w:num>
  <w:num w:numId="10" w16cid:durableId="653147314">
    <w:abstractNumId w:val="8"/>
  </w:num>
  <w:num w:numId="11" w16cid:durableId="983050563">
    <w:abstractNumId w:val="7"/>
  </w:num>
  <w:num w:numId="12" w16cid:durableId="1246572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50"/>
    <w:rsid w:val="000031D3"/>
    <w:rsid w:val="00013793"/>
    <w:rsid w:val="0002410F"/>
    <w:rsid w:val="00055EFE"/>
    <w:rsid w:val="000661F9"/>
    <w:rsid w:val="000669A3"/>
    <w:rsid w:val="00074C21"/>
    <w:rsid w:val="000932FF"/>
    <w:rsid w:val="00094B81"/>
    <w:rsid w:val="00097169"/>
    <w:rsid w:val="000B7A80"/>
    <w:rsid w:val="000D6D7D"/>
    <w:rsid w:val="000E0B4C"/>
    <w:rsid w:val="000E3C6C"/>
    <w:rsid w:val="000F0476"/>
    <w:rsid w:val="000F6E0E"/>
    <w:rsid w:val="00110D18"/>
    <w:rsid w:val="0012473C"/>
    <w:rsid w:val="00125812"/>
    <w:rsid w:val="00137495"/>
    <w:rsid w:val="00141638"/>
    <w:rsid w:val="00145B1B"/>
    <w:rsid w:val="0015084F"/>
    <w:rsid w:val="001663BB"/>
    <w:rsid w:val="00175CD8"/>
    <w:rsid w:val="00185817"/>
    <w:rsid w:val="00190052"/>
    <w:rsid w:val="001A19E1"/>
    <w:rsid w:val="001C1AAC"/>
    <w:rsid w:val="00207AC9"/>
    <w:rsid w:val="00213ED3"/>
    <w:rsid w:val="0022697D"/>
    <w:rsid w:val="002337FE"/>
    <w:rsid w:val="00255632"/>
    <w:rsid w:val="002824FE"/>
    <w:rsid w:val="0028331D"/>
    <w:rsid w:val="0028362D"/>
    <w:rsid w:val="002978D4"/>
    <w:rsid w:val="002B4E3C"/>
    <w:rsid w:val="002C12BB"/>
    <w:rsid w:val="002C6CE8"/>
    <w:rsid w:val="002E0907"/>
    <w:rsid w:val="003008D8"/>
    <w:rsid w:val="00300CBB"/>
    <w:rsid w:val="00302EA8"/>
    <w:rsid w:val="00304548"/>
    <w:rsid w:val="00307C79"/>
    <w:rsid w:val="0031371C"/>
    <w:rsid w:val="0031497F"/>
    <w:rsid w:val="003179E8"/>
    <w:rsid w:val="003371E3"/>
    <w:rsid w:val="003425E0"/>
    <w:rsid w:val="0035444D"/>
    <w:rsid w:val="00360415"/>
    <w:rsid w:val="003B245A"/>
    <w:rsid w:val="003C0104"/>
    <w:rsid w:val="003E14E9"/>
    <w:rsid w:val="003E34C6"/>
    <w:rsid w:val="003E416D"/>
    <w:rsid w:val="003E5D78"/>
    <w:rsid w:val="00402F2E"/>
    <w:rsid w:val="004121E0"/>
    <w:rsid w:val="004133C1"/>
    <w:rsid w:val="00413BA7"/>
    <w:rsid w:val="00414370"/>
    <w:rsid w:val="00414F75"/>
    <w:rsid w:val="00415E7E"/>
    <w:rsid w:val="00420527"/>
    <w:rsid w:val="004246B8"/>
    <w:rsid w:val="00425C25"/>
    <w:rsid w:val="00433287"/>
    <w:rsid w:val="004403CD"/>
    <w:rsid w:val="004456ED"/>
    <w:rsid w:val="00451485"/>
    <w:rsid w:val="00457050"/>
    <w:rsid w:val="0046076C"/>
    <w:rsid w:val="00461C08"/>
    <w:rsid w:val="004655DF"/>
    <w:rsid w:val="00465E16"/>
    <w:rsid w:val="004814DF"/>
    <w:rsid w:val="00497990"/>
    <w:rsid w:val="004A6F84"/>
    <w:rsid w:val="004C73E3"/>
    <w:rsid w:val="004D06D7"/>
    <w:rsid w:val="004F033E"/>
    <w:rsid w:val="004F607E"/>
    <w:rsid w:val="004F7A53"/>
    <w:rsid w:val="00500DB5"/>
    <w:rsid w:val="00516F4B"/>
    <w:rsid w:val="005222D5"/>
    <w:rsid w:val="00527DFB"/>
    <w:rsid w:val="00544533"/>
    <w:rsid w:val="0056127F"/>
    <w:rsid w:val="00564510"/>
    <w:rsid w:val="00571E9D"/>
    <w:rsid w:val="00581FBC"/>
    <w:rsid w:val="0058575E"/>
    <w:rsid w:val="00591138"/>
    <w:rsid w:val="00592434"/>
    <w:rsid w:val="005A415E"/>
    <w:rsid w:val="005B1C2E"/>
    <w:rsid w:val="005C481A"/>
    <w:rsid w:val="005C4857"/>
    <w:rsid w:val="005D1578"/>
    <w:rsid w:val="005D1C12"/>
    <w:rsid w:val="005E0E4A"/>
    <w:rsid w:val="006047BB"/>
    <w:rsid w:val="00605AE9"/>
    <w:rsid w:val="00612683"/>
    <w:rsid w:val="00621185"/>
    <w:rsid w:val="00626E78"/>
    <w:rsid w:val="00630CD4"/>
    <w:rsid w:val="00630DC6"/>
    <w:rsid w:val="00634C29"/>
    <w:rsid w:val="006367A1"/>
    <w:rsid w:val="00641991"/>
    <w:rsid w:val="00654FF0"/>
    <w:rsid w:val="006558F3"/>
    <w:rsid w:val="006739C5"/>
    <w:rsid w:val="006A1D30"/>
    <w:rsid w:val="006A1F0B"/>
    <w:rsid w:val="006A36A5"/>
    <w:rsid w:val="006A3B8F"/>
    <w:rsid w:val="006A7204"/>
    <w:rsid w:val="006B0263"/>
    <w:rsid w:val="006B3D68"/>
    <w:rsid w:val="006C5A2A"/>
    <w:rsid w:val="006D0820"/>
    <w:rsid w:val="006D7307"/>
    <w:rsid w:val="006E1EE3"/>
    <w:rsid w:val="006E7723"/>
    <w:rsid w:val="006F4D40"/>
    <w:rsid w:val="006F576C"/>
    <w:rsid w:val="00702088"/>
    <w:rsid w:val="00730E63"/>
    <w:rsid w:val="0073116F"/>
    <w:rsid w:val="00746990"/>
    <w:rsid w:val="00757E6A"/>
    <w:rsid w:val="00762F74"/>
    <w:rsid w:val="00763CC1"/>
    <w:rsid w:val="00771B6F"/>
    <w:rsid w:val="007B1F5E"/>
    <w:rsid w:val="007B68AD"/>
    <w:rsid w:val="007C49ED"/>
    <w:rsid w:val="007E0131"/>
    <w:rsid w:val="007E3AED"/>
    <w:rsid w:val="007F0A77"/>
    <w:rsid w:val="0081041D"/>
    <w:rsid w:val="00810E2F"/>
    <w:rsid w:val="00831B56"/>
    <w:rsid w:val="008329DB"/>
    <w:rsid w:val="00837DFB"/>
    <w:rsid w:val="00850913"/>
    <w:rsid w:val="0087532D"/>
    <w:rsid w:val="00891F99"/>
    <w:rsid w:val="008A1BAB"/>
    <w:rsid w:val="008A7B78"/>
    <w:rsid w:val="008B1EEA"/>
    <w:rsid w:val="008B3A85"/>
    <w:rsid w:val="008C16FF"/>
    <w:rsid w:val="008C767E"/>
    <w:rsid w:val="008D2E2C"/>
    <w:rsid w:val="008D6302"/>
    <w:rsid w:val="008E4C37"/>
    <w:rsid w:val="00915DBE"/>
    <w:rsid w:val="0092529A"/>
    <w:rsid w:val="00930BC3"/>
    <w:rsid w:val="00930D58"/>
    <w:rsid w:val="009377B7"/>
    <w:rsid w:val="009446F9"/>
    <w:rsid w:val="00967490"/>
    <w:rsid w:val="00986174"/>
    <w:rsid w:val="00986995"/>
    <w:rsid w:val="00987AA9"/>
    <w:rsid w:val="009A4603"/>
    <w:rsid w:val="009A53B6"/>
    <w:rsid w:val="009A7CCC"/>
    <w:rsid w:val="009C7EA6"/>
    <w:rsid w:val="009D4078"/>
    <w:rsid w:val="009F0B61"/>
    <w:rsid w:val="009F14DA"/>
    <w:rsid w:val="00A0036E"/>
    <w:rsid w:val="00A14EEF"/>
    <w:rsid w:val="00A27362"/>
    <w:rsid w:val="00A31A6F"/>
    <w:rsid w:val="00A70FD9"/>
    <w:rsid w:val="00A80676"/>
    <w:rsid w:val="00A855A4"/>
    <w:rsid w:val="00AA12EC"/>
    <w:rsid w:val="00AA6119"/>
    <w:rsid w:val="00AB7CBF"/>
    <w:rsid w:val="00AC1340"/>
    <w:rsid w:val="00AC6196"/>
    <w:rsid w:val="00AF2C93"/>
    <w:rsid w:val="00B042AD"/>
    <w:rsid w:val="00B07FE1"/>
    <w:rsid w:val="00B1659D"/>
    <w:rsid w:val="00B17FC9"/>
    <w:rsid w:val="00B24FE1"/>
    <w:rsid w:val="00B36CBE"/>
    <w:rsid w:val="00B46BC0"/>
    <w:rsid w:val="00B47D85"/>
    <w:rsid w:val="00B611F9"/>
    <w:rsid w:val="00B626E1"/>
    <w:rsid w:val="00B627C1"/>
    <w:rsid w:val="00B9248D"/>
    <w:rsid w:val="00B9612D"/>
    <w:rsid w:val="00B97F15"/>
    <w:rsid w:val="00BA03C5"/>
    <w:rsid w:val="00BB129A"/>
    <w:rsid w:val="00BB34CD"/>
    <w:rsid w:val="00BB6DB2"/>
    <w:rsid w:val="00BC643C"/>
    <w:rsid w:val="00BD4298"/>
    <w:rsid w:val="00BD75D7"/>
    <w:rsid w:val="00C044E1"/>
    <w:rsid w:val="00C0607F"/>
    <w:rsid w:val="00C329A8"/>
    <w:rsid w:val="00C55B6C"/>
    <w:rsid w:val="00C62349"/>
    <w:rsid w:val="00C7111E"/>
    <w:rsid w:val="00C73B88"/>
    <w:rsid w:val="00C74477"/>
    <w:rsid w:val="00C80672"/>
    <w:rsid w:val="00C82B65"/>
    <w:rsid w:val="00C848A6"/>
    <w:rsid w:val="00C95B1B"/>
    <w:rsid w:val="00CB0550"/>
    <w:rsid w:val="00CB2CD8"/>
    <w:rsid w:val="00CB3CD3"/>
    <w:rsid w:val="00CC43EF"/>
    <w:rsid w:val="00CD6753"/>
    <w:rsid w:val="00CE3590"/>
    <w:rsid w:val="00CE44D4"/>
    <w:rsid w:val="00D0712D"/>
    <w:rsid w:val="00D078BE"/>
    <w:rsid w:val="00D11AE6"/>
    <w:rsid w:val="00D13F8A"/>
    <w:rsid w:val="00D215F1"/>
    <w:rsid w:val="00D45B74"/>
    <w:rsid w:val="00D629BA"/>
    <w:rsid w:val="00D661DF"/>
    <w:rsid w:val="00D70DD1"/>
    <w:rsid w:val="00D91465"/>
    <w:rsid w:val="00D918D5"/>
    <w:rsid w:val="00D96362"/>
    <w:rsid w:val="00DA7D9E"/>
    <w:rsid w:val="00DC23CD"/>
    <w:rsid w:val="00DE2D68"/>
    <w:rsid w:val="00DE5A72"/>
    <w:rsid w:val="00DF3D0D"/>
    <w:rsid w:val="00E10644"/>
    <w:rsid w:val="00E10991"/>
    <w:rsid w:val="00E27CF3"/>
    <w:rsid w:val="00E414BB"/>
    <w:rsid w:val="00E42057"/>
    <w:rsid w:val="00E42944"/>
    <w:rsid w:val="00E53D3F"/>
    <w:rsid w:val="00E658BD"/>
    <w:rsid w:val="00E73A63"/>
    <w:rsid w:val="00E83B37"/>
    <w:rsid w:val="00E964FC"/>
    <w:rsid w:val="00EA72F3"/>
    <w:rsid w:val="00ED37CC"/>
    <w:rsid w:val="00EE0926"/>
    <w:rsid w:val="00EE2756"/>
    <w:rsid w:val="00EE468A"/>
    <w:rsid w:val="00EF6822"/>
    <w:rsid w:val="00F02AEC"/>
    <w:rsid w:val="00F02CCD"/>
    <w:rsid w:val="00F16CC7"/>
    <w:rsid w:val="00F2432E"/>
    <w:rsid w:val="00F312F6"/>
    <w:rsid w:val="00F3134A"/>
    <w:rsid w:val="00F40F62"/>
    <w:rsid w:val="00F50ED6"/>
    <w:rsid w:val="00F53BA6"/>
    <w:rsid w:val="00F67574"/>
    <w:rsid w:val="00F87251"/>
    <w:rsid w:val="00F97D15"/>
    <w:rsid w:val="00FA49C3"/>
    <w:rsid w:val="00FB4CF8"/>
    <w:rsid w:val="00FC6D3C"/>
    <w:rsid w:val="00FC72C9"/>
    <w:rsid w:val="00FD537E"/>
    <w:rsid w:val="00FE0B6A"/>
    <w:rsid w:val="00FE3C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0CDAC"/>
  <w15:chartTrackingRefBased/>
  <w15:docId w15:val="{7A768782-7D07-4EEF-8EC8-D9D8A5E0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490"/>
    <w:rPr>
      <w:sz w:val="22"/>
      <w:szCs w:val="2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paragraph" w:styleId="Heading7">
    <w:name w:val="heading 7"/>
    <w:basedOn w:val="Normal"/>
    <w:next w:val="Normal"/>
    <w:link w:val="Heading7Char"/>
    <w:uiPriority w:val="9"/>
    <w:rsid w:val="00457050"/>
    <w:pPr>
      <w:keepNext/>
      <w:keepLines/>
      <w:spacing w:before="240" w:after="60" w:line="180" w:lineRule="atLeast"/>
      <w:ind w:left="1296" w:hanging="1296"/>
      <w:outlineLvl w:val="6"/>
    </w:pPr>
    <w:rPr>
      <w:rFonts w:ascii="Cambria" w:eastAsia="Times New Roman" w:hAnsi="Cambria" w:cs="Times New Roman"/>
      <w:bCs/>
      <w:i/>
    </w:rPr>
  </w:style>
  <w:style w:type="paragraph" w:styleId="Heading8">
    <w:name w:val="heading 8"/>
    <w:basedOn w:val="Normal"/>
    <w:next w:val="Normal"/>
    <w:link w:val="Heading8Char"/>
    <w:uiPriority w:val="9"/>
    <w:semiHidden/>
    <w:unhideWhenUsed/>
    <w:qFormat/>
    <w:rsid w:val="00457050"/>
    <w:pPr>
      <w:keepNext/>
      <w:keepLines/>
      <w:spacing w:before="200" w:after="0" w:line="240" w:lineRule="atLeast"/>
      <w:ind w:left="1440" w:hanging="144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457050"/>
    <w:pPr>
      <w:keepNext/>
      <w:keepLines/>
      <w:spacing w:before="200" w:after="0" w:line="240" w:lineRule="atLeast"/>
      <w:ind w:left="1584" w:hanging="1584"/>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641991"/>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ascii="Arial" w:eastAsia="Cambria" w:hAnsi="Arial"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aliases w:val="OECD Hyperlink"/>
    <w:basedOn w:val="DefaultParagraphFont"/>
    <w:uiPriority w:val="99"/>
    <w:unhideWhenUsed/>
    <w:rsid w:val="00F02AEC"/>
    <w:rPr>
      <w:rFonts w:ascii="Arial" w:hAnsi="Arial"/>
      <w:color w:val="0000FF"/>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uiPriority w:val="2"/>
    <w:qFormat/>
    <w:rsid w:val="00360415"/>
    <w:pPr>
      <w:numPr>
        <w:numId w:val="1"/>
      </w:numPr>
      <w:spacing w:before="120" w:after="180" w:line="240" w:lineRule="atLeast"/>
    </w:pPr>
    <w:rPr>
      <w:rFonts w:eastAsia="Cambria" w:cstheme="minorHAnsi"/>
      <w:color w:val="000000" w:themeColor="text1"/>
    </w:rPr>
  </w:style>
  <w:style w:type="paragraph" w:styleId="ListBullet2">
    <w:name w:val="List Bullet 2"/>
    <w:basedOn w:val="Normal"/>
    <w:uiPriority w:val="2"/>
    <w:qFormat/>
    <w:rsid w:val="00F02AEC"/>
    <w:pPr>
      <w:numPr>
        <w:ilvl w:val="1"/>
        <w:numId w:val="1"/>
      </w:numPr>
      <w:spacing w:before="120" w:after="180" w:line="240" w:lineRule="atLeast"/>
      <w:ind w:left="850" w:hanging="425"/>
    </w:pPr>
    <w:rPr>
      <w:rFonts w:ascii="Arial" w:eastAsia="Cambria" w:hAnsi="Arial" w:cs="Times New Roman"/>
      <w:color w:val="333F48"/>
    </w:rPr>
  </w:style>
  <w:style w:type="paragraph" w:styleId="ListBullet3">
    <w:name w:val="List Bullet 3"/>
    <w:basedOn w:val="Normal"/>
    <w:uiPriority w:val="2"/>
    <w:qFormat/>
    <w:rsid w:val="00F02AEC"/>
    <w:pPr>
      <w:numPr>
        <w:numId w:val="3"/>
      </w:numPr>
      <w:spacing w:before="120" w:after="180" w:line="240" w:lineRule="atLeast"/>
      <w:ind w:left="1276" w:hanging="425"/>
    </w:pPr>
    <w:rPr>
      <w:rFonts w:ascii="Arial" w:eastAsia="Cambria" w:hAnsi="Arial" w:cs="Times New Roman"/>
      <w:color w:val="333F48"/>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qFormat/>
    <w:rsid w:val="00B46BC0"/>
    <w:pPr>
      <w:numPr>
        <w:numId w:val="2"/>
      </w:numPr>
    </w:pPr>
  </w:style>
  <w:style w:type="paragraph" w:customStyle="1" w:styleId="Numberbullet2">
    <w:name w:val="Number bullet 2"/>
    <w:basedOn w:val="ListBullet2"/>
    <w:qFormat/>
    <w:rsid w:val="00F02AEC"/>
    <w:pPr>
      <w:numPr>
        <w:numId w:val="2"/>
      </w:numPr>
      <w:ind w:left="850" w:hanging="425"/>
    </w:pPr>
  </w:style>
  <w:style w:type="paragraph" w:customStyle="1" w:styleId="Numberbullet3">
    <w:name w:val="Number bullet 3"/>
    <w:basedOn w:val="Normal"/>
    <w:uiPriority w:val="3"/>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3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uiPriority w:val="99"/>
    <w:rsid w:val="00F02AEC"/>
    <w:pPr>
      <w:keepLines/>
      <w:spacing w:after="0" w:line="240" w:lineRule="atLeast"/>
    </w:pPr>
    <w:rPr>
      <w:rFonts w:ascii="Arial" w:eastAsia="Cambria" w:hAnsi="Arial" w:cs="Times New Roman"/>
      <w:color w:val="333F48"/>
    </w:rPr>
  </w:style>
  <w:style w:type="character" w:customStyle="1" w:styleId="FootnoteTextChar">
    <w:name w:val="Footnote Text Char"/>
    <w:basedOn w:val="DefaultParagraphFont"/>
    <w:link w:val="FootnoteText"/>
    <w:uiPriority w:val="99"/>
    <w:rsid w:val="00F02AEC"/>
    <w:rPr>
      <w:rFonts w:ascii="Arial" w:eastAsia="Cambria" w:hAnsi="Arial" w:cs="Times New Roman"/>
      <w:color w:val="333F48"/>
      <w:sz w:val="20"/>
      <w:szCs w:val="20"/>
    </w:rPr>
  </w:style>
  <w:style w:type="character" w:styleId="FootnoteReference">
    <w:name w:val="footnote reference"/>
    <w:basedOn w:val="DefaultParagraphFont"/>
    <w:uiPriority w:val="99"/>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ascii="Arial" w:eastAsia="Cambria" w:hAnsi="Arial"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ascii="Arial" w:eastAsia="Cambria" w:hAnsi="Arial" w:cs="Times New Roman"/>
      <w:b/>
      <w:color w:val="333F48"/>
    </w:r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F02AEC"/>
    <w:pPr>
      <w:numPr>
        <w:numId w:val="6"/>
      </w:numPr>
      <w:ind w:left="357" w:hanging="357"/>
    </w:pPr>
    <w:rPr>
      <w:rFonts w:eastAsiaTheme="minorHAnsi" w:cstheme="minorBidi"/>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customStyle="1" w:styleId="Heading7Char">
    <w:name w:val="Heading 7 Char"/>
    <w:basedOn w:val="DefaultParagraphFont"/>
    <w:link w:val="Heading7"/>
    <w:uiPriority w:val="9"/>
    <w:rsid w:val="00457050"/>
    <w:rPr>
      <w:rFonts w:ascii="Cambria" w:eastAsia="Times New Roman" w:hAnsi="Cambria" w:cs="Times New Roman"/>
      <w:bCs/>
      <w:i/>
      <w:sz w:val="22"/>
      <w:szCs w:val="22"/>
    </w:rPr>
  </w:style>
  <w:style w:type="character" w:customStyle="1" w:styleId="Heading8Char">
    <w:name w:val="Heading 8 Char"/>
    <w:basedOn w:val="DefaultParagraphFont"/>
    <w:link w:val="Heading8"/>
    <w:uiPriority w:val="9"/>
    <w:semiHidden/>
    <w:rsid w:val="0045705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57050"/>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457050"/>
    <w:rPr>
      <w:sz w:val="16"/>
      <w:szCs w:val="16"/>
    </w:rPr>
  </w:style>
  <w:style w:type="paragraph" w:styleId="CommentText">
    <w:name w:val="annotation text"/>
    <w:basedOn w:val="Normal"/>
    <w:link w:val="CommentTextChar"/>
    <w:uiPriority w:val="99"/>
    <w:unhideWhenUsed/>
    <w:rsid w:val="00457050"/>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457050"/>
    <w:rPr>
      <w:rFonts w:ascii="Cambria" w:eastAsia="Cambria" w:hAnsi="Cambria" w:cs="Times New Roman"/>
    </w:rPr>
  </w:style>
  <w:style w:type="character" w:styleId="UnresolvedMention">
    <w:name w:val="Unresolved Mention"/>
    <w:basedOn w:val="DefaultParagraphFont"/>
    <w:uiPriority w:val="99"/>
    <w:semiHidden/>
    <w:unhideWhenUsed/>
    <w:rsid w:val="00AA12EC"/>
    <w:rPr>
      <w:color w:val="605E5C"/>
      <w:shd w:val="clear" w:color="auto" w:fill="E1DFDD"/>
    </w:rPr>
  </w:style>
  <w:style w:type="table" w:customStyle="1" w:styleId="TableTGAblue">
    <w:name w:val="Table TGA blue"/>
    <w:basedOn w:val="TableNormal"/>
    <w:uiPriority w:val="99"/>
    <w:qFormat/>
    <w:rsid w:val="006558F3"/>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customStyle="1" w:styleId="paragraph">
    <w:name w:val="paragraph"/>
    <w:basedOn w:val="Normal"/>
    <w:rsid w:val="006558F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6558F3"/>
  </w:style>
  <w:style w:type="character" w:customStyle="1" w:styleId="eop">
    <w:name w:val="eop"/>
    <w:basedOn w:val="DefaultParagraphFont"/>
    <w:rsid w:val="006558F3"/>
  </w:style>
  <w:style w:type="character" w:customStyle="1" w:styleId="scxw158489010">
    <w:name w:val="scxw158489010"/>
    <w:basedOn w:val="DefaultParagraphFont"/>
    <w:rsid w:val="006558F3"/>
  </w:style>
  <w:style w:type="character" w:styleId="Strong">
    <w:name w:val="Strong"/>
    <w:basedOn w:val="DefaultParagraphFont"/>
    <w:uiPriority w:val="22"/>
    <w:qFormat/>
    <w:rsid w:val="00D629BA"/>
    <w:rPr>
      <w:b/>
      <w:bCs/>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A19E1"/>
    <w:pPr>
      <w:spacing w:before="120" w:after="180" w:line="240" w:lineRule="atLeast"/>
      <w:ind w:left="720"/>
      <w:contextualSpacing/>
    </w:pPr>
    <w:rPr>
      <w:rFonts w:ascii="Cambria" w:eastAsia="Cambria" w:hAnsi="Cambria" w:cs="Times New Roman"/>
      <w:szCs w:val="20"/>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rsid w:val="001A19E1"/>
    <w:rPr>
      <w:rFonts w:ascii="Cambria" w:eastAsia="Cambria" w:hAnsi="Cambria" w:cs="Times New Roman"/>
      <w:sz w:val="22"/>
    </w:rPr>
  </w:style>
  <w:style w:type="character" w:customStyle="1" w:styleId="cf01">
    <w:name w:val="cf01"/>
    <w:basedOn w:val="DefaultParagraphFont"/>
    <w:rsid w:val="001A19E1"/>
    <w:rPr>
      <w:rFonts w:ascii="Segoe UI" w:hAnsi="Segoe UI" w:cs="Segoe UI" w:hint="default"/>
      <w:color w:val="1C1D1E"/>
      <w:sz w:val="18"/>
      <w:szCs w:val="18"/>
      <w:shd w:val="clear" w:color="auto" w:fill="FFFFFF"/>
    </w:rPr>
  </w:style>
  <w:style w:type="character" w:customStyle="1" w:styleId="cf11">
    <w:name w:val="cf11"/>
    <w:basedOn w:val="DefaultParagraphFont"/>
    <w:rsid w:val="001A19E1"/>
    <w:rPr>
      <w:rFonts w:ascii="Segoe UI" w:hAnsi="Segoe UI" w:cs="Segoe UI" w:hint="default"/>
      <w:i/>
      <w:iCs/>
      <w:color w:val="1C1D1E"/>
      <w:sz w:val="18"/>
      <w:szCs w:val="18"/>
      <w:shd w:val="clear" w:color="auto" w:fill="FFFFFF"/>
    </w:rPr>
  </w:style>
  <w:style w:type="character" w:customStyle="1" w:styleId="cf21">
    <w:name w:val="cf21"/>
    <w:basedOn w:val="DefaultParagraphFont"/>
    <w:rsid w:val="001A19E1"/>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986995"/>
    <w:pPr>
      <w:spacing w:before="0" w:after="12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986995"/>
    <w:rPr>
      <w:rFonts w:ascii="Cambria" w:eastAsia="Cambria" w:hAnsi="Cambria" w:cs="Times New Roman"/>
      <w:b/>
      <w:bCs/>
    </w:rPr>
  </w:style>
  <w:style w:type="paragraph" w:styleId="Revision">
    <w:name w:val="Revision"/>
    <w:hidden/>
    <w:uiPriority w:val="99"/>
    <w:semiHidden/>
    <w:rsid w:val="000932FF"/>
    <w:pPr>
      <w:spacing w:after="0" w:line="240" w:lineRule="auto"/>
    </w:pPr>
    <w:rPr>
      <w:sz w:val="22"/>
      <w:szCs w:val="22"/>
    </w:rPr>
  </w:style>
  <w:style w:type="character" w:styleId="FollowedHyperlink">
    <w:name w:val="FollowedHyperlink"/>
    <w:basedOn w:val="DefaultParagraphFont"/>
    <w:uiPriority w:val="99"/>
    <w:semiHidden/>
    <w:unhideWhenUsed/>
    <w:rsid w:val="00B47D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223492">
      <w:bodyDiv w:val="1"/>
      <w:marLeft w:val="0"/>
      <w:marRight w:val="0"/>
      <w:marTop w:val="0"/>
      <w:marBottom w:val="0"/>
      <w:divBdr>
        <w:top w:val="none" w:sz="0" w:space="0" w:color="auto"/>
        <w:left w:val="none" w:sz="0" w:space="0" w:color="auto"/>
        <w:bottom w:val="none" w:sz="0" w:space="0" w:color="auto"/>
        <w:right w:val="none" w:sz="0" w:space="0" w:color="auto"/>
      </w:divBdr>
    </w:div>
    <w:div w:id="141262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ga.gov.au/publication/scheduling-handbook-guidance-amending-poisons-standard" TargetMode="External"/><Relationship Id="rId18" Type="http://schemas.openxmlformats.org/officeDocument/2006/relationships/hyperlink" Target="https://consultations.tga.gov.au/++preview++/tga/scheduling-interim-decision-march-2023/user_uploads/march-2023---public-notice-of-interim-decisions.pdf" TargetMode="External"/><Relationship Id="rId26" Type="http://schemas.openxmlformats.org/officeDocument/2006/relationships/hyperlink" Target="https://www.lifeline.org.au/" TargetMode="External"/><Relationship Id="rId39" Type="http://schemas.openxmlformats.org/officeDocument/2006/relationships/hyperlink" Target="https://eur-lex.europa.eu/legal-content/EN/TXT/PDF/?uri=CELEX:32020R1276" TargetMode="External"/><Relationship Id="rId21" Type="http://schemas.openxmlformats.org/officeDocument/2006/relationships/hyperlink" Target="https://consultations.tga.gov.au/tga/pre-meeting-march-2023" TargetMode="External"/><Relationship Id="rId34" Type="http://schemas.openxmlformats.org/officeDocument/2006/relationships/hyperlink" Target="https://consultations.tga.gov.au/tga/pre-meeting-march-2023" TargetMode="External"/><Relationship Id="rId42" Type="http://schemas.openxmlformats.org/officeDocument/2006/relationships/hyperlink" Target="https://consultations.tga.gov.au/tga/pre-meeting-march-2023" TargetMode="External"/><Relationship Id="rId47" Type="http://schemas.openxmlformats.org/officeDocument/2006/relationships/hyperlink" Target="https://eur-lex.europa.eu/legal-content/EN/TXT/PDF/?uri=CELEX:32009R1223" TargetMode="External"/><Relationship Id="rId50" Type="http://schemas.openxmlformats.org/officeDocument/2006/relationships/hyperlink" Target="https://www.health.vic.gov.au/drug-alerts/yellow-powder-containing-protonitazene-may-be-sold-as-ketamine" TargetMode="External"/><Relationship Id="rId55" Type="http://schemas.openxmlformats.org/officeDocument/2006/relationships/header" Target="header2.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nsultations.tga.gov.au/tga/pre-meeting-march-2023" TargetMode="External"/><Relationship Id="rId20" Type="http://schemas.openxmlformats.org/officeDocument/2006/relationships/hyperlink" Target="https://consultations.tga.gov.au/tga/pre-meeting-march-2023" TargetMode="External"/><Relationship Id="rId29" Type="http://schemas.openxmlformats.org/officeDocument/2006/relationships/hyperlink" Target="https://mensline.org.au/" TargetMode="External"/><Relationship Id="rId41" Type="http://schemas.openxmlformats.org/officeDocument/2006/relationships/hyperlink" Target="https://consultations.tga.gov.au/tga/pre-meeting-march-2023" TargetMode="External"/><Relationship Id="rId54" Type="http://schemas.openxmlformats.org/officeDocument/2006/relationships/hyperlink" Target="https://www.deadiversion.usdoj.gov/drug_chem_info/benzimidazole-opioids.pdf" TargetMode="External"/><Relationship Id="rId6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ga.copyright@tga.gov.au" TargetMode="External"/><Relationship Id="rId24" Type="http://schemas.openxmlformats.org/officeDocument/2006/relationships/hyperlink" Target="https://consultations.tga.gov.au/tga/scheduling-interim-decision-march-2023/" TargetMode="External"/><Relationship Id="rId32" Type="http://schemas.openxmlformats.org/officeDocument/2006/relationships/hyperlink" Target="https://au.reachout.com/" TargetMode="External"/><Relationship Id="rId37" Type="http://schemas.openxmlformats.org/officeDocument/2006/relationships/hyperlink" Target="https://consultations.tga.gov.au/++preview++/tga/scheduling-interim-decision-march-2023/user_uploads/march-2023---public-notice-of-interim-decisions.pdf" TargetMode="External"/><Relationship Id="rId40" Type="http://schemas.openxmlformats.org/officeDocument/2006/relationships/hyperlink" Target="https://consultations.tga.gov.au/tga/pre-meeting-march-2023/user_uploads/march-pre-meeting-public-notice-acms--41-accs--36-acms-accs--33---.pdf" TargetMode="External"/><Relationship Id="rId45" Type="http://schemas.openxmlformats.org/officeDocument/2006/relationships/hyperlink" Target="https://database.ich.org/sites/default/files/ICH_Q3C-R8_Guideline_Step4_2021_0422.pdf" TargetMode="External"/><Relationship Id="rId53" Type="http://schemas.openxmlformats.org/officeDocument/2006/relationships/hyperlink" Target="https://www.gov.uk/government/publications/acmd-advice-on-2-benzyl-benzimidazole-and-piperidine-benzimidazolone-opioids/acmd-advice-on-2-benzyl-benzimidazole-and-piperidine-benzimidazolone-opioids-accessible-version" TargetMode="External"/><Relationship Id="rId58" Type="http://schemas.openxmlformats.org/officeDocument/2006/relationships/hyperlink" Target="https://www.tga.gov.au" TargetMode="External"/><Relationship Id="rId5" Type="http://schemas.openxmlformats.org/officeDocument/2006/relationships/webSettings" Target="webSettings.xml"/><Relationship Id="rId15" Type="http://schemas.openxmlformats.org/officeDocument/2006/relationships/hyperlink" Target="https://consultations.tga.gov.au/tga/pre-meeting-march-2023" TargetMode="External"/><Relationship Id="rId23" Type="http://schemas.openxmlformats.org/officeDocument/2006/relationships/hyperlink" Target="https://unece.org/sites/default/files/2021-09/GHS_Rev9E_0.pdf" TargetMode="External"/><Relationship Id="rId28" Type="http://schemas.openxmlformats.org/officeDocument/2006/relationships/hyperlink" Target="https://www.beyondblue.org.au/get-support/online-forums" TargetMode="External"/><Relationship Id="rId36" Type="http://schemas.openxmlformats.org/officeDocument/2006/relationships/hyperlink" Target="https://consultations.tga.gov.au/tga/scheduling-interim-decision-march-2023/" TargetMode="External"/><Relationship Id="rId49" Type="http://schemas.openxmlformats.org/officeDocument/2006/relationships/hyperlink" Target="https://consultations.tga.gov.au/++preview++/tga/scheduling-interim-decision-march-2023/user_uploads/march-2023---public-notice-of-interim-decisions.pdf" TargetMode="External"/><Relationship Id="rId57" Type="http://schemas.openxmlformats.org/officeDocument/2006/relationships/hyperlink" Target="mailto:info@tga.gov.au" TargetMode="External"/><Relationship Id="rId61"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consultations.tga.gov.au/tga/pre-meeting-march-2023/user_uploads/march-pre-meeting-public-notice-acms--41-accs--36-acms-accs--33---.pdf" TargetMode="External"/><Relationship Id="rId31" Type="http://schemas.openxmlformats.org/officeDocument/2006/relationships/hyperlink" Target="https://headspace.org.au/" TargetMode="External"/><Relationship Id="rId44" Type="http://schemas.openxmlformats.org/officeDocument/2006/relationships/hyperlink" Target="https://unece.org/sites/default/files/2021-09/GHS_Rev9E_0.pdf" TargetMode="External"/><Relationship Id="rId52" Type="http://schemas.openxmlformats.org/officeDocument/2006/relationships/hyperlink" Target="https://www.health.act.gov.au/public-health-alert/public-health-alert-dangerous-drug-warning-canberrans" TargetMode="External"/><Relationship Id="rId60"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consultations.tga.gov.au/tga/pre-meeting-march-2023/user_uploads/march-pre-meeting-public-notice-acms--41-accs--36-acms-accs--33---.pdf" TargetMode="External"/><Relationship Id="rId22" Type="http://schemas.openxmlformats.org/officeDocument/2006/relationships/hyperlink" Target="https://www.industrialchemicals.gov.au/sites/default/files/2021-09/EVA00010%20-%20Evaluation%20Statement%20-%2014%20September%202021%20%5B702%20KB%5D.pdf" TargetMode="External"/><Relationship Id="rId27" Type="http://schemas.openxmlformats.org/officeDocument/2006/relationships/hyperlink" Target="https://www.suicidecallbackservice.org.au/" TargetMode="External"/><Relationship Id="rId30" Type="http://schemas.openxmlformats.org/officeDocument/2006/relationships/hyperlink" Target="https://kidshelpline.com.au/" TargetMode="External"/><Relationship Id="rId35" Type="http://schemas.openxmlformats.org/officeDocument/2006/relationships/hyperlink" Target="https://consultations.tga.gov.au/tga/pre-meeting-march-2023" TargetMode="External"/><Relationship Id="rId43" Type="http://schemas.openxmlformats.org/officeDocument/2006/relationships/hyperlink" Target="https://www.industrialchemicals.gov.au/sites/default/files/2022-06/EVA00003%20-%20Evaluation%20statement%20-%2030%20June%202022.pdf" TargetMode="External"/><Relationship Id="rId48" Type="http://schemas.openxmlformats.org/officeDocument/2006/relationships/hyperlink" Target="https://consultations.tga.gov.au/tga/scheduling-interim-decision-march-2023/" TargetMode="External"/><Relationship Id="rId56" Type="http://schemas.openxmlformats.org/officeDocument/2006/relationships/footer" Target="footer3.xml"/><Relationship Id="rId8" Type="http://schemas.openxmlformats.org/officeDocument/2006/relationships/footer" Target="footer1.xml"/><Relationship Id="rId51" Type="http://schemas.openxmlformats.org/officeDocument/2006/relationships/hyperlink" Target="https://www.health.nsw.gov.au/news/Pages/20221222_01.aspx" TargetMode="External"/><Relationship Id="rId3" Type="http://schemas.openxmlformats.org/officeDocument/2006/relationships/styles" Target="styles.xml"/><Relationship Id="rId12" Type="http://schemas.openxmlformats.org/officeDocument/2006/relationships/hyperlink" Target="https://www.tga.gov.au/publication/ahmac-scheduling-policy-framework-medicines-and-chemicals" TargetMode="External"/><Relationship Id="rId17" Type="http://schemas.openxmlformats.org/officeDocument/2006/relationships/hyperlink" Target="https://consultations.tga.gov.au/tga/scheduling-interim-decision-march-2023/" TargetMode="External"/><Relationship Id="rId25" Type="http://schemas.openxmlformats.org/officeDocument/2006/relationships/hyperlink" Target="https://consultations.tga.gov.au/++preview++/tga/scheduling-interim-decision-march-2023/user_uploads/march-2023---public-notice-of-interim-decisions.pdf" TargetMode="External"/><Relationship Id="rId33" Type="http://schemas.openxmlformats.org/officeDocument/2006/relationships/hyperlink" Target="https://consultations.tga.gov.au/tga/pre-meeting-march-2023/user_uploads/march-pre-meeting-public-notice-acms--41-accs--36-acms-accs--33---.pdf" TargetMode="External"/><Relationship Id="rId38" Type="http://schemas.openxmlformats.org/officeDocument/2006/relationships/hyperlink" Target="https://portal.apvma.gov.au/pubcris" TargetMode="External"/><Relationship Id="rId46" Type="http://schemas.openxmlformats.org/officeDocument/2006/relationships/hyperlink" Target="https://www.legislation.gov.au/Details/F2023L00828" TargetMode="External"/><Relationship Id="rId59"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deadiversion.usdoj.gov/drug_chem_info/benzimidazole-opioids.pdf" TargetMode="External"/><Relationship Id="rId3" Type="http://schemas.openxmlformats.org/officeDocument/2006/relationships/hyperlink" Target="https://www.health.vic.gov.au/drug-alerts/yellow-powder-containing-protonitazene-may-be-sold-as-ketamine" TargetMode="External"/><Relationship Id="rId7" Type="http://schemas.openxmlformats.org/officeDocument/2006/relationships/hyperlink" Target="https://www.gov.uk/government/publications/acmd-advice-on-2-benzyl-benzimidazole-and-piperidine-benzimidazolone-opioids/acmd-advice-on-2-benzyl-benzimidazole-and-piperidine-benzimidazolone-opioids-accessible-version" TargetMode="External"/><Relationship Id="rId12" Type="http://schemas.openxmlformats.org/officeDocument/2006/relationships/hyperlink" Target="https://www.tandfonline.com/doi/abs/10.2143/ACB.3349?_gl=1*1osidcb*_ga*MjA1MTU5OTQ0NS4xNjkxNzA5NDkz*_ga_0HYE8YG0M6*MTY5MTcwOTQ5My4xLjEuMTY5MTcxMTIyOS4wLjAuMA.." TargetMode="External"/><Relationship Id="rId2" Type="http://schemas.openxmlformats.org/officeDocument/2006/relationships/hyperlink" Target="https://apps.tga.gov.au/prod/MSI/search/" TargetMode="External"/><Relationship Id="rId1" Type="http://schemas.openxmlformats.org/officeDocument/2006/relationships/hyperlink" Target="https://apps.tga.gov.au/prod/MSI/search/" TargetMode="External"/><Relationship Id="rId6" Type="http://schemas.openxmlformats.org/officeDocument/2006/relationships/hyperlink" Target="https://www.health.act.gov.au/public-health-alert/public-health-alert-dangerous-drug-warning-canberrans" TargetMode="External"/><Relationship Id="rId11" Type="http://schemas.openxmlformats.org/officeDocument/2006/relationships/hyperlink" Target="https://diabetesjournals.org/care/article/38/12/2344/28967/Sodium-Glucose-Cotransporter-Inhibitors-Effects-on" TargetMode="External"/><Relationship Id="rId5" Type="http://schemas.openxmlformats.org/officeDocument/2006/relationships/hyperlink" Target="https://www.health.nsw.gov.au/news/Pages/20230505_02.aspx" TargetMode="External"/><Relationship Id="rId10" Type="http://schemas.openxmlformats.org/officeDocument/2006/relationships/hyperlink" Target="https://adf.org.au/drug-facts/nitazenes/" TargetMode="External"/><Relationship Id="rId4" Type="http://schemas.openxmlformats.org/officeDocument/2006/relationships/hyperlink" Target="https://www.health.nsw.gov.au/news/Pages/20221222_01.aspx" TargetMode="External"/><Relationship Id="rId9" Type="http://schemas.openxmlformats.org/officeDocument/2006/relationships/hyperlink" Target="https://link.springer.com/article/10.1007/s00204-022-03276-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F8FBA1FEC142B0AFD343B4AC807B34"/>
        <w:category>
          <w:name w:val="General"/>
          <w:gallery w:val="placeholder"/>
        </w:category>
        <w:types>
          <w:type w:val="bbPlcHdr"/>
        </w:types>
        <w:behaviors>
          <w:behavior w:val="content"/>
        </w:behaviors>
        <w:guid w:val="{D06F7127-6C54-4C53-83BC-EF4021A15983}"/>
      </w:docPartPr>
      <w:docPartBody>
        <w:p w:rsidR="002D05D6" w:rsidRDefault="00DD2153" w:rsidP="00DD2153">
          <w:pPr>
            <w:pStyle w:val="86F8FBA1FEC142B0AFD343B4AC807B34"/>
          </w:pPr>
          <w:r w:rsidRPr="0077627B">
            <w:rPr>
              <w:rStyle w:val="PlaceholderText"/>
            </w:rPr>
            <w:t>Click or tap here to enter text.</w:t>
          </w:r>
        </w:p>
      </w:docPartBody>
    </w:docPart>
    <w:docPart>
      <w:docPartPr>
        <w:name w:val="D16F6D7A709441FBAAEFF77C12C50654"/>
        <w:category>
          <w:name w:val="General"/>
          <w:gallery w:val="placeholder"/>
        </w:category>
        <w:types>
          <w:type w:val="bbPlcHdr"/>
        </w:types>
        <w:behaviors>
          <w:behavior w:val="content"/>
        </w:behaviors>
        <w:guid w:val="{709190D7-83CB-4FC2-B8B6-25C332782E05}"/>
      </w:docPartPr>
      <w:docPartBody>
        <w:p w:rsidR="00DC089C" w:rsidRDefault="002D05D6" w:rsidP="002D05D6">
          <w:pPr>
            <w:pStyle w:val="D16F6D7A709441FBAAEFF77C12C50654"/>
          </w:pPr>
          <w:r w:rsidRPr="0077627B">
            <w:rPr>
              <w:rStyle w:val="PlaceholderText"/>
            </w:rPr>
            <w:t>Click or tap here to enter text.</w:t>
          </w:r>
        </w:p>
      </w:docPartBody>
    </w:docPart>
    <w:docPart>
      <w:docPartPr>
        <w:name w:val="5900E51799F64AE69AE062317D65DBB0"/>
        <w:category>
          <w:name w:val="General"/>
          <w:gallery w:val="placeholder"/>
        </w:category>
        <w:types>
          <w:type w:val="bbPlcHdr"/>
        </w:types>
        <w:behaviors>
          <w:behavior w:val="content"/>
        </w:behaviors>
        <w:guid w:val="{B225290A-21B0-486C-AD17-089F90AAEE80}"/>
      </w:docPartPr>
      <w:docPartBody>
        <w:p w:rsidR="002E24BE" w:rsidRDefault="005B5141" w:rsidP="005B5141">
          <w:pPr>
            <w:pStyle w:val="5900E51799F64AE69AE062317D65DBB0"/>
          </w:pPr>
          <w:r w:rsidRPr="0077627B">
            <w:rPr>
              <w:rStyle w:val="PlaceholderText"/>
            </w:rPr>
            <w:t>Click or tap here to enter text.</w:t>
          </w:r>
        </w:p>
      </w:docPartBody>
    </w:docPart>
    <w:docPart>
      <w:docPartPr>
        <w:name w:val="6D34372595B34A948E76C723A8D87D1C"/>
        <w:category>
          <w:name w:val="General"/>
          <w:gallery w:val="placeholder"/>
        </w:category>
        <w:types>
          <w:type w:val="bbPlcHdr"/>
        </w:types>
        <w:behaviors>
          <w:behavior w:val="content"/>
        </w:behaviors>
        <w:guid w:val="{4C112445-5529-4210-BB87-66B63842CF08}"/>
      </w:docPartPr>
      <w:docPartBody>
        <w:p w:rsidR="002E24BE" w:rsidRDefault="005B5141" w:rsidP="005B5141">
          <w:pPr>
            <w:pStyle w:val="6D34372595B34A948E76C723A8D87D1C"/>
          </w:pPr>
          <w:r w:rsidRPr="0077627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153"/>
    <w:rsid w:val="000E7CD1"/>
    <w:rsid w:val="000F516E"/>
    <w:rsid w:val="00124C21"/>
    <w:rsid w:val="0019399F"/>
    <w:rsid w:val="001965BD"/>
    <w:rsid w:val="002279FB"/>
    <w:rsid w:val="00270AE5"/>
    <w:rsid w:val="00274010"/>
    <w:rsid w:val="002D05D6"/>
    <w:rsid w:val="002E131A"/>
    <w:rsid w:val="002E24BE"/>
    <w:rsid w:val="0034647A"/>
    <w:rsid w:val="0036482F"/>
    <w:rsid w:val="00491638"/>
    <w:rsid w:val="004A7A49"/>
    <w:rsid w:val="00513D9B"/>
    <w:rsid w:val="00532020"/>
    <w:rsid w:val="00551646"/>
    <w:rsid w:val="005B5141"/>
    <w:rsid w:val="005C2E2D"/>
    <w:rsid w:val="005E7BF6"/>
    <w:rsid w:val="006B031D"/>
    <w:rsid w:val="00754645"/>
    <w:rsid w:val="00763DA2"/>
    <w:rsid w:val="007C5350"/>
    <w:rsid w:val="007E07F0"/>
    <w:rsid w:val="00832D73"/>
    <w:rsid w:val="00885964"/>
    <w:rsid w:val="00904A9E"/>
    <w:rsid w:val="00A632AA"/>
    <w:rsid w:val="00A9350D"/>
    <w:rsid w:val="00AD6889"/>
    <w:rsid w:val="00B81287"/>
    <w:rsid w:val="00BD5667"/>
    <w:rsid w:val="00C0212B"/>
    <w:rsid w:val="00CD0AC8"/>
    <w:rsid w:val="00D55123"/>
    <w:rsid w:val="00D76F53"/>
    <w:rsid w:val="00D83E29"/>
    <w:rsid w:val="00DA05F2"/>
    <w:rsid w:val="00DC089C"/>
    <w:rsid w:val="00DD2153"/>
    <w:rsid w:val="00DD24C8"/>
    <w:rsid w:val="00E3262E"/>
    <w:rsid w:val="00F777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5141"/>
    <w:rPr>
      <w:color w:val="808080"/>
    </w:rPr>
  </w:style>
  <w:style w:type="paragraph" w:customStyle="1" w:styleId="86F8FBA1FEC142B0AFD343B4AC807B34">
    <w:name w:val="86F8FBA1FEC142B0AFD343B4AC807B34"/>
    <w:rsid w:val="00DD2153"/>
  </w:style>
  <w:style w:type="paragraph" w:customStyle="1" w:styleId="D16F6D7A709441FBAAEFF77C12C50654">
    <w:name w:val="D16F6D7A709441FBAAEFF77C12C50654"/>
    <w:rsid w:val="002D05D6"/>
  </w:style>
  <w:style w:type="paragraph" w:customStyle="1" w:styleId="5900E51799F64AE69AE062317D65DBB0">
    <w:name w:val="5900E51799F64AE69AE062317D65DBB0"/>
    <w:rsid w:val="005B5141"/>
  </w:style>
  <w:style w:type="paragraph" w:customStyle="1" w:styleId="6D34372595B34A948E76C723A8D87D1C">
    <w:name w:val="6D34372595B34A948E76C723A8D87D1C"/>
    <w:rsid w:val="005B51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2DABC-F636-4C36-B469-12A471580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5</TotalTime>
  <Pages>29</Pages>
  <Words>7747</Words>
  <Characters>43232</Characters>
  <Application>Microsoft Office Word</Application>
  <DocSecurity>0</DocSecurity>
  <Lines>1662</Lines>
  <Paragraphs>1158</Paragraphs>
  <ScaleCrop>false</ScaleCrop>
  <HeadingPairs>
    <vt:vector size="2" baseType="variant">
      <vt:variant>
        <vt:lpstr>Title</vt:lpstr>
      </vt:variant>
      <vt:variant>
        <vt:i4>1</vt:i4>
      </vt:variant>
    </vt:vector>
  </HeadingPairs>
  <TitlesOfParts>
    <vt:vector size="1" baseType="lpstr">
      <vt:lpstr/>
    </vt:vector>
  </TitlesOfParts>
  <Company>Department of Health and Aged Care, TGA</Company>
  <LinksUpToDate>false</LinksUpToDate>
  <CharactersWithSpaces>49821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final decisions to amend (or not amend) the current Poisons Standard</dc:title>
  <dc:subject>scheduling</dc:subject>
  <dc:creator>Therapeutic Goods Administration</dc:creator>
  <cp:keywords/>
  <dc:description/>
  <cp:lastModifiedBy>LACK, Janet</cp:lastModifiedBy>
  <cp:revision>4</cp:revision>
  <dcterms:created xsi:type="dcterms:W3CDTF">2023-09-04T04:17:00Z</dcterms:created>
  <dcterms:modified xsi:type="dcterms:W3CDTF">2023-09-04T04:21:00Z</dcterms:modified>
</cp:coreProperties>
</file>