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8109" w14:textId="7D7D890C" w:rsidR="00606B96" w:rsidRDefault="00B23887">
      <w:pPr>
        <w:pStyle w:val="Title"/>
      </w:pPr>
      <w:r>
        <w:t xml:space="preserve">National Symposium on </w:t>
      </w:r>
      <w:r w:rsidR="00BC5047">
        <w:t xml:space="preserve">Point-of-care </w:t>
      </w:r>
      <w:r w:rsidR="00980092">
        <w:t>M</w:t>
      </w:r>
      <w:r w:rsidR="00BC5047">
        <w:t>anufacturing</w:t>
      </w:r>
      <w:r w:rsidR="00216669">
        <w:t xml:space="preserve"> </w:t>
      </w:r>
      <w:r>
        <w:t>of medical devices</w:t>
      </w:r>
      <w:r w:rsidR="00111F93">
        <w:t xml:space="preserve"> </w:t>
      </w:r>
      <w:r w:rsidR="00224051">
        <w:t xml:space="preserve"> </w:t>
      </w:r>
    </w:p>
    <w:p w14:paraId="17912205" w14:textId="744DDC31" w:rsidR="00606B96" w:rsidRDefault="00BC0AE0">
      <w:pPr>
        <w:pStyle w:val="Subtitle"/>
      </w:pPr>
      <w:r>
        <w:t>Meeting</w:t>
      </w:r>
      <w:r w:rsidR="007837BB">
        <w:t xml:space="preserve"> Summary</w:t>
      </w:r>
    </w:p>
    <w:p w14:paraId="35D2D4F0" w14:textId="377E0140" w:rsidR="00606B96" w:rsidRDefault="00980092">
      <w:pPr>
        <w:pStyle w:val="Subtitle"/>
      </w:pPr>
      <w:r>
        <w:t>19 June 2023</w:t>
      </w:r>
    </w:p>
    <w:p w14:paraId="7CEB38D8" w14:textId="77777777" w:rsidR="00953E5B" w:rsidRDefault="00A13EF3" w:rsidP="00E94FC5">
      <w:r>
        <w:t>The</w:t>
      </w:r>
      <w:r w:rsidR="007837BB">
        <w:t xml:space="preserve"> Therapeutic Goods Administration (TGA) </w:t>
      </w:r>
      <w:r w:rsidR="00F33256">
        <w:t>hosted</w:t>
      </w:r>
      <w:r w:rsidR="007837BB">
        <w:t xml:space="preserve"> </w:t>
      </w:r>
      <w:r w:rsidR="006C4B6D">
        <w:t>a</w:t>
      </w:r>
      <w:r w:rsidR="007837BB">
        <w:t xml:space="preserve"> National Symposium</w:t>
      </w:r>
      <w:r w:rsidR="007F54CF" w:rsidRPr="007F54CF">
        <w:t xml:space="preserve"> on </w:t>
      </w:r>
      <w:r w:rsidR="0078583D">
        <w:t>p</w:t>
      </w:r>
      <w:r w:rsidR="007F54CF" w:rsidRPr="007F54CF">
        <w:t>oint-of-care (POC) manufacturing</w:t>
      </w:r>
      <w:r w:rsidR="007F54CF">
        <w:t xml:space="preserve"> </w:t>
      </w:r>
      <w:r w:rsidR="00A06AB5">
        <w:t xml:space="preserve">of medical devices </w:t>
      </w:r>
      <w:r>
        <w:t>on 19 June 2023</w:t>
      </w:r>
      <w:r w:rsidR="006C4B6D">
        <w:t xml:space="preserve"> in Melbourne</w:t>
      </w:r>
      <w:r>
        <w:t xml:space="preserve">. </w:t>
      </w:r>
    </w:p>
    <w:p w14:paraId="2637D3C8" w14:textId="4FBC1129" w:rsidR="0078583D" w:rsidRDefault="0078583D" w:rsidP="00E94FC5">
      <w:r>
        <w:t>Participants met to discuss the regulation of medical devices manufactured and supplied by healthcare providers, health practitioners and professionals at the POC. Attendees included n</w:t>
      </w:r>
      <w:r w:rsidR="00224051">
        <w:t>ominated representatives</w:t>
      </w:r>
      <w:r w:rsidR="001D2642">
        <w:t xml:space="preserve"> and observers</w:t>
      </w:r>
      <w:r w:rsidR="00224051">
        <w:t xml:space="preserve"> from</w:t>
      </w:r>
      <w:r>
        <w:t>:</w:t>
      </w:r>
    </w:p>
    <w:p w14:paraId="541FB996" w14:textId="0672D405" w:rsidR="0078583D" w:rsidRDefault="00177DEF" w:rsidP="0078583D">
      <w:pPr>
        <w:pStyle w:val="ListParagraph"/>
        <w:numPr>
          <w:ilvl w:val="0"/>
          <w:numId w:val="33"/>
        </w:numPr>
      </w:pPr>
      <w:r>
        <w:t>Therapeutic Goods Administration (</w:t>
      </w:r>
      <w:r w:rsidR="00B575F4">
        <w:t>TGA</w:t>
      </w:r>
      <w:r>
        <w:t>)</w:t>
      </w:r>
    </w:p>
    <w:p w14:paraId="61B0435B" w14:textId="57E16472" w:rsidR="0078583D" w:rsidRDefault="0078583D" w:rsidP="0078583D">
      <w:pPr>
        <w:pStyle w:val="ListParagraph"/>
        <w:numPr>
          <w:ilvl w:val="0"/>
          <w:numId w:val="33"/>
        </w:numPr>
      </w:pPr>
      <w:r>
        <w:t>Australian Health Practitioner Regulation Agency (</w:t>
      </w:r>
      <w:proofErr w:type="spellStart"/>
      <w:r>
        <w:t>Ahpra</w:t>
      </w:r>
      <w:proofErr w:type="spellEnd"/>
      <w:r>
        <w:t>) and its National Boards</w:t>
      </w:r>
    </w:p>
    <w:p w14:paraId="089C1A83" w14:textId="77777777" w:rsidR="0078583D" w:rsidRDefault="007837BB" w:rsidP="0078583D">
      <w:pPr>
        <w:pStyle w:val="ListParagraph"/>
        <w:numPr>
          <w:ilvl w:val="0"/>
          <w:numId w:val="33"/>
        </w:numPr>
      </w:pPr>
      <w:r>
        <w:t xml:space="preserve">National Alliance </w:t>
      </w:r>
      <w:r w:rsidR="00F33256">
        <w:t xml:space="preserve">of </w:t>
      </w:r>
      <w:proofErr w:type="gramStart"/>
      <w:r w:rsidR="00F33256">
        <w:t>Self Regulating</w:t>
      </w:r>
      <w:proofErr w:type="gramEnd"/>
      <w:r w:rsidR="00F33256">
        <w:t xml:space="preserve"> Health Professions (NASRHP)</w:t>
      </w:r>
    </w:p>
    <w:p w14:paraId="2E8AA658" w14:textId="77777777" w:rsidR="0078583D" w:rsidRDefault="00FD3B9E" w:rsidP="0078583D">
      <w:pPr>
        <w:pStyle w:val="ListParagraph"/>
        <w:numPr>
          <w:ilvl w:val="0"/>
          <w:numId w:val="33"/>
        </w:numPr>
      </w:pPr>
      <w:r>
        <w:t>National Disability Insurance Agency (NDIA)</w:t>
      </w:r>
    </w:p>
    <w:p w14:paraId="12C20830" w14:textId="77777777" w:rsidR="0078583D" w:rsidRDefault="0078583D" w:rsidP="0078583D">
      <w:pPr>
        <w:pStyle w:val="ListParagraph"/>
        <w:numPr>
          <w:ilvl w:val="0"/>
          <w:numId w:val="33"/>
        </w:numPr>
      </w:pPr>
      <w:r>
        <w:t>T</w:t>
      </w:r>
      <w:r w:rsidR="00BC6E2A">
        <w:t xml:space="preserve">he Australian Commission on Safety and Quality in Healthcare </w:t>
      </w:r>
      <w:r w:rsidR="00224051">
        <w:t>(ACSQHC)</w:t>
      </w:r>
    </w:p>
    <w:p w14:paraId="07A130EB" w14:textId="40C7C78A" w:rsidR="00E94FC5" w:rsidRDefault="0078583D" w:rsidP="0078583D">
      <w:pPr>
        <w:pStyle w:val="ListParagraph"/>
        <w:numPr>
          <w:ilvl w:val="0"/>
          <w:numId w:val="33"/>
        </w:numPr>
      </w:pPr>
      <w:r>
        <w:t>T</w:t>
      </w:r>
      <w:r w:rsidR="00FD3B9E">
        <w:t>he Aged Care Quality and Safety Commission (ACQSC)</w:t>
      </w:r>
      <w:r w:rsidR="004E109B">
        <w:t xml:space="preserve"> </w:t>
      </w:r>
    </w:p>
    <w:p w14:paraId="64C43F81" w14:textId="2567840F" w:rsidR="00576972" w:rsidRDefault="0078583D" w:rsidP="00576972">
      <w:pPr>
        <w:pStyle w:val="ListParagraph"/>
        <w:numPr>
          <w:ilvl w:val="0"/>
          <w:numId w:val="33"/>
        </w:numPr>
      </w:pPr>
      <w:r>
        <w:t xml:space="preserve">State </w:t>
      </w:r>
      <w:r w:rsidRPr="0078583D">
        <w:t>and territory government health department</w:t>
      </w:r>
      <w:r w:rsidR="006C4B6D">
        <w:t>s</w:t>
      </w:r>
      <w:r>
        <w:t>.</w:t>
      </w:r>
    </w:p>
    <w:p w14:paraId="00D3C263" w14:textId="312B4D29" w:rsidR="005876ED" w:rsidRDefault="00576972" w:rsidP="00576972">
      <w:pPr>
        <w:spacing w:before="120" w:line="240" w:lineRule="atLeast"/>
      </w:pPr>
      <w:r>
        <w:t>The TGA opened the meeting with a series of presentations. The first included an overview on</w:t>
      </w:r>
      <w:r w:rsidR="00E23181">
        <w:t xml:space="preserve"> medical device regulation</w:t>
      </w:r>
      <w:r w:rsidR="006C4B6D">
        <w:t xml:space="preserve"> and the personalised medical device framework</w:t>
      </w:r>
      <w:r w:rsidR="008A355A">
        <w:t>.</w:t>
      </w:r>
      <w:r w:rsidR="00657941">
        <w:t xml:space="preserve"> </w:t>
      </w:r>
      <w:r w:rsidR="008A355A">
        <w:t xml:space="preserve">Of note: </w:t>
      </w:r>
    </w:p>
    <w:p w14:paraId="573FBF81" w14:textId="735D114C" w:rsidR="00DF5F93" w:rsidRDefault="00A87590" w:rsidP="00576972">
      <w:pPr>
        <w:pStyle w:val="ListParagraph"/>
        <w:numPr>
          <w:ilvl w:val="0"/>
          <w:numId w:val="33"/>
        </w:numPr>
      </w:pPr>
      <w:r w:rsidRPr="00A87590">
        <w:t xml:space="preserve">The </w:t>
      </w:r>
      <w:hyperlink r:id="rId8" w:history="1">
        <w:r w:rsidRPr="00E23181">
          <w:rPr>
            <w:rStyle w:val="Hyperlink"/>
          </w:rPr>
          <w:t>Essential Principles</w:t>
        </w:r>
      </w:hyperlink>
      <w:r w:rsidRPr="00A87590">
        <w:t xml:space="preserve"> are legislative requirements relating to safety</w:t>
      </w:r>
      <w:r w:rsidR="006C4B6D">
        <w:t xml:space="preserve">, quality </w:t>
      </w:r>
      <w:r w:rsidRPr="00A87590">
        <w:t>and performance characteristics of medical devices</w:t>
      </w:r>
      <w:r w:rsidR="00E23181">
        <w:t xml:space="preserve">. </w:t>
      </w:r>
      <w:r w:rsidR="006C4B6D">
        <w:t>Companies or individuals who m</w:t>
      </w:r>
      <w:r w:rsidR="00E23181">
        <w:t>anufactur</w:t>
      </w:r>
      <w:r w:rsidR="006C4B6D">
        <w:t>e medical devices</w:t>
      </w:r>
      <w:r w:rsidR="00E23181">
        <w:t xml:space="preserve"> must demonstrate that their devices meet </w:t>
      </w:r>
      <w:r w:rsidR="006C4B6D">
        <w:t xml:space="preserve">(and continue to meet throughout their life-time) </w:t>
      </w:r>
      <w:r w:rsidR="00E23181">
        <w:t xml:space="preserve">the </w:t>
      </w:r>
      <w:hyperlink r:id="rId9" w:history="1">
        <w:r w:rsidR="00E23181" w:rsidRPr="00E23181">
          <w:rPr>
            <w:rStyle w:val="Hyperlink"/>
          </w:rPr>
          <w:t>Essential Principles</w:t>
        </w:r>
      </w:hyperlink>
      <w:r w:rsidR="00E23181">
        <w:t xml:space="preserve"> to ensure medical devices are safe</w:t>
      </w:r>
      <w:r w:rsidR="006C4B6D">
        <w:t>, are made to quality standards</w:t>
      </w:r>
      <w:r w:rsidR="00E23181">
        <w:t xml:space="preserve"> and perform as intended.</w:t>
      </w:r>
    </w:p>
    <w:p w14:paraId="225DE3D0" w14:textId="540D941C" w:rsidR="00576972" w:rsidRDefault="00A87590" w:rsidP="00576972">
      <w:pPr>
        <w:pStyle w:val="ListParagraph"/>
        <w:numPr>
          <w:ilvl w:val="0"/>
          <w:numId w:val="33"/>
        </w:numPr>
      </w:pPr>
      <w:r>
        <w:t>Manufacturer</w:t>
      </w:r>
      <w:r w:rsidR="00DA2DCC">
        <w:t>s</w:t>
      </w:r>
      <w:r w:rsidR="006C4B6D">
        <w:t xml:space="preserve"> must hold </w:t>
      </w:r>
      <w:r>
        <w:t>evidence (regulatory evidence) to demonstrate that medical devices meet the Essential Principles. Manufacturer’s evidence can include application of conformity assessment procedures such as certification of</w:t>
      </w:r>
      <w:r w:rsidR="008A355A">
        <w:t xml:space="preserve"> Quality Management</w:t>
      </w:r>
      <w:r>
        <w:t xml:space="preserve"> Systems </w:t>
      </w:r>
      <w:r w:rsidR="00554DF7">
        <w:t xml:space="preserve">(QMS) </w:t>
      </w:r>
      <w:r>
        <w:t>and type/design examinations.</w:t>
      </w:r>
    </w:p>
    <w:p w14:paraId="67970E5D" w14:textId="7178851D" w:rsidR="006C4B6D" w:rsidRDefault="006C4B6D" w:rsidP="00576972">
      <w:pPr>
        <w:pStyle w:val="ListParagraph"/>
        <w:numPr>
          <w:ilvl w:val="0"/>
          <w:numId w:val="33"/>
        </w:numPr>
      </w:pPr>
      <w:r>
        <w:t xml:space="preserve">Regulatory changes </w:t>
      </w:r>
      <w:r w:rsidR="005C6DD0">
        <w:t>meant</w:t>
      </w:r>
      <w:r>
        <w:t xml:space="preserve"> that most custom-made devices are known as patient matched medical devices and are now regulated by the TGA under the </w:t>
      </w:r>
      <w:hyperlink r:id="rId10" w:history="1">
        <w:r w:rsidR="004A2293" w:rsidRPr="0095620D">
          <w:rPr>
            <w:rStyle w:val="Hyperlink"/>
          </w:rPr>
          <w:t>personalised medical devices framework</w:t>
        </w:r>
      </w:hyperlink>
      <w:r w:rsidR="004A2293">
        <w:t xml:space="preserve"> </w:t>
      </w:r>
    </w:p>
    <w:p w14:paraId="688927B4" w14:textId="469B9EB6" w:rsidR="004A2293" w:rsidRDefault="00DA2DCC" w:rsidP="00576972">
      <w:pPr>
        <w:pStyle w:val="ListParagraph"/>
        <w:numPr>
          <w:ilvl w:val="0"/>
          <w:numId w:val="33"/>
        </w:numPr>
      </w:pPr>
      <w:r>
        <w:t>There are c</w:t>
      </w:r>
      <w:r w:rsidR="004A2293">
        <w:t>hallenge</w:t>
      </w:r>
      <w:r w:rsidR="00A06AB5">
        <w:t>s</w:t>
      </w:r>
      <w:r w:rsidR="004A2293">
        <w:t xml:space="preserve"> </w:t>
      </w:r>
      <w:r>
        <w:t>related to the implementation</w:t>
      </w:r>
      <w:r w:rsidR="004A2293">
        <w:t xml:space="preserve"> </w:t>
      </w:r>
      <w:r>
        <w:t xml:space="preserve">of the personalised medical devices framework for </w:t>
      </w:r>
      <w:r w:rsidR="00773710">
        <w:t xml:space="preserve">POC </w:t>
      </w:r>
      <w:r w:rsidR="004A2293">
        <w:t>manufacturing</w:t>
      </w:r>
      <w:r w:rsidR="0078583D">
        <w:t>.</w:t>
      </w:r>
    </w:p>
    <w:p w14:paraId="318E9D56" w14:textId="39FCB49E" w:rsidR="0095620D" w:rsidRDefault="00953E5B" w:rsidP="00576972">
      <w:pPr>
        <w:spacing w:before="120" w:line="240" w:lineRule="atLeast"/>
      </w:pPr>
      <w:r>
        <w:br w:type="column"/>
      </w:r>
      <w:r w:rsidR="00CE52DA">
        <w:lastRenderedPageBreak/>
        <w:t xml:space="preserve">The </w:t>
      </w:r>
      <w:r w:rsidR="0095620D">
        <w:t xml:space="preserve">TGA presented an </w:t>
      </w:r>
      <w:r w:rsidR="00177DEF">
        <w:t xml:space="preserve">overview </w:t>
      </w:r>
      <w:r w:rsidR="00A06AB5">
        <w:t>of results from four</w:t>
      </w:r>
      <w:r w:rsidR="004A2293">
        <w:t xml:space="preserve"> </w:t>
      </w:r>
      <w:r w:rsidR="003804CC">
        <w:t>POC manufacturing survey</w:t>
      </w:r>
      <w:r w:rsidR="00A06AB5">
        <w:t>s</w:t>
      </w:r>
      <w:r w:rsidR="0095620D">
        <w:t xml:space="preserve"> targeted to the following stakeholder groups:</w:t>
      </w:r>
    </w:p>
    <w:p w14:paraId="6D1939EF" w14:textId="03847ECC" w:rsidR="00673A90" w:rsidRPr="00576972" w:rsidRDefault="00673A90" w:rsidP="00576972">
      <w:pPr>
        <w:pStyle w:val="ListParagraph"/>
        <w:numPr>
          <w:ilvl w:val="0"/>
          <w:numId w:val="33"/>
        </w:numPr>
      </w:pPr>
      <w:r>
        <w:t>Dental and oral health sector</w:t>
      </w:r>
    </w:p>
    <w:p w14:paraId="7BD07A8F" w14:textId="4E7EAFB4" w:rsidR="00673A90" w:rsidRPr="00576972" w:rsidRDefault="00673A90" w:rsidP="00576972">
      <w:pPr>
        <w:pStyle w:val="ListParagraph"/>
        <w:numPr>
          <w:ilvl w:val="0"/>
          <w:numId w:val="33"/>
        </w:numPr>
      </w:pPr>
      <w:r>
        <w:t>Allied health sector</w:t>
      </w:r>
    </w:p>
    <w:p w14:paraId="07FAC028" w14:textId="79F83CB2" w:rsidR="00673A90" w:rsidRPr="00576972" w:rsidRDefault="00673A90" w:rsidP="00576972">
      <w:pPr>
        <w:pStyle w:val="ListParagraph"/>
        <w:numPr>
          <w:ilvl w:val="0"/>
          <w:numId w:val="33"/>
        </w:numPr>
      </w:pPr>
      <w:r w:rsidRPr="00576972">
        <w:t>Medical device manufacturing hubs at the POC</w:t>
      </w:r>
    </w:p>
    <w:p w14:paraId="2EACC876" w14:textId="5DDC1889" w:rsidR="0095620D" w:rsidRPr="00673A90" w:rsidRDefault="00673A90" w:rsidP="00576972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576972">
        <w:t>Hospital and</w:t>
      </w:r>
      <w:r w:rsidRPr="00673A90">
        <w:rPr>
          <w:rFonts w:asciiTheme="minorHAnsi" w:hAnsiTheme="minorHAnsi" w:cstheme="minorHAnsi"/>
        </w:rPr>
        <w:t xml:space="preserve"> healthcare</w:t>
      </w:r>
      <w:r>
        <w:rPr>
          <w:rFonts w:asciiTheme="minorHAnsi" w:hAnsiTheme="minorHAnsi" w:cstheme="minorHAnsi"/>
        </w:rPr>
        <w:t xml:space="preserve"> facilities</w:t>
      </w:r>
      <w:r w:rsidR="00576972">
        <w:rPr>
          <w:rFonts w:asciiTheme="minorHAnsi" w:hAnsiTheme="minorHAnsi" w:cstheme="minorHAnsi"/>
        </w:rPr>
        <w:t>.</w:t>
      </w:r>
    </w:p>
    <w:p w14:paraId="4D924017" w14:textId="7C81F654" w:rsidR="00AE1A4A" w:rsidRDefault="00A06AB5" w:rsidP="00576972">
      <w:r>
        <w:t>K</w:t>
      </w:r>
      <w:r w:rsidR="003B6D5C">
        <w:t>ey</w:t>
      </w:r>
      <w:r w:rsidR="00231EEB">
        <w:t xml:space="preserve"> emerging</w:t>
      </w:r>
      <w:r>
        <w:t xml:space="preserve"> </w:t>
      </w:r>
      <w:r w:rsidR="00231EEB">
        <w:t>themes and issues</w:t>
      </w:r>
      <w:r w:rsidR="003F6577">
        <w:t xml:space="preserve"> </w:t>
      </w:r>
      <w:r w:rsidR="00673A90">
        <w:t xml:space="preserve">identified from the four POC surveys </w:t>
      </w:r>
      <w:r w:rsidR="003F6577">
        <w:t>i</w:t>
      </w:r>
      <w:r>
        <w:t>nclude</w:t>
      </w:r>
      <w:r w:rsidR="003B6D5C">
        <w:t>:</w:t>
      </w:r>
    </w:p>
    <w:p w14:paraId="5CD10140" w14:textId="6963C1A2" w:rsidR="003804CC" w:rsidRDefault="00A30B1E" w:rsidP="00576972">
      <w:pPr>
        <w:pStyle w:val="ListParagraph"/>
        <w:numPr>
          <w:ilvl w:val="0"/>
          <w:numId w:val="33"/>
        </w:numPr>
      </w:pPr>
      <w:r>
        <w:t>Health care organisations, h</w:t>
      </w:r>
      <w:r w:rsidR="003804CC">
        <w:t>ealth practitioner</w:t>
      </w:r>
      <w:r w:rsidR="00A06AB5">
        <w:t>s</w:t>
      </w:r>
      <w:r w:rsidR="003B6D5C">
        <w:t xml:space="preserve"> and </w:t>
      </w:r>
      <w:r w:rsidR="003804CC">
        <w:t xml:space="preserve">professionals </w:t>
      </w:r>
      <w:r>
        <w:t xml:space="preserve">are </w:t>
      </w:r>
      <w:r w:rsidR="0078583D">
        <w:t>often un</w:t>
      </w:r>
      <w:r w:rsidR="003804CC">
        <w:t xml:space="preserve">aware </w:t>
      </w:r>
      <w:r>
        <w:t>of their</w:t>
      </w:r>
      <w:r w:rsidR="003804CC">
        <w:t xml:space="preserve"> regulatory obligations to the TGA, and </w:t>
      </w:r>
      <w:r w:rsidR="0078583D">
        <w:t xml:space="preserve">may </w:t>
      </w:r>
      <w:r w:rsidR="003804CC">
        <w:t xml:space="preserve">not </w:t>
      </w:r>
      <w:r w:rsidR="0078583D">
        <w:t xml:space="preserve">be </w:t>
      </w:r>
      <w:r w:rsidR="003804CC">
        <w:t xml:space="preserve">compliant with </w:t>
      </w:r>
      <w:r w:rsidR="00CE52DA">
        <w:t xml:space="preserve">previous or recently introduced </w:t>
      </w:r>
      <w:r w:rsidR="0078583D">
        <w:t xml:space="preserve">TGA </w:t>
      </w:r>
      <w:r w:rsidR="003804CC">
        <w:t>regulatory requirements</w:t>
      </w:r>
    </w:p>
    <w:p w14:paraId="199857B0" w14:textId="0211066A" w:rsidR="00E13DA8" w:rsidRDefault="00554DF7" w:rsidP="00576972">
      <w:pPr>
        <w:pStyle w:val="ListParagraph"/>
        <w:numPr>
          <w:ilvl w:val="0"/>
          <w:numId w:val="33"/>
        </w:numPr>
      </w:pPr>
      <w:r>
        <w:t>Increas</w:t>
      </w:r>
      <w:r w:rsidR="0078583D">
        <w:t>ing</w:t>
      </w:r>
      <w:r>
        <w:t xml:space="preserve"> r</w:t>
      </w:r>
      <w:r w:rsidR="003804CC">
        <w:t xml:space="preserve">egulatory burden </w:t>
      </w:r>
      <w:r>
        <w:t>for</w:t>
      </w:r>
      <w:r w:rsidR="00F73390">
        <w:t xml:space="preserve"> healthcare sector</w:t>
      </w:r>
      <w:r w:rsidR="0078583D">
        <w:t>s</w:t>
      </w:r>
      <w:r w:rsidR="003B6D5C">
        <w:t xml:space="preserve"> </w:t>
      </w:r>
      <w:r w:rsidR="00177DEF">
        <w:t xml:space="preserve">could </w:t>
      </w:r>
      <w:r w:rsidR="0078583D">
        <w:t xml:space="preserve">lead to supply </w:t>
      </w:r>
      <w:r w:rsidR="00235642">
        <w:t>disruption</w:t>
      </w:r>
      <w:r w:rsidR="0078583D">
        <w:t xml:space="preserve">s, causing negative </w:t>
      </w:r>
      <w:r w:rsidR="003804CC">
        <w:t>impact</w:t>
      </w:r>
      <w:r w:rsidR="00F73390">
        <w:t>s</w:t>
      </w:r>
      <w:r w:rsidR="003B6D5C">
        <w:t xml:space="preserve"> </w:t>
      </w:r>
      <w:r w:rsidR="0078583D">
        <w:t xml:space="preserve">for </w:t>
      </w:r>
      <w:r w:rsidR="003804CC">
        <w:t>consumers</w:t>
      </w:r>
      <w:r w:rsidR="003B6D5C">
        <w:t xml:space="preserve"> and </w:t>
      </w:r>
      <w:r w:rsidR="003804CC">
        <w:t>patients</w:t>
      </w:r>
      <w:r w:rsidR="00576972">
        <w:t>.</w:t>
      </w:r>
    </w:p>
    <w:p w14:paraId="70587698" w14:textId="1F3AF252" w:rsidR="00801DC5" w:rsidRDefault="00801DC5" w:rsidP="00576972">
      <w:r>
        <w:t>Other regulators and state/territory health departments presented on their POC ma</w:t>
      </w:r>
      <w:r w:rsidR="006E2EAC">
        <w:t>n</w:t>
      </w:r>
      <w:r>
        <w:t>ufa</w:t>
      </w:r>
      <w:r w:rsidR="006E2EAC">
        <w:t>c</w:t>
      </w:r>
      <w:r>
        <w:t>turing</w:t>
      </w:r>
      <w:r w:rsidR="00177DEF">
        <w:t xml:space="preserve"> experiences</w:t>
      </w:r>
      <w:r w:rsidR="00576972">
        <w:t>:</w:t>
      </w:r>
    </w:p>
    <w:p w14:paraId="326CC40B" w14:textId="4ECF9E97" w:rsidR="006E2EAC" w:rsidRDefault="00576972" w:rsidP="00576972">
      <w:pPr>
        <w:pStyle w:val="ListParagraph"/>
        <w:numPr>
          <w:ilvl w:val="0"/>
          <w:numId w:val="33"/>
        </w:numPr>
      </w:pPr>
      <w:r>
        <w:t>Queensland</w:t>
      </w:r>
      <w:r w:rsidR="006E2EAC">
        <w:t xml:space="preserve"> Health presented results from surveyed POC manufacturing hubs in </w:t>
      </w:r>
      <w:r>
        <w:t>Queensland</w:t>
      </w:r>
    </w:p>
    <w:p w14:paraId="309A7C88" w14:textId="2D9C1CFC" w:rsidR="006E2EAC" w:rsidRDefault="00576972" w:rsidP="00576972">
      <w:pPr>
        <w:pStyle w:val="ListParagraph"/>
        <w:numPr>
          <w:ilvl w:val="0"/>
          <w:numId w:val="33"/>
        </w:numPr>
      </w:pPr>
      <w:r>
        <w:t>New South Wales (</w:t>
      </w:r>
      <w:r w:rsidR="006E2EAC">
        <w:t>NSW</w:t>
      </w:r>
      <w:r>
        <w:t>)</w:t>
      </w:r>
      <w:r w:rsidR="006E2EAC">
        <w:t xml:space="preserve"> Health presented </w:t>
      </w:r>
      <w:r w:rsidR="0078583D">
        <w:t xml:space="preserve">a summary of </w:t>
      </w:r>
      <w:r w:rsidR="006E2EAC">
        <w:t>work being undertaken by the Clinical Excellence Commission to coordinate compliance with TGA medical device reforms in NSW</w:t>
      </w:r>
    </w:p>
    <w:p w14:paraId="1281F7E3" w14:textId="30284A5C" w:rsidR="006E2EAC" w:rsidRDefault="006E2EAC" w:rsidP="00576972">
      <w:pPr>
        <w:pStyle w:val="ListParagraph"/>
        <w:numPr>
          <w:ilvl w:val="0"/>
          <w:numId w:val="33"/>
        </w:numPr>
      </w:pPr>
      <w:r>
        <w:t xml:space="preserve">NDIA </w:t>
      </w:r>
      <w:r w:rsidR="0078583D">
        <w:t xml:space="preserve">provided an overview of </w:t>
      </w:r>
      <w:r>
        <w:t>innovations in assistive technology, such as the use of 3D printing</w:t>
      </w:r>
      <w:r w:rsidR="00EC4692">
        <w:t xml:space="preserve"> to manufacture devices at the POC</w:t>
      </w:r>
      <w:r w:rsidR="0078583D">
        <w:t xml:space="preserve">, </w:t>
      </w:r>
      <w:r w:rsidR="00EC4692">
        <w:t>highlight</w:t>
      </w:r>
      <w:r w:rsidR="0078583D">
        <w:t>ing</w:t>
      </w:r>
      <w:r w:rsidR="00EC4692">
        <w:t xml:space="preserve"> the need </w:t>
      </w:r>
      <w:r w:rsidR="0078583D">
        <w:t xml:space="preserve">for </w:t>
      </w:r>
      <w:r w:rsidR="00EC4692">
        <w:t>regulators</w:t>
      </w:r>
      <w:r w:rsidR="0078583D">
        <w:t xml:space="preserve"> to collaborate more closely</w:t>
      </w:r>
    </w:p>
    <w:p w14:paraId="7A86B900" w14:textId="4F76D3D6" w:rsidR="00177DEF" w:rsidRDefault="00CE52DA" w:rsidP="00576972">
      <w:r>
        <w:t xml:space="preserve">Participants contributed to </w:t>
      </w:r>
      <w:r w:rsidR="00576972">
        <w:t>guide</w:t>
      </w:r>
      <w:r>
        <w:t>d</w:t>
      </w:r>
      <w:r w:rsidR="00576972">
        <w:t xml:space="preserve"> discussions </w:t>
      </w:r>
      <w:r w:rsidR="00177DEF">
        <w:t xml:space="preserve">on topics </w:t>
      </w:r>
      <w:r>
        <w:t>inc</w:t>
      </w:r>
      <w:r w:rsidR="00576972">
        <w:t>luding</w:t>
      </w:r>
      <w:r w:rsidR="00177DEF">
        <w:t>:</w:t>
      </w:r>
    </w:p>
    <w:p w14:paraId="7219079C" w14:textId="77777777" w:rsidR="00177DEF" w:rsidRDefault="00177DEF" w:rsidP="00177DEF">
      <w:pPr>
        <w:pStyle w:val="ListParagraph"/>
        <w:numPr>
          <w:ilvl w:val="0"/>
          <w:numId w:val="33"/>
        </w:numPr>
      </w:pPr>
      <w:r>
        <w:t>R</w:t>
      </w:r>
      <w:r w:rsidR="00576972">
        <w:t xml:space="preserve">isk management </w:t>
      </w:r>
      <w:r>
        <w:t xml:space="preserve">for </w:t>
      </w:r>
      <w:r w:rsidR="00576972">
        <w:t>device manufacture</w:t>
      </w:r>
    </w:p>
    <w:p w14:paraId="13BD0E63" w14:textId="77777777" w:rsidR="00177DEF" w:rsidRDefault="00177DEF" w:rsidP="00177DEF">
      <w:pPr>
        <w:pStyle w:val="ListParagraph"/>
        <w:numPr>
          <w:ilvl w:val="0"/>
          <w:numId w:val="33"/>
        </w:numPr>
      </w:pPr>
      <w:r>
        <w:t xml:space="preserve">The importance of </w:t>
      </w:r>
      <w:r w:rsidR="00CE52DA">
        <w:t>patient consent and transparency</w:t>
      </w:r>
    </w:p>
    <w:p w14:paraId="707D5F7D" w14:textId="77777777" w:rsidR="006E190E" w:rsidRDefault="006E190E" w:rsidP="00177DEF">
      <w:pPr>
        <w:pStyle w:val="ListParagraph"/>
        <w:numPr>
          <w:ilvl w:val="0"/>
          <w:numId w:val="33"/>
        </w:numPr>
      </w:pPr>
      <w:r>
        <w:t>C</w:t>
      </w:r>
      <w:r w:rsidR="00576972">
        <w:t>ommunication and education</w:t>
      </w:r>
    </w:p>
    <w:p w14:paraId="57F34369" w14:textId="14C53121" w:rsidR="00657941" w:rsidRDefault="006E190E" w:rsidP="00177DEF">
      <w:pPr>
        <w:pStyle w:val="ListParagraph"/>
        <w:numPr>
          <w:ilvl w:val="0"/>
          <w:numId w:val="33"/>
        </w:numPr>
      </w:pPr>
      <w:r>
        <w:t>R</w:t>
      </w:r>
      <w:r w:rsidR="00576972">
        <w:t xml:space="preserve">oles and responsibilities. </w:t>
      </w:r>
    </w:p>
    <w:p w14:paraId="182BD4E5" w14:textId="45E80933" w:rsidR="004B12F5" w:rsidRDefault="00657941" w:rsidP="00576972">
      <w:r>
        <w:t>Notably</w:t>
      </w:r>
      <w:r w:rsidR="00C12E04">
        <w:t xml:space="preserve"> the following points were made</w:t>
      </w:r>
      <w:r w:rsidR="00576972">
        <w:t>:</w:t>
      </w:r>
    </w:p>
    <w:p w14:paraId="38EF4AAE" w14:textId="77777777" w:rsidR="00196CA3" w:rsidRDefault="004B12F5" w:rsidP="00576972">
      <w:pPr>
        <w:pStyle w:val="ListParagraph"/>
        <w:numPr>
          <w:ilvl w:val="0"/>
          <w:numId w:val="33"/>
        </w:numPr>
      </w:pPr>
      <w:r>
        <w:t>Risk management for device manufacture</w:t>
      </w:r>
    </w:p>
    <w:p w14:paraId="2AE7C321" w14:textId="61BDDDE1" w:rsidR="00554DF7" w:rsidRDefault="008A6208" w:rsidP="00196CA3">
      <w:pPr>
        <w:pStyle w:val="ListParagraph"/>
        <w:numPr>
          <w:ilvl w:val="0"/>
          <w:numId w:val="20"/>
        </w:numPr>
      </w:pPr>
      <w:r>
        <w:t xml:space="preserve">Consideration is needed regarding the requirements for </w:t>
      </w:r>
      <w:r w:rsidR="006E190E">
        <w:t xml:space="preserve">documenting </w:t>
      </w:r>
      <w:r w:rsidR="00DA2DCC">
        <w:t>Quality Management Systems (</w:t>
      </w:r>
      <w:r>
        <w:t>QMS</w:t>
      </w:r>
      <w:r w:rsidR="00DA2DCC">
        <w:t>)</w:t>
      </w:r>
      <w:r>
        <w:t xml:space="preserve"> for hospital based POC manufacturing </w:t>
      </w:r>
      <w:r w:rsidR="00576972">
        <w:t xml:space="preserve">noting that </w:t>
      </w:r>
      <w:r>
        <w:t>ISO</w:t>
      </w:r>
      <w:r w:rsidR="0078583D">
        <w:t xml:space="preserve"> </w:t>
      </w:r>
      <w:r w:rsidR="00576972">
        <w:t>requirements are</w:t>
      </w:r>
      <w:r w:rsidR="00B601AE">
        <w:t xml:space="preserve"> not always easily applicable </w:t>
      </w:r>
      <w:r>
        <w:t xml:space="preserve">to </w:t>
      </w:r>
      <w:r w:rsidR="00A30B1E">
        <w:t>hospital-based</w:t>
      </w:r>
      <w:r>
        <w:t xml:space="preserve"> manufacturing.</w:t>
      </w:r>
    </w:p>
    <w:p w14:paraId="329B0FAF" w14:textId="675263CC" w:rsidR="00801DC5" w:rsidRDefault="00AE6F59" w:rsidP="00196CA3">
      <w:pPr>
        <w:pStyle w:val="ListParagraph"/>
        <w:numPr>
          <w:ilvl w:val="0"/>
          <w:numId w:val="20"/>
        </w:numPr>
      </w:pPr>
      <w:r>
        <w:t xml:space="preserve">Manufacture and supply models for POC manufacturing </w:t>
      </w:r>
      <w:r w:rsidR="006E190E">
        <w:t xml:space="preserve">often </w:t>
      </w:r>
      <w:r w:rsidR="009604A3">
        <w:t xml:space="preserve">differ from traditional models. Consideration needs to be given for how well existing regulation manages risks in these models, including whether </w:t>
      </w:r>
      <w:r w:rsidR="00ED2033">
        <w:t xml:space="preserve">the </w:t>
      </w:r>
      <w:r w:rsidR="009604A3">
        <w:t>TGA</w:t>
      </w:r>
      <w:r w:rsidR="00ED2033">
        <w:t xml:space="preserve">’s </w:t>
      </w:r>
      <w:r w:rsidR="009604A3">
        <w:t>regulation of m</w:t>
      </w:r>
      <w:r w:rsidR="00801DC5">
        <w:t xml:space="preserve">aterials and equipment </w:t>
      </w:r>
      <w:r w:rsidR="009604A3">
        <w:t>is needed, and whether the definition of a manufacturer continues to be appropriate.</w:t>
      </w:r>
    </w:p>
    <w:p w14:paraId="1562287A" w14:textId="17329B3D" w:rsidR="008A6208" w:rsidRDefault="00554DF7" w:rsidP="00196CA3">
      <w:pPr>
        <w:pStyle w:val="ListParagraph"/>
        <w:numPr>
          <w:ilvl w:val="0"/>
          <w:numId w:val="20"/>
        </w:numPr>
      </w:pPr>
      <w:r>
        <w:t xml:space="preserve">Regulation </w:t>
      </w:r>
      <w:r w:rsidR="00DA2DCC">
        <w:t>should</w:t>
      </w:r>
      <w:r>
        <w:t xml:space="preserve"> be </w:t>
      </w:r>
      <w:r w:rsidR="00DA2DCC">
        <w:t xml:space="preserve">tailored </w:t>
      </w:r>
      <w:r>
        <w:t>to the different health sectors</w:t>
      </w:r>
      <w:r w:rsidR="00801DC5">
        <w:t xml:space="preserve"> and/or allow flexibility for </w:t>
      </w:r>
      <w:r w:rsidR="009F5230">
        <w:t>futureproofing</w:t>
      </w:r>
    </w:p>
    <w:p w14:paraId="1E11A9A1" w14:textId="38382116" w:rsidR="00953E5B" w:rsidRDefault="00554DF7" w:rsidP="00953E5B">
      <w:pPr>
        <w:pStyle w:val="ListParagraph"/>
        <w:numPr>
          <w:ilvl w:val="0"/>
          <w:numId w:val="20"/>
        </w:numPr>
      </w:pPr>
      <w:r>
        <w:t>A</w:t>
      </w:r>
      <w:r w:rsidR="003F6577">
        <w:t xml:space="preserve"> clear</w:t>
      </w:r>
      <w:r w:rsidR="00B601AE">
        <w:t xml:space="preserve">, </w:t>
      </w:r>
      <w:r w:rsidR="003F6577">
        <w:t xml:space="preserve">consistent definition of what </w:t>
      </w:r>
      <w:r w:rsidR="005C6DD0">
        <w:t xml:space="preserve">is </w:t>
      </w:r>
      <w:r w:rsidR="003F6577">
        <w:t xml:space="preserve">an adverse event </w:t>
      </w:r>
      <w:r w:rsidR="005C6DD0">
        <w:t xml:space="preserve">is </w:t>
      </w:r>
      <w:r w:rsidR="003F6577">
        <w:t>required across the different sectors</w:t>
      </w:r>
      <w:r w:rsidR="008A6208">
        <w:t xml:space="preserve"> to facilitate adverse event reporting</w:t>
      </w:r>
      <w:r w:rsidR="00576972">
        <w:t>.</w:t>
      </w:r>
      <w:r w:rsidR="005C6DD0">
        <w:t xml:space="preserve"> </w:t>
      </w:r>
    </w:p>
    <w:p w14:paraId="4F6F5A8B" w14:textId="77777777" w:rsidR="00953E5B" w:rsidRDefault="00953E5B" w:rsidP="00953E5B">
      <w:pPr>
        <w:pStyle w:val="ListParagraph"/>
        <w:ind w:left="1080"/>
      </w:pPr>
    </w:p>
    <w:p w14:paraId="1B6BA0B1" w14:textId="1F14B2A5" w:rsidR="00196CA3" w:rsidRDefault="00196CA3" w:rsidP="00576972">
      <w:pPr>
        <w:pStyle w:val="ListParagraph"/>
        <w:numPr>
          <w:ilvl w:val="0"/>
          <w:numId w:val="33"/>
        </w:numPr>
      </w:pPr>
      <w:r>
        <w:t xml:space="preserve">Communication and education </w:t>
      </w:r>
    </w:p>
    <w:p w14:paraId="60D959C2" w14:textId="077F3CFF" w:rsidR="00B601AE" w:rsidRDefault="005C6DD0" w:rsidP="00E92F1B">
      <w:pPr>
        <w:pStyle w:val="ListParagraph"/>
        <w:numPr>
          <w:ilvl w:val="0"/>
          <w:numId w:val="20"/>
        </w:numPr>
      </w:pPr>
      <w:r>
        <w:t xml:space="preserve">The </w:t>
      </w:r>
      <w:r w:rsidR="00E92F1B">
        <w:t xml:space="preserve">TGA </w:t>
      </w:r>
      <w:r w:rsidR="008A6208">
        <w:t xml:space="preserve">is </w:t>
      </w:r>
      <w:r w:rsidR="00E92F1B">
        <w:t>responsible for communicating the regulatory requirements to stakeholders</w:t>
      </w:r>
      <w:r>
        <w:t>.</w:t>
      </w:r>
    </w:p>
    <w:p w14:paraId="78162C2B" w14:textId="6E1CC59E" w:rsidR="00E92F1B" w:rsidRDefault="00B601AE" w:rsidP="00E92F1B">
      <w:pPr>
        <w:pStyle w:val="ListParagraph"/>
        <w:numPr>
          <w:ilvl w:val="0"/>
          <w:numId w:val="20"/>
        </w:numPr>
      </w:pPr>
      <w:r>
        <w:lastRenderedPageBreak/>
        <w:t>S</w:t>
      </w:r>
      <w:r w:rsidR="00E92F1B">
        <w:t>tate</w:t>
      </w:r>
      <w:r>
        <w:t>/</w:t>
      </w:r>
      <w:r w:rsidR="00E92F1B">
        <w:t xml:space="preserve">territory governments, other regulators and peak professional bodies </w:t>
      </w:r>
      <w:r>
        <w:t xml:space="preserve">have a role </w:t>
      </w:r>
      <w:r w:rsidR="00E92F1B">
        <w:t xml:space="preserve">to </w:t>
      </w:r>
      <w:r>
        <w:t xml:space="preserve">play in the </w:t>
      </w:r>
      <w:r w:rsidR="00FC3392">
        <w:t xml:space="preserve">co-design </w:t>
      </w:r>
      <w:r w:rsidR="00CE52DA">
        <w:t xml:space="preserve">of </w:t>
      </w:r>
      <w:r w:rsidR="00FC3392">
        <w:t xml:space="preserve">education and communication </w:t>
      </w:r>
      <w:r>
        <w:t xml:space="preserve">of </w:t>
      </w:r>
      <w:r w:rsidR="00FC3392">
        <w:t>resources</w:t>
      </w:r>
      <w:r w:rsidR="00576972">
        <w:t>.</w:t>
      </w:r>
    </w:p>
    <w:p w14:paraId="0AF411F0" w14:textId="1768A3C0" w:rsidR="00C12E04" w:rsidRDefault="00CE52DA" w:rsidP="00AE6F59">
      <w:pPr>
        <w:pStyle w:val="ListParagraph"/>
        <w:numPr>
          <w:ilvl w:val="0"/>
          <w:numId w:val="20"/>
        </w:numPr>
      </w:pPr>
      <w:r>
        <w:t xml:space="preserve">Clinicians have a role in </w:t>
      </w:r>
      <w:r w:rsidR="00C12E04">
        <w:t xml:space="preserve">ensuring patient consent and providing sufficient information about the medical device (especially implanted medical devices) to </w:t>
      </w:r>
      <w:r>
        <w:t>patients.</w:t>
      </w:r>
    </w:p>
    <w:p w14:paraId="245EAB6F" w14:textId="77777777" w:rsidR="00657941" w:rsidRDefault="00657941" w:rsidP="00657941">
      <w:pPr>
        <w:pStyle w:val="ListParagraph"/>
        <w:ind w:left="1080"/>
      </w:pPr>
    </w:p>
    <w:p w14:paraId="7175725D" w14:textId="52649295" w:rsidR="00196CA3" w:rsidRDefault="00196CA3" w:rsidP="00576972">
      <w:pPr>
        <w:pStyle w:val="ListParagraph"/>
        <w:numPr>
          <w:ilvl w:val="0"/>
          <w:numId w:val="33"/>
        </w:numPr>
      </w:pPr>
      <w:r>
        <w:t xml:space="preserve">Roles and responsibilities </w:t>
      </w:r>
    </w:p>
    <w:p w14:paraId="4EC36DD4" w14:textId="1016273A" w:rsidR="00AE6F59" w:rsidRDefault="00004125" w:rsidP="0099072C">
      <w:pPr>
        <w:pStyle w:val="ListParagraph"/>
        <w:numPr>
          <w:ilvl w:val="0"/>
          <w:numId w:val="20"/>
        </w:numPr>
      </w:pPr>
      <w:r>
        <w:t xml:space="preserve">The </w:t>
      </w:r>
      <w:r w:rsidR="00CF647F">
        <w:t xml:space="preserve">potential for </w:t>
      </w:r>
      <w:r w:rsidR="00ED2033">
        <w:t xml:space="preserve">the </w:t>
      </w:r>
      <w:r w:rsidR="00CF647F">
        <w:t xml:space="preserve">manufacture of medical devices using new technologies such as 3D printing </w:t>
      </w:r>
      <w:r w:rsidR="00AE6F59">
        <w:t xml:space="preserve">to </w:t>
      </w:r>
      <w:r w:rsidR="00CF647F">
        <w:t>be regulated as part of clinical practice by linking manufacturing to</w:t>
      </w:r>
      <w:r w:rsidR="00271991">
        <w:t xml:space="preserve"> a health professional/practitioner’s</w:t>
      </w:r>
      <w:r w:rsidR="00CF647F">
        <w:t xml:space="preserve"> </w:t>
      </w:r>
      <w:r w:rsidR="00271991">
        <w:t>Continu</w:t>
      </w:r>
      <w:r w:rsidR="00ED2033">
        <w:t>ing</w:t>
      </w:r>
      <w:r w:rsidR="00271991">
        <w:t xml:space="preserve"> Professional Development (</w:t>
      </w:r>
      <w:r w:rsidR="00CF647F">
        <w:t>CPD</w:t>
      </w:r>
      <w:r w:rsidR="00271991">
        <w:t>)</w:t>
      </w:r>
      <w:r w:rsidR="00176A88">
        <w:t>.</w:t>
      </w:r>
    </w:p>
    <w:p w14:paraId="1B3A5E8A" w14:textId="5110C3CB" w:rsidR="00176A88" w:rsidRDefault="00614140" w:rsidP="0099072C">
      <w:pPr>
        <w:pStyle w:val="ListParagraph"/>
        <w:numPr>
          <w:ilvl w:val="0"/>
          <w:numId w:val="20"/>
        </w:numPr>
      </w:pPr>
      <w:r>
        <w:t>The potential for</w:t>
      </w:r>
      <w:r w:rsidR="00ED2033">
        <w:t xml:space="preserve"> the</w:t>
      </w:r>
      <w:r>
        <w:t xml:space="preserve"> TGA and other regulators to develop</w:t>
      </w:r>
      <w:r w:rsidR="00FA6F3F">
        <w:t xml:space="preserve"> tools to assist individuals manufacturing devices at the POC, identify gaps in their regulatory knowledge and provide</w:t>
      </w:r>
      <w:r>
        <w:t xml:space="preserve"> </w:t>
      </w:r>
      <w:r w:rsidR="00297A80">
        <w:t>education</w:t>
      </w:r>
      <w:r w:rsidR="00FA6F3F">
        <w:t>al</w:t>
      </w:r>
      <w:r w:rsidR="00297A80">
        <w:t xml:space="preserve"> resources such as general training </w:t>
      </w:r>
      <w:r w:rsidR="00FA6F3F">
        <w:t xml:space="preserve">on medical device regulations </w:t>
      </w:r>
      <w:r w:rsidR="00297A80">
        <w:t>in emerging technologies,</w:t>
      </w:r>
      <w:r>
        <w:t xml:space="preserve"> </w:t>
      </w:r>
      <w:r w:rsidR="00297A80">
        <w:t xml:space="preserve">to support </w:t>
      </w:r>
      <w:r w:rsidR="00FA6F3F">
        <w:t xml:space="preserve">them </w:t>
      </w:r>
      <w:r w:rsidR="00297A80">
        <w:t xml:space="preserve">in understanding </w:t>
      </w:r>
      <w:r>
        <w:t>the</w:t>
      </w:r>
      <w:r w:rsidR="00297A80">
        <w:t>ir</w:t>
      </w:r>
      <w:r>
        <w:t xml:space="preserve"> regulatory obligations</w:t>
      </w:r>
      <w:r w:rsidR="00ED2033">
        <w:t>.</w:t>
      </w:r>
    </w:p>
    <w:p w14:paraId="7758368B" w14:textId="2B51E4F0" w:rsidR="0099072C" w:rsidRDefault="00C12E04" w:rsidP="0099072C">
      <w:pPr>
        <w:pStyle w:val="ListParagraph"/>
        <w:numPr>
          <w:ilvl w:val="0"/>
          <w:numId w:val="20"/>
        </w:numPr>
      </w:pPr>
      <w:r>
        <w:t xml:space="preserve">Consideration of </w:t>
      </w:r>
      <w:r w:rsidR="006E190E">
        <w:t>the role</w:t>
      </w:r>
      <w:r>
        <w:t xml:space="preserve"> educational institutions</w:t>
      </w:r>
      <w:r w:rsidR="006E190E">
        <w:t xml:space="preserve"> could have in improving practices in this emerging sector</w:t>
      </w:r>
      <w:r>
        <w:t>.</w:t>
      </w:r>
    </w:p>
    <w:p w14:paraId="16B55C19" w14:textId="3B2DE647" w:rsidR="003F6577" w:rsidRDefault="0062695F" w:rsidP="00A30B1E">
      <w:pPr>
        <w:pStyle w:val="ListParagraph"/>
        <w:numPr>
          <w:ilvl w:val="0"/>
          <w:numId w:val="20"/>
        </w:numPr>
      </w:pPr>
      <w:r>
        <w:t xml:space="preserve">Improvement of </w:t>
      </w:r>
      <w:r w:rsidR="006E190E">
        <w:t>r</w:t>
      </w:r>
      <w:r w:rsidR="00576972">
        <w:t xml:space="preserve">eimbursement </w:t>
      </w:r>
      <w:r>
        <w:t>pathways for sponsors who can demonstrate compliance with regulatory compliance</w:t>
      </w:r>
      <w:r w:rsidR="00B601AE">
        <w:t>.</w:t>
      </w:r>
    </w:p>
    <w:p w14:paraId="09282DF4" w14:textId="1DD97424" w:rsidR="005A2B21" w:rsidRDefault="005A2B21" w:rsidP="005A2B21">
      <w:pPr>
        <w:pStyle w:val="Heading2"/>
      </w:pPr>
      <w:r>
        <w:t>Follow up actions</w:t>
      </w:r>
    </w:p>
    <w:p w14:paraId="5A2AC881" w14:textId="60B2AE20" w:rsidR="00F33256" w:rsidRDefault="00F33256" w:rsidP="00F33256">
      <w:r>
        <w:t>Agreement was reached on the following</w:t>
      </w:r>
      <w:r w:rsidR="00F84424">
        <w:t xml:space="preserve"> action</w:t>
      </w:r>
      <w:r>
        <w:t xml:space="preserve"> items </w:t>
      </w:r>
      <w:r w:rsidR="00576972">
        <w:t>by those in attendance</w:t>
      </w:r>
      <w:r>
        <w:t>:</w:t>
      </w:r>
    </w:p>
    <w:p w14:paraId="4178BF0C" w14:textId="67E3569D" w:rsidR="0098219C" w:rsidRDefault="005C6DD0" w:rsidP="00235642">
      <w:pPr>
        <w:pStyle w:val="ListParagraph"/>
        <w:numPr>
          <w:ilvl w:val="0"/>
          <w:numId w:val="12"/>
        </w:numPr>
      </w:pPr>
      <w:r>
        <w:t xml:space="preserve">The </w:t>
      </w:r>
      <w:r w:rsidR="009A3C54">
        <w:t>TGA</w:t>
      </w:r>
      <w:r w:rsidR="00EC4692">
        <w:t>,</w:t>
      </w:r>
      <w:r w:rsidR="00E67652">
        <w:t xml:space="preserve"> other regulators</w:t>
      </w:r>
      <w:r w:rsidR="00F73390">
        <w:t xml:space="preserve"> and the </w:t>
      </w:r>
      <w:r w:rsidR="00773710" w:rsidRPr="00773710">
        <w:t>state and territory governments</w:t>
      </w:r>
      <w:r w:rsidR="00773710">
        <w:t xml:space="preserve"> </w:t>
      </w:r>
      <w:r w:rsidR="00EC4692">
        <w:t xml:space="preserve">will collaborate </w:t>
      </w:r>
      <w:r w:rsidR="00E67652">
        <w:t xml:space="preserve">to map </w:t>
      </w:r>
      <w:r w:rsidR="00235642">
        <w:t xml:space="preserve">current </w:t>
      </w:r>
      <w:r w:rsidR="00EC4692">
        <w:t>regulation of</w:t>
      </w:r>
      <w:r w:rsidR="00235642">
        <w:t xml:space="preserve"> POC manufacturing, particularly where it takes place as a component of clinical </w:t>
      </w:r>
      <w:r w:rsidR="003F6577">
        <w:t>practice</w:t>
      </w:r>
    </w:p>
    <w:p w14:paraId="7E4EC13B" w14:textId="6F51790E" w:rsidR="00FD3B9E" w:rsidRDefault="005C6DD0" w:rsidP="004E01B9">
      <w:pPr>
        <w:pStyle w:val="ListParagraph"/>
        <w:numPr>
          <w:ilvl w:val="0"/>
          <w:numId w:val="25"/>
        </w:numPr>
      </w:pPr>
      <w:r>
        <w:t xml:space="preserve">The </w:t>
      </w:r>
      <w:r w:rsidR="00196CA3">
        <w:t xml:space="preserve">TGA </w:t>
      </w:r>
      <w:r w:rsidR="00B601AE">
        <w:t xml:space="preserve">will </w:t>
      </w:r>
      <w:r w:rsidR="00196CA3">
        <w:t>establish</w:t>
      </w:r>
      <w:r w:rsidR="00AC2E0F">
        <w:t xml:space="preserve"> s</w:t>
      </w:r>
      <w:r w:rsidR="00E67652">
        <w:t>ector</w:t>
      </w:r>
      <w:r w:rsidR="0062695F">
        <w:t>-</w:t>
      </w:r>
      <w:r w:rsidR="00E67652">
        <w:t>specific w</w:t>
      </w:r>
      <w:r w:rsidR="00FD3B9E">
        <w:t>orki</w:t>
      </w:r>
      <w:r w:rsidR="00291A43">
        <w:t>ng</w:t>
      </w:r>
      <w:r w:rsidR="00FD3B9E">
        <w:t xml:space="preserve"> groups</w:t>
      </w:r>
      <w:r w:rsidR="00AC2E0F">
        <w:t xml:space="preserve"> (WGs) to discuss and </w:t>
      </w:r>
      <w:r w:rsidR="00B71E7D">
        <w:t xml:space="preserve">inform the </w:t>
      </w:r>
      <w:r w:rsidR="00196CA3">
        <w:t xml:space="preserve">design </w:t>
      </w:r>
      <w:r w:rsidR="00B71E7D">
        <w:t xml:space="preserve">of </w:t>
      </w:r>
      <w:r w:rsidR="00EC4692">
        <w:t>appropriate regulatory pathways for POC manufacturing in each sector</w:t>
      </w:r>
      <w:r w:rsidR="004E01B9">
        <w:t xml:space="preserve">. </w:t>
      </w:r>
      <w:r w:rsidR="00AC2E0F">
        <w:t>The WGs will comprise of</w:t>
      </w:r>
      <w:r w:rsidR="00F467AD" w:rsidRPr="00F467AD">
        <w:t xml:space="preserve"> </w:t>
      </w:r>
      <w:r w:rsidR="00F467AD">
        <w:t>representatives from other</w:t>
      </w:r>
      <w:r w:rsidR="00F467AD" w:rsidRPr="00F467AD">
        <w:t xml:space="preserve"> </w:t>
      </w:r>
      <w:r w:rsidR="00F467AD">
        <w:t>regulators, state and territory government</w:t>
      </w:r>
      <w:r w:rsidR="00EC4692">
        <w:t xml:space="preserve">s, peak </w:t>
      </w:r>
      <w:r w:rsidR="00B71E7D">
        <w:t xml:space="preserve">professional and industry </w:t>
      </w:r>
      <w:r w:rsidR="00EC4692">
        <w:t>bodies</w:t>
      </w:r>
    </w:p>
    <w:p w14:paraId="7701B876" w14:textId="796B30FE" w:rsidR="00EC4692" w:rsidRDefault="005C6DD0" w:rsidP="00EC4692">
      <w:pPr>
        <w:pStyle w:val="ListParagraph"/>
        <w:numPr>
          <w:ilvl w:val="0"/>
          <w:numId w:val="25"/>
        </w:numPr>
      </w:pPr>
      <w:r>
        <w:t xml:space="preserve">The </w:t>
      </w:r>
      <w:r w:rsidR="00EC4692">
        <w:t>TGA</w:t>
      </w:r>
      <w:r w:rsidR="00B601AE">
        <w:t>,</w:t>
      </w:r>
      <w:r w:rsidR="00EC4692">
        <w:t xml:space="preserve"> in collaboration with other regulators and state and territory governments</w:t>
      </w:r>
      <w:r w:rsidR="00B601AE">
        <w:t xml:space="preserve">, will </w:t>
      </w:r>
      <w:r w:rsidR="00EC4692">
        <w:t>establish an overarching steering committee to provide oversight of WGs and progress activities.</w:t>
      </w:r>
    </w:p>
    <w:p w14:paraId="1992B267" w14:textId="5D6E2288" w:rsidR="00196CA3" w:rsidRDefault="005C6DD0" w:rsidP="00812DC1">
      <w:pPr>
        <w:pStyle w:val="ListParagraph"/>
        <w:numPr>
          <w:ilvl w:val="0"/>
          <w:numId w:val="25"/>
        </w:numPr>
      </w:pPr>
      <w:r>
        <w:t xml:space="preserve">The </w:t>
      </w:r>
      <w:r w:rsidR="004E01B9">
        <w:t>TGA</w:t>
      </w:r>
      <w:r w:rsidR="00196CA3">
        <w:t xml:space="preserve"> to publish information and resources about POC manufacturing on the TGA website</w:t>
      </w:r>
      <w:r>
        <w:t>.</w:t>
      </w:r>
    </w:p>
    <w:p w14:paraId="0020E040" w14:textId="4C5B1822" w:rsidR="00EC4692" w:rsidRPr="00EC4692" w:rsidRDefault="005C6DD0" w:rsidP="00EC4692">
      <w:pPr>
        <w:pStyle w:val="ListParagraph"/>
        <w:numPr>
          <w:ilvl w:val="0"/>
          <w:numId w:val="25"/>
        </w:numPr>
      </w:pPr>
      <w:r>
        <w:t xml:space="preserve">The </w:t>
      </w:r>
      <w:r w:rsidR="00196CA3">
        <w:t>TGA to provide</w:t>
      </w:r>
      <w:r w:rsidR="004E01B9">
        <w:t xml:space="preserve"> de-identified </w:t>
      </w:r>
      <w:r w:rsidR="00EC4692">
        <w:t xml:space="preserve">POC manufacturing </w:t>
      </w:r>
      <w:r w:rsidR="004E01B9">
        <w:t>survey results to jurisdictio</w:t>
      </w:r>
      <w:r w:rsidR="00196CA3">
        <w:t xml:space="preserve">ns </w:t>
      </w:r>
      <w:bookmarkStart w:id="0" w:name="_Toc76457322"/>
      <w:bookmarkEnd w:id="0"/>
      <w:r w:rsidR="00B601AE">
        <w:t>for review and analysis</w:t>
      </w:r>
      <w:r w:rsidR="00576972">
        <w:t>.</w:t>
      </w:r>
      <w:r>
        <w:t xml:space="preserve"> </w:t>
      </w:r>
    </w:p>
    <w:sectPr w:rsidR="00EC4692" w:rsidRPr="00EC4692" w:rsidSect="005769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701" w:bottom="1276" w:left="1701" w:header="142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A23C3" w14:textId="77777777" w:rsidR="00F6484C" w:rsidRDefault="00F6484C">
      <w:pPr>
        <w:spacing w:before="0" w:after="0"/>
      </w:pPr>
      <w:r>
        <w:separator/>
      </w:r>
    </w:p>
  </w:endnote>
  <w:endnote w:type="continuationSeparator" w:id="0">
    <w:p w14:paraId="33F57196" w14:textId="77777777" w:rsidR="00F6484C" w:rsidRDefault="00F648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259D" w14:textId="77777777" w:rsidR="00606B96" w:rsidRDefault="00606B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240"/>
      <w:rPr>
        <w:rFonts w:ascii="Arial" w:eastAsia="Arial" w:hAnsi="Arial"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5DAB" w14:textId="77777777" w:rsidR="00606B96" w:rsidRDefault="00606B96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rPr>
        <w:rFonts w:ascii="Arial" w:eastAsia="Arial" w:hAnsi="Arial" w:cs="Arial"/>
        <w:color w:val="000000"/>
        <w:sz w:val="18"/>
        <w:szCs w:val="18"/>
      </w:rPr>
    </w:pPr>
  </w:p>
  <w:tbl>
    <w:tblPr>
      <w:tblStyle w:val="1"/>
      <w:tblW w:w="8996" w:type="dxa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938"/>
      <w:gridCol w:w="1058"/>
    </w:tblGrid>
    <w:tr w:rsidR="00606B96" w14:paraId="6B693CC8" w14:textId="77777777">
      <w:trPr>
        <w:trHeight w:val="435"/>
      </w:trPr>
      <w:tc>
        <w:tcPr>
          <w:tcW w:w="7938" w:type="dxa"/>
          <w:shd w:val="clear" w:color="auto" w:fill="auto"/>
          <w:vAlign w:val="center"/>
        </w:tcPr>
        <w:p w14:paraId="113F321B" w14:textId="704727C1" w:rsidR="00606B96" w:rsidRDefault="00980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240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National </w:t>
          </w:r>
          <w:r w:rsidR="009A4227">
            <w:rPr>
              <w:rFonts w:ascii="Arial" w:eastAsia="Arial" w:hAnsi="Arial" w:cs="Arial"/>
              <w:color w:val="000000"/>
              <w:sz w:val="18"/>
              <w:szCs w:val="18"/>
            </w:rPr>
            <w:t>s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ymposium on </w:t>
          </w:r>
          <w:r w:rsidR="004E6406">
            <w:rPr>
              <w:rFonts w:ascii="Arial" w:eastAsia="Arial" w:hAnsi="Arial" w:cs="Arial"/>
              <w:color w:val="000000"/>
              <w:sz w:val="18"/>
              <w:szCs w:val="18"/>
            </w:rPr>
            <w:t>P</w:t>
          </w:r>
          <w:r w:rsidR="009A4227">
            <w:rPr>
              <w:rFonts w:ascii="Arial" w:eastAsia="Arial" w:hAnsi="Arial" w:cs="Arial"/>
              <w:color w:val="000000"/>
              <w:sz w:val="18"/>
              <w:szCs w:val="18"/>
            </w:rPr>
            <w:t>OC</w:t>
          </w:r>
          <w:r w:rsidR="004E6406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  <w:r w:rsidR="009A4227">
            <w:rPr>
              <w:rFonts w:ascii="Arial" w:eastAsia="Arial" w:hAnsi="Arial" w:cs="Arial"/>
              <w:color w:val="000000"/>
              <w:sz w:val="18"/>
              <w:szCs w:val="18"/>
            </w:rPr>
            <w:t>m</w:t>
          </w:r>
          <w:r w:rsidR="004E6406">
            <w:rPr>
              <w:rFonts w:ascii="Arial" w:eastAsia="Arial" w:hAnsi="Arial" w:cs="Arial"/>
              <w:color w:val="000000"/>
              <w:sz w:val="18"/>
              <w:szCs w:val="18"/>
            </w:rPr>
            <w:t>anufacturing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, </w:t>
          </w:r>
          <w:r w:rsidR="009A4227">
            <w:rPr>
              <w:rFonts w:ascii="Arial" w:eastAsia="Arial" w:hAnsi="Arial" w:cs="Arial"/>
              <w:color w:val="000000"/>
              <w:sz w:val="18"/>
              <w:szCs w:val="18"/>
            </w:rPr>
            <w:t>m</w:t>
          </w:r>
          <w:r w:rsidR="0011155F">
            <w:rPr>
              <w:rFonts w:ascii="Arial" w:eastAsia="Arial" w:hAnsi="Arial" w:cs="Arial"/>
              <w:color w:val="000000"/>
              <w:sz w:val="18"/>
              <w:szCs w:val="18"/>
            </w:rPr>
            <w:t>eeting</w:t>
          </w:r>
          <w:r w:rsidR="007837BB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  <w:r w:rsidR="009A4227">
            <w:rPr>
              <w:rFonts w:ascii="Arial" w:eastAsia="Arial" w:hAnsi="Arial" w:cs="Arial"/>
              <w:color w:val="000000"/>
              <w:sz w:val="18"/>
              <w:szCs w:val="18"/>
            </w:rPr>
            <w:t>s</w:t>
          </w:r>
          <w:r w:rsidR="007837BB">
            <w:rPr>
              <w:rFonts w:ascii="Arial" w:eastAsia="Arial" w:hAnsi="Arial" w:cs="Arial"/>
              <w:color w:val="000000"/>
              <w:sz w:val="18"/>
              <w:szCs w:val="18"/>
            </w:rPr>
            <w:t>ummary</w:t>
          </w:r>
          <w:r w:rsidR="004E6406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,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19 June 2023</w:t>
          </w:r>
        </w:p>
      </w:tc>
      <w:tc>
        <w:tcPr>
          <w:tcW w:w="1058" w:type="dxa"/>
          <w:shd w:val="clear" w:color="auto" w:fill="auto"/>
          <w:vAlign w:val="center"/>
        </w:tcPr>
        <w:p w14:paraId="4071E623" w14:textId="77777777" w:rsidR="00606B96" w:rsidRDefault="00BC0A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240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Page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0931AC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of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0931AC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</w:p>
        <w:p w14:paraId="6C96AC9F" w14:textId="77777777" w:rsidR="00606B96" w:rsidRDefault="00606B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240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</w:tbl>
  <w:p w14:paraId="3F4DA996" w14:textId="77777777" w:rsidR="00606B96" w:rsidRDefault="00606B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240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"/>
      <w:tblW w:w="8996" w:type="dxa"/>
      <w:tblLayout w:type="fixed"/>
      <w:tblLook w:val="0000" w:firstRow="0" w:lastRow="0" w:firstColumn="0" w:lastColumn="0" w:noHBand="0" w:noVBand="0"/>
    </w:tblPr>
    <w:tblGrid>
      <w:gridCol w:w="6636"/>
      <w:gridCol w:w="2360"/>
    </w:tblGrid>
    <w:tr w:rsidR="00606B96" w14:paraId="1782214D" w14:textId="77777777">
      <w:trPr>
        <w:trHeight w:val="1006"/>
      </w:trPr>
      <w:tc>
        <w:tcPr>
          <w:tcW w:w="6636" w:type="dxa"/>
          <w:shd w:val="clear" w:color="auto" w:fill="auto"/>
          <w:vAlign w:val="center"/>
        </w:tcPr>
        <w:p w14:paraId="67E21E73" w14:textId="537B47F9" w:rsidR="00606B96" w:rsidRDefault="009A42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240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National symposium on POC</w:t>
          </w:r>
          <w:r w:rsidR="0011155F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m</w:t>
          </w:r>
          <w:r w:rsidR="00BC5047">
            <w:rPr>
              <w:rFonts w:ascii="Arial" w:eastAsia="Arial" w:hAnsi="Arial" w:cs="Arial"/>
              <w:color w:val="000000"/>
              <w:sz w:val="18"/>
              <w:szCs w:val="18"/>
            </w:rPr>
            <w:t>anufacturing</w:t>
          </w:r>
          <w:r w:rsidR="006C4910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,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m</w:t>
          </w:r>
          <w:r w:rsidR="0011155F">
            <w:rPr>
              <w:rFonts w:ascii="Arial" w:eastAsia="Arial" w:hAnsi="Arial" w:cs="Arial"/>
              <w:color w:val="000000"/>
              <w:sz w:val="18"/>
              <w:szCs w:val="18"/>
            </w:rPr>
            <w:t>eeting</w:t>
          </w:r>
          <w:r w:rsidR="006C4910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s</w:t>
          </w:r>
          <w:r w:rsidR="006C4910">
            <w:rPr>
              <w:rFonts w:ascii="Arial" w:eastAsia="Arial" w:hAnsi="Arial" w:cs="Arial"/>
              <w:color w:val="000000"/>
              <w:sz w:val="18"/>
              <w:szCs w:val="18"/>
            </w:rPr>
            <w:t>ummary</w:t>
          </w:r>
          <w:r w:rsidR="00BC0AE0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, </w:t>
          </w:r>
          <w:r w:rsidR="00205FA8">
            <w:rPr>
              <w:rFonts w:ascii="Arial" w:eastAsia="Arial" w:hAnsi="Arial" w:cs="Arial"/>
              <w:color w:val="000000"/>
              <w:sz w:val="18"/>
              <w:szCs w:val="18"/>
            </w:rPr>
            <w:t>19 June</w:t>
          </w:r>
          <w:r w:rsidR="00BC0AE0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202</w:t>
          </w:r>
          <w:r w:rsidR="00BC0AE0">
            <w:rPr>
              <w:noProof/>
            </w:rPr>
            <w:drawing>
              <wp:anchor distT="0" distB="0" distL="0" distR="0" simplePos="0" relativeHeight="251656704" behindDoc="1" locked="0" layoutInCell="1" hidden="0" allowOverlap="1" wp14:anchorId="245218CB" wp14:editId="15233AF8">
                <wp:simplePos x="0" y="0"/>
                <wp:positionH relativeFrom="column">
                  <wp:posOffset>-1080134</wp:posOffset>
                </wp:positionH>
                <wp:positionV relativeFrom="paragraph">
                  <wp:posOffset>520065</wp:posOffset>
                </wp:positionV>
                <wp:extent cx="7562850" cy="571500"/>
                <wp:effectExtent l="0" t="0" r="0" b="0"/>
                <wp:wrapNone/>
                <wp:docPr id="56" name="image1.jp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" name="image1.jpg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850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205FA8">
            <w:rPr>
              <w:rFonts w:ascii="Arial" w:eastAsia="Arial" w:hAnsi="Arial" w:cs="Arial"/>
              <w:color w:val="000000"/>
              <w:sz w:val="18"/>
              <w:szCs w:val="18"/>
            </w:rPr>
            <w:t>3</w:t>
          </w:r>
          <w:r w:rsidR="00234F9D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</w:p>
        <w:p w14:paraId="53AE7A1A" w14:textId="6BC461A0" w:rsidR="00234F9D" w:rsidRDefault="00234F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240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2360" w:type="dxa"/>
          <w:shd w:val="clear" w:color="auto" w:fill="auto"/>
          <w:vAlign w:val="bottom"/>
        </w:tcPr>
        <w:p w14:paraId="678F0C69" w14:textId="77777777" w:rsidR="00606B96" w:rsidRDefault="00BC0A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240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hidden="0" allowOverlap="1" wp14:anchorId="6AED9BB3" wp14:editId="0399F56B">
                <wp:simplePos x="0" y="0"/>
                <wp:positionH relativeFrom="column">
                  <wp:posOffset>129540</wp:posOffset>
                </wp:positionH>
                <wp:positionV relativeFrom="paragraph">
                  <wp:posOffset>58420</wp:posOffset>
                </wp:positionV>
                <wp:extent cx="1323975" cy="276225"/>
                <wp:effectExtent l="0" t="0" r="0" b="0"/>
                <wp:wrapNone/>
                <wp:docPr id="57" name="image3.jp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" name="image3.jpg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276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75DC1798" w14:textId="77777777" w:rsidR="00606B96" w:rsidRDefault="00606B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240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</w:tbl>
  <w:p w14:paraId="76443CD8" w14:textId="77777777" w:rsidR="00606B96" w:rsidRDefault="00606B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240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0DB7" w14:textId="77777777" w:rsidR="00F6484C" w:rsidRDefault="00F6484C">
      <w:pPr>
        <w:spacing w:before="0" w:after="0"/>
      </w:pPr>
      <w:r>
        <w:separator/>
      </w:r>
    </w:p>
  </w:footnote>
  <w:footnote w:type="continuationSeparator" w:id="0">
    <w:p w14:paraId="3DDF9717" w14:textId="77777777" w:rsidR="00F6484C" w:rsidRDefault="00F648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8024" w14:textId="4EA94C67" w:rsidR="00606B96" w:rsidRDefault="00606B96">
    <w:pPr>
      <w:pBdr>
        <w:top w:val="nil"/>
        <w:left w:val="nil"/>
        <w:bottom w:val="single" w:sz="4" w:space="3" w:color="000000"/>
        <w:right w:val="nil"/>
        <w:between w:val="nil"/>
      </w:pBdr>
      <w:tabs>
        <w:tab w:val="center" w:pos="4513"/>
        <w:tab w:val="right" w:pos="9026"/>
      </w:tabs>
      <w:spacing w:after="480"/>
      <w:jc w:val="right"/>
      <w:rPr>
        <w:color w:val="000000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1321" w14:textId="4FE4DC0A" w:rsidR="00606B96" w:rsidRPr="00234F9D" w:rsidRDefault="00606B96">
    <w:pPr>
      <w:pBdr>
        <w:top w:val="nil"/>
        <w:left w:val="nil"/>
        <w:bottom w:val="single" w:sz="4" w:space="3" w:color="000000"/>
        <w:right w:val="nil"/>
        <w:between w:val="nil"/>
      </w:pBdr>
      <w:tabs>
        <w:tab w:val="center" w:pos="4513"/>
        <w:tab w:val="right" w:pos="9026"/>
      </w:tabs>
      <w:spacing w:after="480"/>
      <w:jc w:val="right"/>
      <w:rPr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2D947" w14:textId="67E4C6BE" w:rsidR="00606B96" w:rsidRDefault="00111F93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513"/>
        <w:tab w:val="right" w:pos="9026"/>
        <w:tab w:val="left" w:pos="675"/>
        <w:tab w:val="center" w:pos="4253"/>
      </w:tabs>
      <w:spacing w:after="480"/>
      <w:jc w:val="center"/>
      <w:rPr>
        <w:color w:val="000000"/>
        <w:sz w:val="17"/>
        <w:szCs w:val="17"/>
      </w:rPr>
    </w:pPr>
    <w:r>
      <w:rPr>
        <w:noProof/>
      </w:rPr>
      <w:drawing>
        <wp:inline distT="0" distB="0" distL="0" distR="0" wp14:anchorId="543BC405" wp14:editId="58553272">
          <wp:extent cx="2172970" cy="1145273"/>
          <wp:effectExtent l="0" t="0" r="0" b="0"/>
          <wp:docPr id="55" name="Picture 55" descr="Australian Government, Department of Health and Aged Care, Therapeutic Goods Administrati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 descr="Australian Government, Department of Health and Aged Care, Therapeutic Goods Administration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815" cy="1152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E2007" w14:textId="2963DB91" w:rsidR="00234F9D" w:rsidRPr="00234F9D" w:rsidRDefault="00234F9D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513"/>
        <w:tab w:val="right" w:pos="9026"/>
        <w:tab w:val="left" w:pos="675"/>
        <w:tab w:val="center" w:pos="4253"/>
      </w:tabs>
      <w:spacing w:after="480"/>
      <w:jc w:val="center"/>
      <w:rPr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7681C7E"/>
    <w:lvl w:ilvl="0">
      <w:start w:val="1"/>
      <w:numFmt w:val="bullet"/>
      <w:pStyle w:val="ListBullet2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1" w15:restartNumberingAfterBreak="0">
    <w:nsid w:val="FFFFFF89"/>
    <w:multiLevelType w:val="singleLevel"/>
    <w:tmpl w:val="DE2E2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24133E1"/>
    <w:multiLevelType w:val="hybridMultilevel"/>
    <w:tmpl w:val="DEF4C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B4CB6"/>
    <w:multiLevelType w:val="hybridMultilevel"/>
    <w:tmpl w:val="59F81954"/>
    <w:lvl w:ilvl="0" w:tplc="50426930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AD1F46"/>
    <w:multiLevelType w:val="hybridMultilevel"/>
    <w:tmpl w:val="39A28BEC"/>
    <w:lvl w:ilvl="0" w:tplc="67C670C2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4121F"/>
    <w:multiLevelType w:val="hybridMultilevel"/>
    <w:tmpl w:val="CE1EE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7225A"/>
    <w:multiLevelType w:val="hybridMultilevel"/>
    <w:tmpl w:val="048CBC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E4AD7"/>
    <w:multiLevelType w:val="hybridMultilevel"/>
    <w:tmpl w:val="EA381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E2AFA"/>
    <w:multiLevelType w:val="hybridMultilevel"/>
    <w:tmpl w:val="72744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57827"/>
    <w:multiLevelType w:val="hybridMultilevel"/>
    <w:tmpl w:val="6394A912"/>
    <w:lvl w:ilvl="0" w:tplc="2CF06BBC">
      <w:start w:val="19"/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BC1CA5"/>
    <w:multiLevelType w:val="hybridMultilevel"/>
    <w:tmpl w:val="374A69D4"/>
    <w:lvl w:ilvl="0" w:tplc="50426930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D165A"/>
    <w:multiLevelType w:val="hybridMultilevel"/>
    <w:tmpl w:val="971C9994"/>
    <w:lvl w:ilvl="0" w:tplc="50426930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655FC0"/>
    <w:multiLevelType w:val="hybridMultilevel"/>
    <w:tmpl w:val="34D8B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31515"/>
    <w:multiLevelType w:val="hybridMultilevel"/>
    <w:tmpl w:val="1B7846AA"/>
    <w:lvl w:ilvl="0" w:tplc="E7A2D86A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5B47B8"/>
    <w:multiLevelType w:val="hybridMultilevel"/>
    <w:tmpl w:val="60B8FF3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D35208"/>
    <w:multiLevelType w:val="hybridMultilevel"/>
    <w:tmpl w:val="CD6C259C"/>
    <w:lvl w:ilvl="0" w:tplc="50426930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8F6851"/>
    <w:multiLevelType w:val="hybridMultilevel"/>
    <w:tmpl w:val="A48AAD1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3C4A27"/>
    <w:multiLevelType w:val="hybridMultilevel"/>
    <w:tmpl w:val="069A963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573C13"/>
    <w:multiLevelType w:val="hybridMultilevel"/>
    <w:tmpl w:val="466279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6769C"/>
    <w:multiLevelType w:val="hybridMultilevel"/>
    <w:tmpl w:val="42A04608"/>
    <w:lvl w:ilvl="0" w:tplc="0BE0E080">
      <w:start w:val="19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C4538"/>
    <w:multiLevelType w:val="hybridMultilevel"/>
    <w:tmpl w:val="DB2A9542"/>
    <w:lvl w:ilvl="0" w:tplc="BD80595E">
      <w:start w:val="19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A900BC"/>
    <w:multiLevelType w:val="hybridMultilevel"/>
    <w:tmpl w:val="D690124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5D6BE1"/>
    <w:multiLevelType w:val="multilevel"/>
    <w:tmpl w:val="EA2EA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47C07E5"/>
    <w:multiLevelType w:val="hybridMultilevel"/>
    <w:tmpl w:val="2B90AA10"/>
    <w:lvl w:ilvl="0" w:tplc="2CF06BBC">
      <w:start w:val="19"/>
      <w:numFmt w:val="bullet"/>
      <w:lvlText w:val="-"/>
      <w:lvlJc w:val="left"/>
      <w:pPr>
        <w:ind w:left="1800" w:hanging="360"/>
      </w:pPr>
      <w:rPr>
        <w:rFonts w:ascii="Cambria" w:eastAsia="Cambria" w:hAnsi="Cambria" w:cs="Cambr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930B5"/>
    <w:multiLevelType w:val="hybridMultilevel"/>
    <w:tmpl w:val="33188998"/>
    <w:lvl w:ilvl="0" w:tplc="97F06346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9C3030"/>
    <w:multiLevelType w:val="hybridMultilevel"/>
    <w:tmpl w:val="6FF449E6"/>
    <w:lvl w:ilvl="0" w:tplc="2CF06BBC">
      <w:start w:val="19"/>
      <w:numFmt w:val="bullet"/>
      <w:lvlText w:val="-"/>
      <w:lvlJc w:val="left"/>
      <w:pPr>
        <w:ind w:left="1800" w:hanging="360"/>
      </w:pPr>
      <w:rPr>
        <w:rFonts w:ascii="Cambria" w:eastAsia="Cambria" w:hAnsi="Cambria" w:cs="Cambria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155A40"/>
    <w:multiLevelType w:val="hybridMultilevel"/>
    <w:tmpl w:val="392A8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4249B"/>
    <w:multiLevelType w:val="hybridMultilevel"/>
    <w:tmpl w:val="014074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33CE2"/>
    <w:multiLevelType w:val="hybridMultilevel"/>
    <w:tmpl w:val="E88498CC"/>
    <w:lvl w:ilvl="0" w:tplc="50426930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69504B"/>
    <w:multiLevelType w:val="hybridMultilevel"/>
    <w:tmpl w:val="1554A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A0593"/>
    <w:multiLevelType w:val="hybridMultilevel"/>
    <w:tmpl w:val="EFB69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C1679"/>
    <w:multiLevelType w:val="hybridMultilevel"/>
    <w:tmpl w:val="A762DBFC"/>
    <w:lvl w:ilvl="0" w:tplc="FE301FFE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8E11C5"/>
    <w:multiLevelType w:val="multilevel"/>
    <w:tmpl w:val="D416D5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02D6FC7"/>
    <w:multiLevelType w:val="hybridMultilevel"/>
    <w:tmpl w:val="FA5A0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86E5A"/>
    <w:multiLevelType w:val="hybridMultilevel"/>
    <w:tmpl w:val="8F845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42EE8"/>
    <w:multiLevelType w:val="hybridMultilevel"/>
    <w:tmpl w:val="8E9ED84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D73505"/>
    <w:multiLevelType w:val="hybridMultilevel"/>
    <w:tmpl w:val="91B40DBC"/>
    <w:lvl w:ilvl="0" w:tplc="BD80595E">
      <w:start w:val="19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20F03"/>
    <w:multiLevelType w:val="hybridMultilevel"/>
    <w:tmpl w:val="50CC2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F330F"/>
    <w:multiLevelType w:val="hybridMultilevel"/>
    <w:tmpl w:val="64769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81844"/>
    <w:multiLevelType w:val="hybridMultilevel"/>
    <w:tmpl w:val="36B2C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35A26"/>
    <w:multiLevelType w:val="hybridMultilevel"/>
    <w:tmpl w:val="49C6A1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9F35D0"/>
    <w:multiLevelType w:val="hybridMultilevel"/>
    <w:tmpl w:val="43C0791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EC2D86"/>
    <w:multiLevelType w:val="hybridMultilevel"/>
    <w:tmpl w:val="72545F3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EF7B32"/>
    <w:multiLevelType w:val="hybridMultilevel"/>
    <w:tmpl w:val="2124D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217585">
    <w:abstractNumId w:val="1"/>
  </w:num>
  <w:num w:numId="2" w16cid:durableId="727148864">
    <w:abstractNumId w:val="0"/>
  </w:num>
  <w:num w:numId="3" w16cid:durableId="569115552">
    <w:abstractNumId w:val="22"/>
  </w:num>
  <w:num w:numId="4" w16cid:durableId="18373043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74445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70765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60541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71130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63573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1106866">
    <w:abstractNumId w:val="2"/>
  </w:num>
  <w:num w:numId="11" w16cid:durableId="281034104">
    <w:abstractNumId w:val="40"/>
  </w:num>
  <w:num w:numId="12" w16cid:durableId="1125349182">
    <w:abstractNumId w:val="34"/>
  </w:num>
  <w:num w:numId="13" w16cid:durableId="882059424">
    <w:abstractNumId w:val="25"/>
  </w:num>
  <w:num w:numId="14" w16cid:durableId="83888023">
    <w:abstractNumId w:val="23"/>
  </w:num>
  <w:num w:numId="15" w16cid:durableId="1783450010">
    <w:abstractNumId w:val="6"/>
  </w:num>
  <w:num w:numId="16" w16cid:durableId="612565004">
    <w:abstractNumId w:val="12"/>
  </w:num>
  <w:num w:numId="17" w16cid:durableId="1035929419">
    <w:abstractNumId w:val="20"/>
  </w:num>
  <w:num w:numId="18" w16cid:durableId="358244528">
    <w:abstractNumId w:val="36"/>
  </w:num>
  <w:num w:numId="19" w16cid:durableId="679508702">
    <w:abstractNumId w:val="5"/>
  </w:num>
  <w:num w:numId="20" w16cid:durableId="1628387106">
    <w:abstractNumId w:val="24"/>
  </w:num>
  <w:num w:numId="21" w16cid:durableId="264505806">
    <w:abstractNumId w:val="37"/>
  </w:num>
  <w:num w:numId="22" w16cid:durableId="236592128">
    <w:abstractNumId w:val="8"/>
  </w:num>
  <w:num w:numId="23" w16cid:durableId="102697464">
    <w:abstractNumId w:val="42"/>
  </w:num>
  <w:num w:numId="24" w16cid:durableId="316155981">
    <w:abstractNumId w:val="9"/>
  </w:num>
  <w:num w:numId="25" w16cid:durableId="549211">
    <w:abstractNumId w:val="29"/>
  </w:num>
  <w:num w:numId="26" w16cid:durableId="1974674072">
    <w:abstractNumId w:val="7"/>
  </w:num>
  <w:num w:numId="27" w16cid:durableId="545259726">
    <w:abstractNumId w:val="43"/>
  </w:num>
  <w:num w:numId="28" w16cid:durableId="492796677">
    <w:abstractNumId w:val="17"/>
  </w:num>
  <w:num w:numId="29" w16cid:durableId="488669123">
    <w:abstractNumId w:val="41"/>
  </w:num>
  <w:num w:numId="30" w16cid:durableId="1588801718">
    <w:abstractNumId w:val="14"/>
  </w:num>
  <w:num w:numId="31" w16cid:durableId="98451547">
    <w:abstractNumId w:val="21"/>
  </w:num>
  <w:num w:numId="32" w16cid:durableId="1538160973">
    <w:abstractNumId w:val="27"/>
  </w:num>
  <w:num w:numId="33" w16cid:durableId="7020920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6"/>
    <w:rsid w:val="00004125"/>
    <w:rsid w:val="000051F4"/>
    <w:rsid w:val="00020F5A"/>
    <w:rsid w:val="00082355"/>
    <w:rsid w:val="000920EC"/>
    <w:rsid w:val="000931AC"/>
    <w:rsid w:val="00093FCE"/>
    <w:rsid w:val="000A228B"/>
    <w:rsid w:val="000A3DA1"/>
    <w:rsid w:val="000C496A"/>
    <w:rsid w:val="000D2115"/>
    <w:rsid w:val="000F168A"/>
    <w:rsid w:val="000F55D7"/>
    <w:rsid w:val="00103631"/>
    <w:rsid w:val="0011155F"/>
    <w:rsid w:val="00111F93"/>
    <w:rsid w:val="0011333E"/>
    <w:rsid w:val="00113FEB"/>
    <w:rsid w:val="00121A0D"/>
    <w:rsid w:val="001402A8"/>
    <w:rsid w:val="0017388D"/>
    <w:rsid w:val="00176A88"/>
    <w:rsid w:val="00177DEF"/>
    <w:rsid w:val="00184C44"/>
    <w:rsid w:val="00187FA2"/>
    <w:rsid w:val="001901E4"/>
    <w:rsid w:val="00196CA3"/>
    <w:rsid w:val="001B0300"/>
    <w:rsid w:val="001C3314"/>
    <w:rsid w:val="001D2642"/>
    <w:rsid w:val="001E1C57"/>
    <w:rsid w:val="001F4064"/>
    <w:rsid w:val="00205FA8"/>
    <w:rsid w:val="00216669"/>
    <w:rsid w:val="00224051"/>
    <w:rsid w:val="00231EEB"/>
    <w:rsid w:val="002340A5"/>
    <w:rsid w:val="00234DD4"/>
    <w:rsid w:val="00234F9D"/>
    <w:rsid w:val="00235642"/>
    <w:rsid w:val="00244D84"/>
    <w:rsid w:val="00250FAB"/>
    <w:rsid w:val="002543AF"/>
    <w:rsid w:val="00254EF5"/>
    <w:rsid w:val="00271991"/>
    <w:rsid w:val="00284824"/>
    <w:rsid w:val="00291A43"/>
    <w:rsid w:val="00297A80"/>
    <w:rsid w:val="002B3F4E"/>
    <w:rsid w:val="002C731A"/>
    <w:rsid w:val="002F441B"/>
    <w:rsid w:val="002F5897"/>
    <w:rsid w:val="00324AA7"/>
    <w:rsid w:val="0033121F"/>
    <w:rsid w:val="00331709"/>
    <w:rsid w:val="00336179"/>
    <w:rsid w:val="00346B3C"/>
    <w:rsid w:val="0035450A"/>
    <w:rsid w:val="00365AFD"/>
    <w:rsid w:val="003804CC"/>
    <w:rsid w:val="003A3FAB"/>
    <w:rsid w:val="003B6D5C"/>
    <w:rsid w:val="003B6F3C"/>
    <w:rsid w:val="003B72DB"/>
    <w:rsid w:val="003C70D4"/>
    <w:rsid w:val="003F2325"/>
    <w:rsid w:val="003F6577"/>
    <w:rsid w:val="003F66FB"/>
    <w:rsid w:val="003F7053"/>
    <w:rsid w:val="004459BB"/>
    <w:rsid w:val="00452D78"/>
    <w:rsid w:val="004679F5"/>
    <w:rsid w:val="00493DB1"/>
    <w:rsid w:val="004A2293"/>
    <w:rsid w:val="004B12F5"/>
    <w:rsid w:val="004C1933"/>
    <w:rsid w:val="004C307C"/>
    <w:rsid w:val="004D1194"/>
    <w:rsid w:val="004E01B9"/>
    <w:rsid w:val="004E0DB1"/>
    <w:rsid w:val="004E109B"/>
    <w:rsid w:val="004E6406"/>
    <w:rsid w:val="00507C32"/>
    <w:rsid w:val="00554DF7"/>
    <w:rsid w:val="00576972"/>
    <w:rsid w:val="005876ED"/>
    <w:rsid w:val="00595A4C"/>
    <w:rsid w:val="00597A5B"/>
    <w:rsid w:val="005A2B21"/>
    <w:rsid w:val="005C28EB"/>
    <w:rsid w:val="005C6DD0"/>
    <w:rsid w:val="005C7E82"/>
    <w:rsid w:val="005E59A0"/>
    <w:rsid w:val="005F3BD1"/>
    <w:rsid w:val="0060263B"/>
    <w:rsid w:val="006043E9"/>
    <w:rsid w:val="00606B96"/>
    <w:rsid w:val="00614140"/>
    <w:rsid w:val="0062695F"/>
    <w:rsid w:val="0063363E"/>
    <w:rsid w:val="00641411"/>
    <w:rsid w:val="00653715"/>
    <w:rsid w:val="006545B9"/>
    <w:rsid w:val="00657941"/>
    <w:rsid w:val="00660504"/>
    <w:rsid w:val="0066172A"/>
    <w:rsid w:val="00673A90"/>
    <w:rsid w:val="00680FDB"/>
    <w:rsid w:val="00692C6C"/>
    <w:rsid w:val="006B6031"/>
    <w:rsid w:val="006C0642"/>
    <w:rsid w:val="006C4910"/>
    <w:rsid w:val="006C4B6D"/>
    <w:rsid w:val="006C6A88"/>
    <w:rsid w:val="006D6274"/>
    <w:rsid w:val="006E190E"/>
    <w:rsid w:val="006E2EAC"/>
    <w:rsid w:val="006F26D0"/>
    <w:rsid w:val="00704828"/>
    <w:rsid w:val="00726BA9"/>
    <w:rsid w:val="00747C67"/>
    <w:rsid w:val="00772A5F"/>
    <w:rsid w:val="007735B9"/>
    <w:rsid w:val="00773710"/>
    <w:rsid w:val="00780751"/>
    <w:rsid w:val="007837BB"/>
    <w:rsid w:val="0078583D"/>
    <w:rsid w:val="00793F04"/>
    <w:rsid w:val="007B100E"/>
    <w:rsid w:val="007B5E92"/>
    <w:rsid w:val="007C1528"/>
    <w:rsid w:val="007C49CD"/>
    <w:rsid w:val="007D7F03"/>
    <w:rsid w:val="007E116C"/>
    <w:rsid w:val="007E3554"/>
    <w:rsid w:val="007F2422"/>
    <w:rsid w:val="007F54CF"/>
    <w:rsid w:val="00800DC2"/>
    <w:rsid w:val="00801DC5"/>
    <w:rsid w:val="00806C87"/>
    <w:rsid w:val="00812DC1"/>
    <w:rsid w:val="008303E5"/>
    <w:rsid w:val="00851D7D"/>
    <w:rsid w:val="0085495F"/>
    <w:rsid w:val="00874F5E"/>
    <w:rsid w:val="008806BC"/>
    <w:rsid w:val="00894D16"/>
    <w:rsid w:val="008A2D64"/>
    <w:rsid w:val="008A355A"/>
    <w:rsid w:val="008A5175"/>
    <w:rsid w:val="008A6208"/>
    <w:rsid w:val="008C23FF"/>
    <w:rsid w:val="008C4307"/>
    <w:rsid w:val="008C4BDF"/>
    <w:rsid w:val="008C545A"/>
    <w:rsid w:val="008D1402"/>
    <w:rsid w:val="008D7237"/>
    <w:rsid w:val="008E1FDD"/>
    <w:rsid w:val="008E2558"/>
    <w:rsid w:val="008E419A"/>
    <w:rsid w:val="00900BD1"/>
    <w:rsid w:val="0090447A"/>
    <w:rsid w:val="00905DF2"/>
    <w:rsid w:val="00923063"/>
    <w:rsid w:val="00923294"/>
    <w:rsid w:val="00923329"/>
    <w:rsid w:val="00945338"/>
    <w:rsid w:val="00953E5B"/>
    <w:rsid w:val="00954BE7"/>
    <w:rsid w:val="0095620D"/>
    <w:rsid w:val="009604A3"/>
    <w:rsid w:val="00961064"/>
    <w:rsid w:val="0096230D"/>
    <w:rsid w:val="0097484C"/>
    <w:rsid w:val="00975B77"/>
    <w:rsid w:val="00980092"/>
    <w:rsid w:val="0098219C"/>
    <w:rsid w:val="0099072C"/>
    <w:rsid w:val="009A3C54"/>
    <w:rsid w:val="009A4227"/>
    <w:rsid w:val="009C3A73"/>
    <w:rsid w:val="009C7889"/>
    <w:rsid w:val="009F0370"/>
    <w:rsid w:val="009F4697"/>
    <w:rsid w:val="009F5230"/>
    <w:rsid w:val="00A06AB5"/>
    <w:rsid w:val="00A13EF3"/>
    <w:rsid w:val="00A15D1E"/>
    <w:rsid w:val="00A17601"/>
    <w:rsid w:val="00A25792"/>
    <w:rsid w:val="00A30B1E"/>
    <w:rsid w:val="00A34970"/>
    <w:rsid w:val="00A71391"/>
    <w:rsid w:val="00A715B8"/>
    <w:rsid w:val="00A724D7"/>
    <w:rsid w:val="00A7683E"/>
    <w:rsid w:val="00A8704B"/>
    <w:rsid w:val="00A87590"/>
    <w:rsid w:val="00A960A8"/>
    <w:rsid w:val="00AA7128"/>
    <w:rsid w:val="00AB0B8D"/>
    <w:rsid w:val="00AB21A3"/>
    <w:rsid w:val="00AC2E0F"/>
    <w:rsid w:val="00AD3AF5"/>
    <w:rsid w:val="00AE06D2"/>
    <w:rsid w:val="00AE1A4A"/>
    <w:rsid w:val="00AE52CB"/>
    <w:rsid w:val="00AE6167"/>
    <w:rsid w:val="00AE6F59"/>
    <w:rsid w:val="00AF104B"/>
    <w:rsid w:val="00AF5452"/>
    <w:rsid w:val="00B068C6"/>
    <w:rsid w:val="00B23887"/>
    <w:rsid w:val="00B25994"/>
    <w:rsid w:val="00B354FD"/>
    <w:rsid w:val="00B365B8"/>
    <w:rsid w:val="00B43D1F"/>
    <w:rsid w:val="00B45D13"/>
    <w:rsid w:val="00B575F4"/>
    <w:rsid w:val="00B601AE"/>
    <w:rsid w:val="00B6263B"/>
    <w:rsid w:val="00B6592B"/>
    <w:rsid w:val="00B67655"/>
    <w:rsid w:val="00B71E7D"/>
    <w:rsid w:val="00B86091"/>
    <w:rsid w:val="00B95F54"/>
    <w:rsid w:val="00BB0758"/>
    <w:rsid w:val="00BB75A9"/>
    <w:rsid w:val="00BC029D"/>
    <w:rsid w:val="00BC0AE0"/>
    <w:rsid w:val="00BC245B"/>
    <w:rsid w:val="00BC5047"/>
    <w:rsid w:val="00BC56C5"/>
    <w:rsid w:val="00BC6E2A"/>
    <w:rsid w:val="00C04184"/>
    <w:rsid w:val="00C12E04"/>
    <w:rsid w:val="00C2562D"/>
    <w:rsid w:val="00C30110"/>
    <w:rsid w:val="00C414F2"/>
    <w:rsid w:val="00C53455"/>
    <w:rsid w:val="00C663C1"/>
    <w:rsid w:val="00C71A63"/>
    <w:rsid w:val="00CB34C8"/>
    <w:rsid w:val="00CD307E"/>
    <w:rsid w:val="00CE52DA"/>
    <w:rsid w:val="00CF4472"/>
    <w:rsid w:val="00CF647F"/>
    <w:rsid w:val="00D04231"/>
    <w:rsid w:val="00D10C3B"/>
    <w:rsid w:val="00D15FA3"/>
    <w:rsid w:val="00D257FB"/>
    <w:rsid w:val="00D26EDE"/>
    <w:rsid w:val="00D31A4E"/>
    <w:rsid w:val="00D34C99"/>
    <w:rsid w:val="00D44947"/>
    <w:rsid w:val="00D637FF"/>
    <w:rsid w:val="00D82CA8"/>
    <w:rsid w:val="00DA2DCC"/>
    <w:rsid w:val="00DA412B"/>
    <w:rsid w:val="00DC6FFA"/>
    <w:rsid w:val="00DE3489"/>
    <w:rsid w:val="00DF5F93"/>
    <w:rsid w:val="00E13DA8"/>
    <w:rsid w:val="00E23181"/>
    <w:rsid w:val="00E65E83"/>
    <w:rsid w:val="00E67652"/>
    <w:rsid w:val="00E7168F"/>
    <w:rsid w:val="00E81544"/>
    <w:rsid w:val="00E90A01"/>
    <w:rsid w:val="00E916DE"/>
    <w:rsid w:val="00E92F1B"/>
    <w:rsid w:val="00E94FC5"/>
    <w:rsid w:val="00EB1212"/>
    <w:rsid w:val="00EC4692"/>
    <w:rsid w:val="00EC5FEE"/>
    <w:rsid w:val="00ED2033"/>
    <w:rsid w:val="00ED270F"/>
    <w:rsid w:val="00ED2724"/>
    <w:rsid w:val="00ED5416"/>
    <w:rsid w:val="00EE184A"/>
    <w:rsid w:val="00EF3FEF"/>
    <w:rsid w:val="00F33142"/>
    <w:rsid w:val="00F33256"/>
    <w:rsid w:val="00F467AD"/>
    <w:rsid w:val="00F47A02"/>
    <w:rsid w:val="00F52510"/>
    <w:rsid w:val="00F6484C"/>
    <w:rsid w:val="00F73390"/>
    <w:rsid w:val="00F80D1B"/>
    <w:rsid w:val="00F84424"/>
    <w:rsid w:val="00F84A44"/>
    <w:rsid w:val="00FA6F3F"/>
    <w:rsid w:val="00FB27BA"/>
    <w:rsid w:val="00FC31FE"/>
    <w:rsid w:val="00FC3392"/>
    <w:rsid w:val="00F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FDC12"/>
  <w15:docId w15:val="{7631719C-3670-4C2D-AF95-6C50185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AU" w:eastAsia="en-AU" w:bidi="ar-SA"/>
      </w:rPr>
    </w:rPrDefault>
    <w:pPrDefault>
      <w:pPr>
        <w:spacing w:before="180"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EC"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240"/>
      <w:jc w:val="center"/>
      <w:outlineLvl w:val="0"/>
    </w:pPr>
    <w:rPr>
      <w:color w:val="006DA7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60" w:after="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utlineLvl w:val="4"/>
    </w:pPr>
    <w:rPr>
      <w:b/>
      <w:i/>
      <w:color w:val="001523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0" w:after="480"/>
      <w:jc w:val="center"/>
    </w:pPr>
    <w:rPr>
      <w:rFonts w:ascii="Arial" w:eastAsia="Arial" w:hAnsi="Arial" w:cs="Arial"/>
      <w:color w:val="002C47"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spacing w:before="240" w:after="240"/>
      <w:jc w:val="center"/>
    </w:pPr>
    <w:rPr>
      <w:color w:val="006DA7"/>
      <w:sz w:val="24"/>
      <w:szCs w:val="24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aliases w:val="NFP GP Bulleted List,List Paragraph1,Recommendation,List Paragraph11,FooterText,numbered,Paragraphe de liste1,Bulletr List Paragraph,列出段落,列出段落1,List Paragraph2,List Paragraph21,Listeafsnit1,Parágrafo da Lista1,Párrafo de lista1,リスト段落1,L"/>
    <w:basedOn w:val="Normal"/>
    <w:link w:val="ListParagraphChar"/>
    <w:uiPriority w:val="34"/>
    <w:qFormat/>
    <w:rsid w:val="00975B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1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16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2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D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D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D7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24D7"/>
    <w:rPr>
      <w:color w:val="800080" w:themeColor="followedHyperlink"/>
      <w:u w:val="single"/>
    </w:rPr>
  </w:style>
  <w:style w:type="table" w:customStyle="1" w:styleId="TableTGAblue">
    <w:name w:val="Table TGA blue"/>
    <w:basedOn w:val="TableNormal"/>
    <w:uiPriority w:val="99"/>
    <w:qFormat/>
    <w:rsid w:val="008E2558"/>
    <w:rPr>
      <w:rFonts w:eastAsiaTheme="minorHAnsi" w:cs="Times New Roman"/>
      <w:color w:val="000000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paragraph" w:styleId="ListBullet">
    <w:name w:val="List Bullet"/>
    <w:basedOn w:val="Normal"/>
    <w:uiPriority w:val="99"/>
    <w:qFormat/>
    <w:rsid w:val="00B068C6"/>
    <w:pPr>
      <w:numPr>
        <w:numId w:val="1"/>
      </w:numPr>
      <w:spacing w:before="0" w:after="160" w:line="240" w:lineRule="atLeast"/>
    </w:pPr>
    <w:rPr>
      <w:rFonts w:eastAsiaTheme="minorHAnsi" w:cstheme="minorBidi"/>
      <w:lang w:eastAsia="en-US"/>
    </w:rPr>
  </w:style>
  <w:style w:type="paragraph" w:styleId="ListBullet2">
    <w:name w:val="List Bullet 2"/>
    <w:basedOn w:val="Normal"/>
    <w:uiPriority w:val="99"/>
    <w:qFormat/>
    <w:rsid w:val="00B068C6"/>
    <w:pPr>
      <w:numPr>
        <w:numId w:val="2"/>
      </w:numPr>
      <w:spacing w:before="0" w:after="120" w:line="240" w:lineRule="atLeast"/>
      <w:ind w:left="568" w:hanging="284"/>
      <w:contextualSpacing/>
    </w:pPr>
    <w:rPr>
      <w:rFonts w:eastAsiaTheme="minorHAnsi" w:cstheme="minorBidi"/>
      <w:lang w:eastAsia="en-US"/>
    </w:rPr>
  </w:style>
  <w:style w:type="character" w:customStyle="1" w:styleId="ListParagraphChar">
    <w:name w:val="List Paragraph Char"/>
    <w:aliases w:val="NFP GP Bulleted List Char,List Paragraph1 Char,Recommendation Char,List Paragraph11 Char,FooterText Char,numbered Char,Paragraphe de liste1 Char,Bulletr List Paragraph Char,列出段落 Char,列出段落1 Char,List Paragraph2 Char,Listeafsnit1 Char"/>
    <w:basedOn w:val="DefaultParagraphFont"/>
    <w:link w:val="ListParagraph"/>
    <w:uiPriority w:val="34"/>
    <w:locked/>
    <w:rsid w:val="00673A90"/>
  </w:style>
  <w:style w:type="paragraph" w:styleId="Revision">
    <w:name w:val="Revision"/>
    <w:hidden/>
    <w:uiPriority w:val="99"/>
    <w:semiHidden/>
    <w:rsid w:val="00DA2DCC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ga.gov.au/how-we-regulate/manufacturing/manufacture-medical-device/meet-safety-performance-and-quality-requirements-medical-device-manufacture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tga.gov.au/how-we-regulate/manufacturing/medical-devices/manufacturer-guidance-specific-types-medical-devices/personalised-or-custom-made-medical-devices/medical-devices-reforms-personalised-medical-devi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ga.gov.au/how-we-regulate/manufacturing/manufacture-medical-device/meet-safety-performance-and-quality-requirements-medical-device-manufacturers/demonstrating-compliance-essential-principles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54F76-6CA5-49D7-A729-15871557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Summary: National Symposium on Point-of-care Manufacturing of medical devices</vt:lpstr>
    </vt:vector>
  </TitlesOfParts>
  <Company>Department of Health and Aged Care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Summary: National Symposium on Point-of-care Manufacturing of medical devices</dc:title>
  <dc:subject>medical devices</dc:subject>
  <dc:creator>Therapeutic Goods Administration</dc:creator>
  <cp:keywords/>
  <dc:description/>
  <cp:lastModifiedBy>MCMAHON, Emily</cp:lastModifiedBy>
  <cp:revision>4</cp:revision>
  <dcterms:created xsi:type="dcterms:W3CDTF">2023-09-14T01:30:00Z</dcterms:created>
  <dcterms:modified xsi:type="dcterms:W3CDTF">2023-09-14T01:32:00Z</dcterms:modified>
</cp:coreProperties>
</file>