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8D4446" w14:paraId="08AE1D54" w14:textId="77777777" w:rsidTr="00346EC2">
        <w:trPr>
          <w:trHeight w:val="1558"/>
        </w:trPr>
        <w:tc>
          <w:tcPr>
            <w:tcW w:w="8720" w:type="dxa"/>
          </w:tcPr>
          <w:p w14:paraId="2538A211" w14:textId="45FBB672" w:rsidR="00F02AEC" w:rsidRPr="008D4446" w:rsidRDefault="00346EC2" w:rsidP="007452E8">
            <w:pPr>
              <w:pStyle w:val="Title"/>
            </w:pPr>
            <w:r w:rsidRPr="008D4446">
              <w:t xml:space="preserve">Australian Public Assessment Report for </w:t>
            </w:r>
            <w:r w:rsidR="00A928FC" w:rsidRPr="008D4446">
              <w:t>Vazkepa</w:t>
            </w:r>
          </w:p>
        </w:tc>
      </w:tr>
      <w:tr w:rsidR="00F02AEC" w:rsidRPr="008D4446" w14:paraId="318A40A3" w14:textId="77777777" w:rsidTr="00346EC2">
        <w:trPr>
          <w:trHeight w:val="995"/>
        </w:trPr>
        <w:tc>
          <w:tcPr>
            <w:tcW w:w="8720" w:type="dxa"/>
          </w:tcPr>
          <w:p w14:paraId="1AA7C701" w14:textId="6C978C9C" w:rsidR="00F02AEC" w:rsidRPr="008D4446" w:rsidRDefault="00346EC2" w:rsidP="007452E8">
            <w:pPr>
              <w:pStyle w:val="Subtitle"/>
              <w:ind w:left="0"/>
            </w:pPr>
            <w:r w:rsidRPr="008D4446">
              <w:t xml:space="preserve">Active ingredient: </w:t>
            </w:r>
            <w:proofErr w:type="spellStart"/>
            <w:r w:rsidR="00905DE6" w:rsidRPr="008D4446">
              <w:t>I</w:t>
            </w:r>
            <w:r w:rsidR="00A928FC" w:rsidRPr="008D4446">
              <w:t>cosapent</w:t>
            </w:r>
            <w:proofErr w:type="spellEnd"/>
            <w:r w:rsidR="00A928FC" w:rsidRPr="008D4446">
              <w:t xml:space="preserve"> ethyl</w:t>
            </w:r>
          </w:p>
        </w:tc>
      </w:tr>
      <w:tr w:rsidR="00346EC2" w:rsidRPr="008D4446" w14:paraId="362CCAE4" w14:textId="77777777" w:rsidTr="007452E8">
        <w:trPr>
          <w:trHeight w:val="1916"/>
        </w:trPr>
        <w:tc>
          <w:tcPr>
            <w:tcW w:w="8720" w:type="dxa"/>
          </w:tcPr>
          <w:p w14:paraId="709C45C0" w14:textId="5613F95D" w:rsidR="00346EC2" w:rsidRPr="008D4446" w:rsidRDefault="00346EC2" w:rsidP="007452E8">
            <w:pPr>
              <w:pStyle w:val="Subtitle"/>
              <w:ind w:left="0"/>
            </w:pPr>
            <w:r w:rsidRPr="008D4446">
              <w:t xml:space="preserve">Sponsor: </w:t>
            </w:r>
            <w:r w:rsidR="00A928FC" w:rsidRPr="008D4446">
              <w:t>AA-Med Pty Ltd</w:t>
            </w:r>
          </w:p>
        </w:tc>
      </w:tr>
      <w:tr w:rsidR="00F02AEC" w:rsidRPr="008D4446" w14:paraId="37F2AA1F" w14:textId="77777777" w:rsidTr="007452E8">
        <w:tc>
          <w:tcPr>
            <w:tcW w:w="8720" w:type="dxa"/>
          </w:tcPr>
          <w:p w14:paraId="1FDE8DCD" w14:textId="14177B02" w:rsidR="00F02AEC" w:rsidRPr="008D4446" w:rsidRDefault="00745FE0" w:rsidP="007452E8">
            <w:pPr>
              <w:pStyle w:val="Date"/>
            </w:pPr>
            <w:r>
              <w:t>September</w:t>
            </w:r>
            <w:r w:rsidRPr="008D4446">
              <w:t xml:space="preserve"> </w:t>
            </w:r>
            <w:r w:rsidR="00C160CB" w:rsidRPr="008D4446">
              <w:t>2023</w:t>
            </w:r>
          </w:p>
        </w:tc>
      </w:tr>
    </w:tbl>
    <w:p w14:paraId="73752706" w14:textId="77777777" w:rsidR="00F02AEC" w:rsidRPr="008D4446" w:rsidRDefault="00F02AEC" w:rsidP="007452E8">
      <w:pPr>
        <w:pStyle w:val="ListBullet"/>
        <w:numPr>
          <w:ilvl w:val="0"/>
          <w:numId w:val="0"/>
        </w:numPr>
        <w:sectPr w:rsidR="00F02AEC" w:rsidRPr="008D444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8D4446" w:rsidRDefault="00346EC2" w:rsidP="00346EC2">
      <w:pPr>
        <w:pStyle w:val="NonTOCHeading20"/>
      </w:pPr>
      <w:r w:rsidRPr="008D4446">
        <w:lastRenderedPageBreak/>
        <w:t>About the Therapeutic Goods Administration (TGA)</w:t>
      </w:r>
    </w:p>
    <w:p w14:paraId="79558AE9" w14:textId="77777777" w:rsidR="00346EC2" w:rsidRPr="008D4446" w:rsidRDefault="00346EC2" w:rsidP="0056766D">
      <w:pPr>
        <w:pStyle w:val="ListBullet"/>
      </w:pPr>
      <w:r w:rsidRPr="008D4446">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8D4446" w:rsidRDefault="00346EC2" w:rsidP="00346EC2">
      <w:pPr>
        <w:pStyle w:val="ListBullet"/>
      </w:pPr>
      <w:r w:rsidRPr="008D4446">
        <w:t xml:space="preserve">The TGA administers the </w:t>
      </w:r>
      <w:r w:rsidRPr="008D4446">
        <w:rPr>
          <w:i/>
          <w:iCs/>
        </w:rPr>
        <w:t>Therapeutic Goods Act 1989</w:t>
      </w:r>
      <w:r w:rsidRPr="008D4446">
        <w:t xml:space="preserve"> (the Act), applying a risk management approach designed to ensure therapeutic goods supplied in Australia meet acceptable standards of quality, safety, and efficacy.</w:t>
      </w:r>
    </w:p>
    <w:p w14:paraId="77180CB3" w14:textId="77777777" w:rsidR="00346EC2" w:rsidRPr="008D4446" w:rsidRDefault="00346EC2" w:rsidP="00346EC2">
      <w:pPr>
        <w:pStyle w:val="ListBullet"/>
      </w:pPr>
      <w:r w:rsidRPr="008D4446">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8D4446" w:rsidRDefault="00346EC2" w:rsidP="00346EC2">
      <w:pPr>
        <w:pStyle w:val="ListBullet"/>
      </w:pPr>
      <w:r w:rsidRPr="008D4446">
        <w:t>The TGA relies on the public, healthcare professionals and industry to report problems with therapeutic goods. The TGA investigates reports received to determine any necessary regulatory action.</w:t>
      </w:r>
    </w:p>
    <w:p w14:paraId="17DC24C6" w14:textId="176E2F8A" w:rsidR="00346EC2" w:rsidRPr="008D4446" w:rsidRDefault="00346EC2" w:rsidP="00346EC2">
      <w:pPr>
        <w:pStyle w:val="ListBullet"/>
      </w:pPr>
      <w:r w:rsidRPr="008D4446">
        <w:t xml:space="preserve">To report a problem with a therapeutic good, please see the information on the </w:t>
      </w:r>
      <w:hyperlink r:id="rId12" w:history="1">
        <w:r w:rsidRPr="008D4446">
          <w:rPr>
            <w:rStyle w:val="Hyperlink"/>
          </w:rPr>
          <w:t>TGA website</w:t>
        </w:r>
      </w:hyperlink>
      <w:r w:rsidRPr="008D4446">
        <w:t>.</w:t>
      </w:r>
    </w:p>
    <w:p w14:paraId="737B7A99" w14:textId="77777777" w:rsidR="00346EC2" w:rsidRPr="008D4446" w:rsidRDefault="00346EC2" w:rsidP="00346EC2">
      <w:pPr>
        <w:pStyle w:val="NonTOCHeading20"/>
      </w:pPr>
      <w:r w:rsidRPr="008D4446">
        <w:t>About AusPARs</w:t>
      </w:r>
    </w:p>
    <w:p w14:paraId="631B2209" w14:textId="3B7883FB" w:rsidR="00346EC2" w:rsidRPr="008D4446" w:rsidRDefault="00346EC2" w:rsidP="00346EC2">
      <w:pPr>
        <w:pStyle w:val="ListBullet"/>
      </w:pPr>
      <w:r w:rsidRPr="008D4446">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3" w:history="1">
        <w:r w:rsidRPr="008D4446">
          <w:rPr>
            <w:rStyle w:val="Hyperlink"/>
          </w:rPr>
          <w:t>Australian Public Assessment Report (AusPAR) guidance</w:t>
        </w:r>
      </w:hyperlink>
      <w:r w:rsidRPr="008D4446">
        <w:t>.</w:t>
      </w:r>
    </w:p>
    <w:p w14:paraId="22F5A730" w14:textId="77777777" w:rsidR="00346EC2" w:rsidRPr="008D4446" w:rsidRDefault="00346EC2" w:rsidP="00346EC2">
      <w:pPr>
        <w:pStyle w:val="ListBullet"/>
      </w:pPr>
      <w:r w:rsidRPr="008D4446">
        <w:t>AusPARs are prepared and published by the TGA.</w:t>
      </w:r>
    </w:p>
    <w:p w14:paraId="451B8FD7" w14:textId="77777777" w:rsidR="00346EC2" w:rsidRPr="008D4446" w:rsidRDefault="00346EC2" w:rsidP="00346EC2">
      <w:pPr>
        <w:pStyle w:val="ListBullet"/>
      </w:pPr>
      <w:r w:rsidRPr="008D4446">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8D4446" w:rsidRDefault="00346EC2" w:rsidP="00346EC2">
      <w:pPr>
        <w:pStyle w:val="ListBullet"/>
      </w:pPr>
      <w:r w:rsidRPr="008D4446">
        <w:t>A new AusPAR may be provided to reflect changes to indications or major variations to a prescription medicine subject to evaluation by the TGA.</w:t>
      </w:r>
    </w:p>
    <w:p w14:paraId="7067011F" w14:textId="510D5C5C" w:rsidR="00F02AEC" w:rsidRPr="008D4446" w:rsidRDefault="00F02AEC" w:rsidP="00FE087C">
      <w:pPr>
        <w:pStyle w:val="LegalSubheading"/>
        <w:spacing w:before="3600"/>
      </w:pPr>
      <w:r w:rsidRPr="008D4446">
        <w:t>Copyright</w:t>
      </w:r>
    </w:p>
    <w:p w14:paraId="170A8A5D" w14:textId="5FDBDF70" w:rsidR="00175CD8" w:rsidRPr="008D4446" w:rsidRDefault="00F02AEC" w:rsidP="00346EC2">
      <w:pPr>
        <w:pStyle w:val="LegalCopy"/>
        <w:rPr>
          <w:rFonts w:cs="Arial"/>
        </w:rPr>
      </w:pPr>
      <w:r w:rsidRPr="008D4446">
        <w:rPr>
          <w:rFonts w:cs="Arial"/>
        </w:rPr>
        <w:t>© Commonwealth of Australia 202</w:t>
      </w:r>
      <w:r w:rsidR="00E47E0C" w:rsidRPr="008D4446">
        <w:rPr>
          <w:rFonts w:cs="Arial"/>
        </w:rPr>
        <w:t>3</w:t>
      </w:r>
      <w:r w:rsidRPr="008D4446">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D4446">
        <w:rPr>
          <w:rFonts w:cs="Arial"/>
          <w:i/>
        </w:rPr>
        <w:t>Copyright Act 1968</w:t>
      </w:r>
      <w:r w:rsidRPr="008D4446">
        <w:rPr>
          <w:rFonts w:cs="Arial"/>
        </w:rPr>
        <w:t xml:space="preserve"> or allowed by this copyright notice, all other rights are </w:t>
      </w:r>
      <w:proofErr w:type="gramStart"/>
      <w:r w:rsidRPr="008D4446">
        <w:rPr>
          <w:rFonts w:cs="Arial"/>
        </w:rPr>
        <w:t>reserved</w:t>
      </w:r>
      <w:proofErr w:type="gramEnd"/>
      <w:r w:rsidRPr="008D4446">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8D4446">
          <w:rPr>
            <w:rStyle w:val="Hyperlink"/>
            <w:rFonts w:cs="Arial"/>
          </w:rPr>
          <w:t>tga.copyright@tga.gov.au</w:t>
        </w:r>
      </w:hyperlink>
      <w:r w:rsidRPr="008D4446">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8D4446" w:rsidRDefault="00F02AEC" w:rsidP="007452E8">
          <w:pPr>
            <w:pStyle w:val="NonTOCheading2"/>
          </w:pPr>
          <w:r w:rsidRPr="008D4446">
            <w:t>Contents</w:t>
          </w:r>
        </w:p>
        <w:p w14:paraId="4D31309E" w14:textId="1936B25A" w:rsidR="00703D92" w:rsidRDefault="00F02AEC">
          <w:pPr>
            <w:pStyle w:val="TOC1"/>
            <w:rPr>
              <w:rFonts w:asciiTheme="minorHAnsi" w:eastAsiaTheme="minorEastAsia" w:hAnsiTheme="minorHAnsi" w:cstheme="minorBidi"/>
              <w:b w:val="0"/>
              <w:noProof/>
              <w:color w:val="auto"/>
              <w:sz w:val="22"/>
              <w:szCs w:val="22"/>
              <w:lang w:eastAsia="en-AU"/>
            </w:rPr>
          </w:pPr>
          <w:r w:rsidRPr="008D4446">
            <w:fldChar w:fldCharType="begin"/>
          </w:r>
          <w:r w:rsidRPr="008D4446">
            <w:instrText xml:space="preserve"> TOC \h \z \u \t "Heading 2,1,Heading 3,2,Heading 4,3" </w:instrText>
          </w:r>
          <w:r w:rsidRPr="008D4446">
            <w:fldChar w:fldCharType="separate"/>
          </w:r>
          <w:hyperlink w:anchor="_Toc145413860" w:history="1">
            <w:r w:rsidR="00703D92" w:rsidRPr="00644A1C">
              <w:rPr>
                <w:rStyle w:val="Hyperlink"/>
                <w:noProof/>
              </w:rPr>
              <w:t>List of abbreviations</w:t>
            </w:r>
            <w:r w:rsidR="00703D92">
              <w:rPr>
                <w:noProof/>
                <w:webHidden/>
              </w:rPr>
              <w:tab/>
            </w:r>
            <w:r w:rsidR="00703D92">
              <w:rPr>
                <w:noProof/>
                <w:webHidden/>
              </w:rPr>
              <w:fldChar w:fldCharType="begin"/>
            </w:r>
            <w:r w:rsidR="00703D92">
              <w:rPr>
                <w:noProof/>
                <w:webHidden/>
              </w:rPr>
              <w:instrText xml:space="preserve"> PAGEREF _Toc145413860 \h </w:instrText>
            </w:r>
            <w:r w:rsidR="00703D92">
              <w:rPr>
                <w:noProof/>
                <w:webHidden/>
              </w:rPr>
            </w:r>
            <w:r w:rsidR="00703D92">
              <w:rPr>
                <w:noProof/>
                <w:webHidden/>
              </w:rPr>
              <w:fldChar w:fldCharType="separate"/>
            </w:r>
            <w:r w:rsidR="00703D92">
              <w:rPr>
                <w:noProof/>
                <w:webHidden/>
              </w:rPr>
              <w:t>4</w:t>
            </w:r>
            <w:r w:rsidR="00703D92">
              <w:rPr>
                <w:noProof/>
                <w:webHidden/>
              </w:rPr>
              <w:fldChar w:fldCharType="end"/>
            </w:r>
          </w:hyperlink>
        </w:p>
        <w:p w14:paraId="7322F9EF" w14:textId="26B333A2" w:rsidR="00703D92" w:rsidRDefault="00434F9A">
          <w:pPr>
            <w:pStyle w:val="TOC1"/>
            <w:rPr>
              <w:rFonts w:asciiTheme="minorHAnsi" w:eastAsiaTheme="minorEastAsia" w:hAnsiTheme="minorHAnsi" w:cstheme="minorBidi"/>
              <w:b w:val="0"/>
              <w:noProof/>
              <w:color w:val="auto"/>
              <w:sz w:val="22"/>
              <w:szCs w:val="22"/>
              <w:lang w:eastAsia="en-AU"/>
            </w:rPr>
          </w:pPr>
          <w:hyperlink w:anchor="_Toc145413861" w:history="1">
            <w:r w:rsidR="00703D92" w:rsidRPr="00644A1C">
              <w:rPr>
                <w:rStyle w:val="Hyperlink"/>
                <w:noProof/>
              </w:rPr>
              <w:t>Product submission</w:t>
            </w:r>
            <w:r w:rsidR="00703D92">
              <w:rPr>
                <w:noProof/>
                <w:webHidden/>
              </w:rPr>
              <w:tab/>
            </w:r>
            <w:r w:rsidR="00703D92">
              <w:rPr>
                <w:noProof/>
                <w:webHidden/>
              </w:rPr>
              <w:fldChar w:fldCharType="begin"/>
            </w:r>
            <w:r w:rsidR="00703D92">
              <w:rPr>
                <w:noProof/>
                <w:webHidden/>
              </w:rPr>
              <w:instrText xml:space="preserve"> PAGEREF _Toc145413861 \h </w:instrText>
            </w:r>
            <w:r w:rsidR="00703D92">
              <w:rPr>
                <w:noProof/>
                <w:webHidden/>
              </w:rPr>
            </w:r>
            <w:r w:rsidR="00703D92">
              <w:rPr>
                <w:noProof/>
                <w:webHidden/>
              </w:rPr>
              <w:fldChar w:fldCharType="separate"/>
            </w:r>
            <w:r w:rsidR="00703D92">
              <w:rPr>
                <w:noProof/>
                <w:webHidden/>
              </w:rPr>
              <w:t>6</w:t>
            </w:r>
            <w:r w:rsidR="00703D92">
              <w:rPr>
                <w:noProof/>
                <w:webHidden/>
              </w:rPr>
              <w:fldChar w:fldCharType="end"/>
            </w:r>
          </w:hyperlink>
        </w:p>
        <w:p w14:paraId="1FDB2C2E" w14:textId="2B278DCE"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62" w:history="1">
            <w:r w:rsidR="00703D92" w:rsidRPr="00644A1C">
              <w:rPr>
                <w:rStyle w:val="Hyperlink"/>
                <w:noProof/>
                <w:lang w:eastAsia="en-AU"/>
              </w:rPr>
              <w:t>Submission details</w:t>
            </w:r>
            <w:r w:rsidR="00703D92">
              <w:rPr>
                <w:noProof/>
                <w:webHidden/>
              </w:rPr>
              <w:tab/>
            </w:r>
            <w:r w:rsidR="00703D92">
              <w:rPr>
                <w:noProof/>
                <w:webHidden/>
              </w:rPr>
              <w:fldChar w:fldCharType="begin"/>
            </w:r>
            <w:r w:rsidR="00703D92">
              <w:rPr>
                <w:noProof/>
                <w:webHidden/>
              </w:rPr>
              <w:instrText xml:space="preserve"> PAGEREF _Toc145413862 \h </w:instrText>
            </w:r>
            <w:r w:rsidR="00703D92">
              <w:rPr>
                <w:noProof/>
                <w:webHidden/>
              </w:rPr>
            </w:r>
            <w:r w:rsidR="00703D92">
              <w:rPr>
                <w:noProof/>
                <w:webHidden/>
              </w:rPr>
              <w:fldChar w:fldCharType="separate"/>
            </w:r>
            <w:r w:rsidR="00703D92">
              <w:rPr>
                <w:noProof/>
                <w:webHidden/>
              </w:rPr>
              <w:t>6</w:t>
            </w:r>
            <w:r w:rsidR="00703D92">
              <w:rPr>
                <w:noProof/>
                <w:webHidden/>
              </w:rPr>
              <w:fldChar w:fldCharType="end"/>
            </w:r>
          </w:hyperlink>
        </w:p>
        <w:p w14:paraId="363A98FC" w14:textId="4E879381"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63" w:history="1">
            <w:r w:rsidR="00703D92" w:rsidRPr="00644A1C">
              <w:rPr>
                <w:rStyle w:val="Hyperlink"/>
                <w:noProof/>
              </w:rPr>
              <w:t>Product background</w:t>
            </w:r>
            <w:r w:rsidR="00703D92">
              <w:rPr>
                <w:noProof/>
                <w:webHidden/>
              </w:rPr>
              <w:tab/>
            </w:r>
            <w:r w:rsidR="00703D92">
              <w:rPr>
                <w:noProof/>
                <w:webHidden/>
              </w:rPr>
              <w:fldChar w:fldCharType="begin"/>
            </w:r>
            <w:r w:rsidR="00703D92">
              <w:rPr>
                <w:noProof/>
                <w:webHidden/>
              </w:rPr>
              <w:instrText xml:space="preserve"> PAGEREF _Toc145413863 \h </w:instrText>
            </w:r>
            <w:r w:rsidR="00703D92">
              <w:rPr>
                <w:noProof/>
                <w:webHidden/>
              </w:rPr>
            </w:r>
            <w:r w:rsidR="00703D92">
              <w:rPr>
                <w:noProof/>
                <w:webHidden/>
              </w:rPr>
              <w:fldChar w:fldCharType="separate"/>
            </w:r>
            <w:r w:rsidR="00703D92">
              <w:rPr>
                <w:noProof/>
                <w:webHidden/>
              </w:rPr>
              <w:t>7</w:t>
            </w:r>
            <w:r w:rsidR="00703D92">
              <w:rPr>
                <w:noProof/>
                <w:webHidden/>
              </w:rPr>
              <w:fldChar w:fldCharType="end"/>
            </w:r>
          </w:hyperlink>
        </w:p>
        <w:p w14:paraId="010BBED6" w14:textId="49DC9E23"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64" w:history="1">
            <w:r w:rsidR="00703D92" w:rsidRPr="00644A1C">
              <w:rPr>
                <w:rStyle w:val="Hyperlink"/>
                <w:noProof/>
              </w:rPr>
              <w:t>Regulatory status</w:t>
            </w:r>
            <w:r w:rsidR="00703D92">
              <w:rPr>
                <w:noProof/>
                <w:webHidden/>
              </w:rPr>
              <w:tab/>
            </w:r>
            <w:r w:rsidR="00703D92">
              <w:rPr>
                <w:noProof/>
                <w:webHidden/>
              </w:rPr>
              <w:fldChar w:fldCharType="begin"/>
            </w:r>
            <w:r w:rsidR="00703D92">
              <w:rPr>
                <w:noProof/>
                <w:webHidden/>
              </w:rPr>
              <w:instrText xml:space="preserve"> PAGEREF _Toc145413864 \h </w:instrText>
            </w:r>
            <w:r w:rsidR="00703D92">
              <w:rPr>
                <w:noProof/>
                <w:webHidden/>
              </w:rPr>
            </w:r>
            <w:r w:rsidR="00703D92">
              <w:rPr>
                <w:noProof/>
                <w:webHidden/>
              </w:rPr>
              <w:fldChar w:fldCharType="separate"/>
            </w:r>
            <w:r w:rsidR="00703D92">
              <w:rPr>
                <w:noProof/>
                <w:webHidden/>
              </w:rPr>
              <w:t>8</w:t>
            </w:r>
            <w:r w:rsidR="00703D92">
              <w:rPr>
                <w:noProof/>
                <w:webHidden/>
              </w:rPr>
              <w:fldChar w:fldCharType="end"/>
            </w:r>
          </w:hyperlink>
        </w:p>
        <w:p w14:paraId="3AA4CF90" w14:textId="78869A00"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65" w:history="1">
            <w:r w:rsidR="00703D92" w:rsidRPr="00644A1C">
              <w:rPr>
                <w:rStyle w:val="Hyperlink"/>
                <w:noProof/>
              </w:rPr>
              <w:t>Product Information</w:t>
            </w:r>
            <w:r w:rsidR="00703D92">
              <w:rPr>
                <w:noProof/>
                <w:webHidden/>
              </w:rPr>
              <w:tab/>
            </w:r>
            <w:r w:rsidR="00703D92">
              <w:rPr>
                <w:noProof/>
                <w:webHidden/>
              </w:rPr>
              <w:fldChar w:fldCharType="begin"/>
            </w:r>
            <w:r w:rsidR="00703D92">
              <w:rPr>
                <w:noProof/>
                <w:webHidden/>
              </w:rPr>
              <w:instrText xml:space="preserve"> PAGEREF _Toc145413865 \h </w:instrText>
            </w:r>
            <w:r w:rsidR="00703D92">
              <w:rPr>
                <w:noProof/>
                <w:webHidden/>
              </w:rPr>
            </w:r>
            <w:r w:rsidR="00703D92">
              <w:rPr>
                <w:noProof/>
                <w:webHidden/>
              </w:rPr>
              <w:fldChar w:fldCharType="separate"/>
            </w:r>
            <w:r w:rsidR="00703D92">
              <w:rPr>
                <w:noProof/>
                <w:webHidden/>
              </w:rPr>
              <w:t>10</w:t>
            </w:r>
            <w:r w:rsidR="00703D92">
              <w:rPr>
                <w:noProof/>
                <w:webHidden/>
              </w:rPr>
              <w:fldChar w:fldCharType="end"/>
            </w:r>
          </w:hyperlink>
        </w:p>
        <w:p w14:paraId="5FBBAD84" w14:textId="1177E6B8" w:rsidR="00703D92" w:rsidRDefault="00434F9A">
          <w:pPr>
            <w:pStyle w:val="TOC1"/>
            <w:rPr>
              <w:rFonts w:asciiTheme="minorHAnsi" w:eastAsiaTheme="minorEastAsia" w:hAnsiTheme="minorHAnsi" w:cstheme="minorBidi"/>
              <w:b w:val="0"/>
              <w:noProof/>
              <w:color w:val="auto"/>
              <w:sz w:val="22"/>
              <w:szCs w:val="22"/>
              <w:lang w:eastAsia="en-AU"/>
            </w:rPr>
          </w:pPr>
          <w:hyperlink w:anchor="_Toc145413866" w:history="1">
            <w:r w:rsidR="00703D92" w:rsidRPr="00644A1C">
              <w:rPr>
                <w:rStyle w:val="Hyperlink"/>
                <w:noProof/>
              </w:rPr>
              <w:t>Registration timeline</w:t>
            </w:r>
            <w:r w:rsidR="00703D92">
              <w:rPr>
                <w:noProof/>
                <w:webHidden/>
              </w:rPr>
              <w:tab/>
            </w:r>
            <w:r w:rsidR="00703D92">
              <w:rPr>
                <w:noProof/>
                <w:webHidden/>
              </w:rPr>
              <w:fldChar w:fldCharType="begin"/>
            </w:r>
            <w:r w:rsidR="00703D92">
              <w:rPr>
                <w:noProof/>
                <w:webHidden/>
              </w:rPr>
              <w:instrText xml:space="preserve"> PAGEREF _Toc145413866 \h </w:instrText>
            </w:r>
            <w:r w:rsidR="00703D92">
              <w:rPr>
                <w:noProof/>
                <w:webHidden/>
              </w:rPr>
            </w:r>
            <w:r w:rsidR="00703D92">
              <w:rPr>
                <w:noProof/>
                <w:webHidden/>
              </w:rPr>
              <w:fldChar w:fldCharType="separate"/>
            </w:r>
            <w:r w:rsidR="00703D92">
              <w:rPr>
                <w:noProof/>
                <w:webHidden/>
              </w:rPr>
              <w:t>10</w:t>
            </w:r>
            <w:r w:rsidR="00703D92">
              <w:rPr>
                <w:noProof/>
                <w:webHidden/>
              </w:rPr>
              <w:fldChar w:fldCharType="end"/>
            </w:r>
          </w:hyperlink>
        </w:p>
        <w:p w14:paraId="3DFC7CF7" w14:textId="37C7A602" w:rsidR="00703D92" w:rsidRDefault="00434F9A">
          <w:pPr>
            <w:pStyle w:val="TOC1"/>
            <w:rPr>
              <w:rFonts w:asciiTheme="minorHAnsi" w:eastAsiaTheme="minorEastAsia" w:hAnsiTheme="minorHAnsi" w:cstheme="minorBidi"/>
              <w:b w:val="0"/>
              <w:noProof/>
              <w:color w:val="auto"/>
              <w:sz w:val="22"/>
              <w:szCs w:val="22"/>
              <w:lang w:eastAsia="en-AU"/>
            </w:rPr>
          </w:pPr>
          <w:hyperlink w:anchor="_Toc145413867" w:history="1">
            <w:r w:rsidR="00703D92" w:rsidRPr="00644A1C">
              <w:rPr>
                <w:rStyle w:val="Hyperlink"/>
                <w:noProof/>
              </w:rPr>
              <w:t>Submission overview and risk/benefit assessment</w:t>
            </w:r>
            <w:r w:rsidR="00703D92">
              <w:rPr>
                <w:noProof/>
                <w:webHidden/>
              </w:rPr>
              <w:tab/>
            </w:r>
            <w:r w:rsidR="00703D92">
              <w:rPr>
                <w:noProof/>
                <w:webHidden/>
              </w:rPr>
              <w:fldChar w:fldCharType="begin"/>
            </w:r>
            <w:r w:rsidR="00703D92">
              <w:rPr>
                <w:noProof/>
                <w:webHidden/>
              </w:rPr>
              <w:instrText xml:space="preserve"> PAGEREF _Toc145413867 \h </w:instrText>
            </w:r>
            <w:r w:rsidR="00703D92">
              <w:rPr>
                <w:noProof/>
                <w:webHidden/>
              </w:rPr>
            </w:r>
            <w:r w:rsidR="00703D92">
              <w:rPr>
                <w:noProof/>
                <w:webHidden/>
              </w:rPr>
              <w:fldChar w:fldCharType="separate"/>
            </w:r>
            <w:r w:rsidR="00703D92">
              <w:rPr>
                <w:noProof/>
                <w:webHidden/>
              </w:rPr>
              <w:t>10</w:t>
            </w:r>
            <w:r w:rsidR="00703D92">
              <w:rPr>
                <w:noProof/>
                <w:webHidden/>
              </w:rPr>
              <w:fldChar w:fldCharType="end"/>
            </w:r>
          </w:hyperlink>
        </w:p>
        <w:p w14:paraId="1A52EBAC" w14:textId="63C7486D"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68" w:history="1">
            <w:r w:rsidR="00703D92" w:rsidRPr="00644A1C">
              <w:rPr>
                <w:rStyle w:val="Hyperlink"/>
                <w:noProof/>
              </w:rPr>
              <w:t>Quality</w:t>
            </w:r>
            <w:r w:rsidR="00703D92">
              <w:rPr>
                <w:noProof/>
                <w:webHidden/>
              </w:rPr>
              <w:tab/>
            </w:r>
            <w:r w:rsidR="00703D92">
              <w:rPr>
                <w:noProof/>
                <w:webHidden/>
              </w:rPr>
              <w:fldChar w:fldCharType="begin"/>
            </w:r>
            <w:r w:rsidR="00703D92">
              <w:rPr>
                <w:noProof/>
                <w:webHidden/>
              </w:rPr>
              <w:instrText xml:space="preserve"> PAGEREF _Toc145413868 \h </w:instrText>
            </w:r>
            <w:r w:rsidR="00703D92">
              <w:rPr>
                <w:noProof/>
                <w:webHidden/>
              </w:rPr>
            </w:r>
            <w:r w:rsidR="00703D92">
              <w:rPr>
                <w:noProof/>
                <w:webHidden/>
              </w:rPr>
              <w:fldChar w:fldCharType="separate"/>
            </w:r>
            <w:r w:rsidR="00703D92">
              <w:rPr>
                <w:noProof/>
                <w:webHidden/>
              </w:rPr>
              <w:t>11</w:t>
            </w:r>
            <w:r w:rsidR="00703D92">
              <w:rPr>
                <w:noProof/>
                <w:webHidden/>
              </w:rPr>
              <w:fldChar w:fldCharType="end"/>
            </w:r>
          </w:hyperlink>
        </w:p>
        <w:p w14:paraId="7A27D416" w14:textId="6018459A"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69" w:history="1">
            <w:r w:rsidR="00703D92" w:rsidRPr="00644A1C">
              <w:rPr>
                <w:rStyle w:val="Hyperlink"/>
                <w:noProof/>
              </w:rPr>
              <w:t>Nonclinical</w:t>
            </w:r>
            <w:r w:rsidR="00703D92">
              <w:rPr>
                <w:noProof/>
                <w:webHidden/>
              </w:rPr>
              <w:tab/>
            </w:r>
            <w:r w:rsidR="00703D92">
              <w:rPr>
                <w:noProof/>
                <w:webHidden/>
              </w:rPr>
              <w:fldChar w:fldCharType="begin"/>
            </w:r>
            <w:r w:rsidR="00703D92">
              <w:rPr>
                <w:noProof/>
                <w:webHidden/>
              </w:rPr>
              <w:instrText xml:space="preserve"> PAGEREF _Toc145413869 \h </w:instrText>
            </w:r>
            <w:r w:rsidR="00703D92">
              <w:rPr>
                <w:noProof/>
                <w:webHidden/>
              </w:rPr>
            </w:r>
            <w:r w:rsidR="00703D92">
              <w:rPr>
                <w:noProof/>
                <w:webHidden/>
              </w:rPr>
              <w:fldChar w:fldCharType="separate"/>
            </w:r>
            <w:r w:rsidR="00703D92">
              <w:rPr>
                <w:noProof/>
                <w:webHidden/>
              </w:rPr>
              <w:t>11</w:t>
            </w:r>
            <w:r w:rsidR="00703D92">
              <w:rPr>
                <w:noProof/>
                <w:webHidden/>
              </w:rPr>
              <w:fldChar w:fldCharType="end"/>
            </w:r>
          </w:hyperlink>
        </w:p>
        <w:p w14:paraId="65004F71" w14:textId="038B0253"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70" w:history="1">
            <w:r w:rsidR="00703D92" w:rsidRPr="00644A1C">
              <w:rPr>
                <w:rStyle w:val="Hyperlink"/>
                <w:noProof/>
              </w:rPr>
              <w:t>Clinical</w:t>
            </w:r>
            <w:r w:rsidR="00703D92">
              <w:rPr>
                <w:noProof/>
                <w:webHidden/>
              </w:rPr>
              <w:tab/>
            </w:r>
            <w:r w:rsidR="00703D92">
              <w:rPr>
                <w:noProof/>
                <w:webHidden/>
              </w:rPr>
              <w:fldChar w:fldCharType="begin"/>
            </w:r>
            <w:r w:rsidR="00703D92">
              <w:rPr>
                <w:noProof/>
                <w:webHidden/>
              </w:rPr>
              <w:instrText xml:space="preserve"> PAGEREF _Toc145413870 \h </w:instrText>
            </w:r>
            <w:r w:rsidR="00703D92">
              <w:rPr>
                <w:noProof/>
                <w:webHidden/>
              </w:rPr>
            </w:r>
            <w:r w:rsidR="00703D92">
              <w:rPr>
                <w:noProof/>
                <w:webHidden/>
              </w:rPr>
              <w:fldChar w:fldCharType="separate"/>
            </w:r>
            <w:r w:rsidR="00703D92">
              <w:rPr>
                <w:noProof/>
                <w:webHidden/>
              </w:rPr>
              <w:t>13</w:t>
            </w:r>
            <w:r w:rsidR="00703D92">
              <w:rPr>
                <w:noProof/>
                <w:webHidden/>
              </w:rPr>
              <w:fldChar w:fldCharType="end"/>
            </w:r>
          </w:hyperlink>
        </w:p>
        <w:p w14:paraId="57F4A134" w14:textId="64D69F5B" w:rsidR="00703D92" w:rsidRDefault="00434F9A">
          <w:pPr>
            <w:pStyle w:val="TOC3"/>
            <w:rPr>
              <w:rFonts w:asciiTheme="minorHAnsi" w:eastAsiaTheme="minorEastAsia" w:hAnsiTheme="minorHAnsi" w:cstheme="minorBidi"/>
              <w:b w:val="0"/>
              <w:noProof/>
              <w:color w:val="auto"/>
              <w:szCs w:val="22"/>
              <w:lang w:eastAsia="en-AU"/>
            </w:rPr>
          </w:pPr>
          <w:hyperlink w:anchor="_Toc145413871" w:history="1">
            <w:r w:rsidR="00703D92" w:rsidRPr="00644A1C">
              <w:rPr>
                <w:rStyle w:val="Hyperlink"/>
                <w:noProof/>
              </w:rPr>
              <w:t>Summary of clinical studies</w:t>
            </w:r>
            <w:r w:rsidR="00703D92">
              <w:rPr>
                <w:noProof/>
                <w:webHidden/>
              </w:rPr>
              <w:tab/>
            </w:r>
            <w:r w:rsidR="00703D92">
              <w:rPr>
                <w:noProof/>
                <w:webHidden/>
              </w:rPr>
              <w:fldChar w:fldCharType="begin"/>
            </w:r>
            <w:r w:rsidR="00703D92">
              <w:rPr>
                <w:noProof/>
                <w:webHidden/>
              </w:rPr>
              <w:instrText xml:space="preserve"> PAGEREF _Toc145413871 \h </w:instrText>
            </w:r>
            <w:r w:rsidR="00703D92">
              <w:rPr>
                <w:noProof/>
                <w:webHidden/>
              </w:rPr>
            </w:r>
            <w:r w:rsidR="00703D92">
              <w:rPr>
                <w:noProof/>
                <w:webHidden/>
              </w:rPr>
              <w:fldChar w:fldCharType="separate"/>
            </w:r>
            <w:r w:rsidR="00703D92">
              <w:rPr>
                <w:noProof/>
                <w:webHidden/>
              </w:rPr>
              <w:t>13</w:t>
            </w:r>
            <w:r w:rsidR="00703D92">
              <w:rPr>
                <w:noProof/>
                <w:webHidden/>
              </w:rPr>
              <w:fldChar w:fldCharType="end"/>
            </w:r>
          </w:hyperlink>
        </w:p>
        <w:p w14:paraId="5ED92B18" w14:textId="43B4F3CF" w:rsidR="00703D92" w:rsidRDefault="00434F9A">
          <w:pPr>
            <w:pStyle w:val="TOC3"/>
            <w:rPr>
              <w:rFonts w:asciiTheme="minorHAnsi" w:eastAsiaTheme="minorEastAsia" w:hAnsiTheme="minorHAnsi" w:cstheme="minorBidi"/>
              <w:b w:val="0"/>
              <w:noProof/>
              <w:color w:val="auto"/>
              <w:szCs w:val="22"/>
              <w:lang w:eastAsia="en-AU"/>
            </w:rPr>
          </w:pPr>
          <w:hyperlink w:anchor="_Toc145413872" w:history="1">
            <w:r w:rsidR="00703D92" w:rsidRPr="00644A1C">
              <w:rPr>
                <w:rStyle w:val="Hyperlink"/>
                <w:noProof/>
              </w:rPr>
              <w:t>Pharmacology</w:t>
            </w:r>
            <w:r w:rsidR="00703D92">
              <w:rPr>
                <w:noProof/>
                <w:webHidden/>
              </w:rPr>
              <w:tab/>
            </w:r>
            <w:r w:rsidR="00703D92">
              <w:rPr>
                <w:noProof/>
                <w:webHidden/>
              </w:rPr>
              <w:fldChar w:fldCharType="begin"/>
            </w:r>
            <w:r w:rsidR="00703D92">
              <w:rPr>
                <w:noProof/>
                <w:webHidden/>
              </w:rPr>
              <w:instrText xml:space="preserve"> PAGEREF _Toc145413872 \h </w:instrText>
            </w:r>
            <w:r w:rsidR="00703D92">
              <w:rPr>
                <w:noProof/>
                <w:webHidden/>
              </w:rPr>
            </w:r>
            <w:r w:rsidR="00703D92">
              <w:rPr>
                <w:noProof/>
                <w:webHidden/>
              </w:rPr>
              <w:fldChar w:fldCharType="separate"/>
            </w:r>
            <w:r w:rsidR="00703D92">
              <w:rPr>
                <w:noProof/>
                <w:webHidden/>
              </w:rPr>
              <w:t>16</w:t>
            </w:r>
            <w:r w:rsidR="00703D92">
              <w:rPr>
                <w:noProof/>
                <w:webHidden/>
              </w:rPr>
              <w:fldChar w:fldCharType="end"/>
            </w:r>
          </w:hyperlink>
        </w:p>
        <w:p w14:paraId="4C572470" w14:textId="6D9B0A65" w:rsidR="00703D92" w:rsidRDefault="00434F9A">
          <w:pPr>
            <w:pStyle w:val="TOC3"/>
            <w:rPr>
              <w:rFonts w:asciiTheme="minorHAnsi" w:eastAsiaTheme="minorEastAsia" w:hAnsiTheme="minorHAnsi" w:cstheme="minorBidi"/>
              <w:b w:val="0"/>
              <w:noProof/>
              <w:color w:val="auto"/>
              <w:szCs w:val="22"/>
              <w:lang w:eastAsia="en-AU"/>
            </w:rPr>
          </w:pPr>
          <w:hyperlink w:anchor="_Toc145413873" w:history="1">
            <w:r w:rsidR="00703D92" w:rsidRPr="00644A1C">
              <w:rPr>
                <w:rStyle w:val="Hyperlink"/>
                <w:noProof/>
              </w:rPr>
              <w:t>Efficacy</w:t>
            </w:r>
            <w:r w:rsidR="00703D92">
              <w:rPr>
                <w:noProof/>
                <w:webHidden/>
              </w:rPr>
              <w:tab/>
            </w:r>
            <w:r w:rsidR="00703D92">
              <w:rPr>
                <w:noProof/>
                <w:webHidden/>
              </w:rPr>
              <w:fldChar w:fldCharType="begin"/>
            </w:r>
            <w:r w:rsidR="00703D92">
              <w:rPr>
                <w:noProof/>
                <w:webHidden/>
              </w:rPr>
              <w:instrText xml:space="preserve"> PAGEREF _Toc145413873 \h </w:instrText>
            </w:r>
            <w:r w:rsidR="00703D92">
              <w:rPr>
                <w:noProof/>
                <w:webHidden/>
              </w:rPr>
            </w:r>
            <w:r w:rsidR="00703D92">
              <w:rPr>
                <w:noProof/>
                <w:webHidden/>
              </w:rPr>
              <w:fldChar w:fldCharType="separate"/>
            </w:r>
            <w:r w:rsidR="00703D92">
              <w:rPr>
                <w:noProof/>
                <w:webHidden/>
              </w:rPr>
              <w:t>17</w:t>
            </w:r>
            <w:r w:rsidR="00703D92">
              <w:rPr>
                <w:noProof/>
                <w:webHidden/>
              </w:rPr>
              <w:fldChar w:fldCharType="end"/>
            </w:r>
          </w:hyperlink>
        </w:p>
        <w:p w14:paraId="461DCC08" w14:textId="19E22CEE" w:rsidR="00703D92" w:rsidRDefault="00434F9A">
          <w:pPr>
            <w:pStyle w:val="TOC3"/>
            <w:rPr>
              <w:rFonts w:asciiTheme="minorHAnsi" w:eastAsiaTheme="minorEastAsia" w:hAnsiTheme="minorHAnsi" w:cstheme="minorBidi"/>
              <w:b w:val="0"/>
              <w:noProof/>
              <w:color w:val="auto"/>
              <w:szCs w:val="22"/>
              <w:lang w:eastAsia="en-AU"/>
            </w:rPr>
          </w:pPr>
          <w:hyperlink w:anchor="_Toc145413874" w:history="1">
            <w:r w:rsidR="00703D92" w:rsidRPr="00644A1C">
              <w:rPr>
                <w:rStyle w:val="Hyperlink"/>
                <w:noProof/>
              </w:rPr>
              <w:t>Safety</w:t>
            </w:r>
            <w:r w:rsidR="00703D92">
              <w:rPr>
                <w:noProof/>
                <w:webHidden/>
              </w:rPr>
              <w:tab/>
            </w:r>
            <w:r w:rsidR="00703D92">
              <w:rPr>
                <w:noProof/>
                <w:webHidden/>
              </w:rPr>
              <w:fldChar w:fldCharType="begin"/>
            </w:r>
            <w:r w:rsidR="00703D92">
              <w:rPr>
                <w:noProof/>
                <w:webHidden/>
              </w:rPr>
              <w:instrText xml:space="preserve"> PAGEREF _Toc145413874 \h </w:instrText>
            </w:r>
            <w:r w:rsidR="00703D92">
              <w:rPr>
                <w:noProof/>
                <w:webHidden/>
              </w:rPr>
            </w:r>
            <w:r w:rsidR="00703D92">
              <w:rPr>
                <w:noProof/>
                <w:webHidden/>
              </w:rPr>
              <w:fldChar w:fldCharType="separate"/>
            </w:r>
            <w:r w:rsidR="00703D92">
              <w:rPr>
                <w:noProof/>
                <w:webHidden/>
              </w:rPr>
              <w:t>34</w:t>
            </w:r>
            <w:r w:rsidR="00703D92">
              <w:rPr>
                <w:noProof/>
                <w:webHidden/>
              </w:rPr>
              <w:fldChar w:fldCharType="end"/>
            </w:r>
          </w:hyperlink>
        </w:p>
        <w:p w14:paraId="0029259A" w14:textId="4CF2F9AE"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75" w:history="1">
            <w:r w:rsidR="00703D92" w:rsidRPr="00644A1C">
              <w:rPr>
                <w:rStyle w:val="Hyperlink"/>
                <w:noProof/>
                <w:lang w:eastAsia="en-AU"/>
              </w:rPr>
              <w:t>Risk management plan</w:t>
            </w:r>
            <w:r w:rsidR="00703D92">
              <w:rPr>
                <w:noProof/>
                <w:webHidden/>
              </w:rPr>
              <w:tab/>
            </w:r>
            <w:r w:rsidR="00703D92">
              <w:rPr>
                <w:noProof/>
                <w:webHidden/>
              </w:rPr>
              <w:fldChar w:fldCharType="begin"/>
            </w:r>
            <w:r w:rsidR="00703D92">
              <w:rPr>
                <w:noProof/>
                <w:webHidden/>
              </w:rPr>
              <w:instrText xml:space="preserve"> PAGEREF _Toc145413875 \h </w:instrText>
            </w:r>
            <w:r w:rsidR="00703D92">
              <w:rPr>
                <w:noProof/>
                <w:webHidden/>
              </w:rPr>
            </w:r>
            <w:r w:rsidR="00703D92">
              <w:rPr>
                <w:noProof/>
                <w:webHidden/>
              </w:rPr>
              <w:fldChar w:fldCharType="separate"/>
            </w:r>
            <w:r w:rsidR="00703D92">
              <w:rPr>
                <w:noProof/>
                <w:webHidden/>
              </w:rPr>
              <w:t>39</w:t>
            </w:r>
            <w:r w:rsidR="00703D92">
              <w:rPr>
                <w:noProof/>
                <w:webHidden/>
              </w:rPr>
              <w:fldChar w:fldCharType="end"/>
            </w:r>
          </w:hyperlink>
        </w:p>
        <w:p w14:paraId="45943E7D" w14:textId="08C591D4"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76" w:history="1">
            <w:r w:rsidR="00703D92" w:rsidRPr="00644A1C">
              <w:rPr>
                <w:rStyle w:val="Hyperlink"/>
                <w:noProof/>
              </w:rPr>
              <w:t>Risk-benefit analysis</w:t>
            </w:r>
            <w:r w:rsidR="00703D92">
              <w:rPr>
                <w:noProof/>
                <w:webHidden/>
              </w:rPr>
              <w:tab/>
            </w:r>
            <w:r w:rsidR="00703D92">
              <w:rPr>
                <w:noProof/>
                <w:webHidden/>
              </w:rPr>
              <w:fldChar w:fldCharType="begin"/>
            </w:r>
            <w:r w:rsidR="00703D92">
              <w:rPr>
                <w:noProof/>
                <w:webHidden/>
              </w:rPr>
              <w:instrText xml:space="preserve"> PAGEREF _Toc145413876 \h </w:instrText>
            </w:r>
            <w:r w:rsidR="00703D92">
              <w:rPr>
                <w:noProof/>
                <w:webHidden/>
              </w:rPr>
            </w:r>
            <w:r w:rsidR="00703D92">
              <w:rPr>
                <w:noProof/>
                <w:webHidden/>
              </w:rPr>
              <w:fldChar w:fldCharType="separate"/>
            </w:r>
            <w:r w:rsidR="00703D92">
              <w:rPr>
                <w:noProof/>
                <w:webHidden/>
              </w:rPr>
              <w:t>40</w:t>
            </w:r>
            <w:r w:rsidR="00703D92">
              <w:rPr>
                <w:noProof/>
                <w:webHidden/>
              </w:rPr>
              <w:fldChar w:fldCharType="end"/>
            </w:r>
          </w:hyperlink>
        </w:p>
        <w:p w14:paraId="632E2E6E" w14:textId="13D5A484" w:rsidR="00703D92" w:rsidRDefault="00434F9A">
          <w:pPr>
            <w:pStyle w:val="TOC3"/>
            <w:rPr>
              <w:rFonts w:asciiTheme="minorHAnsi" w:eastAsiaTheme="minorEastAsia" w:hAnsiTheme="minorHAnsi" w:cstheme="minorBidi"/>
              <w:b w:val="0"/>
              <w:noProof/>
              <w:color w:val="auto"/>
              <w:szCs w:val="22"/>
              <w:lang w:eastAsia="en-AU"/>
            </w:rPr>
          </w:pPr>
          <w:hyperlink w:anchor="_Toc145413877" w:history="1">
            <w:r w:rsidR="00703D92" w:rsidRPr="00644A1C">
              <w:rPr>
                <w:rStyle w:val="Hyperlink"/>
                <w:noProof/>
              </w:rPr>
              <w:t>Delegate’s considerations</w:t>
            </w:r>
            <w:r w:rsidR="00703D92">
              <w:rPr>
                <w:noProof/>
                <w:webHidden/>
              </w:rPr>
              <w:tab/>
            </w:r>
            <w:r w:rsidR="00703D92">
              <w:rPr>
                <w:noProof/>
                <w:webHidden/>
              </w:rPr>
              <w:fldChar w:fldCharType="begin"/>
            </w:r>
            <w:r w:rsidR="00703D92">
              <w:rPr>
                <w:noProof/>
                <w:webHidden/>
              </w:rPr>
              <w:instrText xml:space="preserve"> PAGEREF _Toc145413877 \h </w:instrText>
            </w:r>
            <w:r w:rsidR="00703D92">
              <w:rPr>
                <w:noProof/>
                <w:webHidden/>
              </w:rPr>
            </w:r>
            <w:r w:rsidR="00703D92">
              <w:rPr>
                <w:noProof/>
                <w:webHidden/>
              </w:rPr>
              <w:fldChar w:fldCharType="separate"/>
            </w:r>
            <w:r w:rsidR="00703D92">
              <w:rPr>
                <w:noProof/>
                <w:webHidden/>
              </w:rPr>
              <w:t>40</w:t>
            </w:r>
            <w:r w:rsidR="00703D92">
              <w:rPr>
                <w:noProof/>
                <w:webHidden/>
              </w:rPr>
              <w:fldChar w:fldCharType="end"/>
            </w:r>
          </w:hyperlink>
        </w:p>
        <w:p w14:paraId="7DB82532" w14:textId="6B4823B6" w:rsidR="00703D92" w:rsidRDefault="00434F9A">
          <w:pPr>
            <w:pStyle w:val="TOC3"/>
            <w:rPr>
              <w:rFonts w:asciiTheme="minorHAnsi" w:eastAsiaTheme="minorEastAsia" w:hAnsiTheme="minorHAnsi" w:cstheme="minorBidi"/>
              <w:b w:val="0"/>
              <w:noProof/>
              <w:color w:val="auto"/>
              <w:szCs w:val="22"/>
              <w:lang w:eastAsia="en-AU"/>
            </w:rPr>
          </w:pPr>
          <w:hyperlink w:anchor="_Toc145413878" w:history="1">
            <w:r w:rsidR="00703D92" w:rsidRPr="00644A1C">
              <w:rPr>
                <w:rStyle w:val="Hyperlink"/>
                <w:noProof/>
              </w:rPr>
              <w:t>Proposed action</w:t>
            </w:r>
            <w:r w:rsidR="00703D92">
              <w:rPr>
                <w:noProof/>
                <w:webHidden/>
              </w:rPr>
              <w:tab/>
            </w:r>
            <w:r w:rsidR="00703D92">
              <w:rPr>
                <w:noProof/>
                <w:webHidden/>
              </w:rPr>
              <w:fldChar w:fldCharType="begin"/>
            </w:r>
            <w:r w:rsidR="00703D92">
              <w:rPr>
                <w:noProof/>
                <w:webHidden/>
              </w:rPr>
              <w:instrText xml:space="preserve"> PAGEREF _Toc145413878 \h </w:instrText>
            </w:r>
            <w:r w:rsidR="00703D92">
              <w:rPr>
                <w:noProof/>
                <w:webHidden/>
              </w:rPr>
            </w:r>
            <w:r w:rsidR="00703D92">
              <w:rPr>
                <w:noProof/>
                <w:webHidden/>
              </w:rPr>
              <w:fldChar w:fldCharType="separate"/>
            </w:r>
            <w:r w:rsidR="00703D92">
              <w:rPr>
                <w:noProof/>
                <w:webHidden/>
              </w:rPr>
              <w:t>43</w:t>
            </w:r>
            <w:r w:rsidR="00703D92">
              <w:rPr>
                <w:noProof/>
                <w:webHidden/>
              </w:rPr>
              <w:fldChar w:fldCharType="end"/>
            </w:r>
          </w:hyperlink>
        </w:p>
        <w:p w14:paraId="1C77FD4E" w14:textId="5E65B24E" w:rsidR="00703D92" w:rsidRDefault="00434F9A">
          <w:pPr>
            <w:pStyle w:val="TOC3"/>
            <w:rPr>
              <w:rFonts w:asciiTheme="minorHAnsi" w:eastAsiaTheme="minorEastAsia" w:hAnsiTheme="minorHAnsi" w:cstheme="minorBidi"/>
              <w:b w:val="0"/>
              <w:noProof/>
              <w:color w:val="auto"/>
              <w:szCs w:val="22"/>
              <w:lang w:eastAsia="en-AU"/>
            </w:rPr>
          </w:pPr>
          <w:hyperlink w:anchor="_Toc145413879" w:history="1">
            <w:r w:rsidR="00703D92" w:rsidRPr="00644A1C">
              <w:rPr>
                <w:rStyle w:val="Hyperlink"/>
                <w:noProof/>
              </w:rPr>
              <w:t>Advisory Committee considerations</w:t>
            </w:r>
            <w:r w:rsidR="00703D92">
              <w:rPr>
                <w:noProof/>
                <w:webHidden/>
              </w:rPr>
              <w:tab/>
            </w:r>
            <w:r w:rsidR="00703D92">
              <w:rPr>
                <w:noProof/>
                <w:webHidden/>
              </w:rPr>
              <w:fldChar w:fldCharType="begin"/>
            </w:r>
            <w:r w:rsidR="00703D92">
              <w:rPr>
                <w:noProof/>
                <w:webHidden/>
              </w:rPr>
              <w:instrText xml:space="preserve"> PAGEREF _Toc145413879 \h </w:instrText>
            </w:r>
            <w:r w:rsidR="00703D92">
              <w:rPr>
                <w:noProof/>
                <w:webHidden/>
              </w:rPr>
            </w:r>
            <w:r w:rsidR="00703D92">
              <w:rPr>
                <w:noProof/>
                <w:webHidden/>
              </w:rPr>
              <w:fldChar w:fldCharType="separate"/>
            </w:r>
            <w:r w:rsidR="00703D92">
              <w:rPr>
                <w:noProof/>
                <w:webHidden/>
              </w:rPr>
              <w:t>43</w:t>
            </w:r>
            <w:r w:rsidR="00703D92">
              <w:rPr>
                <w:noProof/>
                <w:webHidden/>
              </w:rPr>
              <w:fldChar w:fldCharType="end"/>
            </w:r>
          </w:hyperlink>
        </w:p>
        <w:p w14:paraId="423D62D7" w14:textId="70E1671B" w:rsidR="00703D92" w:rsidRDefault="00434F9A">
          <w:pPr>
            <w:pStyle w:val="TOC1"/>
            <w:rPr>
              <w:rFonts w:asciiTheme="minorHAnsi" w:eastAsiaTheme="minorEastAsia" w:hAnsiTheme="minorHAnsi" w:cstheme="minorBidi"/>
              <w:b w:val="0"/>
              <w:noProof/>
              <w:color w:val="auto"/>
              <w:sz w:val="22"/>
              <w:szCs w:val="22"/>
              <w:lang w:eastAsia="en-AU"/>
            </w:rPr>
          </w:pPr>
          <w:hyperlink w:anchor="_Toc145413880" w:history="1">
            <w:r w:rsidR="00703D92" w:rsidRPr="00644A1C">
              <w:rPr>
                <w:rStyle w:val="Hyperlink"/>
                <w:noProof/>
              </w:rPr>
              <w:t>Outcome</w:t>
            </w:r>
            <w:r w:rsidR="00703D92">
              <w:rPr>
                <w:noProof/>
                <w:webHidden/>
              </w:rPr>
              <w:tab/>
            </w:r>
            <w:r w:rsidR="00703D92">
              <w:rPr>
                <w:noProof/>
                <w:webHidden/>
              </w:rPr>
              <w:fldChar w:fldCharType="begin"/>
            </w:r>
            <w:r w:rsidR="00703D92">
              <w:rPr>
                <w:noProof/>
                <w:webHidden/>
              </w:rPr>
              <w:instrText xml:space="preserve"> PAGEREF _Toc145413880 \h </w:instrText>
            </w:r>
            <w:r w:rsidR="00703D92">
              <w:rPr>
                <w:noProof/>
                <w:webHidden/>
              </w:rPr>
            </w:r>
            <w:r w:rsidR="00703D92">
              <w:rPr>
                <w:noProof/>
                <w:webHidden/>
              </w:rPr>
              <w:fldChar w:fldCharType="separate"/>
            </w:r>
            <w:r w:rsidR="00703D92">
              <w:rPr>
                <w:noProof/>
                <w:webHidden/>
              </w:rPr>
              <w:t>44</w:t>
            </w:r>
            <w:r w:rsidR="00703D92">
              <w:rPr>
                <w:noProof/>
                <w:webHidden/>
              </w:rPr>
              <w:fldChar w:fldCharType="end"/>
            </w:r>
          </w:hyperlink>
        </w:p>
        <w:p w14:paraId="4805B336" w14:textId="5D24F175" w:rsidR="00703D92" w:rsidRDefault="00434F9A">
          <w:pPr>
            <w:pStyle w:val="TOC2"/>
            <w:rPr>
              <w:rFonts w:asciiTheme="minorHAnsi" w:eastAsiaTheme="minorEastAsia" w:hAnsiTheme="minorHAnsi" w:cstheme="minorBidi"/>
              <w:b w:val="0"/>
              <w:noProof/>
              <w:color w:val="auto"/>
              <w:sz w:val="22"/>
              <w:szCs w:val="22"/>
              <w:lang w:eastAsia="en-AU"/>
            </w:rPr>
          </w:pPr>
          <w:hyperlink w:anchor="_Toc145413881" w:history="1">
            <w:r w:rsidR="00703D92" w:rsidRPr="00644A1C">
              <w:rPr>
                <w:rStyle w:val="Hyperlink"/>
                <w:noProof/>
              </w:rPr>
              <w:t>Specific conditions of registration applying to these goods</w:t>
            </w:r>
            <w:r w:rsidR="00703D92">
              <w:rPr>
                <w:noProof/>
                <w:webHidden/>
              </w:rPr>
              <w:tab/>
            </w:r>
            <w:r w:rsidR="00703D92">
              <w:rPr>
                <w:noProof/>
                <w:webHidden/>
              </w:rPr>
              <w:fldChar w:fldCharType="begin"/>
            </w:r>
            <w:r w:rsidR="00703D92">
              <w:rPr>
                <w:noProof/>
                <w:webHidden/>
              </w:rPr>
              <w:instrText xml:space="preserve"> PAGEREF _Toc145413881 \h </w:instrText>
            </w:r>
            <w:r w:rsidR="00703D92">
              <w:rPr>
                <w:noProof/>
                <w:webHidden/>
              </w:rPr>
            </w:r>
            <w:r w:rsidR="00703D92">
              <w:rPr>
                <w:noProof/>
                <w:webHidden/>
              </w:rPr>
              <w:fldChar w:fldCharType="separate"/>
            </w:r>
            <w:r w:rsidR="00703D92">
              <w:rPr>
                <w:noProof/>
                <w:webHidden/>
              </w:rPr>
              <w:t>44</w:t>
            </w:r>
            <w:r w:rsidR="00703D92">
              <w:rPr>
                <w:noProof/>
                <w:webHidden/>
              </w:rPr>
              <w:fldChar w:fldCharType="end"/>
            </w:r>
          </w:hyperlink>
        </w:p>
        <w:p w14:paraId="1DB9080B" w14:textId="32B5C262" w:rsidR="00703D92" w:rsidRDefault="00434F9A">
          <w:pPr>
            <w:pStyle w:val="TOC1"/>
            <w:rPr>
              <w:rFonts w:asciiTheme="minorHAnsi" w:eastAsiaTheme="minorEastAsia" w:hAnsiTheme="minorHAnsi" w:cstheme="minorBidi"/>
              <w:b w:val="0"/>
              <w:noProof/>
              <w:color w:val="auto"/>
              <w:sz w:val="22"/>
              <w:szCs w:val="22"/>
              <w:lang w:eastAsia="en-AU"/>
            </w:rPr>
          </w:pPr>
          <w:hyperlink w:anchor="_Toc145413882" w:history="1">
            <w:r w:rsidR="00703D92" w:rsidRPr="00644A1C">
              <w:rPr>
                <w:rStyle w:val="Hyperlink"/>
                <w:noProof/>
              </w:rPr>
              <w:t>Attachment 1. Product Information</w:t>
            </w:r>
            <w:r w:rsidR="00703D92">
              <w:rPr>
                <w:noProof/>
                <w:webHidden/>
              </w:rPr>
              <w:tab/>
            </w:r>
            <w:r w:rsidR="00703D92">
              <w:rPr>
                <w:noProof/>
                <w:webHidden/>
              </w:rPr>
              <w:fldChar w:fldCharType="begin"/>
            </w:r>
            <w:r w:rsidR="00703D92">
              <w:rPr>
                <w:noProof/>
                <w:webHidden/>
              </w:rPr>
              <w:instrText xml:space="preserve"> PAGEREF _Toc145413882 \h </w:instrText>
            </w:r>
            <w:r w:rsidR="00703D92">
              <w:rPr>
                <w:noProof/>
                <w:webHidden/>
              </w:rPr>
            </w:r>
            <w:r w:rsidR="00703D92">
              <w:rPr>
                <w:noProof/>
                <w:webHidden/>
              </w:rPr>
              <w:fldChar w:fldCharType="separate"/>
            </w:r>
            <w:r w:rsidR="00703D92">
              <w:rPr>
                <w:noProof/>
                <w:webHidden/>
              </w:rPr>
              <w:t>45</w:t>
            </w:r>
            <w:r w:rsidR="00703D92">
              <w:rPr>
                <w:noProof/>
                <w:webHidden/>
              </w:rPr>
              <w:fldChar w:fldCharType="end"/>
            </w:r>
          </w:hyperlink>
        </w:p>
        <w:p w14:paraId="77659F2D" w14:textId="5E765746" w:rsidR="00F02AEC" w:rsidRPr="008D4446" w:rsidRDefault="00F02AEC" w:rsidP="007452E8">
          <w:r w:rsidRPr="008D4446">
            <w:fldChar w:fldCharType="end"/>
          </w:r>
        </w:p>
      </w:sdtContent>
    </w:sdt>
    <w:p w14:paraId="10987AE2" w14:textId="77777777" w:rsidR="00F02AEC" w:rsidRPr="008D4446" w:rsidRDefault="00F02AEC" w:rsidP="007452E8">
      <w:r w:rsidRPr="008D4446">
        <w:br w:type="page"/>
      </w:r>
    </w:p>
    <w:p w14:paraId="1E73AB93" w14:textId="77777777" w:rsidR="00324B33" w:rsidRPr="008D4446" w:rsidRDefault="00324B33" w:rsidP="00324B33">
      <w:pPr>
        <w:pStyle w:val="Heading2"/>
      </w:pPr>
      <w:bookmarkStart w:id="0" w:name="_Toc98931917"/>
      <w:bookmarkStart w:id="1" w:name="_Toc103679287"/>
      <w:bookmarkStart w:id="2" w:name="_Toc145413860"/>
      <w:bookmarkStart w:id="3" w:name="_Toc323739589"/>
      <w:bookmarkStart w:id="4" w:name="_Toc356305216"/>
      <w:r w:rsidRPr="008D4446">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8D4446"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8D4446" w:rsidRDefault="00324B33" w:rsidP="00324B33">
            <w:pPr>
              <w:rPr>
                <w:szCs w:val="22"/>
              </w:rPr>
            </w:pPr>
            <w:bookmarkStart w:id="5" w:name="_Hlk142555454"/>
            <w:r w:rsidRPr="008D4446">
              <w:rPr>
                <w:szCs w:val="22"/>
              </w:rPr>
              <w:t>Abbreviation</w:t>
            </w:r>
          </w:p>
        </w:tc>
        <w:tc>
          <w:tcPr>
            <w:tcW w:w="3800" w:type="pct"/>
          </w:tcPr>
          <w:p w14:paraId="4CF6D0CD" w14:textId="2974FA0B" w:rsidR="00324B33" w:rsidRPr="008D4446"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8D4446">
              <w:rPr>
                <w:szCs w:val="22"/>
              </w:rPr>
              <w:t>Meaning</w:t>
            </w:r>
          </w:p>
        </w:tc>
      </w:tr>
      <w:tr w:rsidR="0094368A" w:rsidRPr="008D4446"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55051640" w:rsidR="0094368A" w:rsidRPr="008D4446" w:rsidRDefault="0094368A" w:rsidP="0094368A">
            <w:pPr>
              <w:rPr>
                <w:szCs w:val="22"/>
              </w:rPr>
            </w:pPr>
            <w:r w:rsidRPr="008D4446">
              <w:rPr>
                <w:szCs w:val="22"/>
              </w:rPr>
              <w:t>ACM</w:t>
            </w:r>
          </w:p>
        </w:tc>
        <w:tc>
          <w:tcPr>
            <w:tcW w:w="3800" w:type="pct"/>
          </w:tcPr>
          <w:p w14:paraId="4F24A873" w14:textId="3F337589"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Advisory Committee on Medicines</w:t>
            </w:r>
          </w:p>
        </w:tc>
      </w:tr>
      <w:tr w:rsidR="0094368A" w:rsidRPr="008D4446"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3430CBE8" w:rsidR="0094368A" w:rsidRPr="008D4446" w:rsidRDefault="0094368A" w:rsidP="0094368A">
            <w:pPr>
              <w:rPr>
                <w:szCs w:val="22"/>
              </w:rPr>
            </w:pPr>
            <w:r w:rsidRPr="008D4446">
              <w:rPr>
                <w:szCs w:val="22"/>
              </w:rPr>
              <w:t>ACV</w:t>
            </w:r>
          </w:p>
        </w:tc>
        <w:tc>
          <w:tcPr>
            <w:tcW w:w="3800" w:type="pct"/>
          </w:tcPr>
          <w:p w14:paraId="5072E244" w14:textId="4F0B5387"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Advisory Committee on Vaccines</w:t>
            </w:r>
          </w:p>
        </w:tc>
      </w:tr>
      <w:tr w:rsidR="0094368A" w:rsidRPr="008D4446"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0090507E" w:rsidR="0094368A" w:rsidRPr="008D4446" w:rsidRDefault="0094368A" w:rsidP="0094368A">
            <w:pPr>
              <w:rPr>
                <w:szCs w:val="22"/>
              </w:rPr>
            </w:pPr>
            <w:r w:rsidRPr="008D4446">
              <w:t>AE</w:t>
            </w:r>
          </w:p>
        </w:tc>
        <w:tc>
          <w:tcPr>
            <w:tcW w:w="3800" w:type="pct"/>
          </w:tcPr>
          <w:p w14:paraId="228A203A" w14:textId="3B5EE9E1"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t>Adverse event</w:t>
            </w:r>
          </w:p>
        </w:tc>
      </w:tr>
      <w:tr w:rsidR="0094368A" w:rsidRPr="008D4446"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508B2B41" w:rsidR="0094368A" w:rsidRPr="008D4446" w:rsidRDefault="0094368A" w:rsidP="0094368A">
            <w:pPr>
              <w:rPr>
                <w:szCs w:val="22"/>
              </w:rPr>
            </w:pPr>
            <w:r w:rsidRPr="008D4446">
              <w:t>AESI</w:t>
            </w:r>
          </w:p>
        </w:tc>
        <w:tc>
          <w:tcPr>
            <w:tcW w:w="3800" w:type="pct"/>
          </w:tcPr>
          <w:p w14:paraId="4E6F5284" w14:textId="6C7C4DA8"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t>Adverse events of special interest</w:t>
            </w:r>
          </w:p>
        </w:tc>
      </w:tr>
      <w:tr w:rsidR="0094368A" w:rsidRPr="008D4446"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5BEC46E4" w:rsidR="0094368A" w:rsidRPr="008D4446" w:rsidRDefault="0094368A" w:rsidP="0094368A">
            <w:pPr>
              <w:rPr>
                <w:szCs w:val="22"/>
              </w:rPr>
            </w:pPr>
            <w:r w:rsidRPr="008D4446">
              <w:t>ALT</w:t>
            </w:r>
          </w:p>
        </w:tc>
        <w:tc>
          <w:tcPr>
            <w:tcW w:w="3800" w:type="pct"/>
          </w:tcPr>
          <w:p w14:paraId="5D8C9DF5" w14:textId="0767254F"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t>Alanine aminotransferase</w:t>
            </w:r>
          </w:p>
        </w:tc>
      </w:tr>
      <w:tr w:rsidR="0094368A" w:rsidRPr="008D4446" w14:paraId="18629B2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E90F05" w14:textId="4EE0DAD0" w:rsidR="0094368A" w:rsidRPr="008D4446" w:rsidRDefault="0094368A" w:rsidP="0094368A">
            <w:pPr>
              <w:rPr>
                <w:szCs w:val="22"/>
              </w:rPr>
            </w:pPr>
            <w:r w:rsidRPr="008D4446">
              <w:t>ASA</w:t>
            </w:r>
          </w:p>
        </w:tc>
        <w:tc>
          <w:tcPr>
            <w:tcW w:w="3800" w:type="pct"/>
          </w:tcPr>
          <w:p w14:paraId="5AF23185" w14:textId="23374E42"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bookmarkStart w:id="6" w:name="_Hlk142563493"/>
            <w:r w:rsidRPr="008D4446">
              <w:t>Australia-specific annex</w:t>
            </w:r>
            <w:bookmarkEnd w:id="6"/>
          </w:p>
        </w:tc>
      </w:tr>
      <w:tr w:rsidR="0094368A" w:rsidRPr="008D4446"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1BC1F4A6" w:rsidR="0094368A" w:rsidRPr="008D4446" w:rsidRDefault="0094368A" w:rsidP="0094368A">
            <w:pPr>
              <w:rPr>
                <w:szCs w:val="22"/>
              </w:rPr>
            </w:pPr>
            <w:r w:rsidRPr="008D4446">
              <w:t>AST</w:t>
            </w:r>
          </w:p>
        </w:tc>
        <w:tc>
          <w:tcPr>
            <w:tcW w:w="3800" w:type="pct"/>
          </w:tcPr>
          <w:p w14:paraId="26109D0B" w14:textId="2693585F"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t>Aspartate aminotransferase</w:t>
            </w:r>
          </w:p>
        </w:tc>
      </w:tr>
      <w:tr w:rsidR="0094368A" w:rsidRPr="008D4446"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155A5675" w:rsidR="0094368A" w:rsidRPr="008D4446" w:rsidRDefault="0094368A" w:rsidP="0094368A">
            <w:pPr>
              <w:rPr>
                <w:szCs w:val="22"/>
              </w:rPr>
            </w:pPr>
            <w:r w:rsidRPr="008D4446">
              <w:rPr>
                <w:szCs w:val="22"/>
              </w:rPr>
              <w:t>ARTG</w:t>
            </w:r>
          </w:p>
        </w:tc>
        <w:tc>
          <w:tcPr>
            <w:tcW w:w="3800" w:type="pct"/>
          </w:tcPr>
          <w:p w14:paraId="354B5DB5" w14:textId="45B39268"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Australian Register of Therapeutic Goods</w:t>
            </w:r>
          </w:p>
        </w:tc>
      </w:tr>
      <w:tr w:rsidR="00125C81" w:rsidRPr="008D4446" w14:paraId="19BCFF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421EB1" w14:textId="19494B3A" w:rsidR="00125C81" w:rsidRPr="008D4446" w:rsidRDefault="00125C81" w:rsidP="0094368A">
            <w:pPr>
              <w:rPr>
                <w:szCs w:val="22"/>
              </w:rPr>
            </w:pPr>
            <w:r w:rsidRPr="008D4446">
              <w:rPr>
                <w:szCs w:val="22"/>
              </w:rPr>
              <w:t>CHMP</w:t>
            </w:r>
          </w:p>
        </w:tc>
        <w:tc>
          <w:tcPr>
            <w:tcW w:w="3800" w:type="pct"/>
          </w:tcPr>
          <w:p w14:paraId="04A06E88" w14:textId="5524C051" w:rsidR="00125C81" w:rsidRPr="008D4446" w:rsidRDefault="00125C81"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Committee for Medicinal Products for Human Use (European Medicines Agency, European Union)</w:t>
            </w:r>
          </w:p>
        </w:tc>
      </w:tr>
      <w:tr w:rsidR="0094368A" w:rsidRPr="008D4446"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150479B3" w:rsidR="0094368A" w:rsidRPr="008D4446" w:rsidRDefault="0094368A" w:rsidP="0094368A">
            <w:pPr>
              <w:rPr>
                <w:szCs w:val="22"/>
              </w:rPr>
            </w:pPr>
            <w:r w:rsidRPr="008D4446">
              <w:rPr>
                <w:szCs w:val="22"/>
              </w:rPr>
              <w:t>CI</w:t>
            </w:r>
          </w:p>
        </w:tc>
        <w:tc>
          <w:tcPr>
            <w:tcW w:w="3800" w:type="pct"/>
          </w:tcPr>
          <w:p w14:paraId="2C862F75" w14:textId="2D5CE3BD"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Confidence interval</w:t>
            </w:r>
          </w:p>
        </w:tc>
      </w:tr>
      <w:tr w:rsidR="0094368A" w:rsidRPr="008D4446"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6B09D79A" w:rsidR="0094368A" w:rsidRPr="008D4446" w:rsidRDefault="0094368A" w:rsidP="0094368A">
            <w:pPr>
              <w:rPr>
                <w:szCs w:val="22"/>
              </w:rPr>
            </w:pPr>
            <w:r w:rsidRPr="008D4446">
              <w:rPr>
                <w:szCs w:val="22"/>
              </w:rPr>
              <w:t>CMI</w:t>
            </w:r>
          </w:p>
        </w:tc>
        <w:tc>
          <w:tcPr>
            <w:tcW w:w="3800" w:type="pct"/>
          </w:tcPr>
          <w:p w14:paraId="29EA6BA3" w14:textId="73A123E8"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Consumer Medicines Information</w:t>
            </w:r>
          </w:p>
        </w:tc>
      </w:tr>
      <w:tr w:rsidR="0094368A" w:rsidRPr="008D4446" w14:paraId="5344D0B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20B8C7" w14:textId="07EB69F4" w:rsidR="0094368A" w:rsidRPr="008D4446" w:rsidRDefault="0094368A" w:rsidP="0094368A">
            <w:pPr>
              <w:rPr>
                <w:szCs w:val="22"/>
              </w:rPr>
            </w:pPr>
            <w:r w:rsidRPr="008D4446">
              <w:rPr>
                <w:szCs w:val="22"/>
              </w:rPr>
              <w:t>COR</w:t>
            </w:r>
          </w:p>
        </w:tc>
        <w:tc>
          <w:tcPr>
            <w:tcW w:w="3800" w:type="pct"/>
          </w:tcPr>
          <w:p w14:paraId="1A5D9E36" w14:textId="6D4C740E"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Comparable Overseas Regulator</w:t>
            </w:r>
          </w:p>
        </w:tc>
      </w:tr>
      <w:tr w:rsidR="0094368A" w:rsidRPr="008D4446" w14:paraId="050735D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0A76CB" w14:textId="00AA1683" w:rsidR="0094368A" w:rsidRPr="008D4446" w:rsidRDefault="0094368A" w:rsidP="0094368A">
            <w:pPr>
              <w:rPr>
                <w:szCs w:val="22"/>
              </w:rPr>
            </w:pPr>
            <w:r w:rsidRPr="008D4446">
              <w:t>CRP</w:t>
            </w:r>
          </w:p>
        </w:tc>
        <w:tc>
          <w:tcPr>
            <w:tcW w:w="3800" w:type="pct"/>
          </w:tcPr>
          <w:p w14:paraId="647C0636" w14:textId="182E4E0C"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t>C-reactive protein</w:t>
            </w:r>
          </w:p>
        </w:tc>
      </w:tr>
      <w:tr w:rsidR="00DB4B27" w:rsidRPr="008D4446" w14:paraId="7BB50FE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17ACA6" w14:textId="458153D0" w:rsidR="00DB4B27" w:rsidRPr="008D4446" w:rsidRDefault="00DB4B27" w:rsidP="0094368A">
            <w:r w:rsidRPr="008D4446">
              <w:t>CYP</w:t>
            </w:r>
          </w:p>
        </w:tc>
        <w:tc>
          <w:tcPr>
            <w:tcW w:w="3800" w:type="pct"/>
          </w:tcPr>
          <w:p w14:paraId="65474F2B" w14:textId="1F8D53C8" w:rsidR="00DB4B27" w:rsidRPr="008D4446" w:rsidRDefault="00DB4B27" w:rsidP="0094368A">
            <w:pPr>
              <w:cnfStyle w:val="000000000000" w:firstRow="0" w:lastRow="0" w:firstColumn="0" w:lastColumn="0" w:oddVBand="0" w:evenVBand="0" w:oddHBand="0" w:evenHBand="0" w:firstRowFirstColumn="0" w:firstRowLastColumn="0" w:lastRowFirstColumn="0" w:lastRowLastColumn="0"/>
            </w:pPr>
            <w:r w:rsidRPr="008D4446">
              <w:t>Cytochrome P450</w:t>
            </w:r>
          </w:p>
        </w:tc>
      </w:tr>
      <w:tr w:rsidR="0094368A" w:rsidRPr="008D4446" w14:paraId="1C28B73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BD6175" w14:textId="6108A598" w:rsidR="0094368A" w:rsidRPr="008D4446" w:rsidRDefault="0094368A" w:rsidP="0094368A">
            <w:r w:rsidRPr="008D4446">
              <w:rPr>
                <w:szCs w:val="22"/>
              </w:rPr>
              <w:t>eGFR</w:t>
            </w:r>
          </w:p>
        </w:tc>
        <w:tc>
          <w:tcPr>
            <w:tcW w:w="3800" w:type="pct"/>
          </w:tcPr>
          <w:p w14:paraId="6750A722" w14:textId="21FA5001"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rPr>
                <w:szCs w:val="22"/>
              </w:rPr>
              <w:t>Estimated glomerular filtration rate</w:t>
            </w:r>
          </w:p>
        </w:tc>
      </w:tr>
      <w:tr w:rsidR="0094368A" w:rsidRPr="008D4446" w14:paraId="3E13698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50280E" w14:textId="09C41492" w:rsidR="0094368A" w:rsidRPr="008D4446" w:rsidRDefault="0094368A" w:rsidP="0094368A">
            <w:pPr>
              <w:rPr>
                <w:szCs w:val="22"/>
              </w:rPr>
            </w:pPr>
            <w:r w:rsidRPr="008D4446">
              <w:t>EMA</w:t>
            </w:r>
          </w:p>
        </w:tc>
        <w:tc>
          <w:tcPr>
            <w:tcW w:w="3800" w:type="pct"/>
          </w:tcPr>
          <w:p w14:paraId="771D675E" w14:textId="75258FE3"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t>European Medicines Agency (European Union)</w:t>
            </w:r>
          </w:p>
        </w:tc>
      </w:tr>
      <w:tr w:rsidR="0094368A" w:rsidRPr="008D4446" w14:paraId="279D562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2E8899" w14:textId="59FFE7A5" w:rsidR="0094368A" w:rsidRPr="008D4446" w:rsidRDefault="0094368A" w:rsidP="0094368A">
            <w:r w:rsidRPr="008D4446">
              <w:t>EPA</w:t>
            </w:r>
          </w:p>
        </w:tc>
        <w:tc>
          <w:tcPr>
            <w:tcW w:w="3800" w:type="pct"/>
          </w:tcPr>
          <w:p w14:paraId="653B1B90" w14:textId="496682FA"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t>Eicosapentaenoic acid</w:t>
            </w:r>
          </w:p>
        </w:tc>
      </w:tr>
      <w:tr w:rsidR="0094368A" w:rsidRPr="008D4446" w14:paraId="4EEF40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C380EF" w14:textId="4B9642A1" w:rsidR="0094368A" w:rsidRPr="008D4446" w:rsidRDefault="0094368A" w:rsidP="0094368A">
            <w:r w:rsidRPr="008D4446">
              <w:t>EU</w:t>
            </w:r>
          </w:p>
        </w:tc>
        <w:tc>
          <w:tcPr>
            <w:tcW w:w="3800" w:type="pct"/>
          </w:tcPr>
          <w:p w14:paraId="3A364484" w14:textId="5E86F6E0"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t>European Union</w:t>
            </w:r>
          </w:p>
        </w:tc>
      </w:tr>
      <w:tr w:rsidR="0094368A" w:rsidRPr="008D4446" w14:paraId="6CAD237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104835" w14:textId="4936F9E7" w:rsidR="0094368A" w:rsidRPr="008D4446" w:rsidRDefault="0094368A" w:rsidP="0094368A">
            <w:r w:rsidRPr="008D4446">
              <w:t>GVP</w:t>
            </w:r>
          </w:p>
        </w:tc>
        <w:tc>
          <w:tcPr>
            <w:tcW w:w="3800" w:type="pct"/>
          </w:tcPr>
          <w:p w14:paraId="0EAF0DB2" w14:textId="3BC8B913"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t>Good Pharmacovigilance Practices</w:t>
            </w:r>
          </w:p>
        </w:tc>
      </w:tr>
      <w:tr w:rsidR="0094368A" w:rsidRPr="008D4446" w14:paraId="7B5890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AABC6C" w14:textId="0FB5D42B" w:rsidR="0094368A" w:rsidRPr="008D4446" w:rsidRDefault="0094368A" w:rsidP="0094368A">
            <w:r w:rsidRPr="008D4446">
              <w:t>HDL</w:t>
            </w:r>
          </w:p>
        </w:tc>
        <w:tc>
          <w:tcPr>
            <w:tcW w:w="3800" w:type="pct"/>
          </w:tcPr>
          <w:p w14:paraId="060B5215" w14:textId="052D462C"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bookmarkStart w:id="7" w:name="_Hlk142560643"/>
            <w:r w:rsidRPr="008D4446">
              <w:t>High-density lipoprotein</w:t>
            </w:r>
            <w:bookmarkEnd w:id="7"/>
          </w:p>
        </w:tc>
      </w:tr>
      <w:tr w:rsidR="0094368A" w:rsidRPr="008D4446" w14:paraId="2570A8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FB1121" w14:textId="6DF7F417" w:rsidR="0094368A" w:rsidRPr="008D4446" w:rsidRDefault="0094368A" w:rsidP="0094368A">
            <w:proofErr w:type="spellStart"/>
            <w:r w:rsidRPr="008D4446">
              <w:t>hERG</w:t>
            </w:r>
            <w:proofErr w:type="spellEnd"/>
          </w:p>
        </w:tc>
        <w:tc>
          <w:tcPr>
            <w:tcW w:w="3800" w:type="pct"/>
          </w:tcPr>
          <w:p w14:paraId="38CCD769" w14:textId="06F82479"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t>Human ether-a-go-go-related gene</w:t>
            </w:r>
          </w:p>
        </w:tc>
      </w:tr>
      <w:tr w:rsidR="0094368A" w:rsidRPr="008D4446" w14:paraId="620376A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8DA3D7" w14:textId="39EBFDF9" w:rsidR="0094368A" w:rsidRPr="008D4446" w:rsidRDefault="0094368A" w:rsidP="0094368A">
            <w:r w:rsidRPr="008D4446">
              <w:t>LDL</w:t>
            </w:r>
          </w:p>
        </w:tc>
        <w:tc>
          <w:tcPr>
            <w:tcW w:w="3800" w:type="pct"/>
          </w:tcPr>
          <w:p w14:paraId="62D35F7F" w14:textId="0F3D65AC"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bookmarkStart w:id="8" w:name="_Hlk142560622"/>
            <w:r w:rsidRPr="008D4446">
              <w:t>Low-density lipoprotein</w:t>
            </w:r>
            <w:bookmarkEnd w:id="8"/>
          </w:p>
        </w:tc>
      </w:tr>
      <w:tr w:rsidR="0094368A" w:rsidRPr="008D4446" w14:paraId="29D405D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D9B65E" w14:textId="45F0EDCF" w:rsidR="0094368A" w:rsidRPr="008D4446" w:rsidRDefault="0094368A" w:rsidP="0094368A">
            <w:r w:rsidRPr="008D4446">
              <w:t>Lp-PLA</w:t>
            </w:r>
            <w:r w:rsidRPr="008D4446">
              <w:rPr>
                <w:vertAlign w:val="subscript"/>
              </w:rPr>
              <w:t>2</w:t>
            </w:r>
          </w:p>
        </w:tc>
        <w:tc>
          <w:tcPr>
            <w:tcW w:w="3800" w:type="pct"/>
          </w:tcPr>
          <w:p w14:paraId="2536291D" w14:textId="56DDCEE5"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t>Lipoprotein-associated phospholipase A</w:t>
            </w:r>
            <w:r w:rsidRPr="008D4446">
              <w:rPr>
                <w:vertAlign w:val="subscript"/>
              </w:rPr>
              <w:t>2</w:t>
            </w:r>
          </w:p>
        </w:tc>
      </w:tr>
      <w:tr w:rsidR="0094368A" w:rsidRPr="008D4446" w14:paraId="2F38A8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A6F0C5" w14:textId="2B9F4AFB" w:rsidR="0094368A" w:rsidRPr="008D4446" w:rsidRDefault="0094368A" w:rsidP="0094368A">
            <w:r w:rsidRPr="008D4446">
              <w:t>MACE</w:t>
            </w:r>
          </w:p>
        </w:tc>
        <w:tc>
          <w:tcPr>
            <w:tcW w:w="3800" w:type="pct"/>
          </w:tcPr>
          <w:p w14:paraId="386FAC7A" w14:textId="266CF7F0"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t>Major adverse cardiovascular event</w:t>
            </w:r>
          </w:p>
        </w:tc>
      </w:tr>
      <w:tr w:rsidR="00DB4B27" w:rsidRPr="008D4446" w14:paraId="49BEFB4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F19A0F" w14:textId="4300540E" w:rsidR="00DB4B27" w:rsidRPr="008D4446" w:rsidRDefault="00DB4B27" w:rsidP="0094368A">
            <w:r w:rsidRPr="008D4446">
              <w:t>OATP</w:t>
            </w:r>
          </w:p>
        </w:tc>
        <w:tc>
          <w:tcPr>
            <w:tcW w:w="3800" w:type="pct"/>
          </w:tcPr>
          <w:p w14:paraId="3CB01268" w14:textId="3AF6A35F" w:rsidR="00DB4B27" w:rsidRPr="008D4446" w:rsidRDefault="00DB4B27" w:rsidP="00DB4B27">
            <w:pPr>
              <w:cnfStyle w:val="000000000000" w:firstRow="0" w:lastRow="0" w:firstColumn="0" w:lastColumn="0" w:oddVBand="0" w:evenVBand="0" w:oddHBand="0" w:evenHBand="0" w:firstRowFirstColumn="0" w:firstRowLastColumn="0" w:lastRowFirstColumn="0" w:lastRowLastColumn="0"/>
            </w:pPr>
            <w:r w:rsidRPr="008D4446">
              <w:t>Organic anion transporting polypeptide</w:t>
            </w:r>
          </w:p>
        </w:tc>
      </w:tr>
      <w:tr w:rsidR="0094368A" w:rsidRPr="008D4446" w14:paraId="3837AB5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1E083E" w14:textId="4AB3E8B7" w:rsidR="0094368A" w:rsidRPr="008D4446" w:rsidRDefault="0094368A" w:rsidP="0094368A">
            <w:r w:rsidRPr="008D4446">
              <w:rPr>
                <w:szCs w:val="22"/>
              </w:rPr>
              <w:t>PI</w:t>
            </w:r>
          </w:p>
        </w:tc>
        <w:tc>
          <w:tcPr>
            <w:tcW w:w="3800" w:type="pct"/>
          </w:tcPr>
          <w:p w14:paraId="032EDF42" w14:textId="72F39E5A"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rPr>
                <w:szCs w:val="22"/>
              </w:rPr>
              <w:t>Product Information</w:t>
            </w:r>
          </w:p>
        </w:tc>
      </w:tr>
      <w:tr w:rsidR="0094368A" w:rsidRPr="008D4446" w14:paraId="3892DC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801E98" w14:textId="75312F4E" w:rsidR="0094368A" w:rsidRPr="008D4446" w:rsidRDefault="0094368A" w:rsidP="0094368A">
            <w:pPr>
              <w:rPr>
                <w:szCs w:val="22"/>
              </w:rPr>
            </w:pPr>
            <w:r w:rsidRPr="008D4446">
              <w:rPr>
                <w:szCs w:val="22"/>
              </w:rPr>
              <w:t>PK</w:t>
            </w:r>
          </w:p>
        </w:tc>
        <w:tc>
          <w:tcPr>
            <w:tcW w:w="3800" w:type="pct"/>
          </w:tcPr>
          <w:p w14:paraId="2522869C" w14:textId="1E43620D"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Pharmacokinetic(s)</w:t>
            </w:r>
          </w:p>
        </w:tc>
      </w:tr>
      <w:tr w:rsidR="0094368A" w:rsidRPr="008D4446" w14:paraId="1C9479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CC9B82" w14:textId="071869B4" w:rsidR="0094368A" w:rsidRPr="008D4446" w:rsidRDefault="0094368A" w:rsidP="0094368A">
            <w:pPr>
              <w:rPr>
                <w:szCs w:val="22"/>
              </w:rPr>
            </w:pPr>
            <w:r w:rsidRPr="008D4446">
              <w:rPr>
                <w:szCs w:val="22"/>
              </w:rPr>
              <w:t>PSUR</w:t>
            </w:r>
          </w:p>
        </w:tc>
        <w:tc>
          <w:tcPr>
            <w:tcW w:w="3800" w:type="pct"/>
          </w:tcPr>
          <w:p w14:paraId="2E76BF45" w14:textId="4E9BD7DC"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Periodic safety update report</w:t>
            </w:r>
          </w:p>
        </w:tc>
      </w:tr>
      <w:tr w:rsidR="0094368A" w:rsidRPr="008D4446" w14:paraId="3495300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00D529" w14:textId="5A60F348" w:rsidR="0094368A" w:rsidRPr="008D4446" w:rsidRDefault="0094368A" w:rsidP="0094368A">
            <w:pPr>
              <w:rPr>
                <w:szCs w:val="22"/>
              </w:rPr>
            </w:pPr>
            <w:r w:rsidRPr="008D4446">
              <w:rPr>
                <w:szCs w:val="22"/>
              </w:rPr>
              <w:t>RMP</w:t>
            </w:r>
          </w:p>
        </w:tc>
        <w:tc>
          <w:tcPr>
            <w:tcW w:w="3800" w:type="pct"/>
          </w:tcPr>
          <w:p w14:paraId="0BFE4477" w14:textId="5461F077"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bookmarkStart w:id="9" w:name="_Hlk142563460"/>
            <w:r w:rsidRPr="008D4446">
              <w:rPr>
                <w:szCs w:val="22"/>
              </w:rPr>
              <w:t>Risk management plan</w:t>
            </w:r>
            <w:bookmarkEnd w:id="9"/>
          </w:p>
        </w:tc>
      </w:tr>
      <w:tr w:rsidR="0094368A" w:rsidRPr="008D4446" w14:paraId="0210DB4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9DE963" w14:textId="5BB7F66C" w:rsidR="0094368A" w:rsidRPr="008D4446" w:rsidRDefault="0094368A" w:rsidP="0094368A">
            <w:pPr>
              <w:rPr>
                <w:szCs w:val="22"/>
              </w:rPr>
            </w:pPr>
            <w:r w:rsidRPr="008D4446">
              <w:t>SAE</w:t>
            </w:r>
          </w:p>
        </w:tc>
        <w:tc>
          <w:tcPr>
            <w:tcW w:w="3800" w:type="pct"/>
          </w:tcPr>
          <w:p w14:paraId="150F2BD2" w14:textId="3CB9F149"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t>Serious adverse event</w:t>
            </w:r>
          </w:p>
        </w:tc>
      </w:tr>
      <w:tr w:rsidR="0094368A" w:rsidRPr="008D4446" w14:paraId="6E3E2CD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5A184F" w14:textId="624B617D" w:rsidR="0094368A" w:rsidRPr="008D4446" w:rsidRDefault="0094368A" w:rsidP="0094368A">
            <w:r w:rsidRPr="008D4446">
              <w:rPr>
                <w:szCs w:val="22"/>
              </w:rPr>
              <w:t>TG</w:t>
            </w:r>
          </w:p>
        </w:tc>
        <w:tc>
          <w:tcPr>
            <w:tcW w:w="3800" w:type="pct"/>
          </w:tcPr>
          <w:p w14:paraId="4663659E" w14:textId="3E1C3C4D"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proofErr w:type="spellStart"/>
            <w:r w:rsidRPr="008D4446">
              <w:rPr>
                <w:szCs w:val="22"/>
              </w:rPr>
              <w:t>Triglcyerides</w:t>
            </w:r>
            <w:proofErr w:type="spellEnd"/>
          </w:p>
        </w:tc>
      </w:tr>
      <w:tr w:rsidR="0094368A" w:rsidRPr="008D4446" w14:paraId="637BA0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99C391" w14:textId="18B802BE" w:rsidR="0094368A" w:rsidRPr="008D4446" w:rsidRDefault="0094368A" w:rsidP="0094368A">
            <w:pPr>
              <w:rPr>
                <w:szCs w:val="22"/>
              </w:rPr>
            </w:pPr>
            <w:r w:rsidRPr="008D4446">
              <w:lastRenderedPageBreak/>
              <w:t>TEAE</w:t>
            </w:r>
          </w:p>
        </w:tc>
        <w:tc>
          <w:tcPr>
            <w:tcW w:w="3800" w:type="pct"/>
          </w:tcPr>
          <w:p w14:paraId="4BF079C0" w14:textId="7551D9BD"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bookmarkStart w:id="10" w:name="_Hlk142574450"/>
            <w:r w:rsidRPr="008D4446">
              <w:t>Treatment-emergent adverse event</w:t>
            </w:r>
            <w:bookmarkEnd w:id="10"/>
          </w:p>
        </w:tc>
      </w:tr>
      <w:tr w:rsidR="0094368A" w:rsidRPr="008D4446" w14:paraId="7CCC500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A3657B" w14:textId="4526F675" w:rsidR="0094368A" w:rsidRPr="008D4446" w:rsidRDefault="0094368A" w:rsidP="0094368A">
            <w:r w:rsidRPr="008D4446">
              <w:rPr>
                <w:szCs w:val="22"/>
              </w:rPr>
              <w:t>TGA</w:t>
            </w:r>
          </w:p>
        </w:tc>
        <w:tc>
          <w:tcPr>
            <w:tcW w:w="3800" w:type="pct"/>
          </w:tcPr>
          <w:p w14:paraId="6179129F" w14:textId="02C9BF26"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pPr>
            <w:r w:rsidRPr="008D4446">
              <w:rPr>
                <w:szCs w:val="22"/>
              </w:rPr>
              <w:t>Therapeutic Goods Administration</w:t>
            </w:r>
          </w:p>
        </w:tc>
      </w:tr>
      <w:tr w:rsidR="0094368A" w:rsidRPr="008D4446" w14:paraId="6740748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25D113" w14:textId="2EC43C5C" w:rsidR="0094368A" w:rsidRPr="008D4446" w:rsidRDefault="0094368A" w:rsidP="0094368A">
            <w:pPr>
              <w:rPr>
                <w:szCs w:val="22"/>
              </w:rPr>
            </w:pPr>
            <w:r w:rsidRPr="008D4446">
              <w:rPr>
                <w:szCs w:val="22"/>
              </w:rPr>
              <w:t>ULN</w:t>
            </w:r>
          </w:p>
        </w:tc>
        <w:tc>
          <w:tcPr>
            <w:tcW w:w="3800" w:type="pct"/>
          </w:tcPr>
          <w:p w14:paraId="23D2C0F0" w14:textId="0CF4B9B0"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r w:rsidRPr="008D4446">
              <w:rPr>
                <w:rFonts w:ascii="TimesNewRomanPSMT" w:hAnsi="TimesNewRomanPSMT" w:cs="TimesNewRomanPSMT"/>
                <w:szCs w:val="22"/>
              </w:rPr>
              <w:t>Upper limit of normal</w:t>
            </w:r>
          </w:p>
        </w:tc>
      </w:tr>
      <w:tr w:rsidR="0094368A" w:rsidRPr="008D4446" w14:paraId="76388D3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9A0C0A" w14:textId="728DC6A6" w:rsidR="0094368A" w:rsidRPr="008D4446" w:rsidRDefault="0094368A" w:rsidP="0094368A">
            <w:pPr>
              <w:rPr>
                <w:szCs w:val="22"/>
              </w:rPr>
            </w:pPr>
            <w:r w:rsidRPr="008D4446">
              <w:rPr>
                <w:szCs w:val="22"/>
              </w:rPr>
              <w:t>US(A)</w:t>
            </w:r>
          </w:p>
        </w:tc>
        <w:tc>
          <w:tcPr>
            <w:tcW w:w="3800" w:type="pct"/>
          </w:tcPr>
          <w:p w14:paraId="70CCA73C" w14:textId="440AC883"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rFonts w:ascii="TimesNewRomanPSMT" w:hAnsi="TimesNewRomanPSMT" w:cs="TimesNewRomanPSMT"/>
                <w:szCs w:val="22"/>
              </w:rPr>
            </w:pPr>
            <w:r w:rsidRPr="008D4446">
              <w:rPr>
                <w:szCs w:val="22"/>
              </w:rPr>
              <w:t>United States (of America)</w:t>
            </w:r>
          </w:p>
        </w:tc>
      </w:tr>
      <w:tr w:rsidR="0094368A" w:rsidRPr="008D4446" w14:paraId="6C995DF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4C2DF5" w14:textId="52B7A9E5" w:rsidR="0094368A" w:rsidRPr="008D4446" w:rsidRDefault="0094368A" w:rsidP="0094368A">
            <w:pPr>
              <w:rPr>
                <w:szCs w:val="22"/>
              </w:rPr>
            </w:pPr>
            <w:r w:rsidRPr="008D4446">
              <w:t>VLDL</w:t>
            </w:r>
          </w:p>
        </w:tc>
        <w:tc>
          <w:tcPr>
            <w:tcW w:w="3800" w:type="pct"/>
          </w:tcPr>
          <w:p w14:paraId="388BF742" w14:textId="25D4F0EE" w:rsidR="0094368A" w:rsidRPr="008D4446" w:rsidRDefault="0094368A" w:rsidP="0094368A">
            <w:pPr>
              <w:cnfStyle w:val="000000000000" w:firstRow="0" w:lastRow="0" w:firstColumn="0" w:lastColumn="0" w:oddVBand="0" w:evenVBand="0" w:oddHBand="0" w:evenHBand="0" w:firstRowFirstColumn="0" w:firstRowLastColumn="0" w:lastRowFirstColumn="0" w:lastRowLastColumn="0"/>
              <w:rPr>
                <w:szCs w:val="22"/>
              </w:rPr>
            </w:pPr>
            <w:bookmarkStart w:id="11" w:name="_Hlk142559375"/>
            <w:bookmarkStart w:id="12" w:name="_Hlk142559426"/>
            <w:r w:rsidRPr="008D4446">
              <w:rPr>
                <w:szCs w:val="22"/>
              </w:rPr>
              <w:t>Very low-density lipoprotein</w:t>
            </w:r>
            <w:bookmarkEnd w:id="11"/>
            <w:bookmarkEnd w:id="12"/>
          </w:p>
        </w:tc>
      </w:tr>
      <w:bookmarkEnd w:id="5"/>
    </w:tbl>
    <w:p w14:paraId="7378F926" w14:textId="77777777" w:rsidR="00324B33" w:rsidRPr="008D4446" w:rsidRDefault="00324B33" w:rsidP="00324B33"/>
    <w:p w14:paraId="02FB1F38" w14:textId="77777777" w:rsidR="00324B33" w:rsidRPr="008D4446" w:rsidRDefault="00324B33" w:rsidP="00324B33">
      <w:pPr>
        <w:spacing w:after="200" w:line="0" w:lineRule="auto"/>
        <w:rPr>
          <w:b/>
          <w:i/>
          <w:sz w:val="24"/>
          <w:szCs w:val="24"/>
        </w:rPr>
      </w:pPr>
      <w:r w:rsidRPr="008D4446">
        <w:rPr>
          <w:b/>
          <w:i/>
          <w:sz w:val="24"/>
          <w:szCs w:val="24"/>
        </w:rPr>
        <w:br w:type="page"/>
      </w:r>
    </w:p>
    <w:p w14:paraId="44C2A39C" w14:textId="77777777" w:rsidR="00324B33" w:rsidRPr="008D4446" w:rsidRDefault="00324B33" w:rsidP="00324B33">
      <w:pPr>
        <w:pStyle w:val="Heading2"/>
      </w:pPr>
      <w:bookmarkStart w:id="13" w:name="_Toc103679288"/>
      <w:bookmarkStart w:id="14" w:name="_Toc145413861"/>
      <w:r w:rsidRPr="008D4446">
        <w:lastRenderedPageBreak/>
        <w:t>Product submission</w:t>
      </w:r>
      <w:bookmarkEnd w:id="13"/>
      <w:bookmarkEnd w:id="14"/>
    </w:p>
    <w:p w14:paraId="21D559DF" w14:textId="77777777" w:rsidR="00324B33" w:rsidRPr="008D4446" w:rsidRDefault="00324B33" w:rsidP="00324B33">
      <w:pPr>
        <w:pStyle w:val="Heading3"/>
        <w:rPr>
          <w:lang w:eastAsia="en-AU"/>
        </w:rPr>
      </w:pPr>
      <w:bookmarkStart w:id="15" w:name="_Toc247691502"/>
      <w:bookmarkStart w:id="16" w:name="_Toc314842483"/>
      <w:bookmarkStart w:id="17" w:name="_Toc103679289"/>
      <w:bookmarkStart w:id="18" w:name="_Toc145413862"/>
      <w:r w:rsidRPr="008D4446">
        <w:rPr>
          <w:lang w:eastAsia="en-AU"/>
        </w:rPr>
        <w:t>Submission details</w:t>
      </w:r>
      <w:bookmarkEnd w:id="15"/>
      <w:bookmarkEnd w:id="16"/>
      <w:bookmarkEnd w:id="17"/>
      <w:bookmarkEnd w:id="18"/>
    </w:p>
    <w:tbl>
      <w:tblPr>
        <w:tblW w:w="5000" w:type="pct"/>
        <w:tblLook w:val="01E0" w:firstRow="1" w:lastRow="1" w:firstColumn="1" w:lastColumn="1" w:noHBand="0" w:noVBand="0"/>
      </w:tblPr>
      <w:tblGrid>
        <w:gridCol w:w="2861"/>
        <w:gridCol w:w="6209"/>
      </w:tblGrid>
      <w:tr w:rsidR="00324B33" w:rsidRPr="008D4446" w14:paraId="77D11C95" w14:textId="77777777" w:rsidTr="00F865A7">
        <w:tc>
          <w:tcPr>
            <w:tcW w:w="1577" w:type="pct"/>
          </w:tcPr>
          <w:p w14:paraId="10E57D62" w14:textId="77777777" w:rsidR="00324B33" w:rsidRPr="008D4446" w:rsidRDefault="00324B33" w:rsidP="007452E8">
            <w:pPr>
              <w:rPr>
                <w:i/>
                <w:szCs w:val="22"/>
              </w:rPr>
            </w:pPr>
            <w:r w:rsidRPr="008D4446">
              <w:rPr>
                <w:i/>
                <w:szCs w:val="22"/>
              </w:rPr>
              <w:t>Type of submission:</w:t>
            </w:r>
          </w:p>
        </w:tc>
        <w:tc>
          <w:tcPr>
            <w:tcW w:w="3423" w:type="pct"/>
          </w:tcPr>
          <w:p w14:paraId="4F07C303" w14:textId="6620B5D5" w:rsidR="00324B33" w:rsidRPr="008D4446" w:rsidRDefault="00324B33" w:rsidP="007452E8">
            <w:pPr>
              <w:rPr>
                <w:szCs w:val="22"/>
              </w:rPr>
            </w:pPr>
            <w:r w:rsidRPr="008D4446">
              <w:rPr>
                <w:szCs w:val="22"/>
              </w:rPr>
              <w:t>New chemical entity</w:t>
            </w:r>
          </w:p>
        </w:tc>
      </w:tr>
      <w:tr w:rsidR="00324B33" w:rsidRPr="008D4446" w14:paraId="13482B61" w14:textId="77777777" w:rsidTr="00F865A7">
        <w:tc>
          <w:tcPr>
            <w:tcW w:w="1577" w:type="pct"/>
          </w:tcPr>
          <w:p w14:paraId="2C427FCF" w14:textId="1CA329A7" w:rsidR="00324B33" w:rsidRPr="008D4446" w:rsidRDefault="00324B33" w:rsidP="007452E8">
            <w:pPr>
              <w:rPr>
                <w:i/>
                <w:szCs w:val="22"/>
              </w:rPr>
            </w:pPr>
            <w:r w:rsidRPr="008D4446">
              <w:rPr>
                <w:i/>
                <w:szCs w:val="22"/>
              </w:rPr>
              <w:t>Product name:</w:t>
            </w:r>
          </w:p>
        </w:tc>
        <w:tc>
          <w:tcPr>
            <w:tcW w:w="3423" w:type="pct"/>
          </w:tcPr>
          <w:p w14:paraId="0E2DEF76" w14:textId="527C1B49" w:rsidR="00324B33" w:rsidRPr="008D4446" w:rsidRDefault="00A928FC" w:rsidP="007452E8">
            <w:pPr>
              <w:rPr>
                <w:szCs w:val="22"/>
              </w:rPr>
            </w:pPr>
            <w:r w:rsidRPr="008D4446">
              <w:rPr>
                <w:szCs w:val="22"/>
              </w:rPr>
              <w:t>Vazkepa</w:t>
            </w:r>
          </w:p>
        </w:tc>
      </w:tr>
      <w:tr w:rsidR="00324B33" w:rsidRPr="008D4446" w14:paraId="01255B5B" w14:textId="77777777" w:rsidTr="00F865A7">
        <w:tc>
          <w:tcPr>
            <w:tcW w:w="1577" w:type="pct"/>
          </w:tcPr>
          <w:p w14:paraId="52B4F3D7" w14:textId="5BDB1EB5" w:rsidR="00324B33" w:rsidRPr="008D4446" w:rsidRDefault="00324B33" w:rsidP="007452E8">
            <w:pPr>
              <w:rPr>
                <w:i/>
                <w:szCs w:val="22"/>
              </w:rPr>
            </w:pPr>
            <w:r w:rsidRPr="008D4446">
              <w:rPr>
                <w:i/>
                <w:szCs w:val="22"/>
              </w:rPr>
              <w:t>Active ingredient:</w:t>
            </w:r>
          </w:p>
        </w:tc>
        <w:tc>
          <w:tcPr>
            <w:tcW w:w="3423" w:type="pct"/>
          </w:tcPr>
          <w:p w14:paraId="02FB6383" w14:textId="2FC6A543" w:rsidR="00324B33" w:rsidRPr="008D4446" w:rsidRDefault="00A928FC" w:rsidP="007452E8">
            <w:pPr>
              <w:rPr>
                <w:szCs w:val="22"/>
              </w:rPr>
            </w:pPr>
            <w:proofErr w:type="spellStart"/>
            <w:r w:rsidRPr="008D4446">
              <w:rPr>
                <w:szCs w:val="22"/>
              </w:rPr>
              <w:t>Icosapent</w:t>
            </w:r>
            <w:proofErr w:type="spellEnd"/>
            <w:r w:rsidRPr="008D4446">
              <w:rPr>
                <w:szCs w:val="22"/>
              </w:rPr>
              <w:t xml:space="preserve"> ethyl</w:t>
            </w:r>
          </w:p>
        </w:tc>
      </w:tr>
      <w:tr w:rsidR="00324B33" w:rsidRPr="008D4446" w14:paraId="219A281B" w14:textId="77777777" w:rsidTr="00F865A7">
        <w:tc>
          <w:tcPr>
            <w:tcW w:w="1577" w:type="pct"/>
          </w:tcPr>
          <w:p w14:paraId="112E5F78" w14:textId="77777777" w:rsidR="00324B33" w:rsidRPr="008D4446" w:rsidRDefault="00324B33" w:rsidP="007452E8">
            <w:pPr>
              <w:rPr>
                <w:i/>
                <w:szCs w:val="22"/>
              </w:rPr>
            </w:pPr>
            <w:r w:rsidRPr="008D4446">
              <w:rPr>
                <w:i/>
                <w:szCs w:val="22"/>
              </w:rPr>
              <w:t>Decision:</w:t>
            </w:r>
          </w:p>
        </w:tc>
        <w:tc>
          <w:tcPr>
            <w:tcW w:w="3423" w:type="pct"/>
          </w:tcPr>
          <w:p w14:paraId="3B114BEA" w14:textId="156449B7" w:rsidR="00324B33" w:rsidRPr="008D4446" w:rsidRDefault="00324B33" w:rsidP="007452E8">
            <w:pPr>
              <w:rPr>
                <w:szCs w:val="22"/>
              </w:rPr>
            </w:pPr>
            <w:r w:rsidRPr="008D4446">
              <w:rPr>
                <w:szCs w:val="22"/>
              </w:rPr>
              <w:t>Approved</w:t>
            </w:r>
          </w:p>
        </w:tc>
      </w:tr>
      <w:tr w:rsidR="00AE1947" w:rsidRPr="008D4446" w14:paraId="32B72632" w14:textId="77777777" w:rsidTr="00F865A7">
        <w:tc>
          <w:tcPr>
            <w:tcW w:w="1577" w:type="pct"/>
          </w:tcPr>
          <w:p w14:paraId="332A5CD5" w14:textId="1984EC41" w:rsidR="00AE1947" w:rsidRPr="008D4446" w:rsidRDefault="00AE1947" w:rsidP="00A928FC">
            <w:pPr>
              <w:rPr>
                <w:i/>
                <w:szCs w:val="22"/>
              </w:rPr>
            </w:pPr>
            <w:r w:rsidRPr="008D4446">
              <w:rPr>
                <w:i/>
                <w:szCs w:val="22"/>
              </w:rPr>
              <w:t>Date of decision:</w:t>
            </w:r>
          </w:p>
        </w:tc>
        <w:tc>
          <w:tcPr>
            <w:tcW w:w="3423" w:type="pct"/>
          </w:tcPr>
          <w:p w14:paraId="7B381CD6" w14:textId="6A01703D" w:rsidR="00AE1947" w:rsidRPr="008D4446" w:rsidRDefault="00A928FC" w:rsidP="00602658">
            <w:pPr>
              <w:rPr>
                <w:szCs w:val="22"/>
              </w:rPr>
            </w:pPr>
            <w:r w:rsidRPr="008D4446">
              <w:rPr>
                <w:szCs w:val="22"/>
              </w:rPr>
              <w:t>2 November 2022</w:t>
            </w:r>
          </w:p>
        </w:tc>
      </w:tr>
      <w:tr w:rsidR="00324B33" w:rsidRPr="008D4446" w14:paraId="60A25F5A" w14:textId="77777777" w:rsidTr="00F865A7">
        <w:tc>
          <w:tcPr>
            <w:tcW w:w="1577" w:type="pct"/>
          </w:tcPr>
          <w:p w14:paraId="5C5E4CBA" w14:textId="77777777" w:rsidR="00324B33" w:rsidRPr="008D4446" w:rsidRDefault="00324B33" w:rsidP="007452E8">
            <w:pPr>
              <w:rPr>
                <w:i/>
                <w:szCs w:val="22"/>
              </w:rPr>
            </w:pPr>
            <w:r w:rsidRPr="008D4446">
              <w:rPr>
                <w:i/>
                <w:szCs w:val="22"/>
              </w:rPr>
              <w:t>Date of entry onto ARTG:</w:t>
            </w:r>
          </w:p>
        </w:tc>
        <w:tc>
          <w:tcPr>
            <w:tcW w:w="3423" w:type="pct"/>
          </w:tcPr>
          <w:p w14:paraId="28B270E9" w14:textId="4435F003" w:rsidR="00324B33" w:rsidRPr="008D4446" w:rsidRDefault="00A928FC" w:rsidP="007452E8">
            <w:pPr>
              <w:rPr>
                <w:szCs w:val="22"/>
              </w:rPr>
            </w:pPr>
            <w:r w:rsidRPr="008D4446">
              <w:rPr>
                <w:szCs w:val="22"/>
              </w:rPr>
              <w:t>8 November 2022</w:t>
            </w:r>
          </w:p>
        </w:tc>
      </w:tr>
      <w:tr w:rsidR="00324B33" w:rsidRPr="008D4446" w14:paraId="547E08D7" w14:textId="77777777" w:rsidTr="00F865A7">
        <w:tc>
          <w:tcPr>
            <w:tcW w:w="1577" w:type="pct"/>
          </w:tcPr>
          <w:p w14:paraId="5030EF30" w14:textId="0261229D" w:rsidR="00324B33" w:rsidRPr="008D4446" w:rsidRDefault="00324B33" w:rsidP="007452E8">
            <w:pPr>
              <w:rPr>
                <w:i/>
                <w:szCs w:val="22"/>
              </w:rPr>
            </w:pPr>
            <w:r w:rsidRPr="008D4446">
              <w:rPr>
                <w:i/>
                <w:szCs w:val="22"/>
              </w:rPr>
              <w:t>ARTG number:</w:t>
            </w:r>
          </w:p>
        </w:tc>
        <w:tc>
          <w:tcPr>
            <w:tcW w:w="3423" w:type="pct"/>
          </w:tcPr>
          <w:p w14:paraId="0054E912" w14:textId="617C3F43" w:rsidR="00324B33" w:rsidRPr="008D4446" w:rsidRDefault="00A928FC" w:rsidP="007452E8">
            <w:pPr>
              <w:rPr>
                <w:szCs w:val="22"/>
              </w:rPr>
            </w:pPr>
            <w:r w:rsidRPr="008D4446">
              <w:rPr>
                <w:szCs w:val="22"/>
              </w:rPr>
              <w:t>380979, 380980</w:t>
            </w:r>
          </w:p>
        </w:tc>
      </w:tr>
      <w:tr w:rsidR="00324B33" w:rsidRPr="008D4446" w14:paraId="7618393F" w14:textId="77777777" w:rsidTr="00F865A7">
        <w:tc>
          <w:tcPr>
            <w:tcW w:w="1577" w:type="pct"/>
          </w:tcPr>
          <w:p w14:paraId="6C24CEB6" w14:textId="4C004102" w:rsidR="00E47E0C" w:rsidRPr="008D4446" w:rsidRDefault="00324B33" w:rsidP="007452E8">
            <w:pPr>
              <w:rPr>
                <w:rStyle w:val="Hyperlink"/>
                <w:i/>
                <w:szCs w:val="22"/>
              </w:rPr>
            </w:pPr>
            <w:r w:rsidRPr="008D4446">
              <w:rPr>
                <w:rFonts w:ascii="Wingdings 3" w:hAnsi="Wingdings 3"/>
                <w:szCs w:val="22"/>
                <w:lang w:eastAsia="en-AU"/>
              </w:rPr>
              <w:t></w:t>
            </w:r>
            <w:hyperlink r:id="rId15" w:history="1">
              <w:r w:rsidRPr="008D4446">
                <w:rPr>
                  <w:rStyle w:val="Hyperlink"/>
                  <w:i/>
                  <w:szCs w:val="22"/>
                </w:rPr>
                <w:t>Black Triangle Scheme</w:t>
              </w:r>
            </w:hyperlink>
          </w:p>
          <w:p w14:paraId="02260DE2" w14:textId="1FC334AE" w:rsidR="00324B33" w:rsidRPr="008D4446" w:rsidRDefault="00E47E0C" w:rsidP="007452E8">
            <w:pPr>
              <w:rPr>
                <w:i/>
                <w:szCs w:val="22"/>
              </w:rPr>
            </w:pPr>
            <w:r w:rsidRPr="008D4446">
              <w:rPr>
                <w:i/>
                <w:szCs w:val="22"/>
              </w:rPr>
              <w:t xml:space="preserve">for </w:t>
            </w:r>
            <w:r w:rsidR="007B04DE" w:rsidRPr="008D4446">
              <w:rPr>
                <w:i/>
                <w:szCs w:val="22"/>
              </w:rPr>
              <w:t>the current</w:t>
            </w:r>
            <w:r w:rsidRPr="008D4446">
              <w:rPr>
                <w:i/>
                <w:szCs w:val="22"/>
              </w:rPr>
              <w:t xml:space="preserve"> submission</w:t>
            </w:r>
            <w:r w:rsidR="00324B33" w:rsidRPr="008D4446">
              <w:rPr>
                <w:i/>
                <w:szCs w:val="22"/>
              </w:rPr>
              <w:t>:</w:t>
            </w:r>
          </w:p>
        </w:tc>
        <w:tc>
          <w:tcPr>
            <w:tcW w:w="3423" w:type="pct"/>
          </w:tcPr>
          <w:p w14:paraId="08EF3693" w14:textId="2A7FB818" w:rsidR="00324B33" w:rsidRPr="008D4446" w:rsidRDefault="00324B33" w:rsidP="007452E8">
            <w:pPr>
              <w:rPr>
                <w:szCs w:val="22"/>
              </w:rPr>
            </w:pPr>
            <w:r w:rsidRPr="008D4446">
              <w:rPr>
                <w:szCs w:val="22"/>
              </w:rPr>
              <w:t>Yes</w:t>
            </w:r>
            <w:r w:rsidR="00A928FC" w:rsidRPr="008D4446">
              <w:rPr>
                <w:szCs w:val="22"/>
              </w:rPr>
              <w:t>.</w:t>
            </w:r>
          </w:p>
          <w:p w14:paraId="6FF3C6A2" w14:textId="3A6BCAE3" w:rsidR="00324B33" w:rsidRPr="008D4446" w:rsidRDefault="00324B33" w:rsidP="007452E8">
            <w:pPr>
              <w:rPr>
                <w:szCs w:val="22"/>
              </w:rPr>
            </w:pPr>
            <w:r w:rsidRPr="008D4446">
              <w:rPr>
                <w:szCs w:val="22"/>
              </w:rPr>
              <w:t>This product will remain in the scheme for 5 years, starting on the date the product is first supplied in Australia</w:t>
            </w:r>
            <w:r w:rsidR="00A928FC" w:rsidRPr="008D4446">
              <w:rPr>
                <w:szCs w:val="22"/>
              </w:rPr>
              <w:t>.</w:t>
            </w:r>
          </w:p>
        </w:tc>
      </w:tr>
      <w:tr w:rsidR="00324B33" w:rsidRPr="008D4446" w14:paraId="179E09FE" w14:textId="77777777" w:rsidTr="00F865A7">
        <w:tc>
          <w:tcPr>
            <w:tcW w:w="1577" w:type="pct"/>
          </w:tcPr>
          <w:p w14:paraId="1A592498" w14:textId="77777777" w:rsidR="00324B33" w:rsidRPr="008D4446" w:rsidRDefault="00324B33" w:rsidP="007452E8">
            <w:pPr>
              <w:rPr>
                <w:i/>
                <w:szCs w:val="22"/>
              </w:rPr>
            </w:pPr>
            <w:r w:rsidRPr="008D4446">
              <w:rPr>
                <w:i/>
                <w:szCs w:val="22"/>
              </w:rPr>
              <w:t>Sponsor’s name and address:</w:t>
            </w:r>
          </w:p>
        </w:tc>
        <w:tc>
          <w:tcPr>
            <w:tcW w:w="3423" w:type="pct"/>
          </w:tcPr>
          <w:p w14:paraId="6192CAD0" w14:textId="5939D5F0" w:rsidR="00A928FC" w:rsidRPr="008D4446" w:rsidRDefault="00A928FC" w:rsidP="00A928FC">
            <w:pPr>
              <w:rPr>
                <w:szCs w:val="22"/>
              </w:rPr>
            </w:pPr>
            <w:r w:rsidRPr="008D4446">
              <w:rPr>
                <w:szCs w:val="22"/>
              </w:rPr>
              <w:t>AA-Med Pty Ltd</w:t>
            </w:r>
            <w:r w:rsidR="00DB4B27" w:rsidRPr="008D4446">
              <w:rPr>
                <w:rStyle w:val="FootnoteReference"/>
                <w:szCs w:val="22"/>
              </w:rPr>
              <w:footnoteReference w:id="1"/>
            </w:r>
          </w:p>
          <w:p w14:paraId="577B7171" w14:textId="77777777" w:rsidR="00A928FC" w:rsidRPr="008D4446" w:rsidRDefault="00A928FC" w:rsidP="00A928FC">
            <w:pPr>
              <w:rPr>
                <w:szCs w:val="22"/>
              </w:rPr>
            </w:pPr>
            <w:r w:rsidRPr="008D4446">
              <w:rPr>
                <w:szCs w:val="22"/>
              </w:rPr>
              <w:t>Suite 4, Level 10/ 1 Chandos Street</w:t>
            </w:r>
          </w:p>
          <w:p w14:paraId="68DD94B0" w14:textId="35BBDAC3" w:rsidR="00324B33" w:rsidRPr="008D4446" w:rsidRDefault="00A928FC" w:rsidP="00A928FC">
            <w:pPr>
              <w:rPr>
                <w:szCs w:val="22"/>
              </w:rPr>
            </w:pPr>
            <w:r w:rsidRPr="008D4446">
              <w:rPr>
                <w:szCs w:val="22"/>
              </w:rPr>
              <w:t>St Leonards NSW 2065</w:t>
            </w:r>
          </w:p>
        </w:tc>
      </w:tr>
      <w:tr w:rsidR="00324B33" w:rsidRPr="008D4446" w14:paraId="5322B989" w14:textId="77777777" w:rsidTr="00F865A7">
        <w:tc>
          <w:tcPr>
            <w:tcW w:w="1577" w:type="pct"/>
          </w:tcPr>
          <w:p w14:paraId="24F217E3" w14:textId="15F6590B" w:rsidR="00324B33" w:rsidRPr="008D4446" w:rsidRDefault="00324B33" w:rsidP="007452E8">
            <w:pPr>
              <w:rPr>
                <w:i/>
                <w:szCs w:val="22"/>
              </w:rPr>
            </w:pPr>
            <w:r w:rsidRPr="008D4446">
              <w:rPr>
                <w:i/>
                <w:szCs w:val="22"/>
              </w:rPr>
              <w:t>Dose form:</w:t>
            </w:r>
          </w:p>
        </w:tc>
        <w:tc>
          <w:tcPr>
            <w:tcW w:w="3423" w:type="pct"/>
          </w:tcPr>
          <w:p w14:paraId="768B254C" w14:textId="0CCB33D1" w:rsidR="00324B33" w:rsidRPr="008D4446" w:rsidRDefault="00A928FC" w:rsidP="007452E8">
            <w:pPr>
              <w:rPr>
                <w:szCs w:val="22"/>
              </w:rPr>
            </w:pPr>
            <w:r w:rsidRPr="008D4446">
              <w:rPr>
                <w:szCs w:val="22"/>
              </w:rPr>
              <w:t>Soft capsule</w:t>
            </w:r>
          </w:p>
        </w:tc>
      </w:tr>
      <w:tr w:rsidR="00324B33" w:rsidRPr="008D4446" w14:paraId="115243E6" w14:textId="77777777" w:rsidTr="00F865A7">
        <w:tc>
          <w:tcPr>
            <w:tcW w:w="1577" w:type="pct"/>
          </w:tcPr>
          <w:p w14:paraId="7634B062" w14:textId="1BE9E4A0" w:rsidR="00324B33" w:rsidRPr="008D4446" w:rsidRDefault="00324B33" w:rsidP="007452E8">
            <w:pPr>
              <w:rPr>
                <w:i/>
                <w:szCs w:val="22"/>
              </w:rPr>
            </w:pPr>
            <w:r w:rsidRPr="008D4446">
              <w:rPr>
                <w:i/>
                <w:szCs w:val="22"/>
              </w:rPr>
              <w:t>Strength:</w:t>
            </w:r>
          </w:p>
        </w:tc>
        <w:tc>
          <w:tcPr>
            <w:tcW w:w="3423" w:type="pct"/>
          </w:tcPr>
          <w:p w14:paraId="5E5F83DB" w14:textId="2F8742EB" w:rsidR="00324B33" w:rsidRPr="008D4446" w:rsidRDefault="00A928FC" w:rsidP="007452E8">
            <w:pPr>
              <w:rPr>
                <w:szCs w:val="22"/>
              </w:rPr>
            </w:pPr>
            <w:r w:rsidRPr="008D4446">
              <w:rPr>
                <w:szCs w:val="22"/>
              </w:rPr>
              <w:t>998 mg</w:t>
            </w:r>
          </w:p>
        </w:tc>
      </w:tr>
      <w:tr w:rsidR="00324B33" w:rsidRPr="008D4446" w14:paraId="34B07BA6" w14:textId="77777777" w:rsidTr="00F865A7">
        <w:tc>
          <w:tcPr>
            <w:tcW w:w="1577" w:type="pct"/>
          </w:tcPr>
          <w:p w14:paraId="1C039224" w14:textId="74CF78D4" w:rsidR="00324B33" w:rsidRPr="008D4446" w:rsidRDefault="00324B33" w:rsidP="007452E8">
            <w:pPr>
              <w:rPr>
                <w:i/>
                <w:szCs w:val="22"/>
              </w:rPr>
            </w:pPr>
            <w:r w:rsidRPr="008D4446">
              <w:rPr>
                <w:i/>
                <w:szCs w:val="22"/>
              </w:rPr>
              <w:t>Container:</w:t>
            </w:r>
          </w:p>
        </w:tc>
        <w:tc>
          <w:tcPr>
            <w:tcW w:w="3423" w:type="pct"/>
          </w:tcPr>
          <w:p w14:paraId="500A42C6" w14:textId="7DAE3AD1" w:rsidR="00324B33" w:rsidRPr="008D4446" w:rsidRDefault="00A928FC" w:rsidP="007452E8">
            <w:pPr>
              <w:rPr>
                <w:szCs w:val="22"/>
              </w:rPr>
            </w:pPr>
            <w:r w:rsidRPr="008D4446">
              <w:rPr>
                <w:szCs w:val="22"/>
              </w:rPr>
              <w:t>Blister pack, bottle</w:t>
            </w:r>
          </w:p>
        </w:tc>
      </w:tr>
      <w:tr w:rsidR="00324B33" w:rsidRPr="008D4446" w14:paraId="176B6773" w14:textId="77777777" w:rsidTr="00F865A7">
        <w:tc>
          <w:tcPr>
            <w:tcW w:w="1577" w:type="pct"/>
          </w:tcPr>
          <w:p w14:paraId="71846159" w14:textId="206F9C57" w:rsidR="00324B33" w:rsidRPr="008D4446" w:rsidRDefault="00324B33" w:rsidP="007452E8">
            <w:pPr>
              <w:rPr>
                <w:i/>
                <w:szCs w:val="22"/>
              </w:rPr>
            </w:pPr>
            <w:r w:rsidRPr="008D4446">
              <w:rPr>
                <w:i/>
                <w:szCs w:val="22"/>
              </w:rPr>
              <w:t>Pack sizes:</w:t>
            </w:r>
          </w:p>
        </w:tc>
        <w:tc>
          <w:tcPr>
            <w:tcW w:w="3423" w:type="pct"/>
          </w:tcPr>
          <w:p w14:paraId="7E978F8F" w14:textId="628B720C" w:rsidR="00324B33" w:rsidRPr="008D4446" w:rsidRDefault="00A928FC" w:rsidP="007452E8">
            <w:pPr>
              <w:rPr>
                <w:szCs w:val="22"/>
              </w:rPr>
            </w:pPr>
            <w:r w:rsidRPr="008D4446">
              <w:rPr>
                <w:szCs w:val="22"/>
              </w:rPr>
              <w:t>8 capsules per blister pack, 120 capsules per bottle</w:t>
            </w:r>
          </w:p>
        </w:tc>
      </w:tr>
      <w:tr w:rsidR="00324B33" w:rsidRPr="008D4446" w14:paraId="19A2544A" w14:textId="77777777" w:rsidTr="00F865A7">
        <w:tc>
          <w:tcPr>
            <w:tcW w:w="1577" w:type="pct"/>
          </w:tcPr>
          <w:p w14:paraId="0E6C5C0E" w14:textId="7DB3FC66" w:rsidR="00324B33" w:rsidRPr="008D4446" w:rsidRDefault="00324B33" w:rsidP="007452E8">
            <w:pPr>
              <w:rPr>
                <w:i/>
                <w:szCs w:val="22"/>
              </w:rPr>
            </w:pPr>
            <w:r w:rsidRPr="008D4446">
              <w:rPr>
                <w:i/>
                <w:szCs w:val="22"/>
              </w:rPr>
              <w:t>Approved therapeutic use</w:t>
            </w:r>
            <w:r w:rsidR="00E47E0C" w:rsidRPr="008D4446">
              <w:rPr>
                <w:i/>
                <w:szCs w:val="22"/>
              </w:rPr>
              <w:t xml:space="preserve"> </w:t>
            </w:r>
            <w:r w:rsidR="007B04DE" w:rsidRPr="008D4446">
              <w:rPr>
                <w:i/>
                <w:szCs w:val="22"/>
              </w:rPr>
              <w:t>for the current</w:t>
            </w:r>
            <w:r w:rsidR="00E47E0C" w:rsidRPr="008D4446">
              <w:rPr>
                <w:i/>
                <w:szCs w:val="22"/>
              </w:rPr>
              <w:t xml:space="preserve"> submission</w:t>
            </w:r>
            <w:r w:rsidRPr="008D4446">
              <w:rPr>
                <w:i/>
                <w:szCs w:val="22"/>
              </w:rPr>
              <w:t>:</w:t>
            </w:r>
          </w:p>
        </w:tc>
        <w:tc>
          <w:tcPr>
            <w:tcW w:w="3423" w:type="pct"/>
          </w:tcPr>
          <w:p w14:paraId="5A7C3DB2" w14:textId="0EEED274" w:rsidR="00A928FC" w:rsidRPr="008D4446" w:rsidRDefault="00A928FC" w:rsidP="00A928FC">
            <w:pPr>
              <w:rPr>
                <w:i/>
                <w:iCs/>
              </w:rPr>
            </w:pPr>
            <w:r w:rsidRPr="008D4446">
              <w:rPr>
                <w:i/>
                <w:iCs/>
              </w:rPr>
              <w:t>Vazkepa is indicated to reduce the risk of cardiovascular events in adult statin-treated patients at high cardiovascular risk with elevated triglycerides (≥ 1.7 mmol/L) and</w:t>
            </w:r>
          </w:p>
          <w:p w14:paraId="6B57CCF3" w14:textId="745405CB" w:rsidR="00A928FC" w:rsidRPr="008D4446" w:rsidRDefault="00A928FC" w:rsidP="00A928FC">
            <w:pPr>
              <w:pStyle w:val="ListBullet"/>
              <w:rPr>
                <w:i/>
                <w:iCs/>
              </w:rPr>
            </w:pPr>
            <w:r w:rsidRPr="008D4446">
              <w:rPr>
                <w:i/>
                <w:iCs/>
              </w:rPr>
              <w:t>established cardiovascular disease, or</w:t>
            </w:r>
          </w:p>
          <w:p w14:paraId="6E143E2E" w14:textId="74A6337A" w:rsidR="00324B33" w:rsidRPr="008D4446" w:rsidRDefault="00A928FC" w:rsidP="00A928FC">
            <w:pPr>
              <w:pStyle w:val="ListBullet"/>
            </w:pPr>
            <w:r w:rsidRPr="008D4446">
              <w:rPr>
                <w:i/>
                <w:iCs/>
              </w:rPr>
              <w:t>diabetes, and at least one other cardiovascular risk factor.</w:t>
            </w:r>
          </w:p>
        </w:tc>
      </w:tr>
      <w:tr w:rsidR="00324B33" w:rsidRPr="008D4446" w14:paraId="5AFDEED3" w14:textId="77777777" w:rsidTr="00F865A7">
        <w:tc>
          <w:tcPr>
            <w:tcW w:w="1577" w:type="pct"/>
          </w:tcPr>
          <w:p w14:paraId="03884BD1" w14:textId="52C292EA" w:rsidR="00324B33" w:rsidRPr="008D4446" w:rsidRDefault="00324B33" w:rsidP="007452E8">
            <w:pPr>
              <w:rPr>
                <w:i/>
                <w:szCs w:val="22"/>
              </w:rPr>
            </w:pPr>
            <w:r w:rsidRPr="008D4446">
              <w:rPr>
                <w:i/>
                <w:szCs w:val="22"/>
              </w:rPr>
              <w:t>Route of administration:</w:t>
            </w:r>
          </w:p>
        </w:tc>
        <w:tc>
          <w:tcPr>
            <w:tcW w:w="3423" w:type="pct"/>
          </w:tcPr>
          <w:p w14:paraId="1ED1357E" w14:textId="41A24155" w:rsidR="00324B33" w:rsidRPr="008D4446" w:rsidRDefault="00A928FC" w:rsidP="007452E8">
            <w:pPr>
              <w:rPr>
                <w:szCs w:val="22"/>
              </w:rPr>
            </w:pPr>
            <w:r w:rsidRPr="008D4446">
              <w:rPr>
                <w:szCs w:val="22"/>
              </w:rPr>
              <w:t>Oral</w:t>
            </w:r>
          </w:p>
        </w:tc>
      </w:tr>
      <w:tr w:rsidR="00324B33" w:rsidRPr="008D4446" w14:paraId="70D7E9FA" w14:textId="77777777" w:rsidTr="00F865A7">
        <w:tc>
          <w:tcPr>
            <w:tcW w:w="1577" w:type="pct"/>
          </w:tcPr>
          <w:p w14:paraId="5ABFFC80" w14:textId="77777777" w:rsidR="00324B33" w:rsidRPr="008D4446" w:rsidRDefault="00324B33" w:rsidP="007452E8">
            <w:pPr>
              <w:rPr>
                <w:i/>
                <w:szCs w:val="22"/>
              </w:rPr>
            </w:pPr>
            <w:r w:rsidRPr="008D4446">
              <w:rPr>
                <w:i/>
                <w:szCs w:val="22"/>
              </w:rPr>
              <w:t>Dosage:</w:t>
            </w:r>
          </w:p>
        </w:tc>
        <w:tc>
          <w:tcPr>
            <w:tcW w:w="3423" w:type="pct"/>
          </w:tcPr>
          <w:p w14:paraId="4D468B02" w14:textId="0F765151" w:rsidR="00A928FC" w:rsidRPr="008D4446" w:rsidRDefault="00A928FC" w:rsidP="00A928FC">
            <w:pPr>
              <w:rPr>
                <w:szCs w:val="22"/>
              </w:rPr>
            </w:pPr>
            <w:r w:rsidRPr="008D4446">
              <w:rPr>
                <w:szCs w:val="22"/>
              </w:rPr>
              <w:t>The recommended daily oral dose is 4 capsules taken as two 998</w:t>
            </w:r>
            <w:r w:rsidR="00C160CB" w:rsidRPr="008D4446">
              <w:rPr>
                <w:szCs w:val="22"/>
              </w:rPr>
              <w:t> </w:t>
            </w:r>
            <w:r w:rsidRPr="008D4446">
              <w:rPr>
                <w:szCs w:val="22"/>
              </w:rPr>
              <w:t>mg capsules twice daily.</w:t>
            </w:r>
          </w:p>
          <w:p w14:paraId="2A25F5AE" w14:textId="264FB2AE" w:rsidR="00A928FC" w:rsidRPr="008D4446" w:rsidRDefault="00A928FC" w:rsidP="00A928FC">
            <w:pPr>
              <w:rPr>
                <w:szCs w:val="22"/>
              </w:rPr>
            </w:pPr>
            <w:r w:rsidRPr="008D4446">
              <w:rPr>
                <w:szCs w:val="22"/>
              </w:rPr>
              <w:t>If a dose is missed, patients should take it as soon as they remember. However, if one daily dose is missed, the next dose should not be doubled.</w:t>
            </w:r>
          </w:p>
          <w:p w14:paraId="3D0B2D5C" w14:textId="77777777" w:rsidR="00324B33" w:rsidRPr="008D4446" w:rsidRDefault="00324B33" w:rsidP="007452E8">
            <w:pPr>
              <w:rPr>
                <w:szCs w:val="22"/>
              </w:rPr>
            </w:pPr>
            <w:r w:rsidRPr="008D4446">
              <w:rPr>
                <w:szCs w:val="22"/>
              </w:rPr>
              <w:t>For further information regarding dosage, refer to the Product Information.</w:t>
            </w:r>
          </w:p>
        </w:tc>
      </w:tr>
      <w:tr w:rsidR="00324B33" w:rsidRPr="008D4446" w14:paraId="24DC408E" w14:textId="77777777" w:rsidTr="00F865A7">
        <w:tc>
          <w:tcPr>
            <w:tcW w:w="1577" w:type="pct"/>
          </w:tcPr>
          <w:p w14:paraId="26380792" w14:textId="77777777" w:rsidR="00324B33" w:rsidRPr="008D4446" w:rsidRDefault="00324B33" w:rsidP="007452E8">
            <w:pPr>
              <w:rPr>
                <w:i/>
                <w:szCs w:val="22"/>
              </w:rPr>
            </w:pPr>
            <w:r w:rsidRPr="008D4446">
              <w:rPr>
                <w:i/>
                <w:szCs w:val="22"/>
              </w:rPr>
              <w:t>Pregnancy category:</w:t>
            </w:r>
          </w:p>
        </w:tc>
        <w:tc>
          <w:tcPr>
            <w:tcW w:w="3423" w:type="pct"/>
          </w:tcPr>
          <w:p w14:paraId="5E1038BD" w14:textId="1E0B33C4" w:rsidR="00A928FC" w:rsidRPr="008D4446" w:rsidRDefault="00A928FC" w:rsidP="007452E8">
            <w:pPr>
              <w:rPr>
                <w:szCs w:val="22"/>
              </w:rPr>
            </w:pPr>
            <w:r w:rsidRPr="008D4446">
              <w:rPr>
                <w:szCs w:val="22"/>
              </w:rPr>
              <w:t>B1</w:t>
            </w:r>
          </w:p>
          <w:p w14:paraId="73C77D96" w14:textId="77777777" w:rsidR="00A928FC" w:rsidRPr="008D4446" w:rsidRDefault="00A928FC" w:rsidP="00A928FC">
            <w:pPr>
              <w:rPr>
                <w:szCs w:val="22"/>
              </w:rPr>
            </w:pPr>
            <w:r w:rsidRPr="008D4446">
              <w:rPr>
                <w:szCs w:val="22"/>
              </w:rPr>
              <w:t xml:space="preserve">Drugs which have been taken by only a limited number of pregnant women and women of childbearing age, without an </w:t>
            </w:r>
            <w:r w:rsidRPr="008D4446">
              <w:rPr>
                <w:szCs w:val="22"/>
              </w:rPr>
              <w:lastRenderedPageBreak/>
              <w:t xml:space="preserve">increase in the frequency of malformation or other direct or indirect harmful effects on the human </w:t>
            </w:r>
            <w:proofErr w:type="spellStart"/>
            <w:r w:rsidRPr="008D4446">
              <w:rPr>
                <w:szCs w:val="22"/>
              </w:rPr>
              <w:t>fetus</w:t>
            </w:r>
            <w:proofErr w:type="spellEnd"/>
            <w:r w:rsidRPr="008D4446">
              <w:rPr>
                <w:szCs w:val="22"/>
              </w:rPr>
              <w:t xml:space="preserve"> having been observed.</w:t>
            </w:r>
          </w:p>
          <w:p w14:paraId="460E8E0B" w14:textId="2C5BDD7C" w:rsidR="00A928FC" w:rsidRPr="008D4446" w:rsidRDefault="00A928FC" w:rsidP="00A928FC">
            <w:pPr>
              <w:rPr>
                <w:szCs w:val="22"/>
              </w:rPr>
            </w:pPr>
            <w:r w:rsidRPr="008D4446">
              <w:rPr>
                <w:szCs w:val="22"/>
              </w:rPr>
              <w:t>Studies in animals have not shown evidence of an increased occurrence of fetal damage.</w:t>
            </w:r>
          </w:p>
          <w:p w14:paraId="5E2AA3D6" w14:textId="1CD91BA7" w:rsidR="00324B33" w:rsidRPr="008D4446" w:rsidRDefault="00324B33" w:rsidP="007452E8">
            <w:pPr>
              <w:rPr>
                <w:szCs w:val="22"/>
              </w:rPr>
            </w:pPr>
            <w:r w:rsidRPr="008D4446">
              <w:rPr>
                <w:szCs w:val="22"/>
              </w:rPr>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w:t>
            </w:r>
            <w:r w:rsidR="00A928FC" w:rsidRPr="008D4446">
              <w:rPr>
                <w:szCs w:val="22"/>
              </w:rPr>
              <w:t>state or territory</w:t>
            </w:r>
            <w:r w:rsidRPr="008D4446">
              <w:rPr>
                <w:szCs w:val="22"/>
              </w:rPr>
              <w:t>.</w:t>
            </w:r>
          </w:p>
        </w:tc>
      </w:tr>
    </w:tbl>
    <w:p w14:paraId="51F2479F" w14:textId="77777777" w:rsidR="00324B33" w:rsidRPr="008D4446" w:rsidRDefault="00324B33" w:rsidP="00324B33">
      <w:pPr>
        <w:pStyle w:val="Heading3"/>
      </w:pPr>
      <w:bookmarkStart w:id="19" w:name="_Toc247691503"/>
      <w:bookmarkStart w:id="20" w:name="_Toc314842484"/>
      <w:bookmarkStart w:id="21" w:name="_Toc103679290"/>
      <w:bookmarkStart w:id="22" w:name="_Toc145413863"/>
      <w:r w:rsidRPr="008D4446">
        <w:lastRenderedPageBreak/>
        <w:t>Product background</w:t>
      </w:r>
      <w:bookmarkEnd w:id="19"/>
      <w:bookmarkEnd w:id="20"/>
      <w:bookmarkEnd w:id="21"/>
      <w:bookmarkEnd w:id="22"/>
    </w:p>
    <w:p w14:paraId="5CB6E12B" w14:textId="6598CF1C" w:rsidR="00A928FC" w:rsidRPr="008D4446" w:rsidRDefault="00324B33" w:rsidP="00A928FC">
      <w:pPr>
        <w:rPr>
          <w:rFonts w:ascii="Calibri" w:hAnsi="Calibri" w:cs="Calibri"/>
          <w:color w:val="000000"/>
          <w:sz w:val="24"/>
          <w:szCs w:val="24"/>
        </w:rPr>
      </w:pPr>
      <w:r w:rsidRPr="008D4446">
        <w:rPr>
          <w:szCs w:val="22"/>
        </w:rPr>
        <w:t xml:space="preserve">This AusPAR describes the submission by </w:t>
      </w:r>
      <w:r w:rsidR="00A928FC" w:rsidRPr="008D4446">
        <w:rPr>
          <w:szCs w:val="22"/>
        </w:rPr>
        <w:t>AA-Med Pty Ltd</w:t>
      </w:r>
      <w:r w:rsidRPr="008D4446">
        <w:rPr>
          <w:szCs w:val="22"/>
        </w:rPr>
        <w:t xml:space="preserve"> (the sponsor) to register </w:t>
      </w:r>
      <w:r w:rsidR="00A928FC" w:rsidRPr="008D4446">
        <w:t>Vazkepa</w:t>
      </w:r>
      <w:r w:rsidR="00A928FC" w:rsidRPr="008D4446">
        <w:rPr>
          <w:szCs w:val="22"/>
        </w:rPr>
        <w:t xml:space="preserve"> </w:t>
      </w:r>
      <w:r w:rsidRPr="008D4446">
        <w:rPr>
          <w:szCs w:val="22"/>
        </w:rPr>
        <w:t>(</w:t>
      </w:r>
      <w:proofErr w:type="spellStart"/>
      <w:r w:rsidR="00A928FC" w:rsidRPr="008D4446">
        <w:rPr>
          <w:szCs w:val="22"/>
        </w:rPr>
        <w:t>icosapent</w:t>
      </w:r>
      <w:proofErr w:type="spellEnd"/>
      <w:r w:rsidR="00A928FC" w:rsidRPr="008D4446">
        <w:rPr>
          <w:szCs w:val="22"/>
        </w:rPr>
        <w:t xml:space="preserve"> ethyl</w:t>
      </w:r>
      <w:r w:rsidRPr="008D4446">
        <w:rPr>
          <w:szCs w:val="22"/>
        </w:rPr>
        <w:t xml:space="preserve">) </w:t>
      </w:r>
      <w:r w:rsidR="00A928FC" w:rsidRPr="008D4446">
        <w:rPr>
          <w:szCs w:val="22"/>
        </w:rPr>
        <w:t>998 mg</w:t>
      </w:r>
      <w:r w:rsidRPr="008D4446">
        <w:rPr>
          <w:szCs w:val="22"/>
        </w:rPr>
        <w:t xml:space="preserve">, </w:t>
      </w:r>
      <w:r w:rsidR="00A928FC" w:rsidRPr="008D4446">
        <w:rPr>
          <w:szCs w:val="22"/>
        </w:rPr>
        <w:t>soft capsule</w:t>
      </w:r>
      <w:r w:rsidR="00D62877" w:rsidRPr="008D4446">
        <w:rPr>
          <w:szCs w:val="22"/>
        </w:rPr>
        <w:t xml:space="preserve">, </w:t>
      </w:r>
      <w:r w:rsidR="00A928FC" w:rsidRPr="008D4446">
        <w:rPr>
          <w:szCs w:val="22"/>
        </w:rPr>
        <w:t>blister pack or bottle</w:t>
      </w:r>
      <w:r w:rsidRPr="008D4446">
        <w:rPr>
          <w:szCs w:val="22"/>
        </w:rPr>
        <w:t xml:space="preserve"> for the following proposed indication:</w:t>
      </w:r>
      <w:r w:rsidR="00D63760" w:rsidRPr="008D4446">
        <w:rPr>
          <w:rStyle w:val="FootnoteReference"/>
          <w:szCs w:val="22"/>
        </w:rPr>
        <w:footnoteReference w:id="2"/>
      </w:r>
    </w:p>
    <w:p w14:paraId="6EE91558" w14:textId="2ECDB9E6" w:rsidR="00A928FC" w:rsidRPr="008D4446" w:rsidRDefault="00A928FC" w:rsidP="00A928FC">
      <w:pPr>
        <w:ind w:left="360"/>
        <w:rPr>
          <w:i/>
          <w:iCs/>
        </w:rPr>
      </w:pPr>
      <w:r w:rsidRPr="008D4446">
        <w:rPr>
          <w:i/>
          <w:iCs/>
        </w:rPr>
        <w:t>Vazkepa is indicated to reduce the risk of cardiovascular events in adult statin-treated patients at high cardiovascular risk with elevated triglycerides (≥ 150 mg/dL [≥ 1.7 mmol/L]) and</w:t>
      </w:r>
    </w:p>
    <w:p w14:paraId="7EE4D24B" w14:textId="53B1A8DD" w:rsidR="00A928FC" w:rsidRPr="008D4446" w:rsidRDefault="00A928FC" w:rsidP="00A928FC">
      <w:pPr>
        <w:pStyle w:val="ListBullet"/>
        <w:ind w:left="720"/>
        <w:rPr>
          <w:i/>
          <w:iCs/>
        </w:rPr>
      </w:pPr>
      <w:r w:rsidRPr="008D4446">
        <w:rPr>
          <w:i/>
          <w:iCs/>
        </w:rPr>
        <w:t>established cardiovascular disease, or</w:t>
      </w:r>
    </w:p>
    <w:p w14:paraId="3DD2D115" w14:textId="61A7FB1A" w:rsidR="00A928FC" w:rsidRPr="008D4446" w:rsidRDefault="00A928FC" w:rsidP="00A928FC">
      <w:pPr>
        <w:pStyle w:val="ListBullet"/>
        <w:ind w:left="720"/>
        <w:rPr>
          <w:i/>
          <w:iCs/>
        </w:rPr>
      </w:pPr>
      <w:r w:rsidRPr="008D4446">
        <w:rPr>
          <w:i/>
          <w:iCs/>
        </w:rPr>
        <w:t>diabetes, and at least one other cardiovascular risk factor.</w:t>
      </w:r>
    </w:p>
    <w:p w14:paraId="53AD3B67" w14:textId="5B19C858" w:rsidR="00A928FC" w:rsidRPr="008D4446" w:rsidRDefault="00A928FC" w:rsidP="00A928FC">
      <w:r w:rsidRPr="008D4446">
        <w:t xml:space="preserve">Cardiovascular disease encompasses a broad group of medical problems that affect the circulatory system (the heart, blood vessels and arteries). Despite medical advances and broader use of available therapies such as statins, cardiovascular disease remains the leading cause of death globally. Established risk factors for cardiovascular disease include smoking, hypertension, diabetes, hypercholesterolaemia and other dyslipidaemias, and family history of cardiovascular disease. </w:t>
      </w:r>
      <w:proofErr w:type="spellStart"/>
      <w:r w:rsidRPr="008D4446">
        <w:t>Hypertriglyceridaemia</w:t>
      </w:r>
      <w:proofErr w:type="spellEnd"/>
      <w:r w:rsidRPr="008D4446">
        <w:t xml:space="preserve"> has been shown to be an independent risk factor for cardiovascular disease. About one-third of adults have triglyceride levels &gt; 1.7 mmol/L (150 mg/dL).</w:t>
      </w:r>
      <w:r w:rsidRPr="008D4446">
        <w:rPr>
          <w:vertAlign w:val="superscript"/>
        </w:rPr>
        <w:footnoteReference w:id="3"/>
      </w:r>
      <w:r w:rsidR="00F15D6F" w:rsidRPr="008D4446">
        <w:rPr>
          <w:vertAlign w:val="superscript"/>
        </w:rPr>
        <w:t>,</w:t>
      </w:r>
      <w:r w:rsidR="00F15D6F" w:rsidRPr="008D4446">
        <w:rPr>
          <w:rStyle w:val="FootnoteReference"/>
        </w:rPr>
        <w:footnoteReference w:id="4"/>
      </w:r>
    </w:p>
    <w:p w14:paraId="1E8AF684" w14:textId="26207630" w:rsidR="00A928FC" w:rsidRPr="008D4446" w:rsidRDefault="00A928FC" w:rsidP="00A928FC">
      <w:r w:rsidRPr="008D4446">
        <w:t>Statins are the mainstay of treatment of hyperlipidaemia due to established benefits in reducing cardiovascular morbidity and mortality. The role of statins in both primary and secondary prevention of cardiovascular disease is well established. PCSK9 inhibitors and selective cholesterol absorption inhibitors (for example, ezetimibe) have demonstrated a benefit as add</w:t>
      </w:r>
      <w:r w:rsidRPr="008D4446">
        <w:noBreakHyphen/>
        <w:t>on therapy when therapeutic goals are not met with statins, or in statin-intolerant patients. Fibrates, niacin, and omega-3-acid ethyl esters have been shown to lower triglyceride levels, but evidence of a cardiovascular benefit is uncertain.</w:t>
      </w:r>
    </w:p>
    <w:p w14:paraId="0549D21A" w14:textId="38177F7C" w:rsidR="00A928FC" w:rsidRPr="008D4446" w:rsidRDefault="00A928FC" w:rsidP="00A928FC">
      <w:proofErr w:type="spellStart"/>
      <w:r w:rsidRPr="008D4446">
        <w:t>Icosapent</w:t>
      </w:r>
      <w:proofErr w:type="spellEnd"/>
      <w:r w:rsidRPr="008D4446">
        <w:t xml:space="preserve"> ethyl is a stable ethyl ester of the omega-3 fatty acid, </w:t>
      </w:r>
      <w:bookmarkStart w:id="23" w:name="_Hlk142575066"/>
      <w:r w:rsidRPr="008D4446">
        <w:t xml:space="preserve">eicosapentaenoic acid </w:t>
      </w:r>
      <w:bookmarkEnd w:id="23"/>
      <w:r w:rsidRPr="008D4446">
        <w:t xml:space="preserve">(EPA). Marine fish are the primary natural dietary source of EPA. The mechanisms of action contributing to reduction of cardiovascular events with </w:t>
      </w:r>
      <w:proofErr w:type="spellStart"/>
      <w:r w:rsidRPr="008D4446">
        <w:t>icosapent</w:t>
      </w:r>
      <w:proofErr w:type="spellEnd"/>
      <w:r w:rsidRPr="008D4446">
        <w:t xml:space="preserve"> ethyl are not completely understood. The mechanisms are thought to be multi-factorial, including improved lipoprotein </w:t>
      </w:r>
      <w:r w:rsidRPr="008D4446">
        <w:lastRenderedPageBreak/>
        <w:t>profile with reduction of triglyceride-rich lipoproteins, anti-inflammatory and antioxidant effects, reduction of macrophage accumulation, improved endothelial function, increased fibrous cap stability, and antiplatelet effects (</w:t>
      </w:r>
      <w:r w:rsidRPr="008D4446">
        <w:fldChar w:fldCharType="begin"/>
      </w:r>
      <w:r w:rsidRPr="008D4446">
        <w:instrText xml:space="preserve"> REF _Ref110866950 \h  \* MERGEFORMAT </w:instrText>
      </w:r>
      <w:r w:rsidRPr="008D4446">
        <w:fldChar w:fldCharType="separate"/>
      </w:r>
      <w:r w:rsidR="00703D92" w:rsidRPr="008D4446">
        <w:t xml:space="preserve">Figure </w:t>
      </w:r>
      <w:r w:rsidR="00703D92">
        <w:t>1</w:t>
      </w:r>
      <w:r w:rsidRPr="008D4446">
        <w:fldChar w:fldCharType="end"/>
      </w:r>
      <w:r w:rsidRPr="008D4446">
        <w:t>).</w:t>
      </w:r>
    </w:p>
    <w:p w14:paraId="7C0DEBAA" w14:textId="7F989919" w:rsidR="00A928FC" w:rsidRPr="008D4446" w:rsidRDefault="00A928FC" w:rsidP="00125C81">
      <w:pPr>
        <w:pStyle w:val="FigureTitle"/>
      </w:pPr>
      <w:bookmarkStart w:id="24" w:name="_Ref110866950"/>
      <w:r w:rsidRPr="008D4446">
        <w:t xml:space="preserve">Figure </w:t>
      </w:r>
      <w:r w:rsidR="00434F9A">
        <w:fldChar w:fldCharType="begin"/>
      </w:r>
      <w:r w:rsidR="00434F9A">
        <w:instrText xml:space="preserve"> SEQ Figure \* ARABIC </w:instrText>
      </w:r>
      <w:r w:rsidR="00434F9A">
        <w:fldChar w:fldCharType="separate"/>
      </w:r>
      <w:r w:rsidR="00703D92">
        <w:rPr>
          <w:noProof/>
        </w:rPr>
        <w:t>1</w:t>
      </w:r>
      <w:r w:rsidR="00434F9A">
        <w:rPr>
          <w:noProof/>
        </w:rPr>
        <w:fldChar w:fldCharType="end"/>
      </w:r>
      <w:bookmarkEnd w:id="24"/>
      <w:r w:rsidR="008C75D7" w:rsidRPr="008D4446">
        <w:t>:</w:t>
      </w:r>
      <w:r w:rsidRPr="008D4446">
        <w:t xml:space="preserve"> Potential beneficial effects of </w:t>
      </w:r>
      <w:r w:rsidR="008C75D7" w:rsidRPr="008D4446">
        <w:t xml:space="preserve">eicosapentaenoic acid </w:t>
      </w:r>
      <w:r w:rsidRPr="008D4446">
        <w:t>on clinical cardiovascular endpoints</w:t>
      </w:r>
    </w:p>
    <w:p w14:paraId="584C739F" w14:textId="5793D7C8" w:rsidR="00DB4B27" w:rsidRPr="008D4446" w:rsidRDefault="00DB4B27" w:rsidP="00125C81">
      <w:r w:rsidRPr="008D4446">
        <w:rPr>
          <w:noProof/>
        </w:rPr>
        <w:drawing>
          <wp:inline distT="0" distB="0" distL="0" distR="0" wp14:anchorId="5DC9E540" wp14:editId="56C4598B">
            <wp:extent cx="5759450" cy="3260090"/>
            <wp:effectExtent l="0" t="0" r="0" b="0"/>
            <wp:docPr id="7" name="Picture 7" descr="Figure 1: Potential beneficial effects of eicosapentaenoic acid on clinical cardiovascular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Potential beneficial effects of eicosapentaenoic acid on clinical cardiovascular endpoints"/>
                    <pic:cNvPicPr/>
                  </pic:nvPicPr>
                  <pic:blipFill>
                    <a:blip r:embed="rId16"/>
                    <a:stretch>
                      <a:fillRect/>
                    </a:stretch>
                  </pic:blipFill>
                  <pic:spPr>
                    <a:xfrm>
                      <a:off x="0" y="0"/>
                      <a:ext cx="5759450" cy="3260090"/>
                    </a:xfrm>
                    <a:prstGeom prst="rect">
                      <a:avLst/>
                    </a:prstGeom>
                  </pic:spPr>
                </pic:pic>
              </a:graphicData>
            </a:graphic>
          </wp:inline>
        </w:drawing>
      </w:r>
    </w:p>
    <w:p w14:paraId="7B5C55C2" w14:textId="2AABB89F" w:rsidR="00A928FC" w:rsidRPr="008D4446" w:rsidRDefault="001668EC" w:rsidP="00125C81">
      <w:pPr>
        <w:pStyle w:val="FigureDescription"/>
      </w:pPr>
      <w:r w:rsidRPr="008D4446">
        <w:t xml:space="preserve">Abbreviations: </w:t>
      </w:r>
      <w:r w:rsidR="00A928FC" w:rsidRPr="008D4446">
        <w:t>Apo</w:t>
      </w:r>
      <w:r w:rsidR="00F15D6F" w:rsidRPr="008D4446">
        <w:t xml:space="preserve"> =</w:t>
      </w:r>
      <w:r w:rsidR="00A928FC" w:rsidRPr="008D4446">
        <w:t xml:space="preserve"> apolipoprotein; AA</w:t>
      </w:r>
      <w:r w:rsidR="00F15D6F" w:rsidRPr="008D4446">
        <w:t xml:space="preserve"> =</w:t>
      </w:r>
      <w:r w:rsidR="00A928FC" w:rsidRPr="008D4446">
        <w:t xml:space="preserve"> arachidonic acid; non-HDL-C</w:t>
      </w:r>
      <w:r w:rsidR="00F15D6F" w:rsidRPr="008D4446">
        <w:t xml:space="preserve"> =</w:t>
      </w:r>
      <w:r w:rsidR="00A928FC" w:rsidRPr="008D4446">
        <w:t xml:space="preserve"> non-high-density lipoprotein cholesterol.</w:t>
      </w:r>
    </w:p>
    <w:p w14:paraId="310890E7" w14:textId="6E8433DA" w:rsidR="00DB4B27" w:rsidRPr="008D4446" w:rsidRDefault="00A928FC" w:rsidP="00125C81">
      <w:pPr>
        <w:pStyle w:val="FigureDescription"/>
      </w:pPr>
      <w:r w:rsidRPr="008D4446">
        <w:t xml:space="preserve">Source: </w:t>
      </w:r>
      <w:r w:rsidR="00DB4B27" w:rsidRPr="008D4446">
        <w:t xml:space="preserve">this figure is extracted from </w:t>
      </w:r>
      <w:proofErr w:type="spellStart"/>
      <w:r w:rsidR="00DB4B27" w:rsidRPr="008D4446">
        <w:t>Borow</w:t>
      </w:r>
      <w:proofErr w:type="spellEnd"/>
      <w:r w:rsidR="00DB4B27" w:rsidRPr="008D4446">
        <w:t>, K.M et al. Biologic Plausibility, Cellular Effects, and Molecular Mechanisms of Eicosapentaenoic Acid (EPA) in Atherosclerosis, Atherosclerosis, 2015; 242(1): 357-366.</w:t>
      </w:r>
    </w:p>
    <w:p w14:paraId="0442AFDD" w14:textId="7D53513D" w:rsidR="00324B33" w:rsidRPr="008D4446" w:rsidRDefault="00324B33" w:rsidP="00A928FC">
      <w:bookmarkStart w:id="25" w:name="_Toc314842485"/>
      <w:bookmarkStart w:id="26" w:name="_Toc247691504"/>
      <w:r w:rsidRPr="008D4446">
        <w:t xml:space="preserve">This submission was submitted through the TGA’s </w:t>
      </w:r>
      <w:hyperlink r:id="rId17" w:history="1">
        <w:r w:rsidRPr="008D4446">
          <w:rPr>
            <w:rStyle w:val="Hyperlink"/>
          </w:rPr>
          <w:t>Comparable Overseas Regulator</w:t>
        </w:r>
      </w:hyperlink>
      <w:r w:rsidRPr="008D4446">
        <w:t xml:space="preserve"> B (COR-B) process, using evaluation reports from </w:t>
      </w:r>
      <w:r w:rsidR="00F15D6F" w:rsidRPr="008D4446">
        <w:t>the European Medicines Agency (</w:t>
      </w:r>
      <w:r w:rsidR="00A928FC" w:rsidRPr="008D4446">
        <w:t>EMA</w:t>
      </w:r>
      <w:r w:rsidR="00F15D6F" w:rsidRPr="008D4446">
        <w:t>)</w:t>
      </w:r>
      <w:r w:rsidRPr="008D4446">
        <w:t>. The full dossier was submitted to the TGA.</w:t>
      </w:r>
    </w:p>
    <w:p w14:paraId="0D615854" w14:textId="77777777" w:rsidR="00324B33" w:rsidRPr="008D4446" w:rsidRDefault="00324B33" w:rsidP="00324B33">
      <w:pPr>
        <w:pStyle w:val="Heading3"/>
      </w:pPr>
      <w:bookmarkStart w:id="27" w:name="_Toc103679291"/>
      <w:bookmarkStart w:id="28" w:name="_Toc145413864"/>
      <w:r w:rsidRPr="008D4446">
        <w:t>Regulatory status</w:t>
      </w:r>
      <w:bookmarkEnd w:id="25"/>
      <w:bookmarkEnd w:id="26"/>
      <w:bookmarkEnd w:id="27"/>
      <w:bookmarkEnd w:id="28"/>
    </w:p>
    <w:p w14:paraId="6A8633FA" w14:textId="3E9402F4" w:rsidR="00324B33" w:rsidRPr="008D4446" w:rsidRDefault="00324B33" w:rsidP="00A928FC">
      <w:r w:rsidRPr="008D4446">
        <w:t>This product is considered a new chemical</w:t>
      </w:r>
      <w:r w:rsidR="008C754C" w:rsidRPr="008D4446">
        <w:t xml:space="preserve"> entity</w:t>
      </w:r>
      <w:r w:rsidRPr="008D4446">
        <w:t xml:space="preserve"> for Australian regulatory purposes.</w:t>
      </w:r>
    </w:p>
    <w:p w14:paraId="715B7D2A" w14:textId="6B403AE7" w:rsidR="00324B33" w:rsidRPr="008D4446" w:rsidRDefault="00324B33" w:rsidP="00A928FC">
      <w:r w:rsidRPr="008D4446">
        <w:t xml:space="preserve">At the time the TGA considered this submission, a similar submission had been approved in </w:t>
      </w:r>
      <w:r w:rsidR="00A928FC" w:rsidRPr="008D4446">
        <w:t xml:space="preserve">the </w:t>
      </w:r>
      <w:r w:rsidR="00A928FC" w:rsidRPr="008D4446">
        <w:rPr>
          <w:szCs w:val="22"/>
        </w:rPr>
        <w:t>European Union</w:t>
      </w:r>
      <w:r w:rsidR="00A928FC" w:rsidRPr="008D4446">
        <w:t xml:space="preserve"> </w:t>
      </w:r>
      <w:r w:rsidR="00A928FC" w:rsidRPr="008D4446">
        <w:rPr>
          <w:szCs w:val="22"/>
        </w:rPr>
        <w:t>on 26 March 2021, Great Britain</w:t>
      </w:r>
      <w:r w:rsidR="00A928FC" w:rsidRPr="008D4446">
        <w:t xml:space="preserve"> </w:t>
      </w:r>
      <w:r w:rsidR="00A928FC" w:rsidRPr="008D4446">
        <w:rPr>
          <w:szCs w:val="22"/>
        </w:rPr>
        <w:t>20 April 2021</w:t>
      </w:r>
      <w:r w:rsidR="00A928FC" w:rsidRPr="008D4446">
        <w:t xml:space="preserve">, </w:t>
      </w:r>
      <w:r w:rsidR="00C160CB" w:rsidRPr="008D4446">
        <w:t xml:space="preserve">the </w:t>
      </w:r>
      <w:r w:rsidR="00C160CB" w:rsidRPr="008D4446">
        <w:rPr>
          <w:szCs w:val="22"/>
        </w:rPr>
        <w:t>United</w:t>
      </w:r>
      <w:r w:rsidR="00A928FC" w:rsidRPr="008D4446">
        <w:rPr>
          <w:szCs w:val="22"/>
        </w:rPr>
        <w:t xml:space="preserve"> States of America</w:t>
      </w:r>
      <w:r w:rsidR="00A928FC" w:rsidRPr="008D4446">
        <w:t xml:space="preserve"> </w:t>
      </w:r>
      <w:r w:rsidR="00A928FC" w:rsidRPr="008D4446">
        <w:rPr>
          <w:szCs w:val="22"/>
        </w:rPr>
        <w:t>13 December 2019, Canada</w:t>
      </w:r>
      <w:r w:rsidR="00A928FC" w:rsidRPr="008D4446">
        <w:t xml:space="preserve"> on</w:t>
      </w:r>
      <w:r w:rsidR="00A928FC" w:rsidRPr="008D4446">
        <w:rPr>
          <w:szCs w:val="22"/>
        </w:rPr>
        <w:t xml:space="preserve"> 30 December 2019</w:t>
      </w:r>
      <w:r w:rsidRPr="008D4446">
        <w:t xml:space="preserve">. A similar submission was under consideration in </w:t>
      </w:r>
      <w:r w:rsidR="00A928FC" w:rsidRPr="008D4446">
        <w:t xml:space="preserve">Switzerland </w:t>
      </w:r>
      <w:r w:rsidRPr="008D4446">
        <w:t xml:space="preserve">(submitted on </w:t>
      </w:r>
      <w:r w:rsidR="00A928FC" w:rsidRPr="008D4446">
        <w:t>26 April 2021).</w:t>
      </w:r>
    </w:p>
    <w:p w14:paraId="1B9AB90D" w14:textId="3E8AA98C" w:rsidR="00324B33" w:rsidRPr="008D4446" w:rsidRDefault="00324B33" w:rsidP="00A928FC">
      <w:r w:rsidRPr="008D4446">
        <w:t>The following table summarises these submissions and provides the indications where approved.</w:t>
      </w:r>
    </w:p>
    <w:p w14:paraId="19B9E0AC" w14:textId="0CD28BEA" w:rsidR="00324B33" w:rsidRPr="008D4446" w:rsidRDefault="00324B33" w:rsidP="00324B33">
      <w:pPr>
        <w:pStyle w:val="TableTitle"/>
      </w:pPr>
      <w:bookmarkStart w:id="29" w:name="_Ref99705479"/>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1</w:t>
      </w:r>
      <w:r w:rsidR="00434F9A">
        <w:rPr>
          <w:noProof/>
        </w:rPr>
        <w:fldChar w:fldCharType="end"/>
      </w:r>
      <w:bookmarkEnd w:id="29"/>
      <w:r w:rsidRPr="008D4446">
        <w:t>: International regulatory status</w:t>
      </w:r>
    </w:p>
    <w:tbl>
      <w:tblPr>
        <w:tblStyle w:val="TableTGAblue2023"/>
        <w:tblW w:w="5000" w:type="pct"/>
        <w:tblLook w:val="04A0" w:firstRow="1" w:lastRow="0" w:firstColumn="1" w:lastColumn="0" w:noHBand="0" w:noVBand="1"/>
      </w:tblPr>
      <w:tblGrid>
        <w:gridCol w:w="1455"/>
        <w:gridCol w:w="1660"/>
        <w:gridCol w:w="1622"/>
        <w:gridCol w:w="4323"/>
      </w:tblGrid>
      <w:tr w:rsidR="00324B33" w:rsidRPr="008D4446" w14:paraId="405E5D78" w14:textId="16839333" w:rsidTr="00A9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3" w:type="pct"/>
          </w:tcPr>
          <w:p w14:paraId="185B099B" w14:textId="7A4C0E6C" w:rsidR="00324B33" w:rsidRPr="008D4446" w:rsidRDefault="00324B33" w:rsidP="00A928FC">
            <w:pPr>
              <w:ind w:left="0"/>
              <w:rPr>
                <w:szCs w:val="22"/>
              </w:rPr>
            </w:pPr>
            <w:r w:rsidRPr="008D4446">
              <w:rPr>
                <w:szCs w:val="22"/>
              </w:rPr>
              <w:t>Region</w:t>
            </w:r>
          </w:p>
        </w:tc>
        <w:tc>
          <w:tcPr>
            <w:tcW w:w="916" w:type="pct"/>
          </w:tcPr>
          <w:p w14:paraId="778C35C7" w14:textId="52D23C85" w:rsidR="00324B33" w:rsidRPr="008D4446" w:rsidRDefault="00324B33" w:rsidP="00A928FC">
            <w:pPr>
              <w:ind w:left="0"/>
              <w:cnfStyle w:val="100000000000" w:firstRow="1" w:lastRow="0" w:firstColumn="0" w:lastColumn="0" w:oddVBand="0" w:evenVBand="0" w:oddHBand="0" w:evenHBand="0" w:firstRowFirstColumn="0" w:firstRowLastColumn="0" w:lastRowFirstColumn="0" w:lastRowLastColumn="0"/>
              <w:rPr>
                <w:szCs w:val="22"/>
              </w:rPr>
            </w:pPr>
            <w:r w:rsidRPr="008D4446">
              <w:rPr>
                <w:szCs w:val="22"/>
              </w:rPr>
              <w:t>Submission date</w:t>
            </w:r>
          </w:p>
        </w:tc>
        <w:tc>
          <w:tcPr>
            <w:tcW w:w="895" w:type="pct"/>
          </w:tcPr>
          <w:p w14:paraId="58F81584" w14:textId="66689ABF" w:rsidR="00324B33" w:rsidRPr="008D4446" w:rsidRDefault="00324B33" w:rsidP="00A928FC">
            <w:pPr>
              <w:ind w:left="0"/>
              <w:cnfStyle w:val="100000000000" w:firstRow="1" w:lastRow="0" w:firstColumn="0" w:lastColumn="0" w:oddVBand="0" w:evenVBand="0" w:oddHBand="0" w:evenHBand="0" w:firstRowFirstColumn="0" w:firstRowLastColumn="0" w:lastRowFirstColumn="0" w:lastRowLastColumn="0"/>
              <w:rPr>
                <w:szCs w:val="22"/>
              </w:rPr>
            </w:pPr>
            <w:r w:rsidRPr="008D4446">
              <w:rPr>
                <w:szCs w:val="22"/>
              </w:rPr>
              <w:t>Status</w:t>
            </w:r>
          </w:p>
        </w:tc>
        <w:tc>
          <w:tcPr>
            <w:tcW w:w="2387" w:type="pct"/>
          </w:tcPr>
          <w:p w14:paraId="50B2D435" w14:textId="560588D2" w:rsidR="00324B33" w:rsidRPr="008D4446" w:rsidRDefault="00324B33" w:rsidP="00A928FC">
            <w:pPr>
              <w:ind w:left="0"/>
              <w:cnfStyle w:val="100000000000" w:firstRow="1" w:lastRow="0" w:firstColumn="0" w:lastColumn="0" w:oddVBand="0" w:evenVBand="0" w:oddHBand="0" w:evenHBand="0" w:firstRowFirstColumn="0" w:firstRowLastColumn="0" w:lastRowFirstColumn="0" w:lastRowLastColumn="0"/>
              <w:rPr>
                <w:szCs w:val="22"/>
              </w:rPr>
            </w:pPr>
            <w:r w:rsidRPr="008D4446">
              <w:rPr>
                <w:szCs w:val="22"/>
              </w:rPr>
              <w:t>Approved indications</w:t>
            </w:r>
          </w:p>
        </w:tc>
      </w:tr>
      <w:tr w:rsidR="00324B33" w:rsidRPr="008D4446" w14:paraId="38D24E86" w14:textId="77777777" w:rsidTr="00A928FC">
        <w:tc>
          <w:tcPr>
            <w:cnfStyle w:val="001000000000" w:firstRow="0" w:lastRow="0" w:firstColumn="1" w:lastColumn="0" w:oddVBand="0" w:evenVBand="0" w:oddHBand="0" w:evenHBand="0" w:firstRowFirstColumn="0" w:firstRowLastColumn="0" w:lastRowFirstColumn="0" w:lastRowLastColumn="0"/>
            <w:tcW w:w="803" w:type="pct"/>
          </w:tcPr>
          <w:p w14:paraId="4C540DE5" w14:textId="002FF279" w:rsidR="00324B33" w:rsidRPr="008D4446" w:rsidRDefault="00A928FC" w:rsidP="00A928FC">
            <w:pPr>
              <w:ind w:left="0"/>
              <w:rPr>
                <w:szCs w:val="22"/>
              </w:rPr>
            </w:pPr>
            <w:r w:rsidRPr="008D4446">
              <w:rPr>
                <w:szCs w:val="22"/>
              </w:rPr>
              <w:t>European Union</w:t>
            </w:r>
          </w:p>
        </w:tc>
        <w:tc>
          <w:tcPr>
            <w:tcW w:w="916" w:type="pct"/>
          </w:tcPr>
          <w:p w14:paraId="4FA5DDA9" w14:textId="5111E8D1" w:rsidR="00324B33"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11 November 2019</w:t>
            </w:r>
          </w:p>
        </w:tc>
        <w:tc>
          <w:tcPr>
            <w:tcW w:w="895" w:type="pct"/>
          </w:tcPr>
          <w:p w14:paraId="29358393" w14:textId="3797AE99" w:rsidR="00324B33" w:rsidRPr="008D4446" w:rsidRDefault="00324B33"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 xml:space="preserve">Approved on </w:t>
            </w:r>
            <w:r w:rsidR="00A928FC" w:rsidRPr="008D4446">
              <w:rPr>
                <w:szCs w:val="22"/>
              </w:rPr>
              <w:t>26 March 2021</w:t>
            </w:r>
          </w:p>
        </w:tc>
        <w:tc>
          <w:tcPr>
            <w:tcW w:w="2387" w:type="pct"/>
          </w:tcPr>
          <w:p w14:paraId="0828E432" w14:textId="77777777"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i/>
                <w:iCs/>
                <w:szCs w:val="22"/>
              </w:rPr>
            </w:pPr>
            <w:r w:rsidRPr="008D4446">
              <w:rPr>
                <w:i/>
                <w:iCs/>
                <w:szCs w:val="22"/>
              </w:rPr>
              <w:t>Vazkepa is indicated to reduce the risk of cardiovascular events in adult statin-treated patients at high cardiovascular risk with elevated triglycerides (≥ 150 mg/dL [≥ 1.7 mmol/L]) and</w:t>
            </w:r>
          </w:p>
          <w:p w14:paraId="23C6FBD4" w14:textId="3D132416" w:rsidR="00A928FC"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established cardiovascular disease, or</w:t>
            </w:r>
          </w:p>
          <w:p w14:paraId="05055674" w14:textId="442114B6" w:rsidR="00324B33"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diabetes, and at least one other cardiovascular risk factor.</w:t>
            </w:r>
          </w:p>
        </w:tc>
      </w:tr>
      <w:tr w:rsidR="00324B33" w:rsidRPr="008D4446" w14:paraId="18B6E2AA" w14:textId="7783D66F" w:rsidTr="00A928FC">
        <w:tc>
          <w:tcPr>
            <w:cnfStyle w:val="001000000000" w:firstRow="0" w:lastRow="0" w:firstColumn="1" w:lastColumn="0" w:oddVBand="0" w:evenVBand="0" w:oddHBand="0" w:evenHBand="0" w:firstRowFirstColumn="0" w:firstRowLastColumn="0" w:lastRowFirstColumn="0" w:lastRowLastColumn="0"/>
            <w:tcW w:w="803" w:type="pct"/>
          </w:tcPr>
          <w:p w14:paraId="7F348960" w14:textId="0E305AD6" w:rsidR="00324B33" w:rsidRPr="008D4446" w:rsidRDefault="00A928FC" w:rsidP="00A928FC">
            <w:pPr>
              <w:ind w:left="0"/>
              <w:rPr>
                <w:szCs w:val="22"/>
              </w:rPr>
            </w:pPr>
            <w:r w:rsidRPr="008D4446">
              <w:rPr>
                <w:szCs w:val="22"/>
              </w:rPr>
              <w:t>Great Britain</w:t>
            </w:r>
          </w:p>
        </w:tc>
        <w:tc>
          <w:tcPr>
            <w:tcW w:w="916" w:type="pct"/>
          </w:tcPr>
          <w:p w14:paraId="1D871E57" w14:textId="23091FC5" w:rsidR="00324B33"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2 February 2021</w:t>
            </w:r>
          </w:p>
        </w:tc>
        <w:tc>
          <w:tcPr>
            <w:tcW w:w="895" w:type="pct"/>
          </w:tcPr>
          <w:p w14:paraId="63A3A9D3" w14:textId="12F82EF3" w:rsidR="00324B33"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Approved on 20 April 2021</w:t>
            </w:r>
          </w:p>
        </w:tc>
        <w:tc>
          <w:tcPr>
            <w:tcW w:w="2387" w:type="pct"/>
          </w:tcPr>
          <w:p w14:paraId="028B2A23" w14:textId="77777777"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i/>
                <w:iCs/>
                <w:szCs w:val="22"/>
              </w:rPr>
            </w:pPr>
            <w:r w:rsidRPr="008D4446">
              <w:rPr>
                <w:i/>
                <w:iCs/>
                <w:szCs w:val="22"/>
              </w:rPr>
              <w:t>Vazkepa is indicated to reduce the risk of cardiovascular events in adult statin-treated patients at high cardiovascular risk with elevated triglycerides (150 mg/dL [≥ 1.7 mmol/L]) and</w:t>
            </w:r>
          </w:p>
          <w:p w14:paraId="2FDC3B63" w14:textId="41D3CE6B" w:rsidR="00A928FC"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established cardiovascular disease, or</w:t>
            </w:r>
          </w:p>
          <w:p w14:paraId="17C650B8" w14:textId="7FEDE044" w:rsidR="00324B33"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diabetes, and at least one other cardiovascular risk factor</w:t>
            </w:r>
          </w:p>
        </w:tc>
      </w:tr>
      <w:tr w:rsidR="00A928FC" w:rsidRPr="008D4446" w14:paraId="72402A74" w14:textId="77777777" w:rsidTr="00A928FC">
        <w:tc>
          <w:tcPr>
            <w:cnfStyle w:val="001000000000" w:firstRow="0" w:lastRow="0" w:firstColumn="1" w:lastColumn="0" w:oddVBand="0" w:evenVBand="0" w:oddHBand="0" w:evenHBand="0" w:firstRowFirstColumn="0" w:firstRowLastColumn="0" w:lastRowFirstColumn="0" w:lastRowLastColumn="0"/>
            <w:tcW w:w="803" w:type="pct"/>
          </w:tcPr>
          <w:p w14:paraId="06DB4625" w14:textId="601E8FC6" w:rsidR="00A928FC" w:rsidRPr="008D4446" w:rsidRDefault="00225197" w:rsidP="00A928FC">
            <w:pPr>
              <w:ind w:left="0"/>
              <w:rPr>
                <w:szCs w:val="22"/>
              </w:rPr>
            </w:pPr>
            <w:r>
              <w:rPr>
                <w:szCs w:val="22"/>
              </w:rPr>
              <w:t>United</w:t>
            </w:r>
            <w:r w:rsidRPr="008D4446">
              <w:rPr>
                <w:szCs w:val="22"/>
              </w:rPr>
              <w:t xml:space="preserve"> </w:t>
            </w:r>
            <w:r w:rsidR="00A928FC" w:rsidRPr="008D4446">
              <w:rPr>
                <w:szCs w:val="22"/>
              </w:rPr>
              <w:t>States of America</w:t>
            </w:r>
          </w:p>
        </w:tc>
        <w:tc>
          <w:tcPr>
            <w:tcW w:w="916" w:type="pct"/>
          </w:tcPr>
          <w:p w14:paraId="251EA953" w14:textId="5301A239"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28 March 2019</w:t>
            </w:r>
          </w:p>
        </w:tc>
        <w:tc>
          <w:tcPr>
            <w:tcW w:w="895" w:type="pct"/>
          </w:tcPr>
          <w:p w14:paraId="24528B41" w14:textId="562DE6B5"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Approved on 13 December 2019</w:t>
            </w:r>
          </w:p>
        </w:tc>
        <w:tc>
          <w:tcPr>
            <w:tcW w:w="2387" w:type="pct"/>
          </w:tcPr>
          <w:p w14:paraId="0BBCF601" w14:textId="40EF9F1B"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8D4446">
              <w:rPr>
                <w:i/>
                <w:iCs/>
                <w:szCs w:val="22"/>
              </w:rPr>
              <w:t>Vascepa</w:t>
            </w:r>
            <w:proofErr w:type="spellEnd"/>
            <w:r w:rsidRPr="008D4446">
              <w:rPr>
                <w:i/>
                <w:iCs/>
                <w:szCs w:val="22"/>
              </w:rPr>
              <w:t xml:space="preserve"> is approved as an adjunct to maximally tolerated statin therapy to reduce the risk of myocardial infarction, stroke, coronary revascularization, and unstable angina requiring hospitalization in adult patients with elevated </w:t>
            </w:r>
            <w:proofErr w:type="spellStart"/>
            <w:r w:rsidRPr="008D4446">
              <w:rPr>
                <w:i/>
                <w:iCs/>
                <w:szCs w:val="22"/>
              </w:rPr>
              <w:t>triglcyeride</w:t>
            </w:r>
            <w:proofErr w:type="spellEnd"/>
            <w:r w:rsidRPr="008D4446">
              <w:rPr>
                <w:i/>
                <w:iCs/>
                <w:szCs w:val="22"/>
              </w:rPr>
              <w:t xml:space="preserve"> (TG) levels (≥ 150 mg/dL) and</w:t>
            </w:r>
          </w:p>
          <w:p w14:paraId="6B363A62" w14:textId="14765F4E" w:rsidR="00A928FC"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established cardiovascular disease, or</w:t>
            </w:r>
          </w:p>
          <w:p w14:paraId="0DB4F5A3" w14:textId="6B290490" w:rsidR="00A928FC"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diabetes mellitus and 2 or more additional risk factors for cardiovascular disease.</w:t>
            </w:r>
          </w:p>
        </w:tc>
      </w:tr>
      <w:tr w:rsidR="00A928FC" w:rsidRPr="008D4446" w14:paraId="5A5B193A" w14:textId="77777777" w:rsidTr="00A928FC">
        <w:tc>
          <w:tcPr>
            <w:cnfStyle w:val="001000000000" w:firstRow="0" w:lastRow="0" w:firstColumn="1" w:lastColumn="0" w:oddVBand="0" w:evenVBand="0" w:oddHBand="0" w:evenHBand="0" w:firstRowFirstColumn="0" w:firstRowLastColumn="0" w:lastRowFirstColumn="0" w:lastRowLastColumn="0"/>
            <w:tcW w:w="803" w:type="pct"/>
          </w:tcPr>
          <w:p w14:paraId="60F1B17E" w14:textId="4C6AB6C2" w:rsidR="00A928FC" w:rsidRPr="008D4446" w:rsidRDefault="00A928FC" w:rsidP="00A928FC">
            <w:pPr>
              <w:ind w:left="0"/>
              <w:rPr>
                <w:szCs w:val="22"/>
              </w:rPr>
            </w:pPr>
            <w:r w:rsidRPr="008D4446">
              <w:rPr>
                <w:szCs w:val="22"/>
              </w:rPr>
              <w:t>Canada</w:t>
            </w:r>
          </w:p>
        </w:tc>
        <w:tc>
          <w:tcPr>
            <w:tcW w:w="916" w:type="pct"/>
          </w:tcPr>
          <w:p w14:paraId="3333126E" w14:textId="5A2BA953"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26 April 2019</w:t>
            </w:r>
          </w:p>
        </w:tc>
        <w:tc>
          <w:tcPr>
            <w:tcW w:w="895" w:type="pct"/>
          </w:tcPr>
          <w:p w14:paraId="4956CFC4" w14:textId="39F8A411"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Approved on 30 December 2019</w:t>
            </w:r>
          </w:p>
        </w:tc>
        <w:tc>
          <w:tcPr>
            <w:tcW w:w="2387" w:type="pct"/>
          </w:tcPr>
          <w:p w14:paraId="45CA4C82" w14:textId="77777777"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i/>
                <w:iCs/>
                <w:szCs w:val="22"/>
              </w:rPr>
            </w:pPr>
            <w:proofErr w:type="spellStart"/>
            <w:r w:rsidRPr="008D4446">
              <w:rPr>
                <w:i/>
                <w:iCs/>
                <w:szCs w:val="22"/>
              </w:rPr>
              <w:t>Vascepa</w:t>
            </w:r>
            <w:proofErr w:type="spellEnd"/>
            <w:r w:rsidRPr="008D4446">
              <w:rPr>
                <w:i/>
                <w:iCs/>
                <w:szCs w:val="22"/>
              </w:rPr>
              <w:t xml:space="preserve"> (</w:t>
            </w:r>
            <w:proofErr w:type="spellStart"/>
            <w:r w:rsidRPr="008D4446">
              <w:rPr>
                <w:i/>
                <w:iCs/>
                <w:szCs w:val="22"/>
              </w:rPr>
              <w:t>icosapent</w:t>
            </w:r>
            <w:proofErr w:type="spellEnd"/>
            <w:r w:rsidRPr="008D4446">
              <w:rPr>
                <w:i/>
                <w:iCs/>
                <w:szCs w:val="22"/>
              </w:rPr>
              <w:t xml:space="preserve"> ethyl) is indicated to reduce the risk of cardiovascular events (cardiovascular death, non-fatal myocardial infarction, non-fatal stroke, coronary </w:t>
            </w:r>
            <w:proofErr w:type="gramStart"/>
            <w:r w:rsidRPr="008D4446">
              <w:rPr>
                <w:i/>
                <w:iCs/>
                <w:szCs w:val="22"/>
              </w:rPr>
              <w:t>revascularization</w:t>
            </w:r>
            <w:proofErr w:type="gramEnd"/>
            <w:r w:rsidRPr="008D4446">
              <w:rPr>
                <w:i/>
                <w:iCs/>
                <w:szCs w:val="22"/>
              </w:rPr>
              <w:t xml:space="preserve"> or hospitalization for unstable angina) in statin-treated patients with elevated triglycerides, who are at high risk of cardiovascular events due to:</w:t>
            </w:r>
          </w:p>
          <w:p w14:paraId="7CE5E479" w14:textId="7F0FEA49" w:rsidR="00A928FC"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established cardiovascular disease, or</w:t>
            </w:r>
          </w:p>
          <w:p w14:paraId="226D68D3" w14:textId="1ACC88BF" w:rsidR="00A928FC" w:rsidRPr="008D4446" w:rsidRDefault="00A928FC" w:rsidP="00A928FC">
            <w:pPr>
              <w:pStyle w:val="ListBullet"/>
              <w:cnfStyle w:val="000000000000" w:firstRow="0" w:lastRow="0" w:firstColumn="0" w:lastColumn="0" w:oddVBand="0" w:evenVBand="0" w:oddHBand="0" w:evenHBand="0" w:firstRowFirstColumn="0" w:firstRowLastColumn="0" w:lastRowFirstColumn="0" w:lastRowLastColumn="0"/>
              <w:rPr>
                <w:i/>
                <w:iCs/>
              </w:rPr>
            </w:pPr>
            <w:r w:rsidRPr="008D4446">
              <w:rPr>
                <w:i/>
                <w:iCs/>
              </w:rPr>
              <w:t>diabetes, and at least one other cardiovascular risk factor.</w:t>
            </w:r>
          </w:p>
        </w:tc>
      </w:tr>
      <w:tr w:rsidR="00A928FC" w:rsidRPr="008D4446" w14:paraId="110F30AF" w14:textId="77777777" w:rsidTr="00A928FC">
        <w:tc>
          <w:tcPr>
            <w:cnfStyle w:val="001000000000" w:firstRow="0" w:lastRow="0" w:firstColumn="1" w:lastColumn="0" w:oddVBand="0" w:evenVBand="0" w:oddHBand="0" w:evenHBand="0" w:firstRowFirstColumn="0" w:firstRowLastColumn="0" w:lastRowFirstColumn="0" w:lastRowLastColumn="0"/>
            <w:tcW w:w="803" w:type="pct"/>
          </w:tcPr>
          <w:p w14:paraId="202ACB7A" w14:textId="030570CA" w:rsidR="00A928FC" w:rsidRPr="008D4446" w:rsidRDefault="00A928FC" w:rsidP="00A928FC">
            <w:pPr>
              <w:ind w:left="0"/>
              <w:rPr>
                <w:szCs w:val="22"/>
              </w:rPr>
            </w:pPr>
            <w:r w:rsidRPr="008D4446">
              <w:rPr>
                <w:szCs w:val="22"/>
              </w:rPr>
              <w:lastRenderedPageBreak/>
              <w:t>Switzerland</w:t>
            </w:r>
          </w:p>
        </w:tc>
        <w:tc>
          <w:tcPr>
            <w:tcW w:w="916" w:type="pct"/>
          </w:tcPr>
          <w:p w14:paraId="24CCDDF0" w14:textId="292BD48C"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26 April 2021</w:t>
            </w:r>
          </w:p>
        </w:tc>
        <w:tc>
          <w:tcPr>
            <w:tcW w:w="895" w:type="pct"/>
          </w:tcPr>
          <w:p w14:paraId="626B1920" w14:textId="019FBF1E" w:rsidR="00A928FC" w:rsidRPr="008D4446" w:rsidRDefault="00A928FC" w:rsidP="00A928FC">
            <w:pPr>
              <w:ind w:left="0"/>
              <w:cnfStyle w:val="000000000000" w:firstRow="0" w:lastRow="0" w:firstColumn="0" w:lastColumn="0" w:oddVBand="0" w:evenVBand="0" w:oddHBand="0" w:evenHBand="0" w:firstRowFirstColumn="0" w:firstRowLastColumn="0" w:lastRowFirstColumn="0" w:lastRowLastColumn="0"/>
              <w:rPr>
                <w:szCs w:val="22"/>
              </w:rPr>
            </w:pPr>
            <w:r w:rsidRPr="008D4446">
              <w:rPr>
                <w:szCs w:val="22"/>
              </w:rPr>
              <w:t>Under consideration</w:t>
            </w:r>
          </w:p>
        </w:tc>
        <w:tc>
          <w:tcPr>
            <w:tcW w:w="2387" w:type="pct"/>
          </w:tcPr>
          <w:p w14:paraId="41AFD1C4" w14:textId="365008E0" w:rsidR="00A928FC" w:rsidRPr="008D4446" w:rsidRDefault="00A928FC" w:rsidP="00A928FC">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Under consideration</w:t>
            </w:r>
          </w:p>
        </w:tc>
      </w:tr>
    </w:tbl>
    <w:p w14:paraId="064CCADF" w14:textId="77777777" w:rsidR="00324B33" w:rsidRPr="008D4446" w:rsidRDefault="00324B33" w:rsidP="00324B33">
      <w:pPr>
        <w:pStyle w:val="Heading3"/>
      </w:pPr>
      <w:bookmarkStart w:id="30" w:name="_Toc103679292"/>
      <w:bookmarkStart w:id="31" w:name="_Toc145413865"/>
      <w:r w:rsidRPr="008D4446">
        <w:t>Product Information</w:t>
      </w:r>
      <w:bookmarkEnd w:id="30"/>
      <w:bookmarkEnd w:id="31"/>
    </w:p>
    <w:p w14:paraId="4B0F7D57" w14:textId="5B61F2D3" w:rsidR="00324B33" w:rsidRPr="008D4446" w:rsidRDefault="00324B33" w:rsidP="00324B33">
      <w:pPr>
        <w:rPr>
          <w:szCs w:val="22"/>
        </w:rPr>
      </w:pPr>
      <w:bookmarkStart w:id="32" w:name="_Toc504480011"/>
      <w:r w:rsidRPr="008D4446">
        <w:rPr>
          <w:szCs w:val="22"/>
        </w:rPr>
        <w:t xml:space="preserve">The </w:t>
      </w:r>
      <w:hyperlink r:id="rId18" w:history="1">
        <w:r w:rsidRPr="008D4446">
          <w:rPr>
            <w:rStyle w:val="Hyperlink"/>
            <w:szCs w:val="22"/>
          </w:rPr>
          <w:t>Product Information</w:t>
        </w:r>
      </w:hyperlink>
      <w:r w:rsidRPr="008D4446">
        <w:rPr>
          <w:szCs w:val="22"/>
        </w:rPr>
        <w:t xml:space="preserve"> (</w:t>
      </w:r>
      <w:hyperlink r:id="rId19" w:history="1">
        <w:r w:rsidRPr="008D4446">
          <w:rPr>
            <w:rStyle w:val="Hyperlink"/>
            <w:szCs w:val="22"/>
          </w:rPr>
          <w:t>PI</w:t>
        </w:r>
      </w:hyperlink>
      <w:r w:rsidRPr="008D4446">
        <w:rPr>
          <w:szCs w:val="22"/>
        </w:rPr>
        <w:t>) approved with the submission which is described in this AusPAR can be found as Attachment 1. For the most recent PI</w:t>
      </w:r>
      <w:r w:rsidR="00A93DC6" w:rsidRPr="008D4446">
        <w:rPr>
          <w:szCs w:val="22"/>
        </w:rPr>
        <w:t xml:space="preserve"> and </w:t>
      </w:r>
      <w:hyperlink r:id="rId20" w:history="1">
        <w:r w:rsidR="00A93DC6" w:rsidRPr="008D4446">
          <w:rPr>
            <w:rStyle w:val="Hyperlink"/>
            <w:szCs w:val="22"/>
          </w:rPr>
          <w:t>Consumer Medicines Information</w:t>
        </w:r>
      </w:hyperlink>
      <w:r w:rsidR="00A93DC6" w:rsidRPr="008D4446">
        <w:rPr>
          <w:szCs w:val="22"/>
        </w:rPr>
        <w:t xml:space="preserve"> (CMI)</w:t>
      </w:r>
      <w:r w:rsidRPr="008D4446">
        <w:rPr>
          <w:szCs w:val="22"/>
        </w:rPr>
        <w:t xml:space="preserve">, please refer to the TGA </w:t>
      </w:r>
      <w:hyperlink r:id="rId21" w:history="1">
        <w:r w:rsidRPr="008D4446">
          <w:rPr>
            <w:rStyle w:val="Hyperlink"/>
            <w:szCs w:val="22"/>
          </w:rPr>
          <w:t>PI/CMI search facility.</w:t>
        </w:r>
      </w:hyperlink>
    </w:p>
    <w:p w14:paraId="6D92589C" w14:textId="77777777" w:rsidR="00324B33" w:rsidRPr="008D4446" w:rsidRDefault="00324B33" w:rsidP="00324B33">
      <w:pPr>
        <w:pStyle w:val="Heading2"/>
      </w:pPr>
      <w:bookmarkStart w:id="33" w:name="_Toc103679293"/>
      <w:bookmarkStart w:id="34" w:name="_Toc145413866"/>
      <w:r w:rsidRPr="008D4446">
        <w:t>Registration timeline</w:t>
      </w:r>
      <w:bookmarkEnd w:id="32"/>
      <w:bookmarkEnd w:id="33"/>
      <w:bookmarkEnd w:id="34"/>
    </w:p>
    <w:p w14:paraId="225E3D87" w14:textId="1F3070CE" w:rsidR="00324B33" w:rsidRPr="008D4446" w:rsidRDefault="00324B33" w:rsidP="00324B33">
      <w:pPr>
        <w:rPr>
          <w:szCs w:val="22"/>
        </w:rPr>
      </w:pPr>
      <w:r w:rsidRPr="008D4446">
        <w:rPr>
          <w:szCs w:val="22"/>
        </w:rPr>
        <w:t>The following table captures the key steps and dates for this submission.</w:t>
      </w:r>
    </w:p>
    <w:p w14:paraId="6BB76942" w14:textId="34826C99" w:rsidR="00477C4E" w:rsidRPr="008D4446" w:rsidRDefault="00477C4E" w:rsidP="00324B33">
      <w:pPr>
        <w:rPr>
          <w:szCs w:val="22"/>
        </w:rPr>
      </w:pPr>
      <w:r w:rsidRPr="008D4446">
        <w:rPr>
          <w:szCs w:val="22"/>
        </w:rPr>
        <w:t xml:space="preserve">This submission was evaluated under the </w:t>
      </w:r>
      <w:hyperlink r:id="rId22" w:history="1">
        <w:r w:rsidRPr="008D4446">
          <w:rPr>
            <w:rStyle w:val="Hyperlink"/>
            <w:szCs w:val="22"/>
          </w:rPr>
          <w:t>standard prescription medicines registration process</w:t>
        </w:r>
      </w:hyperlink>
      <w:r w:rsidRPr="008D4446">
        <w:rPr>
          <w:szCs w:val="22"/>
        </w:rPr>
        <w:t>.</w:t>
      </w:r>
    </w:p>
    <w:p w14:paraId="44628C5F" w14:textId="5FBB8225" w:rsidR="00324B33" w:rsidRPr="008D4446" w:rsidRDefault="00324B33" w:rsidP="0013528C">
      <w:pPr>
        <w:pStyle w:val="TableTitle"/>
      </w:pPr>
      <w:r w:rsidRPr="008D4446">
        <w:t xml:space="preserve">Table </w:t>
      </w:r>
      <w:r w:rsidR="00434F9A">
        <w:fldChar w:fldCharType="begin"/>
      </w:r>
      <w:r w:rsidR="00434F9A">
        <w:instrText xml:space="preserve"> SEQ Ta</w:instrText>
      </w:r>
      <w:r w:rsidR="00434F9A">
        <w:instrText xml:space="preserve">ble \* ARABIC </w:instrText>
      </w:r>
      <w:r w:rsidR="00434F9A">
        <w:fldChar w:fldCharType="separate"/>
      </w:r>
      <w:r w:rsidR="00703D92">
        <w:rPr>
          <w:noProof/>
        </w:rPr>
        <w:t>2</w:t>
      </w:r>
      <w:r w:rsidR="00434F9A">
        <w:rPr>
          <w:noProof/>
        </w:rPr>
        <w:fldChar w:fldCharType="end"/>
      </w:r>
      <w:r w:rsidRPr="008D4446">
        <w:t xml:space="preserve">: Timeline for Submission </w:t>
      </w:r>
      <w:r w:rsidR="00A928FC" w:rsidRPr="008D4446">
        <w:t>PM-2021-05861-1-3</w:t>
      </w:r>
    </w:p>
    <w:tbl>
      <w:tblPr>
        <w:tblStyle w:val="TableTGAblue2023"/>
        <w:tblW w:w="8642" w:type="dxa"/>
        <w:tblLook w:val="04A0" w:firstRow="1" w:lastRow="0" w:firstColumn="1" w:lastColumn="0" w:noHBand="0" w:noVBand="1"/>
      </w:tblPr>
      <w:tblGrid>
        <w:gridCol w:w="5807"/>
        <w:gridCol w:w="2835"/>
      </w:tblGrid>
      <w:tr w:rsidR="00324B33" w:rsidRPr="008D4446" w14:paraId="6C59BE9C" w14:textId="77777777" w:rsidTr="00434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6D80E78" w14:textId="3EC0CCAF" w:rsidR="00324B33" w:rsidRPr="008D4446" w:rsidRDefault="00324B33" w:rsidP="00324B33">
            <w:pPr>
              <w:rPr>
                <w:szCs w:val="22"/>
              </w:rPr>
            </w:pPr>
            <w:r w:rsidRPr="008D4446">
              <w:rPr>
                <w:szCs w:val="22"/>
              </w:rPr>
              <w:t>Description</w:t>
            </w:r>
          </w:p>
        </w:tc>
        <w:tc>
          <w:tcPr>
            <w:tcW w:w="2835" w:type="dxa"/>
          </w:tcPr>
          <w:p w14:paraId="79AFDC4B" w14:textId="05792035" w:rsidR="00324B33" w:rsidRPr="008D4446"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8D4446">
              <w:rPr>
                <w:szCs w:val="22"/>
              </w:rPr>
              <w:t>Date</w:t>
            </w:r>
          </w:p>
        </w:tc>
      </w:tr>
      <w:tr w:rsidR="00324B33" w:rsidRPr="008D4446" w14:paraId="23610C53"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759D2A12" w14:textId="0D705F83" w:rsidR="00324B33" w:rsidRPr="008D4446" w:rsidRDefault="00324B33" w:rsidP="00324B33">
            <w:pPr>
              <w:rPr>
                <w:szCs w:val="22"/>
              </w:rPr>
            </w:pPr>
            <w:r w:rsidRPr="008D4446">
              <w:rPr>
                <w:szCs w:val="22"/>
              </w:rPr>
              <w:t>Submission dossier accepted and first round evaluation commenced</w:t>
            </w:r>
          </w:p>
        </w:tc>
        <w:tc>
          <w:tcPr>
            <w:tcW w:w="2835" w:type="dxa"/>
          </w:tcPr>
          <w:p w14:paraId="2963D9D8" w14:textId="5AC0B779"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15 February 2022</w:t>
            </w:r>
          </w:p>
        </w:tc>
      </w:tr>
      <w:tr w:rsidR="00324B33" w:rsidRPr="008D4446" w14:paraId="53437815"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4C037D4E" w14:textId="2B0CE255" w:rsidR="00324B33" w:rsidRPr="008D4446" w:rsidRDefault="00324B33" w:rsidP="00324B33">
            <w:pPr>
              <w:rPr>
                <w:szCs w:val="22"/>
              </w:rPr>
            </w:pPr>
            <w:r w:rsidRPr="008D4446">
              <w:rPr>
                <w:szCs w:val="22"/>
              </w:rPr>
              <w:t>First round evaluation completed</w:t>
            </w:r>
          </w:p>
        </w:tc>
        <w:tc>
          <w:tcPr>
            <w:tcW w:w="2835" w:type="dxa"/>
          </w:tcPr>
          <w:p w14:paraId="3CEAFAAB" w14:textId="019A168F"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31 May 2022</w:t>
            </w:r>
          </w:p>
        </w:tc>
      </w:tr>
      <w:tr w:rsidR="00324B33" w:rsidRPr="008D4446" w14:paraId="60DA57CC"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02EA1147" w14:textId="2853A422" w:rsidR="00324B33" w:rsidRPr="008D4446" w:rsidRDefault="00324B33" w:rsidP="00324B33">
            <w:pPr>
              <w:rPr>
                <w:szCs w:val="22"/>
              </w:rPr>
            </w:pPr>
            <w:r w:rsidRPr="008D4446">
              <w:rPr>
                <w:szCs w:val="22"/>
              </w:rPr>
              <w:t>Sponsor provides responses on questions raised in first round evaluation</w:t>
            </w:r>
          </w:p>
        </w:tc>
        <w:tc>
          <w:tcPr>
            <w:tcW w:w="2835" w:type="dxa"/>
          </w:tcPr>
          <w:p w14:paraId="68A577C1" w14:textId="33C1B3E2"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24 June 2022</w:t>
            </w:r>
          </w:p>
        </w:tc>
      </w:tr>
      <w:tr w:rsidR="00324B33" w:rsidRPr="008D4446" w14:paraId="767E33A4"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4AFC5B50" w14:textId="2BCC6A3E" w:rsidR="00324B33" w:rsidRPr="008D4446" w:rsidRDefault="00324B33" w:rsidP="00324B33">
            <w:pPr>
              <w:rPr>
                <w:szCs w:val="22"/>
              </w:rPr>
            </w:pPr>
            <w:r w:rsidRPr="008D4446">
              <w:rPr>
                <w:szCs w:val="22"/>
              </w:rPr>
              <w:t>Second round evaluation completed</w:t>
            </w:r>
          </w:p>
        </w:tc>
        <w:tc>
          <w:tcPr>
            <w:tcW w:w="2835" w:type="dxa"/>
          </w:tcPr>
          <w:p w14:paraId="4E47DF62" w14:textId="6FF999A2"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11 August 2022</w:t>
            </w:r>
          </w:p>
        </w:tc>
      </w:tr>
      <w:tr w:rsidR="00324B33" w:rsidRPr="008D4446" w14:paraId="302FCB45"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716E9DC1" w14:textId="0C50CAEC" w:rsidR="00324B33" w:rsidRPr="008D4446" w:rsidRDefault="00324B33" w:rsidP="00324B33">
            <w:pPr>
              <w:rPr>
                <w:szCs w:val="22"/>
              </w:rPr>
            </w:pPr>
            <w:r w:rsidRPr="008D4446">
              <w:rPr>
                <w:color w:val="000000" w:themeColor="text1"/>
                <w:szCs w:val="22"/>
              </w:rPr>
              <w:t>Delegate’s Overall benefit-risk assessment and request for Advisory Committee advice</w:t>
            </w:r>
          </w:p>
        </w:tc>
        <w:tc>
          <w:tcPr>
            <w:tcW w:w="2835" w:type="dxa"/>
          </w:tcPr>
          <w:p w14:paraId="3BA6EF79" w14:textId="3F788391"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2 September 2022</w:t>
            </w:r>
          </w:p>
        </w:tc>
      </w:tr>
      <w:tr w:rsidR="00324B33" w:rsidRPr="008D4446" w14:paraId="5832EBC8"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720592DE" w14:textId="1F72CD22" w:rsidR="00324B33" w:rsidRPr="008D4446" w:rsidRDefault="00324B33" w:rsidP="00324B33">
            <w:pPr>
              <w:rPr>
                <w:szCs w:val="22"/>
              </w:rPr>
            </w:pPr>
            <w:r w:rsidRPr="008D4446">
              <w:rPr>
                <w:szCs w:val="22"/>
              </w:rPr>
              <w:t>Sponsor’s pre-Advisory Committee response</w:t>
            </w:r>
          </w:p>
        </w:tc>
        <w:tc>
          <w:tcPr>
            <w:tcW w:w="2835" w:type="dxa"/>
          </w:tcPr>
          <w:p w14:paraId="5AE04841" w14:textId="301A73BB"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19 September 2022</w:t>
            </w:r>
          </w:p>
        </w:tc>
      </w:tr>
      <w:tr w:rsidR="00324B33" w:rsidRPr="008D4446" w14:paraId="5754F7AC"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789DE187" w14:textId="123446EE" w:rsidR="00324B33" w:rsidRPr="008D4446" w:rsidRDefault="00324B33" w:rsidP="00324B33">
            <w:pPr>
              <w:rPr>
                <w:szCs w:val="22"/>
              </w:rPr>
            </w:pPr>
            <w:r w:rsidRPr="008D4446">
              <w:rPr>
                <w:szCs w:val="22"/>
              </w:rPr>
              <w:t>Advisory Committee meeting</w:t>
            </w:r>
          </w:p>
        </w:tc>
        <w:tc>
          <w:tcPr>
            <w:tcW w:w="2835" w:type="dxa"/>
          </w:tcPr>
          <w:p w14:paraId="5BE1EDE7" w14:textId="77D1C971"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6 and 7 October 2022</w:t>
            </w:r>
          </w:p>
        </w:tc>
      </w:tr>
      <w:tr w:rsidR="00324B33" w:rsidRPr="008D4446" w14:paraId="6E5D32FE"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4E95C44C" w14:textId="7A91C710" w:rsidR="00324B33" w:rsidRPr="008D4446" w:rsidRDefault="00324B33" w:rsidP="00324B33">
            <w:pPr>
              <w:rPr>
                <w:szCs w:val="22"/>
              </w:rPr>
            </w:pPr>
            <w:r w:rsidRPr="008D4446">
              <w:rPr>
                <w:szCs w:val="22"/>
              </w:rPr>
              <w:t>Registration decision (Outcome)</w:t>
            </w:r>
          </w:p>
        </w:tc>
        <w:tc>
          <w:tcPr>
            <w:tcW w:w="2835" w:type="dxa"/>
          </w:tcPr>
          <w:p w14:paraId="62987ABD" w14:textId="77E2B7B5"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2 November 2022</w:t>
            </w:r>
          </w:p>
        </w:tc>
      </w:tr>
      <w:tr w:rsidR="00324B33" w:rsidRPr="008D4446" w14:paraId="6DDCDDA4"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192FD19D" w14:textId="7D5F96C5" w:rsidR="00324B33" w:rsidRPr="008D4446" w:rsidRDefault="0013132F" w:rsidP="00324B33">
            <w:pPr>
              <w:rPr>
                <w:szCs w:val="22"/>
              </w:rPr>
            </w:pPr>
            <w:r w:rsidRPr="008D4446">
              <w:t>Administrative activities and registration on the ARTG completed</w:t>
            </w:r>
          </w:p>
        </w:tc>
        <w:tc>
          <w:tcPr>
            <w:tcW w:w="2835" w:type="dxa"/>
          </w:tcPr>
          <w:p w14:paraId="5A8923FD" w14:textId="319C1995"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8 November 2022</w:t>
            </w:r>
          </w:p>
        </w:tc>
      </w:tr>
      <w:tr w:rsidR="00324B33" w:rsidRPr="008D4446" w14:paraId="56D922E2" w14:textId="77777777" w:rsidTr="00434F9A">
        <w:tc>
          <w:tcPr>
            <w:cnfStyle w:val="001000000000" w:firstRow="0" w:lastRow="0" w:firstColumn="1" w:lastColumn="0" w:oddVBand="0" w:evenVBand="0" w:oddHBand="0" w:evenHBand="0" w:firstRowFirstColumn="0" w:firstRowLastColumn="0" w:lastRowFirstColumn="0" w:lastRowLastColumn="0"/>
            <w:tcW w:w="5807" w:type="dxa"/>
          </w:tcPr>
          <w:p w14:paraId="787FD8DD" w14:textId="0E0CF97F" w:rsidR="00324B33" w:rsidRPr="008D4446" w:rsidRDefault="00324B33" w:rsidP="00324B33">
            <w:pPr>
              <w:rPr>
                <w:szCs w:val="22"/>
              </w:rPr>
            </w:pPr>
            <w:r w:rsidRPr="008D4446">
              <w:rPr>
                <w:szCs w:val="22"/>
              </w:rPr>
              <w:t>Number of working days from submission dossier acceptance to registration decision*</w:t>
            </w:r>
          </w:p>
        </w:tc>
        <w:tc>
          <w:tcPr>
            <w:tcW w:w="2835" w:type="dxa"/>
          </w:tcPr>
          <w:p w14:paraId="5BAF9FA1" w14:textId="6215A937" w:rsidR="00324B33" w:rsidRPr="008D4446" w:rsidRDefault="00A928FC" w:rsidP="00324B33">
            <w:pPr>
              <w:cnfStyle w:val="000000000000" w:firstRow="0" w:lastRow="0" w:firstColumn="0" w:lastColumn="0" w:oddVBand="0" w:evenVBand="0" w:oddHBand="0" w:evenHBand="0" w:firstRowFirstColumn="0" w:firstRowLastColumn="0" w:lastRowFirstColumn="0" w:lastRowLastColumn="0"/>
              <w:rPr>
                <w:szCs w:val="22"/>
              </w:rPr>
            </w:pPr>
            <w:r w:rsidRPr="008D4446">
              <w:rPr>
                <w:szCs w:val="22"/>
              </w:rPr>
              <w:t>157</w:t>
            </w:r>
          </w:p>
        </w:tc>
      </w:tr>
    </w:tbl>
    <w:p w14:paraId="47E88CFC" w14:textId="52215AAF" w:rsidR="00433318" w:rsidRPr="008D4446" w:rsidRDefault="00433318" w:rsidP="00854D98">
      <w:pPr>
        <w:pStyle w:val="TableDescription"/>
      </w:pPr>
      <w:r w:rsidRPr="008D4446">
        <w:t>* The COR-B process has a 175 working day evaluation and decision timeframe.</w:t>
      </w:r>
    </w:p>
    <w:p w14:paraId="220925F1" w14:textId="77777777" w:rsidR="00C22214" w:rsidRPr="008D4446" w:rsidRDefault="00C22214" w:rsidP="00C22214">
      <w:pPr>
        <w:pStyle w:val="Heading2"/>
      </w:pPr>
      <w:bookmarkStart w:id="35" w:name="_Toc196046504"/>
      <w:bookmarkStart w:id="36" w:name="_Toc247691527"/>
      <w:bookmarkStart w:id="37" w:name="_Toc314842510"/>
      <w:bookmarkStart w:id="38" w:name="_Toc103679294"/>
      <w:bookmarkStart w:id="39" w:name="_Toc145413867"/>
      <w:r w:rsidRPr="008D4446">
        <w:t>Submission overview and risk/benefit assessment</w:t>
      </w:r>
      <w:bookmarkEnd w:id="35"/>
      <w:bookmarkEnd w:id="36"/>
      <w:bookmarkEnd w:id="37"/>
      <w:bookmarkEnd w:id="38"/>
      <w:bookmarkEnd w:id="39"/>
    </w:p>
    <w:p w14:paraId="540151FC" w14:textId="77777777" w:rsidR="00C22214" w:rsidRPr="008D4446" w:rsidRDefault="00C22214" w:rsidP="00A928FC">
      <w:bookmarkStart w:id="40" w:name="_Toc247691528"/>
      <w:bookmarkStart w:id="41" w:name="_Toc314842511"/>
      <w:r w:rsidRPr="008D4446">
        <w:t>A summary of the TGA’s assessment for this submission is provided below.</w:t>
      </w:r>
    </w:p>
    <w:p w14:paraId="5F5FAA14" w14:textId="77777777" w:rsidR="00C22214" w:rsidRPr="008D4446" w:rsidRDefault="00C22214" w:rsidP="00A928FC">
      <w:r w:rsidRPr="008D4446">
        <w:lastRenderedPageBreak/>
        <w:t>This section is a TGA summary of wording used in TGA’s evaluation report, which discussed numerous aspects of overseas evaluation reports and included some information that was commercial-in-confidence.</w:t>
      </w:r>
    </w:p>
    <w:p w14:paraId="668E3E84" w14:textId="62B444BB" w:rsidR="007072A1" w:rsidRPr="008D4446" w:rsidRDefault="007072A1" w:rsidP="00A928FC">
      <w:r w:rsidRPr="008D4446">
        <w:t>Relevant guidelines or guidance documents referred to by the Delegate are listed below:</w:t>
      </w:r>
    </w:p>
    <w:p w14:paraId="65B63657" w14:textId="14CAFDE3" w:rsidR="00FA0318" w:rsidRPr="008D4446" w:rsidRDefault="00FA0318" w:rsidP="00FA0318">
      <w:pPr>
        <w:pStyle w:val="ListBullet"/>
      </w:pPr>
      <w:r w:rsidRPr="008D4446">
        <w:t>European Medicines Agency (EMA), Committee for Proprietary Medicinal Products (CPMP), ICH guideline M3(R2) on non-clinical safety studies for the conduct of human clinical trials and marketing authorisation for pharmaceuticals, EMA/CPMP/ICH/286/1995, December 2009</w:t>
      </w:r>
      <w:r w:rsidR="00FE38D0" w:rsidRPr="008D4446">
        <w:t>.</w:t>
      </w:r>
    </w:p>
    <w:p w14:paraId="4A758729" w14:textId="603C5EAD" w:rsidR="00A928FC" w:rsidRPr="008D4446" w:rsidRDefault="00905DE6" w:rsidP="00A928FC">
      <w:pPr>
        <w:pStyle w:val="ListBullet"/>
      </w:pPr>
      <w:r w:rsidRPr="008D4446">
        <w:t>Food and Drug Administration (</w:t>
      </w:r>
      <w:r w:rsidR="00A928FC" w:rsidRPr="008D4446">
        <w:t>FDA</w:t>
      </w:r>
      <w:r w:rsidRPr="008D4446">
        <w:t>),</w:t>
      </w:r>
      <w:r w:rsidR="00A928FC" w:rsidRPr="008D4446">
        <w:t xml:space="preserve"> Guidance for Industry Drug-Induced Liver Injury: Premarketing Clinical Evaluation</w:t>
      </w:r>
      <w:r w:rsidRPr="008D4446">
        <w:t>, July 2009.</w:t>
      </w:r>
    </w:p>
    <w:p w14:paraId="37F5A1C0" w14:textId="77777777" w:rsidR="00C22214" w:rsidRPr="008D4446" w:rsidRDefault="00C22214" w:rsidP="00C22214">
      <w:pPr>
        <w:pStyle w:val="Heading3"/>
      </w:pPr>
      <w:bookmarkStart w:id="42" w:name="_Toc103679295"/>
      <w:bookmarkStart w:id="43" w:name="_Toc145413868"/>
      <w:r w:rsidRPr="008D4446">
        <w:t>Quality</w:t>
      </w:r>
      <w:bookmarkEnd w:id="40"/>
      <w:bookmarkEnd w:id="41"/>
      <w:bookmarkEnd w:id="42"/>
      <w:bookmarkEnd w:id="43"/>
    </w:p>
    <w:p w14:paraId="544FB6CA" w14:textId="5DF684A6" w:rsidR="00A928FC" w:rsidRPr="008D4446" w:rsidRDefault="00A928FC" w:rsidP="00A928FC">
      <w:proofErr w:type="spellStart"/>
      <w:r w:rsidRPr="008D4446">
        <w:t>Icosapent</w:t>
      </w:r>
      <w:proofErr w:type="spellEnd"/>
      <w:r w:rsidRPr="008D4446">
        <w:t xml:space="preserve"> ethyl is the ethyl ester of the omega-3 fatty acid eicosapentaenoic acid (EPA). The </w:t>
      </w:r>
      <w:r w:rsidR="00225197">
        <w:t>starting material</w:t>
      </w:r>
      <w:r w:rsidRPr="008D4446">
        <w:t xml:space="preserve"> is extracted from fish oil. The </w:t>
      </w:r>
      <w:r w:rsidR="00F94E4A">
        <w:t>a</w:t>
      </w:r>
      <w:r w:rsidR="00F94E4A" w:rsidRPr="00F94E4A">
        <w:t xml:space="preserve">ctive </w:t>
      </w:r>
      <w:r w:rsidR="00F94E4A">
        <w:t>i</w:t>
      </w:r>
      <w:r w:rsidR="00F94E4A" w:rsidRPr="00F94E4A">
        <w:t>ngredient</w:t>
      </w:r>
      <w:r w:rsidR="00F94E4A" w:rsidRPr="00F94E4A" w:rsidDel="00F94E4A">
        <w:t xml:space="preserve"> </w:t>
      </w:r>
      <w:r w:rsidRPr="008D4446">
        <w:t xml:space="preserve">manufacturing process </w:t>
      </w:r>
      <w:r w:rsidR="00225197">
        <w:t xml:space="preserve">starts with the crude fish oil ester and </w:t>
      </w:r>
      <w:r w:rsidRPr="008D4446">
        <w:t xml:space="preserve">is a patented purification process, not involving </w:t>
      </w:r>
      <w:r w:rsidR="00225197">
        <w:t xml:space="preserve">any additional </w:t>
      </w:r>
      <w:r w:rsidRPr="008D4446">
        <w:t>synthesis or chemical transformation.</w:t>
      </w:r>
      <w:r w:rsidR="00905DE6" w:rsidRPr="008D4446">
        <w:t xml:space="preserve"> </w:t>
      </w:r>
      <w:r w:rsidRPr="008D4446">
        <w:t>The active substance is a liquid oil at ambient room temperature with high solubility in organic solvents but no detectable solubility in water.</w:t>
      </w:r>
    </w:p>
    <w:p w14:paraId="11244BC3" w14:textId="4E216E21" w:rsidR="00A928FC" w:rsidRPr="008D4446" w:rsidRDefault="00A928FC" w:rsidP="00A928FC">
      <w:r w:rsidRPr="008D4446">
        <w:t xml:space="preserve">The capsules evaluated in the Phase </w:t>
      </w:r>
      <w:r w:rsidR="00905DE6" w:rsidRPr="008D4446">
        <w:t>III</w:t>
      </w:r>
      <w:r w:rsidRPr="008D4446">
        <w:t xml:space="preserve"> </w:t>
      </w:r>
      <w:r w:rsidR="00905DE6" w:rsidRPr="008D4446">
        <w:t>clinical trials</w:t>
      </w:r>
      <w:r w:rsidRPr="008D4446">
        <w:t xml:space="preserve"> are the same as proposed for registration.</w:t>
      </w:r>
    </w:p>
    <w:p w14:paraId="387B2C4A" w14:textId="77777777" w:rsidR="00A928FC" w:rsidRPr="008D4446" w:rsidRDefault="00A928FC" w:rsidP="00A928FC">
      <w:r w:rsidRPr="008D4446">
        <w:t xml:space="preserve">The finished product is a soft capsule containing 998 mg of </w:t>
      </w:r>
      <w:proofErr w:type="spellStart"/>
      <w:r w:rsidRPr="008D4446">
        <w:t>icosapent</w:t>
      </w:r>
      <w:proofErr w:type="spellEnd"/>
      <w:r w:rsidRPr="008D4446">
        <w:t xml:space="preserve"> ethyl to be supplied in two presentations:</w:t>
      </w:r>
    </w:p>
    <w:p w14:paraId="685EF26A" w14:textId="77777777" w:rsidR="00A928FC" w:rsidRPr="008D4446" w:rsidRDefault="00A928FC" w:rsidP="00A928FC">
      <w:pPr>
        <w:pStyle w:val="ListBullet"/>
      </w:pPr>
      <w:r w:rsidRPr="008D4446">
        <w:t xml:space="preserve">a commercial market presentation comprising 120 capsules in a </w:t>
      </w:r>
      <w:proofErr w:type="gramStart"/>
      <w:r w:rsidRPr="008D4446">
        <w:t>high density</w:t>
      </w:r>
      <w:proofErr w:type="gramEnd"/>
      <w:r w:rsidRPr="008D4446">
        <w:t xml:space="preserve"> polyethylene (HDPE) bottle with a child-resistant polypropylene closure.</w:t>
      </w:r>
    </w:p>
    <w:p w14:paraId="1D86BD0D" w14:textId="77777777" w:rsidR="00A928FC" w:rsidRPr="008D4446" w:rsidRDefault="00A928FC" w:rsidP="00A928FC">
      <w:pPr>
        <w:pStyle w:val="ListBullet"/>
      </w:pPr>
      <w:r w:rsidRPr="008D4446">
        <w:t>a physician sample presentation comprising 8 capsules in a blister pack.</w:t>
      </w:r>
    </w:p>
    <w:p w14:paraId="550F6ED1" w14:textId="3CD9E330" w:rsidR="00A928FC" w:rsidRPr="008D4446" w:rsidRDefault="00A928FC" w:rsidP="00A928FC">
      <w:r w:rsidRPr="008D4446">
        <w:t>The drug substance and finished product specifications are acceptable.</w:t>
      </w:r>
    </w:p>
    <w:p w14:paraId="4C1B32A0" w14:textId="109C7353" w:rsidR="00A928FC" w:rsidRPr="008D4446" w:rsidRDefault="00F15D6F" w:rsidP="00A928FC">
      <w:r w:rsidRPr="008D4446">
        <w:t>Good Manufacturing Practice</w:t>
      </w:r>
      <w:r w:rsidRPr="008D4446">
        <w:rPr>
          <w:rStyle w:val="FootnoteReference"/>
        </w:rPr>
        <w:footnoteReference w:id="5"/>
      </w:r>
      <w:r w:rsidR="00A928FC" w:rsidRPr="008D4446">
        <w:t xml:space="preserve"> clearances are valid for all manufacturing sites.</w:t>
      </w:r>
    </w:p>
    <w:p w14:paraId="4220C8EC" w14:textId="2FBF0B81" w:rsidR="00A928FC" w:rsidRPr="008D4446" w:rsidRDefault="00A928FC" w:rsidP="00A928FC">
      <w:r w:rsidRPr="008D4446">
        <w:t xml:space="preserve">There are no outstanding </w:t>
      </w:r>
      <w:r w:rsidR="00905DE6" w:rsidRPr="008D4446">
        <w:t>quality</w:t>
      </w:r>
      <w:r w:rsidRPr="008D4446">
        <w:t xml:space="preserve"> </w:t>
      </w:r>
      <w:r w:rsidR="00905DE6" w:rsidRPr="008D4446">
        <w:t>issues,</w:t>
      </w:r>
      <w:r w:rsidRPr="008D4446">
        <w:t xml:space="preserve"> and </w:t>
      </w:r>
      <w:r w:rsidR="00905DE6" w:rsidRPr="008D4446">
        <w:t xml:space="preserve">approval is recommended by quality </w:t>
      </w:r>
      <w:r w:rsidRPr="008D4446">
        <w:t>evaluat</w:t>
      </w:r>
      <w:r w:rsidR="00905DE6" w:rsidRPr="008D4446">
        <w:t>ion.</w:t>
      </w:r>
    </w:p>
    <w:p w14:paraId="2BE90AAE" w14:textId="77777777" w:rsidR="00C22214" w:rsidRPr="008D4446" w:rsidRDefault="00C22214" w:rsidP="00C22214">
      <w:pPr>
        <w:pStyle w:val="Heading3"/>
      </w:pPr>
      <w:bookmarkStart w:id="44" w:name="_Toc314842512"/>
      <w:bookmarkStart w:id="45" w:name="_Toc103679296"/>
      <w:bookmarkStart w:id="46" w:name="_Toc145413869"/>
      <w:r w:rsidRPr="008D4446">
        <w:t>Nonclinical</w:t>
      </w:r>
      <w:bookmarkEnd w:id="44"/>
      <w:bookmarkEnd w:id="45"/>
      <w:bookmarkEnd w:id="46"/>
    </w:p>
    <w:p w14:paraId="100CC751" w14:textId="3DC2F883" w:rsidR="00A928FC" w:rsidRPr="008D4446" w:rsidRDefault="00A928FC" w:rsidP="00A928FC">
      <w:r w:rsidRPr="008D4446">
        <w:t xml:space="preserve">The submitted </w:t>
      </w:r>
      <w:r w:rsidR="00905DE6" w:rsidRPr="008D4446">
        <w:t xml:space="preserve">nonclinical </w:t>
      </w:r>
      <w:r w:rsidRPr="008D4446">
        <w:t xml:space="preserve">dossier was in accordance with the relevant </w:t>
      </w:r>
      <w:r w:rsidR="00FE38D0" w:rsidRPr="008D4446">
        <w:t xml:space="preserve">EMA </w:t>
      </w:r>
      <w:r w:rsidRPr="008D4446">
        <w:t>guideline.</w:t>
      </w:r>
      <w:r w:rsidR="00FE38D0" w:rsidRPr="008D4446">
        <w:rPr>
          <w:rStyle w:val="FootnoteReference"/>
        </w:rPr>
        <w:footnoteReference w:id="6"/>
      </w:r>
      <w:r w:rsidRPr="008D4446">
        <w:t xml:space="preserve"> The overall quality of the nonclinical dossier was satisfactory. All pivotal safety-related studies were </w:t>
      </w:r>
      <w:r w:rsidR="00F15D6F" w:rsidRPr="008D4446">
        <w:t>Good Laboratory Practice</w:t>
      </w:r>
      <w:r w:rsidR="00F15D6F" w:rsidRPr="008D4446">
        <w:rPr>
          <w:rStyle w:val="FootnoteReference"/>
        </w:rPr>
        <w:footnoteReference w:id="7"/>
      </w:r>
      <w:r w:rsidRPr="008D4446">
        <w:t xml:space="preserve"> compliant.</w:t>
      </w:r>
    </w:p>
    <w:p w14:paraId="55471A1C" w14:textId="3A496586" w:rsidR="00A928FC" w:rsidRPr="008D4446" w:rsidRDefault="00D9669B" w:rsidP="00A928FC">
      <w:r w:rsidRPr="008D4446">
        <w:t xml:space="preserve">Published </w:t>
      </w:r>
      <w:r w:rsidRPr="008D4446">
        <w:rPr>
          <w:i/>
          <w:iCs/>
        </w:rPr>
        <w:t>i</w:t>
      </w:r>
      <w:r w:rsidR="00A928FC" w:rsidRPr="008D4446">
        <w:rPr>
          <w:i/>
          <w:iCs/>
        </w:rPr>
        <w:t>n vivo</w:t>
      </w:r>
      <w:r w:rsidR="00A928FC" w:rsidRPr="008D4446">
        <w:t xml:space="preserve"> pharmacology studies demonstrated that </w:t>
      </w:r>
      <w:proofErr w:type="spellStart"/>
      <w:r w:rsidR="00A928FC" w:rsidRPr="008D4446">
        <w:t>icosapent</w:t>
      </w:r>
      <w:proofErr w:type="spellEnd"/>
      <w:r w:rsidR="00A928FC" w:rsidRPr="008D4446">
        <w:t xml:space="preserve"> ethyl (</w:t>
      </w:r>
      <w:r w:rsidR="00DB4B27" w:rsidRPr="008D4446">
        <w:t xml:space="preserve">a form of </w:t>
      </w:r>
      <w:r w:rsidR="00A928FC" w:rsidRPr="008D4446">
        <w:t xml:space="preserve">ethyl-EPA) can attenuate intestinal cholesterol absorption, hepatic cholesterol biosynthesis, hepatic triglyceride synthesis and incorporation into </w:t>
      </w:r>
      <w:r w:rsidR="00F15D6F" w:rsidRPr="008D4446">
        <w:t>very low-density lipoprotein (</w:t>
      </w:r>
      <w:r w:rsidR="00A928FC" w:rsidRPr="008D4446">
        <w:t>VLD</w:t>
      </w:r>
      <w:r w:rsidR="00F15D6F" w:rsidRPr="008D4446">
        <w:t>L</w:t>
      </w:r>
      <w:proofErr w:type="gramStart"/>
      <w:r w:rsidR="00F15D6F" w:rsidRPr="008D4446">
        <w:t>)</w:t>
      </w:r>
      <w:r w:rsidR="00A928FC" w:rsidRPr="008D4446">
        <w:t>, and</w:t>
      </w:r>
      <w:proofErr w:type="gramEnd"/>
      <w:r w:rsidR="00A928FC" w:rsidRPr="008D4446">
        <w:t xml:space="preserve"> enhance hepatic biliary secretion and plasma lipoprotein clearance.</w:t>
      </w:r>
    </w:p>
    <w:p w14:paraId="23C17A0B" w14:textId="0F99A384" w:rsidR="00A928FC" w:rsidRPr="008D4446" w:rsidRDefault="00A928FC" w:rsidP="00A928FC">
      <w:r w:rsidRPr="008D4446">
        <w:lastRenderedPageBreak/>
        <w:t>Secondary pharmacological properties of ethyl-EPA were investigated in various disease models, based on published data. These studies suggested roles for ethyl-EPA in modulating coagulation and fibrinolysis</w:t>
      </w:r>
      <w:r w:rsidR="00D9669B" w:rsidRPr="008D4446">
        <w:t xml:space="preserve"> </w:t>
      </w:r>
      <w:r w:rsidRPr="008D4446">
        <w:t>related parameters</w:t>
      </w:r>
      <w:r w:rsidR="00D9669B" w:rsidRPr="008D4446">
        <w:t>;</w:t>
      </w:r>
      <w:r w:rsidRPr="008D4446">
        <w:t xml:space="preserve"> prostaglandin E</w:t>
      </w:r>
      <w:r w:rsidRPr="008D4446">
        <w:rPr>
          <w:vertAlign w:val="subscript"/>
        </w:rPr>
        <w:t>2</w:t>
      </w:r>
      <w:r w:rsidRPr="008D4446">
        <w:t xml:space="preserve"> production, extracellular signal-regulated kinase, </w:t>
      </w:r>
      <w:r w:rsidR="00D9669B" w:rsidRPr="008D4446">
        <w:t>n</w:t>
      </w:r>
      <w:r w:rsidRPr="008D4446">
        <w:t>uclear factor kappa B, cyclooxygenase-2, chemokine-like receptor</w:t>
      </w:r>
      <w:r w:rsidR="00D9669B" w:rsidRPr="008D4446">
        <w:t> </w:t>
      </w:r>
      <w:r w:rsidRPr="008D4446">
        <w:t>1, leukotriene B4 receptor, c-Jun N-terminal kinases and tumour necrosis factor alpha</w:t>
      </w:r>
      <w:r w:rsidR="00D9669B" w:rsidRPr="008D4446">
        <w:t xml:space="preserve"> </w:t>
      </w:r>
      <w:r w:rsidRPr="008D4446">
        <w:t>related signalling pathways.</w:t>
      </w:r>
    </w:p>
    <w:p w14:paraId="5073B19E" w14:textId="54F64A8B" w:rsidR="00A928FC" w:rsidRPr="008D4446" w:rsidRDefault="00A928FC" w:rsidP="00A928FC">
      <w:r w:rsidRPr="008D4446">
        <w:t xml:space="preserve">No dedicated safety pharmacological studies were conducted, </w:t>
      </w:r>
      <w:proofErr w:type="gramStart"/>
      <w:r w:rsidRPr="008D4446">
        <w:t>with the exception of</w:t>
      </w:r>
      <w:proofErr w:type="gramEnd"/>
      <w:r w:rsidRPr="008D4446">
        <w:t xml:space="preserve"> an </w:t>
      </w:r>
      <w:r w:rsidRPr="008D4446">
        <w:rPr>
          <w:i/>
          <w:iCs/>
        </w:rPr>
        <w:t>in vitro</w:t>
      </w:r>
      <w:r w:rsidRPr="008D4446">
        <w:t xml:space="preserve"> </w:t>
      </w:r>
      <w:r w:rsidR="00F15D6F" w:rsidRPr="008D4446">
        <w:t>human ether-a-go-go-related gene (</w:t>
      </w:r>
      <w:proofErr w:type="spellStart"/>
      <w:r w:rsidRPr="008D4446">
        <w:t>hERG</w:t>
      </w:r>
      <w:proofErr w:type="spellEnd"/>
      <w:r w:rsidR="00F15D6F" w:rsidRPr="008D4446">
        <w:t>)</w:t>
      </w:r>
      <w:r w:rsidRPr="008D4446">
        <w:t xml:space="preserve"> channel study, which found no effects of the unesterified free acid EPA on the </w:t>
      </w:r>
      <w:proofErr w:type="spellStart"/>
      <w:r w:rsidRPr="008D4446">
        <w:t>hERG</w:t>
      </w:r>
      <w:proofErr w:type="spellEnd"/>
      <w:r w:rsidRPr="008D4446">
        <w:t xml:space="preserve"> channel current at concentrations 35</w:t>
      </w:r>
      <w:r w:rsidR="00D9669B" w:rsidRPr="008D4446">
        <w:t xml:space="preserve"> times</w:t>
      </w:r>
      <w:r w:rsidRPr="008D4446">
        <w:t xml:space="preserve"> </w:t>
      </w:r>
      <w:r w:rsidR="00D9669B" w:rsidRPr="008D4446">
        <w:t xml:space="preserve">of </w:t>
      </w:r>
      <w:r w:rsidRPr="008D4446">
        <w:t xml:space="preserve">the unbound clinical </w:t>
      </w:r>
      <w:r w:rsidR="00F15D6F" w:rsidRPr="008D4446">
        <w:t>maximum concentration</w:t>
      </w:r>
      <w:r w:rsidRPr="008D4446">
        <w:t xml:space="preserve">. A review of the general toxicology data in mice, rats, and dogs, and reproductive toxicology and carcinogenicity data in rodents, did not indicate any specific concern for cardiovascular, respiratory, renal, </w:t>
      </w:r>
      <w:proofErr w:type="gramStart"/>
      <w:r w:rsidRPr="008D4446">
        <w:t>gastrointestinal</w:t>
      </w:r>
      <w:proofErr w:type="gramEnd"/>
      <w:r w:rsidRPr="008D4446">
        <w:t xml:space="preserve"> or neurological systems, so the absence of further safety studies is acceptable.</w:t>
      </w:r>
    </w:p>
    <w:p w14:paraId="0171C807" w14:textId="3CB9F1CE" w:rsidR="00A928FC" w:rsidRPr="008D4446" w:rsidRDefault="00A928FC" w:rsidP="00A928FC">
      <w:r w:rsidRPr="008D4446">
        <w:t xml:space="preserve">The </w:t>
      </w:r>
      <w:r w:rsidR="00F15D6F" w:rsidRPr="008D4446">
        <w:t>pharmacokinetic (</w:t>
      </w:r>
      <w:r w:rsidRPr="008D4446">
        <w:t>PK</w:t>
      </w:r>
      <w:r w:rsidR="00F15D6F" w:rsidRPr="008D4446">
        <w:t>)</w:t>
      </w:r>
      <w:r w:rsidRPr="008D4446">
        <w:t xml:space="preserve"> profiles in rats and dogs are qualitatively </w:t>
      </w:r>
      <w:proofErr w:type="gramStart"/>
      <w:r w:rsidRPr="008D4446">
        <w:t>similar to</w:t>
      </w:r>
      <w:proofErr w:type="gramEnd"/>
      <w:r w:rsidRPr="008D4446">
        <w:t xml:space="preserve"> that of humans. Ethyl-EPA is readily absorbed with comparable </w:t>
      </w:r>
      <w:r w:rsidR="008C75D7" w:rsidRPr="008D4446">
        <w:t xml:space="preserve">the time taken to reach the maximum concentration </w:t>
      </w:r>
      <w:r w:rsidRPr="008D4446">
        <w:t xml:space="preserve">in all </w:t>
      </w:r>
      <w:proofErr w:type="gramStart"/>
      <w:r w:rsidRPr="008D4446">
        <w:t>species, and</w:t>
      </w:r>
      <w:proofErr w:type="gramEnd"/>
      <w:r w:rsidRPr="008D4446">
        <w:t xml:space="preserve"> is rapidly de-esterified to EPA. EPA is distributed to various tissues through lymph and plasma, and subject to β-oxidation by mitochondria and peroxisomes, mainly in the liver as well as in tissues. Elimination of EPA (and other metabolites) appears to follow the metabolic cycle of fat with long elimination half</w:t>
      </w:r>
      <w:r w:rsidR="00D9669B" w:rsidRPr="008D4446">
        <w:noBreakHyphen/>
      </w:r>
      <w:r w:rsidRPr="008D4446">
        <w:t>lives (</w:t>
      </w:r>
      <w:r w:rsidR="00D9669B" w:rsidRPr="008D4446">
        <w:t xml:space="preserve">longer than </w:t>
      </w:r>
      <w:r w:rsidRPr="008D4446">
        <w:t>7 days) in all species.</w:t>
      </w:r>
    </w:p>
    <w:p w14:paraId="05136EEB" w14:textId="5F981ADF" w:rsidR="00A928FC" w:rsidRPr="008D4446" w:rsidRDefault="00F15D6F" w:rsidP="00A928FC">
      <w:r w:rsidRPr="008D4446">
        <w:t>Eicosapentaenoic acid (</w:t>
      </w:r>
      <w:r w:rsidR="00A928FC" w:rsidRPr="008D4446">
        <w:t>EPA</w:t>
      </w:r>
      <w:r w:rsidRPr="008D4446">
        <w:t>)</w:t>
      </w:r>
      <w:r w:rsidR="00A928FC" w:rsidRPr="008D4446">
        <w:t xml:space="preserve"> is a substrate of </w:t>
      </w:r>
      <w:r w:rsidR="00DB4B27" w:rsidRPr="008D4446">
        <w:t>cytochrome P450 (CYP)1A1</w:t>
      </w:r>
      <w:r w:rsidR="00A928FC" w:rsidRPr="008D4446">
        <w:t>,</w:t>
      </w:r>
      <w:r w:rsidR="00DB4B27" w:rsidRPr="008D4446">
        <w:rPr>
          <w:rStyle w:val="FootnoteReference"/>
        </w:rPr>
        <w:footnoteReference w:id="8"/>
      </w:r>
      <w:r w:rsidR="00A928FC" w:rsidRPr="008D4446">
        <w:t xml:space="preserve"> CYP2E1, CYP4F2 and CYP2J2; thus, inhibitors</w:t>
      </w:r>
      <w:r w:rsidR="00D9669B" w:rsidRPr="008D4446">
        <w:t xml:space="preserve"> or </w:t>
      </w:r>
      <w:r w:rsidR="00A928FC" w:rsidRPr="008D4446">
        <w:t>inducers of these enzymes could potentially alter the systemic exposure to EPA. EPA did not exhibit significant inhibitory activity against CYP isozymes or efflux and uptake transporters (P-</w:t>
      </w:r>
      <w:r w:rsidRPr="008D4446">
        <w:t>glycoprotein</w:t>
      </w:r>
      <w:r w:rsidR="00A928FC" w:rsidRPr="008D4446">
        <w:t xml:space="preserve">, </w:t>
      </w:r>
      <w:r w:rsidR="00DB4B27" w:rsidRPr="008D4446">
        <w:t>breast cancer resistance protein</w:t>
      </w:r>
      <w:r w:rsidR="00A928FC" w:rsidRPr="008D4446">
        <w:t xml:space="preserve">, </w:t>
      </w:r>
      <w:r w:rsidR="00DB4B27" w:rsidRPr="008D4446">
        <w:t>organic anion transporter 1</w:t>
      </w:r>
      <w:r w:rsidR="00A928FC" w:rsidRPr="008D4446">
        <w:t xml:space="preserve">, </w:t>
      </w:r>
      <w:r w:rsidR="00DB4B27" w:rsidRPr="008D4446">
        <w:t>organic cation transporter 2</w:t>
      </w:r>
      <w:r w:rsidR="00A928FC" w:rsidRPr="008D4446">
        <w:t xml:space="preserve">, </w:t>
      </w:r>
      <w:r w:rsidR="00DB4B27" w:rsidRPr="008D4446">
        <w:t>organic anion transporting polypeptide (</w:t>
      </w:r>
      <w:r w:rsidR="00A928FC" w:rsidRPr="008D4446">
        <w:t>OATP</w:t>
      </w:r>
      <w:r w:rsidR="00DB4B27" w:rsidRPr="008D4446">
        <w:t>)</w:t>
      </w:r>
      <w:r w:rsidR="00A928FC" w:rsidRPr="008D4446">
        <w:t xml:space="preserve">1B1, OATP1B) in </w:t>
      </w:r>
      <w:r w:rsidR="00A928FC" w:rsidRPr="008D4446">
        <w:rPr>
          <w:i/>
          <w:iCs/>
        </w:rPr>
        <w:t>in vitro</w:t>
      </w:r>
      <w:r w:rsidR="00A928FC" w:rsidRPr="008D4446">
        <w:t xml:space="preserve"> studies, and is thus unlikely to alter the exposure of co</w:t>
      </w:r>
      <w:r w:rsidR="00D9669B" w:rsidRPr="008D4446">
        <w:noBreakHyphen/>
      </w:r>
      <w:r w:rsidR="00A928FC" w:rsidRPr="008D4446">
        <w:t>administered drugs that are substrates of these enzymes and transporters.</w:t>
      </w:r>
    </w:p>
    <w:p w14:paraId="5592CD97" w14:textId="03B6E162" w:rsidR="00A928FC" w:rsidRPr="008D4446" w:rsidRDefault="00A928FC" w:rsidP="00A928FC">
      <w:r w:rsidRPr="008D4446">
        <w:t xml:space="preserve">No acute toxicity studies were conducted with the Vazkepa ethyl-EPA formulation. Acute toxicity studies using the </w:t>
      </w:r>
      <w:proofErr w:type="spellStart"/>
      <w:r w:rsidR="00F15D6F" w:rsidRPr="008D4446">
        <w:t>Epadel</w:t>
      </w:r>
      <w:proofErr w:type="spellEnd"/>
      <w:r w:rsidR="00F15D6F" w:rsidRPr="008D4446">
        <w:t xml:space="preserve"> </w:t>
      </w:r>
      <w:r w:rsidRPr="008D4446">
        <w:t>ethyl-EPA formulation (for which qualitative and quantitative consistency to Vazkepa was demonstrated in a bridging study) indicated a low order of acute toxicity of ethyl-EPA through the oral route in mice and rats. In repeat-dose toxicity studies by the oral route in mice, rats and dogs, treatment</w:t>
      </w:r>
      <w:r w:rsidR="007B2B56" w:rsidRPr="008D4446">
        <w:t xml:space="preserve"> </w:t>
      </w:r>
      <w:r w:rsidRPr="008D4446">
        <w:t>related findings were minor and generally related to pharmacological effects on lipid profiles.</w:t>
      </w:r>
    </w:p>
    <w:p w14:paraId="7BE6033C" w14:textId="46462C6D" w:rsidR="00A928FC" w:rsidRPr="008D4446" w:rsidRDefault="00A928FC" w:rsidP="00A928FC">
      <w:r w:rsidRPr="008D4446">
        <w:t>Studies suggest the genotoxic potential of ethyl-EPA is likely to be negligible. Carcinogenicity studies in mice and rats did not identify a treatment-related increase in tumour incidence.</w:t>
      </w:r>
    </w:p>
    <w:p w14:paraId="42170C88" w14:textId="77F3F0DB" w:rsidR="00A928FC" w:rsidRPr="008D4446" w:rsidRDefault="00A928FC" w:rsidP="00A928FC">
      <w:r w:rsidRPr="008D4446">
        <w:t xml:space="preserve">Fertility was not affected in male and female rats treated with ethyl-EPA at exposure levels approximately </w:t>
      </w:r>
      <w:r w:rsidR="007B2B56" w:rsidRPr="008D4446">
        <w:t xml:space="preserve">more than </w:t>
      </w:r>
      <w:r w:rsidRPr="008D4446">
        <w:t>8-fold the clinical exposure (based on comparative studies). No adverse effects on embryofetal developmental were observed with Vazkepa or EPADEL formulations of ethyl-EPA at similar exposure margins in rat or rabbit studies.</w:t>
      </w:r>
    </w:p>
    <w:p w14:paraId="0948A170" w14:textId="77777777" w:rsidR="00A928FC" w:rsidRPr="008D4446" w:rsidRDefault="00A928FC" w:rsidP="00A928FC">
      <w:proofErr w:type="gramStart"/>
      <w:r w:rsidRPr="008D4446">
        <w:lastRenderedPageBreak/>
        <w:t>A number of</w:t>
      </w:r>
      <w:proofErr w:type="gramEnd"/>
      <w:r w:rsidRPr="008D4446">
        <w:t xml:space="preserve"> drug substance related impurities proposed at specification levels above the qualification threshold were considered toxicologically qualified based on toxicity data that showed exposures at sufficient safety margins to human exposure.</w:t>
      </w:r>
    </w:p>
    <w:p w14:paraId="0B1A6E79" w14:textId="646BED9A" w:rsidR="00A928FC" w:rsidRPr="008D4446" w:rsidRDefault="00A928FC" w:rsidP="00A928FC">
      <w:r w:rsidRPr="008D4446">
        <w:t>There are no nonclinical objections to the registration of Vazkepa.</w:t>
      </w:r>
    </w:p>
    <w:p w14:paraId="35B580A5" w14:textId="69B9BE44" w:rsidR="00C22214" w:rsidRPr="008D4446" w:rsidRDefault="00C22214" w:rsidP="008804CF">
      <w:pPr>
        <w:pStyle w:val="Heading3"/>
      </w:pPr>
      <w:bookmarkStart w:id="47" w:name="_Toc247691530"/>
      <w:bookmarkStart w:id="48" w:name="_Toc314842513"/>
      <w:bookmarkStart w:id="49" w:name="_Toc103679297"/>
      <w:bookmarkStart w:id="50" w:name="_Toc145413870"/>
      <w:r w:rsidRPr="008D4446">
        <w:t>Clinical</w:t>
      </w:r>
      <w:bookmarkEnd w:id="47"/>
      <w:bookmarkEnd w:id="48"/>
      <w:bookmarkEnd w:id="49"/>
      <w:bookmarkEnd w:id="50"/>
    </w:p>
    <w:p w14:paraId="32B0DEDA" w14:textId="77777777" w:rsidR="00C22214" w:rsidRPr="008D4446" w:rsidRDefault="00C22214" w:rsidP="00433318">
      <w:pPr>
        <w:pStyle w:val="Heading4"/>
      </w:pPr>
      <w:bookmarkStart w:id="51" w:name="_Toc98931928"/>
      <w:bookmarkStart w:id="52" w:name="_Toc145413871"/>
      <w:r w:rsidRPr="008D4446">
        <w:t>Summary of clinical studies</w:t>
      </w:r>
      <w:bookmarkEnd w:id="51"/>
      <w:bookmarkEnd w:id="52"/>
    </w:p>
    <w:p w14:paraId="46622364" w14:textId="60338D1A" w:rsidR="00C22214" w:rsidRPr="008D4446" w:rsidRDefault="00C22214" w:rsidP="00C160CB">
      <w:r w:rsidRPr="008D4446">
        <w:t>The clinical dossier consisted of</w:t>
      </w:r>
      <w:r w:rsidR="007357B9" w:rsidRPr="008D4446">
        <w:t>:</w:t>
      </w:r>
    </w:p>
    <w:p w14:paraId="0AFC6BC0" w14:textId="77777777" w:rsidR="009B29D9" w:rsidRPr="008D4446" w:rsidRDefault="00A928FC" w:rsidP="001A10C9">
      <w:pPr>
        <w:pStyle w:val="ListBullet"/>
      </w:pPr>
      <w:r w:rsidRPr="008D4446">
        <w:t>five clinical pharmacology studies in healthy volunteers</w:t>
      </w:r>
      <w:r w:rsidR="009B29D9" w:rsidRPr="008D4446">
        <w:t>:</w:t>
      </w:r>
    </w:p>
    <w:p w14:paraId="749F6E74" w14:textId="587EE081" w:rsidR="00A928FC" w:rsidRPr="008D4446" w:rsidRDefault="009B29D9" w:rsidP="009B29D9">
      <w:pPr>
        <w:pStyle w:val="ListBullet2"/>
      </w:pPr>
      <w:r w:rsidRPr="008D4446">
        <w:t xml:space="preserve">Studies LA01.01.0009-IR1, LA01.01.0009-IR2, AMR-01-01-0018, AMR-01-01-0020, AMR-01-01-0021 and AMR-01-01-0023 (See </w:t>
      </w:r>
      <w:r w:rsidR="00A928FC" w:rsidRPr="008D4446">
        <w:fldChar w:fldCharType="begin"/>
      </w:r>
      <w:r w:rsidR="00A928FC" w:rsidRPr="008D4446">
        <w:instrText xml:space="preserve"> REF _Ref109655638 \h  \* MERGEFORMAT </w:instrText>
      </w:r>
      <w:r w:rsidR="00A928FC" w:rsidRPr="008D4446">
        <w:fldChar w:fldCharType="separate"/>
      </w:r>
      <w:r w:rsidR="00703D92" w:rsidRPr="008D4446">
        <w:t xml:space="preserve">Table </w:t>
      </w:r>
      <w:r w:rsidR="00703D92">
        <w:t>3</w:t>
      </w:r>
      <w:r w:rsidR="00A928FC" w:rsidRPr="008D4446">
        <w:fldChar w:fldCharType="end"/>
      </w:r>
      <w:r w:rsidRPr="008D4446">
        <w:t xml:space="preserve"> below)</w:t>
      </w:r>
    </w:p>
    <w:p w14:paraId="394D4C7E" w14:textId="6C27FD3A" w:rsidR="009B29D9" w:rsidRPr="008D4446" w:rsidRDefault="00A928FC" w:rsidP="00C160CB">
      <w:pPr>
        <w:pStyle w:val="ListBullet"/>
      </w:pPr>
      <w:r w:rsidRPr="008D4446">
        <w:t xml:space="preserve">one pivotal </w:t>
      </w:r>
      <w:r w:rsidR="007B2B56" w:rsidRPr="008D4446">
        <w:t>Phase III</w:t>
      </w:r>
      <w:r w:rsidRPr="008D4446">
        <w:t xml:space="preserve"> study</w:t>
      </w:r>
      <w:r w:rsidR="009B29D9" w:rsidRPr="008D4446">
        <w:t xml:space="preserve"> </w:t>
      </w:r>
      <w:r w:rsidRPr="008D4446">
        <w:t>in 8,179 patients with elevated triglyceride on statin therapy and at high cardiovascular risk</w:t>
      </w:r>
      <w:r w:rsidR="009B29D9" w:rsidRPr="008D4446">
        <w:t>:</w:t>
      </w:r>
    </w:p>
    <w:p w14:paraId="235D5E0A" w14:textId="3C00DD36" w:rsidR="00A928FC" w:rsidRPr="008D4446" w:rsidRDefault="009B29D9" w:rsidP="00F30E7B">
      <w:pPr>
        <w:pStyle w:val="ListBullet2"/>
      </w:pPr>
      <w:r w:rsidRPr="008D4446">
        <w:t xml:space="preserve">Study AMR-01-01-0019, known as the REDUCE-IT trial (see </w:t>
      </w:r>
      <w:r w:rsidR="00A928FC" w:rsidRPr="008D4446">
        <w:fldChar w:fldCharType="begin"/>
      </w:r>
      <w:r w:rsidR="00A928FC" w:rsidRPr="008D4446">
        <w:instrText xml:space="preserve"> REF _Ref110236021 \h  \* MERGEFORMAT </w:instrText>
      </w:r>
      <w:r w:rsidR="00A928FC" w:rsidRPr="008D4446">
        <w:fldChar w:fldCharType="separate"/>
      </w:r>
      <w:r w:rsidR="00703D92" w:rsidRPr="008D4446">
        <w:t xml:space="preserve">Table </w:t>
      </w:r>
      <w:r w:rsidR="00703D92">
        <w:t>4</w:t>
      </w:r>
      <w:r w:rsidR="00A928FC" w:rsidRPr="008D4446">
        <w:fldChar w:fldCharType="end"/>
      </w:r>
      <w:r w:rsidRPr="008D4446">
        <w:t xml:space="preserve"> below)</w:t>
      </w:r>
    </w:p>
    <w:p w14:paraId="4FED6FE3" w14:textId="552A9840" w:rsidR="00A928FC" w:rsidRPr="008D4446" w:rsidRDefault="00A928FC" w:rsidP="00C160CB">
      <w:pPr>
        <w:pStyle w:val="ListBullet"/>
      </w:pPr>
      <w:r w:rsidRPr="008D4446">
        <w:t xml:space="preserve">two supportive </w:t>
      </w:r>
      <w:r w:rsidR="007B2B56" w:rsidRPr="008D4446">
        <w:t>Phase III</w:t>
      </w:r>
      <w:r w:rsidRPr="008D4446">
        <w:t xml:space="preserve"> studies</w:t>
      </w:r>
      <w:r w:rsidR="009B29D9" w:rsidRPr="008D4446">
        <w:t xml:space="preserve"> </w:t>
      </w:r>
      <w:r w:rsidRPr="008D4446">
        <w:t>evaluating efficacy in terms of triglyceride lowering</w:t>
      </w:r>
      <w:r w:rsidR="009B29D9" w:rsidRPr="008D4446">
        <w:t>:</w:t>
      </w:r>
    </w:p>
    <w:p w14:paraId="027B0853" w14:textId="583B9C62" w:rsidR="009B29D9" w:rsidRPr="008D4446" w:rsidRDefault="009B29D9" w:rsidP="009B29D9">
      <w:pPr>
        <w:pStyle w:val="ListBullet2"/>
      </w:pPr>
      <w:r w:rsidRPr="008D4446">
        <w:t xml:space="preserve">Study AMR-01-01-0017, known as the ANCHOR trial; and Study AMR-01-01-0016, known as the MARINE trial (see </w:t>
      </w:r>
      <w:r w:rsidRPr="008D4446">
        <w:fldChar w:fldCharType="begin"/>
      </w:r>
      <w:r w:rsidRPr="008D4446">
        <w:instrText xml:space="preserve"> REF _Ref110236021 \h  \* MERGEFORMAT </w:instrText>
      </w:r>
      <w:r w:rsidRPr="008D4446">
        <w:fldChar w:fldCharType="separate"/>
      </w:r>
      <w:r w:rsidR="00703D92" w:rsidRPr="008D4446">
        <w:t xml:space="preserve">Table </w:t>
      </w:r>
      <w:r w:rsidR="00703D92">
        <w:t>4</w:t>
      </w:r>
      <w:r w:rsidRPr="008D4446">
        <w:fldChar w:fldCharType="end"/>
      </w:r>
      <w:r w:rsidRPr="008D4446">
        <w:t xml:space="preserve"> below)</w:t>
      </w:r>
    </w:p>
    <w:p w14:paraId="1AA2A682" w14:textId="554BAD78" w:rsidR="009B29D9" w:rsidRPr="008D4446" w:rsidRDefault="00A928FC" w:rsidP="002E7444">
      <w:pPr>
        <w:pStyle w:val="ListBullet"/>
      </w:pPr>
      <w:r w:rsidRPr="008D4446">
        <w:t xml:space="preserve">an open-label extension of the MARINE </w:t>
      </w:r>
      <w:r w:rsidR="007B2B56" w:rsidRPr="008D4446">
        <w:t>trial</w:t>
      </w:r>
      <w:r w:rsidR="009B29D9" w:rsidRPr="008D4446">
        <w:t>:</w:t>
      </w:r>
    </w:p>
    <w:p w14:paraId="62EA3187" w14:textId="34C95B57" w:rsidR="00A928FC" w:rsidRPr="008D4446" w:rsidRDefault="009B29D9" w:rsidP="009B29D9">
      <w:pPr>
        <w:pStyle w:val="ListBullet2"/>
      </w:pPr>
      <w:r w:rsidRPr="008D4446">
        <w:t xml:space="preserve">Study AMR-01-01-0016, known as </w:t>
      </w:r>
      <w:r w:rsidR="007B2B56" w:rsidRPr="008D4446">
        <w:t xml:space="preserve">the </w:t>
      </w:r>
      <w:r w:rsidR="00A928FC" w:rsidRPr="008D4446">
        <w:t>MARINE-OLE</w:t>
      </w:r>
      <w:r w:rsidR="007B2B56" w:rsidRPr="008D4446">
        <w:t xml:space="preserve"> trial</w:t>
      </w:r>
    </w:p>
    <w:p w14:paraId="45C5E593" w14:textId="49CF1E85" w:rsidR="009B29D9" w:rsidRPr="008D4446" w:rsidRDefault="00A928FC" w:rsidP="00C160CB">
      <w:pPr>
        <w:pStyle w:val="ListBullet"/>
      </w:pPr>
      <w:r w:rsidRPr="008D4446">
        <w:t>The dossier also included 8 efficacy</w:t>
      </w:r>
      <w:r w:rsidR="007B2B56" w:rsidRPr="008D4446">
        <w:t xml:space="preserve"> and </w:t>
      </w:r>
      <w:r w:rsidRPr="008D4446">
        <w:t>safety studies in other indications</w:t>
      </w:r>
      <w:r w:rsidR="009B29D9" w:rsidRPr="008D4446">
        <w:t>:</w:t>
      </w:r>
    </w:p>
    <w:p w14:paraId="20C07A5B" w14:textId="49CF1E85" w:rsidR="009B29D9" w:rsidRPr="008D4446" w:rsidRDefault="009B29D9" w:rsidP="009B29D9">
      <w:pPr>
        <w:pStyle w:val="ListBullet2"/>
      </w:pPr>
      <w:r w:rsidRPr="008D4446">
        <w:t xml:space="preserve">three studies </w:t>
      </w:r>
      <w:r w:rsidR="007B2B56" w:rsidRPr="008D4446">
        <w:t xml:space="preserve">for </w:t>
      </w:r>
      <w:r w:rsidR="00A928FC" w:rsidRPr="008D4446">
        <w:t>Huntington’s disease</w:t>
      </w:r>
      <w:r w:rsidRPr="008D4446">
        <w:t>: Studies LA01.01.0005, AN01.01.0011 and AN01.01.0012</w:t>
      </w:r>
    </w:p>
    <w:p w14:paraId="37265939" w14:textId="255941C5" w:rsidR="009B29D9" w:rsidRPr="008D4446" w:rsidRDefault="009B29D9" w:rsidP="009B29D9">
      <w:pPr>
        <w:pStyle w:val="ListBullet2"/>
      </w:pPr>
      <w:r w:rsidRPr="008D4446">
        <w:t>three studies</w:t>
      </w:r>
      <w:r w:rsidR="007B2B56" w:rsidRPr="008D4446">
        <w:t xml:space="preserve"> for </w:t>
      </w:r>
      <w:r w:rsidR="00A928FC" w:rsidRPr="008D4446">
        <w:t>depression</w:t>
      </w:r>
      <w:r w:rsidRPr="008D4446">
        <w:t>: Studies LA01.01.0002, LA01.01.0006 and LA01.01.0008A</w:t>
      </w:r>
    </w:p>
    <w:p w14:paraId="6C74A94D" w14:textId="20182843" w:rsidR="009B29D9" w:rsidRPr="008D4446" w:rsidRDefault="007B2B56" w:rsidP="009B29D9">
      <w:pPr>
        <w:pStyle w:val="ListBullet2"/>
      </w:pPr>
      <w:r w:rsidRPr="008D4446">
        <w:t xml:space="preserve">one </w:t>
      </w:r>
      <w:r w:rsidR="009B29D9" w:rsidRPr="008D4446">
        <w:t xml:space="preserve">study </w:t>
      </w:r>
      <w:r w:rsidRPr="008D4446">
        <w:t xml:space="preserve">for </w:t>
      </w:r>
      <w:r w:rsidR="00A928FC" w:rsidRPr="008D4446">
        <w:t>schizophrenia</w:t>
      </w:r>
      <w:r w:rsidR="009B29D9" w:rsidRPr="008D4446">
        <w:t>: Study LA01.01.0001</w:t>
      </w:r>
    </w:p>
    <w:p w14:paraId="4D7AEE9F" w14:textId="65E0DEBA" w:rsidR="00A928FC" w:rsidRPr="008D4446" w:rsidRDefault="007B2B56" w:rsidP="009B29D9">
      <w:pPr>
        <w:pStyle w:val="ListBullet2"/>
      </w:pPr>
      <w:r w:rsidRPr="008D4446">
        <w:t xml:space="preserve">one </w:t>
      </w:r>
      <w:r w:rsidR="009B29D9" w:rsidRPr="008D4446">
        <w:t xml:space="preserve">study </w:t>
      </w:r>
      <w:r w:rsidRPr="008D4446">
        <w:t xml:space="preserve">for </w:t>
      </w:r>
      <w:r w:rsidR="00A928FC" w:rsidRPr="008D4446">
        <w:t>age-associated memory impairment</w:t>
      </w:r>
      <w:r w:rsidR="009B29D9" w:rsidRPr="008D4446">
        <w:t>: Study AN01.01.0014.</w:t>
      </w:r>
    </w:p>
    <w:p w14:paraId="002116CB" w14:textId="4739F46E" w:rsidR="00A928FC" w:rsidRPr="008D4446" w:rsidRDefault="00A928FC" w:rsidP="00125C81">
      <w:pPr>
        <w:pStyle w:val="TableTitle"/>
      </w:pPr>
      <w:bookmarkStart w:id="53" w:name="_Ref109655638"/>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3</w:t>
      </w:r>
      <w:r w:rsidR="00434F9A">
        <w:rPr>
          <w:noProof/>
        </w:rPr>
        <w:fldChar w:fldCharType="end"/>
      </w:r>
      <w:bookmarkEnd w:id="53"/>
      <w:r w:rsidR="007B2B56" w:rsidRPr="008D4446">
        <w:t>:</w:t>
      </w:r>
      <w:r w:rsidRPr="008D4446">
        <w:t xml:space="preserve"> Overview of </w:t>
      </w:r>
      <w:r w:rsidR="007B2B56" w:rsidRPr="008D4446">
        <w:t>clinical pharmacology studies in healthy volunteers</w:t>
      </w:r>
    </w:p>
    <w:p w14:paraId="107412BC" w14:textId="295CFA81" w:rsidR="00A928FC" w:rsidRPr="008D4446" w:rsidRDefault="009B29D9" w:rsidP="00125C81">
      <w:r w:rsidRPr="008D4446">
        <w:rPr>
          <w:noProof/>
        </w:rPr>
        <w:drawing>
          <wp:inline distT="0" distB="0" distL="0" distR="0" wp14:anchorId="38C2DE7F" wp14:editId="6C6705F4">
            <wp:extent cx="5759450" cy="3885565"/>
            <wp:effectExtent l="0" t="0" r="0" b="635"/>
            <wp:docPr id="32" name="Picture 32" descr="Table 3: Overview of clinical pharmacology studies in healthy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3: Overview of clinical pharmacology studies in healthy volunteers"/>
                    <pic:cNvPicPr/>
                  </pic:nvPicPr>
                  <pic:blipFill>
                    <a:blip r:embed="rId23"/>
                    <a:stretch>
                      <a:fillRect/>
                    </a:stretch>
                  </pic:blipFill>
                  <pic:spPr>
                    <a:xfrm>
                      <a:off x="0" y="0"/>
                      <a:ext cx="5759450" cy="3885565"/>
                    </a:xfrm>
                    <a:prstGeom prst="rect">
                      <a:avLst/>
                    </a:prstGeom>
                  </pic:spPr>
                </pic:pic>
              </a:graphicData>
            </a:graphic>
          </wp:inline>
        </w:drawing>
      </w:r>
    </w:p>
    <w:p w14:paraId="6F02E7C0" w14:textId="46A57E4B" w:rsidR="009B29D9" w:rsidRPr="008D4446" w:rsidRDefault="009B29D9" w:rsidP="00125C81">
      <w:pPr>
        <w:pStyle w:val="TableDescription"/>
      </w:pPr>
      <w:r w:rsidRPr="008D4446">
        <w:t xml:space="preserve">Abbreviations: AMR101 = </w:t>
      </w:r>
      <w:proofErr w:type="spellStart"/>
      <w:r w:rsidRPr="008D4446">
        <w:t>icosapent</w:t>
      </w:r>
      <w:proofErr w:type="spellEnd"/>
      <w:r w:rsidRPr="008D4446">
        <w:t xml:space="preserve"> ethyl; RBC = red blood cells; EFA = essential fatty acids; PK= pharmacokinetics; DDI= drug-drug interaction; EPA= eicosapentaenoic acid; TG= triglyceride</w:t>
      </w:r>
      <w:r w:rsidR="00A8033B" w:rsidRPr="008D4446">
        <w:t>.</w:t>
      </w:r>
    </w:p>
    <w:p w14:paraId="4FFF777C" w14:textId="023E7149" w:rsidR="00A928FC" w:rsidRPr="008D4446" w:rsidRDefault="00A928FC" w:rsidP="00125C81">
      <w:pPr>
        <w:pStyle w:val="TableTitle"/>
      </w:pPr>
      <w:bookmarkStart w:id="54" w:name="_Ref110236021"/>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4</w:t>
      </w:r>
      <w:r w:rsidR="00434F9A">
        <w:rPr>
          <w:noProof/>
        </w:rPr>
        <w:fldChar w:fldCharType="end"/>
      </w:r>
      <w:bookmarkEnd w:id="54"/>
      <w:r w:rsidR="007B2B56" w:rsidRPr="008D4446">
        <w:t>:</w:t>
      </w:r>
      <w:r w:rsidRPr="008D4446">
        <w:t xml:space="preserve"> </w:t>
      </w:r>
      <w:r w:rsidR="007B2B56" w:rsidRPr="008D4446">
        <w:t>Phase III</w:t>
      </w:r>
      <w:r w:rsidRPr="008D4446">
        <w:t xml:space="preserve"> randomised, placebo-controlled clinical studies</w:t>
      </w:r>
    </w:p>
    <w:p w14:paraId="11188028" w14:textId="529BDA4E" w:rsidR="009B29D9" w:rsidRPr="008D4446" w:rsidRDefault="009B29D9" w:rsidP="00125C81">
      <w:r w:rsidRPr="008D4446">
        <w:rPr>
          <w:noProof/>
        </w:rPr>
        <w:drawing>
          <wp:inline distT="0" distB="0" distL="0" distR="0" wp14:anchorId="71E58188" wp14:editId="51DCBC05">
            <wp:extent cx="5759450" cy="5188585"/>
            <wp:effectExtent l="0" t="0" r="0" b="0"/>
            <wp:docPr id="33" name="Picture 33" descr="Table 4: Phase III randomised, placebo-controlled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4: Phase III randomised, placebo-controlled clinical studies"/>
                    <pic:cNvPicPr/>
                  </pic:nvPicPr>
                  <pic:blipFill>
                    <a:blip r:embed="rId24"/>
                    <a:stretch>
                      <a:fillRect/>
                    </a:stretch>
                  </pic:blipFill>
                  <pic:spPr>
                    <a:xfrm>
                      <a:off x="0" y="0"/>
                      <a:ext cx="5759450" cy="5188585"/>
                    </a:xfrm>
                    <a:prstGeom prst="rect">
                      <a:avLst/>
                    </a:prstGeom>
                  </pic:spPr>
                </pic:pic>
              </a:graphicData>
            </a:graphic>
          </wp:inline>
        </w:drawing>
      </w:r>
    </w:p>
    <w:p w14:paraId="15B443B4" w14:textId="299FF3F7" w:rsidR="009B29D9" w:rsidRPr="008D4446" w:rsidRDefault="00A8033B" w:rsidP="00125C81">
      <w:pPr>
        <w:pStyle w:val="TableDescription"/>
      </w:pPr>
      <w:r w:rsidRPr="008D4446">
        <w:t xml:space="preserve">Abbreviations: </w:t>
      </w:r>
      <w:r w:rsidR="009B29D9" w:rsidRPr="008D4446">
        <w:t>CV=cardiovascular, CVD=cardiovascular disease, LDL-C = low-density lipoprotein cholesterol, OLE=open-label extension, TG=triglyceride.</w:t>
      </w:r>
    </w:p>
    <w:p w14:paraId="3F95FF4C" w14:textId="77777777" w:rsidR="009B29D9" w:rsidRPr="008D4446" w:rsidRDefault="009B29D9" w:rsidP="00125C81">
      <w:pPr>
        <w:pStyle w:val="TableDescription"/>
      </w:pPr>
      <w:r w:rsidRPr="008D4446">
        <w:t>To convert the values for TG to mmol/L, multiply by 0.01129.</w:t>
      </w:r>
    </w:p>
    <w:p w14:paraId="249D801C" w14:textId="005C979C" w:rsidR="009B29D9" w:rsidRPr="008D4446" w:rsidRDefault="009B29D9" w:rsidP="00125C81">
      <w:pPr>
        <w:pStyle w:val="TableDescription"/>
      </w:pPr>
      <w:r w:rsidRPr="008D4446">
        <w:t>1. Note that the original protocol stipulated a lower end of the fasting TG level of ≥</w:t>
      </w:r>
      <w:r w:rsidR="00A8033B" w:rsidRPr="008D4446">
        <w:t xml:space="preserve"> </w:t>
      </w:r>
      <w:r w:rsidRPr="008D4446">
        <w:t>1.52 mmol/L (135 mg/dL), reflecting a 10% allowance from the target lower fasting TG level of ≥</w:t>
      </w:r>
      <w:r w:rsidR="00A8033B" w:rsidRPr="008D4446">
        <w:t xml:space="preserve"> </w:t>
      </w:r>
      <w:r w:rsidRPr="008D4446">
        <w:t>1.69 mmol/L (150 mg/dL); this 10% allowance was included due to the variability in TG levels. Protocol Amendment 1 (16 May 2013) increased the lower end of fasting TG levels from ≥</w:t>
      </w:r>
      <w:r w:rsidR="00A8033B" w:rsidRPr="008D4446">
        <w:t xml:space="preserve"> </w:t>
      </w:r>
      <w:r w:rsidRPr="008D4446">
        <w:t>1.52 mmol/L (135 mg/dL) to ≥</w:t>
      </w:r>
      <w:r w:rsidR="00A8033B" w:rsidRPr="008D4446">
        <w:t xml:space="preserve"> </w:t>
      </w:r>
      <w:r w:rsidRPr="008D4446">
        <w:t>2.26 mmol/L (200 mg/dL) without a variability allowance to increase enrolment of patients with TG levels at or above 2.26 mmol/L (200 mg/dL).</w:t>
      </w:r>
    </w:p>
    <w:p w14:paraId="7A001C82" w14:textId="63064BC7" w:rsidR="009B29D9" w:rsidRPr="008D4446" w:rsidRDefault="009B29D9" w:rsidP="00125C81">
      <w:pPr>
        <w:pStyle w:val="TableDescription"/>
      </w:pPr>
      <w:r w:rsidRPr="008D4446">
        <w:t>2. United States, the Netherlands, Ukraine, Russian Federation, South Africa, Poland, India, Canada, Romania, Australia, and New Zealand</w:t>
      </w:r>
    </w:p>
    <w:p w14:paraId="08BA920F" w14:textId="210562F4" w:rsidR="009B29D9" w:rsidRPr="008D4446" w:rsidRDefault="009B29D9" w:rsidP="00125C81">
      <w:pPr>
        <w:pStyle w:val="TableDescription"/>
      </w:pPr>
      <w:r w:rsidRPr="008D4446">
        <w:t xml:space="preserve">3. Included sites in United States, South Africa, </w:t>
      </w:r>
      <w:r w:rsidR="00A8033B" w:rsidRPr="008D4446">
        <w:t>t</w:t>
      </w:r>
      <w:r w:rsidRPr="008D4446">
        <w:t>he Netherlands, Germany, Finland, Italy, Russia, Ukraine, and India</w:t>
      </w:r>
    </w:p>
    <w:p w14:paraId="2F1E52C5" w14:textId="3BF73131" w:rsidR="009B29D9" w:rsidRPr="008D4446" w:rsidRDefault="009B29D9" w:rsidP="00125C81">
      <w:pPr>
        <w:pStyle w:val="TableDescription"/>
      </w:pPr>
      <w:r w:rsidRPr="008D4446">
        <w:t xml:space="preserve">4. At least 45 years old with documented CVD (secondary prevention group) </w:t>
      </w:r>
      <w:r w:rsidR="00A8033B" w:rsidRPr="008D4446">
        <w:t>or</w:t>
      </w:r>
      <w:r w:rsidRPr="008D4446">
        <w:t xml:space="preserve"> at least 50 years old with diabetes and with at least one additional risk factor for CVD (primary prevention group)</w:t>
      </w:r>
    </w:p>
    <w:p w14:paraId="395A176C" w14:textId="4B7CFF6F" w:rsidR="009B29D9" w:rsidRPr="008D4446" w:rsidRDefault="009B29D9" w:rsidP="00125C81">
      <w:pPr>
        <w:pStyle w:val="TableDescription"/>
      </w:pPr>
      <w:r w:rsidRPr="008D4446">
        <w:t>5. In approximately 30% of enrolled patients</w:t>
      </w:r>
    </w:p>
    <w:p w14:paraId="1697B94E" w14:textId="0C81B548" w:rsidR="00A928FC" w:rsidRPr="008D4446" w:rsidRDefault="009B29D9" w:rsidP="00125C81">
      <w:pPr>
        <w:pStyle w:val="TableDescription"/>
      </w:pPr>
      <w:r w:rsidRPr="008D4446">
        <w:t xml:space="preserve">6. To facilitate enrolment, a protocol amendment was implemented after approximately </w:t>
      </w:r>
      <w:r w:rsidR="00A8033B" w:rsidRPr="008D4446">
        <w:t>half</w:t>
      </w:r>
      <w:r w:rsidRPr="008D4446">
        <w:t xml:space="preserve"> of patients were randomised: the haemoglobin A1c exclusion criterion was increased from 9.0% to &gt;</w:t>
      </w:r>
      <w:r w:rsidR="00A8033B" w:rsidRPr="008D4446">
        <w:t xml:space="preserve"> </w:t>
      </w:r>
      <w:r w:rsidRPr="008D4446">
        <w:t>9.5%; based on known within patient variability for TG and LDL cholesterol, entry criteria were expanded so the mean of the 2 TG-qualifying values was ≥</w:t>
      </w:r>
      <w:r w:rsidR="00A8033B" w:rsidRPr="008D4446">
        <w:t xml:space="preserve"> </w:t>
      </w:r>
      <w:r w:rsidRPr="008D4446">
        <w:t xml:space="preserve">2.09 mmol/L (185 mg/dL) with </w:t>
      </w:r>
      <w:r w:rsidR="00A8033B" w:rsidRPr="008D4446">
        <w:t>at least one</w:t>
      </w:r>
      <w:r w:rsidRPr="008D4446">
        <w:t xml:space="preserve"> of the </w:t>
      </w:r>
      <w:r w:rsidR="00A8033B" w:rsidRPr="008D4446">
        <w:t>two</w:t>
      </w:r>
      <w:r w:rsidRPr="008D4446">
        <w:t xml:space="preserve"> values ≥</w:t>
      </w:r>
      <w:r w:rsidR="00A8033B" w:rsidRPr="008D4446">
        <w:t xml:space="preserve"> </w:t>
      </w:r>
      <w:r w:rsidRPr="008D4446">
        <w:t>2.26 mmol/L (200 mg/dL); and the upper limit of the LDL-C entry criteria was increased by 15% to 2.97 mmol/L (≤</w:t>
      </w:r>
      <w:r w:rsidR="00A8033B" w:rsidRPr="008D4446">
        <w:t xml:space="preserve"> </w:t>
      </w:r>
      <w:r w:rsidRPr="008D4446">
        <w:t>115 mg/dL).</w:t>
      </w:r>
    </w:p>
    <w:p w14:paraId="55ACA88C" w14:textId="77777777" w:rsidR="00A928FC" w:rsidRPr="008D4446" w:rsidRDefault="00A928FC" w:rsidP="00A928FC">
      <w:pPr>
        <w:pStyle w:val="Heading4"/>
      </w:pPr>
      <w:bookmarkStart w:id="55" w:name="_Toc145413872"/>
      <w:r w:rsidRPr="008D4446">
        <w:lastRenderedPageBreak/>
        <w:t>Pharmacology</w:t>
      </w:r>
      <w:bookmarkEnd w:id="55"/>
    </w:p>
    <w:p w14:paraId="5BCADA13" w14:textId="72063963" w:rsidR="00A928FC" w:rsidRPr="008D4446" w:rsidRDefault="00A928FC" w:rsidP="00A928FC">
      <w:pPr>
        <w:pStyle w:val="Heading5"/>
      </w:pPr>
      <w:r w:rsidRPr="008D4446">
        <w:t>Pharmacokinetics</w:t>
      </w:r>
    </w:p>
    <w:p w14:paraId="101CF53B" w14:textId="609F0AF4" w:rsidR="00A928FC" w:rsidRPr="008D4446" w:rsidRDefault="00A928FC" w:rsidP="00A928FC">
      <w:r w:rsidRPr="008D4446">
        <w:t xml:space="preserve">After oral administration of </w:t>
      </w:r>
      <w:proofErr w:type="spellStart"/>
      <w:r w:rsidRPr="008D4446">
        <w:t>icosapent</w:t>
      </w:r>
      <w:proofErr w:type="spellEnd"/>
      <w:r w:rsidRPr="008D4446">
        <w:t xml:space="preserve"> ethyl, the parent drug is completely or nearly completely de-esterified during the absorption process and the active metabolite EPA is absorbed into the systemic circulation via the thoracic duct lymphatic system. The majority of EPA in plasma is esterified into circulating phospholipids, triacylglycerols or triglycerides and cholesteryl esters. Only a small fraction of total circulating EPA is unesterified</w:t>
      </w:r>
      <w:r w:rsidR="007B2B56" w:rsidRPr="008D4446">
        <w:t xml:space="preserve">, that is, </w:t>
      </w:r>
      <w:r w:rsidRPr="008D4446">
        <w:t xml:space="preserve">free or protein-bound, and not incorporated in these lipids. The major assay for PK evaluations measured total EPA concentration in plasma, which includes EPA incorporated in </w:t>
      </w:r>
      <w:r w:rsidR="007B2B56" w:rsidRPr="008D4446">
        <w:t>phospholipids</w:t>
      </w:r>
      <w:r w:rsidRPr="008D4446">
        <w:t xml:space="preserve">, </w:t>
      </w:r>
      <w:r w:rsidR="007B2B56" w:rsidRPr="008D4446">
        <w:t>triacylglycerols</w:t>
      </w:r>
      <w:r w:rsidRPr="008D4446">
        <w:t xml:space="preserve">, and </w:t>
      </w:r>
      <w:r w:rsidR="007B2B56" w:rsidRPr="008D4446">
        <w:t>cholesteryl esters</w:t>
      </w:r>
      <w:r w:rsidRPr="008D4446">
        <w:t xml:space="preserve"> as well as free and protein-bound EPA. EPA is also incorporated in the phospholipids of cell membranes, providing structural properties to the membrane (for example, fluidity in red blood cell membranes). Assays were developed to measure EPA in red blood cells as a marker for tissue exposure. Because of the expected low systemic exposure of the parent drug, ethyl-EPA, plasma concentrations of ethyl-EPA were not routinely measured in the clinical studies. In post-hoc analyses of Studies AMR-01-01-0018, </w:t>
      </w:r>
      <w:r w:rsidR="008C75D7" w:rsidRPr="008D4446">
        <w:t xml:space="preserve">the </w:t>
      </w:r>
      <w:r w:rsidRPr="008D4446">
        <w:t>MARINE and ANCHOR</w:t>
      </w:r>
      <w:r w:rsidR="008C75D7" w:rsidRPr="008D4446">
        <w:t xml:space="preserve"> trials</w:t>
      </w:r>
      <w:r w:rsidRPr="008D4446">
        <w:t>, a limited number of plasma samples were analysed for ethyl-EPA. Ethyl-EPA was not quantifiable (&lt;</w:t>
      </w:r>
      <w:r w:rsidR="007B2B56" w:rsidRPr="008D4446">
        <w:t> </w:t>
      </w:r>
      <w:r w:rsidRPr="008D4446">
        <w:t>50 ng/mL) in most samples.</w:t>
      </w:r>
    </w:p>
    <w:p w14:paraId="41F8823E" w14:textId="24251D71" w:rsidR="00A928FC" w:rsidRPr="008D4446" w:rsidRDefault="00A928FC" w:rsidP="00A928FC">
      <w:r w:rsidRPr="008D4446">
        <w:t xml:space="preserve">Peak plasma concentrations of EPA were reached approximately 5 hours following a single oral dose of 2 g Vazkepa, with EPA concentrations remaining above </w:t>
      </w:r>
      <w:r w:rsidR="007B2B56" w:rsidRPr="008D4446">
        <w:t>Baseline</w:t>
      </w:r>
      <w:r w:rsidRPr="008D4446">
        <w:t xml:space="preserve"> 48 hours after dosing. EPA concentration in plasma and tissues increases to steady state within </w:t>
      </w:r>
      <w:r w:rsidR="007B2B56" w:rsidRPr="008D4446">
        <w:t>approximately one</w:t>
      </w:r>
      <w:r w:rsidRPr="008D4446">
        <w:t xml:space="preserve"> month. The PK of EPA appears dose proportional in the dose range of 2 </w:t>
      </w:r>
      <w:r w:rsidR="007B2B56" w:rsidRPr="008D4446">
        <w:t xml:space="preserve">to </w:t>
      </w:r>
      <w:r w:rsidRPr="008D4446">
        <w:t>4 g/day.</w:t>
      </w:r>
    </w:p>
    <w:p w14:paraId="75A96BFF" w14:textId="0BF4EB71" w:rsidR="00A928FC" w:rsidRPr="008D4446" w:rsidRDefault="00A928FC" w:rsidP="00A928FC">
      <w:r w:rsidRPr="008D4446">
        <w:t xml:space="preserve">The PK of EPA was assessed only in the fed state. Vazkepa was administered with or following a meal (or snack) in all clinical studies. Ethyl-EPA is a highly lipophilic compound, studies in animals have demonstrated that bile enhances absorption, and published data suggest that omega-3 fatty acids should be taken with food </w:t>
      </w:r>
      <w:proofErr w:type="gramStart"/>
      <w:r w:rsidRPr="008D4446">
        <w:t>in order to</w:t>
      </w:r>
      <w:proofErr w:type="gramEnd"/>
      <w:r w:rsidRPr="008D4446">
        <w:t xml:space="preserve"> maximise absorption. The proposed dosing guidance is that Vazkepa should be taken with or following a meal.</w:t>
      </w:r>
    </w:p>
    <w:p w14:paraId="7FA10FEB" w14:textId="2DA627F7" w:rsidR="00A928FC" w:rsidRPr="008D4446" w:rsidRDefault="00A928FC" w:rsidP="00A928FC">
      <w:r w:rsidRPr="008D4446">
        <w:t>The increase in EPA after dosing with Vazkepa constitutes only a minor fraction of the total systemic fatty acid pool. EPA constituted 3.4</w:t>
      </w:r>
      <w:r w:rsidR="007B2B56" w:rsidRPr="008D4446">
        <w:t xml:space="preserve"> to </w:t>
      </w:r>
      <w:r w:rsidRPr="008D4446">
        <w:t>3.6 mol % of the total molar fatty acid concentration in plasma after 12 weeks with 4 g/day Vazkepa, versus 0.4</w:t>
      </w:r>
      <w:r w:rsidR="007B2B56" w:rsidRPr="008D4446">
        <w:t xml:space="preserve">% to </w:t>
      </w:r>
      <w:r w:rsidRPr="008D4446">
        <w:t xml:space="preserve">0.5% at </w:t>
      </w:r>
      <w:r w:rsidR="007B2B56" w:rsidRPr="008D4446">
        <w:t>Baseline</w:t>
      </w:r>
      <w:r w:rsidRPr="008D4446">
        <w:t xml:space="preserve">. Similar results were seen in </w:t>
      </w:r>
      <w:r w:rsidR="007B2B56" w:rsidRPr="008D4446">
        <w:t>red blood cells</w:t>
      </w:r>
      <w:r w:rsidRPr="008D4446">
        <w:t>. The steady-state volume of distribution of EPA after 28</w:t>
      </w:r>
      <w:r w:rsidR="007B2B56" w:rsidRPr="008D4446">
        <w:t> </w:t>
      </w:r>
      <w:r w:rsidRPr="008D4446">
        <w:t>days administration of Vazkepa was large (approximately 80 L).</w:t>
      </w:r>
    </w:p>
    <w:p w14:paraId="60EC94FE" w14:textId="1547E813" w:rsidR="00A928FC" w:rsidRPr="008D4446" w:rsidRDefault="00A928FC" w:rsidP="00A928FC">
      <w:r w:rsidRPr="008D4446">
        <w:t xml:space="preserve">The metabolism of EPA is as per standard lipid metabolism: primarily β-oxidation, plus chain elongation and desaturation, and, to a minor extent, CYP-mediated oxidation. Elimination of EPA and its metabolites is </w:t>
      </w:r>
      <w:proofErr w:type="gramStart"/>
      <w:r w:rsidRPr="008D4446">
        <w:t>similar to</w:t>
      </w:r>
      <w:proofErr w:type="gramEnd"/>
      <w:r w:rsidRPr="008D4446">
        <w:t xml:space="preserve"> that of fatty acids from dietary and endogenous lipids, with the end products (CO</w:t>
      </w:r>
      <w:r w:rsidRPr="008D4446">
        <w:rPr>
          <w:vertAlign w:val="subscript"/>
        </w:rPr>
        <w:t>2</w:t>
      </w:r>
      <w:r w:rsidRPr="008D4446">
        <w:t xml:space="preserve"> and water) principally excreted in expired breath. Renal excretion is minimal. The plasma elimination half-life of EPA is &gt; 3 days.</w:t>
      </w:r>
    </w:p>
    <w:p w14:paraId="6F1CC064" w14:textId="729E6C77" w:rsidR="00A928FC" w:rsidRPr="008D4446" w:rsidRDefault="00A928FC" w:rsidP="00A928FC">
      <w:r w:rsidRPr="008D4446">
        <w:t>The PK of EPA appears to be very similar in healthy subjects, patients with hypertriglyceridemia (</w:t>
      </w:r>
      <w:r w:rsidR="007B2B56" w:rsidRPr="008D4446">
        <w:t xml:space="preserve">the </w:t>
      </w:r>
      <w:r w:rsidRPr="008D4446">
        <w:t xml:space="preserve">MARINE and ANCHOR </w:t>
      </w:r>
      <w:r w:rsidR="007B2B56" w:rsidRPr="008D4446">
        <w:t>trials</w:t>
      </w:r>
      <w:r w:rsidRPr="008D4446">
        <w:t>), and patients with hypertriglyceridemia and cardiovascular risk factors (</w:t>
      </w:r>
      <w:r w:rsidR="007B2B56" w:rsidRPr="008D4446">
        <w:t xml:space="preserve">the </w:t>
      </w:r>
      <w:r w:rsidRPr="008D4446">
        <w:t xml:space="preserve">REDUCE-IT </w:t>
      </w:r>
      <w:r w:rsidR="007B2B56" w:rsidRPr="008D4446">
        <w:t>trial</w:t>
      </w:r>
      <w:r w:rsidRPr="008D4446">
        <w:t>). Studies investigating the effect of renal impairment or hepatic impairment on the PK of EPA were not performed. EPA is metabolised and excreted through high-capacity processes that are largely unaffected by variability in renal or hepatic function. No dose adjustment is proposed in patients with renal or hepatic impairment.</w:t>
      </w:r>
    </w:p>
    <w:p w14:paraId="3D0DC0A7" w14:textId="52FBC745" w:rsidR="00A928FC" w:rsidRPr="008D4446" w:rsidRDefault="00A928FC" w:rsidP="00A928FC">
      <w:r w:rsidRPr="008D4446">
        <w:t>No consistent effect of bodyweight on the PK of EPA was observed. Plasma total EPA concentration in patients treated with Vazkepa 4 g/day was higher in patients 65 years</w:t>
      </w:r>
      <w:r w:rsidR="007B2B56" w:rsidRPr="008D4446">
        <w:t xml:space="preserve"> </w:t>
      </w:r>
      <w:r w:rsidR="000B44BD" w:rsidRPr="008D4446">
        <w:t>or</w:t>
      </w:r>
      <w:r w:rsidR="007B2B56" w:rsidRPr="008D4446">
        <w:t xml:space="preserve"> older</w:t>
      </w:r>
      <w:r w:rsidRPr="008D4446">
        <w:t xml:space="preserve"> than </w:t>
      </w:r>
      <w:r w:rsidR="007B2B56" w:rsidRPr="008D4446">
        <w:t xml:space="preserve">patients younger than </w:t>
      </w:r>
      <w:r w:rsidRPr="008D4446">
        <w:t xml:space="preserve">65 years. In </w:t>
      </w:r>
      <w:r w:rsidR="007B2B56" w:rsidRPr="008D4446">
        <w:t xml:space="preserve">the </w:t>
      </w:r>
      <w:r w:rsidRPr="008D4446">
        <w:t>REDUCE-IT</w:t>
      </w:r>
      <w:r w:rsidR="007B2B56" w:rsidRPr="008D4446">
        <w:t xml:space="preserve"> trial</w:t>
      </w:r>
      <w:r w:rsidRPr="008D4446">
        <w:t>, median (</w:t>
      </w:r>
      <w:r w:rsidR="00F15D6F" w:rsidRPr="008D4446">
        <w:t>interquartile range</w:t>
      </w:r>
      <w:r w:rsidRPr="008D4446">
        <w:t xml:space="preserve">) change in plasma EPA concentration from </w:t>
      </w:r>
      <w:r w:rsidR="007B2B56" w:rsidRPr="008D4446">
        <w:t>Baseline</w:t>
      </w:r>
      <w:r w:rsidRPr="008D4446">
        <w:t xml:space="preserve"> to </w:t>
      </w:r>
      <w:r w:rsidR="007B2B56" w:rsidRPr="008D4446">
        <w:t>Y</w:t>
      </w:r>
      <w:r w:rsidRPr="008D4446">
        <w:t xml:space="preserve">ear 1 in patients </w:t>
      </w:r>
      <w:r w:rsidR="007B2B56" w:rsidRPr="008D4446">
        <w:t xml:space="preserve">less than </w:t>
      </w:r>
      <w:r w:rsidRPr="008D4446">
        <w:t xml:space="preserve">65 years, </w:t>
      </w:r>
      <w:r w:rsidR="007B2B56" w:rsidRPr="008D4446">
        <w:t xml:space="preserve">from </w:t>
      </w:r>
      <w:r w:rsidRPr="008D4446">
        <w:lastRenderedPageBreak/>
        <w:t>65</w:t>
      </w:r>
      <w:r w:rsidR="007B2B56" w:rsidRPr="008D4446">
        <w:t xml:space="preserve"> to less than </w:t>
      </w:r>
      <w:r w:rsidRPr="008D4446">
        <w:t>75 years, and 75 years</w:t>
      </w:r>
      <w:r w:rsidR="007B2B56" w:rsidRPr="008D4446">
        <w:t xml:space="preserve"> </w:t>
      </w:r>
      <w:r w:rsidR="000B44BD" w:rsidRPr="008D4446">
        <w:t>or</w:t>
      </w:r>
      <w:r w:rsidR="007B2B56" w:rsidRPr="008D4446">
        <w:t xml:space="preserve"> older</w:t>
      </w:r>
      <w:r w:rsidRPr="008D4446">
        <w:t xml:space="preserve"> was 111.3 </w:t>
      </w:r>
      <w:proofErr w:type="spellStart"/>
      <w:r w:rsidRPr="008D4446">
        <w:t>μg</w:t>
      </w:r>
      <w:proofErr w:type="spellEnd"/>
      <w:r w:rsidRPr="008D4446">
        <w:t xml:space="preserve">/mL (108.4), 124.5 </w:t>
      </w:r>
      <w:proofErr w:type="spellStart"/>
      <w:r w:rsidRPr="008D4446">
        <w:t>μg</w:t>
      </w:r>
      <w:proofErr w:type="spellEnd"/>
      <w:r w:rsidRPr="008D4446">
        <w:t>/mL (113.8) 127.6</w:t>
      </w:r>
      <w:r w:rsidR="007B2B56" w:rsidRPr="008D4446">
        <w:t> </w:t>
      </w:r>
      <w:proofErr w:type="spellStart"/>
      <w:r w:rsidRPr="008D4446">
        <w:t>μg</w:t>
      </w:r>
      <w:proofErr w:type="spellEnd"/>
      <w:r w:rsidRPr="008D4446">
        <w:t>/mL (125.5), respectively. No dose adjustment is proposed based on age or bodyweight.</w:t>
      </w:r>
    </w:p>
    <w:p w14:paraId="53A4981D" w14:textId="28D95AFA" w:rsidR="00A928FC" w:rsidRPr="008D4446" w:rsidRDefault="00A928FC" w:rsidP="00A928FC">
      <w:r w:rsidRPr="008D4446">
        <w:t xml:space="preserve">Possible drug-drug interactions were addressed in the submission, and no clinically relevant </w:t>
      </w:r>
      <w:r w:rsidR="000B44BD" w:rsidRPr="008D4446">
        <w:t>drug-drug interactions</w:t>
      </w:r>
      <w:r w:rsidRPr="008D4446">
        <w:t xml:space="preserve"> were identified. </w:t>
      </w:r>
      <w:r w:rsidRPr="008D4446">
        <w:rPr>
          <w:i/>
          <w:iCs/>
        </w:rPr>
        <w:t>In vitro</w:t>
      </w:r>
      <w:r w:rsidRPr="008D4446">
        <w:t xml:space="preserve"> studies show that EPA is a weak inhibitor of CYP2C19, CYP2C9, CYP2C8, and to a lesser extent of CYP2B6 and CYP3A. This was addressed by interaction studies with omeprazole (CYP2C19), rosiglitazone (CYP2C8), warfarin (CYP2C9) and atorvastatin (CYP3A4). In subgroup analyses from </w:t>
      </w:r>
      <w:r w:rsidR="007B2B56" w:rsidRPr="008D4446">
        <w:t xml:space="preserve">the </w:t>
      </w:r>
      <w:r w:rsidRPr="008D4446">
        <w:t xml:space="preserve">MARINE and ANCHOR </w:t>
      </w:r>
      <w:r w:rsidR="007B2B56" w:rsidRPr="008D4446">
        <w:t>trials</w:t>
      </w:r>
      <w:r w:rsidRPr="008D4446">
        <w:t xml:space="preserve">, no consistent effect of antihypertensive drugs, antiplatelet </w:t>
      </w:r>
      <w:proofErr w:type="gramStart"/>
      <w:r w:rsidRPr="008D4446">
        <w:t>drugs</w:t>
      </w:r>
      <w:proofErr w:type="gramEnd"/>
      <w:r w:rsidRPr="008D4446">
        <w:t xml:space="preserve"> and statins (atorvastatin, rosuvastatin and simvastatin) on EPA concentrations was detected. Due to the diversity of metabolic pathways and widely distributed storage in the body, relevant effects of other drugs on the PK of EPA are considered unlikely.</w:t>
      </w:r>
    </w:p>
    <w:p w14:paraId="6C6C7B61" w14:textId="3B8CE6B6" w:rsidR="00A928FC" w:rsidRPr="008D4446" w:rsidRDefault="00A928FC" w:rsidP="00A928FC">
      <w:pPr>
        <w:pStyle w:val="Heading5"/>
      </w:pPr>
      <w:bookmarkStart w:id="56" w:name="_Ref110322403"/>
      <w:r w:rsidRPr="008D4446">
        <w:t>Pharmacodynamics</w:t>
      </w:r>
      <w:bookmarkEnd w:id="56"/>
    </w:p>
    <w:p w14:paraId="18C63931" w14:textId="6AF2C720" w:rsidR="00A928FC" w:rsidRPr="008D4446" w:rsidRDefault="00A928FC" w:rsidP="00A928FC">
      <w:r w:rsidRPr="008D4446">
        <w:t xml:space="preserve">The effects of </w:t>
      </w:r>
      <w:proofErr w:type="spellStart"/>
      <w:r w:rsidR="008C75D7" w:rsidRPr="008D4446">
        <w:t>icosapent</w:t>
      </w:r>
      <w:proofErr w:type="spellEnd"/>
      <w:r w:rsidR="008C75D7" w:rsidRPr="008D4446">
        <w:t xml:space="preserve"> ethyl</w:t>
      </w:r>
      <w:r w:rsidRPr="008D4446">
        <w:t xml:space="preserve"> on plasma lipids, lipoproteins, and inflammatory parameters in adults with elevated triglyceride were investigated as efficacy endpoints in the MARINE, ANCHOR, and REDUCE-IT </w:t>
      </w:r>
      <w:r w:rsidR="007B2B56" w:rsidRPr="008D4446">
        <w:t>trials</w:t>
      </w:r>
      <w:r w:rsidRPr="008D4446">
        <w:t>. The MARINE and ANCHOR</w:t>
      </w:r>
      <w:r w:rsidR="007B2B56" w:rsidRPr="008D4446">
        <w:t xml:space="preserve"> trials</w:t>
      </w:r>
      <w:r w:rsidRPr="008D4446">
        <w:t xml:space="preserve"> evaluated efficacy primarily in terms of triglyceride lowering. The pivotal study, </w:t>
      </w:r>
      <w:r w:rsidR="007B2B56" w:rsidRPr="008D4446">
        <w:t xml:space="preserve">the </w:t>
      </w:r>
      <w:r w:rsidRPr="008D4446">
        <w:t xml:space="preserve">REDUCE-IT </w:t>
      </w:r>
      <w:r w:rsidR="007B2B56" w:rsidRPr="008D4446">
        <w:t>trial</w:t>
      </w:r>
      <w:r w:rsidRPr="008D4446">
        <w:t>, evaluated efficacy primarily in terms of reducing cardiovascular events; effect on triglyceride and other plasma biomarkers were tertiary endpoints.</w:t>
      </w:r>
    </w:p>
    <w:p w14:paraId="078CD782" w14:textId="681786D6" w:rsidR="00A928FC" w:rsidRPr="008D4446" w:rsidRDefault="00A928FC" w:rsidP="00A928FC">
      <w:r w:rsidRPr="008D4446">
        <w:t xml:space="preserve">Overall, across the </w:t>
      </w:r>
      <w:r w:rsidR="007B2B56" w:rsidRPr="008D4446">
        <w:t>Phase III</w:t>
      </w:r>
      <w:r w:rsidRPr="008D4446">
        <w:t xml:space="preserve"> studies, </w:t>
      </w:r>
      <w:r w:rsidR="007B2B56" w:rsidRPr="008D4446">
        <w:t xml:space="preserve">the </w:t>
      </w:r>
      <w:proofErr w:type="spellStart"/>
      <w:r w:rsidR="00125C81" w:rsidRPr="008D4446">
        <w:t>icosapent</w:t>
      </w:r>
      <w:proofErr w:type="spellEnd"/>
      <w:r w:rsidR="00125C81" w:rsidRPr="008D4446">
        <w:t xml:space="preserve"> ethyl </w:t>
      </w:r>
      <w:r w:rsidR="007B2B56" w:rsidRPr="008D4446">
        <w:t xml:space="preserve">trial </w:t>
      </w:r>
      <w:r w:rsidRPr="008D4446">
        <w:t>reduced triglyceride, VLDL</w:t>
      </w:r>
      <w:r w:rsidR="00F15D6F" w:rsidRPr="008D4446">
        <w:t xml:space="preserve"> cholesterol</w:t>
      </w:r>
      <w:r w:rsidRPr="008D4446">
        <w:t xml:space="preserve">, VLDL-triglyceride, </w:t>
      </w:r>
      <w:r w:rsidR="00F15D6F" w:rsidRPr="008D4446">
        <w:t>lipoprotein-associated phospholipase A</w:t>
      </w:r>
      <w:r w:rsidR="00F15D6F" w:rsidRPr="008D4446">
        <w:rPr>
          <w:vertAlign w:val="subscript"/>
        </w:rPr>
        <w:t>2</w:t>
      </w:r>
      <w:r w:rsidR="00F15D6F" w:rsidRPr="008D4446">
        <w:t xml:space="preserve"> (</w:t>
      </w:r>
      <w:r w:rsidRPr="008D4446">
        <w:t>Lp-PLA</w:t>
      </w:r>
      <w:r w:rsidRPr="008D4446">
        <w:rPr>
          <w:vertAlign w:val="subscript"/>
        </w:rPr>
        <w:t>2</w:t>
      </w:r>
      <w:r w:rsidR="00F15D6F" w:rsidRPr="008D4446">
        <w:t>)</w:t>
      </w:r>
      <w:r w:rsidRPr="008D4446">
        <w:t>, and to some degree non</w:t>
      </w:r>
      <w:r w:rsidR="00F15D6F" w:rsidRPr="008D4446">
        <w:noBreakHyphen/>
        <w:t>high-density lipoprotein (</w:t>
      </w:r>
      <w:r w:rsidRPr="008D4446">
        <w:t>HDL</w:t>
      </w:r>
      <w:r w:rsidR="00F15D6F" w:rsidRPr="008D4446">
        <w:t>) cholesterol</w:t>
      </w:r>
      <w:r w:rsidRPr="008D4446">
        <w:t xml:space="preserve">, and </w:t>
      </w:r>
      <w:r w:rsidR="00F15D6F" w:rsidRPr="008D4446">
        <w:t xml:space="preserve">apolipoprotein </w:t>
      </w:r>
      <w:r w:rsidRPr="008D4446">
        <w:t xml:space="preserve">B. In the MARINE and ANCHOR </w:t>
      </w:r>
      <w:r w:rsidR="007B2B56" w:rsidRPr="008D4446">
        <w:t>trials</w:t>
      </w:r>
      <w:r w:rsidRPr="008D4446">
        <w:t xml:space="preserve">, the effect of </w:t>
      </w:r>
      <w:proofErr w:type="spellStart"/>
      <w:r w:rsidR="008C75D7" w:rsidRPr="008D4446">
        <w:t>icosapent</w:t>
      </w:r>
      <w:proofErr w:type="spellEnd"/>
      <w:r w:rsidR="008C75D7" w:rsidRPr="008D4446">
        <w:t xml:space="preserve"> ethyl</w:t>
      </w:r>
      <w:r w:rsidRPr="008D4446">
        <w:t xml:space="preserve"> on triglyceride was dose-</w:t>
      </w:r>
      <w:r w:rsidR="00F15D6F" w:rsidRPr="008D4446">
        <w:t>dependent and</w:t>
      </w:r>
      <w:r w:rsidRPr="008D4446">
        <w:t xml:space="preserve"> was preserved over one year in </w:t>
      </w:r>
      <w:r w:rsidR="007B2B56" w:rsidRPr="008D4446">
        <w:t xml:space="preserve">the </w:t>
      </w:r>
      <w:r w:rsidRPr="008D4446">
        <w:t>MARINE-OLE</w:t>
      </w:r>
      <w:r w:rsidR="007B2B56" w:rsidRPr="008D4446">
        <w:t xml:space="preserve"> trial</w:t>
      </w:r>
      <w:r w:rsidRPr="008D4446">
        <w:t xml:space="preserve">. </w:t>
      </w:r>
      <w:r w:rsidR="00F15D6F" w:rsidRPr="008D4446">
        <w:t>Pharmacokinetic</w:t>
      </w:r>
      <w:r w:rsidRPr="008D4446">
        <w:t>-</w:t>
      </w:r>
      <w:r w:rsidR="00F15D6F" w:rsidRPr="008D4446">
        <w:t xml:space="preserve">pharmacodynamic </w:t>
      </w:r>
      <w:r w:rsidRPr="008D4446">
        <w:t>analyses showed a clear correlation between dose, concentration in plasma</w:t>
      </w:r>
      <w:r w:rsidR="007B2B56" w:rsidRPr="008D4446">
        <w:t xml:space="preserve"> or red blood cells</w:t>
      </w:r>
      <w:r w:rsidRPr="008D4446">
        <w:t xml:space="preserve">, and triglyceride lowering effect. The effect of </w:t>
      </w:r>
      <w:proofErr w:type="spellStart"/>
      <w:r w:rsidR="008C75D7" w:rsidRPr="008D4446">
        <w:t>icosapent</w:t>
      </w:r>
      <w:proofErr w:type="spellEnd"/>
      <w:r w:rsidR="008C75D7" w:rsidRPr="008D4446">
        <w:t xml:space="preserve"> ethyl</w:t>
      </w:r>
      <w:r w:rsidRPr="008D4446">
        <w:t xml:space="preserve"> on </w:t>
      </w:r>
      <w:r w:rsidR="00F15D6F" w:rsidRPr="008D4446">
        <w:t>low-density lipoprotein (</w:t>
      </w:r>
      <w:r w:rsidRPr="008D4446">
        <w:t>LDL</w:t>
      </w:r>
      <w:r w:rsidR="00F15D6F" w:rsidRPr="008D4446">
        <w:t>) cholesterol</w:t>
      </w:r>
      <w:r w:rsidRPr="008D4446">
        <w:t xml:space="preserve"> was inconsistent across the studies. Increases in some parameters, including triglyceride, non-HDL</w:t>
      </w:r>
      <w:r w:rsidR="00F15D6F" w:rsidRPr="008D4446">
        <w:t xml:space="preserve"> cholesterol</w:t>
      </w:r>
      <w:r w:rsidRPr="008D4446">
        <w:t>, LDL</w:t>
      </w:r>
      <w:r w:rsidR="00F15D6F" w:rsidRPr="008D4446">
        <w:t xml:space="preserve"> cholesterol</w:t>
      </w:r>
      <w:r w:rsidRPr="008D4446">
        <w:t xml:space="preserve">, </w:t>
      </w:r>
      <w:r w:rsidR="00F15D6F" w:rsidRPr="008D4446">
        <w:t xml:space="preserve">apolipoprotein </w:t>
      </w:r>
      <w:r w:rsidRPr="008D4446">
        <w:t xml:space="preserve">B, and </w:t>
      </w:r>
      <w:r w:rsidR="00F15D6F" w:rsidRPr="008D4446">
        <w:t>high sensitivity C</w:t>
      </w:r>
      <w:r w:rsidR="00326B75">
        <w:noBreakHyphen/>
      </w:r>
      <w:r w:rsidR="00F15D6F" w:rsidRPr="008D4446">
        <w:t>reactive protein (</w:t>
      </w:r>
      <w:r w:rsidRPr="008D4446">
        <w:t>CRP</w:t>
      </w:r>
      <w:r w:rsidR="00F15D6F" w:rsidRPr="008D4446">
        <w:t>)</w:t>
      </w:r>
      <w:r w:rsidRPr="008D4446">
        <w:t>, in the placebo (mineral oil) groups raise some concern regarding the extent to which it is an inert comparator.</w:t>
      </w:r>
    </w:p>
    <w:p w14:paraId="41344D60" w14:textId="77777777" w:rsidR="00A928FC" w:rsidRPr="008D4446" w:rsidRDefault="00A928FC" w:rsidP="00A928FC">
      <w:pPr>
        <w:pStyle w:val="Heading4"/>
      </w:pPr>
      <w:bookmarkStart w:id="57" w:name="_Ref110324018"/>
      <w:bookmarkStart w:id="58" w:name="_Toc145413873"/>
      <w:r w:rsidRPr="008D4446">
        <w:t>Efficacy</w:t>
      </w:r>
      <w:bookmarkEnd w:id="57"/>
      <w:bookmarkEnd w:id="58"/>
    </w:p>
    <w:p w14:paraId="0E8929BB" w14:textId="4B42CC79" w:rsidR="00A928FC" w:rsidRPr="008D4446" w:rsidRDefault="00A928FC" w:rsidP="00A928FC">
      <w:pPr>
        <w:pStyle w:val="Heading5"/>
      </w:pPr>
      <w:bookmarkStart w:id="59" w:name="_Ref111474374"/>
      <w:r w:rsidRPr="008D4446">
        <w:t>Study AMR-01-01-0019 (REDUCE-IT</w:t>
      </w:r>
      <w:r w:rsidR="007B2B56" w:rsidRPr="008D4446">
        <w:t xml:space="preserve"> trial</w:t>
      </w:r>
      <w:r w:rsidRPr="008D4446">
        <w:t>)</w:t>
      </w:r>
      <w:bookmarkEnd w:id="59"/>
    </w:p>
    <w:p w14:paraId="3F1293D8" w14:textId="6225F6F1" w:rsidR="00A928FC" w:rsidRPr="008D4446" w:rsidRDefault="00A928FC" w:rsidP="007B2B56">
      <w:r w:rsidRPr="008D4446">
        <w:t xml:space="preserve">This was a </w:t>
      </w:r>
      <w:r w:rsidR="007B2B56" w:rsidRPr="008D4446">
        <w:t>Phase III</w:t>
      </w:r>
      <w:r w:rsidRPr="008D4446">
        <w:t>, multi-centre, multi-national, prospective, randomised, double</w:t>
      </w:r>
      <w:r w:rsidR="007B2B56" w:rsidRPr="008D4446">
        <w:t xml:space="preserve"> </w:t>
      </w:r>
      <w:r w:rsidRPr="008D4446">
        <w:t>blind, placebo</w:t>
      </w:r>
      <w:r w:rsidR="007B2B56" w:rsidRPr="008D4446">
        <w:t xml:space="preserve"> </w:t>
      </w:r>
      <w:r w:rsidRPr="008D4446">
        <w:t>controlled, event</w:t>
      </w:r>
      <w:r w:rsidR="007B2B56" w:rsidRPr="008D4446">
        <w:t xml:space="preserve"> </w:t>
      </w:r>
      <w:r w:rsidRPr="008D4446">
        <w:t xml:space="preserve">driven study designed to evaluate the effect of </w:t>
      </w:r>
      <w:proofErr w:type="spellStart"/>
      <w:r w:rsidR="008C75D7" w:rsidRPr="008D4446">
        <w:t>icosapent</w:t>
      </w:r>
      <w:proofErr w:type="spellEnd"/>
      <w:r w:rsidR="008C75D7" w:rsidRPr="008D4446">
        <w:t xml:space="preserve"> ethyl</w:t>
      </w:r>
      <w:r w:rsidRPr="008D4446">
        <w:t xml:space="preserve"> 2</w:t>
      </w:r>
      <w:r w:rsidR="00BD6046">
        <w:t> </w:t>
      </w:r>
      <w:r w:rsidRPr="008D4446">
        <w:t>g twice daily (4</w:t>
      </w:r>
      <w:r w:rsidR="007B2B56" w:rsidRPr="008D4446">
        <w:t> </w:t>
      </w:r>
      <w:r w:rsidRPr="008D4446">
        <w:t xml:space="preserve">g/day) for preventing cardiovascular events in statin-treated patients with </w:t>
      </w:r>
      <w:r w:rsidR="00406109" w:rsidRPr="004D5CB1">
        <w:t xml:space="preserve">established cardiovascular disease or with diabetes and other </w:t>
      </w:r>
      <w:r w:rsidR="00406109">
        <w:t xml:space="preserve">cardiovascular </w:t>
      </w:r>
      <w:r w:rsidR="00406109" w:rsidRPr="004D5CB1">
        <w:t>risk factors</w:t>
      </w:r>
      <w:r w:rsidR="00406109">
        <w:t>, and</w:t>
      </w:r>
      <w:r w:rsidR="00406109" w:rsidRPr="008D4446">
        <w:t xml:space="preserve"> </w:t>
      </w:r>
      <w:r w:rsidRPr="008D4446">
        <w:t>moderately elevated triglyceride levels. The study was conducted at 473 sites in 11 countries (</w:t>
      </w:r>
      <w:r w:rsidR="00F15D6F" w:rsidRPr="008D4446">
        <w:t>United States of America (</w:t>
      </w:r>
      <w:r w:rsidRPr="008D4446">
        <w:t>USA</w:t>
      </w:r>
      <w:r w:rsidR="00F15D6F" w:rsidRPr="008D4446">
        <w:t>)</w:t>
      </w:r>
      <w:r w:rsidRPr="008D4446">
        <w:t>, Netherlands, Ukraine, Russian Federation, South Africa, Poland, India, Canada, Romania, Australia, and New Zealand) between 28</w:t>
      </w:r>
      <w:r w:rsidR="007B2B56" w:rsidRPr="008D4446">
        <w:t> </w:t>
      </w:r>
      <w:r w:rsidRPr="008D4446">
        <w:t>November</w:t>
      </w:r>
      <w:r w:rsidR="007B2B56" w:rsidRPr="008D4446">
        <w:t> </w:t>
      </w:r>
      <w:r w:rsidRPr="008D4446">
        <w:t>2011 and 31</w:t>
      </w:r>
      <w:r w:rsidR="00326B75">
        <w:t> </w:t>
      </w:r>
      <w:r w:rsidRPr="008D4446">
        <w:t>May</w:t>
      </w:r>
      <w:r w:rsidR="00326B75">
        <w:t> </w:t>
      </w:r>
      <w:r w:rsidRPr="008D4446">
        <w:t>2018.</w:t>
      </w:r>
    </w:p>
    <w:p w14:paraId="46BEA60D" w14:textId="4D34964C" w:rsidR="00A928FC" w:rsidRPr="008D4446" w:rsidRDefault="00A928FC" w:rsidP="00A928FC">
      <w:r w:rsidRPr="008D4446">
        <w:t>The primary objective of this study was, in patients at LDL</w:t>
      </w:r>
      <w:r w:rsidR="00F15D6F" w:rsidRPr="008D4446">
        <w:t xml:space="preserve"> cholesterol</w:t>
      </w:r>
      <w:r w:rsidRPr="008D4446">
        <w:t xml:space="preserve"> goal while on statin therapy with established cardiovascular disease or </w:t>
      </w:r>
      <w:r w:rsidR="00406109">
        <w:t xml:space="preserve">with diabetes and </w:t>
      </w:r>
      <w:r w:rsidRPr="008D4446">
        <w:t>at high risk for cardiovascular disease and elevated triglyceride (fasting triglyceride ≥</w:t>
      </w:r>
      <w:r w:rsidR="007B2B56" w:rsidRPr="008D4446">
        <w:t xml:space="preserve"> </w:t>
      </w:r>
      <w:r w:rsidRPr="008D4446">
        <w:t>135 mg/dL and &lt;</w:t>
      </w:r>
      <w:r w:rsidR="00326B75">
        <w:t> </w:t>
      </w:r>
      <w:r w:rsidRPr="008D4446">
        <w:t>500</w:t>
      </w:r>
      <w:r w:rsidR="00326B75">
        <w:t> </w:t>
      </w:r>
      <w:r w:rsidRPr="008D4446">
        <w:t>mg/dL (≥</w:t>
      </w:r>
      <w:r w:rsidR="007B2B56" w:rsidRPr="008D4446">
        <w:t xml:space="preserve"> </w:t>
      </w:r>
      <w:r w:rsidRPr="008D4446">
        <w:t>1.53 mmol/L and &lt;</w:t>
      </w:r>
      <w:r w:rsidR="007B2B56" w:rsidRPr="008D4446">
        <w:t> </w:t>
      </w:r>
      <w:r w:rsidRPr="008D4446">
        <w:t>5.64</w:t>
      </w:r>
      <w:r w:rsidR="007B2B56" w:rsidRPr="008D4446">
        <w:t> </w:t>
      </w:r>
      <w:r w:rsidRPr="008D4446">
        <w:t xml:space="preserve">mmol/L)), to evaluate the effect of 4 g/day </w:t>
      </w:r>
      <w:proofErr w:type="spellStart"/>
      <w:r w:rsidR="008C75D7" w:rsidRPr="008D4446">
        <w:t>icosapent</w:t>
      </w:r>
      <w:proofErr w:type="spellEnd"/>
      <w:r w:rsidR="008C75D7" w:rsidRPr="008D4446">
        <w:t xml:space="preserve"> ethyl</w:t>
      </w:r>
      <w:r w:rsidRPr="008D4446">
        <w:t xml:space="preserve"> on the time from randomisation to the first occurrence of any component of the composite of the following major cardiovascular events:</w:t>
      </w:r>
    </w:p>
    <w:p w14:paraId="1AF51FBC" w14:textId="4BA6E169" w:rsidR="00A928FC" w:rsidRPr="008D4446" w:rsidRDefault="00A928FC" w:rsidP="00A928FC">
      <w:pPr>
        <w:pStyle w:val="ListBullet"/>
      </w:pPr>
      <w:r w:rsidRPr="008D4446">
        <w:lastRenderedPageBreak/>
        <w:t>cardiovascular death</w:t>
      </w:r>
    </w:p>
    <w:p w14:paraId="48CF2F10" w14:textId="424D6A2E" w:rsidR="00A928FC" w:rsidRPr="008D4446" w:rsidRDefault="00A928FC" w:rsidP="00A928FC">
      <w:pPr>
        <w:pStyle w:val="ListBullet"/>
      </w:pPr>
      <w:r w:rsidRPr="008D4446">
        <w:t>Non-fatal myocardial infarction, including silent myocardial infarction</w:t>
      </w:r>
    </w:p>
    <w:p w14:paraId="4F4D4264" w14:textId="77777777" w:rsidR="00A928FC" w:rsidRPr="008D4446" w:rsidRDefault="00A928FC" w:rsidP="00A928FC">
      <w:pPr>
        <w:pStyle w:val="ListBullet"/>
      </w:pPr>
      <w:r w:rsidRPr="008D4446">
        <w:t>Non-fatal stroke</w:t>
      </w:r>
    </w:p>
    <w:p w14:paraId="61F8DE67" w14:textId="77777777" w:rsidR="00A928FC" w:rsidRPr="008D4446" w:rsidRDefault="00A928FC" w:rsidP="00A928FC">
      <w:pPr>
        <w:pStyle w:val="ListBullet"/>
      </w:pPr>
      <w:r w:rsidRPr="008D4446">
        <w:t>Coronary revascularisation</w:t>
      </w:r>
    </w:p>
    <w:p w14:paraId="2378FAB9" w14:textId="7E9B4A76" w:rsidR="00A928FC" w:rsidRPr="008D4446" w:rsidRDefault="00A928FC" w:rsidP="00A928FC">
      <w:pPr>
        <w:pStyle w:val="ListBullet"/>
      </w:pPr>
      <w:r w:rsidRPr="008D4446">
        <w:t>Unstable angina determined to be caused by myocardial ischemia by invasive</w:t>
      </w:r>
      <w:r w:rsidR="007B2B56" w:rsidRPr="008D4446">
        <w:t xml:space="preserve"> or </w:t>
      </w:r>
      <w:r w:rsidRPr="008D4446">
        <w:t>non</w:t>
      </w:r>
      <w:r w:rsidR="007B2B56" w:rsidRPr="008D4446">
        <w:noBreakHyphen/>
      </w:r>
      <w:r w:rsidRPr="008D4446">
        <w:t>invasive testing and requiring emergent hospitalisation</w:t>
      </w:r>
    </w:p>
    <w:p w14:paraId="733754DC" w14:textId="7445CE0A" w:rsidR="00A928FC" w:rsidRPr="008D4446" w:rsidRDefault="00A928FC" w:rsidP="00A928FC">
      <w:r w:rsidRPr="008D4446">
        <w:t>The key secondary objective of this study was to evaluate the effect of therapy on the time from randomisation to the first occurrence of the composite of cardiovascular death, nonfatal myocardial infarction (including silent myocardial infarction), or nonfatal stroke. Other secondary and tertiary objectives were predefined.</w:t>
      </w:r>
    </w:p>
    <w:p w14:paraId="2CBF6AF8" w14:textId="68346B8F" w:rsidR="00A928FC" w:rsidRPr="008D4446" w:rsidRDefault="00A928FC" w:rsidP="00125C81">
      <w:pPr>
        <w:pStyle w:val="FigureTitle"/>
      </w:pPr>
      <w:r w:rsidRPr="008D4446">
        <w:t xml:space="preserve">Figure </w:t>
      </w:r>
      <w:r w:rsidR="00434F9A">
        <w:fldChar w:fldCharType="begin"/>
      </w:r>
      <w:r w:rsidR="00434F9A">
        <w:instrText xml:space="preserve"> SEQ Figure \* ARABIC </w:instrText>
      </w:r>
      <w:r w:rsidR="00434F9A">
        <w:fldChar w:fldCharType="separate"/>
      </w:r>
      <w:r w:rsidR="00703D92">
        <w:rPr>
          <w:noProof/>
        </w:rPr>
        <w:t>2</w:t>
      </w:r>
      <w:r w:rsidR="00434F9A">
        <w:rPr>
          <w:noProof/>
        </w:rPr>
        <w:fldChar w:fldCharType="end"/>
      </w:r>
      <w:r w:rsidR="007B2B56" w:rsidRPr="008D4446">
        <w:t>:</w:t>
      </w:r>
      <w:r w:rsidRPr="008D4446">
        <w:t xml:space="preserve"> </w:t>
      </w:r>
      <w:r w:rsidR="003C3C67" w:rsidRPr="008D4446">
        <w:t>REDUCE-IT trial Study o</w:t>
      </w:r>
      <w:r w:rsidRPr="008D4446">
        <w:t>verview</w:t>
      </w:r>
    </w:p>
    <w:p w14:paraId="58F21E7C" w14:textId="0B52785D" w:rsidR="00776E1E" w:rsidRPr="008D4446" w:rsidRDefault="00776E1E" w:rsidP="00125C81">
      <w:r w:rsidRPr="008D4446">
        <w:rPr>
          <w:noProof/>
        </w:rPr>
        <w:drawing>
          <wp:inline distT="0" distB="0" distL="0" distR="0" wp14:anchorId="528FBD20" wp14:editId="28837C89">
            <wp:extent cx="5759450" cy="2321560"/>
            <wp:effectExtent l="0" t="0" r="0" b="2540"/>
            <wp:docPr id="1" name="Picture 1" descr="Figure 2: REDUCE-IT trial Study overview&#10;The REDUCE-IT trial was a multi-centre, prospective, randomised double-blind, placebo controlled, parallel group Phase III event-driven trial with a lead in period of diet, lifestyle, and medication stabilisation with washout of prohibited lipid altering medications. Eligible patients were 45 years of age or older and had cardiovascular disease or were 50 years of age or older and had diabetes mellitus and at least one additional risk factor for cardiovascular disease. Eligible patients had a fasting triglycerides level of 135 to 499 mg/dL and a low-density lipoprotein cholesterol level of 41 to 100 mg/dL and had been receiving a stable dose of a statin for at least 4 weeks. A total of 8179 patients were randomised in a 1:1 ratio to receive icosapent ethyl 4 g/day or placebo during the treatment/follow-up phase. Patients were randomised at different times during the multi-year enrolment period with follow-up site visits at 4 months, 12 months and annually thereafter for evaluations, and all were to end the trial during the same specified ti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REDUCE-IT trial Study overview&#10;The REDUCE-IT trial was a multi-centre, prospective, randomised double-blind, placebo controlled, parallel group Phase III event-driven trial with a lead in period of diet, lifestyle, and medication stabilisation with washout of prohibited lipid altering medications. Eligible patients were 45 years of age or older and had cardiovascular disease or were 50 years of age or older and had diabetes mellitus and at least one additional risk factor for cardiovascular disease. Eligible patients had a fasting triglycerides level of 135 to 499 mg/dL and a low-density lipoprotein cholesterol level of 41 to 100 mg/dL and had been receiving a stable dose of a statin for at least 4 weeks. A total of 8179 patients were randomised in a 1:1 ratio to receive icosapent ethyl 4 g/day or placebo during the treatment/follow-up phase. Patients were randomised at different times during the multi-year enrolment period with follow-up site visits at 4 months, 12 months and annually thereafter for evaluations, and all were to end the trial during the same specified time period.&#10;"/>
                    <pic:cNvPicPr/>
                  </pic:nvPicPr>
                  <pic:blipFill>
                    <a:blip r:embed="rId25"/>
                    <a:stretch>
                      <a:fillRect/>
                    </a:stretch>
                  </pic:blipFill>
                  <pic:spPr>
                    <a:xfrm>
                      <a:off x="0" y="0"/>
                      <a:ext cx="5759450" cy="2321560"/>
                    </a:xfrm>
                    <a:prstGeom prst="rect">
                      <a:avLst/>
                    </a:prstGeom>
                  </pic:spPr>
                </pic:pic>
              </a:graphicData>
            </a:graphic>
          </wp:inline>
        </w:drawing>
      </w:r>
    </w:p>
    <w:p w14:paraId="068CBD94" w14:textId="72758AFA" w:rsidR="00A928FC" w:rsidRPr="008D4446" w:rsidRDefault="00A928FC" w:rsidP="00776E1E">
      <w:pPr>
        <w:pStyle w:val="FigureDescription"/>
      </w:pPr>
      <w:r w:rsidRPr="008D4446">
        <w:t xml:space="preserve">Abbreviations: CV = </w:t>
      </w:r>
      <w:bookmarkStart w:id="60" w:name="_Hlk142915846"/>
      <w:r w:rsidRPr="008D4446">
        <w:t>cardiovascular</w:t>
      </w:r>
      <w:bookmarkEnd w:id="60"/>
      <w:r w:rsidRPr="008D4446">
        <w:t xml:space="preserve">; CVD = </w:t>
      </w:r>
      <w:bookmarkStart w:id="61" w:name="_Hlk142915926"/>
      <w:r w:rsidRPr="008D4446">
        <w:t>cardiovascular disease</w:t>
      </w:r>
      <w:bookmarkEnd w:id="61"/>
      <w:r w:rsidRPr="008D4446">
        <w:t xml:space="preserve">; DM = </w:t>
      </w:r>
      <w:bookmarkStart w:id="62" w:name="_Hlk142915948"/>
      <w:r w:rsidRPr="008D4446">
        <w:t>diabetes mellitus</w:t>
      </w:r>
      <w:bookmarkEnd w:id="62"/>
      <w:r w:rsidRPr="008D4446">
        <w:t xml:space="preserve">; </w:t>
      </w:r>
      <w:proofErr w:type="spellStart"/>
      <w:r w:rsidRPr="008D4446">
        <w:t>icosapent</w:t>
      </w:r>
      <w:proofErr w:type="spellEnd"/>
      <w:r w:rsidRPr="008D4446">
        <w:t xml:space="preserve"> ethyl = AMR101; LDL-C</w:t>
      </w:r>
      <w:r w:rsidR="007B2B56" w:rsidRPr="008D4446">
        <w:t xml:space="preserve"> </w:t>
      </w:r>
      <w:r w:rsidRPr="008D4446">
        <w:t xml:space="preserve">= </w:t>
      </w:r>
      <w:bookmarkStart w:id="63" w:name="_Hlk142915986"/>
      <w:r w:rsidRPr="008D4446">
        <w:t>low-density lipoprotein cholesterol</w:t>
      </w:r>
      <w:bookmarkEnd w:id="63"/>
      <w:r w:rsidRPr="008D4446">
        <w:t xml:space="preserve">; MI = myocardial infarction; TG = </w:t>
      </w:r>
      <w:bookmarkStart w:id="64" w:name="_Hlk142915970"/>
      <w:r w:rsidRPr="008D4446">
        <w:t>triglycerides</w:t>
      </w:r>
      <w:bookmarkEnd w:id="64"/>
      <w:r w:rsidRPr="008D4446">
        <w:t xml:space="preserve">; </w:t>
      </w:r>
      <w:proofErr w:type="spellStart"/>
      <w:r w:rsidRPr="008D4446">
        <w:t>yrs</w:t>
      </w:r>
      <w:proofErr w:type="spellEnd"/>
      <w:r w:rsidRPr="008D4446">
        <w:t xml:space="preserve"> = years.</w:t>
      </w:r>
    </w:p>
    <w:p w14:paraId="115E5937" w14:textId="2CB1840E" w:rsidR="00776E1E" w:rsidRPr="008D4446" w:rsidRDefault="00776E1E" w:rsidP="00776E1E">
      <w:pPr>
        <w:pStyle w:val="FigureDescription"/>
      </w:pPr>
      <w:r w:rsidRPr="008D4446">
        <w:t>* Due to the variability of triglycerides, a 10% allowance from the lower qualifying target of ≥ 150 mg/dL existed in the initial protocol, which permitted patients to be enrolled with qualifying triglycerides ≥ 135 mg/dL. Protocol amendment 1 (May 2013) changed the lower limit of acceptable triglycerides from 135</w:t>
      </w:r>
      <w:r w:rsidR="00345AB3" w:rsidRPr="008D4446">
        <w:t> </w:t>
      </w:r>
      <w:r w:rsidRPr="008D4446">
        <w:t>to 200 mg/dL, with no variability allowance.</w:t>
      </w:r>
    </w:p>
    <w:p w14:paraId="6B914016" w14:textId="77777777" w:rsidR="00776E1E" w:rsidRPr="008D4446" w:rsidRDefault="00776E1E" w:rsidP="00776E1E">
      <w:pPr>
        <w:pStyle w:val="FigureDescription"/>
      </w:pPr>
      <w:r w:rsidRPr="008D4446">
        <w:t>† Median trial follow-up duration was 4.9 years (minimum 0.0, maximum 6.2 years).</w:t>
      </w:r>
    </w:p>
    <w:p w14:paraId="60517DCD" w14:textId="3123CFB3" w:rsidR="00A928FC" w:rsidRPr="008D4446" w:rsidRDefault="00A928FC" w:rsidP="00776E1E">
      <w:pPr>
        <w:pStyle w:val="FigureDescription"/>
      </w:pPr>
      <w:r w:rsidRPr="008D4446">
        <w:t xml:space="preserve">Source: </w:t>
      </w:r>
      <w:r w:rsidR="00776E1E" w:rsidRPr="008D4446">
        <w:t xml:space="preserve">this figure is extracted from </w:t>
      </w:r>
      <w:r w:rsidR="00125C81" w:rsidRPr="008D4446">
        <w:t>Committee for Medicinal Products for Human Use (CHMP)</w:t>
      </w:r>
      <w:r w:rsidRPr="008D4446">
        <w:t xml:space="preserve"> Assessment Report</w:t>
      </w:r>
      <w:r w:rsidR="00776E1E" w:rsidRPr="008D4446">
        <w:t xml:space="preserve"> for Vazkepa</w:t>
      </w:r>
      <w:bookmarkStart w:id="65" w:name="_Ref142913692"/>
      <w:r w:rsidR="00776E1E" w:rsidRPr="008D4446">
        <w:rPr>
          <w:rStyle w:val="FootnoteReference"/>
        </w:rPr>
        <w:footnoteReference w:id="9"/>
      </w:r>
      <w:bookmarkEnd w:id="65"/>
      <w:r w:rsidR="00776E1E" w:rsidRPr="008D4446">
        <w:t xml:space="preserve"> (</w:t>
      </w:r>
      <w:r w:rsidRPr="008D4446">
        <w:t>Modified from Bhatt</w:t>
      </w:r>
      <w:r w:rsidR="00776E1E" w:rsidRPr="008D4446">
        <w:t>,</w:t>
      </w:r>
      <w:r w:rsidRPr="008D4446">
        <w:t xml:space="preserve"> D</w:t>
      </w:r>
      <w:r w:rsidR="00776E1E" w:rsidRPr="008D4446">
        <w:t>.</w:t>
      </w:r>
      <w:r w:rsidRPr="008D4446">
        <w:t>L</w:t>
      </w:r>
      <w:r w:rsidR="00776E1E" w:rsidRPr="008D4446">
        <w:t xml:space="preserve">. et al. </w:t>
      </w:r>
      <w:r w:rsidRPr="008D4446">
        <w:t xml:space="preserve">Cardiovascular </w:t>
      </w:r>
      <w:r w:rsidR="00776E1E" w:rsidRPr="008D4446">
        <w:t xml:space="preserve">Risk Reduction with </w:t>
      </w:r>
      <w:proofErr w:type="spellStart"/>
      <w:r w:rsidR="00776E1E" w:rsidRPr="008D4446">
        <w:t>Icosapent</w:t>
      </w:r>
      <w:proofErr w:type="spellEnd"/>
      <w:r w:rsidR="00776E1E" w:rsidRPr="008D4446">
        <w:t xml:space="preserve"> Ethyl for Hypertriglyceridemia,</w:t>
      </w:r>
      <w:r w:rsidRPr="008D4446">
        <w:t xml:space="preserve"> </w:t>
      </w:r>
      <w:r w:rsidRPr="008D4446">
        <w:rPr>
          <w:i/>
          <w:iCs/>
        </w:rPr>
        <w:t xml:space="preserve">N </w:t>
      </w:r>
      <w:proofErr w:type="spellStart"/>
      <w:r w:rsidRPr="008D4446">
        <w:rPr>
          <w:i/>
          <w:iCs/>
        </w:rPr>
        <w:t>Engl</w:t>
      </w:r>
      <w:proofErr w:type="spellEnd"/>
      <w:r w:rsidRPr="008D4446">
        <w:rPr>
          <w:i/>
          <w:iCs/>
        </w:rPr>
        <w:t xml:space="preserve"> J Med</w:t>
      </w:r>
      <w:r w:rsidR="00776E1E" w:rsidRPr="008D4446">
        <w:t>,</w:t>
      </w:r>
      <w:r w:rsidRPr="008D4446">
        <w:t xml:space="preserve"> 2019;</w:t>
      </w:r>
      <w:r w:rsidR="00776E1E" w:rsidRPr="008D4446">
        <w:t xml:space="preserve"> </w:t>
      </w:r>
      <w:r w:rsidRPr="008D4446">
        <w:t>380(1):</w:t>
      </w:r>
      <w:r w:rsidR="00776E1E" w:rsidRPr="008D4446">
        <w:t xml:space="preserve"> </w:t>
      </w:r>
      <w:r w:rsidRPr="008D4446">
        <w:t>11-22</w:t>
      </w:r>
      <w:r w:rsidR="00776E1E" w:rsidRPr="008D4446">
        <w:t>)</w:t>
      </w:r>
      <w:r w:rsidRPr="008D4446">
        <w:t>.</w:t>
      </w:r>
    </w:p>
    <w:p w14:paraId="315413AA" w14:textId="2C3A4337" w:rsidR="00A928FC" w:rsidRPr="008D4446" w:rsidRDefault="00A928FC" w:rsidP="00A928FC">
      <w:pPr>
        <w:pStyle w:val="Heading6"/>
      </w:pPr>
      <w:r w:rsidRPr="008D4446">
        <w:t>Key inclusion criteria</w:t>
      </w:r>
    </w:p>
    <w:p w14:paraId="018333B5" w14:textId="04AD59FA" w:rsidR="00A928FC" w:rsidRPr="008D4446" w:rsidRDefault="007B2B56" w:rsidP="007B2B56">
      <w:pPr>
        <w:pStyle w:val="Heading7"/>
      </w:pPr>
      <w:r w:rsidRPr="008D4446">
        <w:t xml:space="preserve">Criteria </w:t>
      </w:r>
      <w:r w:rsidR="00A928FC" w:rsidRPr="008D4446">
        <w:t>related to lipid status</w:t>
      </w:r>
    </w:p>
    <w:p w14:paraId="21635D27" w14:textId="1B933597" w:rsidR="00A928FC" w:rsidRPr="008D4446" w:rsidRDefault="007B2B56" w:rsidP="007B2B56">
      <w:pPr>
        <w:pStyle w:val="ListBullet"/>
      </w:pPr>
      <w:r w:rsidRPr="008D4446">
        <w:t>F</w:t>
      </w:r>
      <w:r w:rsidR="00A928FC" w:rsidRPr="008D4446">
        <w:t>asting triglyceride level ≥</w:t>
      </w:r>
      <w:r w:rsidRPr="008D4446">
        <w:t xml:space="preserve"> </w:t>
      </w:r>
      <w:r w:rsidR="00A928FC" w:rsidRPr="008D4446">
        <w:t>135 mg/dL (1.53 mmol/L) and &lt;</w:t>
      </w:r>
      <w:r w:rsidRPr="008D4446">
        <w:t xml:space="preserve"> </w:t>
      </w:r>
      <w:r w:rsidR="00A928FC" w:rsidRPr="008D4446">
        <w:t>500 mg/dL (5.64 mmol/L)</w:t>
      </w:r>
      <w:r w:rsidR="00F15D6F" w:rsidRPr="008D4446">
        <w:t>.</w:t>
      </w:r>
      <w:r w:rsidR="00A928FC" w:rsidRPr="008D4446">
        <w:rPr>
          <w:rStyle w:val="FootnoteReference"/>
        </w:rPr>
        <w:footnoteReference w:id="10"/>
      </w:r>
    </w:p>
    <w:p w14:paraId="7BF9760F" w14:textId="66AEA033" w:rsidR="00A928FC" w:rsidRPr="008D4446" w:rsidRDefault="00F15D6F" w:rsidP="007B2B56">
      <w:pPr>
        <w:pStyle w:val="ListBullet"/>
      </w:pPr>
      <w:r w:rsidRPr="008D4446">
        <w:lastRenderedPageBreak/>
        <w:t>Low-density lipoprotein (</w:t>
      </w:r>
      <w:r w:rsidR="00A928FC" w:rsidRPr="008D4446">
        <w:t>LDL</w:t>
      </w:r>
      <w:r w:rsidRPr="008D4446">
        <w:t>) cholesterol</w:t>
      </w:r>
      <w:r w:rsidR="00A928FC" w:rsidRPr="008D4446">
        <w:t xml:space="preserve"> &gt;</w:t>
      </w:r>
      <w:r w:rsidR="007B2B56" w:rsidRPr="008D4446">
        <w:t xml:space="preserve"> </w:t>
      </w:r>
      <w:r w:rsidR="00A928FC" w:rsidRPr="008D4446">
        <w:t>40 mg/dL (1.04 mmol/L) and ≤</w:t>
      </w:r>
      <w:r w:rsidR="007B2B56" w:rsidRPr="008D4446">
        <w:t xml:space="preserve"> </w:t>
      </w:r>
      <w:r w:rsidR="00A928FC" w:rsidRPr="008D4446">
        <w:t>100 mg/dL (2.60 mmol/L) and on stable therapy with a statin (with or without ezetimibe) for at least 4</w:t>
      </w:r>
      <w:r w:rsidR="00326B75">
        <w:t> </w:t>
      </w:r>
      <w:r w:rsidR="00A928FC" w:rsidRPr="008D4446">
        <w:t>weeks prior to the LDL</w:t>
      </w:r>
      <w:r w:rsidRPr="008D4446">
        <w:t xml:space="preserve"> cholesterol</w:t>
      </w:r>
      <w:r w:rsidR="00A928FC" w:rsidRPr="008D4446">
        <w:t xml:space="preserve"> and triglyceride baseline qualifying measurements for randomisation</w:t>
      </w:r>
      <w:r w:rsidRPr="008D4446">
        <w:t>.</w:t>
      </w:r>
    </w:p>
    <w:p w14:paraId="2C332170" w14:textId="7C26BABC" w:rsidR="00A928FC" w:rsidRPr="008D4446" w:rsidRDefault="007B2B56" w:rsidP="007B2B56">
      <w:pPr>
        <w:pStyle w:val="Heading7"/>
      </w:pPr>
      <w:r w:rsidRPr="008D4446">
        <w:t xml:space="preserve">Criteria </w:t>
      </w:r>
      <w:r w:rsidR="00A928FC" w:rsidRPr="008D4446">
        <w:t>related to cardiovascular risk</w:t>
      </w:r>
    </w:p>
    <w:p w14:paraId="40968AD9" w14:textId="1F0A1A60" w:rsidR="00A928FC" w:rsidRPr="008D4446" w:rsidRDefault="007B2B56" w:rsidP="007B2B56">
      <w:pPr>
        <w:pStyle w:val="ListBullet"/>
      </w:pPr>
      <w:r w:rsidRPr="008D4446">
        <w:t>cardiovascular risk category</w:t>
      </w:r>
      <w:r w:rsidR="00A928FC" w:rsidRPr="008D4446">
        <w:t xml:space="preserve"> 1 (</w:t>
      </w:r>
      <w:r w:rsidRPr="008D4446">
        <w:t>secondary prevention cohort</w:t>
      </w:r>
      <w:r w:rsidR="00A928FC" w:rsidRPr="008D4446">
        <w:t>) men and women ≥</w:t>
      </w:r>
      <w:r w:rsidRPr="008D4446">
        <w:t xml:space="preserve"> </w:t>
      </w:r>
      <w:r w:rsidR="00A928FC" w:rsidRPr="008D4446">
        <w:t>45 years of age with established cardiovascular disease based on:</w:t>
      </w:r>
    </w:p>
    <w:p w14:paraId="6A597368" w14:textId="672B5418" w:rsidR="00A928FC" w:rsidRPr="008D4446" w:rsidRDefault="00A928FC" w:rsidP="007B2B56">
      <w:pPr>
        <w:pStyle w:val="ListBullet2"/>
      </w:pPr>
      <w:r w:rsidRPr="008D4446">
        <w:t xml:space="preserve">documented coronary artery disease according to predefined </w:t>
      </w:r>
      <w:proofErr w:type="gramStart"/>
      <w:r w:rsidRPr="008D4446">
        <w:t>criteria</w:t>
      </w:r>
      <w:r w:rsidR="00F15D6F" w:rsidRPr="008D4446">
        <w:t>;</w:t>
      </w:r>
      <w:proofErr w:type="gramEnd"/>
    </w:p>
    <w:p w14:paraId="04AD4F0D" w14:textId="0E88D5AA" w:rsidR="00A928FC" w:rsidRPr="008D4446" w:rsidRDefault="00A928FC" w:rsidP="007B2B56">
      <w:pPr>
        <w:pStyle w:val="ListBullet2"/>
      </w:pPr>
      <w:r w:rsidRPr="008D4446">
        <w:t xml:space="preserve">documented cerebrovascular or carotid disease according to predefined </w:t>
      </w:r>
      <w:proofErr w:type="gramStart"/>
      <w:r w:rsidRPr="008D4446">
        <w:t>criteria</w:t>
      </w:r>
      <w:r w:rsidR="00F15D6F" w:rsidRPr="008D4446">
        <w:t>;</w:t>
      </w:r>
      <w:proofErr w:type="gramEnd"/>
    </w:p>
    <w:p w14:paraId="07BE5947" w14:textId="1924A120" w:rsidR="00A928FC" w:rsidRPr="008D4446" w:rsidRDefault="00A928FC" w:rsidP="007B2B56">
      <w:pPr>
        <w:pStyle w:val="ListBullet2"/>
      </w:pPr>
      <w:r w:rsidRPr="008D4446">
        <w:t>documented peripheral arterial disease according to predefined criteria</w:t>
      </w:r>
      <w:r w:rsidR="00F15D6F" w:rsidRPr="008D4446">
        <w:t>.</w:t>
      </w:r>
    </w:p>
    <w:p w14:paraId="2C73AB12" w14:textId="35CB3A0C" w:rsidR="00A928FC" w:rsidRPr="008D4446" w:rsidRDefault="007B2B56" w:rsidP="007B2B56">
      <w:pPr>
        <w:pStyle w:val="ListBullet"/>
      </w:pPr>
      <w:r w:rsidRPr="008D4446">
        <w:t>cardiovascular risk category</w:t>
      </w:r>
      <w:r w:rsidR="00A928FC" w:rsidRPr="008D4446">
        <w:t xml:space="preserve"> 2 (</w:t>
      </w:r>
      <w:r w:rsidRPr="008D4446">
        <w:t>primary prevention cohort</w:t>
      </w:r>
      <w:r w:rsidR="00A928FC" w:rsidRPr="008D4446">
        <w:t>) men and women ≥</w:t>
      </w:r>
      <w:r w:rsidRPr="008D4446">
        <w:t xml:space="preserve"> </w:t>
      </w:r>
      <w:r w:rsidR="00A928FC" w:rsidRPr="008D4446">
        <w:t>50 years of age who are at high risk for cardiovascular disease based on having diabetes mellitus (type</w:t>
      </w:r>
      <w:r w:rsidRPr="008D4446">
        <w:t> </w:t>
      </w:r>
      <w:r w:rsidR="00A928FC" w:rsidRPr="008D4446">
        <w:t>1 or 2) requiring treatment with medication and one or more of the following:</w:t>
      </w:r>
    </w:p>
    <w:p w14:paraId="6C76A6CE" w14:textId="1ECC44E2" w:rsidR="00A928FC" w:rsidRPr="008D4446" w:rsidRDefault="00A928FC" w:rsidP="007B2B56">
      <w:pPr>
        <w:pStyle w:val="ListBullet2"/>
      </w:pPr>
      <w:r w:rsidRPr="008D4446">
        <w:t>men ≥ 55 years of age or women ≥ 6</w:t>
      </w:r>
      <w:r w:rsidR="00FE04D6">
        <w:t>5</w:t>
      </w:r>
      <w:r w:rsidRPr="008D4446">
        <w:t xml:space="preserve"> years of </w:t>
      </w:r>
      <w:proofErr w:type="gramStart"/>
      <w:r w:rsidRPr="008D4446">
        <w:t>age</w:t>
      </w:r>
      <w:r w:rsidR="00F15D6F" w:rsidRPr="008D4446">
        <w:t>;</w:t>
      </w:r>
      <w:proofErr w:type="gramEnd"/>
    </w:p>
    <w:p w14:paraId="1EEA21CD" w14:textId="41BA4215" w:rsidR="00A928FC" w:rsidRPr="008D4446" w:rsidRDefault="00A928FC" w:rsidP="007B2B56">
      <w:pPr>
        <w:pStyle w:val="ListBullet2"/>
      </w:pPr>
      <w:r w:rsidRPr="008D4446">
        <w:t xml:space="preserve">cigarette smoker or stopped smoking within 3 months before Visit </w:t>
      </w:r>
      <w:proofErr w:type="gramStart"/>
      <w:r w:rsidRPr="008D4446">
        <w:t>1</w:t>
      </w:r>
      <w:r w:rsidR="00F15D6F" w:rsidRPr="008D4446">
        <w:t>;</w:t>
      </w:r>
      <w:proofErr w:type="gramEnd"/>
    </w:p>
    <w:p w14:paraId="171F7DC8" w14:textId="0C312A01" w:rsidR="00A928FC" w:rsidRPr="008D4446" w:rsidRDefault="00A928FC" w:rsidP="007B2B56">
      <w:pPr>
        <w:pStyle w:val="ListBullet2"/>
      </w:pPr>
      <w:r w:rsidRPr="008D4446">
        <w:t>hypertension (blood pressure ≥</w:t>
      </w:r>
      <w:r w:rsidR="007B2B56" w:rsidRPr="008D4446">
        <w:t xml:space="preserve"> </w:t>
      </w:r>
      <w:r w:rsidRPr="008D4446">
        <w:t>140 mmHg systolic or ≥</w:t>
      </w:r>
      <w:r w:rsidR="007B2B56" w:rsidRPr="008D4446">
        <w:t xml:space="preserve"> </w:t>
      </w:r>
      <w:r w:rsidRPr="008D4446">
        <w:t xml:space="preserve">90 mmHg diastolic) or on antihypertensive </w:t>
      </w:r>
      <w:proofErr w:type="gramStart"/>
      <w:r w:rsidRPr="008D4446">
        <w:t>medication</w:t>
      </w:r>
      <w:r w:rsidR="00F15D6F" w:rsidRPr="008D4446">
        <w:t>;</w:t>
      </w:r>
      <w:proofErr w:type="gramEnd"/>
    </w:p>
    <w:p w14:paraId="2E291FFF" w14:textId="3FD09114" w:rsidR="00A928FC" w:rsidRPr="008D4446" w:rsidRDefault="00F15D6F" w:rsidP="007B2B56">
      <w:pPr>
        <w:pStyle w:val="ListBullet2"/>
      </w:pPr>
      <w:r w:rsidRPr="008D4446">
        <w:t>high-density lipoprotein (</w:t>
      </w:r>
      <w:r w:rsidR="00A928FC" w:rsidRPr="008D4446">
        <w:t>HDL</w:t>
      </w:r>
      <w:r w:rsidRPr="008D4446">
        <w:t>) cholesterol</w:t>
      </w:r>
      <w:r w:rsidR="00A928FC" w:rsidRPr="008D4446">
        <w:t xml:space="preserve"> ≤</w:t>
      </w:r>
      <w:r w:rsidR="007B2B56" w:rsidRPr="008D4446">
        <w:t xml:space="preserve"> </w:t>
      </w:r>
      <w:r w:rsidR="00A928FC" w:rsidRPr="008D4446">
        <w:t>40 mg/dL for men or ≤</w:t>
      </w:r>
      <w:r w:rsidR="007B2B56" w:rsidRPr="008D4446">
        <w:t xml:space="preserve"> </w:t>
      </w:r>
      <w:r w:rsidR="00A928FC" w:rsidRPr="008D4446">
        <w:t xml:space="preserve">50 mg/dL for </w:t>
      </w:r>
      <w:proofErr w:type="gramStart"/>
      <w:r w:rsidR="00A928FC" w:rsidRPr="008D4446">
        <w:t>women</w:t>
      </w:r>
      <w:r w:rsidRPr="008D4446">
        <w:t>;</w:t>
      </w:r>
      <w:proofErr w:type="gramEnd"/>
    </w:p>
    <w:p w14:paraId="7ABD5845" w14:textId="59321945" w:rsidR="00A928FC" w:rsidRPr="008D4446" w:rsidRDefault="00F15D6F" w:rsidP="007B2B56">
      <w:pPr>
        <w:pStyle w:val="ListBullet2"/>
      </w:pPr>
      <w:r w:rsidRPr="008D4446">
        <w:t>high sensitivity C-reactive protein (</w:t>
      </w:r>
      <w:r w:rsidR="00A928FC" w:rsidRPr="008D4446">
        <w:t>CRP</w:t>
      </w:r>
      <w:r w:rsidRPr="008D4446">
        <w:t>)</w:t>
      </w:r>
      <w:r w:rsidR="00A928FC" w:rsidRPr="008D4446">
        <w:t xml:space="preserve"> &gt;</w:t>
      </w:r>
      <w:r w:rsidR="007B2B56" w:rsidRPr="008D4446">
        <w:t xml:space="preserve"> </w:t>
      </w:r>
      <w:r w:rsidR="00A928FC" w:rsidRPr="008D4446">
        <w:t>3.00 mg/L (0.3 mg/dL</w:t>
      </w:r>
      <w:proofErr w:type="gramStart"/>
      <w:r w:rsidR="00A928FC" w:rsidRPr="008D4446">
        <w:t>)</w:t>
      </w:r>
      <w:r w:rsidRPr="008D4446">
        <w:t>;</w:t>
      </w:r>
      <w:proofErr w:type="gramEnd"/>
    </w:p>
    <w:p w14:paraId="4CF038B7" w14:textId="625290FA" w:rsidR="00A928FC" w:rsidRPr="008D4446" w:rsidRDefault="00A928FC" w:rsidP="007B2B56">
      <w:pPr>
        <w:pStyle w:val="ListBullet2"/>
      </w:pPr>
      <w:r w:rsidRPr="008D4446">
        <w:t>renal dysfunction: creatinine clearance &gt;</w:t>
      </w:r>
      <w:r w:rsidR="007B2B56" w:rsidRPr="008D4446">
        <w:t xml:space="preserve"> </w:t>
      </w:r>
      <w:r w:rsidRPr="008D4446">
        <w:t>30 and &lt;</w:t>
      </w:r>
      <w:r w:rsidR="007B2B56" w:rsidRPr="008D4446">
        <w:t xml:space="preserve"> </w:t>
      </w:r>
      <w:r w:rsidRPr="008D4446">
        <w:t>60 mL/min (&gt;</w:t>
      </w:r>
      <w:r w:rsidR="007B2B56" w:rsidRPr="008D4446">
        <w:t xml:space="preserve"> </w:t>
      </w:r>
      <w:r w:rsidRPr="008D4446">
        <w:t>0.50 and &lt;</w:t>
      </w:r>
      <w:r w:rsidR="007B2B56" w:rsidRPr="008D4446">
        <w:t> </w:t>
      </w:r>
      <w:r w:rsidRPr="008D4446">
        <w:t>1.00</w:t>
      </w:r>
      <w:r w:rsidR="007B2B56" w:rsidRPr="008D4446">
        <w:t> </w:t>
      </w:r>
      <w:r w:rsidRPr="008D4446">
        <w:t>mL/sec</w:t>
      </w:r>
      <w:proofErr w:type="gramStart"/>
      <w:r w:rsidRPr="008D4446">
        <w:t>)</w:t>
      </w:r>
      <w:r w:rsidR="00F15D6F" w:rsidRPr="008D4446">
        <w:t>;</w:t>
      </w:r>
      <w:proofErr w:type="gramEnd"/>
    </w:p>
    <w:p w14:paraId="36BCA2D1" w14:textId="33BF3269" w:rsidR="00A928FC" w:rsidRPr="008D4446" w:rsidRDefault="00A928FC" w:rsidP="007B2B56">
      <w:pPr>
        <w:pStyle w:val="ListBullet2"/>
      </w:pPr>
      <w:r w:rsidRPr="008D4446">
        <w:t>retinopathy, defined as any of the following: non-proliferative retinopathy, pre</w:t>
      </w:r>
      <w:r w:rsidR="007B2B56" w:rsidRPr="008D4446">
        <w:noBreakHyphen/>
      </w:r>
      <w:r w:rsidRPr="008D4446">
        <w:t xml:space="preserve">proliferative retinopathy, proliferative retinopathy, maculopathy, advanced diabetic eye disease, or a history of </w:t>
      </w:r>
      <w:proofErr w:type="gramStart"/>
      <w:r w:rsidRPr="008D4446">
        <w:t>photocoagulation</w:t>
      </w:r>
      <w:r w:rsidR="00F15D6F" w:rsidRPr="008D4446">
        <w:t>;</w:t>
      </w:r>
      <w:proofErr w:type="gramEnd"/>
    </w:p>
    <w:p w14:paraId="7DBEF9B3" w14:textId="49257EF2" w:rsidR="00A928FC" w:rsidRPr="008D4446" w:rsidRDefault="007B2B56" w:rsidP="007B2B56">
      <w:pPr>
        <w:pStyle w:val="ListBullet2"/>
      </w:pPr>
      <w:r w:rsidRPr="008D4446">
        <w:t>m</w:t>
      </w:r>
      <w:r w:rsidR="00A928FC" w:rsidRPr="008D4446">
        <w:t>icro</w:t>
      </w:r>
      <w:r w:rsidRPr="008D4446">
        <w:t>albuminuria</w:t>
      </w:r>
      <w:r w:rsidR="00A928FC" w:rsidRPr="008D4446">
        <w:t xml:space="preserve"> or </w:t>
      </w:r>
      <w:proofErr w:type="gramStart"/>
      <w:r w:rsidR="00A928FC" w:rsidRPr="008D4446">
        <w:t>macroalbuminuria</w:t>
      </w:r>
      <w:r w:rsidR="00F15D6F" w:rsidRPr="008D4446">
        <w:t>;</w:t>
      </w:r>
      <w:proofErr w:type="gramEnd"/>
    </w:p>
    <w:p w14:paraId="227E36B3" w14:textId="19CD3F4B" w:rsidR="00A928FC" w:rsidRPr="008D4446" w:rsidRDefault="00F15D6F" w:rsidP="007B2B56">
      <w:pPr>
        <w:pStyle w:val="ListBullet2"/>
      </w:pPr>
      <w:r w:rsidRPr="008D4446">
        <w:t>ankle-brachial index</w:t>
      </w:r>
      <w:r w:rsidR="00A928FC" w:rsidRPr="008D4446">
        <w:t xml:space="preserve"> &lt;</w:t>
      </w:r>
      <w:r w:rsidR="007B2B56" w:rsidRPr="008D4446">
        <w:t> </w:t>
      </w:r>
      <w:r w:rsidR="00A928FC" w:rsidRPr="008D4446">
        <w:t xml:space="preserve">0.9 without symptoms of intermittent claudication (patients with </w:t>
      </w:r>
      <w:r w:rsidRPr="008D4446">
        <w:t>ankle-brachial index</w:t>
      </w:r>
      <w:r w:rsidR="00A928FC" w:rsidRPr="008D4446">
        <w:t xml:space="preserve"> &lt;</w:t>
      </w:r>
      <w:r w:rsidR="007B2B56" w:rsidRPr="008D4446">
        <w:t> </w:t>
      </w:r>
      <w:r w:rsidR="00A928FC" w:rsidRPr="008D4446">
        <w:t xml:space="preserve">0.9 with symptoms of intermittent claudication were included in </w:t>
      </w:r>
      <w:r w:rsidR="007B2B56" w:rsidRPr="008D4446">
        <w:t>cardiovascular risk category </w:t>
      </w:r>
      <w:r w:rsidR="00A928FC" w:rsidRPr="008D4446">
        <w:t>1).</w:t>
      </w:r>
    </w:p>
    <w:p w14:paraId="5F052F71" w14:textId="52315DBC" w:rsidR="00A928FC" w:rsidRPr="008D4446" w:rsidRDefault="00A928FC" w:rsidP="00A928FC">
      <w:pPr>
        <w:pStyle w:val="Heading6"/>
      </w:pPr>
      <w:r w:rsidRPr="008D4446">
        <w:t>Key exclusion criteria</w:t>
      </w:r>
    </w:p>
    <w:p w14:paraId="64F9E7A7" w14:textId="56F53CF4" w:rsidR="00A928FC" w:rsidRPr="008D4446" w:rsidRDefault="00A928FC" w:rsidP="00C160CB">
      <w:pPr>
        <w:pStyle w:val="ListBullet"/>
      </w:pPr>
      <w:r w:rsidRPr="008D4446">
        <w:t>severe (</w:t>
      </w:r>
      <w:r w:rsidR="00F15D6F" w:rsidRPr="008D4446">
        <w:t xml:space="preserve">New York Heart Association </w:t>
      </w:r>
      <w:r w:rsidRPr="008D4446">
        <w:t>class IV)</w:t>
      </w:r>
      <w:r w:rsidR="00F15D6F" w:rsidRPr="008D4446">
        <w:rPr>
          <w:rStyle w:val="FootnoteReference"/>
        </w:rPr>
        <w:footnoteReference w:id="11"/>
      </w:r>
      <w:r w:rsidRPr="008D4446">
        <w:t xml:space="preserve"> heart failure</w:t>
      </w:r>
    </w:p>
    <w:p w14:paraId="6238D732" w14:textId="6635C1A5" w:rsidR="00A928FC" w:rsidRPr="008D4446" w:rsidRDefault="00A928FC" w:rsidP="00C160CB">
      <w:pPr>
        <w:pStyle w:val="ListBullet"/>
      </w:pPr>
      <w:r w:rsidRPr="008D4446">
        <w:t>any life-threatening disease expected to result in death within the next 2 years (other than cardiovascular disease)</w:t>
      </w:r>
    </w:p>
    <w:p w14:paraId="39A477B9" w14:textId="77777777" w:rsidR="00A928FC" w:rsidRPr="008D4446" w:rsidRDefault="00A928FC" w:rsidP="00C160CB">
      <w:pPr>
        <w:pStyle w:val="ListBullet"/>
      </w:pPr>
      <w:r w:rsidRPr="008D4446">
        <w:lastRenderedPageBreak/>
        <w:t>active severe liver disease</w:t>
      </w:r>
    </w:p>
    <w:p w14:paraId="7591D6E2" w14:textId="7A054FEE" w:rsidR="00A928FC" w:rsidRPr="008D4446" w:rsidRDefault="00F15D6F" w:rsidP="00C160CB">
      <w:pPr>
        <w:pStyle w:val="ListBullet"/>
      </w:pPr>
      <w:r w:rsidRPr="008D4446">
        <w:t xml:space="preserve">Haemoglobin A1C </w:t>
      </w:r>
      <w:r w:rsidR="00A928FC" w:rsidRPr="008D4446">
        <w:t>&gt;</w:t>
      </w:r>
      <w:r w:rsidR="007B2B56" w:rsidRPr="008D4446">
        <w:t xml:space="preserve"> </w:t>
      </w:r>
      <w:r w:rsidR="00A928FC" w:rsidRPr="008D4446">
        <w:t>10.0% (or &gt;</w:t>
      </w:r>
      <w:r w:rsidR="007B2B56" w:rsidRPr="008D4446">
        <w:t xml:space="preserve"> </w:t>
      </w:r>
      <w:r w:rsidR="00A928FC" w:rsidRPr="008D4446">
        <w:t xml:space="preserve">86 mmol/mol </w:t>
      </w:r>
      <w:r w:rsidRPr="008D4446">
        <w:t xml:space="preserve">International Federation on Clinical Chemistry </w:t>
      </w:r>
      <w:r w:rsidR="00A928FC" w:rsidRPr="008D4446">
        <w:t>units)</w:t>
      </w:r>
    </w:p>
    <w:p w14:paraId="76EDA4C5" w14:textId="77777777" w:rsidR="00A928FC" w:rsidRPr="008D4446" w:rsidRDefault="00A928FC" w:rsidP="00C160CB">
      <w:pPr>
        <w:pStyle w:val="ListBullet"/>
      </w:pPr>
      <w:r w:rsidRPr="008D4446">
        <w:t>poorly controlled hypertension</w:t>
      </w:r>
    </w:p>
    <w:p w14:paraId="15D6FF66" w14:textId="77777777" w:rsidR="00A928FC" w:rsidRPr="008D4446" w:rsidRDefault="00A928FC" w:rsidP="00C160CB">
      <w:pPr>
        <w:pStyle w:val="ListBullet"/>
      </w:pPr>
      <w:r w:rsidRPr="008D4446">
        <w:t>planned coronary intervention</w:t>
      </w:r>
    </w:p>
    <w:p w14:paraId="741099D5" w14:textId="77777777" w:rsidR="00A928FC" w:rsidRPr="008D4446" w:rsidRDefault="00A928FC" w:rsidP="00C160CB">
      <w:pPr>
        <w:pStyle w:val="ListBullet"/>
      </w:pPr>
      <w:r w:rsidRPr="008D4446">
        <w:t>known hypersensitivity to fish and/or shellfish</w:t>
      </w:r>
    </w:p>
    <w:p w14:paraId="3BEA7FE8" w14:textId="77777777" w:rsidR="00A928FC" w:rsidRPr="008D4446" w:rsidRDefault="00A928FC" w:rsidP="00C160CB">
      <w:pPr>
        <w:pStyle w:val="ListBullet"/>
      </w:pPr>
      <w:r w:rsidRPr="008D4446">
        <w:t>intolerance or hypersensitivity to statin therapy</w:t>
      </w:r>
    </w:p>
    <w:p w14:paraId="2E39C71E" w14:textId="77777777" w:rsidR="00A928FC" w:rsidRPr="008D4446" w:rsidRDefault="00A928FC" w:rsidP="00C160CB">
      <w:pPr>
        <w:pStyle w:val="ListBullet"/>
      </w:pPr>
      <w:r w:rsidRPr="008D4446">
        <w:t>history of acute or chronic pancreatitis</w:t>
      </w:r>
    </w:p>
    <w:p w14:paraId="79988996" w14:textId="2194AD1C" w:rsidR="00A928FC" w:rsidRPr="008D4446" w:rsidRDefault="00A928FC" w:rsidP="00C160CB">
      <w:r w:rsidRPr="008D4446">
        <w:t xml:space="preserve">Study treatment was </w:t>
      </w:r>
      <w:proofErr w:type="spellStart"/>
      <w:r w:rsidR="008C75D7" w:rsidRPr="008D4446">
        <w:t>icosapent</w:t>
      </w:r>
      <w:proofErr w:type="spellEnd"/>
      <w:r w:rsidR="008C75D7" w:rsidRPr="008D4446">
        <w:t xml:space="preserve"> ethyl</w:t>
      </w:r>
      <w:r w:rsidRPr="008D4446">
        <w:t xml:space="preserve"> capsules</w:t>
      </w:r>
      <w:r w:rsidRPr="008D4446">
        <w:rPr>
          <w:vertAlign w:val="superscript"/>
        </w:rPr>
        <w:footnoteReference w:id="12"/>
      </w:r>
      <w:r w:rsidRPr="008D4446">
        <w:t xml:space="preserve"> or placebo capsules containing pharmaceutical grade light mineral oil, selected to match the colour and consistency of </w:t>
      </w:r>
      <w:proofErr w:type="spellStart"/>
      <w:r w:rsidR="008C75D7" w:rsidRPr="008D4446">
        <w:t>icosapent</w:t>
      </w:r>
      <w:proofErr w:type="spellEnd"/>
      <w:r w:rsidR="008C75D7" w:rsidRPr="008D4446">
        <w:t xml:space="preserve"> ethyl</w:t>
      </w:r>
      <w:r w:rsidRPr="008D4446">
        <w:t>, taken at a dose of 2</w:t>
      </w:r>
      <w:r w:rsidR="007B2B56" w:rsidRPr="008D4446">
        <w:t> </w:t>
      </w:r>
      <w:r w:rsidRPr="008D4446">
        <w:t>capsules twice a day (</w:t>
      </w:r>
      <w:r w:rsidR="007B2B56" w:rsidRPr="008D4446">
        <w:t xml:space="preserve">that is </w:t>
      </w:r>
      <w:r w:rsidRPr="008D4446">
        <w:t xml:space="preserve">4 capsules/day) with food. Dose selection was based mainly on the findings from the MARINE and ANCHOR </w:t>
      </w:r>
      <w:r w:rsidR="007B2B56" w:rsidRPr="008D4446">
        <w:t>trials</w:t>
      </w:r>
      <w:r w:rsidRPr="008D4446">
        <w:t xml:space="preserve"> which demonstrated a correlation between dose and efficacy in terms of triglyceride lowering. Statins were continued at a stable dose throughout the study, and other medications were permitted based on standard of care. Medicines and supplements not permitted during the study included niacin &gt;</w:t>
      </w:r>
      <w:r w:rsidR="007B2B56" w:rsidRPr="008D4446">
        <w:t> </w:t>
      </w:r>
      <w:r w:rsidRPr="008D4446">
        <w:t xml:space="preserve">200 mg/day, fibrates, </w:t>
      </w:r>
      <w:r w:rsidR="007B2B56" w:rsidRPr="008D4446">
        <w:t>medicines,</w:t>
      </w:r>
      <w:r w:rsidRPr="008D4446">
        <w:t xml:space="preserve"> or supplements containing omega-3 fatty acids, and PCSK9 inhibitors.</w:t>
      </w:r>
    </w:p>
    <w:p w14:paraId="6BE32877" w14:textId="674057B4" w:rsidR="00A928FC" w:rsidRPr="008D4446" w:rsidRDefault="00A928FC" w:rsidP="00C160CB">
      <w:r w:rsidRPr="008D4446">
        <w:t>Following a screening period, eligible patients were randomised to treatment at Visit 2 (Day</w:t>
      </w:r>
      <w:r w:rsidR="007B2B56" w:rsidRPr="008D4446">
        <w:t> </w:t>
      </w:r>
      <w:r w:rsidRPr="008D4446">
        <w:t>0), with subsequent study visits at Day 120 (±</w:t>
      </w:r>
      <w:r w:rsidR="007B2B56" w:rsidRPr="008D4446">
        <w:t xml:space="preserve"> </w:t>
      </w:r>
      <w:r w:rsidRPr="008D4446">
        <w:t>10 days), Day 360 (±</w:t>
      </w:r>
      <w:r w:rsidR="007B2B56" w:rsidRPr="008D4446">
        <w:t xml:space="preserve"> </w:t>
      </w:r>
      <w:r w:rsidRPr="008D4446">
        <w:t>10 days), and then every 360</w:t>
      </w:r>
      <w:r w:rsidR="007B2B56" w:rsidRPr="008D4446">
        <w:t> </w:t>
      </w:r>
      <w:r w:rsidRPr="008D4446">
        <w:t>days (±10 days) until end of study.</w:t>
      </w:r>
    </w:p>
    <w:p w14:paraId="04944981" w14:textId="2AE34821" w:rsidR="00A928FC" w:rsidRPr="008D4446" w:rsidRDefault="00A928FC" w:rsidP="00C160CB">
      <w:r w:rsidRPr="008D4446">
        <w:t xml:space="preserve">The study was event driven. A total of approximately 7,990 patients were planned to be enrolled and randomised 1:1 to either receive </w:t>
      </w:r>
      <w:proofErr w:type="spellStart"/>
      <w:r w:rsidR="008C75D7" w:rsidRPr="008D4446">
        <w:t>icosapent</w:t>
      </w:r>
      <w:proofErr w:type="spellEnd"/>
      <w:r w:rsidR="008C75D7" w:rsidRPr="008D4446">
        <w:t xml:space="preserve"> ethyl</w:t>
      </w:r>
      <w:r w:rsidRPr="008D4446">
        <w:t xml:space="preserve"> or placebo (</w:t>
      </w:r>
      <w:r w:rsidR="007B2B56" w:rsidRPr="008D4446">
        <w:t xml:space="preserve">approximately </w:t>
      </w:r>
      <w:r w:rsidRPr="008D4446">
        <w:t>3,995 patients per treatment group) to observe an estimated 1,612 primary endpoint events. Patients were stratified by cardiovascular risk category (1 or 2), use of ezetimibe (yes/no), and by geographical region (Westernised, Eastern European, and Asia Pacific). Two interim analyses were planned for the primary endpoint when adjudication of approximately 60% and 80% of the total target number of primary endpoint events planned were reached.</w:t>
      </w:r>
    </w:p>
    <w:p w14:paraId="47D49F79" w14:textId="6AC630B5" w:rsidR="00BC2212" w:rsidRPr="008D4446" w:rsidRDefault="00A928FC" w:rsidP="00C160CB">
      <w:r w:rsidRPr="008D4446">
        <w:t>19,212 patients were screened, 8,179 patients were randomised, and 7,314 completed the final visit (</w:t>
      </w:r>
      <w:r w:rsidRPr="008D4446">
        <w:fldChar w:fldCharType="begin"/>
      </w:r>
      <w:r w:rsidRPr="008D4446">
        <w:instrText xml:space="preserve"> REF _Ref110247211 \h  \* MERGEFORMAT </w:instrText>
      </w:r>
      <w:r w:rsidRPr="008D4446">
        <w:fldChar w:fldCharType="separate"/>
      </w:r>
      <w:r w:rsidR="00703D92" w:rsidRPr="008D4446">
        <w:t xml:space="preserve">Figure </w:t>
      </w:r>
      <w:r w:rsidR="00703D92">
        <w:t>3</w:t>
      </w:r>
      <w:r w:rsidRPr="008D4446">
        <w:fldChar w:fldCharType="end"/>
      </w:r>
      <w:r w:rsidRPr="008D4446">
        <w:t>).</w:t>
      </w:r>
      <w:r w:rsidR="003C0F22" w:rsidRPr="003C0F22">
        <w:t xml:space="preserve"> </w:t>
      </w:r>
      <w:r w:rsidR="003C0F22">
        <w:t>I</w:t>
      </w:r>
      <w:r w:rsidR="003C0F22" w:rsidRPr="003C0F22">
        <w:t>ndependent</w:t>
      </w:r>
      <w:r w:rsidRPr="008D4446">
        <w:t xml:space="preserve"> Data Monitoring Committee interim analysis review meetings conducted in September 2016 (953 events) and August 2017 (1218 events) recommended continuation of the study as planned.</w:t>
      </w:r>
      <w:r w:rsidR="00BC2212" w:rsidRPr="008D4446">
        <w:br w:type="page"/>
      </w:r>
    </w:p>
    <w:p w14:paraId="42F6B4FB" w14:textId="392C1281" w:rsidR="00A928FC" w:rsidRPr="008D4446" w:rsidRDefault="00A928FC" w:rsidP="00125C81">
      <w:pPr>
        <w:pStyle w:val="FigureTitle"/>
      </w:pPr>
      <w:bookmarkStart w:id="67" w:name="_Ref110247211"/>
      <w:r w:rsidRPr="008D4446">
        <w:lastRenderedPageBreak/>
        <w:t xml:space="preserve">Figure </w:t>
      </w:r>
      <w:r w:rsidR="00434F9A">
        <w:fldChar w:fldCharType="begin"/>
      </w:r>
      <w:r w:rsidR="00434F9A">
        <w:instrText xml:space="preserve"> SEQ Figure \* ARABIC </w:instrText>
      </w:r>
      <w:r w:rsidR="00434F9A">
        <w:fldChar w:fldCharType="separate"/>
      </w:r>
      <w:r w:rsidR="00703D92">
        <w:rPr>
          <w:noProof/>
        </w:rPr>
        <w:t>3</w:t>
      </w:r>
      <w:r w:rsidR="00434F9A">
        <w:rPr>
          <w:noProof/>
        </w:rPr>
        <w:fldChar w:fldCharType="end"/>
      </w:r>
      <w:bookmarkEnd w:id="67"/>
      <w:r w:rsidR="007B2B56" w:rsidRPr="008D4446">
        <w:t>:</w:t>
      </w:r>
      <w:r w:rsidRPr="008D4446">
        <w:t xml:space="preserve"> </w:t>
      </w:r>
      <w:r w:rsidR="003C3C67" w:rsidRPr="008D4446">
        <w:t xml:space="preserve">REDUCE-IT trial </w:t>
      </w:r>
      <w:r w:rsidRPr="008D4446">
        <w:t>Patient disposition</w:t>
      </w:r>
    </w:p>
    <w:p w14:paraId="0BCA4600" w14:textId="18947D09" w:rsidR="00BC2212" w:rsidRPr="008D4446" w:rsidRDefault="00BC2212" w:rsidP="00125C81">
      <w:r w:rsidRPr="008D4446">
        <w:rPr>
          <w:noProof/>
        </w:rPr>
        <w:drawing>
          <wp:inline distT="0" distB="0" distL="0" distR="0" wp14:anchorId="138D84A9" wp14:editId="6C68640C">
            <wp:extent cx="5759450" cy="5495290"/>
            <wp:effectExtent l="0" t="0" r="0" b="0"/>
            <wp:docPr id="45" name="Picture 45" descr="Figure 3: REDUCE-IT trial Patient disposition &#10;&#10;19212 patients were screen for the study. Of the 8179 randomised patients, 89.4% (7314/8179) completed the trial: 90.1% (3684/4089) and 88.8% (3630/4090) in the icosapent ethyl and placebo groups, respectively.&#10;&#10;Of patients who completed the trial, 82.6% (6754/8179) completed the final visit within the 2018 final visit window (83.6% (3419/4089) and 81.5% (3335/4090) in the icosapent ethyl and placebo groups,&#10;respectively), and 6.8% (560/8179) died before the final visit within the 2018 final visit window (6.5% (265/4089) and 7.2% (295/4090) in the icosapent ethyl and placebo groups, respectively).&#10;&#10;All sites were instructed to bring patients in for their final visit during the final patient visit window defined as the interval from 1 March 2018 through to 31 May 2018.&#10;&#10;Thus, 10.6% (865/8179) of patients, 9.9% (405/4089) and 11.2% (460/4090) in the icosapent ethyl and placebo groups, respectively, terminated the trial early.&#10;&#10;At the time of database lock, vital status was known for 99.8% (8160/8179) of patients: 99.9% (4083/4089) and 99.7% (4077/4090) in the icosapent ethyl and placebo groups, respectiv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3: REDUCE-IT trial Patient disposition &#10;&#10;19212 patients were screen for the study. Of the 8179 randomised patients, 89.4% (7314/8179) completed the trial: 90.1% (3684/4089) and 88.8% (3630/4090) in the icosapent ethyl and placebo groups, respectively.&#10;&#10;Of patients who completed the trial, 82.6% (6754/8179) completed the final visit within the 2018 final visit window (83.6% (3419/4089) and 81.5% (3335/4090) in the icosapent ethyl and placebo groups,&#10;respectively), and 6.8% (560/8179) died before the final visit within the 2018 final visit window (6.5% (265/4089) and 7.2% (295/4090) in the icosapent ethyl and placebo groups, respectively).&#10;&#10;All sites were instructed to bring patients in for their final visit during the final patient visit window defined as the interval from 1 March 2018 through to 31 May 2018.&#10;&#10;Thus, 10.6% (865/8179) of patients, 9.9% (405/4089) and 11.2% (460/4090) in the icosapent ethyl and placebo groups, respectively, terminated the trial early.&#10;&#10;At the time of database lock, vital status was known for 99.8% (8160/8179) of patients: 99.9% (4083/4089) and 99.7% (4077/4090) in the icosapent ethyl and placebo groups, respectively.&#10;"/>
                    <pic:cNvPicPr/>
                  </pic:nvPicPr>
                  <pic:blipFill>
                    <a:blip r:embed="rId26"/>
                    <a:stretch>
                      <a:fillRect/>
                    </a:stretch>
                  </pic:blipFill>
                  <pic:spPr>
                    <a:xfrm>
                      <a:off x="0" y="0"/>
                      <a:ext cx="5759450" cy="5495290"/>
                    </a:xfrm>
                    <a:prstGeom prst="rect">
                      <a:avLst/>
                    </a:prstGeom>
                  </pic:spPr>
                </pic:pic>
              </a:graphicData>
            </a:graphic>
          </wp:inline>
        </w:drawing>
      </w:r>
    </w:p>
    <w:p w14:paraId="7A6DB0C8" w14:textId="1B5125A5" w:rsidR="00BC2212" w:rsidRPr="008D4446" w:rsidRDefault="00BC2212" w:rsidP="00125C81">
      <w:pPr>
        <w:pStyle w:val="FigureDescription"/>
      </w:pPr>
      <w:r w:rsidRPr="008D4446">
        <w:t>Abbreviations: incl./excl. = inclusion/exclusion; vs. = versus.</w:t>
      </w:r>
    </w:p>
    <w:p w14:paraId="148F7FD0" w14:textId="4F109BDA" w:rsidR="00BC2212" w:rsidRPr="008D4446" w:rsidRDefault="00BC2212" w:rsidP="00125C81">
      <w:pPr>
        <w:pStyle w:val="FigureDescription"/>
      </w:pPr>
      <w:r w:rsidRPr="008D4446">
        <w:t xml:space="preserve">* Early discontinuation from study (9.9% </w:t>
      </w:r>
      <w:proofErr w:type="spellStart"/>
      <w:r w:rsidRPr="008D4446">
        <w:t>icosapent</w:t>
      </w:r>
      <w:proofErr w:type="spellEnd"/>
      <w:r w:rsidRPr="008D4446">
        <w:t xml:space="preserve"> ethyl; 11.2% placebo) includes patients that discontinued after having primary event (25 (0.6%) </w:t>
      </w:r>
      <w:proofErr w:type="spellStart"/>
      <w:r w:rsidRPr="008D4446">
        <w:t>icosapent</w:t>
      </w:r>
      <w:proofErr w:type="spellEnd"/>
      <w:r w:rsidRPr="008D4446">
        <w:t xml:space="preserve"> ethyl; 52 (1.3%) placebo) and prior to having an event (380</w:t>
      </w:r>
      <w:r w:rsidR="00345AB3" w:rsidRPr="008D4446">
        <w:t> </w:t>
      </w:r>
      <w:r w:rsidRPr="008D4446">
        <w:t xml:space="preserve">(9.3%) </w:t>
      </w:r>
      <w:proofErr w:type="spellStart"/>
      <w:r w:rsidRPr="008D4446">
        <w:t>icosapent</w:t>
      </w:r>
      <w:proofErr w:type="spellEnd"/>
      <w:r w:rsidRPr="008D4446">
        <w:t xml:space="preserve"> ethyl; 408 (10.0%) placebo).</w:t>
      </w:r>
    </w:p>
    <w:p w14:paraId="7C98C75E" w14:textId="6E8D6F5D" w:rsidR="00A928FC" w:rsidRPr="008D4446" w:rsidRDefault="00A928FC" w:rsidP="00C160CB">
      <w:r w:rsidRPr="008D4446">
        <w:t xml:space="preserve">Demographic and baseline characteristics across the study populations were comparable. Overall, </w:t>
      </w:r>
      <w:proofErr w:type="gramStart"/>
      <w:r w:rsidRPr="008D4446">
        <w:t>the majority of</w:t>
      </w:r>
      <w:proofErr w:type="gramEnd"/>
      <w:r w:rsidRPr="008D4446">
        <w:t xml:space="preserve"> patients were male (71.2% (5822</w:t>
      </w:r>
      <w:r w:rsidR="007B2B56" w:rsidRPr="008D4446">
        <w:t xml:space="preserve"> of </w:t>
      </w:r>
      <w:r w:rsidRPr="008D4446">
        <w:t>8179)) and white (90.2% (7379</w:t>
      </w:r>
      <w:r w:rsidR="007B2B56" w:rsidRPr="008D4446">
        <w:t xml:space="preserve"> of </w:t>
      </w:r>
      <w:r w:rsidRPr="008D4446">
        <w:t>8179)). The mean age of patients was 63.4 years (range 44 to 92 years), with 46.0% (3763</w:t>
      </w:r>
      <w:r w:rsidR="007B2B56" w:rsidRPr="008D4446">
        <w:t xml:space="preserve"> of </w:t>
      </w:r>
      <w:r w:rsidRPr="008D4446">
        <w:t>8179) of patients aged 65 years</w:t>
      </w:r>
      <w:r w:rsidR="007B2B56" w:rsidRPr="008D4446">
        <w:t xml:space="preserve"> </w:t>
      </w:r>
      <w:r w:rsidR="000B44BD" w:rsidRPr="008D4446">
        <w:t>or</w:t>
      </w:r>
      <w:r w:rsidR="007B2B56" w:rsidRPr="008D4446">
        <w:t xml:space="preserve"> older</w:t>
      </w:r>
      <w:r w:rsidRPr="008D4446">
        <w:t xml:space="preserve">. Mean height, weight, and </w:t>
      </w:r>
      <w:r w:rsidR="00F15D6F" w:rsidRPr="008D4446">
        <w:t>body mass index</w:t>
      </w:r>
      <w:r w:rsidRPr="008D4446">
        <w:t xml:space="preserve"> were 171.3</w:t>
      </w:r>
      <w:r w:rsidR="00BD6046">
        <w:t> </w:t>
      </w:r>
      <w:r w:rsidRPr="008D4446">
        <w:t>cm, 93.0 kg, and 31.6 kg/m</w:t>
      </w:r>
      <w:r w:rsidRPr="008D4446">
        <w:rPr>
          <w:vertAlign w:val="superscript"/>
        </w:rPr>
        <w:t>2</w:t>
      </w:r>
      <w:r w:rsidRPr="008D4446">
        <w:t xml:space="preserve">, respectively. Overall, 58.5% were diabetic (type 1 or 2), 86.6% had hypertension, and 22.2% had renal impairment at </w:t>
      </w:r>
      <w:r w:rsidR="007B2B56" w:rsidRPr="008D4446">
        <w:t>Baseline</w:t>
      </w:r>
      <w:r w:rsidRPr="008D4446">
        <w:t xml:space="preserve"> (</w:t>
      </w:r>
      <w:r w:rsidR="00F15D6F" w:rsidRPr="008D4446">
        <w:t>estimated glomerular filtration rate (</w:t>
      </w:r>
      <w:r w:rsidRPr="008D4446">
        <w:t>eGFR</w:t>
      </w:r>
      <w:r w:rsidR="00F15D6F" w:rsidRPr="008D4446">
        <w:t>)</w:t>
      </w:r>
      <w:r w:rsidRPr="008D4446">
        <w:t xml:space="preserve"> &lt;</w:t>
      </w:r>
      <w:r w:rsidR="007B2B56" w:rsidRPr="008D4446">
        <w:t xml:space="preserve"> </w:t>
      </w:r>
      <w:r w:rsidRPr="008D4446">
        <w:t>60 mL/min/1.73</w:t>
      </w:r>
      <w:r w:rsidR="007B2B56" w:rsidRPr="008D4446">
        <w:t xml:space="preserve"> </w:t>
      </w:r>
      <w:r w:rsidRPr="008D4446">
        <w:t>m</w:t>
      </w:r>
      <w:r w:rsidRPr="008D4446">
        <w:rPr>
          <w:vertAlign w:val="superscript"/>
        </w:rPr>
        <w:t>2</w:t>
      </w:r>
      <w:r w:rsidRPr="008D4446">
        <w:t>). At randomisation, all patients were on statin therapy, with over 93% of patients receiving moderate or high intensity statin therapy. Concomitant medications of special interest were similar across the treatment groups (</w:t>
      </w:r>
      <w:r w:rsidRPr="008D4446">
        <w:fldChar w:fldCharType="begin"/>
      </w:r>
      <w:r w:rsidRPr="008D4446">
        <w:instrText xml:space="preserve"> REF _Ref111556552 \h  \* MERGEFORMAT </w:instrText>
      </w:r>
      <w:r w:rsidRPr="008D4446">
        <w:fldChar w:fldCharType="separate"/>
      </w:r>
      <w:r w:rsidR="00703D92" w:rsidRPr="008D4446">
        <w:t xml:space="preserve">Table </w:t>
      </w:r>
      <w:r w:rsidR="00703D92">
        <w:t>5</w:t>
      </w:r>
      <w:r w:rsidRPr="008D4446">
        <w:fldChar w:fldCharType="end"/>
      </w:r>
      <w:r w:rsidRPr="008D4446">
        <w:t xml:space="preserve">). Reported cardiovascular disease history and risk factors were balanced (see </w:t>
      </w:r>
      <w:r w:rsidR="00125C81" w:rsidRPr="008D4446">
        <w:t xml:space="preserve">Committee for Medicinal Products for Human Use (CHMP) </w:t>
      </w:r>
      <w:r w:rsidRPr="008D4446">
        <w:t>Assessment Report for further details).</w:t>
      </w:r>
      <w:r w:rsidR="00776E1E" w:rsidRPr="008D4446">
        <w:rPr>
          <w:vertAlign w:val="superscript"/>
        </w:rPr>
        <w:fldChar w:fldCharType="begin"/>
      </w:r>
      <w:r w:rsidR="00776E1E" w:rsidRPr="008D4446">
        <w:rPr>
          <w:vertAlign w:val="superscript"/>
        </w:rPr>
        <w:instrText xml:space="preserve"> NOTEREF _Ref142913692 \h  \* MERGEFORMAT </w:instrText>
      </w:r>
      <w:r w:rsidR="00776E1E" w:rsidRPr="008D4446">
        <w:rPr>
          <w:vertAlign w:val="superscript"/>
        </w:rPr>
      </w:r>
      <w:r w:rsidR="00776E1E" w:rsidRPr="008D4446">
        <w:rPr>
          <w:vertAlign w:val="superscript"/>
        </w:rPr>
        <w:fldChar w:fldCharType="separate"/>
      </w:r>
      <w:r w:rsidR="00703D92">
        <w:rPr>
          <w:vertAlign w:val="superscript"/>
        </w:rPr>
        <w:t>9</w:t>
      </w:r>
      <w:r w:rsidR="00776E1E" w:rsidRPr="008D4446">
        <w:rPr>
          <w:vertAlign w:val="superscript"/>
        </w:rPr>
        <w:fldChar w:fldCharType="end"/>
      </w:r>
      <w:r w:rsidRPr="008D4446">
        <w:t xml:space="preserve"> </w:t>
      </w:r>
      <w:r w:rsidR="00776E1E" w:rsidRPr="008D4446">
        <w:t>O</w:t>
      </w:r>
      <w:r w:rsidRPr="008D4446">
        <w:t>f the 8,179</w:t>
      </w:r>
      <w:r w:rsidR="00BD6046">
        <w:t> </w:t>
      </w:r>
      <w:r w:rsidRPr="008D4446">
        <w:t>randomised patients</w:t>
      </w:r>
      <w:r w:rsidR="00776E1E" w:rsidRPr="008D4446">
        <w:t>,</w:t>
      </w:r>
      <w:r w:rsidRPr="008D4446">
        <w:t xml:space="preserve"> </w:t>
      </w:r>
      <w:r w:rsidR="00776E1E" w:rsidRPr="008D4446">
        <w:t xml:space="preserve">5,785 (70.7%) </w:t>
      </w:r>
      <w:r w:rsidRPr="008D4446">
        <w:t>were in the secondary prevention cohort and 2,394</w:t>
      </w:r>
      <w:r w:rsidR="00BD6046">
        <w:t> </w:t>
      </w:r>
      <w:r w:rsidRPr="008D4446">
        <w:t xml:space="preserve">(29.3%) were in the primary prevention cohort. Of the 2,394 patients in the primary prevention cohort (diabetes and at least one other pre-specified cardiovascular risk factor), </w:t>
      </w:r>
      <w:r w:rsidRPr="008D4446">
        <w:lastRenderedPageBreak/>
        <w:t xml:space="preserve">11.6% had one other cardiovascular risk factor, 35.4% had 2 other cardiovascular risk factors, 36.0% had 3 other cardiovascular risk factors, and 17.0% had </w:t>
      </w:r>
      <w:r w:rsidR="007B2B56" w:rsidRPr="008D4446">
        <w:t xml:space="preserve">at least </w:t>
      </w:r>
      <w:r w:rsidRPr="008D4446">
        <w:t>4 other cardiovascular risk factors.</w:t>
      </w:r>
    </w:p>
    <w:p w14:paraId="0C254B07" w14:textId="0D169926" w:rsidR="00A928FC" w:rsidRPr="008D4446" w:rsidRDefault="00A928FC" w:rsidP="00125C81">
      <w:pPr>
        <w:pStyle w:val="TableTitle"/>
      </w:pPr>
      <w:bookmarkStart w:id="68" w:name="_Ref111556552"/>
      <w:r w:rsidRPr="008D4446">
        <w:t xml:space="preserve">Table </w:t>
      </w:r>
      <w:r w:rsidR="00434F9A">
        <w:fldChar w:fldCharType="begin"/>
      </w:r>
      <w:r w:rsidR="00434F9A">
        <w:instrText xml:space="preserve"> SEQ Table \* ARABIC </w:instrText>
      </w:r>
      <w:r w:rsidR="00434F9A">
        <w:fldChar w:fldCharType="separate"/>
      </w:r>
      <w:r w:rsidR="00703D92">
        <w:rPr>
          <w:noProof/>
        </w:rPr>
        <w:t>5</w:t>
      </w:r>
      <w:r w:rsidR="00434F9A">
        <w:rPr>
          <w:noProof/>
        </w:rPr>
        <w:fldChar w:fldCharType="end"/>
      </w:r>
      <w:bookmarkEnd w:id="68"/>
      <w:r w:rsidR="003C3C67" w:rsidRPr="008D4446">
        <w:t>:</w:t>
      </w:r>
      <w:r w:rsidRPr="008D4446">
        <w:t xml:space="preserve"> </w:t>
      </w:r>
      <w:r w:rsidR="00BC2212" w:rsidRPr="008D4446">
        <w:t xml:space="preserve">REDUCE-IT trial </w:t>
      </w:r>
      <w:r w:rsidRPr="008D4446">
        <w:t xml:space="preserve">Overview of </w:t>
      </w:r>
      <w:r w:rsidR="003C3C67" w:rsidRPr="008D4446">
        <w:t>baseline medications of special interest (intent</w:t>
      </w:r>
      <w:r w:rsidR="00BD6046">
        <w:noBreakHyphen/>
      </w:r>
      <w:r w:rsidR="003C3C67" w:rsidRPr="008D4446">
        <w:t>to</w:t>
      </w:r>
      <w:r w:rsidR="00BD6046">
        <w:noBreakHyphen/>
      </w:r>
      <w:r w:rsidR="003C3C67" w:rsidRPr="008D4446">
        <w:t>treat population</w:t>
      </w:r>
      <w:r w:rsidRPr="008D4446">
        <w:t>)</w:t>
      </w:r>
    </w:p>
    <w:p w14:paraId="35EC5997" w14:textId="64AFC260" w:rsidR="00A8033B" w:rsidRPr="008D4446" w:rsidRDefault="00A8033B" w:rsidP="00125C81">
      <w:r w:rsidRPr="008D4446">
        <w:rPr>
          <w:noProof/>
        </w:rPr>
        <w:drawing>
          <wp:inline distT="0" distB="0" distL="0" distR="0" wp14:anchorId="45C0BE82" wp14:editId="3CD5C0B4">
            <wp:extent cx="5759450" cy="1572260"/>
            <wp:effectExtent l="0" t="0" r="0" b="8890"/>
            <wp:docPr id="38" name="Picture 38" descr="Table 5: REDUCE-IT trial Overview of baseline medications of special interest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 5: REDUCE-IT trial Overview of baseline medications of special interest (intent-to-treat population)"/>
                    <pic:cNvPicPr/>
                  </pic:nvPicPr>
                  <pic:blipFill>
                    <a:blip r:embed="rId27"/>
                    <a:stretch>
                      <a:fillRect/>
                    </a:stretch>
                  </pic:blipFill>
                  <pic:spPr>
                    <a:xfrm>
                      <a:off x="0" y="0"/>
                      <a:ext cx="5759450" cy="1572260"/>
                    </a:xfrm>
                    <a:prstGeom prst="rect">
                      <a:avLst/>
                    </a:prstGeom>
                  </pic:spPr>
                </pic:pic>
              </a:graphicData>
            </a:graphic>
          </wp:inline>
        </w:drawing>
      </w:r>
    </w:p>
    <w:p w14:paraId="71DE391A" w14:textId="29751F8D" w:rsidR="00A8033B" w:rsidRPr="008D4446" w:rsidRDefault="00A8033B" w:rsidP="00125C81">
      <w:pPr>
        <w:pStyle w:val="TableDescription"/>
      </w:pPr>
      <w:r w:rsidRPr="008D4446">
        <w:t>Abbreviations: ACE = angiotensin-converting enzyme; ARB = angiotensin receptor blockers; ITT = intent-to-treat.</w:t>
      </w:r>
    </w:p>
    <w:p w14:paraId="0DBBF1FC" w14:textId="0CBE0BFA" w:rsidR="00A928FC" w:rsidRPr="008D4446" w:rsidRDefault="00A8033B" w:rsidP="00125C81">
      <w:pPr>
        <w:pStyle w:val="TableDescription"/>
      </w:pPr>
      <w:r w:rsidRPr="008D4446">
        <w:t>Note: Percentages were based on the number of patients randomised to each treatment group in the ITT population (N).</w:t>
      </w:r>
    </w:p>
    <w:p w14:paraId="7E3F0AFD" w14:textId="73FEA461" w:rsidR="00A928FC" w:rsidRPr="008D4446" w:rsidRDefault="00A928FC" w:rsidP="00C160CB">
      <w:r w:rsidRPr="008D4446">
        <w:t xml:space="preserve">The primary efficacy analysis was performed on the </w:t>
      </w:r>
      <w:r w:rsidR="00F15D6F" w:rsidRPr="008D4446">
        <w:t>intent-to-treat</w:t>
      </w:r>
      <w:r w:rsidR="00F15D6F" w:rsidRPr="008D4446">
        <w:rPr>
          <w:rStyle w:val="FootnoteReference"/>
        </w:rPr>
        <w:footnoteReference w:id="13"/>
      </w:r>
      <w:r w:rsidRPr="008D4446">
        <w:t xml:space="preserve"> population (all randomised patients). The 2-sided alpha level for the primary analysis was adjusted to 0.0437 from 0.05 to account for the two interim analyses. For the analysis of all secondary endpoints, the Type 1 error was controlled by testing each endpoint sequentially, starting with the key secondary endpoint, at a significance level of 0.0437 consistent with the primary endpoint.</w:t>
      </w:r>
    </w:p>
    <w:p w14:paraId="53957FD3" w14:textId="3744E744" w:rsidR="00A928FC" w:rsidRPr="008D4446" w:rsidRDefault="00A928FC" w:rsidP="00C160CB">
      <w:r w:rsidRPr="008D4446">
        <w:t>The primary endpoint was the time from randomisation to the first occurrence of any component of the composite of the following clinical events:</w:t>
      </w:r>
    </w:p>
    <w:p w14:paraId="29559B7E" w14:textId="3A279CE1" w:rsidR="00A928FC" w:rsidRPr="008D4446" w:rsidRDefault="00A928FC" w:rsidP="00C160CB">
      <w:pPr>
        <w:pStyle w:val="ListBullet"/>
      </w:pPr>
      <w:r w:rsidRPr="008D4446">
        <w:t>cardiovascular death</w:t>
      </w:r>
    </w:p>
    <w:p w14:paraId="543B0272" w14:textId="3B061DE8" w:rsidR="00A928FC" w:rsidRPr="008D4446" w:rsidRDefault="00A928FC" w:rsidP="00C160CB">
      <w:pPr>
        <w:pStyle w:val="ListBullet"/>
      </w:pPr>
      <w:r w:rsidRPr="008D4446">
        <w:t>nonfatal myocardial infarction (including silent myocardial infarction)</w:t>
      </w:r>
    </w:p>
    <w:p w14:paraId="76D9A8CD" w14:textId="77777777" w:rsidR="00A928FC" w:rsidRPr="008D4446" w:rsidRDefault="00A928FC" w:rsidP="00C160CB">
      <w:pPr>
        <w:pStyle w:val="ListBullet"/>
      </w:pPr>
      <w:r w:rsidRPr="008D4446">
        <w:t>nonfatal stroke</w:t>
      </w:r>
    </w:p>
    <w:p w14:paraId="172DB510" w14:textId="77777777" w:rsidR="00A928FC" w:rsidRPr="008D4446" w:rsidRDefault="00A928FC" w:rsidP="00C160CB">
      <w:pPr>
        <w:pStyle w:val="ListBullet"/>
      </w:pPr>
      <w:r w:rsidRPr="008D4446">
        <w:t>coronary revascularisation</w:t>
      </w:r>
    </w:p>
    <w:p w14:paraId="4F87F290" w14:textId="03571F9B" w:rsidR="00A928FC" w:rsidRPr="008D4446" w:rsidRDefault="00A928FC" w:rsidP="00C160CB">
      <w:pPr>
        <w:pStyle w:val="ListBullet"/>
      </w:pPr>
      <w:r w:rsidRPr="008D4446">
        <w:t>unstable angina determined to be caused by myocardial ischemia by invasive</w:t>
      </w:r>
      <w:r w:rsidR="007B2B56" w:rsidRPr="008D4446">
        <w:t xml:space="preserve"> or </w:t>
      </w:r>
      <w:r w:rsidRPr="008D4446">
        <w:t>non</w:t>
      </w:r>
      <w:r w:rsidR="007B2B56" w:rsidRPr="008D4446">
        <w:noBreakHyphen/>
      </w:r>
      <w:r w:rsidRPr="008D4446">
        <w:t>invasive testing and requiring emergent hospitalisation.</w:t>
      </w:r>
    </w:p>
    <w:p w14:paraId="2D7170A8" w14:textId="3C8AE8E7" w:rsidR="00A928FC" w:rsidRPr="008D4446" w:rsidRDefault="00A928FC" w:rsidP="00C160CB">
      <w:r w:rsidRPr="008D4446">
        <w:t>The key secondary endpoint was the time from randomisation to the first occurrence of any component of the composite of cardiovascular death, nonfatal myocardial infarction (including silent myocardial infarction), and nonfatal stroke.</w:t>
      </w:r>
    </w:p>
    <w:p w14:paraId="73FB978C" w14:textId="77777777" w:rsidR="00A928FC" w:rsidRPr="008D4446" w:rsidRDefault="00A928FC" w:rsidP="00C160CB">
      <w:r w:rsidRPr="008D4446">
        <w:t>Other secondary endpoints were (tested in the order listed below):</w:t>
      </w:r>
    </w:p>
    <w:p w14:paraId="15F1D0BF" w14:textId="15674B2B" w:rsidR="00A928FC" w:rsidRPr="008D4446" w:rsidRDefault="00A928FC" w:rsidP="00C160CB">
      <w:pPr>
        <w:pStyle w:val="ListBullet"/>
      </w:pPr>
      <w:r w:rsidRPr="008D4446">
        <w:t>composite of cardiovascular death or nonfatal myocardial infarction (including silent myocardial infarction)</w:t>
      </w:r>
    </w:p>
    <w:p w14:paraId="78E1DEAA" w14:textId="7C106090" w:rsidR="00A928FC" w:rsidRPr="008D4446" w:rsidRDefault="00A928FC" w:rsidP="00C160CB">
      <w:pPr>
        <w:pStyle w:val="ListBullet"/>
      </w:pPr>
      <w:r w:rsidRPr="008D4446">
        <w:t>fatal or nonfatal myocardial infarction (including silent myocardial infarction)</w:t>
      </w:r>
    </w:p>
    <w:p w14:paraId="7828ABAA" w14:textId="0A2332DF" w:rsidR="00A928FC" w:rsidRPr="008D4446" w:rsidRDefault="00A928FC" w:rsidP="008C1AEF">
      <w:pPr>
        <w:pStyle w:val="ListBullet"/>
      </w:pPr>
      <w:r w:rsidRPr="008D4446">
        <w:t>non-elective coronary revascularisation represented as the composite of emergent or</w:t>
      </w:r>
      <w:r w:rsidR="008C1AEF">
        <w:t xml:space="preserve"> </w:t>
      </w:r>
      <w:r w:rsidRPr="008D4446">
        <w:t>urgent classifications</w:t>
      </w:r>
    </w:p>
    <w:p w14:paraId="4B4E864D" w14:textId="1DB78A8B" w:rsidR="00A928FC" w:rsidRPr="008D4446" w:rsidRDefault="00A928FC" w:rsidP="00C160CB">
      <w:pPr>
        <w:pStyle w:val="ListBullet"/>
      </w:pPr>
      <w:r w:rsidRPr="008D4446">
        <w:t>cardiovascular death</w:t>
      </w:r>
    </w:p>
    <w:p w14:paraId="288B04FE" w14:textId="301DE591" w:rsidR="00A928FC" w:rsidRPr="008D4446" w:rsidRDefault="00A928FC" w:rsidP="008C1AEF">
      <w:pPr>
        <w:pStyle w:val="ListBullet"/>
      </w:pPr>
      <w:r w:rsidRPr="008D4446">
        <w:lastRenderedPageBreak/>
        <w:t>unstable angina determined to be caused by myocardial ischemia by</w:t>
      </w:r>
      <w:r w:rsidR="008C1AEF">
        <w:t xml:space="preserve"> </w:t>
      </w:r>
      <w:r w:rsidRPr="008D4446">
        <w:t>invasive</w:t>
      </w:r>
      <w:r w:rsidR="007B2B56" w:rsidRPr="008D4446">
        <w:t xml:space="preserve"> or </w:t>
      </w:r>
      <w:r w:rsidRPr="008D4446">
        <w:t>non</w:t>
      </w:r>
      <w:r w:rsidR="00671B72">
        <w:noBreakHyphen/>
      </w:r>
      <w:r w:rsidRPr="008D4446">
        <w:t>invasive testing and requiring emergent hospitalisation</w:t>
      </w:r>
    </w:p>
    <w:p w14:paraId="784B39B2" w14:textId="77777777" w:rsidR="00A928FC" w:rsidRPr="008D4446" w:rsidRDefault="00A928FC" w:rsidP="00C160CB">
      <w:pPr>
        <w:pStyle w:val="ListBullet"/>
      </w:pPr>
      <w:r w:rsidRPr="008D4446">
        <w:t>fatal or nonfatal stroke</w:t>
      </w:r>
    </w:p>
    <w:p w14:paraId="78F14F0E" w14:textId="23DF2945" w:rsidR="00A928FC" w:rsidRPr="008D4446" w:rsidRDefault="00A928FC" w:rsidP="00C160CB">
      <w:pPr>
        <w:pStyle w:val="ListBullet"/>
      </w:pPr>
      <w:r w:rsidRPr="008D4446">
        <w:t>composite of total mortality, nonfatal myocardial infarction (including silent myocardial infarction), or nonfatal stroke</w:t>
      </w:r>
    </w:p>
    <w:p w14:paraId="5C72D3C8" w14:textId="77777777" w:rsidR="00A928FC" w:rsidRPr="008D4446" w:rsidRDefault="00A928FC" w:rsidP="00C160CB">
      <w:pPr>
        <w:pStyle w:val="ListBullet"/>
      </w:pPr>
      <w:r w:rsidRPr="008D4446">
        <w:t>total mortality.</w:t>
      </w:r>
    </w:p>
    <w:p w14:paraId="3C3377B3" w14:textId="2920E09C" w:rsidR="00A928FC" w:rsidRPr="008D4446" w:rsidRDefault="00A928FC" w:rsidP="00C160CB">
      <w:r w:rsidRPr="008D4446">
        <w:t>A primary endpoint event occurred in 17.2% (705</w:t>
      </w:r>
      <w:r w:rsidR="007B2B56" w:rsidRPr="008D4446">
        <w:t xml:space="preserve"> of </w:t>
      </w:r>
      <w:r w:rsidRPr="008D4446">
        <w:t xml:space="preserve">4089) of patients in the </w:t>
      </w:r>
      <w:proofErr w:type="spellStart"/>
      <w:r w:rsidR="008C75D7" w:rsidRPr="008D4446">
        <w:t>icosapent</w:t>
      </w:r>
      <w:proofErr w:type="spellEnd"/>
      <w:r w:rsidR="008C75D7" w:rsidRPr="008D4446">
        <w:t xml:space="preserve"> ethyl</w:t>
      </w:r>
      <w:r w:rsidRPr="008D4446">
        <w:t xml:space="preserve"> group compared to 22.0% (901</w:t>
      </w:r>
      <w:r w:rsidR="007B2B56" w:rsidRPr="008D4446">
        <w:t xml:space="preserve"> of </w:t>
      </w:r>
      <w:r w:rsidRPr="008D4446">
        <w:t>4090) of patients in the placebo group (</w:t>
      </w:r>
      <w:r w:rsidR="00F15D6F" w:rsidRPr="008D4446">
        <w:t>hazard ratio</w:t>
      </w:r>
      <w:r w:rsidRPr="008D4446">
        <w:t xml:space="preserve"> 0.752, 95% </w:t>
      </w:r>
      <w:r w:rsidR="00F15D6F" w:rsidRPr="008D4446">
        <w:t>confidence interval (</w:t>
      </w:r>
      <w:r w:rsidRPr="008D4446">
        <w:t>CI</w:t>
      </w:r>
      <w:r w:rsidR="00F15D6F" w:rsidRPr="008D4446">
        <w:t>)</w:t>
      </w:r>
      <w:r w:rsidRPr="008D4446">
        <w:t>: 0.682</w:t>
      </w:r>
      <w:r w:rsidR="007B2B56" w:rsidRPr="008D4446">
        <w:t xml:space="preserve">, </w:t>
      </w:r>
      <w:r w:rsidRPr="008D4446">
        <w:t>0.830; p</w:t>
      </w:r>
      <w:r w:rsidR="007B2B56" w:rsidRPr="008D4446">
        <w:t xml:space="preserve"> </w:t>
      </w:r>
      <w:r w:rsidRPr="008D4446">
        <w:t>=</w:t>
      </w:r>
      <w:r w:rsidR="007B2B56" w:rsidRPr="008D4446">
        <w:t xml:space="preserve"> </w:t>
      </w:r>
      <w:r w:rsidRPr="008D4446">
        <w:t>0.00000001</w:t>
      </w:r>
      <w:r w:rsidR="007B2B56" w:rsidRPr="008D4446">
        <w:t>)</w:t>
      </w:r>
      <w:r w:rsidRPr="008D4446">
        <w:t>. The absolute risk reduction for the composite primary endpoint was 4.8%, the relative risk reduction was 24.8%, and number needed to treat was 21 (95% CI</w:t>
      </w:r>
      <w:r w:rsidR="007B2B56" w:rsidRPr="008D4446">
        <w:t>:</w:t>
      </w:r>
      <w:r w:rsidRPr="008D4446">
        <w:t xml:space="preserve"> 15</w:t>
      </w:r>
      <w:r w:rsidR="007B2B56" w:rsidRPr="008D4446">
        <w:t xml:space="preserve">, </w:t>
      </w:r>
      <w:r w:rsidRPr="008D4446">
        <w:t>33). Each of the components of the composite primary endpoint contributed to the outcome (</w:t>
      </w:r>
      <w:r w:rsidRPr="008D4446">
        <w:fldChar w:fldCharType="begin"/>
      </w:r>
      <w:r w:rsidRPr="008D4446">
        <w:instrText xml:space="preserve"> REF _Ref110253546 \h  \* MERGEFORMAT </w:instrText>
      </w:r>
      <w:r w:rsidRPr="008D4446">
        <w:fldChar w:fldCharType="separate"/>
      </w:r>
      <w:r w:rsidR="00703D92" w:rsidRPr="008D4446">
        <w:t xml:space="preserve">Table </w:t>
      </w:r>
      <w:r w:rsidR="00703D92">
        <w:t>6</w:t>
      </w:r>
      <w:r w:rsidRPr="008D4446">
        <w:fldChar w:fldCharType="end"/>
      </w:r>
      <w:r w:rsidRPr="008D4446">
        <w:t xml:space="preserve">). The benefit began to appear after </w:t>
      </w:r>
      <w:r w:rsidR="007B2B56" w:rsidRPr="008D4446">
        <w:t>approximately one</w:t>
      </w:r>
      <w:r w:rsidRPr="008D4446">
        <w:t xml:space="preserve"> year of treatment (</w:t>
      </w:r>
      <w:r w:rsidRPr="008D4446">
        <w:fldChar w:fldCharType="begin"/>
      </w:r>
      <w:r w:rsidRPr="008D4446">
        <w:instrText xml:space="preserve"> REF _Ref110255336 \h  \* MERGEFORMAT </w:instrText>
      </w:r>
      <w:r w:rsidRPr="008D4446">
        <w:fldChar w:fldCharType="separate"/>
      </w:r>
      <w:r w:rsidR="00703D92" w:rsidRPr="008D4446">
        <w:t xml:space="preserve">Figure </w:t>
      </w:r>
      <w:r w:rsidR="00703D92">
        <w:t>4</w:t>
      </w:r>
      <w:r w:rsidRPr="008D4446">
        <w:fldChar w:fldCharType="end"/>
      </w:r>
      <w:r w:rsidRPr="008D4446">
        <w:t>).</w:t>
      </w:r>
    </w:p>
    <w:p w14:paraId="1D83D1EA" w14:textId="359FE720" w:rsidR="00A928FC" w:rsidRPr="008D4446" w:rsidRDefault="00A928FC" w:rsidP="003C3C67">
      <w:pPr>
        <w:pStyle w:val="TableTitle"/>
      </w:pPr>
      <w:bookmarkStart w:id="69" w:name="_Ref110253546"/>
      <w:r w:rsidRPr="008D4446">
        <w:t xml:space="preserve">Table </w:t>
      </w:r>
      <w:r w:rsidR="00434F9A">
        <w:fldChar w:fldCharType="begin"/>
      </w:r>
      <w:r w:rsidR="00434F9A">
        <w:instrText xml:space="preserve"> SEQ Table \* ARABI</w:instrText>
      </w:r>
      <w:r w:rsidR="00434F9A">
        <w:instrText xml:space="preserve">C </w:instrText>
      </w:r>
      <w:r w:rsidR="00434F9A">
        <w:fldChar w:fldCharType="separate"/>
      </w:r>
      <w:r w:rsidR="00703D92">
        <w:rPr>
          <w:noProof/>
        </w:rPr>
        <w:t>6</w:t>
      </w:r>
      <w:r w:rsidR="00434F9A">
        <w:rPr>
          <w:noProof/>
        </w:rPr>
        <w:fldChar w:fldCharType="end"/>
      </w:r>
      <w:bookmarkEnd w:id="69"/>
      <w:r w:rsidR="003C3C67" w:rsidRPr="008D4446">
        <w:rPr>
          <w:noProof/>
        </w:rPr>
        <w:t>:</w:t>
      </w:r>
      <w:r w:rsidRPr="008D4446">
        <w:t xml:space="preserve"> </w:t>
      </w:r>
      <w:r w:rsidR="007B2B56" w:rsidRPr="008D4446">
        <w:t xml:space="preserve">REDUCE-IT </w:t>
      </w:r>
      <w:r w:rsidR="003C3C67" w:rsidRPr="008D4446">
        <w:t xml:space="preserve">trial </w:t>
      </w:r>
      <w:r w:rsidRPr="008D4446">
        <w:t xml:space="preserve">Stratified analysis of </w:t>
      </w:r>
      <w:r w:rsidR="003C3C67" w:rsidRPr="008D4446">
        <w:t>time to the primary composite endpoint from date of randomisation (intent-to-treat population)</w:t>
      </w:r>
    </w:p>
    <w:p w14:paraId="29ED156F" w14:textId="4F7D7DC0" w:rsidR="00BC2212" w:rsidRPr="008D4446" w:rsidRDefault="00BC2212" w:rsidP="00125C81">
      <w:r w:rsidRPr="008D4446">
        <w:rPr>
          <w:noProof/>
        </w:rPr>
        <w:drawing>
          <wp:inline distT="0" distB="0" distL="0" distR="0" wp14:anchorId="61E577D4" wp14:editId="31770592">
            <wp:extent cx="5759450" cy="2153285"/>
            <wp:effectExtent l="0" t="0" r="0" b="0"/>
            <wp:docPr id="46" name="Picture 46" descr="Table 6: REDUCE-IT trial Stratified analysis of time to the primary composite endpoint from date of randomisation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6: REDUCE-IT trial Stratified analysis of time to the primary composite endpoint from date of randomisation (intent-to-treat population)"/>
                    <pic:cNvPicPr/>
                  </pic:nvPicPr>
                  <pic:blipFill>
                    <a:blip r:embed="rId28"/>
                    <a:stretch>
                      <a:fillRect/>
                    </a:stretch>
                  </pic:blipFill>
                  <pic:spPr>
                    <a:xfrm>
                      <a:off x="0" y="0"/>
                      <a:ext cx="5759450" cy="2153285"/>
                    </a:xfrm>
                    <a:prstGeom prst="rect">
                      <a:avLst/>
                    </a:prstGeom>
                  </pic:spPr>
                </pic:pic>
              </a:graphicData>
            </a:graphic>
          </wp:inline>
        </w:drawing>
      </w:r>
    </w:p>
    <w:p w14:paraId="3725D8DE" w14:textId="607A219B" w:rsidR="00BC2212" w:rsidRPr="008D4446" w:rsidRDefault="00BC2212" w:rsidP="00125C81">
      <w:pPr>
        <w:pStyle w:val="TableDescription"/>
      </w:pPr>
      <w:r w:rsidRPr="008D4446">
        <w:t>Abbreviations: CI = confidence interval; CV = cardiovascular; ECG = electrocardiogram; HR = hazard ratio; ITT = intent-to-treat; MI = myocardial infarction.</w:t>
      </w:r>
    </w:p>
    <w:p w14:paraId="36E51DB5" w14:textId="5C3E46C7" w:rsidR="00BC2212" w:rsidRPr="008D4446" w:rsidRDefault="00BC2212" w:rsidP="00125C81">
      <w:pPr>
        <w:pStyle w:val="TableDescription"/>
      </w:pPr>
      <w:r w:rsidRPr="008D4446">
        <w:t>Note: The number of patients with event (n) is the number of patients in the ITT population within each treatment group (N).</w:t>
      </w:r>
    </w:p>
    <w:p w14:paraId="138F509E" w14:textId="4CD06D18" w:rsidR="00BC2212" w:rsidRPr="008D4446" w:rsidRDefault="00BC2212" w:rsidP="00125C81">
      <w:pPr>
        <w:pStyle w:val="TableDescription"/>
      </w:pPr>
      <w:r w:rsidRPr="008D4446">
        <w:t xml:space="preserve">1. Primary endpoint includes CV death, non-fatal MI, non-fatal stroke, coronary revascularisation, and hospitalisation for unstable angina determined to be caused by myocardial </w:t>
      </w:r>
      <w:proofErr w:type="spellStart"/>
      <w:r w:rsidRPr="008D4446">
        <w:t>ischaemia</w:t>
      </w:r>
      <w:proofErr w:type="spellEnd"/>
      <w:r w:rsidRPr="008D4446">
        <w:t xml:space="preserve"> by invasive/non-invasive testing.</w:t>
      </w:r>
    </w:p>
    <w:p w14:paraId="0FDCD3D0" w14:textId="72F61E70" w:rsidR="00BC2212" w:rsidRPr="008D4446" w:rsidRDefault="00BC2212" w:rsidP="00125C81">
      <w:pPr>
        <w:pStyle w:val="TableDescription"/>
      </w:pPr>
      <w:r w:rsidRPr="008D4446">
        <w:t>2. Log-Rank test statistic and p-value are reported from a Kaplan-Meier analysis, stratified by geographic region, CV risk category, and use of ezetimibe. Hazard ratio and 95% CI are reported from a Cox proportional hazard model with treatment as the covariate, and stratified by geographic region, CV risk category, and use of ezetimibe.</w:t>
      </w:r>
    </w:p>
    <w:p w14:paraId="0418A7DA" w14:textId="22FB9F4F" w:rsidR="00BC2212" w:rsidRPr="008D4446" w:rsidRDefault="00BC2212" w:rsidP="00125C81">
      <w:pPr>
        <w:pStyle w:val="TableDescription"/>
      </w:pPr>
      <w:r w:rsidRPr="008D4446">
        <w:t>3. Based on a patient’s first post-randomisation occurrence of the event contributing to the primary endpoint.</w:t>
      </w:r>
    </w:p>
    <w:p w14:paraId="650D6D24" w14:textId="378D6FC0" w:rsidR="00BC2212" w:rsidRPr="008D4446" w:rsidRDefault="00BC2212" w:rsidP="00125C81">
      <w:pPr>
        <w:pStyle w:val="TableDescription"/>
      </w:pPr>
      <w:r w:rsidRPr="008D4446">
        <w:t>4. CV death includes adjudicated CV deaths and deaths of undetermined causality.</w:t>
      </w:r>
    </w:p>
    <w:p w14:paraId="029F4E38" w14:textId="7595F845" w:rsidR="00125C81" w:rsidRPr="008D4446" w:rsidRDefault="00BC2212" w:rsidP="00125C81">
      <w:pPr>
        <w:pStyle w:val="TableDescription"/>
      </w:pPr>
      <w:r w:rsidRPr="008D4446">
        <w:t>5. Non-fatal MI includes silent MI, which was assumed to occur on the date of the first post-randomisation ECG tracing indicative of a silent MI.</w:t>
      </w:r>
      <w:r w:rsidR="00125C81" w:rsidRPr="008D4446">
        <w:br w:type="page"/>
      </w:r>
    </w:p>
    <w:p w14:paraId="34886787" w14:textId="2E5E935B" w:rsidR="00A928FC" w:rsidRPr="008D4446" w:rsidRDefault="00A928FC" w:rsidP="00125C81">
      <w:pPr>
        <w:pStyle w:val="FigureTitle"/>
      </w:pPr>
      <w:bookmarkStart w:id="70" w:name="_Ref110255336"/>
      <w:r w:rsidRPr="008D4446">
        <w:lastRenderedPageBreak/>
        <w:t xml:space="preserve">Figure </w:t>
      </w:r>
      <w:r w:rsidR="00434F9A">
        <w:fldChar w:fldCharType="begin"/>
      </w:r>
      <w:r w:rsidR="00434F9A">
        <w:instrText xml:space="preserve"> SEQ Figure \* ARABIC </w:instrText>
      </w:r>
      <w:r w:rsidR="00434F9A">
        <w:fldChar w:fldCharType="separate"/>
      </w:r>
      <w:r w:rsidR="00703D92">
        <w:rPr>
          <w:noProof/>
        </w:rPr>
        <w:t>4</w:t>
      </w:r>
      <w:r w:rsidR="00434F9A">
        <w:rPr>
          <w:noProof/>
        </w:rPr>
        <w:fldChar w:fldCharType="end"/>
      </w:r>
      <w:bookmarkEnd w:id="70"/>
      <w:r w:rsidR="003C3C67" w:rsidRPr="008D4446">
        <w:t>:</w:t>
      </w:r>
      <w:r w:rsidRPr="008D4446">
        <w:t xml:space="preserve"> </w:t>
      </w:r>
      <w:r w:rsidR="003C3C67" w:rsidRPr="008D4446">
        <w:t xml:space="preserve">REDUCE-IT trial </w:t>
      </w:r>
      <w:r w:rsidRPr="008D4446">
        <w:t xml:space="preserve">Kaplan-Meier </w:t>
      </w:r>
      <w:r w:rsidR="003C3C67" w:rsidRPr="008D4446">
        <w:t>curve of time to primary composite endpoint from date of randomisation (intent-to-treat population)</w:t>
      </w:r>
    </w:p>
    <w:p w14:paraId="71162938" w14:textId="637A4558" w:rsidR="00BC2212" w:rsidRPr="008D4446" w:rsidRDefault="00BC2212" w:rsidP="00125C81">
      <w:r w:rsidRPr="008D4446">
        <w:rPr>
          <w:noProof/>
        </w:rPr>
        <w:drawing>
          <wp:inline distT="0" distB="0" distL="0" distR="0" wp14:anchorId="64C3291E" wp14:editId="3D3C69CB">
            <wp:extent cx="5759450" cy="3655060"/>
            <wp:effectExtent l="0" t="0" r="0" b="2540"/>
            <wp:docPr id="47" name="Picture 47" descr="Figure 4: REDUCE-IT trial Kaplan-Meier curve of time to primary composite endpoint from date of randomisation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4: REDUCE-IT trial Kaplan-Meier curve of time to primary composite endpoint from date of randomisation (intent-to-treat population)"/>
                    <pic:cNvPicPr/>
                  </pic:nvPicPr>
                  <pic:blipFill>
                    <a:blip r:embed="rId29"/>
                    <a:stretch>
                      <a:fillRect/>
                    </a:stretch>
                  </pic:blipFill>
                  <pic:spPr>
                    <a:xfrm>
                      <a:off x="0" y="0"/>
                      <a:ext cx="5759450" cy="3655060"/>
                    </a:xfrm>
                    <a:prstGeom prst="rect">
                      <a:avLst/>
                    </a:prstGeom>
                  </pic:spPr>
                </pic:pic>
              </a:graphicData>
            </a:graphic>
          </wp:inline>
        </w:drawing>
      </w:r>
    </w:p>
    <w:p w14:paraId="6FF86DD3" w14:textId="07020663" w:rsidR="00A928FC" w:rsidRPr="008D4446" w:rsidRDefault="00BC2212" w:rsidP="00125C81">
      <w:pPr>
        <w:pStyle w:val="FigureDescription"/>
      </w:pPr>
      <w:r w:rsidRPr="008D4446">
        <w:t xml:space="preserve">Abbreviations: AMR101 = </w:t>
      </w:r>
      <w:proofErr w:type="spellStart"/>
      <w:r w:rsidR="00DB4B27" w:rsidRPr="008D4446">
        <w:t>icosapent</w:t>
      </w:r>
      <w:proofErr w:type="spellEnd"/>
      <w:r w:rsidR="00DB4B27" w:rsidRPr="008D4446">
        <w:t xml:space="preserve"> ethyl</w:t>
      </w:r>
      <w:r w:rsidRPr="008D4446">
        <w:t>; ARR = absolute risk reduction; CI = confidence interval; ITT = Intent-to-Treat; NNT = number needed to treat; No. = number; P = p-value; RRR = relative risk reduction.</w:t>
      </w:r>
    </w:p>
    <w:p w14:paraId="289A28F2" w14:textId="4BA1576C" w:rsidR="00A928FC" w:rsidRPr="008D4446" w:rsidRDefault="00A928FC" w:rsidP="00C160CB">
      <w:r w:rsidRPr="008D4446">
        <w:t xml:space="preserve">A significant benefit was observed for the key secondary endpoint, a 3-point </w:t>
      </w:r>
      <w:r w:rsidR="00F15D6F" w:rsidRPr="008D4446">
        <w:t>major adverse cardiovascular event (</w:t>
      </w:r>
      <w:r w:rsidRPr="008D4446">
        <w:t>MACE</w:t>
      </w:r>
      <w:r w:rsidR="00F15D6F" w:rsidRPr="008D4446">
        <w:t>)</w:t>
      </w:r>
      <w:r w:rsidRPr="008D4446">
        <w:t xml:space="preserve"> composite of cardiovascular death, nonfatal myocardial infarction (including silent myocardial infarction), and nonfatal stroke (</w:t>
      </w:r>
      <w:r w:rsidRPr="008D4446">
        <w:fldChar w:fldCharType="begin"/>
      </w:r>
      <w:r w:rsidRPr="008D4446">
        <w:instrText xml:space="preserve"> REF _Ref110255278 \h  \* MERGEFORMAT </w:instrText>
      </w:r>
      <w:r w:rsidRPr="008D4446">
        <w:fldChar w:fldCharType="separate"/>
      </w:r>
      <w:r w:rsidR="00703D92" w:rsidRPr="008D4446">
        <w:t xml:space="preserve">Table </w:t>
      </w:r>
      <w:r w:rsidR="00703D92">
        <w:t>7</w:t>
      </w:r>
      <w:r w:rsidRPr="008D4446">
        <w:fldChar w:fldCharType="end"/>
      </w:r>
      <w:r w:rsidRPr="008D4446">
        <w:t xml:space="preserve">, </w:t>
      </w:r>
      <w:r w:rsidRPr="008D4446">
        <w:fldChar w:fldCharType="begin"/>
      </w:r>
      <w:r w:rsidRPr="008D4446">
        <w:instrText xml:space="preserve"> REF _Ref110255284 \h  \* MERGEFORMAT </w:instrText>
      </w:r>
      <w:r w:rsidRPr="008D4446">
        <w:fldChar w:fldCharType="separate"/>
      </w:r>
      <w:r w:rsidR="00703D92" w:rsidRPr="008D4446">
        <w:t xml:space="preserve">Figure </w:t>
      </w:r>
      <w:r w:rsidR="00703D92">
        <w:t>5</w:t>
      </w:r>
      <w:r w:rsidRPr="008D4446">
        <w:fldChar w:fldCharType="end"/>
      </w:r>
      <w:r w:rsidRPr="008D4446">
        <w:t xml:space="preserve">). Each component of the composite contributed to the outcome. A significant benefit was also demonstrated for each of the other secondary endpoints </w:t>
      </w:r>
      <w:proofErr w:type="gramStart"/>
      <w:r w:rsidRPr="008D4446">
        <w:t>with the exception of</w:t>
      </w:r>
      <w:proofErr w:type="gramEnd"/>
      <w:r w:rsidRPr="008D4446">
        <w:t xml:space="preserve"> total mortality for which there was a trend favouring </w:t>
      </w:r>
      <w:proofErr w:type="spellStart"/>
      <w:r w:rsidR="008C75D7" w:rsidRPr="008D4446">
        <w:t>icosapent</w:t>
      </w:r>
      <w:proofErr w:type="spellEnd"/>
      <w:r w:rsidR="008C75D7" w:rsidRPr="008D4446">
        <w:t xml:space="preserve"> ethyl</w:t>
      </w:r>
      <w:r w:rsidRPr="008D4446">
        <w:t xml:space="preserve"> (</w:t>
      </w:r>
      <w:r w:rsidRPr="008D4446">
        <w:fldChar w:fldCharType="begin"/>
      </w:r>
      <w:r w:rsidRPr="008D4446">
        <w:instrText xml:space="preserve"> REF _Ref110255987 \h  \* MERGEFORMAT </w:instrText>
      </w:r>
      <w:r w:rsidRPr="008D4446">
        <w:fldChar w:fldCharType="separate"/>
      </w:r>
      <w:r w:rsidR="00703D92" w:rsidRPr="008D4446">
        <w:t xml:space="preserve">Figure </w:t>
      </w:r>
      <w:r w:rsidR="00703D92">
        <w:t>6</w:t>
      </w:r>
      <w:r w:rsidRPr="008D4446">
        <w:fldChar w:fldCharType="end"/>
      </w:r>
      <w:r w:rsidRPr="008D4446">
        <w:t>).</w:t>
      </w:r>
    </w:p>
    <w:p w14:paraId="3D2197F7" w14:textId="334405CD" w:rsidR="00A928FC" w:rsidRPr="008D4446" w:rsidRDefault="00A928FC" w:rsidP="00125C81">
      <w:pPr>
        <w:pStyle w:val="TableTitle"/>
      </w:pPr>
      <w:bookmarkStart w:id="71" w:name="_Ref110255278"/>
      <w:r w:rsidRPr="008D4446">
        <w:t xml:space="preserve">Table </w:t>
      </w:r>
      <w:r w:rsidR="00434F9A">
        <w:fldChar w:fldCharType="begin"/>
      </w:r>
      <w:r w:rsidR="00434F9A">
        <w:instrText xml:space="preserve"> SEQ Table \* ARABIC </w:instrText>
      </w:r>
      <w:r w:rsidR="00434F9A">
        <w:fldChar w:fldCharType="separate"/>
      </w:r>
      <w:r w:rsidR="00703D92">
        <w:rPr>
          <w:noProof/>
        </w:rPr>
        <w:t>7</w:t>
      </w:r>
      <w:r w:rsidR="00434F9A">
        <w:rPr>
          <w:noProof/>
        </w:rPr>
        <w:fldChar w:fldCharType="end"/>
      </w:r>
      <w:bookmarkEnd w:id="71"/>
      <w:r w:rsidR="003C3C67" w:rsidRPr="008D4446">
        <w:t xml:space="preserve">: REDUCE-IT trial </w:t>
      </w:r>
      <w:r w:rsidRPr="008D4446">
        <w:t xml:space="preserve">Stratified analysis of </w:t>
      </w:r>
      <w:r w:rsidR="003C3C67" w:rsidRPr="008D4446">
        <w:t>time to the key secondary composite endpoint from date of randomisation (intent-to-treat population)</w:t>
      </w:r>
    </w:p>
    <w:p w14:paraId="631331CE" w14:textId="43C0250D" w:rsidR="00BC2212" w:rsidRPr="008D4446" w:rsidRDefault="00BC2212" w:rsidP="00125C81">
      <w:r w:rsidRPr="008D4446">
        <w:rPr>
          <w:noProof/>
        </w:rPr>
        <w:drawing>
          <wp:inline distT="0" distB="0" distL="0" distR="0" wp14:anchorId="14D70B55" wp14:editId="0AA80AEF">
            <wp:extent cx="5759450" cy="1797050"/>
            <wp:effectExtent l="0" t="0" r="0" b="0"/>
            <wp:docPr id="48" name="Picture 48" descr="Table 7: REDUCE-IT trial Stratified analysis of time to the key secondary composite endpoint from date of randomisation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 7: REDUCE-IT trial Stratified analysis of time to the key secondary composite endpoint from date of randomisation (intent-to-treat population)"/>
                    <pic:cNvPicPr/>
                  </pic:nvPicPr>
                  <pic:blipFill>
                    <a:blip r:embed="rId30"/>
                    <a:stretch>
                      <a:fillRect/>
                    </a:stretch>
                  </pic:blipFill>
                  <pic:spPr>
                    <a:xfrm>
                      <a:off x="0" y="0"/>
                      <a:ext cx="5759450" cy="1797050"/>
                    </a:xfrm>
                    <a:prstGeom prst="rect">
                      <a:avLst/>
                    </a:prstGeom>
                  </pic:spPr>
                </pic:pic>
              </a:graphicData>
            </a:graphic>
          </wp:inline>
        </w:drawing>
      </w:r>
    </w:p>
    <w:p w14:paraId="10EA6568" w14:textId="4D7BF00D" w:rsidR="00BC2212" w:rsidRPr="008D4446" w:rsidRDefault="00BC2212" w:rsidP="00125C81">
      <w:pPr>
        <w:pStyle w:val="TableDescription"/>
      </w:pPr>
      <w:r w:rsidRPr="008D4446">
        <w:t>Abbreviations: CI = confidence interval; CV = cardiovascular; ECG = electrocardiogram; HR = hazard ratio; ITT = intent-to-treat; MACE = major adverse cardiovascular event; MI = myocardial infarction.</w:t>
      </w:r>
    </w:p>
    <w:p w14:paraId="556357F1" w14:textId="0894AEA0" w:rsidR="00BC2212" w:rsidRPr="008D4446" w:rsidRDefault="00BC2212" w:rsidP="00125C81">
      <w:pPr>
        <w:pStyle w:val="TableDescription"/>
      </w:pPr>
      <w:r w:rsidRPr="008D4446">
        <w:t>Note: The number of patients with event (n) is the number of patients in the ITT population within each treatment group (N).</w:t>
      </w:r>
    </w:p>
    <w:p w14:paraId="5F31A678" w14:textId="77777777" w:rsidR="00BC2212" w:rsidRPr="008D4446" w:rsidRDefault="00BC2212" w:rsidP="00125C81">
      <w:pPr>
        <w:pStyle w:val="TableDescription"/>
      </w:pPr>
      <w:r w:rsidRPr="008D4446">
        <w:t>1 The key secondary (i.e., hard MACE) endpoint includes CV death, non-fatal MI, and non-fatal stroke.</w:t>
      </w:r>
    </w:p>
    <w:p w14:paraId="38D32DE5" w14:textId="30A651E3" w:rsidR="00BC2212" w:rsidRPr="008D4446" w:rsidRDefault="00BC2212" w:rsidP="00125C81">
      <w:pPr>
        <w:pStyle w:val="TableDescription"/>
      </w:pPr>
      <w:r w:rsidRPr="008D4446">
        <w:lastRenderedPageBreak/>
        <w:t>2 Log-Rank test statistic and p-value are reported from a Kaplan-Meier analysis, stratified by geographic region, CV risk category, and use of ezetimibe. Hazard ratio and 95% CI are reported from a Cox proportional hazard model with treatment as the covariate, and stratified by geographic region, CV risk category, and use of ezetimibe.</w:t>
      </w:r>
    </w:p>
    <w:p w14:paraId="1894853B" w14:textId="77777777" w:rsidR="00BC2212" w:rsidRPr="008D4446" w:rsidRDefault="00BC2212" w:rsidP="00125C81">
      <w:pPr>
        <w:pStyle w:val="TableDescription"/>
      </w:pPr>
      <w:r w:rsidRPr="008D4446">
        <w:t>3 Based on a patient’s first post-randomisation occurrence of the event contributing to the key secondary endpoint.</w:t>
      </w:r>
    </w:p>
    <w:p w14:paraId="14C7F683" w14:textId="77777777" w:rsidR="00BC2212" w:rsidRPr="008D4446" w:rsidRDefault="00BC2212" w:rsidP="00125C81">
      <w:pPr>
        <w:pStyle w:val="TableDescription"/>
      </w:pPr>
      <w:r w:rsidRPr="008D4446">
        <w:t>4 CV death includes adjudicated CV deaths and deaths of undetermined causality.</w:t>
      </w:r>
    </w:p>
    <w:p w14:paraId="3D5A2A28" w14:textId="12B318D7" w:rsidR="00BC2212" w:rsidRPr="008D4446" w:rsidRDefault="00BC2212" w:rsidP="00125C81">
      <w:pPr>
        <w:pStyle w:val="TableDescription"/>
      </w:pPr>
      <w:r w:rsidRPr="008D4446">
        <w:t>5 Non-fatal MI includes silent MI, which was assumed to occur on the date of the first post-randomisation ECG tracing indicative of a silent MI.</w:t>
      </w:r>
    </w:p>
    <w:p w14:paraId="1C8D9B10" w14:textId="2E5172F3" w:rsidR="00A928FC" w:rsidRPr="008D4446" w:rsidRDefault="00A928FC" w:rsidP="00125C81">
      <w:pPr>
        <w:pStyle w:val="FigureTitle"/>
      </w:pPr>
      <w:bookmarkStart w:id="72" w:name="_Ref110255284"/>
      <w:r w:rsidRPr="008D4446">
        <w:t xml:space="preserve">Figure </w:t>
      </w:r>
      <w:r w:rsidR="00434F9A">
        <w:fldChar w:fldCharType="begin"/>
      </w:r>
      <w:r w:rsidR="00434F9A">
        <w:instrText xml:space="preserve"> SEQ Figure \* ARABIC </w:instrText>
      </w:r>
      <w:r w:rsidR="00434F9A">
        <w:fldChar w:fldCharType="separate"/>
      </w:r>
      <w:r w:rsidR="00703D92">
        <w:rPr>
          <w:noProof/>
        </w:rPr>
        <w:t>5</w:t>
      </w:r>
      <w:r w:rsidR="00434F9A">
        <w:rPr>
          <w:noProof/>
        </w:rPr>
        <w:fldChar w:fldCharType="end"/>
      </w:r>
      <w:bookmarkEnd w:id="72"/>
      <w:r w:rsidR="003C3C67" w:rsidRPr="008D4446">
        <w:rPr>
          <w:noProof/>
        </w:rPr>
        <w:t>:</w:t>
      </w:r>
      <w:r w:rsidRPr="008D4446">
        <w:t xml:space="preserve"> </w:t>
      </w:r>
      <w:r w:rsidR="003C3C67" w:rsidRPr="008D4446">
        <w:t xml:space="preserve">REDUCE-IT trial </w:t>
      </w:r>
      <w:r w:rsidRPr="008D4446">
        <w:t xml:space="preserve">Kaplan-Meier curve of </w:t>
      </w:r>
      <w:r w:rsidR="003C3C67" w:rsidRPr="008D4446">
        <w:t>time to key secondary composite endpoint from date of randomisation (intent-to-treat population)</w:t>
      </w:r>
    </w:p>
    <w:p w14:paraId="6FBF9794" w14:textId="33A8EF6F" w:rsidR="00BC2212" w:rsidRPr="008D4446" w:rsidRDefault="00BC2212" w:rsidP="00125C81">
      <w:r w:rsidRPr="008D4446">
        <w:rPr>
          <w:noProof/>
        </w:rPr>
        <w:drawing>
          <wp:inline distT="0" distB="0" distL="0" distR="0" wp14:anchorId="72F6506F" wp14:editId="568B16BB">
            <wp:extent cx="5759450" cy="3628390"/>
            <wp:effectExtent l="0" t="0" r="0" b="0"/>
            <wp:docPr id="49" name="Picture 49" descr="Figure 5: REDUCE-IT trial Kaplan-Meier curve of time to key secondary composite endpoint from date of randomisation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igure 5: REDUCE-IT trial Kaplan-Meier curve of time to key secondary composite endpoint from date of randomisation (intent-to-treat population)"/>
                    <pic:cNvPicPr/>
                  </pic:nvPicPr>
                  <pic:blipFill>
                    <a:blip r:embed="rId31"/>
                    <a:stretch>
                      <a:fillRect/>
                    </a:stretch>
                  </pic:blipFill>
                  <pic:spPr>
                    <a:xfrm>
                      <a:off x="0" y="0"/>
                      <a:ext cx="5759450" cy="3628390"/>
                    </a:xfrm>
                    <a:prstGeom prst="rect">
                      <a:avLst/>
                    </a:prstGeom>
                  </pic:spPr>
                </pic:pic>
              </a:graphicData>
            </a:graphic>
          </wp:inline>
        </w:drawing>
      </w:r>
    </w:p>
    <w:p w14:paraId="389FBF16" w14:textId="4A73ED26" w:rsidR="00A928FC" w:rsidRPr="008D4446" w:rsidRDefault="00BC2212" w:rsidP="00125C81">
      <w:pPr>
        <w:pStyle w:val="FigureDescription"/>
      </w:pPr>
      <w:r w:rsidRPr="008D4446">
        <w:t xml:space="preserve">Abbreviations: AMR101 = </w:t>
      </w:r>
      <w:proofErr w:type="spellStart"/>
      <w:r w:rsidR="00DB4B27" w:rsidRPr="008D4446">
        <w:t>icosapent</w:t>
      </w:r>
      <w:proofErr w:type="spellEnd"/>
      <w:r w:rsidR="00DB4B27" w:rsidRPr="008D4446">
        <w:t xml:space="preserve"> ethyl</w:t>
      </w:r>
      <w:r w:rsidRPr="008D4446">
        <w:t>; ARR = absolute risk reduction; CI = confidence interval; ITT = intent</w:t>
      </w:r>
      <w:r w:rsidR="00BD6046">
        <w:noBreakHyphen/>
      </w:r>
      <w:r w:rsidRPr="008D4446">
        <w:t>to-treat; NNT = number needed to treat; No. = number; P = p-value; RRR = relative risk reduction.</w:t>
      </w:r>
    </w:p>
    <w:p w14:paraId="63728BD4" w14:textId="768293F8" w:rsidR="00A928FC" w:rsidRPr="008D4446" w:rsidRDefault="00A928FC" w:rsidP="00125C81">
      <w:pPr>
        <w:pStyle w:val="FigureTitle"/>
      </w:pPr>
      <w:bookmarkStart w:id="73" w:name="_Ref110255987"/>
      <w:r w:rsidRPr="008D4446">
        <w:t xml:space="preserve">Figure </w:t>
      </w:r>
      <w:r w:rsidR="00434F9A">
        <w:fldChar w:fldCharType="begin"/>
      </w:r>
      <w:r w:rsidR="00434F9A">
        <w:instrText xml:space="preserve"> SEQ Figure \* ARABIC </w:instrText>
      </w:r>
      <w:r w:rsidR="00434F9A">
        <w:fldChar w:fldCharType="separate"/>
      </w:r>
      <w:r w:rsidR="00703D92">
        <w:rPr>
          <w:noProof/>
        </w:rPr>
        <w:t>6</w:t>
      </w:r>
      <w:r w:rsidR="00434F9A">
        <w:rPr>
          <w:noProof/>
        </w:rPr>
        <w:fldChar w:fldCharType="end"/>
      </w:r>
      <w:bookmarkEnd w:id="73"/>
      <w:r w:rsidR="003C3C67" w:rsidRPr="008D4446">
        <w:t>:</w:t>
      </w:r>
      <w:r w:rsidRPr="008D4446">
        <w:t xml:space="preserve"> </w:t>
      </w:r>
      <w:r w:rsidR="003C3C67" w:rsidRPr="008D4446">
        <w:t xml:space="preserve">REDUCE-IT trial </w:t>
      </w:r>
      <w:r w:rsidRPr="008D4446">
        <w:t>For</w:t>
      </w:r>
      <w:r w:rsidR="003C3C67" w:rsidRPr="008D4446">
        <w:t>est plot of analyses of primary and secondary endpoints (intent-to-treat population)</w:t>
      </w:r>
    </w:p>
    <w:p w14:paraId="5257B98B" w14:textId="7A21973A" w:rsidR="00DB4B27" w:rsidRPr="008D4446" w:rsidRDefault="00DB4B27" w:rsidP="00125C81">
      <w:r w:rsidRPr="008D4446">
        <w:rPr>
          <w:noProof/>
        </w:rPr>
        <w:drawing>
          <wp:inline distT="0" distB="0" distL="0" distR="0" wp14:anchorId="4A24A74C" wp14:editId="754AC532">
            <wp:extent cx="5759450" cy="2870835"/>
            <wp:effectExtent l="0" t="0" r="0" b="5715"/>
            <wp:docPr id="5" name="Picture 5" descr="Figure 6: REDUCE-IT trial Forest plot of analyses of primary and secondary endpoint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6: REDUCE-IT trial Forest plot of analyses of primary and secondary endpoints (intent-to-treat population)"/>
                    <pic:cNvPicPr/>
                  </pic:nvPicPr>
                  <pic:blipFill>
                    <a:blip r:embed="rId32"/>
                    <a:stretch>
                      <a:fillRect/>
                    </a:stretch>
                  </pic:blipFill>
                  <pic:spPr>
                    <a:xfrm>
                      <a:off x="0" y="0"/>
                      <a:ext cx="5759450" cy="2870835"/>
                    </a:xfrm>
                    <a:prstGeom prst="rect">
                      <a:avLst/>
                    </a:prstGeom>
                  </pic:spPr>
                </pic:pic>
              </a:graphicData>
            </a:graphic>
          </wp:inline>
        </w:drawing>
      </w:r>
    </w:p>
    <w:p w14:paraId="5D4B20FD" w14:textId="0E79AB84" w:rsidR="00DB4B27" w:rsidRPr="008D4446" w:rsidRDefault="00DB4B27" w:rsidP="00125C81">
      <w:pPr>
        <w:pStyle w:val="FigureDescription"/>
      </w:pPr>
      <w:r w:rsidRPr="008D4446">
        <w:lastRenderedPageBreak/>
        <w:t>Abbreviations: CI = confidence interval; CV = cardiovascular; ECG = electrocardiogram; ITT = Intent-to-Treat; MI</w:t>
      </w:r>
      <w:r w:rsidR="00BD6046">
        <w:t> </w:t>
      </w:r>
      <w:r w:rsidRPr="008D4446">
        <w:t>= myocardial infarction.</w:t>
      </w:r>
    </w:p>
    <w:p w14:paraId="263D7B0E" w14:textId="77777777" w:rsidR="00DB4B27" w:rsidRPr="008D4446" w:rsidRDefault="00DB4B27" w:rsidP="00125C81">
      <w:pPr>
        <w:pStyle w:val="FigureDescription"/>
      </w:pPr>
      <w:r w:rsidRPr="008D4446">
        <w:t>Note: The number of patients with event (n) is the number of patients in the ITT population within each treatment group (N).</w:t>
      </w:r>
    </w:p>
    <w:p w14:paraId="5277429F" w14:textId="052E989A" w:rsidR="00DB4B27" w:rsidRPr="008D4446" w:rsidRDefault="00DB4B27" w:rsidP="00125C81">
      <w:pPr>
        <w:pStyle w:val="FigureDescription"/>
      </w:pPr>
      <w:r w:rsidRPr="008D4446">
        <w:t>Log-Rank test statistic and p-value are reported from a Kaplan-Meier analysis, stratified by geographic region, CV risk category, and use of ezetimibe. Hazard ratio and 95% CI are reported from a Cox proportional hazard model with treatment as the covariate, and stratified by geographic region, CV risk category, and use of ezetimibe.</w:t>
      </w:r>
    </w:p>
    <w:p w14:paraId="44439D69" w14:textId="00659CCA" w:rsidR="00DB4B27" w:rsidRPr="008D4446" w:rsidRDefault="00DB4B27" w:rsidP="00125C81">
      <w:pPr>
        <w:pStyle w:val="FigureDescription"/>
      </w:pPr>
      <w:r w:rsidRPr="008D4446">
        <w:t>Endpoint events are based on a patient’s first post-randomization occurrence of the specified endpoint event.</w:t>
      </w:r>
    </w:p>
    <w:p w14:paraId="70FAA234" w14:textId="77777777" w:rsidR="00DB4B27" w:rsidRPr="008D4446" w:rsidRDefault="00DB4B27" w:rsidP="00125C81">
      <w:pPr>
        <w:pStyle w:val="FigureDescription"/>
      </w:pPr>
      <w:r w:rsidRPr="008D4446">
        <w:t>CV death includes adjudicated CV deaths and deaths of undetermined causality.</w:t>
      </w:r>
    </w:p>
    <w:p w14:paraId="75B390EA" w14:textId="5A2D95A8" w:rsidR="00DB4B27" w:rsidRPr="008D4446" w:rsidRDefault="00DB4B27" w:rsidP="00125C81">
      <w:pPr>
        <w:pStyle w:val="FigureDescription"/>
      </w:pPr>
      <w:r w:rsidRPr="008D4446">
        <w:t>Nonfatal MI includes silent MI, which was assumed to occur on the date of the first post-randomization ECG tracing indicative of a silent MI.</w:t>
      </w:r>
    </w:p>
    <w:p w14:paraId="74B2C8BC" w14:textId="52FAD860" w:rsidR="00A928FC" w:rsidRPr="008D4446" w:rsidRDefault="00A928FC" w:rsidP="00C160CB">
      <w:bookmarkStart w:id="74" w:name="_Ref110256634"/>
      <w:r w:rsidRPr="008D4446">
        <w:t>Analyses of the primary endpoint in pre-defined subgroups were generally consistent with the primary outcome (</w:t>
      </w:r>
      <w:r w:rsidRPr="008D4446">
        <w:fldChar w:fldCharType="begin"/>
      </w:r>
      <w:r w:rsidRPr="008D4446">
        <w:instrText xml:space="preserve"> REF _Ref110411707 \h  \* MERGEFORMAT </w:instrText>
      </w:r>
      <w:r w:rsidRPr="008D4446">
        <w:fldChar w:fldCharType="separate"/>
      </w:r>
      <w:r w:rsidR="00703D92" w:rsidRPr="008D4446">
        <w:t xml:space="preserve">Figure </w:t>
      </w:r>
      <w:r w:rsidR="00703D92">
        <w:t>7</w:t>
      </w:r>
      <w:r w:rsidRPr="008D4446">
        <w:fldChar w:fldCharType="end"/>
      </w:r>
      <w:r w:rsidRPr="008D4446">
        <w:t xml:space="preserve">, </w:t>
      </w:r>
      <w:r w:rsidRPr="008D4446">
        <w:fldChar w:fldCharType="begin"/>
      </w:r>
      <w:r w:rsidRPr="008D4446">
        <w:instrText xml:space="preserve"> REF _Ref111558638 \h  \* MERGEFORMAT </w:instrText>
      </w:r>
      <w:r w:rsidRPr="008D4446">
        <w:fldChar w:fldCharType="separate"/>
      </w:r>
      <w:r w:rsidR="00703D92" w:rsidRPr="008D4446">
        <w:t xml:space="preserve">Figure </w:t>
      </w:r>
      <w:r w:rsidR="00703D92">
        <w:t>8</w:t>
      </w:r>
      <w:r w:rsidRPr="008D4446">
        <w:fldChar w:fldCharType="end"/>
      </w:r>
      <w:r w:rsidRPr="008D4446">
        <w:t>,</w:t>
      </w:r>
      <w:r w:rsidR="007B2B56" w:rsidRPr="008D4446">
        <w:t xml:space="preserve"> and</w:t>
      </w:r>
      <w:r w:rsidRPr="008D4446">
        <w:t xml:space="preserve"> </w:t>
      </w:r>
      <w:r w:rsidRPr="008D4446">
        <w:fldChar w:fldCharType="begin"/>
      </w:r>
      <w:r w:rsidRPr="008D4446">
        <w:instrText xml:space="preserve"> REF _Ref111558640 \h  \* MERGEFORMAT </w:instrText>
      </w:r>
      <w:r w:rsidRPr="008D4446">
        <w:fldChar w:fldCharType="separate"/>
      </w:r>
      <w:r w:rsidR="00703D92" w:rsidRPr="008D4446">
        <w:t xml:space="preserve">Figure </w:t>
      </w:r>
      <w:r w:rsidR="00703D92">
        <w:t>9</w:t>
      </w:r>
      <w:r w:rsidRPr="008D4446">
        <w:fldChar w:fldCharType="end"/>
      </w:r>
      <w:r w:rsidRPr="008D4446">
        <w:t xml:space="preserve">). The subgroup analyses suggest a greater cardiovascular benefit in patients </w:t>
      </w:r>
      <w:r w:rsidR="007B2B56" w:rsidRPr="008D4446">
        <w:t xml:space="preserve">less than </w:t>
      </w:r>
      <w:r w:rsidRPr="008D4446">
        <w:t>65 years compared to 65 years</w:t>
      </w:r>
      <w:r w:rsidR="007B2B56" w:rsidRPr="008D4446">
        <w:t xml:space="preserve"> </w:t>
      </w:r>
      <w:r w:rsidR="000B44BD" w:rsidRPr="008D4446">
        <w:t>or</w:t>
      </w:r>
      <w:r w:rsidR="007B2B56" w:rsidRPr="008D4446">
        <w:t xml:space="preserve"> older</w:t>
      </w:r>
      <w:r w:rsidRPr="008D4446">
        <w:t>. There was a trend towards a greater benefit for secondary prevention compared to primary prevention.</w:t>
      </w:r>
    </w:p>
    <w:p w14:paraId="09CBD7E0" w14:textId="4B37DD0F" w:rsidR="00A928FC" w:rsidRPr="008D4446" w:rsidRDefault="00A928FC" w:rsidP="00125C81">
      <w:pPr>
        <w:pStyle w:val="FigureTitle"/>
      </w:pPr>
      <w:bookmarkStart w:id="75" w:name="_Ref110411707"/>
      <w:r w:rsidRPr="008D4446">
        <w:t xml:space="preserve">Figure </w:t>
      </w:r>
      <w:r w:rsidR="00434F9A">
        <w:fldChar w:fldCharType="begin"/>
      </w:r>
      <w:r w:rsidR="00434F9A">
        <w:instrText xml:space="preserve"> SEQ Figure \* ARABIC </w:instrText>
      </w:r>
      <w:r w:rsidR="00434F9A">
        <w:fldChar w:fldCharType="separate"/>
      </w:r>
      <w:r w:rsidR="00703D92">
        <w:rPr>
          <w:noProof/>
        </w:rPr>
        <w:t>7</w:t>
      </w:r>
      <w:r w:rsidR="00434F9A">
        <w:rPr>
          <w:noProof/>
        </w:rPr>
        <w:fldChar w:fldCharType="end"/>
      </w:r>
      <w:bookmarkEnd w:id="74"/>
      <w:bookmarkEnd w:id="75"/>
      <w:r w:rsidR="003C3C67" w:rsidRPr="008D4446">
        <w:t>:</w:t>
      </w:r>
      <w:r w:rsidRPr="008D4446">
        <w:t xml:space="preserve"> </w:t>
      </w:r>
      <w:r w:rsidR="003C3C67" w:rsidRPr="008D4446">
        <w:t xml:space="preserve">REDUCE-IT trial </w:t>
      </w:r>
      <w:r w:rsidRPr="008D4446">
        <w:t xml:space="preserve">Forest </w:t>
      </w:r>
      <w:r w:rsidR="003C3C67" w:rsidRPr="008D4446">
        <w:t>plot of analyses of the primary endpoint by subgroups (intent-to-treat population)</w:t>
      </w:r>
    </w:p>
    <w:p w14:paraId="632AA00C" w14:textId="6D18FD00" w:rsidR="00BC2212" w:rsidRPr="008D4446" w:rsidRDefault="00BC2212" w:rsidP="00125C81">
      <w:r w:rsidRPr="008D4446">
        <w:rPr>
          <w:noProof/>
        </w:rPr>
        <w:drawing>
          <wp:inline distT="0" distB="0" distL="0" distR="0" wp14:anchorId="72AEE3CE" wp14:editId="2CEB8FCC">
            <wp:extent cx="5759450" cy="3745865"/>
            <wp:effectExtent l="0" t="0" r="0" b="6985"/>
            <wp:docPr id="51" name="Picture 51" descr="Figure 7: REDUCE-IT trial Forest plot of analyses of the primary endpoint by subgroup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7: REDUCE-IT trial Forest plot of analyses of the primary endpoint by subgroups (intent-to-treat population)"/>
                    <pic:cNvPicPr/>
                  </pic:nvPicPr>
                  <pic:blipFill>
                    <a:blip r:embed="rId33"/>
                    <a:stretch>
                      <a:fillRect/>
                    </a:stretch>
                  </pic:blipFill>
                  <pic:spPr>
                    <a:xfrm>
                      <a:off x="0" y="0"/>
                      <a:ext cx="5759450" cy="3745865"/>
                    </a:xfrm>
                    <a:prstGeom prst="rect">
                      <a:avLst/>
                    </a:prstGeom>
                  </pic:spPr>
                </pic:pic>
              </a:graphicData>
            </a:graphic>
          </wp:inline>
        </w:drawing>
      </w:r>
    </w:p>
    <w:p w14:paraId="360A96EF" w14:textId="038E5A67" w:rsidR="00125C81" w:rsidRPr="008D4446" w:rsidRDefault="00BC2212" w:rsidP="00125C81">
      <w:pPr>
        <w:pStyle w:val="FigureDescription"/>
      </w:pPr>
      <w:r w:rsidRPr="008D4446">
        <w:t>Abbreviations: AMR101</w:t>
      </w:r>
      <w:r w:rsidR="00DB4B27" w:rsidRPr="008D4446">
        <w:t xml:space="preserve"> </w:t>
      </w:r>
      <w:r w:rsidRPr="008D4446">
        <w:t>=</w:t>
      </w:r>
      <w:r w:rsidR="00DB4B27" w:rsidRPr="008D4446">
        <w:t xml:space="preserve"> </w:t>
      </w:r>
      <w:proofErr w:type="spellStart"/>
      <w:r w:rsidR="00DB4B27" w:rsidRPr="008D4446">
        <w:t>icosapent</w:t>
      </w:r>
      <w:proofErr w:type="spellEnd"/>
      <w:r w:rsidR="00DB4B27" w:rsidRPr="008D4446">
        <w:t xml:space="preserve"> ethyl</w:t>
      </w:r>
      <w:r w:rsidRPr="008D4446">
        <w:t xml:space="preserve">; CI = confidence interval; HR = hazard ratio; Int = interaction; ITT = intent-to-treat; </w:t>
      </w:r>
      <w:proofErr w:type="spellStart"/>
      <w:r w:rsidRPr="008D4446">
        <w:t>pVal</w:t>
      </w:r>
      <w:proofErr w:type="spellEnd"/>
      <w:r w:rsidRPr="008D4446">
        <w:t xml:space="preserve"> = p-value.</w:t>
      </w:r>
      <w:r w:rsidR="00125C81" w:rsidRPr="008D4446">
        <w:br w:type="page"/>
      </w:r>
    </w:p>
    <w:p w14:paraId="7F167B5F" w14:textId="13EDD19F" w:rsidR="00A928FC" w:rsidRPr="008D4446" w:rsidRDefault="00A928FC" w:rsidP="00125C81">
      <w:pPr>
        <w:pStyle w:val="FigureTitle"/>
      </w:pPr>
      <w:bookmarkStart w:id="76" w:name="_Ref111558638"/>
      <w:r w:rsidRPr="008D4446">
        <w:lastRenderedPageBreak/>
        <w:t xml:space="preserve">Figure </w:t>
      </w:r>
      <w:r w:rsidR="00434F9A">
        <w:fldChar w:fldCharType="begin"/>
      </w:r>
      <w:r w:rsidR="00434F9A">
        <w:instrText xml:space="preserve"> SEQ Fig</w:instrText>
      </w:r>
      <w:r w:rsidR="00434F9A">
        <w:instrText xml:space="preserve">ure \* ARABIC </w:instrText>
      </w:r>
      <w:r w:rsidR="00434F9A">
        <w:fldChar w:fldCharType="separate"/>
      </w:r>
      <w:r w:rsidR="00703D92">
        <w:rPr>
          <w:noProof/>
        </w:rPr>
        <w:t>8</w:t>
      </w:r>
      <w:r w:rsidR="00434F9A">
        <w:rPr>
          <w:noProof/>
        </w:rPr>
        <w:fldChar w:fldCharType="end"/>
      </w:r>
      <w:bookmarkEnd w:id="76"/>
      <w:r w:rsidR="003C3C67" w:rsidRPr="008D4446">
        <w:t>:</w:t>
      </w:r>
      <w:r w:rsidRPr="008D4446">
        <w:t xml:space="preserve"> </w:t>
      </w:r>
      <w:r w:rsidR="003C3C67" w:rsidRPr="008D4446">
        <w:t xml:space="preserve">REDUCE-IT trial </w:t>
      </w:r>
      <w:r w:rsidRPr="008D4446">
        <w:t xml:space="preserve">Forest </w:t>
      </w:r>
      <w:r w:rsidR="003C3C67" w:rsidRPr="008D4446">
        <w:t>plot of analyses of the primary endpoint by subgroups (intent-to-treat population)</w:t>
      </w:r>
    </w:p>
    <w:p w14:paraId="4E0503C2" w14:textId="6E4DE08F" w:rsidR="00BC2212" w:rsidRPr="008D4446" w:rsidRDefault="00BC2212" w:rsidP="00125C81">
      <w:r w:rsidRPr="008D4446">
        <w:rPr>
          <w:noProof/>
        </w:rPr>
        <w:drawing>
          <wp:inline distT="0" distB="0" distL="0" distR="0" wp14:anchorId="3CACB56D" wp14:editId="2546C8E1">
            <wp:extent cx="5287108" cy="3538923"/>
            <wp:effectExtent l="0" t="0" r="8890" b="4445"/>
            <wp:docPr id="52" name="Picture 52" descr="Figure 8: REDUCE-IT trial Forest plot of analyses of the primary endpoint by subgroup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8: REDUCE-IT trial Forest plot of analyses of the primary endpoint by subgroups (intent-to-treat population)"/>
                    <pic:cNvPicPr/>
                  </pic:nvPicPr>
                  <pic:blipFill>
                    <a:blip r:embed="rId34"/>
                    <a:stretch>
                      <a:fillRect/>
                    </a:stretch>
                  </pic:blipFill>
                  <pic:spPr>
                    <a:xfrm>
                      <a:off x="0" y="0"/>
                      <a:ext cx="5289676" cy="3540642"/>
                    </a:xfrm>
                    <a:prstGeom prst="rect">
                      <a:avLst/>
                    </a:prstGeom>
                  </pic:spPr>
                </pic:pic>
              </a:graphicData>
            </a:graphic>
          </wp:inline>
        </w:drawing>
      </w:r>
    </w:p>
    <w:p w14:paraId="4F36C389" w14:textId="6FE847C6" w:rsidR="00BC2212" w:rsidRPr="008D4446" w:rsidRDefault="00BC2212" w:rsidP="00125C81">
      <w:pPr>
        <w:pStyle w:val="FigureDescription"/>
      </w:pPr>
      <w:r w:rsidRPr="008D4446">
        <w:t>Abbreviations: AMR101</w:t>
      </w:r>
      <w:r w:rsidR="00DB4B27" w:rsidRPr="008D4446">
        <w:t xml:space="preserve"> </w:t>
      </w:r>
      <w:r w:rsidRPr="008D4446">
        <w:t>=</w:t>
      </w:r>
      <w:r w:rsidR="00DB4B27" w:rsidRPr="008D4446">
        <w:t xml:space="preserve"> </w:t>
      </w:r>
      <w:proofErr w:type="spellStart"/>
      <w:r w:rsidR="00DB4B27" w:rsidRPr="008D4446">
        <w:t>icosapent</w:t>
      </w:r>
      <w:proofErr w:type="spellEnd"/>
      <w:r w:rsidR="00DB4B27" w:rsidRPr="008D4446">
        <w:t xml:space="preserve"> ethyl</w:t>
      </w:r>
      <w:r w:rsidRPr="008D4446">
        <w:t xml:space="preserve">; CI = confidence interval; HDL-C = high-density lipoprotein cholesterol; HR = hazard ratio; Int = interaction; ITT = intent-to-treat; </w:t>
      </w:r>
      <w:proofErr w:type="spellStart"/>
      <w:r w:rsidRPr="008D4446">
        <w:t>pVal</w:t>
      </w:r>
      <w:proofErr w:type="spellEnd"/>
      <w:r w:rsidRPr="008D4446">
        <w:t xml:space="preserve"> = p-value; TG = triglycerides; vs = versus.</w:t>
      </w:r>
    </w:p>
    <w:p w14:paraId="3A172B62" w14:textId="02F84221" w:rsidR="00C160CB" w:rsidRPr="008D4446" w:rsidRDefault="00BC2212" w:rsidP="00125C81">
      <w:pPr>
        <w:pStyle w:val="FigureDescription"/>
      </w:pPr>
      <w:r w:rsidRPr="008D4446">
        <w:t>To convert the values for triglycerides to mmol/L, multiply by 0.01129. To convert the values for cholesterol to mmol/L, multiply by 0.02586.</w:t>
      </w:r>
    </w:p>
    <w:p w14:paraId="24A72606" w14:textId="1CDD7B7F" w:rsidR="00A928FC" w:rsidRPr="008D4446" w:rsidRDefault="00A928FC" w:rsidP="00125C81">
      <w:pPr>
        <w:pStyle w:val="FigureTitle"/>
      </w:pPr>
      <w:bookmarkStart w:id="77" w:name="_Ref111558640"/>
      <w:r w:rsidRPr="008D4446">
        <w:t xml:space="preserve">Figure </w:t>
      </w:r>
      <w:r w:rsidR="00434F9A">
        <w:fldChar w:fldCharType="begin"/>
      </w:r>
      <w:r w:rsidR="00434F9A">
        <w:instrText xml:space="preserve"> SEQ Fi</w:instrText>
      </w:r>
      <w:r w:rsidR="00434F9A">
        <w:instrText xml:space="preserve">gure \* ARABIC </w:instrText>
      </w:r>
      <w:r w:rsidR="00434F9A">
        <w:fldChar w:fldCharType="separate"/>
      </w:r>
      <w:r w:rsidR="00703D92">
        <w:rPr>
          <w:noProof/>
        </w:rPr>
        <w:t>9</w:t>
      </w:r>
      <w:r w:rsidR="00434F9A">
        <w:rPr>
          <w:noProof/>
        </w:rPr>
        <w:fldChar w:fldCharType="end"/>
      </w:r>
      <w:bookmarkEnd w:id="77"/>
      <w:r w:rsidR="003C3C67" w:rsidRPr="008D4446">
        <w:t xml:space="preserve">: REDUCE-IT trial </w:t>
      </w:r>
      <w:r w:rsidRPr="008D4446">
        <w:t xml:space="preserve">Forest </w:t>
      </w:r>
      <w:r w:rsidR="003C3C67" w:rsidRPr="008D4446">
        <w:t>plot of analyses of the primary endpoint by subgroups (intent-to-treat population)</w:t>
      </w:r>
    </w:p>
    <w:p w14:paraId="57B57C1B" w14:textId="394AC8DE" w:rsidR="00BC2212" w:rsidRPr="008D4446" w:rsidRDefault="00BC2212" w:rsidP="00125C81">
      <w:r w:rsidRPr="008D4446">
        <w:rPr>
          <w:noProof/>
        </w:rPr>
        <w:drawing>
          <wp:inline distT="0" distB="0" distL="0" distR="0" wp14:anchorId="0508D149" wp14:editId="1520E21C">
            <wp:extent cx="5269523" cy="3586994"/>
            <wp:effectExtent l="0" t="0" r="7620" b="0"/>
            <wp:docPr id="53" name="Picture 53" descr="Figure 9: REDUCE-IT trial Forest plot of analyses of the primary endpoint by subgroup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9: REDUCE-IT trial Forest plot of analyses of the primary endpoint by subgroups (intent-to-treat population)"/>
                    <pic:cNvPicPr/>
                  </pic:nvPicPr>
                  <pic:blipFill>
                    <a:blip r:embed="rId35"/>
                    <a:stretch>
                      <a:fillRect/>
                    </a:stretch>
                  </pic:blipFill>
                  <pic:spPr>
                    <a:xfrm>
                      <a:off x="0" y="0"/>
                      <a:ext cx="5278734" cy="3593264"/>
                    </a:xfrm>
                    <a:prstGeom prst="rect">
                      <a:avLst/>
                    </a:prstGeom>
                  </pic:spPr>
                </pic:pic>
              </a:graphicData>
            </a:graphic>
          </wp:inline>
        </w:drawing>
      </w:r>
    </w:p>
    <w:p w14:paraId="36E28A5D" w14:textId="2E08453D" w:rsidR="00BC2212" w:rsidRPr="008D4446" w:rsidRDefault="00BC2212" w:rsidP="00125C81">
      <w:pPr>
        <w:pStyle w:val="FigureDescription"/>
      </w:pPr>
      <w:r w:rsidRPr="008D4446">
        <w:lastRenderedPageBreak/>
        <w:t>Abbreviations: AMR101</w:t>
      </w:r>
      <w:r w:rsidR="00DB4B27" w:rsidRPr="008D4446">
        <w:t xml:space="preserve"> </w:t>
      </w:r>
      <w:r w:rsidRPr="008D4446">
        <w:t>=</w:t>
      </w:r>
      <w:r w:rsidR="00DB4B27" w:rsidRPr="008D4446">
        <w:t xml:space="preserve"> </w:t>
      </w:r>
      <w:proofErr w:type="spellStart"/>
      <w:r w:rsidR="00DB4B27" w:rsidRPr="008D4446">
        <w:t>icosapent</w:t>
      </w:r>
      <w:proofErr w:type="spellEnd"/>
      <w:r w:rsidR="00DB4B27" w:rsidRPr="008D4446">
        <w:t xml:space="preserve"> ethyl</w:t>
      </w:r>
      <w:r w:rsidRPr="008D4446">
        <w:t xml:space="preserve">; CI = confidence interval; eGFR = estimated glomerular filtration rate; HDL-C = high-density lipoprotein cholesterol; HR = hazard ratio; </w:t>
      </w:r>
      <w:proofErr w:type="spellStart"/>
      <w:r w:rsidRPr="008D4446">
        <w:t>hsCRP</w:t>
      </w:r>
      <w:proofErr w:type="spellEnd"/>
      <w:r w:rsidRPr="008D4446">
        <w:t xml:space="preserve"> = high-sensitivity C-reaction protein; Int = interaction; ITT = intent-to-treat; LDL-C = low-density lipoprotein cholesterol; </w:t>
      </w:r>
      <w:proofErr w:type="spellStart"/>
      <w:r w:rsidRPr="008D4446">
        <w:t>pVal</w:t>
      </w:r>
      <w:proofErr w:type="spellEnd"/>
      <w:r w:rsidRPr="008D4446">
        <w:t xml:space="preserve"> = p-value; US = United States; vs = versus.</w:t>
      </w:r>
    </w:p>
    <w:p w14:paraId="7ED1EA46" w14:textId="3EFCC9CB" w:rsidR="00A928FC" w:rsidRPr="008D4446" w:rsidRDefault="00A928FC" w:rsidP="00C160CB">
      <w:r w:rsidRPr="008D4446">
        <w:rPr>
          <w:i/>
          <w:iCs/>
        </w:rPr>
        <w:t>Post-hoc</w:t>
      </w:r>
      <w:r w:rsidRPr="008D4446">
        <w:t xml:space="preserve"> exploratory subgroup analyses were performed to address an evaluation question as to whether the proposed indication appropriately reflected the study population with respect to baseline cardiovascular risk (noting that the study was not powered for these </w:t>
      </w:r>
      <w:r w:rsidRPr="008D4446">
        <w:rPr>
          <w:i/>
          <w:iCs/>
        </w:rPr>
        <w:t>post-hoc</w:t>
      </w:r>
      <w:r w:rsidRPr="008D4446">
        <w:t xml:space="preserve"> analyses). The initial analysis (</w:t>
      </w:r>
      <w:r w:rsidRPr="008D4446">
        <w:fldChar w:fldCharType="begin"/>
      </w:r>
      <w:r w:rsidRPr="008D4446">
        <w:instrText xml:space="preserve"> REF _Ref112063057 \h  \* MERGEFORMAT </w:instrText>
      </w:r>
      <w:r w:rsidRPr="008D4446">
        <w:fldChar w:fldCharType="separate"/>
      </w:r>
      <w:r w:rsidR="00703D92" w:rsidRPr="008D4446">
        <w:t xml:space="preserve">Figure </w:t>
      </w:r>
      <w:r w:rsidR="00703D92">
        <w:t>10</w:t>
      </w:r>
      <w:r w:rsidRPr="008D4446">
        <w:fldChar w:fldCharType="end"/>
      </w:r>
      <w:r w:rsidRPr="008D4446">
        <w:t>) was limited by small sample sizes, so an additional analysis (</w:t>
      </w:r>
      <w:r w:rsidRPr="008D4446">
        <w:fldChar w:fldCharType="begin"/>
      </w:r>
      <w:r w:rsidRPr="008D4446">
        <w:instrText xml:space="preserve"> REF _Ref112063112 \h  \* MERGEFORMAT </w:instrText>
      </w:r>
      <w:r w:rsidRPr="008D4446">
        <w:fldChar w:fldCharType="separate"/>
      </w:r>
      <w:r w:rsidR="00703D92" w:rsidRPr="008D4446">
        <w:t xml:space="preserve">Figure </w:t>
      </w:r>
      <w:r w:rsidR="00703D92">
        <w:t>11</w:t>
      </w:r>
      <w:r w:rsidRPr="008D4446">
        <w:fldChar w:fldCharType="end"/>
      </w:r>
      <w:r w:rsidRPr="008D4446">
        <w:t>) was performed to provide support for the proposed indication.</w:t>
      </w:r>
    </w:p>
    <w:p w14:paraId="56157B36" w14:textId="1B31C589" w:rsidR="00A928FC" w:rsidRPr="008D4446" w:rsidRDefault="00A928FC" w:rsidP="00125C81">
      <w:pPr>
        <w:pStyle w:val="FigureTitle"/>
      </w:pPr>
      <w:bookmarkStart w:id="78" w:name="_Ref112063057"/>
      <w:r w:rsidRPr="008D4446">
        <w:t xml:space="preserve">Figure </w:t>
      </w:r>
      <w:r w:rsidR="00434F9A">
        <w:fldChar w:fldCharType="begin"/>
      </w:r>
      <w:r w:rsidR="00434F9A">
        <w:instrText xml:space="preserve"> SEQ Figure \* ARABIC </w:instrText>
      </w:r>
      <w:r w:rsidR="00434F9A">
        <w:fldChar w:fldCharType="separate"/>
      </w:r>
      <w:r w:rsidR="00703D92">
        <w:rPr>
          <w:noProof/>
        </w:rPr>
        <w:t>10</w:t>
      </w:r>
      <w:r w:rsidR="00434F9A">
        <w:rPr>
          <w:noProof/>
        </w:rPr>
        <w:fldChar w:fldCharType="end"/>
      </w:r>
      <w:bookmarkEnd w:id="78"/>
      <w:r w:rsidR="003C3C67" w:rsidRPr="008D4446">
        <w:t>:</w:t>
      </w:r>
      <w:r w:rsidRPr="008D4446">
        <w:t xml:space="preserve"> Forest </w:t>
      </w:r>
      <w:r w:rsidR="003C3C67" w:rsidRPr="008D4446">
        <w:t xml:space="preserve">plot of primary and key secondary composite endpoints by 1, 2, 3, or ≥4 protocol-specified additional risk factors in the </w:t>
      </w:r>
      <w:r w:rsidR="00566572" w:rsidRPr="008D4446">
        <w:t xml:space="preserve">primary prevention </w:t>
      </w:r>
      <w:r w:rsidR="003C3C67" w:rsidRPr="008D4446">
        <w:t>c</w:t>
      </w:r>
      <w:r w:rsidRPr="008D4446">
        <w:t>ohort (</w:t>
      </w:r>
      <w:r w:rsidR="00F15D6F" w:rsidRPr="008D4446">
        <w:t>intent</w:t>
      </w:r>
      <w:r w:rsidR="00BD6046">
        <w:noBreakHyphen/>
      </w:r>
      <w:r w:rsidR="00F15D6F" w:rsidRPr="008D4446">
        <w:t>to</w:t>
      </w:r>
      <w:r w:rsidR="00BD6046">
        <w:noBreakHyphen/>
      </w:r>
      <w:r w:rsidR="00F15D6F" w:rsidRPr="008D4446">
        <w:t>treat</w:t>
      </w:r>
      <w:r w:rsidRPr="008D4446">
        <w:t xml:space="preserve"> </w:t>
      </w:r>
      <w:r w:rsidR="003C3C67" w:rsidRPr="008D4446">
        <w:t>p</w:t>
      </w:r>
      <w:r w:rsidRPr="008D4446">
        <w:t>opulation)</w:t>
      </w:r>
    </w:p>
    <w:p w14:paraId="7ED7D2A9" w14:textId="77777777" w:rsidR="00BD6046" w:rsidRDefault="00A928FC" w:rsidP="00BD6046">
      <w:r w:rsidRPr="008D4446">
        <w:rPr>
          <w:noProof/>
        </w:rPr>
        <w:drawing>
          <wp:inline distT="0" distB="0" distL="0" distR="0" wp14:anchorId="2A12BAFA" wp14:editId="38F4DD6E">
            <wp:extent cx="5731089" cy="2296885"/>
            <wp:effectExtent l="0" t="0" r="3175" b="8255"/>
            <wp:docPr id="20" name="Picture 20" descr="Figure 10: Forest plot of primary and key secondary composite endpoints by 1, 2, 3, or ≥4 protocol-specified additional risk factors in the primary prevention cohort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0: Forest plot of primary and key secondary composite endpoints by 1, 2, 3, or ≥4 protocol-specified additional risk factors in the primary prevention cohort (intent-to-treat population)"/>
                    <pic:cNvPicPr/>
                  </pic:nvPicPr>
                  <pic:blipFill>
                    <a:blip r:embed="rId36"/>
                    <a:stretch>
                      <a:fillRect/>
                    </a:stretch>
                  </pic:blipFill>
                  <pic:spPr>
                    <a:xfrm>
                      <a:off x="0" y="0"/>
                      <a:ext cx="5743164" cy="2301724"/>
                    </a:xfrm>
                    <a:prstGeom prst="rect">
                      <a:avLst/>
                    </a:prstGeom>
                  </pic:spPr>
                </pic:pic>
              </a:graphicData>
            </a:graphic>
          </wp:inline>
        </w:drawing>
      </w:r>
    </w:p>
    <w:p w14:paraId="6FB49666" w14:textId="194B7518" w:rsidR="00776E1E" w:rsidRPr="008D4446" w:rsidRDefault="00776E1E" w:rsidP="00125C81">
      <w:pPr>
        <w:pStyle w:val="FigureDescription"/>
      </w:pPr>
      <w:r w:rsidRPr="008D4446">
        <w:t xml:space="preserve">Abbreviations: </w:t>
      </w:r>
      <w:r w:rsidR="00125C81" w:rsidRPr="008D4446">
        <w:t>CI = confidence interval; HR = hazard ratio.</w:t>
      </w:r>
    </w:p>
    <w:p w14:paraId="06272AD1" w14:textId="497F400C" w:rsidR="00566572" w:rsidRPr="008D4446" w:rsidRDefault="00A928FC" w:rsidP="00125C81">
      <w:pPr>
        <w:pStyle w:val="FigureDescription"/>
      </w:pPr>
      <w:r w:rsidRPr="008D4446">
        <w:t xml:space="preserve">Note: All </w:t>
      </w:r>
      <w:r w:rsidR="00566572" w:rsidRPr="008D4446">
        <w:t>primary prevention (</w:t>
      </w:r>
      <w:r w:rsidRPr="008D4446">
        <w:t>CV2</w:t>
      </w:r>
      <w:r w:rsidR="00566572" w:rsidRPr="008D4446">
        <w:t>)</w:t>
      </w:r>
      <w:r w:rsidRPr="008D4446">
        <w:t xml:space="preserve"> cohort subjects had to have diabetes mellitus, were aged ≥</w:t>
      </w:r>
      <w:r w:rsidR="00566572" w:rsidRPr="008D4446">
        <w:t xml:space="preserve"> </w:t>
      </w:r>
      <w:r w:rsidRPr="008D4446">
        <w:t xml:space="preserve">50 years and had multiple dyslipidaemias (elevated triglyceride s and </w:t>
      </w:r>
      <w:r w:rsidR="00566572" w:rsidRPr="008D4446">
        <w:t xml:space="preserve">low-density lipoprotein </w:t>
      </w:r>
      <w:r w:rsidR="00F15D6F" w:rsidRPr="008D4446">
        <w:t>cholesterol</w:t>
      </w:r>
      <w:r w:rsidRPr="008D4446">
        <w:t xml:space="preserve"> requiring statin control). The number of risk factors included in this figure are based on the number of additional risk factors as collected on the cardiovascular risk category </w:t>
      </w:r>
      <w:r w:rsidR="00566572" w:rsidRPr="008D4446">
        <w:t xml:space="preserve">cardiorespiratory fitness </w:t>
      </w:r>
      <w:r w:rsidRPr="008D4446">
        <w:t>page: hypertension and/or on anti</w:t>
      </w:r>
      <w:r w:rsidR="00BD6046">
        <w:noBreakHyphen/>
      </w:r>
      <w:r w:rsidRPr="008D4446">
        <w:t>hypertensives, men ≥</w:t>
      </w:r>
      <w:r w:rsidR="00566572" w:rsidRPr="008D4446">
        <w:t xml:space="preserve"> </w:t>
      </w:r>
      <w:r w:rsidRPr="008D4446">
        <w:t>55 years and women ≥</w:t>
      </w:r>
      <w:r w:rsidR="00566572" w:rsidRPr="008D4446">
        <w:t xml:space="preserve"> </w:t>
      </w:r>
      <w:r w:rsidRPr="008D4446">
        <w:t xml:space="preserve">65 years, </w:t>
      </w:r>
      <w:r w:rsidR="00566572" w:rsidRPr="008D4446">
        <w:t xml:space="preserve">high-density lipoprotein </w:t>
      </w:r>
      <w:r w:rsidR="00F15D6F" w:rsidRPr="008D4446">
        <w:t>cholesterol</w:t>
      </w:r>
      <w:r w:rsidRPr="008D4446">
        <w:t xml:space="preserve"> ≤</w:t>
      </w:r>
      <w:r w:rsidR="00566572" w:rsidRPr="008D4446">
        <w:t> </w:t>
      </w:r>
      <w:r w:rsidRPr="008D4446">
        <w:t>40 for men and ≤</w:t>
      </w:r>
      <w:r w:rsidR="00566572" w:rsidRPr="008D4446">
        <w:t> </w:t>
      </w:r>
      <w:r w:rsidRPr="008D4446">
        <w:t xml:space="preserve">50 for women, cigarette smoker, </w:t>
      </w:r>
      <w:r w:rsidR="00566572" w:rsidRPr="008D4446">
        <w:t xml:space="preserve">high sensitivity C-reactive protein </w:t>
      </w:r>
      <w:r w:rsidRPr="008D4446">
        <w:t>&gt;</w:t>
      </w:r>
      <w:r w:rsidR="00566572" w:rsidRPr="008D4446">
        <w:t xml:space="preserve"> </w:t>
      </w:r>
      <w:r w:rsidRPr="008D4446">
        <w:t>3 mg/L, renal dysfunction, micro or macroalbuminuria, retinopathy, ankle-brachial index.</w:t>
      </w:r>
    </w:p>
    <w:p w14:paraId="4593F585" w14:textId="6A829C2C" w:rsidR="00566572" w:rsidRPr="008D4446" w:rsidRDefault="00A928FC" w:rsidP="00125C81">
      <w:pPr>
        <w:pStyle w:val="FigureDescription"/>
      </w:pPr>
      <w:r w:rsidRPr="008D4446">
        <w:t xml:space="preserve">Source: </w:t>
      </w:r>
      <w:r w:rsidR="00566572" w:rsidRPr="008D4446">
        <w:t>this figure is extracted from</w:t>
      </w:r>
      <w:r w:rsidRPr="008D4446">
        <w:t xml:space="preserve"> EMA Response to Day180 Questions</w:t>
      </w:r>
      <w:r w:rsidR="00566572" w:rsidRPr="008D4446">
        <w:t xml:space="preserve"> (providing this document is beyond the scope of this AusPAR)</w:t>
      </w:r>
      <w:r w:rsidR="00566572" w:rsidRPr="008D4446">
        <w:br w:type="page"/>
      </w:r>
    </w:p>
    <w:p w14:paraId="583ECDCD" w14:textId="48125489" w:rsidR="00A928FC" w:rsidRPr="008D4446" w:rsidRDefault="00A928FC" w:rsidP="00125C81">
      <w:pPr>
        <w:pStyle w:val="FigureTitle"/>
      </w:pPr>
      <w:bookmarkStart w:id="79" w:name="_Ref112063112"/>
      <w:r w:rsidRPr="008D4446">
        <w:lastRenderedPageBreak/>
        <w:t xml:space="preserve">Figure </w:t>
      </w:r>
      <w:r w:rsidR="00434F9A">
        <w:fldChar w:fldCharType="begin"/>
      </w:r>
      <w:r w:rsidR="00434F9A">
        <w:instrText xml:space="preserve"> SEQ Figure \* ARABIC </w:instrText>
      </w:r>
      <w:r w:rsidR="00434F9A">
        <w:fldChar w:fldCharType="separate"/>
      </w:r>
      <w:r w:rsidR="00703D92">
        <w:rPr>
          <w:noProof/>
        </w:rPr>
        <w:t>11</w:t>
      </w:r>
      <w:r w:rsidR="00434F9A">
        <w:rPr>
          <w:noProof/>
        </w:rPr>
        <w:fldChar w:fldCharType="end"/>
      </w:r>
      <w:bookmarkEnd w:id="79"/>
      <w:r w:rsidR="003C3C67" w:rsidRPr="008D4446">
        <w:t>:</w:t>
      </w:r>
      <w:r w:rsidRPr="008D4446">
        <w:t xml:space="preserve"> Forest </w:t>
      </w:r>
      <w:r w:rsidR="003C3C67" w:rsidRPr="008D4446">
        <w:t xml:space="preserve">plot of primary and key secondary composite endpoints by ≥1, ≥2, ≥3, or ≥4 protocol-specified additional risk factors in </w:t>
      </w:r>
      <w:r w:rsidRPr="008D4446">
        <w:t xml:space="preserve">the </w:t>
      </w:r>
      <w:r w:rsidR="00566572" w:rsidRPr="008D4446">
        <w:t xml:space="preserve">primary prevention </w:t>
      </w:r>
      <w:r w:rsidRPr="008D4446">
        <w:t>Cohort (</w:t>
      </w:r>
      <w:r w:rsidR="00F15D6F" w:rsidRPr="008D4446">
        <w:t>intent</w:t>
      </w:r>
      <w:r w:rsidR="00BD6046">
        <w:noBreakHyphen/>
      </w:r>
      <w:r w:rsidR="00F15D6F" w:rsidRPr="008D4446">
        <w:t>to</w:t>
      </w:r>
      <w:r w:rsidR="00BD6046">
        <w:noBreakHyphen/>
      </w:r>
      <w:r w:rsidR="00F15D6F" w:rsidRPr="008D4446">
        <w:t>treat</w:t>
      </w:r>
      <w:r w:rsidRPr="008D4446">
        <w:t xml:space="preserve"> </w:t>
      </w:r>
      <w:r w:rsidR="003C3C67" w:rsidRPr="008D4446">
        <w:t>p</w:t>
      </w:r>
      <w:r w:rsidRPr="008D4446">
        <w:t>opulation)</w:t>
      </w:r>
    </w:p>
    <w:p w14:paraId="31CB503A" w14:textId="77777777" w:rsidR="00125C81" w:rsidRPr="008D4446" w:rsidRDefault="00A928FC" w:rsidP="00125C81">
      <w:r w:rsidRPr="008D4446">
        <w:rPr>
          <w:noProof/>
        </w:rPr>
        <w:drawing>
          <wp:inline distT="0" distB="0" distL="0" distR="0" wp14:anchorId="13EC1ABF" wp14:editId="06C06D3F">
            <wp:extent cx="5731510" cy="2318657"/>
            <wp:effectExtent l="0" t="0" r="2540" b="5715"/>
            <wp:docPr id="25" name="Picture 25" descr="Figure 11: Forest plot of primary and key secondary composite endpoints by ≥1, ≥2, ≥3, or ≥4 protocol-specified additional risk factors in the primary prevention Cohort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1: Forest plot of primary and key secondary composite endpoints by ≥1, ≥2, ≥3, or ≥4 protocol-specified additional risk factors in the primary prevention Cohort (intent-to-treat population)"/>
                    <pic:cNvPicPr/>
                  </pic:nvPicPr>
                  <pic:blipFill>
                    <a:blip r:embed="rId37"/>
                    <a:stretch>
                      <a:fillRect/>
                    </a:stretch>
                  </pic:blipFill>
                  <pic:spPr>
                    <a:xfrm>
                      <a:off x="0" y="0"/>
                      <a:ext cx="5737080" cy="2320910"/>
                    </a:xfrm>
                    <a:prstGeom prst="rect">
                      <a:avLst/>
                    </a:prstGeom>
                  </pic:spPr>
                </pic:pic>
              </a:graphicData>
            </a:graphic>
          </wp:inline>
        </w:drawing>
      </w:r>
    </w:p>
    <w:p w14:paraId="1843EA82" w14:textId="77777777" w:rsidR="00125C81" w:rsidRPr="008D4446" w:rsidRDefault="00125C81" w:rsidP="00125C81">
      <w:pPr>
        <w:pStyle w:val="FigureDescription"/>
      </w:pPr>
      <w:r w:rsidRPr="008D4446">
        <w:t>Abbreviations: CI = confidence interval; HR = hazard ratio.</w:t>
      </w:r>
    </w:p>
    <w:p w14:paraId="32E6CBE0" w14:textId="35DAF7A1" w:rsidR="00566572" w:rsidRPr="008D4446" w:rsidRDefault="00A928FC" w:rsidP="00125C81">
      <w:pPr>
        <w:pStyle w:val="FigureDescription"/>
      </w:pPr>
      <w:r w:rsidRPr="008D4446">
        <w:t xml:space="preserve">Note: All </w:t>
      </w:r>
      <w:r w:rsidR="00566572" w:rsidRPr="008D4446">
        <w:t>primary prevention (</w:t>
      </w:r>
      <w:r w:rsidRPr="008D4446">
        <w:t>CV2</w:t>
      </w:r>
      <w:r w:rsidR="00566572" w:rsidRPr="008D4446">
        <w:t>)</w:t>
      </w:r>
      <w:r w:rsidRPr="008D4446">
        <w:t xml:space="preserve"> cohort subjects had to have diabetes mellitus, were aged ≥</w:t>
      </w:r>
      <w:r w:rsidR="00566572" w:rsidRPr="008D4446">
        <w:t xml:space="preserve"> </w:t>
      </w:r>
      <w:r w:rsidRPr="008D4446">
        <w:t xml:space="preserve">50 years and had multiple dyslipidaemias (elevated triglyceride s and </w:t>
      </w:r>
      <w:r w:rsidR="00566572" w:rsidRPr="008D4446">
        <w:t xml:space="preserve">low-density lipoprotein </w:t>
      </w:r>
      <w:r w:rsidR="00F15D6F" w:rsidRPr="008D4446">
        <w:t>cholesterol</w:t>
      </w:r>
      <w:r w:rsidRPr="008D4446">
        <w:t xml:space="preserve"> requiring statin control). The number of risk factors included in this figure are based on the number of additional risk factors as collected on the cardiovascular risk category </w:t>
      </w:r>
      <w:r w:rsidR="00566572" w:rsidRPr="008D4446">
        <w:t xml:space="preserve">cardiorespiratory fitness </w:t>
      </w:r>
      <w:r w:rsidRPr="008D4446">
        <w:t>page: hypertension and/or on anti</w:t>
      </w:r>
      <w:r w:rsidR="00BD6046">
        <w:noBreakHyphen/>
      </w:r>
      <w:r w:rsidRPr="008D4446">
        <w:t>hypertensives, men ≥</w:t>
      </w:r>
      <w:r w:rsidR="00566572" w:rsidRPr="008D4446">
        <w:t xml:space="preserve"> </w:t>
      </w:r>
      <w:r w:rsidRPr="008D4446">
        <w:t xml:space="preserve">55 years and women ≥65 years, </w:t>
      </w:r>
      <w:r w:rsidR="00566572" w:rsidRPr="008D4446">
        <w:t xml:space="preserve">high-density lipoprotein </w:t>
      </w:r>
      <w:r w:rsidR="00F15D6F" w:rsidRPr="008D4446">
        <w:t>cholesterol</w:t>
      </w:r>
      <w:r w:rsidRPr="008D4446">
        <w:t xml:space="preserve"> ≤</w:t>
      </w:r>
      <w:r w:rsidR="00566572" w:rsidRPr="008D4446">
        <w:t> </w:t>
      </w:r>
      <w:r w:rsidRPr="008D4446">
        <w:t>40 for men and ≤</w:t>
      </w:r>
      <w:r w:rsidR="00566572" w:rsidRPr="008D4446">
        <w:t> </w:t>
      </w:r>
      <w:r w:rsidRPr="008D4446">
        <w:t xml:space="preserve">50 for women, cigarette smoker, </w:t>
      </w:r>
      <w:r w:rsidR="00566572" w:rsidRPr="008D4446">
        <w:t xml:space="preserve">high sensitivity C-reactive protein </w:t>
      </w:r>
      <w:r w:rsidRPr="008D4446">
        <w:t>&gt;</w:t>
      </w:r>
      <w:r w:rsidR="00566572" w:rsidRPr="008D4446">
        <w:t xml:space="preserve"> </w:t>
      </w:r>
      <w:r w:rsidRPr="008D4446">
        <w:t>3 mg/L, renal dysfunction, micro or macroalbuminuria, retinopathy, ankle-brachial index.</w:t>
      </w:r>
    </w:p>
    <w:p w14:paraId="7C6A0D2E" w14:textId="41E76C68" w:rsidR="00A928FC" w:rsidRPr="008D4446" w:rsidRDefault="00A928FC" w:rsidP="00125C81">
      <w:pPr>
        <w:pStyle w:val="FigureDescription"/>
      </w:pPr>
      <w:r w:rsidRPr="008D4446">
        <w:t xml:space="preserve">Source: </w:t>
      </w:r>
      <w:r w:rsidR="00566572" w:rsidRPr="008D4446">
        <w:t xml:space="preserve">this figure is extracted from </w:t>
      </w:r>
      <w:r w:rsidRPr="008D4446">
        <w:t>EMA Response to Day180 Questions</w:t>
      </w:r>
      <w:r w:rsidR="00566572" w:rsidRPr="008D4446">
        <w:t xml:space="preserve"> (providing this document is beyond the scope of this AusPAR)</w:t>
      </w:r>
      <w:r w:rsidRPr="008D4446">
        <w:t>.</w:t>
      </w:r>
    </w:p>
    <w:p w14:paraId="0B88AA81" w14:textId="7CD4E4AC" w:rsidR="00A928FC" w:rsidRPr="008D4446" w:rsidRDefault="00A928FC" w:rsidP="00C160CB">
      <w:r w:rsidRPr="008D4446">
        <w:t xml:space="preserve">Effects on plasma biomarkers were tertiary objectives. Fasting lipids (triglyceride, </w:t>
      </w:r>
      <w:r w:rsidR="00F15D6F" w:rsidRPr="008D4446">
        <w:t>total cholesterol</w:t>
      </w:r>
      <w:r w:rsidRPr="008D4446">
        <w:t>, HDL</w:t>
      </w:r>
      <w:r w:rsidR="00F15D6F" w:rsidRPr="008D4446">
        <w:t xml:space="preserve"> cholesterol</w:t>
      </w:r>
      <w:r w:rsidRPr="008D4446">
        <w:t>, LDL</w:t>
      </w:r>
      <w:r w:rsidR="00F15D6F" w:rsidRPr="008D4446">
        <w:t xml:space="preserve"> cholesterol</w:t>
      </w:r>
      <w:r w:rsidRPr="008D4446">
        <w:t>, non-HDL</w:t>
      </w:r>
      <w:r w:rsidR="00F15D6F" w:rsidRPr="008D4446">
        <w:t xml:space="preserve"> cholesterol</w:t>
      </w:r>
      <w:r w:rsidRPr="008D4446">
        <w:t>, and VLDL</w:t>
      </w:r>
      <w:r w:rsidR="00F15D6F" w:rsidRPr="008D4446">
        <w:t xml:space="preserve"> cholesterol</w:t>
      </w:r>
      <w:r w:rsidRPr="008D4446">
        <w:t>) were tested at each study visit; other plasma biomarkers (</w:t>
      </w:r>
      <w:r w:rsidR="00F15D6F" w:rsidRPr="008D4446">
        <w:t xml:space="preserve">high-sensitivity </w:t>
      </w:r>
      <w:r w:rsidRPr="008D4446">
        <w:t xml:space="preserve">CRP, </w:t>
      </w:r>
      <w:r w:rsidR="00F15D6F" w:rsidRPr="008D4446">
        <w:t xml:space="preserve">apolipoprotein </w:t>
      </w:r>
      <w:r w:rsidRPr="008D4446">
        <w:t xml:space="preserve">B, </w:t>
      </w:r>
      <w:r w:rsidR="00F15D6F" w:rsidRPr="008D4446">
        <w:t>high-sensitivity troponin-T</w:t>
      </w:r>
      <w:r w:rsidRPr="008D4446">
        <w:t xml:space="preserve">) were tested at Day 0, Day 720, and last visit. Findings for key plasma biomarkers are shown in </w:t>
      </w:r>
      <w:r w:rsidRPr="008D4446">
        <w:fldChar w:fldCharType="begin"/>
      </w:r>
      <w:r w:rsidRPr="008D4446">
        <w:instrText xml:space="preserve"> REF _Ref110258205 \h  \* MERGEFORMAT </w:instrText>
      </w:r>
      <w:r w:rsidRPr="008D4446">
        <w:fldChar w:fldCharType="separate"/>
      </w:r>
      <w:r w:rsidR="00703D92" w:rsidRPr="008D4446">
        <w:t xml:space="preserve">Table </w:t>
      </w:r>
      <w:r w:rsidR="00703D92">
        <w:t>8</w:t>
      </w:r>
      <w:r w:rsidRPr="008D4446">
        <w:fldChar w:fldCharType="end"/>
      </w:r>
      <w:r w:rsidRPr="008D4446">
        <w:t xml:space="preserve">. The maximal decrease in triglyceride in the </w:t>
      </w:r>
      <w:proofErr w:type="spellStart"/>
      <w:r w:rsidR="008C75D7" w:rsidRPr="008D4446">
        <w:t>icosapent</w:t>
      </w:r>
      <w:proofErr w:type="spellEnd"/>
      <w:r w:rsidR="008C75D7" w:rsidRPr="008D4446">
        <w:t xml:space="preserve"> ethyl</w:t>
      </w:r>
      <w:r w:rsidRPr="008D4446">
        <w:t xml:space="preserve"> group was observed at visit 3 (4 months of treatment) and persisted through to the end of study (</w:t>
      </w:r>
      <w:r w:rsidRPr="008D4446">
        <w:fldChar w:fldCharType="begin"/>
      </w:r>
      <w:r w:rsidRPr="008D4446">
        <w:instrText xml:space="preserve"> REF _Ref110258640 \h  \* MERGEFORMAT </w:instrText>
      </w:r>
      <w:r w:rsidRPr="008D4446">
        <w:fldChar w:fldCharType="separate"/>
      </w:r>
      <w:r w:rsidR="00703D92" w:rsidRPr="008D4446">
        <w:t xml:space="preserve">Figure </w:t>
      </w:r>
      <w:r w:rsidR="00703D92">
        <w:t>12</w:t>
      </w:r>
      <w:r w:rsidRPr="008D4446">
        <w:fldChar w:fldCharType="end"/>
      </w:r>
      <w:r w:rsidRPr="008D4446">
        <w:t>). For some parameters, particularly non-HDL</w:t>
      </w:r>
      <w:r w:rsidR="00F15D6F" w:rsidRPr="008D4446">
        <w:t xml:space="preserve"> cholesterol</w:t>
      </w:r>
      <w:r w:rsidRPr="008D4446">
        <w:t>, LDL</w:t>
      </w:r>
      <w:r w:rsidR="00F15D6F" w:rsidRPr="008D4446">
        <w:t xml:space="preserve"> cholesterol</w:t>
      </w:r>
      <w:r w:rsidRPr="008D4446">
        <w:t xml:space="preserve"> (</w:t>
      </w:r>
      <w:r w:rsidRPr="008D4446">
        <w:fldChar w:fldCharType="begin"/>
      </w:r>
      <w:r w:rsidRPr="008D4446">
        <w:instrText xml:space="preserve"> REF _Ref110258642 \h  \* MERGEFORMAT </w:instrText>
      </w:r>
      <w:r w:rsidRPr="008D4446">
        <w:fldChar w:fldCharType="separate"/>
      </w:r>
      <w:r w:rsidR="00703D92" w:rsidRPr="008D4446">
        <w:t xml:space="preserve">Figure </w:t>
      </w:r>
      <w:r w:rsidR="00703D92">
        <w:t>13</w:t>
      </w:r>
      <w:r w:rsidRPr="008D4446">
        <w:fldChar w:fldCharType="end"/>
      </w:r>
      <w:r w:rsidRPr="008D4446">
        <w:t xml:space="preserve">), and </w:t>
      </w:r>
      <w:r w:rsidR="00F15D6F" w:rsidRPr="008D4446">
        <w:t xml:space="preserve">apolipoprotein </w:t>
      </w:r>
      <w:r w:rsidRPr="008D4446">
        <w:t xml:space="preserve">B, the observed between-group difference was influenced by an increase from </w:t>
      </w:r>
      <w:r w:rsidR="007B2B56" w:rsidRPr="008D4446">
        <w:t>Baseline</w:t>
      </w:r>
      <w:r w:rsidRPr="008D4446">
        <w:t xml:space="preserve"> in the placebo group.</w:t>
      </w:r>
    </w:p>
    <w:p w14:paraId="1501D608" w14:textId="69914200" w:rsidR="00A928FC" w:rsidRPr="008D4446" w:rsidRDefault="00A928FC" w:rsidP="00125C81">
      <w:pPr>
        <w:pStyle w:val="TableTitle"/>
      </w:pPr>
      <w:bookmarkStart w:id="80" w:name="_Ref110258205"/>
      <w:bookmarkStart w:id="81" w:name="_Ref111625761"/>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8</w:t>
      </w:r>
      <w:r w:rsidR="00434F9A">
        <w:rPr>
          <w:noProof/>
        </w:rPr>
        <w:fldChar w:fldCharType="end"/>
      </w:r>
      <w:bookmarkEnd w:id="80"/>
      <w:r w:rsidR="003C3C67" w:rsidRPr="008D4446">
        <w:t>:</w:t>
      </w:r>
      <w:r w:rsidRPr="008D4446">
        <w:t xml:space="preserve"> </w:t>
      </w:r>
      <w:r w:rsidR="003C3C67" w:rsidRPr="008D4446">
        <w:t xml:space="preserve">REDUCE-IT trial </w:t>
      </w:r>
      <w:r w:rsidRPr="008D4446">
        <w:t xml:space="preserve">Effects </w:t>
      </w:r>
      <w:r w:rsidR="003C3C67" w:rsidRPr="008D4446">
        <w:t xml:space="preserve">on plasma biomarkers </w:t>
      </w:r>
      <w:r w:rsidRPr="008D4446">
        <w:t>from Baseline to Years 1 or 2</w:t>
      </w:r>
      <w:r w:rsidR="003C3C67" w:rsidRPr="008D4446">
        <w:t xml:space="preserve"> (</w:t>
      </w:r>
      <w:r w:rsidR="00F15D6F" w:rsidRPr="008D4446">
        <w:t>intent-to-treat</w:t>
      </w:r>
      <w:r w:rsidRPr="008D4446">
        <w:t xml:space="preserve"> population)</w:t>
      </w:r>
      <w:bookmarkEnd w:id="81"/>
    </w:p>
    <w:p w14:paraId="0B318651" w14:textId="18DA2799" w:rsidR="00DB4B27" w:rsidRPr="008D4446" w:rsidRDefault="00DB4B27" w:rsidP="00125C81">
      <w:r w:rsidRPr="008D4446">
        <w:rPr>
          <w:noProof/>
        </w:rPr>
        <w:drawing>
          <wp:inline distT="0" distB="0" distL="0" distR="0" wp14:anchorId="1C64BE96" wp14:editId="3F36EB69">
            <wp:extent cx="5759450" cy="2758440"/>
            <wp:effectExtent l="0" t="0" r="0" b="3810"/>
            <wp:docPr id="6" name="Picture 6" descr="Table 8: REDUCE-IT trial Effects on plasma biomarkers from Baseline to Years 1 or 2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8: REDUCE-IT trial Effects on plasma biomarkers from Baseline to Years 1 or 2 (intent-to-treat population)"/>
                    <pic:cNvPicPr/>
                  </pic:nvPicPr>
                  <pic:blipFill>
                    <a:blip r:embed="rId38"/>
                    <a:stretch>
                      <a:fillRect/>
                    </a:stretch>
                  </pic:blipFill>
                  <pic:spPr>
                    <a:xfrm>
                      <a:off x="0" y="0"/>
                      <a:ext cx="5759450" cy="2758440"/>
                    </a:xfrm>
                    <a:prstGeom prst="rect">
                      <a:avLst/>
                    </a:prstGeom>
                  </pic:spPr>
                </pic:pic>
              </a:graphicData>
            </a:graphic>
          </wp:inline>
        </w:drawing>
      </w:r>
    </w:p>
    <w:p w14:paraId="6D1E0F3E" w14:textId="41D64CF5" w:rsidR="00DB4B27" w:rsidRPr="008D4446" w:rsidRDefault="00DB4B27" w:rsidP="00125C81">
      <w:pPr>
        <w:pStyle w:val="TableDescription"/>
      </w:pPr>
      <w:r w:rsidRPr="008D4446">
        <w:t xml:space="preserve">Abbreviations: apo B = apolipoprotein B; EPA = eicosapentaenoic acid; HDL-C = high-density lipoprotein cholesterol; </w:t>
      </w:r>
      <w:proofErr w:type="spellStart"/>
      <w:r w:rsidRPr="008D4446">
        <w:t>hsCRP</w:t>
      </w:r>
      <w:proofErr w:type="spellEnd"/>
      <w:r w:rsidRPr="008D4446">
        <w:t xml:space="preserve"> = high-sensitivity C-reactive protein; ITT = Intent-to-Treat; LDL-C = low-density lipoprotein cholesterol; TG = triglycerides.</w:t>
      </w:r>
    </w:p>
    <w:p w14:paraId="353BA18E" w14:textId="77777777" w:rsidR="00DB4B27" w:rsidRPr="008D4446" w:rsidRDefault="00DB4B27" w:rsidP="00125C81">
      <w:pPr>
        <w:pStyle w:val="TableDescription"/>
      </w:pPr>
      <w:r w:rsidRPr="008D4446">
        <w:t>1 Based on Hodges-Lehmann estimation.</w:t>
      </w:r>
    </w:p>
    <w:p w14:paraId="4BB18AF1" w14:textId="77777777" w:rsidR="00DB4B27" w:rsidRPr="008D4446" w:rsidRDefault="00DB4B27" w:rsidP="00125C81">
      <w:pPr>
        <w:pStyle w:val="TableDescription"/>
      </w:pPr>
      <w:r w:rsidRPr="008D4446">
        <w:t>2 P-value from Wilcoxon rank-sum test.</w:t>
      </w:r>
    </w:p>
    <w:p w14:paraId="752C2EE4" w14:textId="70857A63" w:rsidR="00DB4B27" w:rsidRPr="008D4446" w:rsidRDefault="00DB4B27" w:rsidP="00125C81">
      <w:pPr>
        <w:pStyle w:val="TableDescription"/>
      </w:pPr>
      <w:r w:rsidRPr="008D4446">
        <w:t>3 Derived as defined in the dossier.</w:t>
      </w:r>
    </w:p>
    <w:p w14:paraId="3B0FDDE2" w14:textId="77777777" w:rsidR="00DB4B27" w:rsidRPr="008D4446" w:rsidRDefault="00DB4B27" w:rsidP="00125C81">
      <w:pPr>
        <w:pStyle w:val="TableDescription"/>
      </w:pPr>
      <w:r w:rsidRPr="008D4446">
        <w:t xml:space="preserve">4 Apo B, </w:t>
      </w:r>
      <w:proofErr w:type="spellStart"/>
      <w:r w:rsidRPr="008D4446">
        <w:t>hsCRP</w:t>
      </w:r>
      <w:proofErr w:type="spellEnd"/>
      <w:r w:rsidRPr="008D4446">
        <w:t xml:space="preserve">, and log </w:t>
      </w:r>
      <w:proofErr w:type="spellStart"/>
      <w:r w:rsidRPr="008D4446">
        <w:t>hsCRP</w:t>
      </w:r>
      <w:proofErr w:type="spellEnd"/>
      <w:r w:rsidRPr="008D4446">
        <w:t xml:space="preserve"> were measured at Year 2; all other biomarkers presented were measured at Year 1.</w:t>
      </w:r>
    </w:p>
    <w:p w14:paraId="027CA91B" w14:textId="54B79319" w:rsidR="00125C81" w:rsidRPr="008D4446" w:rsidRDefault="00DB4B27" w:rsidP="00125C81">
      <w:pPr>
        <w:pStyle w:val="TableDescription"/>
      </w:pPr>
      <w:r w:rsidRPr="008D4446">
        <w:t>5 ‘Log’ denotes natural log.</w:t>
      </w:r>
    </w:p>
    <w:p w14:paraId="03702D21" w14:textId="3DC66A5D" w:rsidR="00A928FC" w:rsidRPr="008D4446" w:rsidRDefault="00A928FC" w:rsidP="00125C81">
      <w:pPr>
        <w:pStyle w:val="FigureTitle"/>
      </w:pPr>
      <w:bookmarkStart w:id="82" w:name="_Ref110258640"/>
      <w:r w:rsidRPr="008D4446">
        <w:t xml:space="preserve">Figure </w:t>
      </w:r>
      <w:r w:rsidR="00434F9A">
        <w:fldChar w:fldCharType="begin"/>
      </w:r>
      <w:r w:rsidR="00434F9A">
        <w:instrText xml:space="preserve"> SEQ Figure \* ARABIC </w:instrText>
      </w:r>
      <w:r w:rsidR="00434F9A">
        <w:fldChar w:fldCharType="separate"/>
      </w:r>
      <w:r w:rsidR="00703D92">
        <w:rPr>
          <w:noProof/>
        </w:rPr>
        <w:t>12</w:t>
      </w:r>
      <w:r w:rsidR="00434F9A">
        <w:rPr>
          <w:noProof/>
        </w:rPr>
        <w:fldChar w:fldCharType="end"/>
      </w:r>
      <w:bookmarkEnd w:id="82"/>
      <w:r w:rsidR="003C3C67" w:rsidRPr="008D4446">
        <w:rPr>
          <w:noProof/>
        </w:rPr>
        <w:t>:</w:t>
      </w:r>
      <w:r w:rsidRPr="008D4446">
        <w:t xml:space="preserve"> </w:t>
      </w:r>
      <w:r w:rsidR="003C3C67" w:rsidRPr="008D4446">
        <w:t xml:space="preserve">REDUCE-IT trial </w:t>
      </w:r>
      <w:r w:rsidRPr="008D4446">
        <w:t xml:space="preserve">Plot of </w:t>
      </w:r>
      <w:r w:rsidR="003C3C67" w:rsidRPr="008D4446">
        <w:t>median triglycerides over time (intent-to-treat population</w:t>
      </w:r>
      <w:r w:rsidRPr="008D4446">
        <w:t>)</w:t>
      </w:r>
    </w:p>
    <w:p w14:paraId="78F2F7DF" w14:textId="68508F39" w:rsidR="00DB4B27" w:rsidRPr="008D4446" w:rsidRDefault="00DB4B27" w:rsidP="00125C81">
      <w:r w:rsidRPr="008D4446">
        <w:rPr>
          <w:noProof/>
        </w:rPr>
        <w:drawing>
          <wp:inline distT="0" distB="0" distL="0" distR="0" wp14:anchorId="759368DA" wp14:editId="096D5B83">
            <wp:extent cx="5759450" cy="3156585"/>
            <wp:effectExtent l="0" t="0" r="0" b="5715"/>
            <wp:docPr id="2" name="Picture 2" descr="Figure 12: REDUCE-IT trial Plot of median triglycerides over time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2: REDUCE-IT trial Plot of median triglycerides over time (intent-to-treat population)"/>
                    <pic:cNvPicPr/>
                  </pic:nvPicPr>
                  <pic:blipFill>
                    <a:blip r:embed="rId39"/>
                    <a:stretch>
                      <a:fillRect/>
                    </a:stretch>
                  </pic:blipFill>
                  <pic:spPr>
                    <a:xfrm>
                      <a:off x="0" y="0"/>
                      <a:ext cx="5759450" cy="3156585"/>
                    </a:xfrm>
                    <a:prstGeom prst="rect">
                      <a:avLst/>
                    </a:prstGeom>
                  </pic:spPr>
                </pic:pic>
              </a:graphicData>
            </a:graphic>
          </wp:inline>
        </w:drawing>
      </w:r>
    </w:p>
    <w:p w14:paraId="7D93627C" w14:textId="399CE126" w:rsidR="003C3C67" w:rsidRPr="008D4446" w:rsidRDefault="00DB4B27" w:rsidP="00125C81">
      <w:pPr>
        <w:pStyle w:val="FigureDescription"/>
      </w:pPr>
      <w:r w:rsidRPr="008D4446">
        <w:t xml:space="preserve">Abbreviation: AMR101 = </w:t>
      </w:r>
      <w:proofErr w:type="spellStart"/>
      <w:r w:rsidRPr="008D4446">
        <w:t>icosapent</w:t>
      </w:r>
      <w:proofErr w:type="spellEnd"/>
      <w:r w:rsidRPr="008D4446">
        <w:t xml:space="preserve"> ethyl.</w:t>
      </w:r>
    </w:p>
    <w:p w14:paraId="2796D549" w14:textId="39E549FC" w:rsidR="00A928FC" w:rsidRPr="008D4446" w:rsidRDefault="00A928FC" w:rsidP="00125C81">
      <w:pPr>
        <w:pStyle w:val="FigureTitle"/>
      </w:pPr>
      <w:bookmarkStart w:id="83" w:name="_Ref110258642"/>
      <w:r w:rsidRPr="008D4446">
        <w:t xml:space="preserve">Figure </w:t>
      </w:r>
      <w:r w:rsidR="00434F9A">
        <w:fldChar w:fldCharType="begin"/>
      </w:r>
      <w:r w:rsidR="00434F9A">
        <w:instrText xml:space="preserve"> SEQ Figure \* ARABIC </w:instrText>
      </w:r>
      <w:r w:rsidR="00434F9A">
        <w:fldChar w:fldCharType="separate"/>
      </w:r>
      <w:r w:rsidR="00703D92">
        <w:rPr>
          <w:noProof/>
        </w:rPr>
        <w:t>13</w:t>
      </w:r>
      <w:r w:rsidR="00434F9A">
        <w:rPr>
          <w:noProof/>
        </w:rPr>
        <w:fldChar w:fldCharType="end"/>
      </w:r>
      <w:bookmarkEnd w:id="83"/>
      <w:r w:rsidR="003C3C67" w:rsidRPr="008D4446">
        <w:t>:</w:t>
      </w:r>
      <w:r w:rsidRPr="008D4446">
        <w:t xml:space="preserve"> </w:t>
      </w:r>
      <w:r w:rsidR="003C3C67" w:rsidRPr="008D4446">
        <w:t xml:space="preserve">REDUCE-IT </w:t>
      </w:r>
      <w:r w:rsidRPr="008D4446">
        <w:t xml:space="preserve">Plot of </w:t>
      </w:r>
      <w:r w:rsidR="003C3C67" w:rsidRPr="008D4446">
        <w:t xml:space="preserve">median Low-density lipoprotein </w:t>
      </w:r>
      <w:r w:rsidR="00F15D6F" w:rsidRPr="008D4446">
        <w:t>cholesterol</w:t>
      </w:r>
      <w:r w:rsidRPr="008D4446">
        <w:t xml:space="preserve"> (Hopkins </w:t>
      </w:r>
      <w:r w:rsidR="003C3C67" w:rsidRPr="008D4446">
        <w:t>approximation) over time (intent-to-treat population)</w:t>
      </w:r>
    </w:p>
    <w:p w14:paraId="514F94A4" w14:textId="7DA52EF3" w:rsidR="00DB4B27" w:rsidRPr="008D4446" w:rsidRDefault="00DB4B27" w:rsidP="00125C81">
      <w:pPr>
        <w:rPr>
          <w:b/>
          <w:bCs/>
        </w:rPr>
      </w:pPr>
      <w:r w:rsidRPr="008D4446">
        <w:rPr>
          <w:noProof/>
        </w:rPr>
        <w:lastRenderedPageBreak/>
        <w:drawing>
          <wp:inline distT="0" distB="0" distL="0" distR="0" wp14:anchorId="45070F52" wp14:editId="08A72A15">
            <wp:extent cx="5759450" cy="3124835"/>
            <wp:effectExtent l="0" t="0" r="0" b="0"/>
            <wp:docPr id="4" name="Picture 4" descr="Figure 13: REDUCE-IT Plot of median Low-density lipoprotein cholesterol (Hopkins approximation) over time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3: REDUCE-IT Plot of median Low-density lipoprotein cholesterol (Hopkins approximation) over time (intent-to-treat population)"/>
                    <pic:cNvPicPr/>
                  </pic:nvPicPr>
                  <pic:blipFill>
                    <a:blip r:embed="rId40"/>
                    <a:stretch>
                      <a:fillRect/>
                    </a:stretch>
                  </pic:blipFill>
                  <pic:spPr>
                    <a:xfrm>
                      <a:off x="0" y="0"/>
                      <a:ext cx="5759450" cy="3124835"/>
                    </a:xfrm>
                    <a:prstGeom prst="rect">
                      <a:avLst/>
                    </a:prstGeom>
                  </pic:spPr>
                </pic:pic>
              </a:graphicData>
            </a:graphic>
          </wp:inline>
        </w:drawing>
      </w:r>
    </w:p>
    <w:p w14:paraId="0F61EAC2" w14:textId="59C7E9E0" w:rsidR="00DB4B27" w:rsidRPr="008D4446" w:rsidRDefault="00DB4B27" w:rsidP="00125C81">
      <w:pPr>
        <w:pStyle w:val="FigureDescription"/>
      </w:pPr>
      <w:r w:rsidRPr="008D4446">
        <w:t xml:space="preserve">Abbreviations: </w:t>
      </w:r>
      <w:bookmarkStart w:id="84" w:name="_Ref111474348"/>
      <w:r w:rsidRPr="008D4446">
        <w:t xml:space="preserve">AMR101 = </w:t>
      </w:r>
      <w:proofErr w:type="spellStart"/>
      <w:r w:rsidRPr="008D4446">
        <w:t>icosapent</w:t>
      </w:r>
      <w:proofErr w:type="spellEnd"/>
      <w:r w:rsidRPr="008D4446">
        <w:t xml:space="preserve"> ethyl; LDL = low-density lipoprotein.</w:t>
      </w:r>
    </w:p>
    <w:p w14:paraId="51E6CD8B" w14:textId="7B127D68" w:rsidR="00A928FC" w:rsidRPr="008D4446" w:rsidRDefault="00A928FC" w:rsidP="00DB4B27">
      <w:pPr>
        <w:pStyle w:val="FigureDescription"/>
        <w:rPr>
          <w:rStyle w:val="Heading5Char"/>
          <w:rFonts w:eastAsiaTheme="minorHAnsi"/>
          <w:b w:val="0"/>
          <w:bCs w:val="0"/>
          <w:i w:val="0"/>
        </w:rPr>
      </w:pPr>
      <w:r w:rsidRPr="008D4446">
        <w:rPr>
          <w:rStyle w:val="Heading5Char"/>
          <w:rFonts w:eastAsiaTheme="minorHAnsi"/>
        </w:rPr>
        <w:t>Study AMR-01-01-0016 (MARINE</w:t>
      </w:r>
      <w:r w:rsidR="008A00BD" w:rsidRPr="008D4446">
        <w:rPr>
          <w:rStyle w:val="Heading5Char"/>
          <w:rFonts w:eastAsiaTheme="minorHAnsi"/>
        </w:rPr>
        <w:t xml:space="preserve"> trial</w:t>
      </w:r>
      <w:r w:rsidRPr="008D4446">
        <w:rPr>
          <w:rStyle w:val="Heading5Char"/>
          <w:rFonts w:eastAsiaTheme="minorHAnsi"/>
        </w:rPr>
        <w:t>)</w:t>
      </w:r>
      <w:bookmarkEnd w:id="84"/>
    </w:p>
    <w:p w14:paraId="1E683BF1" w14:textId="2EFF4849" w:rsidR="00A928FC" w:rsidRPr="008D4446" w:rsidRDefault="00A928FC" w:rsidP="00C160CB">
      <w:r w:rsidRPr="008D4446">
        <w:t xml:space="preserve">This was a </w:t>
      </w:r>
      <w:r w:rsidR="007B2B56" w:rsidRPr="008D4446">
        <w:t>Phase III</w:t>
      </w:r>
      <w:r w:rsidRPr="008D4446">
        <w:t>, multi-centre, international, randomised, double</w:t>
      </w:r>
      <w:r w:rsidR="008A00BD" w:rsidRPr="008D4446">
        <w:t xml:space="preserve"> </w:t>
      </w:r>
      <w:r w:rsidRPr="008D4446">
        <w:t>blind, placebo</w:t>
      </w:r>
      <w:r w:rsidR="008A00BD" w:rsidRPr="008D4446">
        <w:t xml:space="preserve"> </w:t>
      </w:r>
      <w:r w:rsidRPr="008D4446">
        <w:t>controlled, 3</w:t>
      </w:r>
      <w:r w:rsidR="008A00BD" w:rsidRPr="008D4446">
        <w:noBreakHyphen/>
      </w:r>
      <w:r w:rsidRPr="008D4446">
        <w:t>arm, parallel</w:t>
      </w:r>
      <w:r w:rsidR="008A00BD" w:rsidRPr="008D4446">
        <w:t xml:space="preserve"> </w:t>
      </w:r>
      <w:r w:rsidRPr="008D4446">
        <w:t xml:space="preserve">group study to evaluate the efficacy and safety of </w:t>
      </w:r>
      <w:proofErr w:type="spellStart"/>
      <w:r w:rsidR="008C75D7" w:rsidRPr="008D4446">
        <w:t>icosapent</w:t>
      </w:r>
      <w:proofErr w:type="spellEnd"/>
      <w:r w:rsidR="008C75D7" w:rsidRPr="008D4446">
        <w:t xml:space="preserve"> ethyl</w:t>
      </w:r>
      <w:r w:rsidRPr="008D4446">
        <w:t xml:space="preserve"> in patients with fasting triglyceride levels ≥</w:t>
      </w:r>
      <w:r w:rsidR="008A00BD" w:rsidRPr="008D4446">
        <w:t xml:space="preserve"> </w:t>
      </w:r>
      <w:r w:rsidRPr="008D4446">
        <w:t>500 mg/dL and ≤</w:t>
      </w:r>
      <w:r w:rsidR="008A00BD" w:rsidRPr="008D4446">
        <w:t xml:space="preserve"> </w:t>
      </w:r>
      <w:r w:rsidRPr="008D4446">
        <w:t xml:space="preserve">2000 mg/dL. The primary objective was to determine the efficacy of </w:t>
      </w:r>
      <w:proofErr w:type="spellStart"/>
      <w:r w:rsidR="008C75D7" w:rsidRPr="008D4446">
        <w:t>icosapent</w:t>
      </w:r>
      <w:proofErr w:type="spellEnd"/>
      <w:r w:rsidR="008C75D7" w:rsidRPr="008D4446">
        <w:t xml:space="preserve"> ethyl</w:t>
      </w:r>
      <w:r w:rsidRPr="008D4446">
        <w:t xml:space="preserve"> 2 g daily and 4 g daily, compared to placebo, in lowering fasting triglyceride levels in patients with fasting triglyceride ≥</w:t>
      </w:r>
      <w:r w:rsidR="008A00BD" w:rsidRPr="008D4446">
        <w:t xml:space="preserve"> </w:t>
      </w:r>
      <w:r w:rsidRPr="008D4446">
        <w:t>500 mg/dL and ≤</w:t>
      </w:r>
      <w:r w:rsidR="00BD6046">
        <w:t> </w:t>
      </w:r>
      <w:r w:rsidRPr="008D4446">
        <w:t>2000</w:t>
      </w:r>
      <w:r w:rsidR="008A00BD" w:rsidRPr="008D4446">
        <w:t> </w:t>
      </w:r>
      <w:r w:rsidRPr="008D4446">
        <w:t>mg/dL (≥</w:t>
      </w:r>
      <w:r w:rsidR="008A00BD" w:rsidRPr="008D4446">
        <w:t> </w:t>
      </w:r>
      <w:r w:rsidRPr="008D4446">
        <w:t>5.6 mmol/L and ≤</w:t>
      </w:r>
      <w:r w:rsidR="008A00BD" w:rsidRPr="008D4446">
        <w:t> </w:t>
      </w:r>
      <w:r w:rsidRPr="008D4446">
        <w:t>22.6 mmol/L).</w:t>
      </w:r>
    </w:p>
    <w:p w14:paraId="1FD05C5A" w14:textId="78E57BB5" w:rsidR="00A928FC" w:rsidRPr="008D4446" w:rsidRDefault="00A928FC" w:rsidP="00C160CB">
      <w:r w:rsidRPr="008D4446">
        <w:t>The study included:</w:t>
      </w:r>
    </w:p>
    <w:p w14:paraId="1773AD55" w14:textId="0C5AFD5A" w:rsidR="00A928FC" w:rsidRPr="008D4446" w:rsidRDefault="00A928FC" w:rsidP="00C160CB">
      <w:pPr>
        <w:pStyle w:val="ListBullet"/>
      </w:pPr>
      <w:r w:rsidRPr="008D4446">
        <w:t>a 6- to 8-week screening period (including a diet and lifestyle stabilisation period, washout period, and triglyceride qualifying period)</w:t>
      </w:r>
    </w:p>
    <w:p w14:paraId="4BCD580A" w14:textId="10FCA4F9" w:rsidR="00A928FC" w:rsidRPr="008D4446" w:rsidRDefault="00A928FC" w:rsidP="00C160CB">
      <w:pPr>
        <w:pStyle w:val="ListBullet"/>
      </w:pPr>
      <w:r w:rsidRPr="008D4446">
        <w:t>a 12-week double-blind treatment period (</w:t>
      </w:r>
      <w:proofErr w:type="spellStart"/>
      <w:r w:rsidR="008C75D7" w:rsidRPr="008D4446">
        <w:t>icosapent</w:t>
      </w:r>
      <w:proofErr w:type="spellEnd"/>
      <w:r w:rsidR="008C75D7" w:rsidRPr="008D4446">
        <w:t xml:space="preserve"> ethyl</w:t>
      </w:r>
      <w:r w:rsidRPr="008D4446">
        <w:t xml:space="preserve"> 2 g/day, </w:t>
      </w:r>
      <w:proofErr w:type="spellStart"/>
      <w:r w:rsidR="008C75D7" w:rsidRPr="008D4446">
        <w:t>icosapent</w:t>
      </w:r>
      <w:proofErr w:type="spellEnd"/>
      <w:r w:rsidR="008C75D7" w:rsidRPr="008D4446">
        <w:t xml:space="preserve"> ethyl</w:t>
      </w:r>
      <w:r w:rsidRPr="008D4446">
        <w:t xml:space="preserve"> 4 g/day, or matching placebo (mineral oil) as divided doses)</w:t>
      </w:r>
    </w:p>
    <w:p w14:paraId="1FB76063" w14:textId="1F8685C6" w:rsidR="00A928FC" w:rsidRPr="008D4446" w:rsidRDefault="00A928FC" w:rsidP="00C160CB">
      <w:pPr>
        <w:pStyle w:val="ListBullet"/>
      </w:pPr>
      <w:r w:rsidRPr="008D4446">
        <w:t>a 40-week open-label extension period (</w:t>
      </w:r>
      <w:proofErr w:type="spellStart"/>
      <w:r w:rsidR="008C75D7" w:rsidRPr="008D4446">
        <w:t>icosapent</w:t>
      </w:r>
      <w:proofErr w:type="spellEnd"/>
      <w:r w:rsidR="008C75D7" w:rsidRPr="008D4446">
        <w:t xml:space="preserve"> ethyl</w:t>
      </w:r>
      <w:r w:rsidRPr="008D4446">
        <w:t xml:space="preserve"> 4 g/day, as divided doses).</w:t>
      </w:r>
    </w:p>
    <w:p w14:paraId="58F966E4" w14:textId="5B99628F" w:rsidR="00A928FC" w:rsidRPr="008D4446" w:rsidRDefault="00A928FC" w:rsidP="00C160CB">
      <w:r w:rsidRPr="008D4446">
        <w:t>Patients on statin therapy at screening were evaluated by the investigator as to whether it could be safely discontinued at screening. Continuation of statin therapy was permitted provided the dose was stable for ≥</w:t>
      </w:r>
      <w:r w:rsidR="008A00BD" w:rsidRPr="008D4446">
        <w:t xml:space="preserve"> </w:t>
      </w:r>
      <w:r w:rsidRPr="008D4446">
        <w:t>4 weeks prior to baseline triglyceride measurement. Non-statin lipid</w:t>
      </w:r>
      <w:r w:rsidR="008A00BD" w:rsidRPr="008D4446">
        <w:noBreakHyphen/>
      </w:r>
      <w:r w:rsidRPr="008D4446">
        <w:t>altering treatments had to be discontinued at screening. Patients who completed the 12</w:t>
      </w:r>
      <w:r w:rsidR="008A00BD" w:rsidRPr="008D4446">
        <w:noBreakHyphen/>
      </w:r>
      <w:r w:rsidRPr="008D4446">
        <w:t>week double</w:t>
      </w:r>
      <w:r w:rsidR="008A00BD" w:rsidRPr="008D4446">
        <w:t xml:space="preserve"> </w:t>
      </w:r>
      <w:r w:rsidRPr="008D4446">
        <w:t xml:space="preserve">blind treatment period were eligible to enter the 40-week </w:t>
      </w:r>
      <w:r w:rsidR="00F15D6F" w:rsidRPr="008D4446">
        <w:t>open-label extension</w:t>
      </w:r>
      <w:r w:rsidRPr="008D4446">
        <w:t xml:space="preserve"> period at Visit</w:t>
      </w:r>
      <w:r w:rsidR="008A00BD" w:rsidRPr="008D4446">
        <w:t> </w:t>
      </w:r>
      <w:r w:rsidRPr="008D4446">
        <w:t xml:space="preserve">7 (Week 12). During the </w:t>
      </w:r>
      <w:r w:rsidR="00F15D6F" w:rsidRPr="008D4446">
        <w:t>open-label extension</w:t>
      </w:r>
      <w:r w:rsidRPr="008D4446">
        <w:t xml:space="preserve"> period, changes to the lipid</w:t>
      </w:r>
      <w:r w:rsidR="008A00BD" w:rsidRPr="008D4446">
        <w:t xml:space="preserve"> </w:t>
      </w:r>
      <w:r w:rsidRPr="008D4446">
        <w:t>altering regimen were permitted, as guided by standard practice and prescribing information.</w:t>
      </w:r>
    </w:p>
    <w:p w14:paraId="72ED2A1E" w14:textId="295A6741" w:rsidR="00A928FC" w:rsidRPr="008D4446" w:rsidRDefault="008A00BD" w:rsidP="00C160CB">
      <w:r w:rsidRPr="008D4446">
        <w:t xml:space="preserve">A total of </w:t>
      </w:r>
      <w:r w:rsidR="00A928FC" w:rsidRPr="008D4446">
        <w:t xml:space="preserve">229 patients were randomised to treatment: 77 to </w:t>
      </w:r>
      <w:proofErr w:type="spellStart"/>
      <w:r w:rsidR="008C75D7" w:rsidRPr="008D4446">
        <w:t>icosapent</w:t>
      </w:r>
      <w:proofErr w:type="spellEnd"/>
      <w:r w:rsidR="008C75D7" w:rsidRPr="008D4446">
        <w:t xml:space="preserve"> ethyl</w:t>
      </w:r>
      <w:r w:rsidR="00A928FC" w:rsidRPr="008D4446">
        <w:t xml:space="preserve"> 4 g/day, 76 to </w:t>
      </w:r>
      <w:proofErr w:type="spellStart"/>
      <w:r w:rsidR="008C75D7" w:rsidRPr="008D4446">
        <w:t>icosapent</w:t>
      </w:r>
      <w:proofErr w:type="spellEnd"/>
      <w:r w:rsidR="008C75D7" w:rsidRPr="008D4446">
        <w:t xml:space="preserve"> ethyl</w:t>
      </w:r>
      <w:r w:rsidR="00A928FC" w:rsidRPr="008D4446">
        <w:t xml:space="preserve"> 2</w:t>
      </w:r>
      <w:r w:rsidRPr="008D4446">
        <w:t> </w:t>
      </w:r>
      <w:r w:rsidR="00A928FC" w:rsidRPr="008D4446">
        <w:t>g/day, and 76 to placebo. Patients were stratified by baseline triglyceride level, gender, and use of statin therapy at randomisation.</w:t>
      </w:r>
    </w:p>
    <w:p w14:paraId="0F75B351" w14:textId="3DF336A6" w:rsidR="00A928FC" w:rsidRPr="008D4446" w:rsidRDefault="00A928FC" w:rsidP="00C160CB">
      <w:r w:rsidRPr="008D4446">
        <w:t xml:space="preserve">The primary endpoint was percent change in triglyceride from </w:t>
      </w:r>
      <w:r w:rsidR="007B2B56" w:rsidRPr="008D4446">
        <w:t>Baseline</w:t>
      </w:r>
      <w:r w:rsidRPr="008D4446">
        <w:t xml:space="preserve"> to Week 12. Percent change in VLDL</w:t>
      </w:r>
      <w:r w:rsidR="00F15D6F" w:rsidRPr="008D4446">
        <w:t xml:space="preserve"> cholesterol</w:t>
      </w:r>
      <w:r w:rsidRPr="008D4446">
        <w:t>, Lp-PLA</w:t>
      </w:r>
      <w:r w:rsidRPr="008D4446">
        <w:rPr>
          <w:vertAlign w:val="subscript"/>
        </w:rPr>
        <w:t>2</w:t>
      </w:r>
      <w:r w:rsidRPr="008D4446">
        <w:t xml:space="preserve">, and </w:t>
      </w:r>
      <w:r w:rsidR="00F15D6F" w:rsidRPr="008D4446">
        <w:t xml:space="preserve">apolipoprotein </w:t>
      </w:r>
      <w:r w:rsidRPr="008D4446">
        <w:t xml:space="preserve">B from </w:t>
      </w:r>
      <w:r w:rsidR="007B2B56" w:rsidRPr="008D4446">
        <w:t>Baseline</w:t>
      </w:r>
      <w:r w:rsidRPr="008D4446">
        <w:t xml:space="preserve"> to Week 12 were secondary endpoints. Other efficacy endpoints were exploratory. No pre-specified efficacy hypothesis was tested in the OLE period.</w:t>
      </w:r>
    </w:p>
    <w:p w14:paraId="316CEBFD" w14:textId="40305C5A" w:rsidR="00A928FC" w:rsidRPr="008D4446" w:rsidRDefault="00A928FC" w:rsidP="00C160CB">
      <w:r w:rsidRPr="008D4446">
        <w:lastRenderedPageBreak/>
        <w:t xml:space="preserve">There were significant, dose-dependent reductions in triglyceride from </w:t>
      </w:r>
      <w:r w:rsidR="007B2B56" w:rsidRPr="008D4446">
        <w:t>Baseline</w:t>
      </w:r>
      <w:r w:rsidRPr="008D4446">
        <w:t xml:space="preserve"> to Week 12 in the </w:t>
      </w:r>
      <w:proofErr w:type="spellStart"/>
      <w:r w:rsidR="008C75D7" w:rsidRPr="008D4446">
        <w:t>icosapent</w:t>
      </w:r>
      <w:proofErr w:type="spellEnd"/>
      <w:r w:rsidR="008C75D7" w:rsidRPr="008D4446">
        <w:t xml:space="preserve"> ethyl</w:t>
      </w:r>
      <w:r w:rsidRPr="008D4446">
        <w:t xml:space="preserve"> groups compared to an increase in the placebo group (</w:t>
      </w:r>
      <w:r w:rsidRPr="008D4446">
        <w:fldChar w:fldCharType="begin"/>
      </w:r>
      <w:r w:rsidRPr="008D4446">
        <w:instrText xml:space="preserve"> REF _Ref109983344 \h  \* MERGEFORMAT </w:instrText>
      </w:r>
      <w:r w:rsidRPr="008D4446">
        <w:fldChar w:fldCharType="separate"/>
      </w:r>
      <w:r w:rsidR="00703D92" w:rsidRPr="008D4446">
        <w:t xml:space="preserve">Table </w:t>
      </w:r>
      <w:r w:rsidR="00703D92">
        <w:t>9</w:t>
      </w:r>
      <w:r w:rsidRPr="008D4446">
        <w:fldChar w:fldCharType="end"/>
      </w:r>
      <w:r w:rsidRPr="008D4446">
        <w:t>). Significant decreases in VLDL</w:t>
      </w:r>
      <w:r w:rsidR="00F15D6F" w:rsidRPr="008D4446">
        <w:t xml:space="preserve"> cholesterol</w:t>
      </w:r>
      <w:r w:rsidRPr="008D4446">
        <w:t>, Lp-PLA</w:t>
      </w:r>
      <w:r w:rsidRPr="008D4446">
        <w:rPr>
          <w:vertAlign w:val="subscript"/>
        </w:rPr>
        <w:t>2</w:t>
      </w:r>
      <w:r w:rsidRPr="008D4446">
        <w:t xml:space="preserve">, and </w:t>
      </w:r>
      <w:r w:rsidR="00F15D6F" w:rsidRPr="008D4446">
        <w:t xml:space="preserve">apolipoprotein </w:t>
      </w:r>
      <w:r w:rsidRPr="008D4446">
        <w:t>B were observed in the Vazkepa 4</w:t>
      </w:r>
      <w:r w:rsidR="00BD6046">
        <w:t> </w:t>
      </w:r>
      <w:r w:rsidRPr="008D4446">
        <w:t xml:space="preserve">g/day group but not the 2 g/day group. In the placebo arm, there were increases in some parameters from </w:t>
      </w:r>
      <w:r w:rsidR="007B2B56" w:rsidRPr="008D4446">
        <w:t>Baseline</w:t>
      </w:r>
      <w:r w:rsidRPr="008D4446">
        <w:t xml:space="preserve"> to Week 12, including </w:t>
      </w:r>
      <w:r w:rsidR="00F15D6F" w:rsidRPr="008D4446">
        <w:t xml:space="preserve">high-sensitivity </w:t>
      </w:r>
      <w:r w:rsidRPr="008D4446">
        <w:t>CRP, VLDL</w:t>
      </w:r>
      <w:r w:rsidR="00F15D6F" w:rsidRPr="008D4446">
        <w:t xml:space="preserve"> cholesterol</w:t>
      </w:r>
      <w:r w:rsidRPr="008D4446">
        <w:t>, triglyceride, non-HDL</w:t>
      </w:r>
      <w:r w:rsidR="00F15D6F" w:rsidRPr="008D4446">
        <w:t xml:space="preserve"> cholesterol</w:t>
      </w:r>
      <w:r w:rsidRPr="008D4446">
        <w:t xml:space="preserve">, </w:t>
      </w:r>
      <w:r w:rsidR="00F15D6F" w:rsidRPr="008D4446">
        <w:t>total cholesterol</w:t>
      </w:r>
      <w:r w:rsidRPr="008D4446">
        <w:t xml:space="preserve"> and VLDL</w:t>
      </w:r>
      <w:r w:rsidR="00F15D6F" w:rsidRPr="008D4446">
        <w:t xml:space="preserve"> </w:t>
      </w:r>
      <w:r w:rsidRPr="008D4446">
        <w:t>triglyceride.</w:t>
      </w:r>
    </w:p>
    <w:p w14:paraId="3AA62047" w14:textId="074CB976" w:rsidR="00A928FC" w:rsidRPr="008D4446" w:rsidRDefault="00A928FC" w:rsidP="003C3C67">
      <w:pPr>
        <w:pStyle w:val="TableTitle"/>
      </w:pPr>
      <w:bookmarkStart w:id="85" w:name="_Ref109983344"/>
      <w:bookmarkStart w:id="86" w:name="_Ref110267412"/>
      <w:r w:rsidRPr="008D4446">
        <w:t xml:space="preserve">Table </w:t>
      </w:r>
      <w:r w:rsidR="00434F9A">
        <w:fldChar w:fldCharType="begin"/>
      </w:r>
      <w:r w:rsidR="00434F9A">
        <w:instrText xml:space="preserve"> SEQ Table \* ARABIC </w:instrText>
      </w:r>
      <w:r w:rsidR="00434F9A">
        <w:fldChar w:fldCharType="separate"/>
      </w:r>
      <w:r w:rsidR="00703D92">
        <w:rPr>
          <w:noProof/>
        </w:rPr>
        <w:t>9</w:t>
      </w:r>
      <w:r w:rsidR="00434F9A">
        <w:rPr>
          <w:noProof/>
        </w:rPr>
        <w:fldChar w:fldCharType="end"/>
      </w:r>
      <w:bookmarkEnd w:id="85"/>
      <w:r w:rsidR="003C3C67" w:rsidRPr="008D4446">
        <w:rPr>
          <w:noProof/>
        </w:rPr>
        <w:t>:</w:t>
      </w:r>
      <w:r w:rsidRPr="008D4446">
        <w:t xml:space="preserve"> </w:t>
      </w:r>
      <w:r w:rsidR="00BC2212" w:rsidRPr="008D4446">
        <w:t xml:space="preserve">MARINE trial </w:t>
      </w:r>
      <w:r w:rsidRPr="008D4446">
        <w:t xml:space="preserve">Median </w:t>
      </w:r>
      <w:r w:rsidR="003C3C67" w:rsidRPr="008D4446">
        <w:t>baseline and percent change from Baseline to Week 12 in lipid parameters (intent-to-treat population</w:t>
      </w:r>
      <w:bookmarkEnd w:id="86"/>
      <w:r w:rsidR="003C3C67" w:rsidRPr="008D4446">
        <w:t>)</w:t>
      </w:r>
    </w:p>
    <w:p w14:paraId="732FBFF6" w14:textId="6DF7D5B6" w:rsidR="00BC2212" w:rsidRPr="008D4446" w:rsidRDefault="00BC2212" w:rsidP="00125C81">
      <w:r w:rsidRPr="008D4446">
        <w:rPr>
          <w:noProof/>
        </w:rPr>
        <w:drawing>
          <wp:inline distT="0" distB="0" distL="0" distR="0" wp14:anchorId="3A44DAD1" wp14:editId="7F93E951">
            <wp:extent cx="5759450" cy="2533015"/>
            <wp:effectExtent l="0" t="0" r="0" b="635"/>
            <wp:docPr id="54" name="Picture 54" descr="Table 9: MARINE trial Median baseline and percent change from Baseline to Week 12 in lipid parameter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 9: MARINE trial Median baseline and percent change from Baseline to Week 12 in lipid parameters (intent-to-treat population)"/>
                    <pic:cNvPicPr/>
                  </pic:nvPicPr>
                  <pic:blipFill>
                    <a:blip r:embed="rId41"/>
                    <a:stretch>
                      <a:fillRect/>
                    </a:stretch>
                  </pic:blipFill>
                  <pic:spPr>
                    <a:xfrm>
                      <a:off x="0" y="0"/>
                      <a:ext cx="5759450" cy="2533015"/>
                    </a:xfrm>
                    <a:prstGeom prst="rect">
                      <a:avLst/>
                    </a:prstGeom>
                  </pic:spPr>
                </pic:pic>
              </a:graphicData>
            </a:graphic>
          </wp:inline>
        </w:drawing>
      </w:r>
    </w:p>
    <w:p w14:paraId="02D77DCC" w14:textId="36FEB3F8" w:rsidR="00BC2212" w:rsidRPr="008D4446" w:rsidRDefault="00BC2212" w:rsidP="00125C81">
      <w:pPr>
        <w:pStyle w:val="TableDescription"/>
      </w:pPr>
      <w:r w:rsidRPr="008D4446">
        <w:t xml:space="preserve">Abbreviations: % Change = Median Percent Change from Baseline; Apo B = apolipoprotein B; BL = Baseline (mg/dL); HDL-C = high-density lipoprotein cholesterol; </w:t>
      </w:r>
      <w:proofErr w:type="spellStart"/>
      <w:r w:rsidRPr="008D4446">
        <w:t>hsCRP</w:t>
      </w:r>
      <w:proofErr w:type="spellEnd"/>
      <w:r w:rsidRPr="008D4446">
        <w:t xml:space="preserve"> = high sensitivity C-reactive protein; LDL-C = low-density lipoprotein cholesterol; Lp-PLA2 = lipoprotein-associated phospholipase A2; non-HDL-C = non-high-density lipoprotein cholesterol; TC = total cholesterol; TG = triglyceride; VLDL-C = very low-density lipoprotein cholesterol; VLDL-TG = very low-density lipoprotein triglycerides.</w:t>
      </w:r>
    </w:p>
    <w:p w14:paraId="2001A765" w14:textId="77777777" w:rsidR="00BC2212" w:rsidRPr="008D4446" w:rsidRDefault="00BC2212" w:rsidP="00125C81">
      <w:pPr>
        <w:pStyle w:val="TableDescription"/>
      </w:pPr>
      <w:r w:rsidRPr="008D4446">
        <w:t>Medians are Hodges-Lehmann medians; p-values are from the Wilcoxon rank-sum test.</w:t>
      </w:r>
    </w:p>
    <w:p w14:paraId="7A7F8E94" w14:textId="77777777" w:rsidR="00BC2212" w:rsidRPr="008D4446" w:rsidRDefault="00BC2212" w:rsidP="00125C81">
      <w:pPr>
        <w:pStyle w:val="TableDescription"/>
      </w:pPr>
      <w:r w:rsidRPr="008D4446">
        <w:t>1 Fasting TG level was the primary efficacy endpoint</w:t>
      </w:r>
    </w:p>
    <w:p w14:paraId="0A8DC026" w14:textId="77777777" w:rsidR="00BC2212" w:rsidRPr="008D4446" w:rsidRDefault="00BC2212" w:rsidP="00125C81">
      <w:pPr>
        <w:pStyle w:val="TableDescription"/>
      </w:pPr>
      <w:r w:rsidRPr="008D4446">
        <w:t>2 VLDL-C, Lp-PLA2, and Apo B were secondary efficacy endpoints</w:t>
      </w:r>
    </w:p>
    <w:p w14:paraId="485007E3" w14:textId="10D2F355" w:rsidR="00BC2212" w:rsidRPr="008D4446" w:rsidRDefault="00BC2212" w:rsidP="00125C81">
      <w:pPr>
        <w:pStyle w:val="TableDescription"/>
      </w:pPr>
      <w:r w:rsidRPr="008D4446">
        <w:t xml:space="preserve">3 Adjusted p-values from applying </w:t>
      </w:r>
      <w:proofErr w:type="spellStart"/>
      <w:r w:rsidRPr="008D4446">
        <w:t>Hommel’s</w:t>
      </w:r>
      <w:proofErr w:type="spellEnd"/>
      <w:r w:rsidRPr="008D4446">
        <w:t xml:space="preserve"> multiple comparison procedure to the p-value from the treatment comparison between 4 or 2 g/day </w:t>
      </w:r>
      <w:proofErr w:type="spellStart"/>
      <w:r w:rsidR="006656D7" w:rsidRPr="008D4446">
        <w:t>icosapent</w:t>
      </w:r>
      <w:proofErr w:type="spellEnd"/>
      <w:r w:rsidR="006656D7" w:rsidRPr="008D4446">
        <w:t xml:space="preserve"> ethyl </w:t>
      </w:r>
      <w:r w:rsidRPr="008D4446">
        <w:t>with placebo are reported.</w:t>
      </w:r>
      <w:bookmarkStart w:id="87" w:name="_Ref110947126"/>
    </w:p>
    <w:p w14:paraId="0019EF3C" w14:textId="766B4F6D" w:rsidR="00A928FC" w:rsidRPr="008D4446" w:rsidRDefault="00A928FC" w:rsidP="00BC2212">
      <w:pPr>
        <w:pStyle w:val="TableTitle"/>
      </w:pPr>
      <w:r w:rsidRPr="008D4446">
        <w:t xml:space="preserve">Table </w:t>
      </w:r>
      <w:r w:rsidR="00434F9A">
        <w:fldChar w:fldCharType="begin"/>
      </w:r>
      <w:r w:rsidR="00434F9A">
        <w:instrText xml:space="preserve"> SEQ Table \* ARABIC </w:instrText>
      </w:r>
      <w:r w:rsidR="00434F9A">
        <w:fldChar w:fldCharType="separate"/>
      </w:r>
      <w:r w:rsidR="00703D92">
        <w:rPr>
          <w:noProof/>
        </w:rPr>
        <w:t>10</w:t>
      </w:r>
      <w:r w:rsidR="00434F9A">
        <w:rPr>
          <w:noProof/>
        </w:rPr>
        <w:fldChar w:fldCharType="end"/>
      </w:r>
      <w:bookmarkEnd w:id="87"/>
      <w:r w:rsidR="003C3C67" w:rsidRPr="008D4446">
        <w:rPr>
          <w:noProof/>
        </w:rPr>
        <w:t xml:space="preserve">: </w:t>
      </w:r>
      <w:r w:rsidR="003C3C67" w:rsidRPr="008D4446">
        <w:t>MARINE-OLE trial</w:t>
      </w:r>
      <w:r w:rsidRPr="008D4446">
        <w:t xml:space="preserve"> Percent c</w:t>
      </w:r>
      <w:r w:rsidR="003C3C67" w:rsidRPr="008D4446">
        <w:t xml:space="preserve">hange in key lipid and lipoprotein parameters from open-label baseline </w:t>
      </w:r>
      <w:r w:rsidRPr="008D4446">
        <w:t>to Week 52</w:t>
      </w:r>
      <w:r w:rsidR="003C3C67" w:rsidRPr="008D4446">
        <w:t xml:space="preserve"> (</w:t>
      </w:r>
      <w:r w:rsidRPr="008D4446">
        <w:t>extension efficacy population)</w:t>
      </w:r>
    </w:p>
    <w:p w14:paraId="4EBC757F" w14:textId="463493E1" w:rsidR="00BC2212" w:rsidRPr="008D4446" w:rsidRDefault="00BC2212" w:rsidP="00125C81">
      <w:r w:rsidRPr="008D4446">
        <w:rPr>
          <w:noProof/>
        </w:rPr>
        <w:drawing>
          <wp:inline distT="0" distB="0" distL="0" distR="0" wp14:anchorId="696A9293" wp14:editId="48B8821C">
            <wp:extent cx="5759450" cy="2350770"/>
            <wp:effectExtent l="0" t="0" r="0" b="0"/>
            <wp:docPr id="56" name="Picture 56" descr="Table 10: MARINE-OLE trial Percent change in key lipid and lipoprotein parameters from open-label baseline to Week 52 (extension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 10: MARINE-OLE trial Percent change in key lipid and lipoprotein parameters from open-label baseline to Week 52 (extension efficacy population)"/>
                    <pic:cNvPicPr/>
                  </pic:nvPicPr>
                  <pic:blipFill>
                    <a:blip r:embed="rId42"/>
                    <a:stretch>
                      <a:fillRect/>
                    </a:stretch>
                  </pic:blipFill>
                  <pic:spPr>
                    <a:xfrm>
                      <a:off x="0" y="0"/>
                      <a:ext cx="5759450" cy="2350770"/>
                    </a:xfrm>
                    <a:prstGeom prst="rect">
                      <a:avLst/>
                    </a:prstGeom>
                  </pic:spPr>
                </pic:pic>
              </a:graphicData>
            </a:graphic>
          </wp:inline>
        </w:drawing>
      </w:r>
    </w:p>
    <w:p w14:paraId="7E025D30" w14:textId="7D7D3E5F" w:rsidR="00BC2212" w:rsidRPr="008D4446" w:rsidRDefault="00BC2212" w:rsidP="00125C81">
      <w:pPr>
        <w:pStyle w:val="TableDescription"/>
      </w:pPr>
      <w:r w:rsidRPr="008D4446">
        <w:t xml:space="preserve">Abbreviations: Apo B = apolipoprotein B; HDL-C = high-density lipoprotein cholesterol; LDL-C = low-density lipoprotein cholesterol; Lp-PLA2 = lipoprotein-associated phospholipase A2; non-HDL-C = non-high-density </w:t>
      </w:r>
      <w:r w:rsidRPr="008D4446">
        <w:lastRenderedPageBreak/>
        <w:t>lipoprotein cholesterol; TC = total cholesterol; TG = triglyceride; VLDL-C = very low-density lipoprotein cholesterol; VLDL-TG = very low-density lipoprotein triglycerides.</w:t>
      </w:r>
    </w:p>
    <w:p w14:paraId="48A1753C" w14:textId="4049B4CC" w:rsidR="00BC2212" w:rsidRPr="008D4446" w:rsidRDefault="00BC2212" w:rsidP="00125C81">
      <w:pPr>
        <w:pStyle w:val="TableDescription"/>
      </w:pPr>
      <w:r w:rsidRPr="008D4446">
        <w:t xml:space="preserve">For TG, open-label baseline was defined as the average of Visit 6 (Week 11) and Visit 7 (Week 12) measurements during the double-blind treatment period. If the measurement at 1 visit was missing, the other visit was used. If the measurements at both visits were missing, the last valid measurement during the double-blind treatment period was used as the baseline value. For all other </w:t>
      </w:r>
      <w:r w:rsidR="00453C34">
        <w:t xml:space="preserve">lipid and lipoprotein </w:t>
      </w:r>
      <w:r w:rsidRPr="008D4446">
        <w:t>parameters, open-label baseline was defined as the Visit 7 (Week 12) measurement during the double-blind treatment period. If missing, the last valid measurement during the double-blind treatment period was used as the baseline value.</w:t>
      </w:r>
    </w:p>
    <w:p w14:paraId="37362A46" w14:textId="1758801E" w:rsidR="00A928FC" w:rsidRPr="008D4446" w:rsidRDefault="00BC2212" w:rsidP="00125C81">
      <w:pPr>
        <w:pStyle w:val="TableDescription"/>
      </w:pPr>
      <w:r w:rsidRPr="008D4446">
        <w:t>1. Only patients with non-missing open-label baseline and Week 52 endpoint values were included.</w:t>
      </w:r>
    </w:p>
    <w:p w14:paraId="34008EA1" w14:textId="49C0BE1D" w:rsidR="00A928FC" w:rsidRPr="008D4446" w:rsidRDefault="00A928FC" w:rsidP="00A928FC">
      <w:pPr>
        <w:pStyle w:val="Heading5"/>
        <w:rPr>
          <w:rStyle w:val="Heading5Char"/>
          <w:b/>
          <w:bCs/>
          <w:i/>
        </w:rPr>
      </w:pPr>
      <w:bookmarkStart w:id="88" w:name="_Ref111474362"/>
      <w:r w:rsidRPr="008D4446">
        <w:rPr>
          <w:rStyle w:val="Heading5Char"/>
          <w:b/>
          <w:bCs/>
          <w:i/>
        </w:rPr>
        <w:t>Study AMR-01-01-0017 (ANCHOR</w:t>
      </w:r>
      <w:r w:rsidR="008A00BD" w:rsidRPr="008D4446">
        <w:rPr>
          <w:rStyle w:val="Heading5Char"/>
          <w:b/>
          <w:bCs/>
          <w:i/>
        </w:rPr>
        <w:t xml:space="preserve"> trial</w:t>
      </w:r>
      <w:r w:rsidRPr="008D4446">
        <w:rPr>
          <w:rStyle w:val="Heading5Char"/>
          <w:b/>
          <w:bCs/>
          <w:i/>
        </w:rPr>
        <w:t>)</w:t>
      </w:r>
      <w:bookmarkEnd w:id="88"/>
    </w:p>
    <w:p w14:paraId="146C901B" w14:textId="2DBD4DF3" w:rsidR="00A928FC" w:rsidRPr="008D4446" w:rsidRDefault="00A928FC" w:rsidP="00C160CB">
      <w:r w:rsidRPr="008D4446">
        <w:t xml:space="preserve">This was a </w:t>
      </w:r>
      <w:r w:rsidR="007B2B56" w:rsidRPr="008D4446">
        <w:t>Phase III</w:t>
      </w:r>
      <w:r w:rsidRPr="008D4446">
        <w:t>, multi-centre, randomised, double</w:t>
      </w:r>
      <w:r w:rsidR="008A00BD" w:rsidRPr="008D4446">
        <w:t xml:space="preserve"> </w:t>
      </w:r>
      <w:r w:rsidRPr="008D4446">
        <w:t>blind, placebo</w:t>
      </w:r>
      <w:r w:rsidR="008A00BD" w:rsidRPr="008D4446">
        <w:t xml:space="preserve"> </w:t>
      </w:r>
      <w:r w:rsidRPr="008D4446">
        <w:t>controlled, 12-week, 3</w:t>
      </w:r>
      <w:r w:rsidR="008A00BD" w:rsidRPr="008D4446">
        <w:noBreakHyphen/>
      </w:r>
      <w:r w:rsidRPr="008D4446">
        <w:t xml:space="preserve">arm study to evaluate the effect of two doses of </w:t>
      </w:r>
      <w:proofErr w:type="spellStart"/>
      <w:r w:rsidR="008C75D7" w:rsidRPr="008D4446">
        <w:t>icosapent</w:t>
      </w:r>
      <w:proofErr w:type="spellEnd"/>
      <w:r w:rsidR="008C75D7" w:rsidRPr="008D4446">
        <w:t xml:space="preserve"> ethyl</w:t>
      </w:r>
      <w:r w:rsidRPr="008D4446">
        <w:t xml:space="preserve"> on fasting serum triglyceride levels in patients with persistent high triglyceride levels (≥</w:t>
      </w:r>
      <w:r w:rsidR="008A00BD" w:rsidRPr="008D4446">
        <w:t xml:space="preserve"> </w:t>
      </w:r>
      <w:r w:rsidRPr="008D4446">
        <w:t>200 mg/dL and &lt;</w:t>
      </w:r>
      <w:r w:rsidR="008A00BD" w:rsidRPr="008D4446">
        <w:t xml:space="preserve"> </w:t>
      </w:r>
      <w:r w:rsidRPr="008D4446">
        <w:t>500 mg/dL) despite statin therapy. The study was conducted at 97 sites in USA between 16 December 2009 and 21</w:t>
      </w:r>
      <w:r w:rsidR="008A00BD" w:rsidRPr="008D4446">
        <w:t> </w:t>
      </w:r>
      <w:r w:rsidRPr="008D4446">
        <w:t>February 2011.</w:t>
      </w:r>
    </w:p>
    <w:p w14:paraId="23E11894" w14:textId="2B9C2F1C" w:rsidR="00A928FC" w:rsidRPr="008D4446" w:rsidRDefault="00A928FC" w:rsidP="00C160CB">
      <w:r w:rsidRPr="008D4446">
        <w:t>The study included:</w:t>
      </w:r>
    </w:p>
    <w:p w14:paraId="0D78A529" w14:textId="047D9E3C" w:rsidR="00A928FC" w:rsidRPr="008D4446" w:rsidRDefault="00A928FC" w:rsidP="00C160CB">
      <w:pPr>
        <w:pStyle w:val="ListBullet"/>
      </w:pPr>
      <w:r w:rsidRPr="008D4446">
        <w:t>a 6- to 8-week screening period (including a diet and lifestyle stabilisation period, washout period, and triglyceride qualifying period)</w:t>
      </w:r>
    </w:p>
    <w:p w14:paraId="6864BCA1" w14:textId="3D20709D" w:rsidR="00A928FC" w:rsidRPr="008D4446" w:rsidRDefault="00A928FC" w:rsidP="00C160CB">
      <w:pPr>
        <w:pStyle w:val="ListBullet"/>
      </w:pPr>
      <w:r w:rsidRPr="008D4446">
        <w:t>a 12-week double-blind treatment period (</w:t>
      </w:r>
      <w:proofErr w:type="spellStart"/>
      <w:r w:rsidR="008C75D7" w:rsidRPr="008D4446">
        <w:t>icosapent</w:t>
      </w:r>
      <w:proofErr w:type="spellEnd"/>
      <w:r w:rsidR="008C75D7" w:rsidRPr="008D4446">
        <w:t xml:space="preserve"> ethyl</w:t>
      </w:r>
      <w:r w:rsidRPr="008D4446">
        <w:t xml:space="preserve"> 2 g/day, </w:t>
      </w:r>
      <w:proofErr w:type="spellStart"/>
      <w:r w:rsidR="008C75D7" w:rsidRPr="008D4446">
        <w:t>icosapent</w:t>
      </w:r>
      <w:proofErr w:type="spellEnd"/>
      <w:r w:rsidR="008C75D7" w:rsidRPr="008D4446">
        <w:t xml:space="preserve"> ethyl</w:t>
      </w:r>
      <w:r w:rsidRPr="008D4446">
        <w:t xml:space="preserve"> 4 g/day, or matching placebo (mineral oil), as divided doses morning and evening)</w:t>
      </w:r>
    </w:p>
    <w:p w14:paraId="7BA5692A" w14:textId="4E0B504E" w:rsidR="00A928FC" w:rsidRPr="008D4446" w:rsidRDefault="00A928FC" w:rsidP="00C160CB">
      <w:proofErr w:type="gramStart"/>
      <w:r w:rsidRPr="008D4446">
        <w:t>In order to</w:t>
      </w:r>
      <w:proofErr w:type="gramEnd"/>
      <w:r w:rsidRPr="008D4446">
        <w:t xml:space="preserve"> enter the 12-week double-blind treatment period, patients must have had a mean fasting LDL</w:t>
      </w:r>
      <w:r w:rsidR="00F15D6F" w:rsidRPr="008D4446">
        <w:t xml:space="preserve"> cholesterol</w:t>
      </w:r>
      <w:r w:rsidRPr="008D4446">
        <w:t xml:space="preserve"> level ≥</w:t>
      </w:r>
      <w:r w:rsidR="008A00BD" w:rsidRPr="008D4446">
        <w:t xml:space="preserve"> </w:t>
      </w:r>
      <w:r w:rsidRPr="008D4446">
        <w:t>40 mg/dL and ≤</w:t>
      </w:r>
      <w:r w:rsidR="008A00BD" w:rsidRPr="008D4446">
        <w:t xml:space="preserve"> </w:t>
      </w:r>
      <w:r w:rsidRPr="008D4446">
        <w:t>115 mg/dL (based on 2 qualifying visits) and fasting triglyceride levels from 2 qualifying visits within the following ranges:</w:t>
      </w:r>
    </w:p>
    <w:p w14:paraId="13C07A0E" w14:textId="0CEE1C98" w:rsidR="00A928FC" w:rsidRPr="008D4446" w:rsidRDefault="00A928FC" w:rsidP="00C160CB">
      <w:pPr>
        <w:pStyle w:val="ListBullet"/>
      </w:pPr>
      <w:r w:rsidRPr="008D4446">
        <w:t>mean of the 2 values ≥</w:t>
      </w:r>
      <w:r w:rsidR="008A00BD" w:rsidRPr="008D4446">
        <w:t xml:space="preserve"> </w:t>
      </w:r>
      <w:r w:rsidRPr="008D4446">
        <w:t>185 mg/dL and at least 1 value ≥</w:t>
      </w:r>
      <w:r w:rsidR="008A00BD" w:rsidRPr="008D4446">
        <w:t xml:space="preserve"> </w:t>
      </w:r>
      <w:r w:rsidRPr="008D4446">
        <w:t>200 mg/dL, and</w:t>
      </w:r>
    </w:p>
    <w:p w14:paraId="5A17200F" w14:textId="25CBA19A" w:rsidR="00A928FC" w:rsidRPr="008D4446" w:rsidRDefault="00A928FC" w:rsidP="00C160CB">
      <w:pPr>
        <w:pStyle w:val="ListBullet"/>
      </w:pPr>
      <w:r w:rsidRPr="008D4446">
        <w:t>mean of the 2 values &lt;</w:t>
      </w:r>
      <w:r w:rsidR="008A00BD" w:rsidRPr="008D4446">
        <w:t xml:space="preserve"> </w:t>
      </w:r>
      <w:r w:rsidRPr="008D4446">
        <w:t>500 mg/dL.</w:t>
      </w:r>
    </w:p>
    <w:p w14:paraId="4435C966" w14:textId="78AA8E11" w:rsidR="00A928FC" w:rsidRPr="008D4446" w:rsidRDefault="008A00BD" w:rsidP="00C160CB">
      <w:r w:rsidRPr="008D4446">
        <w:t xml:space="preserve">A total of </w:t>
      </w:r>
      <w:r w:rsidR="00A928FC" w:rsidRPr="008D4446">
        <w:t xml:space="preserve">702 patients were randomised to treatment: 233 to </w:t>
      </w:r>
      <w:proofErr w:type="spellStart"/>
      <w:r w:rsidR="008C75D7" w:rsidRPr="008D4446">
        <w:t>icosapent</w:t>
      </w:r>
      <w:proofErr w:type="spellEnd"/>
      <w:r w:rsidR="008C75D7" w:rsidRPr="008D4446">
        <w:t xml:space="preserve"> ethyl</w:t>
      </w:r>
      <w:r w:rsidR="00A928FC" w:rsidRPr="008D4446">
        <w:t xml:space="preserve"> 4 g/day, 236 to </w:t>
      </w:r>
      <w:proofErr w:type="spellStart"/>
      <w:r w:rsidR="008C75D7" w:rsidRPr="008D4446">
        <w:t>icosapent</w:t>
      </w:r>
      <w:proofErr w:type="spellEnd"/>
      <w:r w:rsidR="008C75D7" w:rsidRPr="008D4446">
        <w:t xml:space="preserve"> ethyl</w:t>
      </w:r>
      <w:r w:rsidR="00A928FC" w:rsidRPr="008D4446">
        <w:t xml:space="preserve"> 2</w:t>
      </w:r>
      <w:r w:rsidRPr="008D4446">
        <w:t> </w:t>
      </w:r>
      <w:r w:rsidR="00A928FC" w:rsidRPr="008D4446">
        <w:t>g/day, and 233 to matching placebo (mineral oil). Patients were stratified by type of statin (atorvastatin, rosuvastatin, or simvastatin), the presence of diabetes, and gender.</w:t>
      </w:r>
    </w:p>
    <w:p w14:paraId="5E7C21C0" w14:textId="0C0DF287" w:rsidR="00A928FC" w:rsidRPr="008D4446" w:rsidRDefault="00A928FC" w:rsidP="00C160CB">
      <w:r w:rsidRPr="008D4446">
        <w:t xml:space="preserve">The primary efficacy endpoint was percent change in triglyceride from </w:t>
      </w:r>
      <w:r w:rsidR="007B2B56" w:rsidRPr="008D4446">
        <w:t>Baseline</w:t>
      </w:r>
      <w:r w:rsidRPr="008D4446">
        <w:t xml:space="preserve"> to Week 12. Secondary efficacy variables included percent changes in LDL</w:t>
      </w:r>
      <w:r w:rsidR="00F15D6F" w:rsidRPr="008D4446">
        <w:t xml:space="preserve"> cholesterol</w:t>
      </w:r>
      <w:r w:rsidRPr="008D4446">
        <w:t>, non-HDL</w:t>
      </w:r>
      <w:r w:rsidR="00F15D6F" w:rsidRPr="008D4446">
        <w:t xml:space="preserve"> cholesterol</w:t>
      </w:r>
      <w:r w:rsidRPr="008D4446">
        <w:t>, VLDL</w:t>
      </w:r>
      <w:r w:rsidR="00F15D6F" w:rsidRPr="008D4446">
        <w:t xml:space="preserve"> cholesterol</w:t>
      </w:r>
      <w:r w:rsidRPr="008D4446">
        <w:t>, Lp-PLA</w:t>
      </w:r>
      <w:r w:rsidRPr="008D4446">
        <w:rPr>
          <w:vertAlign w:val="subscript"/>
        </w:rPr>
        <w:t>2</w:t>
      </w:r>
      <w:r w:rsidRPr="008D4446">
        <w:t xml:space="preserve">, and </w:t>
      </w:r>
      <w:r w:rsidR="00F15D6F" w:rsidRPr="008D4446">
        <w:t xml:space="preserve">apolipoprotein B </w:t>
      </w:r>
      <w:r w:rsidRPr="008D4446">
        <w:t xml:space="preserve">from </w:t>
      </w:r>
      <w:r w:rsidR="007B2B56" w:rsidRPr="008D4446">
        <w:t>Baseline</w:t>
      </w:r>
      <w:r w:rsidRPr="008D4446">
        <w:t xml:space="preserve"> to Week 12. Other efficacy variables were exploratory.</w:t>
      </w:r>
    </w:p>
    <w:p w14:paraId="191105A5" w14:textId="6FC85CC1" w:rsidR="00A928FC" w:rsidRPr="008D4446" w:rsidRDefault="00A928FC" w:rsidP="00C160CB">
      <w:r w:rsidRPr="008D4446">
        <w:t xml:space="preserve">There were significant, dose-dependent reductions in triglyceride from </w:t>
      </w:r>
      <w:r w:rsidR="007B2B56" w:rsidRPr="008D4446">
        <w:t>Baseline</w:t>
      </w:r>
      <w:r w:rsidRPr="008D4446">
        <w:t xml:space="preserve"> to Week 12 in the </w:t>
      </w:r>
      <w:proofErr w:type="spellStart"/>
      <w:r w:rsidR="008C75D7" w:rsidRPr="008D4446">
        <w:t>icosapent</w:t>
      </w:r>
      <w:proofErr w:type="spellEnd"/>
      <w:r w:rsidR="008C75D7" w:rsidRPr="008D4446">
        <w:t xml:space="preserve"> ethyl</w:t>
      </w:r>
      <w:r w:rsidRPr="008D4446">
        <w:t xml:space="preserve"> groups compared to an increase in the placebo group (</w:t>
      </w:r>
      <w:r w:rsidRPr="008D4446">
        <w:fldChar w:fldCharType="begin"/>
      </w:r>
      <w:r w:rsidRPr="008D4446">
        <w:instrText xml:space="preserve"> REF _Ref109983684 \h  \* MERGEFORMAT </w:instrText>
      </w:r>
      <w:r w:rsidRPr="008D4446">
        <w:fldChar w:fldCharType="separate"/>
      </w:r>
      <w:r w:rsidR="00703D92" w:rsidRPr="008D4446">
        <w:t xml:space="preserve">Table </w:t>
      </w:r>
      <w:r w:rsidR="00703D92">
        <w:t>11</w:t>
      </w:r>
      <w:r w:rsidRPr="008D4446">
        <w:fldChar w:fldCharType="end"/>
      </w:r>
      <w:r w:rsidRPr="008D4446">
        <w:t>). Decreases in LDL</w:t>
      </w:r>
      <w:r w:rsidR="00F15D6F" w:rsidRPr="008D4446">
        <w:t xml:space="preserve"> cholesterol</w:t>
      </w:r>
      <w:r w:rsidRPr="008D4446">
        <w:t>, non-HDL</w:t>
      </w:r>
      <w:r w:rsidR="00F15D6F" w:rsidRPr="008D4446">
        <w:t xml:space="preserve"> cholesterol</w:t>
      </w:r>
      <w:r w:rsidRPr="008D4446">
        <w:t>, VLDL</w:t>
      </w:r>
      <w:r w:rsidR="00F15D6F" w:rsidRPr="008D4446">
        <w:t xml:space="preserve"> cholesterol</w:t>
      </w:r>
      <w:r w:rsidRPr="008D4446">
        <w:t>, Lp-PLA</w:t>
      </w:r>
      <w:r w:rsidRPr="008D4446">
        <w:rPr>
          <w:vertAlign w:val="subscript"/>
        </w:rPr>
        <w:t>2</w:t>
      </w:r>
      <w:r w:rsidRPr="008D4446">
        <w:t xml:space="preserve">, and </w:t>
      </w:r>
      <w:r w:rsidR="00F15D6F" w:rsidRPr="008D4446">
        <w:t xml:space="preserve">apolipoprotein B </w:t>
      </w:r>
      <w:r w:rsidRPr="008D4446">
        <w:t xml:space="preserve">from </w:t>
      </w:r>
      <w:r w:rsidR="007B2B56" w:rsidRPr="008D4446">
        <w:t>Baseline</w:t>
      </w:r>
      <w:r w:rsidRPr="008D4446">
        <w:t xml:space="preserve"> to Week 12 in the </w:t>
      </w:r>
      <w:proofErr w:type="spellStart"/>
      <w:r w:rsidR="008C75D7" w:rsidRPr="008D4446">
        <w:t>icosapent</w:t>
      </w:r>
      <w:proofErr w:type="spellEnd"/>
      <w:r w:rsidR="008C75D7" w:rsidRPr="008D4446">
        <w:t xml:space="preserve"> ethyl</w:t>
      </w:r>
      <w:r w:rsidRPr="008D4446">
        <w:t xml:space="preserve"> groups relative to placebo were at least partly driven by increases in the placebo arm.</w:t>
      </w:r>
    </w:p>
    <w:p w14:paraId="3D123A72" w14:textId="7FB265FD" w:rsidR="00A928FC" w:rsidRPr="008D4446" w:rsidRDefault="00A928FC" w:rsidP="00125C81">
      <w:pPr>
        <w:pStyle w:val="TableTitle"/>
      </w:pPr>
      <w:bookmarkStart w:id="89" w:name="_Ref109983684"/>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11</w:t>
      </w:r>
      <w:r w:rsidR="00434F9A">
        <w:rPr>
          <w:noProof/>
        </w:rPr>
        <w:fldChar w:fldCharType="end"/>
      </w:r>
      <w:bookmarkEnd w:id="89"/>
      <w:r w:rsidR="003C3C67" w:rsidRPr="008D4446">
        <w:t>: ANCHOR trial</w:t>
      </w:r>
      <w:r w:rsidRPr="008D4446">
        <w:t xml:space="preserve"> Median </w:t>
      </w:r>
      <w:r w:rsidR="003C3C67" w:rsidRPr="008D4446">
        <w:t xml:space="preserve">baseline and percent change from </w:t>
      </w:r>
      <w:r w:rsidRPr="008D4446">
        <w:t xml:space="preserve">Baseline </w:t>
      </w:r>
      <w:r w:rsidR="003C3C67" w:rsidRPr="008D4446">
        <w:t>t</w:t>
      </w:r>
      <w:r w:rsidRPr="008D4446">
        <w:t xml:space="preserve">o Week 12 in </w:t>
      </w:r>
      <w:r w:rsidR="003C3C67" w:rsidRPr="008D4446">
        <w:t>lipid paramete</w:t>
      </w:r>
      <w:r w:rsidRPr="008D4446">
        <w:t>rs</w:t>
      </w:r>
      <w:r w:rsidR="003C3C67" w:rsidRPr="008D4446">
        <w:t xml:space="preserve"> (</w:t>
      </w:r>
      <w:r w:rsidR="00F15D6F" w:rsidRPr="008D4446">
        <w:t>intent-to-treat</w:t>
      </w:r>
      <w:r w:rsidRPr="008D4446">
        <w:t xml:space="preserve"> </w:t>
      </w:r>
      <w:r w:rsidR="003C3C67" w:rsidRPr="008D4446">
        <w:t>p</w:t>
      </w:r>
      <w:r w:rsidRPr="008D4446">
        <w:t>opulation)</w:t>
      </w:r>
    </w:p>
    <w:p w14:paraId="06118CE3" w14:textId="23B2BE93" w:rsidR="00BC2212" w:rsidRPr="008D4446" w:rsidRDefault="00BC2212" w:rsidP="00125C81">
      <w:r w:rsidRPr="008D4446">
        <w:rPr>
          <w:noProof/>
        </w:rPr>
        <w:drawing>
          <wp:inline distT="0" distB="0" distL="0" distR="0" wp14:anchorId="5288FD36" wp14:editId="7305CB68">
            <wp:extent cx="5759450" cy="2533015"/>
            <wp:effectExtent l="0" t="0" r="0" b="635"/>
            <wp:docPr id="55" name="Picture 55" descr="Table 11: ANCHOR trial Median baseline and percent change from Baseline to Week 12 in lipid parameters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 11: ANCHOR trial Median baseline and percent change from Baseline to Week 12 in lipid parameters (intent-to-treat population)"/>
                    <pic:cNvPicPr/>
                  </pic:nvPicPr>
                  <pic:blipFill>
                    <a:blip r:embed="rId43"/>
                    <a:stretch>
                      <a:fillRect/>
                    </a:stretch>
                  </pic:blipFill>
                  <pic:spPr>
                    <a:xfrm>
                      <a:off x="0" y="0"/>
                      <a:ext cx="5759450" cy="2533015"/>
                    </a:xfrm>
                    <a:prstGeom prst="rect">
                      <a:avLst/>
                    </a:prstGeom>
                  </pic:spPr>
                </pic:pic>
              </a:graphicData>
            </a:graphic>
          </wp:inline>
        </w:drawing>
      </w:r>
    </w:p>
    <w:p w14:paraId="08F30A88" w14:textId="369B7AEB" w:rsidR="00BC2212" w:rsidRPr="008D4446" w:rsidRDefault="00BC2212" w:rsidP="00125C81">
      <w:pPr>
        <w:pStyle w:val="TableDescription"/>
      </w:pPr>
      <w:r w:rsidRPr="008D4446">
        <w:t xml:space="preserve">Abbreviations: % Change = Median Percent Change from Baseline; Apo B = apolipoprotein B; BL = Baseline; HDL-C = high-density lipoprotein cholesterol; </w:t>
      </w:r>
      <w:proofErr w:type="spellStart"/>
      <w:r w:rsidRPr="008D4446">
        <w:t>hsCRP</w:t>
      </w:r>
      <w:proofErr w:type="spellEnd"/>
      <w:r w:rsidRPr="008D4446">
        <w:t xml:space="preserve"> = high sensitivity C-reactive protein; LDL-C = low-density lipoprotein cholesterol; Lp-PLA2 = lipoprotein-associated phospholipase A2; non-HDL-C = non-high-density lipoprotein cholesterol; TC = total cholesterol; TG = triglyceride; VLDL-C = very low-density lipoprotein cholesterol; VLDL-TG = very low-density lipoprotein triglycerides.</w:t>
      </w:r>
    </w:p>
    <w:p w14:paraId="6EE7C3EB" w14:textId="77777777" w:rsidR="00BC2212" w:rsidRPr="008D4446" w:rsidRDefault="00BC2212" w:rsidP="00125C81">
      <w:pPr>
        <w:pStyle w:val="TableDescription"/>
      </w:pPr>
      <w:r w:rsidRPr="008D4446">
        <w:t>Medians are Hodges-Lehmann medians; p-values are from the Wilcoxon rank-sum test.</w:t>
      </w:r>
    </w:p>
    <w:p w14:paraId="4C53F745" w14:textId="77777777" w:rsidR="00BC2212" w:rsidRPr="008D4446" w:rsidRDefault="00BC2212" w:rsidP="00125C81">
      <w:pPr>
        <w:pStyle w:val="TableDescription"/>
      </w:pPr>
      <w:r w:rsidRPr="008D4446">
        <w:t>a Fasting TG level was the primary efficacy endpoint</w:t>
      </w:r>
    </w:p>
    <w:p w14:paraId="4C41F74B" w14:textId="77777777" w:rsidR="00BC2212" w:rsidRPr="008D4446" w:rsidRDefault="00BC2212" w:rsidP="00125C81">
      <w:pPr>
        <w:pStyle w:val="TableDescription"/>
      </w:pPr>
      <w:r w:rsidRPr="008D4446">
        <w:t>b LDL-C, non-HDL-C. VLDL-C, Lp-PLA2, and Apo B were secondary efficacy endpoints</w:t>
      </w:r>
    </w:p>
    <w:p w14:paraId="7F590765" w14:textId="72C5E36E" w:rsidR="00A928FC" w:rsidRPr="008D4446" w:rsidRDefault="00BC2212" w:rsidP="00125C81">
      <w:pPr>
        <w:pStyle w:val="TableDescription"/>
      </w:pPr>
      <w:r w:rsidRPr="008D4446">
        <w:t xml:space="preserve">c Adjusted p-values from applying </w:t>
      </w:r>
      <w:proofErr w:type="spellStart"/>
      <w:r w:rsidRPr="008D4446">
        <w:t>Hommel’s</w:t>
      </w:r>
      <w:proofErr w:type="spellEnd"/>
      <w:r w:rsidRPr="008D4446">
        <w:t xml:space="preserve"> multiple comparison procedure to the p-value from the treatment comparison between 4 or 2 g/day </w:t>
      </w:r>
      <w:proofErr w:type="spellStart"/>
      <w:r w:rsidR="006656D7" w:rsidRPr="008D4446">
        <w:t>icosapent</w:t>
      </w:r>
      <w:proofErr w:type="spellEnd"/>
      <w:r w:rsidR="006656D7" w:rsidRPr="008D4446">
        <w:t xml:space="preserve"> ethyl</w:t>
      </w:r>
      <w:r w:rsidRPr="008D4446">
        <w:t xml:space="preserve"> with placebo are reported.</w:t>
      </w:r>
    </w:p>
    <w:p w14:paraId="157DA1AF" w14:textId="77777777" w:rsidR="00A928FC" w:rsidRPr="008D4446" w:rsidRDefault="00A928FC" w:rsidP="00A928FC">
      <w:pPr>
        <w:pStyle w:val="Heading4"/>
      </w:pPr>
      <w:bookmarkStart w:id="90" w:name="_Toc145413874"/>
      <w:r w:rsidRPr="008D4446">
        <w:t>Safety</w:t>
      </w:r>
      <w:bookmarkEnd w:id="90"/>
    </w:p>
    <w:p w14:paraId="0FB070F2" w14:textId="2AA11E95" w:rsidR="00A928FC" w:rsidRPr="008D4446" w:rsidRDefault="00A928FC" w:rsidP="00C160CB">
      <w:r w:rsidRPr="008D4446">
        <w:t xml:space="preserve">The safety of Vazkepa in the proposed indication is informed primarily by the pivotal </w:t>
      </w:r>
      <w:r w:rsidR="007B2B56" w:rsidRPr="008D4446">
        <w:t>Phase</w:t>
      </w:r>
      <w:r w:rsidR="008A00BD" w:rsidRPr="008D4446">
        <w:t> </w:t>
      </w:r>
      <w:r w:rsidR="007B2B56" w:rsidRPr="008D4446">
        <w:t>III</w:t>
      </w:r>
      <w:r w:rsidRPr="008D4446">
        <w:t xml:space="preserve"> study</w:t>
      </w:r>
      <w:r w:rsidR="00F15D6F" w:rsidRPr="008D4446">
        <w:t xml:space="preserve"> (the </w:t>
      </w:r>
      <w:r w:rsidRPr="008D4446">
        <w:t>REDUCE-IT</w:t>
      </w:r>
      <w:r w:rsidR="00F15D6F" w:rsidRPr="008D4446">
        <w:t xml:space="preserve"> trial)</w:t>
      </w:r>
      <w:r w:rsidRPr="008D4446">
        <w:t xml:space="preserve">, supported by safety data from the two </w:t>
      </w:r>
      <w:r w:rsidR="007B2B56" w:rsidRPr="008D4446">
        <w:t>Phase III</w:t>
      </w:r>
      <w:r w:rsidRPr="008D4446">
        <w:t xml:space="preserve"> studies in patients with </w:t>
      </w:r>
      <w:proofErr w:type="spellStart"/>
      <w:r w:rsidRPr="008D4446">
        <w:t>hypertriglyceridaemia</w:t>
      </w:r>
      <w:proofErr w:type="spellEnd"/>
      <w:r w:rsidRPr="008D4446">
        <w:t xml:space="preserve"> (</w:t>
      </w:r>
      <w:r w:rsidR="008A00BD" w:rsidRPr="008D4446">
        <w:t xml:space="preserve">the </w:t>
      </w:r>
      <w:r w:rsidRPr="008D4446">
        <w:t>MARINE and ANCHOR</w:t>
      </w:r>
      <w:r w:rsidR="008A00BD" w:rsidRPr="008D4446">
        <w:t xml:space="preserve"> trials</w:t>
      </w:r>
      <w:r w:rsidRPr="008D4446">
        <w:t>), five clinical pharmacology studies in healthy subjects, and eight efficacy</w:t>
      </w:r>
      <w:r w:rsidR="008A00BD" w:rsidRPr="008D4446">
        <w:t xml:space="preserve"> or </w:t>
      </w:r>
      <w:r w:rsidRPr="008D4446">
        <w:t xml:space="preserve">safety studies in patients with </w:t>
      </w:r>
      <w:r w:rsidR="00F15D6F" w:rsidRPr="008D4446">
        <w:t xml:space="preserve">central nervous system </w:t>
      </w:r>
      <w:r w:rsidRPr="008D4446">
        <w:t>disorders (</w:t>
      </w:r>
      <w:r w:rsidR="008A00BD" w:rsidRPr="008D4446">
        <w:t xml:space="preserve">three for </w:t>
      </w:r>
      <w:r w:rsidRPr="008D4446">
        <w:t xml:space="preserve">Huntington’s disease, </w:t>
      </w:r>
      <w:r w:rsidR="008A00BD" w:rsidRPr="008D4446">
        <w:t xml:space="preserve">3 for </w:t>
      </w:r>
      <w:r w:rsidRPr="008D4446">
        <w:t xml:space="preserve">depression, </w:t>
      </w:r>
      <w:r w:rsidR="008A00BD" w:rsidRPr="008D4446">
        <w:t xml:space="preserve">one for </w:t>
      </w:r>
      <w:r w:rsidRPr="008D4446">
        <w:t xml:space="preserve">schizophrenia, and </w:t>
      </w:r>
      <w:r w:rsidR="008A00BD" w:rsidRPr="008D4446">
        <w:t xml:space="preserve">one for </w:t>
      </w:r>
      <w:r w:rsidRPr="008D4446">
        <w:t>age-associated memory impairment).</w:t>
      </w:r>
    </w:p>
    <w:p w14:paraId="7EE9BA7E" w14:textId="5E1667E6" w:rsidR="00A928FC" w:rsidRPr="008D4446" w:rsidRDefault="00A928FC" w:rsidP="00C160CB">
      <w:r w:rsidRPr="008D4446">
        <w:t>In the REDUCE-IT trial, the median duration of Vazkepa and placebo treatment was 1614</w:t>
      </w:r>
      <w:r w:rsidR="008A00BD" w:rsidRPr="008D4446">
        <w:t> </w:t>
      </w:r>
      <w:r w:rsidRPr="008D4446">
        <w:t>days (4.5 years) and 1512 days (4.2 years), respectively. Overall, 12.3% (1010</w:t>
      </w:r>
      <w:r w:rsidR="008A00BD" w:rsidRPr="008D4446">
        <w:t xml:space="preserve"> of </w:t>
      </w:r>
      <w:r w:rsidRPr="008D4446">
        <w:t xml:space="preserve">8179) of patients received study drug for </w:t>
      </w:r>
      <w:r w:rsidR="008A00BD" w:rsidRPr="008D4446">
        <w:t>less than one</w:t>
      </w:r>
      <w:r w:rsidRPr="008D4446">
        <w:t xml:space="preserve"> year and 0.5% (37</w:t>
      </w:r>
      <w:r w:rsidR="008A00BD" w:rsidRPr="008D4446">
        <w:t xml:space="preserve"> of </w:t>
      </w:r>
      <w:r w:rsidRPr="008D4446">
        <w:t xml:space="preserve">8179) of patients received study drug for </w:t>
      </w:r>
      <w:r w:rsidR="008A00BD" w:rsidRPr="008D4446">
        <w:t xml:space="preserve">at least </w:t>
      </w:r>
      <w:r w:rsidRPr="008D4446">
        <w:t>6 years (</w:t>
      </w:r>
      <w:r w:rsidR="008A00BD" w:rsidRPr="008D4446">
        <w:t xml:space="preserve">at least </w:t>
      </w:r>
      <w:r w:rsidRPr="008D4446">
        <w:t>2160 days). In the pooled hypertriglyceridemia studies, mean exposure was 82 days (median 84 days) in all treatment groups (Vazkepa 2</w:t>
      </w:r>
      <w:r w:rsidR="008A00BD" w:rsidRPr="008D4446">
        <w:t xml:space="preserve"> </w:t>
      </w:r>
      <w:r w:rsidRPr="008D4446">
        <w:t>g/day, Vazkepa 4</w:t>
      </w:r>
      <w:r w:rsidR="008A00BD" w:rsidRPr="008D4446">
        <w:t> </w:t>
      </w:r>
      <w:r w:rsidRPr="008D4446">
        <w:t>g/day, and placebo).</w:t>
      </w:r>
    </w:p>
    <w:p w14:paraId="67A47805" w14:textId="498E149F" w:rsidR="00A928FC" w:rsidRPr="008D4446" w:rsidRDefault="00A928FC" w:rsidP="00C160CB">
      <w:r w:rsidRPr="008D4446">
        <w:t xml:space="preserve">An overview of treatment-emergent adverse events (TEAEs) is presented in </w:t>
      </w:r>
      <w:r w:rsidRPr="008D4446">
        <w:fldChar w:fldCharType="begin"/>
      </w:r>
      <w:r w:rsidRPr="008D4446">
        <w:instrText xml:space="preserve"> REF _Ref111197293 \h  \* MERGEFORMAT </w:instrText>
      </w:r>
      <w:r w:rsidRPr="008D4446">
        <w:fldChar w:fldCharType="separate"/>
      </w:r>
      <w:r w:rsidR="00703D92" w:rsidRPr="008D4446">
        <w:t xml:space="preserve">Table </w:t>
      </w:r>
      <w:r w:rsidR="00703D92">
        <w:t>12</w:t>
      </w:r>
      <w:r w:rsidRPr="008D4446">
        <w:fldChar w:fldCharType="end"/>
      </w:r>
      <w:r w:rsidRPr="008D4446">
        <w:t xml:space="preserve">. There were no relevant differences in the overall frequency of </w:t>
      </w:r>
      <w:r w:rsidR="00F15D6F" w:rsidRPr="008D4446">
        <w:t>adverse events (</w:t>
      </w:r>
      <w:r w:rsidRPr="008D4446">
        <w:t>AEs</w:t>
      </w:r>
      <w:r w:rsidR="00F15D6F" w:rsidRPr="008D4446">
        <w:t>)</w:t>
      </w:r>
      <w:r w:rsidRPr="008D4446">
        <w:t xml:space="preserve"> or serious AEs. Discontinuation of study drug due to TEAE was reported in 8.0% of patients </w:t>
      </w:r>
      <w:r w:rsidR="00345AB3" w:rsidRPr="008D4446">
        <w:t>overall and</w:t>
      </w:r>
      <w:r w:rsidRPr="008D4446">
        <w:t xml:space="preserve"> was numerically higher in the placebo group compared to Vazkepa. Discontinuation of study drug due to </w:t>
      </w:r>
      <w:r w:rsidR="00345AB3" w:rsidRPr="008D4446">
        <w:t>treatment related</w:t>
      </w:r>
      <w:r w:rsidRPr="008D4446">
        <w:t xml:space="preserve"> TEAE was also slightly higher in the placebo group (4.0%) than the Vazkepa group (3.4%), mainly driven by diarrhoea (1.6% in the placebo group </w:t>
      </w:r>
      <w:r w:rsidR="008A00BD" w:rsidRPr="008D4446">
        <w:t>versus</w:t>
      </w:r>
      <w:r w:rsidRPr="008D4446">
        <w:t xml:space="preserve"> 1.0% in the Vazkepa group). In the pooled safety analysis of the MARINE and ANCHOR </w:t>
      </w:r>
      <w:r w:rsidR="008A00BD" w:rsidRPr="008D4446">
        <w:t>trials</w:t>
      </w:r>
      <w:r w:rsidRPr="008D4446">
        <w:t xml:space="preserve">, the overall incidence of TEAEs was lower than </w:t>
      </w:r>
      <w:r w:rsidR="008A00BD" w:rsidRPr="008D4446">
        <w:t xml:space="preserve">the </w:t>
      </w:r>
      <w:r w:rsidRPr="008D4446">
        <w:t>REDUCE-IT</w:t>
      </w:r>
      <w:r w:rsidR="008A00BD" w:rsidRPr="008D4446">
        <w:t xml:space="preserve"> trial</w:t>
      </w:r>
      <w:r w:rsidRPr="008D4446">
        <w:t>, reflecting the shorter duration of these studies.</w:t>
      </w:r>
    </w:p>
    <w:p w14:paraId="2B9D4896" w14:textId="706DD34B" w:rsidR="00A928FC" w:rsidRPr="008D4446" w:rsidRDefault="00F15D6F" w:rsidP="00C160CB">
      <w:r w:rsidRPr="008D4446">
        <w:lastRenderedPageBreak/>
        <w:t>Treatment-emergent adverse events (</w:t>
      </w:r>
      <w:r w:rsidR="00A928FC" w:rsidRPr="008D4446">
        <w:t>TEAEs</w:t>
      </w:r>
      <w:r w:rsidRPr="008D4446">
        <w:t>)</w:t>
      </w:r>
      <w:r w:rsidR="00A928FC" w:rsidRPr="008D4446">
        <w:t xml:space="preserve"> by System Organ Class and Preferred Term are presented in </w:t>
      </w:r>
      <w:r w:rsidR="008A00BD" w:rsidRPr="008D4446">
        <w:fldChar w:fldCharType="begin"/>
      </w:r>
      <w:r w:rsidR="008A00BD" w:rsidRPr="008D4446">
        <w:instrText xml:space="preserve"> REF _Ref142492677 \h </w:instrText>
      </w:r>
      <w:r w:rsidRPr="008D4446">
        <w:instrText xml:space="preserve"> \* MERGEFORMAT </w:instrText>
      </w:r>
      <w:r w:rsidR="008A00BD" w:rsidRPr="008D4446">
        <w:fldChar w:fldCharType="separate"/>
      </w:r>
      <w:r w:rsidR="00703D92" w:rsidRPr="008D4446">
        <w:t xml:space="preserve">Table </w:t>
      </w:r>
      <w:r w:rsidR="00703D92">
        <w:rPr>
          <w:noProof/>
        </w:rPr>
        <w:t>13</w:t>
      </w:r>
      <w:r w:rsidR="008A00BD" w:rsidRPr="008D4446">
        <w:fldChar w:fldCharType="end"/>
      </w:r>
      <w:r w:rsidR="00A928FC" w:rsidRPr="008D4446">
        <w:t>. Numerical imbalances included musculoskeletal pain, constipation, oedema peripheral, and atrial fibrillation (more frequent in the Vazkepa group), and anaemia (more frequent in the placebo group). The placebo treatment (mineral oil) can have a laxative effect which may explain the higher rate of constipation in the Vazkepa group (and higher rate of diarrhoea in the placebo group). Among the less frequent TEAEs, numerical imbalances (more frequent in the Vazkepa group) included gout, hyperuricaemia, cardiac conduction disorders, dermatitis, eczema, rash, and allergic conditions (mainly hypersensitivity).</w:t>
      </w:r>
    </w:p>
    <w:p w14:paraId="4BF66421" w14:textId="72104621" w:rsidR="00A928FC" w:rsidRPr="008D4446" w:rsidRDefault="00A928FC" w:rsidP="00125C81">
      <w:pPr>
        <w:pStyle w:val="TableTitle"/>
      </w:pPr>
      <w:bookmarkStart w:id="91" w:name="_Ref111197293"/>
      <w:r w:rsidRPr="008D4446">
        <w:t xml:space="preserve">Table </w:t>
      </w:r>
      <w:r w:rsidR="00434F9A">
        <w:fldChar w:fldCharType="begin"/>
      </w:r>
      <w:r w:rsidR="00434F9A">
        <w:instrText xml:space="preserve"> SEQ Table \* ARABIC </w:instrText>
      </w:r>
      <w:r w:rsidR="00434F9A">
        <w:fldChar w:fldCharType="separate"/>
      </w:r>
      <w:r w:rsidR="00703D92">
        <w:rPr>
          <w:noProof/>
        </w:rPr>
        <w:t>12</w:t>
      </w:r>
      <w:r w:rsidR="00434F9A">
        <w:rPr>
          <w:noProof/>
        </w:rPr>
        <w:fldChar w:fldCharType="end"/>
      </w:r>
      <w:bookmarkEnd w:id="91"/>
      <w:r w:rsidR="003C3C67" w:rsidRPr="008D4446">
        <w:t>:</w:t>
      </w:r>
      <w:r w:rsidRPr="008D4446">
        <w:t xml:space="preserve"> </w:t>
      </w:r>
      <w:r w:rsidR="003C3C67" w:rsidRPr="008D4446">
        <w:t xml:space="preserve">REDUCE-IT trial </w:t>
      </w:r>
      <w:r w:rsidRPr="008D4446">
        <w:t xml:space="preserve">Overview of </w:t>
      </w:r>
      <w:r w:rsidR="003C3C67" w:rsidRPr="008D4446">
        <w:t>treatment-emergent adverse events</w:t>
      </w:r>
      <w:r w:rsidRPr="008D4446">
        <w:t xml:space="preserve"> </w:t>
      </w:r>
      <w:r w:rsidR="003C3C67" w:rsidRPr="008D4446">
        <w:t>o</w:t>
      </w:r>
      <w:r w:rsidRPr="008D4446">
        <w:t xml:space="preserve">verall and by </w:t>
      </w:r>
      <w:r w:rsidR="003C3C67" w:rsidRPr="008D4446">
        <w:t>treatment group</w:t>
      </w:r>
      <w:r w:rsidRPr="008D4446">
        <w:t xml:space="preserve"> (</w:t>
      </w:r>
      <w:r w:rsidR="003C3C67" w:rsidRPr="008D4446">
        <w:t>safety population</w:t>
      </w:r>
      <w:r w:rsidRPr="008D4446">
        <w:t>)</w:t>
      </w:r>
    </w:p>
    <w:p w14:paraId="23D668A6" w14:textId="30811A5C" w:rsidR="00A8033B" w:rsidRPr="008D4446" w:rsidRDefault="00A8033B" w:rsidP="00125C81">
      <w:r w:rsidRPr="008D4446">
        <w:rPr>
          <w:noProof/>
        </w:rPr>
        <w:drawing>
          <wp:inline distT="0" distB="0" distL="0" distR="0" wp14:anchorId="63DD0393" wp14:editId="56C7B686">
            <wp:extent cx="5759450" cy="2618105"/>
            <wp:effectExtent l="0" t="0" r="0" b="0"/>
            <wp:docPr id="39" name="Picture 39" descr="Table 12: REDUCE-IT trial Overview of treatment-emergent adverse events overall and by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12: REDUCE-IT trial Overview of treatment-emergent adverse events overall and by treatment group (safety population)"/>
                    <pic:cNvPicPr/>
                  </pic:nvPicPr>
                  <pic:blipFill>
                    <a:blip r:embed="rId44"/>
                    <a:stretch>
                      <a:fillRect/>
                    </a:stretch>
                  </pic:blipFill>
                  <pic:spPr>
                    <a:xfrm>
                      <a:off x="0" y="0"/>
                      <a:ext cx="5759450" cy="2618105"/>
                    </a:xfrm>
                    <a:prstGeom prst="rect">
                      <a:avLst/>
                    </a:prstGeom>
                  </pic:spPr>
                </pic:pic>
              </a:graphicData>
            </a:graphic>
          </wp:inline>
        </w:drawing>
      </w:r>
    </w:p>
    <w:p w14:paraId="16C6D028" w14:textId="7B065890" w:rsidR="00A8033B" w:rsidRPr="008D4446" w:rsidRDefault="001668EC" w:rsidP="00125C81">
      <w:pPr>
        <w:pStyle w:val="TableDescription"/>
      </w:pPr>
      <w:r w:rsidRPr="008D4446">
        <w:t xml:space="preserve">Abbreviation: </w:t>
      </w:r>
      <w:r w:rsidR="00A928FC" w:rsidRPr="008D4446">
        <w:t>TEAE = treatment-emergent adverse event.</w:t>
      </w:r>
    </w:p>
    <w:p w14:paraId="466C2453" w14:textId="47F4D61C" w:rsidR="00A928FC" w:rsidRPr="008D4446" w:rsidRDefault="00A928FC" w:rsidP="00125C81">
      <w:pPr>
        <w:pStyle w:val="TableDescription"/>
      </w:pPr>
      <w:r w:rsidRPr="008D4446">
        <w:t>Note: A TEAE was defined as an event that first occurred or worsened in severity on or after the date of dispensing study drug and within 30 days after the completion or withdrawal from study. Percentages were based on the number of patients randomised to each treatment group in the Safety population (N). Events that were positively adjudicated as clinical endpoints were not included.</w:t>
      </w:r>
    </w:p>
    <w:p w14:paraId="3DBA51EE" w14:textId="181B1059" w:rsidR="00A928FC" w:rsidRPr="008D4446" w:rsidRDefault="00A928FC" w:rsidP="00125C81">
      <w:pPr>
        <w:pStyle w:val="TableDescription"/>
      </w:pPr>
      <w:r w:rsidRPr="008D4446">
        <w:t>1</w:t>
      </w:r>
      <w:r w:rsidR="00A8033B" w:rsidRPr="008D4446">
        <w:t>.</w:t>
      </w:r>
      <w:r w:rsidRPr="008D4446">
        <w:t xml:space="preserve"> Study drug related TEAE include those characterised as related, probably related, or possibly related.</w:t>
      </w:r>
    </w:p>
    <w:p w14:paraId="588180D6" w14:textId="614EF3BB" w:rsidR="00A928FC" w:rsidRPr="008D4446" w:rsidRDefault="00A928FC" w:rsidP="00125C81">
      <w:pPr>
        <w:pStyle w:val="TableDescription"/>
      </w:pPr>
      <w:r w:rsidRPr="008D4446">
        <w:t>2</w:t>
      </w:r>
      <w:r w:rsidR="00A8033B" w:rsidRPr="008D4446">
        <w:t>.</w:t>
      </w:r>
      <w:r w:rsidRPr="008D4446">
        <w:t xml:space="preserve"> Withdrawal of study drug excludes patients who were off drug but remained in the study for 30 days or more and restarted study drug.</w:t>
      </w:r>
      <w:bookmarkStart w:id="92" w:name="_Ref111455755"/>
    </w:p>
    <w:p w14:paraId="20C646E9" w14:textId="25AB35F4" w:rsidR="00A928FC" w:rsidRPr="008D4446" w:rsidRDefault="00A928FC" w:rsidP="003C3C67">
      <w:pPr>
        <w:pStyle w:val="TableTitle"/>
      </w:pPr>
      <w:bookmarkStart w:id="93" w:name="_Ref142492677"/>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13</w:t>
      </w:r>
      <w:r w:rsidR="00434F9A">
        <w:rPr>
          <w:noProof/>
        </w:rPr>
        <w:fldChar w:fldCharType="end"/>
      </w:r>
      <w:bookmarkEnd w:id="92"/>
      <w:bookmarkEnd w:id="93"/>
      <w:r w:rsidR="003C3C67" w:rsidRPr="008D4446">
        <w:rPr>
          <w:noProof/>
        </w:rPr>
        <w:t>:</w:t>
      </w:r>
      <w:r w:rsidRPr="008D4446">
        <w:t xml:space="preserve"> </w:t>
      </w:r>
      <w:r w:rsidR="003C3C67" w:rsidRPr="008D4446">
        <w:t xml:space="preserve">REDUCE-IT trial Treatment-emergent adverse events </w:t>
      </w:r>
      <w:r w:rsidRPr="008D4446">
        <w:t xml:space="preserve">occurring at an incidence of </w:t>
      </w:r>
      <w:r w:rsidR="003C3C67" w:rsidRPr="008D4446">
        <w:t xml:space="preserve">at least </w:t>
      </w:r>
      <w:r w:rsidRPr="008D4446">
        <w:t>3% in either treatment group (</w:t>
      </w:r>
      <w:r w:rsidR="003C3C67" w:rsidRPr="008D4446">
        <w:t>safety population)</w:t>
      </w:r>
    </w:p>
    <w:p w14:paraId="15483DEE" w14:textId="5129A854" w:rsidR="00BC2212" w:rsidRPr="008D4446" w:rsidRDefault="00BC2212" w:rsidP="00125C81">
      <w:r w:rsidRPr="008D4446">
        <w:rPr>
          <w:noProof/>
        </w:rPr>
        <w:drawing>
          <wp:inline distT="0" distB="0" distL="0" distR="0" wp14:anchorId="462B786E" wp14:editId="135C2987">
            <wp:extent cx="5759450" cy="6702425"/>
            <wp:effectExtent l="0" t="0" r="0" b="3175"/>
            <wp:docPr id="44" name="Picture 44" descr="Table 13: REDUCE-IT trial Treatment-emergent adverse events occurring at an incidence of at least 3% in either treatment group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 13: REDUCE-IT trial Treatment-emergent adverse events occurring at an incidence of at least 3% in either treatment group (safety population)"/>
                    <pic:cNvPicPr/>
                  </pic:nvPicPr>
                  <pic:blipFill>
                    <a:blip r:embed="rId45"/>
                    <a:stretch>
                      <a:fillRect/>
                    </a:stretch>
                  </pic:blipFill>
                  <pic:spPr>
                    <a:xfrm>
                      <a:off x="0" y="0"/>
                      <a:ext cx="5759450" cy="6702425"/>
                    </a:xfrm>
                    <a:prstGeom prst="rect">
                      <a:avLst/>
                    </a:prstGeom>
                  </pic:spPr>
                </pic:pic>
              </a:graphicData>
            </a:graphic>
          </wp:inline>
        </w:drawing>
      </w:r>
    </w:p>
    <w:p w14:paraId="0FE22823" w14:textId="1B30BD50" w:rsidR="00A8033B" w:rsidRPr="008D4446" w:rsidRDefault="00A8033B" w:rsidP="00125C81">
      <w:pPr>
        <w:pStyle w:val="TableDescription"/>
      </w:pPr>
      <w:r w:rsidRPr="008D4446">
        <w:t>Abbreviations: MedDRA = Medical Dictionary for Regulatory Activities; TEAE = treatment-emergent adverse event</w:t>
      </w:r>
    </w:p>
    <w:p w14:paraId="2AEC5DF8" w14:textId="422B2574" w:rsidR="00A8033B" w:rsidRPr="008D4446" w:rsidRDefault="00A8033B" w:rsidP="00125C81">
      <w:pPr>
        <w:pStyle w:val="TableDescription"/>
      </w:pPr>
      <w:r w:rsidRPr="008D4446">
        <w:t xml:space="preserve">Note: A TEAE was defined as an event that first occurred or worsened in severity on or after the date of dispensing study drug and within 30 days after the completion or withdrawal from study. For each patient, multiple TEAE of the same preferred term were counted only once within each preferred term. TEAE are listed in descending order of </w:t>
      </w:r>
      <w:proofErr w:type="spellStart"/>
      <w:r w:rsidR="006656D7" w:rsidRPr="008D4446">
        <w:t>icosapent</w:t>
      </w:r>
      <w:proofErr w:type="spellEnd"/>
      <w:r w:rsidR="006656D7" w:rsidRPr="008D4446">
        <w:t xml:space="preserve"> ethyl</w:t>
      </w:r>
      <w:r w:rsidRPr="008D4446">
        <w:t xml:space="preserve"> frequency. Percentages were based on the number of patients randomised to each treatment group in the Safety population (N). Events that were positively adjudicated as clinical endpoints were not included.</w:t>
      </w:r>
    </w:p>
    <w:p w14:paraId="6C5ED62E" w14:textId="48DDAF56" w:rsidR="00A8033B" w:rsidRPr="008D4446" w:rsidRDefault="00A8033B" w:rsidP="00125C81">
      <w:pPr>
        <w:pStyle w:val="TableDescription"/>
      </w:pPr>
      <w:r w:rsidRPr="008D4446">
        <w:t>1. All adverse events were coded using the MedDRA, Version 20.1.</w:t>
      </w:r>
    </w:p>
    <w:p w14:paraId="64E4CAA8" w14:textId="138BEC63" w:rsidR="00A928FC" w:rsidRPr="008D4446" w:rsidRDefault="00A928FC" w:rsidP="00C160CB">
      <w:r w:rsidRPr="008D4446">
        <w:t xml:space="preserve">Total mortality was lower in the Vazkepa group than placebo (274 subjects (6.7%) </w:t>
      </w:r>
      <w:r w:rsidR="008A00BD" w:rsidRPr="008D4446">
        <w:t>versus</w:t>
      </w:r>
      <w:r w:rsidRPr="008D4446">
        <w:t xml:space="preserve"> 310</w:t>
      </w:r>
      <w:r w:rsidR="00BD6046">
        <w:t> </w:t>
      </w:r>
      <w:r w:rsidRPr="008D4446">
        <w:t>subjects (7.6%)) due to a decrease in cardiovascular mortality (</w:t>
      </w:r>
      <w:r w:rsidRPr="008D4446">
        <w:fldChar w:fldCharType="begin"/>
      </w:r>
      <w:r w:rsidRPr="008D4446">
        <w:instrText xml:space="preserve"> REF _Ref111629285 \h  \* MERGEFORMAT </w:instrText>
      </w:r>
      <w:r w:rsidRPr="008D4446">
        <w:fldChar w:fldCharType="separate"/>
      </w:r>
      <w:r w:rsidR="00703D92" w:rsidRPr="008D4446">
        <w:t xml:space="preserve">Table </w:t>
      </w:r>
      <w:r w:rsidR="00703D92">
        <w:t>14</w:t>
      </w:r>
      <w:r w:rsidRPr="008D4446">
        <w:fldChar w:fldCharType="end"/>
      </w:r>
      <w:r w:rsidRPr="008D4446">
        <w:t>).</w:t>
      </w:r>
    </w:p>
    <w:p w14:paraId="383F6D5E" w14:textId="7E719FA6" w:rsidR="00A928FC" w:rsidRPr="008D4446" w:rsidRDefault="00A928FC" w:rsidP="003C3C67">
      <w:pPr>
        <w:pStyle w:val="TableTitle"/>
      </w:pPr>
      <w:bookmarkStart w:id="94" w:name="_Ref111629285"/>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14</w:t>
      </w:r>
      <w:r w:rsidR="00434F9A">
        <w:rPr>
          <w:noProof/>
        </w:rPr>
        <w:fldChar w:fldCharType="end"/>
      </w:r>
      <w:bookmarkEnd w:id="94"/>
      <w:r w:rsidR="003C3C67" w:rsidRPr="008D4446">
        <w:rPr>
          <w:noProof/>
        </w:rPr>
        <w:t>:</w:t>
      </w:r>
      <w:r w:rsidRPr="008D4446">
        <w:t xml:space="preserve"> </w:t>
      </w:r>
      <w:r w:rsidR="00BC2212" w:rsidRPr="008D4446">
        <w:t xml:space="preserve">REDUCE-IT trial </w:t>
      </w:r>
      <w:r w:rsidRPr="008D4446">
        <w:t xml:space="preserve">Summary of </w:t>
      </w:r>
      <w:r w:rsidR="003C3C67" w:rsidRPr="008D4446">
        <w:t xml:space="preserve">clinical events committees-adjudicated deaths including cardiovascular death, non-cardiovascular death, undetermined </w:t>
      </w:r>
      <w:proofErr w:type="gramStart"/>
      <w:r w:rsidR="003C3C67" w:rsidRPr="008D4446">
        <w:t>death</w:t>
      </w:r>
      <w:proofErr w:type="gramEnd"/>
      <w:r w:rsidR="003C3C67" w:rsidRPr="008D4446">
        <w:t xml:space="preserve"> and total mortality (safety population)</w:t>
      </w:r>
    </w:p>
    <w:p w14:paraId="5A1C528A" w14:textId="68F5CD78" w:rsidR="00BC2212" w:rsidRPr="008D4446" w:rsidRDefault="00BC2212" w:rsidP="00125C81">
      <w:r w:rsidRPr="008D4446">
        <w:rPr>
          <w:noProof/>
        </w:rPr>
        <w:drawing>
          <wp:inline distT="0" distB="0" distL="0" distR="0" wp14:anchorId="6CB45B27" wp14:editId="14AEE05C">
            <wp:extent cx="5759450" cy="1278890"/>
            <wp:effectExtent l="0" t="0" r="0" b="0"/>
            <wp:docPr id="40" name="Picture 40" descr="Table 14: REDUCE-IT trial Summary of clinical events committees-adjudicated deaths including cardiovascular death, non-cardiovascular death, undetermined death and total mortality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14: REDUCE-IT trial Summary of clinical events committees-adjudicated deaths including cardiovascular death, non-cardiovascular death, undetermined death and total mortality (safety population)"/>
                    <pic:cNvPicPr/>
                  </pic:nvPicPr>
                  <pic:blipFill>
                    <a:blip r:embed="rId46"/>
                    <a:stretch>
                      <a:fillRect/>
                    </a:stretch>
                  </pic:blipFill>
                  <pic:spPr>
                    <a:xfrm>
                      <a:off x="0" y="0"/>
                      <a:ext cx="5759450" cy="1278890"/>
                    </a:xfrm>
                    <a:prstGeom prst="rect">
                      <a:avLst/>
                    </a:prstGeom>
                  </pic:spPr>
                </pic:pic>
              </a:graphicData>
            </a:graphic>
          </wp:inline>
        </w:drawing>
      </w:r>
    </w:p>
    <w:p w14:paraId="790C4DAA" w14:textId="4D475810" w:rsidR="00BC2212" w:rsidRPr="008D4446" w:rsidRDefault="00BC2212" w:rsidP="00125C81">
      <w:pPr>
        <w:pStyle w:val="TableDescription"/>
      </w:pPr>
      <w:r w:rsidRPr="008D4446">
        <w:t>Abbreviations: CV = cardiovascular.</w:t>
      </w:r>
    </w:p>
    <w:p w14:paraId="450A3926" w14:textId="49F3609E" w:rsidR="00BC2212" w:rsidRPr="008D4446" w:rsidRDefault="00BC2212" w:rsidP="00125C81">
      <w:pPr>
        <w:pStyle w:val="TableDescription"/>
      </w:pPr>
      <w:r w:rsidRPr="008D4446">
        <w:t>Note: CV deaths (excluding death with undetermined cause) and deaths with undetermined cause were combined as ‘CV death’ for the primary efficacy analysis of CV endpoints.</w:t>
      </w:r>
    </w:p>
    <w:p w14:paraId="74537CEC" w14:textId="4ED64F45" w:rsidR="00A928FC" w:rsidRPr="008D4446" w:rsidRDefault="00BC2212" w:rsidP="00125C81">
      <w:pPr>
        <w:pStyle w:val="TableDescription"/>
      </w:pPr>
      <w:r w:rsidRPr="008D4446">
        <w:t>1. Excludes 3 patient deaths occurring after consent withdrawal.</w:t>
      </w:r>
    </w:p>
    <w:p w14:paraId="41EC5867" w14:textId="0E103A82" w:rsidR="00A928FC" w:rsidRPr="008D4446" w:rsidRDefault="00A928FC" w:rsidP="00C160CB">
      <w:r w:rsidRPr="008D4446">
        <w:t>Bleeding</w:t>
      </w:r>
      <w:r w:rsidR="008A00BD" w:rsidRPr="008D4446">
        <w:t xml:space="preserve"> </w:t>
      </w:r>
      <w:r w:rsidRPr="008D4446">
        <w:t xml:space="preserve">related events were pre-specified as adverse events of special interest (AESI), as doses of omega-3 marine oil </w:t>
      </w:r>
      <w:proofErr w:type="gramStart"/>
      <w:r w:rsidRPr="008D4446">
        <w:t>in excess of</w:t>
      </w:r>
      <w:proofErr w:type="gramEnd"/>
      <w:r w:rsidRPr="008D4446">
        <w:t xml:space="preserve"> 3 g/day have been linked with an increase in bleeding time. In </w:t>
      </w:r>
      <w:r w:rsidR="008A00BD" w:rsidRPr="008D4446">
        <w:t xml:space="preserve">the </w:t>
      </w:r>
      <w:r w:rsidRPr="008D4446">
        <w:t>REDUCE-IT</w:t>
      </w:r>
      <w:r w:rsidR="008A00BD" w:rsidRPr="008D4446">
        <w:t xml:space="preserve"> trial</w:t>
      </w:r>
      <w:r w:rsidRPr="008D4446">
        <w:t>, a higher incidence of bleeding-related AEs was observed in the Vazkepa group compared to the placebo group (11.8% v</w:t>
      </w:r>
      <w:r w:rsidR="008A00BD" w:rsidRPr="008D4446">
        <w:t xml:space="preserve">ersus </w:t>
      </w:r>
      <w:r w:rsidRPr="008D4446">
        <w:t>9.9%, p</w:t>
      </w:r>
      <w:r w:rsidR="008A00BD" w:rsidRPr="008D4446">
        <w:t xml:space="preserve"> </w:t>
      </w:r>
      <w:r w:rsidRPr="008D4446">
        <w:t>=</w:t>
      </w:r>
      <w:r w:rsidR="008A00BD" w:rsidRPr="008D4446">
        <w:t xml:space="preserve"> </w:t>
      </w:r>
      <w:r w:rsidRPr="008D4446">
        <w:t xml:space="preserve">0.0055; </w:t>
      </w:r>
      <w:r w:rsidRPr="008D4446">
        <w:fldChar w:fldCharType="begin"/>
      </w:r>
      <w:r w:rsidRPr="008D4446">
        <w:instrText xml:space="preserve"> REF _Ref111461949 \h  \* MERGEFORMAT </w:instrText>
      </w:r>
      <w:r w:rsidRPr="008D4446">
        <w:fldChar w:fldCharType="separate"/>
      </w:r>
      <w:r w:rsidR="00703D92" w:rsidRPr="008D4446">
        <w:t xml:space="preserve">Table </w:t>
      </w:r>
      <w:r w:rsidR="00703D92">
        <w:t>15</w:t>
      </w:r>
      <w:r w:rsidRPr="008D4446">
        <w:fldChar w:fldCharType="end"/>
      </w:r>
      <w:r w:rsidRPr="008D4446">
        <w:t>). Bleeding</w:t>
      </w:r>
      <w:r w:rsidR="008A00BD" w:rsidRPr="008D4446">
        <w:t xml:space="preserve"> </w:t>
      </w:r>
      <w:r w:rsidRPr="008D4446">
        <w:t xml:space="preserve">related </w:t>
      </w:r>
      <w:r w:rsidR="00F15D6F" w:rsidRPr="008D4446">
        <w:t>serious adverse events (</w:t>
      </w:r>
      <w:r w:rsidRPr="008D4446">
        <w:t>SAEs</w:t>
      </w:r>
      <w:r w:rsidR="00F15D6F" w:rsidRPr="008D4446">
        <w:t>)</w:t>
      </w:r>
      <w:r w:rsidRPr="008D4446">
        <w:t xml:space="preserve"> occurred in 2.7% of patients in the Vazkepa group compared to 2.1% in the placebo group, with most involving the </w:t>
      </w:r>
      <w:r w:rsidR="00F15D6F" w:rsidRPr="008D4446">
        <w:t xml:space="preserve">gastrointestinal </w:t>
      </w:r>
      <w:r w:rsidRPr="008D4446">
        <w:t xml:space="preserve">tract (1.5% Vazkepa, 1.1% placebo). Serious </w:t>
      </w:r>
      <w:r w:rsidR="00F15D6F" w:rsidRPr="008D4446">
        <w:t>central nervous system</w:t>
      </w:r>
      <w:r w:rsidRPr="008D4446">
        <w:t xml:space="preserve"> bleeding events occurred in 0.34% in the Vazkepa group and 0.24% in the placebo group. Concomitant medications, including antiplatelet agents, were balanced across the treatment groups so are thought not to have contributed to the observed differences in bleeding events.</w:t>
      </w:r>
    </w:p>
    <w:p w14:paraId="23084C33" w14:textId="06D8B0B8" w:rsidR="00A928FC" w:rsidRPr="008D4446" w:rsidRDefault="00A928FC" w:rsidP="00C160CB">
      <w:r w:rsidRPr="008D4446">
        <w:t>Atrial fibrillation</w:t>
      </w:r>
      <w:r w:rsidR="008A00BD" w:rsidRPr="008D4446">
        <w:t xml:space="preserve"> or </w:t>
      </w:r>
      <w:r w:rsidRPr="008D4446">
        <w:t xml:space="preserve">flutter was not pre-specified as </w:t>
      </w:r>
      <w:proofErr w:type="gramStart"/>
      <w:r w:rsidRPr="008D4446">
        <w:t>AESI, but</w:t>
      </w:r>
      <w:proofErr w:type="gramEnd"/>
      <w:r w:rsidRPr="008D4446">
        <w:t xml:space="preserve"> was explored </w:t>
      </w:r>
      <w:r w:rsidRPr="008D4446">
        <w:rPr>
          <w:i/>
          <w:iCs/>
        </w:rPr>
        <w:t>post-hoc</w:t>
      </w:r>
      <w:r w:rsidRPr="008D4446">
        <w:t xml:space="preserve"> in response to an observed imbalance between the treatment groups (</w:t>
      </w:r>
      <w:r w:rsidRPr="008D4446">
        <w:fldChar w:fldCharType="begin"/>
      </w:r>
      <w:r w:rsidRPr="008D4446">
        <w:instrText xml:space="preserve"> REF _Ref111471735 \h  \* MERGEFORMAT </w:instrText>
      </w:r>
      <w:r w:rsidRPr="008D4446">
        <w:fldChar w:fldCharType="separate"/>
      </w:r>
      <w:r w:rsidR="00703D92" w:rsidRPr="008D4446">
        <w:t xml:space="preserve">Table </w:t>
      </w:r>
      <w:r w:rsidR="00703D92">
        <w:t>16</w:t>
      </w:r>
      <w:r w:rsidRPr="008D4446">
        <w:fldChar w:fldCharType="end"/>
      </w:r>
      <w:r w:rsidRPr="008D4446">
        <w:t>).</w:t>
      </w:r>
    </w:p>
    <w:p w14:paraId="105FFFC5" w14:textId="7A1871CA" w:rsidR="00A928FC" w:rsidRPr="008D4446" w:rsidRDefault="00A928FC" w:rsidP="003C3C67">
      <w:pPr>
        <w:pStyle w:val="TableTitle"/>
      </w:pPr>
      <w:bookmarkStart w:id="95" w:name="_Ref111461949"/>
      <w:r w:rsidRPr="008D4446">
        <w:t xml:space="preserve">Table </w:t>
      </w:r>
      <w:r w:rsidR="00434F9A">
        <w:fldChar w:fldCharType="begin"/>
      </w:r>
      <w:r w:rsidR="00434F9A">
        <w:instrText xml:space="preserve"> SEQ Table \* ARABIC </w:instrText>
      </w:r>
      <w:r w:rsidR="00434F9A">
        <w:fldChar w:fldCharType="separate"/>
      </w:r>
      <w:r w:rsidR="00703D92">
        <w:rPr>
          <w:noProof/>
        </w:rPr>
        <w:t>15</w:t>
      </w:r>
      <w:r w:rsidR="00434F9A">
        <w:rPr>
          <w:noProof/>
        </w:rPr>
        <w:fldChar w:fldCharType="end"/>
      </w:r>
      <w:bookmarkEnd w:id="95"/>
      <w:r w:rsidR="003C3C67" w:rsidRPr="008D4446">
        <w:rPr>
          <w:noProof/>
        </w:rPr>
        <w:t>:</w:t>
      </w:r>
      <w:r w:rsidR="003C3C67" w:rsidRPr="008D4446">
        <w:t xml:space="preserve"> REDUCE-IT trial</w:t>
      </w:r>
      <w:r w:rsidRPr="008D4446">
        <w:t xml:space="preserve"> Overview of </w:t>
      </w:r>
      <w:r w:rsidR="003C3C67" w:rsidRPr="008D4446">
        <w:t>pre-specified treatment-emergent adverse events of special interest</w:t>
      </w:r>
      <w:r w:rsidRPr="008D4446">
        <w:t xml:space="preserve">, </w:t>
      </w:r>
      <w:r w:rsidR="003C3C67" w:rsidRPr="008D4446">
        <w:t>bleeding-related disorders (safety population</w:t>
      </w:r>
      <w:r w:rsidRPr="008D4446">
        <w:t>)</w:t>
      </w:r>
    </w:p>
    <w:p w14:paraId="6BC0FD32" w14:textId="3FA2FBA5" w:rsidR="00BC2212" w:rsidRPr="008D4446" w:rsidRDefault="00BC2212" w:rsidP="00125C81">
      <w:r w:rsidRPr="008D4446">
        <w:rPr>
          <w:noProof/>
        </w:rPr>
        <w:drawing>
          <wp:inline distT="0" distB="0" distL="0" distR="0" wp14:anchorId="6A9CC301" wp14:editId="28C469A8">
            <wp:extent cx="5759450" cy="1315085"/>
            <wp:effectExtent l="0" t="0" r="0" b="0"/>
            <wp:docPr id="42" name="Picture 42" descr="Table 15: REDUCE-IT trial Overview of pre-specified treatment-emergent adverse events of special interest, bleeding-related disorde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15: REDUCE-IT trial Overview of pre-specified treatment-emergent adverse events of special interest, bleeding-related disorders (safety population)"/>
                    <pic:cNvPicPr/>
                  </pic:nvPicPr>
                  <pic:blipFill>
                    <a:blip r:embed="rId47"/>
                    <a:stretch>
                      <a:fillRect/>
                    </a:stretch>
                  </pic:blipFill>
                  <pic:spPr>
                    <a:xfrm>
                      <a:off x="0" y="0"/>
                      <a:ext cx="5759450" cy="1315085"/>
                    </a:xfrm>
                    <a:prstGeom prst="rect">
                      <a:avLst/>
                    </a:prstGeom>
                  </pic:spPr>
                </pic:pic>
              </a:graphicData>
            </a:graphic>
          </wp:inline>
        </w:drawing>
      </w:r>
    </w:p>
    <w:p w14:paraId="340113E6" w14:textId="2BB8C414" w:rsidR="00BC2212" w:rsidRPr="008D4446" w:rsidRDefault="00125C81" w:rsidP="00125C81">
      <w:pPr>
        <w:pStyle w:val="TableDescription"/>
      </w:pPr>
      <w:r w:rsidRPr="008D4446">
        <w:t xml:space="preserve">Abbreviations: </w:t>
      </w:r>
      <w:r w:rsidR="00BC2212" w:rsidRPr="008D4446">
        <w:t>AE = adverse event; excl = excluding; MedDRA = Medical Dictionary for Regulatory Activities; SMQ = Standardised MedDRA Query; TEAE = treatment-emergent adverse event.</w:t>
      </w:r>
    </w:p>
    <w:p w14:paraId="4478B321" w14:textId="66FB7F70" w:rsidR="00BC2212" w:rsidRPr="008D4446" w:rsidRDefault="00BC2212" w:rsidP="00125C81">
      <w:pPr>
        <w:pStyle w:val="TableDescription"/>
      </w:pPr>
      <w:r w:rsidRPr="008D4446">
        <w:t>Note: A TEAE was defined as an event that first occurred or worsened in severity on or after the date of dispensing study drug and within 30 days after the completion or withdrawal from study. For each patient, multiple TEAE of the same preferred term were counted only once within each preferred term.</w:t>
      </w:r>
    </w:p>
    <w:p w14:paraId="72561855" w14:textId="3EDDFF5A" w:rsidR="00BC2212" w:rsidRPr="008D4446" w:rsidRDefault="00BC2212" w:rsidP="00125C81">
      <w:pPr>
        <w:pStyle w:val="TableDescription"/>
      </w:pPr>
      <w:r w:rsidRPr="008D4446">
        <w:t>1. Bleeding-related disorders were identified by the SMQs of ‘Gastrointestinal haemorrhage,’ ‘Central Nervous System haemorrhages and cerebrovascular conditions,’ and ‘Haemorrhage terms (excl laboratory terms).’</w:t>
      </w:r>
    </w:p>
    <w:p w14:paraId="3B3DCF7E" w14:textId="48467026" w:rsidR="00A928FC" w:rsidRPr="008D4446" w:rsidRDefault="00A928FC" w:rsidP="003C3C67">
      <w:pPr>
        <w:pStyle w:val="TableTitle"/>
      </w:pPr>
      <w:bookmarkStart w:id="96" w:name="_Ref111471735"/>
      <w:r w:rsidRPr="008D4446">
        <w:lastRenderedPageBreak/>
        <w:t xml:space="preserve">Table </w:t>
      </w:r>
      <w:r w:rsidR="00434F9A">
        <w:fldChar w:fldCharType="begin"/>
      </w:r>
      <w:r w:rsidR="00434F9A">
        <w:instrText xml:space="preserve"> SEQ Table \* ARABIC </w:instrText>
      </w:r>
      <w:r w:rsidR="00434F9A">
        <w:fldChar w:fldCharType="separate"/>
      </w:r>
      <w:r w:rsidR="00703D92">
        <w:rPr>
          <w:noProof/>
        </w:rPr>
        <w:t>16</w:t>
      </w:r>
      <w:r w:rsidR="00434F9A">
        <w:rPr>
          <w:noProof/>
        </w:rPr>
        <w:fldChar w:fldCharType="end"/>
      </w:r>
      <w:bookmarkEnd w:id="96"/>
      <w:r w:rsidR="003C3C67" w:rsidRPr="008D4446">
        <w:rPr>
          <w:noProof/>
        </w:rPr>
        <w:t>:</w:t>
      </w:r>
      <w:r w:rsidRPr="008D4446">
        <w:t xml:space="preserve"> </w:t>
      </w:r>
      <w:r w:rsidR="003C3C67" w:rsidRPr="008D4446">
        <w:t>REDUCE-IT trial summary of atrial fibrillation and atrial flutter</w:t>
      </w:r>
      <w:r w:rsidRPr="008D4446">
        <w:t xml:space="preserve"> (</w:t>
      </w:r>
      <w:r w:rsidR="00F15D6F" w:rsidRPr="008D4446">
        <w:t>intent-to-treat</w:t>
      </w:r>
      <w:r w:rsidRPr="008D4446">
        <w:t xml:space="preserve"> </w:t>
      </w:r>
      <w:r w:rsidR="003C3C67" w:rsidRPr="008D4446">
        <w:t>p</w:t>
      </w:r>
      <w:r w:rsidRPr="008D4446">
        <w:t>opulation)</w:t>
      </w:r>
    </w:p>
    <w:p w14:paraId="61375539" w14:textId="67864546" w:rsidR="00BC2212" w:rsidRPr="008D4446" w:rsidRDefault="00BC2212" w:rsidP="00125C81">
      <w:r w:rsidRPr="008D4446">
        <w:rPr>
          <w:noProof/>
        </w:rPr>
        <w:drawing>
          <wp:inline distT="0" distB="0" distL="0" distR="0" wp14:anchorId="251C7B3A" wp14:editId="6C480BDA">
            <wp:extent cx="5759450" cy="1282065"/>
            <wp:effectExtent l="0" t="0" r="0" b="0"/>
            <wp:docPr id="43" name="Picture 43" descr="Table 16: REDUCE-IT trial summary of atrial fibrillation and atrial flutter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 16: REDUCE-IT trial summary of atrial fibrillation and atrial flutter (intent-to-treat population)"/>
                    <pic:cNvPicPr/>
                  </pic:nvPicPr>
                  <pic:blipFill>
                    <a:blip r:embed="rId48"/>
                    <a:stretch>
                      <a:fillRect/>
                    </a:stretch>
                  </pic:blipFill>
                  <pic:spPr>
                    <a:xfrm>
                      <a:off x="0" y="0"/>
                      <a:ext cx="5759450" cy="1282065"/>
                    </a:xfrm>
                    <a:prstGeom prst="rect">
                      <a:avLst/>
                    </a:prstGeom>
                  </pic:spPr>
                </pic:pic>
              </a:graphicData>
            </a:graphic>
          </wp:inline>
        </w:drawing>
      </w:r>
    </w:p>
    <w:p w14:paraId="2FB1FA39" w14:textId="5608A235" w:rsidR="00BC2212" w:rsidRPr="008D4446" w:rsidRDefault="00BC2212" w:rsidP="00125C81">
      <w:pPr>
        <w:pStyle w:val="TableDescription"/>
      </w:pPr>
      <w:r w:rsidRPr="008D4446">
        <w:t>Abbreviations: AE = adverse event; ITT = Intent-to-Treat; MedDRA = Medical Dictionary for Regulatory Activities.</w:t>
      </w:r>
    </w:p>
    <w:p w14:paraId="0FB662A1" w14:textId="5E0769A8" w:rsidR="00C160CB" w:rsidRPr="008D4446" w:rsidRDefault="00BC2212" w:rsidP="00125C81">
      <w:pPr>
        <w:pStyle w:val="TableDescription"/>
      </w:pPr>
      <w:r w:rsidRPr="008D4446">
        <w:t>Note: Percentages were based on the number of patients in the ITT population within each treatment group (N). All AE were coded using the MedDRA, Version 20.1.</w:t>
      </w:r>
    </w:p>
    <w:p w14:paraId="50D15FDF" w14:textId="5C21974E" w:rsidR="00C160CB" w:rsidRPr="008D4446" w:rsidRDefault="00A928FC" w:rsidP="00125C81">
      <w:pPr>
        <w:pStyle w:val="TableDescription"/>
      </w:pPr>
      <w:r w:rsidRPr="008D4446">
        <w:t>1 Includes atrial fibrillation/flutter AE. The p-value was based on Fisher’s exact test.</w:t>
      </w:r>
    </w:p>
    <w:p w14:paraId="71AD1666" w14:textId="77777777" w:rsidR="00C160CB" w:rsidRPr="008D4446" w:rsidRDefault="00A928FC" w:rsidP="00125C81">
      <w:pPr>
        <w:pStyle w:val="TableDescription"/>
      </w:pPr>
      <w:r w:rsidRPr="008D4446">
        <w:t>2 Includes atrial fibrillation/flutter AE meeting seriousness criteria. The p-value was based on Fisher’s exact test.</w:t>
      </w:r>
    </w:p>
    <w:p w14:paraId="7DC69E3D" w14:textId="2443B1D5" w:rsidR="00A928FC" w:rsidRPr="008D4446" w:rsidRDefault="00A928FC" w:rsidP="00125C81">
      <w:pPr>
        <w:pStyle w:val="TableDescription"/>
      </w:pPr>
      <w:r w:rsidRPr="008D4446">
        <w:t>3 Includes positively adjudicated atrial fibrillation/flutter requiring ≥</w:t>
      </w:r>
      <w:r w:rsidR="00BC2212" w:rsidRPr="008D4446">
        <w:t xml:space="preserve"> </w:t>
      </w:r>
      <w:r w:rsidRPr="008D4446">
        <w:t>24 hours hospitalisation clinical events by the Clinical Endpoint Committee. The p-value was based on stratified log-rank test</w:t>
      </w:r>
    </w:p>
    <w:p w14:paraId="47B18498" w14:textId="77777777" w:rsidR="00A928FC" w:rsidRPr="008D4446" w:rsidRDefault="00A928FC" w:rsidP="00A928FC">
      <w:pPr>
        <w:pStyle w:val="Heading5"/>
      </w:pPr>
      <w:r w:rsidRPr="008D4446">
        <w:t>Laboratory findings</w:t>
      </w:r>
    </w:p>
    <w:p w14:paraId="00388D92" w14:textId="2443BED0" w:rsidR="00A928FC" w:rsidRPr="008D4446" w:rsidRDefault="00A928FC" w:rsidP="00C160CB">
      <w:r w:rsidRPr="008D4446">
        <w:t xml:space="preserve">Median haemoglobin increased slightly in the Vazkepa group compared to placebo after </w:t>
      </w:r>
      <w:r w:rsidR="000B44BD" w:rsidRPr="008D4446">
        <w:t>approximately one</w:t>
      </w:r>
      <w:r w:rsidRPr="008D4446">
        <w:t xml:space="preserve"> year of treatment; the difference between the groups did not further increase after</w:t>
      </w:r>
      <w:r w:rsidR="000B44BD" w:rsidRPr="008D4446">
        <w:t xml:space="preserve"> approximately three</w:t>
      </w:r>
      <w:r w:rsidRPr="008D4446">
        <w:t xml:space="preserve"> years of treatment.</w:t>
      </w:r>
    </w:p>
    <w:p w14:paraId="149BBF0E" w14:textId="77777777" w:rsidR="00A928FC" w:rsidRPr="008D4446" w:rsidRDefault="00A928FC" w:rsidP="00C160CB">
      <w:r w:rsidRPr="008D4446">
        <w:t>Effects on lipids, lipoproteins, and inflammatory parameters were evaluated as tertiary efficacy objectives and are described in the efficacy section.</w:t>
      </w:r>
    </w:p>
    <w:p w14:paraId="35FD4B96" w14:textId="2A2E5D54" w:rsidR="00A928FC" w:rsidRPr="008D4446" w:rsidRDefault="00A928FC" w:rsidP="00C160CB">
      <w:r w:rsidRPr="008D4446">
        <w:t xml:space="preserve">A detailed evaluation of hepatic safety was conducted. There was no mean increase in serum </w:t>
      </w:r>
      <w:r w:rsidR="00F15D6F" w:rsidRPr="008D4446">
        <w:t>alanine aminotransferase (</w:t>
      </w:r>
      <w:r w:rsidRPr="008D4446">
        <w:t>ALT</w:t>
      </w:r>
      <w:r w:rsidR="00F15D6F" w:rsidRPr="008D4446">
        <w:t>)</w:t>
      </w:r>
      <w:r w:rsidRPr="008D4446">
        <w:t xml:space="preserve"> or </w:t>
      </w:r>
      <w:r w:rsidR="00F15D6F" w:rsidRPr="008D4446">
        <w:t>aspartate aminotransferase (</w:t>
      </w:r>
      <w:r w:rsidRPr="008D4446">
        <w:t>AST</w:t>
      </w:r>
      <w:r w:rsidR="00F15D6F" w:rsidRPr="008D4446">
        <w:t>)</w:t>
      </w:r>
      <w:r w:rsidRPr="008D4446">
        <w:t xml:space="preserve"> levels in any treatment group. There were numerically more patients with elevated ALT after four or five years of treatment in the Vazkepa group (868 (35%)) than in the placebo group (742 (31%)) after four years. More patients in the Vazkepa than in the placebo group had elevated bilirubin after four to five years of treatment (205 (8.4%) </w:t>
      </w:r>
      <w:r w:rsidR="000B44BD" w:rsidRPr="008D4446">
        <w:t>versus</w:t>
      </w:r>
      <w:r w:rsidRPr="008D4446">
        <w:t xml:space="preserve"> 67 (2.9%)). This finding was paralleled by a slight increase of mean serum bilirubin in the Vazkepa group (0.51</w:t>
      </w:r>
      <w:r w:rsidR="00453C34" w:rsidRPr="00453C34">
        <w:t xml:space="preserve"> </w:t>
      </w:r>
      <w:proofErr w:type="spellStart"/>
      <w:r w:rsidR="00453C34" w:rsidRPr="0070323C">
        <w:t>μmol</w:t>
      </w:r>
      <w:proofErr w:type="spellEnd"/>
      <w:r w:rsidR="00453C34" w:rsidRPr="0070323C">
        <w:t>/L</w:t>
      </w:r>
      <w:r w:rsidRPr="008D4446">
        <w:t>) and a more pronounced decrease of bilirubin in the placebo group (-1.75</w:t>
      </w:r>
      <w:r w:rsidR="00453C34">
        <w:t xml:space="preserve"> </w:t>
      </w:r>
      <w:proofErr w:type="spellStart"/>
      <w:r w:rsidR="00453C34" w:rsidRPr="0070323C">
        <w:t>μmol</w:t>
      </w:r>
      <w:proofErr w:type="spellEnd"/>
      <w:r w:rsidR="00453C34" w:rsidRPr="0070323C">
        <w:t>/L</w:t>
      </w:r>
      <w:r w:rsidRPr="008D4446">
        <w:t xml:space="preserve">). An increase of 3 x </w:t>
      </w:r>
      <w:r w:rsidR="00F15D6F" w:rsidRPr="008D4446">
        <w:t>upper limit of normal (</w:t>
      </w:r>
      <w:r w:rsidRPr="008D4446">
        <w:t>ULN</w:t>
      </w:r>
      <w:r w:rsidR="00F15D6F" w:rsidRPr="008D4446">
        <w:t>)</w:t>
      </w:r>
      <w:r w:rsidRPr="008D4446">
        <w:t xml:space="preserve"> in ALT or AST and increase of 2 x ULN in total bilirubin was reported in one patient in each treatment group, and an increase of 3 x ULN in ALT or AST, increase of 2 x ULN in total bilirubin, and decrease of ≤</w:t>
      </w:r>
      <w:r w:rsidR="000B44BD" w:rsidRPr="008D4446">
        <w:t xml:space="preserve"> </w:t>
      </w:r>
      <w:r w:rsidRPr="008D4446">
        <w:t>2 x ULN in alkaline phosphatase was reported in one patient in the Vazkepa group. In each case, the elevated liver enzymes were characterised as not related to study drug and were not considered to be drug</w:t>
      </w:r>
      <w:r w:rsidR="000B44BD" w:rsidRPr="008D4446">
        <w:t xml:space="preserve"> </w:t>
      </w:r>
      <w:r w:rsidRPr="008D4446">
        <w:t>induced liver injury. Hy’s Law was considered not to be met in each case, based on assessment against the criteria in the FDA Guidance.</w:t>
      </w:r>
      <w:r w:rsidR="000B44BD" w:rsidRPr="008D4446">
        <w:rPr>
          <w:rStyle w:val="FootnoteReference"/>
        </w:rPr>
        <w:footnoteReference w:id="14"/>
      </w:r>
    </w:p>
    <w:p w14:paraId="514996FC" w14:textId="3C1D4650" w:rsidR="00A928FC" w:rsidRPr="008D4446" w:rsidRDefault="00A928FC" w:rsidP="00C160CB">
      <w:r w:rsidRPr="008D4446">
        <w:t xml:space="preserve">To address safety in patients with hepatic disorders, the </w:t>
      </w:r>
      <w:r w:rsidR="000B44BD" w:rsidRPr="008D4446">
        <w:t>s</w:t>
      </w:r>
      <w:r w:rsidRPr="008D4446">
        <w:t xml:space="preserve">ponsor performed an analysis of TEAEs in patients with potential hepatic disorders at study entry, based on prior medical history and/or elevated laboratory values at </w:t>
      </w:r>
      <w:r w:rsidR="007B2B56" w:rsidRPr="008D4446">
        <w:t>Baseline</w:t>
      </w:r>
      <w:r w:rsidRPr="008D4446">
        <w:t>. Classification according to the severity of hepatic impairment (for example, Child-Pugh score)</w:t>
      </w:r>
      <w:r w:rsidR="00F15D6F" w:rsidRPr="008D4446">
        <w:rPr>
          <w:rStyle w:val="FootnoteReference"/>
        </w:rPr>
        <w:footnoteReference w:id="15"/>
      </w:r>
      <w:r w:rsidRPr="008D4446">
        <w:t xml:space="preserve"> was not performed. In the analysis of 517 patients </w:t>
      </w:r>
      <w:r w:rsidRPr="008D4446">
        <w:lastRenderedPageBreak/>
        <w:t xml:space="preserve">in </w:t>
      </w:r>
      <w:r w:rsidR="000B44BD" w:rsidRPr="008D4446">
        <w:t xml:space="preserve">the </w:t>
      </w:r>
      <w:r w:rsidRPr="008D4446">
        <w:t xml:space="preserve">REDUCE-IT </w:t>
      </w:r>
      <w:r w:rsidR="000B44BD" w:rsidRPr="008D4446">
        <w:t xml:space="preserve">trial </w:t>
      </w:r>
      <w:r w:rsidRPr="008D4446">
        <w:t>with potential baseline liver disorder, no relevant imbalances in TEAEs were observed between the treatment groups.</w:t>
      </w:r>
    </w:p>
    <w:p w14:paraId="0F321745" w14:textId="263BAE1F" w:rsidR="00A928FC" w:rsidRPr="008D4446" w:rsidRDefault="00A928FC" w:rsidP="00C160CB">
      <w:r w:rsidRPr="008D4446">
        <w:t xml:space="preserve">To address safety in patients with renal impairment, the </w:t>
      </w:r>
      <w:r w:rsidR="000B44BD" w:rsidRPr="008D4446">
        <w:t>s</w:t>
      </w:r>
      <w:r w:rsidRPr="008D4446">
        <w:t>ponsor performed an analysis of TEAEs stratified for eGFR (≥</w:t>
      </w:r>
      <w:r w:rsidR="000B44BD" w:rsidRPr="008D4446">
        <w:t xml:space="preserve"> </w:t>
      </w:r>
      <w:r w:rsidRPr="008D4446">
        <w:t>60 mL/min/1.73</w:t>
      </w:r>
      <w:r w:rsidR="000B44BD" w:rsidRPr="008D4446">
        <w:t xml:space="preserve"> </w:t>
      </w:r>
      <w:r w:rsidRPr="008D4446">
        <w:t>m</w:t>
      </w:r>
      <w:r w:rsidRPr="008D4446">
        <w:rPr>
          <w:vertAlign w:val="superscript"/>
        </w:rPr>
        <w:t>2</w:t>
      </w:r>
      <w:r w:rsidRPr="008D4446">
        <w:t xml:space="preserve"> </w:t>
      </w:r>
      <w:r w:rsidR="000B44BD" w:rsidRPr="008D4446">
        <w:t>versus</w:t>
      </w:r>
      <w:r w:rsidRPr="008D4446">
        <w:t xml:space="preserve"> &lt;</w:t>
      </w:r>
      <w:r w:rsidR="000B44BD" w:rsidRPr="008D4446">
        <w:t xml:space="preserve"> </w:t>
      </w:r>
      <w:r w:rsidRPr="008D4446">
        <w:t>60 mL/min/1.73</w:t>
      </w:r>
      <w:r w:rsidR="000B44BD" w:rsidRPr="008D4446">
        <w:t xml:space="preserve"> </w:t>
      </w:r>
      <w:r w:rsidRPr="008D4446">
        <w:t>m</w:t>
      </w:r>
      <w:r w:rsidRPr="008D4446">
        <w:rPr>
          <w:vertAlign w:val="superscript"/>
        </w:rPr>
        <w:t>2</w:t>
      </w:r>
      <w:r w:rsidRPr="008D4446">
        <w:t>). In patients with eGFR &lt;</w:t>
      </w:r>
      <w:r w:rsidR="000B44BD" w:rsidRPr="008D4446">
        <w:t xml:space="preserve"> </w:t>
      </w:r>
      <w:r w:rsidRPr="008D4446">
        <w:t>60 mL/min/1.73</w:t>
      </w:r>
      <w:r w:rsidR="000B44BD" w:rsidRPr="008D4446">
        <w:t xml:space="preserve"> </w:t>
      </w:r>
      <w:r w:rsidRPr="008D4446">
        <w:t>m</w:t>
      </w:r>
      <w:r w:rsidRPr="008D4446">
        <w:rPr>
          <w:vertAlign w:val="superscript"/>
        </w:rPr>
        <w:t>2</w:t>
      </w:r>
      <w:r w:rsidRPr="008D4446">
        <w:t>, there was no meaningful imbalance in the frequencies of TEAEs and SAEs between Vazkepa and placebo groups.</w:t>
      </w:r>
    </w:p>
    <w:p w14:paraId="0FB35DC1" w14:textId="357D1AD4" w:rsidR="00A928FC" w:rsidRPr="008D4446" w:rsidRDefault="00A928FC" w:rsidP="00C160CB">
      <w:r w:rsidRPr="008D4446">
        <w:t xml:space="preserve">In safety analyses stratified by age </w:t>
      </w:r>
      <w:r w:rsidR="000B44BD" w:rsidRPr="008D4446">
        <w:t xml:space="preserve">less than </w:t>
      </w:r>
      <w:r w:rsidRPr="008D4446">
        <w:t>65 years and 65 years</w:t>
      </w:r>
      <w:r w:rsidR="000B44BD" w:rsidRPr="008D4446">
        <w:t xml:space="preserve"> or older</w:t>
      </w:r>
      <w:r w:rsidRPr="008D4446">
        <w:t>, the percentage of patients experiencing at least one TEAE was greater in the older subgroup, but otherwise no relevant differences between treatment groups were apparent.</w:t>
      </w:r>
    </w:p>
    <w:p w14:paraId="6F20649E" w14:textId="77777777" w:rsidR="00A928FC" w:rsidRPr="008D4446" w:rsidRDefault="00A928FC" w:rsidP="00A928FC">
      <w:pPr>
        <w:pStyle w:val="Heading5"/>
      </w:pPr>
      <w:r w:rsidRPr="008D4446">
        <w:t>Post-marketing safety experience</w:t>
      </w:r>
    </w:p>
    <w:p w14:paraId="48C0E162" w14:textId="4D47D570" w:rsidR="00A928FC" w:rsidRPr="008D4446" w:rsidRDefault="00A928FC" w:rsidP="00C160CB">
      <w:r w:rsidRPr="008D4446">
        <w:t xml:space="preserve">Vazkepa has been marketed in USA since January 2013 for the treatment of severe </w:t>
      </w:r>
      <w:proofErr w:type="spellStart"/>
      <w:r w:rsidRPr="008D4446">
        <w:t>hypertriglyceridaemia</w:t>
      </w:r>
      <w:proofErr w:type="spellEnd"/>
      <w:r w:rsidRPr="008D4446">
        <w:t xml:space="preserve">. The US FDA opened a Tracked Safety Issue on 19 February 2016 regarding liver injury, under the classification of </w:t>
      </w:r>
      <w:r w:rsidR="000B44BD" w:rsidRPr="008D4446">
        <w:t>‘</w:t>
      </w:r>
      <w:r w:rsidRPr="008D4446">
        <w:t>standard</w:t>
      </w:r>
      <w:r w:rsidR="000B44BD" w:rsidRPr="008D4446">
        <w:t>’</w:t>
      </w:r>
      <w:r w:rsidRPr="008D4446">
        <w:t xml:space="preserve">. As of 30 June 2016, the FDA had determined that </w:t>
      </w:r>
      <w:r w:rsidR="000B44BD" w:rsidRPr="008D4446">
        <w:t>‘</w:t>
      </w:r>
      <w:r w:rsidRPr="008D4446">
        <w:t>no action is necessary at this time based on available information</w:t>
      </w:r>
      <w:r w:rsidR="000B44BD" w:rsidRPr="008D4446">
        <w:t>’</w:t>
      </w:r>
      <w:r w:rsidRPr="008D4446">
        <w:t>. All hepatic reports continue to be monitored as events of special interest as part of the safety surveillance.</w:t>
      </w:r>
    </w:p>
    <w:p w14:paraId="2A933A4E" w14:textId="135351F4" w:rsidR="00A928FC" w:rsidRPr="008D4446" w:rsidRDefault="00A928FC" w:rsidP="00C160CB">
      <w:r w:rsidRPr="008D4446">
        <w:t>Post-approval safety surveillance up to 25 July 2019 produced a total of 1,204 unique reports. The most frequently reported adverse reactions include arthralgia, product taste abnormal, blood triglycerides increased, diarrhoea, nausea, and eructation. No action has been taken for safety reasons during this period. Serious events assessed as possibly related to treatment included two reports of choking</w:t>
      </w:r>
      <w:r w:rsidR="000B44BD" w:rsidRPr="008D4446">
        <w:t xml:space="preserve"> or </w:t>
      </w:r>
      <w:r w:rsidRPr="008D4446">
        <w:t>choking sensation, two reports of epistaxis, and one report each of neonatal distress syndrome, elevated liver enzymes, atrial fibrillation, diarrhoea, dyspnoea, hypersensitivity, loss of consciousness, nausea, presyncope, prostate cancer, and syncope.</w:t>
      </w:r>
    </w:p>
    <w:p w14:paraId="6D3083AC" w14:textId="148F21D9" w:rsidR="00A928FC" w:rsidRPr="008D4446" w:rsidRDefault="00A928FC" w:rsidP="00C160CB">
      <w:r w:rsidRPr="008D4446">
        <w:t xml:space="preserve">Review of </w:t>
      </w:r>
      <w:r w:rsidR="00F15D6F" w:rsidRPr="008D4446">
        <w:t xml:space="preserve">US </w:t>
      </w:r>
      <w:r w:rsidRPr="008D4446">
        <w:t>Periodic Adverse Drug Experience Reports identified 19 reports of bleeding events, of which 9 were assessed to be possibly causally associated to Vazkepa and non-serious, and 6 reports of atrial fibrillation, of which 2 were serious.</w:t>
      </w:r>
    </w:p>
    <w:p w14:paraId="2858B006" w14:textId="77777777" w:rsidR="00C22214" w:rsidRPr="008D4446" w:rsidRDefault="00C22214" w:rsidP="00C22214">
      <w:pPr>
        <w:pStyle w:val="Heading3"/>
        <w:rPr>
          <w:lang w:eastAsia="en-AU"/>
        </w:rPr>
      </w:pPr>
      <w:bookmarkStart w:id="97" w:name="_Toc314842514"/>
      <w:bookmarkStart w:id="98" w:name="_Toc103679298"/>
      <w:bookmarkStart w:id="99" w:name="_Toc145413875"/>
      <w:r w:rsidRPr="008D4446">
        <w:rPr>
          <w:lang w:eastAsia="en-AU"/>
        </w:rPr>
        <w:t>Risk management plan</w:t>
      </w:r>
      <w:bookmarkEnd w:id="97"/>
      <w:bookmarkEnd w:id="98"/>
      <w:bookmarkEnd w:id="99"/>
    </w:p>
    <w:p w14:paraId="540B8510" w14:textId="41C95405" w:rsidR="00A928FC" w:rsidRPr="008D4446" w:rsidRDefault="000B44BD" w:rsidP="00C160CB">
      <w:bookmarkStart w:id="100" w:name="_Toc247691531"/>
      <w:bookmarkStart w:id="101" w:name="_Toc314842515"/>
      <w:r w:rsidRPr="008D4446">
        <w:t>The sponsor</w:t>
      </w:r>
      <w:r w:rsidR="00A928FC" w:rsidRPr="008D4446">
        <w:t xml:space="preserve"> has submitted </w:t>
      </w:r>
      <w:r w:rsidR="00F15D6F" w:rsidRPr="008D4446">
        <w:t>European Union (</w:t>
      </w:r>
      <w:r w:rsidR="00A928FC" w:rsidRPr="008D4446">
        <w:t>EU</w:t>
      </w:r>
      <w:r w:rsidR="00F15D6F" w:rsidRPr="008D4446">
        <w:t>)</w:t>
      </w:r>
      <w:r w:rsidR="00A928FC" w:rsidRPr="008D4446">
        <w:t>-</w:t>
      </w:r>
      <w:r w:rsidR="00F15D6F" w:rsidRPr="008D4446">
        <w:t>risk management plan (</w:t>
      </w:r>
      <w:r w:rsidR="00A928FC" w:rsidRPr="008D4446">
        <w:t>RMP</w:t>
      </w:r>
      <w:r w:rsidR="00F15D6F" w:rsidRPr="008D4446">
        <w:t>)</w:t>
      </w:r>
      <w:r w:rsidR="00A928FC" w:rsidRPr="008D4446">
        <w:t xml:space="preserve"> version 0.4 (dated 18 December 2020; </w:t>
      </w:r>
      <w:r w:rsidRPr="008D4446">
        <w:t>data lock point</w:t>
      </w:r>
      <w:r w:rsidR="00A928FC" w:rsidRPr="008D4446">
        <w:t xml:space="preserve"> 6</w:t>
      </w:r>
      <w:r w:rsidRPr="008D4446">
        <w:t> </w:t>
      </w:r>
      <w:r w:rsidR="00A928FC" w:rsidRPr="008D4446">
        <w:t xml:space="preserve">September 2018) and </w:t>
      </w:r>
      <w:r w:rsidR="00F15D6F" w:rsidRPr="008D4446">
        <w:t>Australia-specific annex (</w:t>
      </w:r>
      <w:r w:rsidR="00A928FC" w:rsidRPr="008D4446">
        <w:t>ASA</w:t>
      </w:r>
      <w:r w:rsidR="00F15D6F" w:rsidRPr="008D4446">
        <w:t>)</w:t>
      </w:r>
      <w:r w:rsidR="00A928FC" w:rsidRPr="008D4446">
        <w:t xml:space="preserve"> version 0.1 (dated December 2021) in support of this application. In response</w:t>
      </w:r>
      <w:r w:rsidR="00F15D6F" w:rsidRPr="008D4446">
        <w:t xml:space="preserve"> to a TGA request for information</w:t>
      </w:r>
      <w:r w:rsidR="00A928FC" w:rsidRPr="008D4446">
        <w:t>, the sponsor has submitted ASA version 0.2 (dated June 2022) to support its application.</w:t>
      </w:r>
    </w:p>
    <w:p w14:paraId="39F3CD1D" w14:textId="2858ACCC" w:rsidR="0072003B" w:rsidRPr="008D4446" w:rsidRDefault="00C22214" w:rsidP="00C160CB">
      <w:r w:rsidRPr="008D4446">
        <w:t>The summary of safety concerns and their associated risk monitoring and mitigation strategies are summarised in</w:t>
      </w:r>
      <w:r w:rsidR="003B149C" w:rsidRPr="008D4446">
        <w:t xml:space="preserve"> </w:t>
      </w:r>
      <w:r w:rsidR="003B149C" w:rsidRPr="008D4446">
        <w:fldChar w:fldCharType="begin"/>
      </w:r>
      <w:r w:rsidR="003B149C" w:rsidRPr="008D4446">
        <w:instrText xml:space="preserve"> REF _Ref97629131 \h  \* MERGEFORMAT </w:instrText>
      </w:r>
      <w:r w:rsidR="003B149C" w:rsidRPr="008D4446">
        <w:fldChar w:fldCharType="separate"/>
      </w:r>
      <w:r w:rsidR="00703D92" w:rsidRPr="008D4446">
        <w:t xml:space="preserve">Table </w:t>
      </w:r>
      <w:r w:rsidR="00703D92">
        <w:t>17</w:t>
      </w:r>
      <w:r w:rsidR="003B149C" w:rsidRPr="008D4446">
        <w:fldChar w:fldCharType="end"/>
      </w:r>
      <w:r w:rsidR="008C49C6" w:rsidRPr="008D4446">
        <w:t>.</w:t>
      </w:r>
      <w:r w:rsidR="0072003B" w:rsidRPr="008D4446">
        <w:t xml:space="preserve"> The TGA</w:t>
      </w:r>
      <w:r w:rsidR="00C07551" w:rsidRPr="008D4446">
        <w:t xml:space="preserve"> may</w:t>
      </w:r>
      <w:r w:rsidR="0072003B" w:rsidRPr="008D4446">
        <w:t xml:space="preserve"> request an updated RMP at any stage of a product's </w:t>
      </w:r>
      <w:proofErr w:type="gramStart"/>
      <w:r w:rsidR="0072003B" w:rsidRPr="008D4446">
        <w:t>life-cycle</w:t>
      </w:r>
      <w:proofErr w:type="gramEnd"/>
      <w:r w:rsidR="0072003B" w:rsidRPr="008D4446">
        <w:t>, during both the pre-approval and post-approval phases.</w:t>
      </w:r>
    </w:p>
    <w:p w14:paraId="56B51A93" w14:textId="0DE775EA" w:rsidR="006A277A" w:rsidRPr="008D4446" w:rsidRDefault="00C22214" w:rsidP="00C22214">
      <w:pPr>
        <w:pStyle w:val="TableTitle"/>
      </w:pPr>
      <w:bookmarkStart w:id="102" w:name="_Ref97629131"/>
      <w:r w:rsidRPr="008D4446">
        <w:t xml:space="preserve">Table </w:t>
      </w:r>
      <w:r w:rsidR="00434F9A">
        <w:fldChar w:fldCharType="begin"/>
      </w:r>
      <w:r w:rsidR="00434F9A">
        <w:instrText xml:space="preserve"> SEQ Table \* ARABIC </w:instrText>
      </w:r>
      <w:r w:rsidR="00434F9A">
        <w:fldChar w:fldCharType="separate"/>
      </w:r>
      <w:r w:rsidR="00703D92">
        <w:rPr>
          <w:noProof/>
        </w:rPr>
        <w:t>17</w:t>
      </w:r>
      <w:r w:rsidR="00434F9A">
        <w:rPr>
          <w:noProof/>
        </w:rPr>
        <w:fldChar w:fldCharType="end"/>
      </w:r>
      <w:bookmarkEnd w:id="102"/>
      <w:r w:rsidRPr="008D4446">
        <w:t>: Summary of safety concerns</w:t>
      </w:r>
    </w:p>
    <w:tbl>
      <w:tblPr>
        <w:tblStyle w:val="TableTGAblue2023"/>
        <w:tblW w:w="8926" w:type="dxa"/>
        <w:tblLayout w:type="fixed"/>
        <w:tblLook w:val="04A0" w:firstRow="1" w:lastRow="0" w:firstColumn="1" w:lastColumn="0" w:noHBand="0" w:noVBand="1"/>
      </w:tblPr>
      <w:tblGrid>
        <w:gridCol w:w="1696"/>
        <w:gridCol w:w="2410"/>
        <w:gridCol w:w="1134"/>
        <w:gridCol w:w="1276"/>
        <w:gridCol w:w="1134"/>
        <w:gridCol w:w="1276"/>
      </w:tblGrid>
      <w:tr w:rsidR="00A928FC" w:rsidRPr="008D4446" w14:paraId="3FE16676" w14:textId="77777777" w:rsidTr="000B44BD">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106" w:type="dxa"/>
            <w:gridSpan w:val="2"/>
            <w:vMerge w:val="restart"/>
          </w:tcPr>
          <w:p w14:paraId="25069DE5" w14:textId="77777777" w:rsidR="00A928FC" w:rsidRPr="008D4446" w:rsidRDefault="00A928FC" w:rsidP="00C160CB">
            <w:pPr>
              <w:pStyle w:val="Tabletext0"/>
            </w:pPr>
            <w:r w:rsidRPr="008D4446">
              <w:t>Summary of safety concerns</w:t>
            </w:r>
          </w:p>
        </w:tc>
        <w:tc>
          <w:tcPr>
            <w:tcW w:w="2410" w:type="dxa"/>
            <w:gridSpan w:val="2"/>
          </w:tcPr>
          <w:p w14:paraId="09E4298B" w14:textId="77777777" w:rsidR="00A928FC" w:rsidRPr="008D4446" w:rsidRDefault="00A928FC" w:rsidP="00C160CB">
            <w:pPr>
              <w:pStyle w:val="Tabletext0"/>
              <w:cnfStyle w:val="100000000000" w:firstRow="1" w:lastRow="0" w:firstColumn="0" w:lastColumn="0" w:oddVBand="0" w:evenVBand="0" w:oddHBand="0" w:evenHBand="0" w:firstRowFirstColumn="0" w:firstRowLastColumn="0" w:lastRowFirstColumn="0" w:lastRowLastColumn="0"/>
            </w:pPr>
            <w:r w:rsidRPr="008D4446">
              <w:t>Pharmacovigilance</w:t>
            </w:r>
          </w:p>
        </w:tc>
        <w:tc>
          <w:tcPr>
            <w:tcW w:w="2410" w:type="dxa"/>
            <w:gridSpan w:val="2"/>
          </w:tcPr>
          <w:p w14:paraId="111A7AB0" w14:textId="26C3B3C3" w:rsidR="00A928FC" w:rsidRPr="008D4446" w:rsidRDefault="00A928FC" w:rsidP="00C160CB">
            <w:pPr>
              <w:pStyle w:val="Tabletext0"/>
              <w:cnfStyle w:val="100000000000" w:firstRow="1" w:lastRow="0" w:firstColumn="0" w:lastColumn="0" w:oddVBand="0" w:evenVBand="0" w:oddHBand="0" w:evenHBand="0" w:firstRowFirstColumn="0" w:firstRowLastColumn="0" w:lastRowFirstColumn="0" w:lastRowLastColumn="0"/>
            </w:pPr>
            <w:r w:rsidRPr="008D4446">
              <w:t xml:space="preserve">Risk </w:t>
            </w:r>
            <w:r w:rsidR="00BD6046">
              <w:t>m</w:t>
            </w:r>
            <w:r w:rsidRPr="008D4446">
              <w:t>inimisation</w:t>
            </w:r>
          </w:p>
        </w:tc>
      </w:tr>
      <w:tr w:rsidR="00A928FC" w:rsidRPr="008D4446" w14:paraId="6E7091C2" w14:textId="77777777" w:rsidTr="000B44BD">
        <w:trPr>
          <w:trHeight w:val="150"/>
        </w:trPr>
        <w:tc>
          <w:tcPr>
            <w:cnfStyle w:val="001000000000" w:firstRow="0" w:lastRow="0" w:firstColumn="1" w:lastColumn="0" w:oddVBand="0" w:evenVBand="0" w:oddHBand="0" w:evenHBand="0" w:firstRowFirstColumn="0" w:firstRowLastColumn="0" w:lastRowFirstColumn="0" w:lastRowLastColumn="0"/>
            <w:tcW w:w="4106" w:type="dxa"/>
            <w:gridSpan w:val="2"/>
            <w:vMerge/>
          </w:tcPr>
          <w:p w14:paraId="4524A35E" w14:textId="77777777" w:rsidR="00A928FC" w:rsidRPr="008D4446" w:rsidRDefault="00A928FC" w:rsidP="00C160CB">
            <w:pPr>
              <w:pStyle w:val="Tabletext0"/>
            </w:pPr>
          </w:p>
        </w:tc>
        <w:tc>
          <w:tcPr>
            <w:tcW w:w="1134" w:type="dxa"/>
            <w:shd w:val="clear" w:color="auto" w:fill="DEEAF6"/>
          </w:tcPr>
          <w:p w14:paraId="299C3992" w14:textId="77777777" w:rsidR="00A928FC" w:rsidRPr="008D4446" w:rsidRDefault="00A928FC" w:rsidP="00C160CB">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8D4446">
              <w:rPr>
                <w:b/>
                <w:color w:val="263287"/>
              </w:rPr>
              <w:t>Routine</w:t>
            </w:r>
          </w:p>
        </w:tc>
        <w:tc>
          <w:tcPr>
            <w:tcW w:w="1276" w:type="dxa"/>
            <w:shd w:val="clear" w:color="auto" w:fill="DEEAF6"/>
          </w:tcPr>
          <w:p w14:paraId="69596982" w14:textId="77777777" w:rsidR="00A928FC" w:rsidRPr="008D4446" w:rsidRDefault="00A928FC" w:rsidP="00C160CB">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8D4446">
              <w:rPr>
                <w:b/>
                <w:color w:val="263287"/>
              </w:rPr>
              <w:t>Additional</w:t>
            </w:r>
          </w:p>
        </w:tc>
        <w:tc>
          <w:tcPr>
            <w:tcW w:w="1134" w:type="dxa"/>
            <w:shd w:val="clear" w:color="auto" w:fill="DEEAF6"/>
          </w:tcPr>
          <w:p w14:paraId="26318768" w14:textId="77777777" w:rsidR="00A928FC" w:rsidRPr="008D4446" w:rsidRDefault="00A928FC" w:rsidP="00C160CB">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8D4446">
              <w:rPr>
                <w:b/>
                <w:color w:val="263287"/>
              </w:rPr>
              <w:t>Routine</w:t>
            </w:r>
          </w:p>
        </w:tc>
        <w:tc>
          <w:tcPr>
            <w:tcW w:w="1276" w:type="dxa"/>
            <w:shd w:val="clear" w:color="auto" w:fill="DEEAF6"/>
          </w:tcPr>
          <w:p w14:paraId="552458D4" w14:textId="77777777" w:rsidR="00A928FC" w:rsidRPr="008D4446" w:rsidRDefault="00A928FC" w:rsidP="00C160CB">
            <w:pPr>
              <w:pStyle w:val="Tabletext0"/>
              <w:keepNext/>
              <w:cnfStyle w:val="000000000000" w:firstRow="0" w:lastRow="0" w:firstColumn="0" w:lastColumn="0" w:oddVBand="0" w:evenVBand="0" w:oddHBand="0" w:evenHBand="0" w:firstRowFirstColumn="0" w:firstRowLastColumn="0" w:lastRowFirstColumn="0" w:lastRowLastColumn="0"/>
              <w:rPr>
                <w:b/>
                <w:color w:val="263287"/>
              </w:rPr>
            </w:pPr>
            <w:r w:rsidRPr="008D4446">
              <w:rPr>
                <w:b/>
                <w:color w:val="263287"/>
              </w:rPr>
              <w:t>Additional</w:t>
            </w:r>
          </w:p>
        </w:tc>
      </w:tr>
      <w:tr w:rsidR="00A928FC" w:rsidRPr="008D4446" w14:paraId="4F7D9C48" w14:textId="77777777" w:rsidTr="000B44BD">
        <w:trPr>
          <w:trHeight w:val="137"/>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6F94AA06" w14:textId="77777777" w:rsidR="00A928FC" w:rsidRPr="008D4446" w:rsidRDefault="00A928FC" w:rsidP="00C160CB">
            <w:pPr>
              <w:pStyle w:val="Tabletext0"/>
              <w:rPr>
                <w:b/>
                <w:bCs/>
              </w:rPr>
            </w:pPr>
            <w:r w:rsidRPr="008D4446">
              <w:rPr>
                <w:b/>
                <w:bCs/>
              </w:rPr>
              <w:t>Important identified risks</w:t>
            </w:r>
          </w:p>
        </w:tc>
        <w:tc>
          <w:tcPr>
            <w:tcW w:w="2410" w:type="dxa"/>
          </w:tcPr>
          <w:p w14:paraId="354B8D69"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Bleeding in patients on anti-thrombotic therapy</w:t>
            </w:r>
          </w:p>
        </w:tc>
        <w:tc>
          <w:tcPr>
            <w:tcW w:w="1134" w:type="dxa"/>
          </w:tcPr>
          <w:p w14:paraId="2E7CB7E8"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sym w:font="Wingdings" w:char="F0FC"/>
            </w:r>
          </w:p>
        </w:tc>
        <w:tc>
          <w:tcPr>
            <w:tcW w:w="1276" w:type="dxa"/>
          </w:tcPr>
          <w:p w14:paraId="01A8130E"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c>
          <w:tcPr>
            <w:tcW w:w="1134" w:type="dxa"/>
          </w:tcPr>
          <w:p w14:paraId="27EFB669"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sym w:font="Wingdings" w:char="F0FC"/>
            </w:r>
          </w:p>
        </w:tc>
        <w:tc>
          <w:tcPr>
            <w:tcW w:w="1276" w:type="dxa"/>
          </w:tcPr>
          <w:p w14:paraId="3235A813"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r>
      <w:tr w:rsidR="00A928FC" w:rsidRPr="008D4446" w14:paraId="3AA59D76" w14:textId="77777777" w:rsidTr="000B44BD">
        <w:trPr>
          <w:trHeight w:val="187"/>
        </w:trPr>
        <w:tc>
          <w:tcPr>
            <w:cnfStyle w:val="001000000000" w:firstRow="0" w:lastRow="0" w:firstColumn="1" w:lastColumn="0" w:oddVBand="0" w:evenVBand="0" w:oddHBand="0" w:evenHBand="0" w:firstRowFirstColumn="0" w:firstRowLastColumn="0" w:lastRowFirstColumn="0" w:lastRowLastColumn="0"/>
            <w:tcW w:w="1696" w:type="dxa"/>
            <w:vMerge/>
          </w:tcPr>
          <w:p w14:paraId="20E16145" w14:textId="77777777" w:rsidR="00A928FC" w:rsidRPr="008D4446" w:rsidRDefault="00A928FC" w:rsidP="00C160CB">
            <w:pPr>
              <w:pStyle w:val="Tabletext0"/>
              <w:rPr>
                <w:b/>
                <w:bCs/>
              </w:rPr>
            </w:pPr>
          </w:p>
        </w:tc>
        <w:tc>
          <w:tcPr>
            <w:tcW w:w="2410" w:type="dxa"/>
          </w:tcPr>
          <w:p w14:paraId="015D4D77"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Atrial fibrillation/flutter</w:t>
            </w:r>
          </w:p>
        </w:tc>
        <w:tc>
          <w:tcPr>
            <w:tcW w:w="1134" w:type="dxa"/>
          </w:tcPr>
          <w:p w14:paraId="737186F3"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sym w:font="Wingdings" w:char="F0FC"/>
            </w:r>
          </w:p>
        </w:tc>
        <w:tc>
          <w:tcPr>
            <w:tcW w:w="1276" w:type="dxa"/>
          </w:tcPr>
          <w:p w14:paraId="6553055F"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c>
          <w:tcPr>
            <w:tcW w:w="1134" w:type="dxa"/>
          </w:tcPr>
          <w:p w14:paraId="3D0204DF"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sym w:font="Wingdings" w:char="F0FC"/>
            </w:r>
          </w:p>
        </w:tc>
        <w:tc>
          <w:tcPr>
            <w:tcW w:w="1276" w:type="dxa"/>
          </w:tcPr>
          <w:p w14:paraId="1181C66A"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r>
      <w:tr w:rsidR="00A928FC" w:rsidRPr="008D4446" w14:paraId="51FD9694" w14:textId="77777777" w:rsidTr="000B44BD">
        <w:trPr>
          <w:trHeight w:val="159"/>
        </w:trPr>
        <w:tc>
          <w:tcPr>
            <w:cnfStyle w:val="001000000000" w:firstRow="0" w:lastRow="0" w:firstColumn="1" w:lastColumn="0" w:oddVBand="0" w:evenVBand="0" w:oddHBand="0" w:evenHBand="0" w:firstRowFirstColumn="0" w:firstRowLastColumn="0" w:lastRowFirstColumn="0" w:lastRowLastColumn="0"/>
            <w:tcW w:w="1696" w:type="dxa"/>
          </w:tcPr>
          <w:p w14:paraId="7E96803F" w14:textId="77777777" w:rsidR="00A928FC" w:rsidRPr="008D4446" w:rsidRDefault="00A928FC" w:rsidP="00C160CB">
            <w:pPr>
              <w:pStyle w:val="Tabletext0"/>
              <w:rPr>
                <w:b/>
                <w:bCs/>
              </w:rPr>
            </w:pPr>
            <w:r w:rsidRPr="008D4446">
              <w:rPr>
                <w:b/>
                <w:bCs/>
              </w:rPr>
              <w:lastRenderedPageBreak/>
              <w:t>Important potential risks</w:t>
            </w:r>
          </w:p>
        </w:tc>
        <w:tc>
          <w:tcPr>
            <w:tcW w:w="2410" w:type="dxa"/>
          </w:tcPr>
          <w:p w14:paraId="6EC2DC8E"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None</w:t>
            </w:r>
          </w:p>
        </w:tc>
        <w:tc>
          <w:tcPr>
            <w:tcW w:w="1134" w:type="dxa"/>
          </w:tcPr>
          <w:p w14:paraId="4494348A"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c>
          <w:tcPr>
            <w:tcW w:w="1276" w:type="dxa"/>
          </w:tcPr>
          <w:p w14:paraId="04B05CD7"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c>
          <w:tcPr>
            <w:tcW w:w="1134" w:type="dxa"/>
          </w:tcPr>
          <w:p w14:paraId="7CE65B40"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c>
          <w:tcPr>
            <w:tcW w:w="1276" w:type="dxa"/>
          </w:tcPr>
          <w:p w14:paraId="2C479A77"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r>
      <w:tr w:rsidR="00A928FC" w:rsidRPr="008D4446" w14:paraId="36E060B9" w14:textId="77777777" w:rsidTr="000B44BD">
        <w:trPr>
          <w:trHeight w:val="178"/>
        </w:trPr>
        <w:tc>
          <w:tcPr>
            <w:cnfStyle w:val="001000000000" w:firstRow="0" w:lastRow="0" w:firstColumn="1" w:lastColumn="0" w:oddVBand="0" w:evenVBand="0" w:oddHBand="0" w:evenHBand="0" w:firstRowFirstColumn="0" w:firstRowLastColumn="0" w:lastRowFirstColumn="0" w:lastRowLastColumn="0"/>
            <w:tcW w:w="1696" w:type="dxa"/>
          </w:tcPr>
          <w:p w14:paraId="08869352" w14:textId="77777777" w:rsidR="00A928FC" w:rsidRPr="008D4446" w:rsidRDefault="00A928FC" w:rsidP="00C160CB">
            <w:pPr>
              <w:pStyle w:val="Tabletext0"/>
              <w:rPr>
                <w:b/>
                <w:bCs/>
              </w:rPr>
            </w:pPr>
            <w:r w:rsidRPr="008D4446">
              <w:rPr>
                <w:b/>
                <w:bCs/>
              </w:rPr>
              <w:t>Missing information</w:t>
            </w:r>
          </w:p>
        </w:tc>
        <w:tc>
          <w:tcPr>
            <w:tcW w:w="2410" w:type="dxa"/>
          </w:tcPr>
          <w:p w14:paraId="2DCE6551"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Use in pregnant and breast-feeding women</w:t>
            </w:r>
          </w:p>
        </w:tc>
        <w:tc>
          <w:tcPr>
            <w:tcW w:w="1134" w:type="dxa"/>
          </w:tcPr>
          <w:p w14:paraId="62119490"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sym w:font="Wingdings" w:char="F0FC"/>
            </w:r>
            <w:r w:rsidRPr="008D4446">
              <w:t>*</w:t>
            </w:r>
          </w:p>
        </w:tc>
        <w:tc>
          <w:tcPr>
            <w:tcW w:w="1276" w:type="dxa"/>
          </w:tcPr>
          <w:p w14:paraId="577D44BC"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c>
          <w:tcPr>
            <w:tcW w:w="1134" w:type="dxa"/>
          </w:tcPr>
          <w:p w14:paraId="7BC2B3C3"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sym w:font="Wingdings" w:char="F0FC"/>
            </w:r>
          </w:p>
        </w:tc>
        <w:tc>
          <w:tcPr>
            <w:tcW w:w="1276" w:type="dxa"/>
          </w:tcPr>
          <w:p w14:paraId="77774D60" w14:textId="77777777" w:rsidR="00A928FC" w:rsidRPr="008D4446" w:rsidRDefault="00A928FC" w:rsidP="00C160CB">
            <w:pPr>
              <w:pStyle w:val="Tabletext0"/>
              <w:cnfStyle w:val="000000000000" w:firstRow="0" w:lastRow="0" w:firstColumn="0" w:lastColumn="0" w:oddVBand="0" w:evenVBand="0" w:oddHBand="0" w:evenHBand="0" w:firstRowFirstColumn="0" w:firstRowLastColumn="0" w:lastRowFirstColumn="0" w:lastRowLastColumn="0"/>
            </w:pPr>
            <w:r w:rsidRPr="008D4446">
              <w:t>–</w:t>
            </w:r>
          </w:p>
        </w:tc>
      </w:tr>
    </w:tbl>
    <w:p w14:paraId="58EB74FE" w14:textId="3DF6AE29" w:rsidR="00A928FC" w:rsidRPr="008D4446" w:rsidRDefault="00A928FC" w:rsidP="001668EC">
      <w:pPr>
        <w:pStyle w:val="TableDescription"/>
      </w:pPr>
      <w:r w:rsidRPr="008D4446">
        <w:t>*Pregnancy notification and follow-up form and specific breastfeeding follow-up form</w:t>
      </w:r>
    </w:p>
    <w:p w14:paraId="3FBC7E74" w14:textId="77777777" w:rsidR="00A928FC" w:rsidRPr="00BD6046" w:rsidRDefault="00A928FC" w:rsidP="00BD6046">
      <w:r w:rsidRPr="00BD6046">
        <w:t>The summary of safety concerns is adequate.</w:t>
      </w:r>
    </w:p>
    <w:p w14:paraId="3D4C001B" w14:textId="3B84314A" w:rsidR="00A928FC" w:rsidRPr="00BD6046" w:rsidRDefault="00A928FC" w:rsidP="00BD6046">
      <w:r w:rsidRPr="00BD6046">
        <w:t>Routine pharmacovigilance activities only are proposed. This is acceptable for this COR-B application, which is using the EMA as the comparable overseas regulator.</w:t>
      </w:r>
    </w:p>
    <w:p w14:paraId="27ACEF17" w14:textId="77777777" w:rsidR="00A928FC" w:rsidRPr="00BD6046" w:rsidRDefault="00A928FC" w:rsidP="00BD6046">
      <w:r w:rsidRPr="00BD6046">
        <w:t>Routine risk minimisation activities only are proposed. The CMI will be included in the packaging and will be a routine risk minimisation activity as stated in the ASA. Routine risk minimisation activities only are adequate as the medicine is administered orally and does not require any additional instructions for use.</w:t>
      </w:r>
    </w:p>
    <w:p w14:paraId="74A4F87F" w14:textId="77777777" w:rsidR="00C22214" w:rsidRPr="008D4446" w:rsidRDefault="00C22214" w:rsidP="00C22214">
      <w:pPr>
        <w:pStyle w:val="Heading3"/>
      </w:pPr>
      <w:bookmarkStart w:id="103" w:name="_Toc103679299"/>
      <w:bookmarkStart w:id="104" w:name="_Toc145413876"/>
      <w:r w:rsidRPr="008D4446">
        <w:t>Risk-benefit analysis</w:t>
      </w:r>
      <w:bookmarkEnd w:id="100"/>
      <w:bookmarkEnd w:id="101"/>
      <w:bookmarkEnd w:id="103"/>
      <w:bookmarkEnd w:id="104"/>
    </w:p>
    <w:p w14:paraId="77DE2655" w14:textId="77777777" w:rsidR="00C22214" w:rsidRPr="008D4446" w:rsidRDefault="00C22214" w:rsidP="00C22214">
      <w:pPr>
        <w:pStyle w:val="Heading4"/>
      </w:pPr>
      <w:bookmarkStart w:id="105" w:name="_Toc98931932"/>
      <w:bookmarkStart w:id="106" w:name="_Toc145413877"/>
      <w:r w:rsidRPr="008D4446">
        <w:t>Delegate’s considerations</w:t>
      </w:r>
      <w:bookmarkEnd w:id="105"/>
      <w:bookmarkEnd w:id="106"/>
    </w:p>
    <w:p w14:paraId="49EA041D" w14:textId="77777777" w:rsidR="00A928FC" w:rsidRPr="008D4446" w:rsidRDefault="00A928FC" w:rsidP="00A928FC">
      <w:pPr>
        <w:pStyle w:val="Heading5"/>
      </w:pPr>
      <w:r w:rsidRPr="008D4446">
        <w:t>Efficacy</w:t>
      </w:r>
    </w:p>
    <w:p w14:paraId="31ACBB6E" w14:textId="0AFB0642" w:rsidR="00A928FC" w:rsidRPr="008D4446" w:rsidRDefault="00A928FC" w:rsidP="00C160CB">
      <w:r w:rsidRPr="008D4446">
        <w:t>The efficacy of Vazkepa in the proposed indication is based primarily on one pivotal cardiovascular outcomes study (</w:t>
      </w:r>
      <w:r w:rsidR="000B44BD" w:rsidRPr="008D4446">
        <w:t xml:space="preserve">the </w:t>
      </w:r>
      <w:r w:rsidRPr="008D4446">
        <w:t>REDUCE-IT</w:t>
      </w:r>
      <w:r w:rsidR="000B44BD" w:rsidRPr="008D4446">
        <w:t xml:space="preserve"> trial</w:t>
      </w:r>
      <w:r w:rsidRPr="008D4446">
        <w:t xml:space="preserve">), supported by two </w:t>
      </w:r>
      <w:r w:rsidR="007B2B56" w:rsidRPr="008D4446">
        <w:t>Phase III</w:t>
      </w:r>
      <w:r w:rsidRPr="008D4446">
        <w:t xml:space="preserve"> studies (</w:t>
      </w:r>
      <w:r w:rsidR="000B44BD" w:rsidRPr="008D4446">
        <w:t xml:space="preserve">the </w:t>
      </w:r>
      <w:r w:rsidRPr="008D4446">
        <w:t>MARINE and ANCHOR</w:t>
      </w:r>
      <w:r w:rsidR="000B44BD" w:rsidRPr="008D4446">
        <w:t xml:space="preserve"> trials</w:t>
      </w:r>
      <w:r w:rsidRPr="008D4446">
        <w:t xml:space="preserve">) which evaluated efficacy in terms of effect on triglyceride and other plasma biomarkers in patients with </w:t>
      </w:r>
      <w:proofErr w:type="spellStart"/>
      <w:r w:rsidRPr="008D4446">
        <w:t>hypertriglyceridaemia</w:t>
      </w:r>
      <w:proofErr w:type="spellEnd"/>
      <w:r w:rsidRPr="008D4446">
        <w:t>.</w:t>
      </w:r>
    </w:p>
    <w:p w14:paraId="4A9F3E35" w14:textId="39513819" w:rsidR="00A928FC" w:rsidRPr="008D4446" w:rsidRDefault="000B44BD" w:rsidP="00C160CB">
      <w:r w:rsidRPr="008D4446">
        <w:t xml:space="preserve">The </w:t>
      </w:r>
      <w:r w:rsidR="00A928FC" w:rsidRPr="008D4446">
        <w:t xml:space="preserve">REDUCE-IT </w:t>
      </w:r>
      <w:r w:rsidRPr="008D4446">
        <w:t xml:space="preserve">trial </w:t>
      </w:r>
      <w:r w:rsidR="00A928FC" w:rsidRPr="008D4446">
        <w:t>was a randomised, placebo</w:t>
      </w:r>
      <w:r w:rsidRPr="008D4446">
        <w:t xml:space="preserve"> </w:t>
      </w:r>
      <w:r w:rsidR="00A928FC" w:rsidRPr="008D4446">
        <w:t>controlled, event</w:t>
      </w:r>
      <w:r w:rsidRPr="008D4446">
        <w:t xml:space="preserve"> </w:t>
      </w:r>
      <w:r w:rsidR="00A928FC" w:rsidRPr="008D4446">
        <w:t xml:space="preserve">driven </w:t>
      </w:r>
      <w:r w:rsidRPr="008D4446">
        <w:t>clinical trial</w:t>
      </w:r>
      <w:r w:rsidR="00A928FC" w:rsidRPr="008D4446">
        <w:t xml:space="preserve"> conducted in patients with moderately elevated triglyceride (≥</w:t>
      </w:r>
      <w:r w:rsidRPr="008D4446">
        <w:t xml:space="preserve"> </w:t>
      </w:r>
      <w:r w:rsidR="00A928FC" w:rsidRPr="008D4446">
        <w:t>1.5 mmol/L and &lt;</w:t>
      </w:r>
      <w:r w:rsidRPr="008D4446">
        <w:t xml:space="preserve"> </w:t>
      </w:r>
      <w:r w:rsidR="00A928FC" w:rsidRPr="008D4446">
        <w:t>5.6 mmol/L) on statin therapy and at high risk of a cardiovascular event. The study included two cohorts: a secondary prevention cohort comprising men and women 45 years of age</w:t>
      </w:r>
      <w:r w:rsidRPr="008D4446">
        <w:t xml:space="preserve"> or older</w:t>
      </w:r>
      <w:r w:rsidR="00A928FC" w:rsidRPr="008D4446">
        <w:t xml:space="preserve"> with established cardiovascular disease, and a primary prevention cohort comprising men and women 50 years of age </w:t>
      </w:r>
      <w:r w:rsidRPr="008D4446">
        <w:t xml:space="preserve">or older </w:t>
      </w:r>
      <w:r w:rsidR="00A928FC" w:rsidRPr="008D4446">
        <w:t>at high risk for cardiovascular disease based on having diabetes mellitus (type</w:t>
      </w:r>
      <w:r w:rsidRPr="008D4446">
        <w:t> </w:t>
      </w:r>
      <w:r w:rsidR="00A928FC" w:rsidRPr="008D4446">
        <w:t>1 or 2) requiring treatment with medication and one or more pre-defined cardiovascular risk factors. The primary objective was to evaluate the efficacy of Vazkepa 4 g/day compared to placebo in reducing the risk of major cardiovascular events.</w:t>
      </w:r>
    </w:p>
    <w:p w14:paraId="5A224986" w14:textId="3B0C5CF9" w:rsidR="00A928FC" w:rsidRPr="008D4446" w:rsidRDefault="00A928FC" w:rsidP="00C160CB">
      <w:r w:rsidRPr="008D4446">
        <w:t>The dose of Vazkepa evaluated in</w:t>
      </w:r>
      <w:r w:rsidR="000B44BD" w:rsidRPr="008D4446">
        <w:t xml:space="preserve"> the</w:t>
      </w:r>
      <w:r w:rsidRPr="008D4446">
        <w:t xml:space="preserve"> REDUCE-IT </w:t>
      </w:r>
      <w:r w:rsidR="000B44BD" w:rsidRPr="008D4446">
        <w:t xml:space="preserve">trial </w:t>
      </w:r>
      <w:r w:rsidRPr="008D4446">
        <w:t xml:space="preserve">was </w:t>
      </w:r>
      <w:r w:rsidR="000B44BD" w:rsidRPr="008D4446">
        <w:t>two</w:t>
      </w:r>
      <w:r w:rsidRPr="008D4446">
        <w:t xml:space="preserve"> capsules twice daily (</w:t>
      </w:r>
      <w:r w:rsidR="000B44BD" w:rsidRPr="008D4446">
        <w:t xml:space="preserve">that is, </w:t>
      </w:r>
      <w:r w:rsidRPr="008D4446">
        <w:t>4</w:t>
      </w:r>
      <w:r w:rsidR="000B44BD" w:rsidRPr="008D4446">
        <w:t> </w:t>
      </w:r>
      <w:r w:rsidRPr="008D4446">
        <w:t xml:space="preserve">g/day). Dose selection was informed by efficacy (primarily triglyceride lowering) and safety findings from the MARINE and ANCHOR </w:t>
      </w:r>
      <w:r w:rsidR="000B44BD" w:rsidRPr="008D4446">
        <w:t>trials</w:t>
      </w:r>
      <w:r w:rsidRPr="008D4446">
        <w:t xml:space="preserve"> which evaluated doses of 2 g/day and 4 g/day.</w:t>
      </w:r>
    </w:p>
    <w:p w14:paraId="706B8473" w14:textId="12640960" w:rsidR="00A928FC" w:rsidRPr="008D4446" w:rsidRDefault="000B44BD" w:rsidP="00C160CB">
      <w:r w:rsidRPr="008D4446">
        <w:t xml:space="preserve">The </w:t>
      </w:r>
      <w:r w:rsidR="00A928FC" w:rsidRPr="008D4446">
        <w:t>REDUCE-IT</w:t>
      </w:r>
      <w:r w:rsidRPr="008D4446">
        <w:t xml:space="preserve"> trial</w:t>
      </w:r>
      <w:r w:rsidR="00A928FC" w:rsidRPr="008D4446">
        <w:t xml:space="preserve"> met its primary endpoint, demonstrating a significant reduction in the 5</w:t>
      </w:r>
      <w:r w:rsidRPr="008D4446">
        <w:noBreakHyphen/>
      </w:r>
      <w:r w:rsidR="00A928FC" w:rsidRPr="008D4446">
        <w:t>point MACE composite primary endpoint (cardiovascular death, non-fatal myocardial infarction (including silent myocardial infarction), non-fatal stroke, coronary revascularisation, unstable angina requiring emergent hospitalisation). A primary endpoint event occurred in 17.2% (705</w:t>
      </w:r>
      <w:r w:rsidRPr="008D4446">
        <w:t xml:space="preserve"> of </w:t>
      </w:r>
      <w:r w:rsidR="00A928FC" w:rsidRPr="008D4446">
        <w:t>4089) of patients in the Vazkepa group compared to 22.0% (901</w:t>
      </w:r>
      <w:r w:rsidRPr="008D4446">
        <w:t xml:space="preserve"> of </w:t>
      </w:r>
      <w:r w:rsidR="00A928FC" w:rsidRPr="008D4446">
        <w:t>4090) of patients in the placebo group (</w:t>
      </w:r>
      <w:r w:rsidR="00F15D6F" w:rsidRPr="008D4446">
        <w:t>hazard ratio</w:t>
      </w:r>
      <w:r w:rsidR="00A928FC" w:rsidRPr="008D4446">
        <w:t xml:space="preserve"> 0.752 (95% CI: 0.682</w:t>
      </w:r>
      <w:r w:rsidRPr="008D4446">
        <w:t>,</w:t>
      </w:r>
      <w:r w:rsidR="00A928FC" w:rsidRPr="008D4446">
        <w:t xml:space="preserve"> 0.830; p</w:t>
      </w:r>
      <w:r w:rsidRPr="008D4446">
        <w:t xml:space="preserve"> </w:t>
      </w:r>
      <w:r w:rsidR="00A928FC" w:rsidRPr="008D4446">
        <w:t>=</w:t>
      </w:r>
      <w:r w:rsidRPr="008D4446">
        <w:t xml:space="preserve"> </w:t>
      </w:r>
      <w:r w:rsidR="00A928FC" w:rsidRPr="008D4446">
        <w:t xml:space="preserve">0.00000001), relative risk reduction 24.8%, absolute risk reduction 4.8%, </w:t>
      </w:r>
      <w:r w:rsidR="007B2B56" w:rsidRPr="008D4446">
        <w:t>number needed to treat</w:t>
      </w:r>
      <w:r w:rsidR="00A928FC" w:rsidRPr="008D4446">
        <w:t xml:space="preserve"> 21). Each of the components of the composite primary endpoint contributed to the outcome. A similar benefit was observed for the key secondary endpoint, a 3-point MACE composite of </w:t>
      </w:r>
      <w:r w:rsidR="00A928FC" w:rsidRPr="008D4446">
        <w:lastRenderedPageBreak/>
        <w:t xml:space="preserve">cardiovascular death, nonfatal myocardial infarction (including silent myocardial infarction), and nonfatal stroke. Statistically significant benefits were observed for the other secondary endpoints </w:t>
      </w:r>
      <w:proofErr w:type="gramStart"/>
      <w:r w:rsidR="00A928FC" w:rsidRPr="008D4446">
        <w:t>with the exception of</w:t>
      </w:r>
      <w:proofErr w:type="gramEnd"/>
      <w:r w:rsidR="00A928FC" w:rsidRPr="008D4446">
        <w:t xml:space="preserve"> total mortality, the last endpoint in the testing hierarchy. For total mortality, there was a trend favouring Vazkepa (</w:t>
      </w:r>
      <w:r w:rsidR="00F15D6F" w:rsidRPr="008D4446">
        <w:t>hazard ratio</w:t>
      </w:r>
      <w:r w:rsidR="00A928FC" w:rsidRPr="008D4446">
        <w:t xml:space="preserve"> 0.87; 95% CI</w:t>
      </w:r>
      <w:r w:rsidRPr="008D4446">
        <w:t>:</w:t>
      </w:r>
      <w:r w:rsidR="00A928FC" w:rsidRPr="008D4446">
        <w:t xml:space="preserve"> 0.739</w:t>
      </w:r>
      <w:r w:rsidRPr="008D4446">
        <w:t xml:space="preserve">, </w:t>
      </w:r>
      <w:r w:rsidR="00A928FC" w:rsidRPr="008D4446">
        <w:t>1.023) but it was not statistically significant.</w:t>
      </w:r>
    </w:p>
    <w:p w14:paraId="67C529C2" w14:textId="09BB2691" w:rsidR="00A928FC" w:rsidRPr="008D4446" w:rsidRDefault="00A928FC" w:rsidP="00C160CB">
      <w:r w:rsidRPr="008D4446">
        <w:t xml:space="preserve">An issue raised during the evaluation was the potential for a negative impact on cardiovascular outcomes from the placebo treatment. Mineral oil was chosen as the placebo comparator to match the colour and consistency of Vazkepa; however, findings from the </w:t>
      </w:r>
      <w:r w:rsidR="007B2B56" w:rsidRPr="008D4446">
        <w:t>Phase III</w:t>
      </w:r>
      <w:r w:rsidRPr="008D4446">
        <w:t xml:space="preserve"> studies raise some uncertainty as to whether mineral oil is inert </w:t>
      </w:r>
      <w:proofErr w:type="gramStart"/>
      <w:r w:rsidRPr="008D4446">
        <w:t>with regard to</w:t>
      </w:r>
      <w:proofErr w:type="gramEnd"/>
      <w:r w:rsidRPr="008D4446">
        <w:t xml:space="preserve"> effects on plasma lipids, lipoproteins, and inflammatory parameters. Increases in triglyceride, non-HDL</w:t>
      </w:r>
      <w:r w:rsidR="00F15D6F" w:rsidRPr="008D4446">
        <w:t xml:space="preserve"> cholesterol</w:t>
      </w:r>
      <w:r w:rsidRPr="008D4446">
        <w:t>, LDL</w:t>
      </w:r>
      <w:r w:rsidR="00F15D6F" w:rsidRPr="008D4446">
        <w:t xml:space="preserve"> cholesterol</w:t>
      </w:r>
      <w:r w:rsidRPr="008D4446">
        <w:t xml:space="preserve">, </w:t>
      </w:r>
      <w:r w:rsidR="00F15D6F" w:rsidRPr="008D4446">
        <w:t xml:space="preserve">apolipoprotein </w:t>
      </w:r>
      <w:r w:rsidRPr="008D4446">
        <w:t xml:space="preserve">B, and </w:t>
      </w:r>
      <w:r w:rsidR="00F15D6F" w:rsidRPr="008D4446">
        <w:t xml:space="preserve">high-sensitivity </w:t>
      </w:r>
      <w:r w:rsidRPr="008D4446">
        <w:t xml:space="preserve">CRP were observed in the placebo arm of the pivotal </w:t>
      </w:r>
      <w:r w:rsidR="00125C81" w:rsidRPr="008D4446">
        <w:t>study,</w:t>
      </w:r>
      <w:r w:rsidRPr="008D4446">
        <w:t xml:space="preserve"> and it remains uncertain the extent to which these changes could have impacted on cardiovascular outcomes.</w:t>
      </w:r>
    </w:p>
    <w:p w14:paraId="11DFEC98" w14:textId="17113883" w:rsidR="00A928FC" w:rsidRPr="008D4446" w:rsidRDefault="00A928FC" w:rsidP="00C160CB">
      <w:r w:rsidRPr="008D4446">
        <w:t>This issue was summarised in the CHMP Assessment Report.</w:t>
      </w:r>
      <w:r w:rsidR="00776E1E" w:rsidRPr="008D4446">
        <w:rPr>
          <w:vertAlign w:val="superscript"/>
        </w:rPr>
        <w:fldChar w:fldCharType="begin"/>
      </w:r>
      <w:r w:rsidR="00776E1E" w:rsidRPr="008D4446">
        <w:rPr>
          <w:vertAlign w:val="superscript"/>
        </w:rPr>
        <w:instrText xml:space="preserve"> NOTEREF _Ref142913692 \h  \* MERGEFORMAT </w:instrText>
      </w:r>
      <w:r w:rsidR="00776E1E" w:rsidRPr="008D4446">
        <w:rPr>
          <w:vertAlign w:val="superscript"/>
        </w:rPr>
      </w:r>
      <w:r w:rsidR="00776E1E" w:rsidRPr="008D4446">
        <w:rPr>
          <w:vertAlign w:val="superscript"/>
        </w:rPr>
        <w:fldChar w:fldCharType="separate"/>
      </w:r>
      <w:r w:rsidR="00703D92">
        <w:rPr>
          <w:vertAlign w:val="superscript"/>
        </w:rPr>
        <w:t>9</w:t>
      </w:r>
      <w:r w:rsidR="00776E1E" w:rsidRPr="008D4446">
        <w:rPr>
          <w:vertAlign w:val="superscript"/>
        </w:rPr>
        <w:fldChar w:fldCharType="end"/>
      </w:r>
      <w:r w:rsidRPr="008D4446">
        <w:t xml:space="preserve"> The </w:t>
      </w:r>
      <w:r w:rsidR="000B44BD" w:rsidRPr="008D4446">
        <w:t>sponsor</w:t>
      </w:r>
      <w:r w:rsidRPr="008D4446">
        <w:t xml:space="preserve"> presented a </w:t>
      </w:r>
      <w:r w:rsidR="000B44BD" w:rsidRPr="008D4446">
        <w:t>worst-case</w:t>
      </w:r>
      <w:r w:rsidRPr="008D4446">
        <w:t xml:space="preserve"> scenario analysis of the maximally conceivable negative impact of the comparator based on the assumptions that all of the observed effects on plasma parameters were due to the mineral oil and that each effect had an independent and additive impact on cardiovascular events. This </w:t>
      </w:r>
      <w:r w:rsidR="000B44BD" w:rsidRPr="008D4446">
        <w:t>worst-case</w:t>
      </w:r>
      <w:r w:rsidRPr="008D4446">
        <w:t xml:space="preserve"> scenario analysis estimated that the effects of the mineral oil could increase cardiovascular events by up to 15%. The evaluation acknowledged the substantial limitations of this worst</w:t>
      </w:r>
      <w:r w:rsidR="000B44BD" w:rsidRPr="008D4446">
        <w:t>-</w:t>
      </w:r>
      <w:r w:rsidRPr="008D4446">
        <w:t>case scenario analysis and the likelihood that this analysis was overly pessimistic with regard to the possible effect on cardiovascular events.</w:t>
      </w:r>
      <w:r w:rsidR="00776E1E" w:rsidRPr="008D4446">
        <w:rPr>
          <w:vertAlign w:val="superscript"/>
        </w:rPr>
        <w:fldChar w:fldCharType="begin"/>
      </w:r>
      <w:r w:rsidR="00776E1E" w:rsidRPr="008D4446">
        <w:rPr>
          <w:vertAlign w:val="superscript"/>
        </w:rPr>
        <w:instrText xml:space="preserve"> NOTEREF _Ref142913692 \h  \* MERGEFORMAT </w:instrText>
      </w:r>
      <w:r w:rsidR="00776E1E" w:rsidRPr="008D4446">
        <w:rPr>
          <w:vertAlign w:val="superscript"/>
        </w:rPr>
      </w:r>
      <w:r w:rsidR="00776E1E" w:rsidRPr="008D4446">
        <w:rPr>
          <w:vertAlign w:val="superscript"/>
        </w:rPr>
        <w:fldChar w:fldCharType="separate"/>
      </w:r>
      <w:r w:rsidR="00703D92">
        <w:rPr>
          <w:vertAlign w:val="superscript"/>
        </w:rPr>
        <w:t>9</w:t>
      </w:r>
      <w:r w:rsidR="00776E1E" w:rsidRPr="008D4446">
        <w:rPr>
          <w:vertAlign w:val="superscript"/>
        </w:rPr>
        <w:fldChar w:fldCharType="end"/>
      </w:r>
      <w:r w:rsidRPr="008D4446">
        <w:t xml:space="preserve"> The </w:t>
      </w:r>
      <w:r w:rsidR="000B44BD" w:rsidRPr="008D4446">
        <w:t>sponsor</w:t>
      </w:r>
      <w:r w:rsidRPr="008D4446">
        <w:t xml:space="preserve"> presented additional covariate-based analyses of the pivotal study suggesting that the possible effect of mineral oil on cardiovascular outcomes would be much lower than estimated based on published population-based data, accounting for no more than 0.3</w:t>
      </w:r>
      <w:r w:rsidR="007B2B56" w:rsidRPr="008D4446">
        <w:t>% to</w:t>
      </w:r>
      <w:r w:rsidRPr="008D4446">
        <w:t xml:space="preserve"> 3% of cardiovascular events (based on 3-point MACE). Further post hoc analyses of the REDUCE-IT </w:t>
      </w:r>
      <w:r w:rsidR="000B44BD" w:rsidRPr="008D4446">
        <w:t>trial</w:t>
      </w:r>
      <w:r w:rsidRPr="008D4446">
        <w:t xml:space="preserve"> were presented, suggesting a correlation between EPA concentration and cardiovascular outcome; however, these analyses were not considered robust due to missing data, sparse sampling, and the impact of imputation rules on the results.</w:t>
      </w:r>
    </w:p>
    <w:p w14:paraId="56843306" w14:textId="51789421" w:rsidR="00A928FC" w:rsidRPr="008D4446" w:rsidRDefault="00A928FC" w:rsidP="00C160CB">
      <w:r w:rsidRPr="008D4446">
        <w:t xml:space="preserve">There remains some uncertainty regarding the extent to which the placebo (mineral oil) may have impacted on cardiovascular outcomes through a direct or indirect effect on plasma lipids, lipoproteins, and inflammatory parameters. However, the magnitude of the cardiovascular benefit demonstrated in </w:t>
      </w:r>
      <w:r w:rsidR="000B44BD" w:rsidRPr="008D4446">
        <w:t xml:space="preserve">the </w:t>
      </w:r>
      <w:r w:rsidRPr="008D4446">
        <w:t xml:space="preserve">REDUCE-IT </w:t>
      </w:r>
      <w:r w:rsidR="000B44BD" w:rsidRPr="008D4446">
        <w:t xml:space="preserve">trial </w:t>
      </w:r>
      <w:r w:rsidRPr="008D4446">
        <w:t>provides assurance that treatment with Vazkepa contributed to a clinically meaningful reduction in cardiovascular events. Even in worst-case scenario analyses, which are considered likely to overestimate the cardiovascular risk associated with mineral oil treatment, there still appears to be a clinically meaningful benefit attributable to Vazkepa.</w:t>
      </w:r>
    </w:p>
    <w:p w14:paraId="28A642AD" w14:textId="77777777" w:rsidR="00A928FC" w:rsidRPr="008D4446" w:rsidRDefault="00A928FC" w:rsidP="00A928FC">
      <w:pPr>
        <w:pStyle w:val="Heading5"/>
      </w:pPr>
      <w:r w:rsidRPr="008D4446">
        <w:t>Safety</w:t>
      </w:r>
    </w:p>
    <w:p w14:paraId="0D58A3FE" w14:textId="563EBA36" w:rsidR="00A928FC" w:rsidRPr="008D4446" w:rsidRDefault="00A928FC" w:rsidP="00C160CB">
      <w:r w:rsidRPr="008D4446">
        <w:t>The safety of Vazkepa in the proposed indication is informed primarily by the pivotal study</w:t>
      </w:r>
      <w:r w:rsidR="000B44BD" w:rsidRPr="008D4446">
        <w:t xml:space="preserve"> (the </w:t>
      </w:r>
      <w:r w:rsidRPr="008D4446">
        <w:t>REDUCE-IT</w:t>
      </w:r>
      <w:r w:rsidR="000B44BD" w:rsidRPr="008D4446">
        <w:t xml:space="preserve"> trial)</w:t>
      </w:r>
      <w:r w:rsidRPr="008D4446">
        <w:t xml:space="preserve">, in which over 8,000 patients were treated with Vazkepa or matching placebo for median duration </w:t>
      </w:r>
      <w:r w:rsidR="000B44BD" w:rsidRPr="008D4446">
        <w:t xml:space="preserve">of more than </w:t>
      </w:r>
      <w:r w:rsidRPr="008D4446">
        <w:t xml:space="preserve">4 years. In </w:t>
      </w:r>
      <w:r w:rsidR="000B44BD" w:rsidRPr="008D4446">
        <w:t xml:space="preserve">the </w:t>
      </w:r>
      <w:r w:rsidRPr="008D4446">
        <w:t>REDUCE-IT</w:t>
      </w:r>
      <w:r w:rsidR="000B44BD" w:rsidRPr="008D4446">
        <w:t xml:space="preserve"> trial</w:t>
      </w:r>
      <w:r w:rsidRPr="008D4446">
        <w:t>, Vazkepa was generally well tolerated and the overall incidence of TEAEs and SAEs was similar between the Vazkepa and placebo groups. TEAEs leading to withdrawal of study drug were reported in 8% of patients overall and were numerically slightly higher in the placebo group.</w:t>
      </w:r>
    </w:p>
    <w:p w14:paraId="1C980325" w14:textId="3BE2DBBA" w:rsidR="00A928FC" w:rsidRPr="008D4446" w:rsidRDefault="0094368A" w:rsidP="00C160CB">
      <w:r w:rsidRPr="008D4446">
        <w:t>Treatment-emergent adverse events (</w:t>
      </w:r>
      <w:r w:rsidR="00A928FC" w:rsidRPr="008D4446">
        <w:t>TEAEs</w:t>
      </w:r>
      <w:r w:rsidRPr="008D4446">
        <w:t>)</w:t>
      </w:r>
      <w:r w:rsidR="00A928FC" w:rsidRPr="008D4446">
        <w:t xml:space="preserve"> reported more frequently in the Vazkepa group compared to placebo included musculoskeletal pain, constipation, oedema peripheral, and atrial </w:t>
      </w:r>
      <w:proofErr w:type="gramStart"/>
      <w:r w:rsidR="00A928FC" w:rsidRPr="008D4446">
        <w:t>fibrillation</w:t>
      </w:r>
      <w:proofErr w:type="gramEnd"/>
      <w:r w:rsidR="000B44BD" w:rsidRPr="008D4446">
        <w:t xml:space="preserve"> or </w:t>
      </w:r>
      <w:r w:rsidR="00A928FC" w:rsidRPr="008D4446">
        <w:t xml:space="preserve">flutter. These are all addressed in </w:t>
      </w:r>
      <w:r w:rsidR="000B44BD" w:rsidRPr="008D4446">
        <w:t>S</w:t>
      </w:r>
      <w:r w:rsidR="00A928FC" w:rsidRPr="008D4446">
        <w:t>ection 4.8, and the risk of atrial fibrillation</w:t>
      </w:r>
      <w:r w:rsidR="000B44BD" w:rsidRPr="008D4446">
        <w:t xml:space="preserve"> or </w:t>
      </w:r>
      <w:r w:rsidR="00A928FC" w:rsidRPr="008D4446">
        <w:t xml:space="preserve">flutter is also addressed as a precaution in </w:t>
      </w:r>
      <w:r w:rsidR="000B44BD" w:rsidRPr="008D4446">
        <w:t>S</w:t>
      </w:r>
      <w:r w:rsidR="00A928FC" w:rsidRPr="008D4446">
        <w:t xml:space="preserve">ection 4.4 of the </w:t>
      </w:r>
      <w:r w:rsidRPr="008D4446">
        <w:t>PI</w:t>
      </w:r>
      <w:r w:rsidR="00A928FC" w:rsidRPr="008D4446">
        <w:t>. There is not a clearly established mechanism to explain the observed difference in atrial fibrillation</w:t>
      </w:r>
      <w:r w:rsidR="000B44BD" w:rsidRPr="008D4446">
        <w:t xml:space="preserve"> or </w:t>
      </w:r>
      <w:r w:rsidR="00A928FC" w:rsidRPr="008D4446">
        <w:t>flutter.</w:t>
      </w:r>
    </w:p>
    <w:p w14:paraId="0EBD5AF1" w14:textId="1B899909" w:rsidR="00A928FC" w:rsidRPr="008D4446" w:rsidRDefault="00A928FC" w:rsidP="00C160CB">
      <w:r w:rsidRPr="008D4446">
        <w:lastRenderedPageBreak/>
        <w:t xml:space="preserve">Bleeding-related AEs were evaluated as AESI. Overall, there was a higher incidence of bleeding-related AEs in the Vazkepa group compared to the placebo group. Serious bleeding-related events and </w:t>
      </w:r>
      <w:r w:rsidR="00F15D6F" w:rsidRPr="008D4446">
        <w:t>central nervous system</w:t>
      </w:r>
      <w:r w:rsidRPr="008D4446">
        <w:t xml:space="preserve"> bleeding events were numerically higher with Vazkepa compared to placebo. The increased risk of bleeding events is addressed as a precaution in </w:t>
      </w:r>
      <w:r w:rsidR="000B44BD" w:rsidRPr="008D4446">
        <w:t>S</w:t>
      </w:r>
      <w:r w:rsidRPr="008D4446">
        <w:t xml:space="preserve">ection 4.4, as well as in </w:t>
      </w:r>
      <w:r w:rsidR="000B44BD" w:rsidRPr="008D4446">
        <w:t>S</w:t>
      </w:r>
      <w:r w:rsidRPr="008D4446">
        <w:t xml:space="preserve">ection 4.8 of the </w:t>
      </w:r>
      <w:r w:rsidR="0094368A" w:rsidRPr="008D4446">
        <w:t>PI</w:t>
      </w:r>
      <w:r w:rsidRPr="008D4446">
        <w:t>.</w:t>
      </w:r>
    </w:p>
    <w:p w14:paraId="11568162" w14:textId="60C8D3CC" w:rsidR="00A928FC" w:rsidRPr="008D4446" w:rsidRDefault="00A928FC" w:rsidP="00C160CB">
      <w:r w:rsidRPr="008D4446">
        <w:t>Total mortality was lower in the Vazkepa group than placebo, driven by a reduction in cardiovascular mortality in the Vazkepa group.</w:t>
      </w:r>
    </w:p>
    <w:p w14:paraId="3EAE380F" w14:textId="3A87BAD4" w:rsidR="00A928FC" w:rsidRPr="008D4446" w:rsidRDefault="00A928FC" w:rsidP="00A928FC">
      <w:pPr>
        <w:pStyle w:val="Heading5"/>
      </w:pPr>
      <w:bookmarkStart w:id="107" w:name="_Ref111191560"/>
      <w:r w:rsidRPr="008D4446">
        <w:t xml:space="preserve">Proposed </w:t>
      </w:r>
      <w:r w:rsidR="000B44BD" w:rsidRPr="008D4446">
        <w:t>i</w:t>
      </w:r>
      <w:r w:rsidRPr="008D4446">
        <w:t>ndication</w:t>
      </w:r>
      <w:bookmarkEnd w:id="107"/>
    </w:p>
    <w:p w14:paraId="3CA97EC7" w14:textId="4F619E9C" w:rsidR="00A928FC" w:rsidRPr="008D4446" w:rsidRDefault="00A928FC" w:rsidP="00C160CB">
      <w:r w:rsidRPr="008D4446">
        <w:t>The proposed indication is the same as the approved indication in the EU. The proposed treatment population reflects the two cardiovascular risk cohorts evaluated in the pivotal</w:t>
      </w:r>
      <w:r w:rsidR="00B87672">
        <w:t xml:space="preserve"> </w:t>
      </w:r>
      <w:r w:rsidRPr="008D4446">
        <w:t>study</w:t>
      </w:r>
      <w:r w:rsidR="00E165E5" w:rsidRPr="00E165E5">
        <w:t xml:space="preserve"> </w:t>
      </w:r>
      <w:r w:rsidR="00E165E5">
        <w:t>(the REDUCE-IT trial)</w:t>
      </w:r>
      <w:r w:rsidR="00B87672">
        <w:t>.</w:t>
      </w:r>
    </w:p>
    <w:p w14:paraId="4D715E47" w14:textId="6473C6BE" w:rsidR="00A928FC" w:rsidRPr="008D4446" w:rsidRDefault="00A928FC" w:rsidP="00C160CB">
      <w:r w:rsidRPr="008D4446">
        <w:t xml:space="preserve">In Australia, triglyceride results are typically reported as mmol/L, so </w:t>
      </w:r>
      <w:r w:rsidR="000B44BD" w:rsidRPr="008D4446">
        <w:t>the Delegate’s p</w:t>
      </w:r>
      <w:r w:rsidRPr="008D4446">
        <w:t xml:space="preserve">reference is to remove the reference to mg/dL from the indication. Both units can be included in the description of the study in </w:t>
      </w:r>
      <w:r w:rsidR="000B44BD" w:rsidRPr="008D4446">
        <w:t>S</w:t>
      </w:r>
      <w:r w:rsidRPr="008D4446">
        <w:t xml:space="preserve">ection 5.1 of the </w:t>
      </w:r>
      <w:r w:rsidR="0094368A" w:rsidRPr="008D4446">
        <w:t>PI</w:t>
      </w:r>
      <w:r w:rsidRPr="008D4446">
        <w:t xml:space="preserve"> as a reference for prescribers.</w:t>
      </w:r>
    </w:p>
    <w:p w14:paraId="113A964C" w14:textId="2F59D9F9" w:rsidR="00A928FC" w:rsidRPr="008D4446" w:rsidRDefault="00A928FC" w:rsidP="00C160CB">
      <w:r w:rsidRPr="008D4446">
        <w:t xml:space="preserve">The description of the pivotal study in </w:t>
      </w:r>
      <w:r w:rsidR="000B44BD" w:rsidRPr="008D4446">
        <w:t>S</w:t>
      </w:r>
      <w:r w:rsidRPr="008D4446">
        <w:t xml:space="preserve">ection 5.1 of the </w:t>
      </w:r>
      <w:r w:rsidR="0094368A" w:rsidRPr="008D4446">
        <w:t>PI</w:t>
      </w:r>
      <w:r w:rsidRPr="008D4446">
        <w:t xml:space="preserve"> includes the study criteria for established cardiovascular disease and the cardiovascular risk factors in the primary prevention cohort. This information is relevant to </w:t>
      </w:r>
      <w:r w:rsidR="000B44BD" w:rsidRPr="008D4446">
        <w:t>prescribers,</w:t>
      </w:r>
      <w:r w:rsidRPr="008D4446">
        <w:t xml:space="preserve"> but </w:t>
      </w:r>
      <w:r w:rsidR="000B44BD" w:rsidRPr="008D4446">
        <w:t xml:space="preserve">the Delegate’s </w:t>
      </w:r>
      <w:r w:rsidRPr="008D4446">
        <w:t>preference is for the indication not to include a cross</w:t>
      </w:r>
      <w:r w:rsidR="000B44BD" w:rsidRPr="008D4446">
        <w:t xml:space="preserve"> </w:t>
      </w:r>
      <w:r w:rsidRPr="008D4446">
        <w:t xml:space="preserve">reference to </w:t>
      </w:r>
      <w:r w:rsidR="000B44BD" w:rsidRPr="008D4446">
        <w:t>Section</w:t>
      </w:r>
      <w:r w:rsidRPr="008D4446">
        <w:t xml:space="preserve"> 5.1. Consequently, </w:t>
      </w:r>
      <w:r w:rsidR="000B44BD" w:rsidRPr="008D4446">
        <w:t xml:space="preserve">the Delegate </w:t>
      </w:r>
      <w:r w:rsidRPr="008D4446">
        <w:t>prefer</w:t>
      </w:r>
      <w:r w:rsidR="000B44BD" w:rsidRPr="008D4446">
        <w:t>s</w:t>
      </w:r>
      <w:r w:rsidRPr="008D4446">
        <w:t xml:space="preserve"> the following indication:</w:t>
      </w:r>
    </w:p>
    <w:p w14:paraId="0FA4A68C" w14:textId="7302D669" w:rsidR="00A928FC" w:rsidRPr="008D4446" w:rsidRDefault="00A928FC" w:rsidP="00A928FC">
      <w:pPr>
        <w:ind w:left="360"/>
        <w:rPr>
          <w:i/>
          <w:iCs/>
        </w:rPr>
      </w:pPr>
      <w:r w:rsidRPr="008D4446">
        <w:rPr>
          <w:i/>
          <w:iCs/>
        </w:rPr>
        <w:t>Vazkepa is indicated to reduce the risk of cardiovascular events in adult statin-treated patients at high cardiovascular risk with elevated triglycerides (≥ 1.7 mmol/L) and</w:t>
      </w:r>
    </w:p>
    <w:p w14:paraId="3A960088" w14:textId="77777777" w:rsidR="00A928FC" w:rsidRPr="008D4446" w:rsidRDefault="00A928FC" w:rsidP="00A928FC">
      <w:pPr>
        <w:pStyle w:val="ListBullet"/>
        <w:ind w:left="720"/>
        <w:rPr>
          <w:i/>
          <w:iCs/>
        </w:rPr>
      </w:pPr>
      <w:r w:rsidRPr="008D4446">
        <w:rPr>
          <w:i/>
          <w:iCs/>
        </w:rPr>
        <w:t>established cardiovascular disease, or</w:t>
      </w:r>
    </w:p>
    <w:p w14:paraId="279F39AC" w14:textId="77777777" w:rsidR="00A928FC" w:rsidRPr="008D4446" w:rsidRDefault="00A928FC" w:rsidP="00A928FC">
      <w:pPr>
        <w:pStyle w:val="ListBullet"/>
        <w:ind w:left="720"/>
        <w:rPr>
          <w:i/>
          <w:iCs/>
        </w:rPr>
      </w:pPr>
      <w:r w:rsidRPr="008D4446">
        <w:rPr>
          <w:i/>
          <w:iCs/>
        </w:rPr>
        <w:t>diabetes, and at least one other cardiovascular risk factor.</w:t>
      </w:r>
    </w:p>
    <w:p w14:paraId="22745447" w14:textId="1B3780EC" w:rsidR="00A928FC" w:rsidRPr="008D4446" w:rsidRDefault="00A928FC" w:rsidP="00A928FC">
      <w:pPr>
        <w:pStyle w:val="Heading5"/>
        <w:rPr>
          <w:lang w:eastAsia="ja-JP"/>
        </w:rPr>
      </w:pPr>
      <w:r w:rsidRPr="008D4446">
        <w:rPr>
          <w:lang w:eastAsia="ja-JP"/>
        </w:rPr>
        <w:t xml:space="preserve">Uncertainties and </w:t>
      </w:r>
      <w:r w:rsidR="000B44BD" w:rsidRPr="008D4446">
        <w:rPr>
          <w:lang w:eastAsia="ja-JP"/>
        </w:rPr>
        <w:t>limitations of the data</w:t>
      </w:r>
    </w:p>
    <w:p w14:paraId="63D1E4A2" w14:textId="56BB6A63" w:rsidR="00A928FC" w:rsidRPr="008D4446" w:rsidRDefault="00A928FC" w:rsidP="00C160CB">
      <w:r w:rsidRPr="008D4446">
        <w:t>There remains uncertainty regarding the mechanism</w:t>
      </w:r>
      <w:r w:rsidR="000B44BD" w:rsidRPr="008D4446">
        <w:t>(</w:t>
      </w:r>
      <w:r w:rsidRPr="008D4446">
        <w:t>s</w:t>
      </w:r>
      <w:r w:rsidR="000B44BD" w:rsidRPr="008D4446">
        <w:t>)</w:t>
      </w:r>
      <w:r w:rsidRPr="008D4446">
        <w:t xml:space="preserve"> of action for cardiovascular risk reduction with Vazkepa. A triglyceride lowering effect was demonstrated in the </w:t>
      </w:r>
      <w:r w:rsidR="007B2B56" w:rsidRPr="008D4446">
        <w:t>Phase III</w:t>
      </w:r>
      <w:r w:rsidRPr="008D4446">
        <w:t xml:space="preserve"> studies, but other triglyceride lowering agents have shown inconsistent findings </w:t>
      </w:r>
      <w:proofErr w:type="gramStart"/>
      <w:r w:rsidRPr="008D4446">
        <w:t>with regard to</w:t>
      </w:r>
      <w:proofErr w:type="gramEnd"/>
      <w:r w:rsidRPr="008D4446">
        <w:t xml:space="preserve"> cardiovascular risk reduction. This uncertainty is addressed in </w:t>
      </w:r>
      <w:r w:rsidR="000B44BD" w:rsidRPr="008D4446">
        <w:t>Section</w:t>
      </w:r>
      <w:r w:rsidRPr="008D4446">
        <w:t xml:space="preserve"> 5.1 of the </w:t>
      </w:r>
      <w:r w:rsidR="0094368A" w:rsidRPr="008D4446">
        <w:t>PI</w:t>
      </w:r>
      <w:r w:rsidRPr="008D4446">
        <w:t>.</w:t>
      </w:r>
    </w:p>
    <w:p w14:paraId="063D0794" w14:textId="63777FF4" w:rsidR="00A928FC" w:rsidRPr="008D4446" w:rsidRDefault="00A928FC" w:rsidP="00C160CB">
      <w:r w:rsidRPr="008D4446">
        <w:t xml:space="preserve">Light mineral oil was selected as the placebo in the </w:t>
      </w:r>
      <w:r w:rsidR="007B2B56" w:rsidRPr="008D4446">
        <w:t>Phase III</w:t>
      </w:r>
      <w:r w:rsidRPr="008D4446">
        <w:t xml:space="preserve"> studies to match the colour and consistency of Vazkepa; however, findings from the </w:t>
      </w:r>
      <w:r w:rsidR="007B2B56" w:rsidRPr="008D4446">
        <w:t>Phase III</w:t>
      </w:r>
      <w:r w:rsidRPr="008D4446">
        <w:t xml:space="preserve"> studies raise some uncertainty as to whether mineral oil is inert </w:t>
      </w:r>
      <w:proofErr w:type="gramStart"/>
      <w:r w:rsidRPr="008D4446">
        <w:t>with regard to</w:t>
      </w:r>
      <w:proofErr w:type="gramEnd"/>
      <w:r w:rsidRPr="008D4446">
        <w:t xml:space="preserve"> effects on plasma lipids, lipoproteins, and inflammatory parameters. The extent to which changes in lipids, lipoproteins, and inflammatory parameters in the placebo arm of the pivotal study impacted on cardiovascular outcomes remains uncertain.</w:t>
      </w:r>
    </w:p>
    <w:p w14:paraId="6E585B61" w14:textId="55AEF5F8" w:rsidR="00A928FC" w:rsidRPr="008D4446" w:rsidRDefault="00A928FC" w:rsidP="00C160CB">
      <w:r w:rsidRPr="008D4446">
        <w:t>Dose</w:t>
      </w:r>
      <w:r w:rsidR="000B44BD" w:rsidRPr="008D4446">
        <w:t xml:space="preserve"> </w:t>
      </w:r>
      <w:r w:rsidRPr="008D4446">
        <w:t xml:space="preserve">response was evaluated for effects on triglyceride and other plasma biomarkers in the MARINE and ANCHOR </w:t>
      </w:r>
      <w:r w:rsidR="000B44BD" w:rsidRPr="008D4446">
        <w:t>trials</w:t>
      </w:r>
      <w:r w:rsidRPr="008D4446">
        <w:t>, but dose</w:t>
      </w:r>
      <w:r w:rsidR="000B44BD" w:rsidRPr="008D4446">
        <w:t xml:space="preserve"> </w:t>
      </w:r>
      <w:r w:rsidRPr="008D4446">
        <w:t>response has not been evaluated for cardiovascular outcomes.</w:t>
      </w:r>
    </w:p>
    <w:p w14:paraId="4EB6954B" w14:textId="77777777" w:rsidR="00A928FC" w:rsidRPr="008D4446" w:rsidRDefault="00A928FC" w:rsidP="00A928FC">
      <w:pPr>
        <w:pStyle w:val="Heading5"/>
        <w:rPr>
          <w:lang w:eastAsia="ja-JP"/>
        </w:rPr>
      </w:pPr>
      <w:bookmarkStart w:id="108" w:name="_Ref111631856"/>
      <w:r w:rsidRPr="008D4446">
        <w:rPr>
          <w:lang w:eastAsia="ja-JP"/>
        </w:rPr>
        <w:t>Proposed conditions of registration</w:t>
      </w:r>
      <w:bookmarkEnd w:id="108"/>
    </w:p>
    <w:p w14:paraId="4D8A3E3B" w14:textId="1D78D2C3" w:rsidR="00A928FC" w:rsidRPr="008D4446" w:rsidRDefault="00A928FC" w:rsidP="00A928FC">
      <w:pPr>
        <w:pStyle w:val="ListBullet"/>
      </w:pPr>
      <w:r w:rsidRPr="008D4446">
        <w:t>The Vazkepa EU-</w:t>
      </w:r>
      <w:r w:rsidR="000B44BD" w:rsidRPr="008D4446">
        <w:t>R</w:t>
      </w:r>
      <w:r w:rsidRPr="008D4446">
        <w:t>MP (version 0.4, dated 18 December 2020, data lock point 6</w:t>
      </w:r>
      <w:r w:rsidR="000B44BD" w:rsidRPr="008D4446">
        <w:t> </w:t>
      </w:r>
      <w:r w:rsidRPr="008D4446">
        <w:t>September</w:t>
      </w:r>
      <w:r w:rsidR="000B44BD" w:rsidRPr="008D4446">
        <w:t> </w:t>
      </w:r>
      <w:r w:rsidRPr="008D4446">
        <w:t xml:space="preserve">2018), with Australian </w:t>
      </w:r>
      <w:r w:rsidR="000B44BD" w:rsidRPr="008D4446">
        <w:t xml:space="preserve">specific annex </w:t>
      </w:r>
      <w:r w:rsidRPr="008D4446">
        <w:t xml:space="preserve">(version 0.2, dated June 2022), included with </w:t>
      </w:r>
      <w:r w:rsidR="000B44BD" w:rsidRPr="008D4446">
        <w:t xml:space="preserve">Submission </w:t>
      </w:r>
      <w:r w:rsidRPr="008D4446">
        <w:t>PM-2021-05861-1-3, and any subsequent revisions, as agreed with the TGA will be implemented in Australia.</w:t>
      </w:r>
    </w:p>
    <w:p w14:paraId="4B822B0F" w14:textId="77777777" w:rsidR="00A928FC" w:rsidRPr="008D4446" w:rsidRDefault="00A928FC" w:rsidP="00A928FC">
      <w:pPr>
        <w:pStyle w:val="ListBullet"/>
      </w:pPr>
      <w:r w:rsidRPr="008D4446">
        <w:lastRenderedPageBreak/>
        <w:t>An obligatory component of risk management plans is routine pharmacovigilance. Routine pharmacovigilance includes the submission of periodic safety update reports (PSURs).</w:t>
      </w:r>
    </w:p>
    <w:p w14:paraId="5BBABF2E" w14:textId="3E9E31FA" w:rsidR="00A928FC" w:rsidRPr="008D4446" w:rsidRDefault="00A928FC" w:rsidP="00A928FC">
      <w:pPr>
        <w:pStyle w:val="ListBullet"/>
        <w:numPr>
          <w:ilvl w:val="0"/>
          <w:numId w:val="0"/>
        </w:numPr>
        <w:ind w:left="360"/>
      </w:pPr>
      <w:r w:rsidRPr="008D4446">
        <w:t xml:space="preserve">Reports are to be provided in line with the current published list of EU reference dates and frequency of submission of PSURs until the period covered by such reports is not less than three years from the date of </w:t>
      </w:r>
      <w:r w:rsidR="000B44BD" w:rsidRPr="008D4446">
        <w:t>the</w:t>
      </w:r>
      <w:r w:rsidRPr="008D4446">
        <w:t xml:space="preserve"> approval letter.</w:t>
      </w:r>
    </w:p>
    <w:p w14:paraId="4801EEEB" w14:textId="279642BA" w:rsidR="00A928FC" w:rsidRPr="008D4446" w:rsidRDefault="00A928FC" w:rsidP="00A928FC">
      <w:pPr>
        <w:pStyle w:val="ListBullet"/>
        <w:numPr>
          <w:ilvl w:val="0"/>
          <w:numId w:val="0"/>
        </w:numPr>
        <w:ind w:left="360"/>
      </w:pPr>
      <w:r w:rsidRPr="008D4446">
        <w:t xml:space="preserve">The reports are to at least meet the requirements for PSURs as described in the European Medicines Agency’s Guideline on </w:t>
      </w:r>
      <w:r w:rsidR="000B44BD" w:rsidRPr="008D4446">
        <w:t xml:space="preserve">Good Pharmacovigilance Practices </w:t>
      </w:r>
      <w:r w:rsidRPr="008D4446">
        <w:t>(GVP) Module VII-periodic safety update report (Rev</w:t>
      </w:r>
      <w:r w:rsidR="000B44BD" w:rsidRPr="008D4446">
        <w:t>ision</w:t>
      </w:r>
      <w:r w:rsidRPr="008D4446">
        <w:t xml:space="preserve"> 1), Part VII.B Structures and processes. Note that submission of a PSUR does not constitute an application to vary the registration.</w:t>
      </w:r>
    </w:p>
    <w:p w14:paraId="0D3777B4" w14:textId="039DC013" w:rsidR="00A928FC" w:rsidRPr="008D4446" w:rsidRDefault="00A928FC" w:rsidP="00A928FC">
      <w:pPr>
        <w:pStyle w:val="ListBullet"/>
        <w:numPr>
          <w:ilvl w:val="0"/>
          <w:numId w:val="0"/>
        </w:numPr>
        <w:ind w:left="360"/>
      </w:pPr>
      <w:r w:rsidRPr="008D4446">
        <w:t>Vazkepa (</w:t>
      </w:r>
      <w:proofErr w:type="spellStart"/>
      <w:r w:rsidRPr="008D4446">
        <w:t>icosapent</w:t>
      </w:r>
      <w:proofErr w:type="spellEnd"/>
      <w:r w:rsidRPr="008D4446">
        <w:t xml:space="preserve"> ethyl) is to be included in the Black Triangle Scheme. The PI and CMI for Vazkepa must include the black triangle symbol and mandatory accompanying text for five years, which starts from the date that the sponsor notifies the TGA of supply of the product.</w:t>
      </w:r>
    </w:p>
    <w:p w14:paraId="3916F296" w14:textId="77777777" w:rsidR="00C22214" w:rsidRPr="008D4446" w:rsidRDefault="00C22214" w:rsidP="00C22214">
      <w:pPr>
        <w:pStyle w:val="Heading4"/>
      </w:pPr>
      <w:bookmarkStart w:id="109" w:name="_Toc98931933"/>
      <w:bookmarkStart w:id="110" w:name="_Toc145413878"/>
      <w:r w:rsidRPr="008D4446">
        <w:t>Proposed action</w:t>
      </w:r>
      <w:bookmarkEnd w:id="109"/>
      <w:bookmarkEnd w:id="110"/>
    </w:p>
    <w:p w14:paraId="01B466B7" w14:textId="37A63030" w:rsidR="00A928FC" w:rsidRPr="008D4446" w:rsidRDefault="00A928FC" w:rsidP="00C160CB">
      <w:r w:rsidRPr="008D4446">
        <w:t>The pivotal study</w:t>
      </w:r>
      <w:r w:rsidR="000B44BD" w:rsidRPr="008D4446">
        <w:t xml:space="preserve"> (the </w:t>
      </w:r>
      <w:r w:rsidRPr="008D4446">
        <w:t>REDUCE-IT</w:t>
      </w:r>
      <w:r w:rsidR="000B44BD" w:rsidRPr="008D4446">
        <w:t xml:space="preserve"> trial)</w:t>
      </w:r>
      <w:r w:rsidRPr="008D4446">
        <w:t xml:space="preserve"> demonstrated a significant reduction in the risk of cardiovascular events in the Vazkepa group compared to placebo. cardiovascular benefit was consistently demonstrated across the primary and secondary MACE endpoints. Important identified safety risks with Vazkepa include bleeding events and atrial fibrillation</w:t>
      </w:r>
      <w:r w:rsidR="000B44BD" w:rsidRPr="008D4446">
        <w:t xml:space="preserve"> or </w:t>
      </w:r>
      <w:r w:rsidRPr="008D4446">
        <w:t>flutter. There remains some uncertainty regarding the extent to which changes in key plasma biomarkers in the placebo arm of the pivotal study may have impacted on cardiovascular outcomes. Although there is a possibility that the mineral oil comparator had some negative impact on cardiovascular outcomes, it is considered that treatment with Vazkepa produced a clinically meaningfully benefit on cardiovascular outcomes. Consequently, the overall benefit-risk of Vazkepa in the proposed indication is considered favourable.</w:t>
      </w:r>
    </w:p>
    <w:p w14:paraId="318CFABC" w14:textId="77777777" w:rsidR="00C22214" w:rsidRPr="008D4446" w:rsidRDefault="00C22214" w:rsidP="00C22214">
      <w:pPr>
        <w:pStyle w:val="Heading4"/>
      </w:pPr>
      <w:bookmarkStart w:id="111" w:name="_Toc98931936"/>
      <w:bookmarkStart w:id="112" w:name="_Toc145413879"/>
      <w:bookmarkStart w:id="113" w:name="_Toc247691532"/>
      <w:bookmarkStart w:id="114" w:name="_Toc314842516"/>
      <w:r w:rsidRPr="008D4446">
        <w:t>Advisory Committee considerations</w:t>
      </w:r>
      <w:bookmarkEnd w:id="111"/>
      <w:bookmarkEnd w:id="112"/>
    </w:p>
    <w:p w14:paraId="087BB9CB" w14:textId="61001A20" w:rsidR="00C22214" w:rsidRPr="008D4446" w:rsidRDefault="00C22214" w:rsidP="00A928FC">
      <w:pPr>
        <w:pStyle w:val="TableText"/>
      </w:pPr>
      <w:r w:rsidRPr="008D4446">
        <w:t xml:space="preserve">The </w:t>
      </w:r>
      <w:hyperlink r:id="rId49" w:history="1">
        <w:r w:rsidRPr="008D4446">
          <w:rPr>
            <w:rStyle w:val="Hyperlink"/>
            <w:szCs w:val="22"/>
          </w:rPr>
          <w:t>Advisory Committee on Medicines (ACM)</w:t>
        </w:r>
      </w:hyperlink>
      <w:r w:rsidRPr="008D4446">
        <w:t>, having considered the evaluations and the Delegate’s overview, as well as the sponsor’s response to these documents, advised the following.</w:t>
      </w:r>
    </w:p>
    <w:p w14:paraId="0D935CC4" w14:textId="77777777" w:rsidR="00C22214" w:rsidRPr="008D4446" w:rsidRDefault="00C22214" w:rsidP="00C22214">
      <w:pPr>
        <w:pStyle w:val="Heading5"/>
      </w:pPr>
      <w:r w:rsidRPr="008D4446">
        <w:t>Specific advice to the Delegate</w:t>
      </w:r>
    </w:p>
    <w:p w14:paraId="217721D5" w14:textId="77777777" w:rsidR="00A928FC" w:rsidRPr="008D4446" w:rsidRDefault="00A928FC" w:rsidP="00A928FC">
      <w:pPr>
        <w:pStyle w:val="Numberbullet0"/>
        <w:rPr>
          <w:b/>
          <w:bCs/>
          <w:i/>
          <w:iCs/>
        </w:rPr>
      </w:pPr>
      <w:r w:rsidRPr="008D4446">
        <w:rPr>
          <w:b/>
          <w:bCs/>
          <w:i/>
          <w:iCs/>
        </w:rPr>
        <w:t>What is the committee’s view regarding the clinical significance of the changes in key plasma biomarkers in the placebo arm of the pivotal study?</w:t>
      </w:r>
    </w:p>
    <w:p w14:paraId="7259B554" w14:textId="780BB5EA" w:rsidR="00A928FC" w:rsidRPr="008D4446" w:rsidRDefault="00A928FC" w:rsidP="00C160CB">
      <w:r w:rsidRPr="008D4446">
        <w:t>The ACM discussed the elevated plasma biomarkers in the placebo arm of the pivotal study. This resulted in further post-hoc analysis of the data, which indicated the placebo was not strictly inactive as was originally intended in the study design. Participants in this cohort had approximately 10% increase in their LDL</w:t>
      </w:r>
      <w:r w:rsidR="00F15D6F" w:rsidRPr="008D4446">
        <w:t xml:space="preserve"> </w:t>
      </w:r>
      <w:r w:rsidRPr="008D4446">
        <w:t>cholesterol levels. The results of this analysis were not published until 2022,</w:t>
      </w:r>
      <w:r w:rsidR="00E165E5">
        <w:rPr>
          <w:rStyle w:val="FootnoteReference"/>
        </w:rPr>
        <w:footnoteReference w:id="16"/>
      </w:r>
      <w:r w:rsidRPr="008D4446">
        <w:t xml:space="preserve"> after which </w:t>
      </w:r>
      <w:proofErr w:type="spellStart"/>
      <w:r w:rsidRPr="008D4446">
        <w:t>icosapent</w:t>
      </w:r>
      <w:proofErr w:type="spellEnd"/>
      <w:r w:rsidRPr="008D4446">
        <w:t xml:space="preserve"> ethyl was already registered several other key jurisdictions.</w:t>
      </w:r>
    </w:p>
    <w:p w14:paraId="768E4642" w14:textId="39814AA6" w:rsidR="00A928FC" w:rsidRPr="008D4446" w:rsidRDefault="00A928FC" w:rsidP="00C160CB">
      <w:r w:rsidRPr="008D4446">
        <w:t xml:space="preserve">The ACM also noted that the net clinical effect was difficult to ascertain given the potential pathological effect of the placebo. It is possible that a portion of the benefit seen in participants who recorded an improvement in cardiovascular events may have been from the absence of the placebo compound rather than the presence of the active </w:t>
      </w:r>
      <w:proofErr w:type="spellStart"/>
      <w:r w:rsidRPr="008D4446">
        <w:t>icosapent</w:t>
      </w:r>
      <w:proofErr w:type="spellEnd"/>
      <w:r w:rsidRPr="008D4446">
        <w:t xml:space="preserve"> ethyl therapy.</w:t>
      </w:r>
    </w:p>
    <w:p w14:paraId="2E91A3A3" w14:textId="038FCD4F" w:rsidR="00A928FC" w:rsidRPr="008D4446" w:rsidRDefault="00A928FC" w:rsidP="00C160CB">
      <w:r w:rsidRPr="008D4446">
        <w:lastRenderedPageBreak/>
        <w:t xml:space="preserve">It is also difficult to conclude from the post-hoc analysis of results if a portion of the worsening of various biomarkers was </w:t>
      </w:r>
      <w:proofErr w:type="gramStart"/>
      <w:r w:rsidRPr="008D4446">
        <w:t>due to the effects</w:t>
      </w:r>
      <w:proofErr w:type="gramEnd"/>
      <w:r w:rsidRPr="008D4446">
        <w:t xml:space="preserve"> of the placebo or rather natural progression of underlying atherosclerotic disease.</w:t>
      </w:r>
    </w:p>
    <w:p w14:paraId="243F669A" w14:textId="4F263988" w:rsidR="00A928FC" w:rsidRPr="008D4446" w:rsidRDefault="00A928FC" w:rsidP="00A928FC">
      <w:pPr>
        <w:pStyle w:val="Numberbullet0"/>
        <w:rPr>
          <w:b/>
          <w:bCs/>
          <w:i/>
          <w:iCs/>
        </w:rPr>
      </w:pPr>
      <w:r w:rsidRPr="008D4446">
        <w:rPr>
          <w:b/>
          <w:bCs/>
          <w:i/>
          <w:iCs/>
        </w:rPr>
        <w:t>What is the committee’s view regarding the efficacy of Vazkepa in the pivotal study, REDUCE-IT</w:t>
      </w:r>
      <w:r w:rsidR="000B44BD" w:rsidRPr="008D4446">
        <w:rPr>
          <w:b/>
          <w:bCs/>
          <w:i/>
          <w:iCs/>
        </w:rPr>
        <w:t xml:space="preserve"> trial</w:t>
      </w:r>
      <w:r w:rsidRPr="008D4446">
        <w:rPr>
          <w:b/>
          <w:bCs/>
          <w:i/>
          <w:iCs/>
        </w:rPr>
        <w:t>?</w:t>
      </w:r>
    </w:p>
    <w:p w14:paraId="2F4FF93D" w14:textId="679E517B" w:rsidR="00A928FC" w:rsidRPr="008D4446" w:rsidRDefault="00A928FC" w:rsidP="00C160CB">
      <w:r w:rsidRPr="008D4446">
        <w:t xml:space="preserve">The ACM discussed the key outcomes from the REDUCE-IT </w:t>
      </w:r>
      <w:r w:rsidR="000B44BD" w:rsidRPr="008D4446">
        <w:t>trial</w:t>
      </w:r>
      <w:r w:rsidRPr="008D4446">
        <w:t>.</w:t>
      </w:r>
    </w:p>
    <w:p w14:paraId="2A196417" w14:textId="605E5A58" w:rsidR="00A928FC" w:rsidRPr="008D4446" w:rsidRDefault="00A928FC" w:rsidP="00C160CB">
      <w:r w:rsidRPr="008D4446">
        <w:t xml:space="preserve">The hypothesis of </w:t>
      </w:r>
      <w:r w:rsidR="000B44BD" w:rsidRPr="008D4446">
        <w:t xml:space="preserve">the </w:t>
      </w:r>
      <w:r w:rsidRPr="008D4446">
        <w:t xml:space="preserve">REDUCE-IT </w:t>
      </w:r>
      <w:r w:rsidR="000B44BD" w:rsidRPr="008D4446">
        <w:t xml:space="preserve">trial </w:t>
      </w:r>
      <w:r w:rsidRPr="008D4446">
        <w:t xml:space="preserve">was that the risk of cardiovascular events would be lower with </w:t>
      </w:r>
      <w:bookmarkStart w:id="115" w:name="_Hlk116420924"/>
      <w:proofErr w:type="spellStart"/>
      <w:r w:rsidRPr="008D4446">
        <w:t>icosapent</w:t>
      </w:r>
      <w:proofErr w:type="spellEnd"/>
      <w:r w:rsidRPr="008D4446">
        <w:t xml:space="preserve"> ethyl therapy </w:t>
      </w:r>
      <w:bookmarkEnd w:id="115"/>
      <w:r w:rsidRPr="008D4446">
        <w:t>than with placebo among patients in whom elevated triglyceride levels served as a marker of residual risk despite statin therapy.</w:t>
      </w:r>
    </w:p>
    <w:p w14:paraId="2B219269" w14:textId="73C21036" w:rsidR="00A928FC" w:rsidRPr="008D4446" w:rsidRDefault="000B44BD" w:rsidP="00C160CB">
      <w:r w:rsidRPr="008D4446">
        <w:t xml:space="preserve">The </w:t>
      </w:r>
      <w:r w:rsidR="00A928FC" w:rsidRPr="008D4446">
        <w:t xml:space="preserve">REDUCE-IT </w:t>
      </w:r>
      <w:r w:rsidRPr="008D4446">
        <w:t xml:space="preserve">trial </w:t>
      </w:r>
      <w:r w:rsidR="00A928FC" w:rsidRPr="008D4446">
        <w:t>met its primary endpoint, demonstrating a significant reduction in the 5</w:t>
      </w:r>
      <w:r w:rsidRPr="008D4446">
        <w:noBreakHyphen/>
      </w:r>
      <w:r w:rsidR="00A928FC" w:rsidRPr="008D4446">
        <w:t>point MACE composite endpoint (cardiovascular death, nonfatal myocardial infarction (including silent myocardial infarction), non-fatal stroke, coronary revascularisation, unstable angina requiring emergent hospitalisation). A primary endpoint event occurred in 17.2% (705</w:t>
      </w:r>
      <w:r w:rsidRPr="008D4446">
        <w:t xml:space="preserve"> of </w:t>
      </w:r>
      <w:r w:rsidR="00A928FC" w:rsidRPr="008D4446">
        <w:t>4089) of patients in the Vazkepa group compared to 22.0% (901</w:t>
      </w:r>
      <w:r w:rsidRPr="008D4446">
        <w:t xml:space="preserve"> of </w:t>
      </w:r>
      <w:r w:rsidR="00A928FC" w:rsidRPr="008D4446">
        <w:t>4090) of patients in the placebo group.</w:t>
      </w:r>
    </w:p>
    <w:p w14:paraId="41FA87A2" w14:textId="3836BB92" w:rsidR="00A928FC" w:rsidRPr="008D4446" w:rsidRDefault="00A928FC" w:rsidP="00C160CB">
      <w:r w:rsidRPr="008D4446">
        <w:t xml:space="preserve">The results indicated the active drug was effective. Furthermore, the ACM noted that the outcomes were not affected by the participants’ baseline triglyceride level. It was also highlighted by the sponsor that the positive outcomes noted by </w:t>
      </w:r>
      <w:proofErr w:type="spellStart"/>
      <w:r w:rsidRPr="008D4446">
        <w:t>icosapent</w:t>
      </w:r>
      <w:proofErr w:type="spellEnd"/>
      <w:r w:rsidRPr="008D4446">
        <w:t xml:space="preserve"> ethyl therapy may not be transferrable to other omega-3 fatty acid products.</w:t>
      </w:r>
    </w:p>
    <w:p w14:paraId="166FDEF4" w14:textId="7F33B89B" w:rsidR="00A928FC" w:rsidRPr="008D4446" w:rsidRDefault="00A928FC" w:rsidP="00C160CB">
      <w:r w:rsidRPr="008D4446">
        <w:t>The ACM concluded that this was still a clinically meaningful result despite the issue with the placebo arm.</w:t>
      </w:r>
    </w:p>
    <w:p w14:paraId="5291EA2A" w14:textId="77777777" w:rsidR="00C22214" w:rsidRPr="008D4446" w:rsidRDefault="00C22214" w:rsidP="00C22214">
      <w:pPr>
        <w:pStyle w:val="Heading5"/>
      </w:pPr>
      <w:r w:rsidRPr="008D4446">
        <w:t>Conclusion</w:t>
      </w:r>
    </w:p>
    <w:p w14:paraId="500C7F39" w14:textId="77777777" w:rsidR="00A928FC" w:rsidRPr="008D4446" w:rsidRDefault="00A928FC" w:rsidP="00A928FC">
      <w:r w:rsidRPr="008D4446">
        <w:t>The ACM considered this product to have an overall positive benefit-risk profile for the indication:</w:t>
      </w:r>
    </w:p>
    <w:p w14:paraId="0A798633" w14:textId="79D6768B" w:rsidR="00A928FC" w:rsidRPr="008D4446" w:rsidRDefault="00A928FC" w:rsidP="00A928FC">
      <w:pPr>
        <w:ind w:left="360"/>
        <w:rPr>
          <w:i/>
        </w:rPr>
      </w:pPr>
      <w:r w:rsidRPr="008D4446">
        <w:rPr>
          <w:i/>
        </w:rPr>
        <w:t>Vazkepa is indicated to reduce the risk of cardiovascular events in adult statin-treated patients at high cardiovascular risk with elevated triglycerides (≥ 1.7 mmol/L) and</w:t>
      </w:r>
    </w:p>
    <w:p w14:paraId="731E19DB" w14:textId="7DA30F1C" w:rsidR="00A928FC" w:rsidRPr="008D4446" w:rsidRDefault="00A928FC" w:rsidP="00A928FC">
      <w:pPr>
        <w:pStyle w:val="ListBullet"/>
        <w:ind w:left="720"/>
        <w:rPr>
          <w:i/>
        </w:rPr>
      </w:pPr>
      <w:r w:rsidRPr="008D4446">
        <w:rPr>
          <w:i/>
        </w:rPr>
        <w:t>established cardiovascular disease, or</w:t>
      </w:r>
    </w:p>
    <w:p w14:paraId="490244A1" w14:textId="359E0886" w:rsidR="00A928FC" w:rsidRPr="008D4446" w:rsidRDefault="00A928FC" w:rsidP="00A928FC">
      <w:pPr>
        <w:pStyle w:val="ListBullet"/>
        <w:ind w:left="720"/>
        <w:rPr>
          <w:i/>
        </w:rPr>
      </w:pPr>
      <w:r w:rsidRPr="008D4446">
        <w:rPr>
          <w:i/>
        </w:rPr>
        <w:t>diabetes, and at least one other cardiovascular risk factor.</w:t>
      </w:r>
    </w:p>
    <w:p w14:paraId="307F236C" w14:textId="77777777" w:rsidR="00C22214" w:rsidRPr="008D4446" w:rsidRDefault="00C22214" w:rsidP="00C22214">
      <w:pPr>
        <w:pStyle w:val="Heading2"/>
      </w:pPr>
      <w:bookmarkStart w:id="116" w:name="_Toc103679300"/>
      <w:bookmarkStart w:id="117" w:name="_Toc145413880"/>
      <w:r w:rsidRPr="008D4446">
        <w:t>Outcome</w:t>
      </w:r>
      <w:bookmarkEnd w:id="113"/>
      <w:bookmarkEnd w:id="114"/>
      <w:bookmarkEnd w:id="116"/>
      <w:bookmarkEnd w:id="117"/>
    </w:p>
    <w:p w14:paraId="4EF22939" w14:textId="6FF2D54D" w:rsidR="00C22214" w:rsidRPr="008D4446" w:rsidRDefault="00C22214" w:rsidP="00A928FC">
      <w:r w:rsidRPr="008D4446">
        <w:t xml:space="preserve">Based on a review of quality, safety, and efficacy, the TGA approved the registration of </w:t>
      </w:r>
      <w:r w:rsidR="00A928FC" w:rsidRPr="008D4446">
        <w:t xml:space="preserve">Vazkepa </w:t>
      </w:r>
      <w:r w:rsidRPr="008D4446">
        <w:t>(</w:t>
      </w:r>
      <w:proofErr w:type="spellStart"/>
      <w:r w:rsidR="00A928FC" w:rsidRPr="008D4446">
        <w:t>icosapent</w:t>
      </w:r>
      <w:proofErr w:type="spellEnd"/>
      <w:r w:rsidR="00A928FC" w:rsidRPr="008D4446">
        <w:t xml:space="preserve"> ethyl</w:t>
      </w:r>
      <w:r w:rsidRPr="008D4446">
        <w:t xml:space="preserve">) </w:t>
      </w:r>
      <w:r w:rsidR="00A928FC" w:rsidRPr="008D4446">
        <w:t>998 mg</w:t>
      </w:r>
      <w:r w:rsidRPr="008D4446">
        <w:t xml:space="preserve">, </w:t>
      </w:r>
      <w:r w:rsidR="00A928FC" w:rsidRPr="008D4446">
        <w:t>soft capsule</w:t>
      </w:r>
      <w:r w:rsidRPr="008D4446">
        <w:t xml:space="preserve">, </w:t>
      </w:r>
      <w:r w:rsidR="00A928FC" w:rsidRPr="008D4446">
        <w:rPr>
          <w:szCs w:val="22"/>
        </w:rPr>
        <w:t>blister pack or bottle</w:t>
      </w:r>
      <w:r w:rsidRPr="008D4446">
        <w:t>, indicated:</w:t>
      </w:r>
    </w:p>
    <w:p w14:paraId="23CF0A6A" w14:textId="70FB44D6" w:rsidR="00A928FC" w:rsidRPr="008D4446" w:rsidRDefault="00A928FC" w:rsidP="00A928FC">
      <w:pPr>
        <w:ind w:left="360"/>
        <w:rPr>
          <w:i/>
          <w:iCs/>
        </w:rPr>
      </w:pPr>
      <w:r w:rsidRPr="008D4446">
        <w:rPr>
          <w:i/>
          <w:iCs/>
        </w:rPr>
        <w:t>Vazkepa is indicated to reduce the risk of cardiovascular events in adult statin-treated patients at high cardiovascular risk with elevated triglycerides (≥ 1.7 mmol/L) and</w:t>
      </w:r>
    </w:p>
    <w:p w14:paraId="58CF3D01" w14:textId="470F5D05" w:rsidR="00A928FC" w:rsidRPr="008D4446" w:rsidRDefault="00A928FC" w:rsidP="00A928FC">
      <w:pPr>
        <w:pStyle w:val="ListBullet"/>
        <w:ind w:left="720"/>
        <w:rPr>
          <w:i/>
          <w:iCs/>
        </w:rPr>
      </w:pPr>
      <w:r w:rsidRPr="008D4446">
        <w:rPr>
          <w:i/>
          <w:iCs/>
        </w:rPr>
        <w:t>established cardiovascular disease, or</w:t>
      </w:r>
    </w:p>
    <w:p w14:paraId="38EE2A06" w14:textId="2164278E" w:rsidR="00A928FC" w:rsidRPr="008D4446" w:rsidRDefault="00A928FC" w:rsidP="00A928FC">
      <w:pPr>
        <w:pStyle w:val="ListBullet"/>
        <w:ind w:left="720"/>
        <w:rPr>
          <w:i/>
          <w:iCs/>
        </w:rPr>
      </w:pPr>
      <w:r w:rsidRPr="008D4446">
        <w:rPr>
          <w:i/>
          <w:iCs/>
        </w:rPr>
        <w:t>diabetes, and at least one other cardiovascular risk factor.</w:t>
      </w:r>
    </w:p>
    <w:p w14:paraId="0D732DA4" w14:textId="77777777" w:rsidR="00854D98" w:rsidRPr="008D4446" w:rsidRDefault="00854D98" w:rsidP="00854D98">
      <w:pPr>
        <w:pStyle w:val="Heading3"/>
      </w:pPr>
      <w:bookmarkStart w:id="118" w:name="_Toc103679301"/>
      <w:bookmarkStart w:id="119" w:name="_Toc145413881"/>
      <w:r w:rsidRPr="008D4446">
        <w:t>Specific conditions of registration applying to these goods</w:t>
      </w:r>
      <w:bookmarkEnd w:id="118"/>
      <w:bookmarkEnd w:id="119"/>
    </w:p>
    <w:p w14:paraId="2937BF4B" w14:textId="02E8FC63" w:rsidR="00A928FC" w:rsidRPr="008D4446" w:rsidRDefault="00A928FC" w:rsidP="00A928FC">
      <w:pPr>
        <w:pStyle w:val="ListBullet"/>
      </w:pPr>
      <w:r w:rsidRPr="008D4446">
        <w:t>Vazkepa (</w:t>
      </w:r>
      <w:proofErr w:type="spellStart"/>
      <w:r w:rsidRPr="008D4446">
        <w:t>icosapent</w:t>
      </w:r>
      <w:proofErr w:type="spellEnd"/>
      <w:r w:rsidRPr="008D4446">
        <w:t xml:space="preserve"> ethyl) is to be included in the Black Triangle Scheme. The PI and CMI for Vazkepa must include the black triangle symbol and mandatory accompanying text for five years, which starts from the date that the sponsor notifies the TGA of supply of the product.</w:t>
      </w:r>
    </w:p>
    <w:p w14:paraId="5AB258BE" w14:textId="441024BD" w:rsidR="00A928FC" w:rsidRPr="008D4446" w:rsidRDefault="00A928FC" w:rsidP="00A928FC">
      <w:pPr>
        <w:pStyle w:val="ListBullet"/>
      </w:pPr>
      <w:r w:rsidRPr="008D4446">
        <w:lastRenderedPageBreak/>
        <w:t>The Vazkepa EU-</w:t>
      </w:r>
      <w:r w:rsidR="000B44BD" w:rsidRPr="008D4446">
        <w:t xml:space="preserve">risk management plan </w:t>
      </w:r>
      <w:r w:rsidRPr="008D4446">
        <w:t xml:space="preserve">(RMP) (version 0.4, dated 18 December 2020, data lock point 6 September 2018), with Australian </w:t>
      </w:r>
      <w:r w:rsidR="000B44BD" w:rsidRPr="008D4446">
        <w:t xml:space="preserve">specific annex </w:t>
      </w:r>
      <w:r w:rsidRPr="008D4446">
        <w:t xml:space="preserve">(version 0.2, dated June 2022), included with </w:t>
      </w:r>
      <w:r w:rsidR="000B44BD" w:rsidRPr="008D4446">
        <w:t xml:space="preserve">Submission </w:t>
      </w:r>
      <w:r w:rsidRPr="008D4446">
        <w:t>PM-2021-05861-1-3, and any subsequent revisions, as agreed with the TGA will be implemented in Australia.</w:t>
      </w:r>
    </w:p>
    <w:p w14:paraId="234677C1" w14:textId="44E8E47F" w:rsidR="00A928FC" w:rsidRPr="008D4446" w:rsidRDefault="00A928FC" w:rsidP="00A928FC">
      <w:pPr>
        <w:pStyle w:val="ListBullet"/>
        <w:numPr>
          <w:ilvl w:val="0"/>
          <w:numId w:val="0"/>
        </w:numPr>
        <w:ind w:left="360"/>
      </w:pPr>
      <w:r w:rsidRPr="008D4446">
        <w:t>An obligatory component of risk management plans is routine pharmacovigilance. Routine pharmacovigilance includes the submission of periodic safety update reports (PSURs).</w:t>
      </w:r>
    </w:p>
    <w:p w14:paraId="374FF9DF" w14:textId="6526C6AD" w:rsidR="00A928FC" w:rsidRPr="008D4446" w:rsidRDefault="00A928FC" w:rsidP="00A928FC">
      <w:pPr>
        <w:pStyle w:val="ListBullet"/>
        <w:numPr>
          <w:ilvl w:val="0"/>
          <w:numId w:val="0"/>
        </w:numPr>
        <w:ind w:left="360"/>
      </w:pPr>
      <w:r w:rsidRPr="008D4446">
        <w:t xml:space="preserve">Reports are to be provided in line with the current published list of EU reference dates and frequency of submission of PSURs until the period covered by such reports is not less than three years from the date of </w:t>
      </w:r>
      <w:r w:rsidR="000B44BD" w:rsidRPr="008D4446">
        <w:t>the</w:t>
      </w:r>
      <w:r w:rsidRPr="008D4446">
        <w:t xml:space="preserve"> approval letter.</w:t>
      </w:r>
    </w:p>
    <w:p w14:paraId="3592B035" w14:textId="086C244C" w:rsidR="00A928FC" w:rsidRPr="008D4446" w:rsidRDefault="00A928FC" w:rsidP="00A928FC">
      <w:pPr>
        <w:pStyle w:val="ListBullet"/>
        <w:numPr>
          <w:ilvl w:val="0"/>
          <w:numId w:val="0"/>
        </w:numPr>
        <w:ind w:left="360"/>
      </w:pPr>
      <w:r w:rsidRPr="008D4446">
        <w:t xml:space="preserve">The reports are to at least meet the requirements for PSURs as described in the European Medicines Agency’s Guideline on </w:t>
      </w:r>
      <w:r w:rsidR="000B44BD" w:rsidRPr="008D4446">
        <w:t xml:space="preserve">Good Pharmacovigilance Practices </w:t>
      </w:r>
      <w:r w:rsidRPr="008D4446">
        <w:t xml:space="preserve">(GVP) Module VII-periodic safety update report </w:t>
      </w:r>
      <w:r w:rsidR="000B44BD" w:rsidRPr="008D4446">
        <w:t>[</w:t>
      </w:r>
      <w:r w:rsidRPr="008D4446">
        <w:t>Rev</w:t>
      </w:r>
      <w:r w:rsidR="000B44BD" w:rsidRPr="008D4446">
        <w:t>ision</w:t>
      </w:r>
      <w:r w:rsidRPr="008D4446">
        <w:t xml:space="preserve"> 1</w:t>
      </w:r>
      <w:r w:rsidR="000B44BD" w:rsidRPr="008D4446">
        <w:t>]</w:t>
      </w:r>
      <w:r w:rsidRPr="008D4446">
        <w:t>, Part VII.B Structures and processes. Note that submission of a PSUR does not constitute an application to vary the registration.</w:t>
      </w:r>
    </w:p>
    <w:p w14:paraId="451DC3FC" w14:textId="77777777" w:rsidR="00C22214" w:rsidRPr="008D4446" w:rsidRDefault="00C22214" w:rsidP="00C22214">
      <w:pPr>
        <w:pStyle w:val="Heading2"/>
      </w:pPr>
      <w:bookmarkStart w:id="120" w:name="_Toc103679303"/>
      <w:bookmarkStart w:id="121" w:name="_Toc145413882"/>
      <w:r w:rsidRPr="008D4446">
        <w:t>Attachment 1. Product Information</w:t>
      </w:r>
      <w:bookmarkEnd w:id="120"/>
      <w:bookmarkEnd w:id="121"/>
    </w:p>
    <w:p w14:paraId="53357BF3" w14:textId="32A7D241" w:rsidR="00C22214" w:rsidRPr="008D4446" w:rsidRDefault="00C22214" w:rsidP="00C22214">
      <w:pPr>
        <w:rPr>
          <w:szCs w:val="22"/>
        </w:rPr>
        <w:sectPr w:rsidR="00C22214" w:rsidRPr="008D4446" w:rsidSect="007452E8">
          <w:headerReference w:type="default" r:id="rId50"/>
          <w:footerReference w:type="default" r:id="rId51"/>
          <w:pgSz w:w="11906" w:h="16838" w:code="9"/>
          <w:pgMar w:top="1134" w:right="1418" w:bottom="1361" w:left="1418" w:header="573" w:footer="567" w:gutter="0"/>
          <w:cols w:space="708"/>
          <w:docGrid w:linePitch="360"/>
        </w:sectPr>
      </w:pPr>
      <w:r w:rsidRPr="008D4446">
        <w:rPr>
          <w:szCs w:val="22"/>
        </w:rPr>
        <w:t xml:space="preserve">The PI for </w:t>
      </w:r>
      <w:r w:rsidR="00A928FC" w:rsidRPr="008D4446">
        <w:rPr>
          <w:szCs w:val="22"/>
        </w:rPr>
        <w:t xml:space="preserve">Vazkepa </w:t>
      </w:r>
      <w:r w:rsidRPr="008D4446">
        <w:rPr>
          <w:szCs w:val="22"/>
        </w:rPr>
        <w:t xml:space="preserve">approved with the submission which is described in this AusPAR is at Attachment 1. For the most recent PI, please refer to the TGA </w:t>
      </w:r>
      <w:hyperlink r:id="rId52" w:history="1">
        <w:r w:rsidRPr="008D4446">
          <w:rPr>
            <w:rStyle w:val="Hyperlink"/>
            <w:szCs w:val="22"/>
          </w:rPr>
          <w:t>PI/CMI search facility.</w:t>
        </w:r>
      </w:hyperlink>
      <w:r w:rsidRPr="008D4446">
        <w:rPr>
          <w:szCs w:val="22"/>
        </w:rPr>
        <w:t xml:space="preserve"> </w:t>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8D4446" w14:paraId="3C0C07BF" w14:textId="77777777" w:rsidTr="007452E8">
        <w:trPr>
          <w:trHeight w:hRule="exact" w:val="565"/>
          <w:jc w:val="center"/>
        </w:trPr>
        <w:tc>
          <w:tcPr>
            <w:tcW w:w="9145" w:type="dxa"/>
          </w:tcPr>
          <w:bookmarkEnd w:id="3"/>
          <w:bookmarkEnd w:id="4"/>
          <w:p w14:paraId="7E090B86" w14:textId="77777777" w:rsidR="00F02AEC" w:rsidRPr="008D4446" w:rsidRDefault="00F02AEC" w:rsidP="007452E8">
            <w:pPr>
              <w:pStyle w:val="TGASignoff"/>
            </w:pPr>
            <w:r w:rsidRPr="008D4446">
              <w:lastRenderedPageBreak/>
              <w:t>Therapeutic Goods Administration</w:t>
            </w:r>
          </w:p>
        </w:tc>
      </w:tr>
      <w:tr w:rsidR="00F02AEC" w:rsidRPr="008D4446" w14:paraId="70F47EA1" w14:textId="77777777" w:rsidTr="007452E8">
        <w:trPr>
          <w:trHeight w:val="963"/>
          <w:jc w:val="center"/>
        </w:trPr>
        <w:tc>
          <w:tcPr>
            <w:tcW w:w="9145" w:type="dxa"/>
            <w:tcMar>
              <w:top w:w="28" w:type="dxa"/>
            </w:tcMar>
          </w:tcPr>
          <w:p w14:paraId="3491EBCD" w14:textId="77777777" w:rsidR="00F02AEC" w:rsidRPr="008D4446" w:rsidRDefault="00F02AEC" w:rsidP="007452E8">
            <w:pPr>
              <w:pStyle w:val="Address"/>
              <w:jc w:val="center"/>
            </w:pPr>
            <w:r w:rsidRPr="008D4446">
              <w:t>PO Box 100 Woden ACT 2606 Australia</w:t>
            </w:r>
          </w:p>
          <w:p w14:paraId="5D0FE0E7" w14:textId="0AAE95A5" w:rsidR="00F02AEC" w:rsidRPr="008D4446" w:rsidRDefault="00F02AEC">
            <w:pPr>
              <w:pStyle w:val="Address"/>
              <w:jc w:val="center"/>
              <w:rPr>
                <w:sz w:val="22"/>
                <w:szCs w:val="22"/>
              </w:rPr>
            </w:pPr>
            <w:r w:rsidRPr="008D4446">
              <w:t xml:space="preserve">Email: </w:t>
            </w:r>
            <w:hyperlink r:id="rId53" w:history="1">
              <w:r w:rsidRPr="008D4446">
                <w:rPr>
                  <w:rStyle w:val="Hyperlink"/>
                </w:rPr>
                <w:t>info@tga.gov.au</w:t>
              </w:r>
            </w:hyperlink>
            <w:r w:rsidRPr="008D4446">
              <w:t xml:space="preserve">  Phone: 1800 020 </w:t>
            </w:r>
            <w:proofErr w:type="gramStart"/>
            <w:r w:rsidRPr="008D4446">
              <w:t>653  Fax</w:t>
            </w:r>
            <w:proofErr w:type="gramEnd"/>
            <w:r w:rsidRPr="008D4446">
              <w:t>: 02 6203 1605</w:t>
            </w:r>
          </w:p>
          <w:p w14:paraId="4533D80F" w14:textId="763CC475" w:rsidR="00F02AEC" w:rsidRPr="008D4446" w:rsidRDefault="00434F9A">
            <w:pPr>
              <w:pStyle w:val="Address"/>
              <w:jc w:val="center"/>
              <w:rPr>
                <w:rStyle w:val="Hyperlink"/>
                <w:b/>
                <w:color w:val="auto"/>
                <w:sz w:val="22"/>
              </w:rPr>
            </w:pPr>
            <w:hyperlink r:id="rId54" w:history="1">
              <w:r w:rsidR="00F02AEC" w:rsidRPr="008D4446">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8D4446">
              <w:t>Reference/Publication #</w:t>
            </w:r>
          </w:p>
        </w:tc>
      </w:tr>
    </w:tbl>
    <w:p w14:paraId="788B80FD" w14:textId="77777777" w:rsidR="007452E8" w:rsidRDefault="007452E8"/>
    <w:sectPr w:rsidR="007452E8" w:rsidSect="007452E8">
      <w:headerReference w:type="first" r:id="rId55"/>
      <w:footerReference w:type="first" r:id="rId56"/>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BA8B5" w14:textId="77777777" w:rsidR="008524B6" w:rsidRDefault="008524B6" w:rsidP="00F02AEC">
      <w:pPr>
        <w:spacing w:after="0" w:line="240" w:lineRule="auto"/>
      </w:pPr>
      <w:r>
        <w:separator/>
      </w:r>
    </w:p>
  </w:endnote>
  <w:endnote w:type="continuationSeparator" w:id="0">
    <w:p w14:paraId="0B7CB6AC" w14:textId="77777777" w:rsidR="008524B6" w:rsidRDefault="008524B6"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434F9A">
                <w:fldChar w:fldCharType="begin"/>
              </w:r>
              <w:r w:rsidR="00434F9A">
                <w:instrText xml:space="preserve"> NUMPAGES  </w:instrText>
              </w:r>
              <w:r w:rsidR="00434F9A">
                <w:fldChar w:fldCharType="separate"/>
              </w:r>
              <w:r>
                <w:rPr>
                  <w:noProof/>
                </w:rPr>
                <w:t>2</w:t>
              </w:r>
              <w:r w:rsidR="00434F9A">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AD73E97" w:rsidR="007452E8" w:rsidRPr="004A3084" w:rsidRDefault="007452E8" w:rsidP="007452E8">
          <w:pPr>
            <w:pStyle w:val="Footer"/>
          </w:pPr>
          <w:r w:rsidRPr="00905DE6">
            <w:t xml:space="preserve">AusPAR - </w:t>
          </w:r>
          <w:r w:rsidR="00A928FC" w:rsidRPr="00905DE6">
            <w:t xml:space="preserve">Vazkepa </w:t>
          </w:r>
          <w:r w:rsidRPr="00905DE6">
            <w:t xml:space="preserve">- </w:t>
          </w:r>
          <w:bookmarkStart w:id="122" w:name="_Hlk142916386"/>
          <w:proofErr w:type="spellStart"/>
          <w:r w:rsidR="00A928FC" w:rsidRPr="00905DE6">
            <w:t>icosapent</w:t>
          </w:r>
          <w:proofErr w:type="spellEnd"/>
          <w:r w:rsidR="00A928FC" w:rsidRPr="00905DE6">
            <w:t xml:space="preserve"> ethyl </w:t>
          </w:r>
          <w:bookmarkEnd w:id="122"/>
          <w:r w:rsidR="008C754C" w:rsidRPr="00905DE6">
            <w:t>-</w:t>
          </w:r>
          <w:r w:rsidRPr="00905DE6">
            <w:t xml:space="preserve"> </w:t>
          </w:r>
          <w:r w:rsidR="00A928FC" w:rsidRPr="00905DE6">
            <w:t xml:space="preserve">AA-Med Pty Ltd </w:t>
          </w:r>
          <w:r w:rsidRPr="00905DE6">
            <w:t xml:space="preserve">- </w:t>
          </w:r>
          <w:r w:rsidR="00A928FC" w:rsidRPr="00905DE6">
            <w:t>PM-2021-05861-1-3</w:t>
          </w:r>
          <w:r w:rsidRPr="00905DE6">
            <w:br/>
          </w:r>
          <w:r w:rsidR="00781DE7">
            <w:t>Final</w:t>
          </w:r>
          <w:r w:rsidR="00A21893">
            <w:t xml:space="preserve"> 1</w:t>
          </w:r>
          <w:r w:rsidR="00781DE7">
            <w:t>2</w:t>
          </w:r>
          <w:r w:rsidR="00905DE6">
            <w:t xml:space="preserve"> </w:t>
          </w:r>
          <w:r w:rsidR="00745FE0">
            <w:t>September</w:t>
          </w:r>
          <w:r w:rsidR="00A928FC" w:rsidRPr="00905DE6">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434F9A">
                <w:fldChar w:fldCharType="begin"/>
              </w:r>
              <w:r w:rsidR="00434F9A">
                <w:instrText xml:space="preserve"> NUMPAGES  </w:instrText>
              </w:r>
              <w:r w:rsidR="00434F9A">
                <w:fldChar w:fldCharType="separate"/>
              </w:r>
              <w:r w:rsidR="006D6B44">
                <w:rPr>
                  <w:noProof/>
                </w:rPr>
                <w:t>17</w:t>
              </w:r>
              <w:r w:rsidR="00434F9A">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38545" w14:textId="77777777" w:rsidR="008524B6" w:rsidRDefault="008524B6" w:rsidP="00F02AEC">
      <w:pPr>
        <w:spacing w:after="0" w:line="240" w:lineRule="auto"/>
      </w:pPr>
      <w:r>
        <w:separator/>
      </w:r>
    </w:p>
  </w:footnote>
  <w:footnote w:type="continuationSeparator" w:id="0">
    <w:p w14:paraId="3607D97E" w14:textId="77777777" w:rsidR="008524B6" w:rsidRDefault="008524B6" w:rsidP="00F02AEC">
      <w:pPr>
        <w:spacing w:after="0" w:line="240" w:lineRule="auto"/>
      </w:pPr>
      <w:r>
        <w:continuationSeparator/>
      </w:r>
    </w:p>
  </w:footnote>
  <w:footnote w:id="1">
    <w:p w14:paraId="1AD13553" w14:textId="64B0BD65" w:rsidR="00DB4B27" w:rsidRDefault="00DB4B27" w:rsidP="00DB4B27">
      <w:pPr>
        <w:pStyle w:val="FootnoteText"/>
      </w:pPr>
      <w:r>
        <w:rPr>
          <w:rStyle w:val="FootnoteReference"/>
        </w:rPr>
        <w:footnoteRef/>
      </w:r>
      <w:r>
        <w:t xml:space="preserve"> The sponsorship of AUST 380979 and 380980 have been transferred from </w:t>
      </w:r>
      <w:r w:rsidRPr="00DB4B27">
        <w:t>AA-Med Pty Ltd</w:t>
      </w:r>
      <w:r>
        <w:t xml:space="preserve"> to Seqirus Pty Ltd to on the 23 June 2023.</w:t>
      </w:r>
    </w:p>
  </w:footnote>
  <w:footnote w:id="2">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3">
    <w:p w14:paraId="37CCAFB7" w14:textId="699C61FE" w:rsidR="00A928FC" w:rsidRDefault="00A928FC" w:rsidP="00A928FC">
      <w:pPr>
        <w:pStyle w:val="FootnoteText"/>
      </w:pPr>
      <w:r>
        <w:rPr>
          <w:rStyle w:val="FootnoteReference"/>
        </w:rPr>
        <w:footnoteRef/>
      </w:r>
      <w:r>
        <w:t xml:space="preserve"> </w:t>
      </w:r>
      <w:proofErr w:type="spellStart"/>
      <w:r w:rsidRPr="00F15D6F">
        <w:t>Bergheanu</w:t>
      </w:r>
      <w:proofErr w:type="spellEnd"/>
      <w:r w:rsidR="00F15D6F" w:rsidRPr="00F15D6F">
        <w:t>,</w:t>
      </w:r>
      <w:r w:rsidRPr="00F15D6F">
        <w:t xml:space="preserve"> S</w:t>
      </w:r>
      <w:r w:rsidR="00F15D6F" w:rsidRPr="00F15D6F">
        <w:t>.</w:t>
      </w:r>
      <w:r w:rsidRPr="00F15D6F">
        <w:t>C</w:t>
      </w:r>
      <w:r w:rsidR="00F15D6F" w:rsidRPr="00F15D6F">
        <w:t>.</w:t>
      </w:r>
      <w:r w:rsidRPr="00F15D6F">
        <w:t xml:space="preserve"> et al. </w:t>
      </w:r>
      <w:r w:rsidR="00F15D6F" w:rsidRPr="00F15D6F">
        <w:t xml:space="preserve">Pathophysiology </w:t>
      </w:r>
      <w:r w:rsidR="00F15D6F">
        <w:t>a</w:t>
      </w:r>
      <w:r w:rsidR="00F15D6F" w:rsidRPr="00F15D6F">
        <w:t xml:space="preserve">nd Treatment </w:t>
      </w:r>
      <w:r w:rsidR="00F15D6F">
        <w:t>o</w:t>
      </w:r>
      <w:r w:rsidR="00F15D6F" w:rsidRPr="00F15D6F">
        <w:t xml:space="preserve">f Atherosclerosis: Current View </w:t>
      </w:r>
      <w:r w:rsidR="00F15D6F">
        <w:t>a</w:t>
      </w:r>
      <w:r w:rsidR="00F15D6F" w:rsidRPr="00F15D6F">
        <w:t xml:space="preserve">nd Future Perspective </w:t>
      </w:r>
      <w:r w:rsidR="00F15D6F">
        <w:t>o</w:t>
      </w:r>
      <w:r w:rsidR="00F15D6F" w:rsidRPr="00F15D6F">
        <w:t>n Lipoprotein Modification Treatment</w:t>
      </w:r>
      <w:r w:rsidR="00F15D6F">
        <w:t xml:space="preserve">, </w:t>
      </w:r>
      <w:proofErr w:type="spellStart"/>
      <w:r w:rsidRPr="00F15D6F">
        <w:rPr>
          <w:i/>
          <w:iCs/>
        </w:rPr>
        <w:t>Neth</w:t>
      </w:r>
      <w:proofErr w:type="spellEnd"/>
      <w:r w:rsidRPr="00F15D6F">
        <w:rPr>
          <w:i/>
          <w:iCs/>
        </w:rPr>
        <w:t xml:space="preserve"> Heart J</w:t>
      </w:r>
      <w:r w:rsidR="00F15D6F">
        <w:t>,</w:t>
      </w:r>
      <w:r w:rsidRPr="00F15D6F">
        <w:t xml:space="preserve"> 2017; 25: 231</w:t>
      </w:r>
      <w:r w:rsidR="00F15D6F">
        <w:t>-</w:t>
      </w:r>
      <w:r w:rsidRPr="00F15D6F">
        <w:t>242</w:t>
      </w:r>
      <w:r w:rsidR="00F15D6F">
        <w:t>.</w:t>
      </w:r>
    </w:p>
  </w:footnote>
  <w:footnote w:id="4">
    <w:p w14:paraId="0727B4CF" w14:textId="031C23F7" w:rsidR="00F15D6F" w:rsidRDefault="00F15D6F">
      <w:pPr>
        <w:pStyle w:val="FootnoteText"/>
      </w:pPr>
      <w:r>
        <w:rPr>
          <w:rStyle w:val="FootnoteReference"/>
        </w:rPr>
        <w:footnoteRef/>
      </w:r>
      <w:r>
        <w:t xml:space="preserve"> </w:t>
      </w:r>
      <w:proofErr w:type="spellStart"/>
      <w:r w:rsidRPr="00F15D6F">
        <w:t>Catapano</w:t>
      </w:r>
      <w:proofErr w:type="spellEnd"/>
      <w:r>
        <w:t>,</w:t>
      </w:r>
      <w:r w:rsidRPr="00F15D6F">
        <w:t xml:space="preserve"> A</w:t>
      </w:r>
      <w:r>
        <w:t>.</w:t>
      </w:r>
      <w:r w:rsidRPr="00F15D6F">
        <w:t>L</w:t>
      </w:r>
      <w:r>
        <w:t>.</w:t>
      </w:r>
      <w:r w:rsidRPr="00F15D6F">
        <w:t xml:space="preserve"> et al., 2016 ESC/EAS Guidelines for the Management of Dyslipidaemias</w:t>
      </w:r>
      <w:r>
        <w:t xml:space="preserve">, </w:t>
      </w:r>
      <w:proofErr w:type="spellStart"/>
      <w:r w:rsidRPr="00F15D6F">
        <w:rPr>
          <w:i/>
          <w:iCs/>
        </w:rPr>
        <w:t>Eur</w:t>
      </w:r>
      <w:proofErr w:type="spellEnd"/>
      <w:r w:rsidRPr="00F15D6F">
        <w:rPr>
          <w:i/>
          <w:iCs/>
        </w:rPr>
        <w:t xml:space="preserve"> Heart J</w:t>
      </w:r>
      <w:r>
        <w:t>,</w:t>
      </w:r>
      <w:r w:rsidRPr="00F15D6F">
        <w:t xml:space="preserve"> 2016;</w:t>
      </w:r>
      <w:r>
        <w:t xml:space="preserve"> </w:t>
      </w:r>
      <w:r w:rsidRPr="00F15D6F">
        <w:t>37:</w:t>
      </w:r>
      <w:r>
        <w:t xml:space="preserve"> </w:t>
      </w:r>
      <w:r w:rsidRPr="00F15D6F">
        <w:t>2999</w:t>
      </w:r>
      <w:r>
        <w:t>.</w:t>
      </w:r>
    </w:p>
  </w:footnote>
  <w:footnote w:id="5">
    <w:p w14:paraId="6A6AD07B" w14:textId="4C3149B6" w:rsidR="00F15D6F" w:rsidRDefault="00F15D6F">
      <w:pPr>
        <w:pStyle w:val="FootnoteText"/>
      </w:pPr>
      <w:r>
        <w:rPr>
          <w:rStyle w:val="FootnoteReference"/>
        </w:rPr>
        <w:footnoteRef/>
      </w:r>
      <w:r>
        <w:t xml:space="preserve"> </w:t>
      </w:r>
      <w:r w:rsidRPr="00F15D6F">
        <w:rPr>
          <w:b/>
          <w:bCs/>
        </w:rPr>
        <w:t>Good Manufacturing Practice (GMP)</w:t>
      </w:r>
      <w:r w:rsidRPr="00F15D6F">
        <w:t xml:space="preserve"> is a code of standards that describes a set of principles and procedures that when followed helps ensure that therapeutic goods are of high quality.</w:t>
      </w:r>
    </w:p>
  </w:footnote>
  <w:footnote w:id="6">
    <w:p w14:paraId="65519FB3" w14:textId="61F50ACC" w:rsidR="00FE38D0" w:rsidRDefault="00FE38D0">
      <w:pPr>
        <w:pStyle w:val="FootnoteText"/>
      </w:pPr>
      <w:r>
        <w:rPr>
          <w:rStyle w:val="FootnoteReference"/>
        </w:rPr>
        <w:footnoteRef/>
      </w:r>
      <w:r>
        <w:t xml:space="preserve"> </w:t>
      </w:r>
      <w:r w:rsidRPr="00FE38D0">
        <w:t>European Medicines Agency (EMA), Committee for Proprietary Medicinal Products (CPMP), ICH guideline M3(R2) on non-clinical safety studies for the conduct of human clinical trials and marketing authorisation for pharmaceuticals, EMA/CPMP/ICH/286/1995, December 2009.</w:t>
      </w:r>
    </w:p>
  </w:footnote>
  <w:footnote w:id="7">
    <w:p w14:paraId="78D12970" w14:textId="328A92E9" w:rsidR="00F15D6F" w:rsidRDefault="00F15D6F">
      <w:pPr>
        <w:pStyle w:val="FootnoteText"/>
      </w:pPr>
      <w:r>
        <w:rPr>
          <w:rStyle w:val="FootnoteReference"/>
        </w:rPr>
        <w:footnoteRef/>
      </w:r>
      <w:r>
        <w:t xml:space="preserve"> </w:t>
      </w:r>
      <w:r w:rsidRPr="00F15D6F">
        <w:rPr>
          <w:b/>
          <w:bCs/>
        </w:rPr>
        <w:t>Good Laboratory Practice (GLP)</w:t>
      </w:r>
      <w:r w:rsidRPr="00F15D6F">
        <w:t xml:space="preserve"> is a code of standards following the International Council on Harmonisation (ICH) relevant to testing of medicines in laboratories during drug development.</w:t>
      </w:r>
    </w:p>
  </w:footnote>
  <w:footnote w:id="8">
    <w:p w14:paraId="2E90E82E" w14:textId="77777777" w:rsidR="00DB4B27" w:rsidRDefault="00DB4B27" w:rsidP="00DB4B27">
      <w:pPr>
        <w:pStyle w:val="FootnoteText"/>
      </w:pPr>
      <w:r>
        <w:rPr>
          <w:rStyle w:val="FootnoteReference"/>
        </w:rPr>
        <w:footnoteRef/>
      </w:r>
      <w:r>
        <w:t xml:space="preserve"> </w:t>
      </w:r>
      <w:r w:rsidRPr="00DB4B27">
        <w:rPr>
          <w:b/>
          <w:bCs/>
        </w:rPr>
        <w:t>Cytochrome P450 (CYP)</w:t>
      </w:r>
      <w:r>
        <w:t xml:space="preserve">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0D003506" w14:textId="7E2393D8" w:rsidR="00DB4B27" w:rsidRDefault="00DB4B27" w:rsidP="00DB4B27">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9">
    <w:p w14:paraId="790F6A3E" w14:textId="0463A5F5" w:rsidR="00776E1E" w:rsidRDefault="00776E1E" w:rsidP="00776E1E">
      <w:pPr>
        <w:pStyle w:val="FootnoteText"/>
      </w:pPr>
      <w:r>
        <w:rPr>
          <w:rStyle w:val="FootnoteReference"/>
        </w:rPr>
        <w:footnoteRef/>
      </w:r>
      <w:r>
        <w:t xml:space="preserve"> European Medicines Agency (</w:t>
      </w:r>
      <w:r w:rsidRPr="00776E1E">
        <w:t>EMA</w:t>
      </w:r>
      <w:r>
        <w:t xml:space="preserve">), </w:t>
      </w:r>
      <w:bookmarkStart w:id="66" w:name="_Hlk142914639"/>
      <w:r w:rsidRPr="00776E1E">
        <w:t>Committee for Medicinal Products for Human Use (CHMP</w:t>
      </w:r>
      <w:bookmarkEnd w:id="66"/>
      <w:r w:rsidRPr="00776E1E">
        <w:t>)</w:t>
      </w:r>
      <w:r>
        <w:t xml:space="preserve">, Assessment report - Vazkepa, </w:t>
      </w:r>
      <w:r w:rsidRPr="00776E1E">
        <w:t>EMA/145271/2021</w:t>
      </w:r>
      <w:r>
        <w:t xml:space="preserve">, </w:t>
      </w:r>
      <w:r w:rsidRPr="00776E1E">
        <w:t>28</w:t>
      </w:r>
      <w:r>
        <w:t> </w:t>
      </w:r>
      <w:r w:rsidRPr="00776E1E">
        <w:t>January 2021</w:t>
      </w:r>
      <w:r>
        <w:t>.</w:t>
      </w:r>
    </w:p>
  </w:footnote>
  <w:footnote w:id="10">
    <w:p w14:paraId="201DC08A" w14:textId="3E2CB9AB" w:rsidR="00A928FC" w:rsidRPr="0096132F" w:rsidRDefault="00A928FC" w:rsidP="00A928FC">
      <w:pPr>
        <w:autoSpaceDE w:val="0"/>
        <w:autoSpaceDN w:val="0"/>
        <w:adjustRightInd w:val="0"/>
        <w:spacing w:after="0" w:line="240" w:lineRule="auto"/>
        <w:rPr>
          <w:rFonts w:asciiTheme="minorHAnsi" w:hAnsiTheme="minorHAnsi"/>
          <w:sz w:val="18"/>
          <w:szCs w:val="18"/>
        </w:rPr>
      </w:pPr>
      <w:r w:rsidRPr="0096132F">
        <w:rPr>
          <w:rStyle w:val="FootnoteReference"/>
          <w:sz w:val="18"/>
          <w:szCs w:val="18"/>
        </w:rPr>
        <w:footnoteRef/>
      </w:r>
      <w:r w:rsidRPr="0096132F">
        <w:rPr>
          <w:sz w:val="18"/>
          <w:szCs w:val="18"/>
        </w:rPr>
        <w:t xml:space="preserve"> </w:t>
      </w:r>
      <w:r w:rsidRPr="00F15D6F">
        <w:rPr>
          <w:rStyle w:val="FootnoteTextChar"/>
        </w:rPr>
        <w:t>The original protocol stipulated a lower end of the qualifying fasting triglyceride level of ≥</w:t>
      </w:r>
      <w:r w:rsidR="00F15D6F">
        <w:rPr>
          <w:rStyle w:val="FootnoteTextChar"/>
        </w:rPr>
        <w:t xml:space="preserve"> </w:t>
      </w:r>
      <w:r w:rsidRPr="00F15D6F">
        <w:rPr>
          <w:rStyle w:val="FootnoteTextChar"/>
        </w:rPr>
        <w:t>135 mg/dL, reflecting a 10% allowance from the target lower fasting triglyceride level of ≥</w:t>
      </w:r>
      <w:r w:rsidR="00F15D6F">
        <w:rPr>
          <w:rStyle w:val="FootnoteTextChar"/>
        </w:rPr>
        <w:t xml:space="preserve"> </w:t>
      </w:r>
      <w:r w:rsidRPr="00F15D6F">
        <w:rPr>
          <w:rStyle w:val="FootnoteTextChar"/>
        </w:rPr>
        <w:t>150 mg/dL; this 10% allowance was included due to the variability in triglyceride levels. Protocol Amendment 1 (16 May 2013) increased the lower end of fasting triglyceride levels from ≥</w:t>
      </w:r>
      <w:r w:rsidR="00F15D6F">
        <w:rPr>
          <w:rStyle w:val="FootnoteTextChar"/>
        </w:rPr>
        <w:t xml:space="preserve"> </w:t>
      </w:r>
      <w:r w:rsidRPr="00F15D6F">
        <w:rPr>
          <w:rStyle w:val="FootnoteTextChar"/>
        </w:rPr>
        <w:t>135 mg/dL to ≥</w:t>
      </w:r>
      <w:r w:rsidR="00F15D6F">
        <w:rPr>
          <w:rStyle w:val="FootnoteTextChar"/>
        </w:rPr>
        <w:t xml:space="preserve"> </w:t>
      </w:r>
      <w:r w:rsidRPr="00F15D6F">
        <w:rPr>
          <w:rStyle w:val="FootnoteTextChar"/>
        </w:rPr>
        <w:t>200 mg/dL to increase enrolment of patients with triglyceride levels at or above 200 mg/dL.</w:t>
      </w:r>
    </w:p>
  </w:footnote>
  <w:footnote w:id="11">
    <w:p w14:paraId="10E49B6A" w14:textId="7454A685" w:rsidR="00F15D6F" w:rsidRDefault="00F15D6F" w:rsidP="00F15D6F">
      <w:pPr>
        <w:pStyle w:val="FootnoteText"/>
      </w:pPr>
      <w:r>
        <w:rPr>
          <w:rStyle w:val="FootnoteReference"/>
        </w:rPr>
        <w:footnoteRef/>
      </w:r>
      <w:r>
        <w:t xml:space="preserve"> </w:t>
      </w:r>
      <w:r w:rsidRPr="00F15D6F">
        <w:rPr>
          <w:b/>
          <w:bCs/>
        </w:rPr>
        <w:t>New York Heart Association (NYHA) classification</w:t>
      </w:r>
      <w:r>
        <w:t>:</w:t>
      </w:r>
    </w:p>
    <w:p w14:paraId="2D2AFCAA" w14:textId="6E852224" w:rsidR="00F15D6F" w:rsidRDefault="00F15D6F" w:rsidP="00F15D6F">
      <w:pPr>
        <w:pStyle w:val="FootnoteText"/>
      </w:pPr>
      <w:r>
        <w:t xml:space="preserve">Class I: No limitations. Ordinary physical activity does not cause undue fatigue, </w:t>
      </w:r>
      <w:proofErr w:type="gramStart"/>
      <w:r>
        <w:t>dyspnoea</w:t>
      </w:r>
      <w:proofErr w:type="gramEnd"/>
      <w:r>
        <w:t xml:space="preserve"> or palpitations (asymptomatic left ventricular dysfunction). Metabolic equivalent (MET) &gt; 7.</w:t>
      </w:r>
    </w:p>
    <w:p w14:paraId="652BC05A" w14:textId="77777777" w:rsidR="00F15D6F" w:rsidRDefault="00F15D6F" w:rsidP="00F15D6F">
      <w:pPr>
        <w:pStyle w:val="FootnoteText"/>
      </w:pPr>
      <w:r>
        <w:t xml:space="preserve">Class II: Slight limitation of physical activity. Ordinary physical activity results in fatigue, palpitation, </w:t>
      </w:r>
      <w:proofErr w:type="gramStart"/>
      <w:r>
        <w:t>dyspnoea</w:t>
      </w:r>
      <w:proofErr w:type="gramEnd"/>
      <w:r>
        <w:t xml:space="preserve"> or angina pectoris (mild congestive heart failure). MET = 5.</w:t>
      </w:r>
    </w:p>
    <w:p w14:paraId="5A7F182E" w14:textId="77777777" w:rsidR="00F15D6F" w:rsidRDefault="00F15D6F" w:rsidP="00F15D6F">
      <w:pPr>
        <w:pStyle w:val="FootnoteText"/>
      </w:pPr>
      <w:r>
        <w:t>Class III: Marked limitation of physical activity. Less than ordinary physical activity leads to symptoms (moderate congestive heart failure). MET = 2–3.</w:t>
      </w:r>
    </w:p>
    <w:p w14:paraId="017D2345" w14:textId="58CF9498" w:rsidR="00F15D6F" w:rsidRDefault="00F15D6F" w:rsidP="00F15D6F">
      <w:pPr>
        <w:pStyle w:val="FootnoteText"/>
      </w:pPr>
      <w:r>
        <w:t>Class IV: Unable to carry on any physical activity without discomfort. Symptoms of congestive heart failure present at rest (severe congestive heart failure). MET = 1.6.</w:t>
      </w:r>
    </w:p>
  </w:footnote>
  <w:footnote w:id="12">
    <w:p w14:paraId="30701F23" w14:textId="4A966B1A" w:rsidR="00A928FC" w:rsidRDefault="00A928FC" w:rsidP="00A928FC">
      <w:pPr>
        <w:pStyle w:val="FootnoteText"/>
      </w:pPr>
      <w:r>
        <w:rPr>
          <w:rStyle w:val="FootnoteReference"/>
        </w:rPr>
        <w:footnoteRef/>
      </w:r>
      <w:r>
        <w:t xml:space="preserve"> </w:t>
      </w:r>
      <w:r w:rsidRPr="00F15D6F">
        <w:t xml:space="preserve">Containing 998 mg </w:t>
      </w:r>
      <w:proofErr w:type="spellStart"/>
      <w:r w:rsidRPr="00F15D6F">
        <w:t>icosapent</w:t>
      </w:r>
      <w:proofErr w:type="spellEnd"/>
      <w:r w:rsidRPr="00F15D6F">
        <w:t xml:space="preserve"> ethyl and 2 mg tocopherol (antioxidant), same as the proposed Vazkepa capsules.</w:t>
      </w:r>
    </w:p>
  </w:footnote>
  <w:footnote w:id="13">
    <w:p w14:paraId="32C2B003" w14:textId="6D305D15" w:rsidR="00F15D6F" w:rsidRDefault="00F15D6F">
      <w:pPr>
        <w:pStyle w:val="FootnoteText"/>
      </w:pPr>
      <w:r>
        <w:rPr>
          <w:rStyle w:val="FootnoteReference"/>
        </w:rPr>
        <w:footnoteRef/>
      </w:r>
      <w:r>
        <w:t xml:space="preserve"> </w:t>
      </w:r>
      <w:r w:rsidRPr="00F15D6F">
        <w:t xml:space="preserve">The randomised clinical trials analysed by the </w:t>
      </w:r>
      <w:r w:rsidRPr="00F15D6F">
        <w:rPr>
          <w:b/>
          <w:bCs/>
        </w:rPr>
        <w:t>intention-to-treat (ITT)</w:t>
      </w:r>
      <w:r w:rsidRPr="00F15D6F">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w:t>
      </w:r>
    </w:p>
  </w:footnote>
  <w:footnote w:id="14">
    <w:p w14:paraId="52BAB534" w14:textId="06E134F0" w:rsidR="000B44BD" w:rsidRDefault="000B44BD">
      <w:pPr>
        <w:pStyle w:val="FootnoteText"/>
      </w:pPr>
      <w:r>
        <w:rPr>
          <w:rStyle w:val="FootnoteReference"/>
        </w:rPr>
        <w:footnoteRef/>
      </w:r>
      <w:r>
        <w:t xml:space="preserve"> </w:t>
      </w:r>
      <w:r w:rsidRPr="00F15D6F">
        <w:t>Food and Drug Administration (FDA), Guidance for Industry Drug-Induced Liver Injury: Premarketing Clinical Evaluation, July 2009.</w:t>
      </w:r>
    </w:p>
  </w:footnote>
  <w:footnote w:id="15">
    <w:p w14:paraId="4A1F3637" w14:textId="68B17AC7" w:rsidR="00F15D6F" w:rsidRDefault="00F15D6F">
      <w:pPr>
        <w:pStyle w:val="FootnoteText"/>
      </w:pPr>
      <w:r>
        <w:rPr>
          <w:rStyle w:val="FootnoteReference"/>
        </w:rPr>
        <w:footnoteRef/>
      </w:r>
      <w:r>
        <w:t xml:space="preserve"> </w:t>
      </w:r>
      <w:r w:rsidRPr="00F15D6F">
        <w:t xml:space="preserve">The </w:t>
      </w:r>
      <w:r w:rsidRPr="00F15D6F">
        <w:rPr>
          <w:b/>
          <w:bCs/>
        </w:rPr>
        <w:t>Child-Pugh score</w:t>
      </w:r>
      <w:r w:rsidRPr="00F15D6F">
        <w:t xml:space="preserve"> is used to assess the prognosis of chronic liver disease. The score employs five clinical measures of liver disease. Each measure is scored 1 to 3, with 3 indicating most severe derangement. Class A: 5 to 6 points, least severe liver disease, </w:t>
      </w:r>
      <w:proofErr w:type="gramStart"/>
      <w:r w:rsidRPr="00F15D6F">
        <w:t>one to five year</w:t>
      </w:r>
      <w:proofErr w:type="gramEnd"/>
      <w:r w:rsidRPr="00F15D6F">
        <w:t xml:space="preserve"> survival rate of 95%. Class B: 7 to 9 points, moderately severe liver disease, </w:t>
      </w:r>
      <w:proofErr w:type="gramStart"/>
      <w:r w:rsidRPr="00F15D6F">
        <w:t>one to five year</w:t>
      </w:r>
      <w:proofErr w:type="gramEnd"/>
      <w:r w:rsidRPr="00F15D6F">
        <w:t xml:space="preserve"> survival of 75%. Class C: 10 to 15 points, most severe liver disease, </w:t>
      </w:r>
      <w:proofErr w:type="gramStart"/>
      <w:r w:rsidRPr="00F15D6F">
        <w:t>1 to 5 year</w:t>
      </w:r>
      <w:proofErr w:type="gramEnd"/>
      <w:r w:rsidRPr="00F15D6F">
        <w:t xml:space="preserve"> survival rate 50%.</w:t>
      </w:r>
    </w:p>
  </w:footnote>
  <w:footnote w:id="16">
    <w:p w14:paraId="744EC04D" w14:textId="5900F581" w:rsidR="00E165E5" w:rsidRDefault="00E165E5">
      <w:pPr>
        <w:pStyle w:val="FootnoteText"/>
      </w:pPr>
      <w:r>
        <w:rPr>
          <w:rStyle w:val="FootnoteReference"/>
        </w:rPr>
        <w:footnoteRef/>
      </w:r>
      <w:r>
        <w:t xml:space="preserve"> Sponsor clarification: t</w:t>
      </w:r>
      <w:r w:rsidRPr="00E165E5">
        <w:t>he 10.2% increase in LDL cholesterol</w:t>
      </w:r>
      <w:r>
        <w:t xml:space="preserve"> level</w:t>
      </w:r>
      <w:r w:rsidRPr="00E165E5">
        <w:t xml:space="preserve"> within the placebo group was first presented by Bhatt</w:t>
      </w:r>
      <w:r>
        <w:t xml:space="preserve"> D.L.</w:t>
      </w:r>
      <w:r w:rsidRPr="00E165E5">
        <w:t xml:space="preserve"> et al</w:t>
      </w:r>
      <w:r>
        <w:t>.</w:t>
      </w:r>
      <w:r w:rsidRPr="00E165E5">
        <w:t xml:space="preserve"> Cardiovascular Risk Reduction with </w:t>
      </w:r>
      <w:proofErr w:type="spellStart"/>
      <w:r w:rsidRPr="00E165E5">
        <w:t>Icosapent</w:t>
      </w:r>
      <w:proofErr w:type="spellEnd"/>
      <w:r w:rsidRPr="00E165E5">
        <w:t xml:space="preserve"> Ethyl for Hypertriglyceridemia</w:t>
      </w:r>
      <w:r>
        <w:t xml:space="preserve">, </w:t>
      </w:r>
      <w:r w:rsidRPr="00781DE7">
        <w:rPr>
          <w:i/>
          <w:iCs/>
        </w:rPr>
        <w:t xml:space="preserve">N </w:t>
      </w:r>
      <w:proofErr w:type="spellStart"/>
      <w:r w:rsidRPr="00781DE7">
        <w:rPr>
          <w:i/>
          <w:iCs/>
        </w:rPr>
        <w:t>Engl</w:t>
      </w:r>
      <w:proofErr w:type="spellEnd"/>
      <w:r w:rsidRPr="00781DE7">
        <w:rPr>
          <w:i/>
          <w:iCs/>
        </w:rPr>
        <w:t xml:space="preserve"> J Med</w:t>
      </w:r>
      <w:r>
        <w:t>,</w:t>
      </w:r>
      <w:r w:rsidRPr="00E165E5">
        <w:t xml:space="preserve"> 2019; 380:</w:t>
      </w:r>
      <w:r>
        <w:t xml:space="preserve"> </w:t>
      </w:r>
      <w:r w:rsidRPr="00E165E5">
        <w:t>11-22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434F9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139"/>
    <w:multiLevelType w:val="hybridMultilevel"/>
    <w:tmpl w:val="7D0CA366"/>
    <w:lvl w:ilvl="0" w:tplc="422CE65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1D34F2"/>
    <w:multiLevelType w:val="hybridMultilevel"/>
    <w:tmpl w:val="DC3EF350"/>
    <w:lvl w:ilvl="0" w:tplc="422CE65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F55B3"/>
    <w:multiLevelType w:val="hybridMultilevel"/>
    <w:tmpl w:val="66E0250C"/>
    <w:lvl w:ilvl="0" w:tplc="1F42A8B2">
      <w:start w:val="3"/>
      <w:numFmt w:val="bullet"/>
      <w:lvlText w:val=""/>
      <w:lvlJc w:val="left"/>
      <w:pPr>
        <w:ind w:left="720" w:hanging="360"/>
      </w:pPr>
      <w:rPr>
        <w:rFonts w:ascii="Symbol" w:eastAsiaTheme="minorHAnsi" w:hAnsi="Symbol" w:cs="TimesNewRomanPSMT"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9108CD"/>
    <w:multiLevelType w:val="hybridMultilevel"/>
    <w:tmpl w:val="6C047650"/>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826F2D"/>
    <w:multiLevelType w:val="hybridMultilevel"/>
    <w:tmpl w:val="A00EA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875EDF"/>
    <w:multiLevelType w:val="hybridMultilevel"/>
    <w:tmpl w:val="A3520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281C01F1"/>
    <w:multiLevelType w:val="hybridMultilevel"/>
    <w:tmpl w:val="562E7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3B6244"/>
    <w:multiLevelType w:val="hybridMultilevel"/>
    <w:tmpl w:val="39A4D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1B93771"/>
    <w:multiLevelType w:val="hybridMultilevel"/>
    <w:tmpl w:val="30F6DEA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34E85570"/>
    <w:multiLevelType w:val="hybridMultilevel"/>
    <w:tmpl w:val="FDC0456E"/>
    <w:lvl w:ilvl="0" w:tplc="422CE65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F80ADF"/>
    <w:multiLevelType w:val="hybridMultilevel"/>
    <w:tmpl w:val="5F14F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6D945E8"/>
    <w:multiLevelType w:val="hybridMultilevel"/>
    <w:tmpl w:val="18469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9757AE"/>
    <w:multiLevelType w:val="hybridMultilevel"/>
    <w:tmpl w:val="D3E8F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944822"/>
    <w:multiLevelType w:val="hybridMultilevel"/>
    <w:tmpl w:val="FB385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717A48"/>
    <w:multiLevelType w:val="hybridMultilevel"/>
    <w:tmpl w:val="BEFC7EC0"/>
    <w:lvl w:ilvl="0" w:tplc="422CE65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1248D"/>
    <w:multiLevelType w:val="hybridMultilevel"/>
    <w:tmpl w:val="3D185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951911"/>
    <w:multiLevelType w:val="hybridMultilevel"/>
    <w:tmpl w:val="6D6665F4"/>
    <w:lvl w:ilvl="0" w:tplc="422CE65C">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3E42A5"/>
    <w:multiLevelType w:val="hybridMultilevel"/>
    <w:tmpl w:val="D28837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7" w15:restartNumberingAfterBreak="0">
    <w:nsid w:val="6E812CF5"/>
    <w:multiLevelType w:val="hybridMultilevel"/>
    <w:tmpl w:val="DB02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6D7B64"/>
    <w:multiLevelType w:val="hybridMultilevel"/>
    <w:tmpl w:val="0546B09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9" w15:restartNumberingAfterBreak="0">
    <w:nsid w:val="795C1AF6"/>
    <w:multiLevelType w:val="hybridMultilevel"/>
    <w:tmpl w:val="200E31CE"/>
    <w:lvl w:ilvl="0" w:tplc="03FE69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8D5E7A"/>
    <w:multiLevelType w:val="hybridMultilevel"/>
    <w:tmpl w:val="89EA7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433117"/>
    <w:multiLevelType w:val="hybridMultilevel"/>
    <w:tmpl w:val="DD548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6103483">
    <w:abstractNumId w:val="6"/>
  </w:num>
  <w:num w:numId="2" w16cid:durableId="1272737638">
    <w:abstractNumId w:val="4"/>
  </w:num>
  <w:num w:numId="3" w16cid:durableId="2066946293">
    <w:abstractNumId w:val="5"/>
  </w:num>
  <w:num w:numId="4" w16cid:durableId="629555327">
    <w:abstractNumId w:val="20"/>
  </w:num>
  <w:num w:numId="5" w16cid:durableId="623584892">
    <w:abstractNumId w:val="10"/>
  </w:num>
  <w:num w:numId="6" w16cid:durableId="1982152053">
    <w:abstractNumId w:val="19"/>
  </w:num>
  <w:num w:numId="7" w16cid:durableId="42611556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9912699">
    <w:abstractNumId w:val="11"/>
  </w:num>
  <w:num w:numId="9" w16cid:durableId="1464691971">
    <w:abstractNumId w:val="18"/>
  </w:num>
  <w:num w:numId="10" w16cid:durableId="1530335577">
    <w:abstractNumId w:val="13"/>
  </w:num>
  <w:num w:numId="11" w16cid:durableId="435055280">
    <w:abstractNumId w:val="7"/>
  </w:num>
  <w:num w:numId="12" w16cid:durableId="126703750">
    <w:abstractNumId w:val="24"/>
  </w:num>
  <w:num w:numId="13" w16cid:durableId="1174757866">
    <w:abstractNumId w:val="17"/>
  </w:num>
  <w:num w:numId="14" w16cid:durableId="882449273">
    <w:abstractNumId w:val="16"/>
  </w:num>
  <w:num w:numId="15" w16cid:durableId="753935183">
    <w:abstractNumId w:val="31"/>
  </w:num>
  <w:num w:numId="16" w16cid:durableId="1510369238">
    <w:abstractNumId w:val="8"/>
  </w:num>
  <w:num w:numId="17" w16cid:durableId="1722172302">
    <w:abstractNumId w:val="26"/>
  </w:num>
  <w:num w:numId="18" w16cid:durableId="92284387">
    <w:abstractNumId w:val="9"/>
  </w:num>
  <w:num w:numId="19" w16cid:durableId="1002506606">
    <w:abstractNumId w:val="12"/>
  </w:num>
  <w:num w:numId="20" w16cid:durableId="2141485569">
    <w:abstractNumId w:val="27"/>
  </w:num>
  <w:num w:numId="21" w16cid:durableId="591595824">
    <w:abstractNumId w:val="22"/>
  </w:num>
  <w:num w:numId="22" w16cid:durableId="2006131427">
    <w:abstractNumId w:val="25"/>
  </w:num>
  <w:num w:numId="23" w16cid:durableId="108167125">
    <w:abstractNumId w:val="1"/>
  </w:num>
  <w:num w:numId="24" w16cid:durableId="1338387556">
    <w:abstractNumId w:val="15"/>
  </w:num>
  <w:num w:numId="25" w16cid:durableId="669216252">
    <w:abstractNumId w:val="23"/>
  </w:num>
  <w:num w:numId="26" w16cid:durableId="509031684">
    <w:abstractNumId w:val="0"/>
  </w:num>
  <w:num w:numId="27" w16cid:durableId="605191569">
    <w:abstractNumId w:val="30"/>
  </w:num>
  <w:num w:numId="28" w16cid:durableId="673997584">
    <w:abstractNumId w:val="21"/>
  </w:num>
  <w:num w:numId="29" w16cid:durableId="753168520">
    <w:abstractNumId w:val="28"/>
  </w:num>
  <w:num w:numId="30" w16cid:durableId="1097553624">
    <w:abstractNumId w:val="14"/>
  </w:num>
  <w:num w:numId="31" w16cid:durableId="1117869464">
    <w:abstractNumId w:val="3"/>
  </w:num>
  <w:num w:numId="32" w16cid:durableId="513691778">
    <w:abstractNumId w:val="29"/>
  </w:num>
  <w:num w:numId="33" w16cid:durableId="1670324709">
    <w:abstractNumId w:val="4"/>
    <w:lvlOverride w:ilvl="0">
      <w:startOverride w:val="1"/>
    </w:lvlOverride>
  </w:num>
  <w:num w:numId="34" w16cid:durableId="645672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77844"/>
    <w:rsid w:val="00094B81"/>
    <w:rsid w:val="000975AA"/>
    <w:rsid w:val="000B44BD"/>
    <w:rsid w:val="000D7934"/>
    <w:rsid w:val="00101FB1"/>
    <w:rsid w:val="0012473C"/>
    <w:rsid w:val="00125C81"/>
    <w:rsid w:val="0013132F"/>
    <w:rsid w:val="00134964"/>
    <w:rsid w:val="0013528C"/>
    <w:rsid w:val="00165D28"/>
    <w:rsid w:val="001668EC"/>
    <w:rsid w:val="00175CD8"/>
    <w:rsid w:val="001A1167"/>
    <w:rsid w:val="001B3408"/>
    <w:rsid w:val="001C1C2E"/>
    <w:rsid w:val="001D3EC0"/>
    <w:rsid w:val="0020369B"/>
    <w:rsid w:val="00225197"/>
    <w:rsid w:val="00226F39"/>
    <w:rsid w:val="00241B60"/>
    <w:rsid w:val="00275B98"/>
    <w:rsid w:val="002C5E29"/>
    <w:rsid w:val="002D7127"/>
    <w:rsid w:val="003008D8"/>
    <w:rsid w:val="003033AD"/>
    <w:rsid w:val="00303959"/>
    <w:rsid w:val="00312AC3"/>
    <w:rsid w:val="00314430"/>
    <w:rsid w:val="00324B33"/>
    <w:rsid w:val="00326B75"/>
    <w:rsid w:val="00335DC3"/>
    <w:rsid w:val="00345AB3"/>
    <w:rsid w:val="00346EC2"/>
    <w:rsid w:val="0035444D"/>
    <w:rsid w:val="00395140"/>
    <w:rsid w:val="003B149C"/>
    <w:rsid w:val="003C048D"/>
    <w:rsid w:val="003C0F22"/>
    <w:rsid w:val="003C2283"/>
    <w:rsid w:val="003C3C67"/>
    <w:rsid w:val="003D71A1"/>
    <w:rsid w:val="00406109"/>
    <w:rsid w:val="0041688F"/>
    <w:rsid w:val="0042376F"/>
    <w:rsid w:val="004246B8"/>
    <w:rsid w:val="00433318"/>
    <w:rsid w:val="00434F9A"/>
    <w:rsid w:val="00453C34"/>
    <w:rsid w:val="00477C4E"/>
    <w:rsid w:val="00491A55"/>
    <w:rsid w:val="004B3081"/>
    <w:rsid w:val="00535DFE"/>
    <w:rsid w:val="00562F42"/>
    <w:rsid w:val="00566572"/>
    <w:rsid w:val="0056766D"/>
    <w:rsid w:val="0058575E"/>
    <w:rsid w:val="0058783C"/>
    <w:rsid w:val="005911AE"/>
    <w:rsid w:val="0059313A"/>
    <w:rsid w:val="005B023F"/>
    <w:rsid w:val="005D2089"/>
    <w:rsid w:val="005D7514"/>
    <w:rsid w:val="005E1A7B"/>
    <w:rsid w:val="006222AC"/>
    <w:rsid w:val="006277A1"/>
    <w:rsid w:val="006351D9"/>
    <w:rsid w:val="00637130"/>
    <w:rsid w:val="00637F0E"/>
    <w:rsid w:val="006423F2"/>
    <w:rsid w:val="006656D7"/>
    <w:rsid w:val="00671B72"/>
    <w:rsid w:val="00692CCD"/>
    <w:rsid w:val="006A1F0B"/>
    <w:rsid w:val="006A277A"/>
    <w:rsid w:val="006D6B44"/>
    <w:rsid w:val="00703D92"/>
    <w:rsid w:val="007072A1"/>
    <w:rsid w:val="00710BC5"/>
    <w:rsid w:val="0072003B"/>
    <w:rsid w:val="007357B9"/>
    <w:rsid w:val="007452E8"/>
    <w:rsid w:val="00745FE0"/>
    <w:rsid w:val="00746990"/>
    <w:rsid w:val="00750D70"/>
    <w:rsid w:val="00776D02"/>
    <w:rsid w:val="00776E1E"/>
    <w:rsid w:val="00781DE7"/>
    <w:rsid w:val="00793272"/>
    <w:rsid w:val="007B04DE"/>
    <w:rsid w:val="007B2B56"/>
    <w:rsid w:val="007C57BC"/>
    <w:rsid w:val="007D4138"/>
    <w:rsid w:val="007F0A77"/>
    <w:rsid w:val="007F50D3"/>
    <w:rsid w:val="008329DB"/>
    <w:rsid w:val="008361C5"/>
    <w:rsid w:val="0083628F"/>
    <w:rsid w:val="00837AB9"/>
    <w:rsid w:val="00850637"/>
    <w:rsid w:val="008524B6"/>
    <w:rsid w:val="00854D98"/>
    <w:rsid w:val="00860B29"/>
    <w:rsid w:val="008804CF"/>
    <w:rsid w:val="008964B3"/>
    <w:rsid w:val="008A00BD"/>
    <w:rsid w:val="008C1AEF"/>
    <w:rsid w:val="008C49C6"/>
    <w:rsid w:val="008C754C"/>
    <w:rsid w:val="008C75D7"/>
    <w:rsid w:val="008D4446"/>
    <w:rsid w:val="008D6A54"/>
    <w:rsid w:val="00905DE6"/>
    <w:rsid w:val="0090605E"/>
    <w:rsid w:val="009108CE"/>
    <w:rsid w:val="00915A9F"/>
    <w:rsid w:val="009204FF"/>
    <w:rsid w:val="00921B43"/>
    <w:rsid w:val="00930D58"/>
    <w:rsid w:val="0094368A"/>
    <w:rsid w:val="00952002"/>
    <w:rsid w:val="00954289"/>
    <w:rsid w:val="00966EF1"/>
    <w:rsid w:val="00967C90"/>
    <w:rsid w:val="0098350E"/>
    <w:rsid w:val="00996FA5"/>
    <w:rsid w:val="009B29D9"/>
    <w:rsid w:val="009C7E69"/>
    <w:rsid w:val="009E6F8C"/>
    <w:rsid w:val="00A01C56"/>
    <w:rsid w:val="00A21893"/>
    <w:rsid w:val="00A358E7"/>
    <w:rsid w:val="00A51A2D"/>
    <w:rsid w:val="00A63D9B"/>
    <w:rsid w:val="00A8033B"/>
    <w:rsid w:val="00A928FC"/>
    <w:rsid w:val="00A93DC6"/>
    <w:rsid w:val="00AB7CBF"/>
    <w:rsid w:val="00AE1947"/>
    <w:rsid w:val="00B46BC0"/>
    <w:rsid w:val="00B55681"/>
    <w:rsid w:val="00B87672"/>
    <w:rsid w:val="00B967FF"/>
    <w:rsid w:val="00BA7F7D"/>
    <w:rsid w:val="00BB1C14"/>
    <w:rsid w:val="00BC2212"/>
    <w:rsid w:val="00BD07DF"/>
    <w:rsid w:val="00BD5DBD"/>
    <w:rsid w:val="00BD6046"/>
    <w:rsid w:val="00BF28D1"/>
    <w:rsid w:val="00BF4638"/>
    <w:rsid w:val="00C024F9"/>
    <w:rsid w:val="00C07551"/>
    <w:rsid w:val="00C160CB"/>
    <w:rsid w:val="00C201B8"/>
    <w:rsid w:val="00C22214"/>
    <w:rsid w:val="00C407AB"/>
    <w:rsid w:val="00C570FF"/>
    <w:rsid w:val="00C64F6D"/>
    <w:rsid w:val="00C6574E"/>
    <w:rsid w:val="00C816C6"/>
    <w:rsid w:val="00CB0550"/>
    <w:rsid w:val="00D01DDB"/>
    <w:rsid w:val="00D078BE"/>
    <w:rsid w:val="00D13F8A"/>
    <w:rsid w:val="00D62877"/>
    <w:rsid w:val="00D63760"/>
    <w:rsid w:val="00D918D5"/>
    <w:rsid w:val="00D94C8E"/>
    <w:rsid w:val="00D9669B"/>
    <w:rsid w:val="00DB192C"/>
    <w:rsid w:val="00DB1CF3"/>
    <w:rsid w:val="00DB4B27"/>
    <w:rsid w:val="00DE1D1B"/>
    <w:rsid w:val="00DF5BFE"/>
    <w:rsid w:val="00E05735"/>
    <w:rsid w:val="00E165E5"/>
    <w:rsid w:val="00E47E0C"/>
    <w:rsid w:val="00E51813"/>
    <w:rsid w:val="00E53D3F"/>
    <w:rsid w:val="00E5579B"/>
    <w:rsid w:val="00E81E69"/>
    <w:rsid w:val="00F02AEC"/>
    <w:rsid w:val="00F157FC"/>
    <w:rsid w:val="00F15D6F"/>
    <w:rsid w:val="00F30AF3"/>
    <w:rsid w:val="00F657B4"/>
    <w:rsid w:val="00F865A7"/>
    <w:rsid w:val="00F94E4A"/>
    <w:rsid w:val="00FA0318"/>
    <w:rsid w:val="00FA0754"/>
    <w:rsid w:val="00FA1BC9"/>
    <w:rsid w:val="00FA49C3"/>
    <w:rsid w:val="00FB236E"/>
    <w:rsid w:val="00FB3EF1"/>
    <w:rsid w:val="00FC6F56"/>
    <w:rsid w:val="00FE04D6"/>
    <w:rsid w:val="00FE087C"/>
    <w:rsid w:val="00FE38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A928FC"/>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A928FC"/>
    <w:pPr>
      <w:keepNext/>
      <w:spacing w:before="120" w:after="60" w:line="180" w:lineRule="atLeast"/>
      <w:outlineLvl w:val="6"/>
    </w:pPr>
    <w:rPr>
      <w:rFonts w:eastAsia="Times New Roman" w:cs="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customStyle="1" w:styleId="Default">
    <w:name w:val="Default"/>
    <w:rsid w:val="00A928FC"/>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A928FC"/>
    <w:pPr>
      <w:adjustRightInd w:val="0"/>
      <w:snapToGrid w:val="0"/>
      <w:spacing w:before="180" w:after="180" w:line="240" w:lineRule="atLeast"/>
      <w:ind w:left="720"/>
      <w:contextualSpacing/>
    </w:pPr>
    <w:rPr>
      <w:rFonts w:eastAsia="MS Mincho" w:cs="Times New Roman"/>
      <w:lang w:eastAsia="ja-JP"/>
    </w:rPr>
  </w:style>
  <w:style w:type="paragraph" w:customStyle="1" w:styleId="Bulletpoint">
    <w:name w:val="Bullet point"/>
    <w:basedOn w:val="Normal"/>
    <w:rsid w:val="00A928FC"/>
    <w:pPr>
      <w:numPr>
        <w:numId w:val="9"/>
      </w:numPr>
      <w:tabs>
        <w:tab w:val="clear" w:pos="369"/>
        <w:tab w:val="left" w:pos="397"/>
        <w:tab w:val="num" w:pos="511"/>
      </w:tabs>
      <w:spacing w:after="180" w:line="252" w:lineRule="auto"/>
      <w:ind w:left="0" w:firstLine="0"/>
    </w:pPr>
    <w:rPr>
      <w:rFonts w:eastAsia="Times New Roman" w:cs="Times New Roman"/>
      <w:snapToGrid w:val="0"/>
      <w:kern w:val="16"/>
      <w:szCs w:val="24"/>
    </w:rPr>
  </w:style>
  <w:style w:type="character" w:customStyle="1" w:styleId="Heading1Char">
    <w:name w:val="Heading 1 Char"/>
    <w:basedOn w:val="DefaultParagraphFont"/>
    <w:link w:val="Heading1"/>
    <w:rsid w:val="00A928FC"/>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A928FC"/>
    <w:rPr>
      <w:rFonts w:ascii="Cambria" w:eastAsia="Times New Roman" w:hAnsi="Cambria" w:cs="Times New Roman"/>
      <w:bCs/>
      <w:szCs w:val="24"/>
    </w:rPr>
  </w:style>
  <w:style w:type="paragraph" w:customStyle="1" w:styleId="AxisLabel">
    <w:name w:val="Axis Label"/>
    <w:basedOn w:val="Normal"/>
    <w:qFormat/>
    <w:rsid w:val="00A928FC"/>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A928FC"/>
    <w:pPr>
      <w:spacing w:before="120" w:after="0" w:line="240" w:lineRule="auto"/>
    </w:pPr>
    <w:rPr>
      <w:rFonts w:ascii="Arial" w:eastAsia="Cambria" w:hAnsi="Arial" w:cs="Times New Roman"/>
      <w:sz w:val="16"/>
      <w:szCs w:val="22"/>
    </w:rPr>
  </w:style>
  <w:style w:type="paragraph" w:customStyle="1" w:styleId="Contents">
    <w:name w:val="Contents"/>
    <w:basedOn w:val="Normal"/>
    <w:rsid w:val="00A928FC"/>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A928FC"/>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A928FC"/>
    <w:pPr>
      <w:spacing w:before="120" w:line="240" w:lineRule="atLeast"/>
    </w:pPr>
    <w:rPr>
      <w:rFonts w:eastAsia="Cambria" w:cs="Times New Roman"/>
      <w:sz w:val="14"/>
      <w:szCs w:val="22"/>
    </w:rPr>
  </w:style>
  <w:style w:type="table" w:styleId="LightShading-Accent2">
    <w:name w:val="Light Shading Accent 2"/>
    <w:basedOn w:val="TableNormal"/>
    <w:uiPriority w:val="60"/>
    <w:rsid w:val="00A928FC"/>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A928FC"/>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A928FC"/>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A928FC"/>
    <w:rPr>
      <w:color w:val="808080"/>
    </w:rPr>
  </w:style>
  <w:style w:type="paragraph" w:customStyle="1" w:styleId="Reference">
    <w:name w:val="Reference"/>
    <w:basedOn w:val="Normal"/>
    <w:rsid w:val="00A928FC"/>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A928FC"/>
    <w:pPr>
      <w:spacing w:before="120" w:line="240" w:lineRule="atLeast"/>
    </w:pPr>
    <w:rPr>
      <w:rFonts w:eastAsia="Cambria" w:cs="Times New Roman"/>
      <w:sz w:val="19"/>
      <w:szCs w:val="22"/>
    </w:rPr>
  </w:style>
  <w:style w:type="table" w:customStyle="1" w:styleId="TableTGAblack">
    <w:name w:val="Table TGA black"/>
    <w:basedOn w:val="TableNormal"/>
    <w:uiPriority w:val="99"/>
    <w:rsid w:val="00A928FC"/>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A928FC"/>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A928FC"/>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A928FC"/>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A928FC"/>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A928FC"/>
    <w:rPr>
      <w:rFonts w:ascii="Cambria" w:eastAsia="Cambria" w:hAnsi="Cambria" w:cs="Times New Roman"/>
    </w:rPr>
  </w:style>
  <w:style w:type="character" w:styleId="EndnoteReference">
    <w:name w:val="endnote reference"/>
    <w:basedOn w:val="DefaultParagraphFont"/>
    <w:uiPriority w:val="99"/>
    <w:semiHidden/>
    <w:unhideWhenUsed/>
    <w:rsid w:val="00A928FC"/>
    <w:rPr>
      <w:vertAlign w:val="superscript"/>
    </w:rPr>
  </w:style>
  <w:style w:type="paragraph" w:customStyle="1" w:styleId="FigureCaption">
    <w:name w:val="Figure Caption"/>
    <w:basedOn w:val="Normal"/>
    <w:qFormat/>
    <w:rsid w:val="00A928FC"/>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A928FC"/>
    <w:pPr>
      <w:spacing w:after="240"/>
    </w:pPr>
    <w:rPr>
      <w:sz w:val="17"/>
    </w:rPr>
  </w:style>
  <w:style w:type="table" w:customStyle="1" w:styleId="TableTGA2">
    <w:name w:val="Table TGA 2"/>
    <w:basedOn w:val="TableNormal"/>
    <w:uiPriority w:val="99"/>
    <w:rsid w:val="00A928FC"/>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A928FC"/>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A928FC"/>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A928FC"/>
    <w:rPr>
      <w:rFonts w:ascii="Arial" w:hAnsi="Arial"/>
      <w:color w:val="002C47"/>
      <w:sz w:val="14"/>
    </w:rPr>
  </w:style>
  <w:style w:type="paragraph" w:customStyle="1" w:styleId="BodyCopy">
    <w:name w:val="Body Copy"/>
    <w:basedOn w:val="Normal"/>
    <w:qFormat/>
    <w:rsid w:val="00A928FC"/>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A928FC"/>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A928FC"/>
    <w:rPr>
      <w:rFonts w:ascii="Cambria" w:eastAsia="Times New Roman" w:hAnsi="Cambria" w:cs="Times New Roman"/>
      <w:snapToGrid w:val="0"/>
      <w:kern w:val="16"/>
      <w:sz w:val="23"/>
      <w:szCs w:val="24"/>
    </w:rPr>
  </w:style>
  <w:style w:type="paragraph" w:customStyle="1" w:styleId="PISubsection">
    <w:name w:val="PI Subsection"/>
    <w:basedOn w:val="Standard"/>
    <w:next w:val="Standard"/>
    <w:rsid w:val="00A928FC"/>
    <w:pPr>
      <w:keepNext/>
      <w:spacing w:after="120"/>
    </w:pPr>
    <w:rPr>
      <w:b/>
      <w:i/>
      <w:kern w:val="2"/>
      <w:sz w:val="22"/>
    </w:rPr>
  </w:style>
  <w:style w:type="paragraph" w:customStyle="1" w:styleId="review">
    <w:name w:val="review"/>
    <w:basedOn w:val="Normal"/>
    <w:qFormat/>
    <w:rsid w:val="00A928FC"/>
    <w:pPr>
      <w:widowControl w:val="0"/>
      <w:autoSpaceDE w:val="0"/>
      <w:autoSpaceDN w:val="0"/>
      <w:adjustRightInd w:val="0"/>
      <w:spacing w:after="0" w:line="240" w:lineRule="auto"/>
      <w:ind w:left="-709"/>
      <w:contextualSpacing/>
    </w:pPr>
    <w:rPr>
      <w:rFonts w:ascii="Times New Roman" w:eastAsia="Times New Roman" w:hAnsi="Times New Roman" w:cs="Times New Roman"/>
      <w:color w:val="FF0000"/>
      <w:sz w:val="24"/>
      <w:szCs w:val="24"/>
      <w:lang w:val="en-US" w:eastAsia="en-CA"/>
    </w:rPr>
  </w:style>
  <w:style w:type="character" w:styleId="Strong">
    <w:name w:val="Strong"/>
    <w:basedOn w:val="DefaultParagraphFont"/>
    <w:uiPriority w:val="22"/>
    <w:qFormat/>
    <w:rsid w:val="00A928FC"/>
    <w:rPr>
      <w:b/>
      <w:bCs/>
    </w:rPr>
  </w:style>
  <w:style w:type="paragraph" w:customStyle="1" w:styleId="Bulletlist">
    <w:name w:val="Bullet list"/>
    <w:basedOn w:val="Standard"/>
    <w:link w:val="BulletlistChar"/>
    <w:qFormat/>
    <w:rsid w:val="00A928FC"/>
    <w:pPr>
      <w:numPr>
        <w:numId w:val="31"/>
      </w:numPr>
      <w:spacing w:after="180"/>
    </w:pPr>
    <w:rPr>
      <w:kern w:val="2"/>
    </w:rPr>
  </w:style>
  <w:style w:type="character" w:customStyle="1" w:styleId="BulletlistChar">
    <w:name w:val="Bullet list Char"/>
    <w:basedOn w:val="StandardChar"/>
    <w:link w:val="Bulletlist"/>
    <w:rsid w:val="00A928FC"/>
    <w:rPr>
      <w:rFonts w:ascii="Cambria" w:eastAsia="Times New Roman" w:hAnsi="Cambria" w:cs="Times New Roman"/>
      <w:snapToGrid w:val="0"/>
      <w:kern w:val="2"/>
      <w:sz w:val="23"/>
      <w:szCs w:val="24"/>
    </w:rPr>
  </w:style>
  <w:style w:type="character" w:customStyle="1" w:styleId="field-content">
    <w:name w:val="field-content"/>
    <w:basedOn w:val="DefaultParagraphFont"/>
    <w:rsid w:val="00A928FC"/>
  </w:style>
  <w:style w:type="character" w:customStyle="1" w:styleId="element-invisible">
    <w:name w:val="element-invisible"/>
    <w:basedOn w:val="DefaultParagraphFont"/>
    <w:rsid w:val="00A928FC"/>
  </w:style>
  <w:style w:type="paragraph" w:customStyle="1" w:styleId="views-field">
    <w:name w:val="views-field"/>
    <w:basedOn w:val="Normal"/>
    <w:rsid w:val="00A928F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letextChar">
    <w:name w:val="Table text Char"/>
    <w:basedOn w:val="StandardChar"/>
    <w:link w:val="Tabletext0"/>
    <w:rsid w:val="00A928FC"/>
    <w:rPr>
      <w:rFonts w:ascii="Cambria" w:eastAsia="Cambria" w:hAnsi="Cambria" w:cs="Times New Roman"/>
      <w:snapToGrid/>
      <w:kern w:val="16"/>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product-information-one"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tga.gov.au/picmi-search-facility"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3.xml"/><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comparable-overseas-regulators-cors-timeframes-and-milestone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tga.gov.au/products/australian-register-therapeutic-goods-artg/consumer-medicines-information-cmi" TargetMode="Externa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mailto:info@tga.gov.a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tga.gov.au/committee/advisory-committee-medicines-acm" TargetMode="Externa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tga.gov.au/products/australian-register-therapeutic-goods-artg/product-information-one"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www.tga.gov.au/picmi-search-facilit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how-we-regulate/supply-therapeutic-good-0/supply-prescription-medicine/application-process/prescription-medicines-registration-proces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4.xml"/><Relationship Id="rId8" Type="http://schemas.openxmlformats.org/officeDocument/2006/relationships/header" Target="header1.xml"/><Relationship Id="rId51" Type="http://schemas.openxmlformats.org/officeDocument/2006/relationships/footer" Target="foot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14537</Words>
  <Characters>80249</Characters>
  <Application>Microsoft Office Word</Application>
  <DocSecurity>0</DocSecurity>
  <Lines>1783</Lines>
  <Paragraphs>1141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Vazkepa</dc:title>
  <dc:subject>Prescription medicines</dc:subject>
  <dc:creator>Therapeutic Goods Administration</dc:creator>
  <cp:keywords/>
  <dc:description/>
  <cp:lastModifiedBy>LACK, Janet</cp:lastModifiedBy>
  <cp:revision>3</cp:revision>
  <dcterms:created xsi:type="dcterms:W3CDTF">2023-09-13T05:08:00Z</dcterms:created>
  <dcterms:modified xsi:type="dcterms:W3CDTF">2023-09-13T05:12:00Z</dcterms:modified>
</cp:coreProperties>
</file>