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8A116" w14:textId="24805D8A" w:rsidR="00851A85" w:rsidRPr="00773EDE" w:rsidRDefault="00851A85" w:rsidP="0009651D">
      <w:pPr>
        <w:pStyle w:val="BlackTriangletext"/>
        <w:spacing w:after="320"/>
        <w:rPr>
          <w:sz w:val="24"/>
        </w:rPr>
      </w:pPr>
      <w:r w:rsidRPr="00773EDE">
        <w:rPr>
          <w:noProof/>
          <w:sz w:val="24"/>
        </w:rPr>
        <mc:AlternateContent>
          <mc:Choice Requires="wps">
            <w:drawing>
              <wp:inline distT="0" distB="0" distL="0" distR="0" wp14:anchorId="1478A2D6" wp14:editId="3845F5F2">
                <wp:extent cx="252095" cy="252095"/>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1FC1C" w14:textId="77777777" w:rsidR="00851A85" w:rsidRPr="003E7F03" w:rsidRDefault="00851A85" w:rsidP="003E7F03">
                            <w:pPr>
                              <w:pStyle w:val="BlackTriangle"/>
                            </w:pPr>
                            <w:r w:rsidRPr="003E7F03">
                              <w:rPr>
                                <w:rFonts w:hint="eastAsia"/>
                              </w:rPr>
                              <w:t>▼</w:t>
                            </w:r>
                          </w:p>
                        </w:txbxContent>
                      </wps:txbx>
                      <wps:bodyPr rot="0" vert="horz" wrap="square" lIns="0" tIns="0" rIns="0" bIns="0" anchor="t" anchorCtr="0" upright="1">
                        <a:noAutofit/>
                      </wps:bodyPr>
                    </wps:wsp>
                  </a:graphicData>
                </a:graphic>
              </wp:inline>
            </w:drawing>
          </mc:Choice>
          <mc:Fallback>
            <w:pict>
              <v:shapetype w14:anchorId="1478A2D6" id="_x0000_t202" coordsize="21600,21600" o:spt="202" path="m,l,21600r21600,l21600,xe">
                <v:stroke joinstyle="miter"/>
                <v:path gradientshapeok="t" o:connecttype="rect"/>
              </v:shapetype>
              <v:shape id="Text Box 3"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63E1FC1C" w14:textId="77777777" w:rsidR="00851A85" w:rsidRPr="003E7F03" w:rsidRDefault="00851A85" w:rsidP="003E7F03">
                      <w:pPr>
                        <w:pStyle w:val="BlackTriangle"/>
                      </w:pPr>
                      <w:r w:rsidRPr="003E7F03">
                        <w:rPr>
                          <w:rFonts w:hint="eastAsia"/>
                        </w:rPr>
                        <w:t>▼</w:t>
                      </w:r>
                    </w:p>
                  </w:txbxContent>
                </v:textbox>
                <w10:anchorlock/>
              </v:shape>
            </w:pict>
          </mc:Fallback>
        </mc:AlternateContent>
      </w:r>
      <w:r w:rsidRPr="00773EDE">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773EDE">
          <w:rPr>
            <w:rStyle w:val="Hyperlink"/>
            <w:color w:val="auto"/>
            <w:u w:val="none"/>
          </w:rPr>
          <w:t>https://www.tga.gov.au/reporting-problems</w:t>
        </w:r>
      </w:hyperlink>
      <w:r w:rsidRPr="00773EDE">
        <w:t>.</w:t>
      </w:r>
      <w:r w:rsidR="003E7F03" w:rsidRPr="00773EDE">
        <w:t xml:space="preserve"> </w:t>
      </w:r>
    </w:p>
    <w:p w14:paraId="6FCC3FCE" w14:textId="3703C501" w:rsidR="008C3E31" w:rsidRPr="00773EDE" w:rsidRDefault="00A74E71" w:rsidP="0009651D">
      <w:pPr>
        <w:pStyle w:val="0MainTitle"/>
        <w:spacing w:after="0"/>
      </w:pPr>
      <w:r w:rsidRPr="00773EDE">
        <w:t xml:space="preserve">AUSTRALIAN PRODUCT INFORMATION </w:t>
      </w:r>
      <w:r w:rsidR="00782433" w:rsidRPr="00773EDE">
        <w:t>–</w:t>
      </w:r>
      <w:r w:rsidRPr="00773EDE">
        <w:t xml:space="preserve"> </w:t>
      </w:r>
      <w:r w:rsidR="00782433" w:rsidRPr="00773EDE">
        <w:t xml:space="preserve">VAZKEPA </w:t>
      </w:r>
    </w:p>
    <w:p w14:paraId="7D8D0D90" w14:textId="3C020ECC" w:rsidR="00A74E71" w:rsidRPr="00773EDE" w:rsidRDefault="00A74E71" w:rsidP="0009651D">
      <w:pPr>
        <w:pStyle w:val="Subtitle-activeingredient"/>
        <w:spacing w:before="0"/>
      </w:pPr>
      <w:r w:rsidRPr="00773EDE">
        <w:t>(</w:t>
      </w:r>
      <w:proofErr w:type="spellStart"/>
      <w:proofErr w:type="gramStart"/>
      <w:r w:rsidR="00782433" w:rsidRPr="00773EDE">
        <w:t>icosapent</w:t>
      </w:r>
      <w:proofErr w:type="spellEnd"/>
      <w:proofErr w:type="gramEnd"/>
      <w:r w:rsidR="00782433" w:rsidRPr="00773EDE">
        <w:t xml:space="preserve"> ethyl</w:t>
      </w:r>
      <w:r w:rsidRPr="00773EDE">
        <w:t>)</w:t>
      </w:r>
    </w:p>
    <w:p w14:paraId="29AFB28B" w14:textId="483C9F67" w:rsidR="004A6F6E" w:rsidRPr="00773EDE" w:rsidRDefault="004637A9" w:rsidP="0009651D">
      <w:pPr>
        <w:pStyle w:val="Heading1"/>
      </w:pPr>
      <w:r w:rsidRPr="00773EDE">
        <w:t xml:space="preserve">1. </w:t>
      </w:r>
      <w:r w:rsidR="004A6F6E" w:rsidRPr="00773EDE">
        <w:t>Name</w:t>
      </w:r>
      <w:r w:rsidR="00C372C1" w:rsidRPr="00773EDE">
        <w:t xml:space="preserve"> of the Medicine</w:t>
      </w:r>
    </w:p>
    <w:p w14:paraId="5461405B" w14:textId="0157AA1D" w:rsidR="00242B21" w:rsidRPr="00773EDE" w:rsidRDefault="000F3C8B" w:rsidP="0009651D">
      <w:pPr>
        <w:pStyle w:val="BodyText1"/>
        <w:jc w:val="left"/>
      </w:pPr>
      <w:proofErr w:type="spellStart"/>
      <w:r w:rsidRPr="00773EDE">
        <w:t>Icosapent</w:t>
      </w:r>
      <w:proofErr w:type="spellEnd"/>
      <w:r w:rsidRPr="00773EDE">
        <w:t xml:space="preserve"> ethyl</w:t>
      </w:r>
    </w:p>
    <w:p w14:paraId="31EED64D" w14:textId="72756436" w:rsidR="004A6F6E" w:rsidRPr="00773EDE" w:rsidRDefault="008450DE" w:rsidP="0009651D">
      <w:pPr>
        <w:pStyle w:val="Heading1"/>
      </w:pPr>
      <w:r w:rsidRPr="00773EDE">
        <w:t xml:space="preserve">2. </w:t>
      </w:r>
      <w:r w:rsidR="004A6F6E" w:rsidRPr="00773EDE">
        <w:t>Qualitative and Quantitative Composition</w:t>
      </w:r>
      <w:r w:rsidR="00342257">
        <w:t xml:space="preserve"> </w:t>
      </w:r>
    </w:p>
    <w:p w14:paraId="1BB12AD2" w14:textId="77777777" w:rsidR="00885147" w:rsidRPr="00773EDE" w:rsidRDefault="003414A5" w:rsidP="0009651D">
      <w:pPr>
        <w:pStyle w:val="BodyText1"/>
        <w:jc w:val="left"/>
      </w:pPr>
      <w:r w:rsidRPr="00773EDE">
        <w:t xml:space="preserve">Each </w:t>
      </w:r>
      <w:r w:rsidR="00885147" w:rsidRPr="00773EDE">
        <w:t xml:space="preserve">soft capsule contains 998 mg of </w:t>
      </w:r>
      <w:proofErr w:type="spellStart"/>
      <w:r w:rsidR="00885147" w:rsidRPr="00773EDE">
        <w:t>icosapent</w:t>
      </w:r>
      <w:proofErr w:type="spellEnd"/>
      <w:r w:rsidR="00885147" w:rsidRPr="00773EDE">
        <w:t xml:space="preserve"> ethyl. </w:t>
      </w:r>
    </w:p>
    <w:p w14:paraId="5E709857" w14:textId="77777777" w:rsidR="00B775CF" w:rsidRDefault="00885147" w:rsidP="0009651D">
      <w:pPr>
        <w:pStyle w:val="BodyText1"/>
        <w:jc w:val="left"/>
      </w:pPr>
      <w:r w:rsidRPr="00983124">
        <w:rPr>
          <w:u w:val="single"/>
        </w:rPr>
        <w:t>E</w:t>
      </w:r>
      <w:r w:rsidR="00C372C1" w:rsidRPr="00983124">
        <w:rPr>
          <w:u w:val="single"/>
        </w:rPr>
        <w:t>xcipients with known effect</w:t>
      </w:r>
      <w:r w:rsidR="002B2534" w:rsidRPr="00773EDE">
        <w:t xml:space="preserve">: </w:t>
      </w:r>
    </w:p>
    <w:p w14:paraId="0EF92FD7" w14:textId="7A666F9E" w:rsidR="00885147" w:rsidRPr="00773EDE" w:rsidRDefault="00B775CF" w:rsidP="0009651D">
      <w:pPr>
        <w:pStyle w:val="BodyText1"/>
        <w:jc w:val="left"/>
      </w:pPr>
      <w:r>
        <w:t>M</w:t>
      </w:r>
      <w:r w:rsidR="00C70CB3" w:rsidRPr="00773EDE">
        <w:t xml:space="preserve">altitol, sorbitol and </w:t>
      </w:r>
      <w:r w:rsidR="00DA16BC" w:rsidRPr="00773EDE">
        <w:t>soya bean products</w:t>
      </w:r>
      <w:r>
        <w:t xml:space="preserve"> (see </w:t>
      </w:r>
      <w:hyperlink w:anchor="_Excipients_content" w:history="1">
        <w:r w:rsidRPr="00B775CF">
          <w:rPr>
            <w:rStyle w:val="Hyperlink"/>
          </w:rPr>
          <w:t>section 4.4 Special warnings and precautions for use</w:t>
        </w:r>
      </w:hyperlink>
      <w:r>
        <w:t>)</w:t>
      </w:r>
    </w:p>
    <w:p w14:paraId="7E37C7DC" w14:textId="2B3383AC" w:rsidR="00C372C1" w:rsidRPr="00773EDE" w:rsidRDefault="00C372C1" w:rsidP="0009651D">
      <w:pPr>
        <w:pStyle w:val="BodyText1"/>
        <w:jc w:val="left"/>
      </w:pPr>
      <w:r w:rsidRPr="00773EDE">
        <w:t xml:space="preserve">For the full list of excipients, see </w:t>
      </w:r>
      <w:hyperlink w:anchor="_6.1_List_of" w:history="1">
        <w:r w:rsidR="00272645" w:rsidRPr="00773EDE">
          <w:rPr>
            <w:rStyle w:val="Hyperlink"/>
          </w:rPr>
          <w:t>s</w:t>
        </w:r>
        <w:r w:rsidRPr="00773EDE">
          <w:rPr>
            <w:rStyle w:val="Hyperlink"/>
          </w:rPr>
          <w:t>ection 6.1 List of excipients</w:t>
        </w:r>
      </w:hyperlink>
      <w:r w:rsidRPr="00773EDE">
        <w:t xml:space="preserve">. </w:t>
      </w:r>
    </w:p>
    <w:p w14:paraId="4D92A334" w14:textId="32723A64" w:rsidR="004A6F6E" w:rsidRPr="00773EDE" w:rsidRDefault="008450DE" w:rsidP="0009651D">
      <w:pPr>
        <w:pStyle w:val="Heading1"/>
      </w:pPr>
      <w:r w:rsidRPr="00773EDE">
        <w:t xml:space="preserve">3. </w:t>
      </w:r>
      <w:r w:rsidR="00242B21" w:rsidRPr="00773EDE">
        <w:t>Pharmaceutical Form</w:t>
      </w:r>
      <w:r w:rsidR="00342257">
        <w:t xml:space="preserve"> </w:t>
      </w:r>
    </w:p>
    <w:p w14:paraId="49BB9831" w14:textId="3691364B" w:rsidR="0088667E" w:rsidRPr="00773EDE" w:rsidRDefault="0088667E" w:rsidP="0009651D">
      <w:pPr>
        <w:pStyle w:val="BodyText1"/>
        <w:jc w:val="left"/>
      </w:pPr>
      <w:r w:rsidRPr="00773EDE">
        <w:t xml:space="preserve">Soft capsule  </w:t>
      </w:r>
    </w:p>
    <w:p w14:paraId="629F0C52" w14:textId="00FD892C" w:rsidR="00C372C1" w:rsidRPr="00773EDE" w:rsidRDefault="0088667E" w:rsidP="0009651D">
      <w:pPr>
        <w:pStyle w:val="BodyText1"/>
        <w:jc w:val="left"/>
      </w:pPr>
      <w:r w:rsidRPr="00773EDE">
        <w:t xml:space="preserve">Oblong soft capsule, 25 x 10 mm, printed with “IPE” in white ink, with a light yellow to amber shell containing a colourless to pale yellow liquid. </w:t>
      </w:r>
    </w:p>
    <w:p w14:paraId="4C4DC604" w14:textId="44C55D74" w:rsidR="00242B21" w:rsidRPr="00773EDE" w:rsidRDefault="008450DE" w:rsidP="0009651D">
      <w:pPr>
        <w:pStyle w:val="Heading1"/>
      </w:pPr>
      <w:r w:rsidRPr="00773EDE">
        <w:t xml:space="preserve">4. </w:t>
      </w:r>
      <w:r w:rsidR="00242B21" w:rsidRPr="00773EDE">
        <w:t>Clinical Particulars</w:t>
      </w:r>
    </w:p>
    <w:p w14:paraId="5EB25E25" w14:textId="52A87490" w:rsidR="00242B21" w:rsidRPr="00773EDE" w:rsidRDefault="008450DE" w:rsidP="0009651D">
      <w:pPr>
        <w:pStyle w:val="Heading2"/>
      </w:pPr>
      <w:r w:rsidRPr="00773EDE">
        <w:t xml:space="preserve">4.1 </w:t>
      </w:r>
      <w:r w:rsidR="00B959F0" w:rsidRPr="00773EDE">
        <w:t>Therapeutic i</w:t>
      </w:r>
      <w:r w:rsidR="00242B21" w:rsidRPr="00773EDE">
        <w:t>ndications</w:t>
      </w:r>
      <w:r w:rsidR="00447D36">
        <w:t xml:space="preserve"> </w:t>
      </w:r>
    </w:p>
    <w:p w14:paraId="55802599" w14:textId="29850E3B" w:rsidR="00272645" w:rsidRPr="00773EDE" w:rsidRDefault="00E10A84" w:rsidP="0009651D">
      <w:pPr>
        <w:pStyle w:val="BodyText1"/>
        <w:jc w:val="left"/>
      </w:pPr>
      <w:r>
        <w:t>VAZKEPA</w:t>
      </w:r>
      <w:r w:rsidR="00272645" w:rsidRPr="00773EDE">
        <w:t xml:space="preserve"> is indicated to reduce the risk of cardiovascular events in adult statin-treated patients at high cardiovascular risk with elevated </w:t>
      </w:r>
      <w:r w:rsidR="00272645" w:rsidRPr="00CD6263">
        <w:t>triglycerides (≥ 1.7 mmol/L) and</w:t>
      </w:r>
      <w:r w:rsidR="00272645" w:rsidRPr="00773EDE">
        <w:t xml:space="preserve"> </w:t>
      </w:r>
    </w:p>
    <w:p w14:paraId="302F30C8" w14:textId="792114C7" w:rsidR="00272645" w:rsidRPr="00773EDE" w:rsidRDefault="00272645" w:rsidP="0009651D">
      <w:pPr>
        <w:pStyle w:val="BodyText1"/>
        <w:numPr>
          <w:ilvl w:val="0"/>
          <w:numId w:val="36"/>
        </w:numPr>
        <w:ind w:left="426" w:hanging="219"/>
        <w:jc w:val="left"/>
      </w:pPr>
      <w:r w:rsidRPr="00773EDE">
        <w:t xml:space="preserve">established cardiovascular disease, or </w:t>
      </w:r>
    </w:p>
    <w:p w14:paraId="1D6F261A" w14:textId="636F29D1" w:rsidR="00272645" w:rsidRPr="00773EDE" w:rsidRDefault="00272645" w:rsidP="0009651D">
      <w:pPr>
        <w:pStyle w:val="BodyText1"/>
        <w:numPr>
          <w:ilvl w:val="0"/>
          <w:numId w:val="36"/>
        </w:numPr>
        <w:ind w:left="426" w:hanging="219"/>
        <w:jc w:val="left"/>
      </w:pPr>
      <w:r w:rsidRPr="00773EDE">
        <w:t xml:space="preserve">diabetes, and at least one other cardiovascular risk factor. </w:t>
      </w:r>
    </w:p>
    <w:p w14:paraId="416C8B42" w14:textId="3E434ED8" w:rsidR="00242B21" w:rsidRPr="00773EDE" w:rsidRDefault="008450DE" w:rsidP="0009651D">
      <w:pPr>
        <w:pStyle w:val="Heading2"/>
      </w:pPr>
      <w:bookmarkStart w:id="0" w:name="_4.2_Dose_and"/>
      <w:bookmarkEnd w:id="0"/>
      <w:r w:rsidRPr="00773EDE">
        <w:t xml:space="preserve">4.2 </w:t>
      </w:r>
      <w:r w:rsidR="00D86907" w:rsidRPr="00773EDE">
        <w:t xml:space="preserve">Dose and </w:t>
      </w:r>
      <w:r w:rsidR="00B959F0" w:rsidRPr="00773EDE">
        <w:t xml:space="preserve">method of </w:t>
      </w:r>
      <w:r w:rsidR="009F0747" w:rsidRPr="00773EDE">
        <w:t>administration</w:t>
      </w:r>
      <w:r w:rsidR="00E8212C">
        <w:t xml:space="preserve"> </w:t>
      </w:r>
    </w:p>
    <w:p w14:paraId="50DD27A4" w14:textId="77777777" w:rsidR="00AB38EA" w:rsidRPr="00773EDE" w:rsidRDefault="00AB38EA" w:rsidP="0009651D">
      <w:pPr>
        <w:pStyle w:val="BodyText1"/>
        <w:jc w:val="left"/>
      </w:pPr>
      <w:r w:rsidRPr="00773EDE">
        <w:t xml:space="preserve">The recommended daily oral dose is 4 capsules taken as two 998 mg capsules twice daily. </w:t>
      </w:r>
    </w:p>
    <w:p w14:paraId="16F829B7" w14:textId="32B6626C" w:rsidR="00EF0489" w:rsidRPr="00773EDE" w:rsidRDefault="00AB38EA" w:rsidP="0009651D">
      <w:pPr>
        <w:pStyle w:val="BodyText1"/>
        <w:jc w:val="left"/>
      </w:pPr>
      <w:r w:rsidRPr="00773EDE">
        <w:t xml:space="preserve">If a dose is missed, patients should take it as soon as they remember. However, if one daily dose is missed, the next dose should not be doubled. </w:t>
      </w:r>
    </w:p>
    <w:p w14:paraId="6B8DE11E" w14:textId="77777777" w:rsidR="00D3653D" w:rsidRPr="00773EDE" w:rsidRDefault="00D3653D" w:rsidP="0009651D">
      <w:pPr>
        <w:pStyle w:val="Heading3"/>
      </w:pPr>
      <w:r w:rsidRPr="00773EDE">
        <w:t xml:space="preserve">Method of administration </w:t>
      </w:r>
    </w:p>
    <w:p w14:paraId="3D023356" w14:textId="77777777" w:rsidR="00D3653D" w:rsidRPr="00773EDE" w:rsidRDefault="00D3653D" w:rsidP="0009651D">
      <w:pPr>
        <w:pStyle w:val="BodyText1"/>
        <w:jc w:val="left"/>
      </w:pPr>
      <w:r w:rsidRPr="00773EDE">
        <w:t xml:space="preserve">Oral use. </w:t>
      </w:r>
    </w:p>
    <w:p w14:paraId="18783267" w14:textId="1223CB3E" w:rsidR="00D3653D" w:rsidRPr="00773EDE" w:rsidRDefault="00E10A84" w:rsidP="0009651D">
      <w:pPr>
        <w:pStyle w:val="BodyText1"/>
        <w:jc w:val="left"/>
      </w:pPr>
      <w:r>
        <w:t>VAZKEPA</w:t>
      </w:r>
      <w:r w:rsidR="00D3653D" w:rsidRPr="00773EDE">
        <w:t xml:space="preserve"> should be taken with or following a meal. </w:t>
      </w:r>
    </w:p>
    <w:p w14:paraId="563249D2" w14:textId="77777777" w:rsidR="00D3653D" w:rsidRPr="00773EDE" w:rsidRDefault="00D3653D" w:rsidP="0009651D">
      <w:pPr>
        <w:pStyle w:val="BodyText1"/>
        <w:jc w:val="left"/>
      </w:pPr>
      <w:r w:rsidRPr="00773EDE">
        <w:t>To ensure the full intended dose is received, patients should be advised to swallow the capsules whole and not to break, crush, dissolve, or chew them.</w:t>
      </w:r>
    </w:p>
    <w:p w14:paraId="6E7506ED" w14:textId="6DB1C354" w:rsidR="00EF0489" w:rsidRPr="00773EDE" w:rsidRDefault="00EF0489" w:rsidP="0009651D">
      <w:pPr>
        <w:pStyle w:val="Heading3"/>
        <w:keepNext/>
      </w:pPr>
      <w:r w:rsidRPr="00773EDE">
        <w:t>Dosage adjustment in:</w:t>
      </w:r>
    </w:p>
    <w:p w14:paraId="1A97ACE8" w14:textId="3AC221CF" w:rsidR="00EF0489" w:rsidRPr="00773EDE" w:rsidRDefault="00EF0489" w:rsidP="0009651D">
      <w:pPr>
        <w:pStyle w:val="Heading4"/>
        <w:keepNext/>
      </w:pPr>
      <w:r w:rsidRPr="00773EDE">
        <w:t xml:space="preserve">Renal </w:t>
      </w:r>
      <w:r w:rsidR="00851A85" w:rsidRPr="00773EDE">
        <w:t>impairment</w:t>
      </w:r>
      <w:r w:rsidR="00D46444">
        <w:t xml:space="preserve"> </w:t>
      </w:r>
    </w:p>
    <w:p w14:paraId="24135445" w14:textId="48B7A44E" w:rsidR="00721BDF" w:rsidRPr="00773EDE" w:rsidRDefault="00721BDF" w:rsidP="0009651D">
      <w:pPr>
        <w:pStyle w:val="BodyText1"/>
        <w:jc w:val="left"/>
      </w:pPr>
      <w:r w:rsidRPr="00773EDE">
        <w:t xml:space="preserve">No dose reduction is recommended </w:t>
      </w:r>
      <w:r w:rsidR="002D2339" w:rsidRPr="00773EDE">
        <w:t>(</w:t>
      </w:r>
      <w:r w:rsidRPr="00773EDE">
        <w:t xml:space="preserve">see </w:t>
      </w:r>
      <w:hyperlink w:anchor="_Renal_and_hepatic" w:history="1">
        <w:r w:rsidRPr="00E10A84">
          <w:rPr>
            <w:rStyle w:val="Hyperlink"/>
          </w:rPr>
          <w:t>section 5.2 Pharmacokinetic properties</w:t>
        </w:r>
      </w:hyperlink>
      <w:r w:rsidR="002D2339" w:rsidRPr="00773EDE">
        <w:t>)</w:t>
      </w:r>
      <w:r w:rsidRPr="00773EDE">
        <w:t xml:space="preserve">. </w:t>
      </w:r>
    </w:p>
    <w:p w14:paraId="3A3A7C13" w14:textId="31E4FFBC" w:rsidR="00EF0489" w:rsidRPr="00773EDE" w:rsidRDefault="00EF0489" w:rsidP="0009651D">
      <w:pPr>
        <w:pStyle w:val="Heading4"/>
        <w:pageBreakBefore/>
      </w:pPr>
      <w:r w:rsidRPr="00773EDE">
        <w:lastRenderedPageBreak/>
        <w:t xml:space="preserve">Hepatic </w:t>
      </w:r>
      <w:r w:rsidR="00851A85" w:rsidRPr="00773EDE">
        <w:t>impairment</w:t>
      </w:r>
      <w:r w:rsidR="00391D6A">
        <w:t xml:space="preserve"> </w:t>
      </w:r>
    </w:p>
    <w:p w14:paraId="70B6BA65" w14:textId="71FA4EE4" w:rsidR="00EF0489" w:rsidRPr="00773EDE" w:rsidRDefault="002D2339" w:rsidP="0009651D">
      <w:pPr>
        <w:pStyle w:val="BodyText1"/>
        <w:jc w:val="left"/>
      </w:pPr>
      <w:r w:rsidRPr="00773EDE">
        <w:rPr>
          <w:szCs w:val="22"/>
        </w:rPr>
        <w:t xml:space="preserve">No dose reduction is recommended (see </w:t>
      </w:r>
      <w:hyperlink w:anchor="_Use_in_hepatic" w:history="1">
        <w:r w:rsidRPr="00E10A84">
          <w:rPr>
            <w:rStyle w:val="Hyperlink"/>
            <w:szCs w:val="22"/>
          </w:rPr>
          <w:t>sections 4.4 Special warnings and precautions for use</w:t>
        </w:r>
      </w:hyperlink>
      <w:r w:rsidRPr="00773EDE">
        <w:rPr>
          <w:szCs w:val="22"/>
        </w:rPr>
        <w:t xml:space="preserve"> and </w:t>
      </w:r>
      <w:hyperlink w:anchor="_Renal_and_hepatic" w:history="1">
        <w:r w:rsidRPr="00E10A84">
          <w:rPr>
            <w:rStyle w:val="Hyperlink"/>
            <w:szCs w:val="22"/>
          </w:rPr>
          <w:t>5.2</w:t>
        </w:r>
        <w:r w:rsidR="00216D4F">
          <w:rPr>
            <w:rStyle w:val="Hyperlink"/>
            <w:szCs w:val="22"/>
          </w:rPr>
          <w:t> </w:t>
        </w:r>
        <w:r w:rsidRPr="00E10A84">
          <w:rPr>
            <w:rStyle w:val="Hyperlink"/>
          </w:rPr>
          <w:t>Pharmacokinetic properties</w:t>
        </w:r>
      </w:hyperlink>
      <w:r w:rsidRPr="00773EDE">
        <w:rPr>
          <w:szCs w:val="22"/>
        </w:rPr>
        <w:t xml:space="preserve">). </w:t>
      </w:r>
    </w:p>
    <w:p w14:paraId="2D199833" w14:textId="5160AF19" w:rsidR="00EF0489" w:rsidRPr="00773EDE" w:rsidRDefault="00721BDF" w:rsidP="0009651D">
      <w:pPr>
        <w:pStyle w:val="Heading4"/>
        <w:keepNext/>
      </w:pPr>
      <w:bookmarkStart w:id="1" w:name="_Elderly"/>
      <w:bookmarkEnd w:id="1"/>
      <w:r w:rsidRPr="00773EDE">
        <w:t>Elderly</w:t>
      </w:r>
      <w:r w:rsidR="00FC0E88">
        <w:t xml:space="preserve"> </w:t>
      </w:r>
    </w:p>
    <w:p w14:paraId="40687A72" w14:textId="6B5ED7B7" w:rsidR="00721BDF" w:rsidRPr="00773EDE" w:rsidRDefault="00721BDF" w:rsidP="0009651D">
      <w:pPr>
        <w:pStyle w:val="BodyText1"/>
        <w:keepNext/>
        <w:jc w:val="left"/>
      </w:pPr>
      <w:r w:rsidRPr="00773EDE">
        <w:t xml:space="preserve">No dose adjustment is necessary based on age </w:t>
      </w:r>
      <w:r w:rsidR="002D2339" w:rsidRPr="00773EDE">
        <w:t>(</w:t>
      </w:r>
      <w:r w:rsidRPr="00773EDE">
        <w:t xml:space="preserve">see </w:t>
      </w:r>
      <w:hyperlink w:anchor="_Elderly_(≥_65" w:history="1">
        <w:r w:rsidRPr="00817AE4">
          <w:rPr>
            <w:rStyle w:val="Hyperlink"/>
          </w:rPr>
          <w:t>section 5.2 Pharmacokinetic properties</w:t>
        </w:r>
      </w:hyperlink>
      <w:r w:rsidR="002D2339" w:rsidRPr="00773EDE">
        <w:t>)</w:t>
      </w:r>
      <w:r w:rsidRPr="00773EDE">
        <w:t xml:space="preserve">. </w:t>
      </w:r>
    </w:p>
    <w:p w14:paraId="4EBBB6E0" w14:textId="0E10700A" w:rsidR="009F0747" w:rsidRPr="00773EDE" w:rsidRDefault="008450DE" w:rsidP="0009651D">
      <w:pPr>
        <w:pStyle w:val="Heading2"/>
      </w:pPr>
      <w:r w:rsidRPr="00773EDE">
        <w:t xml:space="preserve">4.3 </w:t>
      </w:r>
      <w:r w:rsidR="008E17DD" w:rsidRPr="00773EDE">
        <w:t>Contraindications</w:t>
      </w:r>
    </w:p>
    <w:p w14:paraId="547B90E1" w14:textId="1B0A8F64" w:rsidR="00D621B2" w:rsidRPr="00773EDE" w:rsidRDefault="00950241" w:rsidP="0009651D">
      <w:pPr>
        <w:pStyle w:val="BodyText1"/>
        <w:jc w:val="left"/>
      </w:pPr>
      <w:bookmarkStart w:id="2" w:name="_Ref471291968"/>
      <w:r w:rsidRPr="00773EDE">
        <w:rPr>
          <w:szCs w:val="22"/>
        </w:rPr>
        <w:t xml:space="preserve">Hypersensitivity to the active substance, soya or to any of the excipients listed in </w:t>
      </w:r>
      <w:hyperlink w:anchor="_6.1_List_of" w:history="1">
        <w:r w:rsidRPr="00773EDE">
          <w:rPr>
            <w:rStyle w:val="Hyperlink"/>
            <w:szCs w:val="22"/>
          </w:rPr>
          <w:t>section 6.1 List of excipients</w:t>
        </w:r>
      </w:hyperlink>
      <w:r w:rsidR="00D621B2" w:rsidRPr="00773EDE">
        <w:t xml:space="preserve">. </w:t>
      </w:r>
    </w:p>
    <w:p w14:paraId="3F94A771" w14:textId="160A9A5E" w:rsidR="008E17DD" w:rsidRPr="00773EDE" w:rsidRDefault="008450DE" w:rsidP="0009651D">
      <w:pPr>
        <w:pStyle w:val="Heading2"/>
      </w:pPr>
      <w:r w:rsidRPr="00773EDE">
        <w:t xml:space="preserve">4.4 </w:t>
      </w:r>
      <w:bookmarkEnd w:id="2"/>
      <w:r w:rsidR="00B959F0" w:rsidRPr="00773EDE">
        <w:t>Special warnings and p</w:t>
      </w:r>
      <w:r w:rsidR="00D86907" w:rsidRPr="00773EDE">
        <w:t>recautions</w:t>
      </w:r>
      <w:r w:rsidR="00B959F0" w:rsidRPr="00773EDE">
        <w:t xml:space="preserve"> for use</w:t>
      </w:r>
    </w:p>
    <w:p w14:paraId="78C66FD1" w14:textId="06A05232" w:rsidR="008922E8" w:rsidRPr="00773EDE" w:rsidRDefault="009A37DF" w:rsidP="0009651D">
      <w:pPr>
        <w:pStyle w:val="Heading3"/>
      </w:pPr>
      <w:bookmarkStart w:id="3" w:name="_Hlk496086231"/>
      <w:r w:rsidRPr="00773EDE">
        <w:t xml:space="preserve">Allergies to fish and/or shellfish </w:t>
      </w:r>
    </w:p>
    <w:p w14:paraId="2B01E263" w14:textId="5F23DA06" w:rsidR="00851A85" w:rsidRPr="00773EDE" w:rsidRDefault="009A37DF" w:rsidP="0009651D">
      <w:pPr>
        <w:pStyle w:val="BodyText1"/>
        <w:jc w:val="left"/>
      </w:pPr>
      <w:proofErr w:type="spellStart"/>
      <w:r w:rsidRPr="00773EDE">
        <w:rPr>
          <w:szCs w:val="22"/>
        </w:rPr>
        <w:t>Icosapent</w:t>
      </w:r>
      <w:proofErr w:type="spellEnd"/>
      <w:r w:rsidRPr="00773EDE">
        <w:rPr>
          <w:szCs w:val="22"/>
        </w:rPr>
        <w:t xml:space="preserve"> ethyl is obtained from the oil of fish. It is not known whether patients with allergies to fish and/or shellfish are at increased risk of an allergic reaction to </w:t>
      </w:r>
      <w:proofErr w:type="spellStart"/>
      <w:r w:rsidRPr="00773EDE">
        <w:rPr>
          <w:szCs w:val="22"/>
        </w:rPr>
        <w:t>icosapent</w:t>
      </w:r>
      <w:proofErr w:type="spellEnd"/>
      <w:r w:rsidRPr="00773EDE">
        <w:rPr>
          <w:szCs w:val="22"/>
        </w:rPr>
        <w:t xml:space="preserve"> ethyl. </w:t>
      </w:r>
      <w:proofErr w:type="spellStart"/>
      <w:r w:rsidRPr="00773EDE">
        <w:rPr>
          <w:szCs w:val="22"/>
        </w:rPr>
        <w:t>Icosapent</w:t>
      </w:r>
      <w:proofErr w:type="spellEnd"/>
      <w:r w:rsidRPr="00773EDE">
        <w:rPr>
          <w:szCs w:val="22"/>
        </w:rPr>
        <w:t xml:space="preserve"> ethyl should be used with caution in patients with known hypersensitivity to fish and/or shellfish</w:t>
      </w:r>
      <w:r w:rsidR="00851A85" w:rsidRPr="00773EDE">
        <w:t>.</w:t>
      </w:r>
    </w:p>
    <w:p w14:paraId="109E98D2" w14:textId="77777777" w:rsidR="00641C70" w:rsidRPr="00773EDE" w:rsidRDefault="00641C70" w:rsidP="0009651D">
      <w:pPr>
        <w:pStyle w:val="Heading3"/>
      </w:pPr>
      <w:r w:rsidRPr="00773EDE">
        <w:t xml:space="preserve">Atrial fibrillation or flutter </w:t>
      </w:r>
    </w:p>
    <w:p w14:paraId="1332A96E" w14:textId="709A6120" w:rsidR="00641C70" w:rsidRPr="00773EDE" w:rsidRDefault="00DB248E" w:rsidP="0009651D">
      <w:pPr>
        <w:pStyle w:val="BodyText1"/>
        <w:jc w:val="left"/>
      </w:pPr>
      <w:proofErr w:type="spellStart"/>
      <w:r w:rsidRPr="00773EDE">
        <w:t>Icosapent</w:t>
      </w:r>
      <w:proofErr w:type="spellEnd"/>
      <w:r w:rsidRPr="00773EDE">
        <w:t xml:space="preserve"> ethyl was associated with an increased risk of atrial fibrillation or flutter requiring hospitalisation in a double-blind placebo-controlled trial. The incidence of atrial fibrillation was greater in patients with a previous history of atrial fibrillation or flutter (see </w:t>
      </w:r>
      <w:hyperlink w:anchor="_Atrial_fibrillation/_flutter" w:history="1">
        <w:r w:rsidRPr="006E7A1E">
          <w:rPr>
            <w:rStyle w:val="Hyperlink"/>
          </w:rPr>
          <w:t>section 4.8</w:t>
        </w:r>
        <w:r w:rsidR="006E7A1E" w:rsidRPr="006E7A1E">
          <w:rPr>
            <w:rStyle w:val="Hyperlink"/>
          </w:rPr>
          <w:t xml:space="preserve"> Adverse effect (Undesirable effects)</w:t>
        </w:r>
      </w:hyperlink>
      <w:r w:rsidRPr="00773EDE">
        <w:t xml:space="preserve">). Patients, particularly those with a relevant medical history, should be monitored for clinical evidence of atrial fibrillation or atrial flutter (e.g., dyspnoea, palpitations, syncope/dizziness, chest discomfort, change in blood pressure, or irregular pulse). Electrocardiographic evaluation should be performed when clinically indicated. </w:t>
      </w:r>
    </w:p>
    <w:p w14:paraId="72C57CD6" w14:textId="77777777" w:rsidR="00DB248E" w:rsidRPr="00773EDE" w:rsidRDefault="00DB248E" w:rsidP="0009651D">
      <w:pPr>
        <w:pStyle w:val="Heading3"/>
      </w:pPr>
      <w:bookmarkStart w:id="4" w:name="_Bleeding_1"/>
      <w:bookmarkEnd w:id="4"/>
      <w:r w:rsidRPr="00773EDE">
        <w:t xml:space="preserve">Bleeding </w:t>
      </w:r>
    </w:p>
    <w:p w14:paraId="1D5315DB" w14:textId="0294E4FE" w:rsidR="00DB248E" w:rsidRPr="00773EDE" w:rsidRDefault="00DB248E" w:rsidP="0009651D">
      <w:pPr>
        <w:pStyle w:val="BodyText1"/>
        <w:jc w:val="left"/>
      </w:pPr>
      <w:r w:rsidRPr="00773EDE">
        <w:t xml:space="preserve">Treatment with </w:t>
      </w:r>
      <w:proofErr w:type="spellStart"/>
      <w:r w:rsidRPr="00773EDE">
        <w:t>icosapent</w:t>
      </w:r>
      <w:proofErr w:type="spellEnd"/>
      <w:r w:rsidRPr="00773EDE">
        <w:t xml:space="preserve"> ethyl has been associated with an increased incidence of bleeding. Patients taking </w:t>
      </w:r>
      <w:proofErr w:type="spellStart"/>
      <w:r w:rsidRPr="00773EDE">
        <w:t>icosapent</w:t>
      </w:r>
      <w:proofErr w:type="spellEnd"/>
      <w:r w:rsidRPr="00773EDE">
        <w:t xml:space="preserve"> ethyl along with antithrombotic agents, i.e., antiplatelet agents, including acetylsalicylic acid, and/or anticoagulants, may be at increased risk of bleeding and should be monitored periodically (</w:t>
      </w:r>
      <w:r w:rsidRPr="006E7A1E">
        <w:t xml:space="preserve">see </w:t>
      </w:r>
      <w:hyperlink w:anchor="_Bleeding" w:history="1">
        <w:r w:rsidRPr="006E7A1E">
          <w:rPr>
            <w:rStyle w:val="Hyperlink"/>
          </w:rPr>
          <w:t>section 4.8</w:t>
        </w:r>
        <w:r w:rsidR="0007617D" w:rsidRPr="006E7A1E">
          <w:rPr>
            <w:rStyle w:val="Hyperlink"/>
          </w:rPr>
          <w:t xml:space="preserve"> Adverse effects (Undesirable effects)</w:t>
        </w:r>
      </w:hyperlink>
      <w:r w:rsidRPr="00773EDE">
        <w:t xml:space="preserve">). </w:t>
      </w:r>
    </w:p>
    <w:p w14:paraId="54C8AE27" w14:textId="2C780489" w:rsidR="00D86907" w:rsidRPr="00773EDE" w:rsidRDefault="00B959F0" w:rsidP="0009651D">
      <w:pPr>
        <w:pStyle w:val="Heading3"/>
      </w:pPr>
      <w:bookmarkStart w:id="5" w:name="_Use_in_hepatic"/>
      <w:bookmarkEnd w:id="5"/>
      <w:r w:rsidRPr="00773EDE">
        <w:t xml:space="preserve">Use in hepatic impairment </w:t>
      </w:r>
    </w:p>
    <w:p w14:paraId="2AF5AAB6" w14:textId="22994341" w:rsidR="00851A85" w:rsidRPr="00773EDE" w:rsidRDefault="00641C70" w:rsidP="0009651D">
      <w:pPr>
        <w:pStyle w:val="BodyText1"/>
        <w:jc w:val="left"/>
      </w:pPr>
      <w:r w:rsidRPr="00773EDE">
        <w:rPr>
          <w:szCs w:val="22"/>
        </w:rPr>
        <w:t>In patients with hepatic impairment, alanine aminotransferase (ALT) and aspartate aminotransferase (AST) concentrations should be monitored as clinically indicated before the start of treatment and at appropriate intervals during treatment</w:t>
      </w:r>
      <w:r w:rsidR="00851A85" w:rsidRPr="00773EDE">
        <w:t>.</w:t>
      </w:r>
    </w:p>
    <w:p w14:paraId="1D6FEF09" w14:textId="757CB00A" w:rsidR="00B959F0" w:rsidRPr="00773EDE" w:rsidRDefault="00B959F0" w:rsidP="0009651D">
      <w:pPr>
        <w:pStyle w:val="Heading3"/>
      </w:pPr>
      <w:r w:rsidRPr="00773EDE">
        <w:t>Use in the elderly</w:t>
      </w:r>
      <w:r w:rsidR="007A7C5B">
        <w:t xml:space="preserve"> </w:t>
      </w:r>
    </w:p>
    <w:p w14:paraId="017BE433" w14:textId="3D200FD6" w:rsidR="00851A85" w:rsidRPr="00773EDE" w:rsidRDefault="00CD4550" w:rsidP="0009651D">
      <w:pPr>
        <w:pStyle w:val="BodyText1"/>
        <w:jc w:val="left"/>
      </w:pPr>
      <w:r w:rsidRPr="00773EDE">
        <w:t xml:space="preserve">See </w:t>
      </w:r>
      <w:hyperlink w:anchor="_Elderly" w:history="1">
        <w:r w:rsidRPr="00817AE4">
          <w:rPr>
            <w:rStyle w:val="Hyperlink"/>
          </w:rPr>
          <w:t>sections 4.2 Dose and method of administration</w:t>
        </w:r>
      </w:hyperlink>
      <w:r w:rsidRPr="00773EDE">
        <w:t xml:space="preserve"> and </w:t>
      </w:r>
      <w:hyperlink w:anchor="_Elderly_(≥_65" w:history="1">
        <w:r w:rsidRPr="00817AE4">
          <w:rPr>
            <w:rStyle w:val="Hyperlink"/>
          </w:rPr>
          <w:t>5.2 Pharmacokinetic properties</w:t>
        </w:r>
      </w:hyperlink>
      <w:r w:rsidR="00851A85" w:rsidRPr="00773EDE">
        <w:t>.</w:t>
      </w:r>
    </w:p>
    <w:p w14:paraId="517428ED" w14:textId="3A4612C6" w:rsidR="00D86907" w:rsidRPr="00773EDE" w:rsidRDefault="00D86907" w:rsidP="0009651D">
      <w:pPr>
        <w:pStyle w:val="Heading3"/>
      </w:pPr>
      <w:r w:rsidRPr="00773EDE">
        <w:t>Paediatric use</w:t>
      </w:r>
      <w:r w:rsidR="00B27961">
        <w:t xml:space="preserve"> </w:t>
      </w:r>
    </w:p>
    <w:p w14:paraId="2005766D" w14:textId="0FE1140A" w:rsidR="00851A85" w:rsidRPr="00773EDE" w:rsidRDefault="00641C70" w:rsidP="0009651D">
      <w:pPr>
        <w:pStyle w:val="BodyText1"/>
        <w:jc w:val="left"/>
      </w:pPr>
      <w:r w:rsidRPr="00773EDE">
        <w:t xml:space="preserve">There is no relevant use of </w:t>
      </w:r>
      <w:proofErr w:type="spellStart"/>
      <w:r w:rsidRPr="00773EDE">
        <w:t>icosapent</w:t>
      </w:r>
      <w:proofErr w:type="spellEnd"/>
      <w:r w:rsidRPr="00773EDE">
        <w:t xml:space="preserve"> ethyl in children aged &lt;18 years of age in reducing the risk of cardiovascular events in statin-treated patients at high cardiovascular risk with elevated triglycerides and other risk factors for cardiovascular disease</w:t>
      </w:r>
      <w:r w:rsidR="00851A85" w:rsidRPr="00773EDE">
        <w:t>.</w:t>
      </w:r>
    </w:p>
    <w:p w14:paraId="5731D0CA" w14:textId="77777777" w:rsidR="00B34639" w:rsidRPr="00773EDE" w:rsidRDefault="00B34639" w:rsidP="0009651D">
      <w:pPr>
        <w:pStyle w:val="Heading3"/>
      </w:pPr>
      <w:bookmarkStart w:id="6" w:name="_Excipients_content"/>
      <w:bookmarkEnd w:id="6"/>
      <w:r w:rsidRPr="00773EDE">
        <w:t xml:space="preserve">Excipients content </w:t>
      </w:r>
    </w:p>
    <w:p w14:paraId="2D23C374" w14:textId="77777777" w:rsidR="00B34639" w:rsidRPr="00773EDE" w:rsidRDefault="00B34639" w:rsidP="0009651D">
      <w:pPr>
        <w:pStyle w:val="Heading4"/>
      </w:pPr>
      <w:r w:rsidRPr="00773EDE">
        <w:t xml:space="preserve">Sorbitol </w:t>
      </w:r>
    </w:p>
    <w:p w14:paraId="500E0C76" w14:textId="77777777" w:rsidR="00B34639" w:rsidRPr="00773EDE" w:rsidRDefault="00B34639" w:rsidP="0009651D">
      <w:pPr>
        <w:pStyle w:val="BodyText1"/>
        <w:jc w:val="left"/>
      </w:pPr>
      <w:r w:rsidRPr="00773EDE">
        <w:t xml:space="preserve">This medicinal product contains 83 mg of sorbitol in each capsule. The additive effect of concomitantly administered medicinal products containing sorbitol (or fructose) and dietary intake of sorbitol (or fructose) should be </w:t>
      </w:r>
      <w:proofErr w:type="gramStart"/>
      <w:r w:rsidRPr="00773EDE">
        <w:t>taken into account</w:t>
      </w:r>
      <w:proofErr w:type="gramEnd"/>
      <w:r w:rsidRPr="00773EDE">
        <w:t xml:space="preserve">. </w:t>
      </w:r>
    </w:p>
    <w:p w14:paraId="4600E41B" w14:textId="77777777" w:rsidR="00B34639" w:rsidRPr="00773EDE" w:rsidRDefault="00B34639" w:rsidP="0009651D">
      <w:pPr>
        <w:pStyle w:val="BodyText1"/>
        <w:jc w:val="left"/>
      </w:pPr>
      <w:r w:rsidRPr="00773EDE">
        <w:t xml:space="preserve">The content of sorbitol in medicinal products for oral use may affect the bioavailability of other medicinal products for oral use administered concomitantly. </w:t>
      </w:r>
    </w:p>
    <w:p w14:paraId="2B3BC676" w14:textId="77777777" w:rsidR="00B34639" w:rsidRPr="00773EDE" w:rsidRDefault="00B34639" w:rsidP="0009651D">
      <w:pPr>
        <w:pStyle w:val="BodyText1"/>
        <w:jc w:val="left"/>
      </w:pPr>
      <w:r w:rsidRPr="00773EDE">
        <w:lastRenderedPageBreak/>
        <w:t xml:space="preserve">Patients with hereditary fructose intolerance (HFI) should not take this medicinal product. </w:t>
      </w:r>
    </w:p>
    <w:p w14:paraId="2F3970DD" w14:textId="77777777" w:rsidR="00B34639" w:rsidRPr="00773EDE" w:rsidRDefault="00B34639" w:rsidP="0009651D">
      <w:pPr>
        <w:pStyle w:val="Heading4"/>
        <w:keepNext/>
      </w:pPr>
      <w:r w:rsidRPr="00773EDE">
        <w:t xml:space="preserve">Maltitol </w:t>
      </w:r>
    </w:p>
    <w:p w14:paraId="49AB9983" w14:textId="77777777" w:rsidR="00B34639" w:rsidRPr="00773EDE" w:rsidRDefault="00B34639" w:rsidP="0009651D">
      <w:pPr>
        <w:pStyle w:val="BodyText1"/>
        <w:keepNext/>
        <w:jc w:val="left"/>
      </w:pPr>
      <w:r w:rsidRPr="00773EDE">
        <w:t xml:space="preserve">This medicinal product contains 30 mg of maltitol in each capsule. </w:t>
      </w:r>
    </w:p>
    <w:p w14:paraId="572D1E84" w14:textId="77777777" w:rsidR="00B34639" w:rsidRPr="00773EDE" w:rsidRDefault="00B34639" w:rsidP="0009651D">
      <w:pPr>
        <w:pStyle w:val="BodyText1"/>
        <w:jc w:val="left"/>
      </w:pPr>
      <w:r w:rsidRPr="00773EDE">
        <w:t xml:space="preserve">Patients with rare hereditary problems of fructose intolerance should not take this medicinal product. </w:t>
      </w:r>
    </w:p>
    <w:p w14:paraId="78F88551" w14:textId="77777777" w:rsidR="00B34639" w:rsidRPr="00773EDE" w:rsidRDefault="00B34639" w:rsidP="0009651D">
      <w:pPr>
        <w:pStyle w:val="Heading4"/>
        <w:keepNext/>
      </w:pPr>
      <w:r w:rsidRPr="00773EDE">
        <w:t xml:space="preserve">Soya lecithin </w:t>
      </w:r>
    </w:p>
    <w:p w14:paraId="711F6CAF" w14:textId="77777777" w:rsidR="00B34639" w:rsidRPr="00773EDE" w:rsidRDefault="00B34639" w:rsidP="0009651D">
      <w:pPr>
        <w:pStyle w:val="BodyText1"/>
        <w:keepNext/>
        <w:jc w:val="left"/>
      </w:pPr>
      <w:r w:rsidRPr="00773EDE">
        <w:t xml:space="preserve">This medicinal product contains soya lecithin. Patients who are allergic to soya or peanut should not use this medicinal product. </w:t>
      </w:r>
    </w:p>
    <w:p w14:paraId="39AA7E93" w14:textId="4DEC2935" w:rsidR="00D86907" w:rsidRPr="00773EDE" w:rsidRDefault="00D86907" w:rsidP="0009651D">
      <w:pPr>
        <w:pStyle w:val="Heading3"/>
        <w:keepNext/>
      </w:pPr>
      <w:r w:rsidRPr="00773EDE">
        <w:t>Effects on</w:t>
      </w:r>
      <w:r w:rsidR="00B959F0" w:rsidRPr="00773EDE">
        <w:t xml:space="preserve"> </w:t>
      </w:r>
      <w:r w:rsidRPr="00773EDE">
        <w:t>laboratory tests</w:t>
      </w:r>
    </w:p>
    <w:bookmarkEnd w:id="3"/>
    <w:p w14:paraId="4F7B2457" w14:textId="23F81628" w:rsidR="00851A85" w:rsidRPr="00773EDE" w:rsidRDefault="00851A85" w:rsidP="0009651D">
      <w:pPr>
        <w:pStyle w:val="BodyText1"/>
        <w:keepNext/>
        <w:jc w:val="left"/>
      </w:pPr>
      <w:r w:rsidRPr="00773EDE">
        <w:t>No data available.</w:t>
      </w:r>
    </w:p>
    <w:p w14:paraId="31DE62E8" w14:textId="36674E81" w:rsidR="008E17DD" w:rsidRPr="00773EDE" w:rsidRDefault="008450DE" w:rsidP="0009651D">
      <w:pPr>
        <w:pStyle w:val="Heading2"/>
      </w:pPr>
      <w:r w:rsidRPr="00773EDE">
        <w:t xml:space="preserve">4.5 </w:t>
      </w:r>
      <w:r w:rsidR="00746D0B" w:rsidRPr="00773EDE">
        <w:t>Interactions with other medicines and other forms of interaction</w:t>
      </w:r>
      <w:r w:rsidR="00DF3D6B" w:rsidRPr="00773EDE">
        <w:t>s</w:t>
      </w:r>
      <w:r w:rsidR="007E2403">
        <w:t xml:space="preserve"> </w:t>
      </w:r>
    </w:p>
    <w:p w14:paraId="7AE70DA6" w14:textId="5E7A6E49" w:rsidR="00746D0B" w:rsidRDefault="00673A9E" w:rsidP="0009651D">
      <w:pPr>
        <w:pStyle w:val="BodyText1"/>
        <w:jc w:val="left"/>
      </w:pPr>
      <w:proofErr w:type="spellStart"/>
      <w:r w:rsidRPr="00773EDE">
        <w:rPr>
          <w:szCs w:val="22"/>
        </w:rPr>
        <w:t>Icosapent</w:t>
      </w:r>
      <w:proofErr w:type="spellEnd"/>
      <w:r w:rsidRPr="00773EDE">
        <w:rPr>
          <w:szCs w:val="22"/>
        </w:rPr>
        <w:t xml:space="preserve"> ethyl was studied at the dose level of four 998 mg capsules/day with the following medicinal products which are typical substrates of cytochrome P450 enzymes: omeprazole, rosiglitazone, </w:t>
      </w:r>
      <w:proofErr w:type="gramStart"/>
      <w:r w:rsidRPr="00773EDE">
        <w:rPr>
          <w:szCs w:val="22"/>
        </w:rPr>
        <w:t>warfarin</w:t>
      </w:r>
      <w:proofErr w:type="gramEnd"/>
      <w:r w:rsidRPr="00773EDE">
        <w:rPr>
          <w:szCs w:val="22"/>
        </w:rPr>
        <w:t xml:space="preserve"> and atorvastatin. No interactions were observed.</w:t>
      </w:r>
      <w:r w:rsidRPr="00414A49">
        <w:t xml:space="preserve"> </w:t>
      </w:r>
    </w:p>
    <w:p w14:paraId="283B5048" w14:textId="5169D66D" w:rsidR="00F73FA9" w:rsidRDefault="002B0FA9" w:rsidP="0009651D">
      <w:pPr>
        <w:pStyle w:val="BodyText1"/>
        <w:jc w:val="left"/>
      </w:pPr>
      <w:r>
        <w:rPr>
          <w:i/>
          <w:iCs/>
        </w:rPr>
        <w:t>I</w:t>
      </w:r>
      <w:r w:rsidR="005570F6" w:rsidRPr="00544D1E">
        <w:rPr>
          <w:i/>
          <w:iCs/>
        </w:rPr>
        <w:t>n vitro</w:t>
      </w:r>
      <w:r w:rsidR="005570F6" w:rsidRPr="00544D1E">
        <w:t xml:space="preserve"> studies show that </w:t>
      </w:r>
      <w:r w:rsidR="005055BC">
        <w:t xml:space="preserve">the </w:t>
      </w:r>
      <w:r w:rsidR="000D3CFF">
        <w:t xml:space="preserve">free acid form </w:t>
      </w:r>
      <w:r w:rsidR="005055BC">
        <w:t xml:space="preserve">of </w:t>
      </w:r>
      <w:proofErr w:type="spellStart"/>
      <w:r w:rsidR="005055BC">
        <w:t>icosapent</w:t>
      </w:r>
      <w:proofErr w:type="spellEnd"/>
      <w:r w:rsidR="005055BC">
        <w:t xml:space="preserve"> ethyl</w:t>
      </w:r>
      <w:r w:rsidR="00FD5074">
        <w:t xml:space="preserve">, </w:t>
      </w:r>
      <w:r w:rsidR="005570F6" w:rsidRPr="00544D1E">
        <w:t>eicosapentaenoic acid (EPA)</w:t>
      </w:r>
      <w:r w:rsidR="00FD5074">
        <w:t>,</w:t>
      </w:r>
      <w:r w:rsidR="005570F6" w:rsidRPr="00544D1E">
        <w:t xml:space="preserve"> is a weak inhibitor of CYP1A2, CYP2B6, CYP2C8, CYP2C9, CYP2C19, CYP2D6, CYP2E1, and CYP3A. In a separate </w:t>
      </w:r>
      <w:r w:rsidR="005570F6" w:rsidRPr="00544D1E">
        <w:rPr>
          <w:i/>
          <w:iCs/>
        </w:rPr>
        <w:t>in vitro</w:t>
      </w:r>
      <w:r w:rsidR="005570F6" w:rsidRPr="00544D1E">
        <w:t xml:space="preserve"> study, EPA was found not to induce CYP isoforms CYP3A, CYP2C9, and CYP1A2. </w:t>
      </w:r>
      <w:r w:rsidR="009D0A5E">
        <w:t xml:space="preserve">Additional </w:t>
      </w:r>
      <w:r w:rsidR="009D0A5E" w:rsidRPr="00432AEB">
        <w:rPr>
          <w:i/>
          <w:iCs/>
        </w:rPr>
        <w:t>in vitro</w:t>
      </w:r>
      <w:r w:rsidR="009D0A5E">
        <w:t xml:space="preserve"> studies showed that </w:t>
      </w:r>
      <w:r w:rsidR="005570F6" w:rsidRPr="00544D1E">
        <w:t xml:space="preserve">EPA at a concentration of 1 </w:t>
      </w:r>
      <w:proofErr w:type="spellStart"/>
      <w:r w:rsidR="005570F6" w:rsidRPr="00544D1E">
        <w:t>μM</w:t>
      </w:r>
      <w:proofErr w:type="spellEnd"/>
      <w:r w:rsidR="005570F6" w:rsidRPr="00544D1E">
        <w:t xml:space="preserve"> did not significantly inhibit P-</w:t>
      </w:r>
      <w:proofErr w:type="spellStart"/>
      <w:r w:rsidR="005570F6" w:rsidRPr="00544D1E">
        <w:t>gp</w:t>
      </w:r>
      <w:proofErr w:type="spellEnd"/>
      <w:r w:rsidR="005570F6" w:rsidRPr="00544D1E">
        <w:t xml:space="preserve">, BCRP, OAT1, OCT2, OATP1B1 and OATP1B3, but did mildly inhibit the transport of OAT3. </w:t>
      </w:r>
    </w:p>
    <w:p w14:paraId="0D038488" w14:textId="594441BD" w:rsidR="00746D0B" w:rsidRPr="00773EDE" w:rsidRDefault="0009651D" w:rsidP="0009651D">
      <w:pPr>
        <w:pStyle w:val="Heading2"/>
      </w:pPr>
      <w:hyperlink w:anchor="_Bleeding_1" w:history="1"/>
      <w:hyperlink w:anchor="_Bleeding" w:history="1"/>
      <w:r w:rsidR="008450DE" w:rsidRPr="00773EDE">
        <w:t xml:space="preserve">4.6 </w:t>
      </w:r>
      <w:r w:rsidR="00287AFF" w:rsidRPr="00773EDE">
        <w:t>Fertility, pregnancy and lactation</w:t>
      </w:r>
    </w:p>
    <w:p w14:paraId="4C7C0B02" w14:textId="03F4F09F" w:rsidR="00D86907" w:rsidRPr="00773EDE" w:rsidRDefault="00D86907" w:rsidP="0009651D">
      <w:pPr>
        <w:pStyle w:val="Heading3"/>
      </w:pPr>
      <w:bookmarkStart w:id="7" w:name="_Effects_on_fertility"/>
      <w:bookmarkEnd w:id="7"/>
      <w:r w:rsidRPr="00773EDE">
        <w:t>Effects on fertility</w:t>
      </w:r>
      <w:r w:rsidR="002A4FED">
        <w:t xml:space="preserve"> </w:t>
      </w:r>
    </w:p>
    <w:p w14:paraId="7CB1A1F7" w14:textId="346FAEF0" w:rsidR="00075FA4" w:rsidRPr="00075FA4" w:rsidRDefault="00FC7C6E" w:rsidP="0009651D">
      <w:pPr>
        <w:pStyle w:val="BodyText1"/>
        <w:jc w:val="left"/>
        <w:rPr>
          <w:szCs w:val="22"/>
        </w:rPr>
      </w:pPr>
      <w:r w:rsidRPr="00773EDE">
        <w:t xml:space="preserve">There are no data on fertility in humans from the use of </w:t>
      </w:r>
      <w:proofErr w:type="spellStart"/>
      <w:r w:rsidRPr="00773EDE">
        <w:t>icosapent</w:t>
      </w:r>
      <w:proofErr w:type="spellEnd"/>
      <w:r w:rsidRPr="00773EDE">
        <w:t xml:space="preserve"> ethyl. </w:t>
      </w:r>
      <w:r w:rsidR="00193251">
        <w:t>A</w:t>
      </w:r>
      <w:r w:rsidR="00DE2BA3">
        <w:t xml:space="preserve"> rat fertility study at doses up to 3000 mg/kg/day indicated no effect on female or male fertility in up to 3000 mg/kg/day (approximately 8-fold the clinical AUC at the MRHD). </w:t>
      </w:r>
      <w:r w:rsidR="003C5AF4">
        <w:rPr>
          <w:color w:val="000000"/>
          <w:szCs w:val="22"/>
          <w:lang w:val="en-US"/>
        </w:rPr>
        <w:t xml:space="preserve"> </w:t>
      </w:r>
    </w:p>
    <w:p w14:paraId="1BFAE536" w14:textId="77777777" w:rsidR="00126740" w:rsidRPr="00773EDE" w:rsidRDefault="00D86907" w:rsidP="0009651D">
      <w:pPr>
        <w:pStyle w:val="Heading3"/>
        <w:keepNext/>
      </w:pPr>
      <w:r w:rsidRPr="00773EDE">
        <w:t>Use in pregnancy</w:t>
      </w:r>
      <w:r w:rsidR="00D621B2" w:rsidRPr="00773EDE">
        <w:t xml:space="preserve"> </w:t>
      </w:r>
    </w:p>
    <w:p w14:paraId="0F286504" w14:textId="7BAF2BB6" w:rsidR="001E1110" w:rsidRPr="00773EDE" w:rsidRDefault="00D621B2" w:rsidP="0009651D">
      <w:pPr>
        <w:pStyle w:val="BodyText1"/>
        <w:keepNext/>
        <w:jc w:val="left"/>
        <w:rPr>
          <w:b/>
          <w:bCs/>
        </w:rPr>
      </w:pPr>
      <w:r w:rsidRPr="00773EDE">
        <w:rPr>
          <w:b/>
          <w:bCs/>
        </w:rPr>
        <w:t xml:space="preserve">Category </w:t>
      </w:r>
      <w:r w:rsidR="00F36D28" w:rsidRPr="00773EDE">
        <w:rPr>
          <w:b/>
          <w:bCs/>
        </w:rPr>
        <w:t>B</w:t>
      </w:r>
      <w:r w:rsidR="00B975F9" w:rsidRPr="00773EDE">
        <w:rPr>
          <w:b/>
          <w:bCs/>
        </w:rPr>
        <w:t>1</w:t>
      </w:r>
      <w:r w:rsidR="00F36D28" w:rsidRPr="00773EDE">
        <w:rPr>
          <w:rStyle w:val="FootnoteReference"/>
          <w:b/>
          <w:bCs/>
        </w:rPr>
        <w:footnoteReference w:id="2"/>
      </w:r>
    </w:p>
    <w:p w14:paraId="31DF42D3" w14:textId="2C8242E1" w:rsidR="00126740" w:rsidRPr="00773EDE" w:rsidRDefault="00FC7C6E" w:rsidP="0009651D">
      <w:pPr>
        <w:pStyle w:val="BodyText1"/>
        <w:keepNext/>
        <w:jc w:val="left"/>
      </w:pPr>
      <w:r w:rsidRPr="00773EDE">
        <w:rPr>
          <w:szCs w:val="22"/>
        </w:rPr>
        <w:t xml:space="preserve">There </w:t>
      </w:r>
      <w:r w:rsidR="007F39B6">
        <w:rPr>
          <w:szCs w:val="22"/>
        </w:rPr>
        <w:t xml:space="preserve">is </w:t>
      </w:r>
      <w:r w:rsidRPr="00773EDE">
        <w:rPr>
          <w:szCs w:val="22"/>
        </w:rPr>
        <w:t xml:space="preserve">a limited amount of data from the use of </w:t>
      </w:r>
      <w:proofErr w:type="spellStart"/>
      <w:r w:rsidRPr="00773EDE">
        <w:rPr>
          <w:szCs w:val="22"/>
        </w:rPr>
        <w:t>icosapent</w:t>
      </w:r>
      <w:proofErr w:type="spellEnd"/>
      <w:r w:rsidRPr="00773EDE">
        <w:rPr>
          <w:szCs w:val="22"/>
        </w:rPr>
        <w:t xml:space="preserve"> ethyl in pregnant women. Animal studies do not indicate direct or indirect harmful effects with respect to reproductive toxicity (see </w:t>
      </w:r>
      <w:hyperlink w:anchor="_Effects_on_fertility" w:history="1">
        <w:r w:rsidR="001573D7" w:rsidRPr="001573D7">
          <w:rPr>
            <w:rStyle w:val="Hyperlink"/>
            <w:szCs w:val="22"/>
          </w:rPr>
          <w:t>Effects on fertility</w:t>
        </w:r>
      </w:hyperlink>
      <w:r w:rsidRPr="00773EDE">
        <w:rPr>
          <w:szCs w:val="22"/>
        </w:rPr>
        <w:t xml:space="preserve">). As a precautionary measure, it is preferable to avoid the use of </w:t>
      </w:r>
      <w:proofErr w:type="spellStart"/>
      <w:r w:rsidRPr="00773EDE">
        <w:rPr>
          <w:szCs w:val="22"/>
        </w:rPr>
        <w:t>icosapent</w:t>
      </w:r>
      <w:proofErr w:type="spellEnd"/>
      <w:r w:rsidRPr="00773EDE">
        <w:rPr>
          <w:szCs w:val="22"/>
        </w:rPr>
        <w:t xml:space="preserve"> ethyl during pregnancy unless the benefit of use outweighs the potential risk to the </w:t>
      </w:r>
      <w:proofErr w:type="spellStart"/>
      <w:r w:rsidRPr="00773EDE">
        <w:rPr>
          <w:szCs w:val="22"/>
        </w:rPr>
        <w:t>fetus</w:t>
      </w:r>
      <w:proofErr w:type="spellEnd"/>
      <w:r w:rsidR="00126740" w:rsidRPr="00773EDE">
        <w:t>.</w:t>
      </w:r>
    </w:p>
    <w:p w14:paraId="646BE0F0" w14:textId="77777777" w:rsidR="00F82CDD" w:rsidRDefault="002E0C04" w:rsidP="0009651D">
      <w:pPr>
        <w:pStyle w:val="BodyText1"/>
        <w:jc w:val="left"/>
        <w:rPr>
          <w:szCs w:val="22"/>
        </w:rPr>
      </w:pPr>
      <w:r w:rsidRPr="00A55173">
        <w:rPr>
          <w:szCs w:val="22"/>
        </w:rPr>
        <w:t xml:space="preserve">Animal studies indicate that </w:t>
      </w:r>
      <w:proofErr w:type="spellStart"/>
      <w:r w:rsidRPr="00A55173">
        <w:rPr>
          <w:szCs w:val="22"/>
        </w:rPr>
        <w:t>icosapent</w:t>
      </w:r>
      <w:proofErr w:type="spellEnd"/>
      <w:r w:rsidRPr="00A55173">
        <w:rPr>
          <w:szCs w:val="22"/>
        </w:rPr>
        <w:t xml:space="preserve"> ethyl crosses the placenta and is found in fetal plasma.</w:t>
      </w:r>
      <w:r w:rsidR="00F82CDD">
        <w:rPr>
          <w:szCs w:val="22"/>
        </w:rPr>
        <w:t xml:space="preserve"> </w:t>
      </w:r>
    </w:p>
    <w:p w14:paraId="27EC9279" w14:textId="71AAEE42" w:rsidR="00F82CDD" w:rsidRDefault="00F82CDD" w:rsidP="0009651D">
      <w:pPr>
        <w:pStyle w:val="BodyText1"/>
        <w:jc w:val="left"/>
        <w:rPr>
          <w:color w:val="000000"/>
          <w:lang w:val="en-US"/>
        </w:rPr>
      </w:pPr>
      <w:r w:rsidRPr="001F64E0">
        <w:rPr>
          <w:color w:val="000000"/>
          <w:lang w:val="en-US"/>
        </w:rPr>
        <w:t xml:space="preserve">In pregnant rats </w:t>
      </w:r>
      <w:r w:rsidR="007F39B6">
        <w:rPr>
          <w:color w:val="000000"/>
          <w:lang w:val="en-US"/>
        </w:rPr>
        <w:t xml:space="preserve">(up to 2000 mg/kg/day) or rabbits (up to 1000 mg/kg/day) orally administered </w:t>
      </w:r>
      <w:proofErr w:type="spellStart"/>
      <w:r w:rsidRPr="001F64E0">
        <w:rPr>
          <w:color w:val="000000"/>
          <w:lang w:val="en-US"/>
        </w:rPr>
        <w:t>icosapent</w:t>
      </w:r>
      <w:proofErr w:type="spellEnd"/>
      <w:r w:rsidRPr="001F64E0">
        <w:rPr>
          <w:color w:val="000000"/>
          <w:lang w:val="en-US"/>
        </w:rPr>
        <w:t xml:space="preserve"> ethyl from gestation through</w:t>
      </w:r>
      <w:r>
        <w:rPr>
          <w:color w:val="000000"/>
          <w:lang w:val="en-US"/>
        </w:rPr>
        <w:t xml:space="preserve"> </w:t>
      </w:r>
      <w:r w:rsidRPr="001F64E0">
        <w:rPr>
          <w:color w:val="000000"/>
          <w:lang w:val="en-US"/>
        </w:rPr>
        <w:t xml:space="preserve">organogenesis </w:t>
      </w:r>
      <w:r w:rsidR="00C35A7C">
        <w:rPr>
          <w:color w:val="000000"/>
          <w:lang w:val="en-US"/>
        </w:rPr>
        <w:t xml:space="preserve">revealed no adverse </w:t>
      </w:r>
      <w:r w:rsidRPr="001F64E0">
        <w:rPr>
          <w:color w:val="000000"/>
          <w:lang w:val="en-US"/>
        </w:rPr>
        <w:t>visceral and skeletal findings</w:t>
      </w:r>
      <w:r w:rsidR="00CB5BAE">
        <w:rPr>
          <w:color w:val="000000"/>
          <w:lang w:val="en-US"/>
        </w:rPr>
        <w:t xml:space="preserve"> up to 8- or 7-fold the clinical dose (relative to clinical exposures based on AUC and BSA, respectively) respectively. While reduced 13</w:t>
      </w:r>
      <w:r w:rsidR="00CB5BAE" w:rsidRPr="00314D61">
        <w:rPr>
          <w:color w:val="000000"/>
          <w:vertAlign w:val="superscript"/>
          <w:lang w:val="en-US"/>
        </w:rPr>
        <w:t>th</w:t>
      </w:r>
      <w:r w:rsidR="00CB5BAE">
        <w:rPr>
          <w:color w:val="000000"/>
          <w:lang w:val="en-US"/>
        </w:rPr>
        <w:t xml:space="preserve"> rib, additional liver lobes, and medially displaced testes were reported in rat embryos no dose correlation was noted</w:t>
      </w:r>
      <w:r w:rsidRPr="001F64E0">
        <w:rPr>
          <w:color w:val="000000"/>
          <w:lang w:val="en-US"/>
        </w:rPr>
        <w:t>.</w:t>
      </w:r>
    </w:p>
    <w:p w14:paraId="3E34B809" w14:textId="5963B183" w:rsidR="002E0C04" w:rsidRPr="00A55173" w:rsidRDefault="00F82CDD" w:rsidP="0009651D">
      <w:pPr>
        <w:pStyle w:val="BodyText1"/>
        <w:jc w:val="left"/>
        <w:rPr>
          <w:szCs w:val="22"/>
        </w:rPr>
      </w:pPr>
      <w:r w:rsidRPr="001F64E0">
        <w:rPr>
          <w:color w:val="000000"/>
          <w:lang w:val="en-US"/>
        </w:rPr>
        <w:t xml:space="preserve">In a multigenerational developmental study in pregnant rats given doses </w:t>
      </w:r>
      <w:r w:rsidR="00314D61">
        <w:rPr>
          <w:color w:val="000000"/>
          <w:lang w:val="en-US"/>
        </w:rPr>
        <w:t xml:space="preserve">up to 3000 mg/kg/day orally from </w:t>
      </w:r>
      <w:r w:rsidR="00890237">
        <w:rPr>
          <w:color w:val="000000"/>
          <w:lang w:val="en-US"/>
        </w:rPr>
        <w:t xml:space="preserve">gestation day 7-17, </w:t>
      </w:r>
      <w:proofErr w:type="spellStart"/>
      <w:r w:rsidRPr="001F64E0">
        <w:rPr>
          <w:color w:val="000000"/>
          <w:lang w:val="en-US"/>
        </w:rPr>
        <w:t>icosapent</w:t>
      </w:r>
      <w:proofErr w:type="spellEnd"/>
      <w:r w:rsidRPr="001F64E0">
        <w:rPr>
          <w:color w:val="000000"/>
          <w:lang w:val="en-US"/>
        </w:rPr>
        <w:t xml:space="preserve"> ethyl did not affect viability in fetuses (F1 or F2)</w:t>
      </w:r>
      <w:r w:rsidR="00890237">
        <w:rPr>
          <w:color w:val="000000"/>
          <w:lang w:val="en-US"/>
        </w:rPr>
        <w:t xml:space="preserve"> at approximately 8-fold the clinical dose (based on exposures of comparative studies)</w:t>
      </w:r>
      <w:r w:rsidRPr="001F64E0">
        <w:rPr>
          <w:color w:val="000000"/>
          <w:lang w:val="en-US"/>
        </w:rPr>
        <w:t xml:space="preserve">. Non-dose-related </w:t>
      </w:r>
      <w:r w:rsidR="00B615A9">
        <w:rPr>
          <w:color w:val="000000"/>
          <w:lang w:val="en-US"/>
        </w:rPr>
        <w:t xml:space="preserve">findings included </w:t>
      </w:r>
      <w:r w:rsidRPr="001F64E0">
        <w:rPr>
          <w:color w:val="000000"/>
          <w:lang w:val="en-US"/>
        </w:rPr>
        <w:t xml:space="preserve">absent optic nerves and unilateral testes atrophy. Additional variations consisting of early incisor eruption and increased percent cervical </w:t>
      </w:r>
      <w:r w:rsidRPr="001F64E0">
        <w:rPr>
          <w:color w:val="000000"/>
          <w:lang w:val="en-US"/>
        </w:rPr>
        <w:lastRenderedPageBreak/>
        <w:t xml:space="preserve">ribs were observed at the same exposures. Pups from high dose treated dams exhibited decreased copulation rates, delayed estrus, decreased implantations and decreased surviving fetuses (F2) suggesting potential multigenerational effects of </w:t>
      </w:r>
      <w:proofErr w:type="spellStart"/>
      <w:r w:rsidRPr="001F64E0">
        <w:rPr>
          <w:color w:val="000000"/>
          <w:lang w:val="en-US"/>
        </w:rPr>
        <w:t>icosapent</w:t>
      </w:r>
      <w:proofErr w:type="spellEnd"/>
      <w:r w:rsidRPr="001F64E0">
        <w:rPr>
          <w:color w:val="000000"/>
          <w:lang w:val="en-US"/>
        </w:rPr>
        <w:t xml:space="preserve"> ethyl at </w:t>
      </w:r>
      <w:r w:rsidR="002F2D53">
        <w:rPr>
          <w:color w:val="000000"/>
          <w:lang w:val="en-US"/>
        </w:rPr>
        <w:t>8-</w:t>
      </w:r>
      <w:r w:rsidRPr="001F64E0">
        <w:rPr>
          <w:color w:val="000000"/>
          <w:lang w:val="en-US"/>
        </w:rPr>
        <w:t xml:space="preserve">times human systemic exposure. </w:t>
      </w:r>
      <w:r>
        <w:rPr>
          <w:color w:val="000000"/>
          <w:szCs w:val="22"/>
          <w:lang w:val="en-US"/>
        </w:rPr>
        <w:t xml:space="preserve"> </w:t>
      </w:r>
      <w:r w:rsidR="006639A9">
        <w:rPr>
          <w:szCs w:val="22"/>
        </w:rPr>
        <w:t xml:space="preserve"> </w:t>
      </w:r>
    </w:p>
    <w:p w14:paraId="0D6C6F15" w14:textId="5B99ED5B" w:rsidR="001E1110" w:rsidRPr="00773EDE" w:rsidRDefault="00D86907" w:rsidP="0009651D">
      <w:pPr>
        <w:pStyle w:val="Heading3"/>
        <w:keepNext/>
      </w:pPr>
      <w:r w:rsidRPr="00773EDE">
        <w:t>Use in lactation</w:t>
      </w:r>
      <w:r w:rsidR="0098196D">
        <w:t xml:space="preserve"> </w:t>
      </w:r>
    </w:p>
    <w:p w14:paraId="235CA921" w14:textId="5D236D4D" w:rsidR="00264C85" w:rsidRPr="00773EDE" w:rsidRDefault="00264C85" w:rsidP="0009651D">
      <w:pPr>
        <w:pStyle w:val="BodyText1"/>
        <w:keepNext/>
        <w:jc w:val="left"/>
      </w:pPr>
      <w:r w:rsidRPr="00773EDE">
        <w:t xml:space="preserve">It is not known whether </w:t>
      </w:r>
      <w:proofErr w:type="spellStart"/>
      <w:r w:rsidRPr="00773EDE">
        <w:t>icosapent</w:t>
      </w:r>
      <w:proofErr w:type="spellEnd"/>
      <w:r w:rsidRPr="00773EDE">
        <w:t xml:space="preserve"> ethyl is excreted in human milk. Studies from the literature have shown that the active metabolite eicosapentaenoic acid (EPA) is excreted in human milk at levels which correlated to maternal diet. </w:t>
      </w:r>
      <w:r w:rsidR="009C20FE" w:rsidRPr="00773EDE">
        <w:rPr>
          <w:szCs w:val="22"/>
        </w:rPr>
        <w:t xml:space="preserve">Animal studies indicate that </w:t>
      </w:r>
      <w:proofErr w:type="spellStart"/>
      <w:r w:rsidR="009C20FE" w:rsidRPr="00773EDE">
        <w:rPr>
          <w:szCs w:val="22"/>
        </w:rPr>
        <w:t>icosapent</w:t>
      </w:r>
      <w:proofErr w:type="spellEnd"/>
      <w:r w:rsidR="009C20FE" w:rsidRPr="00773EDE">
        <w:rPr>
          <w:szCs w:val="22"/>
        </w:rPr>
        <w:t xml:space="preserve"> ethyl is excreted in milk.</w:t>
      </w:r>
      <w:r w:rsidR="009C20FE">
        <w:rPr>
          <w:szCs w:val="22"/>
        </w:rPr>
        <w:t xml:space="preserve"> </w:t>
      </w:r>
      <w:r w:rsidRPr="00773EDE">
        <w:t xml:space="preserve">Available toxicological data in rats have shown excretion of </w:t>
      </w:r>
      <w:proofErr w:type="spellStart"/>
      <w:r w:rsidRPr="00773EDE">
        <w:t>icosapent</w:t>
      </w:r>
      <w:proofErr w:type="spellEnd"/>
      <w:r w:rsidRPr="00773EDE">
        <w:t xml:space="preserve"> ethyl in milk. </w:t>
      </w:r>
    </w:p>
    <w:p w14:paraId="34D123DE" w14:textId="77777777" w:rsidR="00264C85" w:rsidRPr="00773EDE" w:rsidRDefault="00264C85" w:rsidP="0009651D">
      <w:pPr>
        <w:pStyle w:val="BodyText1"/>
        <w:jc w:val="left"/>
      </w:pPr>
      <w:r w:rsidRPr="00773EDE">
        <w:t xml:space="preserve">A risk to the suckling child cannot be excluded. </w:t>
      </w:r>
    </w:p>
    <w:p w14:paraId="5D136C0C" w14:textId="5659BD0F" w:rsidR="00126740" w:rsidRPr="00773EDE" w:rsidRDefault="00264C85" w:rsidP="0009651D">
      <w:pPr>
        <w:pStyle w:val="BodyText1"/>
        <w:jc w:val="left"/>
      </w:pPr>
      <w:r w:rsidRPr="00773EDE">
        <w:t xml:space="preserve">A decision must be made whether to discontinue breast-feeding or to discontinue/abstain from </w:t>
      </w:r>
      <w:proofErr w:type="spellStart"/>
      <w:r w:rsidRPr="00773EDE">
        <w:t>icosapent</w:t>
      </w:r>
      <w:proofErr w:type="spellEnd"/>
      <w:r w:rsidRPr="00773EDE">
        <w:t xml:space="preserve"> ethyl therapy considering the benefit of breast-feeding for the child and the benefit of therapy for the woman</w:t>
      </w:r>
      <w:r w:rsidR="00126740" w:rsidRPr="00773EDE">
        <w:t>.</w:t>
      </w:r>
    </w:p>
    <w:p w14:paraId="2F0C3147" w14:textId="6A3704C1" w:rsidR="00007085" w:rsidRPr="00773EDE" w:rsidRDefault="008450DE" w:rsidP="0009651D">
      <w:pPr>
        <w:pStyle w:val="Heading2"/>
        <w:keepNext/>
      </w:pPr>
      <w:r w:rsidRPr="00773EDE">
        <w:t xml:space="preserve">4.7 </w:t>
      </w:r>
      <w:r w:rsidR="00007085" w:rsidRPr="00773EDE">
        <w:t>Effects on ability to drive and use machines</w:t>
      </w:r>
      <w:r w:rsidR="00664844">
        <w:t xml:space="preserve"> </w:t>
      </w:r>
    </w:p>
    <w:p w14:paraId="7D4D6D22" w14:textId="54A756D4" w:rsidR="00287AFF" w:rsidRPr="00773EDE" w:rsidRDefault="00264C85" w:rsidP="0009651D">
      <w:pPr>
        <w:pStyle w:val="BodyText1"/>
        <w:keepNext/>
        <w:jc w:val="left"/>
      </w:pPr>
      <w:proofErr w:type="gramStart"/>
      <w:r w:rsidRPr="00773EDE">
        <w:rPr>
          <w:szCs w:val="22"/>
        </w:rPr>
        <w:t>On the basis of</w:t>
      </w:r>
      <w:proofErr w:type="gramEnd"/>
      <w:r w:rsidRPr="00773EDE">
        <w:rPr>
          <w:szCs w:val="22"/>
        </w:rPr>
        <w:t xml:space="preserve"> its pharmacodynamic profile and clinical study adverse reaction data, </w:t>
      </w:r>
      <w:proofErr w:type="spellStart"/>
      <w:r w:rsidRPr="00773EDE">
        <w:rPr>
          <w:szCs w:val="22"/>
        </w:rPr>
        <w:t>icosapent</w:t>
      </w:r>
      <w:proofErr w:type="spellEnd"/>
      <w:r w:rsidRPr="00773EDE">
        <w:rPr>
          <w:szCs w:val="22"/>
        </w:rPr>
        <w:t xml:space="preserve"> ethyl is expected to have no or negligible influence on the ability to drive and use machines. </w:t>
      </w:r>
    </w:p>
    <w:p w14:paraId="7D4F8A00" w14:textId="3FFED66B" w:rsidR="00994C1D" w:rsidRPr="00773EDE" w:rsidRDefault="008450DE" w:rsidP="0009651D">
      <w:pPr>
        <w:pStyle w:val="Heading2"/>
        <w:keepNext/>
        <w:keepLines/>
      </w:pPr>
      <w:r w:rsidRPr="00773EDE">
        <w:t xml:space="preserve">4.8 </w:t>
      </w:r>
      <w:r w:rsidR="00D86907" w:rsidRPr="00773EDE">
        <w:t>Adverse</w:t>
      </w:r>
      <w:r w:rsidR="00994C1D" w:rsidRPr="00773EDE">
        <w:t xml:space="preserve"> effects</w:t>
      </w:r>
      <w:r w:rsidR="00B959F0" w:rsidRPr="00773EDE">
        <w:t xml:space="preserve"> (Undesirable effects)</w:t>
      </w:r>
      <w:r w:rsidR="009F28E9">
        <w:t xml:space="preserve"> </w:t>
      </w:r>
    </w:p>
    <w:p w14:paraId="3708FFF9" w14:textId="676783ED" w:rsidR="00460D7B" w:rsidRPr="00093733" w:rsidRDefault="00460D7B" w:rsidP="0009651D">
      <w:pPr>
        <w:pStyle w:val="Heading3"/>
      </w:pPr>
      <w:r w:rsidRPr="00093733">
        <w:t xml:space="preserve">Adverse </w:t>
      </w:r>
      <w:r w:rsidR="00C94E6C">
        <w:t>e</w:t>
      </w:r>
      <w:r w:rsidRPr="00093733">
        <w:t xml:space="preserve">vents in the REDUCE-IT trial </w:t>
      </w:r>
    </w:p>
    <w:p w14:paraId="6F50D443" w14:textId="2F31AD5E" w:rsidR="00460D7B" w:rsidRPr="00093733" w:rsidRDefault="000A588C" w:rsidP="0009651D">
      <w:pPr>
        <w:pStyle w:val="BodyText1"/>
        <w:jc w:val="left"/>
      </w:pPr>
      <w:r w:rsidRPr="00093733">
        <w:t xml:space="preserve">In </w:t>
      </w:r>
      <w:r w:rsidR="002F5670">
        <w:t>the piv</w:t>
      </w:r>
      <w:r w:rsidR="00897008">
        <w:t xml:space="preserve">otal Phase 3 study, </w:t>
      </w:r>
      <w:r w:rsidRPr="00093733">
        <w:t xml:space="preserve">REDUCE-IT, 81.8% (3343/4089) and 81.3% (3326/4090) of patients in the VAZKEPA and placebo groups, respectively, experienced at least one </w:t>
      </w:r>
      <w:r w:rsidR="00CF02C7">
        <w:t>treatment-</w:t>
      </w:r>
      <w:r w:rsidR="008225FE">
        <w:t xml:space="preserve">emergent </w:t>
      </w:r>
      <w:r w:rsidR="00712569">
        <w:t>a</w:t>
      </w:r>
      <w:r w:rsidRPr="00093733">
        <w:t xml:space="preserve">dverse </w:t>
      </w:r>
      <w:r w:rsidR="00712569">
        <w:t>e</w:t>
      </w:r>
      <w:r w:rsidRPr="00093733">
        <w:t>vent</w:t>
      </w:r>
      <w:r w:rsidR="008225FE">
        <w:t xml:space="preserve"> (TEAE)</w:t>
      </w:r>
      <w:r w:rsidRPr="00093733">
        <w:t xml:space="preserve">. </w:t>
      </w:r>
      <w:r w:rsidR="00AB5DFF" w:rsidRPr="00093733">
        <w:t>The proportions of patients who</w:t>
      </w:r>
      <w:r w:rsidR="009321CE" w:rsidRPr="00093733">
        <w:t xml:space="preserve"> </w:t>
      </w:r>
      <w:r w:rsidR="00AB5DFF" w:rsidRPr="00093733">
        <w:t xml:space="preserve">experienced </w:t>
      </w:r>
      <w:r w:rsidR="00E64D23">
        <w:t xml:space="preserve">TEAEs, </w:t>
      </w:r>
      <w:proofErr w:type="gramStart"/>
      <w:r w:rsidR="00E64D23">
        <w:t>treatmen</w:t>
      </w:r>
      <w:r w:rsidR="005D6940">
        <w:t>t</w:t>
      </w:r>
      <w:r w:rsidR="00E64D23">
        <w:t>-related</w:t>
      </w:r>
      <w:proofErr w:type="gramEnd"/>
      <w:r w:rsidR="00E64D23">
        <w:t xml:space="preserve"> TEAEs, </w:t>
      </w:r>
      <w:r w:rsidR="005D6940">
        <w:t>s</w:t>
      </w:r>
      <w:r w:rsidR="00E64D23">
        <w:t>erio</w:t>
      </w:r>
      <w:r w:rsidR="005D6940">
        <w:t>us adverse events (SAEs), or discontinuations due to TEAEs</w:t>
      </w:r>
      <w:r w:rsidR="00AB5DFF" w:rsidRPr="00093733">
        <w:t xml:space="preserve"> were</w:t>
      </w:r>
      <w:r w:rsidR="009321CE" w:rsidRPr="00093733">
        <w:t xml:space="preserve"> </w:t>
      </w:r>
      <w:r w:rsidR="00AB5DFF" w:rsidRPr="00093733">
        <w:t xml:space="preserve">similar between the </w:t>
      </w:r>
      <w:r w:rsidR="009321CE" w:rsidRPr="00093733">
        <w:t xml:space="preserve">VAZKEPA </w:t>
      </w:r>
      <w:r w:rsidR="00AB5DFF" w:rsidRPr="00093733">
        <w:t xml:space="preserve">and placebo groups. </w:t>
      </w:r>
      <w:r w:rsidR="009321CE" w:rsidRPr="00093733">
        <w:t xml:space="preserve">The most frequent </w:t>
      </w:r>
      <w:r w:rsidR="0090640B">
        <w:t>TEAE</w:t>
      </w:r>
      <w:r w:rsidR="009321CE" w:rsidRPr="00093733">
        <w:t xml:space="preserve"> in both treatment groups was diarrhoea, with a lower incidence in the VAZKEPA group than in the placebo group (9.0% [367/4089] versus 11.1% [453/4090], respectively). Other frequently reported </w:t>
      </w:r>
      <w:r w:rsidR="0090640B">
        <w:t>TEAEs</w:t>
      </w:r>
      <w:r w:rsidR="009321CE" w:rsidRPr="00093733">
        <w:t xml:space="preserve"> included back pain, hypertension, nasopharyngitis and arthralgia where similar incidence was seen in the VAZKEPA and </w:t>
      </w:r>
      <w:r w:rsidR="006170F0">
        <w:t>p</w:t>
      </w:r>
      <w:r w:rsidR="009321CE" w:rsidRPr="00093733">
        <w:t>lacebo group</w:t>
      </w:r>
      <w:r w:rsidR="006170F0">
        <w:t>s</w:t>
      </w:r>
      <w:r w:rsidR="009321CE" w:rsidRPr="00093733">
        <w:t xml:space="preserve">. </w:t>
      </w:r>
      <w:r w:rsidR="002C09ED">
        <w:t>Common adverse events with a higher incidence (&gt;1%) in the VAZKEPA group versus placebo are provided in</w:t>
      </w:r>
      <w:r w:rsidR="00093733">
        <w:t xml:space="preserve"> </w:t>
      </w:r>
      <w:r w:rsidR="00093733">
        <w:fldChar w:fldCharType="begin"/>
      </w:r>
      <w:r w:rsidR="00093733">
        <w:instrText xml:space="preserve"> REF _Ref113445566 \h </w:instrText>
      </w:r>
      <w:r w:rsidR="0009651D">
        <w:instrText xml:space="preserve"> \* MERGEFORMAT </w:instrText>
      </w:r>
      <w:r w:rsidR="00093733">
        <w:fldChar w:fldCharType="separate"/>
      </w:r>
      <w:r w:rsidR="00093733" w:rsidRPr="00093733">
        <w:t xml:space="preserve">Table </w:t>
      </w:r>
      <w:r w:rsidR="00093733" w:rsidRPr="00093733">
        <w:rPr>
          <w:noProof/>
        </w:rPr>
        <w:t>1</w:t>
      </w:r>
      <w:r w:rsidR="00093733">
        <w:fldChar w:fldCharType="end"/>
      </w:r>
      <w:r w:rsidR="00460D7B" w:rsidRPr="00093733">
        <w:t xml:space="preserve">. </w:t>
      </w:r>
    </w:p>
    <w:p w14:paraId="0AEC0242" w14:textId="29210BEE" w:rsidR="00460D7B" w:rsidRPr="00A661C9" w:rsidRDefault="00460D7B" w:rsidP="0009651D">
      <w:pPr>
        <w:pStyle w:val="Heading3"/>
        <w:keepNext/>
        <w:ind w:left="709" w:hanging="709"/>
      </w:pPr>
      <w:bookmarkStart w:id="8" w:name="_Ref113445566"/>
      <w:r w:rsidRPr="00093733">
        <w:t xml:space="preserve">Table </w:t>
      </w:r>
      <w:r w:rsidR="0009651D">
        <w:fldChar w:fldCharType="begin"/>
      </w:r>
      <w:r w:rsidR="0009651D">
        <w:instrText xml:space="preserve"> SEQ Table \* ARABIC </w:instrText>
      </w:r>
      <w:r w:rsidR="0009651D">
        <w:fldChar w:fldCharType="separate"/>
      </w:r>
      <w:r w:rsidR="005113CF" w:rsidRPr="00093733">
        <w:rPr>
          <w:noProof/>
        </w:rPr>
        <w:t>1</w:t>
      </w:r>
      <w:r w:rsidR="0009651D">
        <w:rPr>
          <w:noProof/>
        </w:rPr>
        <w:fldChar w:fldCharType="end"/>
      </w:r>
      <w:bookmarkEnd w:id="8"/>
      <w:r w:rsidRPr="00093733">
        <w:t xml:space="preserve"> </w:t>
      </w:r>
      <w:r w:rsidR="004A1CD0">
        <w:t>Treatment Emergent Adverse Events of ≥5% Incidence in Either Treatment Arm in REDUCE-IT</w:t>
      </w:r>
      <w:r w:rsidRPr="00A661C9">
        <w:t xml:space="preserve"> </w:t>
      </w:r>
    </w:p>
    <w:tbl>
      <w:tblPr>
        <w:tblStyle w:val="TableGrid"/>
        <w:tblW w:w="0" w:type="auto"/>
        <w:jc w:val="center"/>
        <w:tblLook w:val="04A0" w:firstRow="1" w:lastRow="0" w:firstColumn="1" w:lastColumn="0" w:noHBand="0" w:noVBand="1"/>
      </w:tblPr>
      <w:tblGrid>
        <w:gridCol w:w="4957"/>
        <w:gridCol w:w="2029"/>
        <w:gridCol w:w="2030"/>
      </w:tblGrid>
      <w:tr w:rsidR="00460D7B" w:rsidRPr="00773EDE" w14:paraId="46CADE61" w14:textId="77777777" w:rsidTr="00310154">
        <w:trPr>
          <w:tblHeader/>
          <w:jc w:val="center"/>
        </w:trPr>
        <w:tc>
          <w:tcPr>
            <w:tcW w:w="4957" w:type="dxa"/>
            <w:tcMar>
              <w:left w:w="57" w:type="dxa"/>
              <w:right w:w="57" w:type="dxa"/>
            </w:tcMar>
          </w:tcPr>
          <w:p w14:paraId="1B1F5174" w14:textId="77777777" w:rsidR="00460D7B" w:rsidRDefault="00460D7B" w:rsidP="0009651D">
            <w:pPr>
              <w:pStyle w:val="Table-Heading1"/>
              <w:keepNext/>
            </w:pPr>
            <w:r w:rsidRPr="00773EDE">
              <w:t>Sy</w:t>
            </w:r>
            <w:r>
              <w:t>s</w:t>
            </w:r>
            <w:r w:rsidRPr="00773EDE">
              <w:t xml:space="preserve">tem </w:t>
            </w:r>
            <w:r>
              <w:t>O</w:t>
            </w:r>
            <w:r w:rsidRPr="00773EDE">
              <w:t xml:space="preserve">rgan </w:t>
            </w:r>
            <w:r>
              <w:t>C</w:t>
            </w:r>
            <w:r w:rsidRPr="00773EDE">
              <w:t xml:space="preserve">lass </w:t>
            </w:r>
          </w:p>
          <w:p w14:paraId="1B84A0D1" w14:textId="77777777" w:rsidR="00460D7B" w:rsidRPr="00773EDE" w:rsidRDefault="00460D7B" w:rsidP="0009651D">
            <w:pPr>
              <w:pStyle w:val="Table-text"/>
              <w:keepNext/>
              <w:ind w:left="366"/>
            </w:pPr>
            <w:r>
              <w:t>Preferred Term</w:t>
            </w:r>
          </w:p>
        </w:tc>
        <w:tc>
          <w:tcPr>
            <w:tcW w:w="2029" w:type="dxa"/>
            <w:tcMar>
              <w:left w:w="57" w:type="dxa"/>
              <w:right w:w="57" w:type="dxa"/>
            </w:tcMar>
          </w:tcPr>
          <w:p w14:paraId="4A1A24F4" w14:textId="77777777" w:rsidR="00460D7B" w:rsidRDefault="00460D7B" w:rsidP="0009651D">
            <w:pPr>
              <w:pStyle w:val="Table-Heading1"/>
              <w:keepNext/>
            </w:pPr>
            <w:r>
              <w:t>VASCEPA</w:t>
            </w:r>
          </w:p>
          <w:p w14:paraId="680872DD" w14:textId="77777777" w:rsidR="00460D7B" w:rsidRDefault="00460D7B" w:rsidP="0009651D">
            <w:pPr>
              <w:pStyle w:val="Table-Heading1"/>
              <w:keepNext/>
            </w:pPr>
            <w:r>
              <w:t>N=4089</w:t>
            </w:r>
          </w:p>
          <w:p w14:paraId="272B7A67" w14:textId="77777777" w:rsidR="00460D7B" w:rsidRPr="00773EDE" w:rsidRDefault="00460D7B" w:rsidP="0009651D">
            <w:pPr>
              <w:pStyle w:val="Table-Heading1"/>
              <w:keepNext/>
            </w:pPr>
            <w:r>
              <w:t>n (%)</w:t>
            </w:r>
          </w:p>
        </w:tc>
        <w:tc>
          <w:tcPr>
            <w:tcW w:w="2030" w:type="dxa"/>
            <w:tcMar>
              <w:left w:w="57" w:type="dxa"/>
              <w:right w:w="57" w:type="dxa"/>
            </w:tcMar>
          </w:tcPr>
          <w:p w14:paraId="4A038D65" w14:textId="77777777" w:rsidR="00460D7B" w:rsidRDefault="00460D7B" w:rsidP="0009651D">
            <w:pPr>
              <w:pStyle w:val="Table-Heading1"/>
              <w:keepNext/>
            </w:pPr>
            <w:r>
              <w:t>Placebo</w:t>
            </w:r>
          </w:p>
          <w:p w14:paraId="05543C94" w14:textId="77777777" w:rsidR="00460D7B" w:rsidRDefault="00460D7B" w:rsidP="0009651D">
            <w:pPr>
              <w:pStyle w:val="Table-Heading1"/>
              <w:keepNext/>
            </w:pPr>
            <w:r>
              <w:t>N=4090</w:t>
            </w:r>
          </w:p>
          <w:p w14:paraId="0BA4A7ED" w14:textId="77777777" w:rsidR="00460D7B" w:rsidRPr="00773EDE" w:rsidRDefault="00460D7B" w:rsidP="0009651D">
            <w:pPr>
              <w:pStyle w:val="Table-Heading1"/>
              <w:keepNext/>
            </w:pPr>
            <w:r>
              <w:t>n (%)</w:t>
            </w:r>
          </w:p>
        </w:tc>
      </w:tr>
      <w:tr w:rsidR="008636A6" w:rsidRPr="00D3265B" w14:paraId="6CAC86D2" w14:textId="77777777" w:rsidTr="00310154">
        <w:trPr>
          <w:jc w:val="center"/>
        </w:trPr>
        <w:tc>
          <w:tcPr>
            <w:tcW w:w="4957" w:type="dxa"/>
            <w:tcMar>
              <w:left w:w="57" w:type="dxa"/>
              <w:right w:w="57" w:type="dxa"/>
            </w:tcMar>
          </w:tcPr>
          <w:p w14:paraId="3D9ED0CC" w14:textId="4A4E40AF" w:rsidR="008636A6" w:rsidRPr="00D3265B" w:rsidRDefault="008636A6" w:rsidP="0009651D">
            <w:pPr>
              <w:pStyle w:val="Table-Heading1"/>
            </w:pPr>
            <w:r>
              <w:t>Infections and infestations</w:t>
            </w:r>
          </w:p>
        </w:tc>
        <w:tc>
          <w:tcPr>
            <w:tcW w:w="2029" w:type="dxa"/>
            <w:tcMar>
              <w:left w:w="57" w:type="dxa"/>
              <w:right w:w="57" w:type="dxa"/>
            </w:tcMar>
          </w:tcPr>
          <w:p w14:paraId="10BCFDE6" w14:textId="77777777" w:rsidR="008636A6" w:rsidRPr="00D3265B" w:rsidRDefault="008636A6" w:rsidP="0009651D">
            <w:pPr>
              <w:pStyle w:val="Table-Heading1"/>
            </w:pPr>
          </w:p>
        </w:tc>
        <w:tc>
          <w:tcPr>
            <w:tcW w:w="2030" w:type="dxa"/>
            <w:tcMar>
              <w:left w:w="57" w:type="dxa"/>
              <w:right w:w="57" w:type="dxa"/>
            </w:tcMar>
          </w:tcPr>
          <w:p w14:paraId="3D652796" w14:textId="77777777" w:rsidR="008636A6" w:rsidRPr="00D3265B" w:rsidRDefault="008636A6" w:rsidP="0009651D">
            <w:pPr>
              <w:pStyle w:val="Table-Heading1"/>
            </w:pPr>
          </w:p>
        </w:tc>
      </w:tr>
      <w:tr w:rsidR="008636A6" w:rsidRPr="00D3265B" w14:paraId="269C8856" w14:textId="77777777" w:rsidTr="00310154">
        <w:trPr>
          <w:jc w:val="center"/>
        </w:trPr>
        <w:tc>
          <w:tcPr>
            <w:tcW w:w="4957" w:type="dxa"/>
            <w:tcMar>
              <w:left w:w="57" w:type="dxa"/>
              <w:right w:w="57" w:type="dxa"/>
            </w:tcMar>
          </w:tcPr>
          <w:p w14:paraId="6CC862AB" w14:textId="1C4FE8B3" w:rsidR="008636A6" w:rsidRPr="00D3265B" w:rsidRDefault="008636A6" w:rsidP="0009651D">
            <w:pPr>
              <w:pStyle w:val="Table-text"/>
              <w:ind w:left="366"/>
            </w:pPr>
            <w:r>
              <w:t>Nasopharyngitis</w:t>
            </w:r>
          </w:p>
        </w:tc>
        <w:tc>
          <w:tcPr>
            <w:tcW w:w="2029" w:type="dxa"/>
            <w:tcMar>
              <w:left w:w="57" w:type="dxa"/>
              <w:right w:w="57" w:type="dxa"/>
            </w:tcMar>
          </w:tcPr>
          <w:p w14:paraId="5E7E1874" w14:textId="212A22AF" w:rsidR="008636A6" w:rsidRPr="00D3265B" w:rsidRDefault="008636A6" w:rsidP="0009651D">
            <w:pPr>
              <w:pStyle w:val="Table-text"/>
            </w:pPr>
            <w:r>
              <w:t>314 (7.7)</w:t>
            </w:r>
          </w:p>
        </w:tc>
        <w:tc>
          <w:tcPr>
            <w:tcW w:w="2030" w:type="dxa"/>
            <w:tcMar>
              <w:left w:w="57" w:type="dxa"/>
              <w:right w:w="57" w:type="dxa"/>
            </w:tcMar>
          </w:tcPr>
          <w:p w14:paraId="267D0E5B" w14:textId="68814F71" w:rsidR="008636A6" w:rsidRPr="00D3265B" w:rsidRDefault="008636A6" w:rsidP="0009651D">
            <w:pPr>
              <w:pStyle w:val="Table-text"/>
            </w:pPr>
            <w:r>
              <w:t>300 (7.3)</w:t>
            </w:r>
          </w:p>
        </w:tc>
      </w:tr>
      <w:tr w:rsidR="008636A6" w:rsidRPr="00D3265B" w14:paraId="1885BF51" w14:textId="77777777" w:rsidTr="00310154">
        <w:trPr>
          <w:jc w:val="center"/>
        </w:trPr>
        <w:tc>
          <w:tcPr>
            <w:tcW w:w="4957" w:type="dxa"/>
            <w:tcMar>
              <w:left w:w="57" w:type="dxa"/>
              <w:right w:w="57" w:type="dxa"/>
            </w:tcMar>
          </w:tcPr>
          <w:p w14:paraId="79BE9A85" w14:textId="5B6CB6EE" w:rsidR="008636A6" w:rsidRPr="00D3265B" w:rsidRDefault="008636A6" w:rsidP="0009651D">
            <w:pPr>
              <w:pStyle w:val="Table-text"/>
              <w:ind w:left="366"/>
            </w:pPr>
            <w:r>
              <w:t>Upper respiratory tract infection</w:t>
            </w:r>
          </w:p>
        </w:tc>
        <w:tc>
          <w:tcPr>
            <w:tcW w:w="2029" w:type="dxa"/>
            <w:tcMar>
              <w:left w:w="57" w:type="dxa"/>
              <w:right w:w="57" w:type="dxa"/>
            </w:tcMar>
          </w:tcPr>
          <w:p w14:paraId="203AE132" w14:textId="574B42D6" w:rsidR="008636A6" w:rsidRPr="00D3265B" w:rsidRDefault="008636A6" w:rsidP="0009651D">
            <w:pPr>
              <w:pStyle w:val="Table-text"/>
            </w:pPr>
            <w:r>
              <w:t>312 (7.6)</w:t>
            </w:r>
          </w:p>
        </w:tc>
        <w:tc>
          <w:tcPr>
            <w:tcW w:w="2030" w:type="dxa"/>
            <w:tcMar>
              <w:left w:w="57" w:type="dxa"/>
              <w:right w:w="57" w:type="dxa"/>
            </w:tcMar>
          </w:tcPr>
          <w:p w14:paraId="0DDDFED4" w14:textId="7D4FDD8F" w:rsidR="008636A6" w:rsidRPr="00D3265B" w:rsidRDefault="008636A6" w:rsidP="0009651D">
            <w:pPr>
              <w:pStyle w:val="Table-text"/>
            </w:pPr>
            <w:r>
              <w:t>320 (7.8)</w:t>
            </w:r>
          </w:p>
        </w:tc>
      </w:tr>
      <w:tr w:rsidR="008636A6" w:rsidRPr="00D3265B" w14:paraId="46CD3412" w14:textId="77777777" w:rsidTr="00310154">
        <w:trPr>
          <w:jc w:val="center"/>
        </w:trPr>
        <w:tc>
          <w:tcPr>
            <w:tcW w:w="4957" w:type="dxa"/>
            <w:tcMar>
              <w:left w:w="57" w:type="dxa"/>
              <w:right w:w="57" w:type="dxa"/>
            </w:tcMar>
          </w:tcPr>
          <w:p w14:paraId="20F7DCAE" w14:textId="5BA5647E" w:rsidR="008636A6" w:rsidRPr="00D3265B" w:rsidRDefault="008636A6" w:rsidP="0009651D">
            <w:pPr>
              <w:pStyle w:val="Table-text"/>
              <w:ind w:left="366"/>
            </w:pPr>
            <w:r>
              <w:t>Bronchitis</w:t>
            </w:r>
          </w:p>
        </w:tc>
        <w:tc>
          <w:tcPr>
            <w:tcW w:w="2029" w:type="dxa"/>
            <w:tcMar>
              <w:left w:w="57" w:type="dxa"/>
              <w:right w:w="57" w:type="dxa"/>
            </w:tcMar>
          </w:tcPr>
          <w:p w14:paraId="5FD9C112" w14:textId="51CB8DA3" w:rsidR="008636A6" w:rsidRPr="00D3265B" w:rsidRDefault="008636A6" w:rsidP="0009651D">
            <w:pPr>
              <w:pStyle w:val="Table-text"/>
            </w:pPr>
            <w:r>
              <w:t>306 (7.5)</w:t>
            </w:r>
          </w:p>
        </w:tc>
        <w:tc>
          <w:tcPr>
            <w:tcW w:w="2030" w:type="dxa"/>
            <w:tcMar>
              <w:left w:w="57" w:type="dxa"/>
              <w:right w:w="57" w:type="dxa"/>
            </w:tcMar>
          </w:tcPr>
          <w:p w14:paraId="3FD0C2C7" w14:textId="090579C3" w:rsidR="008636A6" w:rsidRPr="00D3265B" w:rsidRDefault="008636A6" w:rsidP="0009651D">
            <w:pPr>
              <w:pStyle w:val="Table-text"/>
            </w:pPr>
            <w:r>
              <w:t>300 (7.3)</w:t>
            </w:r>
          </w:p>
        </w:tc>
      </w:tr>
      <w:tr w:rsidR="008636A6" w:rsidRPr="00D3265B" w14:paraId="799CD460" w14:textId="77777777" w:rsidTr="00310154">
        <w:trPr>
          <w:jc w:val="center"/>
        </w:trPr>
        <w:tc>
          <w:tcPr>
            <w:tcW w:w="4957" w:type="dxa"/>
            <w:tcMar>
              <w:left w:w="57" w:type="dxa"/>
              <w:right w:w="57" w:type="dxa"/>
            </w:tcMar>
          </w:tcPr>
          <w:p w14:paraId="219A894E" w14:textId="425FD4E7" w:rsidR="008636A6" w:rsidRPr="00D3265B" w:rsidRDefault="008636A6" w:rsidP="0009651D">
            <w:pPr>
              <w:pStyle w:val="Table-text"/>
              <w:ind w:left="366"/>
            </w:pPr>
            <w:r>
              <w:t>Pneumonia</w:t>
            </w:r>
          </w:p>
        </w:tc>
        <w:tc>
          <w:tcPr>
            <w:tcW w:w="2029" w:type="dxa"/>
            <w:tcMar>
              <w:left w:w="57" w:type="dxa"/>
              <w:right w:w="57" w:type="dxa"/>
            </w:tcMar>
          </w:tcPr>
          <w:p w14:paraId="409230E7" w14:textId="1C07AF0E" w:rsidR="008636A6" w:rsidRPr="00D3265B" w:rsidRDefault="008636A6" w:rsidP="0009651D">
            <w:pPr>
              <w:pStyle w:val="Table-text"/>
            </w:pPr>
            <w:r>
              <w:t>263 (6.4)</w:t>
            </w:r>
          </w:p>
        </w:tc>
        <w:tc>
          <w:tcPr>
            <w:tcW w:w="2030" w:type="dxa"/>
            <w:tcMar>
              <w:left w:w="57" w:type="dxa"/>
              <w:right w:w="57" w:type="dxa"/>
            </w:tcMar>
          </w:tcPr>
          <w:p w14:paraId="436AF744" w14:textId="6DD35AD7" w:rsidR="008636A6" w:rsidRPr="00D3265B" w:rsidRDefault="008636A6" w:rsidP="0009651D">
            <w:pPr>
              <w:pStyle w:val="Table-text"/>
            </w:pPr>
            <w:r>
              <w:t>277 (6.8)</w:t>
            </w:r>
          </w:p>
        </w:tc>
      </w:tr>
      <w:tr w:rsidR="008636A6" w:rsidRPr="00D3265B" w14:paraId="1F36F207" w14:textId="77777777" w:rsidTr="00310154">
        <w:trPr>
          <w:jc w:val="center"/>
        </w:trPr>
        <w:tc>
          <w:tcPr>
            <w:tcW w:w="4957" w:type="dxa"/>
            <w:tcMar>
              <w:left w:w="57" w:type="dxa"/>
              <w:right w:w="57" w:type="dxa"/>
            </w:tcMar>
          </w:tcPr>
          <w:p w14:paraId="06AC0BA2" w14:textId="113BFEA4" w:rsidR="008636A6" w:rsidRPr="00D3265B" w:rsidRDefault="008636A6" w:rsidP="0009651D">
            <w:pPr>
              <w:pStyle w:val="Table-text"/>
              <w:ind w:left="366"/>
            </w:pPr>
            <w:r>
              <w:t>Influenza</w:t>
            </w:r>
          </w:p>
        </w:tc>
        <w:tc>
          <w:tcPr>
            <w:tcW w:w="2029" w:type="dxa"/>
            <w:tcMar>
              <w:left w:w="57" w:type="dxa"/>
              <w:right w:w="57" w:type="dxa"/>
            </w:tcMar>
          </w:tcPr>
          <w:p w14:paraId="11470B03" w14:textId="1773D5E7" w:rsidR="008636A6" w:rsidRPr="00D3265B" w:rsidRDefault="008636A6" w:rsidP="0009651D">
            <w:pPr>
              <w:pStyle w:val="Table-text"/>
            </w:pPr>
            <w:r>
              <w:t>263 (6.4)</w:t>
            </w:r>
          </w:p>
        </w:tc>
        <w:tc>
          <w:tcPr>
            <w:tcW w:w="2030" w:type="dxa"/>
            <w:tcMar>
              <w:left w:w="57" w:type="dxa"/>
              <w:right w:w="57" w:type="dxa"/>
            </w:tcMar>
          </w:tcPr>
          <w:p w14:paraId="6D7E3EAA" w14:textId="51E1BC82" w:rsidR="008636A6" w:rsidRPr="00D3265B" w:rsidRDefault="008636A6" w:rsidP="0009651D">
            <w:pPr>
              <w:pStyle w:val="Table-text"/>
            </w:pPr>
            <w:r>
              <w:t>271 (6.6)</w:t>
            </w:r>
          </w:p>
        </w:tc>
      </w:tr>
      <w:tr w:rsidR="008636A6" w:rsidRPr="00D3265B" w14:paraId="3C82D932" w14:textId="77777777" w:rsidTr="00310154">
        <w:trPr>
          <w:jc w:val="center"/>
        </w:trPr>
        <w:tc>
          <w:tcPr>
            <w:tcW w:w="4957" w:type="dxa"/>
            <w:tcMar>
              <w:left w:w="57" w:type="dxa"/>
              <w:right w:w="57" w:type="dxa"/>
            </w:tcMar>
          </w:tcPr>
          <w:p w14:paraId="217F6E0C" w14:textId="3234606A" w:rsidR="008636A6" w:rsidRPr="00D3265B" w:rsidRDefault="008636A6" w:rsidP="0009651D">
            <w:pPr>
              <w:pStyle w:val="Table-text"/>
              <w:ind w:left="366"/>
            </w:pPr>
            <w:r>
              <w:t>Urinary tract infection</w:t>
            </w:r>
          </w:p>
        </w:tc>
        <w:tc>
          <w:tcPr>
            <w:tcW w:w="2029" w:type="dxa"/>
            <w:tcMar>
              <w:left w:w="57" w:type="dxa"/>
              <w:right w:w="57" w:type="dxa"/>
            </w:tcMar>
          </w:tcPr>
          <w:p w14:paraId="30AD790F" w14:textId="7A3B0669" w:rsidR="008636A6" w:rsidRPr="00D3265B" w:rsidRDefault="008636A6" w:rsidP="0009651D">
            <w:pPr>
              <w:pStyle w:val="Table-text"/>
            </w:pPr>
            <w:r>
              <w:t>253 (6.2)</w:t>
            </w:r>
          </w:p>
        </w:tc>
        <w:tc>
          <w:tcPr>
            <w:tcW w:w="2030" w:type="dxa"/>
            <w:tcMar>
              <w:left w:w="57" w:type="dxa"/>
              <w:right w:w="57" w:type="dxa"/>
            </w:tcMar>
          </w:tcPr>
          <w:p w14:paraId="0A09FEDB" w14:textId="4571EAF2" w:rsidR="008636A6" w:rsidRPr="00D3265B" w:rsidRDefault="008636A6" w:rsidP="0009651D">
            <w:pPr>
              <w:pStyle w:val="Table-text"/>
            </w:pPr>
            <w:r>
              <w:t>261 (6.4)</w:t>
            </w:r>
          </w:p>
        </w:tc>
      </w:tr>
      <w:tr w:rsidR="0058605A" w:rsidRPr="00D3265B" w14:paraId="7DD430FD" w14:textId="77777777" w:rsidTr="00310154">
        <w:trPr>
          <w:jc w:val="center"/>
        </w:trPr>
        <w:tc>
          <w:tcPr>
            <w:tcW w:w="4957" w:type="dxa"/>
            <w:tcMar>
              <w:left w:w="57" w:type="dxa"/>
              <w:right w:w="57" w:type="dxa"/>
            </w:tcMar>
          </w:tcPr>
          <w:p w14:paraId="6FC1FA50" w14:textId="403C64BF" w:rsidR="0058605A" w:rsidRPr="004B3D81" w:rsidRDefault="0058605A" w:rsidP="0009651D">
            <w:pPr>
              <w:pStyle w:val="Table-Heading1"/>
            </w:pPr>
            <w:r w:rsidRPr="00D3265B">
              <w:t xml:space="preserve">Musculoskeletal and connective tissue disorders </w:t>
            </w:r>
          </w:p>
        </w:tc>
        <w:tc>
          <w:tcPr>
            <w:tcW w:w="2029" w:type="dxa"/>
            <w:tcMar>
              <w:left w:w="57" w:type="dxa"/>
              <w:right w:w="57" w:type="dxa"/>
            </w:tcMar>
          </w:tcPr>
          <w:p w14:paraId="7FACCF69" w14:textId="77777777" w:rsidR="0058605A" w:rsidRPr="00D3265B" w:rsidRDefault="0058605A" w:rsidP="0009651D">
            <w:pPr>
              <w:pStyle w:val="Table-Heading1"/>
            </w:pPr>
          </w:p>
        </w:tc>
        <w:tc>
          <w:tcPr>
            <w:tcW w:w="2030" w:type="dxa"/>
            <w:tcMar>
              <w:left w:w="57" w:type="dxa"/>
              <w:right w:w="57" w:type="dxa"/>
            </w:tcMar>
          </w:tcPr>
          <w:p w14:paraId="239DF531" w14:textId="77777777" w:rsidR="0058605A" w:rsidRPr="00D3265B" w:rsidRDefault="0058605A" w:rsidP="0009651D">
            <w:pPr>
              <w:pStyle w:val="Table-Heading1"/>
            </w:pPr>
          </w:p>
        </w:tc>
      </w:tr>
      <w:tr w:rsidR="00B91E93" w:rsidRPr="0032668D" w14:paraId="2F9F2079" w14:textId="77777777" w:rsidTr="00310154">
        <w:trPr>
          <w:jc w:val="center"/>
        </w:trPr>
        <w:tc>
          <w:tcPr>
            <w:tcW w:w="4957" w:type="dxa"/>
            <w:tcMar>
              <w:left w:w="57" w:type="dxa"/>
              <w:right w:w="57" w:type="dxa"/>
            </w:tcMar>
          </w:tcPr>
          <w:p w14:paraId="50685218" w14:textId="66EED53D" w:rsidR="00B91E93" w:rsidRPr="0032668D" w:rsidRDefault="00B91E93" w:rsidP="0009651D">
            <w:pPr>
              <w:pStyle w:val="Table-text"/>
              <w:ind w:left="366"/>
            </w:pPr>
            <w:r>
              <w:t>Back pain</w:t>
            </w:r>
          </w:p>
        </w:tc>
        <w:tc>
          <w:tcPr>
            <w:tcW w:w="2029" w:type="dxa"/>
            <w:tcMar>
              <w:left w:w="57" w:type="dxa"/>
              <w:right w:w="57" w:type="dxa"/>
            </w:tcMar>
          </w:tcPr>
          <w:p w14:paraId="4D224A0B" w14:textId="3750E8A9" w:rsidR="00B91E93" w:rsidRPr="00D3265B" w:rsidRDefault="00B91E93" w:rsidP="0009651D">
            <w:pPr>
              <w:pStyle w:val="Table-text"/>
            </w:pPr>
            <w:r>
              <w:t>335 (8.2)</w:t>
            </w:r>
          </w:p>
        </w:tc>
        <w:tc>
          <w:tcPr>
            <w:tcW w:w="2030" w:type="dxa"/>
            <w:tcMar>
              <w:left w:w="57" w:type="dxa"/>
              <w:right w:w="57" w:type="dxa"/>
            </w:tcMar>
          </w:tcPr>
          <w:p w14:paraId="377F7458" w14:textId="63289F36" w:rsidR="00B91E93" w:rsidRPr="00D3265B" w:rsidRDefault="00B91E93" w:rsidP="0009651D">
            <w:pPr>
              <w:pStyle w:val="Table-text"/>
            </w:pPr>
            <w:r>
              <w:t>309 (7.6)</w:t>
            </w:r>
          </w:p>
        </w:tc>
      </w:tr>
      <w:tr w:rsidR="00B91E93" w:rsidRPr="0032668D" w14:paraId="6A06B6F0" w14:textId="77777777" w:rsidTr="00310154">
        <w:trPr>
          <w:jc w:val="center"/>
        </w:trPr>
        <w:tc>
          <w:tcPr>
            <w:tcW w:w="4957" w:type="dxa"/>
            <w:tcMar>
              <w:left w:w="57" w:type="dxa"/>
              <w:right w:w="57" w:type="dxa"/>
            </w:tcMar>
          </w:tcPr>
          <w:p w14:paraId="48468470" w14:textId="6051D9C1" w:rsidR="00B91E93" w:rsidRPr="00D3265B" w:rsidRDefault="00B91E93" w:rsidP="0009651D">
            <w:pPr>
              <w:pStyle w:val="Table-text"/>
              <w:ind w:left="366"/>
            </w:pPr>
            <w:r>
              <w:t>Arthralgia</w:t>
            </w:r>
          </w:p>
        </w:tc>
        <w:tc>
          <w:tcPr>
            <w:tcW w:w="2029" w:type="dxa"/>
            <w:tcMar>
              <w:left w:w="57" w:type="dxa"/>
              <w:right w:w="57" w:type="dxa"/>
            </w:tcMar>
          </w:tcPr>
          <w:p w14:paraId="5453A79C" w14:textId="0820AEA9" w:rsidR="00B91E93" w:rsidRDefault="00B91E93" w:rsidP="0009651D">
            <w:pPr>
              <w:pStyle w:val="Table-text"/>
            </w:pPr>
            <w:r>
              <w:t>313 (7.7)</w:t>
            </w:r>
          </w:p>
        </w:tc>
        <w:tc>
          <w:tcPr>
            <w:tcW w:w="2030" w:type="dxa"/>
            <w:tcMar>
              <w:left w:w="57" w:type="dxa"/>
              <w:right w:w="57" w:type="dxa"/>
            </w:tcMar>
          </w:tcPr>
          <w:p w14:paraId="2851ED3B" w14:textId="68D9409D" w:rsidR="00B91E93" w:rsidRDefault="00B91E93" w:rsidP="0009651D">
            <w:pPr>
              <w:pStyle w:val="Table-text"/>
            </w:pPr>
            <w:r>
              <w:t>310 (7.6)</w:t>
            </w:r>
          </w:p>
        </w:tc>
      </w:tr>
      <w:tr w:rsidR="00B91E93" w:rsidRPr="0032668D" w14:paraId="14E3D8B2" w14:textId="77777777" w:rsidTr="00310154">
        <w:trPr>
          <w:jc w:val="center"/>
        </w:trPr>
        <w:tc>
          <w:tcPr>
            <w:tcW w:w="4957" w:type="dxa"/>
            <w:tcMar>
              <w:left w:w="57" w:type="dxa"/>
              <w:right w:w="57" w:type="dxa"/>
            </w:tcMar>
          </w:tcPr>
          <w:p w14:paraId="6EFFC1D4" w14:textId="5BB62A13" w:rsidR="00B91E93" w:rsidRPr="00D3265B" w:rsidRDefault="00B91E93" w:rsidP="0009651D">
            <w:pPr>
              <w:pStyle w:val="Table-text"/>
              <w:ind w:left="366"/>
            </w:pPr>
            <w:r>
              <w:t>Osteoarthritis</w:t>
            </w:r>
          </w:p>
        </w:tc>
        <w:tc>
          <w:tcPr>
            <w:tcW w:w="2029" w:type="dxa"/>
            <w:tcMar>
              <w:left w:w="57" w:type="dxa"/>
              <w:right w:w="57" w:type="dxa"/>
            </w:tcMar>
          </w:tcPr>
          <w:p w14:paraId="64BBE224" w14:textId="5977A97F" w:rsidR="00B91E93" w:rsidRDefault="00B91E93" w:rsidP="0009651D">
            <w:pPr>
              <w:pStyle w:val="Table-text"/>
            </w:pPr>
            <w:r>
              <w:t>241 (5.9)</w:t>
            </w:r>
          </w:p>
        </w:tc>
        <w:tc>
          <w:tcPr>
            <w:tcW w:w="2030" w:type="dxa"/>
            <w:tcMar>
              <w:left w:w="57" w:type="dxa"/>
              <w:right w:w="57" w:type="dxa"/>
            </w:tcMar>
          </w:tcPr>
          <w:p w14:paraId="16DF704C" w14:textId="5EAE4E2B" w:rsidR="00B91E93" w:rsidRDefault="00B91E93" w:rsidP="0009651D">
            <w:pPr>
              <w:pStyle w:val="Table-text"/>
            </w:pPr>
            <w:r>
              <w:t>218 (5.3)</w:t>
            </w:r>
          </w:p>
        </w:tc>
      </w:tr>
      <w:tr w:rsidR="00B91E93" w:rsidRPr="0032668D" w14:paraId="16E0A4BC" w14:textId="77777777" w:rsidTr="00310154">
        <w:trPr>
          <w:jc w:val="center"/>
        </w:trPr>
        <w:tc>
          <w:tcPr>
            <w:tcW w:w="4957" w:type="dxa"/>
            <w:tcMar>
              <w:left w:w="57" w:type="dxa"/>
              <w:right w:w="57" w:type="dxa"/>
            </w:tcMar>
          </w:tcPr>
          <w:p w14:paraId="5E5B9807" w14:textId="145998C2" w:rsidR="00B91E93" w:rsidRPr="00D3265B" w:rsidRDefault="00B91E93" w:rsidP="0009651D">
            <w:pPr>
              <w:pStyle w:val="Table-text"/>
              <w:ind w:left="366"/>
            </w:pPr>
            <w:r>
              <w:t>Pain in extremity</w:t>
            </w:r>
          </w:p>
        </w:tc>
        <w:tc>
          <w:tcPr>
            <w:tcW w:w="2029" w:type="dxa"/>
            <w:tcMar>
              <w:left w:w="57" w:type="dxa"/>
              <w:right w:w="57" w:type="dxa"/>
            </w:tcMar>
          </w:tcPr>
          <w:p w14:paraId="7AE433BC" w14:textId="07FE8EAC" w:rsidR="00B91E93" w:rsidRDefault="00B91E93" w:rsidP="0009651D">
            <w:pPr>
              <w:pStyle w:val="Table-text"/>
            </w:pPr>
            <w:r>
              <w:t>235 (5.7)</w:t>
            </w:r>
          </w:p>
        </w:tc>
        <w:tc>
          <w:tcPr>
            <w:tcW w:w="2030" w:type="dxa"/>
            <w:tcMar>
              <w:left w:w="57" w:type="dxa"/>
              <w:right w:w="57" w:type="dxa"/>
            </w:tcMar>
          </w:tcPr>
          <w:p w14:paraId="1FA1A26B" w14:textId="4BB401F3" w:rsidR="00B91E93" w:rsidRDefault="00B91E93" w:rsidP="0009651D">
            <w:pPr>
              <w:pStyle w:val="Table-text"/>
            </w:pPr>
            <w:r>
              <w:t>241 (5.9)</w:t>
            </w:r>
          </w:p>
        </w:tc>
      </w:tr>
      <w:tr w:rsidR="00A266D0" w:rsidRPr="0032668D" w14:paraId="7A413E02" w14:textId="77777777" w:rsidTr="00310154">
        <w:trPr>
          <w:jc w:val="center"/>
        </w:trPr>
        <w:tc>
          <w:tcPr>
            <w:tcW w:w="4957" w:type="dxa"/>
            <w:tcMar>
              <w:left w:w="57" w:type="dxa"/>
              <w:right w:w="57" w:type="dxa"/>
            </w:tcMar>
          </w:tcPr>
          <w:p w14:paraId="06AD86E5" w14:textId="269726EF" w:rsidR="00A266D0" w:rsidRPr="0032668D" w:rsidRDefault="00A266D0" w:rsidP="0009651D">
            <w:pPr>
              <w:pStyle w:val="Table-Heading1"/>
            </w:pPr>
            <w:r w:rsidRPr="00D3265B">
              <w:t xml:space="preserve">Gastrointestinal disorders </w:t>
            </w:r>
          </w:p>
        </w:tc>
        <w:tc>
          <w:tcPr>
            <w:tcW w:w="2029" w:type="dxa"/>
            <w:tcMar>
              <w:left w:w="57" w:type="dxa"/>
              <w:right w:w="57" w:type="dxa"/>
            </w:tcMar>
          </w:tcPr>
          <w:p w14:paraId="4A1CB6DD" w14:textId="63DE6578" w:rsidR="00A266D0" w:rsidRPr="00D3265B" w:rsidRDefault="00A266D0" w:rsidP="0009651D">
            <w:pPr>
              <w:pStyle w:val="Table-Heading1"/>
            </w:pPr>
          </w:p>
        </w:tc>
        <w:tc>
          <w:tcPr>
            <w:tcW w:w="2030" w:type="dxa"/>
            <w:tcMar>
              <w:left w:w="57" w:type="dxa"/>
              <w:right w:w="57" w:type="dxa"/>
            </w:tcMar>
          </w:tcPr>
          <w:p w14:paraId="4AA0148D" w14:textId="474664E3" w:rsidR="00A266D0" w:rsidRPr="00D3265B" w:rsidRDefault="00A266D0" w:rsidP="0009651D">
            <w:pPr>
              <w:pStyle w:val="Table-Heading1"/>
            </w:pPr>
          </w:p>
        </w:tc>
      </w:tr>
      <w:tr w:rsidR="00E36500" w:rsidRPr="0032668D" w14:paraId="578A5164" w14:textId="77777777" w:rsidTr="00310154">
        <w:trPr>
          <w:jc w:val="center"/>
        </w:trPr>
        <w:tc>
          <w:tcPr>
            <w:tcW w:w="4957" w:type="dxa"/>
            <w:tcMar>
              <w:left w:w="57" w:type="dxa"/>
              <w:right w:w="57" w:type="dxa"/>
            </w:tcMar>
          </w:tcPr>
          <w:p w14:paraId="5CE89DCA" w14:textId="5D0ECA4B" w:rsidR="00E36500" w:rsidRPr="00D3265B" w:rsidRDefault="00E36500" w:rsidP="0009651D">
            <w:pPr>
              <w:pStyle w:val="Table-text"/>
              <w:ind w:left="366"/>
            </w:pPr>
            <w:r>
              <w:t>Diarrhoea</w:t>
            </w:r>
          </w:p>
        </w:tc>
        <w:tc>
          <w:tcPr>
            <w:tcW w:w="2029" w:type="dxa"/>
            <w:tcMar>
              <w:left w:w="57" w:type="dxa"/>
              <w:right w:w="57" w:type="dxa"/>
            </w:tcMar>
          </w:tcPr>
          <w:p w14:paraId="62FA27B2" w14:textId="6CE74242" w:rsidR="00E36500" w:rsidRDefault="00E36500" w:rsidP="0009651D">
            <w:pPr>
              <w:pStyle w:val="Table-text"/>
            </w:pPr>
            <w:r>
              <w:t>367 (9.0)</w:t>
            </w:r>
          </w:p>
        </w:tc>
        <w:tc>
          <w:tcPr>
            <w:tcW w:w="2030" w:type="dxa"/>
            <w:tcMar>
              <w:left w:w="57" w:type="dxa"/>
              <w:right w:w="57" w:type="dxa"/>
            </w:tcMar>
          </w:tcPr>
          <w:p w14:paraId="31D1C549" w14:textId="7EE5C167" w:rsidR="00E36500" w:rsidRDefault="00E36500" w:rsidP="0009651D">
            <w:pPr>
              <w:pStyle w:val="Table-text"/>
            </w:pPr>
            <w:r>
              <w:t>453 (11.1)</w:t>
            </w:r>
          </w:p>
        </w:tc>
      </w:tr>
      <w:tr w:rsidR="00E36500" w:rsidRPr="0032668D" w14:paraId="3D2C7398" w14:textId="77777777" w:rsidTr="00310154">
        <w:trPr>
          <w:jc w:val="center"/>
        </w:trPr>
        <w:tc>
          <w:tcPr>
            <w:tcW w:w="4957" w:type="dxa"/>
            <w:tcMar>
              <w:left w:w="57" w:type="dxa"/>
              <w:right w:w="57" w:type="dxa"/>
            </w:tcMar>
          </w:tcPr>
          <w:p w14:paraId="33F4DC4C" w14:textId="2AE61F34" w:rsidR="00E36500" w:rsidRPr="0032668D" w:rsidRDefault="00E36500" w:rsidP="0009651D">
            <w:pPr>
              <w:pStyle w:val="Table-text"/>
              <w:ind w:left="366"/>
            </w:pPr>
            <w:r>
              <w:t>Constipation</w:t>
            </w:r>
          </w:p>
        </w:tc>
        <w:tc>
          <w:tcPr>
            <w:tcW w:w="2029" w:type="dxa"/>
            <w:tcMar>
              <w:left w:w="57" w:type="dxa"/>
              <w:right w:w="57" w:type="dxa"/>
            </w:tcMar>
          </w:tcPr>
          <w:p w14:paraId="53B415F7" w14:textId="6372E0CD" w:rsidR="00E36500" w:rsidRPr="00D3265B" w:rsidRDefault="00E36500" w:rsidP="0009651D">
            <w:pPr>
              <w:pStyle w:val="Table-text"/>
            </w:pPr>
            <w:r>
              <w:t>221 (5.4)</w:t>
            </w:r>
          </w:p>
        </w:tc>
        <w:tc>
          <w:tcPr>
            <w:tcW w:w="2030" w:type="dxa"/>
            <w:tcMar>
              <w:left w:w="57" w:type="dxa"/>
              <w:right w:w="57" w:type="dxa"/>
            </w:tcMar>
          </w:tcPr>
          <w:p w14:paraId="3EBB9413" w14:textId="7724CD7B" w:rsidR="00E36500" w:rsidRPr="00D3265B" w:rsidRDefault="00E36500" w:rsidP="0009651D">
            <w:pPr>
              <w:pStyle w:val="Table-text"/>
            </w:pPr>
            <w:r>
              <w:t>149 (3.6)</w:t>
            </w:r>
          </w:p>
        </w:tc>
      </w:tr>
      <w:tr w:rsidR="00A266D0" w:rsidRPr="0032668D" w14:paraId="5880A90E" w14:textId="77777777" w:rsidTr="00310154">
        <w:trPr>
          <w:jc w:val="center"/>
        </w:trPr>
        <w:tc>
          <w:tcPr>
            <w:tcW w:w="4957" w:type="dxa"/>
            <w:tcMar>
              <w:left w:w="57" w:type="dxa"/>
              <w:right w:w="57" w:type="dxa"/>
            </w:tcMar>
          </w:tcPr>
          <w:p w14:paraId="51696029" w14:textId="6AFFE558" w:rsidR="00A266D0" w:rsidRPr="00D3265B" w:rsidRDefault="00A266D0" w:rsidP="0009651D">
            <w:pPr>
              <w:pStyle w:val="Table-Heading1"/>
            </w:pPr>
            <w:r w:rsidRPr="00D3265B">
              <w:t xml:space="preserve">General disorders and administration site conditions </w:t>
            </w:r>
          </w:p>
        </w:tc>
        <w:tc>
          <w:tcPr>
            <w:tcW w:w="2029" w:type="dxa"/>
            <w:tcMar>
              <w:left w:w="57" w:type="dxa"/>
              <w:right w:w="57" w:type="dxa"/>
            </w:tcMar>
          </w:tcPr>
          <w:p w14:paraId="529AD61E" w14:textId="77777777" w:rsidR="00A266D0" w:rsidRPr="00D3265B" w:rsidRDefault="00A266D0" w:rsidP="0009651D">
            <w:pPr>
              <w:pStyle w:val="Table-Heading1"/>
            </w:pPr>
          </w:p>
        </w:tc>
        <w:tc>
          <w:tcPr>
            <w:tcW w:w="2030" w:type="dxa"/>
            <w:tcMar>
              <w:left w:w="57" w:type="dxa"/>
              <w:right w:w="57" w:type="dxa"/>
            </w:tcMar>
          </w:tcPr>
          <w:p w14:paraId="191512D8" w14:textId="77777777" w:rsidR="00A266D0" w:rsidRPr="00D3265B" w:rsidRDefault="00A266D0" w:rsidP="0009651D">
            <w:pPr>
              <w:pStyle w:val="Table-Heading1"/>
            </w:pPr>
          </w:p>
        </w:tc>
      </w:tr>
      <w:tr w:rsidR="0007222B" w:rsidRPr="0032668D" w14:paraId="24F05BCF" w14:textId="77777777" w:rsidTr="00310154">
        <w:trPr>
          <w:jc w:val="center"/>
        </w:trPr>
        <w:tc>
          <w:tcPr>
            <w:tcW w:w="4957" w:type="dxa"/>
            <w:tcMar>
              <w:left w:w="57" w:type="dxa"/>
              <w:right w:w="57" w:type="dxa"/>
            </w:tcMar>
          </w:tcPr>
          <w:p w14:paraId="61498EC6" w14:textId="10447C9D" w:rsidR="0007222B" w:rsidRPr="00D3265B" w:rsidRDefault="0007222B" w:rsidP="0009651D">
            <w:pPr>
              <w:pStyle w:val="Table-text"/>
              <w:ind w:left="366"/>
            </w:pPr>
            <w:r>
              <w:lastRenderedPageBreak/>
              <w:t>Chest pain</w:t>
            </w:r>
          </w:p>
        </w:tc>
        <w:tc>
          <w:tcPr>
            <w:tcW w:w="2029" w:type="dxa"/>
            <w:tcMar>
              <w:left w:w="57" w:type="dxa"/>
              <w:right w:w="57" w:type="dxa"/>
            </w:tcMar>
          </w:tcPr>
          <w:p w14:paraId="5DF7268F" w14:textId="27E61CA3" w:rsidR="0007222B" w:rsidRPr="00D3265B" w:rsidRDefault="0007222B" w:rsidP="0009651D">
            <w:pPr>
              <w:pStyle w:val="Table-text"/>
            </w:pPr>
            <w:r>
              <w:t>273 (6.7)</w:t>
            </w:r>
          </w:p>
        </w:tc>
        <w:tc>
          <w:tcPr>
            <w:tcW w:w="2030" w:type="dxa"/>
            <w:tcMar>
              <w:left w:w="57" w:type="dxa"/>
              <w:right w:w="57" w:type="dxa"/>
            </w:tcMar>
          </w:tcPr>
          <w:p w14:paraId="6D8F139D" w14:textId="1503D0BE" w:rsidR="0007222B" w:rsidRPr="00D3265B" w:rsidRDefault="0007222B" w:rsidP="0009651D">
            <w:pPr>
              <w:pStyle w:val="Table-text"/>
            </w:pPr>
            <w:r>
              <w:t>290 (7.1)</w:t>
            </w:r>
          </w:p>
        </w:tc>
      </w:tr>
      <w:tr w:rsidR="0007222B" w:rsidRPr="0032668D" w14:paraId="3FE7D517" w14:textId="77777777" w:rsidTr="00310154">
        <w:trPr>
          <w:jc w:val="center"/>
        </w:trPr>
        <w:tc>
          <w:tcPr>
            <w:tcW w:w="4957" w:type="dxa"/>
            <w:tcMar>
              <w:left w:w="57" w:type="dxa"/>
              <w:right w:w="57" w:type="dxa"/>
            </w:tcMar>
          </w:tcPr>
          <w:p w14:paraId="79E07243" w14:textId="16A74AF8" w:rsidR="0007222B" w:rsidRPr="00D3265B" w:rsidRDefault="0007222B" w:rsidP="0009651D">
            <w:pPr>
              <w:pStyle w:val="Table-text"/>
              <w:ind w:left="366"/>
            </w:pPr>
            <w:r>
              <w:t>Oedema peripheral</w:t>
            </w:r>
          </w:p>
        </w:tc>
        <w:tc>
          <w:tcPr>
            <w:tcW w:w="2029" w:type="dxa"/>
            <w:tcMar>
              <w:left w:w="57" w:type="dxa"/>
              <w:right w:w="57" w:type="dxa"/>
            </w:tcMar>
          </w:tcPr>
          <w:p w14:paraId="328C6136" w14:textId="17E8D821" w:rsidR="0007222B" w:rsidRDefault="0007222B" w:rsidP="0009651D">
            <w:pPr>
              <w:pStyle w:val="Table-text"/>
            </w:pPr>
            <w:r>
              <w:t>267 (6.5)</w:t>
            </w:r>
          </w:p>
        </w:tc>
        <w:tc>
          <w:tcPr>
            <w:tcW w:w="2030" w:type="dxa"/>
            <w:tcMar>
              <w:left w:w="57" w:type="dxa"/>
              <w:right w:w="57" w:type="dxa"/>
            </w:tcMar>
          </w:tcPr>
          <w:p w14:paraId="4E7A2B9C" w14:textId="5AB82A6D" w:rsidR="0007222B" w:rsidRDefault="0007222B" w:rsidP="0009651D">
            <w:pPr>
              <w:pStyle w:val="Table-text"/>
            </w:pPr>
            <w:r>
              <w:t>203 (5.0)</w:t>
            </w:r>
          </w:p>
        </w:tc>
      </w:tr>
      <w:tr w:rsidR="0007222B" w:rsidRPr="0032668D" w14:paraId="18922B40" w14:textId="77777777" w:rsidTr="00310154">
        <w:trPr>
          <w:jc w:val="center"/>
        </w:trPr>
        <w:tc>
          <w:tcPr>
            <w:tcW w:w="4957" w:type="dxa"/>
            <w:tcMar>
              <w:left w:w="57" w:type="dxa"/>
              <w:right w:w="57" w:type="dxa"/>
            </w:tcMar>
          </w:tcPr>
          <w:p w14:paraId="39D4A1DC" w14:textId="4AFBBDE8" w:rsidR="0007222B" w:rsidRPr="00D3265B" w:rsidRDefault="0007222B" w:rsidP="0009651D">
            <w:pPr>
              <w:pStyle w:val="Table-text"/>
              <w:ind w:left="366"/>
            </w:pPr>
            <w:r>
              <w:t>Fatigue</w:t>
            </w:r>
          </w:p>
        </w:tc>
        <w:tc>
          <w:tcPr>
            <w:tcW w:w="2029" w:type="dxa"/>
            <w:tcMar>
              <w:left w:w="57" w:type="dxa"/>
              <w:right w:w="57" w:type="dxa"/>
            </w:tcMar>
          </w:tcPr>
          <w:p w14:paraId="2D52556E" w14:textId="52831964" w:rsidR="0007222B" w:rsidRDefault="0007222B" w:rsidP="0009651D">
            <w:pPr>
              <w:pStyle w:val="Table-text"/>
            </w:pPr>
            <w:r>
              <w:t>228 (5.6)</w:t>
            </w:r>
          </w:p>
        </w:tc>
        <w:tc>
          <w:tcPr>
            <w:tcW w:w="2030" w:type="dxa"/>
            <w:tcMar>
              <w:left w:w="57" w:type="dxa"/>
              <w:right w:w="57" w:type="dxa"/>
            </w:tcMar>
          </w:tcPr>
          <w:p w14:paraId="4AA43500" w14:textId="0A71FA02" w:rsidR="0007222B" w:rsidRDefault="0007222B" w:rsidP="0009651D">
            <w:pPr>
              <w:pStyle w:val="Table-text"/>
            </w:pPr>
            <w:r>
              <w:t>196 (4.8)</w:t>
            </w:r>
          </w:p>
        </w:tc>
      </w:tr>
      <w:tr w:rsidR="00B66043" w:rsidRPr="0032668D" w14:paraId="63E0E6AE" w14:textId="77777777" w:rsidTr="00310154">
        <w:trPr>
          <w:jc w:val="center"/>
        </w:trPr>
        <w:tc>
          <w:tcPr>
            <w:tcW w:w="4957" w:type="dxa"/>
            <w:tcMar>
              <w:left w:w="57" w:type="dxa"/>
              <w:right w:w="57" w:type="dxa"/>
            </w:tcMar>
          </w:tcPr>
          <w:p w14:paraId="7C3DA085" w14:textId="47AF55A4" w:rsidR="00B66043" w:rsidRDefault="00B66043" w:rsidP="0009651D">
            <w:pPr>
              <w:pStyle w:val="Table-Heading1"/>
            </w:pPr>
            <w:r>
              <w:t>Nervous system disorders</w:t>
            </w:r>
          </w:p>
        </w:tc>
        <w:tc>
          <w:tcPr>
            <w:tcW w:w="2029" w:type="dxa"/>
            <w:tcMar>
              <w:left w:w="57" w:type="dxa"/>
              <w:right w:w="57" w:type="dxa"/>
            </w:tcMar>
          </w:tcPr>
          <w:p w14:paraId="6343FDCF" w14:textId="77777777" w:rsidR="00B66043" w:rsidRDefault="00B66043" w:rsidP="0009651D">
            <w:pPr>
              <w:pStyle w:val="Table-Heading1"/>
            </w:pPr>
          </w:p>
        </w:tc>
        <w:tc>
          <w:tcPr>
            <w:tcW w:w="2030" w:type="dxa"/>
            <w:tcMar>
              <w:left w:w="57" w:type="dxa"/>
              <w:right w:w="57" w:type="dxa"/>
            </w:tcMar>
          </w:tcPr>
          <w:p w14:paraId="426CD2D4" w14:textId="77777777" w:rsidR="00B66043" w:rsidRDefault="00B66043" w:rsidP="0009651D">
            <w:pPr>
              <w:pStyle w:val="Table-Heading1"/>
            </w:pPr>
          </w:p>
        </w:tc>
      </w:tr>
      <w:tr w:rsidR="00B66043" w:rsidRPr="0032668D" w14:paraId="005F0FDA" w14:textId="77777777" w:rsidTr="00310154">
        <w:trPr>
          <w:jc w:val="center"/>
        </w:trPr>
        <w:tc>
          <w:tcPr>
            <w:tcW w:w="4957" w:type="dxa"/>
            <w:tcMar>
              <w:left w:w="57" w:type="dxa"/>
              <w:right w:w="57" w:type="dxa"/>
            </w:tcMar>
          </w:tcPr>
          <w:p w14:paraId="0D18E99C" w14:textId="74EE67D4" w:rsidR="00B66043" w:rsidRDefault="00B66043" w:rsidP="0009651D">
            <w:pPr>
              <w:pStyle w:val="Table-text"/>
              <w:ind w:left="366"/>
            </w:pPr>
            <w:r>
              <w:t>Dizziness</w:t>
            </w:r>
          </w:p>
        </w:tc>
        <w:tc>
          <w:tcPr>
            <w:tcW w:w="2029" w:type="dxa"/>
            <w:tcMar>
              <w:left w:w="57" w:type="dxa"/>
              <w:right w:w="57" w:type="dxa"/>
            </w:tcMar>
          </w:tcPr>
          <w:p w14:paraId="0FC6B0D5" w14:textId="2D173BFB" w:rsidR="00B66043" w:rsidRDefault="00B66043" w:rsidP="0009651D">
            <w:pPr>
              <w:pStyle w:val="Table-text"/>
            </w:pPr>
            <w:r>
              <w:t>235 (5.7)</w:t>
            </w:r>
          </w:p>
        </w:tc>
        <w:tc>
          <w:tcPr>
            <w:tcW w:w="2030" w:type="dxa"/>
            <w:tcMar>
              <w:left w:w="57" w:type="dxa"/>
              <w:right w:w="57" w:type="dxa"/>
            </w:tcMar>
          </w:tcPr>
          <w:p w14:paraId="547AA6D5" w14:textId="6F64E280" w:rsidR="00B66043" w:rsidRDefault="00B66043" w:rsidP="0009651D">
            <w:pPr>
              <w:pStyle w:val="Table-text"/>
            </w:pPr>
            <w:r>
              <w:t>246 (6.0)</w:t>
            </w:r>
          </w:p>
        </w:tc>
      </w:tr>
      <w:tr w:rsidR="00B66043" w:rsidRPr="0032668D" w14:paraId="000084B7" w14:textId="77777777" w:rsidTr="00310154">
        <w:trPr>
          <w:jc w:val="center"/>
        </w:trPr>
        <w:tc>
          <w:tcPr>
            <w:tcW w:w="4957" w:type="dxa"/>
            <w:tcMar>
              <w:left w:w="57" w:type="dxa"/>
              <w:right w:w="57" w:type="dxa"/>
            </w:tcMar>
          </w:tcPr>
          <w:p w14:paraId="36279BA8" w14:textId="0C522BEF" w:rsidR="00B66043" w:rsidRDefault="00B66043" w:rsidP="0009651D">
            <w:pPr>
              <w:pStyle w:val="Table-Heading1"/>
            </w:pPr>
            <w:r>
              <w:t xml:space="preserve">Respiratory, </w:t>
            </w:r>
            <w:proofErr w:type="gramStart"/>
            <w:r>
              <w:t>thoracic</w:t>
            </w:r>
            <w:proofErr w:type="gramEnd"/>
            <w:r>
              <w:t xml:space="preserve"> and mediastinal disorders</w:t>
            </w:r>
          </w:p>
        </w:tc>
        <w:tc>
          <w:tcPr>
            <w:tcW w:w="2029" w:type="dxa"/>
            <w:tcMar>
              <w:left w:w="57" w:type="dxa"/>
              <w:right w:w="57" w:type="dxa"/>
            </w:tcMar>
          </w:tcPr>
          <w:p w14:paraId="288B4FE1" w14:textId="77777777" w:rsidR="00B66043" w:rsidRDefault="00B66043" w:rsidP="0009651D">
            <w:pPr>
              <w:pStyle w:val="Table-Heading1"/>
            </w:pPr>
          </w:p>
        </w:tc>
        <w:tc>
          <w:tcPr>
            <w:tcW w:w="2030" w:type="dxa"/>
            <w:tcMar>
              <w:left w:w="57" w:type="dxa"/>
              <w:right w:w="57" w:type="dxa"/>
            </w:tcMar>
          </w:tcPr>
          <w:p w14:paraId="03842809" w14:textId="77777777" w:rsidR="00B66043" w:rsidRDefault="00B66043" w:rsidP="0009651D">
            <w:pPr>
              <w:pStyle w:val="Table-Heading1"/>
            </w:pPr>
          </w:p>
        </w:tc>
      </w:tr>
      <w:tr w:rsidR="00B66043" w:rsidRPr="0032668D" w14:paraId="4A853461" w14:textId="77777777" w:rsidTr="00310154">
        <w:trPr>
          <w:jc w:val="center"/>
        </w:trPr>
        <w:tc>
          <w:tcPr>
            <w:tcW w:w="4957" w:type="dxa"/>
            <w:tcMar>
              <w:left w:w="57" w:type="dxa"/>
              <w:right w:w="57" w:type="dxa"/>
            </w:tcMar>
          </w:tcPr>
          <w:p w14:paraId="771D23DD" w14:textId="59838A3C" w:rsidR="00B66043" w:rsidRDefault="00B66043" w:rsidP="0009651D">
            <w:pPr>
              <w:pStyle w:val="Table-text"/>
              <w:ind w:left="366"/>
            </w:pPr>
            <w:r>
              <w:t>Dyspnoea</w:t>
            </w:r>
          </w:p>
        </w:tc>
        <w:tc>
          <w:tcPr>
            <w:tcW w:w="2029" w:type="dxa"/>
            <w:tcMar>
              <w:left w:w="57" w:type="dxa"/>
              <w:right w:w="57" w:type="dxa"/>
            </w:tcMar>
          </w:tcPr>
          <w:p w14:paraId="33F5BFE9" w14:textId="1ACC9010" w:rsidR="00B66043" w:rsidRDefault="00B66043" w:rsidP="0009651D">
            <w:pPr>
              <w:pStyle w:val="Table-text"/>
            </w:pPr>
            <w:r>
              <w:t>254 (6.2)</w:t>
            </w:r>
          </w:p>
        </w:tc>
        <w:tc>
          <w:tcPr>
            <w:tcW w:w="2030" w:type="dxa"/>
            <w:tcMar>
              <w:left w:w="57" w:type="dxa"/>
              <w:right w:w="57" w:type="dxa"/>
            </w:tcMar>
          </w:tcPr>
          <w:p w14:paraId="75D01366" w14:textId="34BF6325" w:rsidR="00B66043" w:rsidRDefault="00B66043" w:rsidP="0009651D">
            <w:pPr>
              <w:pStyle w:val="Table-text"/>
            </w:pPr>
            <w:r>
              <w:t>240 (5.9)</w:t>
            </w:r>
          </w:p>
        </w:tc>
      </w:tr>
      <w:tr w:rsidR="00B66043" w:rsidRPr="0032668D" w14:paraId="2893B6D5" w14:textId="77777777" w:rsidTr="00310154">
        <w:trPr>
          <w:jc w:val="center"/>
        </w:trPr>
        <w:tc>
          <w:tcPr>
            <w:tcW w:w="4957" w:type="dxa"/>
            <w:tcMar>
              <w:left w:w="57" w:type="dxa"/>
              <w:right w:w="57" w:type="dxa"/>
            </w:tcMar>
          </w:tcPr>
          <w:p w14:paraId="0168A63B" w14:textId="56B20DF9" w:rsidR="00B66043" w:rsidRDefault="00B66043" w:rsidP="0009651D">
            <w:pPr>
              <w:pStyle w:val="Table-text"/>
              <w:ind w:left="366"/>
            </w:pPr>
            <w:r>
              <w:t>Cough</w:t>
            </w:r>
          </w:p>
        </w:tc>
        <w:tc>
          <w:tcPr>
            <w:tcW w:w="2029" w:type="dxa"/>
            <w:tcMar>
              <w:left w:w="57" w:type="dxa"/>
              <w:right w:w="57" w:type="dxa"/>
            </w:tcMar>
          </w:tcPr>
          <w:p w14:paraId="26BDE726" w14:textId="3E81EEF1" w:rsidR="00B66043" w:rsidRDefault="00B66043" w:rsidP="0009651D">
            <w:pPr>
              <w:pStyle w:val="Table-text"/>
            </w:pPr>
            <w:r>
              <w:t>241 (5.9)</w:t>
            </w:r>
          </w:p>
        </w:tc>
        <w:tc>
          <w:tcPr>
            <w:tcW w:w="2030" w:type="dxa"/>
            <w:tcMar>
              <w:left w:w="57" w:type="dxa"/>
              <w:right w:w="57" w:type="dxa"/>
            </w:tcMar>
          </w:tcPr>
          <w:p w14:paraId="5E5972BD" w14:textId="19B8696C" w:rsidR="00B66043" w:rsidRDefault="00B66043" w:rsidP="0009651D">
            <w:pPr>
              <w:pStyle w:val="Table-text"/>
            </w:pPr>
            <w:r>
              <w:t>241 (5.9)</w:t>
            </w:r>
          </w:p>
        </w:tc>
      </w:tr>
      <w:tr w:rsidR="00A266D0" w:rsidRPr="0032668D" w14:paraId="6F4967D3" w14:textId="77777777" w:rsidTr="00310154">
        <w:trPr>
          <w:jc w:val="center"/>
        </w:trPr>
        <w:tc>
          <w:tcPr>
            <w:tcW w:w="4957" w:type="dxa"/>
            <w:tcMar>
              <w:left w:w="57" w:type="dxa"/>
              <w:right w:w="57" w:type="dxa"/>
            </w:tcMar>
          </w:tcPr>
          <w:p w14:paraId="38A0106C" w14:textId="0BD4A190" w:rsidR="00A266D0" w:rsidRPr="00D3265B" w:rsidRDefault="00A266D0" w:rsidP="0009651D">
            <w:pPr>
              <w:pStyle w:val="Table-Heading1"/>
              <w:keepNext/>
            </w:pPr>
            <w:r w:rsidRPr="00D3265B">
              <w:t xml:space="preserve">Cardiac disorders </w:t>
            </w:r>
          </w:p>
        </w:tc>
        <w:tc>
          <w:tcPr>
            <w:tcW w:w="2029" w:type="dxa"/>
            <w:tcMar>
              <w:left w:w="57" w:type="dxa"/>
              <w:right w:w="57" w:type="dxa"/>
            </w:tcMar>
          </w:tcPr>
          <w:p w14:paraId="6FA2E403" w14:textId="77777777" w:rsidR="00A266D0" w:rsidRPr="00D3265B" w:rsidRDefault="00A266D0" w:rsidP="0009651D">
            <w:pPr>
              <w:pStyle w:val="Table-Heading1"/>
              <w:keepNext/>
            </w:pPr>
          </w:p>
        </w:tc>
        <w:tc>
          <w:tcPr>
            <w:tcW w:w="2030" w:type="dxa"/>
            <w:tcMar>
              <w:left w:w="57" w:type="dxa"/>
              <w:right w:w="57" w:type="dxa"/>
            </w:tcMar>
          </w:tcPr>
          <w:p w14:paraId="57122CB1" w14:textId="77777777" w:rsidR="00A266D0" w:rsidRPr="00D3265B" w:rsidRDefault="00A266D0" w:rsidP="0009651D">
            <w:pPr>
              <w:pStyle w:val="Table-Heading1"/>
              <w:keepNext/>
            </w:pPr>
          </w:p>
        </w:tc>
      </w:tr>
      <w:tr w:rsidR="00CB3433" w:rsidRPr="0032668D" w14:paraId="25EB6954" w14:textId="77777777" w:rsidTr="00310154">
        <w:trPr>
          <w:jc w:val="center"/>
        </w:trPr>
        <w:tc>
          <w:tcPr>
            <w:tcW w:w="4957" w:type="dxa"/>
            <w:tcMar>
              <w:left w:w="57" w:type="dxa"/>
              <w:right w:w="57" w:type="dxa"/>
            </w:tcMar>
          </w:tcPr>
          <w:p w14:paraId="5C5DF54D" w14:textId="016E3E30" w:rsidR="00CB3433" w:rsidRPr="00D3265B" w:rsidRDefault="00CB3433" w:rsidP="0009651D">
            <w:pPr>
              <w:pStyle w:val="Table-text"/>
              <w:keepNext/>
              <w:ind w:left="366"/>
            </w:pPr>
            <w:r>
              <w:t>Atrial fibrillation</w:t>
            </w:r>
          </w:p>
        </w:tc>
        <w:tc>
          <w:tcPr>
            <w:tcW w:w="2029" w:type="dxa"/>
            <w:tcMar>
              <w:left w:w="57" w:type="dxa"/>
              <w:right w:w="57" w:type="dxa"/>
            </w:tcMar>
          </w:tcPr>
          <w:p w14:paraId="1B988230" w14:textId="3D4CF046" w:rsidR="00CB3433" w:rsidRPr="00D3265B" w:rsidRDefault="00CB3433" w:rsidP="0009651D">
            <w:pPr>
              <w:pStyle w:val="Table-text"/>
              <w:keepNext/>
            </w:pPr>
            <w:r>
              <w:t>215 (5.3)</w:t>
            </w:r>
          </w:p>
        </w:tc>
        <w:tc>
          <w:tcPr>
            <w:tcW w:w="2030" w:type="dxa"/>
            <w:tcMar>
              <w:left w:w="57" w:type="dxa"/>
              <w:right w:w="57" w:type="dxa"/>
            </w:tcMar>
          </w:tcPr>
          <w:p w14:paraId="44C71E8A" w14:textId="689E2D87" w:rsidR="00CB3433" w:rsidRPr="00D3265B" w:rsidRDefault="00CB3433" w:rsidP="0009651D">
            <w:pPr>
              <w:pStyle w:val="Table-text"/>
              <w:keepNext/>
            </w:pPr>
            <w:r>
              <w:t>159 (3.9)</w:t>
            </w:r>
          </w:p>
        </w:tc>
      </w:tr>
      <w:tr w:rsidR="00CB3433" w:rsidRPr="0032668D" w14:paraId="3D59BFB7" w14:textId="77777777" w:rsidTr="00310154">
        <w:trPr>
          <w:jc w:val="center"/>
        </w:trPr>
        <w:tc>
          <w:tcPr>
            <w:tcW w:w="4957" w:type="dxa"/>
            <w:tcMar>
              <w:left w:w="57" w:type="dxa"/>
              <w:right w:w="57" w:type="dxa"/>
            </w:tcMar>
          </w:tcPr>
          <w:p w14:paraId="3F87AD36" w14:textId="0205849B" w:rsidR="00CB3433" w:rsidRPr="00D3265B" w:rsidRDefault="00CB3433" w:rsidP="0009651D">
            <w:pPr>
              <w:pStyle w:val="Table-text"/>
              <w:ind w:left="366"/>
            </w:pPr>
            <w:r>
              <w:t>Angina pectoris</w:t>
            </w:r>
          </w:p>
        </w:tc>
        <w:tc>
          <w:tcPr>
            <w:tcW w:w="2029" w:type="dxa"/>
            <w:tcMar>
              <w:left w:w="57" w:type="dxa"/>
              <w:right w:w="57" w:type="dxa"/>
            </w:tcMar>
          </w:tcPr>
          <w:p w14:paraId="530CBB65" w14:textId="625DD1AE" w:rsidR="00CB3433" w:rsidRDefault="00CB3433" w:rsidP="0009651D">
            <w:pPr>
              <w:pStyle w:val="Table-text"/>
            </w:pPr>
            <w:r>
              <w:t>200 (4.9)</w:t>
            </w:r>
          </w:p>
        </w:tc>
        <w:tc>
          <w:tcPr>
            <w:tcW w:w="2030" w:type="dxa"/>
            <w:tcMar>
              <w:left w:w="57" w:type="dxa"/>
              <w:right w:w="57" w:type="dxa"/>
            </w:tcMar>
          </w:tcPr>
          <w:p w14:paraId="2A7DF62C" w14:textId="4441E2BE" w:rsidR="00CB3433" w:rsidRDefault="00CB3433" w:rsidP="0009651D">
            <w:pPr>
              <w:pStyle w:val="Table-text"/>
            </w:pPr>
            <w:r>
              <w:t>205 (5.0)</w:t>
            </w:r>
          </w:p>
        </w:tc>
      </w:tr>
      <w:tr w:rsidR="0071226E" w:rsidRPr="0032668D" w14:paraId="1200C96E" w14:textId="77777777" w:rsidTr="00310154">
        <w:trPr>
          <w:jc w:val="center"/>
        </w:trPr>
        <w:tc>
          <w:tcPr>
            <w:tcW w:w="4957" w:type="dxa"/>
            <w:tcMar>
              <w:left w:w="57" w:type="dxa"/>
              <w:right w:w="57" w:type="dxa"/>
            </w:tcMar>
          </w:tcPr>
          <w:p w14:paraId="2C8FB00D" w14:textId="36A19D35" w:rsidR="0071226E" w:rsidRDefault="0071226E" w:rsidP="0009651D">
            <w:pPr>
              <w:pStyle w:val="Table-Heading1"/>
            </w:pPr>
            <w:r>
              <w:t>Vascular disorders</w:t>
            </w:r>
          </w:p>
        </w:tc>
        <w:tc>
          <w:tcPr>
            <w:tcW w:w="2029" w:type="dxa"/>
            <w:tcMar>
              <w:left w:w="57" w:type="dxa"/>
              <w:right w:w="57" w:type="dxa"/>
            </w:tcMar>
          </w:tcPr>
          <w:p w14:paraId="1F61A6FC" w14:textId="77777777" w:rsidR="0071226E" w:rsidRDefault="0071226E" w:rsidP="0009651D">
            <w:pPr>
              <w:pStyle w:val="Table-Heading1"/>
            </w:pPr>
          </w:p>
        </w:tc>
        <w:tc>
          <w:tcPr>
            <w:tcW w:w="2030" w:type="dxa"/>
            <w:tcMar>
              <w:left w:w="57" w:type="dxa"/>
              <w:right w:w="57" w:type="dxa"/>
            </w:tcMar>
          </w:tcPr>
          <w:p w14:paraId="004FD73C" w14:textId="77777777" w:rsidR="0071226E" w:rsidRDefault="0071226E" w:rsidP="0009651D">
            <w:pPr>
              <w:pStyle w:val="Table-Heading1"/>
            </w:pPr>
          </w:p>
        </w:tc>
      </w:tr>
      <w:tr w:rsidR="0071226E" w:rsidRPr="0032668D" w14:paraId="259D277C" w14:textId="77777777" w:rsidTr="00310154">
        <w:trPr>
          <w:jc w:val="center"/>
        </w:trPr>
        <w:tc>
          <w:tcPr>
            <w:tcW w:w="4957" w:type="dxa"/>
            <w:tcMar>
              <w:left w:w="57" w:type="dxa"/>
              <w:right w:w="57" w:type="dxa"/>
            </w:tcMar>
          </w:tcPr>
          <w:p w14:paraId="1EA9DA8B" w14:textId="1DEA6F80" w:rsidR="0071226E" w:rsidRDefault="0071226E" w:rsidP="0009651D">
            <w:pPr>
              <w:pStyle w:val="Table-text"/>
              <w:ind w:left="366"/>
            </w:pPr>
            <w:r>
              <w:t>Hypertension</w:t>
            </w:r>
          </w:p>
        </w:tc>
        <w:tc>
          <w:tcPr>
            <w:tcW w:w="2029" w:type="dxa"/>
            <w:tcMar>
              <w:left w:w="57" w:type="dxa"/>
              <w:right w:w="57" w:type="dxa"/>
            </w:tcMar>
          </w:tcPr>
          <w:p w14:paraId="7531CC67" w14:textId="5F627BD7" w:rsidR="0071226E" w:rsidRDefault="0071226E" w:rsidP="0009651D">
            <w:pPr>
              <w:pStyle w:val="Table-text"/>
            </w:pPr>
            <w:r>
              <w:t>320 (7.8)</w:t>
            </w:r>
          </w:p>
        </w:tc>
        <w:tc>
          <w:tcPr>
            <w:tcW w:w="2030" w:type="dxa"/>
            <w:tcMar>
              <w:left w:w="57" w:type="dxa"/>
              <w:right w:w="57" w:type="dxa"/>
            </w:tcMar>
          </w:tcPr>
          <w:p w14:paraId="127B7751" w14:textId="6035C73D" w:rsidR="0071226E" w:rsidRDefault="0071226E" w:rsidP="0009651D">
            <w:pPr>
              <w:pStyle w:val="Table-text"/>
            </w:pPr>
            <w:r>
              <w:t>344 (8.4)</w:t>
            </w:r>
          </w:p>
        </w:tc>
      </w:tr>
      <w:tr w:rsidR="0071226E" w:rsidRPr="0032668D" w14:paraId="5348D55D" w14:textId="77777777" w:rsidTr="00310154">
        <w:trPr>
          <w:jc w:val="center"/>
        </w:trPr>
        <w:tc>
          <w:tcPr>
            <w:tcW w:w="4957" w:type="dxa"/>
            <w:tcMar>
              <w:left w:w="57" w:type="dxa"/>
              <w:right w:w="57" w:type="dxa"/>
            </w:tcMar>
          </w:tcPr>
          <w:p w14:paraId="6F75F549" w14:textId="0A294ABA" w:rsidR="0071226E" w:rsidRDefault="0071226E" w:rsidP="0009651D">
            <w:pPr>
              <w:pStyle w:val="Table-Heading1"/>
            </w:pPr>
            <w:r>
              <w:t>Eye disorders</w:t>
            </w:r>
          </w:p>
        </w:tc>
        <w:tc>
          <w:tcPr>
            <w:tcW w:w="2029" w:type="dxa"/>
            <w:tcMar>
              <w:left w:w="57" w:type="dxa"/>
              <w:right w:w="57" w:type="dxa"/>
            </w:tcMar>
          </w:tcPr>
          <w:p w14:paraId="1B4FE057" w14:textId="77777777" w:rsidR="0071226E" w:rsidRDefault="0071226E" w:rsidP="0009651D">
            <w:pPr>
              <w:pStyle w:val="Table-text"/>
              <w:rPr>
                <w:rFonts w:cs="Courier New"/>
                <w:color w:val="000000"/>
              </w:rPr>
            </w:pPr>
          </w:p>
        </w:tc>
        <w:tc>
          <w:tcPr>
            <w:tcW w:w="2030" w:type="dxa"/>
            <w:tcMar>
              <w:left w:w="57" w:type="dxa"/>
              <w:right w:w="57" w:type="dxa"/>
            </w:tcMar>
          </w:tcPr>
          <w:p w14:paraId="625E35F5" w14:textId="77777777" w:rsidR="0071226E" w:rsidRDefault="0071226E" w:rsidP="0009651D">
            <w:pPr>
              <w:pStyle w:val="Table-text"/>
              <w:rPr>
                <w:rFonts w:cs="Courier New"/>
                <w:color w:val="000000"/>
              </w:rPr>
            </w:pPr>
          </w:p>
        </w:tc>
      </w:tr>
      <w:tr w:rsidR="0071226E" w:rsidRPr="0032668D" w14:paraId="35D7C385" w14:textId="77777777" w:rsidTr="00310154">
        <w:trPr>
          <w:jc w:val="center"/>
        </w:trPr>
        <w:tc>
          <w:tcPr>
            <w:tcW w:w="4957" w:type="dxa"/>
            <w:tcMar>
              <w:left w:w="57" w:type="dxa"/>
              <w:right w:w="57" w:type="dxa"/>
            </w:tcMar>
          </w:tcPr>
          <w:p w14:paraId="426B9987" w14:textId="787D211C" w:rsidR="0071226E" w:rsidRDefault="0071226E" w:rsidP="0009651D">
            <w:pPr>
              <w:pStyle w:val="Table-text"/>
              <w:ind w:left="366"/>
            </w:pPr>
            <w:r>
              <w:t>Cataract</w:t>
            </w:r>
          </w:p>
        </w:tc>
        <w:tc>
          <w:tcPr>
            <w:tcW w:w="2029" w:type="dxa"/>
            <w:tcMar>
              <w:left w:w="57" w:type="dxa"/>
              <w:right w:w="57" w:type="dxa"/>
            </w:tcMar>
          </w:tcPr>
          <w:p w14:paraId="34EDA443" w14:textId="2A77615C" w:rsidR="0071226E" w:rsidRDefault="0071226E" w:rsidP="0009651D">
            <w:pPr>
              <w:pStyle w:val="Table-text"/>
            </w:pPr>
            <w:r>
              <w:t>233 (5.7)</w:t>
            </w:r>
          </w:p>
        </w:tc>
        <w:tc>
          <w:tcPr>
            <w:tcW w:w="2030" w:type="dxa"/>
            <w:tcMar>
              <w:left w:w="57" w:type="dxa"/>
              <w:right w:w="57" w:type="dxa"/>
            </w:tcMar>
          </w:tcPr>
          <w:p w14:paraId="1BC37E7A" w14:textId="40DEDD44" w:rsidR="0071226E" w:rsidRDefault="0071226E" w:rsidP="0009651D">
            <w:pPr>
              <w:pStyle w:val="Table-text"/>
            </w:pPr>
            <w:r>
              <w:t>208 (5.1)</w:t>
            </w:r>
          </w:p>
        </w:tc>
      </w:tr>
      <w:tr w:rsidR="00A266D0" w:rsidRPr="0032668D" w14:paraId="22270D6A" w14:textId="77777777" w:rsidTr="00310154">
        <w:trPr>
          <w:jc w:val="center"/>
        </w:trPr>
        <w:tc>
          <w:tcPr>
            <w:tcW w:w="4957" w:type="dxa"/>
            <w:tcMar>
              <w:left w:w="57" w:type="dxa"/>
              <w:right w:w="57" w:type="dxa"/>
            </w:tcMar>
          </w:tcPr>
          <w:p w14:paraId="49CFEE44" w14:textId="7B0B468F" w:rsidR="00A266D0" w:rsidRPr="00D3265B" w:rsidRDefault="00A266D0" w:rsidP="0009651D">
            <w:pPr>
              <w:pStyle w:val="Table-Heading1"/>
            </w:pPr>
            <w:r>
              <w:t>Blood and lymphatic system disorders</w:t>
            </w:r>
          </w:p>
        </w:tc>
        <w:tc>
          <w:tcPr>
            <w:tcW w:w="2029" w:type="dxa"/>
            <w:tcMar>
              <w:left w:w="57" w:type="dxa"/>
              <w:right w:w="57" w:type="dxa"/>
            </w:tcMar>
          </w:tcPr>
          <w:p w14:paraId="48F4754D" w14:textId="77777777" w:rsidR="00A266D0" w:rsidRPr="00D3265B" w:rsidRDefault="00A266D0" w:rsidP="0009651D">
            <w:pPr>
              <w:pStyle w:val="Table-text"/>
            </w:pPr>
          </w:p>
        </w:tc>
        <w:tc>
          <w:tcPr>
            <w:tcW w:w="2030" w:type="dxa"/>
            <w:tcMar>
              <w:left w:w="57" w:type="dxa"/>
              <w:right w:w="57" w:type="dxa"/>
            </w:tcMar>
          </w:tcPr>
          <w:p w14:paraId="6544F991" w14:textId="77777777" w:rsidR="00A266D0" w:rsidRPr="00D3265B" w:rsidRDefault="00A266D0" w:rsidP="0009651D">
            <w:pPr>
              <w:pStyle w:val="Table-text"/>
            </w:pPr>
          </w:p>
        </w:tc>
      </w:tr>
      <w:tr w:rsidR="00A266D0" w:rsidRPr="0032668D" w14:paraId="186DF9D9" w14:textId="77777777" w:rsidTr="00310154">
        <w:trPr>
          <w:jc w:val="center"/>
        </w:trPr>
        <w:tc>
          <w:tcPr>
            <w:tcW w:w="4957" w:type="dxa"/>
            <w:tcMar>
              <w:left w:w="57" w:type="dxa"/>
              <w:right w:w="57" w:type="dxa"/>
            </w:tcMar>
          </w:tcPr>
          <w:p w14:paraId="0A883CAA" w14:textId="2C3C395C" w:rsidR="00A266D0" w:rsidRPr="00D3265B" w:rsidRDefault="00A266D0" w:rsidP="0009651D">
            <w:pPr>
              <w:pStyle w:val="Table-text"/>
              <w:ind w:left="366"/>
            </w:pPr>
            <w:r>
              <w:t>Anaemia</w:t>
            </w:r>
          </w:p>
        </w:tc>
        <w:tc>
          <w:tcPr>
            <w:tcW w:w="2029" w:type="dxa"/>
            <w:tcMar>
              <w:left w:w="57" w:type="dxa"/>
              <w:right w:w="57" w:type="dxa"/>
            </w:tcMar>
          </w:tcPr>
          <w:p w14:paraId="278BFCC2" w14:textId="1D5DAE03" w:rsidR="00A266D0" w:rsidRPr="00D3265B" w:rsidRDefault="00A266D0" w:rsidP="0009651D">
            <w:pPr>
              <w:pStyle w:val="Table-text"/>
            </w:pPr>
            <w:r>
              <w:t>191 (4.7)</w:t>
            </w:r>
          </w:p>
        </w:tc>
        <w:tc>
          <w:tcPr>
            <w:tcW w:w="2030" w:type="dxa"/>
            <w:tcMar>
              <w:left w:w="57" w:type="dxa"/>
              <w:right w:w="57" w:type="dxa"/>
            </w:tcMar>
          </w:tcPr>
          <w:p w14:paraId="406C5E64" w14:textId="36B712AC" w:rsidR="00A266D0" w:rsidRPr="00D3265B" w:rsidRDefault="00A266D0" w:rsidP="0009651D">
            <w:pPr>
              <w:pStyle w:val="Table-text"/>
            </w:pPr>
            <w:r>
              <w:t>236 (5.8)</w:t>
            </w:r>
          </w:p>
        </w:tc>
      </w:tr>
    </w:tbl>
    <w:p w14:paraId="5920B538" w14:textId="77777777" w:rsidR="00DC41BF" w:rsidRPr="00773EDE" w:rsidRDefault="00DC41BF" w:rsidP="0009651D">
      <w:pPr>
        <w:pStyle w:val="Heading3"/>
        <w:keepNext/>
        <w:keepLines/>
      </w:pPr>
      <w:r w:rsidRPr="00773EDE">
        <w:t xml:space="preserve">Summary of the safety profile </w:t>
      </w:r>
    </w:p>
    <w:p w14:paraId="1ABB5CF6" w14:textId="77777777" w:rsidR="00DC41BF" w:rsidRPr="00773EDE" w:rsidRDefault="00DC41BF" w:rsidP="0009651D">
      <w:pPr>
        <w:pStyle w:val="BodyText1"/>
        <w:keepNext/>
        <w:keepLines/>
        <w:jc w:val="left"/>
      </w:pPr>
      <w:r w:rsidRPr="00773EDE">
        <w:t xml:space="preserve">The most frequently reported adverse reactions associated with </w:t>
      </w:r>
      <w:proofErr w:type="spellStart"/>
      <w:r w:rsidRPr="00773EDE">
        <w:t>icosapent</w:t>
      </w:r>
      <w:proofErr w:type="spellEnd"/>
      <w:r w:rsidRPr="00773EDE">
        <w:t xml:space="preserve"> ethyl were bleeding (11.8%), peripheral oedema (7.8%), atrial fibrillation (5.8%), constipation (5.4%), musculoskeletal pain (4.3%), gout (4.3%) and rash (3.0%). </w:t>
      </w:r>
    </w:p>
    <w:p w14:paraId="20EA1798" w14:textId="77777777" w:rsidR="00DC41BF" w:rsidRPr="00773EDE" w:rsidRDefault="00DC41BF" w:rsidP="0009651D">
      <w:pPr>
        <w:pStyle w:val="Heading3"/>
      </w:pPr>
      <w:r w:rsidRPr="00773EDE">
        <w:t xml:space="preserve">Tabulated list of adverse reactions </w:t>
      </w:r>
    </w:p>
    <w:p w14:paraId="43CD2591" w14:textId="1FD4C6BE" w:rsidR="00DC41BF" w:rsidRPr="00773EDE" w:rsidRDefault="00DC41BF" w:rsidP="0009651D">
      <w:pPr>
        <w:pStyle w:val="BodyText1"/>
        <w:jc w:val="left"/>
      </w:pPr>
      <w:r w:rsidRPr="00773EDE">
        <w:t>Adverse reactions are classified according to frequency and system organ class. Reporting frequencies for adverse reactions have been estimated from a long-term cardiovascular outcomes study in which subjects were observed for a median follow-up duration of 4.9 years</w:t>
      </w:r>
      <w:r w:rsidR="009E0402">
        <w:t xml:space="preserve"> (</w:t>
      </w:r>
      <w:r w:rsidR="009E0402">
        <w:fldChar w:fldCharType="begin"/>
      </w:r>
      <w:r w:rsidR="009E0402">
        <w:instrText xml:space="preserve"> REF _Ref88144487 \h </w:instrText>
      </w:r>
      <w:r w:rsidR="0009651D">
        <w:instrText xml:space="preserve"> \* MERGEFORMAT </w:instrText>
      </w:r>
      <w:r w:rsidR="009E0402">
        <w:fldChar w:fldCharType="separate"/>
      </w:r>
      <w:r w:rsidR="009E0402" w:rsidRPr="00773EDE">
        <w:t xml:space="preserve">Table </w:t>
      </w:r>
      <w:r w:rsidR="009E0402">
        <w:rPr>
          <w:noProof/>
        </w:rPr>
        <w:t>2</w:t>
      </w:r>
      <w:r w:rsidR="009E0402">
        <w:fldChar w:fldCharType="end"/>
      </w:r>
      <w:r w:rsidR="009E0402">
        <w:t>)</w:t>
      </w:r>
      <w:r w:rsidRPr="00773EDE">
        <w:t>. Frequency categories are defined according to the following conventions: very common (≥1/10), common (≥1/100 to &lt;1/10), uncommon (≥1/1,000 to &lt;1/100), rare (≥1/10,000 to &lt;1/1,000)</w:t>
      </w:r>
      <w:r w:rsidR="002A4805">
        <w:t>,</w:t>
      </w:r>
      <w:r w:rsidRPr="00773EDE">
        <w:t xml:space="preserve"> very rare (&lt;1/10,000</w:t>
      </w:r>
      <w:r w:rsidRPr="00500BE6">
        <w:t>)</w:t>
      </w:r>
      <w:r w:rsidR="002A4805" w:rsidRPr="00500BE6">
        <w:t xml:space="preserve"> and not known (cannot be estimated from the available data</w:t>
      </w:r>
      <w:r w:rsidR="001C1806" w:rsidRPr="00500BE6">
        <w:t>)</w:t>
      </w:r>
      <w:r w:rsidRPr="00500BE6">
        <w:t>.</w:t>
      </w:r>
      <w:r w:rsidRPr="00773EDE">
        <w:t xml:space="preserve"> </w:t>
      </w:r>
    </w:p>
    <w:tbl>
      <w:tblPr>
        <w:tblStyle w:val="TableGrid"/>
        <w:tblW w:w="0" w:type="auto"/>
        <w:tblLook w:val="04A0" w:firstRow="1" w:lastRow="0" w:firstColumn="1" w:lastColumn="0" w:noHBand="0" w:noVBand="1"/>
      </w:tblPr>
      <w:tblGrid>
        <w:gridCol w:w="9016"/>
      </w:tblGrid>
      <w:tr w:rsidR="008646BD" w:rsidRPr="00773EDE" w14:paraId="7537C322" w14:textId="77777777" w:rsidTr="00F005B2">
        <w:tc>
          <w:tcPr>
            <w:tcW w:w="9016" w:type="dxa"/>
            <w:tcMar>
              <w:left w:w="57" w:type="dxa"/>
              <w:right w:w="57" w:type="dxa"/>
            </w:tcMar>
          </w:tcPr>
          <w:p w14:paraId="34A33BBE" w14:textId="294B53C3" w:rsidR="008646BD" w:rsidRPr="00773EDE" w:rsidRDefault="008646BD" w:rsidP="0009651D">
            <w:pPr>
              <w:pStyle w:val="Table-MainTitle"/>
            </w:pPr>
            <w:bookmarkStart w:id="9" w:name="_Ref88144487"/>
            <w:r w:rsidRPr="00773EDE">
              <w:t xml:space="preserve">Table </w:t>
            </w:r>
            <w:r w:rsidR="0009651D">
              <w:fldChar w:fldCharType="begin"/>
            </w:r>
            <w:r w:rsidR="0009651D">
              <w:instrText xml:space="preserve"> SEQ Table \* ARABIC </w:instrText>
            </w:r>
            <w:r w:rsidR="0009651D">
              <w:fldChar w:fldCharType="separate"/>
            </w:r>
            <w:r w:rsidR="00B33887">
              <w:rPr>
                <w:noProof/>
              </w:rPr>
              <w:t>2</w:t>
            </w:r>
            <w:r w:rsidR="0009651D">
              <w:rPr>
                <w:noProof/>
              </w:rPr>
              <w:fldChar w:fldCharType="end"/>
            </w:r>
            <w:bookmarkEnd w:id="9"/>
            <w:r w:rsidRPr="00773EDE">
              <w:t>: Adverse reactions</w:t>
            </w:r>
          </w:p>
        </w:tc>
      </w:tr>
    </w:tbl>
    <w:p w14:paraId="21577F8A" w14:textId="77777777" w:rsidR="00FA44AD" w:rsidRPr="00773EDE" w:rsidRDefault="00FA44AD" w:rsidP="0009651D">
      <w:pPr>
        <w:rPr>
          <w:sz w:val="2"/>
          <w:szCs w:val="2"/>
        </w:rPr>
      </w:pPr>
    </w:p>
    <w:tbl>
      <w:tblPr>
        <w:tblStyle w:val="TableGrid"/>
        <w:tblW w:w="0" w:type="auto"/>
        <w:tblLook w:val="04A0" w:firstRow="1" w:lastRow="0" w:firstColumn="1" w:lastColumn="0" w:noHBand="0" w:noVBand="1"/>
      </w:tblPr>
      <w:tblGrid>
        <w:gridCol w:w="4390"/>
        <w:gridCol w:w="2976"/>
        <w:gridCol w:w="1650"/>
      </w:tblGrid>
      <w:tr w:rsidR="008646BD" w:rsidRPr="00773EDE" w14:paraId="02F11629" w14:textId="77777777" w:rsidTr="002F2ED1">
        <w:trPr>
          <w:tblHeader/>
        </w:trPr>
        <w:tc>
          <w:tcPr>
            <w:tcW w:w="4390" w:type="dxa"/>
            <w:tcMar>
              <w:left w:w="57" w:type="dxa"/>
              <w:right w:w="57" w:type="dxa"/>
            </w:tcMar>
          </w:tcPr>
          <w:p w14:paraId="7745EAC1" w14:textId="6C97FCBF" w:rsidR="008646BD" w:rsidRPr="00773EDE" w:rsidRDefault="007222C0" w:rsidP="0009651D">
            <w:pPr>
              <w:pStyle w:val="Table-Heading1"/>
            </w:pPr>
            <w:r w:rsidRPr="00773EDE">
              <w:t>MedDRA Sy</w:t>
            </w:r>
            <w:r w:rsidR="00A56C31">
              <w:t>s</w:t>
            </w:r>
            <w:r w:rsidRPr="00773EDE">
              <w:t xml:space="preserve">tem organ class </w:t>
            </w:r>
          </w:p>
        </w:tc>
        <w:tc>
          <w:tcPr>
            <w:tcW w:w="2976" w:type="dxa"/>
            <w:tcMar>
              <w:left w:w="57" w:type="dxa"/>
              <w:right w:w="57" w:type="dxa"/>
            </w:tcMar>
          </w:tcPr>
          <w:p w14:paraId="504BF49C" w14:textId="763723BA" w:rsidR="008646BD" w:rsidRPr="00773EDE" w:rsidRDefault="007222C0" w:rsidP="0009651D">
            <w:pPr>
              <w:pStyle w:val="Table-Heading1"/>
            </w:pPr>
            <w:r w:rsidRPr="00773EDE">
              <w:t xml:space="preserve">Adverse reaction </w:t>
            </w:r>
          </w:p>
        </w:tc>
        <w:tc>
          <w:tcPr>
            <w:tcW w:w="1650" w:type="dxa"/>
            <w:tcMar>
              <w:left w:w="57" w:type="dxa"/>
              <w:right w:w="57" w:type="dxa"/>
            </w:tcMar>
          </w:tcPr>
          <w:p w14:paraId="0CF3E050" w14:textId="06A97D7F" w:rsidR="008646BD" w:rsidRPr="00773EDE" w:rsidRDefault="007222C0" w:rsidP="0009651D">
            <w:pPr>
              <w:pStyle w:val="Table-Heading1"/>
            </w:pPr>
            <w:r w:rsidRPr="00773EDE">
              <w:t>Frequency</w:t>
            </w:r>
          </w:p>
        </w:tc>
      </w:tr>
      <w:tr w:rsidR="000303F3" w:rsidRPr="00773EDE" w14:paraId="3F9EC648" w14:textId="77777777" w:rsidTr="009C4FC1">
        <w:tc>
          <w:tcPr>
            <w:tcW w:w="4390" w:type="dxa"/>
            <w:vMerge w:val="restart"/>
            <w:tcMar>
              <w:left w:w="57" w:type="dxa"/>
              <w:right w:w="57" w:type="dxa"/>
            </w:tcMar>
          </w:tcPr>
          <w:p w14:paraId="75EBE61A" w14:textId="7BB9B7CE" w:rsidR="000303F3" w:rsidRPr="00D3265B" w:rsidRDefault="000303F3" w:rsidP="0009651D">
            <w:pPr>
              <w:pStyle w:val="Table-text"/>
            </w:pPr>
            <w:r w:rsidRPr="00D3265B">
              <w:t>Immune system disorders</w:t>
            </w:r>
          </w:p>
        </w:tc>
        <w:tc>
          <w:tcPr>
            <w:tcW w:w="2976" w:type="dxa"/>
            <w:tcMar>
              <w:left w:w="57" w:type="dxa"/>
              <w:right w:w="57" w:type="dxa"/>
            </w:tcMar>
          </w:tcPr>
          <w:p w14:paraId="75E77106" w14:textId="39A8EBFC" w:rsidR="000303F3" w:rsidRPr="00D3265B" w:rsidRDefault="000303F3" w:rsidP="0009651D">
            <w:pPr>
              <w:pStyle w:val="Table-text"/>
            </w:pPr>
            <w:r w:rsidRPr="00D3265B">
              <w:t>Hypersensitivity</w:t>
            </w:r>
          </w:p>
        </w:tc>
        <w:tc>
          <w:tcPr>
            <w:tcW w:w="1650" w:type="dxa"/>
            <w:tcMar>
              <w:left w:w="57" w:type="dxa"/>
              <w:right w:w="57" w:type="dxa"/>
            </w:tcMar>
          </w:tcPr>
          <w:p w14:paraId="4AE7F495" w14:textId="518DF29F" w:rsidR="000303F3" w:rsidRPr="00D3265B" w:rsidRDefault="000303F3" w:rsidP="0009651D">
            <w:pPr>
              <w:pStyle w:val="Table-text"/>
            </w:pPr>
            <w:r w:rsidRPr="00D3265B">
              <w:t>Uncommon</w:t>
            </w:r>
          </w:p>
        </w:tc>
      </w:tr>
      <w:tr w:rsidR="000303F3" w:rsidRPr="00773EDE" w14:paraId="5BACB232" w14:textId="77777777" w:rsidTr="009C4FC1">
        <w:tc>
          <w:tcPr>
            <w:tcW w:w="4390" w:type="dxa"/>
            <w:vMerge/>
            <w:tcMar>
              <w:left w:w="57" w:type="dxa"/>
              <w:right w:w="57" w:type="dxa"/>
            </w:tcMar>
          </w:tcPr>
          <w:p w14:paraId="03A99336" w14:textId="77777777" w:rsidR="000303F3" w:rsidRPr="00D3265B" w:rsidRDefault="000303F3" w:rsidP="0009651D">
            <w:pPr>
              <w:pStyle w:val="Table-text"/>
            </w:pPr>
          </w:p>
        </w:tc>
        <w:tc>
          <w:tcPr>
            <w:tcW w:w="2976" w:type="dxa"/>
            <w:tcMar>
              <w:left w:w="57" w:type="dxa"/>
              <w:right w:w="57" w:type="dxa"/>
            </w:tcMar>
          </w:tcPr>
          <w:p w14:paraId="1B81256F" w14:textId="720A415B" w:rsidR="000303F3" w:rsidRPr="00D3265B" w:rsidRDefault="00777AF1" w:rsidP="0009651D">
            <w:pPr>
              <w:pStyle w:val="Table-text"/>
            </w:pPr>
            <w:r>
              <w:t>Pharyngeal swelling</w:t>
            </w:r>
          </w:p>
        </w:tc>
        <w:tc>
          <w:tcPr>
            <w:tcW w:w="1650" w:type="dxa"/>
            <w:tcMar>
              <w:left w:w="57" w:type="dxa"/>
              <w:right w:w="57" w:type="dxa"/>
            </w:tcMar>
          </w:tcPr>
          <w:p w14:paraId="4485CA3F" w14:textId="50F902DD" w:rsidR="000303F3" w:rsidRPr="00D3265B" w:rsidRDefault="002A4805" w:rsidP="0009651D">
            <w:pPr>
              <w:pStyle w:val="Table-text"/>
            </w:pPr>
            <w:r>
              <w:t>Not known</w:t>
            </w:r>
          </w:p>
        </w:tc>
      </w:tr>
      <w:tr w:rsidR="008646BD" w:rsidRPr="00773EDE" w14:paraId="6875449A" w14:textId="77777777" w:rsidTr="009C4FC1">
        <w:tc>
          <w:tcPr>
            <w:tcW w:w="4390" w:type="dxa"/>
            <w:tcMar>
              <w:left w:w="57" w:type="dxa"/>
              <w:right w:w="57" w:type="dxa"/>
            </w:tcMar>
          </w:tcPr>
          <w:p w14:paraId="49297CF1" w14:textId="0618E37F" w:rsidR="008646BD" w:rsidRPr="00D3265B" w:rsidRDefault="00F00D28" w:rsidP="0009651D">
            <w:pPr>
              <w:pStyle w:val="Table-text"/>
            </w:pPr>
            <w:r w:rsidRPr="00D3265B">
              <w:t>Metabolism and nutrition disorders</w:t>
            </w:r>
          </w:p>
        </w:tc>
        <w:tc>
          <w:tcPr>
            <w:tcW w:w="2976" w:type="dxa"/>
            <w:tcMar>
              <w:left w:w="57" w:type="dxa"/>
              <w:right w:w="57" w:type="dxa"/>
            </w:tcMar>
          </w:tcPr>
          <w:p w14:paraId="57AAF9A6" w14:textId="57AB264E" w:rsidR="008646BD" w:rsidRPr="00D3265B" w:rsidRDefault="00F00D28" w:rsidP="0009651D">
            <w:pPr>
              <w:pStyle w:val="Table-text"/>
            </w:pPr>
            <w:r w:rsidRPr="00D3265B">
              <w:t>Gout</w:t>
            </w:r>
          </w:p>
        </w:tc>
        <w:tc>
          <w:tcPr>
            <w:tcW w:w="1650" w:type="dxa"/>
            <w:tcMar>
              <w:left w:w="57" w:type="dxa"/>
              <w:right w:w="57" w:type="dxa"/>
            </w:tcMar>
          </w:tcPr>
          <w:p w14:paraId="553835D0" w14:textId="30916D9C" w:rsidR="008646BD" w:rsidRPr="00D3265B" w:rsidRDefault="00F00D28" w:rsidP="0009651D">
            <w:pPr>
              <w:pStyle w:val="Table-text"/>
            </w:pPr>
            <w:r w:rsidRPr="00D3265B">
              <w:t>Common</w:t>
            </w:r>
          </w:p>
        </w:tc>
      </w:tr>
      <w:tr w:rsidR="008646BD" w:rsidRPr="00773EDE" w14:paraId="20B4E8CE" w14:textId="77777777" w:rsidTr="009C4FC1">
        <w:tc>
          <w:tcPr>
            <w:tcW w:w="4390" w:type="dxa"/>
            <w:tcMar>
              <w:left w:w="57" w:type="dxa"/>
              <w:right w:w="57" w:type="dxa"/>
            </w:tcMar>
          </w:tcPr>
          <w:p w14:paraId="75D5B231" w14:textId="040274D0" w:rsidR="008646BD" w:rsidRPr="00D3265B" w:rsidRDefault="00F81DAD" w:rsidP="0009651D">
            <w:pPr>
              <w:pStyle w:val="Table-text"/>
            </w:pPr>
            <w:r w:rsidRPr="00D3265B">
              <w:t xml:space="preserve">Nervous system disorders </w:t>
            </w:r>
          </w:p>
        </w:tc>
        <w:tc>
          <w:tcPr>
            <w:tcW w:w="2976" w:type="dxa"/>
            <w:tcMar>
              <w:left w:w="57" w:type="dxa"/>
              <w:right w:w="57" w:type="dxa"/>
            </w:tcMar>
          </w:tcPr>
          <w:p w14:paraId="2221F15F" w14:textId="7FBD396C" w:rsidR="008646BD" w:rsidRPr="00D3265B" w:rsidRDefault="00F81DAD" w:rsidP="0009651D">
            <w:pPr>
              <w:pStyle w:val="Table-text"/>
            </w:pPr>
            <w:r w:rsidRPr="00D3265B">
              <w:t>Dysgeusia</w:t>
            </w:r>
            <w:r w:rsidRPr="00D3265B">
              <w:rPr>
                <w:vertAlign w:val="superscript"/>
              </w:rPr>
              <w:t>1</w:t>
            </w:r>
            <w:r w:rsidRPr="00D3265B">
              <w:t xml:space="preserve"> </w:t>
            </w:r>
          </w:p>
        </w:tc>
        <w:tc>
          <w:tcPr>
            <w:tcW w:w="1650" w:type="dxa"/>
            <w:tcMar>
              <w:left w:w="57" w:type="dxa"/>
              <w:right w:w="57" w:type="dxa"/>
            </w:tcMar>
          </w:tcPr>
          <w:p w14:paraId="0B358ED3" w14:textId="305BF8C0" w:rsidR="008646BD" w:rsidRPr="00D3265B" w:rsidRDefault="00F81DAD" w:rsidP="0009651D">
            <w:pPr>
              <w:pStyle w:val="Table-text"/>
            </w:pPr>
            <w:r w:rsidRPr="00D3265B">
              <w:t xml:space="preserve">Uncommon </w:t>
            </w:r>
          </w:p>
        </w:tc>
      </w:tr>
      <w:tr w:rsidR="00F81DAD" w:rsidRPr="00773EDE" w14:paraId="0C5CD0CE" w14:textId="77777777" w:rsidTr="009C4FC1">
        <w:tc>
          <w:tcPr>
            <w:tcW w:w="4390" w:type="dxa"/>
            <w:tcMar>
              <w:left w:w="57" w:type="dxa"/>
              <w:right w:w="57" w:type="dxa"/>
            </w:tcMar>
          </w:tcPr>
          <w:p w14:paraId="3D1D1357" w14:textId="4124D1E6" w:rsidR="00F81DAD" w:rsidRPr="00D3265B" w:rsidRDefault="00F81DAD" w:rsidP="0009651D">
            <w:pPr>
              <w:pStyle w:val="Table-text"/>
            </w:pPr>
            <w:r w:rsidRPr="00D3265B">
              <w:t xml:space="preserve">Cardiac disorders </w:t>
            </w:r>
          </w:p>
        </w:tc>
        <w:tc>
          <w:tcPr>
            <w:tcW w:w="2976" w:type="dxa"/>
            <w:tcMar>
              <w:left w:w="57" w:type="dxa"/>
              <w:right w:w="57" w:type="dxa"/>
            </w:tcMar>
          </w:tcPr>
          <w:p w14:paraId="1F7BC4AD" w14:textId="16A71574" w:rsidR="00F81DAD" w:rsidRPr="00D3265B" w:rsidRDefault="00F81DAD" w:rsidP="0009651D">
            <w:pPr>
              <w:pStyle w:val="Table-text"/>
            </w:pPr>
            <w:r w:rsidRPr="00D3265B">
              <w:t>Atrial fibrillation or flutter</w:t>
            </w:r>
            <w:r w:rsidRPr="00D3265B">
              <w:rPr>
                <w:vertAlign w:val="superscript"/>
              </w:rPr>
              <w:t>2</w:t>
            </w:r>
            <w:r w:rsidRPr="00D3265B">
              <w:t xml:space="preserve"> </w:t>
            </w:r>
          </w:p>
        </w:tc>
        <w:tc>
          <w:tcPr>
            <w:tcW w:w="1650" w:type="dxa"/>
            <w:tcMar>
              <w:left w:w="57" w:type="dxa"/>
              <w:right w:w="57" w:type="dxa"/>
            </w:tcMar>
          </w:tcPr>
          <w:p w14:paraId="6A34F30B" w14:textId="7D989AD8" w:rsidR="00F81DAD" w:rsidRPr="00D3265B" w:rsidRDefault="00F81DAD" w:rsidP="0009651D">
            <w:pPr>
              <w:pStyle w:val="Table-text"/>
            </w:pPr>
            <w:r w:rsidRPr="00D3265B">
              <w:t xml:space="preserve">Common </w:t>
            </w:r>
          </w:p>
        </w:tc>
      </w:tr>
      <w:tr w:rsidR="00F81DAD" w:rsidRPr="00773EDE" w14:paraId="662B386D" w14:textId="77777777" w:rsidTr="009C4FC1">
        <w:tc>
          <w:tcPr>
            <w:tcW w:w="4390" w:type="dxa"/>
            <w:tcMar>
              <w:left w:w="57" w:type="dxa"/>
              <w:right w:w="57" w:type="dxa"/>
            </w:tcMar>
          </w:tcPr>
          <w:p w14:paraId="2F0D5DBC" w14:textId="0F6C3377" w:rsidR="00F81DAD" w:rsidRPr="00D3265B" w:rsidRDefault="005E39D2" w:rsidP="0009651D">
            <w:pPr>
              <w:pStyle w:val="Table-text"/>
            </w:pPr>
            <w:r w:rsidRPr="00D3265B">
              <w:t xml:space="preserve">Vascular disorders </w:t>
            </w:r>
          </w:p>
        </w:tc>
        <w:tc>
          <w:tcPr>
            <w:tcW w:w="2976" w:type="dxa"/>
            <w:tcMar>
              <w:left w:w="57" w:type="dxa"/>
              <w:right w:w="57" w:type="dxa"/>
            </w:tcMar>
          </w:tcPr>
          <w:p w14:paraId="2ED1C41F" w14:textId="0861B595" w:rsidR="00F81DAD" w:rsidRPr="00D3265B" w:rsidRDefault="005E39D2" w:rsidP="0009651D">
            <w:pPr>
              <w:pStyle w:val="Table-text"/>
            </w:pPr>
            <w:r w:rsidRPr="00D3265B">
              <w:t>Bleeding</w:t>
            </w:r>
            <w:r w:rsidRPr="00D3265B">
              <w:rPr>
                <w:vertAlign w:val="superscript"/>
              </w:rPr>
              <w:t>2</w:t>
            </w:r>
            <w:r w:rsidRPr="00D3265B">
              <w:t xml:space="preserve"> </w:t>
            </w:r>
          </w:p>
        </w:tc>
        <w:tc>
          <w:tcPr>
            <w:tcW w:w="1650" w:type="dxa"/>
            <w:tcMar>
              <w:left w:w="57" w:type="dxa"/>
              <w:right w:w="57" w:type="dxa"/>
            </w:tcMar>
          </w:tcPr>
          <w:p w14:paraId="405DB666" w14:textId="5B2CD359" w:rsidR="00F81DAD" w:rsidRPr="00D3265B" w:rsidRDefault="005E39D2" w:rsidP="0009651D">
            <w:pPr>
              <w:pStyle w:val="Table-text"/>
            </w:pPr>
            <w:r w:rsidRPr="00D3265B">
              <w:t>Very common</w:t>
            </w:r>
          </w:p>
        </w:tc>
      </w:tr>
      <w:tr w:rsidR="00C57FA3" w:rsidRPr="00773EDE" w14:paraId="1217D6E3" w14:textId="77777777" w:rsidTr="009C4FC1">
        <w:tc>
          <w:tcPr>
            <w:tcW w:w="4390" w:type="dxa"/>
            <w:vMerge w:val="restart"/>
            <w:tcMar>
              <w:left w:w="57" w:type="dxa"/>
              <w:right w:w="57" w:type="dxa"/>
            </w:tcMar>
          </w:tcPr>
          <w:p w14:paraId="0AE15BF6" w14:textId="222B7360" w:rsidR="00C57FA3" w:rsidRPr="00D3265B" w:rsidRDefault="00C57FA3" w:rsidP="0009651D">
            <w:pPr>
              <w:pStyle w:val="Table-text"/>
              <w:keepNext/>
            </w:pPr>
            <w:r w:rsidRPr="00D3265B">
              <w:t xml:space="preserve">Gastrointestinal disorders </w:t>
            </w:r>
          </w:p>
        </w:tc>
        <w:tc>
          <w:tcPr>
            <w:tcW w:w="2976" w:type="dxa"/>
            <w:tcMar>
              <w:left w:w="57" w:type="dxa"/>
              <w:right w:w="57" w:type="dxa"/>
            </w:tcMar>
          </w:tcPr>
          <w:p w14:paraId="0291AC96" w14:textId="46FFB1B2" w:rsidR="00C57FA3" w:rsidRPr="00D3265B" w:rsidRDefault="00C57FA3" w:rsidP="0009651D">
            <w:pPr>
              <w:pStyle w:val="Table-text"/>
              <w:keepNext/>
            </w:pPr>
            <w:r w:rsidRPr="00D3265B">
              <w:t>Constipation</w:t>
            </w:r>
            <w:r w:rsidRPr="00D3265B">
              <w:rPr>
                <w:vertAlign w:val="superscript"/>
              </w:rPr>
              <w:t>2</w:t>
            </w:r>
            <w:r w:rsidRPr="00D3265B">
              <w:t xml:space="preserve"> </w:t>
            </w:r>
          </w:p>
        </w:tc>
        <w:tc>
          <w:tcPr>
            <w:tcW w:w="1650" w:type="dxa"/>
            <w:tcMar>
              <w:left w:w="57" w:type="dxa"/>
              <w:right w:w="57" w:type="dxa"/>
            </w:tcMar>
          </w:tcPr>
          <w:p w14:paraId="29969D28" w14:textId="6C454B76" w:rsidR="00C57FA3" w:rsidRPr="00D3265B" w:rsidRDefault="00C57FA3" w:rsidP="0009651D">
            <w:pPr>
              <w:pStyle w:val="Table-text"/>
              <w:keepNext/>
            </w:pPr>
            <w:r w:rsidRPr="00D3265B">
              <w:t>Common</w:t>
            </w:r>
          </w:p>
        </w:tc>
      </w:tr>
      <w:tr w:rsidR="00C57FA3" w:rsidRPr="00773EDE" w14:paraId="04CEAD2B" w14:textId="77777777" w:rsidTr="009C4FC1">
        <w:tc>
          <w:tcPr>
            <w:tcW w:w="4390" w:type="dxa"/>
            <w:vMerge/>
            <w:tcMar>
              <w:left w:w="57" w:type="dxa"/>
              <w:right w:w="57" w:type="dxa"/>
            </w:tcMar>
          </w:tcPr>
          <w:p w14:paraId="196EECD9" w14:textId="77777777" w:rsidR="00C57FA3" w:rsidRPr="00D3265B" w:rsidRDefault="00C57FA3" w:rsidP="0009651D">
            <w:pPr>
              <w:pStyle w:val="Table-text"/>
              <w:keepNext/>
            </w:pPr>
          </w:p>
        </w:tc>
        <w:tc>
          <w:tcPr>
            <w:tcW w:w="2976" w:type="dxa"/>
            <w:tcMar>
              <w:left w:w="57" w:type="dxa"/>
              <w:right w:w="57" w:type="dxa"/>
            </w:tcMar>
          </w:tcPr>
          <w:p w14:paraId="4F810D7C" w14:textId="603B5C95" w:rsidR="00C57FA3" w:rsidRPr="00D3265B" w:rsidRDefault="00C57FA3" w:rsidP="0009651D">
            <w:pPr>
              <w:pStyle w:val="Table-text"/>
              <w:keepNext/>
            </w:pPr>
            <w:r w:rsidRPr="00D3265B">
              <w:t xml:space="preserve">Eructation </w:t>
            </w:r>
          </w:p>
        </w:tc>
        <w:tc>
          <w:tcPr>
            <w:tcW w:w="1650" w:type="dxa"/>
            <w:tcMar>
              <w:left w:w="57" w:type="dxa"/>
              <w:right w:w="57" w:type="dxa"/>
            </w:tcMar>
          </w:tcPr>
          <w:p w14:paraId="24EF20EB" w14:textId="385EEC0A" w:rsidR="00C57FA3" w:rsidRPr="00D3265B" w:rsidRDefault="00C57FA3" w:rsidP="0009651D">
            <w:pPr>
              <w:pStyle w:val="Table-text"/>
              <w:keepNext/>
            </w:pPr>
            <w:r w:rsidRPr="00D3265B">
              <w:t>Common</w:t>
            </w:r>
          </w:p>
        </w:tc>
      </w:tr>
      <w:tr w:rsidR="00F42D5D" w:rsidRPr="00773EDE" w14:paraId="59698212" w14:textId="77777777" w:rsidTr="009C4FC1">
        <w:tc>
          <w:tcPr>
            <w:tcW w:w="4390" w:type="dxa"/>
            <w:tcMar>
              <w:left w:w="57" w:type="dxa"/>
              <w:right w:w="57" w:type="dxa"/>
            </w:tcMar>
          </w:tcPr>
          <w:p w14:paraId="473DD91A" w14:textId="2CD320AA" w:rsidR="00F42D5D" w:rsidRPr="00D3265B" w:rsidRDefault="00F42D5D" w:rsidP="0009651D">
            <w:pPr>
              <w:pStyle w:val="Table-text"/>
            </w:pPr>
            <w:r w:rsidRPr="00D3265B">
              <w:t xml:space="preserve">Skin and subcutaneous tissue disorders </w:t>
            </w:r>
          </w:p>
        </w:tc>
        <w:tc>
          <w:tcPr>
            <w:tcW w:w="2976" w:type="dxa"/>
            <w:tcMar>
              <w:left w:w="57" w:type="dxa"/>
              <w:right w:w="57" w:type="dxa"/>
            </w:tcMar>
          </w:tcPr>
          <w:p w14:paraId="2ABE9D47" w14:textId="1E63A9F5" w:rsidR="00F42D5D" w:rsidRPr="00D3265B" w:rsidRDefault="00F42D5D" w:rsidP="0009651D">
            <w:pPr>
              <w:pStyle w:val="Table-text"/>
            </w:pPr>
            <w:r w:rsidRPr="00D3265B">
              <w:t>Rash</w:t>
            </w:r>
          </w:p>
        </w:tc>
        <w:tc>
          <w:tcPr>
            <w:tcW w:w="1650" w:type="dxa"/>
            <w:tcMar>
              <w:left w:w="57" w:type="dxa"/>
              <w:right w:w="57" w:type="dxa"/>
            </w:tcMar>
          </w:tcPr>
          <w:p w14:paraId="6DA476AB" w14:textId="00E7614E" w:rsidR="00F42D5D" w:rsidRPr="00D3265B" w:rsidRDefault="00F42D5D" w:rsidP="0009651D">
            <w:pPr>
              <w:pStyle w:val="Table-text"/>
            </w:pPr>
            <w:r w:rsidRPr="00D3265B">
              <w:t xml:space="preserve">Common </w:t>
            </w:r>
          </w:p>
        </w:tc>
      </w:tr>
      <w:tr w:rsidR="00BF6814" w:rsidRPr="00773EDE" w14:paraId="79BCE5DC" w14:textId="77777777" w:rsidTr="009C4FC1">
        <w:tc>
          <w:tcPr>
            <w:tcW w:w="4390" w:type="dxa"/>
            <w:tcMar>
              <w:left w:w="57" w:type="dxa"/>
              <w:right w:w="57" w:type="dxa"/>
            </w:tcMar>
          </w:tcPr>
          <w:p w14:paraId="5CFCF401" w14:textId="6123ECCB" w:rsidR="00BF6814" w:rsidRPr="00D3265B" w:rsidRDefault="00BF6814" w:rsidP="0009651D">
            <w:pPr>
              <w:pStyle w:val="Table-text"/>
            </w:pPr>
            <w:r w:rsidRPr="00D3265B">
              <w:t xml:space="preserve">Musculoskeletal and connective tissue disorders </w:t>
            </w:r>
          </w:p>
        </w:tc>
        <w:tc>
          <w:tcPr>
            <w:tcW w:w="2976" w:type="dxa"/>
            <w:tcMar>
              <w:left w:w="57" w:type="dxa"/>
              <w:right w:w="57" w:type="dxa"/>
            </w:tcMar>
          </w:tcPr>
          <w:p w14:paraId="6F29B5F5" w14:textId="2F997634" w:rsidR="00BF6814" w:rsidRPr="00D3265B" w:rsidRDefault="00BF6814" w:rsidP="0009651D">
            <w:pPr>
              <w:pStyle w:val="Table-text"/>
            </w:pPr>
            <w:r w:rsidRPr="00D3265B">
              <w:t xml:space="preserve">Musculoskeletal pain </w:t>
            </w:r>
          </w:p>
        </w:tc>
        <w:tc>
          <w:tcPr>
            <w:tcW w:w="1650" w:type="dxa"/>
            <w:tcMar>
              <w:left w:w="57" w:type="dxa"/>
              <w:right w:w="57" w:type="dxa"/>
            </w:tcMar>
          </w:tcPr>
          <w:p w14:paraId="2E3671EA" w14:textId="7EC59FFE" w:rsidR="00BF6814" w:rsidRPr="00D3265B" w:rsidRDefault="00BF6814" w:rsidP="0009651D">
            <w:pPr>
              <w:pStyle w:val="Table-text"/>
            </w:pPr>
            <w:r w:rsidRPr="00D3265B">
              <w:t xml:space="preserve">Common </w:t>
            </w:r>
          </w:p>
        </w:tc>
      </w:tr>
      <w:tr w:rsidR="00BF6814" w:rsidRPr="00773EDE" w14:paraId="78AA8996" w14:textId="77777777" w:rsidTr="009C4FC1">
        <w:tc>
          <w:tcPr>
            <w:tcW w:w="4390" w:type="dxa"/>
            <w:tcMar>
              <w:left w:w="57" w:type="dxa"/>
              <w:right w:w="57" w:type="dxa"/>
            </w:tcMar>
          </w:tcPr>
          <w:p w14:paraId="392116F5" w14:textId="3541286B" w:rsidR="00BF6814" w:rsidRPr="00D3265B" w:rsidRDefault="00BF6814" w:rsidP="0009651D">
            <w:pPr>
              <w:pStyle w:val="Table-text"/>
              <w:keepNext/>
            </w:pPr>
            <w:r w:rsidRPr="00D3265B">
              <w:t xml:space="preserve">General disorders and administration site conditions </w:t>
            </w:r>
          </w:p>
        </w:tc>
        <w:tc>
          <w:tcPr>
            <w:tcW w:w="2976" w:type="dxa"/>
            <w:tcMar>
              <w:left w:w="57" w:type="dxa"/>
              <w:right w:w="57" w:type="dxa"/>
            </w:tcMar>
          </w:tcPr>
          <w:p w14:paraId="457A85DA" w14:textId="37417200" w:rsidR="00BF6814" w:rsidRPr="00D3265B" w:rsidRDefault="00BF6814" w:rsidP="0009651D">
            <w:pPr>
              <w:pStyle w:val="Table-text"/>
              <w:keepNext/>
            </w:pPr>
            <w:r w:rsidRPr="00D3265B">
              <w:t xml:space="preserve">Peripheral oedema </w:t>
            </w:r>
          </w:p>
        </w:tc>
        <w:tc>
          <w:tcPr>
            <w:tcW w:w="1650" w:type="dxa"/>
            <w:tcMar>
              <w:left w:w="57" w:type="dxa"/>
              <w:right w:w="57" w:type="dxa"/>
            </w:tcMar>
          </w:tcPr>
          <w:p w14:paraId="086DD5AA" w14:textId="7E97C204" w:rsidR="00BF6814" w:rsidRPr="00D3265B" w:rsidRDefault="00BF6814" w:rsidP="0009651D">
            <w:pPr>
              <w:pStyle w:val="Table-text"/>
              <w:keepNext/>
            </w:pPr>
            <w:r w:rsidRPr="00D3265B">
              <w:t xml:space="preserve">Common </w:t>
            </w:r>
          </w:p>
        </w:tc>
      </w:tr>
      <w:tr w:rsidR="00BF6814" w:rsidRPr="00773EDE" w14:paraId="2390D2FF" w14:textId="77777777" w:rsidTr="008674D4">
        <w:tc>
          <w:tcPr>
            <w:tcW w:w="9016" w:type="dxa"/>
            <w:gridSpan w:val="3"/>
            <w:tcMar>
              <w:left w:w="57" w:type="dxa"/>
              <w:right w:w="57" w:type="dxa"/>
            </w:tcMar>
          </w:tcPr>
          <w:p w14:paraId="16F4008A" w14:textId="0BC193F1" w:rsidR="009C4FC1" w:rsidRPr="00773EDE" w:rsidRDefault="009C4FC1" w:rsidP="0009651D">
            <w:pPr>
              <w:pStyle w:val="Table-Footertext"/>
              <w:keepNext/>
              <w:jc w:val="left"/>
            </w:pPr>
            <w:r w:rsidRPr="00AE0685">
              <w:rPr>
                <w:vertAlign w:val="superscript"/>
              </w:rPr>
              <w:t>1</w:t>
            </w:r>
            <w:r w:rsidRPr="00773EDE">
              <w:t xml:space="preserve"> </w:t>
            </w:r>
            <w:r w:rsidR="002840D0" w:rsidRPr="00773EDE">
              <w:t>Dysgeusia</w:t>
            </w:r>
            <w:r w:rsidRPr="00773EDE">
              <w:t xml:space="preserve"> describes the “verbatim” term: Fishy taste </w:t>
            </w:r>
          </w:p>
          <w:p w14:paraId="2DCCC43B" w14:textId="29C5770A" w:rsidR="00BF6814" w:rsidRPr="00773EDE" w:rsidRDefault="009C4FC1" w:rsidP="0009651D">
            <w:pPr>
              <w:pStyle w:val="Table-Footertext"/>
              <w:keepNext/>
              <w:jc w:val="left"/>
              <w:rPr>
                <w:sz w:val="22"/>
                <w:szCs w:val="22"/>
              </w:rPr>
            </w:pPr>
            <w:r w:rsidRPr="00AE0685">
              <w:rPr>
                <w:vertAlign w:val="superscript"/>
              </w:rPr>
              <w:t>2</w:t>
            </w:r>
            <w:r w:rsidRPr="00773EDE">
              <w:t xml:space="preserve"> See section Description of selected adverse reactions</w:t>
            </w:r>
          </w:p>
        </w:tc>
      </w:tr>
    </w:tbl>
    <w:p w14:paraId="5D0C95DD" w14:textId="67193617" w:rsidR="00AE0EA3" w:rsidRPr="00773EDE" w:rsidRDefault="00AE0EA3" w:rsidP="0009651D">
      <w:pPr>
        <w:pStyle w:val="Heading3"/>
      </w:pPr>
      <w:r w:rsidRPr="00773EDE">
        <w:t xml:space="preserve">Description of selected adverse reactions </w:t>
      </w:r>
    </w:p>
    <w:p w14:paraId="46DE1D52" w14:textId="77777777" w:rsidR="00AE0EA3" w:rsidRPr="00773EDE" w:rsidRDefault="00AE0EA3" w:rsidP="0009651D">
      <w:pPr>
        <w:pStyle w:val="Heading4"/>
      </w:pPr>
      <w:bookmarkStart w:id="10" w:name="_Bleeding"/>
      <w:bookmarkEnd w:id="10"/>
      <w:r w:rsidRPr="00773EDE">
        <w:lastRenderedPageBreak/>
        <w:t xml:space="preserve">Bleeding </w:t>
      </w:r>
    </w:p>
    <w:p w14:paraId="5217AB0E" w14:textId="3A115FDF" w:rsidR="00AE0EA3" w:rsidRPr="00773EDE" w:rsidRDefault="00AE0EA3" w:rsidP="0009651D">
      <w:pPr>
        <w:pStyle w:val="BodyText1"/>
        <w:jc w:val="left"/>
      </w:pPr>
      <w:r w:rsidRPr="00773EDE">
        <w:t xml:space="preserve">Bleeding occurred in 11.8% of subjects receiving </w:t>
      </w:r>
      <w:proofErr w:type="spellStart"/>
      <w:r w:rsidRPr="00773EDE">
        <w:t>icosapent</w:t>
      </w:r>
      <w:proofErr w:type="spellEnd"/>
      <w:r w:rsidRPr="00773EDE">
        <w:t xml:space="preserve"> ethyl in a placebo-controlled cardiovascular outcomes trial compared with 9.9% in subjects receiving placebo. Serious bleeding events were reported more frequently in subjects receiving </w:t>
      </w:r>
      <w:proofErr w:type="spellStart"/>
      <w:r w:rsidRPr="00773EDE">
        <w:t>icosapent</w:t>
      </w:r>
      <w:proofErr w:type="spellEnd"/>
      <w:r w:rsidRPr="00773EDE">
        <w:t xml:space="preserve"> ethyl than in those receiving placebo when administered in combination with concomitant antithrombotic medication (3.4% vs. 2.6%), but occurred at the same rate (0.2%) in subjects not taking concomitant anticoagulant/antiplatelet medication (see </w:t>
      </w:r>
      <w:hyperlink w:anchor="_Bleeding_1" w:history="1">
        <w:r w:rsidRPr="00F915FA">
          <w:rPr>
            <w:rStyle w:val="Hyperlink"/>
          </w:rPr>
          <w:t>section 4.4</w:t>
        </w:r>
        <w:r w:rsidR="00D075A3" w:rsidRPr="00F915FA">
          <w:rPr>
            <w:rStyle w:val="Hyperlink"/>
          </w:rPr>
          <w:t xml:space="preserve"> Special warnings and precautions for use</w:t>
        </w:r>
      </w:hyperlink>
      <w:r w:rsidRPr="00773EDE">
        <w:t xml:space="preserve">). </w:t>
      </w:r>
    </w:p>
    <w:p w14:paraId="710A10E0" w14:textId="16AB661A" w:rsidR="00AE0EA3" w:rsidRPr="00773EDE" w:rsidRDefault="00AE0EA3" w:rsidP="0009651D">
      <w:pPr>
        <w:pStyle w:val="BodyText1"/>
        <w:jc w:val="left"/>
      </w:pPr>
      <w:r w:rsidRPr="00773EDE">
        <w:t xml:space="preserve">The bleeding events most frequently observed with </w:t>
      </w:r>
      <w:proofErr w:type="spellStart"/>
      <w:r w:rsidRPr="00773EDE">
        <w:t>icosapent</w:t>
      </w:r>
      <w:proofErr w:type="spellEnd"/>
      <w:r w:rsidRPr="00773EDE">
        <w:t xml:space="preserve"> ethyl were gastrointestinal bleeding (3.1%), contusion (2.5%), haematuria (1.9%), and epistaxis (1.5%).</w:t>
      </w:r>
      <w:r w:rsidR="0057603C">
        <w:t xml:space="preserve"> </w:t>
      </w:r>
      <w:r w:rsidRPr="00773EDE">
        <w:t xml:space="preserve"> </w:t>
      </w:r>
    </w:p>
    <w:p w14:paraId="2A364495" w14:textId="2806D843" w:rsidR="00AE0EA3" w:rsidRPr="00773EDE" w:rsidRDefault="00AE0EA3" w:rsidP="0009651D">
      <w:pPr>
        <w:pStyle w:val="Heading4"/>
      </w:pPr>
      <w:bookmarkStart w:id="11" w:name="_Atrial_fibrillation/flutter"/>
      <w:bookmarkStart w:id="12" w:name="_Atrial_fibrillation/_flutter"/>
      <w:bookmarkEnd w:id="11"/>
      <w:bookmarkEnd w:id="12"/>
      <w:r w:rsidRPr="00773EDE">
        <w:t>Atrial fibrillation/</w:t>
      </w:r>
      <w:r w:rsidR="00F915FA">
        <w:t xml:space="preserve"> </w:t>
      </w:r>
      <w:r w:rsidRPr="00773EDE">
        <w:t xml:space="preserve">flutter </w:t>
      </w:r>
    </w:p>
    <w:p w14:paraId="3BA5D0E1" w14:textId="0CB8C915" w:rsidR="008646BD" w:rsidRPr="00773EDE" w:rsidRDefault="00AE0EA3" w:rsidP="0009651D">
      <w:pPr>
        <w:pStyle w:val="BodyText1"/>
        <w:jc w:val="left"/>
      </w:pPr>
      <w:r w:rsidRPr="00773EDE">
        <w:t xml:space="preserve">Atrial fibrillation or atrial flutter occurred in 5.8% of subjects receiving </w:t>
      </w:r>
      <w:proofErr w:type="spellStart"/>
      <w:r w:rsidRPr="00773EDE">
        <w:t>icosapent</w:t>
      </w:r>
      <w:proofErr w:type="spellEnd"/>
      <w:r w:rsidRPr="00773EDE">
        <w:t xml:space="preserve"> ethyl in a placebo-controlled cardiovascular outcomes trial compared with 4.5% in subjects receiving placebo. Atrial fibrillation or atrial flutter requiring hospitalisation for 24 hours or more occurred in 3% of subjects treated with </w:t>
      </w:r>
      <w:proofErr w:type="spellStart"/>
      <w:r w:rsidRPr="00773EDE">
        <w:t>icosapent</w:t>
      </w:r>
      <w:proofErr w:type="spellEnd"/>
      <w:r w:rsidRPr="00773EDE">
        <w:t xml:space="preserve"> ethyl compared with 2% in subjects receiving placebo. Atrial fibrillation and atrial flutter were reported more frequently in subjects with a previous history of atrial fibrillation or atrial flutter receiving </w:t>
      </w:r>
      <w:proofErr w:type="spellStart"/>
      <w:r w:rsidRPr="00773EDE">
        <w:t>icosapent</w:t>
      </w:r>
      <w:proofErr w:type="spellEnd"/>
      <w:r w:rsidRPr="00773EDE">
        <w:t xml:space="preserve"> ethyl than in those receiving placebo (12.5% vs. 6.3%) (see </w:t>
      </w:r>
      <w:hyperlink w:anchor="_Atrial_fibrillation/flutter" w:history="1">
        <w:r w:rsidRPr="00F915FA">
          <w:rPr>
            <w:rStyle w:val="Hyperlink"/>
          </w:rPr>
          <w:t>section 4.4</w:t>
        </w:r>
        <w:r w:rsidR="00D075A3" w:rsidRPr="00F915FA">
          <w:rPr>
            <w:rStyle w:val="Hyperlink"/>
          </w:rPr>
          <w:t xml:space="preserve"> Special warnings and precautions for use</w:t>
        </w:r>
      </w:hyperlink>
      <w:r w:rsidRPr="00773EDE">
        <w:t>).</w:t>
      </w:r>
    </w:p>
    <w:p w14:paraId="421D01CF" w14:textId="77777777" w:rsidR="00D075A3" w:rsidRPr="00773EDE" w:rsidRDefault="00D075A3" w:rsidP="0009651D">
      <w:pPr>
        <w:pStyle w:val="Heading4"/>
        <w:keepNext/>
      </w:pPr>
      <w:r w:rsidRPr="00773EDE">
        <w:t xml:space="preserve">Constipation </w:t>
      </w:r>
    </w:p>
    <w:p w14:paraId="6DDB3D03" w14:textId="0888643A" w:rsidR="00D075A3" w:rsidRPr="00773EDE" w:rsidRDefault="00D075A3" w:rsidP="0009651D">
      <w:pPr>
        <w:pStyle w:val="BodyText1"/>
        <w:keepNext/>
        <w:jc w:val="left"/>
      </w:pPr>
      <w:r w:rsidRPr="00773EDE">
        <w:t xml:space="preserve">Constipation occurred in 5.4% of subjects receiving </w:t>
      </w:r>
      <w:proofErr w:type="spellStart"/>
      <w:r w:rsidRPr="00773EDE">
        <w:t>icosapent</w:t>
      </w:r>
      <w:proofErr w:type="spellEnd"/>
      <w:r w:rsidRPr="00773EDE">
        <w:t xml:space="preserve"> ethyl in a placebo-controlled cardiovascular outcomes trial compared with 3.6% of subjects receiving placebo. Serious constipation was less common for </w:t>
      </w:r>
      <w:proofErr w:type="spellStart"/>
      <w:r w:rsidRPr="00773EDE">
        <w:t>icosapent</w:t>
      </w:r>
      <w:proofErr w:type="spellEnd"/>
      <w:r w:rsidRPr="00773EDE">
        <w:t xml:space="preserve"> ethyl (0.1%) and placebo (0.2%). The relative incidence of constipation in this study may have been confounded by a residual laxative effect for placebo, which comprised a subtherapeutic dose of light mineral oil (4 mL). </w:t>
      </w:r>
    </w:p>
    <w:p w14:paraId="55D52B1B" w14:textId="0EC07BA0" w:rsidR="008646BD" w:rsidRPr="00773EDE" w:rsidRDefault="00D075A3" w:rsidP="0009651D">
      <w:pPr>
        <w:pStyle w:val="BodyText1"/>
        <w:jc w:val="left"/>
      </w:pPr>
      <w:r w:rsidRPr="00773EDE">
        <w:t xml:space="preserve">The following adverse reactions have been identified from global post-marketing use of </w:t>
      </w:r>
      <w:proofErr w:type="spellStart"/>
      <w:r w:rsidRPr="00773EDE">
        <w:t>icosapent</w:t>
      </w:r>
      <w:proofErr w:type="spellEnd"/>
      <w:r w:rsidRPr="00773EDE">
        <w:t xml:space="preserve"> ethyl. Because these reactions are reported voluntarily from a population of uncertain size, it is generally not possible to reliably estimate their frequency or establish causal relationship to drug exposure: blood triglycerides increased, arthralgia, diarrhoea, abdominal discomfort, and pain in the extremities.</w:t>
      </w:r>
    </w:p>
    <w:p w14:paraId="65A3342A" w14:textId="77777777" w:rsidR="005C682D" w:rsidRPr="00773EDE" w:rsidRDefault="005C682D" w:rsidP="0009651D">
      <w:pPr>
        <w:pStyle w:val="Heading3"/>
        <w:keepNext/>
      </w:pPr>
      <w:r w:rsidRPr="00773EDE">
        <w:t>Reporting suspected adverse effects</w:t>
      </w:r>
    </w:p>
    <w:p w14:paraId="1618DAD7" w14:textId="07148D05" w:rsidR="005C682D" w:rsidRPr="00773EDE" w:rsidRDefault="005C682D" w:rsidP="0009651D">
      <w:pPr>
        <w:pStyle w:val="BodyText1"/>
        <w:jc w:val="left"/>
      </w:pPr>
      <w:r w:rsidRPr="00773EDE">
        <w:t>Reporting suspected adverse reactions after registration of the medicinal product is important. It allows continued monitoring of the benefit-risk balance of the medicinal product. Healthcare professionals are asked to report any suspected adverse reactions at</w:t>
      </w:r>
      <w:r w:rsidR="00647C2C">
        <w:t xml:space="preserve"> </w:t>
      </w:r>
      <w:hyperlink r:id="rId12" w:history="1">
        <w:r w:rsidR="00647C2C" w:rsidRPr="00E5694E">
          <w:rPr>
            <w:rStyle w:val="Hyperlink"/>
          </w:rPr>
          <w:t>www.tga.gov.au/reporting-problems</w:t>
        </w:r>
      </w:hyperlink>
      <w:r w:rsidR="00647C2C">
        <w:t xml:space="preserve">. </w:t>
      </w:r>
      <w:r w:rsidR="00126740" w:rsidRPr="00773EDE">
        <w:t xml:space="preserve"> </w:t>
      </w:r>
    </w:p>
    <w:p w14:paraId="194EF9E2" w14:textId="6951BD70" w:rsidR="00710964" w:rsidRPr="00773EDE" w:rsidRDefault="008450DE" w:rsidP="0009651D">
      <w:pPr>
        <w:pStyle w:val="Heading2"/>
        <w:keepNext/>
      </w:pPr>
      <w:r w:rsidRPr="00773EDE">
        <w:t xml:space="preserve">4.9 </w:t>
      </w:r>
      <w:r w:rsidR="00710964" w:rsidRPr="00773EDE">
        <w:t>Overdose</w:t>
      </w:r>
    </w:p>
    <w:p w14:paraId="47CF4AE4" w14:textId="57CC649C" w:rsidR="003E0649" w:rsidRPr="00773EDE" w:rsidRDefault="00314F18" w:rsidP="0009651D">
      <w:pPr>
        <w:pStyle w:val="BodyText1"/>
        <w:keepNext/>
        <w:jc w:val="left"/>
      </w:pPr>
      <w:r w:rsidRPr="00773EDE">
        <w:rPr>
          <w:szCs w:val="22"/>
        </w:rPr>
        <w:t xml:space="preserve">There is no specific treatment for </w:t>
      </w:r>
      <w:proofErr w:type="spellStart"/>
      <w:r w:rsidRPr="00773EDE">
        <w:rPr>
          <w:szCs w:val="22"/>
        </w:rPr>
        <w:t>icosapent</w:t>
      </w:r>
      <w:proofErr w:type="spellEnd"/>
      <w:r w:rsidRPr="00773EDE">
        <w:rPr>
          <w:szCs w:val="22"/>
        </w:rPr>
        <w:t xml:space="preserve"> ethyl overdose. In the event of an overdose, the patient should be treated symptomatically, and supportive measures instituted as required</w:t>
      </w:r>
      <w:r w:rsidR="005C682D" w:rsidRPr="00773EDE">
        <w:t>.</w:t>
      </w:r>
    </w:p>
    <w:p w14:paraId="6A824160" w14:textId="77777777" w:rsidR="003E0649" w:rsidRPr="00773EDE" w:rsidRDefault="003E0649" w:rsidP="0009651D">
      <w:pPr>
        <w:pStyle w:val="BodyText1"/>
        <w:spacing w:before="120" w:after="120"/>
        <w:jc w:val="left"/>
      </w:pPr>
      <w:r w:rsidRPr="00773EDE">
        <w:t>For information on the management of overdose, contact the Poison Information Centre on 131126 (Australia).</w:t>
      </w:r>
    </w:p>
    <w:p w14:paraId="5B00062F" w14:textId="677E69EE" w:rsidR="00242B21" w:rsidRPr="00773EDE" w:rsidRDefault="008450DE" w:rsidP="0009651D">
      <w:pPr>
        <w:pStyle w:val="Heading1"/>
        <w:keepNext/>
      </w:pPr>
      <w:r w:rsidRPr="00773EDE">
        <w:t xml:space="preserve">5. </w:t>
      </w:r>
      <w:r w:rsidR="00242B21" w:rsidRPr="00773EDE">
        <w:t>Pharmacolog</w:t>
      </w:r>
      <w:r w:rsidR="00B959F0" w:rsidRPr="00773EDE">
        <w:t>ical Properties</w:t>
      </w:r>
    </w:p>
    <w:p w14:paraId="208B1E79" w14:textId="484A52F9" w:rsidR="005C62FE" w:rsidRPr="00773EDE" w:rsidRDefault="008450DE" w:rsidP="0009651D">
      <w:pPr>
        <w:pStyle w:val="Heading2"/>
        <w:keepNext/>
      </w:pPr>
      <w:bookmarkStart w:id="13" w:name="_5.1_Pharmacodynamic_properties"/>
      <w:bookmarkEnd w:id="13"/>
      <w:r w:rsidRPr="00773EDE">
        <w:t xml:space="preserve">5.1 </w:t>
      </w:r>
      <w:r w:rsidR="005C62FE" w:rsidRPr="00773EDE">
        <w:t>Pharmacodynamic properties</w:t>
      </w:r>
    </w:p>
    <w:p w14:paraId="63A7F550" w14:textId="51D800C7" w:rsidR="005C62FE" w:rsidRPr="00773EDE" w:rsidRDefault="005C62FE" w:rsidP="0009651D">
      <w:pPr>
        <w:pStyle w:val="Heading3"/>
        <w:keepNext/>
      </w:pPr>
      <w:bookmarkStart w:id="14" w:name="_Mechanism_of_action"/>
      <w:bookmarkEnd w:id="14"/>
      <w:r w:rsidRPr="00773EDE">
        <w:t>Mechanism of action</w:t>
      </w:r>
      <w:r w:rsidR="00075F89">
        <w:t xml:space="preserve"> </w:t>
      </w:r>
    </w:p>
    <w:p w14:paraId="61E43FB0" w14:textId="3AEA057D" w:rsidR="00126740" w:rsidRPr="00773EDE" w:rsidRDefault="00220CC0" w:rsidP="0009651D">
      <w:pPr>
        <w:pStyle w:val="BodyText1"/>
        <w:keepNext/>
        <w:jc w:val="left"/>
      </w:pPr>
      <w:proofErr w:type="spellStart"/>
      <w:r w:rsidRPr="00773EDE">
        <w:t>Icosapent</w:t>
      </w:r>
      <w:proofErr w:type="spellEnd"/>
      <w:r w:rsidRPr="00773EDE">
        <w:t xml:space="preserve"> ethyl is a stable ethyl ester of the omega-3 fatty acid, eicosapentaenoic acid (EPA). The mechanisms of action contributing to reduction of cardiovascular events with </w:t>
      </w:r>
      <w:proofErr w:type="spellStart"/>
      <w:r w:rsidRPr="00773EDE">
        <w:t>icosapent</w:t>
      </w:r>
      <w:proofErr w:type="spellEnd"/>
      <w:r w:rsidRPr="00773EDE">
        <w:t xml:space="preserve"> ethyl are not completely understood. The mechanisms are likely multi-factorial including improved lipoprotein profile with reduction of triglyceride-rich lipoproteins, anti-inflammatory, and antioxidant effects, reduction of macrophage accumulation, improved endothelial function, increased fibrous cap thickness/stability, and antiplatelet effects. Each of these mechanisms can beneficially alter the development, progression, and stabilisation of atherosclerotic plaque, as well as the implications of plaque rupture, and preclinical and clinical studies support such benefits with EPA. Systemic and localised anti-inflammatory effects of EPA may result from displacement of pro-inflammatory arachidonic acid </w:t>
      </w:r>
      <w:r w:rsidRPr="00773EDE">
        <w:lastRenderedPageBreak/>
        <w:t xml:space="preserve">(AA), directing catabolism away from eicosanoids (2-series prostaglandins and </w:t>
      </w:r>
      <w:proofErr w:type="spellStart"/>
      <w:r w:rsidRPr="00773EDE">
        <w:t>thromboxanes</w:t>
      </w:r>
      <w:proofErr w:type="spellEnd"/>
      <w:r w:rsidRPr="00773EDE">
        <w:t xml:space="preserve">, and 4-series leukotrienes) to non- or anti-inflammatory mediators. However, the direct clinical meaning of individual findings is not clear. </w:t>
      </w:r>
      <w:r w:rsidR="00126740" w:rsidRPr="00773EDE">
        <w:t xml:space="preserve"> </w:t>
      </w:r>
    </w:p>
    <w:p w14:paraId="1106BB8C" w14:textId="5967FC41" w:rsidR="002D596E" w:rsidRPr="00773EDE" w:rsidRDefault="002D596E" w:rsidP="0009651D">
      <w:pPr>
        <w:pStyle w:val="BodyText1"/>
        <w:jc w:val="left"/>
      </w:pPr>
      <w:proofErr w:type="spellStart"/>
      <w:r w:rsidRPr="00773EDE">
        <w:t>Icosapent</w:t>
      </w:r>
      <w:proofErr w:type="spellEnd"/>
      <w:r w:rsidRPr="00773EDE">
        <w:t xml:space="preserve"> ethyl improves the lipoprotein profile by suppressing cholesterol-, fatty acid- and triglyceride (TG)-synthesising enzymes, increasing fatty acid β-oxidation, and reducing microsomal triglyceride transfer (MTP) protein, resulting in decreased hepatic TG and very low-density lipoprotein (VLDL) synthesis and release. </w:t>
      </w:r>
      <w:proofErr w:type="spellStart"/>
      <w:r w:rsidRPr="00773EDE">
        <w:t>Icosapent</w:t>
      </w:r>
      <w:proofErr w:type="spellEnd"/>
      <w:r w:rsidRPr="00773EDE">
        <w:t xml:space="preserve"> ethyl also increases expression of lipoprotein lipase leading to increased TG removal from circulating VLDL and chylomicron particles. In patients with elevated TG levels, </w:t>
      </w:r>
      <w:proofErr w:type="spellStart"/>
      <w:r w:rsidRPr="00773EDE">
        <w:t>icosapent</w:t>
      </w:r>
      <w:proofErr w:type="spellEnd"/>
      <w:r w:rsidRPr="00773EDE">
        <w:t xml:space="preserve"> ethyl lowers TG, VLDL, remnant lipoprotein cholesterol, and levels of inflammatory markers such as C-reactive protein. However, TG reduction appears to provide only a minor contribution to the reduction in risk of cardiovascular events with </w:t>
      </w:r>
      <w:proofErr w:type="spellStart"/>
      <w:r w:rsidRPr="00773EDE">
        <w:t>icosapent</w:t>
      </w:r>
      <w:proofErr w:type="spellEnd"/>
      <w:r w:rsidRPr="00773EDE">
        <w:t xml:space="preserve"> ethyl.</w:t>
      </w:r>
    </w:p>
    <w:p w14:paraId="1FB8C6F3" w14:textId="7241DBBF" w:rsidR="005C62FE" w:rsidRPr="00773EDE" w:rsidRDefault="00D86907" w:rsidP="0009651D">
      <w:pPr>
        <w:pStyle w:val="Heading3"/>
        <w:keepNext/>
      </w:pPr>
      <w:r w:rsidRPr="00773EDE">
        <w:t>Clinical trials</w:t>
      </w:r>
      <w:r w:rsidR="005D728F">
        <w:t xml:space="preserve"> </w:t>
      </w:r>
    </w:p>
    <w:p w14:paraId="399310F9" w14:textId="3066F201" w:rsidR="00FA44AD" w:rsidRPr="00773EDE" w:rsidRDefault="00FA44AD" w:rsidP="0009651D">
      <w:pPr>
        <w:pStyle w:val="BodyText1"/>
        <w:keepNext/>
        <w:jc w:val="left"/>
      </w:pPr>
      <w:r w:rsidRPr="00773EDE">
        <w:t xml:space="preserve">REDUCE-IT was a multinational, double-blind, randomised, placebo-controlled, event-driven trial in 8,179 (4,089 </w:t>
      </w:r>
      <w:proofErr w:type="spellStart"/>
      <w:r w:rsidRPr="00773EDE">
        <w:t>icosapent</w:t>
      </w:r>
      <w:proofErr w:type="spellEnd"/>
      <w:r w:rsidRPr="00773EDE">
        <w:t xml:space="preserve"> ethyl, 4,090 placebo) statin-treated adult patients enrolled with low-density lipoprotein cholesterol (LDL</w:t>
      </w:r>
      <w:r w:rsidRPr="00773EDE">
        <w:noBreakHyphen/>
        <w:t xml:space="preserve">C) &gt;1.03 mmol/L (40 mg/dL) and ≤2.59 mmol/L (100 mg/dL) and moderately elevated triglyceride (TG) levels (≥1.53 mmol/L and &lt;5.64 mmol/L [≥135 mg/dL and &lt;500 mg/dL] as measured during patient screening, i.e. qualifying visits pre-enrolment) and either established cardiovascular disease (70.7%) or diabetes and other risk factors for cardiovascular disease (29.3%). Patients with established cardiovascular disease were defined as being at least 45 years of age and having a documented history of coronary artery disease, cerebrovascular or carotid disease, or peripheral artery disease. Patients in the other risk group were defined as being at least 50 years of age with diabetes requiring medical treatment and at least one additional risk factor i.e., hypertension or on an antihypertensive medicinal product; age at least 55 years (men) or at least 65 years (women); low high-density lipoprotein cholesterol levels; smoking; raised high-sensitivity C-reactive protein levels; renal impairment; micro or macroalbuminuria; retinopathy; or reduced ankle brachial index. Patients were randomly assigned 1:1 to receive either </w:t>
      </w:r>
      <w:proofErr w:type="spellStart"/>
      <w:r w:rsidRPr="00773EDE">
        <w:t>icosapent</w:t>
      </w:r>
      <w:proofErr w:type="spellEnd"/>
      <w:r w:rsidRPr="00773EDE">
        <w:t xml:space="preserve"> ethyl or placebo (as 4 capsules daily). The median follow-up duration was 4.9 years. Overall, 99.8% of patients were followed for vital status until the end of the trial or death. </w:t>
      </w:r>
    </w:p>
    <w:p w14:paraId="59FEF87F" w14:textId="4C1867A2" w:rsidR="00FA44AD" w:rsidRPr="00773EDE" w:rsidRDefault="00FA44AD" w:rsidP="0009651D">
      <w:pPr>
        <w:pStyle w:val="BodyText1"/>
        <w:jc w:val="left"/>
      </w:pPr>
      <w:r w:rsidRPr="00773EDE">
        <w:t>The baseline characteristics were balanced between the groups, median age at baseline was 64 years (range: 44</w:t>
      </w:r>
      <w:r w:rsidR="009C190D" w:rsidRPr="00773EDE">
        <w:t> </w:t>
      </w:r>
      <w:r w:rsidRPr="00773EDE">
        <w:t>years to 92 years), with 46% being at least 65 years old; 28.8% were women. The trial population was 90.2% White, 5.5% Asian, 4.2% identified as Hispanic ethnicity, and 1.9% were Black. Regarding prior diagnoses of cardiovascular disease, 46.7% had prior myocardial infarction, 9.2% had symptomatic peripheral arterial disease, and 6.1% prior unknown stroke or transient ischemic attack (TIA). Selected additional baseline risk factors included hypertension (86.6%), diabetes mellitus (0.7% type 1; 57.8% type 2), eGFR &lt;60 mL/min per 1.73 m</w:t>
      </w:r>
      <w:r w:rsidRPr="00773EDE">
        <w:rPr>
          <w:sz w:val="14"/>
          <w:szCs w:val="14"/>
        </w:rPr>
        <w:t xml:space="preserve">2 </w:t>
      </w:r>
      <w:r w:rsidRPr="00773EDE">
        <w:t xml:space="preserve">(22.2%), congestive heart failure (17.7%), and current daily cigarette smoking (15.2%). Most patients were taking moderate-intensity (63%) or high-intensity (31%) statin therapy at baseline. Most patients at baseline were taking at least one other cardiovascular medicinal product including antiplatelet and/or antithrombotic agents (85.5%), beta blockers (70.7%), antihypertensives (95.2%), angiotensin converting enzyme (ACE) inhibitors (51.9%), or angiotensin receptor blockers (ARB; 26.9%); 77.5% were taking an ACE inhibitor or ARB. The protocol excluded patients taking PCSK9 inhibitors. On stable background lipid-lowering therapy, the median [Q1, Q3] LDL-C at baseline was 1.9 [1.6, 2.3] mmol/L (75.0 [62.0, 89.0] mg/dL); the mean (SD) was 2.0 (0.5) mmol/L (76.2 [20.3] mg/dL). On stable background lipid-lowering therapy, the median [Q1, Q3] fasting TG was 2.4 [2.0, 3.1] mmol/L (216.0 [176.0, 272.5] mg/dL); the mean (SD) was 2.6 (0.9) mmol/L (233.2 [80.1] mg/dL). </w:t>
      </w:r>
    </w:p>
    <w:p w14:paraId="47A93042" w14:textId="65CBBBCC" w:rsidR="00D621B2" w:rsidRDefault="00FA44AD" w:rsidP="0009651D">
      <w:pPr>
        <w:pStyle w:val="BodyText1"/>
        <w:jc w:val="left"/>
      </w:pPr>
      <w:proofErr w:type="spellStart"/>
      <w:r w:rsidRPr="00773EDE">
        <w:t>Icosapent</w:t>
      </w:r>
      <w:proofErr w:type="spellEnd"/>
      <w:r w:rsidRPr="00773EDE">
        <w:t xml:space="preserve"> ethyl significantly reduced the risk for the primary composite endpoint (time to first occurrence of cardiovascular death, myocardial infarction, stroke, coronary revascularisation, or hospitalisation for unstable angina; p&lt;0.0001) and the key secondary composite endpoint (time to first occurrence of cardiovascular death, myocardial infarction, or stroke; p&lt;0.0001). The results of the primary and secondary efficacy endpoints are shown in </w:t>
      </w:r>
      <w:r w:rsidR="00F569A9">
        <w:fldChar w:fldCharType="begin"/>
      </w:r>
      <w:r w:rsidR="00F569A9">
        <w:instrText xml:space="preserve"> REF _Ref88225609 \h </w:instrText>
      </w:r>
      <w:r w:rsidR="0009651D">
        <w:instrText xml:space="preserve"> \* MERGEFORMAT </w:instrText>
      </w:r>
      <w:r w:rsidR="00F569A9">
        <w:fldChar w:fldCharType="separate"/>
      </w:r>
      <w:r w:rsidR="00C172A6" w:rsidRPr="00773EDE">
        <w:t xml:space="preserve">Table </w:t>
      </w:r>
      <w:r w:rsidR="00C172A6">
        <w:rPr>
          <w:noProof/>
        </w:rPr>
        <w:t>3</w:t>
      </w:r>
      <w:r w:rsidR="00F569A9">
        <w:fldChar w:fldCharType="end"/>
      </w:r>
      <w:r w:rsidRPr="00773EDE">
        <w:t xml:space="preserve">. The Kaplan-Meier estimates of the cumulative incidence of the key secondary composite endpoint over time are shown in </w:t>
      </w:r>
      <w:r w:rsidR="00F569A9">
        <w:fldChar w:fldCharType="begin"/>
      </w:r>
      <w:r w:rsidR="00F569A9">
        <w:instrText xml:space="preserve"> REF _Ref88225621 \h </w:instrText>
      </w:r>
      <w:r w:rsidR="0009651D">
        <w:instrText xml:space="preserve"> \* MERGEFORMAT </w:instrText>
      </w:r>
      <w:r w:rsidR="00F569A9">
        <w:fldChar w:fldCharType="separate"/>
      </w:r>
      <w:r w:rsidR="00C172A6" w:rsidRPr="00773EDE">
        <w:t xml:space="preserve">Figure </w:t>
      </w:r>
      <w:r w:rsidR="00C172A6" w:rsidRPr="00773EDE">
        <w:rPr>
          <w:noProof/>
        </w:rPr>
        <w:t>1</w:t>
      </w:r>
      <w:r w:rsidR="00F569A9">
        <w:fldChar w:fldCharType="end"/>
      </w:r>
      <w:r w:rsidRPr="00773EDE">
        <w:t>.</w:t>
      </w:r>
      <w:r w:rsidR="00393AFE">
        <w:t xml:space="preserve"> </w:t>
      </w:r>
    </w:p>
    <w:tbl>
      <w:tblPr>
        <w:tblStyle w:val="TableGrid"/>
        <w:tblW w:w="0" w:type="auto"/>
        <w:tblLook w:val="04A0" w:firstRow="1" w:lastRow="0" w:firstColumn="1" w:lastColumn="0" w:noHBand="0" w:noVBand="1"/>
      </w:tblPr>
      <w:tblGrid>
        <w:gridCol w:w="9016"/>
      </w:tblGrid>
      <w:tr w:rsidR="00FA44AD" w:rsidRPr="00773EDE" w14:paraId="758447CC" w14:textId="77777777" w:rsidTr="00854CC3">
        <w:tc>
          <w:tcPr>
            <w:tcW w:w="9016" w:type="dxa"/>
            <w:tcMar>
              <w:left w:w="57" w:type="dxa"/>
              <w:right w:w="57" w:type="dxa"/>
            </w:tcMar>
          </w:tcPr>
          <w:p w14:paraId="5783C75E" w14:textId="225A1B6D" w:rsidR="00FA44AD" w:rsidRPr="00773EDE" w:rsidRDefault="00FA44AD" w:rsidP="0009651D">
            <w:pPr>
              <w:pStyle w:val="Table-MainTitle"/>
            </w:pPr>
            <w:bookmarkStart w:id="15" w:name="_Ref88225609"/>
            <w:r w:rsidRPr="00773EDE">
              <w:t xml:space="preserve">Table </w:t>
            </w:r>
            <w:r w:rsidR="0009651D">
              <w:fldChar w:fldCharType="begin"/>
            </w:r>
            <w:r w:rsidR="0009651D">
              <w:instrText xml:space="preserve"> SEQ Table \* ARABIC </w:instrText>
            </w:r>
            <w:r w:rsidR="0009651D">
              <w:fldChar w:fldCharType="separate"/>
            </w:r>
            <w:r w:rsidR="00B44424">
              <w:rPr>
                <w:noProof/>
              </w:rPr>
              <w:t>3</w:t>
            </w:r>
            <w:r w:rsidR="0009651D">
              <w:rPr>
                <w:noProof/>
              </w:rPr>
              <w:fldChar w:fldCharType="end"/>
            </w:r>
            <w:bookmarkEnd w:id="15"/>
            <w:r w:rsidRPr="00773EDE">
              <w:t xml:space="preserve">: </w:t>
            </w:r>
            <w:r w:rsidR="009C190D" w:rsidRPr="00773EDE">
              <w:tab/>
              <w:t xml:space="preserve">Effect of </w:t>
            </w:r>
            <w:proofErr w:type="spellStart"/>
            <w:r w:rsidR="009C190D" w:rsidRPr="00773EDE">
              <w:t>icosapent</w:t>
            </w:r>
            <w:proofErr w:type="spellEnd"/>
            <w:r w:rsidR="009C190D" w:rsidRPr="00773EDE">
              <w:t xml:space="preserve"> ethyl on time to first occurrence of cardiovascular events in patients with elevated triglyceride levels and cardiovascular disease or diabetes and other risk factors in REDUCE-IT</w:t>
            </w:r>
          </w:p>
        </w:tc>
      </w:tr>
    </w:tbl>
    <w:p w14:paraId="6EC35777" w14:textId="77777777" w:rsidR="00FA44AD" w:rsidRPr="00773EDE" w:rsidRDefault="00FA44AD" w:rsidP="0009651D">
      <w:pPr>
        <w:keepNext/>
        <w:rPr>
          <w:sz w:val="2"/>
          <w:szCs w:val="2"/>
        </w:rPr>
      </w:pPr>
    </w:p>
    <w:tbl>
      <w:tblPr>
        <w:tblStyle w:val="TableGrid"/>
        <w:tblW w:w="0" w:type="auto"/>
        <w:tblLook w:val="04A0" w:firstRow="1" w:lastRow="0" w:firstColumn="1" w:lastColumn="0" w:noHBand="0" w:noVBand="1"/>
      </w:tblPr>
      <w:tblGrid>
        <w:gridCol w:w="4106"/>
        <w:gridCol w:w="1636"/>
        <w:gridCol w:w="1637"/>
        <w:gridCol w:w="1637"/>
      </w:tblGrid>
      <w:tr w:rsidR="009C190D" w:rsidRPr="00773EDE" w14:paraId="66EFC852" w14:textId="77777777" w:rsidTr="00FE52C7">
        <w:trPr>
          <w:tblHeader/>
        </w:trPr>
        <w:tc>
          <w:tcPr>
            <w:tcW w:w="4106" w:type="dxa"/>
            <w:tcMar>
              <w:left w:w="57" w:type="dxa"/>
              <w:right w:w="57" w:type="dxa"/>
            </w:tcMar>
          </w:tcPr>
          <w:p w14:paraId="56FF61E5" w14:textId="2D9AAAAE" w:rsidR="009C190D" w:rsidRPr="00773EDE" w:rsidRDefault="009C190D" w:rsidP="0009651D">
            <w:pPr>
              <w:pStyle w:val="Table-Heading1"/>
              <w:keepNext/>
              <w:spacing w:before="40" w:after="40"/>
            </w:pPr>
          </w:p>
        </w:tc>
        <w:tc>
          <w:tcPr>
            <w:tcW w:w="1636" w:type="dxa"/>
            <w:tcMar>
              <w:left w:w="57" w:type="dxa"/>
              <w:right w:w="57" w:type="dxa"/>
            </w:tcMar>
          </w:tcPr>
          <w:p w14:paraId="0B104771" w14:textId="37243B27" w:rsidR="00121D5D" w:rsidRPr="00773EDE" w:rsidRDefault="00121D5D" w:rsidP="0009651D">
            <w:pPr>
              <w:pStyle w:val="Table-Heading1"/>
              <w:keepNext/>
              <w:spacing w:before="40" w:after="40"/>
            </w:pPr>
            <w:proofErr w:type="spellStart"/>
            <w:r w:rsidRPr="00773EDE">
              <w:t>Icosapent</w:t>
            </w:r>
            <w:proofErr w:type="spellEnd"/>
            <w:r w:rsidRPr="00773EDE">
              <w:t xml:space="preserve"> ethyl</w:t>
            </w:r>
          </w:p>
          <w:p w14:paraId="106CFB91" w14:textId="77777777" w:rsidR="009C190D" w:rsidRPr="00773EDE" w:rsidRDefault="00121D5D" w:rsidP="0009651D">
            <w:pPr>
              <w:pStyle w:val="Table-Heading1"/>
              <w:keepNext/>
              <w:spacing w:before="40" w:after="40"/>
            </w:pPr>
            <w:r w:rsidRPr="00773EDE">
              <w:t>N = 4,089</w:t>
            </w:r>
          </w:p>
          <w:p w14:paraId="501B4672" w14:textId="5BB475A1" w:rsidR="00121D5D" w:rsidRPr="00773EDE" w:rsidRDefault="00121D5D" w:rsidP="0009651D">
            <w:pPr>
              <w:pStyle w:val="Table-Heading1"/>
              <w:keepNext/>
              <w:spacing w:before="40" w:after="40"/>
            </w:pPr>
            <w:r w:rsidRPr="00773EDE">
              <w:t>n (%)</w:t>
            </w:r>
          </w:p>
        </w:tc>
        <w:tc>
          <w:tcPr>
            <w:tcW w:w="1637" w:type="dxa"/>
          </w:tcPr>
          <w:p w14:paraId="1CC0199D" w14:textId="77777777" w:rsidR="009C190D" w:rsidRPr="00773EDE" w:rsidRDefault="00121D5D" w:rsidP="0009651D">
            <w:pPr>
              <w:pStyle w:val="Table-Heading1"/>
              <w:keepNext/>
              <w:spacing w:before="40" w:after="40"/>
            </w:pPr>
            <w:r w:rsidRPr="00773EDE">
              <w:t>Placebo</w:t>
            </w:r>
          </w:p>
          <w:p w14:paraId="4D26DFD6" w14:textId="77777777" w:rsidR="00121D5D" w:rsidRPr="00773EDE" w:rsidRDefault="00121D5D" w:rsidP="0009651D">
            <w:pPr>
              <w:pStyle w:val="Table-Heading1"/>
              <w:keepNext/>
              <w:spacing w:before="40" w:after="40"/>
            </w:pPr>
            <w:r w:rsidRPr="00773EDE">
              <w:t>N = 4,090</w:t>
            </w:r>
          </w:p>
          <w:p w14:paraId="1E5B7D2A" w14:textId="44C79CA7" w:rsidR="00121D5D" w:rsidRPr="00773EDE" w:rsidRDefault="00121D5D" w:rsidP="0009651D">
            <w:pPr>
              <w:pStyle w:val="Table-Heading1"/>
              <w:keepNext/>
              <w:spacing w:before="40" w:after="40"/>
            </w:pPr>
            <w:r w:rsidRPr="00773EDE">
              <w:t>n (%)</w:t>
            </w:r>
          </w:p>
        </w:tc>
        <w:tc>
          <w:tcPr>
            <w:tcW w:w="1637" w:type="dxa"/>
            <w:tcMar>
              <w:left w:w="57" w:type="dxa"/>
              <w:right w:w="57" w:type="dxa"/>
            </w:tcMar>
          </w:tcPr>
          <w:p w14:paraId="1A1FBDF8" w14:textId="77777777" w:rsidR="009C190D" w:rsidRPr="00773EDE" w:rsidRDefault="00907883" w:rsidP="0009651D">
            <w:pPr>
              <w:pStyle w:val="Table-Heading1"/>
              <w:keepNext/>
              <w:spacing w:before="40" w:after="40"/>
            </w:pPr>
            <w:proofErr w:type="spellStart"/>
            <w:r w:rsidRPr="00773EDE">
              <w:t>Icosapent</w:t>
            </w:r>
            <w:proofErr w:type="spellEnd"/>
            <w:r w:rsidRPr="00773EDE">
              <w:t xml:space="preserve"> ethyl vs Placebo</w:t>
            </w:r>
          </w:p>
          <w:p w14:paraId="494D5F61" w14:textId="03FE25CE" w:rsidR="00907883" w:rsidRPr="00773EDE" w:rsidRDefault="00907883" w:rsidP="0009651D">
            <w:pPr>
              <w:pStyle w:val="Table-Heading1"/>
              <w:keepNext/>
              <w:spacing w:before="40" w:after="40"/>
            </w:pPr>
            <w:r w:rsidRPr="00773EDE">
              <w:t>Hazard Ration</w:t>
            </w:r>
          </w:p>
          <w:p w14:paraId="36DD681C" w14:textId="1F5EE7D1" w:rsidR="00907883" w:rsidRPr="00773EDE" w:rsidRDefault="00907883" w:rsidP="0009651D">
            <w:pPr>
              <w:pStyle w:val="Table-Heading1"/>
              <w:keepNext/>
              <w:spacing w:before="40" w:after="40"/>
            </w:pPr>
            <w:r w:rsidRPr="00773EDE">
              <w:t>(95% CI)</w:t>
            </w:r>
          </w:p>
        </w:tc>
      </w:tr>
      <w:tr w:rsidR="009C190D" w:rsidRPr="00773EDE" w14:paraId="684A5C95" w14:textId="77777777" w:rsidTr="00DB09F5">
        <w:tc>
          <w:tcPr>
            <w:tcW w:w="4106" w:type="dxa"/>
            <w:tcMar>
              <w:left w:w="57" w:type="dxa"/>
              <w:right w:w="57" w:type="dxa"/>
            </w:tcMar>
          </w:tcPr>
          <w:p w14:paraId="17E4DCF0" w14:textId="70C87032" w:rsidR="009C190D" w:rsidRPr="00773EDE" w:rsidRDefault="006F2121" w:rsidP="0009651D">
            <w:pPr>
              <w:pStyle w:val="Table-Heading1"/>
              <w:keepNext/>
            </w:pPr>
            <w:r w:rsidRPr="00773EDE">
              <w:t xml:space="preserve">Primary composite endpoint </w:t>
            </w:r>
          </w:p>
        </w:tc>
        <w:tc>
          <w:tcPr>
            <w:tcW w:w="1636" w:type="dxa"/>
            <w:tcMar>
              <w:left w:w="57" w:type="dxa"/>
              <w:right w:w="57" w:type="dxa"/>
            </w:tcMar>
          </w:tcPr>
          <w:p w14:paraId="6B3DC883" w14:textId="77777777" w:rsidR="009C190D" w:rsidRPr="00773EDE" w:rsidRDefault="009C190D" w:rsidP="0009651D">
            <w:pPr>
              <w:pStyle w:val="Table-text"/>
              <w:keepNext/>
            </w:pPr>
          </w:p>
        </w:tc>
        <w:tc>
          <w:tcPr>
            <w:tcW w:w="1637" w:type="dxa"/>
          </w:tcPr>
          <w:p w14:paraId="41FCB349" w14:textId="2E897AEE" w:rsidR="009C190D" w:rsidRPr="00773EDE" w:rsidRDefault="009C190D" w:rsidP="0009651D">
            <w:pPr>
              <w:pStyle w:val="Table-text"/>
              <w:keepNext/>
            </w:pPr>
          </w:p>
        </w:tc>
        <w:tc>
          <w:tcPr>
            <w:tcW w:w="1637" w:type="dxa"/>
            <w:tcMar>
              <w:left w:w="57" w:type="dxa"/>
              <w:right w:w="57" w:type="dxa"/>
            </w:tcMar>
          </w:tcPr>
          <w:p w14:paraId="1676D808" w14:textId="6623B104" w:rsidR="009C190D" w:rsidRPr="00773EDE" w:rsidRDefault="009C190D" w:rsidP="0009651D">
            <w:pPr>
              <w:pStyle w:val="Table-text"/>
              <w:keepNext/>
            </w:pPr>
          </w:p>
        </w:tc>
      </w:tr>
      <w:tr w:rsidR="009C190D" w:rsidRPr="00773EDE" w14:paraId="3F3099DA" w14:textId="77777777" w:rsidTr="00DB09F5">
        <w:tc>
          <w:tcPr>
            <w:tcW w:w="4106" w:type="dxa"/>
            <w:tcMar>
              <w:left w:w="57" w:type="dxa"/>
              <w:right w:w="57" w:type="dxa"/>
            </w:tcMar>
          </w:tcPr>
          <w:p w14:paraId="07CEAA62" w14:textId="6A823D88" w:rsidR="009C190D" w:rsidRPr="00773EDE" w:rsidRDefault="006F2121" w:rsidP="0009651D">
            <w:pPr>
              <w:pStyle w:val="Table-text"/>
            </w:pPr>
            <w:r w:rsidRPr="00773EDE">
              <w:t xml:space="preserve">Cardiovascular death, myocardial infarction, stroke, coronary revascularisation, hospitalisation for unstable angina (5-point MACE) </w:t>
            </w:r>
          </w:p>
        </w:tc>
        <w:tc>
          <w:tcPr>
            <w:tcW w:w="1636" w:type="dxa"/>
            <w:tcMar>
              <w:left w:w="57" w:type="dxa"/>
              <w:right w:w="57" w:type="dxa"/>
            </w:tcMar>
          </w:tcPr>
          <w:p w14:paraId="2E5BEC1A" w14:textId="69B09BD1" w:rsidR="006F2121" w:rsidRPr="00773EDE" w:rsidRDefault="006F2121" w:rsidP="0009651D">
            <w:pPr>
              <w:pStyle w:val="Table-text"/>
            </w:pPr>
            <w:r w:rsidRPr="00773EDE">
              <w:t>705</w:t>
            </w:r>
          </w:p>
          <w:p w14:paraId="7B3D98DE" w14:textId="37568C4D" w:rsidR="009C190D" w:rsidRPr="00773EDE" w:rsidRDefault="006F2121" w:rsidP="0009651D">
            <w:pPr>
              <w:pStyle w:val="Table-text"/>
            </w:pPr>
            <w:r w:rsidRPr="00773EDE">
              <w:t>(17.2)</w:t>
            </w:r>
          </w:p>
        </w:tc>
        <w:tc>
          <w:tcPr>
            <w:tcW w:w="1637" w:type="dxa"/>
          </w:tcPr>
          <w:p w14:paraId="4F9B9C94" w14:textId="0E51249E" w:rsidR="006F2121" w:rsidRPr="00773EDE" w:rsidRDefault="006F2121" w:rsidP="0009651D">
            <w:pPr>
              <w:pStyle w:val="Table-text"/>
            </w:pPr>
            <w:r w:rsidRPr="00773EDE">
              <w:t>901</w:t>
            </w:r>
          </w:p>
          <w:p w14:paraId="1E6B1472" w14:textId="59F66F2E" w:rsidR="009C190D" w:rsidRPr="00773EDE" w:rsidRDefault="006F2121" w:rsidP="0009651D">
            <w:pPr>
              <w:pStyle w:val="Table-text"/>
            </w:pPr>
            <w:r w:rsidRPr="00773EDE">
              <w:t>(22.0)</w:t>
            </w:r>
          </w:p>
        </w:tc>
        <w:tc>
          <w:tcPr>
            <w:tcW w:w="1637" w:type="dxa"/>
            <w:tcMar>
              <w:left w:w="57" w:type="dxa"/>
              <w:right w:w="57" w:type="dxa"/>
            </w:tcMar>
          </w:tcPr>
          <w:p w14:paraId="06AF31A4" w14:textId="5E1410E0" w:rsidR="009D3B68" w:rsidRPr="00773EDE" w:rsidRDefault="009D3B68" w:rsidP="0009651D">
            <w:pPr>
              <w:pStyle w:val="Table-text"/>
            </w:pPr>
            <w:r w:rsidRPr="00773EDE">
              <w:t>0.75</w:t>
            </w:r>
          </w:p>
          <w:p w14:paraId="0CFC1EA7" w14:textId="45D1E826" w:rsidR="009C190D" w:rsidRPr="00773EDE" w:rsidRDefault="009D3B68" w:rsidP="0009651D">
            <w:pPr>
              <w:pStyle w:val="Table-text"/>
            </w:pPr>
            <w:r w:rsidRPr="00773EDE">
              <w:t>(0.68, 0.83)</w:t>
            </w:r>
          </w:p>
        </w:tc>
      </w:tr>
      <w:tr w:rsidR="009D3B68" w:rsidRPr="00773EDE" w14:paraId="29CF44E9" w14:textId="77777777" w:rsidTr="00DB09F5">
        <w:tc>
          <w:tcPr>
            <w:tcW w:w="4106" w:type="dxa"/>
            <w:tcMar>
              <w:left w:w="57" w:type="dxa"/>
              <w:right w:w="57" w:type="dxa"/>
            </w:tcMar>
          </w:tcPr>
          <w:p w14:paraId="468B07FA" w14:textId="1B6E0746" w:rsidR="009D3B68" w:rsidRPr="00773EDE" w:rsidRDefault="00BF3D23" w:rsidP="0009651D">
            <w:pPr>
              <w:pStyle w:val="Table-text"/>
            </w:pPr>
            <w:r w:rsidRPr="00773EDE">
              <w:rPr>
                <w:b/>
              </w:rPr>
              <w:t>Key secondary</w:t>
            </w:r>
            <w:r w:rsidR="009D3B68" w:rsidRPr="00773EDE">
              <w:rPr>
                <w:b/>
              </w:rPr>
              <w:t xml:space="preserve"> composite endpoint </w:t>
            </w:r>
          </w:p>
        </w:tc>
        <w:tc>
          <w:tcPr>
            <w:tcW w:w="1636" w:type="dxa"/>
            <w:tcMar>
              <w:left w:w="57" w:type="dxa"/>
              <w:right w:w="57" w:type="dxa"/>
            </w:tcMar>
          </w:tcPr>
          <w:p w14:paraId="781378D7" w14:textId="77777777" w:rsidR="009D3B68" w:rsidRPr="00773EDE" w:rsidRDefault="009D3B68" w:rsidP="0009651D">
            <w:pPr>
              <w:pStyle w:val="Table-text"/>
            </w:pPr>
          </w:p>
        </w:tc>
        <w:tc>
          <w:tcPr>
            <w:tcW w:w="1637" w:type="dxa"/>
          </w:tcPr>
          <w:p w14:paraId="5EBDDC1B" w14:textId="3C829178" w:rsidR="009D3B68" w:rsidRPr="00773EDE" w:rsidRDefault="009D3B68" w:rsidP="0009651D">
            <w:pPr>
              <w:pStyle w:val="Table-text"/>
            </w:pPr>
          </w:p>
        </w:tc>
        <w:tc>
          <w:tcPr>
            <w:tcW w:w="1637" w:type="dxa"/>
            <w:tcMar>
              <w:left w:w="57" w:type="dxa"/>
              <w:right w:w="57" w:type="dxa"/>
            </w:tcMar>
          </w:tcPr>
          <w:p w14:paraId="34B1F34B" w14:textId="2D404A0D" w:rsidR="009D3B68" w:rsidRPr="00773EDE" w:rsidRDefault="009D3B68" w:rsidP="0009651D">
            <w:pPr>
              <w:pStyle w:val="Table-text"/>
            </w:pPr>
          </w:p>
        </w:tc>
      </w:tr>
      <w:tr w:rsidR="009D3B68" w:rsidRPr="00773EDE" w14:paraId="5C204CAD" w14:textId="77777777" w:rsidTr="00DB09F5">
        <w:tc>
          <w:tcPr>
            <w:tcW w:w="4106" w:type="dxa"/>
            <w:tcMar>
              <w:left w:w="57" w:type="dxa"/>
              <w:right w:w="57" w:type="dxa"/>
            </w:tcMar>
          </w:tcPr>
          <w:p w14:paraId="0F936F1F" w14:textId="2221184A" w:rsidR="009D3B68" w:rsidRPr="00773EDE" w:rsidRDefault="00BF3D23" w:rsidP="0009651D">
            <w:pPr>
              <w:pStyle w:val="Table-text"/>
            </w:pPr>
            <w:r w:rsidRPr="00773EDE">
              <w:t xml:space="preserve">Cardiovascular death, myocardial infarction, stroke (3-point MACE) </w:t>
            </w:r>
          </w:p>
        </w:tc>
        <w:tc>
          <w:tcPr>
            <w:tcW w:w="1636" w:type="dxa"/>
            <w:tcMar>
              <w:left w:w="57" w:type="dxa"/>
              <w:right w:w="57" w:type="dxa"/>
            </w:tcMar>
          </w:tcPr>
          <w:p w14:paraId="02F2DF12" w14:textId="42D8410F" w:rsidR="00BF3D23" w:rsidRPr="00773EDE" w:rsidRDefault="00BF3D23" w:rsidP="0009651D">
            <w:pPr>
              <w:pStyle w:val="Table-text"/>
            </w:pPr>
            <w:r w:rsidRPr="00773EDE">
              <w:t>459</w:t>
            </w:r>
          </w:p>
          <w:p w14:paraId="4AEFC17D" w14:textId="7D44B490" w:rsidR="009D3B68" w:rsidRPr="00773EDE" w:rsidRDefault="00BF3D23" w:rsidP="0009651D">
            <w:pPr>
              <w:pStyle w:val="Table-text"/>
            </w:pPr>
            <w:r w:rsidRPr="00773EDE">
              <w:t>(11.2)</w:t>
            </w:r>
          </w:p>
        </w:tc>
        <w:tc>
          <w:tcPr>
            <w:tcW w:w="1637" w:type="dxa"/>
          </w:tcPr>
          <w:p w14:paraId="7BE4C123" w14:textId="4FCFE987" w:rsidR="00BF3D23" w:rsidRPr="00773EDE" w:rsidRDefault="00BF3D23" w:rsidP="0009651D">
            <w:pPr>
              <w:pStyle w:val="Table-text"/>
            </w:pPr>
            <w:r w:rsidRPr="00773EDE">
              <w:t>606</w:t>
            </w:r>
          </w:p>
          <w:p w14:paraId="261AAEE3" w14:textId="763ECB90" w:rsidR="009D3B68" w:rsidRPr="00773EDE" w:rsidRDefault="00BF3D23" w:rsidP="0009651D">
            <w:pPr>
              <w:pStyle w:val="Table-text"/>
            </w:pPr>
            <w:r w:rsidRPr="00773EDE">
              <w:t>(14.8)</w:t>
            </w:r>
          </w:p>
        </w:tc>
        <w:tc>
          <w:tcPr>
            <w:tcW w:w="1637" w:type="dxa"/>
            <w:tcMar>
              <w:left w:w="57" w:type="dxa"/>
              <w:right w:w="57" w:type="dxa"/>
            </w:tcMar>
          </w:tcPr>
          <w:p w14:paraId="7874A958" w14:textId="62144640" w:rsidR="00BF3D23" w:rsidRPr="00773EDE" w:rsidRDefault="00BF3D23" w:rsidP="0009651D">
            <w:pPr>
              <w:pStyle w:val="Table-text"/>
            </w:pPr>
            <w:r w:rsidRPr="00773EDE">
              <w:t>0.74</w:t>
            </w:r>
          </w:p>
          <w:p w14:paraId="68B3FDE6" w14:textId="3ED7F7AA" w:rsidR="009D3B68" w:rsidRPr="00773EDE" w:rsidRDefault="00BF3D23" w:rsidP="0009651D">
            <w:pPr>
              <w:pStyle w:val="Table-text"/>
            </w:pPr>
            <w:r w:rsidRPr="00773EDE">
              <w:t>(0.65, 0.83)</w:t>
            </w:r>
          </w:p>
        </w:tc>
      </w:tr>
      <w:tr w:rsidR="009D3B68" w:rsidRPr="00773EDE" w14:paraId="168FE431" w14:textId="77777777" w:rsidTr="00DB09F5">
        <w:tc>
          <w:tcPr>
            <w:tcW w:w="4106" w:type="dxa"/>
            <w:tcMar>
              <w:left w:w="57" w:type="dxa"/>
              <w:right w:w="57" w:type="dxa"/>
            </w:tcMar>
          </w:tcPr>
          <w:p w14:paraId="5E2A66CE" w14:textId="2717F01C" w:rsidR="009D3B68" w:rsidRPr="00773EDE" w:rsidRDefault="00E74830" w:rsidP="0009651D">
            <w:pPr>
              <w:pStyle w:val="Table-text"/>
            </w:pPr>
            <w:r w:rsidRPr="00773EDE">
              <w:rPr>
                <w:b/>
                <w:bCs/>
              </w:rPr>
              <w:t xml:space="preserve">Other secondary endpoints </w:t>
            </w:r>
          </w:p>
        </w:tc>
        <w:tc>
          <w:tcPr>
            <w:tcW w:w="1636" w:type="dxa"/>
            <w:tcMar>
              <w:left w:w="57" w:type="dxa"/>
              <w:right w:w="57" w:type="dxa"/>
            </w:tcMar>
          </w:tcPr>
          <w:p w14:paraId="1D0D883B" w14:textId="77777777" w:rsidR="009D3B68" w:rsidRPr="00773EDE" w:rsidRDefault="009D3B68" w:rsidP="0009651D">
            <w:pPr>
              <w:pStyle w:val="Table-text"/>
            </w:pPr>
          </w:p>
        </w:tc>
        <w:tc>
          <w:tcPr>
            <w:tcW w:w="1637" w:type="dxa"/>
          </w:tcPr>
          <w:p w14:paraId="1BB6E480" w14:textId="332E94C1" w:rsidR="009D3B68" w:rsidRPr="00773EDE" w:rsidRDefault="009D3B68" w:rsidP="0009651D">
            <w:pPr>
              <w:pStyle w:val="Table-text"/>
            </w:pPr>
          </w:p>
        </w:tc>
        <w:tc>
          <w:tcPr>
            <w:tcW w:w="1637" w:type="dxa"/>
            <w:tcMar>
              <w:left w:w="57" w:type="dxa"/>
              <w:right w:w="57" w:type="dxa"/>
            </w:tcMar>
          </w:tcPr>
          <w:p w14:paraId="5268B90C" w14:textId="268CE1F2" w:rsidR="009D3B68" w:rsidRPr="00773EDE" w:rsidRDefault="009D3B68" w:rsidP="0009651D">
            <w:pPr>
              <w:pStyle w:val="Table-text"/>
            </w:pPr>
          </w:p>
        </w:tc>
      </w:tr>
      <w:tr w:rsidR="009D3B68" w:rsidRPr="00773EDE" w14:paraId="503CBC9D" w14:textId="77777777" w:rsidTr="00DB09F5">
        <w:tc>
          <w:tcPr>
            <w:tcW w:w="4106" w:type="dxa"/>
            <w:tcMar>
              <w:left w:w="57" w:type="dxa"/>
              <w:right w:w="57" w:type="dxa"/>
            </w:tcMar>
          </w:tcPr>
          <w:p w14:paraId="2931F5AF" w14:textId="57A8409D" w:rsidR="009D3B68" w:rsidRPr="00773EDE" w:rsidRDefault="00E74830" w:rsidP="0009651D">
            <w:pPr>
              <w:pStyle w:val="Table-text"/>
            </w:pPr>
            <w:r w:rsidRPr="00773EDE">
              <w:t xml:space="preserve">Cardiovascular </w:t>
            </w:r>
            <w:proofErr w:type="gramStart"/>
            <w:r w:rsidRPr="00773EDE">
              <w:t>death</w:t>
            </w:r>
            <w:r w:rsidRPr="00773EDE">
              <w:rPr>
                <w:vertAlign w:val="superscript"/>
              </w:rPr>
              <w:t>[</w:t>
            </w:r>
            <w:proofErr w:type="gramEnd"/>
            <w:r w:rsidRPr="00773EDE">
              <w:rPr>
                <w:vertAlign w:val="superscript"/>
              </w:rPr>
              <w:t>1]</w:t>
            </w:r>
            <w:r w:rsidRPr="00773EDE">
              <w:t xml:space="preserve"> </w:t>
            </w:r>
          </w:p>
        </w:tc>
        <w:tc>
          <w:tcPr>
            <w:tcW w:w="1636" w:type="dxa"/>
            <w:tcMar>
              <w:left w:w="57" w:type="dxa"/>
              <w:right w:w="57" w:type="dxa"/>
            </w:tcMar>
          </w:tcPr>
          <w:p w14:paraId="0B56773B" w14:textId="7E451C9B" w:rsidR="00E74830" w:rsidRPr="00773EDE" w:rsidRDefault="00E74830" w:rsidP="0009651D">
            <w:pPr>
              <w:pStyle w:val="Table-text"/>
            </w:pPr>
            <w:r w:rsidRPr="00773EDE">
              <w:t>174</w:t>
            </w:r>
          </w:p>
          <w:p w14:paraId="53B87227" w14:textId="3C675D12" w:rsidR="009D3B68" w:rsidRPr="00773EDE" w:rsidRDefault="00E74830" w:rsidP="0009651D">
            <w:pPr>
              <w:pStyle w:val="Table-text"/>
            </w:pPr>
            <w:r w:rsidRPr="00773EDE">
              <w:t>(4.3)</w:t>
            </w:r>
          </w:p>
        </w:tc>
        <w:tc>
          <w:tcPr>
            <w:tcW w:w="1637" w:type="dxa"/>
          </w:tcPr>
          <w:p w14:paraId="25726EA3" w14:textId="646A51A1" w:rsidR="00E74830" w:rsidRPr="00773EDE" w:rsidRDefault="00E74830" w:rsidP="0009651D">
            <w:pPr>
              <w:pStyle w:val="Table-text"/>
            </w:pPr>
            <w:r w:rsidRPr="00773EDE">
              <w:t>213</w:t>
            </w:r>
          </w:p>
          <w:p w14:paraId="7CAAF1CB" w14:textId="5DCA8260" w:rsidR="009D3B68" w:rsidRPr="00773EDE" w:rsidRDefault="00E74830" w:rsidP="0009651D">
            <w:pPr>
              <w:pStyle w:val="Table-text"/>
            </w:pPr>
            <w:r w:rsidRPr="00773EDE">
              <w:t>(5.2)</w:t>
            </w:r>
          </w:p>
        </w:tc>
        <w:tc>
          <w:tcPr>
            <w:tcW w:w="1637" w:type="dxa"/>
            <w:tcMar>
              <w:left w:w="57" w:type="dxa"/>
              <w:right w:w="57" w:type="dxa"/>
            </w:tcMar>
          </w:tcPr>
          <w:p w14:paraId="0086FD39" w14:textId="3CF88480" w:rsidR="00E74830" w:rsidRPr="00773EDE" w:rsidRDefault="00E74830" w:rsidP="0009651D">
            <w:pPr>
              <w:pStyle w:val="Table-text"/>
            </w:pPr>
            <w:r w:rsidRPr="00773EDE">
              <w:t>0.80</w:t>
            </w:r>
          </w:p>
          <w:p w14:paraId="450AF3EE" w14:textId="2500045C" w:rsidR="009D3B68" w:rsidRPr="00773EDE" w:rsidRDefault="00E74830" w:rsidP="0009651D">
            <w:pPr>
              <w:pStyle w:val="Table-text"/>
            </w:pPr>
            <w:r w:rsidRPr="00773EDE">
              <w:t>(0.66, 0.98)</w:t>
            </w:r>
          </w:p>
        </w:tc>
      </w:tr>
      <w:tr w:rsidR="009D3B68" w:rsidRPr="00773EDE" w14:paraId="4CBD5F3D" w14:textId="77777777" w:rsidTr="00DB09F5">
        <w:tc>
          <w:tcPr>
            <w:tcW w:w="4106" w:type="dxa"/>
            <w:tcMar>
              <w:left w:w="57" w:type="dxa"/>
              <w:right w:w="57" w:type="dxa"/>
            </w:tcMar>
          </w:tcPr>
          <w:p w14:paraId="451CB3FE" w14:textId="7EFF055D" w:rsidR="009D3B68" w:rsidRPr="00773EDE" w:rsidRDefault="00E74830" w:rsidP="0009651D">
            <w:pPr>
              <w:pStyle w:val="Table-text"/>
            </w:pPr>
            <w:r w:rsidRPr="00773EDE">
              <w:t xml:space="preserve">Death by any </w:t>
            </w:r>
            <w:proofErr w:type="gramStart"/>
            <w:r w:rsidRPr="00773EDE">
              <w:t>cause</w:t>
            </w:r>
            <w:r w:rsidRPr="00773EDE">
              <w:rPr>
                <w:vertAlign w:val="superscript"/>
              </w:rPr>
              <w:t>[</w:t>
            </w:r>
            <w:proofErr w:type="gramEnd"/>
            <w:r w:rsidRPr="00773EDE">
              <w:rPr>
                <w:vertAlign w:val="superscript"/>
              </w:rPr>
              <w:t>2]</w:t>
            </w:r>
            <w:r w:rsidRPr="00773EDE">
              <w:t xml:space="preserve"> </w:t>
            </w:r>
          </w:p>
        </w:tc>
        <w:tc>
          <w:tcPr>
            <w:tcW w:w="1636" w:type="dxa"/>
            <w:tcMar>
              <w:left w:w="57" w:type="dxa"/>
              <w:right w:w="57" w:type="dxa"/>
            </w:tcMar>
          </w:tcPr>
          <w:p w14:paraId="1965C40E" w14:textId="0CB3F971" w:rsidR="00C62070" w:rsidRPr="00773EDE" w:rsidRDefault="00C62070" w:rsidP="0009651D">
            <w:pPr>
              <w:pStyle w:val="Table-text"/>
            </w:pPr>
            <w:r w:rsidRPr="00773EDE">
              <w:t>274</w:t>
            </w:r>
          </w:p>
          <w:p w14:paraId="1675B1FD" w14:textId="6F752A7B" w:rsidR="009D3B68" w:rsidRPr="00773EDE" w:rsidRDefault="00C62070" w:rsidP="0009651D">
            <w:pPr>
              <w:pStyle w:val="Table-text"/>
            </w:pPr>
            <w:r w:rsidRPr="00773EDE">
              <w:t>(6.7)</w:t>
            </w:r>
          </w:p>
        </w:tc>
        <w:tc>
          <w:tcPr>
            <w:tcW w:w="1637" w:type="dxa"/>
          </w:tcPr>
          <w:p w14:paraId="0CCC81AA" w14:textId="7CEBA6FE" w:rsidR="00C62070" w:rsidRPr="00773EDE" w:rsidRDefault="00C62070" w:rsidP="0009651D">
            <w:pPr>
              <w:pStyle w:val="Table-text"/>
            </w:pPr>
            <w:r w:rsidRPr="00773EDE">
              <w:t>310</w:t>
            </w:r>
          </w:p>
          <w:p w14:paraId="7931F2C2" w14:textId="77725748" w:rsidR="009D3B68" w:rsidRPr="00773EDE" w:rsidRDefault="00C62070" w:rsidP="0009651D">
            <w:pPr>
              <w:pStyle w:val="Table-text"/>
            </w:pPr>
            <w:r w:rsidRPr="00773EDE">
              <w:t>(7.6)</w:t>
            </w:r>
          </w:p>
        </w:tc>
        <w:tc>
          <w:tcPr>
            <w:tcW w:w="1637" w:type="dxa"/>
            <w:tcMar>
              <w:left w:w="57" w:type="dxa"/>
              <w:right w:w="57" w:type="dxa"/>
            </w:tcMar>
          </w:tcPr>
          <w:p w14:paraId="1E330516" w14:textId="788B4C7B" w:rsidR="00C62070" w:rsidRPr="00773EDE" w:rsidRDefault="00C62070" w:rsidP="0009651D">
            <w:pPr>
              <w:pStyle w:val="Table-text"/>
            </w:pPr>
            <w:r w:rsidRPr="00773EDE">
              <w:t>0.87</w:t>
            </w:r>
          </w:p>
          <w:p w14:paraId="0C3AF45E" w14:textId="1301F71C" w:rsidR="009D3B68" w:rsidRPr="00773EDE" w:rsidRDefault="00C62070" w:rsidP="0009651D">
            <w:pPr>
              <w:pStyle w:val="Table-text"/>
            </w:pPr>
            <w:r w:rsidRPr="00773EDE">
              <w:t>(0.74, 1.02)</w:t>
            </w:r>
          </w:p>
        </w:tc>
      </w:tr>
      <w:tr w:rsidR="009D3B68" w:rsidRPr="00773EDE" w14:paraId="0974A77B" w14:textId="77777777" w:rsidTr="00DB09F5">
        <w:tc>
          <w:tcPr>
            <w:tcW w:w="4106" w:type="dxa"/>
            <w:tcMar>
              <w:left w:w="57" w:type="dxa"/>
              <w:right w:w="57" w:type="dxa"/>
            </w:tcMar>
          </w:tcPr>
          <w:p w14:paraId="17FB7DA1" w14:textId="7D4013D9" w:rsidR="009D3B68" w:rsidRPr="00773EDE" w:rsidRDefault="00C62070" w:rsidP="0009651D">
            <w:pPr>
              <w:pStyle w:val="Table-text"/>
            </w:pPr>
            <w:r w:rsidRPr="00773EDE">
              <w:t xml:space="preserve">Fatal or non-fatal myocardial infarction </w:t>
            </w:r>
          </w:p>
        </w:tc>
        <w:tc>
          <w:tcPr>
            <w:tcW w:w="1636" w:type="dxa"/>
            <w:tcMar>
              <w:left w:w="57" w:type="dxa"/>
              <w:right w:w="57" w:type="dxa"/>
            </w:tcMar>
          </w:tcPr>
          <w:p w14:paraId="3ECACAFB" w14:textId="4D719A5A" w:rsidR="00C62070" w:rsidRPr="00773EDE" w:rsidRDefault="00C62070" w:rsidP="0009651D">
            <w:pPr>
              <w:pStyle w:val="Table-text"/>
            </w:pPr>
            <w:r w:rsidRPr="00773EDE">
              <w:t>250</w:t>
            </w:r>
          </w:p>
          <w:p w14:paraId="014121D9" w14:textId="1A3B5CD8" w:rsidR="009D3B68" w:rsidRPr="00773EDE" w:rsidRDefault="00C62070" w:rsidP="0009651D">
            <w:pPr>
              <w:pStyle w:val="Table-text"/>
            </w:pPr>
            <w:r w:rsidRPr="00773EDE">
              <w:t>(6.1)</w:t>
            </w:r>
          </w:p>
        </w:tc>
        <w:tc>
          <w:tcPr>
            <w:tcW w:w="1637" w:type="dxa"/>
          </w:tcPr>
          <w:p w14:paraId="4DDA4DF2" w14:textId="72657E64" w:rsidR="00C62070" w:rsidRPr="00773EDE" w:rsidRDefault="00C62070" w:rsidP="0009651D">
            <w:pPr>
              <w:pStyle w:val="Table-text"/>
            </w:pPr>
            <w:r w:rsidRPr="00773EDE">
              <w:t>355</w:t>
            </w:r>
          </w:p>
          <w:p w14:paraId="260F547E" w14:textId="3AAEBDD0" w:rsidR="009D3B68" w:rsidRPr="00773EDE" w:rsidRDefault="00C62070" w:rsidP="0009651D">
            <w:pPr>
              <w:pStyle w:val="Table-text"/>
            </w:pPr>
            <w:r w:rsidRPr="00773EDE">
              <w:t>(8.7)</w:t>
            </w:r>
          </w:p>
        </w:tc>
        <w:tc>
          <w:tcPr>
            <w:tcW w:w="1637" w:type="dxa"/>
            <w:tcMar>
              <w:left w:w="57" w:type="dxa"/>
              <w:right w:w="57" w:type="dxa"/>
            </w:tcMar>
          </w:tcPr>
          <w:p w14:paraId="12DBD335" w14:textId="5CB49539" w:rsidR="009D08B3" w:rsidRPr="00773EDE" w:rsidRDefault="009D08B3" w:rsidP="0009651D">
            <w:pPr>
              <w:pStyle w:val="Table-text"/>
            </w:pPr>
            <w:r w:rsidRPr="00773EDE">
              <w:t>0.69</w:t>
            </w:r>
          </w:p>
          <w:p w14:paraId="352938CC" w14:textId="13707E78" w:rsidR="009D3B68" w:rsidRPr="00773EDE" w:rsidRDefault="009D08B3" w:rsidP="0009651D">
            <w:pPr>
              <w:pStyle w:val="Table-text"/>
            </w:pPr>
            <w:r w:rsidRPr="00773EDE">
              <w:t>(0.5</w:t>
            </w:r>
            <w:r w:rsidR="00BB1CA2">
              <w:t>8</w:t>
            </w:r>
            <w:r w:rsidRPr="00773EDE">
              <w:t>, 0.81)</w:t>
            </w:r>
          </w:p>
        </w:tc>
      </w:tr>
      <w:tr w:rsidR="009D3B68" w:rsidRPr="00773EDE" w14:paraId="3C9F5CDE" w14:textId="77777777" w:rsidTr="00DB09F5">
        <w:tc>
          <w:tcPr>
            <w:tcW w:w="4106" w:type="dxa"/>
            <w:tcMar>
              <w:left w:w="57" w:type="dxa"/>
              <w:right w:w="57" w:type="dxa"/>
            </w:tcMar>
          </w:tcPr>
          <w:p w14:paraId="5B49C417" w14:textId="2CD70FB5" w:rsidR="009D3B68" w:rsidRPr="00773EDE" w:rsidRDefault="009D08B3" w:rsidP="0009651D">
            <w:pPr>
              <w:pStyle w:val="Table-text"/>
            </w:pPr>
            <w:r w:rsidRPr="00773EDE">
              <w:t xml:space="preserve">Fatal or non-fatal stroke </w:t>
            </w:r>
          </w:p>
        </w:tc>
        <w:tc>
          <w:tcPr>
            <w:tcW w:w="1636" w:type="dxa"/>
            <w:tcMar>
              <w:left w:w="57" w:type="dxa"/>
              <w:right w:w="57" w:type="dxa"/>
            </w:tcMar>
          </w:tcPr>
          <w:p w14:paraId="7EF1219C" w14:textId="69E18B7B" w:rsidR="009D08B3" w:rsidRPr="00773EDE" w:rsidRDefault="009D08B3" w:rsidP="0009651D">
            <w:pPr>
              <w:pStyle w:val="Table-text"/>
            </w:pPr>
            <w:r w:rsidRPr="00773EDE">
              <w:t>98</w:t>
            </w:r>
          </w:p>
          <w:p w14:paraId="2FE304D6" w14:textId="0CB0D77C" w:rsidR="009D3B68" w:rsidRPr="00773EDE" w:rsidRDefault="009D08B3" w:rsidP="0009651D">
            <w:pPr>
              <w:pStyle w:val="Table-text"/>
            </w:pPr>
            <w:r w:rsidRPr="00773EDE">
              <w:t>(2.4)</w:t>
            </w:r>
          </w:p>
        </w:tc>
        <w:tc>
          <w:tcPr>
            <w:tcW w:w="1637" w:type="dxa"/>
          </w:tcPr>
          <w:p w14:paraId="55E7CF66" w14:textId="774775CD" w:rsidR="009D08B3" w:rsidRPr="00773EDE" w:rsidRDefault="009D08B3" w:rsidP="0009651D">
            <w:pPr>
              <w:pStyle w:val="Table-text"/>
            </w:pPr>
            <w:r w:rsidRPr="00773EDE">
              <w:t>134</w:t>
            </w:r>
          </w:p>
          <w:p w14:paraId="37F49F37" w14:textId="0B7F3DCD" w:rsidR="009D3B68" w:rsidRPr="00773EDE" w:rsidRDefault="009D08B3" w:rsidP="0009651D">
            <w:pPr>
              <w:pStyle w:val="Table-text"/>
            </w:pPr>
            <w:r w:rsidRPr="00773EDE">
              <w:t>(3.3)</w:t>
            </w:r>
          </w:p>
        </w:tc>
        <w:tc>
          <w:tcPr>
            <w:tcW w:w="1637" w:type="dxa"/>
            <w:tcMar>
              <w:left w:w="57" w:type="dxa"/>
              <w:right w:w="57" w:type="dxa"/>
            </w:tcMar>
          </w:tcPr>
          <w:p w14:paraId="3DFDE7DF" w14:textId="2B728C8F" w:rsidR="009D08B3" w:rsidRPr="00773EDE" w:rsidRDefault="009D08B3" w:rsidP="0009651D">
            <w:pPr>
              <w:pStyle w:val="Table-text"/>
            </w:pPr>
            <w:r w:rsidRPr="00773EDE">
              <w:t>0.72</w:t>
            </w:r>
          </w:p>
          <w:p w14:paraId="3E8CDA4C" w14:textId="64870E6F" w:rsidR="009D3B68" w:rsidRPr="00773EDE" w:rsidRDefault="009D08B3" w:rsidP="0009651D">
            <w:pPr>
              <w:pStyle w:val="Table-text"/>
            </w:pPr>
            <w:r w:rsidRPr="00773EDE">
              <w:t>(0.55, 0.93)</w:t>
            </w:r>
          </w:p>
        </w:tc>
      </w:tr>
      <w:tr w:rsidR="009D3B68" w:rsidRPr="00773EDE" w14:paraId="4864ED13" w14:textId="77777777" w:rsidTr="00DB09F5">
        <w:tc>
          <w:tcPr>
            <w:tcW w:w="4106" w:type="dxa"/>
            <w:tcMar>
              <w:left w:w="57" w:type="dxa"/>
              <w:right w:w="57" w:type="dxa"/>
            </w:tcMar>
          </w:tcPr>
          <w:p w14:paraId="48BA8086" w14:textId="5BD2BFF7" w:rsidR="009D3B68" w:rsidRPr="00773EDE" w:rsidRDefault="009D08B3" w:rsidP="0009651D">
            <w:pPr>
              <w:pStyle w:val="Table-text"/>
            </w:pPr>
            <w:r w:rsidRPr="00773EDE">
              <w:t xml:space="preserve">Emergent or urgent coronary revascularisation </w:t>
            </w:r>
          </w:p>
        </w:tc>
        <w:tc>
          <w:tcPr>
            <w:tcW w:w="1636" w:type="dxa"/>
            <w:tcMar>
              <w:left w:w="57" w:type="dxa"/>
              <w:right w:w="57" w:type="dxa"/>
            </w:tcMar>
          </w:tcPr>
          <w:p w14:paraId="1F24BBD0" w14:textId="2C4192EA" w:rsidR="009D08B3" w:rsidRPr="00773EDE" w:rsidRDefault="009D08B3" w:rsidP="0009651D">
            <w:pPr>
              <w:pStyle w:val="Table-text"/>
            </w:pPr>
            <w:r w:rsidRPr="00773EDE">
              <w:t>216</w:t>
            </w:r>
          </w:p>
          <w:p w14:paraId="502AF733" w14:textId="6AADE5A2" w:rsidR="009D3B68" w:rsidRPr="00773EDE" w:rsidRDefault="009D08B3" w:rsidP="0009651D">
            <w:pPr>
              <w:pStyle w:val="Table-text"/>
            </w:pPr>
            <w:r w:rsidRPr="00773EDE">
              <w:t>(5.3)</w:t>
            </w:r>
          </w:p>
        </w:tc>
        <w:tc>
          <w:tcPr>
            <w:tcW w:w="1637" w:type="dxa"/>
          </w:tcPr>
          <w:p w14:paraId="37C07E69" w14:textId="2C4F74C2" w:rsidR="009D08B3" w:rsidRPr="00773EDE" w:rsidRDefault="009D08B3" w:rsidP="0009651D">
            <w:pPr>
              <w:pStyle w:val="Table-text"/>
            </w:pPr>
            <w:r w:rsidRPr="00773EDE">
              <w:t>321</w:t>
            </w:r>
          </w:p>
          <w:p w14:paraId="35E16049" w14:textId="7F3F0872" w:rsidR="009D3B68" w:rsidRPr="00773EDE" w:rsidRDefault="009D08B3" w:rsidP="0009651D">
            <w:pPr>
              <w:pStyle w:val="Table-text"/>
            </w:pPr>
            <w:r w:rsidRPr="00773EDE">
              <w:t>(7.8)</w:t>
            </w:r>
          </w:p>
        </w:tc>
        <w:tc>
          <w:tcPr>
            <w:tcW w:w="1637" w:type="dxa"/>
            <w:tcMar>
              <w:left w:w="57" w:type="dxa"/>
              <w:right w:w="57" w:type="dxa"/>
            </w:tcMar>
          </w:tcPr>
          <w:p w14:paraId="56324888" w14:textId="3033F2AE" w:rsidR="009D08B3" w:rsidRPr="00773EDE" w:rsidRDefault="009D08B3" w:rsidP="0009651D">
            <w:pPr>
              <w:pStyle w:val="Table-text"/>
            </w:pPr>
            <w:r w:rsidRPr="00773EDE">
              <w:t>0.65</w:t>
            </w:r>
          </w:p>
          <w:p w14:paraId="22378E90" w14:textId="53F1BB07" w:rsidR="009D3B68" w:rsidRPr="00773EDE" w:rsidRDefault="009D08B3" w:rsidP="0009651D">
            <w:pPr>
              <w:pStyle w:val="Table-text"/>
            </w:pPr>
            <w:r w:rsidRPr="00773EDE">
              <w:t>(0.55, 0.78)</w:t>
            </w:r>
          </w:p>
        </w:tc>
      </w:tr>
      <w:tr w:rsidR="009D08B3" w:rsidRPr="00773EDE" w14:paraId="5A01FD13" w14:textId="77777777" w:rsidTr="00DB09F5">
        <w:tc>
          <w:tcPr>
            <w:tcW w:w="4106" w:type="dxa"/>
            <w:tcMar>
              <w:left w:w="57" w:type="dxa"/>
              <w:right w:w="57" w:type="dxa"/>
            </w:tcMar>
          </w:tcPr>
          <w:p w14:paraId="57759E55" w14:textId="65D491B2" w:rsidR="009D08B3" w:rsidRPr="00773EDE" w:rsidRDefault="009D08B3" w:rsidP="0009651D">
            <w:pPr>
              <w:pStyle w:val="Table-text"/>
              <w:keepNext/>
            </w:pPr>
            <w:r w:rsidRPr="00773EDE">
              <w:t xml:space="preserve">Coronary </w:t>
            </w:r>
            <w:proofErr w:type="gramStart"/>
            <w:r w:rsidRPr="00773EDE">
              <w:t>revascularisation</w:t>
            </w:r>
            <w:r w:rsidRPr="00773EDE">
              <w:rPr>
                <w:vertAlign w:val="superscript"/>
              </w:rPr>
              <w:t>[</w:t>
            </w:r>
            <w:proofErr w:type="gramEnd"/>
            <w:r w:rsidRPr="00773EDE">
              <w:rPr>
                <w:vertAlign w:val="superscript"/>
              </w:rPr>
              <w:t>3]</w:t>
            </w:r>
            <w:r w:rsidRPr="00773EDE">
              <w:t xml:space="preserve"> </w:t>
            </w:r>
          </w:p>
        </w:tc>
        <w:tc>
          <w:tcPr>
            <w:tcW w:w="1636" w:type="dxa"/>
            <w:tcMar>
              <w:left w:w="57" w:type="dxa"/>
              <w:right w:w="57" w:type="dxa"/>
            </w:tcMar>
          </w:tcPr>
          <w:p w14:paraId="2FDB8CC2" w14:textId="7BA0CFC2" w:rsidR="00DD55AE" w:rsidRPr="00773EDE" w:rsidRDefault="00DD55AE" w:rsidP="0009651D">
            <w:pPr>
              <w:pStyle w:val="Table-text"/>
              <w:keepNext/>
            </w:pPr>
            <w:r w:rsidRPr="00773EDE">
              <w:t>376</w:t>
            </w:r>
          </w:p>
          <w:p w14:paraId="56480F26" w14:textId="634F4BF9" w:rsidR="009D08B3" w:rsidRPr="00773EDE" w:rsidRDefault="00DD55AE" w:rsidP="0009651D">
            <w:pPr>
              <w:pStyle w:val="Table-text"/>
              <w:keepNext/>
            </w:pPr>
            <w:r w:rsidRPr="00773EDE">
              <w:t>(9.2)</w:t>
            </w:r>
          </w:p>
        </w:tc>
        <w:tc>
          <w:tcPr>
            <w:tcW w:w="1637" w:type="dxa"/>
          </w:tcPr>
          <w:p w14:paraId="5136B662" w14:textId="74226B17" w:rsidR="00DD55AE" w:rsidRPr="00773EDE" w:rsidRDefault="00DD55AE" w:rsidP="0009651D">
            <w:pPr>
              <w:pStyle w:val="Table-text"/>
              <w:keepNext/>
            </w:pPr>
            <w:r w:rsidRPr="00773EDE">
              <w:t>544</w:t>
            </w:r>
          </w:p>
          <w:p w14:paraId="257A10B4" w14:textId="6773572D" w:rsidR="009D08B3" w:rsidRPr="00773EDE" w:rsidRDefault="00DD55AE" w:rsidP="0009651D">
            <w:pPr>
              <w:pStyle w:val="Table-text"/>
              <w:keepNext/>
            </w:pPr>
            <w:r w:rsidRPr="00773EDE">
              <w:t>(13.3)</w:t>
            </w:r>
          </w:p>
        </w:tc>
        <w:tc>
          <w:tcPr>
            <w:tcW w:w="1637" w:type="dxa"/>
            <w:tcMar>
              <w:left w:w="57" w:type="dxa"/>
              <w:right w:w="57" w:type="dxa"/>
            </w:tcMar>
          </w:tcPr>
          <w:p w14:paraId="1D291A64" w14:textId="4EE44312" w:rsidR="00DD55AE" w:rsidRPr="00773EDE" w:rsidRDefault="00DD55AE" w:rsidP="0009651D">
            <w:pPr>
              <w:pStyle w:val="Table-text"/>
              <w:keepNext/>
            </w:pPr>
            <w:r w:rsidRPr="00773EDE">
              <w:t>0.66</w:t>
            </w:r>
          </w:p>
          <w:p w14:paraId="56DF9272" w14:textId="25EDEEB2" w:rsidR="009D08B3" w:rsidRPr="00773EDE" w:rsidRDefault="00DD55AE" w:rsidP="0009651D">
            <w:pPr>
              <w:pStyle w:val="Table-text"/>
              <w:keepNext/>
            </w:pPr>
            <w:r w:rsidRPr="00773EDE">
              <w:t>(0.58, 0.76)</w:t>
            </w:r>
          </w:p>
        </w:tc>
      </w:tr>
      <w:tr w:rsidR="009D08B3" w:rsidRPr="00773EDE" w14:paraId="11685DAA" w14:textId="77777777" w:rsidTr="00DB09F5">
        <w:tc>
          <w:tcPr>
            <w:tcW w:w="4106" w:type="dxa"/>
            <w:tcMar>
              <w:left w:w="57" w:type="dxa"/>
              <w:right w:w="57" w:type="dxa"/>
            </w:tcMar>
          </w:tcPr>
          <w:p w14:paraId="7BC8C668" w14:textId="131FDFEF" w:rsidR="009D08B3" w:rsidRPr="00773EDE" w:rsidRDefault="00DD55AE" w:rsidP="0009651D">
            <w:pPr>
              <w:pStyle w:val="Table-text"/>
            </w:pPr>
            <w:r w:rsidRPr="00773EDE">
              <w:t xml:space="preserve">Hospitalisation for unstable </w:t>
            </w:r>
            <w:proofErr w:type="gramStart"/>
            <w:r w:rsidRPr="00773EDE">
              <w:t>angina</w:t>
            </w:r>
            <w:r w:rsidRPr="00773EDE">
              <w:rPr>
                <w:vertAlign w:val="superscript"/>
              </w:rPr>
              <w:t>[</w:t>
            </w:r>
            <w:proofErr w:type="gramEnd"/>
            <w:r w:rsidRPr="00773EDE">
              <w:rPr>
                <w:vertAlign w:val="superscript"/>
              </w:rPr>
              <w:t>4]</w:t>
            </w:r>
            <w:r w:rsidRPr="00773EDE">
              <w:t xml:space="preserve"> </w:t>
            </w:r>
          </w:p>
        </w:tc>
        <w:tc>
          <w:tcPr>
            <w:tcW w:w="1636" w:type="dxa"/>
            <w:tcMar>
              <w:left w:w="57" w:type="dxa"/>
              <w:right w:w="57" w:type="dxa"/>
            </w:tcMar>
          </w:tcPr>
          <w:p w14:paraId="03220037" w14:textId="33EADE62" w:rsidR="00DD55AE" w:rsidRPr="00773EDE" w:rsidRDefault="00DD55AE" w:rsidP="0009651D">
            <w:pPr>
              <w:pStyle w:val="Table-text"/>
            </w:pPr>
            <w:r w:rsidRPr="00773EDE">
              <w:t>108</w:t>
            </w:r>
          </w:p>
          <w:p w14:paraId="60707778" w14:textId="54622686" w:rsidR="009D08B3" w:rsidRPr="00773EDE" w:rsidRDefault="00DD55AE" w:rsidP="0009651D">
            <w:pPr>
              <w:pStyle w:val="Table-text"/>
            </w:pPr>
            <w:r w:rsidRPr="00773EDE">
              <w:t>(2.6)</w:t>
            </w:r>
          </w:p>
        </w:tc>
        <w:tc>
          <w:tcPr>
            <w:tcW w:w="1637" w:type="dxa"/>
          </w:tcPr>
          <w:p w14:paraId="6A02697A" w14:textId="546CC31D" w:rsidR="00DD55AE" w:rsidRPr="00773EDE" w:rsidRDefault="00DD55AE" w:rsidP="0009651D">
            <w:pPr>
              <w:pStyle w:val="Table-text"/>
            </w:pPr>
            <w:r w:rsidRPr="00773EDE">
              <w:t>157</w:t>
            </w:r>
          </w:p>
          <w:p w14:paraId="55A421D1" w14:textId="6B86009B" w:rsidR="009D08B3" w:rsidRPr="00773EDE" w:rsidRDefault="00DD55AE" w:rsidP="0009651D">
            <w:pPr>
              <w:pStyle w:val="Table-text"/>
            </w:pPr>
            <w:r w:rsidRPr="00773EDE">
              <w:t>(3.8)</w:t>
            </w:r>
          </w:p>
        </w:tc>
        <w:tc>
          <w:tcPr>
            <w:tcW w:w="1637" w:type="dxa"/>
            <w:tcMar>
              <w:left w:w="57" w:type="dxa"/>
              <w:right w:w="57" w:type="dxa"/>
            </w:tcMar>
          </w:tcPr>
          <w:p w14:paraId="4337DEA9" w14:textId="0ED228AE" w:rsidR="00DD55AE" w:rsidRPr="00773EDE" w:rsidRDefault="00DD55AE" w:rsidP="0009651D">
            <w:pPr>
              <w:pStyle w:val="Table-text"/>
            </w:pPr>
            <w:r w:rsidRPr="00773EDE">
              <w:t>0.68</w:t>
            </w:r>
          </w:p>
          <w:p w14:paraId="14B225FF" w14:textId="2F6F641E" w:rsidR="009D08B3" w:rsidRPr="00773EDE" w:rsidRDefault="00DD55AE" w:rsidP="0009651D">
            <w:pPr>
              <w:pStyle w:val="Table-text"/>
            </w:pPr>
            <w:r w:rsidRPr="00773EDE">
              <w:t>(0.53, 0.87)</w:t>
            </w:r>
          </w:p>
        </w:tc>
      </w:tr>
      <w:tr w:rsidR="009D3B68" w:rsidRPr="00773EDE" w14:paraId="73B949E8" w14:textId="77777777" w:rsidTr="00DB09F5">
        <w:tc>
          <w:tcPr>
            <w:tcW w:w="9016" w:type="dxa"/>
            <w:gridSpan w:val="4"/>
            <w:tcMar>
              <w:left w:w="57" w:type="dxa"/>
              <w:right w:w="57" w:type="dxa"/>
            </w:tcMar>
          </w:tcPr>
          <w:p w14:paraId="309E6A0D" w14:textId="77777777" w:rsidR="00D4671F" w:rsidRPr="00773EDE" w:rsidRDefault="00D4671F" w:rsidP="0009651D">
            <w:pPr>
              <w:pStyle w:val="Table-Footertext"/>
              <w:ind w:left="224" w:hanging="224"/>
              <w:jc w:val="left"/>
            </w:pPr>
            <w:r w:rsidRPr="00773EDE">
              <w:t xml:space="preserve">[1] Cardiovascular death includes adjudicated cardiovascular deaths and deaths of undetermined causality. </w:t>
            </w:r>
          </w:p>
          <w:p w14:paraId="48574831" w14:textId="77777777" w:rsidR="00D4671F" w:rsidRPr="00773EDE" w:rsidRDefault="00D4671F" w:rsidP="0009651D">
            <w:pPr>
              <w:pStyle w:val="Table-Footertext"/>
              <w:ind w:left="224" w:hanging="224"/>
              <w:jc w:val="left"/>
            </w:pPr>
            <w:r w:rsidRPr="00773EDE">
              <w:t xml:space="preserve">[2] Death by any cause, or total mortality, is not a component of either the primary composite endpoint or key secondary composite endpoint. </w:t>
            </w:r>
          </w:p>
          <w:p w14:paraId="577966FA" w14:textId="77777777" w:rsidR="00D4671F" w:rsidRPr="00773EDE" w:rsidRDefault="00D4671F" w:rsidP="0009651D">
            <w:pPr>
              <w:pStyle w:val="Table-Footertext"/>
              <w:ind w:left="224" w:hanging="224"/>
              <w:jc w:val="left"/>
            </w:pPr>
            <w:r w:rsidRPr="00773EDE">
              <w:t xml:space="preserve">[3] The predefined composite secondary endpoint included emergent or urgent revascularisation (p&lt;0.0001); coronary revascularisations </w:t>
            </w:r>
            <w:proofErr w:type="gramStart"/>
            <w:r w:rsidRPr="00773EDE">
              <w:t>is</w:t>
            </w:r>
            <w:proofErr w:type="gramEnd"/>
            <w:r w:rsidRPr="00773EDE">
              <w:t xml:space="preserve"> the composite of all revascularisation and was predefined as a tertiary endpoint. </w:t>
            </w:r>
          </w:p>
          <w:p w14:paraId="7097342B" w14:textId="5FCD3945" w:rsidR="009D3B68" w:rsidRPr="00773EDE" w:rsidRDefault="00D4671F" w:rsidP="0009651D">
            <w:pPr>
              <w:pStyle w:val="Table-Footertext"/>
              <w:ind w:left="224" w:hanging="224"/>
              <w:jc w:val="left"/>
            </w:pPr>
            <w:r w:rsidRPr="00773EDE">
              <w:t xml:space="preserve">[4] Determined to be caused by myocardial ischemia by invasive/non-invasive testing and requiring emergent hospitalisation. </w:t>
            </w:r>
          </w:p>
        </w:tc>
      </w:tr>
    </w:tbl>
    <w:p w14:paraId="45EA61B6" w14:textId="77777777" w:rsidR="00FA44AD" w:rsidRPr="00773EDE" w:rsidRDefault="00FA44AD" w:rsidP="0009651D">
      <w:pPr>
        <w:pStyle w:val="BodyText1"/>
        <w:jc w:val="left"/>
        <w:rPr>
          <w:rFonts w:ascii="Times New Roman" w:hAnsi="Times New Roman"/>
          <w:color w:val="000000"/>
          <w:szCs w:val="22"/>
        </w:rPr>
      </w:pPr>
    </w:p>
    <w:p w14:paraId="3C86119B" w14:textId="3689BCB1" w:rsidR="00FA44AD" w:rsidRPr="00773EDE" w:rsidRDefault="00161ACE" w:rsidP="0009651D">
      <w:pPr>
        <w:pStyle w:val="Table-MainTitle"/>
        <w:keepNext/>
        <w:keepLines/>
        <w:rPr>
          <w:color w:val="000000"/>
        </w:rPr>
      </w:pPr>
      <w:bookmarkStart w:id="16" w:name="_Ref88225621"/>
      <w:r w:rsidRPr="00773EDE">
        <w:lastRenderedPageBreak/>
        <w:t xml:space="preserve">Figure </w:t>
      </w:r>
      <w:r w:rsidR="0009651D">
        <w:fldChar w:fldCharType="begin"/>
      </w:r>
      <w:r w:rsidR="0009651D">
        <w:instrText xml:space="preserve"> SEQ Figure \* ARABIC </w:instrText>
      </w:r>
      <w:r w:rsidR="0009651D">
        <w:fldChar w:fldCharType="separate"/>
      </w:r>
      <w:r w:rsidRPr="00773EDE">
        <w:rPr>
          <w:noProof/>
        </w:rPr>
        <w:t>1</w:t>
      </w:r>
      <w:r w:rsidR="0009651D">
        <w:rPr>
          <w:noProof/>
        </w:rPr>
        <w:fldChar w:fldCharType="end"/>
      </w:r>
      <w:bookmarkEnd w:id="16"/>
      <w:r w:rsidR="00DE0B9E" w:rsidRPr="00773EDE">
        <w:t xml:space="preserve">: Kaplan-Meier estimated incidence of key secondary composite endpoint in </w:t>
      </w:r>
      <w:r w:rsidR="00DE0B9E" w:rsidRPr="00773EDE">
        <w:rPr>
          <w:color w:val="000000"/>
        </w:rPr>
        <w:t>REDUCE-IT</w:t>
      </w:r>
    </w:p>
    <w:p w14:paraId="7D4A2AC3" w14:textId="41868DD7" w:rsidR="00FA44AD" w:rsidRPr="00773EDE" w:rsidRDefault="00383734" w:rsidP="0009651D">
      <w:pPr>
        <w:pStyle w:val="BodyText1"/>
        <w:keepNext/>
        <w:keepLines/>
        <w:jc w:val="left"/>
      </w:pPr>
      <w:r w:rsidRPr="00773EDE">
        <w:rPr>
          <w:noProof/>
        </w:rPr>
        <w:drawing>
          <wp:inline distT="0" distB="0" distL="0" distR="0" wp14:anchorId="61FC5848" wp14:editId="0F1D8D6C">
            <wp:extent cx="5208067" cy="3606152"/>
            <wp:effectExtent l="0" t="0" r="0" b="0"/>
            <wp:docPr id="1" name="Picture 1"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pic:nvPicPr>
                  <pic:blipFill rotWithShape="1">
                    <a:blip r:embed="rId13" cstate="print">
                      <a:extLst>
                        <a:ext uri="{28A0092B-C50C-407E-A947-70E740481C1C}">
                          <a14:useLocalDpi xmlns:a14="http://schemas.microsoft.com/office/drawing/2010/main"/>
                        </a:ext>
                      </a:extLst>
                    </a:blip>
                    <a:srcRect/>
                    <a:stretch/>
                  </pic:blipFill>
                  <pic:spPr bwMode="auto">
                    <a:xfrm>
                      <a:off x="0" y="0"/>
                      <a:ext cx="5222516" cy="3616157"/>
                    </a:xfrm>
                    <a:prstGeom prst="rect">
                      <a:avLst/>
                    </a:prstGeom>
                    <a:ln>
                      <a:noFill/>
                    </a:ln>
                    <a:extLst>
                      <a:ext uri="{53640926-AAD7-44D8-BBD7-CCE9431645EC}">
                        <a14:shadowObscured xmlns:a14="http://schemas.microsoft.com/office/drawing/2010/main"/>
                      </a:ext>
                    </a:extLst>
                  </pic:spPr>
                </pic:pic>
              </a:graphicData>
            </a:graphic>
          </wp:inline>
        </w:drawing>
      </w:r>
    </w:p>
    <w:p w14:paraId="5EA223D4" w14:textId="77777777" w:rsidR="005F6313" w:rsidRPr="00773EDE" w:rsidRDefault="005F6313" w:rsidP="0009651D">
      <w:pPr>
        <w:pStyle w:val="Table-Footertext"/>
        <w:keepNext/>
        <w:keepLines/>
        <w:jc w:val="left"/>
      </w:pPr>
      <w:r w:rsidRPr="00773EDE">
        <w:t xml:space="preserve">Key secondary composite endpoint consisted of cardiovascular death, myocardial infarction, or stroke (3-point MACE) </w:t>
      </w:r>
    </w:p>
    <w:p w14:paraId="0D457447" w14:textId="77777777" w:rsidR="005F6313" w:rsidRPr="00773EDE" w:rsidRDefault="005F6313" w:rsidP="0009651D">
      <w:pPr>
        <w:pStyle w:val="Table-Footertext"/>
        <w:keepNext/>
        <w:keepLines/>
        <w:jc w:val="left"/>
      </w:pPr>
      <w:r w:rsidRPr="00773EDE">
        <w:t xml:space="preserve">Abbreviations: CI confidence interval </w:t>
      </w:r>
    </w:p>
    <w:p w14:paraId="3ADA482C" w14:textId="77777777" w:rsidR="005F6313" w:rsidRPr="00773EDE" w:rsidRDefault="005F6313" w:rsidP="0009651D">
      <w:pPr>
        <w:pStyle w:val="BodyText1"/>
        <w:jc w:val="left"/>
        <w:rPr>
          <w:szCs w:val="22"/>
        </w:rPr>
      </w:pPr>
    </w:p>
    <w:p w14:paraId="47F43F64" w14:textId="2589976B" w:rsidR="00383734" w:rsidRPr="00773EDE" w:rsidRDefault="005F6313" w:rsidP="0009651D">
      <w:pPr>
        <w:pStyle w:val="BodyText1"/>
        <w:jc w:val="left"/>
        <w:rPr>
          <w:szCs w:val="22"/>
        </w:rPr>
      </w:pPr>
      <w:r w:rsidRPr="00773EDE">
        <w:rPr>
          <w:szCs w:val="22"/>
        </w:rPr>
        <w:t xml:space="preserve">The median TG and LDL-C baseline values were similar between the </w:t>
      </w:r>
      <w:proofErr w:type="spellStart"/>
      <w:r w:rsidRPr="00773EDE">
        <w:rPr>
          <w:szCs w:val="22"/>
        </w:rPr>
        <w:t>icosapent</w:t>
      </w:r>
      <w:proofErr w:type="spellEnd"/>
      <w:r w:rsidRPr="00773EDE">
        <w:rPr>
          <w:szCs w:val="22"/>
        </w:rPr>
        <w:t xml:space="preserve"> ethyl group and placebo group. The median change in TG from baseline to Year 1 was -0.4 mmol/L (-39 mg/dL, -18%) in the </w:t>
      </w:r>
      <w:proofErr w:type="spellStart"/>
      <w:r w:rsidRPr="00773EDE">
        <w:rPr>
          <w:szCs w:val="22"/>
        </w:rPr>
        <w:t>icosapent</w:t>
      </w:r>
      <w:proofErr w:type="spellEnd"/>
      <w:r w:rsidRPr="00773EDE">
        <w:rPr>
          <w:szCs w:val="22"/>
        </w:rPr>
        <w:t xml:space="preserve"> ethyl group and 0.1 mmol/L (5 mg/dL, 2%) in the placebo group. The median change in LDL-C from baseline to Year 1 was 0.1 mmol/L (2 mg/dL, 3%) in the </w:t>
      </w:r>
      <w:proofErr w:type="spellStart"/>
      <w:r w:rsidRPr="00773EDE">
        <w:rPr>
          <w:szCs w:val="22"/>
        </w:rPr>
        <w:t>icosapent</w:t>
      </w:r>
      <w:proofErr w:type="spellEnd"/>
      <w:r w:rsidRPr="00773EDE">
        <w:rPr>
          <w:szCs w:val="22"/>
        </w:rPr>
        <w:t xml:space="preserve"> ethyl group and 0.2 mmol/L (7 mg/dL, 10%) in the placebo group. Prespecified analyses of the effect of </w:t>
      </w:r>
      <w:proofErr w:type="spellStart"/>
      <w:r w:rsidRPr="00773EDE">
        <w:rPr>
          <w:szCs w:val="22"/>
        </w:rPr>
        <w:t>icosapent</w:t>
      </w:r>
      <w:proofErr w:type="spellEnd"/>
      <w:r w:rsidRPr="00773EDE">
        <w:rPr>
          <w:szCs w:val="22"/>
        </w:rPr>
        <w:t xml:space="preserve"> ethyl on cardiovascular outcomes in the REDUCE-IT trial showed little to no correlation between either TG or LDL-C response and cardiovascular effect based on baseline or on-study achieved TG or LDL-C levels. See </w:t>
      </w:r>
      <w:hyperlink w:anchor="_Mechanism_of_action" w:history="1">
        <w:r w:rsidRPr="006E7A1E">
          <w:rPr>
            <w:rStyle w:val="Hyperlink"/>
            <w:szCs w:val="22"/>
          </w:rPr>
          <w:t xml:space="preserve">section 5.1 </w:t>
        </w:r>
        <w:r w:rsidR="00F915FA" w:rsidRPr="006E7A1E">
          <w:rPr>
            <w:rStyle w:val="Hyperlink"/>
            <w:szCs w:val="22"/>
          </w:rPr>
          <w:t>Pharmaco</w:t>
        </w:r>
        <w:r w:rsidR="006E7A1E" w:rsidRPr="006E7A1E">
          <w:rPr>
            <w:rStyle w:val="Hyperlink"/>
            <w:szCs w:val="22"/>
          </w:rPr>
          <w:t xml:space="preserve">dynamic properties – </w:t>
        </w:r>
        <w:r w:rsidR="00F915FA" w:rsidRPr="006E7A1E">
          <w:rPr>
            <w:rStyle w:val="Hyperlink"/>
            <w:szCs w:val="22"/>
          </w:rPr>
          <w:t>M</w:t>
        </w:r>
        <w:r w:rsidRPr="006E7A1E">
          <w:rPr>
            <w:rStyle w:val="Hyperlink"/>
            <w:szCs w:val="22"/>
          </w:rPr>
          <w:t>echanism</w:t>
        </w:r>
        <w:r w:rsidR="006E7A1E" w:rsidRPr="006E7A1E">
          <w:rPr>
            <w:rStyle w:val="Hyperlink"/>
            <w:szCs w:val="22"/>
          </w:rPr>
          <w:t xml:space="preserve"> </w:t>
        </w:r>
        <w:r w:rsidRPr="006E7A1E">
          <w:rPr>
            <w:rStyle w:val="Hyperlink"/>
            <w:szCs w:val="22"/>
          </w:rPr>
          <w:t>of action</w:t>
        </w:r>
      </w:hyperlink>
      <w:r w:rsidRPr="00773EDE">
        <w:rPr>
          <w:szCs w:val="22"/>
        </w:rPr>
        <w:t xml:space="preserve"> for more information. </w:t>
      </w:r>
    </w:p>
    <w:p w14:paraId="6215C061" w14:textId="4AA773DC" w:rsidR="00581150" w:rsidRPr="00773EDE" w:rsidRDefault="008450DE" w:rsidP="0009651D">
      <w:pPr>
        <w:pStyle w:val="Heading2"/>
      </w:pPr>
      <w:r w:rsidRPr="00773EDE">
        <w:t xml:space="preserve">5.2 </w:t>
      </w:r>
      <w:r w:rsidR="00581150" w:rsidRPr="00773EDE">
        <w:t>Pharmacokinetic properties</w:t>
      </w:r>
    </w:p>
    <w:p w14:paraId="0954FCF2" w14:textId="65BD735A" w:rsidR="00581150" w:rsidRPr="00773EDE" w:rsidRDefault="00C908A8" w:rsidP="0009651D">
      <w:pPr>
        <w:pStyle w:val="Heading3"/>
      </w:pPr>
      <w:r w:rsidRPr="00773EDE">
        <w:t>Absorption</w:t>
      </w:r>
      <w:r w:rsidR="00126740" w:rsidRPr="00773EDE">
        <w:t xml:space="preserve"> </w:t>
      </w:r>
    </w:p>
    <w:p w14:paraId="7005BAAF" w14:textId="77777777" w:rsidR="006839EA" w:rsidRPr="00773EDE" w:rsidRDefault="006839EA" w:rsidP="0009651D">
      <w:pPr>
        <w:pStyle w:val="BodyText1"/>
        <w:jc w:val="left"/>
      </w:pPr>
      <w:r w:rsidRPr="00773EDE">
        <w:t xml:space="preserve">After oral administration, </w:t>
      </w:r>
      <w:proofErr w:type="spellStart"/>
      <w:r w:rsidRPr="00773EDE">
        <w:t>icosapent</w:t>
      </w:r>
      <w:proofErr w:type="spellEnd"/>
      <w:r w:rsidRPr="00773EDE">
        <w:t xml:space="preserve"> ethyl is de-esterified during the absorption process and the active metabolite EPA is absorbed in the small intestine and enters the systemic circulation mainly via the thoracic duct lymphatic system. Peak plasma concentrations of EPA were reached approximately 5 hours following oral doses of </w:t>
      </w:r>
      <w:proofErr w:type="spellStart"/>
      <w:r w:rsidRPr="00773EDE">
        <w:t>icosapent</w:t>
      </w:r>
      <w:proofErr w:type="spellEnd"/>
      <w:r w:rsidRPr="00773EDE">
        <w:t xml:space="preserve"> ethyl. </w:t>
      </w:r>
    </w:p>
    <w:p w14:paraId="1C788065" w14:textId="41AA75BF" w:rsidR="00581150" w:rsidRPr="00773EDE" w:rsidRDefault="006839EA" w:rsidP="0009651D">
      <w:pPr>
        <w:pStyle w:val="BodyText1"/>
        <w:jc w:val="left"/>
      </w:pPr>
      <w:proofErr w:type="spellStart"/>
      <w:r w:rsidRPr="00773EDE">
        <w:t>Icosapent</w:t>
      </w:r>
      <w:proofErr w:type="spellEnd"/>
      <w:r w:rsidRPr="00773EDE">
        <w:t xml:space="preserve"> ethyl was administered with or following a meal in all clinical studies; no food effect studies were performed (see </w:t>
      </w:r>
      <w:hyperlink w:anchor="_4.2_Dose_and" w:history="1">
        <w:r w:rsidRPr="006A197B">
          <w:rPr>
            <w:rStyle w:val="Hyperlink"/>
          </w:rPr>
          <w:t>section 4.2 Dose and method of administration</w:t>
        </w:r>
      </w:hyperlink>
      <w:r w:rsidRPr="00773EDE">
        <w:t xml:space="preserve">). </w:t>
      </w:r>
    </w:p>
    <w:p w14:paraId="55E26A2C" w14:textId="106DE338" w:rsidR="00581150" w:rsidRPr="00773EDE" w:rsidRDefault="00C908A8" w:rsidP="0009651D">
      <w:pPr>
        <w:pStyle w:val="Heading3"/>
      </w:pPr>
      <w:r w:rsidRPr="00773EDE">
        <w:t>Distribution</w:t>
      </w:r>
      <w:r w:rsidR="002C6B16" w:rsidRPr="00773EDE">
        <w:t xml:space="preserve"> </w:t>
      </w:r>
    </w:p>
    <w:p w14:paraId="6A0FFEC3" w14:textId="124F4B84" w:rsidR="00581150" w:rsidRPr="00773EDE" w:rsidRDefault="003F7DF8" w:rsidP="0009651D">
      <w:pPr>
        <w:pStyle w:val="BodyText1"/>
        <w:jc w:val="left"/>
      </w:pPr>
      <w:r>
        <w:rPr>
          <w:szCs w:val="22"/>
        </w:rPr>
        <w:t xml:space="preserve">The mean volume of distribution at </w:t>
      </w:r>
      <w:proofErr w:type="gramStart"/>
      <w:r>
        <w:rPr>
          <w:szCs w:val="22"/>
        </w:rPr>
        <w:t>steady-state</w:t>
      </w:r>
      <w:proofErr w:type="gramEnd"/>
      <w:r>
        <w:rPr>
          <w:szCs w:val="22"/>
        </w:rPr>
        <w:t xml:space="preserve"> of EPA is approximately 88 </w:t>
      </w:r>
      <w:proofErr w:type="spellStart"/>
      <w:r>
        <w:rPr>
          <w:szCs w:val="22"/>
        </w:rPr>
        <w:t>liters</w:t>
      </w:r>
      <w:proofErr w:type="spellEnd"/>
      <w:r>
        <w:rPr>
          <w:szCs w:val="22"/>
        </w:rPr>
        <w:t xml:space="preserve">. The majority of EPA circulating in plasma is incorporated in phospholipids, </w:t>
      </w:r>
      <w:proofErr w:type="gramStart"/>
      <w:r>
        <w:rPr>
          <w:szCs w:val="22"/>
        </w:rPr>
        <w:t>triglycerides</w:t>
      </w:r>
      <w:proofErr w:type="gramEnd"/>
      <w:r>
        <w:rPr>
          <w:szCs w:val="22"/>
        </w:rPr>
        <w:t xml:space="preserve"> and cholesteryl esters, and &lt;1% is present as the unesterified fatty acid. Greater than 99% of unesterified EPA is bound to plasma proteins. </w:t>
      </w:r>
      <w:r w:rsidR="00641EE8" w:rsidRPr="00773EDE">
        <w:t xml:space="preserve"> </w:t>
      </w:r>
    </w:p>
    <w:p w14:paraId="02AD6472" w14:textId="26A99AC2" w:rsidR="00581150" w:rsidRPr="00773EDE" w:rsidRDefault="00D86907" w:rsidP="0009651D">
      <w:pPr>
        <w:pStyle w:val="Heading3"/>
      </w:pPr>
      <w:r w:rsidRPr="00773EDE">
        <w:t>Metabolism</w:t>
      </w:r>
      <w:r w:rsidR="00AA6312" w:rsidRPr="00773EDE">
        <w:t xml:space="preserve"> </w:t>
      </w:r>
    </w:p>
    <w:p w14:paraId="50F32894" w14:textId="41D94D9C" w:rsidR="00581150" w:rsidRPr="00773EDE" w:rsidRDefault="00AA6312" w:rsidP="0009651D">
      <w:pPr>
        <w:pStyle w:val="BodyText1"/>
        <w:jc w:val="left"/>
      </w:pPr>
      <w:r w:rsidRPr="00773EDE">
        <w:rPr>
          <w:szCs w:val="22"/>
        </w:rPr>
        <w:t xml:space="preserve">EPA is mainly metabolised by the liver via beta-oxidation </w:t>
      </w:r>
      <w:proofErr w:type="gramStart"/>
      <w:r w:rsidRPr="00773EDE">
        <w:rPr>
          <w:szCs w:val="22"/>
        </w:rPr>
        <w:t>similar to</w:t>
      </w:r>
      <w:proofErr w:type="gramEnd"/>
      <w:r w:rsidRPr="00773EDE">
        <w:rPr>
          <w:szCs w:val="22"/>
        </w:rPr>
        <w:t xml:space="preserve"> dietary fatty acids. Beta oxidation splits the long carbon chain of EPA into acetyl Coenzyme A, which is converted into energy via the Krebs cycle.</w:t>
      </w:r>
    </w:p>
    <w:p w14:paraId="1B689454" w14:textId="008C95C2" w:rsidR="00581150" w:rsidRPr="00773EDE" w:rsidRDefault="00D86907" w:rsidP="0009651D">
      <w:pPr>
        <w:pStyle w:val="Heading3"/>
        <w:keepNext/>
      </w:pPr>
      <w:r w:rsidRPr="00773EDE">
        <w:lastRenderedPageBreak/>
        <w:t>Excretion</w:t>
      </w:r>
      <w:r w:rsidR="00AA6312" w:rsidRPr="00773EDE">
        <w:t xml:space="preserve"> </w:t>
      </w:r>
    </w:p>
    <w:p w14:paraId="160F2DD7" w14:textId="2BD0BFCE" w:rsidR="00581150" w:rsidRPr="00773EDE" w:rsidRDefault="00AA6312" w:rsidP="0009651D">
      <w:pPr>
        <w:pStyle w:val="BodyText1"/>
        <w:keepNext/>
        <w:jc w:val="left"/>
        <w:rPr>
          <w:szCs w:val="22"/>
        </w:rPr>
      </w:pPr>
      <w:r w:rsidRPr="00773EDE">
        <w:rPr>
          <w:szCs w:val="22"/>
        </w:rPr>
        <w:t xml:space="preserve">Cytochrome P450-mediated metabolism is a minor pathway of elimination of EPA. The total plasma clearance of EPA at </w:t>
      </w:r>
      <w:proofErr w:type="gramStart"/>
      <w:r w:rsidRPr="00773EDE">
        <w:rPr>
          <w:szCs w:val="22"/>
        </w:rPr>
        <w:t>steady-state</w:t>
      </w:r>
      <w:proofErr w:type="gramEnd"/>
      <w:r w:rsidRPr="00773EDE">
        <w:rPr>
          <w:szCs w:val="22"/>
        </w:rPr>
        <w:t xml:space="preserve"> is 684 mL/hr. The plasma elimination half-life (t</w:t>
      </w:r>
      <w:r w:rsidRPr="00773EDE">
        <w:rPr>
          <w:sz w:val="14"/>
          <w:szCs w:val="14"/>
        </w:rPr>
        <w:t>1/2</w:t>
      </w:r>
      <w:r w:rsidRPr="00773EDE">
        <w:rPr>
          <w:szCs w:val="22"/>
        </w:rPr>
        <w:t xml:space="preserve">) of EPA is approximately 89 hours. </w:t>
      </w:r>
      <w:proofErr w:type="spellStart"/>
      <w:r w:rsidRPr="00773EDE">
        <w:rPr>
          <w:szCs w:val="22"/>
        </w:rPr>
        <w:t>Icosapent</w:t>
      </w:r>
      <w:proofErr w:type="spellEnd"/>
      <w:r w:rsidRPr="00773EDE">
        <w:rPr>
          <w:szCs w:val="22"/>
        </w:rPr>
        <w:t xml:space="preserve"> ethyl does not undergo renal excretion. </w:t>
      </w:r>
    </w:p>
    <w:p w14:paraId="34E7D843" w14:textId="203E1498" w:rsidR="00063BD5" w:rsidRPr="00773EDE" w:rsidRDefault="00063BD5" w:rsidP="0009651D">
      <w:pPr>
        <w:pStyle w:val="Heading3"/>
      </w:pPr>
      <w:r w:rsidRPr="00773EDE">
        <w:t>Pharmacokinetic/</w:t>
      </w:r>
      <w:r w:rsidR="0059180B">
        <w:t xml:space="preserve"> </w:t>
      </w:r>
      <w:r w:rsidRPr="00773EDE">
        <w:t xml:space="preserve">pharmacodynamic relationship(s) </w:t>
      </w:r>
    </w:p>
    <w:p w14:paraId="3D6063E6" w14:textId="08A8D64D" w:rsidR="00063BD5" w:rsidRPr="00773EDE" w:rsidRDefault="00063BD5" w:rsidP="0009651D">
      <w:pPr>
        <w:pStyle w:val="Heading4"/>
      </w:pPr>
      <w:r w:rsidRPr="00773EDE">
        <w:t>Triglycerides level/</w:t>
      </w:r>
      <w:r w:rsidR="0059180B">
        <w:t xml:space="preserve"> </w:t>
      </w:r>
      <w:r w:rsidRPr="00773EDE">
        <w:t xml:space="preserve">reduction in hypertriglyceridemia </w:t>
      </w:r>
    </w:p>
    <w:p w14:paraId="35E53510" w14:textId="77777777" w:rsidR="00063BD5" w:rsidRPr="00773EDE" w:rsidRDefault="00063BD5" w:rsidP="0009651D">
      <w:pPr>
        <w:pStyle w:val="BodyText1"/>
        <w:jc w:val="left"/>
      </w:pPr>
      <w:r w:rsidRPr="00773EDE">
        <w:t xml:space="preserve">A linear relationship between EPA levels in plasma or red blood cells (RBCs) and TG reduction was observed in two Phase III studies. </w:t>
      </w:r>
    </w:p>
    <w:p w14:paraId="35317DBB" w14:textId="77777777" w:rsidR="00063BD5" w:rsidRPr="00773EDE" w:rsidRDefault="00063BD5" w:rsidP="0009651D">
      <w:pPr>
        <w:pStyle w:val="Heading4"/>
      </w:pPr>
      <w:r w:rsidRPr="00773EDE">
        <w:t xml:space="preserve">Cardiovascular risk reduction </w:t>
      </w:r>
    </w:p>
    <w:p w14:paraId="2D3BADA4" w14:textId="3052F456" w:rsidR="00936C22" w:rsidRPr="00773EDE" w:rsidRDefault="00063BD5" w:rsidP="0009651D">
      <w:pPr>
        <w:pStyle w:val="BodyText1"/>
        <w:jc w:val="left"/>
      </w:pPr>
      <w:r w:rsidRPr="00773EDE">
        <w:t>Analyses of the primary (5-point) and key secondary (3-point) MACE endpoints suggest that on-treatment lipoprotein changes had limited influence on cardiovascular risk reductions, while on-</w:t>
      </w:r>
      <w:r w:rsidR="00936C22" w:rsidRPr="00773EDE">
        <w:t xml:space="preserve"> treatment steady-state serum EPA levels accounted for the majority of the relative risk reduction observed in REDUCE-IT. Baseline serum EPA level was 26 </w:t>
      </w:r>
      <w:proofErr w:type="spellStart"/>
      <w:r w:rsidR="00936C22" w:rsidRPr="00773EDE">
        <w:t>μg</w:t>
      </w:r>
      <w:proofErr w:type="spellEnd"/>
      <w:r w:rsidR="00936C22" w:rsidRPr="00773EDE">
        <w:t xml:space="preserve">/mL; compared to patients with an on-treatment steady-state serum EPA level below 100 </w:t>
      </w:r>
      <w:proofErr w:type="spellStart"/>
      <w:r w:rsidR="00936C22" w:rsidRPr="00773EDE">
        <w:t>μg</w:t>
      </w:r>
      <w:proofErr w:type="spellEnd"/>
      <w:r w:rsidR="00936C22" w:rsidRPr="00773EDE">
        <w:t xml:space="preserve">/mL, patients with on-treatment EPA levels ≥175 </w:t>
      </w:r>
      <w:proofErr w:type="spellStart"/>
      <w:r w:rsidR="00936C22" w:rsidRPr="00773EDE">
        <w:t>μg</w:t>
      </w:r>
      <w:proofErr w:type="spellEnd"/>
      <w:r w:rsidR="00936C22" w:rsidRPr="00773EDE">
        <w:t xml:space="preserve">/mL had a &gt;50% reduced risk of a cardiovascular event. </w:t>
      </w:r>
    </w:p>
    <w:p w14:paraId="6581436B" w14:textId="77777777" w:rsidR="00936C22" w:rsidRPr="00773EDE" w:rsidRDefault="00936C22" w:rsidP="0009651D">
      <w:pPr>
        <w:pStyle w:val="Heading4"/>
      </w:pPr>
      <w:bookmarkStart w:id="17" w:name="_Renal_and_hepatic"/>
      <w:bookmarkEnd w:id="17"/>
      <w:r w:rsidRPr="00773EDE">
        <w:t xml:space="preserve">Renal and hepatic impairment </w:t>
      </w:r>
    </w:p>
    <w:p w14:paraId="2B044DB8" w14:textId="77777777" w:rsidR="00936C22" w:rsidRPr="00773EDE" w:rsidRDefault="00936C22" w:rsidP="0009651D">
      <w:pPr>
        <w:pStyle w:val="BodyText1"/>
        <w:jc w:val="left"/>
      </w:pPr>
      <w:r w:rsidRPr="00773EDE">
        <w:t xml:space="preserve">The pharmacokinetics of </w:t>
      </w:r>
      <w:proofErr w:type="spellStart"/>
      <w:r w:rsidRPr="00773EDE">
        <w:t>icosapent</w:t>
      </w:r>
      <w:proofErr w:type="spellEnd"/>
      <w:r w:rsidRPr="00773EDE">
        <w:t xml:space="preserve"> ethyl has not been studied in patients with renal or hepatic impairment. Patients did not require routine dose adjustment due to hepatic or renal impairment in a well-controlled cardiovascular outcomes study of </w:t>
      </w:r>
      <w:proofErr w:type="spellStart"/>
      <w:r w:rsidRPr="00773EDE">
        <w:t>icosapent</w:t>
      </w:r>
      <w:proofErr w:type="spellEnd"/>
      <w:r w:rsidRPr="00773EDE">
        <w:t xml:space="preserve"> ethyl. </w:t>
      </w:r>
    </w:p>
    <w:p w14:paraId="5AFBAB94" w14:textId="77777777" w:rsidR="00936C22" w:rsidRPr="00773EDE" w:rsidRDefault="00936C22" w:rsidP="0009651D">
      <w:pPr>
        <w:pStyle w:val="Heading4"/>
      </w:pPr>
      <w:bookmarkStart w:id="18" w:name="_Elderly_(≥_65"/>
      <w:bookmarkEnd w:id="18"/>
      <w:r w:rsidRPr="00773EDE">
        <w:t xml:space="preserve">Elderly (≥ 65 years) </w:t>
      </w:r>
    </w:p>
    <w:p w14:paraId="03F2324C" w14:textId="77777777" w:rsidR="00936C22" w:rsidRPr="00773EDE" w:rsidRDefault="00936C22" w:rsidP="0009651D">
      <w:pPr>
        <w:pStyle w:val="BodyText1"/>
        <w:jc w:val="left"/>
      </w:pPr>
      <w:r w:rsidRPr="00773EDE">
        <w:t xml:space="preserve">The pharmacokinetics of </w:t>
      </w:r>
      <w:proofErr w:type="spellStart"/>
      <w:r w:rsidRPr="00773EDE">
        <w:t>icosapent</w:t>
      </w:r>
      <w:proofErr w:type="spellEnd"/>
      <w:r w:rsidRPr="00773EDE">
        <w:t xml:space="preserve"> ethyl has not been studied in elderly patients. Elderly patients did not require routine dose adjustment in well-controlled clinical studies of </w:t>
      </w:r>
      <w:proofErr w:type="spellStart"/>
      <w:r w:rsidRPr="00773EDE">
        <w:t>icosapent</w:t>
      </w:r>
      <w:proofErr w:type="spellEnd"/>
      <w:r w:rsidRPr="00773EDE">
        <w:t xml:space="preserve"> ethyl. </w:t>
      </w:r>
    </w:p>
    <w:p w14:paraId="7D8045CD" w14:textId="77777777" w:rsidR="00936C22" w:rsidRPr="00773EDE" w:rsidRDefault="00936C22" w:rsidP="0009651D">
      <w:pPr>
        <w:pStyle w:val="Heading4"/>
      </w:pPr>
      <w:r w:rsidRPr="00773EDE">
        <w:t xml:space="preserve">Paediatric population </w:t>
      </w:r>
    </w:p>
    <w:p w14:paraId="4492AC46" w14:textId="6547B765" w:rsidR="00063BD5" w:rsidRPr="00773EDE" w:rsidRDefault="00936C22" w:rsidP="0009651D">
      <w:pPr>
        <w:pStyle w:val="BodyText1"/>
        <w:jc w:val="left"/>
      </w:pPr>
      <w:r w:rsidRPr="00773EDE">
        <w:t xml:space="preserve">The pharmacokinetics of </w:t>
      </w:r>
      <w:proofErr w:type="spellStart"/>
      <w:r w:rsidRPr="00773EDE">
        <w:t>icosapent</w:t>
      </w:r>
      <w:proofErr w:type="spellEnd"/>
      <w:r w:rsidRPr="00773EDE">
        <w:t xml:space="preserve"> ethyl has not been studied in paediatric subjects. </w:t>
      </w:r>
    </w:p>
    <w:p w14:paraId="02816A53" w14:textId="3A9936E1" w:rsidR="00581150" w:rsidRPr="00773EDE" w:rsidRDefault="008450DE" w:rsidP="0009651D">
      <w:pPr>
        <w:pStyle w:val="Heading2"/>
      </w:pPr>
      <w:r w:rsidRPr="00773EDE">
        <w:t xml:space="preserve">5.3 </w:t>
      </w:r>
      <w:r w:rsidR="00C908A8" w:rsidRPr="00773EDE">
        <w:t>Preclinical safety data</w:t>
      </w:r>
    </w:p>
    <w:p w14:paraId="7E1F0A59" w14:textId="1BDD9271" w:rsidR="00B959F0" w:rsidRPr="00773EDE" w:rsidRDefault="00B959F0" w:rsidP="0009651D">
      <w:pPr>
        <w:pStyle w:val="Heading3"/>
        <w:keepNext/>
        <w:keepLines/>
      </w:pPr>
      <w:r w:rsidRPr="00773EDE">
        <w:t>Genotoxicity</w:t>
      </w:r>
      <w:r w:rsidR="0010668A">
        <w:t xml:space="preserve"> </w:t>
      </w:r>
    </w:p>
    <w:p w14:paraId="00D19D3A" w14:textId="31AF5370" w:rsidR="00CF1445" w:rsidRDefault="004548FF" w:rsidP="0009651D">
      <w:pPr>
        <w:pStyle w:val="BodyText1"/>
        <w:jc w:val="left"/>
      </w:pPr>
      <w:r w:rsidRPr="00773EDE">
        <w:rPr>
          <w:szCs w:val="22"/>
        </w:rPr>
        <w:t>Nonclinical data reveal no special hazard for humans based on conventional genotoxicity</w:t>
      </w:r>
      <w:r w:rsidR="005A23EE">
        <w:rPr>
          <w:szCs w:val="22"/>
        </w:rPr>
        <w:t xml:space="preserve"> </w:t>
      </w:r>
      <w:r w:rsidR="005A23EE" w:rsidRPr="00773EDE">
        <w:rPr>
          <w:szCs w:val="22"/>
        </w:rPr>
        <w:t>studies</w:t>
      </w:r>
      <w:r w:rsidR="00CF1445" w:rsidRPr="00773EDE">
        <w:t xml:space="preserve">. </w:t>
      </w:r>
    </w:p>
    <w:p w14:paraId="64B6784C" w14:textId="0FA3E98A" w:rsidR="00DC10A9" w:rsidRPr="00DC10A9" w:rsidRDefault="00DC10A9" w:rsidP="0009651D">
      <w:pPr>
        <w:pStyle w:val="BodyText1"/>
        <w:jc w:val="left"/>
      </w:pPr>
      <w:proofErr w:type="spellStart"/>
      <w:r w:rsidRPr="00DC10A9">
        <w:t>Icosapent</w:t>
      </w:r>
      <w:proofErr w:type="spellEnd"/>
      <w:r w:rsidRPr="00DC10A9">
        <w:t xml:space="preserve"> ethyl was not mutagenic with or without metabolic activation in the bacterial mutagenesis (Ames) assay or in the </w:t>
      </w:r>
      <w:r w:rsidRPr="00DB093A">
        <w:rPr>
          <w:i/>
          <w:iCs/>
        </w:rPr>
        <w:t>in vivo</w:t>
      </w:r>
      <w:r w:rsidRPr="00DC10A9">
        <w:t xml:space="preserve"> mouse micronucleus assay. A chromosomal aberration assay in Chinese Hamster Ovary (CHO) cells was positive for </w:t>
      </w:r>
      <w:proofErr w:type="spellStart"/>
      <w:r w:rsidRPr="00DC10A9">
        <w:t>clastogenicity</w:t>
      </w:r>
      <w:proofErr w:type="spellEnd"/>
      <w:r w:rsidRPr="00DC10A9">
        <w:t xml:space="preserve"> with and without metabolic activation</w:t>
      </w:r>
      <w:r w:rsidR="00D163A8">
        <w:t>, which appeared to be a class effect</w:t>
      </w:r>
      <w:r w:rsidRPr="00DC10A9">
        <w:t>.</w:t>
      </w:r>
    </w:p>
    <w:p w14:paraId="7635AD77" w14:textId="680C99E4" w:rsidR="00C908A8" w:rsidRPr="00773EDE" w:rsidRDefault="00C908A8" w:rsidP="0009651D">
      <w:pPr>
        <w:pStyle w:val="Heading3"/>
      </w:pPr>
      <w:r w:rsidRPr="00773EDE">
        <w:t>Carcinogenicity</w:t>
      </w:r>
      <w:r w:rsidR="0060091B">
        <w:t xml:space="preserve"> </w:t>
      </w:r>
    </w:p>
    <w:p w14:paraId="3368C612" w14:textId="2E20AEB4" w:rsidR="00CF1445" w:rsidRDefault="004548FF" w:rsidP="0009651D">
      <w:pPr>
        <w:pStyle w:val="BodyText1"/>
        <w:jc w:val="left"/>
      </w:pPr>
      <w:r w:rsidRPr="00773EDE">
        <w:rPr>
          <w:szCs w:val="22"/>
        </w:rPr>
        <w:t>Nonclinical data reveal no special hazard for humans based on conventional studies of carcinogenic potential</w:t>
      </w:r>
      <w:r w:rsidR="00CF1445" w:rsidRPr="00773EDE">
        <w:t xml:space="preserve">. </w:t>
      </w:r>
    </w:p>
    <w:p w14:paraId="2C75F8C6" w14:textId="45896352" w:rsidR="00D32C0F" w:rsidRPr="00D32C0F" w:rsidRDefault="00D32C0F" w:rsidP="0009651D">
      <w:pPr>
        <w:pStyle w:val="BodyText1"/>
        <w:jc w:val="left"/>
      </w:pPr>
      <w:r w:rsidRPr="00D32C0F">
        <w:t xml:space="preserve">In a 2-year rat carcinogenicity study with oral gavage doses of </w:t>
      </w:r>
      <w:r w:rsidR="0009652E">
        <w:t>90, 270 and 910</w:t>
      </w:r>
      <w:r w:rsidR="0052097D">
        <w:t> </w:t>
      </w:r>
      <w:r w:rsidR="0009652E">
        <w:t xml:space="preserve">mg/kg/day </w:t>
      </w:r>
      <w:proofErr w:type="spellStart"/>
      <w:r w:rsidRPr="00D32C0F">
        <w:t>icosapent</w:t>
      </w:r>
      <w:proofErr w:type="spellEnd"/>
      <w:r w:rsidRPr="00D32C0F">
        <w:t xml:space="preserve"> ethyl, respectively, </w:t>
      </w:r>
      <w:r w:rsidR="0009652E">
        <w:t>did not result in</w:t>
      </w:r>
      <w:r w:rsidR="00D071E5">
        <w:t xml:space="preserve"> </w:t>
      </w:r>
      <w:r w:rsidRPr="00D32C0F">
        <w:t>drug-related neoplasms</w:t>
      </w:r>
      <w:r w:rsidR="00D071E5">
        <w:t xml:space="preserve"> (up to ~7-fold the clinical exposure based on AUC)</w:t>
      </w:r>
      <w:r w:rsidRPr="00D32C0F">
        <w:t xml:space="preserve">. </w:t>
      </w:r>
      <w:r w:rsidR="00ED7801">
        <w:t>While ha</w:t>
      </w:r>
      <w:r w:rsidRPr="00D32C0F">
        <w:t xml:space="preserve">emangiomas and </w:t>
      </w:r>
      <w:proofErr w:type="spellStart"/>
      <w:r w:rsidRPr="00D32C0F">
        <w:t>h</w:t>
      </w:r>
      <w:r w:rsidR="00ED7801">
        <w:t>a</w:t>
      </w:r>
      <w:r w:rsidRPr="00D32C0F">
        <w:t>emangiosarcomas</w:t>
      </w:r>
      <w:proofErr w:type="spellEnd"/>
      <w:r w:rsidRPr="00D32C0F">
        <w:t xml:space="preserve"> of the mesenteric lymph node</w:t>
      </w:r>
      <w:r w:rsidR="00984AD6">
        <w:t xml:space="preserve"> were noted, overall incidence in all vascular tissues did not increase with treatment</w:t>
      </w:r>
      <w:r w:rsidRPr="00D32C0F">
        <w:t xml:space="preserve">. </w:t>
      </w:r>
    </w:p>
    <w:p w14:paraId="5C65A58C" w14:textId="45A00653" w:rsidR="00D32C0F" w:rsidRPr="00D32C0F" w:rsidRDefault="00D32C0F" w:rsidP="0009651D">
      <w:pPr>
        <w:pStyle w:val="BodyText1"/>
        <w:jc w:val="left"/>
      </w:pPr>
      <w:r w:rsidRPr="00D32C0F">
        <w:t xml:space="preserve">In a 6-month carcinogenicity study in </w:t>
      </w:r>
      <w:proofErr w:type="gramStart"/>
      <w:r w:rsidRPr="00D32C0F">
        <w:t>Tg.rasH</w:t>
      </w:r>
      <w:proofErr w:type="gramEnd"/>
      <w:r w:rsidRPr="00D32C0F">
        <w:t xml:space="preserve">2 transgenic mice with oral gavage doses of </w:t>
      </w:r>
      <w:r w:rsidR="00865BA8">
        <w:t>500, 1000, 2000 and 4600 mg/kg/day</w:t>
      </w:r>
      <w:r w:rsidR="0052097D">
        <w:t xml:space="preserve"> </w:t>
      </w:r>
      <w:proofErr w:type="spellStart"/>
      <w:r w:rsidRPr="00D32C0F">
        <w:t>icosapent</w:t>
      </w:r>
      <w:proofErr w:type="spellEnd"/>
      <w:r w:rsidRPr="00D32C0F">
        <w:t xml:space="preserve"> ethyl </w:t>
      </w:r>
      <w:r w:rsidR="0052097D">
        <w:t>did not result in test-article related neoplasms (up to 4-fold the clinical exposure based on AUC). However</w:t>
      </w:r>
      <w:r w:rsidR="00A473B7">
        <w:t>, benign squamous cell papilloma in the skin and subcutis of the proximal tail were observed at the highest dose which appeared to be secondary to chronic irritation of the proximal tail associated with faecal excretion of oil</w:t>
      </w:r>
      <w:r w:rsidR="00281D58">
        <w:t xml:space="preserve">. </w:t>
      </w:r>
      <w:r w:rsidRPr="00D32C0F">
        <w:t xml:space="preserve"> </w:t>
      </w:r>
    </w:p>
    <w:p w14:paraId="2AFA1C6E" w14:textId="56E1E706" w:rsidR="00242B21" w:rsidRPr="00773EDE" w:rsidRDefault="008450DE" w:rsidP="0009651D">
      <w:pPr>
        <w:pStyle w:val="Heading1"/>
        <w:keepNext/>
      </w:pPr>
      <w:bookmarkStart w:id="19" w:name="_Reproductive_and_developmental"/>
      <w:bookmarkEnd w:id="19"/>
      <w:r w:rsidRPr="00773EDE">
        <w:lastRenderedPageBreak/>
        <w:t xml:space="preserve">6. </w:t>
      </w:r>
      <w:r w:rsidR="00242B21" w:rsidRPr="00773EDE">
        <w:t>Pharmaceutical Particulars</w:t>
      </w:r>
    </w:p>
    <w:p w14:paraId="79FC049E" w14:textId="1DA75EC5" w:rsidR="00B922A1" w:rsidRPr="00773EDE" w:rsidRDefault="008450DE" w:rsidP="0009651D">
      <w:pPr>
        <w:pStyle w:val="Heading2"/>
        <w:keepNext/>
      </w:pPr>
      <w:bookmarkStart w:id="20" w:name="_6.1_List_of"/>
      <w:bookmarkStart w:id="21" w:name="_Ref471294890"/>
      <w:bookmarkEnd w:id="20"/>
      <w:r w:rsidRPr="00773EDE">
        <w:t xml:space="preserve">6.1 </w:t>
      </w:r>
      <w:r w:rsidR="00B922A1" w:rsidRPr="00773EDE">
        <w:t>List of excipients</w:t>
      </w:r>
      <w:bookmarkEnd w:id="21"/>
      <w:r w:rsidR="00CC3CC7" w:rsidRPr="00773EDE">
        <w:t xml:space="preserve"> </w:t>
      </w:r>
    </w:p>
    <w:p w14:paraId="74F7E0D2" w14:textId="61443EF0" w:rsidR="0092209B" w:rsidRPr="00773EDE" w:rsidRDefault="0092209B" w:rsidP="0009651D">
      <w:pPr>
        <w:pStyle w:val="BodyText1"/>
        <w:keepNext/>
        <w:jc w:val="left"/>
      </w:pPr>
      <w:r w:rsidRPr="00773EDE">
        <w:rPr>
          <w:b/>
          <w:bCs/>
        </w:rPr>
        <w:t>Capsule fill</w:t>
      </w:r>
      <w:r w:rsidRPr="00773EDE">
        <w:t xml:space="preserve">: </w:t>
      </w:r>
      <w:r w:rsidR="001875D5" w:rsidRPr="00773EDE">
        <w:t>dl-alpha-tocopher</w:t>
      </w:r>
      <w:r w:rsidR="0081481C">
        <w:t>o</w:t>
      </w:r>
      <w:r w:rsidR="001875D5" w:rsidRPr="00773EDE">
        <w:t xml:space="preserve">l </w:t>
      </w:r>
    </w:p>
    <w:p w14:paraId="67C59EA5" w14:textId="4E790F6C" w:rsidR="0092209B" w:rsidRPr="00773EDE" w:rsidRDefault="0092209B" w:rsidP="0009651D">
      <w:pPr>
        <w:pStyle w:val="BodyText1"/>
        <w:keepNext/>
        <w:jc w:val="left"/>
      </w:pPr>
      <w:r w:rsidRPr="00773EDE">
        <w:rPr>
          <w:b/>
          <w:bCs/>
        </w:rPr>
        <w:t>Capsule shell</w:t>
      </w:r>
      <w:r w:rsidRPr="00773EDE">
        <w:t xml:space="preserve">: </w:t>
      </w:r>
      <w:proofErr w:type="spellStart"/>
      <w:r w:rsidRPr="00773EDE">
        <w:t>Gelatin</w:t>
      </w:r>
      <w:proofErr w:type="spellEnd"/>
      <w:r w:rsidRPr="00773EDE">
        <w:t xml:space="preserve">, </w:t>
      </w:r>
      <w:r w:rsidR="00AA44B8" w:rsidRPr="00773EDE">
        <w:t>g</w:t>
      </w:r>
      <w:r w:rsidRPr="00773EDE">
        <w:t xml:space="preserve">lycerol, </w:t>
      </w:r>
      <w:r w:rsidR="005F16EF" w:rsidRPr="00773EDE">
        <w:t>maltitol solution</w:t>
      </w:r>
      <w:r w:rsidRPr="00773EDE">
        <w:t xml:space="preserve">, </w:t>
      </w:r>
      <w:r w:rsidR="00C54FDA" w:rsidRPr="00773EDE">
        <w:t>sorbitol solution (70 per cent) (non-crystallising)</w:t>
      </w:r>
      <w:r w:rsidRPr="00773EDE">
        <w:t xml:space="preserve">, </w:t>
      </w:r>
      <w:r w:rsidR="00AA44B8" w:rsidRPr="00773EDE">
        <w:t>p</w:t>
      </w:r>
      <w:r w:rsidRPr="00773EDE">
        <w:t xml:space="preserve">urified water, </w:t>
      </w:r>
      <w:r w:rsidR="001F1296" w:rsidRPr="00773EDE">
        <w:t>medium chain tr</w:t>
      </w:r>
      <w:r w:rsidR="0011557E" w:rsidRPr="00773EDE">
        <w:t xml:space="preserve">iglycerides, </w:t>
      </w:r>
      <w:r w:rsidRPr="00773EDE">
        <w:t xml:space="preserve">lecithin </w:t>
      </w:r>
    </w:p>
    <w:p w14:paraId="0F4A7DCD" w14:textId="58E784D1" w:rsidR="008941AB" w:rsidRPr="00773EDE" w:rsidRDefault="0092209B" w:rsidP="0009651D">
      <w:pPr>
        <w:pStyle w:val="BodyText1"/>
        <w:jc w:val="left"/>
      </w:pPr>
      <w:r w:rsidRPr="00773EDE">
        <w:rPr>
          <w:b/>
          <w:bCs/>
        </w:rPr>
        <w:t>Printing ink</w:t>
      </w:r>
      <w:r w:rsidR="00E40EA1" w:rsidRPr="00773EDE">
        <w:t>:</w:t>
      </w:r>
      <w:r w:rsidR="0081481C">
        <w:t xml:space="preserve"> Tita</w:t>
      </w:r>
      <w:r w:rsidR="004B78F1">
        <w:t xml:space="preserve">nium dioxide, propylene glycol, </w:t>
      </w:r>
      <w:proofErr w:type="spellStart"/>
      <w:r w:rsidR="004B78F1">
        <w:t>hypromellose</w:t>
      </w:r>
      <w:proofErr w:type="spellEnd"/>
      <w:r w:rsidR="004139C8" w:rsidRPr="00773EDE">
        <w:t xml:space="preserve">. </w:t>
      </w:r>
    </w:p>
    <w:p w14:paraId="5A8EC95B" w14:textId="2E1DCFFA" w:rsidR="00B922A1" w:rsidRPr="00773EDE" w:rsidRDefault="008450DE" w:rsidP="0009651D">
      <w:pPr>
        <w:pStyle w:val="Heading2"/>
      </w:pPr>
      <w:r w:rsidRPr="00773EDE">
        <w:t xml:space="preserve">6.2 </w:t>
      </w:r>
      <w:r w:rsidR="00B922A1" w:rsidRPr="00773EDE">
        <w:t>Incompatibilities</w:t>
      </w:r>
    </w:p>
    <w:p w14:paraId="11FAB059" w14:textId="2C695A28" w:rsidR="004139C8" w:rsidRPr="00773EDE" w:rsidRDefault="007B3E2C" w:rsidP="0009651D">
      <w:pPr>
        <w:pStyle w:val="BodyText1"/>
        <w:jc w:val="left"/>
      </w:pPr>
      <w:r w:rsidRPr="00773EDE">
        <w:t>Not applicable</w:t>
      </w:r>
      <w:r w:rsidR="004139C8" w:rsidRPr="00773EDE">
        <w:t>.</w:t>
      </w:r>
    </w:p>
    <w:p w14:paraId="6E3DF974" w14:textId="38232D7A" w:rsidR="00B922A1" w:rsidRPr="00773EDE" w:rsidRDefault="008450DE" w:rsidP="0009651D">
      <w:pPr>
        <w:pStyle w:val="Heading2"/>
      </w:pPr>
      <w:bookmarkStart w:id="22" w:name="_Ref471299094"/>
      <w:r w:rsidRPr="00773EDE">
        <w:t xml:space="preserve">6.3 </w:t>
      </w:r>
      <w:r w:rsidR="00D124B9" w:rsidRPr="00773EDE">
        <w:t>Shelf Life</w:t>
      </w:r>
      <w:bookmarkEnd w:id="22"/>
    </w:p>
    <w:p w14:paraId="44C7671D" w14:textId="738CD9FE" w:rsidR="005C682D" w:rsidRPr="00773EDE" w:rsidRDefault="005C682D" w:rsidP="0009651D">
      <w:pPr>
        <w:pStyle w:val="BodyText1"/>
        <w:jc w:val="left"/>
      </w:pPr>
      <w:r w:rsidRPr="00773EDE">
        <w:t>In Australia, information on the shelf life can be found on the public summary of the Australian Register of Therapeutic Goods (ARTG). The expiry date can be found on the packaging.</w:t>
      </w:r>
    </w:p>
    <w:p w14:paraId="0906DF4A" w14:textId="28A1529F" w:rsidR="00D124B9" w:rsidRPr="00773EDE" w:rsidRDefault="008450DE" w:rsidP="0009651D">
      <w:pPr>
        <w:pStyle w:val="Heading2"/>
      </w:pPr>
      <w:r w:rsidRPr="00773EDE">
        <w:t xml:space="preserve">6.4 </w:t>
      </w:r>
      <w:r w:rsidR="00D124B9" w:rsidRPr="00773EDE">
        <w:t>Special precautions for storage</w:t>
      </w:r>
      <w:r w:rsidR="008A3619">
        <w:t xml:space="preserve"> </w:t>
      </w:r>
    </w:p>
    <w:p w14:paraId="2BB66A93" w14:textId="77777777" w:rsidR="007B3E2C" w:rsidRPr="00773EDE" w:rsidRDefault="00D124B9" w:rsidP="0009651D">
      <w:pPr>
        <w:pStyle w:val="BodyText1"/>
        <w:jc w:val="left"/>
      </w:pPr>
      <w:r w:rsidRPr="00773EDE">
        <w:t xml:space="preserve">Store below </w:t>
      </w:r>
      <w:r w:rsidR="007B3E2C" w:rsidRPr="00773EDE">
        <w:t>30</w:t>
      </w:r>
      <w:r w:rsidRPr="00773EDE">
        <w:t xml:space="preserve">°C. </w:t>
      </w:r>
    </w:p>
    <w:p w14:paraId="242E3F73" w14:textId="53EDF7C6" w:rsidR="007B3E2C" w:rsidRPr="00773EDE" w:rsidRDefault="007B3E2C" w:rsidP="0009651D">
      <w:pPr>
        <w:pStyle w:val="BodyText1"/>
        <w:jc w:val="left"/>
      </w:pPr>
      <w:r w:rsidRPr="00A2169A">
        <w:rPr>
          <w:u w:val="single"/>
        </w:rPr>
        <w:t>Bottles</w:t>
      </w:r>
      <w:r w:rsidRPr="00773EDE">
        <w:t xml:space="preserve">: Keep bottle tightly close </w:t>
      </w:r>
      <w:proofErr w:type="gramStart"/>
      <w:r w:rsidRPr="00773EDE">
        <w:t>in order to</w:t>
      </w:r>
      <w:proofErr w:type="gramEnd"/>
      <w:r w:rsidRPr="00773EDE">
        <w:t xml:space="preserve"> protect from moisture</w:t>
      </w:r>
      <w:r w:rsidR="00CF1DEE">
        <w:t>.</w:t>
      </w:r>
    </w:p>
    <w:p w14:paraId="7033C230" w14:textId="5471CCCB" w:rsidR="00D124B9" w:rsidRPr="00773EDE" w:rsidRDefault="007B3E2C" w:rsidP="0009651D">
      <w:pPr>
        <w:pStyle w:val="BodyText1"/>
        <w:jc w:val="left"/>
      </w:pPr>
      <w:r w:rsidRPr="00A2169A">
        <w:rPr>
          <w:u w:val="single"/>
        </w:rPr>
        <w:t>Blisters</w:t>
      </w:r>
      <w:r w:rsidRPr="00773EDE">
        <w:t xml:space="preserve">: </w:t>
      </w:r>
      <w:r w:rsidR="008D75B1" w:rsidRPr="00773EDE">
        <w:t xml:space="preserve">Store in the original package </w:t>
      </w:r>
      <w:proofErr w:type="gramStart"/>
      <w:r w:rsidR="008D75B1" w:rsidRPr="00773EDE">
        <w:t>in order to</w:t>
      </w:r>
      <w:proofErr w:type="gramEnd"/>
      <w:r w:rsidR="008D75B1" w:rsidRPr="00773EDE">
        <w:t xml:space="preserve"> protect from moisture. </w:t>
      </w:r>
    </w:p>
    <w:p w14:paraId="02EA0A5F" w14:textId="46B2FA6A" w:rsidR="002C465B" w:rsidRPr="00773EDE" w:rsidRDefault="008450DE" w:rsidP="0009651D">
      <w:pPr>
        <w:pStyle w:val="Heading2"/>
      </w:pPr>
      <w:r w:rsidRPr="00773EDE">
        <w:t xml:space="preserve">6.5 </w:t>
      </w:r>
      <w:r w:rsidR="002C465B" w:rsidRPr="00773EDE">
        <w:t>Nature and contents of container</w:t>
      </w:r>
      <w:r w:rsidR="008A3619">
        <w:t xml:space="preserve"> </w:t>
      </w:r>
    </w:p>
    <w:p w14:paraId="1521EF3B" w14:textId="77777777" w:rsidR="00EC6C3C" w:rsidRPr="00773EDE" w:rsidRDefault="00EC6C3C" w:rsidP="0009651D">
      <w:pPr>
        <w:pStyle w:val="BodyText1"/>
        <w:jc w:val="left"/>
      </w:pPr>
      <w:r>
        <w:rPr>
          <w:szCs w:val="22"/>
        </w:rPr>
        <w:t>High density polyethylene (</w:t>
      </w:r>
      <w:r w:rsidRPr="00773EDE">
        <w:t>HDPE</w:t>
      </w:r>
      <w:r>
        <w:t>)</w:t>
      </w:r>
      <w:r w:rsidRPr="00773EDE">
        <w:t xml:space="preserve"> bottle with child-resistant </w:t>
      </w:r>
      <w:r>
        <w:rPr>
          <w:szCs w:val="22"/>
        </w:rPr>
        <w:t xml:space="preserve">polypropylene </w:t>
      </w:r>
      <w:r w:rsidRPr="00773EDE">
        <w:t xml:space="preserve">heat induction sealed closure containing 120 soft capsules. </w:t>
      </w:r>
    </w:p>
    <w:p w14:paraId="68F5230F" w14:textId="79F8A19E" w:rsidR="00E506D7" w:rsidRPr="00773EDE" w:rsidRDefault="00E506D7" w:rsidP="0009651D">
      <w:pPr>
        <w:pStyle w:val="BodyText1"/>
        <w:jc w:val="left"/>
      </w:pPr>
      <w:r w:rsidRPr="00773EDE">
        <w:t>PVC/PCTFE/Al perforated unit dose blisters containing 4x2 soft capsules</w:t>
      </w:r>
      <w:r w:rsidR="00BE3040">
        <w:t xml:space="preserve"> (</w:t>
      </w:r>
      <w:r w:rsidR="00F90046">
        <w:t>sample only</w:t>
      </w:r>
      <w:r w:rsidR="00BE3040">
        <w:t>)</w:t>
      </w:r>
      <w:r w:rsidRPr="00773EDE">
        <w:t xml:space="preserve">. </w:t>
      </w:r>
    </w:p>
    <w:p w14:paraId="7F117C16" w14:textId="0FE162C3" w:rsidR="002C465B" w:rsidRPr="00773EDE" w:rsidRDefault="002C465B" w:rsidP="0009651D">
      <w:pPr>
        <w:pStyle w:val="BodyText1"/>
        <w:jc w:val="left"/>
      </w:pPr>
      <w:r w:rsidRPr="00773EDE">
        <w:t>Not all pack sizes may be marketed</w:t>
      </w:r>
      <w:r w:rsidR="00E506D7" w:rsidRPr="00773EDE">
        <w:t xml:space="preserve">. </w:t>
      </w:r>
    </w:p>
    <w:p w14:paraId="64F0E108" w14:textId="1817615A" w:rsidR="00E74795" w:rsidRPr="00773EDE" w:rsidRDefault="008450DE" w:rsidP="0009651D">
      <w:pPr>
        <w:pStyle w:val="Heading2"/>
      </w:pPr>
      <w:bookmarkStart w:id="23" w:name="_Ref471299056"/>
      <w:r w:rsidRPr="00773EDE">
        <w:t xml:space="preserve">6.6 </w:t>
      </w:r>
      <w:r w:rsidR="00E74795" w:rsidRPr="00773EDE">
        <w:t xml:space="preserve">Special precautions for disposal </w:t>
      </w:r>
      <w:bookmarkEnd w:id="23"/>
    </w:p>
    <w:p w14:paraId="280DF4A0" w14:textId="0C822001" w:rsidR="000B07BE" w:rsidRPr="00773EDE" w:rsidRDefault="000B07BE" w:rsidP="0009651D">
      <w:pPr>
        <w:pStyle w:val="BodyText1"/>
        <w:jc w:val="left"/>
      </w:pPr>
      <w:r w:rsidRPr="00773EDE">
        <w:t>In Australia, any unused medicine or waste material should be disposed of by taking to your local pharmacy.</w:t>
      </w:r>
      <w:r w:rsidR="0005067A" w:rsidRPr="00773EDE">
        <w:t xml:space="preserve"> </w:t>
      </w:r>
    </w:p>
    <w:p w14:paraId="38E535A8" w14:textId="0CDE6C80" w:rsidR="00D86907" w:rsidRPr="00773EDE" w:rsidRDefault="00D86907" w:rsidP="0009651D">
      <w:pPr>
        <w:pStyle w:val="Heading2"/>
      </w:pPr>
      <w:r w:rsidRPr="00773EDE">
        <w:t>6.7 Physicochemical properties</w:t>
      </w:r>
      <w:r w:rsidR="008A3619">
        <w:t xml:space="preserve"> </w:t>
      </w:r>
    </w:p>
    <w:p w14:paraId="63DD6047" w14:textId="77777777" w:rsidR="000B07BE" w:rsidRPr="00773EDE" w:rsidRDefault="00D86907" w:rsidP="0009651D">
      <w:pPr>
        <w:pStyle w:val="Heading3"/>
      </w:pPr>
      <w:r w:rsidRPr="00773EDE">
        <w:t xml:space="preserve">Chemical structure: </w:t>
      </w:r>
      <w:r w:rsidRPr="00773EDE">
        <w:tab/>
      </w:r>
    </w:p>
    <w:p w14:paraId="55D31C35" w14:textId="77777777" w:rsidR="00CA05AF" w:rsidRPr="00773EDE" w:rsidRDefault="00CA05AF" w:rsidP="0009651D">
      <w:pPr>
        <w:pStyle w:val="BodyText1"/>
        <w:jc w:val="left"/>
      </w:pPr>
      <w:r w:rsidRPr="00773EDE">
        <w:rPr>
          <w:noProof/>
        </w:rPr>
        <w:drawing>
          <wp:inline distT="0" distB="0" distL="0" distR="0" wp14:anchorId="453F1B16" wp14:editId="11E8765A">
            <wp:extent cx="1255606" cy="1008000"/>
            <wp:effectExtent l="0" t="0" r="635" b="0"/>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5606" cy="1008000"/>
                    </a:xfrm>
                    <a:prstGeom prst="rect">
                      <a:avLst/>
                    </a:prstGeom>
                    <a:noFill/>
                    <a:ln>
                      <a:noFill/>
                    </a:ln>
                  </pic:spPr>
                </pic:pic>
              </a:graphicData>
            </a:graphic>
          </wp:inline>
        </w:drawing>
      </w:r>
      <w:smartTag w:uri="urn:schemas-microsoft-com:office:smarttags" w:element="stockticker"/>
    </w:p>
    <w:p w14:paraId="681F9F32" w14:textId="4E816A2D" w:rsidR="000B07BE" w:rsidRPr="00773EDE" w:rsidRDefault="00D86907" w:rsidP="0009651D">
      <w:pPr>
        <w:pStyle w:val="Heading3"/>
      </w:pPr>
      <w:r w:rsidRPr="00773EDE">
        <w:t>CAS</w:t>
      </w:r>
      <w:r w:rsidR="004139C8" w:rsidRPr="00773EDE">
        <w:t xml:space="preserve"> number</w:t>
      </w:r>
      <w:r w:rsidRPr="00773EDE">
        <w:t xml:space="preserve">: </w:t>
      </w:r>
      <w:r w:rsidRPr="00773EDE">
        <w:tab/>
      </w:r>
    </w:p>
    <w:p w14:paraId="20EF2D43" w14:textId="4E98526D" w:rsidR="00D86907" w:rsidRPr="00773EDE" w:rsidRDefault="00AE0E32" w:rsidP="0009651D">
      <w:pPr>
        <w:pStyle w:val="BodyText1"/>
        <w:tabs>
          <w:tab w:val="left" w:pos="2268"/>
        </w:tabs>
        <w:jc w:val="left"/>
      </w:pPr>
      <w:r w:rsidRPr="00773EDE">
        <w:t>73310-10-8</w:t>
      </w:r>
    </w:p>
    <w:p w14:paraId="58217C41" w14:textId="588C4D6A" w:rsidR="00242B21" w:rsidRPr="00773EDE" w:rsidRDefault="008450DE" w:rsidP="0009651D">
      <w:pPr>
        <w:pStyle w:val="Heading1"/>
        <w:keepNext/>
      </w:pPr>
      <w:r w:rsidRPr="00773EDE">
        <w:t xml:space="preserve">7. </w:t>
      </w:r>
      <w:r w:rsidR="00242B21" w:rsidRPr="00773EDE">
        <w:t>Medicine Schedule</w:t>
      </w:r>
      <w:r w:rsidR="00D86907" w:rsidRPr="00773EDE">
        <w:t xml:space="preserve"> (</w:t>
      </w:r>
      <w:r w:rsidR="009718E1" w:rsidRPr="00773EDE">
        <w:t>Poison</w:t>
      </w:r>
      <w:r w:rsidR="00870EA7" w:rsidRPr="00773EDE">
        <w:t>s</w:t>
      </w:r>
      <w:r w:rsidR="009718E1" w:rsidRPr="00773EDE">
        <w:t xml:space="preserve"> standard</w:t>
      </w:r>
      <w:r w:rsidR="00D86907" w:rsidRPr="00773EDE">
        <w:t>)</w:t>
      </w:r>
    </w:p>
    <w:p w14:paraId="10D5F751" w14:textId="209B00A8" w:rsidR="00E74795" w:rsidRPr="00773EDE" w:rsidRDefault="004139C8" w:rsidP="0009651D">
      <w:pPr>
        <w:pStyle w:val="BodyText1"/>
        <w:keepNext/>
        <w:jc w:val="left"/>
      </w:pPr>
      <w:r w:rsidRPr="00773EDE">
        <w:t>S4 – Prescription Only Medicine</w:t>
      </w:r>
      <w:r w:rsidR="00562470" w:rsidRPr="00773EDE">
        <w:t xml:space="preserve"> </w:t>
      </w:r>
    </w:p>
    <w:p w14:paraId="17A8B0B8" w14:textId="49CB7896" w:rsidR="00242B21" w:rsidRPr="00773EDE" w:rsidRDefault="008450DE" w:rsidP="0009651D">
      <w:pPr>
        <w:pStyle w:val="Heading1"/>
        <w:keepNext/>
      </w:pPr>
      <w:r w:rsidRPr="00773EDE">
        <w:t xml:space="preserve">8. </w:t>
      </w:r>
      <w:r w:rsidR="00242B21" w:rsidRPr="00773EDE">
        <w:t>Sponsor</w:t>
      </w:r>
    </w:p>
    <w:p w14:paraId="115021B9" w14:textId="77777777" w:rsidR="009E053B" w:rsidRPr="009E053B" w:rsidRDefault="009E053B" w:rsidP="0009651D">
      <w:pPr>
        <w:keepNext/>
        <w:autoSpaceDE w:val="0"/>
        <w:autoSpaceDN w:val="0"/>
        <w:adjustRightInd w:val="0"/>
        <w:rPr>
          <w:rFonts w:cs="Arial Narrow"/>
          <w:color w:val="000000"/>
          <w:szCs w:val="22"/>
        </w:rPr>
      </w:pPr>
      <w:r w:rsidRPr="009E053B">
        <w:rPr>
          <w:rFonts w:cs="Arial Narrow"/>
          <w:color w:val="000000"/>
          <w:szCs w:val="22"/>
        </w:rPr>
        <w:t xml:space="preserve">AA-Med Pty Ltd </w:t>
      </w:r>
    </w:p>
    <w:p w14:paraId="4A2A7020" w14:textId="77777777" w:rsidR="009E053B" w:rsidRPr="009E053B" w:rsidRDefault="009E053B" w:rsidP="0009651D">
      <w:pPr>
        <w:autoSpaceDE w:val="0"/>
        <w:autoSpaceDN w:val="0"/>
        <w:adjustRightInd w:val="0"/>
        <w:rPr>
          <w:rFonts w:cs="Arial Narrow"/>
          <w:color w:val="000000"/>
          <w:szCs w:val="22"/>
        </w:rPr>
      </w:pPr>
      <w:r w:rsidRPr="009E053B">
        <w:rPr>
          <w:rFonts w:cs="Arial Narrow"/>
          <w:color w:val="000000"/>
          <w:szCs w:val="22"/>
        </w:rPr>
        <w:t xml:space="preserve">Suite 4, Level 10/ 1 Chandos Street </w:t>
      </w:r>
    </w:p>
    <w:p w14:paraId="22CD9151" w14:textId="5BADAFF7" w:rsidR="004139C8" w:rsidRPr="00773EDE" w:rsidRDefault="009E053B" w:rsidP="0009651D">
      <w:pPr>
        <w:pStyle w:val="BodyText1"/>
        <w:jc w:val="left"/>
      </w:pPr>
      <w:r w:rsidRPr="009E053B">
        <w:rPr>
          <w:rFonts w:cs="Arial Narrow"/>
          <w:color w:val="000000"/>
          <w:szCs w:val="22"/>
        </w:rPr>
        <w:lastRenderedPageBreak/>
        <w:t>St Leonards NSW 2065</w:t>
      </w:r>
      <w:r>
        <w:rPr>
          <w:rFonts w:cs="Arial Narrow"/>
          <w:color w:val="000000"/>
          <w:szCs w:val="22"/>
        </w:rPr>
        <w:t xml:space="preserve"> </w:t>
      </w:r>
    </w:p>
    <w:p w14:paraId="3D9033EC" w14:textId="23AD48B8" w:rsidR="00242B21" w:rsidRPr="00773EDE" w:rsidRDefault="00E4110B" w:rsidP="0009651D">
      <w:pPr>
        <w:pStyle w:val="Heading1"/>
        <w:keepNext/>
      </w:pPr>
      <w:r w:rsidRPr="00773EDE">
        <w:t>9</w:t>
      </w:r>
      <w:r w:rsidR="008450DE" w:rsidRPr="00773EDE">
        <w:t xml:space="preserve">. </w:t>
      </w:r>
      <w:r w:rsidR="00242B21" w:rsidRPr="00773EDE">
        <w:t xml:space="preserve">Date of </w:t>
      </w:r>
      <w:r w:rsidR="009718E1" w:rsidRPr="00773EDE">
        <w:t>F</w:t>
      </w:r>
      <w:r w:rsidR="00242B21" w:rsidRPr="00773EDE">
        <w:t xml:space="preserve">irst </w:t>
      </w:r>
      <w:r w:rsidR="009718E1" w:rsidRPr="00773EDE">
        <w:t>A</w:t>
      </w:r>
      <w:r w:rsidR="00242B21" w:rsidRPr="00773EDE">
        <w:t>pproval</w:t>
      </w:r>
      <w:r w:rsidR="00D86907" w:rsidRPr="00773EDE">
        <w:t xml:space="preserve"> </w:t>
      </w:r>
    </w:p>
    <w:p w14:paraId="5FF587DE" w14:textId="380BBC86" w:rsidR="004139C8" w:rsidRPr="00773EDE" w:rsidRDefault="00F31013" w:rsidP="0009651D">
      <w:pPr>
        <w:pStyle w:val="BodyText1"/>
        <w:keepNext/>
        <w:jc w:val="left"/>
      </w:pPr>
      <w:r>
        <w:t>08 November 2022</w:t>
      </w:r>
      <w:r w:rsidR="00773EDE" w:rsidRPr="00773EDE">
        <w:t xml:space="preserve"> </w:t>
      </w:r>
    </w:p>
    <w:p w14:paraId="6024BD99" w14:textId="1E6F0205" w:rsidR="00242B21" w:rsidRPr="00773EDE" w:rsidRDefault="008450DE" w:rsidP="0009651D">
      <w:pPr>
        <w:pStyle w:val="Heading1"/>
      </w:pPr>
      <w:r w:rsidRPr="00773EDE">
        <w:t>1</w:t>
      </w:r>
      <w:r w:rsidR="00E4110B" w:rsidRPr="00773EDE">
        <w:t>0</w:t>
      </w:r>
      <w:r w:rsidRPr="00773EDE">
        <w:t xml:space="preserve">. </w:t>
      </w:r>
      <w:r w:rsidR="00242B21" w:rsidRPr="00773EDE">
        <w:t xml:space="preserve">Date of </w:t>
      </w:r>
      <w:r w:rsidR="000B07BE" w:rsidRPr="00773EDE">
        <w:t>REVISION</w:t>
      </w:r>
    </w:p>
    <w:p w14:paraId="3F0AA3C9" w14:textId="004B07A8" w:rsidR="004139C8" w:rsidRPr="00773EDE" w:rsidRDefault="00773EDE" w:rsidP="0009651D">
      <w:pPr>
        <w:pStyle w:val="BodyText1"/>
        <w:jc w:val="left"/>
      </w:pPr>
      <w:r w:rsidRPr="00773EDE">
        <w:t xml:space="preserve"> </w:t>
      </w:r>
      <w:r w:rsidR="00E41D79">
        <w:t>Not applicable</w:t>
      </w:r>
    </w:p>
    <w:p w14:paraId="43DFF024" w14:textId="4C85D18B" w:rsidR="00162216" w:rsidRPr="00773EDE" w:rsidRDefault="00162216" w:rsidP="0009651D">
      <w:pPr>
        <w:pStyle w:val="BodyText1"/>
        <w:jc w:val="left"/>
      </w:pPr>
    </w:p>
    <w:p w14:paraId="44C49EA2" w14:textId="5162566B" w:rsidR="00162216" w:rsidRPr="00773EDE" w:rsidRDefault="00162216" w:rsidP="0009651D">
      <w:pPr>
        <w:pStyle w:val="Heading3"/>
        <w:keepNext/>
      </w:pPr>
      <w:r w:rsidRPr="00773EDE">
        <w:t>Summary table of changes</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4"/>
        <w:gridCol w:w="7582"/>
      </w:tblGrid>
      <w:tr w:rsidR="000B07BE" w:rsidRPr="00773EDE" w14:paraId="3422391B" w14:textId="77777777" w:rsidTr="000B07BE">
        <w:tc>
          <w:tcPr>
            <w:tcW w:w="1414" w:type="dxa"/>
            <w:tcBorders>
              <w:top w:val="single" w:sz="12" w:space="0" w:color="auto"/>
              <w:bottom w:val="double" w:sz="4" w:space="0" w:color="auto"/>
            </w:tcBorders>
            <w:tcMar>
              <w:top w:w="28" w:type="dxa"/>
              <w:left w:w="57" w:type="dxa"/>
              <w:bottom w:w="28" w:type="dxa"/>
              <w:right w:w="57" w:type="dxa"/>
            </w:tcMar>
          </w:tcPr>
          <w:p w14:paraId="56307751" w14:textId="74AEB7FC" w:rsidR="000B07BE" w:rsidRPr="00773EDE" w:rsidRDefault="000B07BE" w:rsidP="0009651D">
            <w:pPr>
              <w:pStyle w:val="Table-Heading1"/>
              <w:keepNext/>
            </w:pPr>
            <w:r w:rsidRPr="00773EDE">
              <w:t>Section changed</w:t>
            </w:r>
          </w:p>
        </w:tc>
        <w:tc>
          <w:tcPr>
            <w:tcW w:w="7582" w:type="dxa"/>
            <w:tcBorders>
              <w:top w:val="single" w:sz="12" w:space="0" w:color="auto"/>
              <w:bottom w:val="double" w:sz="4" w:space="0" w:color="auto"/>
            </w:tcBorders>
            <w:tcMar>
              <w:left w:w="57" w:type="dxa"/>
              <w:right w:w="57" w:type="dxa"/>
            </w:tcMar>
          </w:tcPr>
          <w:p w14:paraId="24F3B2E1" w14:textId="0EB230F7" w:rsidR="000B07BE" w:rsidRPr="00773EDE" w:rsidRDefault="000B07BE" w:rsidP="0009651D">
            <w:pPr>
              <w:pStyle w:val="Table-Heading1"/>
              <w:keepNext/>
            </w:pPr>
            <w:r w:rsidRPr="00773EDE">
              <w:t>Summary of new information</w:t>
            </w:r>
          </w:p>
        </w:tc>
      </w:tr>
      <w:tr w:rsidR="004139C8" w14:paraId="4F428C24" w14:textId="77777777" w:rsidTr="000B07BE">
        <w:tc>
          <w:tcPr>
            <w:tcW w:w="1414" w:type="dxa"/>
            <w:tcBorders>
              <w:top w:val="single" w:sz="4" w:space="0" w:color="auto"/>
            </w:tcBorders>
            <w:tcMar>
              <w:top w:w="28" w:type="dxa"/>
              <w:left w:w="57" w:type="dxa"/>
              <w:bottom w:w="28" w:type="dxa"/>
              <w:right w:w="57" w:type="dxa"/>
            </w:tcMar>
          </w:tcPr>
          <w:p w14:paraId="0E235A87" w14:textId="58429DC5" w:rsidR="004139C8" w:rsidRPr="00773EDE" w:rsidRDefault="004139C8" w:rsidP="0009651D">
            <w:pPr>
              <w:pStyle w:val="Table-text"/>
              <w:ind w:left="22"/>
            </w:pPr>
            <w:r w:rsidRPr="00773EDE">
              <w:t>All</w:t>
            </w:r>
          </w:p>
        </w:tc>
        <w:tc>
          <w:tcPr>
            <w:tcW w:w="7582" w:type="dxa"/>
            <w:tcBorders>
              <w:top w:val="single" w:sz="4" w:space="0" w:color="auto"/>
            </w:tcBorders>
            <w:tcMar>
              <w:left w:w="57" w:type="dxa"/>
              <w:right w:w="57" w:type="dxa"/>
            </w:tcMar>
          </w:tcPr>
          <w:p w14:paraId="319C2BA1" w14:textId="6BC2923F" w:rsidR="004139C8" w:rsidRDefault="00773EDE" w:rsidP="0009651D">
            <w:pPr>
              <w:pStyle w:val="Table-text"/>
              <w:ind w:left="31"/>
            </w:pPr>
            <w:r w:rsidRPr="00773EDE">
              <w:t>New</w:t>
            </w:r>
          </w:p>
        </w:tc>
      </w:tr>
    </w:tbl>
    <w:p w14:paraId="28D88D74" w14:textId="0FC42B0B" w:rsidR="00162216" w:rsidRPr="004637A9" w:rsidRDefault="00162216" w:rsidP="0009651D">
      <w:pPr>
        <w:pStyle w:val="BodyText1"/>
        <w:jc w:val="left"/>
        <w:rPr>
          <w:sz w:val="2"/>
          <w:szCs w:val="2"/>
        </w:rPr>
      </w:pPr>
    </w:p>
    <w:sectPr w:rsidR="00162216" w:rsidRPr="004637A9" w:rsidSect="00C57FA3">
      <w:headerReference w:type="default" r:id="rId15"/>
      <w:footerReference w:type="default" r:id="rId16"/>
      <w:headerReference w:type="first" r:id="rId17"/>
      <w:footerReference w:type="first" r:id="rId18"/>
      <w:pgSz w:w="11906" w:h="16838"/>
      <w:pgMar w:top="1134" w:right="1440" w:bottom="851"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22732" w14:textId="77777777" w:rsidR="00B276FC" w:rsidRDefault="00B276FC" w:rsidP="004A6F6E">
      <w:r>
        <w:separator/>
      </w:r>
    </w:p>
    <w:p w14:paraId="6F4676DD" w14:textId="77777777" w:rsidR="00B276FC" w:rsidRDefault="00B276FC"/>
  </w:endnote>
  <w:endnote w:type="continuationSeparator" w:id="0">
    <w:p w14:paraId="3D19235F" w14:textId="77777777" w:rsidR="00B276FC" w:rsidRDefault="00B276FC" w:rsidP="004A6F6E">
      <w:r>
        <w:continuationSeparator/>
      </w:r>
    </w:p>
    <w:p w14:paraId="086ED1DA" w14:textId="77777777" w:rsidR="00B276FC" w:rsidRDefault="00B276FC"/>
  </w:endnote>
  <w:endnote w:type="continuationNotice" w:id="1">
    <w:p w14:paraId="13160BFB" w14:textId="77777777" w:rsidR="00B276FC" w:rsidRDefault="00B27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CFCCC" w14:textId="70867CC4" w:rsidR="004542FF" w:rsidRPr="007C7A87" w:rsidRDefault="007C7A87" w:rsidP="007C7A87">
    <w:pPr>
      <w:pStyle w:val="Footer"/>
      <w:rPr>
        <w:rFonts w:cs="Arial"/>
        <w:sz w:val="18"/>
      </w:rPr>
    </w:pPr>
    <w:r>
      <w:rPr>
        <w:rFonts w:cs="Arial"/>
        <w:sz w:val="18"/>
      </w:rPr>
      <w:t>VAZKEPA PI, v</w:t>
    </w:r>
    <w:r w:rsidR="00E41D79">
      <w:rPr>
        <w:rFonts w:cs="Arial"/>
        <w:sz w:val="18"/>
      </w:rPr>
      <w:t>A</w:t>
    </w:r>
    <w:r>
      <w:rPr>
        <w:rFonts w:cs="Arial"/>
        <w:sz w:val="18"/>
      </w:rPr>
      <w:t>-1.</w:t>
    </w:r>
    <w:r w:rsidR="00287DBF">
      <w:rPr>
        <w:rFonts w:cs="Arial"/>
        <w:sz w:val="18"/>
      </w:rPr>
      <w:t>3</w:t>
    </w:r>
    <w:r w:rsidRPr="00D86907">
      <w:rPr>
        <w:rFonts w:cs="Arial"/>
        <w:sz w:val="18"/>
      </w:rPr>
      <w:tab/>
    </w:r>
    <w:r w:rsidRPr="00D86907">
      <w:rPr>
        <w:rFonts w:cs="Arial"/>
        <w:sz w:val="18"/>
      </w:rPr>
      <w:tab/>
      <w:t xml:space="preserve">Page </w:t>
    </w:r>
    <w:r w:rsidRPr="00D86907">
      <w:rPr>
        <w:rFonts w:cs="Arial"/>
        <w:sz w:val="18"/>
      </w:rPr>
      <w:fldChar w:fldCharType="begin"/>
    </w:r>
    <w:r w:rsidRPr="00D86907">
      <w:rPr>
        <w:rFonts w:cs="Arial"/>
        <w:sz w:val="18"/>
      </w:rPr>
      <w:instrText xml:space="preserve"> PAGE </w:instrText>
    </w:r>
    <w:r w:rsidRPr="00D86907">
      <w:rPr>
        <w:rFonts w:cs="Arial"/>
        <w:sz w:val="18"/>
      </w:rPr>
      <w:fldChar w:fldCharType="separate"/>
    </w:r>
    <w:r>
      <w:rPr>
        <w:rFonts w:cs="Arial"/>
        <w:sz w:val="18"/>
      </w:rPr>
      <w:t>1</w:t>
    </w:r>
    <w:r w:rsidRPr="00D86907">
      <w:rPr>
        <w:rFonts w:cs="Arial"/>
        <w:sz w:val="18"/>
      </w:rPr>
      <w:fldChar w:fldCharType="end"/>
    </w:r>
    <w:r w:rsidRPr="00D86907">
      <w:rPr>
        <w:rFonts w:cs="Arial"/>
        <w:sz w:val="18"/>
      </w:rPr>
      <w:t xml:space="preserve"> of </w:t>
    </w:r>
    <w:r w:rsidRPr="00D86907">
      <w:rPr>
        <w:rFonts w:cs="Arial"/>
        <w:sz w:val="18"/>
      </w:rPr>
      <w:fldChar w:fldCharType="begin"/>
    </w:r>
    <w:r w:rsidRPr="00D86907">
      <w:rPr>
        <w:rFonts w:cs="Arial"/>
        <w:sz w:val="18"/>
      </w:rPr>
      <w:instrText xml:space="preserve"> NUMPAGES  </w:instrText>
    </w:r>
    <w:r w:rsidRPr="00D86907">
      <w:rPr>
        <w:rFonts w:cs="Arial"/>
        <w:sz w:val="18"/>
      </w:rPr>
      <w:fldChar w:fldCharType="separate"/>
    </w:r>
    <w:r>
      <w:rPr>
        <w:rFonts w:cs="Arial"/>
        <w:sz w:val="18"/>
      </w:rPr>
      <w:t>10</w:t>
    </w:r>
    <w:r w:rsidRPr="00D86907">
      <w:rPr>
        <w:rFonts w:cs="Arial"/>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145E" w14:textId="6A520389" w:rsidR="00662CCF" w:rsidRPr="00D86907" w:rsidRDefault="006578C3">
    <w:pPr>
      <w:pStyle w:val="Footer"/>
      <w:rPr>
        <w:rFonts w:cs="Arial"/>
        <w:sz w:val="18"/>
      </w:rPr>
    </w:pPr>
    <w:r>
      <w:rPr>
        <w:rFonts w:cs="Arial"/>
        <w:sz w:val="18"/>
      </w:rPr>
      <w:t>VA</w:t>
    </w:r>
    <w:r w:rsidR="00E10A84">
      <w:rPr>
        <w:rFonts w:cs="Arial"/>
        <w:sz w:val="18"/>
      </w:rPr>
      <w:t>Z</w:t>
    </w:r>
    <w:r>
      <w:rPr>
        <w:rFonts w:cs="Arial"/>
        <w:sz w:val="18"/>
      </w:rPr>
      <w:t>KEPA</w:t>
    </w:r>
    <w:r w:rsidR="007C7A87">
      <w:rPr>
        <w:rFonts w:cs="Arial"/>
        <w:sz w:val="18"/>
      </w:rPr>
      <w:t xml:space="preserve"> PI,</w:t>
    </w:r>
    <w:r>
      <w:rPr>
        <w:rFonts w:cs="Arial"/>
        <w:sz w:val="18"/>
      </w:rPr>
      <w:t xml:space="preserve"> </w:t>
    </w:r>
    <w:r w:rsidR="001809A1">
      <w:rPr>
        <w:rFonts w:cs="Arial"/>
        <w:sz w:val="18"/>
      </w:rPr>
      <w:t>vD</w:t>
    </w:r>
    <w:r w:rsidR="009B46B5">
      <w:rPr>
        <w:rFonts w:cs="Arial"/>
        <w:sz w:val="18"/>
      </w:rPr>
      <w:t>-1.</w:t>
    </w:r>
    <w:r w:rsidR="00287DBF">
      <w:rPr>
        <w:rFonts w:cs="Arial"/>
        <w:sz w:val="18"/>
      </w:rPr>
      <w:t>3</w:t>
    </w:r>
    <w:r w:rsidR="00662CCF" w:rsidRPr="00D86907">
      <w:rPr>
        <w:rFonts w:cs="Arial"/>
        <w:sz w:val="18"/>
      </w:rPr>
      <w:tab/>
    </w:r>
    <w:r w:rsidR="00662CCF" w:rsidRPr="00D86907">
      <w:rPr>
        <w:rFonts w:cs="Arial"/>
        <w:sz w:val="18"/>
      </w:rPr>
      <w:tab/>
      <w:t xml:space="preserve">Page </w:t>
    </w:r>
    <w:r w:rsidR="00662CCF" w:rsidRPr="00D86907">
      <w:rPr>
        <w:rFonts w:cs="Arial"/>
        <w:sz w:val="18"/>
      </w:rPr>
      <w:fldChar w:fldCharType="begin"/>
    </w:r>
    <w:r w:rsidR="00662CCF" w:rsidRPr="00D86907">
      <w:rPr>
        <w:rFonts w:cs="Arial"/>
        <w:sz w:val="18"/>
      </w:rPr>
      <w:instrText xml:space="preserve"> PAGE </w:instrText>
    </w:r>
    <w:r w:rsidR="00662CCF" w:rsidRPr="00D86907">
      <w:rPr>
        <w:rFonts w:cs="Arial"/>
        <w:sz w:val="18"/>
      </w:rPr>
      <w:fldChar w:fldCharType="separate"/>
    </w:r>
    <w:r w:rsidR="00C372C1">
      <w:rPr>
        <w:rFonts w:cs="Arial"/>
        <w:noProof/>
        <w:sz w:val="18"/>
      </w:rPr>
      <w:t>1</w:t>
    </w:r>
    <w:r w:rsidR="00662CCF" w:rsidRPr="00D86907">
      <w:rPr>
        <w:rFonts w:cs="Arial"/>
        <w:sz w:val="18"/>
      </w:rPr>
      <w:fldChar w:fldCharType="end"/>
    </w:r>
    <w:r w:rsidR="00662CCF" w:rsidRPr="00D86907">
      <w:rPr>
        <w:rFonts w:cs="Arial"/>
        <w:sz w:val="18"/>
      </w:rPr>
      <w:t xml:space="preserve"> of </w:t>
    </w:r>
    <w:r w:rsidR="00D86907" w:rsidRPr="00D86907">
      <w:rPr>
        <w:rFonts w:cs="Arial"/>
        <w:sz w:val="18"/>
      </w:rPr>
      <w:fldChar w:fldCharType="begin"/>
    </w:r>
    <w:r w:rsidR="00D86907" w:rsidRPr="00D86907">
      <w:rPr>
        <w:rFonts w:cs="Arial"/>
        <w:sz w:val="18"/>
      </w:rPr>
      <w:instrText xml:space="preserve"> NUMPAGES  </w:instrText>
    </w:r>
    <w:r w:rsidR="00D86907" w:rsidRPr="00D86907">
      <w:rPr>
        <w:rFonts w:cs="Arial"/>
        <w:sz w:val="18"/>
      </w:rPr>
      <w:fldChar w:fldCharType="separate"/>
    </w:r>
    <w:r w:rsidR="00C372C1">
      <w:rPr>
        <w:rFonts w:cs="Arial"/>
        <w:noProof/>
        <w:sz w:val="18"/>
      </w:rPr>
      <w:t>6</w:t>
    </w:r>
    <w:r w:rsidR="00D86907" w:rsidRPr="00D86907">
      <w:rPr>
        <w:rFonts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B9D6D" w14:textId="77777777" w:rsidR="00B276FC" w:rsidRDefault="00B276FC" w:rsidP="004A6F6E">
      <w:r>
        <w:separator/>
      </w:r>
    </w:p>
    <w:p w14:paraId="03B30EEE" w14:textId="77777777" w:rsidR="00B276FC" w:rsidRDefault="00B276FC"/>
  </w:footnote>
  <w:footnote w:type="continuationSeparator" w:id="0">
    <w:p w14:paraId="35656563" w14:textId="77777777" w:rsidR="00B276FC" w:rsidRDefault="00B276FC" w:rsidP="004A6F6E">
      <w:r>
        <w:continuationSeparator/>
      </w:r>
    </w:p>
    <w:p w14:paraId="0DEF4575" w14:textId="77777777" w:rsidR="00B276FC" w:rsidRDefault="00B276FC"/>
  </w:footnote>
  <w:footnote w:type="continuationNotice" w:id="1">
    <w:p w14:paraId="068CAA87" w14:textId="77777777" w:rsidR="00B276FC" w:rsidRDefault="00B276FC"/>
  </w:footnote>
  <w:footnote w:id="2">
    <w:p w14:paraId="10AE0096" w14:textId="1FE52F83" w:rsidR="00F36D28" w:rsidRPr="00B975F9" w:rsidRDefault="00F36D28" w:rsidP="00B975F9">
      <w:pPr>
        <w:pStyle w:val="BodyText1"/>
        <w:rPr>
          <w:sz w:val="20"/>
          <w:lang w:eastAsia="en-AU"/>
        </w:rPr>
      </w:pPr>
      <w:r w:rsidRPr="00B975F9">
        <w:rPr>
          <w:rStyle w:val="FootnoteReference"/>
          <w:sz w:val="20"/>
        </w:rPr>
        <w:footnoteRef/>
      </w:r>
      <w:r w:rsidRPr="00B975F9">
        <w:rPr>
          <w:sz w:val="20"/>
        </w:rPr>
        <w:t xml:space="preserve"> </w:t>
      </w:r>
      <w:r w:rsidR="00284E1B" w:rsidRPr="00B975F9">
        <w:rPr>
          <w:rFonts w:eastAsia="TimesNewRomanPSMT" w:cs="TimesNewRomanPSMT"/>
          <w:sz w:val="20"/>
        </w:rPr>
        <w:t>Australian Pregnancy Category B</w:t>
      </w:r>
      <w:r w:rsidR="00B975F9" w:rsidRPr="00B975F9">
        <w:rPr>
          <w:rFonts w:eastAsia="TimesNewRomanPSMT" w:cs="TimesNewRomanPSMT"/>
          <w:sz w:val="20"/>
        </w:rPr>
        <w:t>1</w:t>
      </w:r>
      <w:r w:rsidR="00284E1B" w:rsidRPr="00B975F9">
        <w:rPr>
          <w:rFonts w:eastAsia="TimesNewRomanPSMT" w:cs="TimesNewRomanPSMT"/>
          <w:sz w:val="20"/>
        </w:rPr>
        <w:t xml:space="preserve">: </w:t>
      </w:r>
      <w:r w:rsidR="00B975F9" w:rsidRPr="00B975F9">
        <w:rPr>
          <w:sz w:val="20"/>
          <w:lang w:eastAsia="en-AU"/>
        </w:rPr>
        <w:t xml:space="preserve">Drugs which have been taken by only a limited number of pregnant women and women of childbearing age, without an increase in the frequency of malformation or other direct or indirect harmful effects on the human </w:t>
      </w:r>
      <w:proofErr w:type="spellStart"/>
      <w:r w:rsidR="00B975F9" w:rsidRPr="00B975F9">
        <w:rPr>
          <w:sz w:val="20"/>
          <w:lang w:eastAsia="en-AU"/>
        </w:rPr>
        <w:t>fetus</w:t>
      </w:r>
      <w:proofErr w:type="spellEnd"/>
      <w:r w:rsidR="00B975F9" w:rsidRPr="00B975F9">
        <w:rPr>
          <w:sz w:val="20"/>
          <w:lang w:eastAsia="en-AU"/>
        </w:rPr>
        <w:t xml:space="preserve"> having been observed. Studies in animals have not shown evidence of an increased occurrence of fetal damage</w:t>
      </w:r>
      <w:r w:rsidR="00853359">
        <w:rPr>
          <w:sz w:val="20"/>
          <w:lang w:eastAsia="en-A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09651D" w:rsidRPr="000B2145" w14:paraId="678705DC" w14:textId="77777777" w:rsidTr="003158EB">
      <w:trPr>
        <w:trHeight w:val="1012"/>
      </w:trPr>
      <w:tc>
        <w:tcPr>
          <w:tcW w:w="9039" w:type="dxa"/>
          <w:shd w:val="clear" w:color="auto" w:fill="E4F2E0"/>
        </w:tcPr>
        <w:p w14:paraId="7241F5FE" w14:textId="77777777" w:rsidR="0009651D" w:rsidRPr="0009651D" w:rsidRDefault="0009651D" w:rsidP="0009651D">
          <w:pPr>
            <w:pStyle w:val="Footer"/>
            <w:rPr>
              <w:rFonts w:ascii="Cambria" w:hAnsi="Cambria"/>
              <w:b/>
              <w:sz w:val="18"/>
              <w:szCs w:val="18"/>
            </w:rPr>
          </w:pPr>
          <w:r w:rsidRPr="0009651D">
            <w:rPr>
              <w:rFonts w:ascii="Cambria" w:hAnsi="Cambria"/>
              <w:b/>
              <w:sz w:val="18"/>
              <w:szCs w:val="18"/>
            </w:rPr>
            <w:t xml:space="preserve">Attachment AusPAR - Vazkepa - </w:t>
          </w:r>
          <w:proofErr w:type="spellStart"/>
          <w:r w:rsidRPr="0009651D">
            <w:rPr>
              <w:rFonts w:ascii="Cambria" w:hAnsi="Cambria"/>
              <w:b/>
              <w:sz w:val="18"/>
              <w:szCs w:val="18"/>
            </w:rPr>
            <w:t>icosapent</w:t>
          </w:r>
          <w:proofErr w:type="spellEnd"/>
          <w:r w:rsidRPr="0009651D">
            <w:rPr>
              <w:rFonts w:ascii="Cambria" w:hAnsi="Cambria"/>
              <w:b/>
              <w:sz w:val="18"/>
              <w:szCs w:val="18"/>
            </w:rPr>
            <w:t xml:space="preserve"> ethyl - AA-Med Pty Ltd - PM-2021-05861-1-3 Final 12 September 2023. This is the Product Information that was approved with the submission described in this AusPAR. It may have been superseded. For the most recent PI, please refer to the TGA website at &lt;</w:t>
          </w:r>
          <w:hyperlink r:id="rId1" w:history="1">
            <w:r w:rsidRPr="0009651D">
              <w:rPr>
                <w:rStyle w:val="Hyperlink"/>
                <w:rFonts w:ascii="Cambria" w:hAnsi="Cambria"/>
                <w:b/>
                <w:sz w:val="18"/>
                <w:szCs w:val="18"/>
              </w:rPr>
              <w:t>https://www.tga.gov.au/product-information-pi</w:t>
            </w:r>
          </w:hyperlink>
          <w:r w:rsidRPr="0009651D">
            <w:rPr>
              <w:rFonts w:ascii="Cambria" w:hAnsi="Cambria"/>
              <w:b/>
              <w:sz w:val="18"/>
              <w:szCs w:val="18"/>
              <w:u w:val="single"/>
            </w:rPr>
            <w:t>&gt;</w:t>
          </w:r>
        </w:p>
      </w:tc>
    </w:tr>
  </w:tbl>
  <w:p w14:paraId="513362D3" w14:textId="5814798A" w:rsidR="004542FF" w:rsidRPr="00D86907" w:rsidRDefault="00D86907" w:rsidP="00D86907">
    <w:pPr>
      <w:pStyle w:val="Header"/>
      <w:rPr>
        <w:rFonts w:cs="Arial"/>
        <w:sz w:val="18"/>
      </w:rPr>
    </w:pPr>
    <w:r w:rsidRPr="00D86907">
      <w:rPr>
        <w:rFonts w:cs="Arial"/>
        <w:sz w:val="18"/>
      </w:rPr>
      <w:t xml:space="preserve">Product Information </w:t>
    </w:r>
    <w:r w:rsidR="007C7A87">
      <w:rPr>
        <w:rFonts w:cs="Arial"/>
        <w:sz w:val="18"/>
      </w:rPr>
      <w:t>–</w:t>
    </w:r>
    <w:r w:rsidRPr="00D86907">
      <w:rPr>
        <w:rFonts w:cs="Arial"/>
        <w:sz w:val="18"/>
      </w:rPr>
      <w:t xml:space="preserve"> Australia</w:t>
    </w:r>
    <w:r w:rsidR="007C7A87">
      <w:rPr>
        <w:rFonts w:cs="Arial"/>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09651D" w:rsidRPr="000B2145" w14:paraId="0A4008DF" w14:textId="77777777" w:rsidTr="0009651D">
      <w:trPr>
        <w:trHeight w:val="698"/>
      </w:trPr>
      <w:tc>
        <w:tcPr>
          <w:tcW w:w="9039" w:type="dxa"/>
          <w:shd w:val="clear" w:color="auto" w:fill="E4F2E0"/>
        </w:tcPr>
        <w:p w14:paraId="1AB4196C" w14:textId="77777777" w:rsidR="0009651D" w:rsidRPr="0009651D" w:rsidRDefault="0009651D" w:rsidP="0009651D">
          <w:pPr>
            <w:pStyle w:val="Footer"/>
            <w:rPr>
              <w:rFonts w:ascii="Cambria" w:hAnsi="Cambria"/>
              <w:b/>
              <w:sz w:val="18"/>
              <w:szCs w:val="18"/>
            </w:rPr>
          </w:pPr>
          <w:bookmarkStart w:id="24" w:name="_Hlk109054010"/>
          <w:r w:rsidRPr="0009651D">
            <w:rPr>
              <w:rFonts w:ascii="Cambria" w:hAnsi="Cambria"/>
              <w:b/>
              <w:sz w:val="18"/>
              <w:szCs w:val="18"/>
            </w:rPr>
            <w:t xml:space="preserve">Attachment AusPAR - Vazkepa - </w:t>
          </w:r>
          <w:proofErr w:type="spellStart"/>
          <w:r w:rsidRPr="0009651D">
            <w:rPr>
              <w:rFonts w:ascii="Cambria" w:hAnsi="Cambria"/>
              <w:b/>
              <w:sz w:val="18"/>
              <w:szCs w:val="18"/>
            </w:rPr>
            <w:t>icosapent</w:t>
          </w:r>
          <w:proofErr w:type="spellEnd"/>
          <w:r w:rsidRPr="0009651D">
            <w:rPr>
              <w:rFonts w:ascii="Cambria" w:hAnsi="Cambria"/>
              <w:b/>
              <w:sz w:val="18"/>
              <w:szCs w:val="18"/>
            </w:rPr>
            <w:t xml:space="preserve"> ethyl - AA-Med Pty Ltd - PM-2021-05861-1-3 Final 12 September 2023. This is the Product Information that was approved with the submission described in this AusPAR. It may have been superseded. For the most recent PI, please refer to the TGA website at &lt;</w:t>
          </w:r>
          <w:hyperlink r:id="rId1" w:history="1">
            <w:r w:rsidRPr="0009651D">
              <w:rPr>
                <w:rStyle w:val="Hyperlink"/>
                <w:rFonts w:ascii="Cambria" w:hAnsi="Cambria"/>
                <w:b/>
                <w:sz w:val="18"/>
                <w:szCs w:val="18"/>
              </w:rPr>
              <w:t>https://www.tga.gov.au/product-information-pi</w:t>
            </w:r>
          </w:hyperlink>
          <w:r w:rsidRPr="0009651D">
            <w:rPr>
              <w:rFonts w:ascii="Cambria" w:hAnsi="Cambria"/>
              <w:b/>
              <w:sz w:val="18"/>
              <w:szCs w:val="18"/>
              <w:u w:val="single"/>
            </w:rPr>
            <w:t>&gt;</w:t>
          </w:r>
        </w:p>
      </w:tc>
    </w:tr>
    <w:bookmarkEnd w:id="24"/>
  </w:tbl>
  <w:p w14:paraId="60934E4F" w14:textId="77777777" w:rsidR="0009651D" w:rsidRDefault="0009651D" w:rsidP="0009651D">
    <w:pPr>
      <w:pStyle w:val="Header"/>
      <w:jc w:val="left"/>
      <w:rPr>
        <w:rFonts w:cs="Arial"/>
        <w:sz w:val="18"/>
      </w:rPr>
    </w:pPr>
  </w:p>
  <w:p w14:paraId="0F7919E1" w14:textId="3E6FC2DC" w:rsidR="00662CCF" w:rsidRPr="00D86907" w:rsidRDefault="00D86907" w:rsidP="00D86907">
    <w:pPr>
      <w:pStyle w:val="Header"/>
      <w:rPr>
        <w:rFonts w:cs="Arial"/>
        <w:sz w:val="18"/>
      </w:rPr>
    </w:pPr>
    <w:r w:rsidRPr="00D86907">
      <w:rPr>
        <w:rFonts w:cs="Arial"/>
        <w:sz w:val="18"/>
      </w:rPr>
      <w:t xml:space="preserve">Product Information </w:t>
    </w:r>
    <w:r w:rsidR="007C7A87">
      <w:rPr>
        <w:rFonts w:cs="Arial"/>
        <w:sz w:val="18"/>
      </w:rPr>
      <w:t>–</w:t>
    </w:r>
    <w:r w:rsidRPr="00D86907">
      <w:rPr>
        <w:rFonts w:cs="Arial"/>
        <w:sz w:val="18"/>
      </w:rPr>
      <w:t xml:space="preserve"> Australia</w:t>
    </w:r>
    <w:r w:rsidR="007C7A87">
      <w:rPr>
        <w:rFonts w:cs="Arial"/>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EA6D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B437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FA982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1E239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E9456A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7A220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9E42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C034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6E09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FABA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154F4"/>
    <w:multiLevelType w:val="hybridMultilevel"/>
    <w:tmpl w:val="C61E1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69725B"/>
    <w:multiLevelType w:val="hybridMultilevel"/>
    <w:tmpl w:val="C50A8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27468D"/>
    <w:multiLevelType w:val="hybridMultilevel"/>
    <w:tmpl w:val="BFACDC0E"/>
    <w:lvl w:ilvl="0" w:tplc="5052C486">
      <w:numFmt w:val="bullet"/>
      <w:lvlText w:val="•"/>
      <w:lvlJc w:val="left"/>
      <w:pPr>
        <w:ind w:left="720" w:hanging="360"/>
      </w:pPr>
      <w:rPr>
        <w:rFonts w:ascii="Arial Narrow" w:eastAsiaTheme="minorHAnsi"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53A3A23"/>
    <w:multiLevelType w:val="hybridMultilevel"/>
    <w:tmpl w:val="A3E87D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5FA0021"/>
    <w:multiLevelType w:val="hybridMultilevel"/>
    <w:tmpl w:val="48789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9A2C5A"/>
    <w:multiLevelType w:val="hybridMultilevel"/>
    <w:tmpl w:val="8338682C"/>
    <w:lvl w:ilvl="0" w:tplc="4A8A19F0">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3541FB"/>
    <w:multiLevelType w:val="hybridMultilevel"/>
    <w:tmpl w:val="EE72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DE1376"/>
    <w:multiLevelType w:val="hybridMultilevel"/>
    <w:tmpl w:val="DCEE2A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C91B44"/>
    <w:multiLevelType w:val="multilevel"/>
    <w:tmpl w:val="8E2A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01C1B"/>
    <w:multiLevelType w:val="singleLevel"/>
    <w:tmpl w:val="B4BC1D5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1833466"/>
    <w:multiLevelType w:val="multilevel"/>
    <w:tmpl w:val="E9D2E61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207318"/>
    <w:multiLevelType w:val="hybridMultilevel"/>
    <w:tmpl w:val="DCEE2A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C0A7A70"/>
    <w:multiLevelType w:val="multilevel"/>
    <w:tmpl w:val="E9D2E61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1A52D1"/>
    <w:multiLevelType w:val="multilevel"/>
    <w:tmpl w:val="A348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6F39D9"/>
    <w:multiLevelType w:val="hybridMultilevel"/>
    <w:tmpl w:val="02D2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19149F"/>
    <w:multiLevelType w:val="multilevel"/>
    <w:tmpl w:val="B79A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255D30"/>
    <w:multiLevelType w:val="multilevel"/>
    <w:tmpl w:val="833A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6D0704"/>
    <w:multiLevelType w:val="multilevel"/>
    <w:tmpl w:val="C168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107BF8"/>
    <w:multiLevelType w:val="multilevel"/>
    <w:tmpl w:val="E9D2E61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8728ED"/>
    <w:multiLevelType w:val="multilevel"/>
    <w:tmpl w:val="AA24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2E3471"/>
    <w:multiLevelType w:val="hybridMultilevel"/>
    <w:tmpl w:val="DCEE2A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D7934CB"/>
    <w:multiLevelType w:val="hybridMultilevel"/>
    <w:tmpl w:val="AAC870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219221C"/>
    <w:multiLevelType w:val="multilevel"/>
    <w:tmpl w:val="E9D2E61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3E232F"/>
    <w:multiLevelType w:val="hybridMultilevel"/>
    <w:tmpl w:val="DCEE2A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C2920AE"/>
    <w:multiLevelType w:val="hybridMultilevel"/>
    <w:tmpl w:val="C0BC9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335BD1"/>
    <w:multiLevelType w:val="multilevel"/>
    <w:tmpl w:val="712A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DF57F8"/>
    <w:multiLevelType w:val="multilevel"/>
    <w:tmpl w:val="0B4E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6B11F5"/>
    <w:multiLevelType w:val="multilevel"/>
    <w:tmpl w:val="F85811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6425427">
    <w:abstractNumId w:val="37"/>
  </w:num>
  <w:num w:numId="2" w16cid:durableId="1108621619">
    <w:abstractNumId w:val="34"/>
  </w:num>
  <w:num w:numId="3" w16cid:durableId="1051534525">
    <w:abstractNumId w:val="22"/>
  </w:num>
  <w:num w:numId="4" w16cid:durableId="299313027">
    <w:abstractNumId w:val="28"/>
  </w:num>
  <w:num w:numId="5" w16cid:durableId="1350252341">
    <w:abstractNumId w:val="20"/>
  </w:num>
  <w:num w:numId="6" w16cid:durableId="1434666462">
    <w:abstractNumId w:val="32"/>
  </w:num>
  <w:num w:numId="7" w16cid:durableId="1471704580">
    <w:abstractNumId w:val="17"/>
  </w:num>
  <w:num w:numId="8" w16cid:durableId="938558843">
    <w:abstractNumId w:val="30"/>
  </w:num>
  <w:num w:numId="9" w16cid:durableId="397367989">
    <w:abstractNumId w:val="9"/>
  </w:num>
  <w:num w:numId="10" w16cid:durableId="891888402">
    <w:abstractNumId w:val="7"/>
  </w:num>
  <w:num w:numId="11" w16cid:durableId="899438913">
    <w:abstractNumId w:val="6"/>
  </w:num>
  <w:num w:numId="12" w16cid:durableId="2037733216">
    <w:abstractNumId w:val="5"/>
  </w:num>
  <w:num w:numId="13" w16cid:durableId="1695382137">
    <w:abstractNumId w:val="4"/>
  </w:num>
  <w:num w:numId="14" w16cid:durableId="1570261215">
    <w:abstractNumId w:val="8"/>
  </w:num>
  <w:num w:numId="15" w16cid:durableId="761991838">
    <w:abstractNumId w:val="3"/>
  </w:num>
  <w:num w:numId="16" w16cid:durableId="506410040">
    <w:abstractNumId w:val="2"/>
  </w:num>
  <w:num w:numId="17" w16cid:durableId="59251228">
    <w:abstractNumId w:val="1"/>
  </w:num>
  <w:num w:numId="18" w16cid:durableId="1350831747">
    <w:abstractNumId w:val="0"/>
  </w:num>
  <w:num w:numId="19" w16cid:durableId="1142188044">
    <w:abstractNumId w:val="33"/>
  </w:num>
  <w:num w:numId="20" w16cid:durableId="202525049">
    <w:abstractNumId w:val="13"/>
  </w:num>
  <w:num w:numId="21" w16cid:durableId="2075083483">
    <w:abstractNumId w:val="21"/>
  </w:num>
  <w:num w:numId="22" w16cid:durableId="1856578655">
    <w:abstractNumId w:val="19"/>
  </w:num>
  <w:num w:numId="23" w16cid:durableId="904073724">
    <w:abstractNumId w:val="31"/>
  </w:num>
  <w:num w:numId="24" w16cid:durableId="951739761">
    <w:abstractNumId w:val="15"/>
  </w:num>
  <w:num w:numId="25" w16cid:durableId="523249206">
    <w:abstractNumId w:val="16"/>
  </w:num>
  <w:num w:numId="26" w16cid:durableId="1048068293">
    <w:abstractNumId w:val="14"/>
  </w:num>
  <w:num w:numId="27" w16cid:durableId="1072115782">
    <w:abstractNumId w:val="35"/>
  </w:num>
  <w:num w:numId="28" w16cid:durableId="1024092102">
    <w:abstractNumId w:val="23"/>
  </w:num>
  <w:num w:numId="29" w16cid:durableId="333190505">
    <w:abstractNumId w:val="36"/>
  </w:num>
  <w:num w:numId="30" w16cid:durableId="434132831">
    <w:abstractNumId w:val="25"/>
  </w:num>
  <w:num w:numId="31" w16cid:durableId="687368805">
    <w:abstractNumId w:val="27"/>
  </w:num>
  <w:num w:numId="32" w16cid:durableId="1224222835">
    <w:abstractNumId w:val="18"/>
  </w:num>
  <w:num w:numId="33" w16cid:durableId="925188059">
    <w:abstractNumId w:val="29"/>
  </w:num>
  <w:num w:numId="34" w16cid:durableId="1692225216">
    <w:abstractNumId w:val="26"/>
  </w:num>
  <w:num w:numId="35" w16cid:durableId="1299453754">
    <w:abstractNumId w:val="11"/>
  </w:num>
  <w:num w:numId="36" w16cid:durableId="1322461332">
    <w:abstractNumId w:val="12"/>
  </w:num>
  <w:num w:numId="37" w16cid:durableId="1420180500">
    <w:abstractNumId w:val="10"/>
  </w:num>
  <w:num w:numId="38" w16cid:durableId="17409774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D9D"/>
    <w:rsid w:val="00002736"/>
    <w:rsid w:val="0000290E"/>
    <w:rsid w:val="00007085"/>
    <w:rsid w:val="00011FE7"/>
    <w:rsid w:val="000130BA"/>
    <w:rsid w:val="00016DA2"/>
    <w:rsid w:val="00017AB2"/>
    <w:rsid w:val="000303F3"/>
    <w:rsid w:val="0004316A"/>
    <w:rsid w:val="00045A13"/>
    <w:rsid w:val="0004666E"/>
    <w:rsid w:val="0005067A"/>
    <w:rsid w:val="00051059"/>
    <w:rsid w:val="000628A6"/>
    <w:rsid w:val="00063BD5"/>
    <w:rsid w:val="000721B0"/>
    <w:rsid w:val="0007222B"/>
    <w:rsid w:val="000754EA"/>
    <w:rsid w:val="00075F89"/>
    <w:rsid w:val="00075FA4"/>
    <w:rsid w:val="0007617D"/>
    <w:rsid w:val="0007713E"/>
    <w:rsid w:val="00081E17"/>
    <w:rsid w:val="00084500"/>
    <w:rsid w:val="00084564"/>
    <w:rsid w:val="00092662"/>
    <w:rsid w:val="00093733"/>
    <w:rsid w:val="00093F77"/>
    <w:rsid w:val="00094FA2"/>
    <w:rsid w:val="0009651D"/>
    <w:rsid w:val="0009652E"/>
    <w:rsid w:val="000A1B26"/>
    <w:rsid w:val="000A588C"/>
    <w:rsid w:val="000B0294"/>
    <w:rsid w:val="000B07BE"/>
    <w:rsid w:val="000C37F7"/>
    <w:rsid w:val="000D3CFF"/>
    <w:rsid w:val="000E47E4"/>
    <w:rsid w:val="000E5575"/>
    <w:rsid w:val="000F0E60"/>
    <w:rsid w:val="000F3C8B"/>
    <w:rsid w:val="000F4B64"/>
    <w:rsid w:val="000F7CE6"/>
    <w:rsid w:val="0010011C"/>
    <w:rsid w:val="0010668A"/>
    <w:rsid w:val="00114FED"/>
    <w:rsid w:val="0011557E"/>
    <w:rsid w:val="00121D5D"/>
    <w:rsid w:val="00126740"/>
    <w:rsid w:val="00145B07"/>
    <w:rsid w:val="00152424"/>
    <w:rsid w:val="0015257F"/>
    <w:rsid w:val="001557DB"/>
    <w:rsid w:val="001573D7"/>
    <w:rsid w:val="00161ACE"/>
    <w:rsid w:val="00162216"/>
    <w:rsid w:val="001710E6"/>
    <w:rsid w:val="001712AF"/>
    <w:rsid w:val="001809A1"/>
    <w:rsid w:val="00181F42"/>
    <w:rsid w:val="00182D59"/>
    <w:rsid w:val="001875D5"/>
    <w:rsid w:val="00193251"/>
    <w:rsid w:val="00193D4F"/>
    <w:rsid w:val="001A4669"/>
    <w:rsid w:val="001B45E7"/>
    <w:rsid w:val="001C1806"/>
    <w:rsid w:val="001E1110"/>
    <w:rsid w:val="001E1A90"/>
    <w:rsid w:val="001E2656"/>
    <w:rsid w:val="001F1296"/>
    <w:rsid w:val="001F64E0"/>
    <w:rsid w:val="00200545"/>
    <w:rsid w:val="0020170F"/>
    <w:rsid w:val="00213F85"/>
    <w:rsid w:val="002149A0"/>
    <w:rsid w:val="00216D4F"/>
    <w:rsid w:val="00220CC0"/>
    <w:rsid w:val="00220DB3"/>
    <w:rsid w:val="00230E46"/>
    <w:rsid w:val="00232990"/>
    <w:rsid w:val="00236396"/>
    <w:rsid w:val="00241038"/>
    <w:rsid w:val="00242B21"/>
    <w:rsid w:val="0024404C"/>
    <w:rsid w:val="00245F20"/>
    <w:rsid w:val="00255A0F"/>
    <w:rsid w:val="0025754C"/>
    <w:rsid w:val="00260F70"/>
    <w:rsid w:val="00264C85"/>
    <w:rsid w:val="002706C0"/>
    <w:rsid w:val="00272645"/>
    <w:rsid w:val="00280469"/>
    <w:rsid w:val="00281D58"/>
    <w:rsid w:val="00283A89"/>
    <w:rsid w:val="002840D0"/>
    <w:rsid w:val="00284E1B"/>
    <w:rsid w:val="00285375"/>
    <w:rsid w:val="00287AFF"/>
    <w:rsid w:val="00287DBF"/>
    <w:rsid w:val="002978E6"/>
    <w:rsid w:val="002A06A4"/>
    <w:rsid w:val="002A4805"/>
    <w:rsid w:val="002A4FED"/>
    <w:rsid w:val="002B0FA9"/>
    <w:rsid w:val="002B2534"/>
    <w:rsid w:val="002B2A52"/>
    <w:rsid w:val="002B307D"/>
    <w:rsid w:val="002C09ED"/>
    <w:rsid w:val="002C465B"/>
    <w:rsid w:val="002C6B16"/>
    <w:rsid w:val="002D2339"/>
    <w:rsid w:val="002D596E"/>
    <w:rsid w:val="002D74B1"/>
    <w:rsid w:val="002E0C04"/>
    <w:rsid w:val="002E4B22"/>
    <w:rsid w:val="002F0881"/>
    <w:rsid w:val="002F2D53"/>
    <w:rsid w:val="002F2ED1"/>
    <w:rsid w:val="002F3BC1"/>
    <w:rsid w:val="002F5670"/>
    <w:rsid w:val="00314D61"/>
    <w:rsid w:val="00314F18"/>
    <w:rsid w:val="00317837"/>
    <w:rsid w:val="00317892"/>
    <w:rsid w:val="00320C44"/>
    <w:rsid w:val="0032449A"/>
    <w:rsid w:val="0032668D"/>
    <w:rsid w:val="00336375"/>
    <w:rsid w:val="00341353"/>
    <w:rsid w:val="003414A5"/>
    <w:rsid w:val="00342257"/>
    <w:rsid w:val="00346981"/>
    <w:rsid w:val="00357841"/>
    <w:rsid w:val="00361478"/>
    <w:rsid w:val="003622EE"/>
    <w:rsid w:val="00367608"/>
    <w:rsid w:val="00383734"/>
    <w:rsid w:val="00383EE3"/>
    <w:rsid w:val="0038600C"/>
    <w:rsid w:val="00386464"/>
    <w:rsid w:val="00386B2F"/>
    <w:rsid w:val="00391D6A"/>
    <w:rsid w:val="00393AFE"/>
    <w:rsid w:val="00395855"/>
    <w:rsid w:val="003A1865"/>
    <w:rsid w:val="003B5ADA"/>
    <w:rsid w:val="003C2B5A"/>
    <w:rsid w:val="003C5AF4"/>
    <w:rsid w:val="003C688A"/>
    <w:rsid w:val="003D13AA"/>
    <w:rsid w:val="003D5714"/>
    <w:rsid w:val="003D67C3"/>
    <w:rsid w:val="003E0649"/>
    <w:rsid w:val="003E7F03"/>
    <w:rsid w:val="003F7DF8"/>
    <w:rsid w:val="0040473C"/>
    <w:rsid w:val="004119F2"/>
    <w:rsid w:val="00412529"/>
    <w:rsid w:val="004139C8"/>
    <w:rsid w:val="00414A49"/>
    <w:rsid w:val="00415820"/>
    <w:rsid w:val="0042209B"/>
    <w:rsid w:val="00423418"/>
    <w:rsid w:val="00426E52"/>
    <w:rsid w:val="0043059C"/>
    <w:rsid w:val="00432AEB"/>
    <w:rsid w:val="00441730"/>
    <w:rsid w:val="00447D36"/>
    <w:rsid w:val="004542FF"/>
    <w:rsid w:val="004548FF"/>
    <w:rsid w:val="00460D7B"/>
    <w:rsid w:val="004637A9"/>
    <w:rsid w:val="00477AA7"/>
    <w:rsid w:val="004826FD"/>
    <w:rsid w:val="004836CD"/>
    <w:rsid w:val="00484CDE"/>
    <w:rsid w:val="004853BF"/>
    <w:rsid w:val="0049129C"/>
    <w:rsid w:val="00491D9D"/>
    <w:rsid w:val="00496830"/>
    <w:rsid w:val="004A1CD0"/>
    <w:rsid w:val="004A6F6E"/>
    <w:rsid w:val="004B3D81"/>
    <w:rsid w:val="004B78F1"/>
    <w:rsid w:val="004C04A3"/>
    <w:rsid w:val="004D716A"/>
    <w:rsid w:val="004E0B69"/>
    <w:rsid w:val="004E5EC6"/>
    <w:rsid w:val="004E7AFA"/>
    <w:rsid w:val="004F2404"/>
    <w:rsid w:val="004F29DC"/>
    <w:rsid w:val="004F3CC3"/>
    <w:rsid w:val="00500BE6"/>
    <w:rsid w:val="00504565"/>
    <w:rsid w:val="0050513C"/>
    <w:rsid w:val="005055BC"/>
    <w:rsid w:val="005113CF"/>
    <w:rsid w:val="00515154"/>
    <w:rsid w:val="00516E29"/>
    <w:rsid w:val="0052097D"/>
    <w:rsid w:val="00520F30"/>
    <w:rsid w:val="00536CE3"/>
    <w:rsid w:val="00542F61"/>
    <w:rsid w:val="00544D1E"/>
    <w:rsid w:val="005570F6"/>
    <w:rsid w:val="005605C7"/>
    <w:rsid w:val="00560934"/>
    <w:rsid w:val="00562470"/>
    <w:rsid w:val="0057603C"/>
    <w:rsid w:val="00581150"/>
    <w:rsid w:val="0058605A"/>
    <w:rsid w:val="00586CC6"/>
    <w:rsid w:val="0058787C"/>
    <w:rsid w:val="0059180B"/>
    <w:rsid w:val="005932D1"/>
    <w:rsid w:val="00593D53"/>
    <w:rsid w:val="005A23EE"/>
    <w:rsid w:val="005B3681"/>
    <w:rsid w:val="005C0B20"/>
    <w:rsid w:val="005C62FE"/>
    <w:rsid w:val="005C682D"/>
    <w:rsid w:val="005D2EA4"/>
    <w:rsid w:val="005D6940"/>
    <w:rsid w:val="005D728F"/>
    <w:rsid w:val="005D749F"/>
    <w:rsid w:val="005E22DA"/>
    <w:rsid w:val="005E39D2"/>
    <w:rsid w:val="005E574D"/>
    <w:rsid w:val="005F0DC7"/>
    <w:rsid w:val="005F16EF"/>
    <w:rsid w:val="005F518E"/>
    <w:rsid w:val="005F6313"/>
    <w:rsid w:val="0060091B"/>
    <w:rsid w:val="0060458B"/>
    <w:rsid w:val="00607BF3"/>
    <w:rsid w:val="006170F0"/>
    <w:rsid w:val="00624378"/>
    <w:rsid w:val="00632326"/>
    <w:rsid w:val="00634781"/>
    <w:rsid w:val="006360D0"/>
    <w:rsid w:val="0064029C"/>
    <w:rsid w:val="00641C70"/>
    <w:rsid w:val="00641EE8"/>
    <w:rsid w:val="006435BA"/>
    <w:rsid w:val="006439D1"/>
    <w:rsid w:val="00647C2C"/>
    <w:rsid w:val="00647EAF"/>
    <w:rsid w:val="006578C3"/>
    <w:rsid w:val="00661358"/>
    <w:rsid w:val="00662CCF"/>
    <w:rsid w:val="006639A9"/>
    <w:rsid w:val="00664844"/>
    <w:rsid w:val="00673A9E"/>
    <w:rsid w:val="00674514"/>
    <w:rsid w:val="0067528B"/>
    <w:rsid w:val="006839EA"/>
    <w:rsid w:val="0069385A"/>
    <w:rsid w:val="0069475E"/>
    <w:rsid w:val="006959C0"/>
    <w:rsid w:val="00696916"/>
    <w:rsid w:val="00696D9D"/>
    <w:rsid w:val="00697B89"/>
    <w:rsid w:val="006A197B"/>
    <w:rsid w:val="006A7D55"/>
    <w:rsid w:val="006B3BAA"/>
    <w:rsid w:val="006B510F"/>
    <w:rsid w:val="006C1FFA"/>
    <w:rsid w:val="006C3C63"/>
    <w:rsid w:val="006E3D38"/>
    <w:rsid w:val="006E7A1E"/>
    <w:rsid w:val="006F2121"/>
    <w:rsid w:val="00710964"/>
    <w:rsid w:val="0071226E"/>
    <w:rsid w:val="00712569"/>
    <w:rsid w:val="00721BDF"/>
    <w:rsid w:val="007222C0"/>
    <w:rsid w:val="00725F31"/>
    <w:rsid w:val="00730304"/>
    <w:rsid w:val="007318EF"/>
    <w:rsid w:val="00734175"/>
    <w:rsid w:val="00741D72"/>
    <w:rsid w:val="00744875"/>
    <w:rsid w:val="00745171"/>
    <w:rsid w:val="00746D0B"/>
    <w:rsid w:val="00763A9A"/>
    <w:rsid w:val="00773EDE"/>
    <w:rsid w:val="00777AF1"/>
    <w:rsid w:val="00782433"/>
    <w:rsid w:val="007A33CA"/>
    <w:rsid w:val="007A376A"/>
    <w:rsid w:val="007A7C5B"/>
    <w:rsid w:val="007B367B"/>
    <w:rsid w:val="007B3E2C"/>
    <w:rsid w:val="007B4E9B"/>
    <w:rsid w:val="007C3279"/>
    <w:rsid w:val="007C35B7"/>
    <w:rsid w:val="007C7A87"/>
    <w:rsid w:val="007D0F82"/>
    <w:rsid w:val="007E2403"/>
    <w:rsid w:val="007E6FA9"/>
    <w:rsid w:val="007F3832"/>
    <w:rsid w:val="007F39B6"/>
    <w:rsid w:val="007F6823"/>
    <w:rsid w:val="00803BAC"/>
    <w:rsid w:val="0081481C"/>
    <w:rsid w:val="00817AE4"/>
    <w:rsid w:val="008225FE"/>
    <w:rsid w:val="0083483C"/>
    <w:rsid w:val="00843E59"/>
    <w:rsid w:val="008450DE"/>
    <w:rsid w:val="0085095E"/>
    <w:rsid w:val="00851A85"/>
    <w:rsid w:val="00853359"/>
    <w:rsid w:val="00854825"/>
    <w:rsid w:val="00854D92"/>
    <w:rsid w:val="008636A6"/>
    <w:rsid w:val="008646BD"/>
    <w:rsid w:val="00865BA8"/>
    <w:rsid w:val="00870EA7"/>
    <w:rsid w:val="00871ACD"/>
    <w:rsid w:val="00872885"/>
    <w:rsid w:val="00872CAD"/>
    <w:rsid w:val="00877EB3"/>
    <w:rsid w:val="0088070D"/>
    <w:rsid w:val="008816E0"/>
    <w:rsid w:val="00885147"/>
    <w:rsid w:val="0088604B"/>
    <w:rsid w:val="0088667E"/>
    <w:rsid w:val="00890237"/>
    <w:rsid w:val="008922E8"/>
    <w:rsid w:val="008940D3"/>
    <w:rsid w:val="008941AB"/>
    <w:rsid w:val="00897008"/>
    <w:rsid w:val="008A3619"/>
    <w:rsid w:val="008B3287"/>
    <w:rsid w:val="008B344D"/>
    <w:rsid w:val="008C3E31"/>
    <w:rsid w:val="008C697C"/>
    <w:rsid w:val="008C6E04"/>
    <w:rsid w:val="008D10EE"/>
    <w:rsid w:val="008D34FA"/>
    <w:rsid w:val="008D75B1"/>
    <w:rsid w:val="008D7960"/>
    <w:rsid w:val="008E020E"/>
    <w:rsid w:val="008E17DD"/>
    <w:rsid w:val="008E19C8"/>
    <w:rsid w:val="008F73A3"/>
    <w:rsid w:val="009012FB"/>
    <w:rsid w:val="00905F41"/>
    <w:rsid w:val="0090640B"/>
    <w:rsid w:val="00907883"/>
    <w:rsid w:val="00911D96"/>
    <w:rsid w:val="0092209B"/>
    <w:rsid w:val="00926507"/>
    <w:rsid w:val="009321CE"/>
    <w:rsid w:val="00932263"/>
    <w:rsid w:val="00932751"/>
    <w:rsid w:val="00936C22"/>
    <w:rsid w:val="00950241"/>
    <w:rsid w:val="009505EF"/>
    <w:rsid w:val="00950F60"/>
    <w:rsid w:val="00951990"/>
    <w:rsid w:val="0095722F"/>
    <w:rsid w:val="0097098D"/>
    <w:rsid w:val="009718E1"/>
    <w:rsid w:val="00974A40"/>
    <w:rsid w:val="00976EC8"/>
    <w:rsid w:val="0098018C"/>
    <w:rsid w:val="00981077"/>
    <w:rsid w:val="0098196D"/>
    <w:rsid w:val="00983124"/>
    <w:rsid w:val="00984AD6"/>
    <w:rsid w:val="009912BE"/>
    <w:rsid w:val="00993AEC"/>
    <w:rsid w:val="00994C1D"/>
    <w:rsid w:val="00995975"/>
    <w:rsid w:val="009959CB"/>
    <w:rsid w:val="00997090"/>
    <w:rsid w:val="009A1351"/>
    <w:rsid w:val="009A37DF"/>
    <w:rsid w:val="009B0B1A"/>
    <w:rsid w:val="009B46B5"/>
    <w:rsid w:val="009B4B6E"/>
    <w:rsid w:val="009C190D"/>
    <w:rsid w:val="009C20FE"/>
    <w:rsid w:val="009C4FC1"/>
    <w:rsid w:val="009C62C6"/>
    <w:rsid w:val="009D0621"/>
    <w:rsid w:val="009D08B3"/>
    <w:rsid w:val="009D0A5E"/>
    <w:rsid w:val="009D37FD"/>
    <w:rsid w:val="009D3B68"/>
    <w:rsid w:val="009D3DA6"/>
    <w:rsid w:val="009E0402"/>
    <w:rsid w:val="009E053B"/>
    <w:rsid w:val="009E0BF2"/>
    <w:rsid w:val="009E54E0"/>
    <w:rsid w:val="009E589C"/>
    <w:rsid w:val="009F0747"/>
    <w:rsid w:val="009F28E9"/>
    <w:rsid w:val="00A03F80"/>
    <w:rsid w:val="00A21271"/>
    <w:rsid w:val="00A2169A"/>
    <w:rsid w:val="00A23981"/>
    <w:rsid w:val="00A266D0"/>
    <w:rsid w:val="00A34C3B"/>
    <w:rsid w:val="00A36B17"/>
    <w:rsid w:val="00A41FCB"/>
    <w:rsid w:val="00A45C98"/>
    <w:rsid w:val="00A46C1A"/>
    <w:rsid w:val="00A473B7"/>
    <w:rsid w:val="00A47E14"/>
    <w:rsid w:val="00A52864"/>
    <w:rsid w:val="00A55173"/>
    <w:rsid w:val="00A5671F"/>
    <w:rsid w:val="00A56C31"/>
    <w:rsid w:val="00A61651"/>
    <w:rsid w:val="00A661C9"/>
    <w:rsid w:val="00A721DC"/>
    <w:rsid w:val="00A74E71"/>
    <w:rsid w:val="00A860DA"/>
    <w:rsid w:val="00A95BAB"/>
    <w:rsid w:val="00A95DE9"/>
    <w:rsid w:val="00AA1F19"/>
    <w:rsid w:val="00AA442C"/>
    <w:rsid w:val="00AA44B8"/>
    <w:rsid w:val="00AA6312"/>
    <w:rsid w:val="00AA6A56"/>
    <w:rsid w:val="00AB38EA"/>
    <w:rsid w:val="00AB5DFF"/>
    <w:rsid w:val="00AB6D75"/>
    <w:rsid w:val="00AC31F2"/>
    <w:rsid w:val="00AD18AF"/>
    <w:rsid w:val="00AE0685"/>
    <w:rsid w:val="00AE0E32"/>
    <w:rsid w:val="00AE0EA3"/>
    <w:rsid w:val="00AE2AF4"/>
    <w:rsid w:val="00AF4CCF"/>
    <w:rsid w:val="00AF745B"/>
    <w:rsid w:val="00B065FD"/>
    <w:rsid w:val="00B07C28"/>
    <w:rsid w:val="00B20428"/>
    <w:rsid w:val="00B276FC"/>
    <w:rsid w:val="00B27961"/>
    <w:rsid w:val="00B31793"/>
    <w:rsid w:val="00B33887"/>
    <w:rsid w:val="00B34639"/>
    <w:rsid w:val="00B3562A"/>
    <w:rsid w:val="00B37332"/>
    <w:rsid w:val="00B44424"/>
    <w:rsid w:val="00B4593E"/>
    <w:rsid w:val="00B510E9"/>
    <w:rsid w:val="00B521D9"/>
    <w:rsid w:val="00B54C15"/>
    <w:rsid w:val="00B55AD9"/>
    <w:rsid w:val="00B60F9B"/>
    <w:rsid w:val="00B615A9"/>
    <w:rsid w:val="00B626B4"/>
    <w:rsid w:val="00B66043"/>
    <w:rsid w:val="00B663FF"/>
    <w:rsid w:val="00B7307C"/>
    <w:rsid w:val="00B775CF"/>
    <w:rsid w:val="00B81465"/>
    <w:rsid w:val="00B86561"/>
    <w:rsid w:val="00B91E93"/>
    <w:rsid w:val="00B922A1"/>
    <w:rsid w:val="00B959F0"/>
    <w:rsid w:val="00B96CCC"/>
    <w:rsid w:val="00B975F9"/>
    <w:rsid w:val="00BA77C7"/>
    <w:rsid w:val="00BB1CA2"/>
    <w:rsid w:val="00BB6CA7"/>
    <w:rsid w:val="00BC2C80"/>
    <w:rsid w:val="00BC44B1"/>
    <w:rsid w:val="00BC6AAE"/>
    <w:rsid w:val="00BD6A7B"/>
    <w:rsid w:val="00BE09DC"/>
    <w:rsid w:val="00BE3040"/>
    <w:rsid w:val="00BE4BF3"/>
    <w:rsid w:val="00BF1645"/>
    <w:rsid w:val="00BF3D23"/>
    <w:rsid w:val="00BF6814"/>
    <w:rsid w:val="00BF7DFB"/>
    <w:rsid w:val="00C00245"/>
    <w:rsid w:val="00C00860"/>
    <w:rsid w:val="00C11723"/>
    <w:rsid w:val="00C172A6"/>
    <w:rsid w:val="00C24C90"/>
    <w:rsid w:val="00C27F1B"/>
    <w:rsid w:val="00C317C1"/>
    <w:rsid w:val="00C31960"/>
    <w:rsid w:val="00C335AF"/>
    <w:rsid w:val="00C35A7C"/>
    <w:rsid w:val="00C372C1"/>
    <w:rsid w:val="00C54FDA"/>
    <w:rsid w:val="00C5737B"/>
    <w:rsid w:val="00C57FA3"/>
    <w:rsid w:val="00C62070"/>
    <w:rsid w:val="00C673CB"/>
    <w:rsid w:val="00C70B67"/>
    <w:rsid w:val="00C70CB3"/>
    <w:rsid w:val="00C731AF"/>
    <w:rsid w:val="00C76353"/>
    <w:rsid w:val="00C77A03"/>
    <w:rsid w:val="00C908A8"/>
    <w:rsid w:val="00C94E6C"/>
    <w:rsid w:val="00C95A19"/>
    <w:rsid w:val="00C96918"/>
    <w:rsid w:val="00CA05AF"/>
    <w:rsid w:val="00CA1691"/>
    <w:rsid w:val="00CA2640"/>
    <w:rsid w:val="00CA7EC4"/>
    <w:rsid w:val="00CB3433"/>
    <w:rsid w:val="00CB56C4"/>
    <w:rsid w:val="00CB5BAE"/>
    <w:rsid w:val="00CB671B"/>
    <w:rsid w:val="00CB79D3"/>
    <w:rsid w:val="00CC3CC7"/>
    <w:rsid w:val="00CC5CB4"/>
    <w:rsid w:val="00CC7540"/>
    <w:rsid w:val="00CC7794"/>
    <w:rsid w:val="00CD41D9"/>
    <w:rsid w:val="00CD42A9"/>
    <w:rsid w:val="00CD4550"/>
    <w:rsid w:val="00CD50C8"/>
    <w:rsid w:val="00CD5669"/>
    <w:rsid w:val="00CD6263"/>
    <w:rsid w:val="00CE3183"/>
    <w:rsid w:val="00CE319A"/>
    <w:rsid w:val="00CE5EF1"/>
    <w:rsid w:val="00CE7EDB"/>
    <w:rsid w:val="00CF02C7"/>
    <w:rsid w:val="00CF1445"/>
    <w:rsid w:val="00CF1DEE"/>
    <w:rsid w:val="00D033D4"/>
    <w:rsid w:val="00D038A9"/>
    <w:rsid w:val="00D071E5"/>
    <w:rsid w:val="00D075A3"/>
    <w:rsid w:val="00D124B9"/>
    <w:rsid w:val="00D158BF"/>
    <w:rsid w:val="00D163A8"/>
    <w:rsid w:val="00D16527"/>
    <w:rsid w:val="00D1690F"/>
    <w:rsid w:val="00D27370"/>
    <w:rsid w:val="00D27B5D"/>
    <w:rsid w:val="00D314B9"/>
    <w:rsid w:val="00D3265B"/>
    <w:rsid w:val="00D32C0F"/>
    <w:rsid w:val="00D3653D"/>
    <w:rsid w:val="00D40920"/>
    <w:rsid w:val="00D46444"/>
    <w:rsid w:val="00D4671F"/>
    <w:rsid w:val="00D51059"/>
    <w:rsid w:val="00D5359C"/>
    <w:rsid w:val="00D621B2"/>
    <w:rsid w:val="00D74644"/>
    <w:rsid w:val="00D758BC"/>
    <w:rsid w:val="00D82E0F"/>
    <w:rsid w:val="00D86907"/>
    <w:rsid w:val="00DA03F0"/>
    <w:rsid w:val="00DA16BC"/>
    <w:rsid w:val="00DA7399"/>
    <w:rsid w:val="00DB093A"/>
    <w:rsid w:val="00DB09F5"/>
    <w:rsid w:val="00DB23DD"/>
    <w:rsid w:val="00DB248E"/>
    <w:rsid w:val="00DB61C4"/>
    <w:rsid w:val="00DC10A9"/>
    <w:rsid w:val="00DC41BF"/>
    <w:rsid w:val="00DC6BB6"/>
    <w:rsid w:val="00DC768B"/>
    <w:rsid w:val="00DD2729"/>
    <w:rsid w:val="00DD55AE"/>
    <w:rsid w:val="00DD7336"/>
    <w:rsid w:val="00DE0B9E"/>
    <w:rsid w:val="00DE14FC"/>
    <w:rsid w:val="00DE1E0D"/>
    <w:rsid w:val="00DE2BA3"/>
    <w:rsid w:val="00DF38FF"/>
    <w:rsid w:val="00DF3D6B"/>
    <w:rsid w:val="00DF7782"/>
    <w:rsid w:val="00E01C57"/>
    <w:rsid w:val="00E10A84"/>
    <w:rsid w:val="00E2530E"/>
    <w:rsid w:val="00E2740E"/>
    <w:rsid w:val="00E3019A"/>
    <w:rsid w:val="00E36500"/>
    <w:rsid w:val="00E3736B"/>
    <w:rsid w:val="00E40EA1"/>
    <w:rsid w:val="00E4110B"/>
    <w:rsid w:val="00E41D79"/>
    <w:rsid w:val="00E42AA0"/>
    <w:rsid w:val="00E46B4B"/>
    <w:rsid w:val="00E5015E"/>
    <w:rsid w:val="00E50610"/>
    <w:rsid w:val="00E506D7"/>
    <w:rsid w:val="00E52E79"/>
    <w:rsid w:val="00E5359A"/>
    <w:rsid w:val="00E6056A"/>
    <w:rsid w:val="00E610A8"/>
    <w:rsid w:val="00E64D23"/>
    <w:rsid w:val="00E662E4"/>
    <w:rsid w:val="00E72B4D"/>
    <w:rsid w:val="00E74795"/>
    <w:rsid w:val="00E74830"/>
    <w:rsid w:val="00E74BB0"/>
    <w:rsid w:val="00E7617C"/>
    <w:rsid w:val="00E77CC5"/>
    <w:rsid w:val="00E8212C"/>
    <w:rsid w:val="00E857B0"/>
    <w:rsid w:val="00E91541"/>
    <w:rsid w:val="00E9304D"/>
    <w:rsid w:val="00E9372B"/>
    <w:rsid w:val="00E93736"/>
    <w:rsid w:val="00EA10D4"/>
    <w:rsid w:val="00EA1BD5"/>
    <w:rsid w:val="00EA1CD5"/>
    <w:rsid w:val="00EA2F65"/>
    <w:rsid w:val="00EC1405"/>
    <w:rsid w:val="00EC29C0"/>
    <w:rsid w:val="00EC6C3C"/>
    <w:rsid w:val="00ED1772"/>
    <w:rsid w:val="00ED62B6"/>
    <w:rsid w:val="00ED7801"/>
    <w:rsid w:val="00EE5503"/>
    <w:rsid w:val="00EE5D55"/>
    <w:rsid w:val="00EF0489"/>
    <w:rsid w:val="00EF42C1"/>
    <w:rsid w:val="00EF7641"/>
    <w:rsid w:val="00F00D28"/>
    <w:rsid w:val="00F072F8"/>
    <w:rsid w:val="00F15FBB"/>
    <w:rsid w:val="00F17012"/>
    <w:rsid w:val="00F213FF"/>
    <w:rsid w:val="00F31013"/>
    <w:rsid w:val="00F32B54"/>
    <w:rsid w:val="00F35831"/>
    <w:rsid w:val="00F36D28"/>
    <w:rsid w:val="00F373C6"/>
    <w:rsid w:val="00F42D5D"/>
    <w:rsid w:val="00F45885"/>
    <w:rsid w:val="00F52C10"/>
    <w:rsid w:val="00F5337F"/>
    <w:rsid w:val="00F569A9"/>
    <w:rsid w:val="00F643B1"/>
    <w:rsid w:val="00F66C00"/>
    <w:rsid w:val="00F73FA9"/>
    <w:rsid w:val="00F80F2F"/>
    <w:rsid w:val="00F81DAD"/>
    <w:rsid w:val="00F82CDD"/>
    <w:rsid w:val="00F90046"/>
    <w:rsid w:val="00F90626"/>
    <w:rsid w:val="00F915FA"/>
    <w:rsid w:val="00FA095F"/>
    <w:rsid w:val="00FA26EC"/>
    <w:rsid w:val="00FA28A3"/>
    <w:rsid w:val="00FA44AD"/>
    <w:rsid w:val="00FB46C8"/>
    <w:rsid w:val="00FB72F2"/>
    <w:rsid w:val="00FC0E88"/>
    <w:rsid w:val="00FC7C6E"/>
    <w:rsid w:val="00FD5074"/>
    <w:rsid w:val="00FE025D"/>
    <w:rsid w:val="00FE52C7"/>
    <w:rsid w:val="00FF29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F3346A2"/>
  <w15:chartTrackingRefBased/>
  <w15:docId w15:val="{C242A421-7C28-4BE1-ADDC-29C4CB9A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30E"/>
    <w:rPr>
      <w:rFonts w:ascii="Arial Narrow" w:hAnsi="Arial Narrow"/>
      <w:sz w:val="22"/>
    </w:rPr>
  </w:style>
  <w:style w:type="paragraph" w:styleId="Heading1">
    <w:name w:val="heading 1"/>
    <w:basedOn w:val="Normal"/>
    <w:next w:val="Normal"/>
    <w:link w:val="Heading1Char"/>
    <w:uiPriority w:val="9"/>
    <w:qFormat/>
    <w:rsid w:val="00E2530E"/>
    <w:pPr>
      <w:spacing w:before="240" w:after="60"/>
      <w:ind w:left="567" w:hanging="567"/>
      <w:contextualSpacing/>
      <w:outlineLvl w:val="0"/>
    </w:pPr>
    <w:rPr>
      <w:b/>
      <w:caps/>
      <w:sz w:val="28"/>
    </w:rPr>
  </w:style>
  <w:style w:type="paragraph" w:styleId="Heading2">
    <w:name w:val="heading 2"/>
    <w:basedOn w:val="Normal"/>
    <w:next w:val="Normal"/>
    <w:link w:val="Heading2Char"/>
    <w:uiPriority w:val="9"/>
    <w:unhideWhenUsed/>
    <w:qFormat/>
    <w:rsid w:val="00E2530E"/>
    <w:pPr>
      <w:spacing w:before="200" w:after="120"/>
      <w:contextualSpacing/>
      <w:outlineLvl w:val="1"/>
    </w:pPr>
    <w:rPr>
      <w:b/>
      <w:caps/>
      <w:sz w:val="28"/>
    </w:rPr>
  </w:style>
  <w:style w:type="paragraph" w:styleId="Heading3">
    <w:name w:val="heading 3"/>
    <w:basedOn w:val="Normal"/>
    <w:next w:val="Normal"/>
    <w:link w:val="Heading3Char"/>
    <w:qFormat/>
    <w:rsid w:val="00E2530E"/>
    <w:pPr>
      <w:spacing w:before="200" w:after="80"/>
      <w:contextualSpacing/>
      <w:outlineLvl w:val="2"/>
    </w:pPr>
    <w:rPr>
      <w:b/>
      <w:sz w:val="24"/>
    </w:rPr>
  </w:style>
  <w:style w:type="paragraph" w:styleId="Heading4">
    <w:name w:val="heading 4"/>
    <w:basedOn w:val="Normal"/>
    <w:next w:val="Normal"/>
    <w:link w:val="Heading4Char"/>
    <w:uiPriority w:val="9"/>
    <w:unhideWhenUsed/>
    <w:qFormat/>
    <w:rsid w:val="00E2530E"/>
    <w:pPr>
      <w:spacing w:before="120" w:after="120"/>
      <w:contextualSpacing/>
      <w:outlineLvl w:val="3"/>
    </w:pPr>
    <w:rPr>
      <w:b/>
      <w:i/>
    </w:rPr>
  </w:style>
  <w:style w:type="paragraph" w:styleId="Heading5">
    <w:name w:val="heading 5"/>
    <w:basedOn w:val="Heading4"/>
    <w:next w:val="Normal"/>
    <w:link w:val="Heading5Char"/>
    <w:uiPriority w:val="9"/>
    <w:unhideWhenUsed/>
    <w:qFormat/>
    <w:rsid w:val="009718E1"/>
    <w:pPr>
      <w:outlineLvl w:val="4"/>
    </w:pPr>
    <w:rPr>
      <w:i w:val="0"/>
    </w:rPr>
  </w:style>
  <w:style w:type="paragraph" w:styleId="Heading6">
    <w:name w:val="heading 6"/>
    <w:basedOn w:val="Normal"/>
    <w:next w:val="Normal"/>
    <w:link w:val="Heading6Char"/>
    <w:uiPriority w:val="9"/>
    <w:semiHidden/>
    <w:unhideWhenUsed/>
    <w:qFormat/>
    <w:rsid w:val="00877EB3"/>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77EB3"/>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77EB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7EB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4E9B"/>
    <w:pPr>
      <w:pBdr>
        <w:bottom w:val="single" w:sz="4" w:space="1" w:color="auto"/>
      </w:pBdr>
      <w:tabs>
        <w:tab w:val="center" w:pos="4513"/>
        <w:tab w:val="right" w:pos="9026"/>
      </w:tabs>
      <w:jc w:val="right"/>
    </w:pPr>
  </w:style>
  <w:style w:type="character" w:customStyle="1" w:styleId="HeaderChar">
    <w:name w:val="Header Char"/>
    <w:basedOn w:val="DefaultParagraphFont"/>
    <w:link w:val="Header"/>
    <w:rsid w:val="007B4E9B"/>
  </w:style>
  <w:style w:type="paragraph" w:styleId="Footer">
    <w:name w:val="footer"/>
    <w:basedOn w:val="Normal"/>
    <w:link w:val="FooterChar"/>
    <w:unhideWhenUsed/>
    <w:rsid w:val="007B4E9B"/>
    <w:pPr>
      <w:pBdr>
        <w:top w:val="single" w:sz="4" w:space="1" w:color="auto"/>
      </w:pBdr>
      <w:tabs>
        <w:tab w:val="left" w:pos="0"/>
        <w:tab w:val="center" w:pos="4536"/>
        <w:tab w:val="right" w:pos="9072"/>
      </w:tabs>
    </w:pPr>
  </w:style>
  <w:style w:type="character" w:customStyle="1" w:styleId="FooterChar">
    <w:name w:val="Footer Char"/>
    <w:basedOn w:val="DefaultParagraphFont"/>
    <w:link w:val="Footer"/>
    <w:rsid w:val="007B4E9B"/>
  </w:style>
  <w:style w:type="paragraph" w:customStyle="1" w:styleId="0MainTitle">
    <w:name w:val="0.Main Title"/>
    <w:basedOn w:val="Normal"/>
    <w:rsid w:val="00E2530E"/>
    <w:pPr>
      <w:spacing w:before="120" w:after="120"/>
    </w:pPr>
    <w:rPr>
      <w:rFonts w:eastAsia="Times New Roman"/>
      <w:b/>
      <w:caps/>
      <w:sz w:val="40"/>
    </w:rPr>
  </w:style>
  <w:style w:type="paragraph" w:styleId="ListParagraph">
    <w:name w:val="List Paragraph"/>
    <w:basedOn w:val="Normal"/>
    <w:uiPriority w:val="34"/>
    <w:qFormat/>
    <w:rsid w:val="004A6F6E"/>
    <w:pPr>
      <w:ind w:left="720"/>
      <w:contextualSpacing/>
    </w:pPr>
  </w:style>
  <w:style w:type="paragraph" w:customStyle="1" w:styleId="BodyText1">
    <w:name w:val="Body Text1"/>
    <w:basedOn w:val="Normal"/>
    <w:qFormat/>
    <w:rsid w:val="00E2530E"/>
    <w:pPr>
      <w:spacing w:before="20" w:after="80"/>
      <w:jc w:val="both"/>
    </w:pPr>
  </w:style>
  <w:style w:type="character" w:styleId="CommentReference">
    <w:name w:val="annotation reference"/>
    <w:basedOn w:val="DefaultParagraphFont"/>
    <w:unhideWhenUsed/>
    <w:rsid w:val="006A7D55"/>
    <w:rPr>
      <w:sz w:val="16"/>
      <w:szCs w:val="16"/>
    </w:rPr>
  </w:style>
  <w:style w:type="paragraph" w:styleId="CommentText">
    <w:name w:val="annotation text"/>
    <w:basedOn w:val="Normal"/>
    <w:link w:val="CommentTextChar"/>
    <w:unhideWhenUsed/>
    <w:rsid w:val="006A7D55"/>
  </w:style>
  <w:style w:type="character" w:customStyle="1" w:styleId="CommentTextChar">
    <w:name w:val="Comment Text Char"/>
    <w:basedOn w:val="DefaultParagraphFont"/>
    <w:link w:val="CommentText"/>
    <w:rsid w:val="006A7D55"/>
  </w:style>
  <w:style w:type="paragraph" w:styleId="CommentSubject">
    <w:name w:val="annotation subject"/>
    <w:basedOn w:val="CommentText"/>
    <w:next w:val="CommentText"/>
    <w:link w:val="CommentSubjectChar"/>
    <w:uiPriority w:val="99"/>
    <w:semiHidden/>
    <w:unhideWhenUsed/>
    <w:rsid w:val="006A7D55"/>
    <w:rPr>
      <w:b/>
      <w:bCs/>
    </w:rPr>
  </w:style>
  <w:style w:type="character" w:customStyle="1" w:styleId="CommentSubjectChar">
    <w:name w:val="Comment Subject Char"/>
    <w:basedOn w:val="CommentTextChar"/>
    <w:link w:val="CommentSubject"/>
    <w:uiPriority w:val="99"/>
    <w:semiHidden/>
    <w:rsid w:val="006A7D55"/>
    <w:rPr>
      <w:b/>
      <w:bCs/>
    </w:rPr>
  </w:style>
  <w:style w:type="paragraph" w:styleId="BalloonText">
    <w:name w:val="Balloon Text"/>
    <w:basedOn w:val="Normal"/>
    <w:link w:val="BalloonTextChar"/>
    <w:uiPriority w:val="99"/>
    <w:semiHidden/>
    <w:unhideWhenUsed/>
    <w:rsid w:val="006A7D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D55"/>
    <w:rPr>
      <w:rFonts w:ascii="Segoe UI" w:hAnsi="Segoe UI" w:cs="Segoe UI"/>
      <w:sz w:val="18"/>
      <w:szCs w:val="18"/>
    </w:rPr>
  </w:style>
  <w:style w:type="character" w:customStyle="1" w:styleId="Heading3Char">
    <w:name w:val="Heading 3 Char"/>
    <w:basedOn w:val="DefaultParagraphFont"/>
    <w:link w:val="Heading3"/>
    <w:rsid w:val="00851A85"/>
    <w:rPr>
      <w:rFonts w:ascii="Arial" w:hAnsi="Arial"/>
      <w:b/>
      <w:sz w:val="24"/>
    </w:rPr>
  </w:style>
  <w:style w:type="paragraph" w:customStyle="1" w:styleId="TableText">
    <w:name w:val="TableText"/>
    <w:rsid w:val="00994C1D"/>
    <w:pPr>
      <w:keepNext/>
    </w:pPr>
    <w:rPr>
      <w:rFonts w:eastAsia="Times New Roman"/>
      <w:lang w:val="en-US"/>
    </w:rPr>
  </w:style>
  <w:style w:type="paragraph" w:styleId="Caption">
    <w:name w:val="caption"/>
    <w:basedOn w:val="Normal"/>
    <w:next w:val="Normal"/>
    <w:uiPriority w:val="35"/>
    <w:unhideWhenUsed/>
    <w:qFormat/>
    <w:rsid w:val="00994C1D"/>
    <w:pPr>
      <w:spacing w:after="200"/>
    </w:pPr>
    <w:rPr>
      <w:i/>
      <w:iCs/>
      <w:color w:val="44546A" w:themeColor="text2"/>
      <w:sz w:val="18"/>
      <w:szCs w:val="18"/>
    </w:rPr>
  </w:style>
  <w:style w:type="paragraph" w:customStyle="1" w:styleId="Table-MainTitle">
    <w:name w:val="Table - Main Title"/>
    <w:basedOn w:val="Normal"/>
    <w:next w:val="TableofAuthorities"/>
    <w:autoRedefine/>
    <w:qFormat/>
    <w:rsid w:val="00B33887"/>
    <w:pPr>
      <w:tabs>
        <w:tab w:val="left" w:pos="885"/>
      </w:tabs>
      <w:spacing w:before="60" w:after="60"/>
    </w:pPr>
    <w:rPr>
      <w:b/>
    </w:rPr>
  </w:style>
  <w:style w:type="paragraph" w:customStyle="1" w:styleId="Table-Heading1">
    <w:name w:val="Table - Heading 1"/>
    <w:basedOn w:val="Normal"/>
    <w:qFormat/>
    <w:rsid w:val="00D86907"/>
    <w:pPr>
      <w:spacing w:before="60"/>
    </w:pPr>
    <w:rPr>
      <w:rFonts w:cs="Arial"/>
      <w:b/>
      <w:szCs w:val="22"/>
    </w:rPr>
  </w:style>
  <w:style w:type="paragraph" w:customStyle="1" w:styleId="Table-text">
    <w:name w:val="Table - text"/>
    <w:basedOn w:val="Normal"/>
    <w:qFormat/>
    <w:rsid w:val="00F00D28"/>
    <w:rPr>
      <w:rFonts w:cs="Arial"/>
      <w:szCs w:val="22"/>
    </w:rPr>
  </w:style>
  <w:style w:type="paragraph" w:customStyle="1" w:styleId="Table-heading3">
    <w:name w:val="Table - heading 3"/>
    <w:basedOn w:val="Table-Heading1"/>
    <w:qFormat/>
    <w:rsid w:val="005E574D"/>
    <w:pPr>
      <w:spacing w:before="0"/>
    </w:pPr>
    <w:rPr>
      <w:b w:val="0"/>
      <w:i/>
    </w:rPr>
  </w:style>
  <w:style w:type="table" w:styleId="TableGrid">
    <w:name w:val="Table Grid"/>
    <w:basedOn w:val="TableNormal"/>
    <w:uiPriority w:val="59"/>
    <w:rsid w:val="00162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682D"/>
    <w:rPr>
      <w:rFonts w:ascii="Arial" w:hAnsi="Arial"/>
      <w:b/>
      <w:caps/>
      <w:sz w:val="28"/>
    </w:rPr>
  </w:style>
  <w:style w:type="character" w:customStyle="1" w:styleId="Heading2Char">
    <w:name w:val="Heading 2 Char"/>
    <w:basedOn w:val="DefaultParagraphFont"/>
    <w:link w:val="Heading2"/>
    <w:uiPriority w:val="9"/>
    <w:rsid w:val="005C682D"/>
    <w:rPr>
      <w:rFonts w:ascii="Arial" w:hAnsi="Arial"/>
      <w:b/>
      <w:caps/>
      <w:sz w:val="28"/>
    </w:rPr>
  </w:style>
  <w:style w:type="character" w:customStyle="1" w:styleId="Heading4Char">
    <w:name w:val="Heading 4 Char"/>
    <w:basedOn w:val="DefaultParagraphFont"/>
    <w:link w:val="Heading4"/>
    <w:uiPriority w:val="9"/>
    <w:rsid w:val="00D86907"/>
    <w:rPr>
      <w:rFonts w:ascii="Arial" w:hAnsi="Arial"/>
      <w:b/>
      <w:i/>
      <w:sz w:val="22"/>
    </w:rPr>
  </w:style>
  <w:style w:type="paragraph" w:styleId="Title">
    <w:name w:val="Title"/>
    <w:basedOn w:val="0MainTitle"/>
    <w:next w:val="Normal"/>
    <w:link w:val="TitleChar"/>
    <w:uiPriority w:val="10"/>
    <w:qFormat/>
    <w:rsid w:val="00520F30"/>
    <w:pPr>
      <w:widowControl w:val="0"/>
      <w:pBdr>
        <w:bottom w:val="single" w:sz="8" w:space="1" w:color="auto"/>
      </w:pBdr>
      <w:tabs>
        <w:tab w:val="left" w:pos="-720"/>
      </w:tabs>
      <w:suppressAutoHyphens/>
      <w:spacing w:before="60" w:after="240"/>
    </w:pPr>
    <w:rPr>
      <w:spacing w:val="-2"/>
      <w:sz w:val="36"/>
      <w:lang w:val="en-US"/>
    </w:rPr>
  </w:style>
  <w:style w:type="character" w:customStyle="1" w:styleId="TitleChar">
    <w:name w:val="Title Char"/>
    <w:basedOn w:val="DefaultParagraphFont"/>
    <w:link w:val="Title"/>
    <w:uiPriority w:val="10"/>
    <w:rsid w:val="00520F30"/>
    <w:rPr>
      <w:rFonts w:eastAsia="Times New Roman"/>
      <w:b/>
      <w:spacing w:val="-2"/>
      <w:sz w:val="36"/>
      <w:lang w:val="en-US"/>
    </w:rPr>
  </w:style>
  <w:style w:type="paragraph" w:styleId="TableofFigures">
    <w:name w:val="table of figures"/>
    <w:basedOn w:val="Normal"/>
    <w:next w:val="Normal"/>
    <w:uiPriority w:val="99"/>
    <w:unhideWhenUsed/>
    <w:rsid w:val="00A36B17"/>
  </w:style>
  <w:style w:type="paragraph" w:styleId="TableofAuthorities">
    <w:name w:val="table of authorities"/>
    <w:basedOn w:val="Normal"/>
    <w:next w:val="Normal"/>
    <w:uiPriority w:val="99"/>
    <w:semiHidden/>
    <w:unhideWhenUsed/>
    <w:rsid w:val="006E3D38"/>
    <w:pPr>
      <w:ind w:left="200" w:hanging="200"/>
    </w:pPr>
  </w:style>
  <w:style w:type="character" w:styleId="Hyperlink">
    <w:name w:val="Hyperlink"/>
    <w:basedOn w:val="DefaultParagraphFont"/>
    <w:uiPriority w:val="99"/>
    <w:unhideWhenUsed/>
    <w:rsid w:val="00A36B17"/>
    <w:rPr>
      <w:color w:val="0563C1" w:themeColor="hyperlink"/>
      <w:u w:val="single"/>
    </w:rPr>
  </w:style>
  <w:style w:type="paragraph" w:customStyle="1" w:styleId="Table-Footertext">
    <w:name w:val="Table - Footer text"/>
    <w:basedOn w:val="BodyText1"/>
    <w:qFormat/>
    <w:rsid w:val="009C4FC1"/>
    <w:pPr>
      <w:spacing w:before="40" w:after="40"/>
    </w:pPr>
    <w:rPr>
      <w:sz w:val="18"/>
    </w:rPr>
  </w:style>
  <w:style w:type="paragraph" w:customStyle="1" w:styleId="Default">
    <w:name w:val="Default"/>
    <w:rsid w:val="00BC6AAE"/>
    <w:pPr>
      <w:autoSpaceDE w:val="0"/>
      <w:autoSpaceDN w:val="0"/>
      <w:adjustRightInd w:val="0"/>
    </w:pPr>
    <w:rPr>
      <w:rFonts w:ascii="Arial" w:eastAsia="Times New Roman" w:hAnsi="Arial" w:cs="Arial"/>
      <w:color w:val="000000"/>
      <w:sz w:val="24"/>
      <w:szCs w:val="24"/>
      <w:lang w:eastAsia="en-AU"/>
    </w:rPr>
  </w:style>
  <w:style w:type="paragraph" w:styleId="Subtitle">
    <w:name w:val="Subtitle"/>
    <w:basedOn w:val="Normal"/>
    <w:link w:val="SubtitleChar"/>
    <w:uiPriority w:val="11"/>
    <w:qFormat/>
    <w:rsid w:val="003D67C3"/>
    <w:pPr>
      <w:widowControl w:val="0"/>
      <w:ind w:left="567" w:hanging="567"/>
      <w:contextualSpacing/>
      <w:jc w:val="center"/>
    </w:pPr>
    <w:rPr>
      <w:rFonts w:eastAsia="Calibri"/>
      <w:b/>
      <w:caps/>
      <w:sz w:val="40"/>
    </w:rPr>
  </w:style>
  <w:style w:type="character" w:customStyle="1" w:styleId="SubtitleChar">
    <w:name w:val="Subtitle Char"/>
    <w:basedOn w:val="DefaultParagraphFont"/>
    <w:link w:val="Subtitle"/>
    <w:uiPriority w:val="11"/>
    <w:rsid w:val="003D67C3"/>
    <w:rPr>
      <w:rFonts w:ascii="Arial" w:eastAsia="Calibri" w:hAnsi="Arial"/>
      <w:b/>
      <w:caps/>
      <w:sz w:val="40"/>
    </w:rPr>
  </w:style>
  <w:style w:type="paragraph" w:styleId="ListBullet">
    <w:name w:val="List Bullet"/>
    <w:basedOn w:val="Normal"/>
    <w:autoRedefine/>
    <w:semiHidden/>
    <w:rsid w:val="00423418"/>
    <w:pPr>
      <w:tabs>
        <w:tab w:val="num" w:pos="360"/>
      </w:tabs>
      <w:ind w:left="360" w:hanging="360"/>
    </w:pPr>
    <w:rPr>
      <w:rFonts w:ascii="Times" w:eastAsia="Times New Roman" w:hAnsi="Times"/>
      <w:noProof/>
    </w:rPr>
  </w:style>
  <w:style w:type="paragraph" w:customStyle="1" w:styleId="Table-AEfrequency">
    <w:name w:val="Table - AE frequency"/>
    <w:basedOn w:val="BodyText1"/>
    <w:qFormat/>
    <w:rsid w:val="00D86907"/>
    <w:pPr>
      <w:spacing w:before="0" w:after="0"/>
      <w:ind w:left="720"/>
    </w:pPr>
  </w:style>
  <w:style w:type="paragraph" w:customStyle="1" w:styleId="Subtitle-activeingredient">
    <w:name w:val="Subtitle- active ingredient"/>
    <w:basedOn w:val="Normal"/>
    <w:qFormat/>
    <w:rsid w:val="00782433"/>
    <w:pPr>
      <w:keepLines/>
      <w:widowControl w:val="0"/>
      <w:tabs>
        <w:tab w:val="left" w:pos="-720"/>
      </w:tabs>
      <w:suppressAutoHyphens/>
      <w:spacing w:before="60" w:after="240"/>
    </w:pPr>
    <w:rPr>
      <w:rFonts w:eastAsia="Times New Roman"/>
      <w:b/>
      <w:spacing w:val="-2"/>
      <w:sz w:val="36"/>
      <w:lang w:val="en-US"/>
    </w:rPr>
  </w:style>
  <w:style w:type="character" w:customStyle="1" w:styleId="Heading5Char">
    <w:name w:val="Heading 5 Char"/>
    <w:basedOn w:val="DefaultParagraphFont"/>
    <w:link w:val="Heading5"/>
    <w:uiPriority w:val="9"/>
    <w:rsid w:val="009718E1"/>
    <w:rPr>
      <w:rFonts w:ascii="Arial" w:hAnsi="Arial"/>
      <w:b/>
      <w:sz w:val="22"/>
    </w:rPr>
  </w:style>
  <w:style w:type="paragraph" w:styleId="Bibliography">
    <w:name w:val="Bibliography"/>
    <w:basedOn w:val="Normal"/>
    <w:next w:val="Normal"/>
    <w:uiPriority w:val="37"/>
    <w:semiHidden/>
    <w:unhideWhenUsed/>
    <w:rsid w:val="00877EB3"/>
  </w:style>
  <w:style w:type="paragraph" w:styleId="BlockText">
    <w:name w:val="Block Text"/>
    <w:basedOn w:val="Normal"/>
    <w:uiPriority w:val="99"/>
    <w:semiHidden/>
    <w:unhideWhenUsed/>
    <w:rsid w:val="00877EB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877EB3"/>
    <w:pPr>
      <w:spacing w:after="120"/>
    </w:pPr>
  </w:style>
  <w:style w:type="character" w:customStyle="1" w:styleId="BodyTextChar">
    <w:name w:val="Body Text Char"/>
    <w:basedOn w:val="DefaultParagraphFont"/>
    <w:link w:val="BodyText"/>
    <w:uiPriority w:val="99"/>
    <w:semiHidden/>
    <w:rsid w:val="00877EB3"/>
    <w:rPr>
      <w:rFonts w:ascii="Arial" w:hAnsi="Arial"/>
    </w:rPr>
  </w:style>
  <w:style w:type="paragraph" w:styleId="BodyText2">
    <w:name w:val="Body Text 2"/>
    <w:basedOn w:val="Normal"/>
    <w:link w:val="BodyText2Char"/>
    <w:uiPriority w:val="99"/>
    <w:semiHidden/>
    <w:unhideWhenUsed/>
    <w:rsid w:val="00877EB3"/>
    <w:pPr>
      <w:spacing w:after="120" w:line="480" w:lineRule="auto"/>
    </w:pPr>
  </w:style>
  <w:style w:type="character" w:customStyle="1" w:styleId="BodyText2Char">
    <w:name w:val="Body Text 2 Char"/>
    <w:basedOn w:val="DefaultParagraphFont"/>
    <w:link w:val="BodyText2"/>
    <w:uiPriority w:val="99"/>
    <w:semiHidden/>
    <w:rsid w:val="00877EB3"/>
    <w:rPr>
      <w:rFonts w:ascii="Arial" w:hAnsi="Arial"/>
    </w:rPr>
  </w:style>
  <w:style w:type="paragraph" w:styleId="BodyText3">
    <w:name w:val="Body Text 3"/>
    <w:basedOn w:val="Normal"/>
    <w:link w:val="BodyText3Char"/>
    <w:uiPriority w:val="99"/>
    <w:semiHidden/>
    <w:unhideWhenUsed/>
    <w:rsid w:val="00877EB3"/>
    <w:pPr>
      <w:spacing w:after="120"/>
    </w:pPr>
    <w:rPr>
      <w:sz w:val="16"/>
      <w:szCs w:val="16"/>
    </w:rPr>
  </w:style>
  <w:style w:type="character" w:customStyle="1" w:styleId="BodyText3Char">
    <w:name w:val="Body Text 3 Char"/>
    <w:basedOn w:val="DefaultParagraphFont"/>
    <w:link w:val="BodyText3"/>
    <w:uiPriority w:val="99"/>
    <w:semiHidden/>
    <w:rsid w:val="00877EB3"/>
    <w:rPr>
      <w:rFonts w:ascii="Arial" w:hAnsi="Arial"/>
      <w:sz w:val="16"/>
      <w:szCs w:val="16"/>
    </w:rPr>
  </w:style>
  <w:style w:type="paragraph" w:styleId="BodyTextFirstIndent">
    <w:name w:val="Body Text First Indent"/>
    <w:basedOn w:val="BodyText"/>
    <w:link w:val="BodyTextFirstIndentChar"/>
    <w:uiPriority w:val="99"/>
    <w:semiHidden/>
    <w:unhideWhenUsed/>
    <w:rsid w:val="00877EB3"/>
    <w:pPr>
      <w:spacing w:after="0"/>
      <w:ind w:firstLine="360"/>
    </w:pPr>
  </w:style>
  <w:style w:type="character" w:customStyle="1" w:styleId="BodyTextFirstIndentChar">
    <w:name w:val="Body Text First Indent Char"/>
    <w:basedOn w:val="BodyTextChar"/>
    <w:link w:val="BodyTextFirstIndent"/>
    <w:uiPriority w:val="99"/>
    <w:semiHidden/>
    <w:rsid w:val="00877EB3"/>
    <w:rPr>
      <w:rFonts w:ascii="Arial" w:hAnsi="Arial"/>
    </w:rPr>
  </w:style>
  <w:style w:type="paragraph" w:styleId="BodyTextIndent">
    <w:name w:val="Body Text Indent"/>
    <w:basedOn w:val="Normal"/>
    <w:link w:val="BodyTextIndentChar"/>
    <w:uiPriority w:val="99"/>
    <w:semiHidden/>
    <w:unhideWhenUsed/>
    <w:rsid w:val="00877EB3"/>
    <w:pPr>
      <w:spacing w:after="120"/>
      <w:ind w:left="283"/>
    </w:pPr>
  </w:style>
  <w:style w:type="character" w:customStyle="1" w:styleId="BodyTextIndentChar">
    <w:name w:val="Body Text Indent Char"/>
    <w:basedOn w:val="DefaultParagraphFont"/>
    <w:link w:val="BodyTextIndent"/>
    <w:uiPriority w:val="99"/>
    <w:semiHidden/>
    <w:rsid w:val="00877EB3"/>
    <w:rPr>
      <w:rFonts w:ascii="Arial" w:hAnsi="Arial"/>
    </w:rPr>
  </w:style>
  <w:style w:type="paragraph" w:styleId="BodyTextFirstIndent2">
    <w:name w:val="Body Text First Indent 2"/>
    <w:basedOn w:val="BodyTextIndent"/>
    <w:link w:val="BodyTextFirstIndent2Char"/>
    <w:uiPriority w:val="99"/>
    <w:semiHidden/>
    <w:unhideWhenUsed/>
    <w:rsid w:val="00877EB3"/>
    <w:pPr>
      <w:spacing w:after="0"/>
      <w:ind w:left="360" w:firstLine="360"/>
    </w:pPr>
  </w:style>
  <w:style w:type="character" w:customStyle="1" w:styleId="BodyTextFirstIndent2Char">
    <w:name w:val="Body Text First Indent 2 Char"/>
    <w:basedOn w:val="BodyTextIndentChar"/>
    <w:link w:val="BodyTextFirstIndent2"/>
    <w:uiPriority w:val="99"/>
    <w:semiHidden/>
    <w:rsid w:val="00877EB3"/>
    <w:rPr>
      <w:rFonts w:ascii="Arial" w:hAnsi="Arial"/>
    </w:rPr>
  </w:style>
  <w:style w:type="paragraph" w:styleId="BodyTextIndent2">
    <w:name w:val="Body Text Indent 2"/>
    <w:basedOn w:val="Normal"/>
    <w:link w:val="BodyTextIndent2Char"/>
    <w:uiPriority w:val="99"/>
    <w:semiHidden/>
    <w:unhideWhenUsed/>
    <w:rsid w:val="00877EB3"/>
    <w:pPr>
      <w:spacing w:after="120" w:line="480" w:lineRule="auto"/>
      <w:ind w:left="283"/>
    </w:pPr>
  </w:style>
  <w:style w:type="character" w:customStyle="1" w:styleId="BodyTextIndent2Char">
    <w:name w:val="Body Text Indent 2 Char"/>
    <w:basedOn w:val="DefaultParagraphFont"/>
    <w:link w:val="BodyTextIndent2"/>
    <w:uiPriority w:val="99"/>
    <w:semiHidden/>
    <w:rsid w:val="00877EB3"/>
    <w:rPr>
      <w:rFonts w:ascii="Arial" w:hAnsi="Arial"/>
    </w:rPr>
  </w:style>
  <w:style w:type="paragraph" w:styleId="BodyTextIndent3">
    <w:name w:val="Body Text Indent 3"/>
    <w:basedOn w:val="Normal"/>
    <w:link w:val="BodyTextIndent3Char"/>
    <w:uiPriority w:val="99"/>
    <w:semiHidden/>
    <w:unhideWhenUsed/>
    <w:rsid w:val="00877EB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7EB3"/>
    <w:rPr>
      <w:rFonts w:ascii="Arial" w:hAnsi="Arial"/>
      <w:sz w:val="16"/>
      <w:szCs w:val="16"/>
    </w:rPr>
  </w:style>
  <w:style w:type="paragraph" w:styleId="Closing">
    <w:name w:val="Closing"/>
    <w:basedOn w:val="Normal"/>
    <w:link w:val="ClosingChar"/>
    <w:uiPriority w:val="99"/>
    <w:semiHidden/>
    <w:unhideWhenUsed/>
    <w:rsid w:val="00877EB3"/>
    <w:pPr>
      <w:ind w:left="4252"/>
    </w:pPr>
  </w:style>
  <w:style w:type="character" w:customStyle="1" w:styleId="ClosingChar">
    <w:name w:val="Closing Char"/>
    <w:basedOn w:val="DefaultParagraphFont"/>
    <w:link w:val="Closing"/>
    <w:uiPriority w:val="99"/>
    <w:semiHidden/>
    <w:rsid w:val="00877EB3"/>
    <w:rPr>
      <w:rFonts w:ascii="Arial" w:hAnsi="Arial"/>
    </w:rPr>
  </w:style>
  <w:style w:type="paragraph" w:styleId="Date">
    <w:name w:val="Date"/>
    <w:basedOn w:val="Normal"/>
    <w:next w:val="Normal"/>
    <w:link w:val="DateChar"/>
    <w:uiPriority w:val="99"/>
    <w:semiHidden/>
    <w:unhideWhenUsed/>
    <w:rsid w:val="00877EB3"/>
  </w:style>
  <w:style w:type="character" w:customStyle="1" w:styleId="DateChar">
    <w:name w:val="Date Char"/>
    <w:basedOn w:val="DefaultParagraphFont"/>
    <w:link w:val="Date"/>
    <w:uiPriority w:val="99"/>
    <w:semiHidden/>
    <w:rsid w:val="00877EB3"/>
    <w:rPr>
      <w:rFonts w:ascii="Arial" w:hAnsi="Arial"/>
    </w:rPr>
  </w:style>
  <w:style w:type="paragraph" w:styleId="DocumentMap">
    <w:name w:val="Document Map"/>
    <w:basedOn w:val="Normal"/>
    <w:link w:val="DocumentMapChar"/>
    <w:uiPriority w:val="99"/>
    <w:semiHidden/>
    <w:unhideWhenUsed/>
    <w:rsid w:val="00877EB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7EB3"/>
    <w:rPr>
      <w:rFonts w:ascii="Segoe UI" w:hAnsi="Segoe UI" w:cs="Segoe UI"/>
      <w:sz w:val="16"/>
      <w:szCs w:val="16"/>
    </w:rPr>
  </w:style>
  <w:style w:type="paragraph" w:styleId="E-mailSignature">
    <w:name w:val="E-mail Signature"/>
    <w:basedOn w:val="Normal"/>
    <w:link w:val="E-mailSignatureChar"/>
    <w:uiPriority w:val="99"/>
    <w:semiHidden/>
    <w:unhideWhenUsed/>
    <w:rsid w:val="00877EB3"/>
  </w:style>
  <w:style w:type="character" w:customStyle="1" w:styleId="E-mailSignatureChar">
    <w:name w:val="E-mail Signature Char"/>
    <w:basedOn w:val="DefaultParagraphFont"/>
    <w:link w:val="E-mailSignature"/>
    <w:uiPriority w:val="99"/>
    <w:semiHidden/>
    <w:rsid w:val="00877EB3"/>
    <w:rPr>
      <w:rFonts w:ascii="Arial" w:hAnsi="Arial"/>
    </w:rPr>
  </w:style>
  <w:style w:type="paragraph" w:styleId="EndnoteText">
    <w:name w:val="endnote text"/>
    <w:basedOn w:val="Normal"/>
    <w:link w:val="EndnoteTextChar"/>
    <w:uiPriority w:val="99"/>
    <w:semiHidden/>
    <w:unhideWhenUsed/>
    <w:rsid w:val="00877EB3"/>
  </w:style>
  <w:style w:type="character" w:customStyle="1" w:styleId="EndnoteTextChar">
    <w:name w:val="Endnote Text Char"/>
    <w:basedOn w:val="DefaultParagraphFont"/>
    <w:link w:val="EndnoteText"/>
    <w:uiPriority w:val="99"/>
    <w:semiHidden/>
    <w:rsid w:val="00877EB3"/>
    <w:rPr>
      <w:rFonts w:ascii="Arial" w:hAnsi="Arial"/>
    </w:rPr>
  </w:style>
  <w:style w:type="paragraph" w:styleId="EnvelopeAddress">
    <w:name w:val="envelope address"/>
    <w:basedOn w:val="Normal"/>
    <w:uiPriority w:val="99"/>
    <w:semiHidden/>
    <w:unhideWhenUsed/>
    <w:rsid w:val="00877EB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7EB3"/>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877EB3"/>
  </w:style>
  <w:style w:type="character" w:customStyle="1" w:styleId="FootnoteTextChar">
    <w:name w:val="Footnote Text Char"/>
    <w:basedOn w:val="DefaultParagraphFont"/>
    <w:link w:val="FootnoteText"/>
    <w:uiPriority w:val="99"/>
    <w:semiHidden/>
    <w:rsid w:val="00877EB3"/>
    <w:rPr>
      <w:rFonts w:ascii="Arial" w:hAnsi="Arial"/>
    </w:rPr>
  </w:style>
  <w:style w:type="character" w:customStyle="1" w:styleId="Heading6Char">
    <w:name w:val="Heading 6 Char"/>
    <w:basedOn w:val="DefaultParagraphFont"/>
    <w:link w:val="Heading6"/>
    <w:uiPriority w:val="9"/>
    <w:semiHidden/>
    <w:rsid w:val="00877EB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77EB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77EB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7EB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77EB3"/>
    <w:rPr>
      <w:i/>
      <w:iCs/>
    </w:rPr>
  </w:style>
  <w:style w:type="character" w:customStyle="1" w:styleId="HTMLAddressChar">
    <w:name w:val="HTML Address Char"/>
    <w:basedOn w:val="DefaultParagraphFont"/>
    <w:link w:val="HTMLAddress"/>
    <w:uiPriority w:val="99"/>
    <w:semiHidden/>
    <w:rsid w:val="00877EB3"/>
    <w:rPr>
      <w:rFonts w:ascii="Arial" w:hAnsi="Arial"/>
      <w:i/>
      <w:iCs/>
    </w:rPr>
  </w:style>
  <w:style w:type="paragraph" w:styleId="HTMLPreformatted">
    <w:name w:val="HTML Preformatted"/>
    <w:basedOn w:val="Normal"/>
    <w:link w:val="HTMLPreformattedChar"/>
    <w:uiPriority w:val="99"/>
    <w:semiHidden/>
    <w:unhideWhenUsed/>
    <w:rsid w:val="00877EB3"/>
    <w:rPr>
      <w:rFonts w:ascii="Consolas" w:hAnsi="Consolas" w:cs="Consolas"/>
    </w:rPr>
  </w:style>
  <w:style w:type="character" w:customStyle="1" w:styleId="HTMLPreformattedChar">
    <w:name w:val="HTML Preformatted Char"/>
    <w:basedOn w:val="DefaultParagraphFont"/>
    <w:link w:val="HTMLPreformatted"/>
    <w:uiPriority w:val="99"/>
    <w:semiHidden/>
    <w:rsid w:val="00877EB3"/>
    <w:rPr>
      <w:rFonts w:ascii="Consolas" w:hAnsi="Consolas" w:cs="Consolas"/>
    </w:rPr>
  </w:style>
  <w:style w:type="paragraph" w:styleId="Index1">
    <w:name w:val="index 1"/>
    <w:basedOn w:val="Normal"/>
    <w:next w:val="Normal"/>
    <w:autoRedefine/>
    <w:uiPriority w:val="99"/>
    <w:semiHidden/>
    <w:unhideWhenUsed/>
    <w:rsid w:val="00877EB3"/>
    <w:pPr>
      <w:ind w:left="200" w:hanging="200"/>
    </w:pPr>
  </w:style>
  <w:style w:type="paragraph" w:styleId="Index2">
    <w:name w:val="index 2"/>
    <w:basedOn w:val="Normal"/>
    <w:next w:val="Normal"/>
    <w:autoRedefine/>
    <w:uiPriority w:val="99"/>
    <w:semiHidden/>
    <w:unhideWhenUsed/>
    <w:rsid w:val="00877EB3"/>
    <w:pPr>
      <w:ind w:left="400" w:hanging="200"/>
    </w:pPr>
  </w:style>
  <w:style w:type="paragraph" w:styleId="Index3">
    <w:name w:val="index 3"/>
    <w:basedOn w:val="Normal"/>
    <w:next w:val="Normal"/>
    <w:autoRedefine/>
    <w:uiPriority w:val="99"/>
    <w:semiHidden/>
    <w:unhideWhenUsed/>
    <w:rsid w:val="00877EB3"/>
    <w:pPr>
      <w:ind w:left="600" w:hanging="200"/>
    </w:pPr>
  </w:style>
  <w:style w:type="paragraph" w:styleId="Index4">
    <w:name w:val="index 4"/>
    <w:basedOn w:val="Normal"/>
    <w:next w:val="Normal"/>
    <w:autoRedefine/>
    <w:uiPriority w:val="99"/>
    <w:semiHidden/>
    <w:unhideWhenUsed/>
    <w:rsid w:val="00877EB3"/>
    <w:pPr>
      <w:ind w:left="800" w:hanging="200"/>
    </w:pPr>
  </w:style>
  <w:style w:type="paragraph" w:styleId="Index5">
    <w:name w:val="index 5"/>
    <w:basedOn w:val="Normal"/>
    <w:next w:val="Normal"/>
    <w:autoRedefine/>
    <w:uiPriority w:val="99"/>
    <w:semiHidden/>
    <w:unhideWhenUsed/>
    <w:rsid w:val="00877EB3"/>
    <w:pPr>
      <w:ind w:left="1000" w:hanging="200"/>
    </w:pPr>
  </w:style>
  <w:style w:type="paragraph" w:styleId="Index6">
    <w:name w:val="index 6"/>
    <w:basedOn w:val="Normal"/>
    <w:next w:val="Normal"/>
    <w:autoRedefine/>
    <w:uiPriority w:val="99"/>
    <w:semiHidden/>
    <w:unhideWhenUsed/>
    <w:rsid w:val="00877EB3"/>
    <w:pPr>
      <w:ind w:left="1200" w:hanging="200"/>
    </w:pPr>
  </w:style>
  <w:style w:type="paragraph" w:styleId="Index7">
    <w:name w:val="index 7"/>
    <w:basedOn w:val="Normal"/>
    <w:next w:val="Normal"/>
    <w:autoRedefine/>
    <w:uiPriority w:val="99"/>
    <w:semiHidden/>
    <w:unhideWhenUsed/>
    <w:rsid w:val="00877EB3"/>
    <w:pPr>
      <w:ind w:left="1400" w:hanging="200"/>
    </w:pPr>
  </w:style>
  <w:style w:type="paragraph" w:styleId="Index8">
    <w:name w:val="index 8"/>
    <w:basedOn w:val="Normal"/>
    <w:next w:val="Normal"/>
    <w:autoRedefine/>
    <w:uiPriority w:val="99"/>
    <w:semiHidden/>
    <w:unhideWhenUsed/>
    <w:rsid w:val="00877EB3"/>
    <w:pPr>
      <w:ind w:left="1600" w:hanging="200"/>
    </w:pPr>
  </w:style>
  <w:style w:type="paragraph" w:styleId="Index9">
    <w:name w:val="index 9"/>
    <w:basedOn w:val="Normal"/>
    <w:next w:val="Normal"/>
    <w:autoRedefine/>
    <w:uiPriority w:val="99"/>
    <w:semiHidden/>
    <w:unhideWhenUsed/>
    <w:rsid w:val="00877EB3"/>
    <w:pPr>
      <w:ind w:left="1800" w:hanging="200"/>
    </w:pPr>
  </w:style>
  <w:style w:type="paragraph" w:styleId="IndexHeading">
    <w:name w:val="index heading"/>
    <w:basedOn w:val="Normal"/>
    <w:next w:val="Index1"/>
    <w:uiPriority w:val="99"/>
    <w:semiHidden/>
    <w:unhideWhenUsed/>
    <w:rsid w:val="00877EB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7EB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77EB3"/>
    <w:rPr>
      <w:rFonts w:ascii="Arial" w:hAnsi="Arial"/>
      <w:i/>
      <w:iCs/>
      <w:color w:val="4472C4" w:themeColor="accent1"/>
    </w:rPr>
  </w:style>
  <w:style w:type="paragraph" w:styleId="List">
    <w:name w:val="List"/>
    <w:basedOn w:val="Normal"/>
    <w:uiPriority w:val="99"/>
    <w:semiHidden/>
    <w:unhideWhenUsed/>
    <w:rsid w:val="00877EB3"/>
    <w:pPr>
      <w:ind w:left="283" w:hanging="283"/>
      <w:contextualSpacing/>
    </w:pPr>
  </w:style>
  <w:style w:type="paragraph" w:styleId="List2">
    <w:name w:val="List 2"/>
    <w:basedOn w:val="Normal"/>
    <w:uiPriority w:val="99"/>
    <w:semiHidden/>
    <w:unhideWhenUsed/>
    <w:rsid w:val="00877EB3"/>
    <w:pPr>
      <w:ind w:left="566" w:hanging="283"/>
      <w:contextualSpacing/>
    </w:pPr>
  </w:style>
  <w:style w:type="paragraph" w:styleId="List3">
    <w:name w:val="List 3"/>
    <w:basedOn w:val="Normal"/>
    <w:uiPriority w:val="99"/>
    <w:semiHidden/>
    <w:unhideWhenUsed/>
    <w:rsid w:val="00877EB3"/>
    <w:pPr>
      <w:ind w:left="849" w:hanging="283"/>
      <w:contextualSpacing/>
    </w:pPr>
  </w:style>
  <w:style w:type="paragraph" w:styleId="List4">
    <w:name w:val="List 4"/>
    <w:basedOn w:val="Normal"/>
    <w:uiPriority w:val="99"/>
    <w:semiHidden/>
    <w:unhideWhenUsed/>
    <w:rsid w:val="00877EB3"/>
    <w:pPr>
      <w:ind w:left="1132" w:hanging="283"/>
      <w:contextualSpacing/>
    </w:pPr>
  </w:style>
  <w:style w:type="paragraph" w:styleId="List5">
    <w:name w:val="List 5"/>
    <w:basedOn w:val="Normal"/>
    <w:uiPriority w:val="99"/>
    <w:semiHidden/>
    <w:unhideWhenUsed/>
    <w:rsid w:val="00877EB3"/>
    <w:pPr>
      <w:ind w:left="1415" w:hanging="283"/>
      <w:contextualSpacing/>
    </w:pPr>
  </w:style>
  <w:style w:type="paragraph" w:styleId="ListBullet2">
    <w:name w:val="List Bullet 2"/>
    <w:basedOn w:val="Normal"/>
    <w:uiPriority w:val="99"/>
    <w:semiHidden/>
    <w:unhideWhenUsed/>
    <w:rsid w:val="00877EB3"/>
    <w:pPr>
      <w:numPr>
        <w:numId w:val="10"/>
      </w:numPr>
      <w:contextualSpacing/>
    </w:pPr>
  </w:style>
  <w:style w:type="paragraph" w:styleId="ListBullet3">
    <w:name w:val="List Bullet 3"/>
    <w:basedOn w:val="Normal"/>
    <w:uiPriority w:val="99"/>
    <w:semiHidden/>
    <w:unhideWhenUsed/>
    <w:rsid w:val="00877EB3"/>
    <w:pPr>
      <w:numPr>
        <w:numId w:val="11"/>
      </w:numPr>
      <w:contextualSpacing/>
    </w:pPr>
  </w:style>
  <w:style w:type="paragraph" w:styleId="ListBullet4">
    <w:name w:val="List Bullet 4"/>
    <w:basedOn w:val="Normal"/>
    <w:uiPriority w:val="99"/>
    <w:semiHidden/>
    <w:unhideWhenUsed/>
    <w:rsid w:val="00877EB3"/>
    <w:pPr>
      <w:numPr>
        <w:numId w:val="12"/>
      </w:numPr>
      <w:contextualSpacing/>
    </w:pPr>
  </w:style>
  <w:style w:type="paragraph" w:styleId="ListBullet5">
    <w:name w:val="List Bullet 5"/>
    <w:basedOn w:val="Normal"/>
    <w:uiPriority w:val="99"/>
    <w:semiHidden/>
    <w:unhideWhenUsed/>
    <w:rsid w:val="00877EB3"/>
    <w:pPr>
      <w:numPr>
        <w:numId w:val="13"/>
      </w:numPr>
      <w:contextualSpacing/>
    </w:pPr>
  </w:style>
  <w:style w:type="paragraph" w:styleId="ListContinue">
    <w:name w:val="List Continue"/>
    <w:basedOn w:val="Normal"/>
    <w:uiPriority w:val="99"/>
    <w:semiHidden/>
    <w:unhideWhenUsed/>
    <w:rsid w:val="00877EB3"/>
    <w:pPr>
      <w:spacing w:after="120"/>
      <w:ind w:left="283"/>
      <w:contextualSpacing/>
    </w:pPr>
  </w:style>
  <w:style w:type="paragraph" w:styleId="ListContinue2">
    <w:name w:val="List Continue 2"/>
    <w:basedOn w:val="Normal"/>
    <w:uiPriority w:val="99"/>
    <w:semiHidden/>
    <w:unhideWhenUsed/>
    <w:rsid w:val="00877EB3"/>
    <w:pPr>
      <w:spacing w:after="120"/>
      <w:ind w:left="566"/>
      <w:contextualSpacing/>
    </w:pPr>
  </w:style>
  <w:style w:type="paragraph" w:styleId="ListContinue3">
    <w:name w:val="List Continue 3"/>
    <w:basedOn w:val="Normal"/>
    <w:uiPriority w:val="99"/>
    <w:semiHidden/>
    <w:unhideWhenUsed/>
    <w:rsid w:val="00877EB3"/>
    <w:pPr>
      <w:spacing w:after="120"/>
      <w:ind w:left="849"/>
      <w:contextualSpacing/>
    </w:pPr>
  </w:style>
  <w:style w:type="paragraph" w:styleId="ListContinue4">
    <w:name w:val="List Continue 4"/>
    <w:basedOn w:val="Normal"/>
    <w:uiPriority w:val="99"/>
    <w:semiHidden/>
    <w:unhideWhenUsed/>
    <w:rsid w:val="00877EB3"/>
    <w:pPr>
      <w:spacing w:after="120"/>
      <w:ind w:left="1132"/>
      <w:contextualSpacing/>
    </w:pPr>
  </w:style>
  <w:style w:type="paragraph" w:styleId="ListContinue5">
    <w:name w:val="List Continue 5"/>
    <w:basedOn w:val="Normal"/>
    <w:uiPriority w:val="99"/>
    <w:semiHidden/>
    <w:unhideWhenUsed/>
    <w:rsid w:val="00877EB3"/>
    <w:pPr>
      <w:spacing w:after="120"/>
      <w:ind w:left="1415"/>
      <w:contextualSpacing/>
    </w:pPr>
  </w:style>
  <w:style w:type="paragraph" w:styleId="ListNumber">
    <w:name w:val="List Number"/>
    <w:basedOn w:val="Normal"/>
    <w:uiPriority w:val="99"/>
    <w:semiHidden/>
    <w:unhideWhenUsed/>
    <w:rsid w:val="00877EB3"/>
    <w:pPr>
      <w:numPr>
        <w:numId w:val="14"/>
      </w:numPr>
      <w:contextualSpacing/>
    </w:pPr>
  </w:style>
  <w:style w:type="paragraph" w:styleId="ListNumber2">
    <w:name w:val="List Number 2"/>
    <w:basedOn w:val="Normal"/>
    <w:uiPriority w:val="99"/>
    <w:semiHidden/>
    <w:unhideWhenUsed/>
    <w:rsid w:val="00877EB3"/>
    <w:pPr>
      <w:numPr>
        <w:numId w:val="15"/>
      </w:numPr>
      <w:contextualSpacing/>
    </w:pPr>
  </w:style>
  <w:style w:type="paragraph" w:styleId="ListNumber3">
    <w:name w:val="List Number 3"/>
    <w:basedOn w:val="Normal"/>
    <w:uiPriority w:val="99"/>
    <w:semiHidden/>
    <w:unhideWhenUsed/>
    <w:rsid w:val="00877EB3"/>
    <w:pPr>
      <w:numPr>
        <w:numId w:val="16"/>
      </w:numPr>
      <w:contextualSpacing/>
    </w:pPr>
  </w:style>
  <w:style w:type="paragraph" w:styleId="ListNumber4">
    <w:name w:val="List Number 4"/>
    <w:basedOn w:val="Normal"/>
    <w:uiPriority w:val="99"/>
    <w:semiHidden/>
    <w:unhideWhenUsed/>
    <w:rsid w:val="00877EB3"/>
    <w:pPr>
      <w:numPr>
        <w:numId w:val="17"/>
      </w:numPr>
      <w:contextualSpacing/>
    </w:pPr>
  </w:style>
  <w:style w:type="paragraph" w:styleId="ListNumber5">
    <w:name w:val="List Number 5"/>
    <w:basedOn w:val="Normal"/>
    <w:uiPriority w:val="99"/>
    <w:semiHidden/>
    <w:unhideWhenUsed/>
    <w:rsid w:val="00877EB3"/>
    <w:pPr>
      <w:numPr>
        <w:numId w:val="18"/>
      </w:numPr>
      <w:contextualSpacing/>
    </w:pPr>
  </w:style>
  <w:style w:type="paragraph" w:styleId="MacroText">
    <w:name w:val="macro"/>
    <w:link w:val="MacroTextChar"/>
    <w:uiPriority w:val="99"/>
    <w:semiHidden/>
    <w:unhideWhenUsed/>
    <w:rsid w:val="00877EB3"/>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877EB3"/>
    <w:rPr>
      <w:rFonts w:ascii="Consolas" w:hAnsi="Consolas" w:cs="Consolas"/>
    </w:rPr>
  </w:style>
  <w:style w:type="paragraph" w:styleId="MessageHeader">
    <w:name w:val="Message Header"/>
    <w:basedOn w:val="Normal"/>
    <w:link w:val="MessageHeaderChar"/>
    <w:uiPriority w:val="99"/>
    <w:semiHidden/>
    <w:unhideWhenUsed/>
    <w:rsid w:val="00877EB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7EB3"/>
    <w:rPr>
      <w:rFonts w:asciiTheme="majorHAnsi" w:eastAsiaTheme="majorEastAsia" w:hAnsiTheme="majorHAnsi" w:cstheme="majorBidi"/>
      <w:sz w:val="24"/>
      <w:szCs w:val="24"/>
      <w:shd w:val="pct20" w:color="auto" w:fill="auto"/>
    </w:rPr>
  </w:style>
  <w:style w:type="paragraph" w:styleId="NoSpacing">
    <w:name w:val="No Spacing"/>
    <w:uiPriority w:val="1"/>
    <w:qFormat/>
    <w:rsid w:val="00877EB3"/>
    <w:rPr>
      <w:rFonts w:ascii="Arial" w:hAnsi="Arial"/>
    </w:rPr>
  </w:style>
  <w:style w:type="paragraph" w:styleId="NormalWeb">
    <w:name w:val="Normal (Web)"/>
    <w:basedOn w:val="Normal"/>
    <w:uiPriority w:val="99"/>
    <w:unhideWhenUsed/>
    <w:rsid w:val="00877EB3"/>
    <w:rPr>
      <w:rFonts w:ascii="Times New Roman" w:hAnsi="Times New Roman"/>
      <w:sz w:val="24"/>
      <w:szCs w:val="24"/>
    </w:rPr>
  </w:style>
  <w:style w:type="paragraph" w:styleId="NormalIndent">
    <w:name w:val="Normal Indent"/>
    <w:basedOn w:val="Normal"/>
    <w:uiPriority w:val="99"/>
    <w:semiHidden/>
    <w:unhideWhenUsed/>
    <w:rsid w:val="00877EB3"/>
    <w:pPr>
      <w:ind w:left="720"/>
    </w:pPr>
  </w:style>
  <w:style w:type="paragraph" w:styleId="NoteHeading">
    <w:name w:val="Note Heading"/>
    <w:basedOn w:val="Normal"/>
    <w:next w:val="Normal"/>
    <w:link w:val="NoteHeadingChar"/>
    <w:uiPriority w:val="99"/>
    <w:semiHidden/>
    <w:unhideWhenUsed/>
    <w:rsid w:val="00877EB3"/>
  </w:style>
  <w:style w:type="character" w:customStyle="1" w:styleId="NoteHeadingChar">
    <w:name w:val="Note Heading Char"/>
    <w:basedOn w:val="DefaultParagraphFont"/>
    <w:link w:val="NoteHeading"/>
    <w:uiPriority w:val="99"/>
    <w:semiHidden/>
    <w:rsid w:val="00877EB3"/>
    <w:rPr>
      <w:rFonts w:ascii="Arial" w:hAnsi="Arial"/>
    </w:rPr>
  </w:style>
  <w:style w:type="paragraph" w:styleId="PlainText">
    <w:name w:val="Plain Text"/>
    <w:basedOn w:val="Normal"/>
    <w:link w:val="PlainTextChar"/>
    <w:uiPriority w:val="99"/>
    <w:semiHidden/>
    <w:unhideWhenUsed/>
    <w:rsid w:val="00877EB3"/>
    <w:rPr>
      <w:rFonts w:ascii="Consolas" w:hAnsi="Consolas" w:cs="Consolas"/>
      <w:sz w:val="21"/>
      <w:szCs w:val="21"/>
    </w:rPr>
  </w:style>
  <w:style w:type="character" w:customStyle="1" w:styleId="PlainTextChar">
    <w:name w:val="Plain Text Char"/>
    <w:basedOn w:val="DefaultParagraphFont"/>
    <w:link w:val="PlainText"/>
    <w:uiPriority w:val="99"/>
    <w:semiHidden/>
    <w:rsid w:val="00877EB3"/>
    <w:rPr>
      <w:rFonts w:ascii="Consolas" w:hAnsi="Consolas" w:cs="Consolas"/>
      <w:sz w:val="21"/>
      <w:szCs w:val="21"/>
    </w:rPr>
  </w:style>
  <w:style w:type="paragraph" w:styleId="Quote">
    <w:name w:val="Quote"/>
    <w:basedOn w:val="Normal"/>
    <w:next w:val="Normal"/>
    <w:link w:val="QuoteChar"/>
    <w:uiPriority w:val="29"/>
    <w:qFormat/>
    <w:rsid w:val="00877E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7EB3"/>
    <w:rPr>
      <w:rFonts w:ascii="Arial" w:hAnsi="Arial"/>
      <w:i/>
      <w:iCs/>
      <w:color w:val="404040" w:themeColor="text1" w:themeTint="BF"/>
    </w:rPr>
  </w:style>
  <w:style w:type="paragraph" w:styleId="Salutation">
    <w:name w:val="Salutation"/>
    <w:basedOn w:val="Normal"/>
    <w:next w:val="Normal"/>
    <w:link w:val="SalutationChar"/>
    <w:uiPriority w:val="99"/>
    <w:semiHidden/>
    <w:unhideWhenUsed/>
    <w:rsid w:val="00877EB3"/>
  </w:style>
  <w:style w:type="character" w:customStyle="1" w:styleId="SalutationChar">
    <w:name w:val="Salutation Char"/>
    <w:basedOn w:val="DefaultParagraphFont"/>
    <w:link w:val="Salutation"/>
    <w:uiPriority w:val="99"/>
    <w:semiHidden/>
    <w:rsid w:val="00877EB3"/>
    <w:rPr>
      <w:rFonts w:ascii="Arial" w:hAnsi="Arial"/>
    </w:rPr>
  </w:style>
  <w:style w:type="paragraph" w:styleId="Signature">
    <w:name w:val="Signature"/>
    <w:basedOn w:val="Normal"/>
    <w:link w:val="SignatureChar"/>
    <w:uiPriority w:val="99"/>
    <w:semiHidden/>
    <w:unhideWhenUsed/>
    <w:rsid w:val="00877EB3"/>
    <w:pPr>
      <w:ind w:left="4252"/>
    </w:pPr>
  </w:style>
  <w:style w:type="character" w:customStyle="1" w:styleId="SignatureChar">
    <w:name w:val="Signature Char"/>
    <w:basedOn w:val="DefaultParagraphFont"/>
    <w:link w:val="Signature"/>
    <w:uiPriority w:val="99"/>
    <w:semiHidden/>
    <w:rsid w:val="00877EB3"/>
    <w:rPr>
      <w:rFonts w:ascii="Arial" w:hAnsi="Arial"/>
    </w:rPr>
  </w:style>
  <w:style w:type="paragraph" w:styleId="TOAHeading">
    <w:name w:val="toa heading"/>
    <w:basedOn w:val="Normal"/>
    <w:next w:val="Normal"/>
    <w:uiPriority w:val="99"/>
    <w:semiHidden/>
    <w:unhideWhenUsed/>
    <w:rsid w:val="00877EB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7EB3"/>
    <w:pPr>
      <w:spacing w:after="100"/>
    </w:pPr>
  </w:style>
  <w:style w:type="paragraph" w:styleId="TOC2">
    <w:name w:val="toc 2"/>
    <w:basedOn w:val="Normal"/>
    <w:next w:val="Normal"/>
    <w:autoRedefine/>
    <w:uiPriority w:val="39"/>
    <w:semiHidden/>
    <w:unhideWhenUsed/>
    <w:rsid w:val="00877EB3"/>
    <w:pPr>
      <w:spacing w:after="100"/>
      <w:ind w:left="200"/>
    </w:pPr>
  </w:style>
  <w:style w:type="paragraph" w:styleId="TOC3">
    <w:name w:val="toc 3"/>
    <w:basedOn w:val="Normal"/>
    <w:next w:val="Normal"/>
    <w:autoRedefine/>
    <w:uiPriority w:val="39"/>
    <w:semiHidden/>
    <w:unhideWhenUsed/>
    <w:rsid w:val="00877EB3"/>
    <w:pPr>
      <w:spacing w:after="100"/>
      <w:ind w:left="400"/>
    </w:pPr>
  </w:style>
  <w:style w:type="paragraph" w:styleId="TOC4">
    <w:name w:val="toc 4"/>
    <w:basedOn w:val="Normal"/>
    <w:next w:val="Normal"/>
    <w:autoRedefine/>
    <w:uiPriority w:val="39"/>
    <w:semiHidden/>
    <w:unhideWhenUsed/>
    <w:rsid w:val="00877EB3"/>
    <w:pPr>
      <w:spacing w:after="100"/>
      <w:ind w:left="600"/>
    </w:pPr>
  </w:style>
  <w:style w:type="paragraph" w:styleId="TOC5">
    <w:name w:val="toc 5"/>
    <w:basedOn w:val="Normal"/>
    <w:next w:val="Normal"/>
    <w:autoRedefine/>
    <w:uiPriority w:val="39"/>
    <w:semiHidden/>
    <w:unhideWhenUsed/>
    <w:rsid w:val="00877EB3"/>
    <w:pPr>
      <w:spacing w:after="100"/>
      <w:ind w:left="800"/>
    </w:pPr>
  </w:style>
  <w:style w:type="paragraph" w:styleId="TOC6">
    <w:name w:val="toc 6"/>
    <w:basedOn w:val="Normal"/>
    <w:next w:val="Normal"/>
    <w:autoRedefine/>
    <w:uiPriority w:val="39"/>
    <w:semiHidden/>
    <w:unhideWhenUsed/>
    <w:rsid w:val="00877EB3"/>
    <w:pPr>
      <w:spacing w:after="100"/>
      <w:ind w:left="1000"/>
    </w:pPr>
  </w:style>
  <w:style w:type="paragraph" w:styleId="TOC7">
    <w:name w:val="toc 7"/>
    <w:basedOn w:val="Normal"/>
    <w:next w:val="Normal"/>
    <w:autoRedefine/>
    <w:uiPriority w:val="39"/>
    <w:semiHidden/>
    <w:unhideWhenUsed/>
    <w:rsid w:val="00877EB3"/>
    <w:pPr>
      <w:spacing w:after="100"/>
      <w:ind w:left="1200"/>
    </w:pPr>
  </w:style>
  <w:style w:type="paragraph" w:styleId="TOC8">
    <w:name w:val="toc 8"/>
    <w:basedOn w:val="Normal"/>
    <w:next w:val="Normal"/>
    <w:autoRedefine/>
    <w:uiPriority w:val="39"/>
    <w:semiHidden/>
    <w:unhideWhenUsed/>
    <w:rsid w:val="00877EB3"/>
    <w:pPr>
      <w:spacing w:after="100"/>
      <w:ind w:left="1400"/>
    </w:pPr>
  </w:style>
  <w:style w:type="paragraph" w:styleId="TOC9">
    <w:name w:val="toc 9"/>
    <w:basedOn w:val="Normal"/>
    <w:next w:val="Normal"/>
    <w:autoRedefine/>
    <w:uiPriority w:val="39"/>
    <w:semiHidden/>
    <w:unhideWhenUsed/>
    <w:rsid w:val="00877EB3"/>
    <w:pPr>
      <w:spacing w:after="100"/>
      <w:ind w:left="1600"/>
    </w:pPr>
  </w:style>
  <w:style w:type="paragraph" w:styleId="TOCHeading">
    <w:name w:val="TOC Heading"/>
    <w:basedOn w:val="Heading1"/>
    <w:next w:val="Normal"/>
    <w:uiPriority w:val="39"/>
    <w:semiHidden/>
    <w:unhideWhenUsed/>
    <w:qFormat/>
    <w:rsid w:val="00877EB3"/>
    <w:pPr>
      <w:keepNext/>
      <w:keepLines/>
      <w:spacing w:after="0"/>
      <w:ind w:left="0" w:firstLine="0"/>
      <w:contextualSpacing w:val="0"/>
      <w:outlineLvl w:val="9"/>
    </w:pPr>
    <w:rPr>
      <w:rFonts w:asciiTheme="majorHAnsi" w:eastAsiaTheme="majorEastAsia" w:hAnsiTheme="majorHAnsi" w:cstheme="majorBidi"/>
      <w:b w:val="0"/>
      <w:caps w:val="0"/>
      <w:color w:val="2F5496" w:themeColor="accent1" w:themeShade="BF"/>
      <w:sz w:val="32"/>
      <w:szCs w:val="32"/>
    </w:rPr>
  </w:style>
  <w:style w:type="paragraph" w:customStyle="1" w:styleId="BlackTriangle">
    <w:name w:val="Black Triangle"/>
    <w:basedOn w:val="Normal"/>
    <w:qFormat/>
    <w:rsid w:val="003E7F03"/>
    <w:rPr>
      <w:rFonts w:ascii="SimSun" w:eastAsia="SimSun" w:hAnsi="SimSun" w:cs="Arial"/>
      <w:sz w:val="40"/>
    </w:rPr>
  </w:style>
  <w:style w:type="paragraph" w:customStyle="1" w:styleId="BlackTriangletext">
    <w:name w:val="Black Triangle text"/>
    <w:basedOn w:val="Normal"/>
    <w:qFormat/>
    <w:rsid w:val="003E7F03"/>
    <w:pPr>
      <w:tabs>
        <w:tab w:val="left" w:pos="284"/>
      </w:tabs>
      <w:spacing w:after="600"/>
    </w:pPr>
    <w:rPr>
      <w:rFonts w:cs="Arial"/>
      <w:szCs w:val="24"/>
    </w:rPr>
  </w:style>
  <w:style w:type="character" w:styleId="UnresolvedMention">
    <w:name w:val="Unresolved Mention"/>
    <w:basedOn w:val="DefaultParagraphFont"/>
    <w:uiPriority w:val="99"/>
    <w:semiHidden/>
    <w:unhideWhenUsed/>
    <w:rsid w:val="00DA16BC"/>
    <w:rPr>
      <w:color w:val="605E5C"/>
      <w:shd w:val="clear" w:color="auto" w:fill="E1DFDD"/>
    </w:rPr>
  </w:style>
  <w:style w:type="character" w:styleId="FootnoteReference">
    <w:name w:val="footnote reference"/>
    <w:basedOn w:val="DefaultParagraphFont"/>
    <w:uiPriority w:val="99"/>
    <w:semiHidden/>
    <w:unhideWhenUsed/>
    <w:rsid w:val="00F36D28"/>
    <w:rPr>
      <w:vertAlign w:val="superscript"/>
    </w:rPr>
  </w:style>
  <w:style w:type="paragraph" w:styleId="Revision">
    <w:name w:val="Revision"/>
    <w:hidden/>
    <w:uiPriority w:val="99"/>
    <w:semiHidden/>
    <w:rsid w:val="00285375"/>
    <w:rPr>
      <w:rFonts w:ascii="Arial Narrow" w:hAnsi="Arial Narro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30213">
      <w:bodyDiv w:val="1"/>
      <w:marLeft w:val="0"/>
      <w:marRight w:val="0"/>
      <w:marTop w:val="0"/>
      <w:marBottom w:val="0"/>
      <w:divBdr>
        <w:top w:val="none" w:sz="0" w:space="0" w:color="auto"/>
        <w:left w:val="none" w:sz="0" w:space="0" w:color="auto"/>
        <w:bottom w:val="none" w:sz="0" w:space="0" w:color="auto"/>
        <w:right w:val="none" w:sz="0" w:space="0" w:color="auto"/>
      </w:divBdr>
    </w:div>
    <w:div w:id="251741731">
      <w:bodyDiv w:val="1"/>
      <w:marLeft w:val="0"/>
      <w:marRight w:val="0"/>
      <w:marTop w:val="0"/>
      <w:marBottom w:val="0"/>
      <w:divBdr>
        <w:top w:val="none" w:sz="0" w:space="0" w:color="auto"/>
        <w:left w:val="none" w:sz="0" w:space="0" w:color="auto"/>
        <w:bottom w:val="none" w:sz="0" w:space="0" w:color="auto"/>
        <w:right w:val="none" w:sz="0" w:space="0" w:color="auto"/>
      </w:divBdr>
    </w:div>
    <w:div w:id="278727114">
      <w:bodyDiv w:val="1"/>
      <w:marLeft w:val="0"/>
      <w:marRight w:val="0"/>
      <w:marTop w:val="0"/>
      <w:marBottom w:val="0"/>
      <w:divBdr>
        <w:top w:val="none" w:sz="0" w:space="0" w:color="auto"/>
        <w:left w:val="none" w:sz="0" w:space="0" w:color="auto"/>
        <w:bottom w:val="none" w:sz="0" w:space="0" w:color="auto"/>
        <w:right w:val="none" w:sz="0" w:space="0" w:color="auto"/>
      </w:divBdr>
    </w:div>
    <w:div w:id="475071945">
      <w:bodyDiv w:val="1"/>
      <w:marLeft w:val="0"/>
      <w:marRight w:val="0"/>
      <w:marTop w:val="0"/>
      <w:marBottom w:val="0"/>
      <w:divBdr>
        <w:top w:val="none" w:sz="0" w:space="0" w:color="auto"/>
        <w:left w:val="none" w:sz="0" w:space="0" w:color="auto"/>
        <w:bottom w:val="none" w:sz="0" w:space="0" w:color="auto"/>
        <w:right w:val="none" w:sz="0" w:space="0" w:color="auto"/>
      </w:divBdr>
    </w:div>
    <w:div w:id="494423729">
      <w:bodyDiv w:val="1"/>
      <w:marLeft w:val="0"/>
      <w:marRight w:val="0"/>
      <w:marTop w:val="0"/>
      <w:marBottom w:val="0"/>
      <w:divBdr>
        <w:top w:val="none" w:sz="0" w:space="0" w:color="auto"/>
        <w:left w:val="none" w:sz="0" w:space="0" w:color="auto"/>
        <w:bottom w:val="none" w:sz="0" w:space="0" w:color="auto"/>
        <w:right w:val="none" w:sz="0" w:space="0" w:color="auto"/>
      </w:divBdr>
    </w:div>
    <w:div w:id="590506722">
      <w:bodyDiv w:val="1"/>
      <w:marLeft w:val="0"/>
      <w:marRight w:val="0"/>
      <w:marTop w:val="0"/>
      <w:marBottom w:val="0"/>
      <w:divBdr>
        <w:top w:val="none" w:sz="0" w:space="0" w:color="auto"/>
        <w:left w:val="none" w:sz="0" w:space="0" w:color="auto"/>
        <w:bottom w:val="none" w:sz="0" w:space="0" w:color="auto"/>
        <w:right w:val="none" w:sz="0" w:space="0" w:color="auto"/>
      </w:divBdr>
    </w:div>
    <w:div w:id="825127887">
      <w:bodyDiv w:val="1"/>
      <w:marLeft w:val="0"/>
      <w:marRight w:val="0"/>
      <w:marTop w:val="0"/>
      <w:marBottom w:val="0"/>
      <w:divBdr>
        <w:top w:val="none" w:sz="0" w:space="0" w:color="auto"/>
        <w:left w:val="none" w:sz="0" w:space="0" w:color="auto"/>
        <w:bottom w:val="none" w:sz="0" w:space="0" w:color="auto"/>
        <w:right w:val="none" w:sz="0" w:space="0" w:color="auto"/>
      </w:divBdr>
    </w:div>
    <w:div w:id="863252572">
      <w:bodyDiv w:val="1"/>
      <w:marLeft w:val="0"/>
      <w:marRight w:val="0"/>
      <w:marTop w:val="0"/>
      <w:marBottom w:val="0"/>
      <w:divBdr>
        <w:top w:val="none" w:sz="0" w:space="0" w:color="auto"/>
        <w:left w:val="none" w:sz="0" w:space="0" w:color="auto"/>
        <w:bottom w:val="none" w:sz="0" w:space="0" w:color="auto"/>
        <w:right w:val="none" w:sz="0" w:space="0" w:color="auto"/>
      </w:divBdr>
    </w:div>
    <w:div w:id="1390953882">
      <w:bodyDiv w:val="1"/>
      <w:marLeft w:val="0"/>
      <w:marRight w:val="0"/>
      <w:marTop w:val="0"/>
      <w:marBottom w:val="0"/>
      <w:divBdr>
        <w:top w:val="none" w:sz="0" w:space="0" w:color="auto"/>
        <w:left w:val="none" w:sz="0" w:space="0" w:color="auto"/>
        <w:bottom w:val="none" w:sz="0" w:space="0" w:color="auto"/>
        <w:right w:val="none" w:sz="0" w:space="0" w:color="auto"/>
      </w:divBdr>
    </w:div>
    <w:div w:id="1593049279">
      <w:bodyDiv w:val="1"/>
      <w:marLeft w:val="0"/>
      <w:marRight w:val="0"/>
      <w:marTop w:val="0"/>
      <w:marBottom w:val="0"/>
      <w:divBdr>
        <w:top w:val="none" w:sz="0" w:space="0" w:color="auto"/>
        <w:left w:val="none" w:sz="0" w:space="0" w:color="auto"/>
        <w:bottom w:val="none" w:sz="0" w:space="0" w:color="auto"/>
        <w:right w:val="none" w:sz="0" w:space="0" w:color="auto"/>
      </w:divBdr>
      <w:divsChild>
        <w:div w:id="1320303562">
          <w:marLeft w:val="240"/>
          <w:marRight w:val="0"/>
          <w:marTop w:val="0"/>
          <w:marBottom w:val="0"/>
          <w:divBdr>
            <w:top w:val="none" w:sz="0" w:space="0" w:color="auto"/>
            <w:left w:val="none" w:sz="0" w:space="0" w:color="auto"/>
            <w:bottom w:val="none" w:sz="0" w:space="0" w:color="auto"/>
            <w:right w:val="none" w:sz="0" w:space="0" w:color="auto"/>
          </w:divBdr>
        </w:div>
      </w:divsChild>
    </w:div>
    <w:div w:id="1811551591">
      <w:bodyDiv w:val="1"/>
      <w:marLeft w:val="0"/>
      <w:marRight w:val="0"/>
      <w:marTop w:val="0"/>
      <w:marBottom w:val="0"/>
      <w:divBdr>
        <w:top w:val="none" w:sz="0" w:space="0" w:color="auto"/>
        <w:left w:val="none" w:sz="0" w:space="0" w:color="auto"/>
        <w:bottom w:val="none" w:sz="0" w:space="0" w:color="auto"/>
        <w:right w:val="none" w:sz="0" w:space="0" w:color="auto"/>
      </w:divBdr>
    </w:div>
    <w:div w:id="1887132748">
      <w:bodyDiv w:val="1"/>
      <w:marLeft w:val="0"/>
      <w:marRight w:val="0"/>
      <w:marTop w:val="0"/>
      <w:marBottom w:val="0"/>
      <w:divBdr>
        <w:top w:val="none" w:sz="0" w:space="0" w:color="auto"/>
        <w:left w:val="none" w:sz="0" w:space="0" w:color="auto"/>
        <w:bottom w:val="none" w:sz="0" w:space="0" w:color="auto"/>
        <w:right w:val="none" w:sz="0" w:space="0" w:color="auto"/>
      </w:divBdr>
      <w:divsChild>
        <w:div w:id="1268662987">
          <w:marLeft w:val="240"/>
          <w:marRight w:val="0"/>
          <w:marTop w:val="0"/>
          <w:marBottom w:val="0"/>
          <w:divBdr>
            <w:top w:val="none" w:sz="0" w:space="0" w:color="auto"/>
            <w:left w:val="none" w:sz="0" w:space="0" w:color="auto"/>
            <w:bottom w:val="none" w:sz="0" w:space="0" w:color="auto"/>
            <w:right w:val="none" w:sz="0" w:space="0" w:color="auto"/>
          </w:divBdr>
        </w:div>
      </w:divsChild>
    </w:div>
    <w:div w:id="1922254043">
      <w:bodyDiv w:val="1"/>
      <w:marLeft w:val="0"/>
      <w:marRight w:val="0"/>
      <w:marTop w:val="0"/>
      <w:marBottom w:val="0"/>
      <w:divBdr>
        <w:top w:val="none" w:sz="0" w:space="0" w:color="auto"/>
        <w:left w:val="none" w:sz="0" w:space="0" w:color="auto"/>
        <w:bottom w:val="none" w:sz="0" w:space="0" w:color="auto"/>
        <w:right w:val="none" w:sz="0" w:space="0" w:color="auto"/>
      </w:divBdr>
    </w:div>
    <w:div w:id="208976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reporting-proble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6B1DB8769D7E4580691F770C3A2A7E" ma:contentTypeVersion="6" ma:contentTypeDescription="Create a new document." ma:contentTypeScope="" ma:versionID="5d65ebc8c3b29e0456a5c401a2a3c23e">
  <xsd:schema xmlns:xsd="http://www.w3.org/2001/XMLSchema" xmlns:xs="http://www.w3.org/2001/XMLSchema" xmlns:p="http://schemas.microsoft.com/office/2006/metadata/properties" xmlns:ns2="70dcbce9-429c-44f1-acf3-c22a8baca527" xmlns:ns3="8b4691aa-ebd3-4af9-afb1-74e3cd805171" targetNamespace="http://schemas.microsoft.com/office/2006/metadata/properties" ma:root="true" ma:fieldsID="c1a0c0b66c3128f95378d5bca60d0499" ns2:_="" ns3:_="">
    <xsd:import namespace="70dcbce9-429c-44f1-acf3-c22a8baca527"/>
    <xsd:import namespace="8b4691aa-ebd3-4af9-afb1-74e3cd8051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cbce9-429c-44f1-acf3-c22a8baca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4691aa-ebd3-4af9-afb1-74e3cd8051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5189D-0BB3-496C-82E9-D283C1F1BBA1}">
  <ds:schemaRefs>
    <ds:schemaRef ds:uri="http://schemas.microsoft.com/sharepoint/v3/contenttype/forms"/>
  </ds:schemaRefs>
</ds:datastoreItem>
</file>

<file path=customXml/itemProps2.xml><?xml version="1.0" encoding="utf-8"?>
<ds:datastoreItem xmlns:ds="http://schemas.openxmlformats.org/officeDocument/2006/customXml" ds:itemID="{258EF071-3D7B-4E4F-B23F-4604D4B155FD}">
  <ds:schemaRefs>
    <ds:schemaRef ds:uri="http://schemas.openxmlformats.org/officeDocument/2006/bibliography"/>
  </ds:schemaRefs>
</ds:datastoreItem>
</file>

<file path=customXml/itemProps3.xml><?xml version="1.0" encoding="utf-8"?>
<ds:datastoreItem xmlns:ds="http://schemas.openxmlformats.org/officeDocument/2006/customXml" ds:itemID="{B158C2F8-489F-49A4-A39A-A88B49C2F8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536953-7F22-467F-B0FC-2EB0304D9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cbce9-429c-44f1-acf3-c22a8baca527"/>
    <ds:schemaRef ds:uri="8b4691aa-ebd3-4af9-afb1-74e3cd805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4290</Words>
  <Characters>27036</Characters>
  <Application>Microsoft Office Word</Application>
  <DocSecurity>0</DocSecurity>
  <Lines>500</Lines>
  <Paragraphs>248</Paragraphs>
  <ScaleCrop>false</ScaleCrop>
  <HeadingPairs>
    <vt:vector size="2" baseType="variant">
      <vt:variant>
        <vt:lpstr>Title</vt:lpstr>
      </vt:variant>
      <vt:variant>
        <vt:i4>1</vt:i4>
      </vt:variant>
    </vt:vector>
  </HeadingPairs>
  <TitlesOfParts>
    <vt:vector size="1" baseType="lpstr">
      <vt:lpstr/>
    </vt:vector>
  </TitlesOfParts>
  <Company>AA-Med Pty Ltd</Company>
  <LinksUpToDate>false</LinksUpToDate>
  <CharactersWithSpaces>31078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Vazkepa </dc:title>
  <dc:subject>prescription medicines</dc:subject>
  <dc:creator>AA-Med Pty Ltd</dc:creator>
  <cp:keywords/>
  <dc:description/>
  <cp:lastModifiedBy>LACK, Janet</cp:lastModifiedBy>
  <cp:revision>3</cp:revision>
  <cp:lastPrinted>2017-10-05T01:11:00Z</cp:lastPrinted>
  <dcterms:created xsi:type="dcterms:W3CDTF">2023-09-13T05:24:00Z</dcterms:created>
  <dcterms:modified xsi:type="dcterms:W3CDTF">2023-09-13T05:28:00Z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dddc05-6d75-4c89-ae8a-b8ab1a1994bc_Enabled">
    <vt:lpwstr>true</vt:lpwstr>
  </property>
  <property fmtid="{D5CDD505-2E9C-101B-9397-08002B2CF9AE}" pid="3" name="MSIP_Label_6ddddc05-6d75-4c89-ae8a-b8ab1a1994bc_SetDate">
    <vt:lpwstr>2021-11-17T21:12:15Z</vt:lpwstr>
  </property>
  <property fmtid="{D5CDD505-2E9C-101B-9397-08002B2CF9AE}" pid="4" name="MSIP_Label_6ddddc05-6d75-4c89-ae8a-b8ab1a1994bc_Method">
    <vt:lpwstr>Standard</vt:lpwstr>
  </property>
  <property fmtid="{D5CDD505-2E9C-101B-9397-08002B2CF9AE}" pid="5" name="MSIP_Label_6ddddc05-6d75-4c89-ae8a-b8ab1a1994bc_Name">
    <vt:lpwstr>without watermark</vt:lpwstr>
  </property>
  <property fmtid="{D5CDD505-2E9C-101B-9397-08002B2CF9AE}" pid="6" name="MSIP_Label_6ddddc05-6d75-4c89-ae8a-b8ab1a1994bc_SiteId">
    <vt:lpwstr>ff9ac3ce-3c41-41c3-b556-e1b32a662fed</vt:lpwstr>
  </property>
  <property fmtid="{D5CDD505-2E9C-101B-9397-08002B2CF9AE}" pid="7" name="MSIP_Label_6ddddc05-6d75-4c89-ae8a-b8ab1a1994bc_ActionId">
    <vt:lpwstr>4e16cc90-6032-4e44-9a04-82292a3aa040</vt:lpwstr>
  </property>
  <property fmtid="{D5CDD505-2E9C-101B-9397-08002B2CF9AE}" pid="8" name="MSIP_Label_6ddddc05-6d75-4c89-ae8a-b8ab1a1994bc_ContentBits">
    <vt:lpwstr>0</vt:lpwstr>
  </property>
  <property fmtid="{D5CDD505-2E9C-101B-9397-08002B2CF9AE}" pid="9" name="ContentTypeId">
    <vt:lpwstr>0x010100CA6B1DB8769D7E4580691F770C3A2A7E</vt:lpwstr>
  </property>
</Properties>
</file>