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A69F2" w14:textId="77777777" w:rsidR="00C1685F" w:rsidRPr="00003D6E" w:rsidRDefault="00C7072D" w:rsidP="002821AB">
      <w:pPr>
        <w:spacing w:after="0" w:line="495" w:lineRule="exact"/>
        <w:ind w:left="120" w:right="-20"/>
        <w:rPr>
          <w:rFonts w:eastAsia="Times New Roman" w:cs="Times New Roman"/>
        </w:rPr>
      </w:pPr>
      <w:r w:rsidRPr="00003D6E">
        <w:rPr>
          <w:rFonts w:ascii="SimSun" w:eastAsia="SimSun" w:hAnsi="SimSun" w:cs="SimSun"/>
          <w:spacing w:val="-4"/>
          <w:position w:val="-4"/>
          <w:sz w:val="40"/>
          <w:szCs w:val="40"/>
        </w:rPr>
        <w:t>▼</w:t>
      </w:r>
      <w:r w:rsidRPr="00003D6E">
        <w:rPr>
          <w:rFonts w:eastAsia="Times New Roman" w:cs="Times New Roman"/>
          <w:position w:val="-3"/>
        </w:rPr>
        <w:t>T</w:t>
      </w:r>
      <w:r w:rsidRPr="00003D6E">
        <w:rPr>
          <w:rFonts w:eastAsia="Times New Roman" w:cs="Times New Roman"/>
          <w:spacing w:val="1"/>
          <w:position w:val="-3"/>
        </w:rPr>
        <w:t>h</w:t>
      </w:r>
      <w:r w:rsidRPr="00003D6E">
        <w:rPr>
          <w:rFonts w:eastAsia="Times New Roman" w:cs="Times New Roman"/>
          <w:position w:val="-3"/>
        </w:rPr>
        <w:t>is</w:t>
      </w:r>
      <w:r w:rsidRPr="00003D6E">
        <w:rPr>
          <w:rFonts w:eastAsia="Times New Roman" w:cs="Times New Roman"/>
          <w:spacing w:val="-8"/>
          <w:position w:val="-3"/>
        </w:rPr>
        <w:t xml:space="preserve"> </w:t>
      </w:r>
      <w:r w:rsidRPr="00003D6E">
        <w:rPr>
          <w:rFonts w:eastAsia="Times New Roman" w:cs="Times New Roman"/>
          <w:position w:val="-3"/>
        </w:rPr>
        <w:t>me</w:t>
      </w:r>
      <w:r w:rsidRPr="00003D6E">
        <w:rPr>
          <w:rFonts w:eastAsia="Times New Roman" w:cs="Times New Roman"/>
          <w:spacing w:val="1"/>
          <w:position w:val="-3"/>
        </w:rPr>
        <w:t>d</w:t>
      </w:r>
      <w:r w:rsidRPr="00003D6E">
        <w:rPr>
          <w:rFonts w:eastAsia="Times New Roman" w:cs="Times New Roman"/>
          <w:position w:val="-3"/>
        </w:rPr>
        <w:t>ici</w:t>
      </w:r>
      <w:r w:rsidRPr="00003D6E">
        <w:rPr>
          <w:rFonts w:eastAsia="Times New Roman" w:cs="Times New Roman"/>
          <w:spacing w:val="1"/>
          <w:position w:val="-3"/>
        </w:rPr>
        <w:t>n</w:t>
      </w:r>
      <w:r w:rsidRPr="00003D6E">
        <w:rPr>
          <w:rFonts w:eastAsia="Times New Roman" w:cs="Times New Roman"/>
          <w:position w:val="-3"/>
        </w:rPr>
        <w:t>al</w:t>
      </w:r>
      <w:r w:rsidRPr="00003D6E">
        <w:rPr>
          <w:rFonts w:eastAsia="Times New Roman" w:cs="Times New Roman"/>
          <w:spacing w:val="-9"/>
          <w:position w:val="-3"/>
        </w:rPr>
        <w:t xml:space="preserve"> </w:t>
      </w:r>
      <w:r w:rsidRPr="00003D6E">
        <w:rPr>
          <w:rFonts w:eastAsia="Times New Roman" w:cs="Times New Roman"/>
          <w:spacing w:val="1"/>
          <w:position w:val="-3"/>
        </w:rPr>
        <w:t>p</w:t>
      </w:r>
      <w:r w:rsidRPr="00003D6E">
        <w:rPr>
          <w:rFonts w:eastAsia="Times New Roman" w:cs="Times New Roman"/>
          <w:position w:val="-3"/>
        </w:rPr>
        <w:t>r</w:t>
      </w:r>
      <w:r w:rsidRPr="00003D6E">
        <w:rPr>
          <w:rFonts w:eastAsia="Times New Roman" w:cs="Times New Roman"/>
          <w:spacing w:val="1"/>
          <w:position w:val="-3"/>
        </w:rPr>
        <w:t>odu</w:t>
      </w:r>
      <w:r w:rsidRPr="00003D6E">
        <w:rPr>
          <w:rFonts w:eastAsia="Times New Roman" w:cs="Times New Roman"/>
          <w:position w:val="-3"/>
        </w:rPr>
        <w:t>ct</w:t>
      </w:r>
      <w:r w:rsidRPr="00003D6E">
        <w:rPr>
          <w:rFonts w:eastAsia="Times New Roman" w:cs="Times New Roman"/>
          <w:spacing w:val="-7"/>
          <w:position w:val="-3"/>
        </w:rPr>
        <w:t xml:space="preserve"> </w:t>
      </w:r>
      <w:r w:rsidRPr="00003D6E">
        <w:rPr>
          <w:rFonts w:eastAsia="Times New Roman" w:cs="Times New Roman"/>
          <w:position w:val="-3"/>
        </w:rPr>
        <w:t>is</w:t>
      </w:r>
      <w:r w:rsidRPr="00003D6E">
        <w:rPr>
          <w:rFonts w:eastAsia="Times New Roman" w:cs="Times New Roman"/>
          <w:spacing w:val="-1"/>
          <w:position w:val="-3"/>
        </w:rPr>
        <w:t xml:space="preserve"> s</w:t>
      </w:r>
      <w:r w:rsidRPr="00003D6E">
        <w:rPr>
          <w:rFonts w:eastAsia="Times New Roman" w:cs="Times New Roman"/>
          <w:spacing w:val="1"/>
          <w:position w:val="-3"/>
        </w:rPr>
        <w:t>ub</w:t>
      </w:r>
      <w:r w:rsidRPr="00003D6E">
        <w:rPr>
          <w:rFonts w:eastAsia="Times New Roman" w:cs="Times New Roman"/>
          <w:position w:val="-3"/>
        </w:rPr>
        <w:t>ject</w:t>
      </w:r>
      <w:r w:rsidRPr="00003D6E">
        <w:rPr>
          <w:rFonts w:eastAsia="Times New Roman" w:cs="Times New Roman"/>
          <w:spacing w:val="-6"/>
          <w:position w:val="-3"/>
        </w:rPr>
        <w:t xml:space="preserve"> </w:t>
      </w:r>
      <w:r w:rsidRPr="00003D6E">
        <w:rPr>
          <w:rFonts w:eastAsia="Times New Roman" w:cs="Times New Roman"/>
          <w:position w:val="-3"/>
        </w:rPr>
        <w:t>to</w:t>
      </w:r>
      <w:r w:rsidRPr="00003D6E">
        <w:rPr>
          <w:rFonts w:eastAsia="Times New Roman" w:cs="Times New Roman"/>
          <w:spacing w:val="-1"/>
          <w:position w:val="-3"/>
        </w:rPr>
        <w:t xml:space="preserve"> </w:t>
      </w:r>
      <w:r w:rsidRPr="00003D6E">
        <w:rPr>
          <w:rFonts w:eastAsia="Times New Roman" w:cs="Times New Roman"/>
          <w:position w:val="-3"/>
        </w:rPr>
        <w:t>a</w:t>
      </w:r>
      <w:r w:rsidRPr="00003D6E">
        <w:rPr>
          <w:rFonts w:eastAsia="Times New Roman" w:cs="Times New Roman"/>
          <w:spacing w:val="1"/>
          <w:position w:val="-3"/>
        </w:rPr>
        <w:t>dd</w:t>
      </w:r>
      <w:r w:rsidRPr="00003D6E">
        <w:rPr>
          <w:rFonts w:eastAsia="Times New Roman" w:cs="Times New Roman"/>
          <w:spacing w:val="-1"/>
          <w:position w:val="-3"/>
        </w:rPr>
        <w:t>i</w:t>
      </w:r>
      <w:r w:rsidRPr="00003D6E">
        <w:rPr>
          <w:rFonts w:eastAsia="Times New Roman" w:cs="Times New Roman"/>
          <w:position w:val="-3"/>
        </w:rPr>
        <w:t>ti</w:t>
      </w:r>
      <w:r w:rsidRPr="00003D6E">
        <w:rPr>
          <w:rFonts w:eastAsia="Times New Roman" w:cs="Times New Roman"/>
          <w:spacing w:val="1"/>
          <w:position w:val="-3"/>
        </w:rPr>
        <w:t>on</w:t>
      </w:r>
      <w:r w:rsidRPr="00003D6E">
        <w:rPr>
          <w:rFonts w:eastAsia="Times New Roman" w:cs="Times New Roman"/>
          <w:position w:val="-3"/>
        </w:rPr>
        <w:t>al</w:t>
      </w:r>
      <w:r w:rsidRPr="00003D6E">
        <w:rPr>
          <w:rFonts w:eastAsia="Times New Roman" w:cs="Times New Roman"/>
          <w:spacing w:val="-9"/>
          <w:position w:val="-3"/>
        </w:rPr>
        <w:t xml:space="preserve"> </w:t>
      </w:r>
      <w:r w:rsidRPr="00003D6E">
        <w:rPr>
          <w:rFonts w:eastAsia="Times New Roman" w:cs="Times New Roman"/>
          <w:spacing w:val="-2"/>
          <w:position w:val="-3"/>
        </w:rPr>
        <w:t>m</w:t>
      </w:r>
      <w:r w:rsidRPr="00003D6E">
        <w:rPr>
          <w:rFonts w:eastAsia="Times New Roman" w:cs="Times New Roman"/>
          <w:spacing w:val="1"/>
          <w:position w:val="-3"/>
        </w:rPr>
        <w:t>on</w:t>
      </w:r>
      <w:r w:rsidRPr="00003D6E">
        <w:rPr>
          <w:rFonts w:eastAsia="Times New Roman" w:cs="Times New Roman"/>
          <w:position w:val="-3"/>
        </w:rPr>
        <w:t>it</w:t>
      </w:r>
      <w:r w:rsidRPr="00003D6E">
        <w:rPr>
          <w:rFonts w:eastAsia="Times New Roman" w:cs="Times New Roman"/>
          <w:spacing w:val="1"/>
          <w:position w:val="-3"/>
        </w:rPr>
        <w:t>o</w:t>
      </w:r>
      <w:r w:rsidRPr="00003D6E">
        <w:rPr>
          <w:rFonts w:eastAsia="Times New Roman" w:cs="Times New Roman"/>
          <w:position w:val="-3"/>
        </w:rPr>
        <w:t>ri</w:t>
      </w:r>
      <w:r w:rsidRPr="00003D6E">
        <w:rPr>
          <w:rFonts w:eastAsia="Times New Roman" w:cs="Times New Roman"/>
          <w:spacing w:val="1"/>
          <w:position w:val="-3"/>
        </w:rPr>
        <w:t>n</w:t>
      </w:r>
      <w:r w:rsidRPr="00003D6E">
        <w:rPr>
          <w:rFonts w:eastAsia="Times New Roman" w:cs="Times New Roman"/>
          <w:position w:val="-3"/>
        </w:rPr>
        <w:t>g</w:t>
      </w:r>
      <w:r w:rsidRPr="00003D6E">
        <w:rPr>
          <w:rFonts w:eastAsia="Times New Roman" w:cs="Times New Roman"/>
          <w:spacing w:val="-9"/>
          <w:position w:val="-3"/>
        </w:rPr>
        <w:t xml:space="preserve"> </w:t>
      </w:r>
      <w:r w:rsidRPr="00003D6E">
        <w:rPr>
          <w:rFonts w:eastAsia="Times New Roman" w:cs="Times New Roman"/>
          <w:position w:val="-3"/>
        </w:rPr>
        <w:t>in</w:t>
      </w:r>
      <w:r w:rsidRPr="00003D6E">
        <w:rPr>
          <w:rFonts w:eastAsia="Times New Roman" w:cs="Times New Roman"/>
          <w:spacing w:val="-1"/>
          <w:position w:val="-3"/>
        </w:rPr>
        <w:t xml:space="preserve"> </w:t>
      </w:r>
      <w:r w:rsidRPr="00003D6E">
        <w:rPr>
          <w:rFonts w:eastAsia="Times New Roman" w:cs="Times New Roman"/>
          <w:position w:val="-3"/>
        </w:rPr>
        <w:t>A</w:t>
      </w:r>
      <w:r w:rsidRPr="00003D6E">
        <w:rPr>
          <w:rFonts w:eastAsia="Times New Roman" w:cs="Times New Roman"/>
          <w:spacing w:val="1"/>
          <w:position w:val="-3"/>
        </w:rPr>
        <w:t>u</w:t>
      </w:r>
      <w:r w:rsidRPr="00003D6E">
        <w:rPr>
          <w:rFonts w:eastAsia="Times New Roman" w:cs="Times New Roman"/>
          <w:position w:val="-3"/>
        </w:rPr>
        <w:t>str</w:t>
      </w:r>
      <w:r w:rsidRPr="00003D6E">
        <w:rPr>
          <w:rFonts w:eastAsia="Times New Roman" w:cs="Times New Roman"/>
          <w:spacing w:val="-1"/>
          <w:position w:val="-3"/>
        </w:rPr>
        <w:t>a</w:t>
      </w:r>
      <w:r w:rsidRPr="00003D6E">
        <w:rPr>
          <w:rFonts w:eastAsia="Times New Roman" w:cs="Times New Roman"/>
          <w:position w:val="-3"/>
        </w:rPr>
        <w:t>lia.</w:t>
      </w:r>
      <w:r w:rsidRPr="00003D6E">
        <w:rPr>
          <w:rFonts w:eastAsia="Times New Roman" w:cs="Times New Roman"/>
          <w:spacing w:val="46"/>
          <w:position w:val="-3"/>
        </w:rPr>
        <w:t xml:space="preserve"> </w:t>
      </w:r>
      <w:r w:rsidRPr="00003D6E">
        <w:rPr>
          <w:rFonts w:eastAsia="Times New Roman" w:cs="Times New Roman"/>
          <w:position w:val="-3"/>
        </w:rPr>
        <w:t>T</w:t>
      </w:r>
      <w:r w:rsidRPr="00003D6E">
        <w:rPr>
          <w:rFonts w:eastAsia="Times New Roman" w:cs="Times New Roman"/>
          <w:spacing w:val="1"/>
          <w:position w:val="-3"/>
        </w:rPr>
        <w:t>h</w:t>
      </w:r>
      <w:r w:rsidRPr="00003D6E">
        <w:rPr>
          <w:rFonts w:eastAsia="Times New Roman" w:cs="Times New Roman"/>
          <w:position w:val="-3"/>
        </w:rPr>
        <w:t>is</w:t>
      </w:r>
      <w:r w:rsidRPr="00003D6E">
        <w:rPr>
          <w:rFonts w:eastAsia="Times New Roman" w:cs="Times New Roman"/>
          <w:spacing w:val="-4"/>
          <w:position w:val="-3"/>
        </w:rPr>
        <w:t xml:space="preserve"> </w:t>
      </w:r>
      <w:r w:rsidRPr="00003D6E">
        <w:rPr>
          <w:rFonts w:eastAsia="Times New Roman" w:cs="Times New Roman"/>
          <w:position w:val="-3"/>
        </w:rPr>
        <w:t>will</w:t>
      </w:r>
      <w:r w:rsidRPr="00003D6E">
        <w:rPr>
          <w:rFonts w:eastAsia="Times New Roman" w:cs="Times New Roman"/>
          <w:spacing w:val="-3"/>
          <w:position w:val="-3"/>
        </w:rPr>
        <w:t xml:space="preserve"> </w:t>
      </w:r>
      <w:r w:rsidRPr="00003D6E">
        <w:rPr>
          <w:rFonts w:eastAsia="Times New Roman" w:cs="Times New Roman"/>
          <w:position w:val="-3"/>
        </w:rPr>
        <w:t>all</w:t>
      </w:r>
      <w:r w:rsidRPr="00003D6E">
        <w:rPr>
          <w:rFonts w:eastAsia="Times New Roman" w:cs="Times New Roman"/>
          <w:spacing w:val="1"/>
          <w:position w:val="-3"/>
        </w:rPr>
        <w:t>o</w:t>
      </w:r>
      <w:r w:rsidRPr="00003D6E">
        <w:rPr>
          <w:rFonts w:eastAsia="Times New Roman" w:cs="Times New Roman"/>
          <w:position w:val="-3"/>
        </w:rPr>
        <w:t>w</w:t>
      </w:r>
      <w:r w:rsidRPr="00003D6E">
        <w:rPr>
          <w:rFonts w:eastAsia="Times New Roman" w:cs="Times New Roman"/>
          <w:spacing w:val="-5"/>
          <w:position w:val="-3"/>
        </w:rPr>
        <w:t xml:space="preserve"> </w:t>
      </w:r>
      <w:proofErr w:type="gramStart"/>
      <w:r w:rsidRPr="00003D6E">
        <w:rPr>
          <w:rFonts w:eastAsia="Times New Roman" w:cs="Times New Roman"/>
          <w:spacing w:val="1"/>
          <w:position w:val="-3"/>
        </w:rPr>
        <w:t>qu</w:t>
      </w:r>
      <w:r w:rsidRPr="00003D6E">
        <w:rPr>
          <w:rFonts w:eastAsia="Times New Roman" w:cs="Times New Roman"/>
          <w:position w:val="-3"/>
        </w:rPr>
        <w:t>ick</w:t>
      </w:r>
      <w:proofErr w:type="gramEnd"/>
    </w:p>
    <w:p w14:paraId="7C0F539C" w14:textId="77777777" w:rsidR="00C1685F" w:rsidRPr="00003D6E" w:rsidRDefault="00C7072D" w:rsidP="002821AB">
      <w:pPr>
        <w:spacing w:before="3" w:after="0"/>
        <w:ind w:left="120" w:right="-20"/>
        <w:rPr>
          <w:rFonts w:eastAsia="Times New Roman" w:cs="Times New Roman"/>
        </w:rPr>
      </w:pPr>
      <w:r w:rsidRPr="00003D6E">
        <w:rPr>
          <w:rFonts w:eastAsia="Times New Roman" w:cs="Times New Roman"/>
        </w:rPr>
        <w:t>i</w:t>
      </w:r>
      <w:r w:rsidRPr="00003D6E">
        <w:rPr>
          <w:rFonts w:eastAsia="Times New Roman" w:cs="Times New Roman"/>
          <w:spacing w:val="1"/>
        </w:rPr>
        <w:t>d</w:t>
      </w:r>
      <w:r w:rsidRPr="00003D6E">
        <w:rPr>
          <w:rFonts w:eastAsia="Times New Roman" w:cs="Times New Roman"/>
        </w:rPr>
        <w:t>e</w:t>
      </w:r>
      <w:r w:rsidRPr="00003D6E">
        <w:rPr>
          <w:rFonts w:eastAsia="Times New Roman" w:cs="Times New Roman"/>
          <w:spacing w:val="1"/>
        </w:rPr>
        <w:t>n</w:t>
      </w:r>
      <w:r w:rsidRPr="00003D6E">
        <w:rPr>
          <w:rFonts w:eastAsia="Times New Roman" w:cs="Times New Roman"/>
        </w:rPr>
        <w:t>tificati</w:t>
      </w:r>
      <w:r w:rsidRPr="00003D6E">
        <w:rPr>
          <w:rFonts w:eastAsia="Times New Roman" w:cs="Times New Roman"/>
          <w:spacing w:val="1"/>
        </w:rPr>
        <w:t>o</w:t>
      </w:r>
      <w:r w:rsidRPr="00003D6E">
        <w:rPr>
          <w:rFonts w:eastAsia="Times New Roman" w:cs="Times New Roman"/>
        </w:rPr>
        <w:t>n</w:t>
      </w:r>
      <w:r w:rsidRPr="00003D6E">
        <w:rPr>
          <w:rFonts w:eastAsia="Times New Roman" w:cs="Times New Roman"/>
          <w:spacing w:val="-12"/>
        </w:rPr>
        <w:t xml:space="preserve"> </w:t>
      </w:r>
      <w:r w:rsidRPr="00003D6E">
        <w:rPr>
          <w:rFonts w:eastAsia="Times New Roman" w:cs="Times New Roman"/>
          <w:spacing w:val="1"/>
        </w:rPr>
        <w:t>o</w:t>
      </w:r>
      <w:r w:rsidRPr="00003D6E">
        <w:rPr>
          <w:rFonts w:eastAsia="Times New Roman" w:cs="Times New Roman"/>
        </w:rPr>
        <w:t>f</w:t>
      </w:r>
      <w:r w:rsidRPr="00003D6E">
        <w:rPr>
          <w:rFonts w:eastAsia="Times New Roman" w:cs="Times New Roman"/>
          <w:spacing w:val="-2"/>
        </w:rPr>
        <w:t xml:space="preserve"> </w:t>
      </w:r>
      <w:r w:rsidRPr="00003D6E">
        <w:rPr>
          <w:rFonts w:eastAsia="Times New Roman" w:cs="Times New Roman"/>
          <w:spacing w:val="1"/>
        </w:rPr>
        <w:t>n</w:t>
      </w:r>
      <w:r w:rsidRPr="00003D6E">
        <w:rPr>
          <w:rFonts w:eastAsia="Times New Roman" w:cs="Times New Roman"/>
        </w:rPr>
        <w:t>ew</w:t>
      </w:r>
      <w:r w:rsidRPr="00003D6E">
        <w:rPr>
          <w:rFonts w:eastAsia="Times New Roman" w:cs="Times New Roman"/>
          <w:spacing w:val="-4"/>
        </w:rPr>
        <w:t xml:space="preserve"> </w:t>
      </w:r>
      <w:r w:rsidRPr="00003D6E">
        <w:rPr>
          <w:rFonts w:eastAsia="Times New Roman" w:cs="Times New Roman"/>
        </w:rPr>
        <w:t>safety</w:t>
      </w:r>
      <w:r w:rsidRPr="00003D6E">
        <w:rPr>
          <w:rFonts w:eastAsia="Times New Roman" w:cs="Times New Roman"/>
          <w:spacing w:val="-3"/>
        </w:rPr>
        <w:t xml:space="preserve"> </w:t>
      </w:r>
      <w:r w:rsidRPr="00003D6E">
        <w:rPr>
          <w:rFonts w:eastAsia="Times New Roman" w:cs="Times New Roman"/>
        </w:rPr>
        <w:t>i</w:t>
      </w:r>
      <w:r w:rsidRPr="00003D6E">
        <w:rPr>
          <w:rFonts w:eastAsia="Times New Roman" w:cs="Times New Roman"/>
          <w:spacing w:val="1"/>
        </w:rPr>
        <w:t>n</w:t>
      </w:r>
      <w:r w:rsidRPr="00003D6E">
        <w:rPr>
          <w:rFonts w:eastAsia="Times New Roman" w:cs="Times New Roman"/>
        </w:rPr>
        <w:t>f</w:t>
      </w:r>
      <w:r w:rsidRPr="00003D6E">
        <w:rPr>
          <w:rFonts w:eastAsia="Times New Roman" w:cs="Times New Roman"/>
          <w:spacing w:val="1"/>
        </w:rPr>
        <w:t>o</w:t>
      </w:r>
      <w:r w:rsidRPr="00003D6E">
        <w:rPr>
          <w:rFonts w:eastAsia="Times New Roman" w:cs="Times New Roman"/>
        </w:rPr>
        <w:t>r</w:t>
      </w:r>
      <w:r w:rsidRPr="00003D6E">
        <w:rPr>
          <w:rFonts w:eastAsia="Times New Roman" w:cs="Times New Roman"/>
          <w:spacing w:val="-2"/>
        </w:rPr>
        <w:t>m</w:t>
      </w:r>
      <w:r w:rsidRPr="00003D6E">
        <w:rPr>
          <w:rFonts w:eastAsia="Times New Roman" w:cs="Times New Roman"/>
        </w:rPr>
        <w:t>ati</w:t>
      </w:r>
      <w:r w:rsidRPr="00003D6E">
        <w:rPr>
          <w:rFonts w:eastAsia="Times New Roman" w:cs="Times New Roman"/>
          <w:spacing w:val="1"/>
        </w:rPr>
        <w:t>on</w:t>
      </w:r>
      <w:r w:rsidRPr="00003D6E">
        <w:rPr>
          <w:rFonts w:eastAsia="Times New Roman" w:cs="Times New Roman"/>
        </w:rPr>
        <w:t>.</w:t>
      </w:r>
      <w:r w:rsidRPr="00003D6E">
        <w:rPr>
          <w:rFonts w:eastAsia="Times New Roman" w:cs="Times New Roman"/>
          <w:spacing w:val="44"/>
        </w:rPr>
        <w:t xml:space="preserve"> </w:t>
      </w:r>
      <w:r w:rsidRPr="00003D6E">
        <w:rPr>
          <w:rFonts w:eastAsia="Times New Roman" w:cs="Times New Roman"/>
        </w:rPr>
        <w:t>Healt</w:t>
      </w:r>
      <w:r w:rsidRPr="00003D6E">
        <w:rPr>
          <w:rFonts w:eastAsia="Times New Roman" w:cs="Times New Roman"/>
          <w:spacing w:val="1"/>
        </w:rPr>
        <w:t>h</w:t>
      </w:r>
      <w:r w:rsidRPr="00003D6E">
        <w:rPr>
          <w:rFonts w:eastAsia="Times New Roman" w:cs="Times New Roman"/>
        </w:rPr>
        <w:t>ca</w:t>
      </w:r>
      <w:r w:rsidRPr="00003D6E">
        <w:rPr>
          <w:rFonts w:eastAsia="Times New Roman" w:cs="Times New Roman"/>
          <w:spacing w:val="1"/>
        </w:rPr>
        <w:t>r</w:t>
      </w:r>
      <w:r w:rsidRPr="00003D6E">
        <w:rPr>
          <w:rFonts w:eastAsia="Times New Roman" w:cs="Times New Roman"/>
        </w:rPr>
        <w:t>e</w:t>
      </w:r>
      <w:r w:rsidRPr="00003D6E">
        <w:rPr>
          <w:rFonts w:eastAsia="Times New Roman" w:cs="Times New Roman"/>
          <w:spacing w:val="-10"/>
        </w:rPr>
        <w:t xml:space="preserve"> </w:t>
      </w:r>
      <w:r w:rsidRPr="00003D6E">
        <w:rPr>
          <w:rFonts w:eastAsia="Times New Roman" w:cs="Times New Roman"/>
          <w:spacing w:val="1"/>
        </w:rPr>
        <w:t>p</w:t>
      </w:r>
      <w:r w:rsidRPr="00003D6E">
        <w:rPr>
          <w:rFonts w:eastAsia="Times New Roman" w:cs="Times New Roman"/>
        </w:rPr>
        <w:t>r</w:t>
      </w:r>
      <w:r w:rsidRPr="00003D6E">
        <w:rPr>
          <w:rFonts w:eastAsia="Times New Roman" w:cs="Times New Roman"/>
          <w:spacing w:val="1"/>
        </w:rPr>
        <w:t>o</w:t>
      </w:r>
      <w:r w:rsidRPr="00003D6E">
        <w:rPr>
          <w:rFonts w:eastAsia="Times New Roman" w:cs="Times New Roman"/>
        </w:rPr>
        <w:t>fessi</w:t>
      </w:r>
      <w:r w:rsidRPr="00003D6E">
        <w:rPr>
          <w:rFonts w:eastAsia="Times New Roman" w:cs="Times New Roman"/>
          <w:spacing w:val="1"/>
        </w:rPr>
        <w:t>on</w:t>
      </w:r>
      <w:r w:rsidRPr="00003D6E">
        <w:rPr>
          <w:rFonts w:eastAsia="Times New Roman" w:cs="Times New Roman"/>
        </w:rPr>
        <w:t>als</w:t>
      </w:r>
      <w:r w:rsidRPr="00003D6E">
        <w:rPr>
          <w:rFonts w:eastAsia="Times New Roman" w:cs="Times New Roman"/>
          <w:spacing w:val="-12"/>
        </w:rPr>
        <w:t xml:space="preserve"> </w:t>
      </w:r>
      <w:r w:rsidRPr="00003D6E">
        <w:rPr>
          <w:rFonts w:eastAsia="Times New Roman" w:cs="Times New Roman"/>
          <w:spacing w:val="1"/>
        </w:rPr>
        <w:t>a</w:t>
      </w:r>
      <w:r w:rsidRPr="00003D6E">
        <w:rPr>
          <w:rFonts w:eastAsia="Times New Roman" w:cs="Times New Roman"/>
        </w:rPr>
        <w:t>re</w:t>
      </w:r>
      <w:r w:rsidRPr="00003D6E">
        <w:rPr>
          <w:rFonts w:eastAsia="Times New Roman" w:cs="Times New Roman"/>
          <w:spacing w:val="-3"/>
        </w:rPr>
        <w:t xml:space="preserve"> </w:t>
      </w:r>
      <w:r w:rsidRPr="00003D6E">
        <w:rPr>
          <w:rFonts w:eastAsia="Times New Roman" w:cs="Times New Roman"/>
        </w:rPr>
        <w:t>as</w:t>
      </w:r>
      <w:r w:rsidRPr="00003D6E">
        <w:rPr>
          <w:rFonts w:eastAsia="Times New Roman" w:cs="Times New Roman"/>
          <w:spacing w:val="1"/>
        </w:rPr>
        <w:t>k</w:t>
      </w:r>
      <w:r w:rsidRPr="00003D6E">
        <w:rPr>
          <w:rFonts w:eastAsia="Times New Roman" w:cs="Times New Roman"/>
        </w:rPr>
        <w:t>ed</w:t>
      </w:r>
      <w:r w:rsidRPr="00003D6E">
        <w:rPr>
          <w:rFonts w:eastAsia="Times New Roman" w:cs="Times New Roman"/>
          <w:spacing w:val="-4"/>
        </w:rPr>
        <w:t xml:space="preserve"> </w:t>
      </w:r>
      <w:r w:rsidRPr="00003D6E">
        <w:rPr>
          <w:rFonts w:eastAsia="Times New Roman" w:cs="Times New Roman"/>
        </w:rPr>
        <w:t>to</w:t>
      </w:r>
      <w:r w:rsidRPr="00003D6E">
        <w:rPr>
          <w:rFonts w:eastAsia="Times New Roman" w:cs="Times New Roman"/>
          <w:spacing w:val="-1"/>
        </w:rPr>
        <w:t xml:space="preserve"> </w:t>
      </w:r>
      <w:r w:rsidRPr="00003D6E">
        <w:rPr>
          <w:rFonts w:eastAsia="Times New Roman" w:cs="Times New Roman"/>
        </w:rPr>
        <w:t>re</w:t>
      </w:r>
      <w:r w:rsidRPr="00003D6E">
        <w:rPr>
          <w:rFonts w:eastAsia="Times New Roman" w:cs="Times New Roman"/>
          <w:spacing w:val="1"/>
        </w:rPr>
        <w:t>po</w:t>
      </w:r>
      <w:r w:rsidRPr="00003D6E">
        <w:rPr>
          <w:rFonts w:eastAsia="Times New Roman" w:cs="Times New Roman"/>
        </w:rPr>
        <w:t>rt</w:t>
      </w:r>
      <w:r w:rsidRPr="00003D6E">
        <w:rPr>
          <w:rFonts w:eastAsia="Times New Roman" w:cs="Times New Roman"/>
          <w:spacing w:val="-5"/>
        </w:rPr>
        <w:t xml:space="preserve"> </w:t>
      </w:r>
      <w:r w:rsidRPr="00003D6E">
        <w:rPr>
          <w:rFonts w:eastAsia="Times New Roman" w:cs="Times New Roman"/>
        </w:rPr>
        <w:t>a</w:t>
      </w:r>
      <w:r w:rsidRPr="00003D6E">
        <w:rPr>
          <w:rFonts w:eastAsia="Times New Roman" w:cs="Times New Roman"/>
          <w:spacing w:val="-1"/>
        </w:rPr>
        <w:t>n</w:t>
      </w:r>
      <w:r w:rsidRPr="00003D6E">
        <w:rPr>
          <w:rFonts w:eastAsia="Times New Roman" w:cs="Times New Roman"/>
        </w:rPr>
        <w:t>y</w:t>
      </w:r>
      <w:r w:rsidRPr="00003D6E">
        <w:rPr>
          <w:rFonts w:eastAsia="Times New Roman" w:cs="Times New Roman"/>
          <w:spacing w:val="-1"/>
        </w:rPr>
        <w:t xml:space="preserve"> </w:t>
      </w:r>
      <w:r w:rsidRPr="00003D6E">
        <w:rPr>
          <w:rFonts w:eastAsia="Times New Roman" w:cs="Times New Roman"/>
        </w:rPr>
        <w:t>s</w:t>
      </w:r>
      <w:r w:rsidRPr="00003D6E">
        <w:rPr>
          <w:rFonts w:eastAsia="Times New Roman" w:cs="Times New Roman"/>
          <w:spacing w:val="1"/>
        </w:rPr>
        <w:t>u</w:t>
      </w:r>
      <w:r w:rsidRPr="00003D6E">
        <w:rPr>
          <w:rFonts w:eastAsia="Times New Roman" w:cs="Times New Roman"/>
        </w:rPr>
        <w:t>s</w:t>
      </w:r>
      <w:r w:rsidRPr="00003D6E">
        <w:rPr>
          <w:rFonts w:eastAsia="Times New Roman" w:cs="Times New Roman"/>
          <w:spacing w:val="-1"/>
        </w:rPr>
        <w:t>p</w:t>
      </w:r>
      <w:r w:rsidRPr="00003D6E">
        <w:rPr>
          <w:rFonts w:eastAsia="Times New Roman" w:cs="Times New Roman"/>
        </w:rPr>
        <w:t>ected a</w:t>
      </w:r>
      <w:r w:rsidRPr="00003D6E">
        <w:rPr>
          <w:rFonts w:eastAsia="Times New Roman" w:cs="Times New Roman"/>
          <w:spacing w:val="1"/>
        </w:rPr>
        <w:t>dv</w:t>
      </w:r>
      <w:r w:rsidRPr="00003D6E">
        <w:rPr>
          <w:rFonts w:eastAsia="Times New Roman" w:cs="Times New Roman"/>
        </w:rPr>
        <w:t>erse</w:t>
      </w:r>
      <w:r w:rsidRPr="00003D6E">
        <w:rPr>
          <w:rFonts w:eastAsia="Times New Roman" w:cs="Times New Roman"/>
          <w:spacing w:val="-7"/>
        </w:rPr>
        <w:t xml:space="preserve"> </w:t>
      </w:r>
      <w:r w:rsidRPr="00003D6E">
        <w:rPr>
          <w:rFonts w:eastAsia="Times New Roman" w:cs="Times New Roman"/>
        </w:rPr>
        <w:t>e</w:t>
      </w:r>
      <w:r w:rsidRPr="00003D6E">
        <w:rPr>
          <w:rFonts w:eastAsia="Times New Roman" w:cs="Times New Roman"/>
          <w:spacing w:val="1"/>
        </w:rPr>
        <w:t>v</w:t>
      </w:r>
      <w:r w:rsidRPr="00003D6E">
        <w:rPr>
          <w:rFonts w:eastAsia="Times New Roman" w:cs="Times New Roman"/>
        </w:rPr>
        <w:t>e</w:t>
      </w:r>
      <w:r w:rsidRPr="00003D6E">
        <w:rPr>
          <w:rFonts w:eastAsia="Times New Roman" w:cs="Times New Roman"/>
          <w:spacing w:val="1"/>
        </w:rPr>
        <w:t>nt</w:t>
      </w:r>
      <w:r w:rsidRPr="00003D6E">
        <w:rPr>
          <w:rFonts w:eastAsia="Times New Roman" w:cs="Times New Roman"/>
        </w:rPr>
        <w:t>s</w:t>
      </w:r>
      <w:r w:rsidRPr="00003D6E">
        <w:rPr>
          <w:rFonts w:eastAsia="Times New Roman" w:cs="Times New Roman"/>
          <w:spacing w:val="-6"/>
        </w:rPr>
        <w:t xml:space="preserve"> </w:t>
      </w:r>
      <w:r w:rsidRPr="00003D6E">
        <w:rPr>
          <w:rFonts w:eastAsia="Times New Roman" w:cs="Times New Roman"/>
        </w:rPr>
        <w:t>at</w:t>
      </w:r>
      <w:r w:rsidRPr="00003D6E">
        <w:rPr>
          <w:rFonts w:eastAsia="Times New Roman" w:cs="Times New Roman"/>
          <w:spacing w:val="-2"/>
        </w:rPr>
        <w:t xml:space="preserve"> </w:t>
      </w:r>
      <w:hyperlink r:id="rId11">
        <w:r w:rsidRPr="00003D6E">
          <w:rPr>
            <w:rFonts w:eastAsia="Times New Roman" w:cs="Times New Roman"/>
            <w:spacing w:val="1"/>
            <w:u w:val="single" w:color="0000FF"/>
          </w:rPr>
          <w:t>h</w:t>
        </w:r>
        <w:r w:rsidRPr="00003D6E">
          <w:rPr>
            <w:rFonts w:eastAsia="Times New Roman" w:cs="Times New Roman"/>
            <w:u w:val="single" w:color="0000FF"/>
          </w:rPr>
          <w:t>tt</w:t>
        </w:r>
        <w:r w:rsidRPr="00003D6E">
          <w:rPr>
            <w:rFonts w:eastAsia="Times New Roman" w:cs="Times New Roman"/>
            <w:spacing w:val="1"/>
            <w:u w:val="single" w:color="0000FF"/>
          </w:rPr>
          <w:t>p</w:t>
        </w:r>
        <w:r w:rsidRPr="00003D6E">
          <w:rPr>
            <w:rFonts w:eastAsia="Times New Roman" w:cs="Times New Roman"/>
            <w:u w:val="single" w:color="0000FF"/>
          </w:rPr>
          <w:t>s://www.t</w:t>
        </w:r>
        <w:r w:rsidRPr="00003D6E">
          <w:rPr>
            <w:rFonts w:eastAsia="Times New Roman" w:cs="Times New Roman"/>
            <w:spacing w:val="1"/>
            <w:u w:val="single" w:color="0000FF"/>
          </w:rPr>
          <w:t>g</w:t>
        </w:r>
        <w:r w:rsidRPr="00003D6E">
          <w:rPr>
            <w:rFonts w:eastAsia="Times New Roman" w:cs="Times New Roman"/>
            <w:u w:val="single" w:color="0000FF"/>
          </w:rPr>
          <w:t>a.</w:t>
        </w:r>
        <w:r w:rsidRPr="00003D6E">
          <w:rPr>
            <w:rFonts w:eastAsia="Times New Roman" w:cs="Times New Roman"/>
            <w:spacing w:val="1"/>
            <w:u w:val="single" w:color="0000FF"/>
          </w:rPr>
          <w:t>gov</w:t>
        </w:r>
        <w:r w:rsidRPr="00003D6E">
          <w:rPr>
            <w:rFonts w:eastAsia="Times New Roman" w:cs="Times New Roman"/>
            <w:u w:val="single" w:color="0000FF"/>
          </w:rPr>
          <w:t>.a</w:t>
        </w:r>
        <w:r w:rsidRPr="00003D6E">
          <w:rPr>
            <w:rFonts w:eastAsia="Times New Roman" w:cs="Times New Roman"/>
            <w:spacing w:val="1"/>
            <w:u w:val="single" w:color="0000FF"/>
          </w:rPr>
          <w:t>u</w:t>
        </w:r>
        <w:r w:rsidRPr="00003D6E">
          <w:rPr>
            <w:rFonts w:eastAsia="Times New Roman" w:cs="Times New Roman"/>
            <w:u w:val="single" w:color="0000FF"/>
          </w:rPr>
          <w:t>/re</w:t>
        </w:r>
        <w:r w:rsidRPr="00003D6E">
          <w:rPr>
            <w:rFonts w:eastAsia="Times New Roman" w:cs="Times New Roman"/>
            <w:spacing w:val="1"/>
            <w:u w:val="single" w:color="0000FF"/>
          </w:rPr>
          <w:t>po</w:t>
        </w:r>
        <w:r w:rsidRPr="00003D6E">
          <w:rPr>
            <w:rFonts w:eastAsia="Times New Roman" w:cs="Times New Roman"/>
            <w:u w:val="single" w:color="0000FF"/>
          </w:rPr>
          <w:t>rti</w:t>
        </w:r>
        <w:r w:rsidRPr="00003D6E">
          <w:rPr>
            <w:rFonts w:eastAsia="Times New Roman" w:cs="Times New Roman"/>
            <w:spacing w:val="1"/>
            <w:u w:val="single" w:color="0000FF"/>
          </w:rPr>
          <w:t>n</w:t>
        </w:r>
        <w:r w:rsidRPr="00003D6E">
          <w:rPr>
            <w:rFonts w:eastAsia="Times New Roman" w:cs="Times New Roman"/>
            <w:u w:val="single" w:color="0000FF"/>
          </w:rPr>
          <w:t>g</w:t>
        </w:r>
        <w:r w:rsidRPr="00003D6E">
          <w:rPr>
            <w:rFonts w:eastAsia="Times New Roman" w:cs="Times New Roman"/>
            <w:spacing w:val="-1"/>
            <w:u w:val="single" w:color="0000FF"/>
          </w:rPr>
          <w:t>-p</w:t>
        </w:r>
        <w:r w:rsidRPr="00003D6E">
          <w:rPr>
            <w:rFonts w:eastAsia="Times New Roman" w:cs="Times New Roman"/>
            <w:u w:val="single" w:color="0000FF"/>
          </w:rPr>
          <w:t>r</w:t>
        </w:r>
        <w:r w:rsidRPr="00003D6E">
          <w:rPr>
            <w:rFonts w:eastAsia="Times New Roman" w:cs="Times New Roman"/>
            <w:spacing w:val="1"/>
            <w:u w:val="single" w:color="0000FF"/>
          </w:rPr>
          <w:t>ob</w:t>
        </w:r>
        <w:r w:rsidRPr="00003D6E">
          <w:rPr>
            <w:rFonts w:eastAsia="Times New Roman" w:cs="Times New Roman"/>
            <w:u w:val="single" w:color="0000FF"/>
          </w:rPr>
          <w:t>lem</w:t>
        </w:r>
        <w:r w:rsidRPr="00003D6E">
          <w:rPr>
            <w:rFonts w:eastAsia="Times New Roman" w:cs="Times New Roman"/>
            <w:spacing w:val="-1"/>
            <w:u w:val="single" w:color="0000FF"/>
          </w:rPr>
          <w:t>s</w:t>
        </w:r>
        <w:r w:rsidRPr="00003D6E">
          <w:rPr>
            <w:rFonts w:eastAsia="Times New Roman" w:cs="Times New Roman"/>
          </w:rPr>
          <w:t>.</w:t>
        </w:r>
      </w:hyperlink>
    </w:p>
    <w:p w14:paraId="73077AAF" w14:textId="77777777" w:rsidR="00C1685F" w:rsidRPr="00003D6E" w:rsidRDefault="00C1685F" w:rsidP="002821AB">
      <w:pPr>
        <w:spacing w:after="0" w:line="200" w:lineRule="exact"/>
        <w:ind w:right="-20"/>
        <w:rPr>
          <w:sz w:val="20"/>
          <w:szCs w:val="20"/>
        </w:rPr>
      </w:pPr>
    </w:p>
    <w:p w14:paraId="00FA84E3" w14:textId="77777777" w:rsidR="00C1685F" w:rsidRPr="00003D6E" w:rsidRDefault="00C1685F" w:rsidP="002821AB">
      <w:pPr>
        <w:spacing w:before="19" w:after="0" w:line="240" w:lineRule="exact"/>
        <w:ind w:right="-20"/>
        <w:rPr>
          <w:sz w:val="24"/>
          <w:szCs w:val="24"/>
        </w:rPr>
      </w:pPr>
    </w:p>
    <w:p w14:paraId="721E25BC" w14:textId="77777777" w:rsidR="008B1539" w:rsidRPr="00003D6E" w:rsidRDefault="008B1539" w:rsidP="008B1539">
      <w:pPr>
        <w:pStyle w:val="Title"/>
        <w:jc w:val="center"/>
        <w:rPr>
          <w:rFonts w:eastAsia="Times New Roman"/>
          <w:w w:val="99"/>
        </w:rPr>
      </w:pPr>
      <w:r w:rsidRPr="00003D6E">
        <w:rPr>
          <w:rFonts w:eastAsia="Times New Roman"/>
        </w:rPr>
        <w:t>AU</w:t>
      </w:r>
      <w:r w:rsidRPr="00003D6E">
        <w:rPr>
          <w:rFonts w:eastAsia="Times New Roman"/>
          <w:spacing w:val="1"/>
        </w:rPr>
        <w:t>ST</w:t>
      </w:r>
      <w:r w:rsidRPr="00003D6E">
        <w:rPr>
          <w:rFonts w:eastAsia="Times New Roman"/>
        </w:rPr>
        <w:t>R</w:t>
      </w:r>
      <w:r w:rsidRPr="00003D6E">
        <w:rPr>
          <w:rFonts w:eastAsia="Times New Roman"/>
          <w:spacing w:val="1"/>
        </w:rPr>
        <w:t>A</w:t>
      </w:r>
      <w:r w:rsidRPr="00003D6E">
        <w:rPr>
          <w:rFonts w:eastAsia="Times New Roman"/>
          <w:spacing w:val="-1"/>
        </w:rPr>
        <w:t>L</w:t>
      </w:r>
      <w:r w:rsidRPr="00003D6E">
        <w:rPr>
          <w:rFonts w:eastAsia="Times New Roman"/>
        </w:rPr>
        <w:t>IAN</w:t>
      </w:r>
      <w:r w:rsidRPr="00003D6E">
        <w:rPr>
          <w:rFonts w:eastAsia="Times New Roman"/>
          <w:spacing w:val="-18"/>
        </w:rPr>
        <w:t xml:space="preserve"> </w:t>
      </w:r>
      <w:r w:rsidRPr="00003D6E">
        <w:rPr>
          <w:rFonts w:eastAsia="Times New Roman"/>
          <w:spacing w:val="1"/>
        </w:rPr>
        <w:t>PR</w:t>
      </w:r>
      <w:r w:rsidRPr="00003D6E">
        <w:rPr>
          <w:rFonts w:eastAsia="Times New Roman"/>
        </w:rPr>
        <w:t>OD</w:t>
      </w:r>
      <w:r w:rsidRPr="00003D6E">
        <w:rPr>
          <w:rFonts w:eastAsia="Times New Roman"/>
          <w:spacing w:val="1"/>
        </w:rPr>
        <w:t>UC</w:t>
      </w:r>
      <w:r w:rsidRPr="00003D6E">
        <w:rPr>
          <w:rFonts w:eastAsia="Times New Roman"/>
        </w:rPr>
        <w:t>T</w:t>
      </w:r>
      <w:r w:rsidRPr="00003D6E">
        <w:rPr>
          <w:rFonts w:eastAsia="Times New Roman"/>
          <w:spacing w:val="-15"/>
        </w:rPr>
        <w:t xml:space="preserve"> </w:t>
      </w:r>
      <w:r w:rsidRPr="00003D6E">
        <w:rPr>
          <w:rFonts w:eastAsia="Times New Roman"/>
          <w:spacing w:val="2"/>
          <w:w w:val="99"/>
        </w:rPr>
        <w:t>I</w:t>
      </w:r>
      <w:r w:rsidRPr="00003D6E">
        <w:rPr>
          <w:rFonts w:eastAsia="Times New Roman"/>
          <w:w w:val="99"/>
        </w:rPr>
        <w:t>N</w:t>
      </w:r>
      <w:r w:rsidRPr="00003D6E">
        <w:rPr>
          <w:rFonts w:eastAsia="Times New Roman"/>
          <w:spacing w:val="1"/>
          <w:w w:val="99"/>
        </w:rPr>
        <w:t>F</w:t>
      </w:r>
      <w:r w:rsidRPr="00003D6E">
        <w:rPr>
          <w:rFonts w:eastAsia="Times New Roman"/>
          <w:w w:val="99"/>
        </w:rPr>
        <w:t>OR</w:t>
      </w:r>
      <w:r w:rsidRPr="00003D6E">
        <w:rPr>
          <w:rFonts w:eastAsia="Times New Roman"/>
          <w:spacing w:val="1"/>
          <w:w w:val="99"/>
        </w:rPr>
        <w:t>M</w:t>
      </w:r>
      <w:r w:rsidRPr="00003D6E">
        <w:rPr>
          <w:rFonts w:eastAsia="Times New Roman"/>
          <w:w w:val="99"/>
        </w:rPr>
        <w:t>A</w:t>
      </w:r>
      <w:r w:rsidRPr="00003D6E">
        <w:rPr>
          <w:rFonts w:eastAsia="Times New Roman"/>
          <w:spacing w:val="-1"/>
          <w:w w:val="99"/>
        </w:rPr>
        <w:t>T</w:t>
      </w:r>
      <w:r w:rsidRPr="00003D6E">
        <w:rPr>
          <w:rFonts w:eastAsia="Times New Roman"/>
          <w:w w:val="99"/>
        </w:rPr>
        <w:t>I</w:t>
      </w:r>
      <w:r w:rsidRPr="00003D6E">
        <w:rPr>
          <w:rFonts w:eastAsia="Times New Roman"/>
          <w:spacing w:val="1"/>
          <w:w w:val="99"/>
        </w:rPr>
        <w:t>O</w:t>
      </w:r>
      <w:r w:rsidRPr="00003D6E">
        <w:rPr>
          <w:rFonts w:eastAsia="Times New Roman"/>
          <w:w w:val="99"/>
        </w:rPr>
        <w:t>N</w:t>
      </w:r>
    </w:p>
    <w:p w14:paraId="6FB2F18F" w14:textId="574C61C1" w:rsidR="007B4510" w:rsidRPr="00003D6E" w:rsidRDefault="005C7ECB" w:rsidP="00591C15">
      <w:pPr>
        <w:pStyle w:val="Title"/>
        <w:jc w:val="center"/>
        <w:rPr>
          <w:rFonts w:eastAsia="Times New Roman"/>
          <w:spacing w:val="-18"/>
        </w:rPr>
      </w:pPr>
      <w:r w:rsidRPr="00003D6E">
        <w:rPr>
          <w:rFonts w:eastAsia="Times New Roman"/>
          <w:spacing w:val="-18"/>
        </w:rPr>
        <w:t>SOTYKTU</w:t>
      </w:r>
      <w:r w:rsidR="00E41D3F" w:rsidRPr="00003D6E">
        <w:rPr>
          <w:rFonts w:eastAsia="Times New Roman" w:cs="Times New Roman"/>
          <w:spacing w:val="-18"/>
          <w:vertAlign w:val="superscript"/>
        </w:rPr>
        <w:t>™</w:t>
      </w:r>
      <w:r w:rsidR="007B4510" w:rsidRPr="00003D6E">
        <w:rPr>
          <w:rFonts w:eastAsia="Times New Roman"/>
          <w:spacing w:val="-18"/>
        </w:rPr>
        <w:t xml:space="preserve"> (</w:t>
      </w:r>
      <w:r w:rsidR="00B82FB3" w:rsidRPr="00003D6E">
        <w:rPr>
          <w:rFonts w:eastAsia="Times New Roman"/>
          <w:spacing w:val="-18"/>
        </w:rPr>
        <w:t>DEUCRAVACITINIB</w:t>
      </w:r>
      <w:r w:rsidR="007B4510" w:rsidRPr="00003D6E">
        <w:rPr>
          <w:rFonts w:eastAsia="Times New Roman"/>
          <w:spacing w:val="-18"/>
        </w:rPr>
        <w:t>)</w:t>
      </w:r>
    </w:p>
    <w:p w14:paraId="3EE9FC47" w14:textId="2B93CB14" w:rsidR="007B4510" w:rsidRPr="00003D6E" w:rsidRDefault="007B4510" w:rsidP="00ED1808">
      <w:pPr>
        <w:pStyle w:val="Heading1"/>
      </w:pPr>
      <w:r w:rsidRPr="00003D6E">
        <w:t>Name of the medicine</w:t>
      </w:r>
    </w:p>
    <w:p w14:paraId="317FF70D" w14:textId="4FA48832" w:rsidR="007B4510" w:rsidRPr="00003D6E" w:rsidRDefault="002A21C6" w:rsidP="00D43C84">
      <w:proofErr w:type="spellStart"/>
      <w:r w:rsidRPr="00003D6E">
        <w:t>D</w:t>
      </w:r>
      <w:r w:rsidR="00500820" w:rsidRPr="00003D6E">
        <w:t>eucravacitinib</w:t>
      </w:r>
      <w:proofErr w:type="spellEnd"/>
    </w:p>
    <w:p w14:paraId="4020222F" w14:textId="77777777" w:rsidR="007B4510" w:rsidRPr="00003D6E" w:rsidRDefault="007B4510" w:rsidP="00ED1808">
      <w:pPr>
        <w:pStyle w:val="Heading1"/>
      </w:pPr>
      <w:r w:rsidRPr="00003D6E">
        <w:t>Qualitative and quantitative composition</w:t>
      </w:r>
    </w:p>
    <w:p w14:paraId="572BB672" w14:textId="79824D5A" w:rsidR="007B4510" w:rsidRPr="00003D6E" w:rsidRDefault="007B4510" w:rsidP="007B4510">
      <w:pPr>
        <w:rPr>
          <w:rFonts w:cs="Times New Roman"/>
          <w:lang w:val="en"/>
        </w:rPr>
      </w:pPr>
      <w:r w:rsidRPr="00003D6E">
        <w:rPr>
          <w:rFonts w:cs="Times New Roman"/>
          <w:lang w:val="en"/>
        </w:rPr>
        <w:t xml:space="preserve">Each </w:t>
      </w:r>
      <w:r w:rsidR="002419FD" w:rsidRPr="00003D6E">
        <w:rPr>
          <w:rFonts w:cs="Times New Roman"/>
          <w:lang w:val="en"/>
        </w:rPr>
        <w:t>film-coated tablet</w:t>
      </w:r>
      <w:r w:rsidRPr="00003D6E">
        <w:rPr>
          <w:rFonts w:cs="Times New Roman"/>
          <w:lang w:val="en"/>
        </w:rPr>
        <w:t xml:space="preserve"> contains </w:t>
      </w:r>
      <w:r w:rsidR="002419FD" w:rsidRPr="00003D6E">
        <w:rPr>
          <w:rFonts w:cs="Times New Roman"/>
          <w:lang w:val="en"/>
        </w:rPr>
        <w:t>6</w:t>
      </w:r>
      <w:r w:rsidR="00F92415" w:rsidRPr="00003D6E">
        <w:rPr>
          <w:rFonts w:cs="Times New Roman"/>
          <w:lang w:val="en"/>
        </w:rPr>
        <w:t> </w:t>
      </w:r>
      <w:r w:rsidR="002419FD" w:rsidRPr="00003D6E">
        <w:rPr>
          <w:rFonts w:cs="Times New Roman"/>
          <w:lang w:val="en"/>
        </w:rPr>
        <w:t xml:space="preserve">mg of </w:t>
      </w:r>
      <w:proofErr w:type="spellStart"/>
      <w:r w:rsidR="002419FD" w:rsidRPr="00003D6E">
        <w:rPr>
          <w:rFonts w:cs="Times New Roman"/>
          <w:lang w:val="en"/>
        </w:rPr>
        <w:t>deucravacit</w:t>
      </w:r>
      <w:r w:rsidR="00C73B90" w:rsidRPr="00003D6E">
        <w:rPr>
          <w:rFonts w:cs="Times New Roman"/>
          <w:lang w:val="en"/>
        </w:rPr>
        <w:t>in</w:t>
      </w:r>
      <w:r w:rsidR="002419FD" w:rsidRPr="00003D6E">
        <w:rPr>
          <w:rFonts w:cs="Times New Roman"/>
          <w:lang w:val="en"/>
        </w:rPr>
        <w:t>ib</w:t>
      </w:r>
      <w:proofErr w:type="spellEnd"/>
      <w:r w:rsidRPr="00003D6E">
        <w:rPr>
          <w:rFonts w:cs="Times New Roman"/>
          <w:lang w:val="en"/>
        </w:rPr>
        <w:t>.</w:t>
      </w:r>
    </w:p>
    <w:p w14:paraId="43FBE6A9" w14:textId="38F26F92" w:rsidR="0044080A" w:rsidRPr="00003D6E" w:rsidRDefault="0044080A" w:rsidP="0044080A">
      <w:pPr>
        <w:rPr>
          <w:b/>
        </w:rPr>
      </w:pPr>
      <w:r w:rsidRPr="00003D6E">
        <w:rPr>
          <w:b/>
        </w:rPr>
        <w:t>Excipient with known effect</w:t>
      </w:r>
    </w:p>
    <w:p w14:paraId="47AF0230" w14:textId="3C4F3D33" w:rsidR="0044080A" w:rsidRPr="00003D6E" w:rsidRDefault="0044080A" w:rsidP="009174FA">
      <w:pPr>
        <w:rPr>
          <w:rFonts w:cs="Times New Roman"/>
          <w:lang w:val="en"/>
        </w:rPr>
      </w:pPr>
      <w:r w:rsidRPr="00003D6E">
        <w:rPr>
          <w:rFonts w:cs="Times New Roman"/>
          <w:lang w:val="en"/>
        </w:rPr>
        <w:t>Lactose</w:t>
      </w:r>
      <w:r w:rsidR="00FC4E10" w:rsidRPr="00003D6E">
        <w:rPr>
          <w:rFonts w:cs="Times New Roman"/>
          <w:lang w:val="en"/>
        </w:rPr>
        <w:t xml:space="preserve"> </w:t>
      </w:r>
    </w:p>
    <w:p w14:paraId="5D61A0D8" w14:textId="16DE639E" w:rsidR="007B4510" w:rsidRPr="00003D6E" w:rsidRDefault="007B4510" w:rsidP="007B4510">
      <w:pPr>
        <w:rPr>
          <w:rFonts w:cs="Times New Roman"/>
          <w:lang w:val="en"/>
        </w:rPr>
      </w:pPr>
      <w:r w:rsidRPr="00003D6E">
        <w:rPr>
          <w:rFonts w:cs="Times New Roman"/>
          <w:lang w:val="en"/>
        </w:rPr>
        <w:t xml:space="preserve">For the full list of excipients, see Section 6.1 List of </w:t>
      </w:r>
      <w:r w:rsidR="00BA2E6B">
        <w:rPr>
          <w:rFonts w:cs="Times New Roman"/>
          <w:lang w:val="en"/>
        </w:rPr>
        <w:t>E</w:t>
      </w:r>
      <w:r w:rsidRPr="00003D6E">
        <w:rPr>
          <w:rFonts w:cs="Times New Roman"/>
          <w:lang w:val="en"/>
        </w:rPr>
        <w:t>xcipients.</w:t>
      </w:r>
    </w:p>
    <w:p w14:paraId="7546643F" w14:textId="77777777" w:rsidR="007B4510" w:rsidRPr="00003D6E" w:rsidRDefault="007B4510" w:rsidP="00D43C84">
      <w:pPr>
        <w:pStyle w:val="Heading1"/>
      </w:pPr>
      <w:r w:rsidRPr="00003D6E">
        <w:t>Pharmaceutical form</w:t>
      </w:r>
    </w:p>
    <w:p w14:paraId="4365BF02" w14:textId="77777777" w:rsidR="00790342" w:rsidRPr="00003D6E" w:rsidRDefault="00790342" w:rsidP="00F965D7">
      <w:pPr>
        <w:rPr>
          <w:rFonts w:cs="Times New Roman"/>
          <w:lang w:val="en"/>
        </w:rPr>
      </w:pPr>
      <w:r w:rsidRPr="00003D6E">
        <w:rPr>
          <w:rFonts w:cs="Times New Roman"/>
          <w:lang w:val="en"/>
        </w:rPr>
        <w:t>Film-coated tablet</w:t>
      </w:r>
    </w:p>
    <w:p w14:paraId="4599063F" w14:textId="6CA069DB" w:rsidR="00F965D7" w:rsidRPr="00003D6E" w:rsidRDefault="00CF15C6" w:rsidP="00F965D7">
      <w:pPr>
        <w:rPr>
          <w:rFonts w:cs="Times New Roman"/>
          <w:lang w:val="en"/>
        </w:rPr>
      </w:pPr>
      <w:r w:rsidRPr="00003D6E">
        <w:rPr>
          <w:rFonts w:cs="Times New Roman"/>
          <w:lang w:val="en"/>
        </w:rPr>
        <w:t>P</w:t>
      </w:r>
      <w:r w:rsidR="00F965D7" w:rsidRPr="00003D6E">
        <w:rPr>
          <w:rFonts w:cs="Times New Roman"/>
          <w:lang w:val="en"/>
        </w:rPr>
        <w:t>ink, round, biconvex, film-coated tablet</w:t>
      </w:r>
      <w:r w:rsidR="0045327D" w:rsidRPr="00003D6E">
        <w:rPr>
          <w:rFonts w:cs="Times New Roman"/>
          <w:lang w:val="en"/>
        </w:rPr>
        <w:t xml:space="preserve"> </w:t>
      </w:r>
      <w:r w:rsidR="00F965D7" w:rsidRPr="00003D6E">
        <w:rPr>
          <w:rFonts w:cs="Times New Roman"/>
          <w:lang w:val="en"/>
        </w:rPr>
        <w:t>laser printed with “BMS 895</w:t>
      </w:r>
      <w:r w:rsidR="0074302E" w:rsidRPr="00003D6E">
        <w:rPr>
          <w:rFonts w:cs="Times New Roman"/>
          <w:lang w:val="en"/>
        </w:rPr>
        <w:t xml:space="preserve"> </w:t>
      </w:r>
      <w:r w:rsidR="00F965D7" w:rsidRPr="00003D6E">
        <w:rPr>
          <w:rFonts w:cs="Times New Roman"/>
          <w:lang w:val="en"/>
        </w:rPr>
        <w:t>6</w:t>
      </w:r>
      <w:r w:rsidR="0074302E" w:rsidRPr="00003D6E">
        <w:rPr>
          <w:rFonts w:cs="Times New Roman"/>
          <w:lang w:val="en"/>
        </w:rPr>
        <w:t> </w:t>
      </w:r>
      <w:r w:rsidR="00F965D7" w:rsidRPr="00003D6E">
        <w:rPr>
          <w:rFonts w:cs="Times New Roman"/>
          <w:lang w:val="en"/>
        </w:rPr>
        <w:t xml:space="preserve">mg” on one side in two lines </w:t>
      </w:r>
      <w:r w:rsidR="00695354" w:rsidRPr="00003D6E">
        <w:rPr>
          <w:rFonts w:cs="Times New Roman"/>
          <w:lang w:val="en"/>
        </w:rPr>
        <w:t>and</w:t>
      </w:r>
      <w:r w:rsidR="00F965D7" w:rsidRPr="00003D6E">
        <w:rPr>
          <w:rFonts w:cs="Times New Roman"/>
          <w:lang w:val="en"/>
        </w:rPr>
        <w:t xml:space="preserve"> no content on the other side.</w:t>
      </w:r>
    </w:p>
    <w:p w14:paraId="264E6346" w14:textId="77777777" w:rsidR="007B4510" w:rsidRPr="00003D6E" w:rsidRDefault="007B4510" w:rsidP="00D43C84">
      <w:pPr>
        <w:pStyle w:val="Heading1"/>
      </w:pPr>
      <w:r w:rsidRPr="00003D6E">
        <w:t>Clinical particulars</w:t>
      </w:r>
    </w:p>
    <w:p w14:paraId="28433458" w14:textId="6A00CDCD" w:rsidR="007B4510" w:rsidRPr="00003D6E" w:rsidRDefault="009F387B" w:rsidP="00B362C1">
      <w:pPr>
        <w:pStyle w:val="Heading2"/>
      </w:pPr>
      <w:r w:rsidRPr="00003D6E">
        <w:t>4.1</w:t>
      </w:r>
      <w:r w:rsidRPr="00003D6E">
        <w:tab/>
      </w:r>
      <w:r w:rsidR="007B4510" w:rsidRPr="00003D6E">
        <w:t>Therapeutic Indications</w:t>
      </w:r>
    </w:p>
    <w:p w14:paraId="6A948666" w14:textId="6109DF02" w:rsidR="00361833" w:rsidRPr="00003D6E" w:rsidRDefault="005C7ECB" w:rsidP="00361833">
      <w:pPr>
        <w:rPr>
          <w:rFonts w:cs="Times New Roman"/>
          <w:lang w:val="en"/>
        </w:rPr>
      </w:pPr>
      <w:r w:rsidRPr="00003D6E">
        <w:rPr>
          <w:rFonts w:cs="Times New Roman"/>
          <w:lang w:val="en"/>
        </w:rPr>
        <w:t>SOTYKTU</w:t>
      </w:r>
      <w:r w:rsidR="00361833" w:rsidRPr="00003D6E">
        <w:rPr>
          <w:rFonts w:cs="Times New Roman"/>
          <w:lang w:val="en"/>
        </w:rPr>
        <w:t xml:space="preserve"> is indicated for the treatment of adult patients with moderate-to-severe plaque psoriasis who are candidates for systemic therapy</w:t>
      </w:r>
      <w:r w:rsidR="009750A3" w:rsidRPr="00003D6E">
        <w:rPr>
          <w:rFonts w:cs="Times New Roman"/>
          <w:lang w:val="en"/>
        </w:rPr>
        <w:t xml:space="preserve"> or phototherapy</w:t>
      </w:r>
      <w:r w:rsidR="00361833" w:rsidRPr="00003D6E">
        <w:rPr>
          <w:rFonts w:cs="Times New Roman"/>
          <w:lang w:val="en"/>
        </w:rPr>
        <w:t>.</w:t>
      </w:r>
    </w:p>
    <w:p w14:paraId="2115B269" w14:textId="506CB2DE" w:rsidR="007B4510" w:rsidRPr="00003D6E" w:rsidRDefault="00B362C1" w:rsidP="00B362C1">
      <w:pPr>
        <w:pStyle w:val="Heading2"/>
      </w:pPr>
      <w:r w:rsidRPr="00003D6E">
        <w:t>4.2</w:t>
      </w:r>
      <w:r w:rsidR="00DD3089" w:rsidRPr="00003D6E">
        <w:tab/>
      </w:r>
      <w:r w:rsidR="007B4510" w:rsidRPr="00003D6E">
        <w:t xml:space="preserve">Dose and Method of Administration </w:t>
      </w:r>
    </w:p>
    <w:p w14:paraId="62345201" w14:textId="0E88238C" w:rsidR="007B4510" w:rsidRPr="00003D6E" w:rsidRDefault="007B4510" w:rsidP="007B4510">
      <w:pPr>
        <w:spacing w:after="120"/>
        <w:rPr>
          <w:rFonts w:cs="Times New Roman"/>
          <w:b/>
          <w:lang w:val="en-GB"/>
        </w:rPr>
      </w:pPr>
      <w:r w:rsidRPr="00003D6E">
        <w:rPr>
          <w:rFonts w:cs="Times New Roman"/>
          <w:b/>
          <w:lang w:val="en-GB"/>
        </w:rPr>
        <w:t>Dosage</w:t>
      </w:r>
    </w:p>
    <w:p w14:paraId="3452DB8F" w14:textId="3F26E361" w:rsidR="00024B06" w:rsidRPr="00003D6E" w:rsidRDefault="0055761D" w:rsidP="001801FE">
      <w:pPr>
        <w:rPr>
          <w:rFonts w:cs="Times New Roman"/>
          <w:lang w:val="en"/>
        </w:rPr>
      </w:pPr>
      <w:r w:rsidRPr="00003D6E">
        <w:rPr>
          <w:rFonts w:cs="Times New Roman"/>
          <w:lang w:val="en"/>
        </w:rPr>
        <w:t xml:space="preserve">The recommended dose of </w:t>
      </w:r>
      <w:r w:rsidR="005C7ECB" w:rsidRPr="00003D6E">
        <w:rPr>
          <w:rFonts w:cs="Times New Roman"/>
          <w:lang w:val="en"/>
        </w:rPr>
        <w:t>SOTYKTU</w:t>
      </w:r>
      <w:r w:rsidRPr="00003D6E">
        <w:rPr>
          <w:rFonts w:cs="Times New Roman"/>
          <w:lang w:val="en"/>
        </w:rPr>
        <w:t xml:space="preserve"> is 6</w:t>
      </w:r>
      <w:r w:rsidR="00283D75" w:rsidRPr="00003D6E">
        <w:rPr>
          <w:rFonts w:cs="Times New Roman"/>
          <w:lang w:val="en"/>
        </w:rPr>
        <w:t> </w:t>
      </w:r>
      <w:r w:rsidRPr="00003D6E">
        <w:rPr>
          <w:rFonts w:cs="Times New Roman"/>
          <w:lang w:val="en"/>
        </w:rPr>
        <w:t>mg once daily</w:t>
      </w:r>
      <w:r w:rsidR="00DB5EFC" w:rsidRPr="00003D6E">
        <w:rPr>
          <w:rFonts w:cs="Times New Roman"/>
          <w:lang w:val="en"/>
        </w:rPr>
        <w:t xml:space="preserve"> taken orally</w:t>
      </w:r>
      <w:r w:rsidR="00147E5B" w:rsidRPr="00003D6E">
        <w:rPr>
          <w:rFonts w:cs="Times New Roman"/>
          <w:lang w:val="en"/>
        </w:rPr>
        <w:t>,</w:t>
      </w:r>
      <w:r w:rsidRPr="00003D6E">
        <w:rPr>
          <w:rFonts w:cs="Times New Roman"/>
          <w:lang w:val="en"/>
        </w:rPr>
        <w:t xml:space="preserve"> with or without food.</w:t>
      </w:r>
      <w:r w:rsidR="00D2794B" w:rsidRPr="00003D6E">
        <w:rPr>
          <w:rFonts w:cs="Times New Roman"/>
          <w:lang w:val="en"/>
        </w:rPr>
        <w:t xml:space="preserve"> </w:t>
      </w:r>
      <w:r w:rsidR="001801FE" w:rsidRPr="00003D6E">
        <w:rPr>
          <w:rFonts w:cs="Times New Roman"/>
          <w:lang w:val="en"/>
        </w:rPr>
        <w:t>Do not crush, cut, or chew the tablet.</w:t>
      </w:r>
    </w:p>
    <w:p w14:paraId="62B0F998" w14:textId="53B3A9B1" w:rsidR="007A3FA5" w:rsidRPr="00003D6E" w:rsidRDefault="00317FF9" w:rsidP="007B4510">
      <w:pPr>
        <w:spacing w:after="120"/>
        <w:rPr>
          <w:rFonts w:cs="Times New Roman"/>
          <w:b/>
          <w:lang w:val="en-GB"/>
        </w:rPr>
      </w:pPr>
      <w:r w:rsidRPr="00003D6E">
        <w:rPr>
          <w:rFonts w:cs="Times New Roman"/>
          <w:b/>
          <w:lang w:val="en-GB"/>
        </w:rPr>
        <w:t>Dosage Adjustment</w:t>
      </w:r>
    </w:p>
    <w:p w14:paraId="2BA61482" w14:textId="5E34787F" w:rsidR="00215ECE" w:rsidRPr="00003D6E" w:rsidRDefault="00215ECE" w:rsidP="007B4510">
      <w:pPr>
        <w:spacing w:after="120"/>
        <w:rPr>
          <w:rFonts w:cs="Times New Roman"/>
          <w:bCs/>
          <w:i/>
          <w:iCs/>
          <w:lang w:val="en-GB"/>
        </w:rPr>
      </w:pPr>
      <w:r w:rsidRPr="00003D6E">
        <w:rPr>
          <w:rFonts w:cs="Times New Roman"/>
          <w:bCs/>
          <w:i/>
          <w:iCs/>
          <w:lang w:val="en-GB"/>
        </w:rPr>
        <w:t>Renal impairment</w:t>
      </w:r>
    </w:p>
    <w:p w14:paraId="60443BB7" w14:textId="4FF4D125" w:rsidR="00A10E93" w:rsidRPr="00003D6E" w:rsidRDefault="00A10E93" w:rsidP="00A10E93">
      <w:pPr>
        <w:rPr>
          <w:rFonts w:cs="Times New Roman"/>
          <w:lang w:val="en"/>
        </w:rPr>
      </w:pPr>
      <w:r w:rsidRPr="00003D6E">
        <w:rPr>
          <w:rFonts w:cs="Times New Roman"/>
          <w:lang w:val="en"/>
        </w:rPr>
        <w:t>No dose adjustment is required in patients with renal impairment, including end stage renal disease (ESRD) on dialysis (see Section 5.2</w:t>
      </w:r>
      <w:r w:rsidR="00707011">
        <w:rPr>
          <w:rFonts w:cs="Times New Roman"/>
          <w:lang w:val="en"/>
        </w:rPr>
        <w:t xml:space="preserve"> Pharmacokinetic Properties</w:t>
      </w:r>
      <w:r w:rsidRPr="00003D6E">
        <w:rPr>
          <w:rFonts w:cs="Times New Roman"/>
          <w:lang w:val="en"/>
        </w:rPr>
        <w:t>).</w:t>
      </w:r>
    </w:p>
    <w:p w14:paraId="09243952" w14:textId="533F4C37" w:rsidR="00215ECE" w:rsidRPr="00003D6E" w:rsidRDefault="00215ECE" w:rsidP="007B4510">
      <w:pPr>
        <w:spacing w:after="120"/>
        <w:rPr>
          <w:rFonts w:cs="Times New Roman"/>
          <w:bCs/>
          <w:i/>
          <w:iCs/>
          <w:lang w:val="en-GB"/>
        </w:rPr>
      </w:pPr>
      <w:r w:rsidRPr="00003D6E">
        <w:rPr>
          <w:rFonts w:cs="Times New Roman"/>
          <w:bCs/>
          <w:i/>
          <w:iCs/>
          <w:lang w:val="en-GB"/>
        </w:rPr>
        <w:t>Hepatic impairment</w:t>
      </w:r>
    </w:p>
    <w:p w14:paraId="3E5BAFA0" w14:textId="51EDE8EA" w:rsidR="002D4312" w:rsidRPr="00003D6E" w:rsidRDefault="006E7AD5" w:rsidP="002D4312">
      <w:pPr>
        <w:rPr>
          <w:rFonts w:cs="Times New Roman"/>
          <w:lang w:val="en"/>
        </w:rPr>
      </w:pPr>
      <w:r w:rsidRPr="00003D6E">
        <w:lastRenderedPageBreak/>
        <w:t xml:space="preserve">No dose adjustment is required in patients with mild or moderate hepatic impairment. </w:t>
      </w:r>
      <w:r w:rsidR="005C7ECB" w:rsidRPr="00003D6E">
        <w:rPr>
          <w:rFonts w:cs="Times New Roman"/>
          <w:lang w:val="en"/>
        </w:rPr>
        <w:t>SOTYKTU</w:t>
      </w:r>
      <w:r w:rsidR="002D4312" w:rsidRPr="00003D6E">
        <w:rPr>
          <w:rFonts w:cs="Times New Roman"/>
          <w:lang w:val="en"/>
        </w:rPr>
        <w:t xml:space="preserve"> is not recommended in patients with severe hepatic impairment (Child-Pugh Class C)</w:t>
      </w:r>
      <w:r w:rsidR="00911097" w:rsidRPr="00003D6E">
        <w:rPr>
          <w:rFonts w:cs="Times New Roman"/>
          <w:lang w:val="en"/>
        </w:rPr>
        <w:t xml:space="preserve"> (see Section 5.2</w:t>
      </w:r>
      <w:r w:rsidR="00707011">
        <w:rPr>
          <w:rFonts w:cs="Times New Roman"/>
          <w:lang w:val="en"/>
        </w:rPr>
        <w:t xml:space="preserve"> Pharmacokinetic Properties</w:t>
      </w:r>
      <w:r w:rsidR="00911097" w:rsidRPr="00003D6E">
        <w:rPr>
          <w:rFonts w:cs="Times New Roman"/>
          <w:lang w:val="en"/>
        </w:rPr>
        <w:t>)</w:t>
      </w:r>
      <w:r w:rsidR="002D4312" w:rsidRPr="00003D6E">
        <w:rPr>
          <w:rFonts w:cs="Times New Roman"/>
          <w:lang w:val="en"/>
        </w:rPr>
        <w:t>.</w:t>
      </w:r>
    </w:p>
    <w:p w14:paraId="210C661A" w14:textId="7FE0AD7A" w:rsidR="00215ECE" w:rsidRPr="00003D6E" w:rsidRDefault="00665F7A" w:rsidP="007B4510">
      <w:pPr>
        <w:spacing w:after="120"/>
        <w:rPr>
          <w:rFonts w:cs="Times New Roman"/>
          <w:bCs/>
          <w:i/>
          <w:iCs/>
          <w:lang w:val="en-GB"/>
        </w:rPr>
      </w:pPr>
      <w:r w:rsidRPr="00003D6E">
        <w:rPr>
          <w:rFonts w:cs="Times New Roman"/>
          <w:bCs/>
          <w:i/>
          <w:iCs/>
          <w:lang w:val="en-GB"/>
        </w:rPr>
        <w:t xml:space="preserve">Paediatric </w:t>
      </w:r>
      <w:r w:rsidR="00CF11C6" w:rsidRPr="00003D6E">
        <w:rPr>
          <w:rFonts w:cs="Times New Roman"/>
          <w:bCs/>
          <w:i/>
          <w:iCs/>
          <w:lang w:val="en-GB"/>
        </w:rPr>
        <w:t>population</w:t>
      </w:r>
    </w:p>
    <w:p w14:paraId="696C1276" w14:textId="2F0D2955" w:rsidR="002D4312" w:rsidRPr="00003D6E" w:rsidRDefault="00024B06" w:rsidP="00024B06">
      <w:r w:rsidRPr="00003D6E">
        <w:t xml:space="preserve">The safety and efficacy of </w:t>
      </w:r>
      <w:r w:rsidR="005C7ECB" w:rsidRPr="00003D6E">
        <w:t>SOTYKTU</w:t>
      </w:r>
      <w:r w:rsidRPr="00003D6E">
        <w:t xml:space="preserve"> in p</w:t>
      </w:r>
      <w:r w:rsidR="00445803" w:rsidRPr="00003D6E">
        <w:t>a</w:t>
      </w:r>
      <w:r w:rsidRPr="00003D6E">
        <w:t xml:space="preserve">ediatric patients </w:t>
      </w:r>
      <w:r w:rsidR="00E06D6D" w:rsidRPr="00003D6E">
        <w:t xml:space="preserve">less than 18 years of age </w:t>
      </w:r>
      <w:r w:rsidRPr="00003D6E">
        <w:t>have not been established.</w:t>
      </w:r>
    </w:p>
    <w:p w14:paraId="16C6EF06" w14:textId="784E97E1" w:rsidR="00665F7A" w:rsidRPr="00003D6E" w:rsidRDefault="00665F7A" w:rsidP="007B4510">
      <w:pPr>
        <w:spacing w:after="120"/>
        <w:rPr>
          <w:rFonts w:cs="Times New Roman"/>
          <w:bCs/>
          <w:i/>
          <w:iCs/>
          <w:lang w:val="en-GB"/>
        </w:rPr>
      </w:pPr>
      <w:r w:rsidRPr="00003D6E">
        <w:rPr>
          <w:rFonts w:cs="Times New Roman"/>
          <w:bCs/>
          <w:i/>
          <w:iCs/>
          <w:lang w:val="en-GB"/>
        </w:rPr>
        <w:t>Elderly</w:t>
      </w:r>
      <w:r w:rsidR="00C90CE3" w:rsidRPr="00003D6E">
        <w:rPr>
          <w:rFonts w:cs="Times New Roman"/>
          <w:bCs/>
          <w:i/>
          <w:iCs/>
          <w:lang w:val="en-GB"/>
        </w:rPr>
        <w:t xml:space="preserve"> population </w:t>
      </w:r>
    </w:p>
    <w:p w14:paraId="5413C605" w14:textId="266A5631" w:rsidR="007B4510" w:rsidRPr="00FA6526" w:rsidRDefault="00BB4C2F" w:rsidP="00FA6526">
      <w:pPr>
        <w:jc w:val="left"/>
        <w:rPr>
          <w:rFonts w:eastAsiaTheme="minorEastAsia"/>
          <w:sz w:val="24"/>
          <w:szCs w:val="24"/>
          <w:lang w:val="en-US"/>
        </w:rPr>
      </w:pPr>
      <w:r w:rsidRPr="00003D6E">
        <w:t>No dose adjustment required</w:t>
      </w:r>
      <w:r w:rsidR="00835ADC" w:rsidRPr="00003D6E">
        <w:t xml:space="preserve"> </w:t>
      </w:r>
      <w:r w:rsidR="00CA4D16" w:rsidRPr="00003D6E">
        <w:rPr>
          <w:bCs/>
          <w:iCs/>
        </w:rPr>
        <w:t>in patients</w:t>
      </w:r>
      <w:r w:rsidR="00CA4D16" w:rsidRPr="00003D6E">
        <w:t xml:space="preserve"> </w:t>
      </w:r>
      <w:r w:rsidR="00CA4D16" w:rsidRPr="00003D6E">
        <w:rPr>
          <w:bCs/>
          <w:iCs/>
        </w:rPr>
        <w:t>aged 65 years and older</w:t>
      </w:r>
      <w:r w:rsidR="00835ADC" w:rsidRPr="00003D6E">
        <w:t xml:space="preserve">. </w:t>
      </w:r>
      <w:r w:rsidR="00E74881" w:rsidRPr="00003D6E">
        <w:t>There is limited information in patients aged ≥ 75 years old.</w:t>
      </w:r>
      <w:r w:rsidR="00E74881" w:rsidRPr="00003D6E">
        <w:rPr>
          <w:rFonts w:eastAsiaTheme="minorEastAsia"/>
          <w:sz w:val="24"/>
          <w:szCs w:val="24"/>
        </w:rPr>
        <w:t xml:space="preserve"> </w:t>
      </w:r>
    </w:p>
    <w:p w14:paraId="15A08D21" w14:textId="52ED15F2" w:rsidR="007B4510" w:rsidRPr="00003D6E" w:rsidRDefault="00DD3089" w:rsidP="00DD3089">
      <w:pPr>
        <w:pStyle w:val="Heading2"/>
      </w:pPr>
      <w:r w:rsidRPr="00003D6E">
        <w:t>4.3</w:t>
      </w:r>
      <w:r w:rsidRPr="00003D6E">
        <w:tab/>
      </w:r>
      <w:r w:rsidR="007B4510" w:rsidRPr="00003D6E">
        <w:t>Contraindications</w:t>
      </w:r>
    </w:p>
    <w:p w14:paraId="4B52E043" w14:textId="5C8EAE68" w:rsidR="007B4510" w:rsidRPr="00003D6E" w:rsidRDefault="007B4510" w:rsidP="00526711">
      <w:pPr>
        <w:pStyle w:val="ListParagraph"/>
        <w:numPr>
          <w:ilvl w:val="0"/>
          <w:numId w:val="21"/>
        </w:numPr>
        <w:spacing w:after="160" w:line="259" w:lineRule="auto"/>
      </w:pPr>
      <w:r w:rsidRPr="00003D6E">
        <w:t>Hypersensitivity to the active substance or to any of the excipients</w:t>
      </w:r>
      <w:r w:rsidR="00FB4BD9" w:rsidRPr="00003D6E">
        <w:t xml:space="preserve"> listed in Section 6.1</w:t>
      </w:r>
      <w:r w:rsidR="00FB2CCC">
        <w:t xml:space="preserve"> List of Excipients</w:t>
      </w:r>
      <w:r w:rsidR="00FB4BD9" w:rsidRPr="00003D6E">
        <w:t>.</w:t>
      </w:r>
    </w:p>
    <w:p w14:paraId="4BD510CA" w14:textId="6C6FBF0D" w:rsidR="007B4510" w:rsidRPr="00003D6E" w:rsidRDefault="00DD3089" w:rsidP="00DD3089">
      <w:pPr>
        <w:pStyle w:val="Heading2"/>
      </w:pPr>
      <w:r w:rsidRPr="00003D6E">
        <w:t>4.4</w:t>
      </w:r>
      <w:r w:rsidRPr="00003D6E">
        <w:tab/>
      </w:r>
      <w:r w:rsidR="007B4510" w:rsidRPr="00003D6E">
        <w:t>Special Warnings and Precautions for Use</w:t>
      </w:r>
    </w:p>
    <w:p w14:paraId="53B0041E" w14:textId="77777777" w:rsidR="008B0F92" w:rsidRPr="008B0F92" w:rsidRDefault="008B0F92" w:rsidP="008B0F92">
      <w:pPr>
        <w:pStyle w:val="Heading3"/>
        <w:rPr>
          <w:rFonts w:cs="Times New Roman"/>
        </w:rPr>
      </w:pPr>
      <w:r w:rsidRPr="008B0F92">
        <w:rPr>
          <w:rFonts w:cs="Times New Roman"/>
        </w:rPr>
        <w:t>Hypersensitivity</w:t>
      </w:r>
    </w:p>
    <w:p w14:paraId="229AE47E" w14:textId="78FFF602" w:rsidR="008B0F92" w:rsidRPr="008B0F92" w:rsidRDefault="008B0F92" w:rsidP="008B0F92">
      <w:r w:rsidRPr="008B0F92">
        <w:t>Hypersensitivity reactions have been reported in clinical trials with SOTYKTU, although causality is not established. If a clinically significant hypersensitivity reaction occurs, institute appropriate therapy and discontinue SOTYKTU.</w:t>
      </w:r>
    </w:p>
    <w:p w14:paraId="1BC646D1" w14:textId="55151369" w:rsidR="004F7BE3" w:rsidRPr="00003D6E" w:rsidRDefault="00866885" w:rsidP="007B4510">
      <w:pPr>
        <w:pStyle w:val="Heading3"/>
        <w:rPr>
          <w:rFonts w:cs="Times New Roman"/>
        </w:rPr>
      </w:pPr>
      <w:r w:rsidRPr="00003D6E">
        <w:rPr>
          <w:rFonts w:cs="Times New Roman"/>
        </w:rPr>
        <w:t>Infections</w:t>
      </w:r>
    </w:p>
    <w:p w14:paraId="5E14C19B" w14:textId="2F654912" w:rsidR="00271C9C" w:rsidRPr="00003D6E" w:rsidRDefault="00887513" w:rsidP="00E757CA">
      <w:r w:rsidRPr="00A742FB">
        <w:t>Serious infections have been reported in clinical trials with SOTYKTU (see Section 4.8</w:t>
      </w:r>
      <w:r w:rsidR="0095152D">
        <w:t xml:space="preserve"> Adverse </w:t>
      </w:r>
      <w:r w:rsidR="00F87454">
        <w:t>Effects [Undesirable Effects]</w:t>
      </w:r>
      <w:r w:rsidRPr="00A742FB">
        <w:t>).</w:t>
      </w:r>
      <w:r w:rsidR="00E757CA" w:rsidRPr="00003D6E">
        <w:t xml:space="preserve"> </w:t>
      </w:r>
    </w:p>
    <w:p w14:paraId="3228AAF7" w14:textId="5BB112A7" w:rsidR="003F222B" w:rsidRPr="00003D6E" w:rsidRDefault="00E757CA" w:rsidP="00E757CA">
      <w:r w:rsidRPr="00003D6E">
        <w:t xml:space="preserve">Treatment with </w:t>
      </w:r>
      <w:r w:rsidR="005C7ECB" w:rsidRPr="00003D6E">
        <w:t>SOTYKTU</w:t>
      </w:r>
      <w:r w:rsidRPr="00003D6E">
        <w:t xml:space="preserve"> should not be initiated in patients with any clinically important active infection until the infection resolves or is adequately treated. </w:t>
      </w:r>
      <w:r w:rsidR="009C7BE2" w:rsidRPr="00003D6E">
        <w:rPr>
          <w:noProof/>
        </w:rPr>
        <w:t>In patients with a chronic infection or a history of recurrent infection, deucravacitinib should be used with caution.</w:t>
      </w:r>
    </w:p>
    <w:p w14:paraId="0C81D32A" w14:textId="402E4F79" w:rsidR="00304113" w:rsidRDefault="00304113" w:rsidP="00304113">
      <w:pPr>
        <w:rPr>
          <w:noProof/>
        </w:rPr>
      </w:pPr>
      <w:bookmarkStart w:id="0" w:name="_Toc78294966"/>
      <w:r w:rsidRPr="00003D6E">
        <w:rPr>
          <w:noProof/>
        </w:rPr>
        <w:t xml:space="preserve">Patients treated with </w:t>
      </w:r>
      <w:r w:rsidR="005C7ECB" w:rsidRPr="00003D6E">
        <w:t>SOTYKTU</w:t>
      </w:r>
      <w:r w:rsidRPr="00003D6E">
        <w:rPr>
          <w:noProof/>
        </w:rPr>
        <w:t xml:space="preserve"> should be instructed to seek medical advice if signs or symptoms of clinically important infection occur. If a patient develops such an infection or is not responding to standard therapy, the patient </w:t>
      </w:r>
      <w:r w:rsidRPr="00003D6E">
        <w:t>should be monitored</w:t>
      </w:r>
      <w:r w:rsidRPr="00003D6E">
        <w:rPr>
          <w:noProof/>
        </w:rPr>
        <w:t xml:space="preserve"> closely and </w:t>
      </w:r>
      <w:r w:rsidR="005C7ECB" w:rsidRPr="00003D6E">
        <w:t>SOTYKTU</w:t>
      </w:r>
      <w:r w:rsidRPr="00003D6E">
        <w:rPr>
          <w:noProof/>
        </w:rPr>
        <w:t xml:space="preserve"> discontinued until the infection resolves.</w:t>
      </w:r>
    </w:p>
    <w:p w14:paraId="5E46BC97" w14:textId="77777777" w:rsidR="00A742FB" w:rsidRPr="00A742FB" w:rsidRDefault="00A742FB" w:rsidP="00A742FB">
      <w:pPr>
        <w:rPr>
          <w:u w:val="single"/>
        </w:rPr>
      </w:pPr>
      <w:r w:rsidRPr="00A742FB">
        <w:rPr>
          <w:u w:val="single"/>
        </w:rPr>
        <w:t>Viral Reactivation</w:t>
      </w:r>
    </w:p>
    <w:p w14:paraId="5ABDD022" w14:textId="7662249D" w:rsidR="00A742FB" w:rsidRPr="00A742FB" w:rsidRDefault="00A742FB" w:rsidP="00A742FB">
      <w:r w:rsidRPr="00A742FB">
        <w:t>Herpes virus reactivation (</w:t>
      </w:r>
      <w:proofErr w:type="gramStart"/>
      <w:r w:rsidRPr="00A742FB">
        <w:t>e.g</w:t>
      </w:r>
      <w:r w:rsidR="00E64574">
        <w:t>.</w:t>
      </w:r>
      <w:proofErr w:type="gramEnd"/>
      <w:r w:rsidRPr="00A742FB">
        <w:t xml:space="preserve"> herpes zoster, herpes simplex) was reported in clinical trials with SOTYKTU (see Section 4.8</w:t>
      </w:r>
      <w:r w:rsidR="00F87454">
        <w:t xml:space="preserve"> Adverse Effects [Undesirable Effects]</w:t>
      </w:r>
      <w:r w:rsidRPr="00A742FB">
        <w:t xml:space="preserve">). </w:t>
      </w:r>
    </w:p>
    <w:p w14:paraId="3EE69C0B" w14:textId="77777777" w:rsidR="00A742FB" w:rsidRPr="00A742FB" w:rsidRDefault="00A742FB" w:rsidP="00A742FB">
      <w:r w:rsidRPr="00A742FB">
        <w:t xml:space="preserve">The impact of SOTYKTU on chronic viral hepatitis reactivation is unknown. Patients with positive screening tests for hepatitis B or C, or chronic hepatitis B, or untreated hepatitis C were excluded from clinical trials. Consider viral hepatitis screening and monitoring for reactivation in accordance with clinical guidelines before starting therapy and during therapy with SOTYKTU. </w:t>
      </w:r>
    </w:p>
    <w:p w14:paraId="39D96CE4" w14:textId="6A050446" w:rsidR="0049001E" w:rsidRPr="00003D6E" w:rsidRDefault="0049001E" w:rsidP="0049001E">
      <w:pPr>
        <w:pStyle w:val="Heading3"/>
        <w:rPr>
          <w:rFonts w:cs="Times New Roman"/>
        </w:rPr>
      </w:pPr>
      <w:r w:rsidRPr="00003D6E">
        <w:rPr>
          <w:rFonts w:cs="Times New Roman"/>
        </w:rPr>
        <w:t>Pre-treatment Evaluation for Tuberculosis</w:t>
      </w:r>
      <w:bookmarkEnd w:id="0"/>
    </w:p>
    <w:p w14:paraId="6A843D51" w14:textId="7E16FAF1" w:rsidR="00C46E4F" w:rsidRPr="00003D6E" w:rsidRDefault="007C4E8C" w:rsidP="007C4E8C">
      <w:pPr>
        <w:rPr>
          <w:noProof/>
        </w:rPr>
      </w:pPr>
      <w:r w:rsidRPr="00003D6E">
        <w:rPr>
          <w:noProof/>
        </w:rPr>
        <w:t xml:space="preserve">Prior to initiating treatment with </w:t>
      </w:r>
      <w:r w:rsidR="005C7ECB" w:rsidRPr="00003D6E">
        <w:t>SOTYKTU</w:t>
      </w:r>
      <w:r w:rsidRPr="00003D6E">
        <w:rPr>
          <w:noProof/>
        </w:rPr>
        <w:t xml:space="preserve">, patients should be evaluated for tuberculosis (TB) infection. Do not administer </w:t>
      </w:r>
      <w:r w:rsidR="005C7ECB" w:rsidRPr="00003D6E">
        <w:t>SOTYKTU</w:t>
      </w:r>
      <w:r w:rsidRPr="00003D6E">
        <w:rPr>
          <w:noProof/>
        </w:rPr>
        <w:t xml:space="preserve"> to patients with active TB. </w:t>
      </w:r>
    </w:p>
    <w:p w14:paraId="5D81E56B" w14:textId="42A3B42B" w:rsidR="007C4E8C" w:rsidRDefault="007C4E8C" w:rsidP="007C4E8C">
      <w:pPr>
        <w:rPr>
          <w:noProof/>
        </w:rPr>
      </w:pPr>
      <w:r w:rsidRPr="00003D6E">
        <w:rPr>
          <w:noProof/>
        </w:rPr>
        <w:lastRenderedPageBreak/>
        <w:t xml:space="preserve">Anti-TB treatment should be considered prior to initiating </w:t>
      </w:r>
      <w:r w:rsidR="005C7ECB" w:rsidRPr="00003D6E">
        <w:t>SOTYKTU</w:t>
      </w:r>
      <w:r w:rsidRPr="00003D6E">
        <w:rPr>
          <w:noProof/>
        </w:rPr>
        <w:t xml:space="preserve"> in patients with active TB or a past history of latent TB in whom an adequate course of treatment cannot be confirmed. Patients receiving </w:t>
      </w:r>
      <w:r w:rsidR="005C7ECB" w:rsidRPr="00003D6E">
        <w:t>SOTYKTU</w:t>
      </w:r>
      <w:r w:rsidRPr="00003D6E">
        <w:rPr>
          <w:noProof/>
        </w:rPr>
        <w:t xml:space="preserve"> should be monitored for signs and symptoms of active TB.</w:t>
      </w:r>
    </w:p>
    <w:p w14:paraId="195E9353" w14:textId="656BAA47" w:rsidR="003971BD" w:rsidRPr="00003D6E" w:rsidRDefault="003971BD" w:rsidP="003971BD">
      <w:pPr>
        <w:pStyle w:val="Heading3"/>
        <w:rPr>
          <w:rFonts w:cs="Times New Roman"/>
        </w:rPr>
      </w:pPr>
      <w:bookmarkStart w:id="1" w:name="_Toc78294967"/>
      <w:r w:rsidRPr="00003D6E">
        <w:rPr>
          <w:rFonts w:cs="Times New Roman"/>
        </w:rPr>
        <w:t>Malignanc</w:t>
      </w:r>
      <w:r w:rsidR="00D83FA2" w:rsidRPr="00003D6E">
        <w:rPr>
          <w:rFonts w:cs="Times New Roman"/>
        </w:rPr>
        <w:t>ies</w:t>
      </w:r>
    </w:p>
    <w:p w14:paraId="4A92484E" w14:textId="44671909" w:rsidR="00CC7776" w:rsidRPr="00CC7776" w:rsidRDefault="003971BD" w:rsidP="00CC7776">
      <w:pPr>
        <w:rPr>
          <w:noProof/>
        </w:rPr>
      </w:pPr>
      <w:r w:rsidRPr="00003D6E">
        <w:rPr>
          <w:noProof/>
        </w:rPr>
        <w:t xml:space="preserve">The risk of malignancies is increased in patients with psoriasis. </w:t>
      </w:r>
      <w:r w:rsidR="00CC7776" w:rsidRPr="00CC7776">
        <w:rPr>
          <w:noProof/>
        </w:rPr>
        <w:t xml:space="preserve"> Malignancies, including lymphomas, were observed in clinical trials with SOTYKTU (see Section 4.8</w:t>
      </w:r>
      <w:r w:rsidR="00F87454">
        <w:rPr>
          <w:noProof/>
        </w:rPr>
        <w:t xml:space="preserve"> </w:t>
      </w:r>
      <w:r w:rsidR="00F87454">
        <w:t>Adverse Effects [Undesirable Effects]</w:t>
      </w:r>
      <w:r w:rsidR="00CC7776" w:rsidRPr="00CC7776">
        <w:rPr>
          <w:noProof/>
        </w:rPr>
        <w:t>). Consider the benefits and risks for the individual patient prior to initiating or continuing therapy with SOTYKTU, particularly in patients with a known malignancy (other than a successfully treated non-melanoma skin cancer</w:t>
      </w:r>
      <w:r w:rsidR="00763702">
        <w:rPr>
          <w:noProof/>
        </w:rPr>
        <w:t xml:space="preserve"> </w:t>
      </w:r>
      <w:r w:rsidR="00BC393B">
        <w:rPr>
          <w:noProof/>
        </w:rPr>
        <w:t>[NMSC]</w:t>
      </w:r>
      <w:r w:rsidR="00CC7776" w:rsidRPr="00CC7776">
        <w:rPr>
          <w:noProof/>
        </w:rPr>
        <w:t>) and patients who develop a malignancy when on treatment with SOTYKTU.</w:t>
      </w:r>
    </w:p>
    <w:p w14:paraId="596871F2" w14:textId="77777777" w:rsidR="00CC7776" w:rsidRPr="00CC7776" w:rsidRDefault="00CC7776" w:rsidP="00CC7776">
      <w:pPr>
        <w:rPr>
          <w:noProof/>
        </w:rPr>
      </w:pPr>
      <w:r w:rsidRPr="00CC7776">
        <w:rPr>
          <w:noProof/>
        </w:rPr>
        <w:t>NMSCs have been reported in patients treated with SOTYKTU. Periodic skin examination is recommended for patients who are at increased risk for skin cancer.</w:t>
      </w:r>
    </w:p>
    <w:p w14:paraId="41220543" w14:textId="637F4346" w:rsidR="009828BE" w:rsidRPr="00003D6E" w:rsidRDefault="009828BE" w:rsidP="009828BE">
      <w:pPr>
        <w:pStyle w:val="Heading3"/>
        <w:rPr>
          <w:rFonts w:cs="Times New Roman"/>
        </w:rPr>
      </w:pPr>
      <w:r w:rsidRPr="00003D6E">
        <w:rPr>
          <w:rFonts w:cs="Times New Roman"/>
        </w:rPr>
        <w:t>Immunisations</w:t>
      </w:r>
      <w:bookmarkEnd w:id="1"/>
    </w:p>
    <w:p w14:paraId="2B030507" w14:textId="29972653" w:rsidR="003B14DD" w:rsidRDefault="003B14DD" w:rsidP="003B14DD">
      <w:r w:rsidRPr="00003D6E">
        <w:t xml:space="preserve">Prior to initiating therapy with </w:t>
      </w:r>
      <w:r w:rsidR="005C7ECB" w:rsidRPr="00003D6E">
        <w:t>SOTYKTU</w:t>
      </w:r>
      <w:r w:rsidRPr="00003D6E">
        <w:t>, consider completion of all age</w:t>
      </w:r>
      <w:r w:rsidR="006169FA" w:rsidRPr="00003D6E">
        <w:t>-</w:t>
      </w:r>
      <w:r w:rsidRPr="00003D6E">
        <w:t xml:space="preserve">appropriate immunisations according to current immunisation guidelines. Avoid use of live vaccines in patients </w:t>
      </w:r>
      <w:r w:rsidR="00D858E4" w:rsidRPr="00003D6E">
        <w:t xml:space="preserve">being </w:t>
      </w:r>
      <w:r w:rsidRPr="00003D6E">
        <w:t xml:space="preserve">treated with </w:t>
      </w:r>
      <w:r w:rsidR="005C7ECB" w:rsidRPr="00003D6E">
        <w:t>SOTYKTU</w:t>
      </w:r>
      <w:r w:rsidRPr="00003D6E">
        <w:t xml:space="preserve">. </w:t>
      </w:r>
      <w:r w:rsidR="00321338" w:rsidRPr="00003D6E">
        <w:t>The response to live or non-live vaccines has not been evaluated.</w:t>
      </w:r>
    </w:p>
    <w:p w14:paraId="7140A281" w14:textId="713A6F84" w:rsidR="00BC0180" w:rsidRPr="00BC0180" w:rsidRDefault="00BC0180" w:rsidP="00BC0180">
      <w:pPr>
        <w:pStyle w:val="Heading3"/>
        <w:rPr>
          <w:rFonts w:cs="Times New Roman"/>
        </w:rPr>
      </w:pPr>
      <w:r w:rsidRPr="00BC0180">
        <w:rPr>
          <w:rFonts w:cs="Times New Roman"/>
        </w:rPr>
        <w:t>Potential risks of JAK inhibition</w:t>
      </w:r>
    </w:p>
    <w:p w14:paraId="57A72BD8" w14:textId="6EEEC49B" w:rsidR="00BC0180" w:rsidRDefault="00BC0180" w:rsidP="00BC0180">
      <w:r w:rsidRPr="00BC0180">
        <w:t>It is not known whether TYK2 inhibition may be associated with the observed or potential adverse reactions of Janus Kinase (JAK) inhibition (see Section 5.1</w:t>
      </w:r>
      <w:r w:rsidR="00060994">
        <w:t xml:space="preserve"> Pharmacodynamic Propert</w:t>
      </w:r>
      <w:r w:rsidR="000B5984">
        <w:t>ies</w:t>
      </w:r>
      <w:r w:rsidRPr="00BC0180">
        <w:t>). In a large, randomi</w:t>
      </w:r>
      <w:r w:rsidR="008D5FE3">
        <w:t>s</w:t>
      </w:r>
      <w:r w:rsidRPr="00BC0180">
        <w:t xml:space="preserve">ed, </w:t>
      </w:r>
      <w:proofErr w:type="spellStart"/>
      <w:r w:rsidRPr="00BC0180">
        <w:t>postmarketing</w:t>
      </w:r>
      <w:proofErr w:type="spellEnd"/>
      <w:r w:rsidRPr="00BC0180">
        <w:t xml:space="preserve"> safety trial of a JAK inhibitor in rheumatoid arthritis (RA), patients 50 years of age and older with at least one cardiovascular risk factor, higher rates of all-cause mortality, including sudden cardiovascular death, major adverse cardiovascular events, overall thrombosis, deep venous thrombosis, pulmonary embolism, and malignancies (excluding non-melanoma skin cancer) were observed in patients treated with the JAK inhibitor compared to those treated with TNF blockers. SOTYKTU </w:t>
      </w:r>
      <w:r w:rsidR="00A4205D">
        <w:t>has not been studied</w:t>
      </w:r>
      <w:r w:rsidR="001D5279">
        <w:t xml:space="preserve"> nor </w:t>
      </w:r>
      <w:r w:rsidRPr="00BC0180">
        <w:t>approved for use in RA.</w:t>
      </w:r>
    </w:p>
    <w:p w14:paraId="216FF527" w14:textId="77777777" w:rsidR="0078035A" w:rsidRPr="009A7324" w:rsidRDefault="0078035A" w:rsidP="009A7324">
      <w:pPr>
        <w:pStyle w:val="Heading3"/>
        <w:rPr>
          <w:rFonts w:cs="Times New Roman"/>
        </w:rPr>
      </w:pPr>
      <w:r w:rsidRPr="009A7324">
        <w:rPr>
          <w:rFonts w:cs="Times New Roman"/>
        </w:rPr>
        <w:t>Laboratory abnormalities</w:t>
      </w:r>
    </w:p>
    <w:p w14:paraId="5F1CA8AA" w14:textId="77777777" w:rsidR="0078035A" w:rsidRPr="0012375A" w:rsidRDefault="0078035A" w:rsidP="0078035A">
      <w:pPr>
        <w:rPr>
          <w:u w:val="single"/>
        </w:rPr>
      </w:pPr>
      <w:r w:rsidRPr="0012375A">
        <w:rPr>
          <w:u w:val="single"/>
        </w:rPr>
        <w:t>Elevated CPK and rhabdomyolysis</w:t>
      </w:r>
    </w:p>
    <w:p w14:paraId="5A0E7E88" w14:textId="28D8C2A3" w:rsidR="0078035A" w:rsidRPr="00DE14DC" w:rsidRDefault="0078035A" w:rsidP="0078035A">
      <w:r w:rsidRPr="00DE14DC">
        <w:t xml:space="preserve">Discontinue SOTYKTU if markedly elevated CPK levels </w:t>
      </w:r>
      <w:proofErr w:type="gramStart"/>
      <w:r w:rsidRPr="00DE14DC">
        <w:t>occur</w:t>
      </w:r>
      <w:proofErr w:type="gramEnd"/>
      <w:r w:rsidRPr="00DE14DC">
        <w:t xml:space="preserve"> or myopathy is diagnosed or suspected. Instruct patients to promptly report any unexplained muscle pain, </w:t>
      </w:r>
      <w:proofErr w:type="gramStart"/>
      <w:r w:rsidRPr="00DE14DC">
        <w:t>tenderness</w:t>
      </w:r>
      <w:proofErr w:type="gramEnd"/>
      <w:r w:rsidRPr="00DE14DC">
        <w:t xml:space="preserve"> or weakness, particularly if accompanied by malaise or fever</w:t>
      </w:r>
      <w:r w:rsidR="00D21EA7">
        <w:t xml:space="preserve"> </w:t>
      </w:r>
      <w:r w:rsidR="00D21EA7" w:rsidRPr="00CC7776">
        <w:rPr>
          <w:noProof/>
        </w:rPr>
        <w:t>(see Section 4.8</w:t>
      </w:r>
      <w:r w:rsidR="00D21EA7">
        <w:rPr>
          <w:noProof/>
        </w:rPr>
        <w:t xml:space="preserve"> </w:t>
      </w:r>
      <w:r w:rsidR="00D21EA7">
        <w:t>Adverse Effects [Undesirable Effects]</w:t>
      </w:r>
      <w:r w:rsidR="00D21EA7" w:rsidRPr="00CC7776">
        <w:rPr>
          <w:noProof/>
        </w:rPr>
        <w:t>)</w:t>
      </w:r>
      <w:r w:rsidRPr="00DE14DC">
        <w:t>.</w:t>
      </w:r>
    </w:p>
    <w:p w14:paraId="79190EA7" w14:textId="77777777" w:rsidR="0078035A" w:rsidRPr="0012375A" w:rsidRDefault="0078035A" w:rsidP="0078035A">
      <w:pPr>
        <w:rPr>
          <w:u w:val="single"/>
        </w:rPr>
      </w:pPr>
      <w:r w:rsidRPr="0012375A">
        <w:rPr>
          <w:u w:val="single"/>
        </w:rPr>
        <w:t>Triglyceride Elevations</w:t>
      </w:r>
    </w:p>
    <w:p w14:paraId="249F14D8" w14:textId="60ECF36E" w:rsidR="0078035A" w:rsidRPr="009D02BD" w:rsidRDefault="0078035A" w:rsidP="0078035A">
      <w:r w:rsidRPr="009D02BD">
        <w:t xml:space="preserve">Periodically evaluate serum triglycerides according to the clinical guidelines for </w:t>
      </w:r>
      <w:proofErr w:type="spellStart"/>
      <w:r w:rsidRPr="009D02BD">
        <w:t>hyperlipidemia</w:t>
      </w:r>
      <w:proofErr w:type="spellEnd"/>
      <w:r w:rsidRPr="009D02BD">
        <w:t xml:space="preserve"> while patients are receiving treatment with SOTYKTU. Manage patients according to clinical guidelines for the management of </w:t>
      </w:r>
      <w:proofErr w:type="spellStart"/>
      <w:r w:rsidRPr="009D02BD">
        <w:t>hyperlipidemia</w:t>
      </w:r>
      <w:proofErr w:type="spellEnd"/>
      <w:r w:rsidR="0070741B">
        <w:t xml:space="preserve"> </w:t>
      </w:r>
      <w:r w:rsidR="0070741B" w:rsidRPr="00CC7776">
        <w:rPr>
          <w:noProof/>
        </w:rPr>
        <w:t>(see Section 4.8</w:t>
      </w:r>
      <w:r w:rsidR="0070741B">
        <w:rPr>
          <w:noProof/>
        </w:rPr>
        <w:t xml:space="preserve"> </w:t>
      </w:r>
      <w:r w:rsidR="0070741B">
        <w:t>Adverse Effects [Undesirable Effects]</w:t>
      </w:r>
      <w:r w:rsidR="0070741B" w:rsidRPr="00CC7776">
        <w:rPr>
          <w:noProof/>
        </w:rPr>
        <w:t>)</w:t>
      </w:r>
      <w:r w:rsidRPr="009D02BD">
        <w:t xml:space="preserve">. </w:t>
      </w:r>
    </w:p>
    <w:p w14:paraId="05EF6E00" w14:textId="77777777" w:rsidR="0078035A" w:rsidRPr="0012375A" w:rsidRDefault="0078035A" w:rsidP="0078035A">
      <w:pPr>
        <w:rPr>
          <w:u w:val="single"/>
        </w:rPr>
      </w:pPr>
      <w:r w:rsidRPr="0012375A">
        <w:rPr>
          <w:u w:val="single"/>
        </w:rPr>
        <w:t>Liver Enzyme Elevations</w:t>
      </w:r>
    </w:p>
    <w:p w14:paraId="67682268" w14:textId="26677033" w:rsidR="0078035A" w:rsidRPr="00BC0180" w:rsidRDefault="0078035A" w:rsidP="00BC0180">
      <w:r w:rsidRPr="009D02BD">
        <w:t>Evaluate liver enzymes at baseline and thereafter in patients with known or suspected liver disease according to routine patient management. If treatment-related increases in liver enzymes occur and drug-induced liver injury is suspected, interrupt SOTYKTU until a diagnosis of liver injury is excluded</w:t>
      </w:r>
      <w:r w:rsidR="0070741B">
        <w:t xml:space="preserve"> </w:t>
      </w:r>
      <w:r w:rsidR="0070741B" w:rsidRPr="00CC7776">
        <w:rPr>
          <w:noProof/>
        </w:rPr>
        <w:t>(see Section 4.8</w:t>
      </w:r>
      <w:r w:rsidR="0070741B">
        <w:rPr>
          <w:noProof/>
        </w:rPr>
        <w:t xml:space="preserve"> </w:t>
      </w:r>
      <w:r w:rsidR="0070741B">
        <w:t>Adverse Effects [Undesirable Effects]</w:t>
      </w:r>
      <w:r w:rsidR="0070741B" w:rsidRPr="00CC7776">
        <w:rPr>
          <w:noProof/>
        </w:rPr>
        <w:t>)</w:t>
      </w:r>
      <w:r w:rsidRPr="009D02BD">
        <w:t>.</w:t>
      </w:r>
    </w:p>
    <w:p w14:paraId="2474B5E4" w14:textId="77777777" w:rsidR="00EF1E9F" w:rsidRPr="00003D6E" w:rsidRDefault="00EF1E9F" w:rsidP="007B4510">
      <w:pPr>
        <w:pStyle w:val="Heading3"/>
        <w:rPr>
          <w:rFonts w:cs="Times New Roman"/>
        </w:rPr>
      </w:pPr>
      <w:r w:rsidRPr="00003D6E">
        <w:rPr>
          <w:rFonts w:cs="Times New Roman"/>
        </w:rPr>
        <w:lastRenderedPageBreak/>
        <w:t>Use in Elderly</w:t>
      </w:r>
    </w:p>
    <w:p w14:paraId="4904EF14" w14:textId="7E916E46" w:rsidR="00EF1E9F" w:rsidRDefault="00EF1E9F" w:rsidP="00EF1E9F">
      <w:r w:rsidRPr="00003D6E">
        <w:t>Of the 1519</w:t>
      </w:r>
      <w:r w:rsidR="001A0FB9" w:rsidRPr="00003D6E">
        <w:t> </w:t>
      </w:r>
      <w:r w:rsidRPr="00003D6E">
        <w:t xml:space="preserve">patients with plaque psoriasis treated with </w:t>
      </w:r>
      <w:r w:rsidR="005C7ECB" w:rsidRPr="00003D6E">
        <w:t>SOTYKTU</w:t>
      </w:r>
      <w:r w:rsidRPr="00003D6E">
        <w:t>, 152</w:t>
      </w:r>
      <w:r w:rsidR="001A0FB9" w:rsidRPr="00003D6E">
        <w:t> </w:t>
      </w:r>
      <w:r w:rsidRPr="00003D6E">
        <w:t>patients were 65</w:t>
      </w:r>
      <w:r w:rsidR="001A0FB9" w:rsidRPr="00003D6E">
        <w:t> </w:t>
      </w:r>
      <w:r w:rsidRPr="00003D6E">
        <w:t>years or older and 21</w:t>
      </w:r>
      <w:r w:rsidR="001A0FB9" w:rsidRPr="00003D6E">
        <w:t> </w:t>
      </w:r>
      <w:r w:rsidRPr="00003D6E">
        <w:t>patients were 75</w:t>
      </w:r>
      <w:r w:rsidR="001A0FB9" w:rsidRPr="00003D6E">
        <w:t> </w:t>
      </w:r>
      <w:r w:rsidRPr="00003D6E">
        <w:t>years or older</w:t>
      </w:r>
      <w:r w:rsidR="00564CE8" w:rsidRPr="00003D6E">
        <w:t xml:space="preserve"> (see Section 4.2</w:t>
      </w:r>
      <w:r w:rsidR="000B5984">
        <w:t xml:space="preserve"> Dose and Method of Administration</w:t>
      </w:r>
      <w:r w:rsidR="00564CE8" w:rsidRPr="00003D6E">
        <w:t>)</w:t>
      </w:r>
      <w:r w:rsidRPr="00003D6E">
        <w:t xml:space="preserve">. No overall differences in </w:t>
      </w:r>
      <w:proofErr w:type="spellStart"/>
      <w:r w:rsidRPr="00003D6E">
        <w:t>deucravacitinib</w:t>
      </w:r>
      <w:proofErr w:type="spellEnd"/>
      <w:r w:rsidRPr="00003D6E">
        <w:t xml:space="preserve"> effectiveness were observed between </w:t>
      </w:r>
      <w:r w:rsidR="00DC2E4D">
        <w:t xml:space="preserve">patients 65 years </w:t>
      </w:r>
      <w:r w:rsidR="00A17B06">
        <w:t xml:space="preserve">of age and </w:t>
      </w:r>
      <w:r w:rsidRPr="00003D6E">
        <w:t xml:space="preserve">older and younger </w:t>
      </w:r>
      <w:r w:rsidR="00A17B06">
        <w:t xml:space="preserve">adult </w:t>
      </w:r>
      <w:r w:rsidRPr="00003D6E">
        <w:t xml:space="preserve">patients who received </w:t>
      </w:r>
      <w:r w:rsidR="005C7ECB" w:rsidRPr="00003D6E">
        <w:t>SOTYKTU</w:t>
      </w:r>
      <w:r w:rsidRPr="00003D6E">
        <w:t>.</w:t>
      </w:r>
    </w:p>
    <w:p w14:paraId="18AFFB1B" w14:textId="14C15404" w:rsidR="00C8087A" w:rsidRPr="00C8087A" w:rsidRDefault="00C8087A" w:rsidP="00C8087A">
      <w:r w:rsidRPr="00C8087A">
        <w:t xml:space="preserve">During the Week 0-16 period, for those subjects (80 subjects ≥ 65 years old, including 12 subjects ≥ 75 years old) who received SOTYKTU without switching treatment arms, there was a higher rate of overall serious adverse events, including serious infections, and discontinuations due to adverse events compared with younger adults. Subjects </w:t>
      </w:r>
      <w:r w:rsidR="00677269">
        <w:t xml:space="preserve">in this age group </w:t>
      </w:r>
      <w:r w:rsidRPr="00C8087A">
        <w:t>who received placebo and apremilast</w:t>
      </w:r>
      <w:r w:rsidR="00677269">
        <w:t xml:space="preserve"> also</w:t>
      </w:r>
      <w:r w:rsidRPr="00C8087A">
        <w:t xml:space="preserve"> experienced a similar higher rate of overall serious adverse events.</w:t>
      </w:r>
    </w:p>
    <w:p w14:paraId="274CBB0D" w14:textId="2B8BCC43" w:rsidR="007B4510" w:rsidRPr="00003D6E" w:rsidRDefault="007B4510" w:rsidP="00EF1E9F">
      <w:pPr>
        <w:pStyle w:val="Heading3"/>
        <w:rPr>
          <w:rFonts w:cs="Times New Roman"/>
        </w:rPr>
      </w:pPr>
      <w:r w:rsidRPr="00003D6E">
        <w:rPr>
          <w:rFonts w:cs="Times New Roman"/>
        </w:rPr>
        <w:t>Paediatric Use</w:t>
      </w:r>
    </w:p>
    <w:p w14:paraId="46C49119" w14:textId="41476CAA" w:rsidR="00992D3A" w:rsidRPr="00003D6E" w:rsidRDefault="00992D3A" w:rsidP="00992D3A">
      <w:r w:rsidRPr="00003D6E">
        <w:t xml:space="preserve">The safety and efficacy of </w:t>
      </w:r>
      <w:r w:rsidR="005C7ECB" w:rsidRPr="00003D6E">
        <w:t>SOTYKTU</w:t>
      </w:r>
      <w:r w:rsidRPr="00003D6E">
        <w:t xml:space="preserve"> in paediatric patients less than 18</w:t>
      </w:r>
      <w:r w:rsidR="001A0FB9" w:rsidRPr="00003D6E">
        <w:t> </w:t>
      </w:r>
      <w:r w:rsidRPr="00003D6E">
        <w:t>years of age have not been established.</w:t>
      </w:r>
    </w:p>
    <w:p w14:paraId="663FA0F6" w14:textId="1476453C" w:rsidR="007B4510" w:rsidRPr="00003D6E" w:rsidRDefault="007B4510" w:rsidP="007B4510">
      <w:pPr>
        <w:pStyle w:val="Heading3"/>
        <w:rPr>
          <w:rFonts w:cs="Times New Roman"/>
        </w:rPr>
      </w:pPr>
      <w:r w:rsidRPr="00003D6E">
        <w:rPr>
          <w:rFonts w:cs="Times New Roman"/>
        </w:rPr>
        <w:t>Effects on Laboratory Tests</w:t>
      </w:r>
    </w:p>
    <w:p w14:paraId="34ECB35D" w14:textId="53E8CA1E" w:rsidR="00F63241" w:rsidRPr="00DE14DC" w:rsidRDefault="000529CF" w:rsidP="00F63241">
      <w:pPr>
        <w:rPr>
          <w:b/>
          <w:bCs/>
        </w:rPr>
      </w:pPr>
      <w:r w:rsidRPr="00003D6E">
        <w:t>No data available</w:t>
      </w:r>
      <w:r w:rsidR="004648C9" w:rsidRPr="00003D6E">
        <w:t>.</w:t>
      </w:r>
    </w:p>
    <w:p w14:paraId="1BA6999C" w14:textId="702CCECA" w:rsidR="007B4510" w:rsidRPr="00003D6E" w:rsidRDefault="00AE3BDE" w:rsidP="00AE3BDE">
      <w:pPr>
        <w:pStyle w:val="Heading2"/>
      </w:pPr>
      <w:r w:rsidRPr="00003D6E">
        <w:t>4.5</w:t>
      </w:r>
      <w:r w:rsidRPr="00003D6E">
        <w:tab/>
      </w:r>
      <w:r w:rsidR="007B4510" w:rsidRPr="00003D6E">
        <w:t>Interactions with Other Medicines and Other Forms of Interactions</w:t>
      </w:r>
    </w:p>
    <w:p w14:paraId="018C032A" w14:textId="28D6FF12" w:rsidR="00393D07" w:rsidRPr="00003D6E" w:rsidRDefault="00393D07" w:rsidP="00393D07">
      <w:pPr>
        <w:pStyle w:val="Heading3"/>
        <w:rPr>
          <w:rFonts w:cs="Times New Roman"/>
        </w:rPr>
      </w:pPr>
      <w:bookmarkStart w:id="2" w:name="_Toc1971384"/>
      <w:bookmarkStart w:id="3" w:name="_Toc2059772"/>
      <w:bookmarkStart w:id="4" w:name="_Toc2060981"/>
      <w:bookmarkStart w:id="5" w:name="_Toc2061088"/>
      <w:bookmarkStart w:id="6" w:name="_Toc2061599"/>
      <w:bookmarkStart w:id="7" w:name="_Toc2061663"/>
      <w:bookmarkStart w:id="8" w:name="_Toc2061728"/>
      <w:bookmarkStart w:id="9" w:name="_Toc2062044"/>
      <w:bookmarkStart w:id="10" w:name="_Toc78294973"/>
      <w:r w:rsidRPr="00003D6E">
        <w:rPr>
          <w:rFonts w:cs="Times New Roman"/>
        </w:rPr>
        <w:t xml:space="preserve">Effect of other </w:t>
      </w:r>
      <w:r w:rsidR="00A523A0" w:rsidRPr="00003D6E">
        <w:rPr>
          <w:rFonts w:cs="Times New Roman"/>
        </w:rPr>
        <w:t>medicinal products</w:t>
      </w:r>
      <w:r w:rsidRPr="00003D6E">
        <w:rPr>
          <w:rFonts w:cs="Times New Roman"/>
        </w:rPr>
        <w:t xml:space="preserve"> on</w:t>
      </w:r>
      <w:bookmarkEnd w:id="2"/>
      <w:bookmarkEnd w:id="3"/>
      <w:bookmarkEnd w:id="4"/>
      <w:bookmarkEnd w:id="5"/>
      <w:bookmarkEnd w:id="6"/>
      <w:bookmarkEnd w:id="7"/>
      <w:bookmarkEnd w:id="8"/>
      <w:bookmarkEnd w:id="9"/>
      <w:bookmarkEnd w:id="10"/>
      <w:r w:rsidR="004975CD" w:rsidRPr="00003D6E">
        <w:rPr>
          <w:rFonts w:cs="Times New Roman"/>
        </w:rPr>
        <w:t xml:space="preserve"> </w:t>
      </w:r>
      <w:proofErr w:type="spellStart"/>
      <w:r w:rsidR="00EB1148" w:rsidRPr="00003D6E">
        <w:rPr>
          <w:rFonts w:cs="Times New Roman"/>
        </w:rPr>
        <w:t>deucravacitinib</w:t>
      </w:r>
      <w:proofErr w:type="spellEnd"/>
    </w:p>
    <w:p w14:paraId="4E5F5D56" w14:textId="485D841C" w:rsidR="00B81079" w:rsidRPr="00003D6E" w:rsidRDefault="00B81079" w:rsidP="00B81079">
      <w:proofErr w:type="spellStart"/>
      <w:r w:rsidRPr="00003D6E">
        <w:t>Deucravacitinib</w:t>
      </w:r>
      <w:proofErr w:type="spellEnd"/>
      <w:r w:rsidRPr="00003D6E">
        <w:t xml:space="preserve"> is eliminated via multiple pathways, including Phase I and II metabolism, direct renal and f</w:t>
      </w:r>
      <w:r w:rsidR="00F9007B" w:rsidRPr="00003D6E">
        <w:t>a</w:t>
      </w:r>
      <w:r w:rsidRPr="00003D6E">
        <w:t>ecal elimination with no single pathway predominantly responsible for elimination. Therefore, major drug interactions via inhibition or induction of a pathway are not anticipated.</w:t>
      </w:r>
    </w:p>
    <w:p w14:paraId="67893400" w14:textId="0CEDEB63" w:rsidR="00A6156B" w:rsidRPr="00003D6E" w:rsidRDefault="00A6156B" w:rsidP="00B81079">
      <w:proofErr w:type="spellStart"/>
      <w:r w:rsidRPr="00003D6E">
        <w:t>Deucravacitinib</w:t>
      </w:r>
      <w:proofErr w:type="spellEnd"/>
      <w:r w:rsidRPr="00003D6E">
        <w:t xml:space="preserve"> is a substrate of efflux transporters, P-</w:t>
      </w:r>
      <w:proofErr w:type="gramStart"/>
      <w:r w:rsidRPr="00003D6E">
        <w:t>glycoprotein</w:t>
      </w:r>
      <w:proofErr w:type="gramEnd"/>
      <w:r w:rsidRPr="00003D6E">
        <w:t xml:space="preserve"> and breast cancer resistance protein (BCRP) and uptake transporter OCT1. Due to high passive permeability, high oral bioavailability and low affinity for these transporters, contribution of these transporters to </w:t>
      </w:r>
      <w:proofErr w:type="spellStart"/>
      <w:r w:rsidRPr="00003D6E">
        <w:t>deucravacitinib</w:t>
      </w:r>
      <w:proofErr w:type="spellEnd"/>
      <w:r w:rsidRPr="00003D6E">
        <w:t xml:space="preserve"> pharmacokinetics is minimal. </w:t>
      </w:r>
      <w:proofErr w:type="spellStart"/>
      <w:r w:rsidRPr="00003D6E">
        <w:t>Deucravacitinib</w:t>
      </w:r>
      <w:proofErr w:type="spellEnd"/>
      <w:r w:rsidRPr="00003D6E">
        <w:t xml:space="preserve"> is not a substrate of transporters OATP, NTCP, OAT1, OAT2, OAT3, OCT2, MATE1, or MATE2K.</w:t>
      </w:r>
    </w:p>
    <w:p w14:paraId="3B8C7C0B" w14:textId="57141969" w:rsidR="00B81079" w:rsidRPr="00003D6E" w:rsidRDefault="00B81079" w:rsidP="00B81079">
      <w:r w:rsidRPr="00003D6E">
        <w:t xml:space="preserve">In dedicated drug interaction studies, no clinically meaningful changes in </w:t>
      </w:r>
      <w:proofErr w:type="spellStart"/>
      <w:r w:rsidRPr="00003D6E">
        <w:t>deucravacitinib</w:t>
      </w:r>
      <w:proofErr w:type="spellEnd"/>
      <w:r w:rsidRPr="00003D6E">
        <w:t xml:space="preserve"> were noted following coadministration of c</w:t>
      </w:r>
      <w:r w:rsidR="00CD53A4" w:rsidRPr="00003D6E">
        <w:t>i</w:t>
      </w:r>
      <w:r w:rsidRPr="00003D6E">
        <w:t xml:space="preserve">closporin (dual </w:t>
      </w:r>
      <w:proofErr w:type="spellStart"/>
      <w:r w:rsidRPr="00003D6E">
        <w:t>Pgp</w:t>
      </w:r>
      <w:proofErr w:type="spellEnd"/>
      <w:r w:rsidRPr="00003D6E">
        <w:t>/BCRP inhibitor), fluvoxamine (CYP1A2 inhibitor), ritonavir (CYP1A2 inducer), diflunisal (UGT 1A9 inhibitor), pyrimethamine (OCT1 inhibitor), and gastric pH modulating agents like famotidine (H2 receptor antagonist) or rabeprazole (proton pump inhibitor).</w:t>
      </w:r>
    </w:p>
    <w:p w14:paraId="52EFE34D" w14:textId="177F76A2" w:rsidR="00B81079" w:rsidRPr="00003D6E" w:rsidRDefault="00B81079" w:rsidP="00B81079">
      <w:r w:rsidRPr="00003D6E">
        <w:t xml:space="preserve">No dose adjustment for </w:t>
      </w:r>
      <w:proofErr w:type="spellStart"/>
      <w:r w:rsidRPr="00003D6E">
        <w:t>deucravacitinib</w:t>
      </w:r>
      <w:proofErr w:type="spellEnd"/>
      <w:r w:rsidRPr="00003D6E">
        <w:t xml:space="preserve"> is required when </w:t>
      </w:r>
      <w:proofErr w:type="spellStart"/>
      <w:r w:rsidRPr="00003D6E">
        <w:t>coadministered</w:t>
      </w:r>
      <w:proofErr w:type="spellEnd"/>
      <w:r w:rsidRPr="00003D6E">
        <w:t xml:space="preserve"> with </w:t>
      </w:r>
      <w:proofErr w:type="spellStart"/>
      <w:r w:rsidRPr="00003D6E">
        <w:t>Pgp</w:t>
      </w:r>
      <w:proofErr w:type="spellEnd"/>
      <w:r w:rsidRPr="00003D6E">
        <w:t>/BCRP inhibitors, strong CYP1A2 inhibitors, CYP1A2 inducers, UGT1A9 inhibitors, OCT1 inhibitors, or gastric pH modulators.</w:t>
      </w:r>
    </w:p>
    <w:p w14:paraId="63E3D7B1" w14:textId="48922551" w:rsidR="007959C3" w:rsidRPr="00003D6E" w:rsidRDefault="007959C3" w:rsidP="007959C3">
      <w:pPr>
        <w:pStyle w:val="Heading3"/>
        <w:rPr>
          <w:rFonts w:cs="Times New Roman"/>
        </w:rPr>
      </w:pPr>
      <w:bookmarkStart w:id="11" w:name="_Toc1971385"/>
      <w:bookmarkStart w:id="12" w:name="_Toc2059773"/>
      <w:bookmarkStart w:id="13" w:name="_Toc2060982"/>
      <w:bookmarkStart w:id="14" w:name="_Toc2061089"/>
      <w:bookmarkStart w:id="15" w:name="_Toc2061600"/>
      <w:bookmarkStart w:id="16" w:name="_Toc2061664"/>
      <w:bookmarkStart w:id="17" w:name="_Toc2061729"/>
      <w:bookmarkStart w:id="18" w:name="_Toc2062045"/>
      <w:bookmarkStart w:id="19" w:name="_Toc78294974"/>
      <w:r w:rsidRPr="00003D6E">
        <w:rPr>
          <w:rFonts w:cs="Times New Roman"/>
        </w:rPr>
        <w:t>Effect of</w:t>
      </w:r>
      <w:r w:rsidR="004975CD" w:rsidRPr="00003D6E">
        <w:rPr>
          <w:rFonts w:cs="Times New Roman"/>
        </w:rPr>
        <w:t xml:space="preserve"> </w:t>
      </w:r>
      <w:proofErr w:type="spellStart"/>
      <w:r w:rsidR="009006AA" w:rsidRPr="00003D6E">
        <w:rPr>
          <w:rFonts w:cs="Times New Roman"/>
        </w:rPr>
        <w:t>deucravacitinib</w:t>
      </w:r>
      <w:proofErr w:type="spellEnd"/>
      <w:r w:rsidRPr="00003D6E">
        <w:rPr>
          <w:rFonts w:cs="Times New Roman"/>
        </w:rPr>
        <w:t xml:space="preserve"> on other </w:t>
      </w:r>
      <w:bookmarkEnd w:id="11"/>
      <w:bookmarkEnd w:id="12"/>
      <w:bookmarkEnd w:id="13"/>
      <w:bookmarkEnd w:id="14"/>
      <w:bookmarkEnd w:id="15"/>
      <w:bookmarkEnd w:id="16"/>
      <w:bookmarkEnd w:id="17"/>
      <w:bookmarkEnd w:id="18"/>
      <w:bookmarkEnd w:id="19"/>
      <w:r w:rsidR="00A523A0" w:rsidRPr="00003D6E">
        <w:rPr>
          <w:rFonts w:cs="Times New Roman"/>
        </w:rPr>
        <w:t>medicinal products</w:t>
      </w:r>
    </w:p>
    <w:p w14:paraId="6B60C6F3" w14:textId="59739CC3" w:rsidR="00A73F43" w:rsidRPr="00003D6E" w:rsidRDefault="007019E0" w:rsidP="00A73F43">
      <w:r w:rsidRPr="00003D6E">
        <w:t xml:space="preserve">Based on </w:t>
      </w:r>
      <w:r w:rsidR="00CA33B3" w:rsidRPr="00003D6E">
        <w:rPr>
          <w:i/>
          <w:iCs/>
        </w:rPr>
        <w:t>in vitro</w:t>
      </w:r>
      <w:r w:rsidRPr="00003D6E">
        <w:t xml:space="preserve"> data for </w:t>
      </w:r>
      <w:proofErr w:type="spellStart"/>
      <w:r w:rsidRPr="00003D6E">
        <w:t>deucravacitinib</w:t>
      </w:r>
      <w:proofErr w:type="spellEnd"/>
      <w:r w:rsidRPr="00003D6E">
        <w:t xml:space="preserve"> and its major circulating metabolites and clinical drug interaction studies, co-administration of </w:t>
      </w:r>
      <w:proofErr w:type="spellStart"/>
      <w:r w:rsidRPr="00003D6E">
        <w:t>deucravacitinib</w:t>
      </w:r>
      <w:proofErr w:type="spellEnd"/>
      <w:r w:rsidRPr="00003D6E">
        <w:t xml:space="preserve"> at 6</w:t>
      </w:r>
      <w:r w:rsidR="004A3DCC" w:rsidRPr="00003D6E">
        <w:t> </w:t>
      </w:r>
      <w:r w:rsidRPr="00003D6E">
        <w:t>mg daily is not expected to have clinically relevant effect</w:t>
      </w:r>
      <w:r w:rsidR="00CA33B3" w:rsidRPr="00003D6E">
        <w:t>s</w:t>
      </w:r>
      <w:r w:rsidRPr="00003D6E">
        <w:t xml:space="preserve"> on exposures of agents that are substrates of CYPs (1A2, 2B6, 2C8, 2C9, 2C19, 2D6, 3A4), UGTs (1A1, </w:t>
      </w:r>
      <w:r w:rsidR="00CA33B3" w:rsidRPr="00003D6E">
        <w:t>1</w:t>
      </w:r>
      <w:r w:rsidRPr="00003D6E">
        <w:t>A4, 1A6, 1A9, 2B7), CES2 and drug transporters (</w:t>
      </w:r>
      <w:proofErr w:type="spellStart"/>
      <w:r w:rsidRPr="00003D6E">
        <w:t>Pgp</w:t>
      </w:r>
      <w:proofErr w:type="spellEnd"/>
      <w:r w:rsidRPr="00003D6E">
        <w:t xml:space="preserve">, </w:t>
      </w:r>
      <w:r w:rsidR="009134A8" w:rsidRPr="00003D6E">
        <w:t xml:space="preserve"> NTCP,</w:t>
      </w:r>
      <w:r w:rsidRPr="00003D6E">
        <w:t xml:space="preserve"> OATP1B1, OATP1B3, BSEP, MRP2, OAT1, OAT3, OCT1, OCT2, MATE1, and MATE2K).</w:t>
      </w:r>
      <w:r w:rsidR="00A73F43" w:rsidRPr="00003D6E">
        <w:t xml:space="preserve"> </w:t>
      </w:r>
    </w:p>
    <w:p w14:paraId="4996EBFE" w14:textId="19577869" w:rsidR="007019E0" w:rsidRPr="00003D6E" w:rsidRDefault="007019E0" w:rsidP="007019E0">
      <w:r w:rsidRPr="00003D6E">
        <w:lastRenderedPageBreak/>
        <w:t xml:space="preserve">In dedicated drug interaction studies, </w:t>
      </w:r>
      <w:proofErr w:type="spellStart"/>
      <w:r w:rsidRPr="00003D6E">
        <w:t>deucravacitinib</w:t>
      </w:r>
      <w:proofErr w:type="spellEnd"/>
      <w:r w:rsidRPr="00003D6E">
        <w:t xml:space="preserve"> did not have a meaningful effect on exposures of concomitant medications rosuvastatin, methotrexate, mycophenolate mofetil (MMF) or oral contraceptives (norethindrone acetate and ethinyl </w:t>
      </w:r>
      <w:proofErr w:type="spellStart"/>
      <w:r w:rsidRPr="00003D6E">
        <w:t>estradiol</w:t>
      </w:r>
      <w:proofErr w:type="spellEnd"/>
      <w:r w:rsidRPr="00003D6E">
        <w:t>).</w:t>
      </w:r>
    </w:p>
    <w:p w14:paraId="2DA3F84B" w14:textId="77777777" w:rsidR="002F4777" w:rsidRPr="00003D6E" w:rsidRDefault="002F4777" w:rsidP="002F4777">
      <w:pPr>
        <w:keepNext/>
        <w:rPr>
          <w:noProof/>
        </w:rPr>
      </w:pPr>
      <w:r w:rsidRPr="00003D6E">
        <w:rPr>
          <w:noProof/>
          <w:u w:val="single"/>
        </w:rPr>
        <w:t>Concomitant immunosuppressive therapy</w:t>
      </w:r>
    </w:p>
    <w:p w14:paraId="7051C4EA" w14:textId="7DD86E2A" w:rsidR="002F4777" w:rsidRPr="00003D6E" w:rsidRDefault="002F4777" w:rsidP="007019E0">
      <w:r w:rsidRPr="00003D6E">
        <w:rPr>
          <w:noProof/>
        </w:rPr>
        <w:t>The safety and efficacy of deucravacitinib in combination with immunosuppressants, including biologics</w:t>
      </w:r>
      <w:r w:rsidR="00467FB2">
        <w:rPr>
          <w:noProof/>
        </w:rPr>
        <w:t>,</w:t>
      </w:r>
      <w:r w:rsidRPr="00003D6E">
        <w:rPr>
          <w:noProof/>
        </w:rPr>
        <w:t xml:space="preserve"> have not been evaluated</w:t>
      </w:r>
      <w:r w:rsidR="0060677F" w:rsidRPr="00003D6E">
        <w:rPr>
          <w:noProof/>
        </w:rPr>
        <w:t xml:space="preserve"> in patients with psoriasis</w:t>
      </w:r>
      <w:r w:rsidRPr="00003D6E">
        <w:rPr>
          <w:noProof/>
        </w:rPr>
        <w:t>.</w:t>
      </w:r>
    </w:p>
    <w:p w14:paraId="1109F487" w14:textId="09732F5C" w:rsidR="007B4510" w:rsidRPr="00003D6E" w:rsidRDefault="00AE3BDE" w:rsidP="00AE3BDE">
      <w:pPr>
        <w:pStyle w:val="Heading2"/>
      </w:pPr>
      <w:r w:rsidRPr="00003D6E">
        <w:t>4.6</w:t>
      </w:r>
      <w:r w:rsidRPr="00003D6E">
        <w:tab/>
      </w:r>
      <w:r w:rsidR="007B4510" w:rsidRPr="00003D6E">
        <w:t xml:space="preserve">Fertility, Pregnancy and Lactation </w:t>
      </w:r>
    </w:p>
    <w:p w14:paraId="45F68A20" w14:textId="17ACAB1E" w:rsidR="007B4510" w:rsidRPr="00003D6E" w:rsidRDefault="007B4510" w:rsidP="007B4510">
      <w:pPr>
        <w:pStyle w:val="Heading3"/>
        <w:rPr>
          <w:rFonts w:cs="Times New Roman"/>
        </w:rPr>
      </w:pPr>
      <w:r w:rsidRPr="00003D6E">
        <w:rPr>
          <w:rFonts w:cs="Times New Roman"/>
        </w:rPr>
        <w:t>Effects on Fertility</w:t>
      </w:r>
    </w:p>
    <w:p w14:paraId="6D320C83" w14:textId="635F2C63" w:rsidR="00D522CE" w:rsidRPr="00003D6E" w:rsidRDefault="00D522CE" w:rsidP="00D522CE">
      <w:pPr>
        <w:keepNext/>
        <w:rPr>
          <w:bCs/>
          <w:i/>
          <w:iCs/>
        </w:rPr>
      </w:pPr>
      <w:r w:rsidRPr="00003D6E">
        <w:rPr>
          <w:rStyle w:val="style1"/>
        </w:rPr>
        <w:t xml:space="preserve">The effect of </w:t>
      </w:r>
      <w:proofErr w:type="spellStart"/>
      <w:r w:rsidRPr="00003D6E">
        <w:rPr>
          <w:rStyle w:val="style1"/>
        </w:rPr>
        <w:t>deucravacitinib</w:t>
      </w:r>
      <w:proofErr w:type="spellEnd"/>
      <w:r w:rsidRPr="00003D6E">
        <w:rPr>
          <w:rStyle w:val="style1"/>
        </w:rPr>
        <w:t xml:space="preserve"> on human fertility has not been evaluated. Animal studies do not indicate direct or indirect harmful effects with respect to fertility.</w:t>
      </w:r>
    </w:p>
    <w:p w14:paraId="2588EB2D" w14:textId="6BCE7CFD" w:rsidR="003A4609" w:rsidRPr="00003D6E" w:rsidRDefault="003A4609" w:rsidP="003A4609">
      <w:r w:rsidRPr="00003D6E">
        <w:t xml:space="preserve">In male rats, </w:t>
      </w:r>
      <w:proofErr w:type="spellStart"/>
      <w:r w:rsidRPr="00003D6E">
        <w:t>deucravacitinib</w:t>
      </w:r>
      <w:proofErr w:type="spellEnd"/>
      <w:r w:rsidRPr="00003D6E">
        <w:t xml:space="preserve"> had no effects on reproductive parameters (mating, fertility, and sperm morphology) or early embryonic development of their offspring at oral doses up to 50</w:t>
      </w:r>
      <w:r w:rsidR="009857DF" w:rsidRPr="00003D6E">
        <w:t> </w:t>
      </w:r>
      <w:r w:rsidRPr="00003D6E">
        <w:t xml:space="preserve">mg/kg/day and exposure </w:t>
      </w:r>
      <w:r w:rsidR="00130EE6" w:rsidRPr="00003D6E">
        <w:t xml:space="preserve">to total </w:t>
      </w:r>
      <w:proofErr w:type="gramStart"/>
      <w:r w:rsidR="00130EE6" w:rsidRPr="00003D6E">
        <w:t>pharmacologically-active</w:t>
      </w:r>
      <w:proofErr w:type="gramEnd"/>
      <w:r w:rsidR="00130EE6" w:rsidRPr="00003D6E">
        <w:t xml:space="preserve"> material </w:t>
      </w:r>
      <w:r w:rsidRPr="00003D6E">
        <w:t xml:space="preserve">approximately </w:t>
      </w:r>
      <w:r w:rsidR="00130EE6" w:rsidRPr="00003D6E">
        <w:t>248</w:t>
      </w:r>
      <w:r w:rsidR="004A3DCC" w:rsidRPr="00003D6E">
        <w:t> </w:t>
      </w:r>
      <w:r w:rsidRPr="00003D6E">
        <w:t xml:space="preserve">times the </w:t>
      </w:r>
      <w:r w:rsidR="00576D3C" w:rsidRPr="00003D6E">
        <w:t xml:space="preserve">maximum </w:t>
      </w:r>
      <w:r w:rsidR="008A0A66" w:rsidRPr="00003D6E">
        <w:t>recommended human dose (</w:t>
      </w:r>
      <w:r w:rsidR="00576D3C" w:rsidRPr="00003D6E">
        <w:t>M</w:t>
      </w:r>
      <w:r w:rsidRPr="00003D6E">
        <w:t>RHD</w:t>
      </w:r>
      <w:r w:rsidR="008A0A66" w:rsidRPr="00003D6E">
        <w:t>)</w:t>
      </w:r>
      <w:r w:rsidRPr="00003D6E">
        <w:t>.</w:t>
      </w:r>
    </w:p>
    <w:p w14:paraId="562D5E56" w14:textId="738CE728" w:rsidR="003A4609" w:rsidRPr="00003D6E" w:rsidRDefault="003A4609" w:rsidP="003A4609">
      <w:r w:rsidRPr="00003D6E">
        <w:t xml:space="preserve">In female rats, </w:t>
      </w:r>
      <w:proofErr w:type="spellStart"/>
      <w:r w:rsidRPr="00003D6E">
        <w:t>deucravacitinib</w:t>
      </w:r>
      <w:proofErr w:type="spellEnd"/>
      <w:r w:rsidRPr="00003D6E">
        <w:t xml:space="preserve"> had no effects on mating, fertility, or early embryonic parameters at oral doses up to 50</w:t>
      </w:r>
      <w:r w:rsidR="009857DF" w:rsidRPr="00003D6E">
        <w:t> </w:t>
      </w:r>
      <w:r w:rsidRPr="00003D6E">
        <w:t xml:space="preserve">mg/kg/day and exposure approximately </w:t>
      </w:r>
      <w:r w:rsidR="00A35EFE" w:rsidRPr="00003D6E">
        <w:t>144</w:t>
      </w:r>
      <w:r w:rsidR="004A3DCC" w:rsidRPr="00003D6E">
        <w:t> </w:t>
      </w:r>
      <w:r w:rsidRPr="00003D6E">
        <w:t xml:space="preserve">times the </w:t>
      </w:r>
      <w:r w:rsidR="00A35EFE" w:rsidRPr="00003D6E">
        <w:t>M</w:t>
      </w:r>
      <w:r w:rsidRPr="00003D6E">
        <w:t>RHD.</w:t>
      </w:r>
    </w:p>
    <w:p w14:paraId="64B1E97C" w14:textId="6B787966" w:rsidR="007B4510" w:rsidRPr="00003D6E" w:rsidRDefault="007B4510" w:rsidP="007B4510">
      <w:pPr>
        <w:pStyle w:val="Heading3"/>
        <w:rPr>
          <w:rFonts w:cs="Times New Roman"/>
        </w:rPr>
      </w:pPr>
      <w:r w:rsidRPr="00003D6E">
        <w:rPr>
          <w:rFonts w:cs="Times New Roman"/>
        </w:rPr>
        <w:t xml:space="preserve">Use in Pregnancy – Pregnancy Category </w:t>
      </w:r>
      <w:r w:rsidR="00DF57BB" w:rsidRPr="00003D6E">
        <w:rPr>
          <w:rFonts w:cs="Times New Roman"/>
        </w:rPr>
        <w:t>B1</w:t>
      </w:r>
    </w:p>
    <w:p w14:paraId="1B61232C" w14:textId="6FF0BB71" w:rsidR="00A512CE" w:rsidRPr="00003D6E" w:rsidRDefault="00A512CE" w:rsidP="00A512CE">
      <w:r w:rsidRPr="00003D6E">
        <w:t xml:space="preserve">There are no adequate and well-controlled studies of </w:t>
      </w:r>
      <w:proofErr w:type="spellStart"/>
      <w:r w:rsidR="00207805" w:rsidRPr="00003D6E">
        <w:t>deucravacitinib</w:t>
      </w:r>
      <w:proofErr w:type="spellEnd"/>
      <w:r w:rsidRPr="00003D6E">
        <w:t xml:space="preserve"> use in pregnant women. The data with </w:t>
      </w:r>
      <w:proofErr w:type="spellStart"/>
      <w:r w:rsidR="00207805" w:rsidRPr="00003D6E">
        <w:t>deucravacitinib</w:t>
      </w:r>
      <w:proofErr w:type="spellEnd"/>
      <w:r w:rsidRPr="00003D6E">
        <w:t xml:space="preserve"> use in pregnant women are insufficient to inform on drug-associated risk.</w:t>
      </w:r>
      <w:r w:rsidR="005654B1" w:rsidRPr="00003D6E">
        <w:t xml:space="preserve"> Animal studies do not indicate direct or indirect harmful effects with respect to reproductive toxicity.</w:t>
      </w:r>
    </w:p>
    <w:p w14:paraId="20AEE26E" w14:textId="707E390D" w:rsidR="00A512CE" w:rsidRPr="00003D6E" w:rsidRDefault="00A512CE" w:rsidP="00A512CE">
      <w:proofErr w:type="spellStart"/>
      <w:r w:rsidRPr="00003D6E">
        <w:t>Deucravacitinib</w:t>
      </w:r>
      <w:proofErr w:type="spellEnd"/>
      <w:r w:rsidRPr="00003D6E">
        <w:t xml:space="preserve"> was administered orally during the period of organogenesis at doses of </w:t>
      </w:r>
      <w:r w:rsidR="007860E8" w:rsidRPr="00003D6E">
        <w:t>up to</w:t>
      </w:r>
      <w:r w:rsidRPr="00003D6E">
        <w:t xml:space="preserve"> 75</w:t>
      </w:r>
      <w:r w:rsidR="0036369D" w:rsidRPr="00003D6E">
        <w:t> </w:t>
      </w:r>
      <w:r w:rsidRPr="00003D6E">
        <w:t xml:space="preserve">mg/kg/day in rats and </w:t>
      </w:r>
      <w:r w:rsidR="007860E8" w:rsidRPr="00003D6E">
        <w:t>up to</w:t>
      </w:r>
      <w:r w:rsidRPr="00003D6E">
        <w:t xml:space="preserve"> 10</w:t>
      </w:r>
      <w:r w:rsidR="0036369D" w:rsidRPr="00003D6E">
        <w:t> </w:t>
      </w:r>
      <w:r w:rsidRPr="00003D6E">
        <w:t xml:space="preserve">mg/kg/day in rabbits. </w:t>
      </w:r>
      <w:proofErr w:type="spellStart"/>
      <w:r w:rsidRPr="00003D6E">
        <w:t>Deucravacitinib</w:t>
      </w:r>
      <w:proofErr w:type="spellEnd"/>
      <w:r w:rsidRPr="00003D6E">
        <w:t xml:space="preserve"> was neither embryo-lethal nor teratogenic at the highest doses tested in either species. These doses resulted in maternal exposures (AUC) </w:t>
      </w:r>
      <w:r w:rsidR="00B269DC" w:rsidRPr="00003D6E">
        <w:t xml:space="preserve">to total </w:t>
      </w:r>
      <w:proofErr w:type="gramStart"/>
      <w:r w:rsidR="00B269DC" w:rsidRPr="00003D6E">
        <w:t>pharmacologically-active</w:t>
      </w:r>
      <w:proofErr w:type="gramEnd"/>
      <w:r w:rsidR="00B269DC" w:rsidRPr="00003D6E">
        <w:t xml:space="preserve"> material </w:t>
      </w:r>
      <w:r w:rsidRPr="00003D6E">
        <w:t xml:space="preserve">that were approximately </w:t>
      </w:r>
      <w:r w:rsidR="00B269DC" w:rsidRPr="00003D6E">
        <w:t>223</w:t>
      </w:r>
      <w:r w:rsidR="00824839" w:rsidRPr="00003D6E">
        <w:t> </w:t>
      </w:r>
      <w:r w:rsidRPr="00003D6E">
        <w:t xml:space="preserve">times (rat) or </w:t>
      </w:r>
      <w:r w:rsidR="00B269DC" w:rsidRPr="00003D6E">
        <w:t>23</w:t>
      </w:r>
      <w:r w:rsidR="00824839" w:rsidRPr="00003D6E">
        <w:t> </w:t>
      </w:r>
      <w:r w:rsidRPr="00003D6E">
        <w:t xml:space="preserve">times (rabbit) the exposure at the </w:t>
      </w:r>
      <w:r w:rsidR="00D6561C" w:rsidRPr="00003D6E">
        <w:t>M</w:t>
      </w:r>
      <w:r w:rsidRPr="00003D6E">
        <w:t xml:space="preserve">RHD. </w:t>
      </w:r>
    </w:p>
    <w:p w14:paraId="47F4956E" w14:textId="2B03647C" w:rsidR="000C6778" w:rsidRPr="00003D6E" w:rsidRDefault="00A512CE" w:rsidP="00A512CE">
      <w:r w:rsidRPr="00003D6E">
        <w:t xml:space="preserve">In a pre- and post-natal development study in rats, </w:t>
      </w:r>
      <w:proofErr w:type="spellStart"/>
      <w:r w:rsidRPr="00003D6E">
        <w:t>deucravacitinib</w:t>
      </w:r>
      <w:proofErr w:type="spellEnd"/>
      <w:r w:rsidRPr="00003D6E">
        <w:t xml:space="preserve"> was administered from gestation day 6 through lactation day 20, at doses of 5, 15, or 50</w:t>
      </w:r>
      <w:r w:rsidR="0036369D" w:rsidRPr="00003D6E">
        <w:t> </w:t>
      </w:r>
      <w:r w:rsidRPr="00003D6E">
        <w:t>mg/kg/day. At 50</w:t>
      </w:r>
      <w:r w:rsidR="0036369D" w:rsidRPr="00003D6E">
        <w:t> </w:t>
      </w:r>
      <w:r w:rsidRPr="00003D6E">
        <w:t>mg/kg/day, pup body weight</w:t>
      </w:r>
      <w:r w:rsidR="003132F8" w:rsidRPr="00003D6E">
        <w:t xml:space="preserve"> gain</w:t>
      </w:r>
      <w:r w:rsidRPr="00003D6E">
        <w:t xml:space="preserve"> </w:t>
      </w:r>
      <w:r w:rsidR="003132F8" w:rsidRPr="00003D6E">
        <w:t>was lower</w:t>
      </w:r>
      <w:r w:rsidRPr="00003D6E">
        <w:t xml:space="preserve">, relative to control values, during the pre-weaning period; during post-weaning, their weights caught up and were comparable to those in control offspring </w:t>
      </w:r>
      <w:r w:rsidR="003132F8" w:rsidRPr="00003D6E">
        <w:t>after</w:t>
      </w:r>
      <w:r w:rsidRPr="00003D6E">
        <w:t xml:space="preserve"> postnatal days 73 or 35 in males and females, respectively. There were no additional adverse findings in the F1 offspring, nor in F2 intrauterine survival. Maternal exposures</w:t>
      </w:r>
      <w:r w:rsidR="00B50787" w:rsidRPr="00003D6E">
        <w:t xml:space="preserve"> to total </w:t>
      </w:r>
      <w:proofErr w:type="gramStart"/>
      <w:r w:rsidR="00B50787" w:rsidRPr="00003D6E">
        <w:t>pharmacologically-active</w:t>
      </w:r>
      <w:proofErr w:type="gramEnd"/>
      <w:r w:rsidR="00B50787" w:rsidRPr="00003D6E">
        <w:t xml:space="preserve"> material</w:t>
      </w:r>
      <w:r w:rsidRPr="00003D6E">
        <w:t xml:space="preserve"> at 50</w:t>
      </w:r>
      <w:r w:rsidR="00EB777F" w:rsidRPr="00003D6E">
        <w:t> </w:t>
      </w:r>
      <w:r w:rsidRPr="00003D6E">
        <w:t xml:space="preserve">mg/kg/day were approximately </w:t>
      </w:r>
      <w:r w:rsidR="00B50787" w:rsidRPr="00003D6E">
        <w:t>92</w:t>
      </w:r>
      <w:r w:rsidR="00824839" w:rsidRPr="00003D6E">
        <w:t> </w:t>
      </w:r>
      <w:r w:rsidRPr="00003D6E">
        <w:t xml:space="preserve">times the </w:t>
      </w:r>
      <w:r w:rsidR="00D6561C" w:rsidRPr="00003D6E">
        <w:t>M</w:t>
      </w:r>
      <w:r w:rsidRPr="00003D6E">
        <w:t>RHD.</w:t>
      </w:r>
    </w:p>
    <w:p w14:paraId="075AB1B4" w14:textId="6E2DF406" w:rsidR="007B4510" w:rsidRPr="00003D6E" w:rsidRDefault="007B4510" w:rsidP="007B4510">
      <w:pPr>
        <w:pStyle w:val="Heading3"/>
        <w:rPr>
          <w:rFonts w:cs="Times New Roman"/>
        </w:rPr>
      </w:pPr>
      <w:r w:rsidRPr="00003D6E">
        <w:rPr>
          <w:rFonts w:cs="Times New Roman"/>
        </w:rPr>
        <w:t>Use in Lactation</w:t>
      </w:r>
    </w:p>
    <w:p w14:paraId="002D7D19" w14:textId="77777777" w:rsidR="00736C44" w:rsidRPr="00003D6E" w:rsidRDefault="00736C44" w:rsidP="00AB4EE9">
      <w:pPr>
        <w:rPr>
          <w:rFonts w:eastAsia="SimSun"/>
          <w:lang w:val="en-US" w:eastAsia="zh-CN"/>
        </w:rPr>
      </w:pPr>
      <w:r w:rsidRPr="00003D6E">
        <w:rPr>
          <w:rFonts w:eastAsia="SimSun"/>
          <w:lang w:val="en-US" w:eastAsia="zh-CN"/>
        </w:rPr>
        <w:t xml:space="preserve">It is unknown whether </w:t>
      </w:r>
      <w:r w:rsidRPr="00003D6E">
        <w:rPr>
          <w:noProof/>
        </w:rPr>
        <w:t>deucravacitinib</w:t>
      </w:r>
      <w:r w:rsidRPr="00003D6E">
        <w:rPr>
          <w:rFonts w:eastAsia="SimSun"/>
          <w:lang w:val="en-US" w:eastAsia="zh-CN"/>
        </w:rPr>
        <w:t>/metabolites are excreted in human milk.</w:t>
      </w:r>
    </w:p>
    <w:p w14:paraId="73F786A2" w14:textId="12772D73" w:rsidR="005A0BA3" w:rsidRPr="00003D6E" w:rsidRDefault="005A0BA3" w:rsidP="00AB4EE9">
      <w:r w:rsidRPr="00003D6E">
        <w:t>A single oral dose of 5</w:t>
      </w:r>
      <w:r w:rsidR="00EB777F" w:rsidRPr="00003D6E">
        <w:t> </w:t>
      </w:r>
      <w:r w:rsidRPr="00003D6E">
        <w:t xml:space="preserve">mg/kg </w:t>
      </w:r>
      <w:proofErr w:type="spellStart"/>
      <w:r w:rsidRPr="00003D6E">
        <w:t>radiolabeled</w:t>
      </w:r>
      <w:proofErr w:type="spellEnd"/>
      <w:r w:rsidRPr="00003D6E">
        <w:t xml:space="preserve"> </w:t>
      </w:r>
      <w:proofErr w:type="spellStart"/>
      <w:r w:rsidRPr="00003D6E">
        <w:t>deucravacitinib</w:t>
      </w:r>
      <w:proofErr w:type="spellEnd"/>
      <w:r w:rsidRPr="00003D6E">
        <w:t xml:space="preserve"> was administered to lactating (post-partum days 8 to 12) rats. </w:t>
      </w:r>
      <w:proofErr w:type="spellStart"/>
      <w:r w:rsidRPr="00003D6E">
        <w:t>Deucravacitinib</w:t>
      </w:r>
      <w:proofErr w:type="spellEnd"/>
      <w:r w:rsidRPr="00003D6E">
        <w:t xml:space="preserve"> and/or its metabolites were present in the milk of lactating rats</w:t>
      </w:r>
      <w:r w:rsidR="0008049A" w:rsidRPr="00003D6E">
        <w:t xml:space="preserve">, </w:t>
      </w:r>
      <w:bookmarkStart w:id="20" w:name="_Hlk80958111"/>
      <w:r w:rsidR="0008049A" w:rsidRPr="00003D6E">
        <w:t xml:space="preserve">with milk-to-plasma </w:t>
      </w:r>
      <w:r w:rsidR="00D6561C" w:rsidRPr="00003D6E">
        <w:t>exposure</w:t>
      </w:r>
      <w:r w:rsidR="0008049A" w:rsidRPr="00003D6E">
        <w:t xml:space="preserve"> ratio of </w:t>
      </w:r>
      <w:r w:rsidR="009D0A21" w:rsidRPr="00003D6E">
        <w:t>21</w:t>
      </w:r>
      <w:bookmarkEnd w:id="20"/>
      <w:r w:rsidRPr="00003D6E">
        <w:t>.</w:t>
      </w:r>
      <w:r w:rsidR="004302F4" w:rsidRPr="00003D6E">
        <w:t xml:space="preserve"> </w:t>
      </w:r>
      <w:bookmarkStart w:id="21" w:name="OLE_LINK1"/>
      <w:proofErr w:type="spellStart"/>
      <w:r w:rsidR="004302F4" w:rsidRPr="00003D6E">
        <w:t>Deucravacitinib</w:t>
      </w:r>
      <w:proofErr w:type="spellEnd"/>
      <w:r w:rsidR="004302F4" w:rsidRPr="00003D6E">
        <w:t>-related material was detected in breast-fed pups. Pup plasma levels of total pharmacologically-active material were 8–11% that in dams.</w:t>
      </w:r>
      <w:bookmarkEnd w:id="21"/>
    </w:p>
    <w:p w14:paraId="3DE1A2D1" w14:textId="66B686FD" w:rsidR="007B4510" w:rsidRPr="00003D6E" w:rsidRDefault="00AE3BDE" w:rsidP="00AE3BDE">
      <w:pPr>
        <w:pStyle w:val="Heading2"/>
      </w:pPr>
      <w:r w:rsidRPr="00003D6E">
        <w:lastRenderedPageBreak/>
        <w:t>4.7</w:t>
      </w:r>
      <w:r w:rsidRPr="00003D6E">
        <w:tab/>
      </w:r>
      <w:r w:rsidR="007B4510" w:rsidRPr="00003D6E">
        <w:t xml:space="preserve">Effects on Ability to Drive and Use Machines </w:t>
      </w:r>
    </w:p>
    <w:p w14:paraId="12EE3474" w14:textId="01174CAE" w:rsidR="0009350A" w:rsidRPr="00003D6E" w:rsidRDefault="005C7ECB" w:rsidP="0009350A">
      <w:r w:rsidRPr="00003D6E">
        <w:t>SOTYKTU</w:t>
      </w:r>
      <w:r w:rsidR="00501F80" w:rsidRPr="00003D6E">
        <w:t xml:space="preserve"> has no or negligible influence on the ability to drive and use machines.</w:t>
      </w:r>
    </w:p>
    <w:p w14:paraId="4EE69367" w14:textId="47B6A62F" w:rsidR="007B4510" w:rsidRPr="00003D6E" w:rsidRDefault="00AE3BDE" w:rsidP="00AE3BDE">
      <w:pPr>
        <w:pStyle w:val="Heading2"/>
      </w:pPr>
      <w:r w:rsidRPr="00003D6E">
        <w:t>4.8</w:t>
      </w:r>
      <w:r w:rsidRPr="00003D6E">
        <w:tab/>
      </w:r>
      <w:r w:rsidR="007B4510" w:rsidRPr="00003D6E">
        <w:t>Adverse Effects (Undesirable Effects)</w:t>
      </w:r>
    </w:p>
    <w:p w14:paraId="3C4A7D73" w14:textId="078C7AD6" w:rsidR="007F41D1" w:rsidRPr="00003D6E" w:rsidRDefault="008C0A41" w:rsidP="007F41D1">
      <w:r w:rsidRPr="00003D6E">
        <w:t xml:space="preserve">In </w:t>
      </w:r>
      <w:r w:rsidR="007F41D1" w:rsidRPr="00003D6E">
        <w:t xml:space="preserve">clinical trials, a total of 1519 patients with moderate-to-severe plaque psoriasis received </w:t>
      </w:r>
      <w:proofErr w:type="spellStart"/>
      <w:r w:rsidR="007F41D1" w:rsidRPr="00003D6E">
        <w:t>deucravacitinib</w:t>
      </w:r>
      <w:proofErr w:type="spellEnd"/>
      <w:r w:rsidR="007F41D1" w:rsidRPr="00003D6E">
        <w:t xml:space="preserve"> 6 mg once daily. Of these, 1141 patients were exposed to </w:t>
      </w:r>
      <w:proofErr w:type="spellStart"/>
      <w:r w:rsidR="007F41D1" w:rsidRPr="00003D6E">
        <w:t>deucravacitinib</w:t>
      </w:r>
      <w:proofErr w:type="spellEnd"/>
      <w:r w:rsidR="007F41D1" w:rsidRPr="00003D6E">
        <w:t xml:space="preserve"> for at least one year. </w:t>
      </w:r>
    </w:p>
    <w:p w14:paraId="064BBB06" w14:textId="683DF45F" w:rsidR="00C07986" w:rsidRPr="00003D6E" w:rsidRDefault="003F4442" w:rsidP="007F41D1">
      <w:r w:rsidRPr="00003D6E">
        <w:t xml:space="preserve">Data from two placebo- and active-controlled trials (POETYK PSO-1 and POETYK PSO-2) were pooled to evaluate the safety of </w:t>
      </w:r>
      <w:r w:rsidR="005C7ECB" w:rsidRPr="00003D6E">
        <w:t>SOTYKTU</w:t>
      </w:r>
      <w:r w:rsidRPr="00003D6E">
        <w:t xml:space="preserve"> up to 16 weeks. In total</w:t>
      </w:r>
      <w:r w:rsidR="00604B41" w:rsidRPr="00003D6E">
        <w:t>,</w:t>
      </w:r>
      <w:r w:rsidRPr="00003D6E">
        <w:t xml:space="preserve"> 842</w:t>
      </w:r>
      <w:r w:rsidR="00D07182" w:rsidRPr="00003D6E">
        <w:t> </w:t>
      </w:r>
      <w:r w:rsidRPr="00003D6E">
        <w:t xml:space="preserve">patients were evaluated in the </w:t>
      </w:r>
      <w:r w:rsidR="005C7ECB" w:rsidRPr="00003D6E">
        <w:t>SOTYKTU</w:t>
      </w:r>
      <w:r w:rsidRPr="00003D6E">
        <w:t xml:space="preserve"> group.</w:t>
      </w:r>
      <w:bookmarkStart w:id="22" w:name="_Hlk76048961"/>
    </w:p>
    <w:p w14:paraId="4217C0EC" w14:textId="5509C4FF" w:rsidR="00352F95" w:rsidRPr="00003D6E" w:rsidRDefault="007A7010" w:rsidP="007F41D1">
      <w:r w:rsidRPr="00003D6E">
        <w:t>During the 16-week placebo-controlled period, the incidence of serious adverse events was low and similar across treatment groups</w:t>
      </w:r>
      <w:r w:rsidR="00F020EE" w:rsidRPr="00003D6E">
        <w:t xml:space="preserve"> (</w:t>
      </w:r>
      <w:r w:rsidR="00B57883" w:rsidRPr="00003D6E">
        <w:t xml:space="preserve">SOTYKTU </w:t>
      </w:r>
      <w:r w:rsidR="00F020EE" w:rsidRPr="00003D6E">
        <w:t>1.8</w:t>
      </w:r>
      <w:r w:rsidR="00041E92" w:rsidRPr="00003D6E">
        <w:t>%</w:t>
      </w:r>
      <w:r w:rsidR="00215E1B" w:rsidRPr="00003D6E">
        <w:t>,</w:t>
      </w:r>
      <w:r w:rsidR="0056229A" w:rsidRPr="00003D6E">
        <w:t xml:space="preserve"> </w:t>
      </w:r>
      <w:r w:rsidR="00B57883" w:rsidRPr="00003D6E">
        <w:t xml:space="preserve">placebo </w:t>
      </w:r>
      <w:r w:rsidR="0056229A" w:rsidRPr="00003D6E">
        <w:t xml:space="preserve">2.9%, </w:t>
      </w:r>
      <w:r w:rsidR="00B57883" w:rsidRPr="00003D6E">
        <w:t xml:space="preserve">apremilast </w:t>
      </w:r>
      <w:r w:rsidR="00A83C49" w:rsidRPr="00003D6E">
        <w:t>1.2</w:t>
      </w:r>
      <w:r w:rsidR="0056229A" w:rsidRPr="00003D6E">
        <w:t xml:space="preserve">%) with no discernible </w:t>
      </w:r>
      <w:r w:rsidR="00762415" w:rsidRPr="00003D6E">
        <w:t xml:space="preserve">trend in any specific type of </w:t>
      </w:r>
      <w:r w:rsidR="0046687E" w:rsidRPr="00003D6E">
        <w:t>serious adverse events.</w:t>
      </w:r>
      <w:r w:rsidRPr="00003D6E">
        <w:t xml:space="preserve"> </w:t>
      </w:r>
    </w:p>
    <w:p w14:paraId="48CC733B" w14:textId="71CD1A55" w:rsidR="007F41D1" w:rsidRPr="00003D6E" w:rsidRDefault="007F41D1" w:rsidP="007F41D1">
      <w:r w:rsidRPr="00003D6E">
        <w:t xml:space="preserve">Discontinuation of therapy due to adverse events during the 16-week placebo-controlled period was </w:t>
      </w:r>
      <w:r w:rsidR="00764D51" w:rsidRPr="00003D6E">
        <w:t xml:space="preserve">SOTYKTU </w:t>
      </w:r>
      <w:r w:rsidRPr="00003D6E">
        <w:t xml:space="preserve">2.4%, compared to </w:t>
      </w:r>
      <w:r w:rsidR="006D6937" w:rsidRPr="00003D6E">
        <w:t xml:space="preserve">placebo </w:t>
      </w:r>
      <w:r w:rsidRPr="00003D6E">
        <w:t xml:space="preserve">3.8% and </w:t>
      </w:r>
      <w:r w:rsidR="006D6937" w:rsidRPr="00003D6E">
        <w:t xml:space="preserve">apremilast </w:t>
      </w:r>
      <w:r w:rsidRPr="00003D6E">
        <w:t>5.2%.</w:t>
      </w:r>
      <w:bookmarkEnd w:id="22"/>
    </w:p>
    <w:p w14:paraId="747BEFBF" w14:textId="77777777" w:rsidR="00F2691C" w:rsidRPr="00003D6E" w:rsidRDefault="00F2691C" w:rsidP="00F2691C">
      <w:pPr>
        <w:rPr>
          <w:u w:val="single"/>
        </w:rPr>
      </w:pPr>
      <w:r w:rsidRPr="00003D6E">
        <w:rPr>
          <w:u w:val="single"/>
        </w:rPr>
        <w:t>Tabulated Summary of Adverse Events</w:t>
      </w:r>
    </w:p>
    <w:p w14:paraId="7357C2EA" w14:textId="601CE976" w:rsidR="004F0AC7" w:rsidRPr="00003D6E" w:rsidRDefault="00000E6D" w:rsidP="00000E6D">
      <w:pPr>
        <w:rPr>
          <w:szCs w:val="20"/>
        </w:rPr>
      </w:pPr>
      <w:r w:rsidRPr="00003D6E">
        <w:t>Adverse events reported by ≥ 2% of subjects in any treatment group are provided in Table 1.</w:t>
      </w:r>
    </w:p>
    <w:p w14:paraId="7E19044E" w14:textId="3BAE3A75" w:rsidR="009C6DD8" w:rsidRPr="00003D6E" w:rsidRDefault="00D94F7A" w:rsidP="00276016">
      <w:pPr>
        <w:pStyle w:val="Caption"/>
        <w:ind w:left="1418" w:hanging="1418"/>
        <w:rPr>
          <w:b/>
          <w:bCs/>
          <w:i w:val="0"/>
          <w:iCs w:val="0"/>
          <w:color w:val="auto"/>
          <w:sz w:val="22"/>
          <w:szCs w:val="22"/>
        </w:rPr>
      </w:pPr>
      <w:bookmarkStart w:id="23" w:name="_Ref79400552"/>
      <w:r w:rsidRPr="00003D6E">
        <w:rPr>
          <w:b/>
          <w:bCs/>
          <w:i w:val="0"/>
          <w:iCs w:val="0"/>
          <w:color w:val="auto"/>
          <w:sz w:val="22"/>
          <w:szCs w:val="22"/>
        </w:rPr>
        <w:t xml:space="preserve">Table </w:t>
      </w:r>
      <w:r w:rsidRPr="00003D6E">
        <w:rPr>
          <w:b/>
          <w:bCs/>
          <w:i w:val="0"/>
          <w:iCs w:val="0"/>
          <w:color w:val="auto"/>
          <w:sz w:val="22"/>
          <w:szCs w:val="22"/>
        </w:rPr>
        <w:fldChar w:fldCharType="begin"/>
      </w:r>
      <w:r w:rsidRPr="00003D6E">
        <w:rPr>
          <w:b/>
          <w:bCs/>
          <w:i w:val="0"/>
          <w:iCs w:val="0"/>
          <w:color w:val="auto"/>
          <w:sz w:val="22"/>
          <w:szCs w:val="22"/>
        </w:rPr>
        <w:instrText xml:space="preserve"> SEQ Table \* ARABIC </w:instrText>
      </w:r>
      <w:r w:rsidRPr="00003D6E">
        <w:rPr>
          <w:b/>
          <w:bCs/>
          <w:i w:val="0"/>
          <w:iCs w:val="0"/>
          <w:color w:val="auto"/>
          <w:sz w:val="22"/>
          <w:szCs w:val="22"/>
        </w:rPr>
        <w:fldChar w:fldCharType="separate"/>
      </w:r>
      <w:r w:rsidR="00006DA4">
        <w:rPr>
          <w:b/>
          <w:bCs/>
          <w:i w:val="0"/>
          <w:iCs w:val="0"/>
          <w:noProof/>
          <w:color w:val="auto"/>
          <w:sz w:val="22"/>
          <w:szCs w:val="22"/>
        </w:rPr>
        <w:t>1</w:t>
      </w:r>
      <w:r w:rsidRPr="00003D6E">
        <w:rPr>
          <w:b/>
          <w:bCs/>
          <w:i w:val="0"/>
          <w:iCs w:val="0"/>
          <w:color w:val="auto"/>
          <w:sz w:val="22"/>
          <w:szCs w:val="22"/>
        </w:rPr>
        <w:fldChar w:fldCharType="end"/>
      </w:r>
      <w:bookmarkEnd w:id="23"/>
      <w:r w:rsidR="00276016" w:rsidRPr="00003D6E">
        <w:rPr>
          <w:b/>
          <w:bCs/>
          <w:i w:val="0"/>
          <w:iCs w:val="0"/>
          <w:color w:val="auto"/>
          <w:sz w:val="22"/>
          <w:szCs w:val="22"/>
        </w:rPr>
        <w:t>:</w:t>
      </w:r>
      <w:r w:rsidR="00276016" w:rsidRPr="00003D6E">
        <w:rPr>
          <w:b/>
          <w:bCs/>
          <w:i w:val="0"/>
          <w:iCs w:val="0"/>
          <w:color w:val="auto"/>
          <w:sz w:val="22"/>
          <w:szCs w:val="22"/>
        </w:rPr>
        <w:tab/>
        <w:t xml:space="preserve">Adverse Events </w:t>
      </w:r>
      <w:r w:rsidR="006C3753" w:rsidRPr="00003D6E">
        <w:rPr>
          <w:b/>
          <w:bCs/>
          <w:i w:val="0"/>
          <w:iCs w:val="0"/>
          <w:color w:val="auto"/>
          <w:sz w:val="22"/>
          <w:szCs w:val="22"/>
        </w:rPr>
        <w:t xml:space="preserve">Reported in </w:t>
      </w:r>
      <w:r w:rsidR="00276016" w:rsidRPr="00003D6E">
        <w:rPr>
          <w:b/>
          <w:bCs/>
          <w:i w:val="0"/>
          <w:iCs w:val="0"/>
          <w:color w:val="auto"/>
          <w:sz w:val="22"/>
          <w:szCs w:val="22"/>
        </w:rPr>
        <w:t xml:space="preserve">≥ 2% of Subjects in Any Treatment Group - Controlled Safety Pool (Week 0-16) - As-treated </w:t>
      </w:r>
      <w:proofErr w:type="gramStart"/>
      <w:r w:rsidR="00276016" w:rsidRPr="00003D6E">
        <w:rPr>
          <w:b/>
          <w:bCs/>
          <w:i w:val="0"/>
          <w:iCs w:val="0"/>
          <w:color w:val="auto"/>
          <w:sz w:val="22"/>
          <w:szCs w:val="22"/>
        </w:rPr>
        <w:t>Population</w:t>
      </w:r>
      <w:proofErr w:type="gramEnd"/>
    </w:p>
    <w:tbl>
      <w:tblPr>
        <w:tblStyle w:val="TableGrid"/>
        <w:tblW w:w="0" w:type="auto"/>
        <w:tblLook w:val="04A0" w:firstRow="1" w:lastRow="0" w:firstColumn="1" w:lastColumn="0" w:noHBand="0" w:noVBand="1"/>
      </w:tblPr>
      <w:tblGrid>
        <w:gridCol w:w="3114"/>
        <w:gridCol w:w="2158"/>
        <w:gridCol w:w="2159"/>
        <w:gridCol w:w="2159"/>
      </w:tblGrid>
      <w:tr w:rsidR="00003D6E" w:rsidRPr="00003D6E" w14:paraId="70A9B085" w14:textId="77777777" w:rsidTr="00D70F84">
        <w:tc>
          <w:tcPr>
            <w:tcW w:w="3114" w:type="dxa"/>
            <w:shd w:val="clear" w:color="auto" w:fill="D9D9D9" w:themeFill="background1" w:themeFillShade="D9"/>
            <w:vAlign w:val="bottom"/>
          </w:tcPr>
          <w:p w14:paraId="0AA20B9B" w14:textId="43CE23B5" w:rsidR="00516578" w:rsidRPr="00003D6E" w:rsidRDefault="005C506F" w:rsidP="004020EA">
            <w:pPr>
              <w:jc w:val="left"/>
              <w:rPr>
                <w:b/>
                <w:bCs/>
              </w:rPr>
            </w:pPr>
            <w:r w:rsidRPr="00003D6E">
              <w:rPr>
                <w:b/>
                <w:bCs/>
              </w:rPr>
              <w:t>Preferred Term</w:t>
            </w:r>
          </w:p>
        </w:tc>
        <w:tc>
          <w:tcPr>
            <w:tcW w:w="2158" w:type="dxa"/>
            <w:shd w:val="clear" w:color="auto" w:fill="D9D9D9" w:themeFill="background1" w:themeFillShade="D9"/>
          </w:tcPr>
          <w:p w14:paraId="7013571D" w14:textId="64782F3B" w:rsidR="00516578" w:rsidRPr="00003D6E" w:rsidRDefault="005C7ECB" w:rsidP="00002334">
            <w:pPr>
              <w:jc w:val="center"/>
              <w:rPr>
                <w:b/>
                <w:bCs/>
              </w:rPr>
            </w:pPr>
            <w:r w:rsidRPr="00003D6E">
              <w:rPr>
                <w:b/>
                <w:bCs/>
              </w:rPr>
              <w:t>SOTYKTU</w:t>
            </w:r>
          </w:p>
          <w:p w14:paraId="1688E61A" w14:textId="77777777" w:rsidR="005C506F" w:rsidRPr="00003D6E" w:rsidRDefault="005C506F" w:rsidP="00002334">
            <w:pPr>
              <w:jc w:val="center"/>
              <w:rPr>
                <w:b/>
                <w:bCs/>
              </w:rPr>
            </w:pPr>
            <w:r w:rsidRPr="00003D6E">
              <w:rPr>
                <w:b/>
                <w:bCs/>
              </w:rPr>
              <w:t>N</w:t>
            </w:r>
            <w:r w:rsidR="00002334" w:rsidRPr="00003D6E">
              <w:rPr>
                <w:b/>
                <w:bCs/>
              </w:rPr>
              <w:t xml:space="preserve"> = 842</w:t>
            </w:r>
          </w:p>
          <w:p w14:paraId="05A3F781" w14:textId="1745361E" w:rsidR="00002334" w:rsidRPr="00003D6E" w:rsidRDefault="00002334" w:rsidP="00002334">
            <w:pPr>
              <w:jc w:val="center"/>
              <w:rPr>
                <w:b/>
                <w:bCs/>
              </w:rPr>
            </w:pPr>
            <w:r w:rsidRPr="00003D6E">
              <w:rPr>
                <w:b/>
                <w:bCs/>
              </w:rPr>
              <w:t xml:space="preserve">n </w:t>
            </w:r>
            <w:r w:rsidR="00035715" w:rsidRPr="00003D6E">
              <w:rPr>
                <w:b/>
                <w:bCs/>
              </w:rPr>
              <w:t>(</w:t>
            </w:r>
            <w:r w:rsidRPr="00003D6E">
              <w:rPr>
                <w:b/>
                <w:bCs/>
              </w:rPr>
              <w:t>%</w:t>
            </w:r>
            <w:r w:rsidR="00035715" w:rsidRPr="00003D6E">
              <w:rPr>
                <w:b/>
                <w:bCs/>
              </w:rPr>
              <w:t>)</w:t>
            </w:r>
          </w:p>
        </w:tc>
        <w:tc>
          <w:tcPr>
            <w:tcW w:w="2159" w:type="dxa"/>
            <w:shd w:val="clear" w:color="auto" w:fill="D9D9D9" w:themeFill="background1" w:themeFillShade="D9"/>
          </w:tcPr>
          <w:p w14:paraId="5D5BD4F5" w14:textId="71B8CA1D" w:rsidR="00516578" w:rsidRPr="00003D6E" w:rsidRDefault="002F0848" w:rsidP="00002334">
            <w:pPr>
              <w:jc w:val="center"/>
              <w:rPr>
                <w:b/>
                <w:bCs/>
              </w:rPr>
            </w:pPr>
            <w:r w:rsidRPr="00003D6E">
              <w:rPr>
                <w:b/>
                <w:bCs/>
              </w:rPr>
              <w:t>Apre</w:t>
            </w:r>
            <w:r w:rsidR="0036509F" w:rsidRPr="00003D6E">
              <w:rPr>
                <w:b/>
                <w:bCs/>
              </w:rPr>
              <w:t>mi</w:t>
            </w:r>
            <w:r w:rsidRPr="00003D6E">
              <w:rPr>
                <w:b/>
                <w:bCs/>
              </w:rPr>
              <w:t>last</w:t>
            </w:r>
          </w:p>
          <w:p w14:paraId="7FC9AFCF" w14:textId="77777777" w:rsidR="00002334" w:rsidRPr="00003D6E" w:rsidRDefault="00002334" w:rsidP="00002334">
            <w:pPr>
              <w:jc w:val="center"/>
              <w:rPr>
                <w:b/>
                <w:bCs/>
              </w:rPr>
            </w:pPr>
            <w:r w:rsidRPr="00003D6E">
              <w:rPr>
                <w:b/>
                <w:bCs/>
              </w:rPr>
              <w:t xml:space="preserve">N = </w:t>
            </w:r>
            <w:r w:rsidR="00035715" w:rsidRPr="00003D6E">
              <w:rPr>
                <w:b/>
                <w:bCs/>
              </w:rPr>
              <w:t>422</w:t>
            </w:r>
          </w:p>
          <w:p w14:paraId="7E5ABA32" w14:textId="776A8E48" w:rsidR="00035715" w:rsidRPr="00003D6E" w:rsidRDefault="00035715" w:rsidP="00002334">
            <w:pPr>
              <w:jc w:val="center"/>
              <w:rPr>
                <w:b/>
                <w:bCs/>
              </w:rPr>
            </w:pPr>
            <w:r w:rsidRPr="00003D6E">
              <w:rPr>
                <w:b/>
                <w:bCs/>
              </w:rPr>
              <w:t>n (%)</w:t>
            </w:r>
          </w:p>
        </w:tc>
        <w:tc>
          <w:tcPr>
            <w:tcW w:w="2159" w:type="dxa"/>
            <w:shd w:val="clear" w:color="auto" w:fill="D9D9D9" w:themeFill="background1" w:themeFillShade="D9"/>
          </w:tcPr>
          <w:p w14:paraId="54B77B46" w14:textId="77777777" w:rsidR="00516578" w:rsidRPr="00003D6E" w:rsidRDefault="002F0848" w:rsidP="00002334">
            <w:pPr>
              <w:jc w:val="center"/>
              <w:rPr>
                <w:b/>
                <w:bCs/>
              </w:rPr>
            </w:pPr>
            <w:r w:rsidRPr="00003D6E">
              <w:rPr>
                <w:b/>
                <w:bCs/>
              </w:rPr>
              <w:t>Placebo</w:t>
            </w:r>
          </w:p>
          <w:p w14:paraId="5BC16994" w14:textId="77777777" w:rsidR="00035715" w:rsidRPr="00003D6E" w:rsidRDefault="00035715" w:rsidP="00002334">
            <w:pPr>
              <w:jc w:val="center"/>
              <w:rPr>
                <w:b/>
                <w:bCs/>
              </w:rPr>
            </w:pPr>
            <w:r w:rsidRPr="00003D6E">
              <w:rPr>
                <w:b/>
                <w:bCs/>
              </w:rPr>
              <w:t>N = 419</w:t>
            </w:r>
          </w:p>
          <w:p w14:paraId="79A6020D" w14:textId="25FC421C" w:rsidR="00035715" w:rsidRPr="00003D6E" w:rsidRDefault="00035715" w:rsidP="00002334">
            <w:pPr>
              <w:jc w:val="center"/>
              <w:rPr>
                <w:b/>
                <w:bCs/>
              </w:rPr>
            </w:pPr>
            <w:r w:rsidRPr="00003D6E">
              <w:rPr>
                <w:b/>
                <w:bCs/>
              </w:rPr>
              <w:t>n (%)</w:t>
            </w:r>
          </w:p>
        </w:tc>
      </w:tr>
      <w:tr w:rsidR="00003D6E" w:rsidRPr="00003D6E" w14:paraId="189ECB80" w14:textId="77777777" w:rsidTr="004020EA">
        <w:tc>
          <w:tcPr>
            <w:tcW w:w="3114" w:type="dxa"/>
          </w:tcPr>
          <w:p w14:paraId="38E5CBA3" w14:textId="107967ED" w:rsidR="00516578" w:rsidRPr="00003D6E" w:rsidRDefault="00035715" w:rsidP="00F36682">
            <w:r w:rsidRPr="00003D6E">
              <w:t>Nasopharyngitis</w:t>
            </w:r>
          </w:p>
        </w:tc>
        <w:tc>
          <w:tcPr>
            <w:tcW w:w="2158" w:type="dxa"/>
          </w:tcPr>
          <w:p w14:paraId="62C206A7" w14:textId="71441534" w:rsidR="00516578" w:rsidRPr="00003D6E" w:rsidRDefault="00603ED3" w:rsidP="00002334">
            <w:pPr>
              <w:jc w:val="center"/>
            </w:pPr>
            <w:r w:rsidRPr="00003D6E">
              <w:t>76 (9.0)</w:t>
            </w:r>
          </w:p>
        </w:tc>
        <w:tc>
          <w:tcPr>
            <w:tcW w:w="2159" w:type="dxa"/>
          </w:tcPr>
          <w:p w14:paraId="488617B9" w14:textId="2E20299B" w:rsidR="00516578" w:rsidRPr="00003D6E" w:rsidRDefault="004A7B24" w:rsidP="00002334">
            <w:pPr>
              <w:jc w:val="center"/>
            </w:pPr>
            <w:r w:rsidRPr="00003D6E">
              <w:t>37 (8.8)</w:t>
            </w:r>
          </w:p>
        </w:tc>
        <w:tc>
          <w:tcPr>
            <w:tcW w:w="2159" w:type="dxa"/>
          </w:tcPr>
          <w:p w14:paraId="5B48F2FD" w14:textId="1F702C3B" w:rsidR="00516578" w:rsidRPr="00003D6E" w:rsidRDefault="00D0670B" w:rsidP="00002334">
            <w:pPr>
              <w:jc w:val="center"/>
            </w:pPr>
            <w:r w:rsidRPr="00003D6E">
              <w:t>36 (8.6)</w:t>
            </w:r>
          </w:p>
        </w:tc>
      </w:tr>
      <w:tr w:rsidR="00003D6E" w:rsidRPr="00003D6E" w14:paraId="4EF1919C" w14:textId="77777777" w:rsidTr="004020EA">
        <w:tc>
          <w:tcPr>
            <w:tcW w:w="3114" w:type="dxa"/>
          </w:tcPr>
          <w:p w14:paraId="1EF19D15" w14:textId="289A67A4" w:rsidR="00516578" w:rsidRPr="00003D6E" w:rsidRDefault="00035715" w:rsidP="00F36682">
            <w:r w:rsidRPr="00003D6E">
              <w:t>Upper respiratory tract infection</w:t>
            </w:r>
          </w:p>
        </w:tc>
        <w:tc>
          <w:tcPr>
            <w:tcW w:w="2158" w:type="dxa"/>
          </w:tcPr>
          <w:p w14:paraId="3623EF38" w14:textId="5BEE6D5E" w:rsidR="00516578" w:rsidRPr="00003D6E" w:rsidRDefault="00603ED3" w:rsidP="00002334">
            <w:pPr>
              <w:jc w:val="center"/>
            </w:pPr>
            <w:r w:rsidRPr="00003D6E">
              <w:t>46 (5.5)</w:t>
            </w:r>
          </w:p>
        </w:tc>
        <w:tc>
          <w:tcPr>
            <w:tcW w:w="2159" w:type="dxa"/>
          </w:tcPr>
          <w:p w14:paraId="1B9D00DA" w14:textId="5850C847" w:rsidR="00516578" w:rsidRPr="00003D6E" w:rsidRDefault="004A7B24" w:rsidP="00002334">
            <w:pPr>
              <w:jc w:val="center"/>
            </w:pPr>
            <w:r w:rsidRPr="00003D6E">
              <w:t>17 (4.0)</w:t>
            </w:r>
          </w:p>
        </w:tc>
        <w:tc>
          <w:tcPr>
            <w:tcW w:w="2159" w:type="dxa"/>
          </w:tcPr>
          <w:p w14:paraId="713665F0" w14:textId="2D5D9E10" w:rsidR="00516578" w:rsidRPr="00003D6E" w:rsidRDefault="00D0670B" w:rsidP="00002334">
            <w:pPr>
              <w:jc w:val="center"/>
            </w:pPr>
            <w:r w:rsidRPr="00003D6E">
              <w:t>17 (4.1)</w:t>
            </w:r>
          </w:p>
        </w:tc>
      </w:tr>
      <w:tr w:rsidR="00003D6E" w:rsidRPr="00003D6E" w14:paraId="4FE7AD65" w14:textId="77777777" w:rsidTr="004020EA">
        <w:tc>
          <w:tcPr>
            <w:tcW w:w="3114" w:type="dxa"/>
          </w:tcPr>
          <w:p w14:paraId="246BFD64" w14:textId="04A633DD" w:rsidR="00516578" w:rsidRPr="00003D6E" w:rsidRDefault="00284112" w:rsidP="00F36682">
            <w:r w:rsidRPr="00003D6E">
              <w:t>Headache</w:t>
            </w:r>
          </w:p>
        </w:tc>
        <w:tc>
          <w:tcPr>
            <w:tcW w:w="2158" w:type="dxa"/>
          </w:tcPr>
          <w:p w14:paraId="5DE4B87F" w14:textId="64E68431" w:rsidR="00516578" w:rsidRPr="00003D6E" w:rsidRDefault="00603ED3" w:rsidP="00002334">
            <w:pPr>
              <w:jc w:val="center"/>
            </w:pPr>
            <w:r w:rsidRPr="00003D6E">
              <w:t>38 (4.5)</w:t>
            </w:r>
          </w:p>
        </w:tc>
        <w:tc>
          <w:tcPr>
            <w:tcW w:w="2159" w:type="dxa"/>
          </w:tcPr>
          <w:p w14:paraId="2A86D1CE" w14:textId="67D4586A" w:rsidR="00516578" w:rsidRPr="00003D6E" w:rsidRDefault="004A7B24" w:rsidP="00002334">
            <w:pPr>
              <w:jc w:val="center"/>
            </w:pPr>
            <w:r w:rsidRPr="00003D6E">
              <w:t>45 (10.7)</w:t>
            </w:r>
          </w:p>
        </w:tc>
        <w:tc>
          <w:tcPr>
            <w:tcW w:w="2159" w:type="dxa"/>
          </w:tcPr>
          <w:p w14:paraId="112B945F" w14:textId="7B85A25A" w:rsidR="00516578" w:rsidRPr="00003D6E" w:rsidRDefault="00D0670B" w:rsidP="00002334">
            <w:pPr>
              <w:jc w:val="center"/>
            </w:pPr>
            <w:r w:rsidRPr="00003D6E">
              <w:t>19 (4.5)</w:t>
            </w:r>
          </w:p>
        </w:tc>
      </w:tr>
      <w:tr w:rsidR="00003D6E" w:rsidRPr="00003D6E" w14:paraId="2EDA6289" w14:textId="77777777" w:rsidTr="004020EA">
        <w:tc>
          <w:tcPr>
            <w:tcW w:w="3114" w:type="dxa"/>
          </w:tcPr>
          <w:p w14:paraId="05F3CDF7" w14:textId="58C22205" w:rsidR="00516578" w:rsidRPr="00003D6E" w:rsidRDefault="00284112" w:rsidP="00F36682">
            <w:r w:rsidRPr="00003D6E">
              <w:t>Diarrhoea</w:t>
            </w:r>
          </w:p>
        </w:tc>
        <w:tc>
          <w:tcPr>
            <w:tcW w:w="2158" w:type="dxa"/>
          </w:tcPr>
          <w:p w14:paraId="75314123" w14:textId="410E431B" w:rsidR="00516578" w:rsidRPr="00003D6E" w:rsidRDefault="00603ED3" w:rsidP="00002334">
            <w:pPr>
              <w:jc w:val="center"/>
            </w:pPr>
            <w:r w:rsidRPr="00003D6E">
              <w:t>37 (4.4)</w:t>
            </w:r>
          </w:p>
        </w:tc>
        <w:tc>
          <w:tcPr>
            <w:tcW w:w="2159" w:type="dxa"/>
          </w:tcPr>
          <w:p w14:paraId="7D9CD5B2" w14:textId="1DD3F7C1" w:rsidR="00516578" w:rsidRPr="00003D6E" w:rsidRDefault="004A7B24" w:rsidP="00002334">
            <w:pPr>
              <w:jc w:val="center"/>
            </w:pPr>
            <w:r w:rsidRPr="00003D6E">
              <w:t>50 (11.8)</w:t>
            </w:r>
          </w:p>
        </w:tc>
        <w:tc>
          <w:tcPr>
            <w:tcW w:w="2159" w:type="dxa"/>
          </w:tcPr>
          <w:p w14:paraId="04BF02C8" w14:textId="50B24F08" w:rsidR="00516578" w:rsidRPr="00003D6E" w:rsidRDefault="00D0670B" w:rsidP="00002334">
            <w:pPr>
              <w:jc w:val="center"/>
            </w:pPr>
            <w:r w:rsidRPr="00003D6E">
              <w:t>25 (6.0)</w:t>
            </w:r>
          </w:p>
        </w:tc>
      </w:tr>
      <w:tr w:rsidR="00003D6E" w:rsidRPr="00003D6E" w14:paraId="1A7CEEFA" w14:textId="77777777" w:rsidTr="004020EA">
        <w:tc>
          <w:tcPr>
            <w:tcW w:w="3114" w:type="dxa"/>
          </w:tcPr>
          <w:p w14:paraId="0B02FE3C" w14:textId="3471CC57" w:rsidR="00516578" w:rsidRPr="00003D6E" w:rsidRDefault="00284112" w:rsidP="00F36682">
            <w:r w:rsidRPr="00003D6E">
              <w:t>Blood creatine phosphokinase increased</w:t>
            </w:r>
          </w:p>
        </w:tc>
        <w:tc>
          <w:tcPr>
            <w:tcW w:w="2158" w:type="dxa"/>
          </w:tcPr>
          <w:p w14:paraId="0CDFFCD2" w14:textId="5B313F58" w:rsidR="00516578" w:rsidRPr="00003D6E" w:rsidRDefault="00603ED3" w:rsidP="00002334">
            <w:pPr>
              <w:jc w:val="center"/>
            </w:pPr>
            <w:r w:rsidRPr="00003D6E">
              <w:t>23 (2.7)</w:t>
            </w:r>
          </w:p>
        </w:tc>
        <w:tc>
          <w:tcPr>
            <w:tcW w:w="2159" w:type="dxa"/>
          </w:tcPr>
          <w:p w14:paraId="07F2C089" w14:textId="5F460FAB" w:rsidR="00516578" w:rsidRPr="00003D6E" w:rsidRDefault="004A7B24" w:rsidP="00002334">
            <w:pPr>
              <w:jc w:val="center"/>
            </w:pPr>
            <w:r w:rsidRPr="00003D6E">
              <w:t>3 (0.7)</w:t>
            </w:r>
          </w:p>
        </w:tc>
        <w:tc>
          <w:tcPr>
            <w:tcW w:w="2159" w:type="dxa"/>
          </w:tcPr>
          <w:p w14:paraId="06D0FCBF" w14:textId="638EB4F4" w:rsidR="00516578" w:rsidRPr="00003D6E" w:rsidRDefault="00D0670B" w:rsidP="00002334">
            <w:pPr>
              <w:jc w:val="center"/>
            </w:pPr>
            <w:r w:rsidRPr="00003D6E">
              <w:t>5 (1.2)</w:t>
            </w:r>
          </w:p>
        </w:tc>
      </w:tr>
      <w:tr w:rsidR="00003D6E" w:rsidRPr="00003D6E" w14:paraId="7BB8C47C" w14:textId="77777777" w:rsidTr="004020EA">
        <w:tc>
          <w:tcPr>
            <w:tcW w:w="3114" w:type="dxa"/>
          </w:tcPr>
          <w:p w14:paraId="45E89A27" w14:textId="15B04FC6" w:rsidR="00516578" w:rsidRPr="00003D6E" w:rsidRDefault="00284112" w:rsidP="00F36682">
            <w:r w:rsidRPr="00003D6E">
              <w:t>Arthralgia</w:t>
            </w:r>
          </w:p>
        </w:tc>
        <w:tc>
          <w:tcPr>
            <w:tcW w:w="2158" w:type="dxa"/>
          </w:tcPr>
          <w:p w14:paraId="076E9FE4" w14:textId="0B57F953" w:rsidR="00516578" w:rsidRPr="00003D6E" w:rsidRDefault="00603ED3" w:rsidP="00002334">
            <w:pPr>
              <w:jc w:val="center"/>
            </w:pPr>
            <w:r w:rsidRPr="00003D6E">
              <w:t>19 (2.3)</w:t>
            </w:r>
          </w:p>
        </w:tc>
        <w:tc>
          <w:tcPr>
            <w:tcW w:w="2159" w:type="dxa"/>
          </w:tcPr>
          <w:p w14:paraId="39F89983" w14:textId="79FFA411" w:rsidR="00516578" w:rsidRPr="00003D6E" w:rsidRDefault="004A7B24" w:rsidP="00002334">
            <w:pPr>
              <w:jc w:val="center"/>
            </w:pPr>
            <w:r w:rsidRPr="00003D6E">
              <w:t>12 (2.8)</w:t>
            </w:r>
          </w:p>
        </w:tc>
        <w:tc>
          <w:tcPr>
            <w:tcW w:w="2159" w:type="dxa"/>
          </w:tcPr>
          <w:p w14:paraId="11260C76" w14:textId="74C0E6AE" w:rsidR="00516578" w:rsidRPr="00003D6E" w:rsidRDefault="00D0670B" w:rsidP="00002334">
            <w:pPr>
              <w:jc w:val="center"/>
            </w:pPr>
            <w:r w:rsidRPr="00003D6E">
              <w:t>8 (1.9)</w:t>
            </w:r>
          </w:p>
        </w:tc>
      </w:tr>
      <w:tr w:rsidR="00003D6E" w:rsidRPr="00003D6E" w14:paraId="6A078490" w14:textId="77777777" w:rsidTr="004020EA">
        <w:tc>
          <w:tcPr>
            <w:tcW w:w="3114" w:type="dxa"/>
          </w:tcPr>
          <w:p w14:paraId="7A56BD08" w14:textId="3D599976" w:rsidR="00516578" w:rsidRPr="00003D6E" w:rsidRDefault="00284112" w:rsidP="00F36682">
            <w:r w:rsidRPr="00003D6E">
              <w:t>Hypertension</w:t>
            </w:r>
          </w:p>
        </w:tc>
        <w:tc>
          <w:tcPr>
            <w:tcW w:w="2158" w:type="dxa"/>
          </w:tcPr>
          <w:p w14:paraId="6C9EE300" w14:textId="49049D46" w:rsidR="00516578" w:rsidRPr="00003D6E" w:rsidRDefault="003F6B63" w:rsidP="00002334">
            <w:pPr>
              <w:jc w:val="center"/>
            </w:pPr>
            <w:r w:rsidRPr="00003D6E">
              <w:t>15 (1.8)</w:t>
            </w:r>
          </w:p>
        </w:tc>
        <w:tc>
          <w:tcPr>
            <w:tcW w:w="2159" w:type="dxa"/>
          </w:tcPr>
          <w:p w14:paraId="26776406" w14:textId="2D1E2F0C" w:rsidR="00516578" w:rsidRPr="00003D6E" w:rsidRDefault="004A7B24" w:rsidP="00002334">
            <w:pPr>
              <w:jc w:val="center"/>
            </w:pPr>
            <w:r w:rsidRPr="00003D6E">
              <w:t>11 (2.6)</w:t>
            </w:r>
          </w:p>
        </w:tc>
        <w:tc>
          <w:tcPr>
            <w:tcW w:w="2159" w:type="dxa"/>
          </w:tcPr>
          <w:p w14:paraId="4D44F8BF" w14:textId="275E8C96" w:rsidR="00516578" w:rsidRPr="00003D6E" w:rsidRDefault="009A7B36" w:rsidP="00002334">
            <w:pPr>
              <w:jc w:val="center"/>
            </w:pPr>
            <w:r w:rsidRPr="00003D6E">
              <w:t>1 (0.2)</w:t>
            </w:r>
          </w:p>
        </w:tc>
      </w:tr>
      <w:tr w:rsidR="00003D6E" w:rsidRPr="00003D6E" w14:paraId="5BC98A78" w14:textId="77777777" w:rsidTr="004020EA">
        <w:tc>
          <w:tcPr>
            <w:tcW w:w="3114" w:type="dxa"/>
          </w:tcPr>
          <w:p w14:paraId="1553169C" w14:textId="304EC11C" w:rsidR="00284112" w:rsidRPr="00003D6E" w:rsidRDefault="00284112" w:rsidP="00F36682">
            <w:r w:rsidRPr="00003D6E">
              <w:t>Psoriasis</w:t>
            </w:r>
          </w:p>
        </w:tc>
        <w:tc>
          <w:tcPr>
            <w:tcW w:w="2158" w:type="dxa"/>
          </w:tcPr>
          <w:p w14:paraId="2F972B53" w14:textId="51126224" w:rsidR="00284112" w:rsidRPr="00003D6E" w:rsidRDefault="003F6B63" w:rsidP="00002334">
            <w:pPr>
              <w:jc w:val="center"/>
            </w:pPr>
            <w:r w:rsidRPr="00003D6E">
              <w:t>12 (1.4)</w:t>
            </w:r>
          </w:p>
        </w:tc>
        <w:tc>
          <w:tcPr>
            <w:tcW w:w="2159" w:type="dxa"/>
          </w:tcPr>
          <w:p w14:paraId="5565E206" w14:textId="6D388A4A" w:rsidR="00284112" w:rsidRPr="00003D6E" w:rsidRDefault="004A7B24" w:rsidP="00002334">
            <w:pPr>
              <w:jc w:val="center"/>
            </w:pPr>
            <w:r w:rsidRPr="00003D6E">
              <w:t>9 (2.1)</w:t>
            </w:r>
          </w:p>
        </w:tc>
        <w:tc>
          <w:tcPr>
            <w:tcW w:w="2159" w:type="dxa"/>
          </w:tcPr>
          <w:p w14:paraId="409CD5F9" w14:textId="5DABB5F4" w:rsidR="00284112" w:rsidRPr="00003D6E" w:rsidRDefault="009A7B36" w:rsidP="00002334">
            <w:pPr>
              <w:jc w:val="center"/>
            </w:pPr>
            <w:r w:rsidRPr="00003D6E">
              <w:t>14 (3.3)</w:t>
            </w:r>
          </w:p>
        </w:tc>
      </w:tr>
      <w:tr w:rsidR="00003D6E" w:rsidRPr="00003D6E" w14:paraId="010EAF8F" w14:textId="77777777" w:rsidTr="004020EA">
        <w:tc>
          <w:tcPr>
            <w:tcW w:w="3114" w:type="dxa"/>
          </w:tcPr>
          <w:p w14:paraId="3680DA65" w14:textId="751DC8F7" w:rsidR="00284112" w:rsidRPr="00003D6E" w:rsidRDefault="00284112" w:rsidP="00F36682">
            <w:r w:rsidRPr="00003D6E">
              <w:t xml:space="preserve">Nausea </w:t>
            </w:r>
          </w:p>
        </w:tc>
        <w:tc>
          <w:tcPr>
            <w:tcW w:w="2158" w:type="dxa"/>
          </w:tcPr>
          <w:p w14:paraId="084720F9" w14:textId="494BE581" w:rsidR="00284112" w:rsidRPr="00003D6E" w:rsidRDefault="003F6B63" w:rsidP="00002334">
            <w:pPr>
              <w:jc w:val="center"/>
            </w:pPr>
            <w:r w:rsidRPr="00003D6E">
              <w:t>14 (1.7)</w:t>
            </w:r>
          </w:p>
        </w:tc>
        <w:tc>
          <w:tcPr>
            <w:tcW w:w="2159" w:type="dxa"/>
          </w:tcPr>
          <w:p w14:paraId="2BC8A07D" w14:textId="7AD58ABE" w:rsidR="00284112" w:rsidRPr="00003D6E" w:rsidRDefault="00DD4218" w:rsidP="00002334">
            <w:pPr>
              <w:jc w:val="center"/>
            </w:pPr>
            <w:r w:rsidRPr="00003D6E">
              <w:t>42 (10.0)</w:t>
            </w:r>
          </w:p>
        </w:tc>
        <w:tc>
          <w:tcPr>
            <w:tcW w:w="2159" w:type="dxa"/>
          </w:tcPr>
          <w:p w14:paraId="4AC19F72" w14:textId="7298FE53" w:rsidR="00284112" w:rsidRPr="00003D6E" w:rsidRDefault="009A7B36" w:rsidP="00002334">
            <w:pPr>
              <w:jc w:val="center"/>
            </w:pPr>
            <w:r w:rsidRPr="00003D6E">
              <w:t>7 (1.7)</w:t>
            </w:r>
          </w:p>
        </w:tc>
      </w:tr>
      <w:tr w:rsidR="00003D6E" w:rsidRPr="00003D6E" w14:paraId="5FCE9BC2" w14:textId="77777777" w:rsidTr="004020EA">
        <w:tc>
          <w:tcPr>
            <w:tcW w:w="3114" w:type="dxa"/>
          </w:tcPr>
          <w:p w14:paraId="3CE25CD5" w14:textId="667FC2B1" w:rsidR="00284112" w:rsidRPr="00003D6E" w:rsidRDefault="00284112" w:rsidP="00F36682">
            <w:r w:rsidRPr="00003D6E">
              <w:t>Back pain</w:t>
            </w:r>
          </w:p>
        </w:tc>
        <w:tc>
          <w:tcPr>
            <w:tcW w:w="2158" w:type="dxa"/>
          </w:tcPr>
          <w:p w14:paraId="53101D49" w14:textId="7FB06B50" w:rsidR="00284112" w:rsidRPr="00003D6E" w:rsidRDefault="003F6B63" w:rsidP="00002334">
            <w:pPr>
              <w:jc w:val="center"/>
            </w:pPr>
            <w:r w:rsidRPr="00003D6E">
              <w:t>10 (1.2)</w:t>
            </w:r>
          </w:p>
        </w:tc>
        <w:tc>
          <w:tcPr>
            <w:tcW w:w="2159" w:type="dxa"/>
          </w:tcPr>
          <w:p w14:paraId="2C40656B" w14:textId="0D8678D0" w:rsidR="00284112" w:rsidRPr="00003D6E" w:rsidRDefault="00DD4218" w:rsidP="00002334">
            <w:pPr>
              <w:jc w:val="center"/>
            </w:pPr>
            <w:r w:rsidRPr="00003D6E">
              <w:t>11 (2.6)</w:t>
            </w:r>
          </w:p>
        </w:tc>
        <w:tc>
          <w:tcPr>
            <w:tcW w:w="2159" w:type="dxa"/>
          </w:tcPr>
          <w:p w14:paraId="3D7F82ED" w14:textId="7367DD12" w:rsidR="00284112" w:rsidRPr="00003D6E" w:rsidRDefault="009A7B36" w:rsidP="00002334">
            <w:pPr>
              <w:jc w:val="center"/>
            </w:pPr>
            <w:r w:rsidRPr="00003D6E">
              <w:t>5 (1.2)</w:t>
            </w:r>
          </w:p>
        </w:tc>
      </w:tr>
      <w:tr w:rsidR="00284112" w:rsidRPr="00003D6E" w14:paraId="3582BA9E" w14:textId="77777777" w:rsidTr="004020EA">
        <w:tc>
          <w:tcPr>
            <w:tcW w:w="3114" w:type="dxa"/>
          </w:tcPr>
          <w:p w14:paraId="6A426D6A" w14:textId="741E334B" w:rsidR="00284112" w:rsidRPr="00003D6E" w:rsidRDefault="00284112" w:rsidP="00F36682">
            <w:r w:rsidRPr="00003D6E">
              <w:t>Rhinitis</w:t>
            </w:r>
          </w:p>
        </w:tc>
        <w:tc>
          <w:tcPr>
            <w:tcW w:w="2158" w:type="dxa"/>
          </w:tcPr>
          <w:p w14:paraId="116C7D5D" w14:textId="2E11DA05" w:rsidR="00284112" w:rsidRPr="00003D6E" w:rsidRDefault="003F6B63" w:rsidP="00002334">
            <w:pPr>
              <w:jc w:val="center"/>
            </w:pPr>
            <w:r w:rsidRPr="00003D6E">
              <w:t>7 (0.8)</w:t>
            </w:r>
          </w:p>
        </w:tc>
        <w:tc>
          <w:tcPr>
            <w:tcW w:w="2159" w:type="dxa"/>
          </w:tcPr>
          <w:p w14:paraId="0A1203F3" w14:textId="458B569C" w:rsidR="00284112" w:rsidRPr="00003D6E" w:rsidRDefault="00DD4218" w:rsidP="00002334">
            <w:pPr>
              <w:jc w:val="center"/>
            </w:pPr>
            <w:r w:rsidRPr="00003D6E">
              <w:t>10 (2.4)</w:t>
            </w:r>
          </w:p>
        </w:tc>
        <w:tc>
          <w:tcPr>
            <w:tcW w:w="2159" w:type="dxa"/>
          </w:tcPr>
          <w:p w14:paraId="702E265D" w14:textId="0CFD7B17" w:rsidR="00284112" w:rsidRPr="00003D6E" w:rsidRDefault="009A7B36" w:rsidP="00002334">
            <w:pPr>
              <w:jc w:val="center"/>
            </w:pPr>
            <w:r w:rsidRPr="00003D6E">
              <w:t>5 (1.2)</w:t>
            </w:r>
          </w:p>
        </w:tc>
      </w:tr>
    </w:tbl>
    <w:p w14:paraId="75723637" w14:textId="77777777" w:rsidR="004F0AC7" w:rsidRDefault="004F0AC7" w:rsidP="007B4510">
      <w:pPr>
        <w:spacing w:after="120"/>
        <w:rPr>
          <w:u w:val="single"/>
        </w:rPr>
      </w:pPr>
    </w:p>
    <w:p w14:paraId="3C50700E" w14:textId="3D79146C" w:rsidR="0031553B" w:rsidRPr="0031553B" w:rsidRDefault="0031553B" w:rsidP="0031553B">
      <w:pPr>
        <w:rPr>
          <w:b/>
        </w:rPr>
      </w:pPr>
      <w:r w:rsidRPr="00003D6E">
        <w:rPr>
          <w:b/>
        </w:rPr>
        <w:t xml:space="preserve">Description of Selected Adverse </w:t>
      </w:r>
      <w:r>
        <w:rPr>
          <w:b/>
        </w:rPr>
        <w:t>Events</w:t>
      </w:r>
    </w:p>
    <w:p w14:paraId="4C44D521" w14:textId="57477092" w:rsidR="001B5631" w:rsidRPr="00667703" w:rsidRDefault="001B5631" w:rsidP="001B5631">
      <w:pPr>
        <w:rPr>
          <w:noProof/>
        </w:rPr>
      </w:pPr>
      <w:r w:rsidRPr="00667703">
        <w:rPr>
          <w:noProof/>
        </w:rPr>
        <w:t>The following adverse events have been reported in patients treated with SOTYKTU. A causal relationship to SOTYKTU is</w:t>
      </w:r>
      <w:r w:rsidR="00BF39E8" w:rsidRPr="00BF39E8">
        <w:rPr>
          <w:noProof/>
        </w:rPr>
        <w:t xml:space="preserve"> </w:t>
      </w:r>
      <w:r w:rsidR="00BF39E8" w:rsidRPr="00667703">
        <w:rPr>
          <w:noProof/>
        </w:rPr>
        <w:t>not established</w:t>
      </w:r>
      <w:r w:rsidRPr="00667703">
        <w:rPr>
          <w:noProof/>
        </w:rPr>
        <w:t>.</w:t>
      </w:r>
    </w:p>
    <w:p w14:paraId="43AC43CE" w14:textId="77777777" w:rsidR="00654593" w:rsidRPr="00654593" w:rsidRDefault="00654593" w:rsidP="00654593">
      <w:pPr>
        <w:rPr>
          <w:u w:val="single"/>
        </w:rPr>
      </w:pPr>
      <w:r w:rsidRPr="00654593">
        <w:rPr>
          <w:u w:val="single"/>
        </w:rPr>
        <w:t>Tuberculosis</w:t>
      </w:r>
    </w:p>
    <w:p w14:paraId="522B3ABB" w14:textId="37A44C60" w:rsidR="00292D11" w:rsidRDefault="00654593" w:rsidP="00654593">
      <w:pPr>
        <w:rPr>
          <w:noProof/>
        </w:rPr>
      </w:pPr>
      <w:r w:rsidRPr="001E74AC">
        <w:rPr>
          <w:noProof/>
        </w:rPr>
        <w:t>In clinical trials, of 4 subjects with latent</w:t>
      </w:r>
      <w:r>
        <w:rPr>
          <w:noProof/>
        </w:rPr>
        <w:t xml:space="preserve"> TB</w:t>
      </w:r>
      <w:r w:rsidRPr="001E74AC">
        <w:rPr>
          <w:noProof/>
        </w:rPr>
        <w:t xml:space="preserve"> who were treated with SOTYKTU and received appropriate TB prophylaxis, no subjects developed active TB (during the mean follow-up of 34 weeks). One subject, who did not have latent TB, developed active TB after receiving 54 weeks of SOTYKTU.</w:t>
      </w:r>
    </w:p>
    <w:p w14:paraId="2DBAA58B" w14:textId="685C2781" w:rsidR="006611A1" w:rsidRPr="00667703" w:rsidRDefault="00F24EC9" w:rsidP="00654593">
      <w:pPr>
        <w:rPr>
          <w:u w:val="single"/>
        </w:rPr>
      </w:pPr>
      <w:r w:rsidRPr="00667703">
        <w:rPr>
          <w:u w:val="single"/>
        </w:rPr>
        <w:lastRenderedPageBreak/>
        <w:t>Laboratory abnormalities</w:t>
      </w:r>
    </w:p>
    <w:p w14:paraId="53A2DFEF" w14:textId="77777777" w:rsidR="0031553B" w:rsidRPr="00667703" w:rsidRDefault="0031553B" w:rsidP="0031553B">
      <w:pPr>
        <w:rPr>
          <w:i/>
          <w:iCs/>
        </w:rPr>
      </w:pPr>
      <w:r w:rsidRPr="00667703">
        <w:rPr>
          <w:i/>
          <w:iCs/>
        </w:rPr>
        <w:t>Elevated CPK and rhabdomyolysis</w:t>
      </w:r>
    </w:p>
    <w:p w14:paraId="0B274E43" w14:textId="77777777" w:rsidR="00397ADC" w:rsidRDefault="0031553B" w:rsidP="0031553B">
      <w:r w:rsidRPr="00DE14DC">
        <w:t xml:space="preserve">Cases of rhabdomyolysis were reported in patients treated with SOTYKTU resulting in interruption or discontinuation of SOTYKTU dosing. </w:t>
      </w:r>
      <w:r w:rsidRPr="00FC6D4B">
        <w:t xml:space="preserve">In the 16-week placebo-controlled period, increased CPK (including Grade 4) was reported in 23 subjects (9.3 per 100 patient-years) treated with SOTYKTU, and 5 subjects (4.1 per 100 patient-years) treated with placebo. </w:t>
      </w:r>
    </w:p>
    <w:p w14:paraId="08575456" w14:textId="75D86F00" w:rsidR="0031553B" w:rsidRPr="00667703" w:rsidRDefault="0031553B" w:rsidP="0031553B">
      <w:pPr>
        <w:rPr>
          <w:i/>
          <w:iCs/>
        </w:rPr>
      </w:pPr>
      <w:r w:rsidRPr="00667703">
        <w:rPr>
          <w:i/>
          <w:iCs/>
        </w:rPr>
        <w:t>Triglyceride Elevations</w:t>
      </w:r>
    </w:p>
    <w:p w14:paraId="49C9D7CA" w14:textId="77777777" w:rsidR="00397ADC" w:rsidRDefault="0031553B" w:rsidP="0031553B">
      <w:r w:rsidRPr="00D27780">
        <w:t xml:space="preserve">Mean triglycerides concentrations increased by 10.3 mg/dL during the 16-week treatment period in subjects treated with SOTYKTU and by 9.1 mg/dL during the 52-week treatment period. </w:t>
      </w:r>
      <w:r w:rsidRPr="009D02BD">
        <w:t xml:space="preserve">The effect of this elevated parameter on cardiovascular morbidity and mortality has not been determined. </w:t>
      </w:r>
    </w:p>
    <w:p w14:paraId="37779D75" w14:textId="7DF20C2B" w:rsidR="0031553B" w:rsidRPr="00667703" w:rsidRDefault="0031553B" w:rsidP="0031553B">
      <w:pPr>
        <w:rPr>
          <w:i/>
          <w:iCs/>
        </w:rPr>
      </w:pPr>
      <w:r w:rsidRPr="00667703">
        <w:rPr>
          <w:i/>
          <w:iCs/>
        </w:rPr>
        <w:t>Liver Enzyme Elevations</w:t>
      </w:r>
    </w:p>
    <w:p w14:paraId="02E057B7" w14:textId="72AA8387" w:rsidR="0031553B" w:rsidRPr="00635B65" w:rsidRDefault="0031553B" w:rsidP="0031553B">
      <w:r>
        <w:t xml:space="preserve">There was </w:t>
      </w:r>
      <w:r w:rsidRPr="009D02BD">
        <w:t>an increase</w:t>
      </w:r>
      <w:r>
        <w:t xml:space="preserve">d </w:t>
      </w:r>
      <w:r w:rsidRPr="009D02BD">
        <w:t xml:space="preserve">incidence of liver enzyme elevation </w:t>
      </w:r>
      <w:r>
        <w:t xml:space="preserve">with SOTYKTU treatment </w:t>
      </w:r>
      <w:r w:rsidRPr="009D02BD">
        <w:t xml:space="preserve">compared to treatment with placebo. </w:t>
      </w:r>
      <w:r w:rsidR="00443FA9" w:rsidRPr="00667703">
        <w:t xml:space="preserve">Liver serum transaminase elevations ≥ 3 times the ULN were reported in subjects treated with SOTYKTU. </w:t>
      </w:r>
      <w:r w:rsidRPr="00635B65">
        <w:t>In the 16-week placebo-controlled period:</w:t>
      </w:r>
    </w:p>
    <w:p w14:paraId="7391C285" w14:textId="77777777" w:rsidR="0031553B" w:rsidRPr="00635B65" w:rsidRDefault="0031553B" w:rsidP="0031553B">
      <w:pPr>
        <w:pStyle w:val="ListParagraph"/>
        <w:numPr>
          <w:ilvl w:val="0"/>
          <w:numId w:val="34"/>
        </w:numPr>
      </w:pPr>
      <w:r w:rsidRPr="00635B65">
        <w:t>ALT elevations ≥3 times the ULN was reported in 9 subjects (3.6 per 100 patient- years) treated with SOTYKTU, and 2 subjects (1.6 per 100 patient-years) treated with placebo.</w:t>
      </w:r>
    </w:p>
    <w:p w14:paraId="39E06D9E" w14:textId="77777777" w:rsidR="0031553B" w:rsidRPr="00635B65" w:rsidRDefault="0031553B" w:rsidP="0031553B">
      <w:pPr>
        <w:pStyle w:val="ListParagraph"/>
        <w:numPr>
          <w:ilvl w:val="0"/>
          <w:numId w:val="34"/>
        </w:numPr>
      </w:pPr>
      <w:r w:rsidRPr="00635B65">
        <w:t>AST elevations ≥3 times the ULN was reported in 13 subjects (5.2 per 100 patient- years) treated with SOTYKTU, and 2 subjects (1.6 per 100 patient-years) treated with placebo.</w:t>
      </w:r>
    </w:p>
    <w:p w14:paraId="1DBE790C" w14:textId="41806367" w:rsidR="007B4510" w:rsidRPr="00003D6E" w:rsidRDefault="007B4510" w:rsidP="007B4510">
      <w:pPr>
        <w:spacing w:after="120"/>
        <w:rPr>
          <w:u w:val="single"/>
        </w:rPr>
      </w:pPr>
      <w:r w:rsidRPr="00003D6E">
        <w:rPr>
          <w:u w:val="single"/>
        </w:rPr>
        <w:t>Tabulated List of Adverse Drug Reactions</w:t>
      </w:r>
      <w:r w:rsidR="00AE2396" w:rsidRPr="00003D6E">
        <w:rPr>
          <w:u w:val="single"/>
        </w:rPr>
        <w:t xml:space="preserve"> (ADRs)</w:t>
      </w:r>
    </w:p>
    <w:p w14:paraId="18903518" w14:textId="37C37860" w:rsidR="00635AA8" w:rsidRPr="00003D6E" w:rsidRDefault="00635AA8" w:rsidP="00FD67C9">
      <w:pPr>
        <w:keepNext/>
        <w:autoSpaceDE w:val="0"/>
        <w:autoSpaceDN w:val="0"/>
        <w:adjustRightInd w:val="0"/>
        <w:rPr>
          <w:snapToGrid w:val="0"/>
        </w:rPr>
      </w:pPr>
      <w:r w:rsidRPr="00003D6E">
        <w:t xml:space="preserve">Adverse </w:t>
      </w:r>
      <w:r w:rsidR="00413D33" w:rsidRPr="00003D6E">
        <w:t xml:space="preserve">drug </w:t>
      </w:r>
      <w:r w:rsidRPr="00003D6E">
        <w:t xml:space="preserve">reactions that occurred in patients treated with </w:t>
      </w:r>
      <w:r w:rsidR="005C7ECB" w:rsidRPr="00003D6E">
        <w:t>SOTYKTU</w:t>
      </w:r>
      <w:r w:rsidRPr="00003D6E">
        <w:t xml:space="preserve"> during the 16-week controlled period are presented in </w:t>
      </w:r>
      <w:fldSimple w:instr="REF _Ref81396369  \* MERGEFORMAT">
        <w:r w:rsidR="00006DA4" w:rsidRPr="00F35734">
          <w:t xml:space="preserve">Table </w:t>
        </w:r>
        <w:r w:rsidR="00006DA4" w:rsidRPr="00F35734">
          <w:rPr>
            <w:noProof/>
          </w:rPr>
          <w:t>2</w:t>
        </w:r>
      </w:fldSimple>
      <w:r w:rsidRPr="00003D6E">
        <w:t xml:space="preserve"> below. </w:t>
      </w:r>
      <w:r w:rsidRPr="00003D6E">
        <w:rPr>
          <w:snapToGrid w:val="0"/>
        </w:rPr>
        <w:t xml:space="preserve">Through Week 52, no new </w:t>
      </w:r>
      <w:r w:rsidR="00401B23" w:rsidRPr="00003D6E">
        <w:rPr>
          <w:snapToGrid w:val="0"/>
        </w:rPr>
        <w:t>ADRs</w:t>
      </w:r>
      <w:r w:rsidRPr="00003D6E">
        <w:rPr>
          <w:snapToGrid w:val="0"/>
        </w:rPr>
        <w:t xml:space="preserve"> were identified with </w:t>
      </w:r>
      <w:r w:rsidR="005C7ECB" w:rsidRPr="00003D6E">
        <w:rPr>
          <w:snapToGrid w:val="0"/>
        </w:rPr>
        <w:t>SOTYKTU</w:t>
      </w:r>
      <w:r w:rsidRPr="00003D6E">
        <w:rPr>
          <w:snapToGrid w:val="0"/>
        </w:rPr>
        <w:t xml:space="preserve"> and the incidence rates of common </w:t>
      </w:r>
      <w:r w:rsidR="00401B23" w:rsidRPr="00003D6E">
        <w:rPr>
          <w:snapToGrid w:val="0"/>
        </w:rPr>
        <w:t>ADRs</w:t>
      </w:r>
      <w:r w:rsidRPr="00003D6E">
        <w:rPr>
          <w:snapToGrid w:val="0"/>
        </w:rPr>
        <w:t xml:space="preserve"> did not increase compared to those observed during the first 16 weeks of treatment.</w:t>
      </w:r>
    </w:p>
    <w:p w14:paraId="5DA815E1" w14:textId="2DDCFB58" w:rsidR="00FD67C9" w:rsidRPr="00003D6E" w:rsidRDefault="00FD67C9" w:rsidP="009162B1">
      <w:pPr>
        <w:rPr>
          <w:noProof/>
        </w:rPr>
      </w:pPr>
      <w:r w:rsidRPr="00003D6E">
        <w:t>These reactions are presented by MedDRA System Organ Class and by frequency. Frequencies are defined as: very common (≥ 1/10); common (≥ 1/100 to &lt; 1/10); uncommon (≥ 1/1,000 to &lt; 1/100); rare (≥ 1/10,000 to &lt; 1/1,000)</w:t>
      </w:r>
      <w:r w:rsidR="00D2788F" w:rsidRPr="00003D6E">
        <w:t>.</w:t>
      </w:r>
    </w:p>
    <w:p w14:paraId="241E25D1" w14:textId="01DFB23A" w:rsidR="000834BB" w:rsidRPr="00003D6E" w:rsidRDefault="000834BB" w:rsidP="00FD67C9">
      <w:pPr>
        <w:rPr>
          <w:b/>
          <w:bCs/>
          <w:i/>
          <w:iCs/>
          <w:u w:val="single"/>
        </w:rPr>
      </w:pPr>
      <w:bookmarkStart w:id="24" w:name="_Ref81396369"/>
      <w:r w:rsidRPr="00003D6E">
        <w:rPr>
          <w:b/>
          <w:bCs/>
        </w:rPr>
        <w:t xml:space="preserve">Table </w:t>
      </w:r>
      <w:r w:rsidRPr="00003D6E">
        <w:rPr>
          <w:b/>
          <w:bCs/>
          <w:i/>
          <w:iCs/>
        </w:rPr>
        <w:fldChar w:fldCharType="begin"/>
      </w:r>
      <w:r w:rsidRPr="00003D6E">
        <w:rPr>
          <w:b/>
          <w:bCs/>
        </w:rPr>
        <w:instrText xml:space="preserve"> SEQ Table \* ARABIC </w:instrText>
      </w:r>
      <w:r w:rsidRPr="00003D6E">
        <w:rPr>
          <w:b/>
          <w:bCs/>
          <w:i/>
          <w:iCs/>
        </w:rPr>
        <w:fldChar w:fldCharType="separate"/>
      </w:r>
      <w:r w:rsidR="00006DA4">
        <w:rPr>
          <w:b/>
          <w:bCs/>
          <w:noProof/>
        </w:rPr>
        <w:t>2</w:t>
      </w:r>
      <w:r w:rsidRPr="00003D6E">
        <w:rPr>
          <w:b/>
          <w:bCs/>
          <w:i/>
          <w:iCs/>
        </w:rPr>
        <w:fldChar w:fldCharType="end"/>
      </w:r>
      <w:bookmarkEnd w:id="24"/>
      <w:r w:rsidRPr="00003D6E">
        <w:rPr>
          <w:b/>
          <w:bCs/>
        </w:rPr>
        <w:t>:</w:t>
      </w:r>
      <w:r w:rsidRPr="00003D6E">
        <w:rPr>
          <w:b/>
          <w:bCs/>
        </w:rPr>
        <w:tab/>
        <w:t xml:space="preserve">List of </w:t>
      </w:r>
      <w:r w:rsidR="002F1081" w:rsidRPr="00003D6E">
        <w:rPr>
          <w:b/>
          <w:bCs/>
        </w:rPr>
        <w:t>Adverse Drug R</w:t>
      </w:r>
      <w:r w:rsidRPr="00003D6E">
        <w:rPr>
          <w:b/>
          <w:bCs/>
        </w:rPr>
        <w:t>eactions</w:t>
      </w:r>
    </w:p>
    <w:tbl>
      <w:tblPr>
        <w:tblStyle w:val="TableGrid"/>
        <w:tblW w:w="9634" w:type="dxa"/>
        <w:tblLook w:val="04A0" w:firstRow="1" w:lastRow="0" w:firstColumn="1" w:lastColumn="0" w:noHBand="0" w:noVBand="1"/>
      </w:tblPr>
      <w:tblGrid>
        <w:gridCol w:w="2122"/>
        <w:gridCol w:w="7512"/>
      </w:tblGrid>
      <w:tr w:rsidR="00003D6E" w:rsidRPr="00003D6E" w14:paraId="4C0AFD97" w14:textId="77777777" w:rsidTr="0014269F">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2BA26F" w14:textId="77777777" w:rsidR="00F23D4C" w:rsidRPr="00003D6E" w:rsidRDefault="00F23D4C" w:rsidP="00C969E8">
            <w:pPr>
              <w:autoSpaceDE w:val="0"/>
              <w:autoSpaceDN w:val="0"/>
              <w:adjustRightInd w:val="0"/>
              <w:spacing w:before="60" w:after="60"/>
              <w:jc w:val="left"/>
              <w:rPr>
                <w:b/>
              </w:rPr>
            </w:pPr>
            <w:r w:rsidRPr="00003D6E">
              <w:rPr>
                <w:b/>
              </w:rPr>
              <w:t>Frequency</w:t>
            </w:r>
          </w:p>
        </w:tc>
        <w:tc>
          <w:tcPr>
            <w:tcW w:w="7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034215" w14:textId="3A25AA17" w:rsidR="00F23D4C" w:rsidRPr="00003D6E" w:rsidRDefault="00F23D4C">
            <w:pPr>
              <w:autoSpaceDE w:val="0"/>
              <w:autoSpaceDN w:val="0"/>
              <w:adjustRightInd w:val="0"/>
              <w:spacing w:before="60" w:after="60"/>
              <w:jc w:val="center"/>
              <w:rPr>
                <w:b/>
              </w:rPr>
            </w:pPr>
            <w:r w:rsidRPr="00003D6E">
              <w:rPr>
                <w:b/>
              </w:rPr>
              <w:t>ADRs</w:t>
            </w:r>
          </w:p>
        </w:tc>
      </w:tr>
      <w:tr w:rsidR="00003D6E" w:rsidRPr="00003D6E" w14:paraId="681E423F" w14:textId="77777777" w:rsidTr="00326FD7">
        <w:tc>
          <w:tcPr>
            <w:tcW w:w="9634" w:type="dxa"/>
            <w:gridSpan w:val="2"/>
            <w:tcBorders>
              <w:top w:val="single" w:sz="4" w:space="0" w:color="auto"/>
              <w:left w:val="single" w:sz="4" w:space="0" w:color="auto"/>
              <w:bottom w:val="single" w:sz="4" w:space="0" w:color="auto"/>
              <w:right w:val="single" w:sz="4" w:space="0" w:color="auto"/>
            </w:tcBorders>
          </w:tcPr>
          <w:p w14:paraId="7BF7AFC0" w14:textId="6558F944" w:rsidR="00C969E8" w:rsidRPr="00003D6E" w:rsidRDefault="00BD46E3" w:rsidP="00BD46E3">
            <w:pPr>
              <w:autoSpaceDE w:val="0"/>
              <w:autoSpaceDN w:val="0"/>
              <w:adjustRightInd w:val="0"/>
              <w:spacing w:before="60" w:after="60"/>
              <w:jc w:val="left"/>
              <w:rPr>
                <w:b/>
                <w:bCs/>
              </w:rPr>
            </w:pPr>
            <w:r w:rsidRPr="00003D6E">
              <w:rPr>
                <w:b/>
                <w:bCs/>
                <w:noProof/>
                <w:lang w:val="da-DK"/>
              </w:rPr>
              <w:t>Infections and infestations</w:t>
            </w:r>
          </w:p>
        </w:tc>
      </w:tr>
      <w:tr w:rsidR="00003D6E" w:rsidRPr="00003D6E" w14:paraId="373786F6" w14:textId="77777777" w:rsidTr="00BD46E3">
        <w:tc>
          <w:tcPr>
            <w:tcW w:w="2122" w:type="dxa"/>
            <w:tcBorders>
              <w:top w:val="single" w:sz="4" w:space="0" w:color="auto"/>
              <w:left w:val="single" w:sz="4" w:space="0" w:color="auto"/>
              <w:bottom w:val="single" w:sz="4" w:space="0" w:color="auto"/>
              <w:right w:val="single" w:sz="4" w:space="0" w:color="auto"/>
            </w:tcBorders>
            <w:hideMark/>
          </w:tcPr>
          <w:p w14:paraId="4E48C414" w14:textId="77777777" w:rsidR="00F23D4C" w:rsidRPr="00003D6E" w:rsidRDefault="00F23D4C">
            <w:pPr>
              <w:autoSpaceDE w:val="0"/>
              <w:autoSpaceDN w:val="0"/>
              <w:adjustRightInd w:val="0"/>
              <w:spacing w:before="60" w:after="60"/>
            </w:pPr>
            <w:r w:rsidRPr="00003D6E">
              <w:t>Very common</w:t>
            </w:r>
          </w:p>
        </w:tc>
        <w:tc>
          <w:tcPr>
            <w:tcW w:w="7512" w:type="dxa"/>
            <w:tcBorders>
              <w:top w:val="single" w:sz="4" w:space="0" w:color="auto"/>
              <w:left w:val="single" w:sz="4" w:space="0" w:color="auto"/>
              <w:bottom w:val="single" w:sz="4" w:space="0" w:color="auto"/>
              <w:right w:val="single" w:sz="4" w:space="0" w:color="auto"/>
            </w:tcBorders>
            <w:hideMark/>
          </w:tcPr>
          <w:p w14:paraId="58971618" w14:textId="77777777" w:rsidR="00F23D4C" w:rsidRPr="00003D6E" w:rsidRDefault="00F23D4C">
            <w:pPr>
              <w:autoSpaceDE w:val="0"/>
              <w:autoSpaceDN w:val="0"/>
              <w:adjustRightInd w:val="0"/>
              <w:spacing w:before="60" w:after="60"/>
            </w:pPr>
            <w:r w:rsidRPr="00003D6E">
              <w:t xml:space="preserve">Upper respiratory </w:t>
            </w:r>
            <w:proofErr w:type="spellStart"/>
            <w:r w:rsidRPr="00003D6E">
              <w:t>infections</w:t>
            </w:r>
            <w:r w:rsidRPr="00003D6E">
              <w:rPr>
                <w:vertAlign w:val="superscript"/>
              </w:rPr>
              <w:t>a</w:t>
            </w:r>
            <w:proofErr w:type="spellEnd"/>
          </w:p>
        </w:tc>
      </w:tr>
      <w:tr w:rsidR="00003D6E" w:rsidRPr="00003D6E" w14:paraId="021C47C7" w14:textId="77777777" w:rsidTr="00BD46E3">
        <w:trPr>
          <w:trHeight w:val="401"/>
        </w:trPr>
        <w:tc>
          <w:tcPr>
            <w:tcW w:w="2122" w:type="dxa"/>
            <w:tcBorders>
              <w:top w:val="single" w:sz="4" w:space="0" w:color="auto"/>
              <w:left w:val="single" w:sz="4" w:space="0" w:color="auto"/>
              <w:bottom w:val="single" w:sz="4" w:space="0" w:color="auto"/>
              <w:right w:val="single" w:sz="4" w:space="0" w:color="auto"/>
            </w:tcBorders>
            <w:hideMark/>
          </w:tcPr>
          <w:p w14:paraId="30642D76" w14:textId="77777777" w:rsidR="00F23D4C" w:rsidRPr="00003D6E" w:rsidRDefault="00F23D4C">
            <w:pPr>
              <w:autoSpaceDE w:val="0"/>
              <w:autoSpaceDN w:val="0"/>
              <w:adjustRightInd w:val="0"/>
              <w:spacing w:before="60" w:after="60"/>
            </w:pPr>
            <w:r w:rsidRPr="00003D6E">
              <w:t>Common</w:t>
            </w:r>
          </w:p>
        </w:tc>
        <w:tc>
          <w:tcPr>
            <w:tcW w:w="7512" w:type="dxa"/>
            <w:tcBorders>
              <w:top w:val="single" w:sz="4" w:space="0" w:color="auto"/>
              <w:left w:val="single" w:sz="4" w:space="0" w:color="auto"/>
              <w:bottom w:val="single" w:sz="4" w:space="0" w:color="auto"/>
              <w:right w:val="single" w:sz="4" w:space="0" w:color="auto"/>
            </w:tcBorders>
            <w:hideMark/>
          </w:tcPr>
          <w:p w14:paraId="0E30D306" w14:textId="77777777" w:rsidR="00F23D4C" w:rsidRPr="00003D6E" w:rsidRDefault="00F23D4C">
            <w:pPr>
              <w:autoSpaceDE w:val="0"/>
              <w:autoSpaceDN w:val="0"/>
              <w:adjustRightInd w:val="0"/>
              <w:spacing w:before="60" w:after="60"/>
            </w:pPr>
            <w:r w:rsidRPr="00003D6E">
              <w:t xml:space="preserve">Herpes simplex </w:t>
            </w:r>
            <w:proofErr w:type="spellStart"/>
            <w:r w:rsidRPr="00003D6E">
              <w:t>infections</w:t>
            </w:r>
            <w:r w:rsidRPr="00003D6E">
              <w:rPr>
                <w:vertAlign w:val="superscript"/>
              </w:rPr>
              <w:t>b</w:t>
            </w:r>
            <w:proofErr w:type="spellEnd"/>
            <w:r w:rsidRPr="00003D6E">
              <w:t xml:space="preserve"> </w:t>
            </w:r>
          </w:p>
        </w:tc>
      </w:tr>
      <w:tr w:rsidR="00003D6E" w:rsidRPr="00003D6E" w14:paraId="598B1434" w14:textId="77777777" w:rsidTr="00BD46E3">
        <w:tc>
          <w:tcPr>
            <w:tcW w:w="2122" w:type="dxa"/>
            <w:tcBorders>
              <w:top w:val="single" w:sz="4" w:space="0" w:color="auto"/>
              <w:left w:val="single" w:sz="4" w:space="0" w:color="auto"/>
              <w:bottom w:val="single" w:sz="4" w:space="0" w:color="auto"/>
              <w:right w:val="single" w:sz="4" w:space="0" w:color="auto"/>
            </w:tcBorders>
            <w:hideMark/>
          </w:tcPr>
          <w:p w14:paraId="4B38A465" w14:textId="77777777" w:rsidR="00F23D4C" w:rsidRPr="00003D6E" w:rsidRDefault="00F23D4C">
            <w:pPr>
              <w:autoSpaceDE w:val="0"/>
              <w:autoSpaceDN w:val="0"/>
              <w:adjustRightInd w:val="0"/>
              <w:spacing w:before="60" w:after="60"/>
            </w:pPr>
            <w:r w:rsidRPr="00003D6E">
              <w:t>Uncommon</w:t>
            </w:r>
          </w:p>
        </w:tc>
        <w:tc>
          <w:tcPr>
            <w:tcW w:w="7512" w:type="dxa"/>
            <w:tcBorders>
              <w:top w:val="single" w:sz="4" w:space="0" w:color="auto"/>
              <w:left w:val="single" w:sz="4" w:space="0" w:color="auto"/>
              <w:bottom w:val="single" w:sz="4" w:space="0" w:color="auto"/>
              <w:right w:val="single" w:sz="4" w:space="0" w:color="auto"/>
            </w:tcBorders>
            <w:hideMark/>
          </w:tcPr>
          <w:p w14:paraId="57079925" w14:textId="77777777" w:rsidR="00F23D4C" w:rsidRPr="00003D6E" w:rsidRDefault="00F23D4C">
            <w:pPr>
              <w:autoSpaceDE w:val="0"/>
              <w:autoSpaceDN w:val="0"/>
              <w:adjustRightInd w:val="0"/>
              <w:spacing w:before="60" w:after="60"/>
            </w:pPr>
            <w:r w:rsidRPr="00003D6E">
              <w:t>Herpes zoster</w:t>
            </w:r>
          </w:p>
        </w:tc>
      </w:tr>
      <w:tr w:rsidR="00003D6E" w:rsidRPr="00003D6E" w14:paraId="2023222D" w14:textId="77777777" w:rsidTr="00326FD7">
        <w:tc>
          <w:tcPr>
            <w:tcW w:w="9634" w:type="dxa"/>
            <w:gridSpan w:val="2"/>
            <w:tcBorders>
              <w:top w:val="single" w:sz="4" w:space="0" w:color="auto"/>
              <w:left w:val="single" w:sz="4" w:space="0" w:color="auto"/>
              <w:bottom w:val="single" w:sz="4" w:space="0" w:color="auto"/>
              <w:right w:val="single" w:sz="4" w:space="0" w:color="auto"/>
            </w:tcBorders>
          </w:tcPr>
          <w:p w14:paraId="770BF0D5" w14:textId="67A16245" w:rsidR="00C969E8" w:rsidRPr="00003D6E" w:rsidRDefault="00BD46E3">
            <w:pPr>
              <w:autoSpaceDE w:val="0"/>
              <w:autoSpaceDN w:val="0"/>
              <w:adjustRightInd w:val="0"/>
              <w:spacing w:before="60" w:after="60"/>
              <w:rPr>
                <w:b/>
                <w:bCs/>
              </w:rPr>
            </w:pPr>
            <w:r w:rsidRPr="00003D6E">
              <w:rPr>
                <w:b/>
                <w:bCs/>
                <w:noProof/>
                <w:lang w:val="da-DK"/>
              </w:rPr>
              <w:t>Gastrointestinal disorders</w:t>
            </w:r>
          </w:p>
        </w:tc>
      </w:tr>
      <w:tr w:rsidR="00003D6E" w:rsidRPr="00003D6E" w14:paraId="47E0B14D" w14:textId="77777777" w:rsidTr="00BD46E3">
        <w:tc>
          <w:tcPr>
            <w:tcW w:w="2122" w:type="dxa"/>
            <w:tcBorders>
              <w:top w:val="single" w:sz="4" w:space="0" w:color="auto"/>
              <w:left w:val="single" w:sz="4" w:space="0" w:color="auto"/>
              <w:bottom w:val="single" w:sz="4" w:space="0" w:color="auto"/>
              <w:right w:val="single" w:sz="4" w:space="0" w:color="auto"/>
            </w:tcBorders>
            <w:hideMark/>
          </w:tcPr>
          <w:p w14:paraId="6D9D5592" w14:textId="77777777" w:rsidR="00F23D4C" w:rsidRPr="00003D6E" w:rsidRDefault="00F23D4C">
            <w:pPr>
              <w:autoSpaceDE w:val="0"/>
              <w:autoSpaceDN w:val="0"/>
              <w:adjustRightInd w:val="0"/>
              <w:spacing w:before="60" w:after="60"/>
            </w:pPr>
            <w:r w:rsidRPr="00003D6E">
              <w:t>Common</w:t>
            </w:r>
          </w:p>
        </w:tc>
        <w:tc>
          <w:tcPr>
            <w:tcW w:w="7512" w:type="dxa"/>
            <w:tcBorders>
              <w:top w:val="single" w:sz="4" w:space="0" w:color="auto"/>
              <w:left w:val="single" w:sz="4" w:space="0" w:color="auto"/>
              <w:bottom w:val="single" w:sz="4" w:space="0" w:color="auto"/>
              <w:right w:val="single" w:sz="4" w:space="0" w:color="auto"/>
            </w:tcBorders>
            <w:hideMark/>
          </w:tcPr>
          <w:p w14:paraId="47E8C52A" w14:textId="77777777" w:rsidR="00F23D4C" w:rsidRPr="00003D6E" w:rsidRDefault="00F23D4C">
            <w:pPr>
              <w:autoSpaceDE w:val="0"/>
              <w:autoSpaceDN w:val="0"/>
              <w:adjustRightInd w:val="0"/>
              <w:spacing w:before="60" w:after="60"/>
            </w:pPr>
            <w:r w:rsidRPr="00003D6E">
              <w:t xml:space="preserve">Oral </w:t>
            </w:r>
            <w:proofErr w:type="spellStart"/>
            <w:r w:rsidRPr="00003D6E">
              <w:t>ulcers</w:t>
            </w:r>
            <w:r w:rsidRPr="00003D6E">
              <w:rPr>
                <w:vertAlign w:val="superscript"/>
              </w:rPr>
              <w:t>c</w:t>
            </w:r>
            <w:proofErr w:type="spellEnd"/>
          </w:p>
        </w:tc>
      </w:tr>
      <w:tr w:rsidR="00003D6E" w:rsidRPr="00003D6E" w14:paraId="40B894DD" w14:textId="77777777" w:rsidTr="00326FD7">
        <w:tc>
          <w:tcPr>
            <w:tcW w:w="9634" w:type="dxa"/>
            <w:gridSpan w:val="2"/>
            <w:tcBorders>
              <w:top w:val="single" w:sz="4" w:space="0" w:color="auto"/>
              <w:left w:val="single" w:sz="4" w:space="0" w:color="auto"/>
              <w:bottom w:val="single" w:sz="4" w:space="0" w:color="auto"/>
              <w:right w:val="single" w:sz="4" w:space="0" w:color="auto"/>
            </w:tcBorders>
          </w:tcPr>
          <w:p w14:paraId="7CD2DEC1" w14:textId="152D6263" w:rsidR="00C969E8" w:rsidRPr="00003D6E" w:rsidRDefault="00C969E8">
            <w:pPr>
              <w:autoSpaceDE w:val="0"/>
              <w:autoSpaceDN w:val="0"/>
              <w:adjustRightInd w:val="0"/>
              <w:spacing w:before="60" w:after="60"/>
              <w:rPr>
                <w:b/>
                <w:bCs/>
              </w:rPr>
            </w:pPr>
            <w:r w:rsidRPr="00003D6E">
              <w:rPr>
                <w:b/>
                <w:bCs/>
                <w:noProof/>
                <w:lang w:val="da-DK"/>
              </w:rPr>
              <w:t>Skin and subcutaneous tissue disorders</w:t>
            </w:r>
          </w:p>
        </w:tc>
      </w:tr>
      <w:tr w:rsidR="00003D6E" w:rsidRPr="00003D6E" w14:paraId="3777307E" w14:textId="77777777" w:rsidTr="0014269F">
        <w:trPr>
          <w:trHeight w:val="403"/>
        </w:trPr>
        <w:tc>
          <w:tcPr>
            <w:tcW w:w="2122" w:type="dxa"/>
            <w:tcBorders>
              <w:top w:val="single" w:sz="4" w:space="0" w:color="auto"/>
              <w:left w:val="single" w:sz="4" w:space="0" w:color="auto"/>
              <w:bottom w:val="single" w:sz="4" w:space="0" w:color="auto"/>
              <w:right w:val="single" w:sz="4" w:space="0" w:color="auto"/>
            </w:tcBorders>
            <w:hideMark/>
          </w:tcPr>
          <w:p w14:paraId="73C0827F" w14:textId="77777777" w:rsidR="00F23D4C" w:rsidRPr="00003D6E" w:rsidRDefault="00F23D4C">
            <w:pPr>
              <w:autoSpaceDE w:val="0"/>
              <w:autoSpaceDN w:val="0"/>
              <w:adjustRightInd w:val="0"/>
              <w:spacing w:before="60" w:after="60"/>
            </w:pPr>
            <w:r w:rsidRPr="00003D6E">
              <w:t>Common</w:t>
            </w:r>
          </w:p>
        </w:tc>
        <w:tc>
          <w:tcPr>
            <w:tcW w:w="7512" w:type="dxa"/>
            <w:tcBorders>
              <w:top w:val="single" w:sz="4" w:space="0" w:color="auto"/>
              <w:left w:val="single" w:sz="4" w:space="0" w:color="auto"/>
              <w:bottom w:val="single" w:sz="4" w:space="0" w:color="auto"/>
              <w:right w:val="single" w:sz="4" w:space="0" w:color="auto"/>
            </w:tcBorders>
            <w:hideMark/>
          </w:tcPr>
          <w:p w14:paraId="3B5B451D" w14:textId="5277478E" w:rsidR="00F23D4C" w:rsidRPr="00003D6E" w:rsidRDefault="00F23D4C">
            <w:pPr>
              <w:autoSpaceDE w:val="0"/>
              <w:autoSpaceDN w:val="0"/>
              <w:adjustRightInd w:val="0"/>
              <w:spacing w:before="60" w:after="60"/>
            </w:pPr>
            <w:r w:rsidRPr="00003D6E">
              <w:t xml:space="preserve">Acneiform </w:t>
            </w:r>
            <w:proofErr w:type="spellStart"/>
            <w:r w:rsidRPr="00003D6E">
              <w:t>rash</w:t>
            </w:r>
            <w:r w:rsidRPr="00003D6E">
              <w:rPr>
                <w:vertAlign w:val="superscript"/>
              </w:rPr>
              <w:t>d</w:t>
            </w:r>
            <w:proofErr w:type="spellEnd"/>
            <w:r w:rsidRPr="00003D6E">
              <w:t>, folliculitis</w:t>
            </w:r>
          </w:p>
        </w:tc>
      </w:tr>
    </w:tbl>
    <w:p w14:paraId="0A8087A5" w14:textId="77777777" w:rsidR="009B0C5A" w:rsidRPr="00003D6E" w:rsidRDefault="009B0C5A" w:rsidP="009B0C5A">
      <w:pPr>
        <w:pStyle w:val="BMSBodyText"/>
        <w:spacing w:after="0" w:line="240" w:lineRule="auto"/>
        <w:ind w:left="176" w:hanging="176"/>
        <w:jc w:val="left"/>
        <w:rPr>
          <w:bCs/>
          <w:iCs/>
          <w:color w:val="auto"/>
          <w:sz w:val="20"/>
          <w:lang w:val="en-GB"/>
        </w:rPr>
      </w:pPr>
      <w:proofErr w:type="gramStart"/>
      <w:r w:rsidRPr="00003D6E">
        <w:rPr>
          <w:bCs/>
          <w:iCs/>
          <w:color w:val="auto"/>
          <w:szCs w:val="24"/>
          <w:vertAlign w:val="superscript"/>
          <w:lang w:val="en-GB"/>
        </w:rPr>
        <w:lastRenderedPageBreak/>
        <w:t>a</w:t>
      </w:r>
      <w:proofErr w:type="gramEnd"/>
      <w:r w:rsidRPr="00003D6E">
        <w:rPr>
          <w:bCs/>
          <w:iCs/>
          <w:color w:val="auto"/>
          <w:sz w:val="20"/>
          <w:lang w:val="en-GB"/>
        </w:rPr>
        <w:t xml:space="preserve"> Upper respiratory infections include nasopharyngitis, upper respiratory tract infection, viral upper respiratory tract infection, pharyngitis, sinusitis, acute sinusitis, rhinitis, tonsillitis, peritonsillar abscess, laryngitis, tracheitis, and rhinotracheitis.</w:t>
      </w:r>
    </w:p>
    <w:p w14:paraId="7FE07425" w14:textId="77777777" w:rsidR="009B0C5A" w:rsidRPr="00003D6E" w:rsidRDefault="009B0C5A" w:rsidP="009B0C5A">
      <w:pPr>
        <w:pStyle w:val="BMSBodyText"/>
        <w:spacing w:after="0" w:line="240" w:lineRule="auto"/>
        <w:ind w:left="176" w:hanging="176"/>
        <w:jc w:val="left"/>
        <w:rPr>
          <w:bCs/>
          <w:iCs/>
          <w:color w:val="auto"/>
          <w:sz w:val="20"/>
          <w:lang w:val="en-GB"/>
        </w:rPr>
      </w:pPr>
      <w:r w:rsidRPr="00003D6E">
        <w:rPr>
          <w:bCs/>
          <w:iCs/>
          <w:color w:val="auto"/>
          <w:szCs w:val="24"/>
          <w:vertAlign w:val="superscript"/>
          <w:lang w:val="en-GB"/>
        </w:rPr>
        <w:t>b</w:t>
      </w:r>
      <w:r w:rsidRPr="00003D6E">
        <w:rPr>
          <w:bCs/>
          <w:iCs/>
          <w:color w:val="auto"/>
          <w:sz w:val="20"/>
          <w:lang w:val="en-GB"/>
        </w:rPr>
        <w:t xml:space="preserve"> Herpes simplex infections include oral herpes, herpes simplex, genital herpes, and herpes viral infection.</w:t>
      </w:r>
    </w:p>
    <w:p w14:paraId="60D499EA" w14:textId="77777777" w:rsidR="009B0C5A" w:rsidRPr="00003D6E" w:rsidRDefault="009B0C5A" w:rsidP="009B0C5A">
      <w:pPr>
        <w:pStyle w:val="BMSBodyText"/>
        <w:spacing w:after="0" w:line="240" w:lineRule="auto"/>
        <w:ind w:left="176" w:hanging="176"/>
        <w:jc w:val="left"/>
        <w:rPr>
          <w:bCs/>
          <w:iCs/>
          <w:color w:val="auto"/>
          <w:sz w:val="20"/>
          <w:lang w:val="en-GB"/>
        </w:rPr>
      </w:pPr>
      <w:r w:rsidRPr="00003D6E">
        <w:rPr>
          <w:bCs/>
          <w:iCs/>
          <w:color w:val="auto"/>
          <w:szCs w:val="24"/>
          <w:vertAlign w:val="superscript"/>
          <w:lang w:val="en-GB"/>
        </w:rPr>
        <w:t>c</w:t>
      </w:r>
      <w:r w:rsidRPr="00003D6E">
        <w:rPr>
          <w:bCs/>
          <w:iCs/>
          <w:color w:val="auto"/>
          <w:sz w:val="20"/>
          <w:lang w:val="en-GB"/>
        </w:rPr>
        <w:t xml:space="preserve"> Oral ulcers include aphthous ulcer, mouth ulceration, tongue ulceration, and stomatitis. </w:t>
      </w:r>
    </w:p>
    <w:p w14:paraId="6E4A7D18" w14:textId="6C049B80" w:rsidR="00931C11" w:rsidRPr="00003D6E" w:rsidRDefault="009B0C5A" w:rsidP="009B0C5A">
      <w:pPr>
        <w:pStyle w:val="BMSBodyText"/>
        <w:spacing w:after="0" w:line="240" w:lineRule="auto"/>
        <w:ind w:left="176" w:hanging="176"/>
        <w:jc w:val="left"/>
        <w:rPr>
          <w:bCs/>
          <w:iCs/>
          <w:color w:val="auto"/>
          <w:sz w:val="20"/>
          <w:lang w:val="en-GB"/>
        </w:rPr>
      </w:pPr>
      <w:r w:rsidRPr="00003D6E">
        <w:rPr>
          <w:bCs/>
          <w:iCs/>
          <w:color w:val="auto"/>
          <w:szCs w:val="24"/>
          <w:vertAlign w:val="superscript"/>
          <w:lang w:val="en-GB"/>
        </w:rPr>
        <w:t>d</w:t>
      </w:r>
      <w:r w:rsidRPr="00003D6E">
        <w:rPr>
          <w:bCs/>
          <w:iCs/>
          <w:color w:val="auto"/>
          <w:sz w:val="20"/>
          <w:lang w:val="en-GB"/>
        </w:rPr>
        <w:t xml:space="preserve"> Acneiform rash includes acne, dermatitis acneiform, rash, rosacea, pustule, rash pustular, and papule.</w:t>
      </w:r>
    </w:p>
    <w:p w14:paraId="07CE6834" w14:textId="77777777" w:rsidR="009B0C5A" w:rsidRPr="00003D6E" w:rsidRDefault="009B0C5A" w:rsidP="009B0C5A">
      <w:pPr>
        <w:pStyle w:val="BMSBodyText"/>
        <w:spacing w:after="0" w:line="240" w:lineRule="auto"/>
        <w:ind w:left="176" w:hanging="176"/>
        <w:jc w:val="left"/>
        <w:rPr>
          <w:bCs/>
          <w:iCs/>
          <w:color w:val="auto"/>
          <w:sz w:val="20"/>
          <w:lang w:val="en-GB"/>
        </w:rPr>
      </w:pPr>
    </w:p>
    <w:p w14:paraId="1E51AA1D" w14:textId="48F6E96A" w:rsidR="007B4510" w:rsidRPr="00003D6E" w:rsidRDefault="007B4510" w:rsidP="007B4510">
      <w:pPr>
        <w:rPr>
          <w:b/>
        </w:rPr>
      </w:pPr>
      <w:r w:rsidRPr="00003D6E">
        <w:rPr>
          <w:b/>
        </w:rPr>
        <w:t>Description of Selected Adverse</w:t>
      </w:r>
      <w:r w:rsidR="00DD71FF" w:rsidRPr="00003D6E">
        <w:rPr>
          <w:b/>
        </w:rPr>
        <w:t xml:space="preserve"> </w:t>
      </w:r>
      <w:r w:rsidRPr="00003D6E">
        <w:rPr>
          <w:b/>
        </w:rPr>
        <w:t>Reactions</w:t>
      </w:r>
    </w:p>
    <w:p w14:paraId="5F7AC3C0" w14:textId="77777777" w:rsidR="008A0A33" w:rsidRPr="00003D6E" w:rsidRDefault="008A0A33" w:rsidP="008A0A33">
      <w:pPr>
        <w:pStyle w:val="BMSBodyText"/>
        <w:spacing w:line="240" w:lineRule="auto"/>
        <w:rPr>
          <w:snapToGrid w:val="0"/>
          <w:color w:val="auto"/>
          <w:sz w:val="22"/>
          <w:szCs w:val="22"/>
          <w:u w:val="single"/>
        </w:rPr>
      </w:pPr>
      <w:r w:rsidRPr="00003D6E">
        <w:rPr>
          <w:snapToGrid w:val="0"/>
          <w:color w:val="auto"/>
          <w:sz w:val="22"/>
          <w:szCs w:val="22"/>
          <w:u w:val="single"/>
        </w:rPr>
        <w:t>Infections</w:t>
      </w:r>
    </w:p>
    <w:p w14:paraId="66B25EDD" w14:textId="3093FF99" w:rsidR="00F47574" w:rsidRPr="00003D6E" w:rsidRDefault="00F47574" w:rsidP="00F47574">
      <w:pPr>
        <w:tabs>
          <w:tab w:val="left" w:pos="720"/>
        </w:tabs>
      </w:pPr>
      <w:r w:rsidRPr="00003D6E">
        <w:t>In POETYK PSO</w:t>
      </w:r>
      <w:r w:rsidRPr="00003D6E">
        <w:noBreakHyphen/>
        <w:t>1 and POETYK PSO</w:t>
      </w:r>
      <w:r w:rsidRPr="00003D6E">
        <w:noBreakHyphen/>
        <w:t xml:space="preserve">2 during the first 16 weeks, infections occurred in 29.1% of patients in the </w:t>
      </w:r>
      <w:r w:rsidRPr="00003D6E">
        <w:rPr>
          <w:noProof/>
        </w:rPr>
        <w:t>deucravacitinib</w:t>
      </w:r>
      <w:r w:rsidRPr="00003D6E">
        <w:t xml:space="preserve"> group (116</w:t>
      </w:r>
      <w:r w:rsidR="00792799" w:rsidRPr="00003D6E">
        <w:t>.0</w:t>
      </w:r>
      <w:r w:rsidRPr="00003D6E">
        <w:rPr>
          <w:noProof/>
        </w:rPr>
        <w:t> </w:t>
      </w:r>
      <w:r w:rsidRPr="00003D6E">
        <w:t>events per 100</w:t>
      </w:r>
      <w:r w:rsidRPr="00003D6E">
        <w:rPr>
          <w:noProof/>
        </w:rPr>
        <w:t> </w:t>
      </w:r>
      <w:r w:rsidRPr="00003D6E">
        <w:t>person</w:t>
      </w:r>
      <w:r w:rsidRPr="00003D6E">
        <w:noBreakHyphen/>
        <w:t>years) compared to 21.5% of patients in the placebo group (83.7</w:t>
      </w:r>
      <w:r w:rsidRPr="00003D6E">
        <w:rPr>
          <w:noProof/>
        </w:rPr>
        <w:t> </w:t>
      </w:r>
      <w:r w:rsidRPr="00003D6E">
        <w:t>events per 100</w:t>
      </w:r>
      <w:r w:rsidRPr="00003D6E">
        <w:rPr>
          <w:noProof/>
        </w:rPr>
        <w:t> </w:t>
      </w:r>
      <w:r w:rsidRPr="00003D6E">
        <w:t>person</w:t>
      </w:r>
      <w:r w:rsidRPr="00003D6E">
        <w:noBreakHyphen/>
        <w:t xml:space="preserve">years). </w:t>
      </w:r>
      <w:proofErr w:type="gramStart"/>
      <w:r w:rsidRPr="00003D6E">
        <w:t>The majority of</w:t>
      </w:r>
      <w:proofErr w:type="gramEnd"/>
      <w:r w:rsidRPr="00003D6E">
        <w:t xml:space="preserve"> infections were non-serious and mild to moderate in severity and did not lead to discontinuation of </w:t>
      </w:r>
      <w:proofErr w:type="spellStart"/>
      <w:r w:rsidRPr="00003D6E">
        <w:t>deucravacitinib</w:t>
      </w:r>
      <w:proofErr w:type="spellEnd"/>
      <w:r w:rsidRPr="00003D6E">
        <w:t xml:space="preserve">. The incidence of serious infections in the </w:t>
      </w:r>
      <w:r w:rsidRPr="00003D6E">
        <w:rPr>
          <w:noProof/>
        </w:rPr>
        <w:t>deucravacitinib</w:t>
      </w:r>
      <w:r w:rsidRPr="00003D6E">
        <w:t xml:space="preserve"> group was 0.6% (2.0</w:t>
      </w:r>
      <w:r w:rsidRPr="00003D6E">
        <w:rPr>
          <w:noProof/>
        </w:rPr>
        <w:t> </w:t>
      </w:r>
      <w:r w:rsidRPr="00003D6E">
        <w:t>events per 100</w:t>
      </w:r>
      <w:r w:rsidRPr="00003D6E">
        <w:rPr>
          <w:noProof/>
        </w:rPr>
        <w:t> </w:t>
      </w:r>
      <w:r w:rsidRPr="00003D6E">
        <w:t>person</w:t>
      </w:r>
      <w:r w:rsidRPr="00003D6E">
        <w:noBreakHyphen/>
        <w:t>years) and in the placebo group was 0.5% (1.6</w:t>
      </w:r>
      <w:r w:rsidRPr="00003D6E">
        <w:rPr>
          <w:noProof/>
        </w:rPr>
        <w:t> </w:t>
      </w:r>
      <w:r w:rsidRPr="00003D6E">
        <w:t>events per 100</w:t>
      </w:r>
      <w:r w:rsidRPr="00003D6E">
        <w:rPr>
          <w:noProof/>
        </w:rPr>
        <w:t> </w:t>
      </w:r>
      <w:r w:rsidRPr="00003D6E">
        <w:t xml:space="preserve">person-years). </w:t>
      </w:r>
    </w:p>
    <w:p w14:paraId="460E495C" w14:textId="77777777" w:rsidR="00F47574" w:rsidRDefault="00F47574" w:rsidP="00F47574">
      <w:pPr>
        <w:tabs>
          <w:tab w:val="left" w:pos="720"/>
        </w:tabs>
      </w:pPr>
      <w:r w:rsidRPr="00003D6E">
        <w:t xml:space="preserve">The rate of infections in the </w:t>
      </w:r>
      <w:proofErr w:type="spellStart"/>
      <w:r w:rsidRPr="00003D6E">
        <w:t>deucravacitinib</w:t>
      </w:r>
      <w:proofErr w:type="spellEnd"/>
      <w:r w:rsidRPr="00003D6E">
        <w:t xml:space="preserve"> group did not increase through Week 52 (95.4</w:t>
      </w:r>
      <w:r w:rsidRPr="00003D6E">
        <w:rPr>
          <w:noProof/>
        </w:rPr>
        <w:t> </w:t>
      </w:r>
      <w:r w:rsidRPr="00003D6E">
        <w:t>events per 100</w:t>
      </w:r>
      <w:r w:rsidRPr="00003D6E">
        <w:rPr>
          <w:noProof/>
        </w:rPr>
        <w:t> </w:t>
      </w:r>
      <w:r w:rsidRPr="00003D6E">
        <w:t>person</w:t>
      </w:r>
      <w:r w:rsidRPr="00003D6E">
        <w:noBreakHyphen/>
        <w:t xml:space="preserve">years). The rate of serious infections in the </w:t>
      </w:r>
      <w:proofErr w:type="spellStart"/>
      <w:r w:rsidRPr="00003D6E">
        <w:t>deucravacitinib</w:t>
      </w:r>
      <w:proofErr w:type="spellEnd"/>
      <w:r w:rsidRPr="00003D6E">
        <w:t xml:space="preserve"> group did not increase through Week 52 (1.7</w:t>
      </w:r>
      <w:r w:rsidRPr="00003D6E">
        <w:rPr>
          <w:noProof/>
        </w:rPr>
        <w:t> </w:t>
      </w:r>
      <w:r w:rsidRPr="00003D6E">
        <w:t>events per 100</w:t>
      </w:r>
      <w:r w:rsidRPr="00003D6E">
        <w:rPr>
          <w:noProof/>
        </w:rPr>
        <w:t> </w:t>
      </w:r>
      <w:r w:rsidRPr="00003D6E">
        <w:t>person</w:t>
      </w:r>
      <w:r w:rsidRPr="00003D6E">
        <w:noBreakHyphen/>
        <w:t>years).</w:t>
      </w:r>
    </w:p>
    <w:p w14:paraId="7CCB9E61" w14:textId="3BFB370E" w:rsidR="00EA5D74" w:rsidRPr="001238AC" w:rsidRDefault="00EA5D74" w:rsidP="001238AC">
      <w:pPr>
        <w:tabs>
          <w:tab w:val="left" w:pos="720"/>
        </w:tabs>
      </w:pPr>
      <w:r w:rsidRPr="001238AC">
        <w:t xml:space="preserve">In the 16-week placebo-controlled period, herpes simplex infections were reported in 17 subjects (6.8 per 100 patient-years) treated with SOTYKTU, and 1 subject (0.8 per 100 patient-years) treated with placebo. </w:t>
      </w:r>
      <w:proofErr w:type="spellStart"/>
      <w:r w:rsidRPr="001238AC">
        <w:t>Multidermatomal</w:t>
      </w:r>
      <w:proofErr w:type="spellEnd"/>
      <w:r w:rsidRPr="001238AC">
        <w:t xml:space="preserve"> herpes zoster was reported in </w:t>
      </w:r>
      <w:r w:rsidR="003F69BB">
        <w:t>a</w:t>
      </w:r>
      <w:r w:rsidRPr="001238AC">
        <w:t xml:space="preserve"> subject who received SOTYKTU.</w:t>
      </w:r>
    </w:p>
    <w:p w14:paraId="2A87DAC3" w14:textId="5A5D1D44" w:rsidR="00EA5D74" w:rsidRPr="001238AC" w:rsidRDefault="00EA5D74" w:rsidP="001238AC">
      <w:pPr>
        <w:tabs>
          <w:tab w:val="left" w:pos="720"/>
        </w:tabs>
      </w:pPr>
      <w:r w:rsidRPr="001238AC">
        <w:t xml:space="preserve">During PSO-1, PSO-2, and the open-label extension trial in which subjects who completed the controlled trials could enrol, </w:t>
      </w:r>
      <w:proofErr w:type="gramStart"/>
      <w:r w:rsidRPr="001238AC">
        <w:t>the majority of</w:t>
      </w:r>
      <w:proofErr w:type="gramEnd"/>
      <w:r w:rsidRPr="001238AC">
        <w:t xml:space="preserve"> subjects (1</w:t>
      </w:r>
      <w:r w:rsidR="007A3967">
        <w:t>0</w:t>
      </w:r>
      <w:r w:rsidRPr="001238AC">
        <w:t>/18) who reported events of herpes zoster while receiving SOTYKTU were under 50 years of age.</w:t>
      </w:r>
    </w:p>
    <w:p w14:paraId="6E3C837F" w14:textId="4B476D49" w:rsidR="008A0A33" w:rsidRPr="00003D6E" w:rsidRDefault="008A0A33" w:rsidP="004F0AC7">
      <w:pPr>
        <w:pStyle w:val="BMSBodyText"/>
        <w:spacing w:line="240" w:lineRule="auto"/>
        <w:rPr>
          <w:snapToGrid w:val="0"/>
          <w:color w:val="auto"/>
          <w:sz w:val="22"/>
          <w:szCs w:val="22"/>
          <w:u w:val="single"/>
        </w:rPr>
      </w:pPr>
      <w:r w:rsidRPr="00003D6E">
        <w:rPr>
          <w:snapToGrid w:val="0"/>
          <w:color w:val="auto"/>
          <w:sz w:val="22"/>
          <w:szCs w:val="22"/>
          <w:u w:val="single"/>
        </w:rPr>
        <w:t>Malignancies</w:t>
      </w:r>
    </w:p>
    <w:p w14:paraId="21D957BA" w14:textId="099A105B" w:rsidR="00512E17" w:rsidRPr="00003D6E" w:rsidRDefault="00512E17" w:rsidP="00512E17">
      <w:r w:rsidRPr="00003D6E">
        <w:rPr>
          <w:snapToGrid w:val="0"/>
        </w:rPr>
        <w:t>During the 52</w:t>
      </w:r>
      <w:r w:rsidRPr="00003D6E">
        <w:rPr>
          <w:snapToGrid w:val="0"/>
        </w:rPr>
        <w:noBreakHyphen/>
        <w:t>week treatment period of the two controlled psoriasis clinical studies (total exposure of 969</w:t>
      </w:r>
      <w:r w:rsidR="00B31C1F" w:rsidRPr="00003D6E">
        <w:rPr>
          <w:snapToGrid w:val="0"/>
        </w:rPr>
        <w:t>.0</w:t>
      </w:r>
      <w:r w:rsidRPr="00003D6E">
        <w:rPr>
          <w:noProof/>
        </w:rPr>
        <w:t> </w:t>
      </w:r>
      <w:r w:rsidRPr="00003D6E">
        <w:rPr>
          <w:snapToGrid w:val="0"/>
        </w:rPr>
        <w:t xml:space="preserve">person-years with </w:t>
      </w:r>
      <w:proofErr w:type="spellStart"/>
      <w:r w:rsidRPr="00003D6E">
        <w:rPr>
          <w:snapToGrid w:val="0"/>
        </w:rPr>
        <w:t>deucravacitinib</w:t>
      </w:r>
      <w:proofErr w:type="spellEnd"/>
      <w:r w:rsidRPr="00003D6E">
        <w:rPr>
          <w:snapToGrid w:val="0"/>
        </w:rPr>
        <w:t xml:space="preserve">), malignancies (excluding non-melanoma skin cancers) were reported in 0.2% of </w:t>
      </w:r>
      <w:proofErr w:type="spellStart"/>
      <w:r w:rsidRPr="00003D6E">
        <w:rPr>
          <w:snapToGrid w:val="0"/>
        </w:rPr>
        <w:t>deucravacitinib</w:t>
      </w:r>
      <w:proofErr w:type="spellEnd"/>
      <w:r w:rsidRPr="00003D6E">
        <w:rPr>
          <w:snapToGrid w:val="0"/>
        </w:rPr>
        <w:t>-treated patients (0.3</w:t>
      </w:r>
      <w:r w:rsidRPr="00003D6E">
        <w:rPr>
          <w:noProof/>
        </w:rPr>
        <w:t xml:space="preserve"> events </w:t>
      </w:r>
      <w:r w:rsidRPr="00003D6E">
        <w:rPr>
          <w:snapToGrid w:val="0"/>
        </w:rPr>
        <w:t>per 100</w:t>
      </w:r>
      <w:r w:rsidRPr="00003D6E">
        <w:rPr>
          <w:noProof/>
        </w:rPr>
        <w:t> </w:t>
      </w:r>
      <w:r w:rsidRPr="00003D6E">
        <w:rPr>
          <w:snapToGrid w:val="0"/>
        </w:rPr>
        <w:t xml:space="preserve">person-years), including one lymphoma. Lymphomas were also reported with </w:t>
      </w:r>
      <w:proofErr w:type="spellStart"/>
      <w:r w:rsidRPr="00003D6E">
        <w:rPr>
          <w:snapToGrid w:val="0"/>
        </w:rPr>
        <w:t>deucravacitinib</w:t>
      </w:r>
      <w:proofErr w:type="spellEnd"/>
      <w:r w:rsidRPr="00003D6E">
        <w:rPr>
          <w:snapToGrid w:val="0"/>
        </w:rPr>
        <w:t xml:space="preserve"> in the open-label, long-term extension and in an open-label regional study. The potential role of </w:t>
      </w:r>
      <w:proofErr w:type="spellStart"/>
      <w:r w:rsidRPr="00003D6E">
        <w:rPr>
          <w:snapToGrid w:val="0"/>
        </w:rPr>
        <w:t>deucravacitinib</w:t>
      </w:r>
      <w:proofErr w:type="spellEnd"/>
      <w:r w:rsidRPr="00003D6E">
        <w:rPr>
          <w:snapToGrid w:val="0"/>
        </w:rPr>
        <w:t xml:space="preserve"> in the development of malignancies is unclear.</w:t>
      </w:r>
    </w:p>
    <w:p w14:paraId="46F11580" w14:textId="6789E408" w:rsidR="007B4510" w:rsidRPr="00003D6E" w:rsidRDefault="007B4510" w:rsidP="007B4510">
      <w:pPr>
        <w:pStyle w:val="Heading3"/>
        <w:rPr>
          <w:rFonts w:cs="Times New Roman"/>
        </w:rPr>
      </w:pPr>
      <w:r w:rsidRPr="00003D6E">
        <w:rPr>
          <w:rFonts w:cs="Times New Roman"/>
        </w:rPr>
        <w:t>Reporting Suspected Adverse Effects</w:t>
      </w:r>
    </w:p>
    <w:p w14:paraId="29D2B315" w14:textId="77777777" w:rsidR="007B4510" w:rsidRPr="00003D6E" w:rsidRDefault="007B4510" w:rsidP="007B4510">
      <w:pPr>
        <w:rPr>
          <w:rFonts w:cs="Times New Roman"/>
          <w:lang w:val="en"/>
        </w:rPr>
      </w:pPr>
      <w:r w:rsidRPr="00003D6E">
        <w:rPr>
          <w:rFonts w:cs="Times New Roman"/>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003D6E">
          <w:rPr>
            <w:rStyle w:val="Hyperlink"/>
            <w:rFonts w:cs="Times New Roman"/>
            <w:color w:val="auto"/>
            <w:lang w:val="en"/>
          </w:rPr>
          <w:t>www.tga.gov.au/reporting-problems</w:t>
        </w:r>
      </w:hyperlink>
      <w:r w:rsidRPr="00003D6E">
        <w:rPr>
          <w:rFonts w:cs="Times New Roman"/>
          <w:lang w:val="en"/>
        </w:rPr>
        <w:t>.</w:t>
      </w:r>
    </w:p>
    <w:p w14:paraId="3DEB82F8" w14:textId="757C939D" w:rsidR="007B4510" w:rsidRPr="00003D6E" w:rsidRDefault="0095046E" w:rsidP="0095046E">
      <w:pPr>
        <w:pStyle w:val="Heading2"/>
      </w:pPr>
      <w:r w:rsidRPr="00003D6E">
        <w:t>4.9</w:t>
      </w:r>
      <w:r w:rsidRPr="00003D6E">
        <w:tab/>
      </w:r>
      <w:r w:rsidR="007B4510" w:rsidRPr="00003D6E">
        <w:t>Overdose</w:t>
      </w:r>
    </w:p>
    <w:p w14:paraId="48AA033F" w14:textId="67F64659" w:rsidR="004559AF" w:rsidRPr="00003D6E" w:rsidRDefault="004559AF" w:rsidP="000A3C62">
      <w:pPr>
        <w:rPr>
          <w:rFonts w:cs="Times New Roman"/>
          <w:lang w:val="en"/>
        </w:rPr>
      </w:pPr>
      <w:proofErr w:type="spellStart"/>
      <w:r w:rsidRPr="00003D6E">
        <w:rPr>
          <w:rFonts w:cs="Times New Roman"/>
          <w:lang w:val="en"/>
        </w:rPr>
        <w:t>Deucravacitinib</w:t>
      </w:r>
      <w:proofErr w:type="spellEnd"/>
      <w:r w:rsidRPr="00003D6E">
        <w:rPr>
          <w:rFonts w:cs="Times New Roman"/>
          <w:lang w:val="en"/>
        </w:rPr>
        <w:t xml:space="preserve"> </w:t>
      </w:r>
      <w:r w:rsidR="00BA1885" w:rsidRPr="00003D6E">
        <w:rPr>
          <w:rFonts w:cs="Times New Roman"/>
          <w:lang w:val="en"/>
        </w:rPr>
        <w:t>has been</w:t>
      </w:r>
      <w:r w:rsidRPr="00003D6E">
        <w:rPr>
          <w:rFonts w:cs="Times New Roman"/>
          <w:lang w:val="en"/>
        </w:rPr>
        <w:t xml:space="preserve"> administered</w:t>
      </w:r>
      <w:r w:rsidR="00BA1885" w:rsidRPr="00003D6E">
        <w:rPr>
          <w:rFonts w:cs="Times New Roman"/>
          <w:lang w:val="en"/>
        </w:rPr>
        <w:t xml:space="preserve"> in healthy subjects</w:t>
      </w:r>
      <w:r w:rsidRPr="00003D6E">
        <w:rPr>
          <w:rFonts w:cs="Times New Roman"/>
          <w:lang w:val="en"/>
        </w:rPr>
        <w:t xml:space="preserve"> as single doses up to 40</w:t>
      </w:r>
      <w:r w:rsidR="00FA2202" w:rsidRPr="00003D6E">
        <w:rPr>
          <w:rFonts w:cs="Times New Roman"/>
          <w:lang w:val="en"/>
        </w:rPr>
        <w:t> </w:t>
      </w:r>
      <w:r w:rsidRPr="00003D6E">
        <w:rPr>
          <w:rFonts w:cs="Times New Roman"/>
          <w:lang w:val="en"/>
        </w:rPr>
        <w:t>mg (&gt;6 times the recommended human dose of 6 mg/day [RHD]) and in multiple doses up to 24</w:t>
      </w:r>
      <w:r w:rsidR="00FA2202" w:rsidRPr="00003D6E">
        <w:rPr>
          <w:rFonts w:cs="Times New Roman"/>
          <w:lang w:val="en"/>
        </w:rPr>
        <w:t> </w:t>
      </w:r>
      <w:r w:rsidRPr="00003D6E">
        <w:rPr>
          <w:rFonts w:cs="Times New Roman"/>
          <w:lang w:val="en"/>
        </w:rPr>
        <w:t>mg/day (12</w:t>
      </w:r>
      <w:r w:rsidR="00FA2202" w:rsidRPr="00003D6E">
        <w:rPr>
          <w:rFonts w:cs="Times New Roman"/>
          <w:lang w:val="en"/>
        </w:rPr>
        <w:t> </w:t>
      </w:r>
      <w:r w:rsidRPr="00003D6E">
        <w:rPr>
          <w:rFonts w:cs="Times New Roman"/>
          <w:lang w:val="en"/>
        </w:rPr>
        <w:t>mg twice daily) for 14 days without dose-limiting toxicity.</w:t>
      </w:r>
    </w:p>
    <w:p w14:paraId="12D68CE1" w14:textId="2F759BE5" w:rsidR="004559AF" w:rsidRPr="00003D6E" w:rsidRDefault="004559AF" w:rsidP="000A3C62">
      <w:pPr>
        <w:rPr>
          <w:rFonts w:cs="Times New Roman"/>
          <w:lang w:val="en"/>
        </w:rPr>
      </w:pPr>
      <w:r w:rsidRPr="00003D6E">
        <w:rPr>
          <w:rFonts w:cs="Times New Roman"/>
          <w:lang w:val="en"/>
        </w:rPr>
        <w:t xml:space="preserve">In case of overdose, it is recommended that the patient be monitored for any signs or symptoms of adverse reactions and appropriate symptomatic treatment instituted immediately.  Dialysis does not substantially clear </w:t>
      </w:r>
      <w:proofErr w:type="spellStart"/>
      <w:r w:rsidRPr="00003D6E">
        <w:rPr>
          <w:rFonts w:cs="Times New Roman"/>
          <w:lang w:val="en"/>
        </w:rPr>
        <w:t>deucravacitinib</w:t>
      </w:r>
      <w:proofErr w:type="spellEnd"/>
      <w:r w:rsidRPr="00003D6E">
        <w:rPr>
          <w:rFonts w:cs="Times New Roman"/>
          <w:lang w:val="en"/>
        </w:rPr>
        <w:t xml:space="preserve"> from systemic circulation (5.4% of dose cleared per dialysis treatment)</w:t>
      </w:r>
      <w:r w:rsidR="009B07A6" w:rsidRPr="00003D6E">
        <w:rPr>
          <w:rFonts w:cs="Times New Roman"/>
          <w:lang w:val="en"/>
        </w:rPr>
        <w:t>.</w:t>
      </w:r>
    </w:p>
    <w:p w14:paraId="3DCE9863" w14:textId="77777777" w:rsidR="007B4510" w:rsidRPr="00003D6E" w:rsidRDefault="007B4510" w:rsidP="007B4510">
      <w:pPr>
        <w:rPr>
          <w:rFonts w:cs="Times New Roman"/>
          <w:lang w:val="en"/>
        </w:rPr>
      </w:pPr>
      <w:r w:rsidRPr="00003D6E">
        <w:rPr>
          <w:rFonts w:cs="Times New Roman"/>
          <w:lang w:val="en"/>
        </w:rPr>
        <w:lastRenderedPageBreak/>
        <w:t>For information on the management of overdose, contact the Poisons Information Centre on 13 11 26 (Australia).</w:t>
      </w:r>
    </w:p>
    <w:p w14:paraId="02EFBA8D" w14:textId="77777777" w:rsidR="007B4510" w:rsidRPr="00003D6E" w:rsidRDefault="007B4510" w:rsidP="0095046E">
      <w:pPr>
        <w:pStyle w:val="Heading1"/>
      </w:pPr>
      <w:r w:rsidRPr="00003D6E">
        <w:t>Pharmacological properties</w:t>
      </w:r>
    </w:p>
    <w:p w14:paraId="41D45DDB" w14:textId="156F4B25" w:rsidR="007B4510" w:rsidRPr="00003D6E" w:rsidRDefault="0095046E" w:rsidP="0095046E">
      <w:pPr>
        <w:pStyle w:val="Heading2"/>
      </w:pPr>
      <w:r w:rsidRPr="00003D6E">
        <w:t>5.1</w:t>
      </w:r>
      <w:r w:rsidRPr="00003D6E">
        <w:tab/>
      </w:r>
      <w:r w:rsidR="007B4510" w:rsidRPr="00003D6E">
        <w:t xml:space="preserve">Pharmacodynamic Properties </w:t>
      </w:r>
    </w:p>
    <w:p w14:paraId="175D9578" w14:textId="115F60C1" w:rsidR="007B4510" w:rsidRPr="00003D6E" w:rsidRDefault="007B4510" w:rsidP="007B4510">
      <w:pPr>
        <w:pStyle w:val="Heading3"/>
        <w:rPr>
          <w:rFonts w:cs="Times New Roman"/>
        </w:rPr>
      </w:pPr>
      <w:r w:rsidRPr="00003D6E">
        <w:rPr>
          <w:rFonts w:cs="Times New Roman"/>
        </w:rPr>
        <w:t>Mechanism of Action</w:t>
      </w:r>
    </w:p>
    <w:p w14:paraId="3BE58104" w14:textId="130F8716" w:rsidR="000F1C3D" w:rsidRPr="00003D6E" w:rsidRDefault="000F1C3D" w:rsidP="00DD2549">
      <w:pPr>
        <w:jc w:val="left"/>
        <w:rPr>
          <w:rFonts w:eastAsiaTheme="minorEastAsia"/>
          <w:sz w:val="24"/>
          <w:szCs w:val="24"/>
          <w:lang w:val="en-US"/>
        </w:rPr>
      </w:pPr>
      <w:bookmarkStart w:id="25" w:name="_Hlk518993706"/>
      <w:proofErr w:type="spellStart"/>
      <w:r w:rsidRPr="00003D6E">
        <w:t>Deucravacitinib</w:t>
      </w:r>
      <w:proofErr w:type="spellEnd"/>
      <w:r w:rsidRPr="00003D6E">
        <w:t xml:space="preserve"> is a small molecule that selectively inhibits the tyrosine kinase 2 (TYK2) enzyme. </w:t>
      </w:r>
      <w:proofErr w:type="spellStart"/>
      <w:r w:rsidRPr="00003D6E">
        <w:t>Deucravacitinib</w:t>
      </w:r>
      <w:proofErr w:type="spellEnd"/>
      <w:r w:rsidRPr="00003D6E">
        <w:t xml:space="preserve"> binds to the regulatory domain of TYK2, stabili</w:t>
      </w:r>
      <w:r w:rsidR="009A6A36" w:rsidRPr="00003D6E">
        <w:t>s</w:t>
      </w:r>
      <w:r w:rsidRPr="00003D6E">
        <w:t xml:space="preserve">ing an inhibitory interaction between the regulatory and the catalytic domains of the enzyme. This results in allosteric inhibition of receptor-mediated activation of TYK2 and its downstream functions in cells. </w:t>
      </w:r>
      <w:r w:rsidR="00D17D11" w:rsidRPr="00003D6E">
        <w:t xml:space="preserve">TYK2 is a member of the Janus kinase (JAK) family. JAK kinases, including TYK2, function in pairs to mediate JAK-STAT pathways. TYK2 pairs with JAK1 to mediate multiple cytokine pathways </w:t>
      </w:r>
      <w:proofErr w:type="gramStart"/>
      <w:r w:rsidR="00D17D11" w:rsidRPr="00003D6E">
        <w:t>and also</w:t>
      </w:r>
      <w:proofErr w:type="gramEnd"/>
      <w:r w:rsidR="00D17D11" w:rsidRPr="00003D6E">
        <w:t xml:space="preserve"> pairs with JAK2 to transmit signals.</w:t>
      </w:r>
      <w:r w:rsidR="008F7E67" w:rsidRPr="00003D6E">
        <w:t xml:space="preserve"> The pairing of TYK2 with either JAK1 or JAK2 mediates </w:t>
      </w:r>
      <w:r w:rsidR="00C90EA6" w:rsidRPr="00003D6E">
        <w:t xml:space="preserve">signalling of </w:t>
      </w:r>
      <w:r w:rsidR="008F7E67" w:rsidRPr="00003D6E">
        <w:t xml:space="preserve">a narrower range of cytokines compared with the pairings of JAKs 1/2/3 with each other. The allosteric mechanism of action of </w:t>
      </w:r>
      <w:proofErr w:type="spellStart"/>
      <w:r w:rsidR="008F7E67" w:rsidRPr="00003D6E">
        <w:t>deucravacitinib</w:t>
      </w:r>
      <w:proofErr w:type="spellEnd"/>
      <w:r w:rsidR="008F7E67" w:rsidRPr="00003D6E">
        <w:t xml:space="preserve"> has been shown to inhibit TYK2 with minimal or no inhibition of JAK 1/2/3.</w:t>
      </w:r>
      <w:r w:rsidR="00D17D11" w:rsidRPr="00003D6E">
        <w:rPr>
          <w:i/>
          <w:iCs/>
        </w:rPr>
        <w:t xml:space="preserve"> </w:t>
      </w:r>
      <w:r w:rsidRPr="00003D6E">
        <w:t xml:space="preserve">TYK2 mediates </w:t>
      </w:r>
      <w:r w:rsidR="00C85E55" w:rsidRPr="00003D6E">
        <w:t>signalling</w:t>
      </w:r>
      <w:r w:rsidRPr="00003D6E">
        <w:t xml:space="preserve"> of interleukin-23 (IL-23) cytokine, interleukin-12 (IL-12) cytokine, and type I interferons (IFN), which are naturally occurring cytokines involved in inflammatory and immune responses. </w:t>
      </w:r>
      <w:proofErr w:type="spellStart"/>
      <w:r w:rsidRPr="00003D6E">
        <w:t>Deucravacitinib</w:t>
      </w:r>
      <w:proofErr w:type="spellEnd"/>
      <w:r w:rsidRPr="00003D6E">
        <w:t xml:space="preserve"> inhibits </w:t>
      </w:r>
      <w:r w:rsidR="0055419E" w:rsidRPr="00003D6E">
        <w:t xml:space="preserve">signalling </w:t>
      </w:r>
      <w:r w:rsidR="00114973" w:rsidRPr="00003D6E">
        <w:t>from IL-23, IL-</w:t>
      </w:r>
      <w:proofErr w:type="gramStart"/>
      <w:r w:rsidR="00114973" w:rsidRPr="00003D6E">
        <w:t>12</w:t>
      </w:r>
      <w:proofErr w:type="gramEnd"/>
      <w:r w:rsidR="00114973" w:rsidRPr="00003D6E">
        <w:t xml:space="preserve"> and type I IFN and </w:t>
      </w:r>
      <w:r w:rsidRPr="00003D6E">
        <w:t>the</w:t>
      </w:r>
      <w:r w:rsidR="00114973" w:rsidRPr="00003D6E">
        <w:t xml:space="preserve"> downstream</w:t>
      </w:r>
      <w:r w:rsidRPr="00003D6E">
        <w:t xml:space="preserve"> release of proinflammatory cytokines and chemokines.</w:t>
      </w:r>
    </w:p>
    <w:p w14:paraId="09F93E51" w14:textId="576E41F7" w:rsidR="007B4510" w:rsidRPr="00003D6E" w:rsidRDefault="007B4510" w:rsidP="007B4510">
      <w:pPr>
        <w:spacing w:after="120"/>
        <w:rPr>
          <w:rFonts w:cs="Times New Roman"/>
          <w:b/>
          <w:szCs w:val="24"/>
        </w:rPr>
      </w:pPr>
      <w:r w:rsidRPr="00003D6E">
        <w:rPr>
          <w:rFonts w:cs="Times New Roman"/>
          <w:b/>
          <w:szCs w:val="24"/>
        </w:rPr>
        <w:t>Pharmacodynamic Effects</w:t>
      </w:r>
    </w:p>
    <w:p w14:paraId="46740377" w14:textId="2AC2A16E" w:rsidR="00CB7302" w:rsidRPr="00003D6E" w:rsidRDefault="00CB7302" w:rsidP="00CB7302">
      <w:r w:rsidRPr="00003D6E">
        <w:t>In healthy volunteers</w:t>
      </w:r>
      <w:r w:rsidR="009F5034" w:rsidRPr="00003D6E">
        <w:t>,</w:t>
      </w:r>
      <w:r w:rsidRPr="00003D6E">
        <w:t xml:space="preserve"> the administration of </w:t>
      </w:r>
      <w:proofErr w:type="spellStart"/>
      <w:r w:rsidRPr="00003D6E">
        <w:t>deucravacitinib</w:t>
      </w:r>
      <w:proofErr w:type="spellEnd"/>
      <w:r w:rsidRPr="00003D6E">
        <w:t xml:space="preserve"> resulted in a dose- and concentration-dependent inhibition of two TYK2-dependent pathways indicating robust target engagement. These include IFN-alpha-induced STAT5 phosphorylation (mediated by TYK2/JAK1), and IL-12-induced IFN-gamma production (mediated by TYK2/JAK2) in </w:t>
      </w:r>
      <w:r w:rsidRPr="00003D6E">
        <w:rPr>
          <w:i/>
          <w:iCs/>
        </w:rPr>
        <w:t>ex vivo</w:t>
      </w:r>
      <w:r w:rsidRPr="00003D6E">
        <w:t xml:space="preserve"> whole blood assays. The maximal inhibition was observed one hour after dosing which returned to near baseline by the end of dosing interval (12 or 24 hours). Further, IFN-regulated gene expression was inhibited </w:t>
      </w:r>
      <w:r w:rsidRPr="00003D6E">
        <w:rPr>
          <w:i/>
          <w:iCs/>
        </w:rPr>
        <w:t>in vivo</w:t>
      </w:r>
      <w:r w:rsidRPr="00003D6E">
        <w:t xml:space="preserve"> in a dose dependent manner in subjects administered IFN-alpha, confirming that </w:t>
      </w:r>
      <w:proofErr w:type="spellStart"/>
      <w:r w:rsidRPr="00003D6E">
        <w:t>deucravacitinib</w:t>
      </w:r>
      <w:proofErr w:type="spellEnd"/>
      <w:r w:rsidRPr="00003D6E">
        <w:t xml:space="preserve"> inhibits TYK2 </w:t>
      </w:r>
      <w:r w:rsidRPr="00003D6E">
        <w:rPr>
          <w:i/>
          <w:iCs/>
        </w:rPr>
        <w:t>in vivo</w:t>
      </w:r>
      <w:r w:rsidRPr="00003D6E">
        <w:t>.</w:t>
      </w:r>
    </w:p>
    <w:p w14:paraId="6BB5CB03" w14:textId="57D66893" w:rsidR="00CB7302" w:rsidRPr="00003D6E" w:rsidRDefault="00CB7302" w:rsidP="00CB7302">
      <w:r w:rsidRPr="00003D6E">
        <w:t xml:space="preserve">In a Phase 2 sub-study in subjects with psoriasis, </w:t>
      </w:r>
      <w:proofErr w:type="spellStart"/>
      <w:r w:rsidRPr="00003D6E">
        <w:t>deucravacitinib</w:t>
      </w:r>
      <w:proofErr w:type="spellEnd"/>
      <w:r w:rsidRPr="00003D6E">
        <w:t xml:space="preserve"> reduced psoriasis associated gene expression in psoriatic skin in a dose dependent manner, notably including reductions in IL-23-pathway and type I IFN pathway regulated genes. In Phase 2 and Phase 3 studies, </w:t>
      </w:r>
      <w:proofErr w:type="spellStart"/>
      <w:r w:rsidRPr="00003D6E">
        <w:t>deucravacitinib</w:t>
      </w:r>
      <w:proofErr w:type="spellEnd"/>
      <w:r w:rsidRPr="00003D6E">
        <w:t xml:space="preserve"> reduced levels of serum biomarkers associated with psoriasis disease activity. In </w:t>
      </w:r>
      <w:r w:rsidR="00883217" w:rsidRPr="00003D6E">
        <w:t>P</w:t>
      </w:r>
      <w:r w:rsidRPr="00003D6E">
        <w:t xml:space="preserve">hase 3, IL-17A IL-19 and beta-defensin were reduced with </w:t>
      </w:r>
      <w:proofErr w:type="spellStart"/>
      <w:r w:rsidRPr="00003D6E">
        <w:t>deucravacitinib</w:t>
      </w:r>
      <w:proofErr w:type="spellEnd"/>
      <w:r w:rsidRPr="00003D6E">
        <w:t xml:space="preserve"> treatment by 4</w:t>
      </w:r>
      <w:r w:rsidR="00867B82" w:rsidRPr="00003D6E">
        <w:t>7</w:t>
      </w:r>
      <w:r w:rsidRPr="00003D6E">
        <w:t>-50%, 72% and 81-84% respectively.</w:t>
      </w:r>
    </w:p>
    <w:p w14:paraId="2A5DA7CB" w14:textId="273A2E2D" w:rsidR="00CB7302" w:rsidRPr="00003D6E" w:rsidRDefault="00CB7302" w:rsidP="00CB7302">
      <w:pPr>
        <w:rPr>
          <w:u w:val="single"/>
        </w:rPr>
      </w:pPr>
      <w:r w:rsidRPr="00003D6E">
        <w:rPr>
          <w:u w:val="single"/>
        </w:rPr>
        <w:t xml:space="preserve">Cardiac Electrophysiology </w:t>
      </w:r>
    </w:p>
    <w:p w14:paraId="15BC8DD1" w14:textId="6EF26D54" w:rsidR="00CB7302" w:rsidRPr="00003D6E" w:rsidRDefault="00CB7302" w:rsidP="00CB7302">
      <w:r w:rsidRPr="00003D6E">
        <w:t>At 7 times the maximum exposure achieved by the 6 mg once daily dose in psoriasis subjects, there was no clinically relevant effect on the QTc interval.</w:t>
      </w:r>
    </w:p>
    <w:bookmarkEnd w:id="25"/>
    <w:p w14:paraId="06FD2CC5" w14:textId="17256E19" w:rsidR="007B4510" w:rsidRPr="00003D6E" w:rsidRDefault="007B4510" w:rsidP="007B4510">
      <w:pPr>
        <w:pStyle w:val="Heading3"/>
        <w:rPr>
          <w:rFonts w:cs="Times New Roman"/>
        </w:rPr>
      </w:pPr>
      <w:r w:rsidRPr="00003D6E">
        <w:rPr>
          <w:rFonts w:cs="Times New Roman"/>
        </w:rPr>
        <w:t>Clinical Trials</w:t>
      </w:r>
    </w:p>
    <w:p w14:paraId="55070EC4" w14:textId="699FE917" w:rsidR="00447BDE" w:rsidRPr="00003D6E" w:rsidRDefault="00447BDE" w:rsidP="007704A7">
      <w:pPr>
        <w:rPr>
          <w:b/>
          <w:bCs/>
        </w:rPr>
      </w:pPr>
      <w:bookmarkStart w:id="26" w:name="_Toc78294986"/>
      <w:r w:rsidRPr="00003D6E">
        <w:rPr>
          <w:b/>
          <w:bCs/>
        </w:rPr>
        <w:t xml:space="preserve">Plaque </w:t>
      </w:r>
      <w:r w:rsidR="007704A7" w:rsidRPr="00003D6E">
        <w:rPr>
          <w:b/>
          <w:bCs/>
        </w:rPr>
        <w:t>P</w:t>
      </w:r>
      <w:r w:rsidRPr="00003D6E">
        <w:rPr>
          <w:b/>
          <w:bCs/>
        </w:rPr>
        <w:t>soriasis</w:t>
      </w:r>
      <w:bookmarkEnd w:id="26"/>
    </w:p>
    <w:p w14:paraId="7AA15AEB" w14:textId="255AB533" w:rsidR="009668F7" w:rsidRPr="00003D6E" w:rsidRDefault="009668F7" w:rsidP="004715C2">
      <w:r w:rsidRPr="00003D6E">
        <w:t xml:space="preserve">The efficacy and safety of </w:t>
      </w:r>
      <w:r w:rsidR="005C7ECB" w:rsidRPr="00003D6E">
        <w:t>SOTYKTU</w:t>
      </w:r>
      <w:r w:rsidRPr="00003D6E">
        <w:t xml:space="preserve"> 6</w:t>
      </w:r>
      <w:r w:rsidR="0091787E" w:rsidRPr="00003D6E">
        <w:t> </w:t>
      </w:r>
      <w:r w:rsidRPr="00003D6E">
        <w:t>mg once daily were assessed in two multi</w:t>
      </w:r>
      <w:r w:rsidR="00BB3058" w:rsidRPr="00003D6E">
        <w:t>-</w:t>
      </w:r>
      <w:proofErr w:type="gramStart"/>
      <w:r w:rsidRPr="00003D6E">
        <w:t>cent</w:t>
      </w:r>
      <w:r w:rsidR="00BB3058" w:rsidRPr="00003D6E">
        <w:t>re</w:t>
      </w:r>
      <w:proofErr w:type="gramEnd"/>
      <w:r w:rsidRPr="00003D6E">
        <w:t>, randomi</w:t>
      </w:r>
      <w:r w:rsidR="00BB3058" w:rsidRPr="00003D6E">
        <w:t>s</w:t>
      </w:r>
      <w:r w:rsidRPr="00003D6E">
        <w:t>ed, double-blind, placebo- and active-controlled clinical studies</w:t>
      </w:r>
      <w:r w:rsidR="00BB3058" w:rsidRPr="00003D6E">
        <w:t>,</w:t>
      </w:r>
      <w:r w:rsidRPr="00003D6E">
        <w:t xml:space="preserve"> POETYK PSO-1 and POETYK PSO-2</w:t>
      </w:r>
      <w:r w:rsidR="00BB3058" w:rsidRPr="00003D6E">
        <w:t xml:space="preserve">, </w:t>
      </w:r>
      <w:r w:rsidRPr="00003D6E">
        <w:t>which enrolled patients 18</w:t>
      </w:r>
      <w:r w:rsidR="00690EE6" w:rsidRPr="00003D6E">
        <w:t> </w:t>
      </w:r>
      <w:r w:rsidRPr="00003D6E">
        <w:t>years of age and older with moderate-to-severe plaque psoriasis who were eligible for systemic therapy or phototherapy. Patients had a body surface area (BSA) involvement of ≥</w:t>
      </w:r>
      <w:r w:rsidR="0091787E" w:rsidRPr="00003D6E">
        <w:t> </w:t>
      </w:r>
      <w:r w:rsidRPr="00003D6E">
        <w:t xml:space="preserve">10%, a Psoriasis Area and Severity Index (PASI) score </w:t>
      </w:r>
      <w:r w:rsidRPr="00003D6E">
        <w:rPr>
          <w:u w:val="single"/>
        </w:rPr>
        <w:t>&gt;</w:t>
      </w:r>
      <w:r w:rsidR="0091787E" w:rsidRPr="00003D6E">
        <w:rPr>
          <w:u w:val="single"/>
        </w:rPr>
        <w:t> </w:t>
      </w:r>
      <w:r w:rsidRPr="00003D6E">
        <w:t>12, and a static Physician’s Global Assessment (</w:t>
      </w:r>
      <w:proofErr w:type="spellStart"/>
      <w:r w:rsidRPr="00003D6E">
        <w:t>sPGA</w:t>
      </w:r>
      <w:proofErr w:type="spellEnd"/>
      <w:r w:rsidRPr="00003D6E">
        <w:t>) ≥</w:t>
      </w:r>
      <w:r w:rsidR="0091787E" w:rsidRPr="00003D6E">
        <w:t> </w:t>
      </w:r>
      <w:r w:rsidRPr="00003D6E">
        <w:t>3 (moderate or severe)</w:t>
      </w:r>
      <w:r w:rsidR="00D04004" w:rsidRPr="00003D6E">
        <w:t xml:space="preserve"> on a 5</w:t>
      </w:r>
      <w:r w:rsidR="00D04004" w:rsidRPr="00003D6E">
        <w:noBreakHyphen/>
        <w:t>point scale of overall disease severity.</w:t>
      </w:r>
    </w:p>
    <w:p w14:paraId="2822A604" w14:textId="70244F46" w:rsidR="00447BDE" w:rsidRPr="00003D6E" w:rsidRDefault="006B1CF9" w:rsidP="006B1CF9">
      <w:bookmarkStart w:id="27" w:name="_Hlk80354171"/>
      <w:r w:rsidRPr="00003D6E">
        <w:lastRenderedPageBreak/>
        <w:t>POETYK PSO</w:t>
      </w:r>
      <w:r w:rsidRPr="00003D6E">
        <w:noBreakHyphen/>
        <w:t>1 and POETYK PSO</w:t>
      </w:r>
      <w:r w:rsidRPr="00003D6E">
        <w:noBreakHyphen/>
        <w:t xml:space="preserve">2 evaluated a total of 1686 patients with 843 randomised to </w:t>
      </w:r>
      <w:r w:rsidR="005C7ECB" w:rsidRPr="00003D6E">
        <w:t>SOTYKTU</w:t>
      </w:r>
      <w:r w:rsidRPr="00003D6E">
        <w:t xml:space="preserve"> 6 mg once daily, 422 to apremilast 30 mg twice daily, and 421 to placebo. </w:t>
      </w:r>
      <w:bookmarkEnd w:id="27"/>
    </w:p>
    <w:p w14:paraId="73C186C4" w14:textId="51818FB6" w:rsidR="00CC0D51" w:rsidRPr="00003D6E" w:rsidRDefault="00CC0D51" w:rsidP="00CC0D51">
      <w:r w:rsidRPr="00003D6E">
        <w:t xml:space="preserve">In both studies, patients receiving placebo switched to </w:t>
      </w:r>
      <w:r w:rsidR="005C7ECB" w:rsidRPr="00003D6E">
        <w:t>SOTYKTU</w:t>
      </w:r>
      <w:r w:rsidRPr="00003D6E">
        <w:t xml:space="preserve"> at Week 16, which continued up to Week 52. Patients randomised to apremilast who did not achieve a PASI 50 (POETYK PSO</w:t>
      </w:r>
      <w:r w:rsidRPr="00003D6E">
        <w:noBreakHyphen/>
        <w:t>1) or PASI 75 (POETYK PSO</w:t>
      </w:r>
      <w:r w:rsidRPr="00003D6E">
        <w:noBreakHyphen/>
        <w:t xml:space="preserve">2) response at Week 24 switched to </w:t>
      </w:r>
      <w:r w:rsidR="005C7ECB" w:rsidRPr="00003D6E">
        <w:t>SOTYKTU</w:t>
      </w:r>
      <w:r w:rsidR="00A24921" w:rsidRPr="00003D6E">
        <w:t xml:space="preserve"> </w:t>
      </w:r>
      <w:r w:rsidRPr="00003D6E">
        <w:t>and continued up to Week</w:t>
      </w:r>
      <w:r w:rsidR="00CE0EB6" w:rsidRPr="00003D6E">
        <w:t> </w:t>
      </w:r>
      <w:r w:rsidRPr="00003D6E">
        <w:t>52. In POETYK PSO</w:t>
      </w:r>
      <w:r w:rsidRPr="00003D6E">
        <w:noBreakHyphen/>
        <w:t xml:space="preserve">1 patients who were randomised to </w:t>
      </w:r>
      <w:r w:rsidR="005C7ECB" w:rsidRPr="00003D6E">
        <w:t>SOTYKTU</w:t>
      </w:r>
      <w:r w:rsidRPr="00003D6E">
        <w:t xml:space="preserve"> continued treatment up to Week 52. In POETYK PSO-2, </w:t>
      </w:r>
      <w:r w:rsidR="005C7ECB" w:rsidRPr="00003D6E">
        <w:t>SOTYKTU</w:t>
      </w:r>
      <w:r w:rsidR="00C30171" w:rsidRPr="00003D6E">
        <w:t>-</w:t>
      </w:r>
      <w:r w:rsidRPr="00003D6E">
        <w:t>treated patients who achieved PASI 75 at Week</w:t>
      </w:r>
      <w:r w:rsidR="00CE0EB6" w:rsidRPr="00003D6E">
        <w:t> </w:t>
      </w:r>
      <w:r w:rsidRPr="00003D6E">
        <w:t xml:space="preserve">24 were re-randomised 1:1 to continue </w:t>
      </w:r>
      <w:r w:rsidR="005C7ECB" w:rsidRPr="00003D6E">
        <w:t>SOTYKTU</w:t>
      </w:r>
      <w:r w:rsidRPr="00003D6E">
        <w:t xml:space="preserve"> (maintenance) or were switched to placebo (withdrawal).</w:t>
      </w:r>
    </w:p>
    <w:p w14:paraId="54479F93" w14:textId="72731F64" w:rsidR="00447BDE" w:rsidRPr="00003D6E" w:rsidRDefault="00447BDE" w:rsidP="004715C2">
      <w:pPr>
        <w:rPr>
          <w:szCs w:val="24"/>
        </w:rPr>
      </w:pPr>
      <w:r w:rsidRPr="00003D6E">
        <w:rPr>
          <w:szCs w:val="24"/>
        </w:rPr>
        <w:t>Both studies assessed the responses at Week</w:t>
      </w:r>
      <w:r w:rsidR="00CE0EB6" w:rsidRPr="00003D6E">
        <w:rPr>
          <w:szCs w:val="24"/>
        </w:rPr>
        <w:t> </w:t>
      </w:r>
      <w:r w:rsidRPr="00003D6E">
        <w:rPr>
          <w:szCs w:val="24"/>
        </w:rPr>
        <w:t>16 compared to placebo for the two co-primary endpoints:</w:t>
      </w:r>
    </w:p>
    <w:p w14:paraId="5AC1A61D" w14:textId="50BEB5B2" w:rsidR="00447BDE" w:rsidRPr="00003D6E" w:rsidRDefault="00447BDE" w:rsidP="004715C2">
      <w:pPr>
        <w:pStyle w:val="ListParagraph"/>
        <w:numPr>
          <w:ilvl w:val="0"/>
          <w:numId w:val="21"/>
        </w:numPr>
      </w:pPr>
      <w:r w:rsidRPr="00003D6E">
        <w:t xml:space="preserve">the proportion of </w:t>
      </w:r>
      <w:r w:rsidR="00D45F1C" w:rsidRPr="00003D6E">
        <w:rPr>
          <w:lang w:val="en-US"/>
        </w:rPr>
        <w:t>patient</w:t>
      </w:r>
      <w:r w:rsidRPr="00003D6E">
        <w:t xml:space="preserve">s who achieved a </w:t>
      </w:r>
      <w:proofErr w:type="spellStart"/>
      <w:r w:rsidRPr="00003D6E">
        <w:t>sPGA</w:t>
      </w:r>
      <w:proofErr w:type="spellEnd"/>
      <w:r w:rsidRPr="00003D6E">
        <w:t xml:space="preserve"> score of 0 (clear) or 1 (</w:t>
      </w:r>
      <w:r w:rsidRPr="00003D6E">
        <w:rPr>
          <w:lang w:val="en-US"/>
        </w:rPr>
        <w:t>almost clear</w:t>
      </w:r>
      <w:r w:rsidRPr="00003D6E">
        <w:t>)</w:t>
      </w:r>
    </w:p>
    <w:p w14:paraId="520E8CF6" w14:textId="45883D35" w:rsidR="00447BDE" w:rsidRPr="00003D6E" w:rsidRDefault="00447BDE" w:rsidP="004715C2">
      <w:pPr>
        <w:pStyle w:val="ListParagraph"/>
        <w:numPr>
          <w:ilvl w:val="0"/>
          <w:numId w:val="21"/>
        </w:numPr>
      </w:pPr>
      <w:r w:rsidRPr="00003D6E">
        <w:t xml:space="preserve">the proportion of </w:t>
      </w:r>
      <w:proofErr w:type="spellStart"/>
      <w:r w:rsidR="00D45F1C" w:rsidRPr="00003D6E">
        <w:rPr>
          <w:lang w:val="en-US"/>
        </w:rPr>
        <w:t>patien</w:t>
      </w:r>
      <w:r w:rsidRPr="00003D6E">
        <w:t>ts</w:t>
      </w:r>
      <w:proofErr w:type="spellEnd"/>
      <w:r w:rsidRPr="00003D6E">
        <w:t xml:space="preserve"> who achieved </w:t>
      </w:r>
      <w:r w:rsidR="002D4405" w:rsidRPr="00003D6E">
        <w:t xml:space="preserve">at least </w:t>
      </w:r>
      <w:r w:rsidRPr="00003D6E">
        <w:t>a 75% improvement in the PASI</w:t>
      </w:r>
      <w:r w:rsidR="005E176B" w:rsidRPr="00003D6E">
        <w:t xml:space="preserve"> scores</w:t>
      </w:r>
      <w:r w:rsidRPr="00003D6E">
        <w:t xml:space="preserve"> (PASI</w:t>
      </w:r>
      <w:r w:rsidR="00893E37" w:rsidRPr="00003D6E">
        <w:t> </w:t>
      </w:r>
      <w:r w:rsidRPr="00003D6E">
        <w:t xml:space="preserve">75) from </w:t>
      </w:r>
      <w:proofErr w:type="gramStart"/>
      <w:r w:rsidRPr="00003D6E">
        <w:t>baseline</w:t>
      </w:r>
      <w:proofErr w:type="gramEnd"/>
    </w:p>
    <w:p w14:paraId="7C484BFC" w14:textId="16A0FA17" w:rsidR="00FA00C9" w:rsidRPr="00003D6E" w:rsidRDefault="00FA00C9" w:rsidP="00FA00C9">
      <w:pPr>
        <w:rPr>
          <w:szCs w:val="24"/>
        </w:rPr>
      </w:pPr>
      <w:bookmarkStart w:id="28" w:name="_Hlk80097877"/>
      <w:r w:rsidRPr="00003D6E">
        <w:rPr>
          <w:szCs w:val="24"/>
        </w:rPr>
        <w:t xml:space="preserve">Other comparisons between </w:t>
      </w:r>
      <w:r w:rsidR="005C7ECB" w:rsidRPr="00003D6E">
        <w:t>SOTYKTU</w:t>
      </w:r>
      <w:r w:rsidRPr="00003D6E">
        <w:rPr>
          <w:szCs w:val="24"/>
        </w:rPr>
        <w:t xml:space="preserve"> and placebo that were secondary endpoints at Week 16:</w:t>
      </w:r>
    </w:p>
    <w:p w14:paraId="7C97F9D4" w14:textId="5DA5D04A" w:rsidR="00FA00C9" w:rsidRPr="00003D6E" w:rsidRDefault="00FA00C9" w:rsidP="00FA00C9">
      <w:pPr>
        <w:pStyle w:val="ListParagraph"/>
        <w:numPr>
          <w:ilvl w:val="0"/>
          <w:numId w:val="31"/>
        </w:numPr>
      </w:pPr>
      <w:r w:rsidRPr="00003D6E">
        <w:t>the proportion of patients who achieved PASI</w:t>
      </w:r>
      <w:r w:rsidR="00893E37" w:rsidRPr="00003D6E">
        <w:t> </w:t>
      </w:r>
      <w:r w:rsidRPr="00003D6E">
        <w:t>90, PASI</w:t>
      </w:r>
      <w:r w:rsidR="00893E37" w:rsidRPr="00003D6E">
        <w:t> </w:t>
      </w:r>
      <w:r w:rsidRPr="00003D6E">
        <w:t xml:space="preserve">100, </w:t>
      </w:r>
      <w:proofErr w:type="spellStart"/>
      <w:r w:rsidRPr="00003D6E">
        <w:t>sPGA</w:t>
      </w:r>
      <w:proofErr w:type="spellEnd"/>
      <w:r w:rsidR="00893E37" w:rsidRPr="00003D6E">
        <w:t> </w:t>
      </w:r>
      <w:r w:rsidRPr="00003D6E">
        <w:t>0, scalp</w:t>
      </w:r>
      <w:r w:rsidR="00E22C68" w:rsidRPr="00003D6E">
        <w:t>-specific</w:t>
      </w:r>
      <w:r w:rsidRPr="00003D6E">
        <w:t xml:space="preserve"> PGA (ss-PGA) score of 0 (clear) or 1 (almost clear), and Psoriasis Symptoms and Signs Diary (PSSD) Symptom Score of 0 (symptom-free).</w:t>
      </w:r>
    </w:p>
    <w:bookmarkEnd w:id="28"/>
    <w:p w14:paraId="6D5840CF" w14:textId="395DA539" w:rsidR="00FA00C9" w:rsidRPr="00003D6E" w:rsidRDefault="00FA00C9" w:rsidP="00FA00C9">
      <w:pPr>
        <w:rPr>
          <w:szCs w:val="24"/>
        </w:rPr>
      </w:pPr>
      <w:r w:rsidRPr="00003D6E">
        <w:rPr>
          <w:szCs w:val="24"/>
        </w:rPr>
        <w:t xml:space="preserve">Comparisons between </w:t>
      </w:r>
      <w:r w:rsidR="005C7ECB" w:rsidRPr="00003D6E">
        <w:t>SOTYKTU</w:t>
      </w:r>
      <w:r w:rsidRPr="00003D6E">
        <w:rPr>
          <w:szCs w:val="24"/>
        </w:rPr>
        <w:t xml:space="preserve"> and apremilast were made for the following secondary endpoints at these time points: </w:t>
      </w:r>
    </w:p>
    <w:p w14:paraId="6DBB3CB5" w14:textId="7587CC33" w:rsidR="00FA00C9" w:rsidRPr="00003D6E" w:rsidRDefault="00FA00C9" w:rsidP="00FA00C9">
      <w:pPr>
        <w:pStyle w:val="ListParagraph"/>
        <w:numPr>
          <w:ilvl w:val="0"/>
          <w:numId w:val="31"/>
        </w:numPr>
      </w:pPr>
      <w:r w:rsidRPr="00003D6E">
        <w:t>at Week</w:t>
      </w:r>
      <w:r w:rsidR="00893E37" w:rsidRPr="00003D6E">
        <w:t> </w:t>
      </w:r>
      <w:r w:rsidRPr="00003D6E">
        <w:t>16 and 24 (POETYK PSO-1 and POETYK PSO-2), the proportion of patients who achieved PASI</w:t>
      </w:r>
      <w:r w:rsidR="00E957D6" w:rsidRPr="00003D6E">
        <w:t> </w:t>
      </w:r>
      <w:r w:rsidRPr="00003D6E">
        <w:t>75, PASI</w:t>
      </w:r>
      <w:r w:rsidR="00E957D6" w:rsidRPr="00003D6E">
        <w:t> </w:t>
      </w:r>
      <w:r w:rsidRPr="00003D6E">
        <w:t xml:space="preserve">90, and </w:t>
      </w:r>
      <w:proofErr w:type="spellStart"/>
      <w:r w:rsidRPr="00003D6E">
        <w:t>sPGA</w:t>
      </w:r>
      <w:proofErr w:type="spellEnd"/>
      <w:r w:rsidR="00E957D6" w:rsidRPr="00003D6E">
        <w:t> </w:t>
      </w:r>
      <w:r w:rsidRPr="00003D6E">
        <w:t>0/1</w:t>
      </w:r>
    </w:p>
    <w:p w14:paraId="09E5EAF2" w14:textId="3BF43D72" w:rsidR="002D5F1C" w:rsidRPr="00003D6E" w:rsidRDefault="00FA00C9" w:rsidP="00F8100F">
      <w:pPr>
        <w:pStyle w:val="ListParagraph"/>
        <w:numPr>
          <w:ilvl w:val="0"/>
          <w:numId w:val="31"/>
        </w:numPr>
      </w:pPr>
      <w:r w:rsidRPr="00003D6E">
        <w:t>at Week</w:t>
      </w:r>
      <w:r w:rsidR="00893E37" w:rsidRPr="00003D6E">
        <w:t> </w:t>
      </w:r>
      <w:r w:rsidRPr="00003D6E">
        <w:t xml:space="preserve">16 (POETYK PSO-1 and POETYK PSO-2), the proportion of patients who achieved </w:t>
      </w:r>
      <w:proofErr w:type="spellStart"/>
      <w:r w:rsidRPr="00003D6E">
        <w:t>sPGA</w:t>
      </w:r>
      <w:proofErr w:type="spellEnd"/>
      <w:r w:rsidRPr="00003D6E">
        <w:t xml:space="preserve"> 0 and </w:t>
      </w:r>
      <w:proofErr w:type="spellStart"/>
      <w:r w:rsidRPr="00003D6E">
        <w:t>ssPGA</w:t>
      </w:r>
      <w:proofErr w:type="spellEnd"/>
      <w:r w:rsidR="00893E37" w:rsidRPr="00003D6E">
        <w:t> </w:t>
      </w:r>
      <w:r w:rsidRPr="00003D6E">
        <w:t>0/1 (scalp)</w:t>
      </w:r>
    </w:p>
    <w:p w14:paraId="2C1DE7DC" w14:textId="7ADCCF63" w:rsidR="00ED00BE" w:rsidRPr="00003D6E" w:rsidRDefault="00ED00BE" w:rsidP="00FA00C9">
      <w:r w:rsidRPr="00003D6E">
        <w:t xml:space="preserve">Baseline disease characteristics were consistent for the study population in both studies with an overall median PASI score of 18.7, and a median BSA of 20%. Baseline </w:t>
      </w:r>
      <w:proofErr w:type="spellStart"/>
      <w:r w:rsidRPr="00003D6E">
        <w:t>sPGA</w:t>
      </w:r>
      <w:proofErr w:type="spellEnd"/>
      <w:r w:rsidRPr="00003D6E">
        <w:t xml:space="preserve"> score was 3 (moderate) in 79.8% of patients and 4 (severe) in 20.2%. Median Dermatology Life Quality Index (DLQI) score was 11. A total of 18.4% of study patients had a history of psoriatic arthritis.</w:t>
      </w:r>
    </w:p>
    <w:p w14:paraId="6841444C" w14:textId="1B6526C8" w:rsidR="00EB4973" w:rsidRPr="00003D6E" w:rsidRDefault="00EB4973" w:rsidP="00383B7E">
      <w:r w:rsidRPr="00003D6E">
        <w:t>Across both studies, 40% of patients had received prior phototherapy, 42.4% were naive to any systemic therapy (including biologic and/or non-biologic treatment), 41% received prior non-biologic systemic treatment, and 34.8% had received prior biologic therapy (16% TNF, 5% IL-12/23, 17% IL-17 and 4% IL-23 inhibitors).</w:t>
      </w:r>
    </w:p>
    <w:p w14:paraId="1392E236" w14:textId="19FAF6B7" w:rsidR="00977C5B" w:rsidRPr="00003D6E" w:rsidRDefault="00023555" w:rsidP="002D5F1C">
      <w:fldSimple w:instr=" REF _Ref79400476  \* MERGEFORMAT ">
        <w:r w:rsidR="00006DA4" w:rsidRPr="0033020B">
          <w:t xml:space="preserve">Table </w:t>
        </w:r>
        <w:r w:rsidR="00006DA4" w:rsidRPr="0033020B">
          <w:rPr>
            <w:noProof/>
          </w:rPr>
          <w:t>3</w:t>
        </w:r>
      </w:fldSimple>
      <w:r w:rsidR="00DE39B0" w:rsidRPr="00003D6E">
        <w:t xml:space="preserve"> </w:t>
      </w:r>
      <w:r w:rsidR="00447BDE" w:rsidRPr="00003D6E">
        <w:t>presents the efficacy results</w:t>
      </w:r>
      <w:r w:rsidR="00523423" w:rsidRPr="00003D6E">
        <w:t xml:space="preserve"> </w:t>
      </w:r>
      <w:r w:rsidR="00447BDE" w:rsidRPr="00003D6E">
        <w:t xml:space="preserve">demonstrating superiority of </w:t>
      </w:r>
      <w:r w:rsidR="005C7ECB" w:rsidRPr="00003D6E">
        <w:t>SOTYKTU</w:t>
      </w:r>
      <w:r w:rsidR="00447BDE" w:rsidRPr="00003D6E">
        <w:t xml:space="preserve"> compared to apremilast and placebo.</w:t>
      </w:r>
    </w:p>
    <w:p w14:paraId="3EEAF2C0" w14:textId="7FA08800" w:rsidR="00EF0FDC" w:rsidRPr="00003D6E" w:rsidRDefault="00EF0FDC" w:rsidP="00EF0FDC">
      <w:pPr>
        <w:pStyle w:val="Caption"/>
        <w:keepNext/>
        <w:ind w:left="1134" w:hanging="1134"/>
        <w:rPr>
          <w:color w:val="auto"/>
        </w:rPr>
      </w:pPr>
      <w:bookmarkStart w:id="29" w:name="_Ref79400476"/>
      <w:r w:rsidRPr="00003D6E">
        <w:rPr>
          <w:b/>
          <w:bCs/>
          <w:i w:val="0"/>
          <w:iCs w:val="0"/>
          <w:color w:val="auto"/>
          <w:sz w:val="22"/>
          <w:szCs w:val="22"/>
        </w:rPr>
        <w:t xml:space="preserve">Table </w:t>
      </w:r>
      <w:r w:rsidRPr="00003D6E">
        <w:rPr>
          <w:b/>
          <w:bCs/>
          <w:i w:val="0"/>
          <w:iCs w:val="0"/>
          <w:color w:val="auto"/>
          <w:sz w:val="22"/>
          <w:szCs w:val="22"/>
        </w:rPr>
        <w:fldChar w:fldCharType="begin"/>
      </w:r>
      <w:r w:rsidRPr="00003D6E">
        <w:rPr>
          <w:b/>
          <w:bCs/>
          <w:i w:val="0"/>
          <w:iCs w:val="0"/>
          <w:color w:val="auto"/>
          <w:sz w:val="22"/>
          <w:szCs w:val="22"/>
        </w:rPr>
        <w:instrText xml:space="preserve"> SEQ Table \* ARABIC </w:instrText>
      </w:r>
      <w:r w:rsidRPr="00003D6E">
        <w:rPr>
          <w:b/>
          <w:bCs/>
          <w:i w:val="0"/>
          <w:iCs w:val="0"/>
          <w:color w:val="auto"/>
          <w:sz w:val="22"/>
          <w:szCs w:val="22"/>
        </w:rPr>
        <w:fldChar w:fldCharType="separate"/>
      </w:r>
      <w:r w:rsidR="00006DA4">
        <w:rPr>
          <w:b/>
          <w:bCs/>
          <w:i w:val="0"/>
          <w:iCs w:val="0"/>
          <w:noProof/>
          <w:color w:val="auto"/>
          <w:sz w:val="22"/>
          <w:szCs w:val="22"/>
        </w:rPr>
        <w:t>3</w:t>
      </w:r>
      <w:r w:rsidRPr="00003D6E">
        <w:rPr>
          <w:b/>
          <w:bCs/>
          <w:i w:val="0"/>
          <w:iCs w:val="0"/>
          <w:color w:val="auto"/>
          <w:sz w:val="22"/>
          <w:szCs w:val="22"/>
        </w:rPr>
        <w:fldChar w:fldCharType="end"/>
      </w:r>
      <w:bookmarkEnd w:id="29"/>
      <w:r w:rsidRPr="00003D6E">
        <w:rPr>
          <w:b/>
          <w:bCs/>
          <w:i w:val="0"/>
          <w:iCs w:val="0"/>
          <w:color w:val="auto"/>
          <w:sz w:val="22"/>
          <w:szCs w:val="22"/>
        </w:rPr>
        <w:t>:</w:t>
      </w:r>
      <w:r w:rsidRPr="00003D6E">
        <w:rPr>
          <w:b/>
          <w:bCs/>
          <w:color w:val="auto"/>
        </w:rPr>
        <w:tab/>
      </w:r>
      <w:r w:rsidRPr="00003D6E">
        <w:rPr>
          <w:b/>
          <w:bCs/>
          <w:i w:val="0"/>
          <w:iCs w:val="0"/>
          <w:color w:val="auto"/>
          <w:sz w:val="22"/>
          <w:szCs w:val="22"/>
        </w:rPr>
        <w:t>Efficacy Results in Adults with Plaque Psoriasis</w:t>
      </w:r>
      <w:r w:rsidR="0038559F" w:rsidRPr="00003D6E">
        <w:rPr>
          <w:b/>
          <w:bCs/>
          <w:i w:val="0"/>
          <w:iCs w:val="0"/>
          <w:color w:val="auto"/>
          <w:sz w:val="22"/>
          <w:szCs w:val="22"/>
        </w:rPr>
        <w:t xml:space="preserve"> </w:t>
      </w:r>
      <w:r w:rsidRPr="00003D6E">
        <w:rPr>
          <w:b/>
          <w:bCs/>
          <w:i w:val="0"/>
          <w:iCs w:val="0"/>
          <w:color w:val="auto"/>
          <w:sz w:val="22"/>
          <w:szCs w:val="22"/>
        </w:rPr>
        <w:t>(Non-responder Imputation - NRI)</w:t>
      </w:r>
    </w:p>
    <w:tbl>
      <w:tblPr>
        <w:tblW w:w="5005" w:type="pct"/>
        <w:tblInd w:w="-5" w:type="dxa"/>
        <w:tblBorders>
          <w:bottom w:val="double" w:sz="6" w:space="0" w:color="auto"/>
        </w:tblBorders>
        <w:tblLayout w:type="fixed"/>
        <w:tblLook w:val="04A0" w:firstRow="1" w:lastRow="0" w:firstColumn="1" w:lastColumn="0" w:noHBand="0" w:noVBand="1"/>
      </w:tblPr>
      <w:tblGrid>
        <w:gridCol w:w="1276"/>
        <w:gridCol w:w="1418"/>
        <w:gridCol w:w="1417"/>
        <w:gridCol w:w="1240"/>
        <w:gridCol w:w="1443"/>
        <w:gridCol w:w="1428"/>
        <w:gridCol w:w="1378"/>
      </w:tblGrid>
      <w:tr w:rsidR="00003D6E" w:rsidRPr="00003D6E" w14:paraId="5003EF2E" w14:textId="77777777" w:rsidTr="00590F72">
        <w:trPr>
          <w:tblHeader/>
        </w:trPr>
        <w:tc>
          <w:tcPr>
            <w:tcW w:w="1276" w:type="dxa"/>
            <w:vMerge w:val="restart"/>
            <w:tcBorders>
              <w:top w:val="double" w:sz="4" w:space="0" w:color="auto"/>
              <w:left w:val="single" w:sz="4" w:space="0" w:color="auto"/>
              <w:right w:val="single" w:sz="4" w:space="0" w:color="auto"/>
            </w:tcBorders>
            <w:shd w:val="clear" w:color="auto" w:fill="D9D9D9" w:themeFill="background1" w:themeFillShade="D9"/>
            <w:vAlign w:val="bottom"/>
          </w:tcPr>
          <w:p w14:paraId="5F4B6C23" w14:textId="77777777" w:rsidR="00B2367D" w:rsidRPr="00003D6E" w:rsidRDefault="00B2367D" w:rsidP="00B2367D">
            <w:pPr>
              <w:spacing w:after="0"/>
              <w:jc w:val="left"/>
              <w:rPr>
                <w:rFonts w:cs="Times New Roman"/>
                <w:b/>
                <w:bCs/>
                <w:sz w:val="20"/>
                <w:szCs w:val="20"/>
              </w:rPr>
            </w:pPr>
            <w:r w:rsidRPr="00003D6E">
              <w:rPr>
                <w:rFonts w:cs="Times New Roman"/>
                <w:b/>
                <w:bCs/>
                <w:sz w:val="20"/>
                <w:szCs w:val="20"/>
              </w:rPr>
              <w:t>Endpoint</w:t>
            </w:r>
          </w:p>
          <w:p w14:paraId="7537CBAD" w14:textId="77777777" w:rsidR="00B2367D" w:rsidRPr="00003D6E" w:rsidRDefault="00B2367D" w:rsidP="00B2367D">
            <w:pPr>
              <w:spacing w:after="0"/>
              <w:jc w:val="left"/>
              <w:rPr>
                <w:rFonts w:cs="Times New Roman"/>
                <w:sz w:val="20"/>
                <w:szCs w:val="20"/>
              </w:rPr>
            </w:pPr>
          </w:p>
        </w:tc>
        <w:tc>
          <w:tcPr>
            <w:tcW w:w="4075" w:type="dxa"/>
            <w:gridSpan w:val="3"/>
            <w:tcBorders>
              <w:top w:val="double" w:sz="4" w:space="0" w:color="auto"/>
              <w:left w:val="single" w:sz="4" w:space="0" w:color="auto"/>
              <w:bottom w:val="single" w:sz="4" w:space="0" w:color="auto"/>
              <w:right w:val="single" w:sz="4" w:space="0" w:color="auto"/>
            </w:tcBorders>
            <w:shd w:val="clear" w:color="auto" w:fill="D9D9D9" w:themeFill="background1" w:themeFillShade="D9"/>
            <w:hideMark/>
          </w:tcPr>
          <w:p w14:paraId="788D927F" w14:textId="77777777" w:rsidR="00B2367D" w:rsidRPr="00003D6E" w:rsidRDefault="00B2367D" w:rsidP="00327742">
            <w:pPr>
              <w:spacing w:after="120"/>
              <w:jc w:val="center"/>
              <w:rPr>
                <w:rFonts w:cs="Times New Roman"/>
                <w:b/>
                <w:sz w:val="20"/>
                <w:szCs w:val="20"/>
                <w:lang w:val="x-none" w:eastAsia="x-none"/>
              </w:rPr>
            </w:pPr>
            <w:r w:rsidRPr="00003D6E">
              <w:rPr>
                <w:rFonts w:cs="Times New Roman"/>
                <w:b/>
                <w:sz w:val="20"/>
                <w:szCs w:val="20"/>
                <w:lang w:val="x-none" w:eastAsia="x-none"/>
              </w:rPr>
              <w:t>POETYK PSO-1</w:t>
            </w:r>
          </w:p>
        </w:tc>
        <w:tc>
          <w:tcPr>
            <w:tcW w:w="4249" w:type="dxa"/>
            <w:gridSpan w:val="3"/>
            <w:tcBorders>
              <w:top w:val="double" w:sz="4" w:space="0" w:color="auto"/>
              <w:left w:val="single" w:sz="4" w:space="0" w:color="auto"/>
              <w:bottom w:val="single" w:sz="4" w:space="0" w:color="auto"/>
              <w:right w:val="single" w:sz="4" w:space="0" w:color="auto"/>
            </w:tcBorders>
            <w:shd w:val="clear" w:color="auto" w:fill="D9D9D9" w:themeFill="background1" w:themeFillShade="D9"/>
            <w:hideMark/>
          </w:tcPr>
          <w:p w14:paraId="6A3A0CA4" w14:textId="77777777" w:rsidR="00B2367D" w:rsidRPr="00003D6E" w:rsidRDefault="00B2367D" w:rsidP="00327742">
            <w:pPr>
              <w:spacing w:after="120"/>
              <w:jc w:val="center"/>
              <w:rPr>
                <w:rFonts w:cs="Times New Roman"/>
                <w:b/>
                <w:sz w:val="20"/>
                <w:szCs w:val="20"/>
                <w:lang w:val="x-none" w:eastAsia="x-none"/>
              </w:rPr>
            </w:pPr>
            <w:r w:rsidRPr="00003D6E">
              <w:rPr>
                <w:rFonts w:cs="Times New Roman"/>
                <w:b/>
                <w:sz w:val="20"/>
                <w:szCs w:val="20"/>
                <w:lang w:val="x-none" w:eastAsia="x-none"/>
              </w:rPr>
              <w:t>POETYK PSO-</w:t>
            </w:r>
            <w:r w:rsidRPr="00003D6E">
              <w:rPr>
                <w:rFonts w:cs="Times New Roman"/>
                <w:b/>
                <w:sz w:val="20"/>
                <w:szCs w:val="20"/>
                <w:lang w:eastAsia="x-none"/>
              </w:rPr>
              <w:t>2</w:t>
            </w:r>
          </w:p>
        </w:tc>
      </w:tr>
      <w:tr w:rsidR="00003D6E" w:rsidRPr="00003D6E" w14:paraId="62BD826B" w14:textId="77777777" w:rsidTr="00590F72">
        <w:trPr>
          <w:tblHeader/>
        </w:trPr>
        <w:tc>
          <w:tcPr>
            <w:tcW w:w="1276" w:type="dxa"/>
            <w:vMerge/>
            <w:tcBorders>
              <w:left w:val="single" w:sz="4" w:space="0" w:color="auto"/>
              <w:bottom w:val="single" w:sz="4" w:space="0" w:color="auto"/>
              <w:right w:val="single" w:sz="4" w:space="0" w:color="auto"/>
            </w:tcBorders>
            <w:shd w:val="clear" w:color="auto" w:fill="D9D9D9" w:themeFill="background1" w:themeFillShade="D9"/>
            <w:vAlign w:val="bottom"/>
            <w:hideMark/>
          </w:tcPr>
          <w:p w14:paraId="41FB9E5D" w14:textId="1AEEC364" w:rsidR="00B2367D" w:rsidRPr="00003D6E" w:rsidRDefault="00B2367D" w:rsidP="00327742">
            <w:pPr>
              <w:spacing w:after="0"/>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A68322" w14:textId="4BD78D04" w:rsidR="00B2367D" w:rsidRPr="00003D6E" w:rsidRDefault="005C7ECB" w:rsidP="00B2367D">
            <w:pPr>
              <w:spacing w:after="0"/>
              <w:jc w:val="center"/>
              <w:rPr>
                <w:rFonts w:cs="Times New Roman"/>
                <w:b/>
                <w:sz w:val="20"/>
                <w:szCs w:val="20"/>
                <w:lang w:eastAsia="x-none"/>
              </w:rPr>
            </w:pPr>
            <w:r w:rsidRPr="00003D6E">
              <w:rPr>
                <w:rFonts w:cs="Times New Roman"/>
                <w:b/>
                <w:sz w:val="20"/>
                <w:szCs w:val="20"/>
                <w:lang w:eastAsia="x-none"/>
              </w:rPr>
              <w:t>SOTYKTU</w:t>
            </w:r>
          </w:p>
          <w:p w14:paraId="610AA8E2" w14:textId="7FFBA10D" w:rsidR="00B2367D" w:rsidRPr="00003D6E" w:rsidRDefault="00B2367D" w:rsidP="00B2367D">
            <w:pPr>
              <w:spacing w:after="0"/>
              <w:jc w:val="center"/>
              <w:rPr>
                <w:rFonts w:cs="Times New Roman"/>
                <w:b/>
                <w:sz w:val="20"/>
                <w:szCs w:val="20"/>
                <w:lang w:eastAsia="x-none"/>
              </w:rPr>
            </w:pPr>
            <w:r w:rsidRPr="00003D6E">
              <w:rPr>
                <w:rFonts w:cs="Times New Roman"/>
                <w:b/>
                <w:sz w:val="20"/>
                <w:szCs w:val="20"/>
                <w:lang w:eastAsia="x-none"/>
              </w:rPr>
              <w:t>N = 332</w:t>
            </w:r>
          </w:p>
          <w:p w14:paraId="70FDCE06" w14:textId="77777777" w:rsidR="00B2367D" w:rsidRPr="00003D6E" w:rsidRDefault="00B2367D" w:rsidP="00B2367D">
            <w:pPr>
              <w:spacing w:after="0"/>
              <w:jc w:val="center"/>
              <w:rPr>
                <w:rFonts w:cs="Times New Roman"/>
                <w:b/>
                <w:sz w:val="20"/>
                <w:szCs w:val="20"/>
                <w:lang w:val="x-none" w:eastAsia="x-none"/>
              </w:rPr>
            </w:pPr>
            <w:r w:rsidRPr="00003D6E">
              <w:rPr>
                <w:rFonts w:cs="Times New Roman"/>
                <w:b/>
                <w:sz w:val="20"/>
                <w:szCs w:val="20"/>
                <w:lang w:eastAsia="x-none"/>
              </w:rPr>
              <w:t xml:space="preserve">n </w:t>
            </w:r>
            <w:r w:rsidRPr="00003D6E">
              <w:rPr>
                <w:rFonts w:cs="Times New Roman"/>
                <w:b/>
                <w:sz w:val="20"/>
                <w:szCs w:val="20"/>
                <w:lang w:val="x-none" w:eastAsia="x-none"/>
              </w:rPr>
              <w: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92D3FB" w14:textId="62FEA6D8" w:rsidR="00B2367D" w:rsidRPr="00003D6E" w:rsidRDefault="00B2367D" w:rsidP="00B2367D">
            <w:pPr>
              <w:spacing w:after="0"/>
              <w:jc w:val="center"/>
              <w:rPr>
                <w:rFonts w:cs="Times New Roman"/>
                <w:b/>
                <w:sz w:val="20"/>
                <w:szCs w:val="20"/>
                <w:lang w:eastAsia="x-none"/>
              </w:rPr>
            </w:pPr>
            <w:r w:rsidRPr="00003D6E">
              <w:rPr>
                <w:rFonts w:cs="Times New Roman"/>
                <w:b/>
                <w:sz w:val="20"/>
                <w:szCs w:val="20"/>
                <w:lang w:eastAsia="x-none"/>
              </w:rPr>
              <w:t>Apremilast</w:t>
            </w:r>
          </w:p>
          <w:p w14:paraId="4949F1B1" w14:textId="09C4BFBE" w:rsidR="00B2367D" w:rsidRPr="00003D6E" w:rsidRDefault="00B2367D" w:rsidP="00B2367D">
            <w:pPr>
              <w:spacing w:after="0"/>
              <w:jc w:val="center"/>
              <w:rPr>
                <w:rFonts w:cs="Times New Roman"/>
                <w:b/>
                <w:sz w:val="20"/>
                <w:szCs w:val="20"/>
                <w:lang w:eastAsia="x-none"/>
              </w:rPr>
            </w:pPr>
            <w:r w:rsidRPr="00003D6E">
              <w:rPr>
                <w:rFonts w:cs="Times New Roman"/>
                <w:b/>
                <w:sz w:val="20"/>
                <w:szCs w:val="20"/>
                <w:lang w:eastAsia="x-none"/>
              </w:rPr>
              <w:t>N = 168</w:t>
            </w:r>
          </w:p>
          <w:p w14:paraId="34C9E92B" w14:textId="77777777" w:rsidR="00B2367D" w:rsidRPr="00003D6E" w:rsidRDefault="00B2367D" w:rsidP="00B2367D">
            <w:pPr>
              <w:spacing w:after="0"/>
              <w:jc w:val="center"/>
              <w:rPr>
                <w:rFonts w:cs="Times New Roman"/>
                <w:b/>
                <w:sz w:val="20"/>
                <w:szCs w:val="20"/>
                <w:lang w:eastAsia="x-none"/>
              </w:rPr>
            </w:pPr>
            <w:r w:rsidRPr="00003D6E">
              <w:rPr>
                <w:rFonts w:cs="Times New Roman"/>
                <w:b/>
                <w:sz w:val="20"/>
                <w:szCs w:val="20"/>
                <w:lang w:eastAsia="x-none"/>
              </w:rPr>
              <w:t>n (%)</w:t>
            </w:r>
          </w:p>
        </w:tc>
        <w:tc>
          <w:tcPr>
            <w:tcW w:w="1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2F69B" w14:textId="77777777" w:rsidR="00B2367D" w:rsidRPr="00003D6E" w:rsidRDefault="00B2367D" w:rsidP="00B2367D">
            <w:pPr>
              <w:spacing w:after="0"/>
              <w:jc w:val="center"/>
              <w:rPr>
                <w:rFonts w:cs="Times New Roman"/>
                <w:b/>
                <w:sz w:val="20"/>
                <w:szCs w:val="20"/>
                <w:lang w:val="x-none" w:eastAsia="x-none"/>
              </w:rPr>
            </w:pPr>
            <w:r w:rsidRPr="00003D6E">
              <w:rPr>
                <w:rFonts w:cs="Times New Roman"/>
                <w:b/>
                <w:sz w:val="20"/>
                <w:szCs w:val="20"/>
                <w:lang w:val="x-none" w:eastAsia="x-none"/>
              </w:rPr>
              <w:t>Placebo</w:t>
            </w:r>
          </w:p>
          <w:p w14:paraId="29BB65F0" w14:textId="01878548" w:rsidR="00B2367D" w:rsidRPr="00003D6E" w:rsidRDefault="00B2367D" w:rsidP="00B2367D">
            <w:pPr>
              <w:spacing w:after="0"/>
              <w:jc w:val="center"/>
              <w:rPr>
                <w:rFonts w:cs="Times New Roman"/>
                <w:b/>
                <w:sz w:val="20"/>
                <w:szCs w:val="20"/>
                <w:lang w:eastAsia="x-none"/>
              </w:rPr>
            </w:pPr>
            <w:r w:rsidRPr="00003D6E">
              <w:rPr>
                <w:rFonts w:cs="Times New Roman"/>
                <w:b/>
                <w:sz w:val="20"/>
                <w:szCs w:val="20"/>
                <w:lang w:eastAsia="x-none"/>
              </w:rPr>
              <w:t>N = 166</w:t>
            </w:r>
          </w:p>
          <w:p w14:paraId="1542628F" w14:textId="77777777" w:rsidR="00B2367D" w:rsidRPr="00003D6E" w:rsidRDefault="00B2367D" w:rsidP="00B2367D">
            <w:pPr>
              <w:spacing w:after="0"/>
              <w:jc w:val="center"/>
              <w:rPr>
                <w:rFonts w:cs="Times New Roman"/>
                <w:b/>
                <w:sz w:val="20"/>
                <w:szCs w:val="20"/>
                <w:lang w:val="x-none" w:eastAsia="x-none"/>
              </w:rPr>
            </w:pPr>
            <w:r w:rsidRPr="00003D6E">
              <w:rPr>
                <w:rFonts w:cs="Times New Roman"/>
                <w:b/>
                <w:sz w:val="20"/>
                <w:szCs w:val="20"/>
                <w:lang w:eastAsia="x-none"/>
              </w:rPr>
              <w:t xml:space="preserve">n </w:t>
            </w:r>
            <w:r w:rsidRPr="00003D6E">
              <w:rPr>
                <w:rFonts w:cs="Times New Roman"/>
                <w:b/>
                <w:sz w:val="20"/>
                <w:szCs w:val="20"/>
                <w:lang w:val="x-none" w:eastAsia="x-none"/>
              </w:rPr>
              <w:t>(%)</w:t>
            </w:r>
          </w:p>
        </w:tc>
        <w:tc>
          <w:tcPr>
            <w:tcW w:w="1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C0B2A3" w14:textId="2749B7AF" w:rsidR="00B2367D" w:rsidRPr="00003D6E" w:rsidRDefault="005C7ECB" w:rsidP="00B2367D">
            <w:pPr>
              <w:spacing w:after="0"/>
              <w:jc w:val="center"/>
              <w:rPr>
                <w:rFonts w:cs="Times New Roman"/>
                <w:b/>
                <w:sz w:val="20"/>
                <w:szCs w:val="20"/>
                <w:lang w:eastAsia="x-none"/>
              </w:rPr>
            </w:pPr>
            <w:r w:rsidRPr="00003D6E">
              <w:rPr>
                <w:rFonts w:cs="Times New Roman"/>
                <w:b/>
                <w:sz w:val="20"/>
                <w:szCs w:val="20"/>
                <w:lang w:eastAsia="x-none"/>
              </w:rPr>
              <w:t>SOTYKTU</w:t>
            </w:r>
          </w:p>
          <w:p w14:paraId="2ECBCE88" w14:textId="6AFC2CB6" w:rsidR="00B2367D" w:rsidRPr="00003D6E" w:rsidRDefault="00B2367D" w:rsidP="00B2367D">
            <w:pPr>
              <w:spacing w:after="0"/>
              <w:jc w:val="center"/>
              <w:rPr>
                <w:rFonts w:cs="Times New Roman"/>
                <w:b/>
                <w:sz w:val="20"/>
                <w:szCs w:val="20"/>
                <w:lang w:eastAsia="x-none"/>
              </w:rPr>
            </w:pPr>
            <w:r w:rsidRPr="00003D6E">
              <w:rPr>
                <w:rFonts w:cs="Times New Roman"/>
                <w:b/>
                <w:sz w:val="20"/>
                <w:szCs w:val="20"/>
                <w:lang w:eastAsia="x-none"/>
              </w:rPr>
              <w:t>N = 511</w:t>
            </w:r>
          </w:p>
          <w:p w14:paraId="5BBF154A" w14:textId="3F565103" w:rsidR="00B2367D" w:rsidRPr="00003D6E" w:rsidRDefault="00FB4875" w:rsidP="00B2367D">
            <w:pPr>
              <w:spacing w:after="0"/>
              <w:jc w:val="center"/>
              <w:rPr>
                <w:rFonts w:cs="Times New Roman"/>
                <w:b/>
                <w:sz w:val="20"/>
                <w:szCs w:val="20"/>
                <w:lang w:val="x-none" w:eastAsia="x-none"/>
              </w:rPr>
            </w:pPr>
            <w:r w:rsidRPr="00003D6E">
              <w:rPr>
                <w:rFonts w:cs="Times New Roman"/>
                <w:b/>
                <w:sz w:val="20"/>
                <w:szCs w:val="20"/>
                <w:lang w:eastAsia="x-none"/>
              </w:rPr>
              <w:t xml:space="preserve">n </w:t>
            </w:r>
            <w:r w:rsidR="00B2367D" w:rsidRPr="00003D6E">
              <w:rPr>
                <w:rFonts w:cs="Times New Roman"/>
                <w:b/>
                <w:sz w:val="20"/>
                <w:szCs w:val="20"/>
                <w:lang w:val="x-none" w:eastAsia="x-none"/>
              </w:rPr>
              <w:t>(%)</w:t>
            </w:r>
          </w:p>
        </w:tc>
        <w:tc>
          <w:tcPr>
            <w:tcW w:w="1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A0A893" w14:textId="77777777" w:rsidR="00B2367D" w:rsidRPr="00003D6E" w:rsidRDefault="00B2367D" w:rsidP="00B2367D">
            <w:pPr>
              <w:spacing w:after="0"/>
              <w:jc w:val="center"/>
              <w:rPr>
                <w:rFonts w:cs="Times New Roman"/>
                <w:b/>
                <w:sz w:val="20"/>
                <w:szCs w:val="20"/>
                <w:lang w:eastAsia="x-none"/>
              </w:rPr>
            </w:pPr>
            <w:r w:rsidRPr="00003D6E">
              <w:rPr>
                <w:rFonts w:cs="Times New Roman"/>
                <w:b/>
                <w:sz w:val="20"/>
                <w:szCs w:val="20"/>
                <w:lang w:eastAsia="x-none"/>
              </w:rPr>
              <w:t>Apremilast</w:t>
            </w:r>
          </w:p>
          <w:p w14:paraId="4A6FF06F" w14:textId="725A03D0" w:rsidR="00B2367D" w:rsidRPr="00003D6E" w:rsidRDefault="00B2367D" w:rsidP="00B2367D">
            <w:pPr>
              <w:spacing w:after="0"/>
              <w:jc w:val="center"/>
              <w:rPr>
                <w:rFonts w:cs="Times New Roman"/>
                <w:b/>
                <w:sz w:val="20"/>
                <w:szCs w:val="20"/>
                <w:lang w:eastAsia="x-none"/>
              </w:rPr>
            </w:pPr>
            <w:r w:rsidRPr="00003D6E">
              <w:rPr>
                <w:rFonts w:cs="Times New Roman"/>
                <w:b/>
                <w:sz w:val="20"/>
                <w:szCs w:val="20"/>
                <w:lang w:eastAsia="x-none"/>
              </w:rPr>
              <w:t>N = 254</w:t>
            </w:r>
          </w:p>
          <w:p w14:paraId="4367B4C8" w14:textId="3D262280" w:rsidR="00B2367D" w:rsidRPr="00003D6E" w:rsidRDefault="00FB4875" w:rsidP="00B2367D">
            <w:pPr>
              <w:spacing w:after="0"/>
              <w:jc w:val="center"/>
              <w:rPr>
                <w:rFonts w:cs="Times New Roman"/>
                <w:b/>
                <w:sz w:val="20"/>
                <w:szCs w:val="20"/>
                <w:lang w:eastAsia="x-none"/>
              </w:rPr>
            </w:pPr>
            <w:r w:rsidRPr="00003D6E">
              <w:rPr>
                <w:rFonts w:cs="Times New Roman"/>
                <w:b/>
                <w:sz w:val="20"/>
                <w:szCs w:val="20"/>
                <w:lang w:eastAsia="x-none"/>
              </w:rPr>
              <w:t xml:space="preserve">n </w:t>
            </w:r>
            <w:r w:rsidR="00B2367D" w:rsidRPr="00003D6E">
              <w:rPr>
                <w:rFonts w:cs="Times New Roman"/>
                <w:b/>
                <w:sz w:val="20"/>
                <w:szCs w:val="20"/>
                <w:lang w:val="x-none" w:eastAsia="x-none"/>
              </w:rPr>
              <w:t>(%)</w:t>
            </w:r>
          </w:p>
        </w:tc>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8F2A0E" w14:textId="77777777" w:rsidR="00B2367D" w:rsidRPr="00003D6E" w:rsidRDefault="00B2367D" w:rsidP="00B2367D">
            <w:pPr>
              <w:spacing w:after="0"/>
              <w:jc w:val="center"/>
              <w:rPr>
                <w:rFonts w:cs="Times New Roman"/>
                <w:b/>
                <w:sz w:val="20"/>
                <w:szCs w:val="20"/>
                <w:lang w:val="x-none" w:eastAsia="x-none"/>
              </w:rPr>
            </w:pPr>
            <w:r w:rsidRPr="00003D6E">
              <w:rPr>
                <w:rFonts w:cs="Times New Roman"/>
                <w:b/>
                <w:sz w:val="20"/>
                <w:szCs w:val="20"/>
                <w:lang w:val="x-none" w:eastAsia="x-none"/>
              </w:rPr>
              <w:t>Placebo</w:t>
            </w:r>
          </w:p>
          <w:p w14:paraId="1B4D4D47" w14:textId="01F9D0D9" w:rsidR="00B2367D" w:rsidRPr="00003D6E" w:rsidRDefault="00B2367D" w:rsidP="00B2367D">
            <w:pPr>
              <w:spacing w:after="0"/>
              <w:jc w:val="center"/>
              <w:rPr>
                <w:rFonts w:cs="Times New Roman"/>
                <w:b/>
                <w:sz w:val="20"/>
                <w:szCs w:val="20"/>
                <w:lang w:eastAsia="x-none"/>
              </w:rPr>
            </w:pPr>
            <w:r w:rsidRPr="00003D6E">
              <w:rPr>
                <w:rFonts w:cs="Times New Roman"/>
                <w:b/>
                <w:sz w:val="20"/>
                <w:szCs w:val="20"/>
                <w:lang w:eastAsia="x-none"/>
              </w:rPr>
              <w:t>N = 255</w:t>
            </w:r>
          </w:p>
          <w:p w14:paraId="7F9A6FBC" w14:textId="12672333" w:rsidR="00B2367D" w:rsidRPr="00003D6E" w:rsidRDefault="00FB4875" w:rsidP="00B2367D">
            <w:pPr>
              <w:spacing w:after="0"/>
              <w:jc w:val="center"/>
              <w:rPr>
                <w:rFonts w:cs="Times New Roman"/>
                <w:b/>
                <w:sz w:val="20"/>
                <w:szCs w:val="20"/>
                <w:lang w:val="x-none" w:eastAsia="x-none"/>
              </w:rPr>
            </w:pPr>
            <w:r w:rsidRPr="00003D6E">
              <w:rPr>
                <w:rFonts w:cs="Times New Roman"/>
                <w:b/>
                <w:sz w:val="20"/>
                <w:szCs w:val="20"/>
                <w:lang w:eastAsia="x-none"/>
              </w:rPr>
              <w:t xml:space="preserve">n </w:t>
            </w:r>
            <w:r w:rsidR="00B2367D" w:rsidRPr="00003D6E">
              <w:rPr>
                <w:rFonts w:cs="Times New Roman"/>
                <w:b/>
                <w:sz w:val="20"/>
                <w:szCs w:val="20"/>
                <w:lang w:val="x-none" w:eastAsia="x-none"/>
              </w:rPr>
              <w:t>(%)</w:t>
            </w:r>
          </w:p>
        </w:tc>
      </w:tr>
      <w:tr w:rsidR="00003D6E" w:rsidRPr="00003D6E" w14:paraId="30FF09DA" w14:textId="77777777" w:rsidTr="00EF0FDC">
        <w:tc>
          <w:tcPr>
            <w:tcW w:w="9600" w:type="dxa"/>
            <w:gridSpan w:val="7"/>
            <w:tcBorders>
              <w:top w:val="single" w:sz="4" w:space="0" w:color="auto"/>
              <w:left w:val="single" w:sz="4" w:space="0" w:color="auto"/>
              <w:bottom w:val="single" w:sz="4" w:space="0" w:color="auto"/>
              <w:right w:val="single" w:sz="4" w:space="0" w:color="auto"/>
            </w:tcBorders>
            <w:vAlign w:val="center"/>
            <w:hideMark/>
          </w:tcPr>
          <w:p w14:paraId="1B413E48" w14:textId="77777777" w:rsidR="00447BDE" w:rsidRPr="00003D6E" w:rsidRDefault="00447BDE" w:rsidP="00327742">
            <w:pPr>
              <w:spacing w:after="120"/>
              <w:rPr>
                <w:rFonts w:cs="Times New Roman"/>
                <w:sz w:val="20"/>
                <w:szCs w:val="20"/>
              </w:rPr>
            </w:pPr>
            <w:proofErr w:type="spellStart"/>
            <w:r w:rsidRPr="00003D6E">
              <w:rPr>
                <w:rFonts w:cs="Times New Roman"/>
                <w:b/>
                <w:sz w:val="20"/>
                <w:szCs w:val="20"/>
              </w:rPr>
              <w:t>sPGA</w:t>
            </w:r>
            <w:proofErr w:type="spellEnd"/>
            <w:r w:rsidRPr="00003D6E">
              <w:rPr>
                <w:rFonts w:cs="Times New Roman"/>
                <w:b/>
                <w:sz w:val="20"/>
                <w:szCs w:val="20"/>
              </w:rPr>
              <w:t xml:space="preserve"> 0/1</w:t>
            </w:r>
          </w:p>
        </w:tc>
      </w:tr>
      <w:tr w:rsidR="00003D6E" w:rsidRPr="00003D6E" w14:paraId="30ED3E87" w14:textId="77777777" w:rsidTr="00590F72">
        <w:tc>
          <w:tcPr>
            <w:tcW w:w="1276" w:type="dxa"/>
            <w:tcBorders>
              <w:top w:val="single" w:sz="4" w:space="0" w:color="auto"/>
              <w:left w:val="single" w:sz="4" w:space="0" w:color="auto"/>
              <w:bottom w:val="single" w:sz="4" w:space="0" w:color="auto"/>
              <w:right w:val="single" w:sz="4" w:space="0" w:color="auto"/>
            </w:tcBorders>
            <w:vAlign w:val="center"/>
            <w:hideMark/>
          </w:tcPr>
          <w:p w14:paraId="4329C4CA" w14:textId="77777777" w:rsidR="005F207E" w:rsidRPr="00003D6E" w:rsidRDefault="005F207E" w:rsidP="005F207E">
            <w:pPr>
              <w:spacing w:after="120"/>
              <w:rPr>
                <w:rFonts w:cs="Times New Roman"/>
                <w:sz w:val="20"/>
                <w:szCs w:val="20"/>
              </w:rPr>
            </w:pPr>
            <w:r w:rsidRPr="00003D6E">
              <w:rPr>
                <w:rFonts w:cs="Times New Roman"/>
                <w:sz w:val="20"/>
                <w:szCs w:val="20"/>
              </w:rPr>
              <w:t>Week 16</w:t>
            </w:r>
          </w:p>
        </w:tc>
        <w:tc>
          <w:tcPr>
            <w:tcW w:w="1418" w:type="dxa"/>
            <w:tcBorders>
              <w:top w:val="single" w:sz="4" w:space="0" w:color="auto"/>
              <w:left w:val="single" w:sz="4" w:space="0" w:color="auto"/>
              <w:bottom w:val="single" w:sz="4" w:space="0" w:color="auto"/>
              <w:right w:val="single" w:sz="4" w:space="0" w:color="auto"/>
            </w:tcBorders>
            <w:vAlign w:val="center"/>
          </w:tcPr>
          <w:p w14:paraId="346F55FF" w14:textId="068CC691" w:rsidR="005F207E" w:rsidRPr="00003D6E" w:rsidRDefault="005F207E" w:rsidP="00BF69D1">
            <w:pPr>
              <w:spacing w:after="120"/>
              <w:jc w:val="center"/>
              <w:rPr>
                <w:rFonts w:cs="Times New Roman"/>
                <w:sz w:val="20"/>
                <w:szCs w:val="20"/>
              </w:rPr>
            </w:pPr>
            <w:r w:rsidRPr="00003D6E">
              <w:rPr>
                <w:rFonts w:cs="Times New Roman"/>
                <w:sz w:val="20"/>
                <w:szCs w:val="20"/>
              </w:rPr>
              <w:t>178 (53.6)</w:t>
            </w:r>
          </w:p>
        </w:tc>
        <w:tc>
          <w:tcPr>
            <w:tcW w:w="1417" w:type="dxa"/>
            <w:tcBorders>
              <w:top w:val="single" w:sz="4" w:space="0" w:color="auto"/>
              <w:left w:val="single" w:sz="4" w:space="0" w:color="auto"/>
              <w:bottom w:val="single" w:sz="4" w:space="0" w:color="auto"/>
              <w:right w:val="single" w:sz="4" w:space="0" w:color="auto"/>
            </w:tcBorders>
            <w:vAlign w:val="center"/>
          </w:tcPr>
          <w:p w14:paraId="2E42DE98" w14:textId="61616189" w:rsidR="005F207E" w:rsidRPr="00003D6E" w:rsidRDefault="005F207E" w:rsidP="00BF69D1">
            <w:pPr>
              <w:spacing w:after="120"/>
              <w:jc w:val="center"/>
              <w:rPr>
                <w:rFonts w:cs="Times New Roman"/>
                <w:sz w:val="20"/>
                <w:szCs w:val="20"/>
              </w:rPr>
            </w:pPr>
            <w:r w:rsidRPr="00003D6E">
              <w:rPr>
                <w:rFonts w:cs="Times New Roman"/>
                <w:sz w:val="20"/>
                <w:szCs w:val="20"/>
              </w:rPr>
              <w:t>54 (</w:t>
            </w:r>
            <w:proofErr w:type="gramStart"/>
            <w:r w:rsidRPr="00003D6E">
              <w:rPr>
                <w:rFonts w:cs="Times New Roman"/>
                <w:sz w:val="20"/>
                <w:szCs w:val="20"/>
              </w:rPr>
              <w:t>32.1)</w:t>
            </w:r>
            <w:r w:rsidRPr="00003D6E">
              <w:rPr>
                <w:rStyle w:val="BMSSuperscript"/>
                <w:rFonts w:cs="Times New Roman"/>
                <w:sz w:val="20"/>
                <w:szCs w:val="20"/>
              </w:rPr>
              <w:t>d</w:t>
            </w:r>
            <w:proofErr w:type="gramEnd"/>
          </w:p>
        </w:tc>
        <w:tc>
          <w:tcPr>
            <w:tcW w:w="1240" w:type="dxa"/>
            <w:tcBorders>
              <w:top w:val="single" w:sz="4" w:space="0" w:color="auto"/>
              <w:left w:val="single" w:sz="4" w:space="0" w:color="auto"/>
              <w:bottom w:val="single" w:sz="4" w:space="0" w:color="auto"/>
              <w:right w:val="single" w:sz="4" w:space="0" w:color="auto"/>
            </w:tcBorders>
            <w:vAlign w:val="center"/>
            <w:hideMark/>
          </w:tcPr>
          <w:p w14:paraId="56624795" w14:textId="2471B033" w:rsidR="005F207E" w:rsidRPr="00003D6E" w:rsidRDefault="005F207E" w:rsidP="00BF69D1">
            <w:pPr>
              <w:spacing w:after="120"/>
              <w:jc w:val="center"/>
              <w:rPr>
                <w:rFonts w:cs="Times New Roman"/>
                <w:sz w:val="20"/>
                <w:szCs w:val="20"/>
              </w:rPr>
            </w:pPr>
            <w:r w:rsidRPr="00003D6E">
              <w:rPr>
                <w:rFonts w:cs="Times New Roman"/>
                <w:sz w:val="20"/>
                <w:szCs w:val="20"/>
              </w:rPr>
              <w:t>12 (</w:t>
            </w:r>
            <w:proofErr w:type="gramStart"/>
            <w:r w:rsidRPr="00003D6E">
              <w:rPr>
                <w:rFonts w:cs="Times New Roman"/>
                <w:sz w:val="20"/>
                <w:szCs w:val="20"/>
              </w:rPr>
              <w:t>7.2)</w:t>
            </w:r>
            <w:proofErr w:type="spellStart"/>
            <w:r w:rsidRPr="00003D6E">
              <w:rPr>
                <w:rStyle w:val="BMSSuperscript"/>
                <w:rFonts w:cs="Times New Roman"/>
                <w:sz w:val="20"/>
                <w:szCs w:val="20"/>
              </w:rPr>
              <w:t>a</w:t>
            </w:r>
            <w:proofErr w:type="gramEnd"/>
            <w:r w:rsidRPr="00003D6E">
              <w:rPr>
                <w:rStyle w:val="BMSSuperscript"/>
                <w:rFonts w:cs="Times New Roman"/>
                <w:sz w:val="20"/>
                <w:szCs w:val="20"/>
              </w:rPr>
              <w:t>,d</w:t>
            </w:r>
            <w:proofErr w:type="spellEnd"/>
          </w:p>
        </w:tc>
        <w:tc>
          <w:tcPr>
            <w:tcW w:w="1443" w:type="dxa"/>
            <w:tcBorders>
              <w:top w:val="single" w:sz="4" w:space="0" w:color="auto"/>
              <w:left w:val="single" w:sz="4" w:space="0" w:color="auto"/>
              <w:bottom w:val="single" w:sz="4" w:space="0" w:color="auto"/>
              <w:right w:val="single" w:sz="4" w:space="0" w:color="auto"/>
            </w:tcBorders>
            <w:vAlign w:val="center"/>
          </w:tcPr>
          <w:p w14:paraId="1360FB38" w14:textId="53FBD14B" w:rsidR="005F207E" w:rsidRPr="00003D6E" w:rsidRDefault="005F207E" w:rsidP="00BF69D1">
            <w:pPr>
              <w:spacing w:after="120"/>
              <w:jc w:val="center"/>
              <w:rPr>
                <w:rFonts w:cs="Times New Roman"/>
                <w:sz w:val="20"/>
                <w:szCs w:val="20"/>
              </w:rPr>
            </w:pPr>
            <w:r w:rsidRPr="00003D6E">
              <w:rPr>
                <w:rFonts w:cs="Times New Roman"/>
                <w:sz w:val="20"/>
                <w:szCs w:val="20"/>
              </w:rPr>
              <w:t>253 (49.5)</w:t>
            </w:r>
          </w:p>
        </w:tc>
        <w:tc>
          <w:tcPr>
            <w:tcW w:w="1428" w:type="dxa"/>
            <w:tcBorders>
              <w:top w:val="single" w:sz="4" w:space="0" w:color="auto"/>
              <w:left w:val="single" w:sz="4" w:space="0" w:color="auto"/>
              <w:bottom w:val="single" w:sz="4" w:space="0" w:color="auto"/>
              <w:right w:val="single" w:sz="4" w:space="0" w:color="auto"/>
            </w:tcBorders>
            <w:vAlign w:val="center"/>
          </w:tcPr>
          <w:p w14:paraId="0A924FE4" w14:textId="4DC322BC" w:rsidR="005F207E" w:rsidRPr="00003D6E" w:rsidRDefault="005F207E" w:rsidP="00BF69D1">
            <w:pPr>
              <w:spacing w:after="120"/>
              <w:jc w:val="center"/>
              <w:rPr>
                <w:rFonts w:cs="Times New Roman"/>
                <w:sz w:val="20"/>
                <w:szCs w:val="20"/>
              </w:rPr>
            </w:pPr>
            <w:r w:rsidRPr="00003D6E">
              <w:rPr>
                <w:rFonts w:cs="Times New Roman"/>
                <w:sz w:val="20"/>
                <w:szCs w:val="20"/>
              </w:rPr>
              <w:t>86 (</w:t>
            </w:r>
            <w:proofErr w:type="gramStart"/>
            <w:r w:rsidRPr="00003D6E">
              <w:rPr>
                <w:rFonts w:cs="Times New Roman"/>
                <w:sz w:val="20"/>
                <w:szCs w:val="20"/>
              </w:rPr>
              <w:t>33.9)</w:t>
            </w:r>
            <w:r w:rsidRPr="00003D6E">
              <w:rPr>
                <w:rStyle w:val="BMSSuperscript"/>
                <w:rFonts w:cs="Times New Roman"/>
                <w:sz w:val="20"/>
                <w:szCs w:val="20"/>
              </w:rPr>
              <w:t>d</w:t>
            </w:r>
            <w:proofErr w:type="gramEnd"/>
          </w:p>
        </w:tc>
        <w:tc>
          <w:tcPr>
            <w:tcW w:w="1378" w:type="dxa"/>
            <w:tcBorders>
              <w:top w:val="single" w:sz="4" w:space="0" w:color="auto"/>
              <w:left w:val="single" w:sz="4" w:space="0" w:color="auto"/>
              <w:bottom w:val="single" w:sz="4" w:space="0" w:color="auto"/>
              <w:right w:val="single" w:sz="4" w:space="0" w:color="auto"/>
            </w:tcBorders>
            <w:vAlign w:val="center"/>
            <w:hideMark/>
          </w:tcPr>
          <w:p w14:paraId="2A0F8850" w14:textId="0D29E502" w:rsidR="005F207E" w:rsidRPr="00003D6E" w:rsidRDefault="005F207E" w:rsidP="00BF69D1">
            <w:pPr>
              <w:spacing w:after="120"/>
              <w:jc w:val="center"/>
              <w:rPr>
                <w:rFonts w:cs="Times New Roman"/>
                <w:sz w:val="20"/>
                <w:szCs w:val="20"/>
              </w:rPr>
            </w:pPr>
            <w:r w:rsidRPr="00003D6E">
              <w:rPr>
                <w:rFonts w:cs="Times New Roman"/>
                <w:sz w:val="20"/>
                <w:szCs w:val="20"/>
              </w:rPr>
              <w:t>22 (</w:t>
            </w:r>
            <w:proofErr w:type="gramStart"/>
            <w:r w:rsidRPr="00003D6E">
              <w:rPr>
                <w:rFonts w:cs="Times New Roman"/>
                <w:sz w:val="20"/>
                <w:szCs w:val="20"/>
              </w:rPr>
              <w:t>8.6)</w:t>
            </w:r>
            <w:proofErr w:type="spellStart"/>
            <w:r w:rsidRPr="00003D6E">
              <w:rPr>
                <w:rStyle w:val="BMSSuperscript"/>
                <w:rFonts w:cs="Times New Roman"/>
                <w:sz w:val="20"/>
                <w:szCs w:val="20"/>
              </w:rPr>
              <w:t>a</w:t>
            </w:r>
            <w:proofErr w:type="gramEnd"/>
            <w:r w:rsidRPr="00003D6E">
              <w:rPr>
                <w:rStyle w:val="BMSSuperscript"/>
                <w:rFonts w:cs="Times New Roman"/>
                <w:sz w:val="20"/>
                <w:szCs w:val="20"/>
              </w:rPr>
              <w:t>,d</w:t>
            </w:r>
            <w:proofErr w:type="spellEnd"/>
          </w:p>
        </w:tc>
      </w:tr>
      <w:tr w:rsidR="00003D6E" w:rsidRPr="00003D6E" w14:paraId="3DD0BEB7" w14:textId="77777777" w:rsidTr="00590F72">
        <w:tc>
          <w:tcPr>
            <w:tcW w:w="1276" w:type="dxa"/>
            <w:tcBorders>
              <w:top w:val="single" w:sz="4" w:space="0" w:color="auto"/>
              <w:left w:val="single" w:sz="4" w:space="0" w:color="auto"/>
              <w:bottom w:val="single" w:sz="4" w:space="0" w:color="auto"/>
              <w:right w:val="single" w:sz="4" w:space="0" w:color="auto"/>
            </w:tcBorders>
            <w:vAlign w:val="center"/>
            <w:hideMark/>
          </w:tcPr>
          <w:p w14:paraId="1884963D" w14:textId="77777777" w:rsidR="005F207E" w:rsidRPr="00003D6E" w:rsidRDefault="005F207E" w:rsidP="005F207E">
            <w:pPr>
              <w:spacing w:after="120"/>
              <w:rPr>
                <w:rFonts w:cs="Times New Roman"/>
                <w:sz w:val="20"/>
                <w:szCs w:val="20"/>
              </w:rPr>
            </w:pPr>
            <w:r w:rsidRPr="00003D6E">
              <w:rPr>
                <w:rFonts w:cs="Times New Roman"/>
                <w:sz w:val="20"/>
                <w:szCs w:val="20"/>
              </w:rPr>
              <w:t>Week 24</w:t>
            </w:r>
          </w:p>
        </w:tc>
        <w:tc>
          <w:tcPr>
            <w:tcW w:w="1418" w:type="dxa"/>
            <w:tcBorders>
              <w:top w:val="single" w:sz="4" w:space="0" w:color="auto"/>
              <w:left w:val="single" w:sz="4" w:space="0" w:color="auto"/>
              <w:bottom w:val="single" w:sz="4" w:space="0" w:color="auto"/>
              <w:right w:val="single" w:sz="4" w:space="0" w:color="auto"/>
            </w:tcBorders>
            <w:vAlign w:val="center"/>
          </w:tcPr>
          <w:p w14:paraId="318469CB" w14:textId="7ED70620" w:rsidR="005F207E" w:rsidRPr="00003D6E" w:rsidRDefault="005F207E" w:rsidP="00BF69D1">
            <w:pPr>
              <w:spacing w:after="120"/>
              <w:jc w:val="center"/>
              <w:rPr>
                <w:rFonts w:cs="Times New Roman"/>
                <w:sz w:val="20"/>
                <w:szCs w:val="20"/>
              </w:rPr>
            </w:pPr>
            <w:r w:rsidRPr="00003D6E">
              <w:rPr>
                <w:rFonts w:cs="Times New Roman"/>
                <w:sz w:val="20"/>
                <w:szCs w:val="20"/>
              </w:rPr>
              <w:t>195 (58.7)</w:t>
            </w:r>
          </w:p>
        </w:tc>
        <w:tc>
          <w:tcPr>
            <w:tcW w:w="1417" w:type="dxa"/>
            <w:tcBorders>
              <w:top w:val="single" w:sz="4" w:space="0" w:color="auto"/>
              <w:left w:val="single" w:sz="4" w:space="0" w:color="auto"/>
              <w:bottom w:val="single" w:sz="4" w:space="0" w:color="auto"/>
              <w:right w:val="single" w:sz="4" w:space="0" w:color="auto"/>
            </w:tcBorders>
          </w:tcPr>
          <w:p w14:paraId="3FDB5D19" w14:textId="6277A93F" w:rsidR="005F207E" w:rsidRPr="00003D6E" w:rsidRDefault="005F207E" w:rsidP="00BF69D1">
            <w:pPr>
              <w:spacing w:after="120"/>
              <w:jc w:val="center"/>
              <w:rPr>
                <w:rFonts w:cs="Times New Roman"/>
                <w:sz w:val="20"/>
                <w:szCs w:val="20"/>
              </w:rPr>
            </w:pPr>
            <w:r w:rsidRPr="00003D6E">
              <w:rPr>
                <w:rFonts w:cs="Times New Roman"/>
                <w:sz w:val="20"/>
                <w:szCs w:val="20"/>
              </w:rPr>
              <w:t>52 (</w:t>
            </w:r>
            <w:proofErr w:type="gramStart"/>
            <w:r w:rsidRPr="00003D6E">
              <w:rPr>
                <w:rFonts w:cs="Times New Roman"/>
                <w:sz w:val="20"/>
                <w:szCs w:val="20"/>
              </w:rPr>
              <w:t>31.0)</w:t>
            </w:r>
            <w:r w:rsidRPr="00003D6E">
              <w:rPr>
                <w:rStyle w:val="BMSSuperscript"/>
                <w:rFonts w:cs="Times New Roman"/>
                <w:sz w:val="20"/>
                <w:szCs w:val="20"/>
              </w:rPr>
              <w:t>d</w:t>
            </w:r>
            <w:proofErr w:type="gramEnd"/>
          </w:p>
        </w:tc>
        <w:tc>
          <w:tcPr>
            <w:tcW w:w="1240" w:type="dxa"/>
            <w:tcBorders>
              <w:top w:val="single" w:sz="4" w:space="0" w:color="auto"/>
              <w:left w:val="single" w:sz="4" w:space="0" w:color="auto"/>
              <w:bottom w:val="single" w:sz="4" w:space="0" w:color="auto"/>
              <w:right w:val="single" w:sz="4" w:space="0" w:color="auto"/>
            </w:tcBorders>
            <w:vAlign w:val="center"/>
            <w:hideMark/>
          </w:tcPr>
          <w:p w14:paraId="5D8F6571" w14:textId="03C4B868" w:rsidR="005F207E" w:rsidRPr="00003D6E" w:rsidRDefault="005F207E" w:rsidP="00BF69D1">
            <w:pPr>
              <w:spacing w:after="120"/>
              <w:jc w:val="center"/>
              <w:rPr>
                <w:rFonts w:cs="Times New Roman"/>
                <w:sz w:val="20"/>
                <w:szCs w:val="20"/>
              </w:rPr>
            </w:pPr>
            <w:r w:rsidRPr="00003D6E">
              <w:rPr>
                <w:rFonts w:cs="Times New Roman"/>
                <w:sz w:val="20"/>
                <w:szCs w:val="20"/>
              </w:rPr>
              <w:t>-</w:t>
            </w:r>
          </w:p>
        </w:tc>
        <w:tc>
          <w:tcPr>
            <w:tcW w:w="1443" w:type="dxa"/>
            <w:tcBorders>
              <w:top w:val="single" w:sz="4" w:space="0" w:color="auto"/>
              <w:left w:val="single" w:sz="4" w:space="0" w:color="auto"/>
              <w:bottom w:val="single" w:sz="4" w:space="0" w:color="auto"/>
              <w:right w:val="single" w:sz="4" w:space="0" w:color="auto"/>
            </w:tcBorders>
            <w:vAlign w:val="center"/>
          </w:tcPr>
          <w:p w14:paraId="61338654" w14:textId="1E0A2EF9" w:rsidR="005F207E" w:rsidRPr="00003D6E" w:rsidRDefault="005F207E" w:rsidP="00BF69D1">
            <w:pPr>
              <w:spacing w:after="120"/>
              <w:jc w:val="center"/>
              <w:rPr>
                <w:rFonts w:cs="Times New Roman"/>
                <w:sz w:val="20"/>
                <w:szCs w:val="20"/>
              </w:rPr>
            </w:pPr>
            <w:r w:rsidRPr="00003D6E">
              <w:rPr>
                <w:rFonts w:cs="Times New Roman"/>
                <w:sz w:val="20"/>
                <w:szCs w:val="20"/>
              </w:rPr>
              <w:t>251 (</w:t>
            </w:r>
            <w:proofErr w:type="gramStart"/>
            <w:r w:rsidRPr="00003D6E">
              <w:rPr>
                <w:rFonts w:cs="Times New Roman"/>
                <w:sz w:val="20"/>
                <w:szCs w:val="20"/>
              </w:rPr>
              <w:t>49.8)</w:t>
            </w:r>
            <w:r w:rsidRPr="00003D6E">
              <w:rPr>
                <w:rStyle w:val="BMSSuperscript"/>
                <w:rFonts w:cs="Times New Roman"/>
                <w:sz w:val="20"/>
                <w:szCs w:val="20"/>
              </w:rPr>
              <w:t>b</w:t>
            </w:r>
            <w:proofErr w:type="gramEnd"/>
          </w:p>
        </w:tc>
        <w:tc>
          <w:tcPr>
            <w:tcW w:w="1428" w:type="dxa"/>
            <w:tcBorders>
              <w:top w:val="single" w:sz="4" w:space="0" w:color="auto"/>
              <w:left w:val="single" w:sz="4" w:space="0" w:color="auto"/>
              <w:bottom w:val="single" w:sz="4" w:space="0" w:color="auto"/>
              <w:right w:val="single" w:sz="4" w:space="0" w:color="auto"/>
            </w:tcBorders>
          </w:tcPr>
          <w:p w14:paraId="10B51C09" w14:textId="57B5D57B" w:rsidR="005F207E" w:rsidRPr="00003D6E" w:rsidRDefault="005F207E" w:rsidP="00BF69D1">
            <w:pPr>
              <w:spacing w:after="120"/>
              <w:jc w:val="center"/>
              <w:rPr>
                <w:rFonts w:cs="Times New Roman"/>
                <w:sz w:val="20"/>
                <w:szCs w:val="20"/>
              </w:rPr>
            </w:pPr>
            <w:r w:rsidRPr="00003D6E">
              <w:rPr>
                <w:rFonts w:cs="Times New Roman"/>
                <w:sz w:val="20"/>
                <w:szCs w:val="20"/>
              </w:rPr>
              <w:t>75 (</w:t>
            </w:r>
            <w:proofErr w:type="gramStart"/>
            <w:r w:rsidRPr="00003D6E">
              <w:rPr>
                <w:rFonts w:cs="Times New Roman"/>
                <w:sz w:val="20"/>
                <w:szCs w:val="20"/>
              </w:rPr>
              <w:t>29.5)</w:t>
            </w:r>
            <w:r w:rsidRPr="00003D6E">
              <w:rPr>
                <w:rStyle w:val="BMSSuperscript"/>
                <w:rFonts w:cs="Times New Roman"/>
                <w:sz w:val="20"/>
                <w:szCs w:val="20"/>
              </w:rPr>
              <w:t>d</w:t>
            </w:r>
            <w:proofErr w:type="gramEnd"/>
          </w:p>
        </w:tc>
        <w:tc>
          <w:tcPr>
            <w:tcW w:w="1378" w:type="dxa"/>
            <w:tcBorders>
              <w:top w:val="single" w:sz="4" w:space="0" w:color="auto"/>
              <w:left w:val="single" w:sz="4" w:space="0" w:color="auto"/>
              <w:bottom w:val="single" w:sz="4" w:space="0" w:color="auto"/>
              <w:right w:val="single" w:sz="4" w:space="0" w:color="auto"/>
            </w:tcBorders>
            <w:vAlign w:val="center"/>
            <w:hideMark/>
          </w:tcPr>
          <w:p w14:paraId="0F013EBE" w14:textId="256EFA99" w:rsidR="005F207E" w:rsidRPr="00003D6E" w:rsidRDefault="005F207E" w:rsidP="00BF69D1">
            <w:pPr>
              <w:spacing w:after="120"/>
              <w:jc w:val="center"/>
              <w:rPr>
                <w:rFonts w:cs="Times New Roman"/>
                <w:sz w:val="20"/>
                <w:szCs w:val="20"/>
              </w:rPr>
            </w:pPr>
            <w:r w:rsidRPr="00003D6E">
              <w:rPr>
                <w:rFonts w:cs="Times New Roman"/>
                <w:sz w:val="20"/>
                <w:szCs w:val="20"/>
              </w:rPr>
              <w:t>-</w:t>
            </w:r>
          </w:p>
        </w:tc>
      </w:tr>
      <w:tr w:rsidR="00003D6E" w:rsidRPr="00003D6E" w14:paraId="56CE9F8D" w14:textId="77777777" w:rsidTr="00EF0FDC">
        <w:tc>
          <w:tcPr>
            <w:tcW w:w="9600" w:type="dxa"/>
            <w:gridSpan w:val="7"/>
            <w:tcBorders>
              <w:top w:val="single" w:sz="4" w:space="0" w:color="auto"/>
              <w:left w:val="single" w:sz="4" w:space="0" w:color="auto"/>
              <w:bottom w:val="single" w:sz="4" w:space="0" w:color="auto"/>
              <w:right w:val="single" w:sz="4" w:space="0" w:color="auto"/>
            </w:tcBorders>
            <w:vAlign w:val="center"/>
            <w:hideMark/>
          </w:tcPr>
          <w:p w14:paraId="0C313518" w14:textId="77777777" w:rsidR="00447BDE" w:rsidRPr="00003D6E" w:rsidRDefault="00447BDE" w:rsidP="00327742">
            <w:pPr>
              <w:spacing w:after="120"/>
              <w:rPr>
                <w:rFonts w:cs="Times New Roman"/>
                <w:sz w:val="20"/>
                <w:szCs w:val="20"/>
              </w:rPr>
            </w:pPr>
            <w:proofErr w:type="spellStart"/>
            <w:r w:rsidRPr="00003D6E">
              <w:rPr>
                <w:rFonts w:cs="Times New Roman"/>
                <w:b/>
                <w:sz w:val="20"/>
                <w:szCs w:val="20"/>
              </w:rPr>
              <w:lastRenderedPageBreak/>
              <w:t>sPGA</w:t>
            </w:r>
            <w:proofErr w:type="spellEnd"/>
            <w:r w:rsidRPr="00003D6E">
              <w:rPr>
                <w:rFonts w:cs="Times New Roman"/>
                <w:b/>
                <w:sz w:val="20"/>
                <w:szCs w:val="20"/>
              </w:rPr>
              <w:t xml:space="preserve"> 0</w:t>
            </w:r>
          </w:p>
        </w:tc>
      </w:tr>
      <w:tr w:rsidR="00003D6E" w:rsidRPr="00003D6E" w14:paraId="425DAD6A" w14:textId="77777777" w:rsidTr="00590F72">
        <w:tc>
          <w:tcPr>
            <w:tcW w:w="1276" w:type="dxa"/>
            <w:tcBorders>
              <w:top w:val="single" w:sz="4" w:space="0" w:color="auto"/>
              <w:left w:val="single" w:sz="4" w:space="0" w:color="auto"/>
              <w:bottom w:val="single" w:sz="4" w:space="0" w:color="auto"/>
              <w:right w:val="single" w:sz="4" w:space="0" w:color="auto"/>
            </w:tcBorders>
            <w:vAlign w:val="center"/>
            <w:hideMark/>
          </w:tcPr>
          <w:p w14:paraId="4FCBC927" w14:textId="77777777" w:rsidR="0056426D" w:rsidRPr="00003D6E" w:rsidRDefault="0056426D" w:rsidP="0056426D">
            <w:pPr>
              <w:spacing w:after="120"/>
              <w:rPr>
                <w:rFonts w:cs="Times New Roman"/>
                <w:sz w:val="20"/>
                <w:szCs w:val="20"/>
              </w:rPr>
            </w:pPr>
            <w:r w:rsidRPr="00003D6E">
              <w:rPr>
                <w:rFonts w:cs="Times New Roman"/>
                <w:sz w:val="20"/>
                <w:szCs w:val="20"/>
              </w:rPr>
              <w:t>Week 16</w:t>
            </w:r>
          </w:p>
        </w:tc>
        <w:tc>
          <w:tcPr>
            <w:tcW w:w="1418" w:type="dxa"/>
            <w:tcBorders>
              <w:top w:val="single" w:sz="4" w:space="0" w:color="auto"/>
              <w:left w:val="single" w:sz="4" w:space="0" w:color="auto"/>
              <w:bottom w:val="single" w:sz="4" w:space="0" w:color="auto"/>
              <w:right w:val="single" w:sz="4" w:space="0" w:color="auto"/>
            </w:tcBorders>
            <w:vAlign w:val="center"/>
          </w:tcPr>
          <w:p w14:paraId="57F0AA58" w14:textId="447EA4EE" w:rsidR="0056426D" w:rsidRPr="00003D6E" w:rsidRDefault="0056426D" w:rsidP="005B4E12">
            <w:pPr>
              <w:spacing w:after="120"/>
              <w:jc w:val="center"/>
              <w:rPr>
                <w:rFonts w:cs="Times New Roman"/>
                <w:sz w:val="20"/>
                <w:szCs w:val="20"/>
              </w:rPr>
            </w:pPr>
            <w:r w:rsidRPr="00003D6E">
              <w:rPr>
                <w:rFonts w:cs="Times New Roman"/>
                <w:sz w:val="20"/>
                <w:szCs w:val="20"/>
              </w:rPr>
              <w:t>58 (17.5)</w:t>
            </w:r>
          </w:p>
        </w:tc>
        <w:tc>
          <w:tcPr>
            <w:tcW w:w="1417" w:type="dxa"/>
            <w:tcBorders>
              <w:top w:val="single" w:sz="4" w:space="0" w:color="auto"/>
              <w:left w:val="single" w:sz="4" w:space="0" w:color="auto"/>
              <w:bottom w:val="single" w:sz="4" w:space="0" w:color="auto"/>
              <w:right w:val="single" w:sz="4" w:space="0" w:color="auto"/>
            </w:tcBorders>
          </w:tcPr>
          <w:p w14:paraId="46C3CF41" w14:textId="5165D88F" w:rsidR="0056426D" w:rsidRPr="00003D6E" w:rsidRDefault="0056426D" w:rsidP="005B4E12">
            <w:pPr>
              <w:spacing w:after="120"/>
              <w:jc w:val="center"/>
              <w:rPr>
                <w:rFonts w:cs="Times New Roman"/>
                <w:sz w:val="20"/>
                <w:szCs w:val="20"/>
              </w:rPr>
            </w:pPr>
            <w:r w:rsidRPr="00003D6E">
              <w:rPr>
                <w:rFonts w:cs="Times New Roman"/>
                <w:sz w:val="20"/>
                <w:szCs w:val="20"/>
              </w:rPr>
              <w:t>8 (</w:t>
            </w:r>
            <w:proofErr w:type="gramStart"/>
            <w:r w:rsidRPr="00003D6E">
              <w:rPr>
                <w:rFonts w:cs="Times New Roman"/>
                <w:sz w:val="20"/>
                <w:szCs w:val="20"/>
              </w:rPr>
              <w:t>4.8)</w:t>
            </w:r>
            <w:r w:rsidRPr="00003D6E">
              <w:rPr>
                <w:rStyle w:val="BMSSuperscript"/>
                <w:rFonts w:cs="Times New Roman"/>
                <w:sz w:val="20"/>
                <w:szCs w:val="20"/>
              </w:rPr>
              <w:t>d</w:t>
            </w:r>
            <w:proofErr w:type="gramEnd"/>
          </w:p>
        </w:tc>
        <w:tc>
          <w:tcPr>
            <w:tcW w:w="1240" w:type="dxa"/>
            <w:tcBorders>
              <w:top w:val="single" w:sz="4" w:space="0" w:color="auto"/>
              <w:left w:val="single" w:sz="4" w:space="0" w:color="auto"/>
              <w:bottom w:val="single" w:sz="4" w:space="0" w:color="auto"/>
              <w:right w:val="single" w:sz="4" w:space="0" w:color="auto"/>
            </w:tcBorders>
            <w:vAlign w:val="center"/>
          </w:tcPr>
          <w:p w14:paraId="60F2CFEC" w14:textId="4EFEF566" w:rsidR="0056426D" w:rsidRPr="00003D6E" w:rsidRDefault="0056426D" w:rsidP="005B4E12">
            <w:pPr>
              <w:spacing w:after="120"/>
              <w:jc w:val="center"/>
              <w:rPr>
                <w:rFonts w:cs="Times New Roman"/>
                <w:sz w:val="20"/>
                <w:szCs w:val="20"/>
              </w:rPr>
            </w:pPr>
            <w:r w:rsidRPr="00003D6E">
              <w:rPr>
                <w:rFonts w:cs="Times New Roman"/>
                <w:sz w:val="20"/>
                <w:szCs w:val="20"/>
              </w:rPr>
              <w:t>1 (</w:t>
            </w:r>
            <w:proofErr w:type="gramStart"/>
            <w:r w:rsidRPr="00003D6E">
              <w:rPr>
                <w:rFonts w:cs="Times New Roman"/>
                <w:sz w:val="20"/>
                <w:szCs w:val="20"/>
              </w:rPr>
              <w:t>0.6)</w:t>
            </w:r>
            <w:r w:rsidRPr="00003D6E">
              <w:rPr>
                <w:rStyle w:val="BMSSuperscript"/>
                <w:rFonts w:cs="Times New Roman"/>
                <w:sz w:val="20"/>
                <w:szCs w:val="20"/>
              </w:rPr>
              <w:t>d</w:t>
            </w:r>
            <w:proofErr w:type="gramEnd"/>
          </w:p>
        </w:tc>
        <w:tc>
          <w:tcPr>
            <w:tcW w:w="1443" w:type="dxa"/>
            <w:tcBorders>
              <w:top w:val="single" w:sz="4" w:space="0" w:color="auto"/>
              <w:left w:val="single" w:sz="4" w:space="0" w:color="auto"/>
              <w:bottom w:val="single" w:sz="4" w:space="0" w:color="auto"/>
              <w:right w:val="single" w:sz="4" w:space="0" w:color="auto"/>
            </w:tcBorders>
            <w:vAlign w:val="center"/>
          </w:tcPr>
          <w:p w14:paraId="5E1F6C5F" w14:textId="2E3511D9" w:rsidR="0056426D" w:rsidRPr="00003D6E" w:rsidRDefault="0056426D" w:rsidP="005B4E12">
            <w:pPr>
              <w:spacing w:after="120"/>
              <w:jc w:val="center"/>
              <w:rPr>
                <w:rFonts w:cs="Times New Roman"/>
                <w:sz w:val="20"/>
                <w:szCs w:val="20"/>
              </w:rPr>
            </w:pPr>
            <w:r w:rsidRPr="00003D6E">
              <w:rPr>
                <w:rFonts w:cs="Times New Roman"/>
                <w:sz w:val="20"/>
                <w:szCs w:val="20"/>
              </w:rPr>
              <w:t>80 (15.7)</w:t>
            </w:r>
          </w:p>
        </w:tc>
        <w:tc>
          <w:tcPr>
            <w:tcW w:w="1428" w:type="dxa"/>
            <w:tcBorders>
              <w:top w:val="single" w:sz="4" w:space="0" w:color="auto"/>
              <w:left w:val="single" w:sz="4" w:space="0" w:color="auto"/>
              <w:bottom w:val="single" w:sz="4" w:space="0" w:color="auto"/>
              <w:right w:val="single" w:sz="4" w:space="0" w:color="auto"/>
            </w:tcBorders>
          </w:tcPr>
          <w:p w14:paraId="768D57F8" w14:textId="56F043A5" w:rsidR="0056426D" w:rsidRPr="00003D6E" w:rsidRDefault="0056426D" w:rsidP="005B4E12">
            <w:pPr>
              <w:spacing w:after="120"/>
              <w:jc w:val="center"/>
              <w:rPr>
                <w:rFonts w:cs="Times New Roman"/>
                <w:sz w:val="20"/>
                <w:szCs w:val="20"/>
              </w:rPr>
            </w:pPr>
            <w:r w:rsidRPr="00003D6E">
              <w:rPr>
                <w:rFonts w:cs="Times New Roman"/>
                <w:sz w:val="20"/>
                <w:szCs w:val="20"/>
              </w:rPr>
              <w:t>16 (</w:t>
            </w:r>
            <w:proofErr w:type="gramStart"/>
            <w:r w:rsidRPr="00003D6E">
              <w:rPr>
                <w:rFonts w:cs="Times New Roman"/>
                <w:sz w:val="20"/>
                <w:szCs w:val="20"/>
              </w:rPr>
              <w:t>6.3)</w:t>
            </w:r>
            <w:r w:rsidRPr="00003D6E">
              <w:rPr>
                <w:rStyle w:val="BMSSuperscript"/>
                <w:rFonts w:cs="Times New Roman"/>
                <w:sz w:val="20"/>
                <w:szCs w:val="20"/>
              </w:rPr>
              <w:t>e</w:t>
            </w:r>
            <w:proofErr w:type="gramEnd"/>
          </w:p>
        </w:tc>
        <w:tc>
          <w:tcPr>
            <w:tcW w:w="1378" w:type="dxa"/>
            <w:tcBorders>
              <w:top w:val="single" w:sz="4" w:space="0" w:color="auto"/>
              <w:left w:val="single" w:sz="4" w:space="0" w:color="auto"/>
              <w:bottom w:val="single" w:sz="4" w:space="0" w:color="auto"/>
              <w:right w:val="single" w:sz="4" w:space="0" w:color="auto"/>
            </w:tcBorders>
            <w:vAlign w:val="center"/>
          </w:tcPr>
          <w:p w14:paraId="2774AEAB" w14:textId="2C689036" w:rsidR="0056426D" w:rsidRPr="00003D6E" w:rsidRDefault="0056426D" w:rsidP="005B4E12">
            <w:pPr>
              <w:spacing w:after="120"/>
              <w:jc w:val="center"/>
              <w:rPr>
                <w:rFonts w:cs="Times New Roman"/>
                <w:sz w:val="20"/>
                <w:szCs w:val="20"/>
              </w:rPr>
            </w:pPr>
            <w:r w:rsidRPr="00003D6E">
              <w:rPr>
                <w:rFonts w:cs="Times New Roman"/>
                <w:sz w:val="20"/>
                <w:szCs w:val="20"/>
              </w:rPr>
              <w:t>3 (</w:t>
            </w:r>
            <w:proofErr w:type="gramStart"/>
            <w:r w:rsidRPr="00003D6E">
              <w:rPr>
                <w:rFonts w:cs="Times New Roman"/>
                <w:sz w:val="20"/>
                <w:szCs w:val="20"/>
              </w:rPr>
              <w:t>1.2)</w:t>
            </w:r>
            <w:r w:rsidRPr="00003D6E">
              <w:rPr>
                <w:rStyle w:val="BMSSuperscript"/>
                <w:rFonts w:cs="Times New Roman"/>
                <w:sz w:val="20"/>
                <w:szCs w:val="20"/>
              </w:rPr>
              <w:t>d</w:t>
            </w:r>
            <w:proofErr w:type="gramEnd"/>
          </w:p>
        </w:tc>
      </w:tr>
      <w:tr w:rsidR="00003D6E" w:rsidRPr="00003D6E" w14:paraId="71809C3E" w14:textId="77777777" w:rsidTr="00590F72">
        <w:tc>
          <w:tcPr>
            <w:tcW w:w="1276" w:type="dxa"/>
            <w:tcBorders>
              <w:top w:val="single" w:sz="4" w:space="0" w:color="auto"/>
              <w:left w:val="single" w:sz="4" w:space="0" w:color="auto"/>
              <w:bottom w:val="single" w:sz="4" w:space="0" w:color="auto"/>
              <w:right w:val="single" w:sz="4" w:space="0" w:color="auto"/>
            </w:tcBorders>
            <w:vAlign w:val="center"/>
          </w:tcPr>
          <w:p w14:paraId="59214BFB" w14:textId="47BE205E" w:rsidR="00B37E96" w:rsidRPr="00003D6E" w:rsidRDefault="00B37E96" w:rsidP="00B37E96">
            <w:pPr>
              <w:spacing w:after="120"/>
              <w:rPr>
                <w:rFonts w:cs="Times New Roman"/>
                <w:sz w:val="20"/>
                <w:szCs w:val="20"/>
              </w:rPr>
            </w:pPr>
            <w:r w:rsidRPr="00003D6E">
              <w:rPr>
                <w:sz w:val="20"/>
                <w:szCs w:val="20"/>
              </w:rPr>
              <w:t>Week 24</w:t>
            </w:r>
          </w:p>
        </w:tc>
        <w:tc>
          <w:tcPr>
            <w:tcW w:w="1418" w:type="dxa"/>
            <w:tcBorders>
              <w:top w:val="single" w:sz="4" w:space="0" w:color="auto"/>
              <w:left w:val="single" w:sz="4" w:space="0" w:color="auto"/>
              <w:bottom w:val="single" w:sz="4" w:space="0" w:color="auto"/>
              <w:right w:val="single" w:sz="4" w:space="0" w:color="auto"/>
            </w:tcBorders>
            <w:vAlign w:val="center"/>
          </w:tcPr>
          <w:p w14:paraId="6D6CC78E" w14:textId="63EC95AE" w:rsidR="00B37E96" w:rsidRPr="00003D6E" w:rsidRDefault="00B37E96" w:rsidP="005B4E12">
            <w:pPr>
              <w:spacing w:after="120"/>
              <w:jc w:val="center"/>
              <w:rPr>
                <w:rFonts w:cs="Times New Roman"/>
                <w:sz w:val="20"/>
                <w:szCs w:val="20"/>
              </w:rPr>
            </w:pPr>
            <w:r w:rsidRPr="00003D6E">
              <w:rPr>
                <w:sz w:val="20"/>
                <w:szCs w:val="20"/>
              </w:rPr>
              <w:t>67 (20.2)</w:t>
            </w:r>
          </w:p>
        </w:tc>
        <w:tc>
          <w:tcPr>
            <w:tcW w:w="1417" w:type="dxa"/>
            <w:tcBorders>
              <w:top w:val="single" w:sz="4" w:space="0" w:color="auto"/>
              <w:left w:val="single" w:sz="4" w:space="0" w:color="auto"/>
              <w:bottom w:val="single" w:sz="4" w:space="0" w:color="auto"/>
              <w:right w:val="single" w:sz="4" w:space="0" w:color="auto"/>
            </w:tcBorders>
          </w:tcPr>
          <w:p w14:paraId="01307798" w14:textId="063724C2" w:rsidR="00B37E96" w:rsidRPr="00003D6E" w:rsidRDefault="00B37E96" w:rsidP="005B4E12">
            <w:pPr>
              <w:spacing w:after="120"/>
              <w:jc w:val="center"/>
              <w:rPr>
                <w:rFonts w:cs="Times New Roman"/>
                <w:sz w:val="20"/>
                <w:szCs w:val="20"/>
              </w:rPr>
            </w:pPr>
            <w:r w:rsidRPr="00003D6E">
              <w:rPr>
                <w:sz w:val="20"/>
                <w:szCs w:val="20"/>
              </w:rPr>
              <w:t>17 (10.1)</w:t>
            </w:r>
            <w:r w:rsidRPr="00003D6E">
              <w:rPr>
                <w:sz w:val="20"/>
                <w:szCs w:val="20"/>
                <w:vertAlign w:val="superscript"/>
              </w:rPr>
              <w:t xml:space="preserve"> f</w:t>
            </w:r>
          </w:p>
        </w:tc>
        <w:tc>
          <w:tcPr>
            <w:tcW w:w="1240" w:type="dxa"/>
            <w:tcBorders>
              <w:top w:val="single" w:sz="4" w:space="0" w:color="auto"/>
              <w:left w:val="single" w:sz="4" w:space="0" w:color="auto"/>
              <w:bottom w:val="single" w:sz="4" w:space="0" w:color="auto"/>
              <w:right w:val="single" w:sz="4" w:space="0" w:color="auto"/>
            </w:tcBorders>
            <w:vAlign w:val="center"/>
          </w:tcPr>
          <w:p w14:paraId="3B68B000" w14:textId="0C89D336" w:rsidR="00B37E96" w:rsidRPr="00003D6E" w:rsidRDefault="00B37E96" w:rsidP="005B4E12">
            <w:pPr>
              <w:spacing w:after="120"/>
              <w:jc w:val="center"/>
              <w:rPr>
                <w:rFonts w:cs="Times New Roman"/>
                <w:sz w:val="20"/>
                <w:szCs w:val="20"/>
              </w:rPr>
            </w:pPr>
            <w:r w:rsidRPr="00003D6E">
              <w:rPr>
                <w:sz w:val="20"/>
                <w:szCs w:val="20"/>
              </w:rPr>
              <w:t>-</w:t>
            </w:r>
          </w:p>
        </w:tc>
        <w:tc>
          <w:tcPr>
            <w:tcW w:w="1443" w:type="dxa"/>
            <w:tcBorders>
              <w:top w:val="single" w:sz="4" w:space="0" w:color="auto"/>
              <w:left w:val="single" w:sz="4" w:space="0" w:color="auto"/>
              <w:bottom w:val="single" w:sz="4" w:space="0" w:color="auto"/>
              <w:right w:val="single" w:sz="4" w:space="0" w:color="auto"/>
            </w:tcBorders>
            <w:vAlign w:val="center"/>
          </w:tcPr>
          <w:p w14:paraId="3A34C92B" w14:textId="1E7882F4" w:rsidR="00B37E96" w:rsidRPr="00003D6E" w:rsidRDefault="00B37E96" w:rsidP="005B4E12">
            <w:pPr>
              <w:spacing w:after="120"/>
              <w:jc w:val="center"/>
              <w:rPr>
                <w:rFonts w:cs="Times New Roman"/>
                <w:sz w:val="20"/>
                <w:szCs w:val="20"/>
              </w:rPr>
            </w:pPr>
            <w:r w:rsidRPr="00003D6E">
              <w:rPr>
                <w:sz w:val="20"/>
                <w:szCs w:val="20"/>
              </w:rPr>
              <w:t>86 (17.1)</w:t>
            </w:r>
          </w:p>
        </w:tc>
        <w:tc>
          <w:tcPr>
            <w:tcW w:w="1428" w:type="dxa"/>
            <w:tcBorders>
              <w:top w:val="single" w:sz="4" w:space="0" w:color="auto"/>
              <w:left w:val="single" w:sz="4" w:space="0" w:color="auto"/>
              <w:bottom w:val="single" w:sz="4" w:space="0" w:color="auto"/>
              <w:right w:val="single" w:sz="4" w:space="0" w:color="auto"/>
            </w:tcBorders>
          </w:tcPr>
          <w:p w14:paraId="16163B68" w14:textId="1044974C" w:rsidR="00B37E96" w:rsidRPr="00003D6E" w:rsidRDefault="00B37E96" w:rsidP="005B4E12">
            <w:pPr>
              <w:spacing w:after="120"/>
              <w:jc w:val="center"/>
              <w:rPr>
                <w:rFonts w:cs="Times New Roman"/>
                <w:sz w:val="20"/>
                <w:szCs w:val="20"/>
              </w:rPr>
            </w:pPr>
            <w:r w:rsidRPr="00003D6E">
              <w:rPr>
                <w:sz w:val="20"/>
                <w:szCs w:val="20"/>
              </w:rPr>
              <w:t>20 (7.9)</w:t>
            </w:r>
            <w:r w:rsidRPr="00003D6E">
              <w:rPr>
                <w:sz w:val="20"/>
                <w:szCs w:val="20"/>
                <w:vertAlign w:val="superscript"/>
              </w:rPr>
              <w:t xml:space="preserve"> e</w:t>
            </w:r>
          </w:p>
        </w:tc>
        <w:tc>
          <w:tcPr>
            <w:tcW w:w="1378" w:type="dxa"/>
            <w:tcBorders>
              <w:top w:val="single" w:sz="4" w:space="0" w:color="auto"/>
              <w:left w:val="single" w:sz="4" w:space="0" w:color="auto"/>
              <w:bottom w:val="single" w:sz="4" w:space="0" w:color="auto"/>
              <w:right w:val="single" w:sz="4" w:space="0" w:color="auto"/>
            </w:tcBorders>
            <w:vAlign w:val="center"/>
          </w:tcPr>
          <w:p w14:paraId="6DF1D4E1" w14:textId="326CEB1E" w:rsidR="00B37E96" w:rsidRPr="00003D6E" w:rsidRDefault="00B37E96" w:rsidP="005B4E12">
            <w:pPr>
              <w:spacing w:after="120"/>
              <w:jc w:val="center"/>
              <w:rPr>
                <w:rFonts w:cs="Times New Roman"/>
                <w:sz w:val="20"/>
                <w:szCs w:val="20"/>
              </w:rPr>
            </w:pPr>
            <w:r w:rsidRPr="00003D6E">
              <w:rPr>
                <w:sz w:val="20"/>
                <w:szCs w:val="20"/>
              </w:rPr>
              <w:t>-</w:t>
            </w:r>
          </w:p>
        </w:tc>
      </w:tr>
      <w:tr w:rsidR="00003D6E" w:rsidRPr="00003D6E" w14:paraId="0D7C42BE" w14:textId="77777777" w:rsidTr="00EF0FDC">
        <w:tc>
          <w:tcPr>
            <w:tcW w:w="9600" w:type="dxa"/>
            <w:gridSpan w:val="7"/>
            <w:tcBorders>
              <w:top w:val="single" w:sz="4" w:space="0" w:color="auto"/>
              <w:left w:val="single" w:sz="4" w:space="0" w:color="auto"/>
              <w:bottom w:val="single" w:sz="4" w:space="0" w:color="auto"/>
              <w:right w:val="single" w:sz="4" w:space="0" w:color="auto"/>
            </w:tcBorders>
            <w:vAlign w:val="center"/>
            <w:hideMark/>
          </w:tcPr>
          <w:p w14:paraId="1ED28670" w14:textId="77777777" w:rsidR="00447BDE" w:rsidRPr="00003D6E" w:rsidRDefault="00447BDE" w:rsidP="00327742">
            <w:pPr>
              <w:spacing w:after="120"/>
              <w:rPr>
                <w:rFonts w:cs="Times New Roman"/>
                <w:sz w:val="20"/>
                <w:szCs w:val="20"/>
              </w:rPr>
            </w:pPr>
            <w:r w:rsidRPr="00003D6E">
              <w:rPr>
                <w:rFonts w:cs="Times New Roman"/>
                <w:b/>
                <w:sz w:val="20"/>
                <w:szCs w:val="20"/>
              </w:rPr>
              <w:t>PASI 75</w:t>
            </w:r>
          </w:p>
        </w:tc>
      </w:tr>
      <w:tr w:rsidR="00003D6E" w:rsidRPr="00003D6E" w14:paraId="6ABB6981" w14:textId="77777777" w:rsidTr="00590F72">
        <w:tc>
          <w:tcPr>
            <w:tcW w:w="1276" w:type="dxa"/>
            <w:tcBorders>
              <w:top w:val="single" w:sz="4" w:space="0" w:color="auto"/>
              <w:left w:val="single" w:sz="4" w:space="0" w:color="auto"/>
              <w:bottom w:val="single" w:sz="4" w:space="0" w:color="auto"/>
              <w:right w:val="single" w:sz="4" w:space="0" w:color="auto"/>
            </w:tcBorders>
            <w:vAlign w:val="center"/>
            <w:hideMark/>
          </w:tcPr>
          <w:p w14:paraId="73193482" w14:textId="77777777" w:rsidR="009E4BB7" w:rsidRPr="00003D6E" w:rsidRDefault="009E4BB7" w:rsidP="009E4BB7">
            <w:pPr>
              <w:spacing w:after="120"/>
              <w:rPr>
                <w:rFonts w:cs="Times New Roman"/>
                <w:sz w:val="20"/>
                <w:szCs w:val="20"/>
              </w:rPr>
            </w:pPr>
            <w:r w:rsidRPr="00003D6E">
              <w:rPr>
                <w:rFonts w:cs="Times New Roman"/>
                <w:sz w:val="20"/>
                <w:szCs w:val="20"/>
              </w:rPr>
              <w:t>Week 16</w:t>
            </w:r>
          </w:p>
        </w:tc>
        <w:tc>
          <w:tcPr>
            <w:tcW w:w="1418" w:type="dxa"/>
            <w:tcBorders>
              <w:top w:val="single" w:sz="4" w:space="0" w:color="auto"/>
              <w:left w:val="single" w:sz="4" w:space="0" w:color="auto"/>
              <w:bottom w:val="single" w:sz="4" w:space="0" w:color="auto"/>
              <w:right w:val="single" w:sz="4" w:space="0" w:color="auto"/>
            </w:tcBorders>
            <w:vAlign w:val="center"/>
          </w:tcPr>
          <w:p w14:paraId="290055FD" w14:textId="4A899B96" w:rsidR="009E4BB7" w:rsidRPr="00003D6E" w:rsidRDefault="009E4BB7" w:rsidP="005B4E12">
            <w:pPr>
              <w:spacing w:after="120"/>
              <w:jc w:val="center"/>
              <w:rPr>
                <w:rFonts w:cs="Times New Roman"/>
                <w:sz w:val="20"/>
                <w:szCs w:val="20"/>
              </w:rPr>
            </w:pPr>
            <w:r w:rsidRPr="00003D6E">
              <w:rPr>
                <w:rFonts w:cs="Times New Roman"/>
                <w:sz w:val="20"/>
                <w:szCs w:val="20"/>
              </w:rPr>
              <w:t>194 (58.4)</w:t>
            </w:r>
          </w:p>
        </w:tc>
        <w:tc>
          <w:tcPr>
            <w:tcW w:w="1417" w:type="dxa"/>
            <w:tcBorders>
              <w:top w:val="single" w:sz="4" w:space="0" w:color="auto"/>
              <w:left w:val="single" w:sz="4" w:space="0" w:color="auto"/>
              <w:bottom w:val="single" w:sz="4" w:space="0" w:color="auto"/>
              <w:right w:val="single" w:sz="4" w:space="0" w:color="auto"/>
            </w:tcBorders>
          </w:tcPr>
          <w:p w14:paraId="0CEFA102" w14:textId="758240D6" w:rsidR="009E4BB7" w:rsidRPr="00003D6E" w:rsidRDefault="009E4BB7" w:rsidP="005B4E12">
            <w:pPr>
              <w:spacing w:after="120"/>
              <w:jc w:val="center"/>
              <w:rPr>
                <w:rFonts w:cs="Times New Roman"/>
                <w:sz w:val="20"/>
                <w:szCs w:val="20"/>
              </w:rPr>
            </w:pPr>
            <w:r w:rsidRPr="00003D6E">
              <w:rPr>
                <w:rFonts w:cs="Times New Roman"/>
                <w:sz w:val="20"/>
                <w:szCs w:val="20"/>
              </w:rPr>
              <w:t>59 (</w:t>
            </w:r>
            <w:proofErr w:type="gramStart"/>
            <w:r w:rsidRPr="00003D6E">
              <w:rPr>
                <w:rFonts w:cs="Times New Roman"/>
                <w:sz w:val="20"/>
                <w:szCs w:val="20"/>
              </w:rPr>
              <w:t>35.1)</w:t>
            </w:r>
            <w:r w:rsidRPr="00003D6E">
              <w:rPr>
                <w:rStyle w:val="BMSSuperscript"/>
                <w:rFonts w:cs="Times New Roman"/>
                <w:sz w:val="20"/>
                <w:szCs w:val="20"/>
              </w:rPr>
              <w:t>d</w:t>
            </w:r>
            <w:proofErr w:type="gramEnd"/>
          </w:p>
        </w:tc>
        <w:tc>
          <w:tcPr>
            <w:tcW w:w="1240" w:type="dxa"/>
            <w:tcBorders>
              <w:top w:val="single" w:sz="4" w:space="0" w:color="auto"/>
              <w:left w:val="single" w:sz="4" w:space="0" w:color="auto"/>
              <w:bottom w:val="single" w:sz="4" w:space="0" w:color="auto"/>
              <w:right w:val="single" w:sz="4" w:space="0" w:color="auto"/>
            </w:tcBorders>
            <w:vAlign w:val="center"/>
            <w:hideMark/>
          </w:tcPr>
          <w:p w14:paraId="600071E3" w14:textId="559DB9A0" w:rsidR="009E4BB7" w:rsidRPr="00003D6E" w:rsidRDefault="009E4BB7" w:rsidP="005B4E12">
            <w:pPr>
              <w:spacing w:after="120"/>
              <w:jc w:val="center"/>
              <w:rPr>
                <w:rFonts w:cs="Times New Roman"/>
                <w:sz w:val="20"/>
                <w:szCs w:val="20"/>
              </w:rPr>
            </w:pPr>
            <w:r w:rsidRPr="00003D6E">
              <w:rPr>
                <w:rFonts w:cs="Times New Roman"/>
                <w:sz w:val="20"/>
                <w:szCs w:val="20"/>
              </w:rPr>
              <w:t>21 (</w:t>
            </w:r>
            <w:proofErr w:type="gramStart"/>
            <w:r w:rsidRPr="00003D6E">
              <w:rPr>
                <w:rFonts w:cs="Times New Roman"/>
                <w:sz w:val="20"/>
                <w:szCs w:val="20"/>
              </w:rPr>
              <w:t>12.7)</w:t>
            </w:r>
            <w:proofErr w:type="spellStart"/>
            <w:r w:rsidRPr="00003D6E">
              <w:rPr>
                <w:rStyle w:val="BMSSuperscript"/>
                <w:rFonts w:cs="Times New Roman"/>
                <w:sz w:val="20"/>
                <w:szCs w:val="20"/>
              </w:rPr>
              <w:t>a</w:t>
            </w:r>
            <w:proofErr w:type="gramEnd"/>
            <w:r w:rsidRPr="00003D6E">
              <w:rPr>
                <w:rStyle w:val="BMSSuperscript"/>
                <w:rFonts w:cs="Times New Roman"/>
                <w:sz w:val="20"/>
                <w:szCs w:val="20"/>
              </w:rPr>
              <w:t>,d</w:t>
            </w:r>
            <w:proofErr w:type="spellEnd"/>
          </w:p>
        </w:tc>
        <w:tc>
          <w:tcPr>
            <w:tcW w:w="1443" w:type="dxa"/>
            <w:tcBorders>
              <w:top w:val="single" w:sz="4" w:space="0" w:color="auto"/>
              <w:left w:val="single" w:sz="4" w:space="0" w:color="auto"/>
              <w:bottom w:val="single" w:sz="4" w:space="0" w:color="auto"/>
              <w:right w:val="single" w:sz="4" w:space="0" w:color="auto"/>
            </w:tcBorders>
            <w:vAlign w:val="center"/>
          </w:tcPr>
          <w:p w14:paraId="0C1DF918" w14:textId="22694538" w:rsidR="009E4BB7" w:rsidRPr="00003D6E" w:rsidRDefault="009E4BB7" w:rsidP="005B4E12">
            <w:pPr>
              <w:spacing w:after="120"/>
              <w:jc w:val="center"/>
              <w:rPr>
                <w:rFonts w:cs="Times New Roman"/>
                <w:sz w:val="20"/>
                <w:szCs w:val="20"/>
              </w:rPr>
            </w:pPr>
            <w:r w:rsidRPr="00003D6E">
              <w:rPr>
                <w:rFonts w:cs="Times New Roman"/>
                <w:sz w:val="20"/>
                <w:szCs w:val="20"/>
              </w:rPr>
              <w:t>271 (53.0)</w:t>
            </w:r>
          </w:p>
        </w:tc>
        <w:tc>
          <w:tcPr>
            <w:tcW w:w="1428" w:type="dxa"/>
            <w:tcBorders>
              <w:top w:val="single" w:sz="4" w:space="0" w:color="auto"/>
              <w:left w:val="single" w:sz="4" w:space="0" w:color="auto"/>
              <w:bottom w:val="single" w:sz="4" w:space="0" w:color="auto"/>
              <w:right w:val="single" w:sz="4" w:space="0" w:color="auto"/>
            </w:tcBorders>
          </w:tcPr>
          <w:p w14:paraId="74E9C935" w14:textId="5004F657" w:rsidR="009E4BB7" w:rsidRPr="00003D6E" w:rsidRDefault="009E4BB7" w:rsidP="005B4E12">
            <w:pPr>
              <w:spacing w:after="120"/>
              <w:jc w:val="center"/>
              <w:rPr>
                <w:rFonts w:cs="Times New Roman"/>
                <w:sz w:val="20"/>
                <w:szCs w:val="20"/>
              </w:rPr>
            </w:pPr>
            <w:r w:rsidRPr="00003D6E">
              <w:rPr>
                <w:rFonts w:cs="Times New Roman"/>
                <w:sz w:val="20"/>
                <w:szCs w:val="20"/>
              </w:rPr>
              <w:t>101 (</w:t>
            </w:r>
            <w:proofErr w:type="gramStart"/>
            <w:r w:rsidRPr="00003D6E">
              <w:rPr>
                <w:rFonts w:cs="Times New Roman"/>
                <w:sz w:val="20"/>
                <w:szCs w:val="20"/>
              </w:rPr>
              <w:t>39.8)</w:t>
            </w:r>
            <w:r w:rsidRPr="00003D6E">
              <w:rPr>
                <w:rStyle w:val="BMSSuperscript"/>
                <w:rFonts w:cs="Times New Roman"/>
                <w:sz w:val="20"/>
                <w:szCs w:val="20"/>
              </w:rPr>
              <w:t>e</w:t>
            </w:r>
            <w:proofErr w:type="gramEnd"/>
          </w:p>
        </w:tc>
        <w:tc>
          <w:tcPr>
            <w:tcW w:w="1378" w:type="dxa"/>
            <w:tcBorders>
              <w:top w:val="single" w:sz="4" w:space="0" w:color="auto"/>
              <w:left w:val="single" w:sz="4" w:space="0" w:color="auto"/>
              <w:bottom w:val="single" w:sz="4" w:space="0" w:color="auto"/>
              <w:right w:val="single" w:sz="4" w:space="0" w:color="auto"/>
            </w:tcBorders>
            <w:vAlign w:val="center"/>
            <w:hideMark/>
          </w:tcPr>
          <w:p w14:paraId="47D8FEFF" w14:textId="166D25F2" w:rsidR="009E4BB7" w:rsidRPr="00003D6E" w:rsidRDefault="009E4BB7" w:rsidP="005B4E12">
            <w:pPr>
              <w:spacing w:after="120"/>
              <w:jc w:val="center"/>
              <w:rPr>
                <w:rFonts w:cs="Times New Roman"/>
                <w:sz w:val="20"/>
                <w:szCs w:val="20"/>
              </w:rPr>
            </w:pPr>
            <w:r w:rsidRPr="00003D6E">
              <w:rPr>
                <w:rFonts w:cs="Times New Roman"/>
                <w:sz w:val="20"/>
                <w:szCs w:val="20"/>
              </w:rPr>
              <w:t>24 (</w:t>
            </w:r>
            <w:proofErr w:type="gramStart"/>
            <w:r w:rsidRPr="00003D6E">
              <w:rPr>
                <w:rFonts w:cs="Times New Roman"/>
                <w:sz w:val="20"/>
                <w:szCs w:val="20"/>
              </w:rPr>
              <w:t>9.4)</w:t>
            </w:r>
            <w:proofErr w:type="spellStart"/>
            <w:r w:rsidR="00274FB8" w:rsidRPr="00003D6E">
              <w:rPr>
                <w:rFonts w:cs="Times New Roman"/>
                <w:sz w:val="20"/>
                <w:szCs w:val="20"/>
                <w:vertAlign w:val="superscript"/>
              </w:rPr>
              <w:t>a</w:t>
            </w:r>
            <w:proofErr w:type="gramEnd"/>
            <w:r w:rsidR="00274FB8" w:rsidRPr="00003D6E">
              <w:rPr>
                <w:rFonts w:cs="Times New Roman"/>
                <w:sz w:val="20"/>
                <w:szCs w:val="20"/>
              </w:rPr>
              <w:t>,</w:t>
            </w:r>
            <w:r w:rsidRPr="00003D6E">
              <w:rPr>
                <w:rStyle w:val="BMSSuperscript"/>
                <w:rFonts w:cs="Times New Roman"/>
                <w:sz w:val="20"/>
                <w:szCs w:val="20"/>
              </w:rPr>
              <w:t>d</w:t>
            </w:r>
            <w:proofErr w:type="spellEnd"/>
          </w:p>
        </w:tc>
      </w:tr>
      <w:tr w:rsidR="00003D6E" w:rsidRPr="00003D6E" w14:paraId="216917CD" w14:textId="77777777" w:rsidTr="00590F72">
        <w:tc>
          <w:tcPr>
            <w:tcW w:w="1276" w:type="dxa"/>
            <w:tcBorders>
              <w:top w:val="single" w:sz="4" w:space="0" w:color="auto"/>
              <w:left w:val="single" w:sz="4" w:space="0" w:color="auto"/>
              <w:bottom w:val="single" w:sz="4" w:space="0" w:color="auto"/>
              <w:right w:val="single" w:sz="4" w:space="0" w:color="auto"/>
            </w:tcBorders>
            <w:vAlign w:val="center"/>
            <w:hideMark/>
          </w:tcPr>
          <w:p w14:paraId="32CB7725" w14:textId="77777777" w:rsidR="009E4BB7" w:rsidRPr="00003D6E" w:rsidRDefault="009E4BB7" w:rsidP="009E4BB7">
            <w:pPr>
              <w:spacing w:after="120"/>
              <w:rPr>
                <w:rFonts w:cs="Times New Roman"/>
                <w:sz w:val="20"/>
                <w:szCs w:val="20"/>
              </w:rPr>
            </w:pPr>
            <w:r w:rsidRPr="00003D6E">
              <w:rPr>
                <w:rFonts w:cs="Times New Roman"/>
                <w:sz w:val="20"/>
                <w:szCs w:val="20"/>
              </w:rPr>
              <w:t>Week 24</w:t>
            </w:r>
          </w:p>
        </w:tc>
        <w:tc>
          <w:tcPr>
            <w:tcW w:w="1418" w:type="dxa"/>
            <w:tcBorders>
              <w:top w:val="single" w:sz="4" w:space="0" w:color="auto"/>
              <w:left w:val="single" w:sz="4" w:space="0" w:color="auto"/>
              <w:bottom w:val="single" w:sz="4" w:space="0" w:color="auto"/>
              <w:right w:val="single" w:sz="4" w:space="0" w:color="auto"/>
            </w:tcBorders>
            <w:vAlign w:val="center"/>
          </w:tcPr>
          <w:p w14:paraId="42A694E4" w14:textId="0D9B734B" w:rsidR="009E4BB7" w:rsidRPr="00003D6E" w:rsidRDefault="009E4BB7" w:rsidP="005B4E12">
            <w:pPr>
              <w:spacing w:after="120"/>
              <w:jc w:val="center"/>
              <w:rPr>
                <w:rFonts w:cs="Times New Roman"/>
                <w:sz w:val="20"/>
                <w:szCs w:val="20"/>
              </w:rPr>
            </w:pPr>
            <w:r w:rsidRPr="00003D6E">
              <w:rPr>
                <w:rFonts w:cs="Times New Roman"/>
                <w:sz w:val="20"/>
                <w:szCs w:val="20"/>
              </w:rPr>
              <w:t>230 (69.3)</w:t>
            </w:r>
          </w:p>
        </w:tc>
        <w:tc>
          <w:tcPr>
            <w:tcW w:w="1417" w:type="dxa"/>
            <w:tcBorders>
              <w:top w:val="single" w:sz="4" w:space="0" w:color="auto"/>
              <w:left w:val="single" w:sz="4" w:space="0" w:color="auto"/>
              <w:bottom w:val="single" w:sz="4" w:space="0" w:color="auto"/>
              <w:right w:val="single" w:sz="4" w:space="0" w:color="auto"/>
            </w:tcBorders>
          </w:tcPr>
          <w:p w14:paraId="0BAACF7D" w14:textId="3EABBA2F" w:rsidR="009E4BB7" w:rsidRPr="00003D6E" w:rsidRDefault="009E4BB7" w:rsidP="005B4E12">
            <w:pPr>
              <w:spacing w:after="120"/>
              <w:jc w:val="center"/>
              <w:rPr>
                <w:rFonts w:cs="Times New Roman"/>
                <w:sz w:val="20"/>
                <w:szCs w:val="20"/>
              </w:rPr>
            </w:pPr>
            <w:r w:rsidRPr="00003D6E">
              <w:rPr>
                <w:rFonts w:cs="Times New Roman"/>
                <w:sz w:val="20"/>
                <w:szCs w:val="20"/>
              </w:rPr>
              <w:t>64 (</w:t>
            </w:r>
            <w:proofErr w:type="gramStart"/>
            <w:r w:rsidRPr="00003D6E">
              <w:rPr>
                <w:rFonts w:cs="Times New Roman"/>
                <w:sz w:val="20"/>
                <w:szCs w:val="20"/>
              </w:rPr>
              <w:t>38.1)</w:t>
            </w:r>
            <w:r w:rsidRPr="00003D6E">
              <w:rPr>
                <w:rStyle w:val="BMSSuperscript"/>
                <w:rFonts w:cs="Times New Roman"/>
                <w:sz w:val="20"/>
                <w:szCs w:val="20"/>
              </w:rPr>
              <w:t>d</w:t>
            </w:r>
            <w:proofErr w:type="gramEnd"/>
          </w:p>
        </w:tc>
        <w:tc>
          <w:tcPr>
            <w:tcW w:w="1240" w:type="dxa"/>
            <w:tcBorders>
              <w:top w:val="single" w:sz="4" w:space="0" w:color="auto"/>
              <w:left w:val="single" w:sz="4" w:space="0" w:color="auto"/>
              <w:bottom w:val="single" w:sz="4" w:space="0" w:color="auto"/>
              <w:right w:val="single" w:sz="4" w:space="0" w:color="auto"/>
            </w:tcBorders>
            <w:vAlign w:val="center"/>
            <w:hideMark/>
          </w:tcPr>
          <w:p w14:paraId="32E6AE07" w14:textId="27912A62" w:rsidR="009E4BB7" w:rsidRPr="00003D6E" w:rsidRDefault="009E4BB7" w:rsidP="005B4E12">
            <w:pPr>
              <w:spacing w:after="120"/>
              <w:jc w:val="center"/>
              <w:rPr>
                <w:rFonts w:cs="Times New Roman"/>
                <w:sz w:val="20"/>
                <w:szCs w:val="20"/>
              </w:rPr>
            </w:pPr>
            <w:r w:rsidRPr="00003D6E">
              <w:rPr>
                <w:rFonts w:cs="Times New Roman"/>
                <w:sz w:val="20"/>
                <w:szCs w:val="20"/>
              </w:rPr>
              <w:t>-</w:t>
            </w:r>
          </w:p>
        </w:tc>
        <w:tc>
          <w:tcPr>
            <w:tcW w:w="1443" w:type="dxa"/>
            <w:tcBorders>
              <w:top w:val="single" w:sz="4" w:space="0" w:color="auto"/>
              <w:left w:val="single" w:sz="4" w:space="0" w:color="auto"/>
              <w:bottom w:val="single" w:sz="4" w:space="0" w:color="auto"/>
              <w:right w:val="single" w:sz="4" w:space="0" w:color="auto"/>
            </w:tcBorders>
            <w:vAlign w:val="center"/>
          </w:tcPr>
          <w:p w14:paraId="56AEFE2F" w14:textId="17F2DEF7" w:rsidR="009E4BB7" w:rsidRPr="00003D6E" w:rsidRDefault="009E4BB7" w:rsidP="005B4E12">
            <w:pPr>
              <w:spacing w:after="120"/>
              <w:jc w:val="center"/>
              <w:rPr>
                <w:rFonts w:cs="Times New Roman"/>
                <w:sz w:val="20"/>
                <w:szCs w:val="20"/>
              </w:rPr>
            </w:pPr>
            <w:r w:rsidRPr="00003D6E">
              <w:rPr>
                <w:rFonts w:cs="Times New Roman"/>
                <w:sz w:val="20"/>
                <w:szCs w:val="20"/>
              </w:rPr>
              <w:t>296 (</w:t>
            </w:r>
            <w:proofErr w:type="gramStart"/>
            <w:r w:rsidRPr="00003D6E">
              <w:rPr>
                <w:rFonts w:cs="Times New Roman"/>
                <w:sz w:val="20"/>
                <w:szCs w:val="20"/>
              </w:rPr>
              <w:t>58.7)</w:t>
            </w:r>
            <w:r w:rsidRPr="00003D6E">
              <w:rPr>
                <w:rStyle w:val="BMSSuperscript"/>
                <w:rFonts w:cs="Times New Roman"/>
                <w:sz w:val="20"/>
                <w:szCs w:val="20"/>
              </w:rPr>
              <w:t>b</w:t>
            </w:r>
            <w:proofErr w:type="gramEnd"/>
          </w:p>
        </w:tc>
        <w:tc>
          <w:tcPr>
            <w:tcW w:w="1428" w:type="dxa"/>
            <w:tcBorders>
              <w:top w:val="single" w:sz="4" w:space="0" w:color="auto"/>
              <w:left w:val="single" w:sz="4" w:space="0" w:color="auto"/>
              <w:bottom w:val="single" w:sz="4" w:space="0" w:color="auto"/>
              <w:right w:val="single" w:sz="4" w:space="0" w:color="auto"/>
            </w:tcBorders>
          </w:tcPr>
          <w:p w14:paraId="125A4165" w14:textId="1DDE49A8" w:rsidR="009E4BB7" w:rsidRPr="00003D6E" w:rsidRDefault="009E4BB7" w:rsidP="005B4E12">
            <w:pPr>
              <w:spacing w:after="120"/>
              <w:jc w:val="center"/>
              <w:rPr>
                <w:rFonts w:cs="Times New Roman"/>
                <w:sz w:val="20"/>
                <w:szCs w:val="20"/>
              </w:rPr>
            </w:pPr>
            <w:r w:rsidRPr="00003D6E">
              <w:rPr>
                <w:rFonts w:cs="Times New Roman"/>
                <w:sz w:val="20"/>
                <w:szCs w:val="20"/>
              </w:rPr>
              <w:t>96 (</w:t>
            </w:r>
            <w:proofErr w:type="gramStart"/>
            <w:r w:rsidRPr="00003D6E">
              <w:rPr>
                <w:rFonts w:cs="Times New Roman"/>
                <w:sz w:val="20"/>
                <w:szCs w:val="20"/>
              </w:rPr>
              <w:t>37.8)</w:t>
            </w:r>
            <w:r w:rsidRPr="00003D6E">
              <w:rPr>
                <w:rStyle w:val="BMSSuperscript"/>
                <w:rFonts w:cs="Times New Roman"/>
                <w:sz w:val="20"/>
                <w:szCs w:val="20"/>
              </w:rPr>
              <w:t>d</w:t>
            </w:r>
            <w:proofErr w:type="gramEnd"/>
          </w:p>
        </w:tc>
        <w:tc>
          <w:tcPr>
            <w:tcW w:w="1378" w:type="dxa"/>
            <w:tcBorders>
              <w:top w:val="single" w:sz="4" w:space="0" w:color="auto"/>
              <w:left w:val="single" w:sz="4" w:space="0" w:color="auto"/>
              <w:bottom w:val="single" w:sz="4" w:space="0" w:color="auto"/>
              <w:right w:val="single" w:sz="4" w:space="0" w:color="auto"/>
            </w:tcBorders>
            <w:vAlign w:val="center"/>
            <w:hideMark/>
          </w:tcPr>
          <w:p w14:paraId="2B8B7DE2" w14:textId="208E7B5F" w:rsidR="009E4BB7" w:rsidRPr="00003D6E" w:rsidRDefault="009E4BB7" w:rsidP="005B4E12">
            <w:pPr>
              <w:spacing w:after="120"/>
              <w:jc w:val="center"/>
              <w:rPr>
                <w:rFonts w:cs="Times New Roman"/>
                <w:sz w:val="20"/>
                <w:szCs w:val="20"/>
              </w:rPr>
            </w:pPr>
            <w:r w:rsidRPr="00003D6E">
              <w:rPr>
                <w:rFonts w:cs="Times New Roman"/>
                <w:sz w:val="20"/>
                <w:szCs w:val="20"/>
              </w:rPr>
              <w:t>-</w:t>
            </w:r>
          </w:p>
        </w:tc>
      </w:tr>
      <w:tr w:rsidR="00003D6E" w:rsidRPr="00003D6E" w14:paraId="69F1E06F" w14:textId="77777777" w:rsidTr="00EF0FDC">
        <w:tc>
          <w:tcPr>
            <w:tcW w:w="9600" w:type="dxa"/>
            <w:gridSpan w:val="7"/>
            <w:tcBorders>
              <w:top w:val="single" w:sz="4" w:space="0" w:color="auto"/>
              <w:left w:val="single" w:sz="4" w:space="0" w:color="auto"/>
              <w:bottom w:val="single" w:sz="4" w:space="0" w:color="auto"/>
              <w:right w:val="single" w:sz="4" w:space="0" w:color="auto"/>
            </w:tcBorders>
            <w:vAlign w:val="center"/>
            <w:hideMark/>
          </w:tcPr>
          <w:p w14:paraId="57C2DF00" w14:textId="77777777" w:rsidR="00447BDE" w:rsidRPr="00003D6E" w:rsidRDefault="00447BDE" w:rsidP="00327742">
            <w:pPr>
              <w:spacing w:after="120"/>
              <w:rPr>
                <w:rFonts w:cs="Times New Roman"/>
                <w:sz w:val="20"/>
                <w:szCs w:val="20"/>
              </w:rPr>
            </w:pPr>
            <w:r w:rsidRPr="00003D6E">
              <w:rPr>
                <w:rFonts w:cs="Times New Roman"/>
                <w:b/>
                <w:sz w:val="20"/>
                <w:szCs w:val="20"/>
              </w:rPr>
              <w:t>PASI 90</w:t>
            </w:r>
          </w:p>
        </w:tc>
      </w:tr>
      <w:tr w:rsidR="00003D6E" w:rsidRPr="00003D6E" w14:paraId="4B0C68D7" w14:textId="77777777" w:rsidTr="00590F72">
        <w:tc>
          <w:tcPr>
            <w:tcW w:w="1276" w:type="dxa"/>
            <w:tcBorders>
              <w:top w:val="single" w:sz="4" w:space="0" w:color="auto"/>
              <w:left w:val="single" w:sz="4" w:space="0" w:color="auto"/>
              <w:bottom w:val="single" w:sz="4" w:space="0" w:color="auto"/>
              <w:right w:val="single" w:sz="4" w:space="0" w:color="auto"/>
            </w:tcBorders>
            <w:vAlign w:val="center"/>
            <w:hideMark/>
          </w:tcPr>
          <w:p w14:paraId="7F3BEF91" w14:textId="77777777" w:rsidR="004F5B70" w:rsidRPr="00003D6E" w:rsidRDefault="004F5B70" w:rsidP="004F5B70">
            <w:pPr>
              <w:spacing w:after="120"/>
              <w:rPr>
                <w:rFonts w:cs="Times New Roman"/>
                <w:sz w:val="20"/>
                <w:szCs w:val="20"/>
              </w:rPr>
            </w:pPr>
            <w:r w:rsidRPr="00003D6E">
              <w:rPr>
                <w:rFonts w:cs="Times New Roman"/>
                <w:sz w:val="20"/>
                <w:szCs w:val="20"/>
              </w:rPr>
              <w:t>Week 16</w:t>
            </w:r>
          </w:p>
        </w:tc>
        <w:tc>
          <w:tcPr>
            <w:tcW w:w="1418" w:type="dxa"/>
            <w:tcBorders>
              <w:top w:val="single" w:sz="4" w:space="0" w:color="auto"/>
              <w:left w:val="single" w:sz="4" w:space="0" w:color="auto"/>
              <w:bottom w:val="single" w:sz="4" w:space="0" w:color="auto"/>
              <w:right w:val="single" w:sz="4" w:space="0" w:color="auto"/>
            </w:tcBorders>
            <w:vAlign w:val="center"/>
          </w:tcPr>
          <w:p w14:paraId="3962876F" w14:textId="2964AA02" w:rsidR="004F5B70" w:rsidRPr="00003D6E" w:rsidRDefault="004F5B70" w:rsidP="005B4E12">
            <w:pPr>
              <w:spacing w:after="120"/>
              <w:jc w:val="center"/>
              <w:rPr>
                <w:rFonts w:cs="Times New Roman"/>
                <w:sz w:val="20"/>
                <w:szCs w:val="20"/>
              </w:rPr>
            </w:pPr>
            <w:r w:rsidRPr="00003D6E">
              <w:rPr>
                <w:rFonts w:cs="Times New Roman"/>
                <w:sz w:val="20"/>
                <w:szCs w:val="20"/>
              </w:rPr>
              <w:t>118 (35.5)</w:t>
            </w:r>
          </w:p>
        </w:tc>
        <w:tc>
          <w:tcPr>
            <w:tcW w:w="1417" w:type="dxa"/>
            <w:tcBorders>
              <w:top w:val="single" w:sz="4" w:space="0" w:color="auto"/>
              <w:left w:val="single" w:sz="4" w:space="0" w:color="auto"/>
              <w:bottom w:val="single" w:sz="4" w:space="0" w:color="auto"/>
              <w:right w:val="single" w:sz="4" w:space="0" w:color="auto"/>
            </w:tcBorders>
          </w:tcPr>
          <w:p w14:paraId="13F28D9C" w14:textId="0A708068" w:rsidR="004F5B70" w:rsidRPr="00003D6E" w:rsidRDefault="004F5B70" w:rsidP="005B4E12">
            <w:pPr>
              <w:spacing w:after="120"/>
              <w:jc w:val="center"/>
              <w:rPr>
                <w:rFonts w:cs="Times New Roman"/>
                <w:sz w:val="20"/>
                <w:szCs w:val="20"/>
              </w:rPr>
            </w:pPr>
            <w:r w:rsidRPr="00003D6E">
              <w:rPr>
                <w:rFonts w:cs="Times New Roman"/>
                <w:sz w:val="20"/>
                <w:szCs w:val="20"/>
              </w:rPr>
              <w:t>33 (</w:t>
            </w:r>
            <w:proofErr w:type="gramStart"/>
            <w:r w:rsidRPr="00003D6E">
              <w:rPr>
                <w:rFonts w:cs="Times New Roman"/>
                <w:sz w:val="20"/>
                <w:szCs w:val="20"/>
              </w:rPr>
              <w:t>19.6)</w:t>
            </w:r>
            <w:r w:rsidRPr="00003D6E">
              <w:rPr>
                <w:rStyle w:val="BMSSuperscript"/>
                <w:rFonts w:cs="Times New Roman"/>
                <w:sz w:val="20"/>
                <w:szCs w:val="20"/>
              </w:rPr>
              <w:t>e</w:t>
            </w:r>
            <w:proofErr w:type="gramEnd"/>
          </w:p>
        </w:tc>
        <w:tc>
          <w:tcPr>
            <w:tcW w:w="1240" w:type="dxa"/>
            <w:tcBorders>
              <w:top w:val="single" w:sz="4" w:space="0" w:color="auto"/>
              <w:left w:val="single" w:sz="4" w:space="0" w:color="auto"/>
              <w:bottom w:val="single" w:sz="4" w:space="0" w:color="auto"/>
              <w:right w:val="single" w:sz="4" w:space="0" w:color="auto"/>
            </w:tcBorders>
            <w:vAlign w:val="center"/>
          </w:tcPr>
          <w:p w14:paraId="5B2F5CCE" w14:textId="693F9C9D" w:rsidR="004F5B70" w:rsidRPr="00003D6E" w:rsidRDefault="004F5B70" w:rsidP="005B4E12">
            <w:pPr>
              <w:spacing w:after="120"/>
              <w:jc w:val="center"/>
              <w:rPr>
                <w:rFonts w:cs="Times New Roman"/>
                <w:sz w:val="20"/>
                <w:szCs w:val="20"/>
              </w:rPr>
            </w:pPr>
            <w:r w:rsidRPr="00003D6E">
              <w:rPr>
                <w:rFonts w:cs="Times New Roman"/>
                <w:sz w:val="20"/>
                <w:szCs w:val="20"/>
              </w:rPr>
              <w:t>7 (</w:t>
            </w:r>
            <w:proofErr w:type="gramStart"/>
            <w:r w:rsidRPr="00003D6E">
              <w:rPr>
                <w:rFonts w:cs="Times New Roman"/>
                <w:sz w:val="20"/>
                <w:szCs w:val="20"/>
              </w:rPr>
              <w:t>4.2)</w:t>
            </w:r>
            <w:r w:rsidRPr="00003D6E">
              <w:rPr>
                <w:rStyle w:val="BMSSuperscript"/>
                <w:rFonts w:cs="Times New Roman"/>
                <w:sz w:val="20"/>
                <w:szCs w:val="20"/>
              </w:rPr>
              <w:t>d</w:t>
            </w:r>
            <w:proofErr w:type="gramEnd"/>
          </w:p>
        </w:tc>
        <w:tc>
          <w:tcPr>
            <w:tcW w:w="1443" w:type="dxa"/>
            <w:tcBorders>
              <w:top w:val="single" w:sz="4" w:space="0" w:color="auto"/>
              <w:left w:val="single" w:sz="4" w:space="0" w:color="auto"/>
              <w:bottom w:val="single" w:sz="4" w:space="0" w:color="auto"/>
              <w:right w:val="single" w:sz="4" w:space="0" w:color="auto"/>
            </w:tcBorders>
            <w:vAlign w:val="center"/>
          </w:tcPr>
          <w:p w14:paraId="43084173" w14:textId="5F8CB7DA" w:rsidR="004F5B70" w:rsidRPr="00003D6E" w:rsidRDefault="004F5B70" w:rsidP="005B4E12">
            <w:pPr>
              <w:spacing w:after="120"/>
              <w:jc w:val="center"/>
              <w:rPr>
                <w:rFonts w:cs="Times New Roman"/>
                <w:sz w:val="20"/>
                <w:szCs w:val="20"/>
              </w:rPr>
            </w:pPr>
            <w:r w:rsidRPr="00003D6E">
              <w:rPr>
                <w:rFonts w:cs="Times New Roman"/>
                <w:sz w:val="20"/>
                <w:szCs w:val="20"/>
              </w:rPr>
              <w:t>138 (27.0)</w:t>
            </w:r>
          </w:p>
        </w:tc>
        <w:tc>
          <w:tcPr>
            <w:tcW w:w="1428" w:type="dxa"/>
            <w:tcBorders>
              <w:top w:val="single" w:sz="4" w:space="0" w:color="auto"/>
              <w:left w:val="single" w:sz="4" w:space="0" w:color="auto"/>
              <w:bottom w:val="single" w:sz="4" w:space="0" w:color="auto"/>
              <w:right w:val="single" w:sz="4" w:space="0" w:color="auto"/>
            </w:tcBorders>
          </w:tcPr>
          <w:p w14:paraId="2EC3A0DC" w14:textId="2E64E583" w:rsidR="004F5B70" w:rsidRPr="00003D6E" w:rsidRDefault="004F5B70" w:rsidP="005B4E12">
            <w:pPr>
              <w:spacing w:after="120"/>
              <w:jc w:val="center"/>
              <w:rPr>
                <w:rFonts w:cs="Times New Roman"/>
                <w:sz w:val="20"/>
                <w:szCs w:val="20"/>
              </w:rPr>
            </w:pPr>
            <w:r w:rsidRPr="00003D6E">
              <w:rPr>
                <w:rFonts w:cs="Times New Roman"/>
                <w:sz w:val="20"/>
                <w:szCs w:val="20"/>
              </w:rPr>
              <w:t>46 (</w:t>
            </w:r>
            <w:proofErr w:type="gramStart"/>
            <w:r w:rsidRPr="00003D6E">
              <w:rPr>
                <w:rFonts w:cs="Times New Roman"/>
                <w:sz w:val="20"/>
                <w:szCs w:val="20"/>
              </w:rPr>
              <w:t>18.1)</w:t>
            </w:r>
            <w:r w:rsidRPr="00003D6E">
              <w:rPr>
                <w:rStyle w:val="BMSSuperscript"/>
                <w:rFonts w:cs="Times New Roman"/>
                <w:sz w:val="20"/>
                <w:szCs w:val="20"/>
              </w:rPr>
              <w:t>f</w:t>
            </w:r>
            <w:proofErr w:type="gramEnd"/>
          </w:p>
        </w:tc>
        <w:tc>
          <w:tcPr>
            <w:tcW w:w="1378" w:type="dxa"/>
            <w:tcBorders>
              <w:top w:val="single" w:sz="4" w:space="0" w:color="auto"/>
              <w:left w:val="single" w:sz="4" w:space="0" w:color="auto"/>
              <w:bottom w:val="single" w:sz="4" w:space="0" w:color="auto"/>
              <w:right w:val="single" w:sz="4" w:space="0" w:color="auto"/>
            </w:tcBorders>
            <w:vAlign w:val="center"/>
          </w:tcPr>
          <w:p w14:paraId="21FEE7B9" w14:textId="0A726C4C" w:rsidR="004F5B70" w:rsidRPr="00003D6E" w:rsidRDefault="004F5B70" w:rsidP="005B4E12">
            <w:pPr>
              <w:spacing w:after="120"/>
              <w:jc w:val="center"/>
              <w:rPr>
                <w:rFonts w:cs="Times New Roman"/>
                <w:sz w:val="20"/>
                <w:szCs w:val="20"/>
              </w:rPr>
            </w:pPr>
            <w:r w:rsidRPr="00003D6E">
              <w:rPr>
                <w:rFonts w:cs="Times New Roman"/>
                <w:sz w:val="20"/>
                <w:szCs w:val="20"/>
              </w:rPr>
              <w:t>7 (</w:t>
            </w:r>
            <w:proofErr w:type="gramStart"/>
            <w:r w:rsidRPr="00003D6E">
              <w:rPr>
                <w:rFonts w:cs="Times New Roman"/>
                <w:sz w:val="20"/>
                <w:szCs w:val="20"/>
              </w:rPr>
              <w:t>2.7)</w:t>
            </w:r>
            <w:r w:rsidRPr="00003D6E">
              <w:rPr>
                <w:rStyle w:val="BMSSuperscript"/>
                <w:rFonts w:cs="Times New Roman"/>
                <w:sz w:val="20"/>
                <w:szCs w:val="20"/>
              </w:rPr>
              <w:t>d</w:t>
            </w:r>
            <w:proofErr w:type="gramEnd"/>
          </w:p>
        </w:tc>
      </w:tr>
      <w:tr w:rsidR="00003D6E" w:rsidRPr="00003D6E" w14:paraId="71008B13" w14:textId="77777777" w:rsidTr="00590F72">
        <w:tc>
          <w:tcPr>
            <w:tcW w:w="1276" w:type="dxa"/>
            <w:tcBorders>
              <w:top w:val="single" w:sz="4" w:space="0" w:color="auto"/>
              <w:left w:val="single" w:sz="4" w:space="0" w:color="auto"/>
              <w:bottom w:val="single" w:sz="4" w:space="0" w:color="auto"/>
              <w:right w:val="single" w:sz="4" w:space="0" w:color="auto"/>
            </w:tcBorders>
            <w:vAlign w:val="center"/>
            <w:hideMark/>
          </w:tcPr>
          <w:p w14:paraId="361EE8A2" w14:textId="77777777" w:rsidR="004F5B70" w:rsidRPr="00003D6E" w:rsidRDefault="004F5B70" w:rsidP="004F5B70">
            <w:pPr>
              <w:spacing w:after="120"/>
              <w:rPr>
                <w:rFonts w:cs="Times New Roman"/>
                <w:sz w:val="20"/>
                <w:szCs w:val="20"/>
              </w:rPr>
            </w:pPr>
            <w:r w:rsidRPr="00003D6E">
              <w:rPr>
                <w:rFonts w:cs="Times New Roman"/>
                <w:sz w:val="20"/>
                <w:szCs w:val="20"/>
              </w:rPr>
              <w:t>Week 24</w:t>
            </w:r>
          </w:p>
        </w:tc>
        <w:tc>
          <w:tcPr>
            <w:tcW w:w="1418" w:type="dxa"/>
            <w:tcBorders>
              <w:top w:val="single" w:sz="4" w:space="0" w:color="auto"/>
              <w:left w:val="single" w:sz="4" w:space="0" w:color="auto"/>
              <w:bottom w:val="single" w:sz="4" w:space="0" w:color="auto"/>
              <w:right w:val="single" w:sz="4" w:space="0" w:color="auto"/>
            </w:tcBorders>
            <w:vAlign w:val="center"/>
          </w:tcPr>
          <w:p w14:paraId="5ACF513D" w14:textId="468B5326" w:rsidR="004F5B70" w:rsidRPr="00003D6E" w:rsidRDefault="004F5B70" w:rsidP="005B4E12">
            <w:pPr>
              <w:spacing w:after="120"/>
              <w:jc w:val="center"/>
              <w:rPr>
                <w:rFonts w:cs="Times New Roman"/>
                <w:sz w:val="20"/>
                <w:szCs w:val="20"/>
              </w:rPr>
            </w:pPr>
            <w:r w:rsidRPr="00003D6E">
              <w:rPr>
                <w:rFonts w:cs="Times New Roman"/>
                <w:sz w:val="20"/>
                <w:szCs w:val="20"/>
              </w:rPr>
              <w:t>140 (42.2)</w:t>
            </w:r>
          </w:p>
        </w:tc>
        <w:tc>
          <w:tcPr>
            <w:tcW w:w="1417" w:type="dxa"/>
            <w:tcBorders>
              <w:top w:val="single" w:sz="4" w:space="0" w:color="auto"/>
              <w:left w:val="single" w:sz="4" w:space="0" w:color="auto"/>
              <w:bottom w:val="single" w:sz="4" w:space="0" w:color="auto"/>
              <w:right w:val="single" w:sz="4" w:space="0" w:color="auto"/>
            </w:tcBorders>
          </w:tcPr>
          <w:p w14:paraId="5E6C6873" w14:textId="5E4BF452" w:rsidR="004F5B70" w:rsidRPr="00003D6E" w:rsidRDefault="004F5B70" w:rsidP="005B4E12">
            <w:pPr>
              <w:spacing w:after="120"/>
              <w:jc w:val="center"/>
              <w:rPr>
                <w:rFonts w:cs="Times New Roman"/>
                <w:sz w:val="20"/>
                <w:szCs w:val="20"/>
              </w:rPr>
            </w:pPr>
            <w:r w:rsidRPr="00003D6E">
              <w:rPr>
                <w:rFonts w:cs="Times New Roman"/>
                <w:sz w:val="20"/>
                <w:szCs w:val="20"/>
              </w:rPr>
              <w:t>37 (</w:t>
            </w:r>
            <w:proofErr w:type="gramStart"/>
            <w:r w:rsidRPr="00003D6E">
              <w:rPr>
                <w:rFonts w:cs="Times New Roman"/>
                <w:sz w:val="20"/>
                <w:szCs w:val="20"/>
              </w:rPr>
              <w:t>22.0)</w:t>
            </w:r>
            <w:r w:rsidRPr="00003D6E">
              <w:rPr>
                <w:rStyle w:val="BMSSuperscript"/>
                <w:rFonts w:cs="Times New Roman"/>
                <w:sz w:val="20"/>
                <w:szCs w:val="20"/>
              </w:rPr>
              <w:t>d</w:t>
            </w:r>
            <w:proofErr w:type="gramEnd"/>
          </w:p>
        </w:tc>
        <w:tc>
          <w:tcPr>
            <w:tcW w:w="1240" w:type="dxa"/>
            <w:tcBorders>
              <w:top w:val="single" w:sz="4" w:space="0" w:color="auto"/>
              <w:left w:val="single" w:sz="4" w:space="0" w:color="auto"/>
              <w:bottom w:val="single" w:sz="4" w:space="0" w:color="auto"/>
              <w:right w:val="single" w:sz="4" w:space="0" w:color="auto"/>
            </w:tcBorders>
            <w:vAlign w:val="center"/>
          </w:tcPr>
          <w:p w14:paraId="7FEFF511" w14:textId="56C0C2D9" w:rsidR="004F5B70" w:rsidRPr="00003D6E" w:rsidRDefault="004F5B70" w:rsidP="005B4E12">
            <w:pPr>
              <w:spacing w:after="120"/>
              <w:jc w:val="center"/>
              <w:rPr>
                <w:rFonts w:cs="Times New Roman"/>
                <w:sz w:val="20"/>
                <w:szCs w:val="20"/>
              </w:rPr>
            </w:pPr>
            <w:r w:rsidRPr="00003D6E">
              <w:rPr>
                <w:rFonts w:cs="Times New Roman"/>
                <w:sz w:val="20"/>
                <w:szCs w:val="20"/>
              </w:rPr>
              <w:t>-</w:t>
            </w:r>
          </w:p>
        </w:tc>
        <w:tc>
          <w:tcPr>
            <w:tcW w:w="1443" w:type="dxa"/>
            <w:tcBorders>
              <w:top w:val="single" w:sz="4" w:space="0" w:color="auto"/>
              <w:left w:val="single" w:sz="4" w:space="0" w:color="auto"/>
              <w:bottom w:val="single" w:sz="4" w:space="0" w:color="auto"/>
              <w:right w:val="single" w:sz="4" w:space="0" w:color="auto"/>
            </w:tcBorders>
            <w:vAlign w:val="center"/>
          </w:tcPr>
          <w:p w14:paraId="33997F98" w14:textId="654420D2" w:rsidR="004F5B70" w:rsidRPr="00003D6E" w:rsidRDefault="004F5B70" w:rsidP="005B4E12">
            <w:pPr>
              <w:spacing w:after="120"/>
              <w:jc w:val="center"/>
              <w:rPr>
                <w:rFonts w:cs="Times New Roman"/>
                <w:sz w:val="20"/>
                <w:szCs w:val="20"/>
              </w:rPr>
            </w:pPr>
            <w:r w:rsidRPr="00003D6E">
              <w:rPr>
                <w:rFonts w:cs="Times New Roman"/>
                <w:sz w:val="20"/>
                <w:szCs w:val="20"/>
              </w:rPr>
              <w:t>164 (</w:t>
            </w:r>
            <w:proofErr w:type="gramStart"/>
            <w:r w:rsidRPr="00003D6E">
              <w:rPr>
                <w:rFonts w:cs="Times New Roman"/>
                <w:sz w:val="20"/>
                <w:szCs w:val="20"/>
              </w:rPr>
              <w:t>32.5)</w:t>
            </w:r>
            <w:r w:rsidRPr="00003D6E">
              <w:rPr>
                <w:rStyle w:val="BMSSuperscript"/>
                <w:rFonts w:cs="Times New Roman"/>
                <w:sz w:val="20"/>
                <w:szCs w:val="20"/>
              </w:rPr>
              <w:t>b</w:t>
            </w:r>
            <w:proofErr w:type="gramEnd"/>
          </w:p>
        </w:tc>
        <w:tc>
          <w:tcPr>
            <w:tcW w:w="1428" w:type="dxa"/>
            <w:tcBorders>
              <w:top w:val="single" w:sz="4" w:space="0" w:color="auto"/>
              <w:left w:val="single" w:sz="4" w:space="0" w:color="auto"/>
              <w:bottom w:val="single" w:sz="4" w:space="0" w:color="auto"/>
              <w:right w:val="single" w:sz="4" w:space="0" w:color="auto"/>
            </w:tcBorders>
          </w:tcPr>
          <w:p w14:paraId="22C0ABC8" w14:textId="4051812C" w:rsidR="004F5B70" w:rsidRPr="00003D6E" w:rsidRDefault="004F5B70" w:rsidP="005B4E12">
            <w:pPr>
              <w:spacing w:after="120"/>
              <w:jc w:val="center"/>
              <w:rPr>
                <w:rFonts w:cs="Times New Roman"/>
                <w:sz w:val="20"/>
                <w:szCs w:val="20"/>
              </w:rPr>
            </w:pPr>
            <w:r w:rsidRPr="00003D6E">
              <w:rPr>
                <w:rFonts w:cs="Times New Roman"/>
                <w:sz w:val="20"/>
                <w:szCs w:val="20"/>
              </w:rPr>
              <w:t>50 (</w:t>
            </w:r>
            <w:proofErr w:type="gramStart"/>
            <w:r w:rsidRPr="00003D6E">
              <w:rPr>
                <w:rFonts w:cs="Times New Roman"/>
                <w:sz w:val="20"/>
                <w:szCs w:val="20"/>
              </w:rPr>
              <w:t>19.7)</w:t>
            </w:r>
            <w:r w:rsidRPr="00003D6E">
              <w:rPr>
                <w:rStyle w:val="BMSSuperscript"/>
                <w:rFonts w:cs="Times New Roman"/>
                <w:sz w:val="20"/>
                <w:szCs w:val="20"/>
              </w:rPr>
              <w:t>d</w:t>
            </w:r>
            <w:proofErr w:type="gramEnd"/>
          </w:p>
        </w:tc>
        <w:tc>
          <w:tcPr>
            <w:tcW w:w="1378" w:type="dxa"/>
            <w:tcBorders>
              <w:top w:val="single" w:sz="4" w:space="0" w:color="auto"/>
              <w:left w:val="single" w:sz="4" w:space="0" w:color="auto"/>
              <w:bottom w:val="single" w:sz="4" w:space="0" w:color="auto"/>
              <w:right w:val="single" w:sz="4" w:space="0" w:color="auto"/>
            </w:tcBorders>
            <w:vAlign w:val="center"/>
          </w:tcPr>
          <w:p w14:paraId="548AEF06" w14:textId="3F719B00" w:rsidR="004F5B70" w:rsidRPr="00003D6E" w:rsidRDefault="004F5B70" w:rsidP="005B4E12">
            <w:pPr>
              <w:spacing w:after="120"/>
              <w:jc w:val="center"/>
              <w:rPr>
                <w:rFonts w:cs="Times New Roman"/>
                <w:sz w:val="20"/>
                <w:szCs w:val="20"/>
              </w:rPr>
            </w:pPr>
            <w:r w:rsidRPr="00003D6E">
              <w:rPr>
                <w:rFonts w:cs="Times New Roman"/>
                <w:sz w:val="20"/>
                <w:szCs w:val="20"/>
              </w:rPr>
              <w:t>-</w:t>
            </w:r>
          </w:p>
        </w:tc>
      </w:tr>
      <w:tr w:rsidR="00003D6E" w:rsidRPr="00003D6E" w14:paraId="1C65D464" w14:textId="77777777" w:rsidTr="00EF0FDC">
        <w:tc>
          <w:tcPr>
            <w:tcW w:w="9600" w:type="dxa"/>
            <w:gridSpan w:val="7"/>
            <w:tcBorders>
              <w:top w:val="single" w:sz="4" w:space="0" w:color="auto"/>
              <w:left w:val="single" w:sz="4" w:space="0" w:color="auto"/>
              <w:bottom w:val="single" w:sz="4" w:space="0" w:color="auto"/>
              <w:right w:val="single" w:sz="4" w:space="0" w:color="auto"/>
            </w:tcBorders>
            <w:vAlign w:val="center"/>
            <w:hideMark/>
          </w:tcPr>
          <w:p w14:paraId="3CE44633" w14:textId="77777777" w:rsidR="00447BDE" w:rsidRPr="00003D6E" w:rsidRDefault="00447BDE" w:rsidP="00327742">
            <w:pPr>
              <w:spacing w:after="120"/>
              <w:rPr>
                <w:rFonts w:cs="Times New Roman"/>
                <w:sz w:val="20"/>
                <w:szCs w:val="20"/>
              </w:rPr>
            </w:pPr>
            <w:r w:rsidRPr="00003D6E">
              <w:rPr>
                <w:rFonts w:cs="Times New Roman"/>
                <w:b/>
                <w:sz w:val="20"/>
                <w:szCs w:val="20"/>
              </w:rPr>
              <w:t>PASI 100</w:t>
            </w:r>
          </w:p>
        </w:tc>
      </w:tr>
      <w:tr w:rsidR="00003D6E" w:rsidRPr="00003D6E" w14:paraId="64227C3C" w14:textId="77777777" w:rsidTr="00590F72">
        <w:tc>
          <w:tcPr>
            <w:tcW w:w="1276" w:type="dxa"/>
            <w:tcBorders>
              <w:top w:val="single" w:sz="4" w:space="0" w:color="auto"/>
              <w:left w:val="single" w:sz="4" w:space="0" w:color="auto"/>
              <w:bottom w:val="single" w:sz="4" w:space="0" w:color="auto"/>
              <w:right w:val="single" w:sz="4" w:space="0" w:color="auto"/>
            </w:tcBorders>
            <w:vAlign w:val="center"/>
            <w:hideMark/>
          </w:tcPr>
          <w:p w14:paraId="0991CD35" w14:textId="77777777" w:rsidR="007F70C2" w:rsidRPr="00003D6E" w:rsidRDefault="007F70C2" w:rsidP="007F70C2">
            <w:pPr>
              <w:spacing w:after="120"/>
              <w:rPr>
                <w:rFonts w:cs="Times New Roman"/>
                <w:sz w:val="20"/>
                <w:szCs w:val="20"/>
              </w:rPr>
            </w:pPr>
            <w:r w:rsidRPr="00003D6E">
              <w:rPr>
                <w:rFonts w:cs="Times New Roman"/>
                <w:sz w:val="20"/>
                <w:szCs w:val="20"/>
              </w:rPr>
              <w:t>Week 16</w:t>
            </w:r>
          </w:p>
        </w:tc>
        <w:tc>
          <w:tcPr>
            <w:tcW w:w="1418" w:type="dxa"/>
            <w:tcBorders>
              <w:top w:val="single" w:sz="4" w:space="0" w:color="auto"/>
              <w:left w:val="single" w:sz="4" w:space="0" w:color="auto"/>
              <w:bottom w:val="single" w:sz="4" w:space="0" w:color="auto"/>
              <w:right w:val="single" w:sz="4" w:space="0" w:color="auto"/>
            </w:tcBorders>
            <w:vAlign w:val="center"/>
          </w:tcPr>
          <w:p w14:paraId="397A2BAB" w14:textId="28F633FC" w:rsidR="007F70C2" w:rsidRPr="00003D6E" w:rsidRDefault="007F70C2" w:rsidP="007F70C2">
            <w:pPr>
              <w:spacing w:after="120"/>
              <w:jc w:val="center"/>
              <w:rPr>
                <w:rFonts w:cs="Times New Roman"/>
                <w:sz w:val="20"/>
                <w:szCs w:val="20"/>
              </w:rPr>
            </w:pPr>
            <w:r w:rsidRPr="00003D6E">
              <w:rPr>
                <w:sz w:val="20"/>
                <w:szCs w:val="20"/>
              </w:rPr>
              <w:t>47 (14.2)</w:t>
            </w:r>
          </w:p>
        </w:tc>
        <w:tc>
          <w:tcPr>
            <w:tcW w:w="1417" w:type="dxa"/>
            <w:tcBorders>
              <w:top w:val="single" w:sz="4" w:space="0" w:color="auto"/>
              <w:left w:val="single" w:sz="4" w:space="0" w:color="auto"/>
              <w:bottom w:val="single" w:sz="4" w:space="0" w:color="auto"/>
              <w:right w:val="single" w:sz="4" w:space="0" w:color="auto"/>
            </w:tcBorders>
          </w:tcPr>
          <w:p w14:paraId="1EEA088E" w14:textId="52187742" w:rsidR="007F70C2" w:rsidRPr="00003D6E" w:rsidRDefault="007F70C2" w:rsidP="007F70C2">
            <w:pPr>
              <w:spacing w:after="120"/>
              <w:jc w:val="center"/>
              <w:rPr>
                <w:rFonts w:cs="Times New Roman"/>
                <w:sz w:val="20"/>
                <w:szCs w:val="20"/>
              </w:rPr>
            </w:pPr>
            <w:r w:rsidRPr="00003D6E">
              <w:rPr>
                <w:sz w:val="20"/>
                <w:szCs w:val="20"/>
              </w:rPr>
              <w:t>5 (</w:t>
            </w:r>
            <w:proofErr w:type="gramStart"/>
            <w:r w:rsidRPr="00003D6E">
              <w:rPr>
                <w:sz w:val="20"/>
                <w:szCs w:val="20"/>
              </w:rPr>
              <w:t>3.0)</w:t>
            </w:r>
            <w:r w:rsidRPr="00003D6E">
              <w:rPr>
                <w:sz w:val="20"/>
                <w:szCs w:val="20"/>
                <w:vertAlign w:val="superscript"/>
              </w:rPr>
              <w:t>d</w:t>
            </w:r>
            <w:proofErr w:type="gramEnd"/>
          </w:p>
        </w:tc>
        <w:tc>
          <w:tcPr>
            <w:tcW w:w="1240" w:type="dxa"/>
            <w:tcBorders>
              <w:top w:val="single" w:sz="4" w:space="0" w:color="auto"/>
              <w:left w:val="single" w:sz="4" w:space="0" w:color="auto"/>
              <w:bottom w:val="single" w:sz="4" w:space="0" w:color="auto"/>
              <w:right w:val="single" w:sz="4" w:space="0" w:color="auto"/>
            </w:tcBorders>
            <w:vAlign w:val="center"/>
          </w:tcPr>
          <w:p w14:paraId="1356E35D" w14:textId="0FA41225" w:rsidR="007F70C2" w:rsidRPr="00003D6E" w:rsidRDefault="007F70C2" w:rsidP="007F70C2">
            <w:pPr>
              <w:spacing w:after="120"/>
              <w:jc w:val="center"/>
              <w:rPr>
                <w:rFonts w:cs="Times New Roman"/>
                <w:sz w:val="20"/>
                <w:szCs w:val="20"/>
              </w:rPr>
            </w:pPr>
            <w:r w:rsidRPr="00003D6E">
              <w:rPr>
                <w:sz w:val="20"/>
                <w:szCs w:val="20"/>
              </w:rPr>
              <w:t>1 (</w:t>
            </w:r>
            <w:proofErr w:type="gramStart"/>
            <w:r w:rsidRPr="00003D6E">
              <w:rPr>
                <w:sz w:val="20"/>
                <w:szCs w:val="20"/>
              </w:rPr>
              <w:t>0.6)</w:t>
            </w:r>
            <w:r w:rsidRPr="00003D6E">
              <w:rPr>
                <w:sz w:val="20"/>
                <w:szCs w:val="20"/>
                <w:vertAlign w:val="superscript"/>
              </w:rPr>
              <w:t>d</w:t>
            </w:r>
            <w:proofErr w:type="gramEnd"/>
          </w:p>
        </w:tc>
        <w:tc>
          <w:tcPr>
            <w:tcW w:w="1443" w:type="dxa"/>
            <w:tcBorders>
              <w:top w:val="single" w:sz="4" w:space="0" w:color="auto"/>
              <w:left w:val="single" w:sz="4" w:space="0" w:color="auto"/>
              <w:bottom w:val="single" w:sz="4" w:space="0" w:color="auto"/>
              <w:right w:val="single" w:sz="4" w:space="0" w:color="auto"/>
            </w:tcBorders>
            <w:vAlign w:val="center"/>
          </w:tcPr>
          <w:p w14:paraId="075D2DF9" w14:textId="49D7C28C" w:rsidR="007F70C2" w:rsidRPr="00003D6E" w:rsidRDefault="007F70C2" w:rsidP="007F70C2">
            <w:pPr>
              <w:spacing w:after="120"/>
              <w:jc w:val="center"/>
              <w:rPr>
                <w:rFonts w:cs="Times New Roman"/>
                <w:sz w:val="20"/>
                <w:szCs w:val="20"/>
              </w:rPr>
            </w:pPr>
            <w:r w:rsidRPr="00003D6E">
              <w:rPr>
                <w:sz w:val="20"/>
                <w:szCs w:val="20"/>
              </w:rPr>
              <w:t>52 (10.2)</w:t>
            </w:r>
          </w:p>
        </w:tc>
        <w:tc>
          <w:tcPr>
            <w:tcW w:w="1428" w:type="dxa"/>
            <w:tcBorders>
              <w:top w:val="single" w:sz="4" w:space="0" w:color="auto"/>
              <w:left w:val="single" w:sz="4" w:space="0" w:color="auto"/>
              <w:bottom w:val="single" w:sz="4" w:space="0" w:color="auto"/>
              <w:right w:val="single" w:sz="4" w:space="0" w:color="auto"/>
            </w:tcBorders>
          </w:tcPr>
          <w:p w14:paraId="1CB94C00" w14:textId="2458CFE3" w:rsidR="007F70C2" w:rsidRPr="00003D6E" w:rsidRDefault="007F70C2" w:rsidP="007F70C2">
            <w:pPr>
              <w:spacing w:after="120"/>
              <w:jc w:val="center"/>
              <w:rPr>
                <w:rFonts w:cs="Times New Roman"/>
                <w:sz w:val="20"/>
                <w:szCs w:val="20"/>
              </w:rPr>
            </w:pPr>
            <w:r w:rsidRPr="00003D6E">
              <w:rPr>
                <w:sz w:val="20"/>
                <w:szCs w:val="20"/>
              </w:rPr>
              <w:t>11 (</w:t>
            </w:r>
            <w:proofErr w:type="gramStart"/>
            <w:r w:rsidRPr="00003D6E">
              <w:rPr>
                <w:sz w:val="20"/>
                <w:szCs w:val="20"/>
              </w:rPr>
              <w:t>4.3)</w:t>
            </w:r>
            <w:r w:rsidRPr="00003D6E">
              <w:rPr>
                <w:sz w:val="20"/>
                <w:szCs w:val="20"/>
                <w:vertAlign w:val="superscript"/>
              </w:rPr>
              <w:t>f</w:t>
            </w:r>
            <w:proofErr w:type="gramEnd"/>
          </w:p>
        </w:tc>
        <w:tc>
          <w:tcPr>
            <w:tcW w:w="1378" w:type="dxa"/>
            <w:tcBorders>
              <w:top w:val="single" w:sz="4" w:space="0" w:color="auto"/>
              <w:left w:val="single" w:sz="4" w:space="0" w:color="auto"/>
              <w:bottom w:val="single" w:sz="4" w:space="0" w:color="auto"/>
              <w:right w:val="single" w:sz="4" w:space="0" w:color="auto"/>
            </w:tcBorders>
            <w:vAlign w:val="center"/>
          </w:tcPr>
          <w:p w14:paraId="0BA56BBA" w14:textId="7E2C0503" w:rsidR="007F70C2" w:rsidRPr="00003D6E" w:rsidRDefault="007F70C2" w:rsidP="007F70C2">
            <w:pPr>
              <w:spacing w:after="120"/>
              <w:jc w:val="center"/>
              <w:rPr>
                <w:rFonts w:cs="Times New Roman"/>
                <w:sz w:val="20"/>
                <w:szCs w:val="20"/>
              </w:rPr>
            </w:pPr>
            <w:r w:rsidRPr="00003D6E">
              <w:rPr>
                <w:sz w:val="20"/>
                <w:szCs w:val="20"/>
              </w:rPr>
              <w:t>3 (</w:t>
            </w:r>
            <w:proofErr w:type="gramStart"/>
            <w:r w:rsidRPr="00003D6E">
              <w:rPr>
                <w:sz w:val="20"/>
                <w:szCs w:val="20"/>
              </w:rPr>
              <w:t>1.2)</w:t>
            </w:r>
            <w:r w:rsidRPr="00003D6E">
              <w:rPr>
                <w:sz w:val="20"/>
                <w:szCs w:val="20"/>
                <w:vertAlign w:val="superscript"/>
              </w:rPr>
              <w:t>d</w:t>
            </w:r>
            <w:proofErr w:type="gramEnd"/>
          </w:p>
        </w:tc>
      </w:tr>
      <w:tr w:rsidR="00003D6E" w:rsidRPr="00003D6E" w14:paraId="0329A4FE" w14:textId="77777777" w:rsidTr="00590F72">
        <w:tc>
          <w:tcPr>
            <w:tcW w:w="1276" w:type="dxa"/>
            <w:tcBorders>
              <w:top w:val="single" w:sz="4" w:space="0" w:color="auto"/>
              <w:left w:val="single" w:sz="4" w:space="0" w:color="auto"/>
              <w:bottom w:val="single" w:sz="4" w:space="0" w:color="auto"/>
              <w:right w:val="single" w:sz="4" w:space="0" w:color="auto"/>
            </w:tcBorders>
            <w:vAlign w:val="center"/>
          </w:tcPr>
          <w:p w14:paraId="0A67A026" w14:textId="1C120D72" w:rsidR="00BF69D1" w:rsidRPr="00003D6E" w:rsidRDefault="00BF69D1" w:rsidP="00BF69D1">
            <w:pPr>
              <w:spacing w:after="120"/>
              <w:rPr>
                <w:rFonts w:cs="Times New Roman"/>
                <w:sz w:val="20"/>
                <w:szCs w:val="20"/>
              </w:rPr>
            </w:pPr>
            <w:r w:rsidRPr="00003D6E">
              <w:rPr>
                <w:sz w:val="20"/>
                <w:szCs w:val="20"/>
              </w:rPr>
              <w:t>Week 24</w:t>
            </w:r>
          </w:p>
        </w:tc>
        <w:tc>
          <w:tcPr>
            <w:tcW w:w="1418" w:type="dxa"/>
            <w:tcBorders>
              <w:top w:val="single" w:sz="4" w:space="0" w:color="auto"/>
              <w:left w:val="single" w:sz="4" w:space="0" w:color="auto"/>
              <w:bottom w:val="single" w:sz="4" w:space="0" w:color="auto"/>
              <w:right w:val="single" w:sz="4" w:space="0" w:color="auto"/>
            </w:tcBorders>
            <w:vAlign w:val="center"/>
          </w:tcPr>
          <w:p w14:paraId="44779145" w14:textId="7B9A86C2" w:rsidR="00BF69D1" w:rsidRPr="00003D6E" w:rsidRDefault="00BF69D1" w:rsidP="00B3792B">
            <w:pPr>
              <w:spacing w:after="120"/>
              <w:jc w:val="center"/>
              <w:rPr>
                <w:rFonts w:cs="Times New Roman"/>
                <w:sz w:val="20"/>
                <w:szCs w:val="20"/>
              </w:rPr>
            </w:pPr>
            <w:r w:rsidRPr="00003D6E">
              <w:rPr>
                <w:sz w:val="20"/>
                <w:szCs w:val="20"/>
              </w:rPr>
              <w:t>58 (17.5)</w:t>
            </w:r>
          </w:p>
        </w:tc>
        <w:tc>
          <w:tcPr>
            <w:tcW w:w="1417" w:type="dxa"/>
            <w:tcBorders>
              <w:top w:val="single" w:sz="4" w:space="0" w:color="auto"/>
              <w:left w:val="single" w:sz="4" w:space="0" w:color="auto"/>
              <w:bottom w:val="single" w:sz="4" w:space="0" w:color="auto"/>
              <w:right w:val="single" w:sz="4" w:space="0" w:color="auto"/>
            </w:tcBorders>
          </w:tcPr>
          <w:p w14:paraId="3A0CD823" w14:textId="79C94437" w:rsidR="00BF69D1" w:rsidRPr="00003D6E" w:rsidRDefault="00BF69D1" w:rsidP="00B3792B">
            <w:pPr>
              <w:spacing w:after="120"/>
              <w:jc w:val="center"/>
              <w:rPr>
                <w:rFonts w:cs="Times New Roman"/>
                <w:sz w:val="20"/>
                <w:szCs w:val="20"/>
              </w:rPr>
            </w:pPr>
            <w:r w:rsidRPr="00003D6E">
              <w:rPr>
                <w:sz w:val="20"/>
                <w:szCs w:val="20"/>
              </w:rPr>
              <w:t>11 (</w:t>
            </w:r>
            <w:proofErr w:type="gramStart"/>
            <w:r w:rsidRPr="00003D6E">
              <w:rPr>
                <w:sz w:val="20"/>
                <w:szCs w:val="20"/>
              </w:rPr>
              <w:t>6.5)</w:t>
            </w:r>
            <w:r w:rsidRPr="00003D6E">
              <w:rPr>
                <w:sz w:val="20"/>
                <w:szCs w:val="20"/>
                <w:vertAlign w:val="superscript"/>
              </w:rPr>
              <w:t>e</w:t>
            </w:r>
            <w:proofErr w:type="gramEnd"/>
          </w:p>
        </w:tc>
        <w:tc>
          <w:tcPr>
            <w:tcW w:w="1240" w:type="dxa"/>
            <w:tcBorders>
              <w:top w:val="single" w:sz="4" w:space="0" w:color="auto"/>
              <w:left w:val="single" w:sz="4" w:space="0" w:color="auto"/>
              <w:bottom w:val="single" w:sz="4" w:space="0" w:color="auto"/>
              <w:right w:val="single" w:sz="4" w:space="0" w:color="auto"/>
            </w:tcBorders>
            <w:vAlign w:val="center"/>
          </w:tcPr>
          <w:p w14:paraId="19CC88EA" w14:textId="5106BFDB" w:rsidR="00BF69D1" w:rsidRPr="00003D6E" w:rsidRDefault="00BF69D1" w:rsidP="00B3792B">
            <w:pPr>
              <w:spacing w:after="120"/>
              <w:jc w:val="center"/>
              <w:rPr>
                <w:rFonts w:cs="Times New Roman"/>
                <w:sz w:val="20"/>
                <w:szCs w:val="20"/>
              </w:rPr>
            </w:pPr>
            <w:r w:rsidRPr="00003D6E">
              <w:rPr>
                <w:sz w:val="20"/>
                <w:szCs w:val="20"/>
              </w:rPr>
              <w:t>-</w:t>
            </w:r>
          </w:p>
        </w:tc>
        <w:tc>
          <w:tcPr>
            <w:tcW w:w="1443" w:type="dxa"/>
            <w:tcBorders>
              <w:top w:val="single" w:sz="4" w:space="0" w:color="auto"/>
              <w:left w:val="single" w:sz="4" w:space="0" w:color="auto"/>
              <w:bottom w:val="single" w:sz="4" w:space="0" w:color="auto"/>
              <w:right w:val="single" w:sz="4" w:space="0" w:color="auto"/>
            </w:tcBorders>
            <w:vAlign w:val="center"/>
          </w:tcPr>
          <w:p w14:paraId="56AD3673" w14:textId="0AFB222F" w:rsidR="00BF69D1" w:rsidRPr="00003D6E" w:rsidRDefault="00BF69D1" w:rsidP="00B3792B">
            <w:pPr>
              <w:spacing w:after="120"/>
              <w:jc w:val="center"/>
              <w:rPr>
                <w:rFonts w:cs="Times New Roman"/>
                <w:sz w:val="20"/>
                <w:szCs w:val="20"/>
              </w:rPr>
            </w:pPr>
            <w:r w:rsidRPr="00003D6E">
              <w:rPr>
                <w:sz w:val="20"/>
                <w:szCs w:val="20"/>
              </w:rPr>
              <w:t>66 (13.1)</w:t>
            </w:r>
          </w:p>
        </w:tc>
        <w:tc>
          <w:tcPr>
            <w:tcW w:w="1428" w:type="dxa"/>
            <w:tcBorders>
              <w:top w:val="single" w:sz="4" w:space="0" w:color="auto"/>
              <w:left w:val="single" w:sz="4" w:space="0" w:color="auto"/>
              <w:bottom w:val="single" w:sz="4" w:space="0" w:color="auto"/>
              <w:right w:val="single" w:sz="4" w:space="0" w:color="auto"/>
            </w:tcBorders>
          </w:tcPr>
          <w:p w14:paraId="4E0EB185" w14:textId="394AE333" w:rsidR="00BF69D1" w:rsidRPr="00003D6E" w:rsidRDefault="00BF69D1" w:rsidP="00B3792B">
            <w:pPr>
              <w:spacing w:after="120"/>
              <w:jc w:val="center"/>
              <w:rPr>
                <w:rFonts w:cs="Times New Roman"/>
                <w:sz w:val="20"/>
                <w:szCs w:val="20"/>
              </w:rPr>
            </w:pPr>
            <w:r w:rsidRPr="00003D6E">
              <w:rPr>
                <w:sz w:val="20"/>
                <w:szCs w:val="20"/>
              </w:rPr>
              <w:t>17 (</w:t>
            </w:r>
            <w:proofErr w:type="gramStart"/>
            <w:r w:rsidRPr="00003D6E">
              <w:rPr>
                <w:sz w:val="20"/>
                <w:szCs w:val="20"/>
              </w:rPr>
              <w:t>6.7)</w:t>
            </w:r>
            <w:r w:rsidRPr="00003D6E">
              <w:rPr>
                <w:sz w:val="20"/>
                <w:szCs w:val="20"/>
                <w:vertAlign w:val="superscript"/>
              </w:rPr>
              <w:t>f</w:t>
            </w:r>
            <w:proofErr w:type="gramEnd"/>
          </w:p>
        </w:tc>
        <w:tc>
          <w:tcPr>
            <w:tcW w:w="1378" w:type="dxa"/>
            <w:tcBorders>
              <w:top w:val="single" w:sz="4" w:space="0" w:color="auto"/>
              <w:left w:val="single" w:sz="4" w:space="0" w:color="auto"/>
              <w:bottom w:val="single" w:sz="4" w:space="0" w:color="auto"/>
              <w:right w:val="single" w:sz="4" w:space="0" w:color="auto"/>
            </w:tcBorders>
            <w:vAlign w:val="center"/>
          </w:tcPr>
          <w:p w14:paraId="24BD09B2" w14:textId="434B5C18" w:rsidR="00BF69D1" w:rsidRPr="00003D6E" w:rsidRDefault="00BF69D1" w:rsidP="00B3792B">
            <w:pPr>
              <w:spacing w:after="120"/>
              <w:jc w:val="center"/>
              <w:rPr>
                <w:rFonts w:cs="Times New Roman"/>
                <w:sz w:val="20"/>
                <w:szCs w:val="20"/>
              </w:rPr>
            </w:pPr>
            <w:r w:rsidRPr="00003D6E">
              <w:rPr>
                <w:sz w:val="20"/>
                <w:szCs w:val="20"/>
              </w:rPr>
              <w:t>-</w:t>
            </w:r>
          </w:p>
        </w:tc>
      </w:tr>
      <w:tr w:rsidR="00003D6E" w:rsidRPr="00003D6E" w14:paraId="12F036A4" w14:textId="77777777" w:rsidTr="00590F72">
        <w:tc>
          <w:tcPr>
            <w:tcW w:w="1276" w:type="dxa"/>
            <w:tcBorders>
              <w:top w:val="single" w:sz="4" w:space="0" w:color="auto"/>
              <w:left w:val="single" w:sz="4" w:space="0" w:color="auto"/>
              <w:bottom w:val="single" w:sz="4" w:space="0" w:color="auto"/>
              <w:right w:val="single" w:sz="4" w:space="0" w:color="auto"/>
            </w:tcBorders>
            <w:vAlign w:val="center"/>
          </w:tcPr>
          <w:p w14:paraId="111952EA" w14:textId="775A1BAC" w:rsidR="003033E6" w:rsidRPr="00003D6E" w:rsidRDefault="003033E6" w:rsidP="003033E6">
            <w:pPr>
              <w:spacing w:after="120"/>
              <w:rPr>
                <w:rFonts w:cs="Times New Roman"/>
                <w:sz w:val="20"/>
                <w:szCs w:val="20"/>
              </w:rPr>
            </w:pPr>
            <w:r w:rsidRPr="00003D6E">
              <w:rPr>
                <w:rFonts w:cs="Times New Roman"/>
                <w:b/>
                <w:sz w:val="20"/>
                <w:szCs w:val="20"/>
              </w:rPr>
              <w:t>ss-PGA 0/1 (scalp)</w:t>
            </w:r>
          </w:p>
        </w:tc>
        <w:tc>
          <w:tcPr>
            <w:tcW w:w="1418" w:type="dxa"/>
            <w:tcBorders>
              <w:top w:val="single" w:sz="4" w:space="0" w:color="auto"/>
              <w:left w:val="single" w:sz="4" w:space="0" w:color="auto"/>
              <w:bottom w:val="single" w:sz="4" w:space="0" w:color="auto"/>
              <w:right w:val="single" w:sz="4" w:space="0" w:color="auto"/>
            </w:tcBorders>
            <w:vAlign w:val="center"/>
          </w:tcPr>
          <w:p w14:paraId="138EA604" w14:textId="6A5D6CBD" w:rsidR="003033E6" w:rsidRPr="00003D6E" w:rsidRDefault="003033E6" w:rsidP="00A01495">
            <w:pPr>
              <w:spacing w:after="120"/>
              <w:jc w:val="center"/>
              <w:rPr>
                <w:rFonts w:cs="Times New Roman"/>
                <w:sz w:val="20"/>
                <w:szCs w:val="20"/>
              </w:rPr>
            </w:pPr>
            <w:r w:rsidRPr="00003D6E">
              <w:rPr>
                <w:rFonts w:cs="Times New Roman"/>
                <w:b/>
                <w:bCs/>
                <w:sz w:val="20"/>
                <w:szCs w:val="20"/>
              </w:rPr>
              <w:t>N=209</w:t>
            </w:r>
          </w:p>
        </w:tc>
        <w:tc>
          <w:tcPr>
            <w:tcW w:w="1417" w:type="dxa"/>
            <w:tcBorders>
              <w:top w:val="single" w:sz="4" w:space="0" w:color="auto"/>
              <w:left w:val="single" w:sz="4" w:space="0" w:color="auto"/>
              <w:bottom w:val="single" w:sz="4" w:space="0" w:color="auto"/>
              <w:right w:val="single" w:sz="4" w:space="0" w:color="auto"/>
            </w:tcBorders>
            <w:vAlign w:val="center"/>
          </w:tcPr>
          <w:p w14:paraId="6283941C" w14:textId="2F1F6772" w:rsidR="003033E6" w:rsidRPr="00003D6E" w:rsidRDefault="003033E6" w:rsidP="00A01495">
            <w:pPr>
              <w:spacing w:after="120"/>
              <w:jc w:val="center"/>
              <w:rPr>
                <w:rFonts w:cs="Times New Roman"/>
                <w:sz w:val="20"/>
                <w:szCs w:val="20"/>
              </w:rPr>
            </w:pPr>
            <w:r w:rsidRPr="00003D6E">
              <w:rPr>
                <w:rFonts w:cs="Times New Roman"/>
                <w:b/>
                <w:bCs/>
                <w:sz w:val="20"/>
                <w:szCs w:val="20"/>
              </w:rPr>
              <w:t>N=110</w:t>
            </w:r>
          </w:p>
        </w:tc>
        <w:tc>
          <w:tcPr>
            <w:tcW w:w="1240" w:type="dxa"/>
            <w:tcBorders>
              <w:top w:val="single" w:sz="4" w:space="0" w:color="auto"/>
              <w:left w:val="single" w:sz="4" w:space="0" w:color="auto"/>
              <w:bottom w:val="single" w:sz="4" w:space="0" w:color="auto"/>
              <w:right w:val="single" w:sz="4" w:space="0" w:color="auto"/>
            </w:tcBorders>
            <w:vAlign w:val="center"/>
          </w:tcPr>
          <w:p w14:paraId="6CD5D9E6" w14:textId="2850E269" w:rsidR="003033E6" w:rsidRPr="00003D6E" w:rsidRDefault="003033E6" w:rsidP="00A01495">
            <w:pPr>
              <w:spacing w:after="120"/>
              <w:jc w:val="center"/>
              <w:rPr>
                <w:rFonts w:cs="Times New Roman"/>
                <w:sz w:val="20"/>
                <w:szCs w:val="20"/>
              </w:rPr>
            </w:pPr>
            <w:r w:rsidRPr="00003D6E">
              <w:rPr>
                <w:rFonts w:cs="Times New Roman"/>
                <w:b/>
                <w:bCs/>
                <w:sz w:val="20"/>
                <w:szCs w:val="20"/>
              </w:rPr>
              <w:t>N=121</w:t>
            </w:r>
          </w:p>
        </w:tc>
        <w:tc>
          <w:tcPr>
            <w:tcW w:w="1443" w:type="dxa"/>
            <w:tcBorders>
              <w:top w:val="single" w:sz="4" w:space="0" w:color="auto"/>
              <w:left w:val="single" w:sz="4" w:space="0" w:color="auto"/>
              <w:bottom w:val="single" w:sz="4" w:space="0" w:color="auto"/>
              <w:right w:val="single" w:sz="4" w:space="0" w:color="auto"/>
            </w:tcBorders>
            <w:vAlign w:val="center"/>
          </w:tcPr>
          <w:p w14:paraId="631543B0" w14:textId="2124B11D" w:rsidR="003033E6" w:rsidRPr="00003D6E" w:rsidRDefault="003033E6" w:rsidP="00A01495">
            <w:pPr>
              <w:spacing w:after="120"/>
              <w:jc w:val="center"/>
              <w:rPr>
                <w:rFonts w:cs="Times New Roman"/>
                <w:sz w:val="20"/>
                <w:szCs w:val="20"/>
              </w:rPr>
            </w:pPr>
            <w:r w:rsidRPr="00003D6E">
              <w:rPr>
                <w:rFonts w:cs="Times New Roman"/>
                <w:b/>
                <w:bCs/>
                <w:sz w:val="20"/>
                <w:szCs w:val="20"/>
              </w:rPr>
              <w:t>N=305</w:t>
            </w:r>
          </w:p>
        </w:tc>
        <w:tc>
          <w:tcPr>
            <w:tcW w:w="1428" w:type="dxa"/>
            <w:tcBorders>
              <w:top w:val="single" w:sz="4" w:space="0" w:color="auto"/>
              <w:left w:val="single" w:sz="4" w:space="0" w:color="auto"/>
              <w:bottom w:val="single" w:sz="4" w:space="0" w:color="auto"/>
              <w:right w:val="single" w:sz="4" w:space="0" w:color="auto"/>
            </w:tcBorders>
            <w:vAlign w:val="center"/>
          </w:tcPr>
          <w:p w14:paraId="41D2AFF2" w14:textId="5717989F" w:rsidR="003033E6" w:rsidRPr="00003D6E" w:rsidRDefault="003033E6" w:rsidP="00A01495">
            <w:pPr>
              <w:spacing w:after="120"/>
              <w:jc w:val="center"/>
              <w:rPr>
                <w:rFonts w:cs="Times New Roman"/>
                <w:sz w:val="20"/>
                <w:szCs w:val="20"/>
              </w:rPr>
            </w:pPr>
            <w:r w:rsidRPr="00003D6E">
              <w:rPr>
                <w:rFonts w:cs="Times New Roman"/>
                <w:b/>
                <w:bCs/>
                <w:sz w:val="20"/>
                <w:szCs w:val="20"/>
              </w:rPr>
              <w:t>N=166</w:t>
            </w:r>
          </w:p>
        </w:tc>
        <w:tc>
          <w:tcPr>
            <w:tcW w:w="1378" w:type="dxa"/>
            <w:tcBorders>
              <w:top w:val="single" w:sz="4" w:space="0" w:color="auto"/>
              <w:left w:val="single" w:sz="4" w:space="0" w:color="auto"/>
              <w:bottom w:val="single" w:sz="4" w:space="0" w:color="auto"/>
              <w:right w:val="single" w:sz="4" w:space="0" w:color="auto"/>
            </w:tcBorders>
            <w:vAlign w:val="center"/>
          </w:tcPr>
          <w:p w14:paraId="4AB4BE2A" w14:textId="5E93FA57" w:rsidR="003033E6" w:rsidRPr="00003D6E" w:rsidRDefault="003033E6" w:rsidP="00A01495">
            <w:pPr>
              <w:spacing w:after="120"/>
              <w:jc w:val="center"/>
              <w:rPr>
                <w:rFonts w:cs="Times New Roman"/>
                <w:sz w:val="20"/>
                <w:szCs w:val="20"/>
              </w:rPr>
            </w:pPr>
            <w:r w:rsidRPr="00003D6E">
              <w:rPr>
                <w:rFonts w:cs="Times New Roman"/>
                <w:b/>
                <w:bCs/>
                <w:sz w:val="20"/>
                <w:szCs w:val="20"/>
              </w:rPr>
              <w:t>N=173</w:t>
            </w:r>
          </w:p>
        </w:tc>
      </w:tr>
      <w:tr w:rsidR="00003D6E" w:rsidRPr="00003D6E" w14:paraId="487AA1B5" w14:textId="77777777" w:rsidTr="00590F72">
        <w:tc>
          <w:tcPr>
            <w:tcW w:w="1276" w:type="dxa"/>
            <w:tcBorders>
              <w:top w:val="single" w:sz="4" w:space="0" w:color="auto"/>
              <w:left w:val="single" w:sz="4" w:space="0" w:color="auto"/>
              <w:bottom w:val="single" w:sz="4" w:space="0" w:color="auto"/>
              <w:right w:val="single" w:sz="4" w:space="0" w:color="auto"/>
            </w:tcBorders>
            <w:vAlign w:val="center"/>
          </w:tcPr>
          <w:p w14:paraId="0FD79668" w14:textId="1D47B083" w:rsidR="00EC3779" w:rsidRPr="00003D6E" w:rsidRDefault="00EC3779" w:rsidP="00EC3779">
            <w:pPr>
              <w:spacing w:after="120"/>
              <w:rPr>
                <w:rFonts w:cs="Times New Roman"/>
                <w:sz w:val="20"/>
                <w:szCs w:val="20"/>
              </w:rPr>
            </w:pPr>
            <w:r w:rsidRPr="00003D6E">
              <w:rPr>
                <w:rFonts w:cs="Times New Roman"/>
                <w:sz w:val="20"/>
                <w:szCs w:val="20"/>
              </w:rPr>
              <w:t>Week 16</w:t>
            </w:r>
          </w:p>
        </w:tc>
        <w:tc>
          <w:tcPr>
            <w:tcW w:w="1418" w:type="dxa"/>
            <w:tcBorders>
              <w:top w:val="single" w:sz="4" w:space="0" w:color="auto"/>
              <w:left w:val="single" w:sz="4" w:space="0" w:color="auto"/>
              <w:bottom w:val="single" w:sz="4" w:space="0" w:color="auto"/>
              <w:right w:val="single" w:sz="4" w:space="0" w:color="auto"/>
            </w:tcBorders>
            <w:vAlign w:val="center"/>
          </w:tcPr>
          <w:p w14:paraId="5CB1C934" w14:textId="438E15DD" w:rsidR="00EC3779" w:rsidRPr="00003D6E" w:rsidRDefault="00EC3779" w:rsidP="00A01495">
            <w:pPr>
              <w:spacing w:after="120"/>
              <w:jc w:val="center"/>
              <w:rPr>
                <w:rFonts w:cs="Times New Roman"/>
                <w:sz w:val="20"/>
                <w:szCs w:val="20"/>
              </w:rPr>
            </w:pPr>
            <w:r w:rsidRPr="00003D6E">
              <w:rPr>
                <w:rFonts w:cs="Times New Roman"/>
                <w:sz w:val="20"/>
                <w:szCs w:val="20"/>
              </w:rPr>
              <w:t>147 (70.3)</w:t>
            </w:r>
          </w:p>
        </w:tc>
        <w:tc>
          <w:tcPr>
            <w:tcW w:w="1417" w:type="dxa"/>
            <w:tcBorders>
              <w:top w:val="single" w:sz="4" w:space="0" w:color="auto"/>
              <w:left w:val="single" w:sz="4" w:space="0" w:color="auto"/>
              <w:bottom w:val="single" w:sz="4" w:space="0" w:color="auto"/>
              <w:right w:val="single" w:sz="4" w:space="0" w:color="auto"/>
            </w:tcBorders>
          </w:tcPr>
          <w:p w14:paraId="2B80BD4A" w14:textId="3CE98C63" w:rsidR="00EC3779" w:rsidRPr="00003D6E" w:rsidRDefault="00EC3779" w:rsidP="00A01495">
            <w:pPr>
              <w:spacing w:after="120"/>
              <w:jc w:val="center"/>
              <w:rPr>
                <w:rFonts w:cs="Times New Roman"/>
                <w:sz w:val="20"/>
                <w:szCs w:val="20"/>
              </w:rPr>
            </w:pPr>
            <w:r w:rsidRPr="00003D6E">
              <w:rPr>
                <w:rFonts w:cs="Times New Roman"/>
                <w:sz w:val="20"/>
                <w:szCs w:val="20"/>
              </w:rPr>
              <w:t>43 (</w:t>
            </w:r>
            <w:proofErr w:type="gramStart"/>
            <w:r w:rsidRPr="00003D6E">
              <w:rPr>
                <w:rFonts w:cs="Times New Roman"/>
                <w:sz w:val="20"/>
                <w:szCs w:val="20"/>
              </w:rPr>
              <w:t>39.1)</w:t>
            </w:r>
            <w:r w:rsidRPr="00003D6E">
              <w:rPr>
                <w:rStyle w:val="BMSSuperscript"/>
                <w:rFonts w:cs="Times New Roman"/>
                <w:sz w:val="20"/>
                <w:szCs w:val="20"/>
              </w:rPr>
              <w:t>d</w:t>
            </w:r>
            <w:proofErr w:type="gramEnd"/>
          </w:p>
        </w:tc>
        <w:tc>
          <w:tcPr>
            <w:tcW w:w="1240" w:type="dxa"/>
            <w:tcBorders>
              <w:top w:val="single" w:sz="4" w:space="0" w:color="auto"/>
              <w:left w:val="single" w:sz="4" w:space="0" w:color="auto"/>
              <w:bottom w:val="single" w:sz="4" w:space="0" w:color="auto"/>
              <w:right w:val="single" w:sz="4" w:space="0" w:color="auto"/>
            </w:tcBorders>
            <w:vAlign w:val="center"/>
          </w:tcPr>
          <w:p w14:paraId="04EA7ADB" w14:textId="66BB8848" w:rsidR="00EC3779" w:rsidRPr="00003D6E" w:rsidRDefault="00EC3779" w:rsidP="00A01495">
            <w:pPr>
              <w:spacing w:after="120"/>
              <w:jc w:val="center"/>
              <w:rPr>
                <w:rFonts w:cs="Times New Roman"/>
                <w:sz w:val="20"/>
                <w:szCs w:val="20"/>
              </w:rPr>
            </w:pPr>
            <w:r w:rsidRPr="00003D6E">
              <w:rPr>
                <w:rFonts w:cs="Times New Roman"/>
                <w:sz w:val="20"/>
                <w:szCs w:val="20"/>
              </w:rPr>
              <w:t>21 (</w:t>
            </w:r>
            <w:proofErr w:type="gramStart"/>
            <w:r w:rsidRPr="00003D6E">
              <w:rPr>
                <w:rFonts w:cs="Times New Roman"/>
                <w:sz w:val="20"/>
                <w:szCs w:val="20"/>
              </w:rPr>
              <w:t>17.4)</w:t>
            </w:r>
            <w:r w:rsidRPr="00003D6E">
              <w:rPr>
                <w:rStyle w:val="BMSSuperscript"/>
                <w:rFonts w:cs="Times New Roman"/>
                <w:sz w:val="20"/>
                <w:szCs w:val="20"/>
              </w:rPr>
              <w:t>d</w:t>
            </w:r>
            <w:proofErr w:type="gramEnd"/>
          </w:p>
        </w:tc>
        <w:tc>
          <w:tcPr>
            <w:tcW w:w="1443" w:type="dxa"/>
            <w:tcBorders>
              <w:top w:val="single" w:sz="4" w:space="0" w:color="auto"/>
              <w:left w:val="single" w:sz="4" w:space="0" w:color="auto"/>
              <w:bottom w:val="single" w:sz="4" w:space="0" w:color="auto"/>
              <w:right w:val="single" w:sz="4" w:space="0" w:color="auto"/>
            </w:tcBorders>
            <w:vAlign w:val="center"/>
          </w:tcPr>
          <w:p w14:paraId="3277D52A" w14:textId="43681596" w:rsidR="00EC3779" w:rsidRPr="00003D6E" w:rsidRDefault="00EC3779" w:rsidP="00A01495">
            <w:pPr>
              <w:spacing w:after="120"/>
              <w:jc w:val="center"/>
              <w:rPr>
                <w:rFonts w:cs="Times New Roman"/>
                <w:sz w:val="20"/>
                <w:szCs w:val="20"/>
              </w:rPr>
            </w:pPr>
            <w:r w:rsidRPr="00003D6E">
              <w:rPr>
                <w:rFonts w:cs="Times New Roman"/>
                <w:sz w:val="20"/>
                <w:szCs w:val="20"/>
              </w:rPr>
              <w:t>182 (59.7)</w:t>
            </w:r>
          </w:p>
        </w:tc>
        <w:tc>
          <w:tcPr>
            <w:tcW w:w="1428" w:type="dxa"/>
            <w:tcBorders>
              <w:top w:val="single" w:sz="4" w:space="0" w:color="auto"/>
              <w:left w:val="single" w:sz="4" w:space="0" w:color="auto"/>
              <w:bottom w:val="single" w:sz="4" w:space="0" w:color="auto"/>
              <w:right w:val="single" w:sz="4" w:space="0" w:color="auto"/>
            </w:tcBorders>
          </w:tcPr>
          <w:p w14:paraId="3A39692D" w14:textId="0B10F6C2" w:rsidR="00EC3779" w:rsidRPr="00003D6E" w:rsidRDefault="00EC3779" w:rsidP="00A01495">
            <w:pPr>
              <w:spacing w:after="120"/>
              <w:jc w:val="center"/>
              <w:rPr>
                <w:rFonts w:cs="Times New Roman"/>
                <w:sz w:val="20"/>
                <w:szCs w:val="20"/>
              </w:rPr>
            </w:pPr>
            <w:r w:rsidRPr="00003D6E">
              <w:rPr>
                <w:rFonts w:cs="Times New Roman"/>
                <w:sz w:val="20"/>
                <w:szCs w:val="20"/>
              </w:rPr>
              <w:t>61 (</w:t>
            </w:r>
            <w:proofErr w:type="gramStart"/>
            <w:r w:rsidRPr="00003D6E">
              <w:rPr>
                <w:rFonts w:cs="Times New Roman"/>
                <w:sz w:val="20"/>
                <w:szCs w:val="20"/>
              </w:rPr>
              <w:t>36.7)</w:t>
            </w:r>
            <w:r w:rsidRPr="00003D6E">
              <w:rPr>
                <w:rStyle w:val="BMSSuperscript"/>
                <w:rFonts w:cs="Times New Roman"/>
                <w:sz w:val="20"/>
                <w:szCs w:val="20"/>
              </w:rPr>
              <w:t>d</w:t>
            </w:r>
            <w:proofErr w:type="gramEnd"/>
          </w:p>
        </w:tc>
        <w:tc>
          <w:tcPr>
            <w:tcW w:w="1378" w:type="dxa"/>
            <w:tcBorders>
              <w:top w:val="single" w:sz="4" w:space="0" w:color="auto"/>
              <w:left w:val="single" w:sz="4" w:space="0" w:color="auto"/>
              <w:bottom w:val="single" w:sz="4" w:space="0" w:color="auto"/>
              <w:right w:val="single" w:sz="4" w:space="0" w:color="auto"/>
            </w:tcBorders>
            <w:vAlign w:val="center"/>
          </w:tcPr>
          <w:p w14:paraId="4784B0AC" w14:textId="24D72D18" w:rsidR="00EC3779" w:rsidRPr="00003D6E" w:rsidRDefault="00EC3779" w:rsidP="00A01495">
            <w:pPr>
              <w:spacing w:after="120"/>
              <w:jc w:val="center"/>
              <w:rPr>
                <w:rFonts w:cs="Times New Roman"/>
                <w:sz w:val="20"/>
                <w:szCs w:val="20"/>
              </w:rPr>
            </w:pPr>
            <w:r w:rsidRPr="00003D6E">
              <w:rPr>
                <w:rFonts w:cs="Times New Roman"/>
                <w:sz w:val="20"/>
                <w:szCs w:val="20"/>
              </w:rPr>
              <w:t>30 (</w:t>
            </w:r>
            <w:proofErr w:type="gramStart"/>
            <w:r w:rsidRPr="00003D6E">
              <w:rPr>
                <w:rFonts w:cs="Times New Roman"/>
                <w:sz w:val="20"/>
                <w:szCs w:val="20"/>
              </w:rPr>
              <w:t>17.3)</w:t>
            </w:r>
            <w:r w:rsidRPr="00003D6E">
              <w:rPr>
                <w:rStyle w:val="BMSSuperscript"/>
                <w:rFonts w:cs="Times New Roman"/>
                <w:sz w:val="20"/>
                <w:szCs w:val="20"/>
              </w:rPr>
              <w:t>d</w:t>
            </w:r>
            <w:proofErr w:type="gramEnd"/>
          </w:p>
        </w:tc>
      </w:tr>
      <w:tr w:rsidR="00003D6E" w:rsidRPr="00003D6E" w14:paraId="18B4979E" w14:textId="77777777" w:rsidTr="00590F72">
        <w:tc>
          <w:tcPr>
            <w:tcW w:w="1276" w:type="dxa"/>
            <w:tcBorders>
              <w:top w:val="single" w:sz="4" w:space="0" w:color="auto"/>
              <w:left w:val="single" w:sz="4" w:space="0" w:color="auto"/>
              <w:bottom w:val="single" w:sz="4" w:space="0" w:color="auto"/>
              <w:right w:val="single" w:sz="4" w:space="0" w:color="auto"/>
            </w:tcBorders>
            <w:vAlign w:val="center"/>
          </w:tcPr>
          <w:p w14:paraId="1AF34282" w14:textId="31C0E783" w:rsidR="002F1010" w:rsidRPr="00003D6E" w:rsidRDefault="002F1010" w:rsidP="002F1010">
            <w:pPr>
              <w:spacing w:after="120"/>
              <w:rPr>
                <w:rFonts w:cs="Times New Roman"/>
                <w:sz w:val="20"/>
                <w:szCs w:val="20"/>
              </w:rPr>
            </w:pPr>
            <w:r w:rsidRPr="00003D6E">
              <w:rPr>
                <w:sz w:val="20"/>
                <w:szCs w:val="20"/>
              </w:rPr>
              <w:t>Week 24</w:t>
            </w:r>
          </w:p>
        </w:tc>
        <w:tc>
          <w:tcPr>
            <w:tcW w:w="1418" w:type="dxa"/>
            <w:tcBorders>
              <w:top w:val="single" w:sz="4" w:space="0" w:color="auto"/>
              <w:left w:val="single" w:sz="4" w:space="0" w:color="auto"/>
              <w:bottom w:val="single" w:sz="4" w:space="0" w:color="auto"/>
              <w:right w:val="single" w:sz="4" w:space="0" w:color="auto"/>
            </w:tcBorders>
            <w:vAlign w:val="center"/>
          </w:tcPr>
          <w:p w14:paraId="014B3B83" w14:textId="507E57F8" w:rsidR="002F1010" w:rsidRPr="00003D6E" w:rsidRDefault="002F1010" w:rsidP="00A01495">
            <w:pPr>
              <w:spacing w:after="120"/>
              <w:jc w:val="center"/>
              <w:rPr>
                <w:rFonts w:cs="Times New Roman"/>
                <w:sz w:val="20"/>
                <w:szCs w:val="20"/>
              </w:rPr>
            </w:pPr>
            <w:r w:rsidRPr="00003D6E">
              <w:rPr>
                <w:sz w:val="20"/>
                <w:szCs w:val="20"/>
              </w:rPr>
              <w:t>151 (72.2)</w:t>
            </w:r>
          </w:p>
        </w:tc>
        <w:tc>
          <w:tcPr>
            <w:tcW w:w="1417" w:type="dxa"/>
            <w:tcBorders>
              <w:top w:val="single" w:sz="4" w:space="0" w:color="auto"/>
              <w:left w:val="single" w:sz="4" w:space="0" w:color="auto"/>
              <w:bottom w:val="single" w:sz="4" w:space="0" w:color="auto"/>
              <w:right w:val="single" w:sz="4" w:space="0" w:color="auto"/>
            </w:tcBorders>
          </w:tcPr>
          <w:p w14:paraId="3E36D29A" w14:textId="08FAE0B1" w:rsidR="002F1010" w:rsidRPr="00003D6E" w:rsidRDefault="002F1010" w:rsidP="00A01495">
            <w:pPr>
              <w:spacing w:after="120"/>
              <w:jc w:val="center"/>
              <w:rPr>
                <w:rFonts w:cs="Times New Roman"/>
                <w:sz w:val="20"/>
                <w:szCs w:val="20"/>
              </w:rPr>
            </w:pPr>
            <w:r w:rsidRPr="00003D6E">
              <w:rPr>
                <w:sz w:val="20"/>
                <w:szCs w:val="20"/>
              </w:rPr>
              <w:t>47 (</w:t>
            </w:r>
            <w:proofErr w:type="gramStart"/>
            <w:r w:rsidRPr="00003D6E">
              <w:rPr>
                <w:sz w:val="20"/>
                <w:szCs w:val="20"/>
              </w:rPr>
              <w:t>42.7)</w:t>
            </w:r>
            <w:r w:rsidRPr="00003D6E">
              <w:rPr>
                <w:sz w:val="20"/>
                <w:szCs w:val="20"/>
                <w:vertAlign w:val="superscript"/>
              </w:rPr>
              <w:t>d</w:t>
            </w:r>
            <w:proofErr w:type="gramEnd"/>
          </w:p>
        </w:tc>
        <w:tc>
          <w:tcPr>
            <w:tcW w:w="1240" w:type="dxa"/>
            <w:tcBorders>
              <w:top w:val="single" w:sz="4" w:space="0" w:color="auto"/>
              <w:left w:val="single" w:sz="4" w:space="0" w:color="auto"/>
              <w:bottom w:val="single" w:sz="4" w:space="0" w:color="auto"/>
              <w:right w:val="single" w:sz="4" w:space="0" w:color="auto"/>
            </w:tcBorders>
            <w:vAlign w:val="center"/>
          </w:tcPr>
          <w:p w14:paraId="583A38C2" w14:textId="49AE5A58" w:rsidR="002F1010" w:rsidRPr="00003D6E" w:rsidRDefault="002F1010" w:rsidP="00A01495">
            <w:pPr>
              <w:spacing w:after="120"/>
              <w:jc w:val="center"/>
              <w:rPr>
                <w:rFonts w:cs="Times New Roman"/>
                <w:sz w:val="20"/>
                <w:szCs w:val="20"/>
              </w:rPr>
            </w:pPr>
            <w:r w:rsidRPr="00003D6E">
              <w:rPr>
                <w:sz w:val="20"/>
                <w:szCs w:val="20"/>
              </w:rPr>
              <w:t>-</w:t>
            </w:r>
          </w:p>
        </w:tc>
        <w:tc>
          <w:tcPr>
            <w:tcW w:w="1443" w:type="dxa"/>
            <w:tcBorders>
              <w:top w:val="single" w:sz="4" w:space="0" w:color="auto"/>
              <w:left w:val="single" w:sz="4" w:space="0" w:color="auto"/>
              <w:bottom w:val="single" w:sz="4" w:space="0" w:color="auto"/>
              <w:right w:val="single" w:sz="4" w:space="0" w:color="auto"/>
            </w:tcBorders>
            <w:vAlign w:val="center"/>
          </w:tcPr>
          <w:p w14:paraId="4CA05579" w14:textId="40CCB49D" w:rsidR="002F1010" w:rsidRPr="00003D6E" w:rsidRDefault="002F1010" w:rsidP="00A01495">
            <w:pPr>
              <w:spacing w:after="120"/>
              <w:jc w:val="center"/>
              <w:rPr>
                <w:rFonts w:cs="Times New Roman"/>
                <w:sz w:val="20"/>
                <w:szCs w:val="20"/>
              </w:rPr>
            </w:pPr>
            <w:r w:rsidRPr="00003D6E">
              <w:rPr>
                <w:sz w:val="20"/>
                <w:szCs w:val="20"/>
              </w:rPr>
              <w:t>180 (59.0)</w:t>
            </w:r>
          </w:p>
        </w:tc>
        <w:tc>
          <w:tcPr>
            <w:tcW w:w="1428" w:type="dxa"/>
            <w:tcBorders>
              <w:top w:val="single" w:sz="4" w:space="0" w:color="auto"/>
              <w:left w:val="single" w:sz="4" w:space="0" w:color="auto"/>
              <w:bottom w:val="single" w:sz="4" w:space="0" w:color="auto"/>
              <w:right w:val="single" w:sz="4" w:space="0" w:color="auto"/>
            </w:tcBorders>
          </w:tcPr>
          <w:p w14:paraId="3DFBEB7C" w14:textId="1B8A8C84" w:rsidR="002F1010" w:rsidRPr="00003D6E" w:rsidRDefault="002F1010" w:rsidP="00A01495">
            <w:pPr>
              <w:spacing w:after="120"/>
              <w:jc w:val="center"/>
              <w:rPr>
                <w:rFonts w:cs="Times New Roman"/>
                <w:sz w:val="20"/>
                <w:szCs w:val="20"/>
              </w:rPr>
            </w:pPr>
            <w:r w:rsidRPr="00003D6E">
              <w:rPr>
                <w:sz w:val="20"/>
                <w:szCs w:val="20"/>
              </w:rPr>
              <w:t>69 (</w:t>
            </w:r>
            <w:proofErr w:type="gramStart"/>
            <w:r w:rsidRPr="00003D6E">
              <w:rPr>
                <w:sz w:val="20"/>
                <w:szCs w:val="20"/>
              </w:rPr>
              <w:t>41.6)</w:t>
            </w:r>
            <w:r w:rsidRPr="00003D6E">
              <w:rPr>
                <w:sz w:val="20"/>
                <w:szCs w:val="20"/>
                <w:vertAlign w:val="superscript"/>
              </w:rPr>
              <w:t>e</w:t>
            </w:r>
            <w:proofErr w:type="gramEnd"/>
          </w:p>
        </w:tc>
        <w:tc>
          <w:tcPr>
            <w:tcW w:w="1378" w:type="dxa"/>
            <w:tcBorders>
              <w:top w:val="single" w:sz="4" w:space="0" w:color="auto"/>
              <w:left w:val="single" w:sz="4" w:space="0" w:color="auto"/>
              <w:bottom w:val="single" w:sz="4" w:space="0" w:color="auto"/>
              <w:right w:val="single" w:sz="4" w:space="0" w:color="auto"/>
            </w:tcBorders>
            <w:vAlign w:val="center"/>
          </w:tcPr>
          <w:p w14:paraId="0485B670" w14:textId="2D451FE6" w:rsidR="002F1010" w:rsidRPr="00003D6E" w:rsidRDefault="002F1010" w:rsidP="00A01495">
            <w:pPr>
              <w:spacing w:after="120"/>
              <w:jc w:val="center"/>
              <w:rPr>
                <w:rFonts w:cs="Times New Roman"/>
                <w:sz w:val="20"/>
                <w:szCs w:val="20"/>
              </w:rPr>
            </w:pPr>
            <w:r w:rsidRPr="00003D6E">
              <w:rPr>
                <w:sz w:val="20"/>
                <w:szCs w:val="20"/>
              </w:rPr>
              <w:t>-</w:t>
            </w:r>
          </w:p>
        </w:tc>
      </w:tr>
    </w:tbl>
    <w:p w14:paraId="4B5DAF82" w14:textId="2D3D6FDB" w:rsidR="00C71E15" w:rsidRPr="00003D6E" w:rsidRDefault="00C71E15" w:rsidP="00C71E15">
      <w:pPr>
        <w:pStyle w:val="BMSBodyText"/>
        <w:spacing w:after="0" w:line="240" w:lineRule="auto"/>
        <w:rPr>
          <w:color w:val="auto"/>
          <w:sz w:val="18"/>
          <w:szCs w:val="18"/>
        </w:rPr>
      </w:pPr>
      <w:r w:rsidRPr="00003D6E">
        <w:rPr>
          <w:rStyle w:val="BMSSuperscript"/>
          <w:color w:val="auto"/>
          <w:sz w:val="24"/>
          <w:szCs w:val="18"/>
        </w:rPr>
        <w:t>a</w:t>
      </w:r>
      <w:r w:rsidR="00EC1279" w:rsidRPr="00003D6E">
        <w:rPr>
          <w:color w:val="auto"/>
          <w:sz w:val="18"/>
          <w:szCs w:val="18"/>
        </w:rPr>
        <w:t xml:space="preserve"> </w:t>
      </w:r>
      <w:proofErr w:type="gramStart"/>
      <w:r w:rsidRPr="00003D6E">
        <w:rPr>
          <w:color w:val="auto"/>
          <w:sz w:val="18"/>
          <w:szCs w:val="18"/>
        </w:rPr>
        <w:t>Co-primary endpoints</w:t>
      </w:r>
      <w:proofErr w:type="gramEnd"/>
      <w:r w:rsidRPr="00003D6E">
        <w:rPr>
          <w:color w:val="auto"/>
          <w:sz w:val="18"/>
          <w:szCs w:val="18"/>
        </w:rPr>
        <w:t xml:space="preserve"> comparing </w:t>
      </w:r>
      <w:r w:rsidR="005C7ECB" w:rsidRPr="00003D6E">
        <w:rPr>
          <w:color w:val="auto"/>
          <w:sz w:val="18"/>
          <w:szCs w:val="18"/>
        </w:rPr>
        <w:t>SOTYKTU</w:t>
      </w:r>
      <w:r w:rsidRPr="00003D6E">
        <w:rPr>
          <w:color w:val="auto"/>
          <w:sz w:val="18"/>
          <w:szCs w:val="18"/>
        </w:rPr>
        <w:t xml:space="preserve"> </w:t>
      </w:r>
      <w:r w:rsidR="004714AE" w:rsidRPr="00003D6E">
        <w:rPr>
          <w:color w:val="auto"/>
          <w:sz w:val="18"/>
          <w:szCs w:val="18"/>
        </w:rPr>
        <w:t>with</w:t>
      </w:r>
      <w:r w:rsidRPr="00003D6E">
        <w:rPr>
          <w:color w:val="auto"/>
          <w:sz w:val="18"/>
          <w:szCs w:val="18"/>
        </w:rPr>
        <w:t xml:space="preserve"> placebo</w:t>
      </w:r>
    </w:p>
    <w:p w14:paraId="6422FB65" w14:textId="77777777" w:rsidR="00C71E15" w:rsidRPr="00003D6E" w:rsidRDefault="00C71E15" w:rsidP="00C71E15">
      <w:pPr>
        <w:pStyle w:val="BMSBodyText"/>
        <w:spacing w:after="0" w:line="240" w:lineRule="auto"/>
        <w:rPr>
          <w:color w:val="auto"/>
          <w:sz w:val="18"/>
          <w:szCs w:val="18"/>
        </w:rPr>
      </w:pPr>
      <w:r w:rsidRPr="00003D6E">
        <w:rPr>
          <w:rStyle w:val="BMSSuperscript"/>
          <w:color w:val="auto"/>
          <w:sz w:val="24"/>
          <w:szCs w:val="18"/>
        </w:rPr>
        <w:t>b</w:t>
      </w:r>
      <w:r w:rsidRPr="00003D6E">
        <w:rPr>
          <w:color w:val="auto"/>
          <w:sz w:val="18"/>
          <w:szCs w:val="18"/>
        </w:rPr>
        <w:t xml:space="preserve"> N=504 accounting for missed assessments due to COVID-19 pandemic</w:t>
      </w:r>
    </w:p>
    <w:p w14:paraId="2D13447C" w14:textId="77777777" w:rsidR="00C71E15" w:rsidRPr="00003D6E" w:rsidRDefault="00C71E15" w:rsidP="00C71E15">
      <w:pPr>
        <w:pStyle w:val="BMSBodyText"/>
        <w:spacing w:after="0" w:line="240" w:lineRule="auto"/>
        <w:rPr>
          <w:color w:val="auto"/>
          <w:sz w:val="18"/>
          <w:szCs w:val="18"/>
        </w:rPr>
      </w:pPr>
      <w:r w:rsidRPr="00003D6E">
        <w:rPr>
          <w:rStyle w:val="BMSSuperscript"/>
          <w:color w:val="auto"/>
          <w:sz w:val="24"/>
          <w:szCs w:val="18"/>
        </w:rPr>
        <w:t>c</w:t>
      </w:r>
      <w:r w:rsidRPr="00003D6E">
        <w:rPr>
          <w:color w:val="auto"/>
          <w:sz w:val="18"/>
          <w:szCs w:val="18"/>
        </w:rPr>
        <w:t xml:space="preserve"> Includes only subjects with baseline ss-PGA score of ≥ 3</w:t>
      </w:r>
    </w:p>
    <w:p w14:paraId="57370703" w14:textId="73474098" w:rsidR="00C71E15" w:rsidRPr="00003D6E" w:rsidRDefault="00C71E15" w:rsidP="00C71E15">
      <w:pPr>
        <w:pStyle w:val="BMSBodyText"/>
        <w:spacing w:after="0" w:line="240" w:lineRule="auto"/>
        <w:ind w:left="113" w:hanging="113"/>
        <w:rPr>
          <w:color w:val="auto"/>
          <w:sz w:val="18"/>
          <w:szCs w:val="18"/>
        </w:rPr>
      </w:pPr>
      <w:r w:rsidRPr="00003D6E">
        <w:rPr>
          <w:rStyle w:val="BMSSuperscript"/>
          <w:color w:val="auto"/>
          <w:sz w:val="24"/>
          <w:szCs w:val="18"/>
        </w:rPr>
        <w:t>d</w:t>
      </w:r>
      <w:r w:rsidRPr="00003D6E">
        <w:rPr>
          <w:color w:val="auto"/>
          <w:sz w:val="18"/>
          <w:szCs w:val="18"/>
          <w:vertAlign w:val="superscript"/>
        </w:rPr>
        <w:t xml:space="preserve"> </w:t>
      </w:r>
      <w:r w:rsidRPr="00003D6E">
        <w:rPr>
          <w:color w:val="auto"/>
          <w:sz w:val="18"/>
          <w:szCs w:val="18"/>
        </w:rPr>
        <w:t xml:space="preserve">p ≤ 0.0001 for comparison between </w:t>
      </w:r>
      <w:r w:rsidR="005C7ECB" w:rsidRPr="00003D6E">
        <w:rPr>
          <w:color w:val="auto"/>
          <w:sz w:val="18"/>
          <w:szCs w:val="18"/>
        </w:rPr>
        <w:t>SOTYKTU</w:t>
      </w:r>
      <w:r w:rsidRPr="00003D6E">
        <w:rPr>
          <w:color w:val="auto"/>
          <w:sz w:val="18"/>
          <w:szCs w:val="18"/>
        </w:rPr>
        <w:t xml:space="preserve"> and placebo or </w:t>
      </w:r>
      <w:r w:rsidR="005C7ECB" w:rsidRPr="00003D6E">
        <w:rPr>
          <w:color w:val="auto"/>
          <w:sz w:val="18"/>
          <w:szCs w:val="18"/>
        </w:rPr>
        <w:t>SOTYKTU</w:t>
      </w:r>
      <w:r w:rsidRPr="00003D6E">
        <w:rPr>
          <w:color w:val="auto"/>
          <w:sz w:val="18"/>
          <w:szCs w:val="18"/>
        </w:rPr>
        <w:t xml:space="preserve"> and apremilast</w:t>
      </w:r>
    </w:p>
    <w:p w14:paraId="7514E03E" w14:textId="0F8602DB" w:rsidR="00C71E15" w:rsidRPr="00003D6E" w:rsidRDefault="00C71E15" w:rsidP="00C71E15">
      <w:pPr>
        <w:pStyle w:val="BMSBodyText"/>
        <w:spacing w:after="0" w:line="240" w:lineRule="auto"/>
        <w:rPr>
          <w:color w:val="auto"/>
          <w:sz w:val="18"/>
          <w:szCs w:val="18"/>
        </w:rPr>
      </w:pPr>
      <w:r w:rsidRPr="00003D6E">
        <w:rPr>
          <w:rStyle w:val="BMSSuperscript"/>
          <w:color w:val="auto"/>
          <w:sz w:val="24"/>
          <w:szCs w:val="18"/>
        </w:rPr>
        <w:t>e</w:t>
      </w:r>
      <w:r w:rsidRPr="00003D6E">
        <w:rPr>
          <w:color w:val="auto"/>
          <w:sz w:val="18"/>
          <w:szCs w:val="18"/>
          <w:vertAlign w:val="superscript"/>
        </w:rPr>
        <w:t xml:space="preserve"> </w:t>
      </w:r>
      <w:r w:rsidRPr="00003D6E">
        <w:rPr>
          <w:color w:val="auto"/>
          <w:sz w:val="18"/>
          <w:szCs w:val="18"/>
        </w:rPr>
        <w:t xml:space="preserve">p &lt; 0.001 for comparison between </w:t>
      </w:r>
      <w:r w:rsidR="005C7ECB" w:rsidRPr="00003D6E">
        <w:rPr>
          <w:color w:val="auto"/>
          <w:sz w:val="18"/>
          <w:szCs w:val="18"/>
        </w:rPr>
        <w:t>SOTYKTU</w:t>
      </w:r>
      <w:r w:rsidRPr="00003D6E">
        <w:rPr>
          <w:color w:val="auto"/>
          <w:sz w:val="18"/>
          <w:szCs w:val="18"/>
        </w:rPr>
        <w:t xml:space="preserve"> and apremilast</w:t>
      </w:r>
    </w:p>
    <w:p w14:paraId="3CEBA8C7" w14:textId="232833F2" w:rsidR="00C71E15" w:rsidRPr="00003D6E" w:rsidRDefault="00C71E15" w:rsidP="00C71E15">
      <w:pPr>
        <w:pStyle w:val="BMSBodyText"/>
        <w:spacing w:after="0" w:line="240" w:lineRule="auto"/>
        <w:rPr>
          <w:color w:val="auto"/>
          <w:sz w:val="18"/>
          <w:szCs w:val="18"/>
        </w:rPr>
      </w:pPr>
      <w:r w:rsidRPr="00003D6E">
        <w:rPr>
          <w:rStyle w:val="BMSSuperscript"/>
          <w:color w:val="auto"/>
          <w:sz w:val="24"/>
          <w:szCs w:val="18"/>
        </w:rPr>
        <w:t>f</w:t>
      </w:r>
      <w:r w:rsidRPr="00003D6E">
        <w:rPr>
          <w:color w:val="auto"/>
          <w:sz w:val="18"/>
          <w:szCs w:val="18"/>
          <w:vertAlign w:val="superscript"/>
        </w:rPr>
        <w:t xml:space="preserve"> </w:t>
      </w:r>
      <w:r w:rsidRPr="00003D6E">
        <w:rPr>
          <w:color w:val="auto"/>
          <w:sz w:val="18"/>
          <w:szCs w:val="18"/>
        </w:rPr>
        <w:t xml:space="preserve">p &lt; 0.01 for comparison between </w:t>
      </w:r>
      <w:r w:rsidR="005C7ECB" w:rsidRPr="00003D6E">
        <w:rPr>
          <w:color w:val="auto"/>
          <w:sz w:val="18"/>
          <w:szCs w:val="18"/>
        </w:rPr>
        <w:t>SOTYKTU</w:t>
      </w:r>
      <w:r w:rsidRPr="00003D6E">
        <w:rPr>
          <w:color w:val="auto"/>
          <w:sz w:val="18"/>
          <w:szCs w:val="18"/>
        </w:rPr>
        <w:t xml:space="preserve"> and apremilast</w:t>
      </w:r>
    </w:p>
    <w:p w14:paraId="4B01C4AA" w14:textId="77777777" w:rsidR="00447BDE" w:rsidRPr="00003D6E" w:rsidRDefault="00447BDE" w:rsidP="00447BDE"/>
    <w:p w14:paraId="08706350" w14:textId="585DA115" w:rsidR="004914A4" w:rsidRPr="00003D6E" w:rsidRDefault="004914A4" w:rsidP="001E2CB9">
      <w:r w:rsidRPr="00003D6E">
        <w:t xml:space="preserve">Examination of age, gender, race, body weight, duration of disease, baseline disease severity, and previous treatment with biologic or non-biologic agents did not identify differences in response to </w:t>
      </w:r>
      <w:r w:rsidR="005C7ECB" w:rsidRPr="00003D6E">
        <w:t>SOTYKTU</w:t>
      </w:r>
      <w:r w:rsidRPr="00003D6E">
        <w:t xml:space="preserve"> among these subgroups.</w:t>
      </w:r>
    </w:p>
    <w:p w14:paraId="371C2041" w14:textId="77777777" w:rsidR="00706AEB" w:rsidRPr="00003D6E" w:rsidRDefault="00706AEB" w:rsidP="00D30D16">
      <w:pPr>
        <w:rPr>
          <w:b/>
          <w:bCs/>
        </w:rPr>
      </w:pPr>
      <w:r w:rsidRPr="00003D6E">
        <w:rPr>
          <w:b/>
          <w:bCs/>
        </w:rPr>
        <w:t>Response over time</w:t>
      </w:r>
    </w:p>
    <w:p w14:paraId="3438DCE9" w14:textId="11A94937" w:rsidR="00706AEB" w:rsidRPr="00003D6E" w:rsidRDefault="005C7ECB" w:rsidP="00706AEB">
      <w:r w:rsidRPr="00003D6E">
        <w:t>SOTYKTU</w:t>
      </w:r>
      <w:r w:rsidR="00706AEB" w:rsidRPr="00003D6E">
        <w:t xml:space="preserve"> demonstrated rapid onset of efficacy, with higher percent improvement in PASI from baseline as compared with placebo as early as Week 1 </w:t>
      </w:r>
      <w:r w:rsidR="004B3001" w:rsidRPr="00003D6E">
        <w:t>(</w:t>
      </w:r>
      <w:r w:rsidR="00706AEB" w:rsidRPr="00003D6E">
        <w:t>POETYK PSO-1 and PSO-2</w:t>
      </w:r>
      <w:r w:rsidR="004B3001" w:rsidRPr="00003D6E">
        <w:t>)</w:t>
      </w:r>
      <w:r w:rsidR="00706AEB" w:rsidRPr="00003D6E">
        <w:t xml:space="preserve">. The percentage of patients achieving a PASI 75 response was higher for </w:t>
      </w:r>
      <w:r w:rsidRPr="00003D6E">
        <w:t>SOTYKTU</w:t>
      </w:r>
      <w:r w:rsidR="00706AEB" w:rsidRPr="00003D6E">
        <w:t xml:space="preserve"> compared to placebo by Week 4, with maximum PASI 75 response achieved by Week 24 </w:t>
      </w:r>
      <w:r w:rsidR="009D381D" w:rsidRPr="00003D6E">
        <w:t xml:space="preserve">(POETYK PSO-1 and PSO-2) </w:t>
      </w:r>
      <w:r w:rsidR="00706AEB" w:rsidRPr="00003D6E">
        <w:t>and maintained through Week 52</w:t>
      </w:r>
      <w:r w:rsidR="009D381D" w:rsidRPr="00003D6E">
        <w:t xml:space="preserve"> (POETYK PSO-1)</w:t>
      </w:r>
      <w:r w:rsidR="00706AEB" w:rsidRPr="00003D6E">
        <w:t xml:space="preserve"> (see </w:t>
      </w:r>
      <w:r w:rsidR="003E50C5" w:rsidRPr="00003D6E">
        <w:fldChar w:fldCharType="begin"/>
      </w:r>
      <w:r w:rsidR="003E50C5" w:rsidRPr="00003D6E">
        <w:instrText xml:space="preserve"> REF _Ref81564511 \h  \* MERGEFORMAT </w:instrText>
      </w:r>
      <w:r w:rsidR="003E50C5" w:rsidRPr="00003D6E">
        <w:fldChar w:fldCharType="separate"/>
      </w:r>
      <w:r w:rsidR="00006DA4" w:rsidRPr="0053039A">
        <w:t>Figure 1</w:t>
      </w:r>
      <w:r w:rsidR="003E50C5" w:rsidRPr="00003D6E">
        <w:fldChar w:fldCharType="end"/>
      </w:r>
      <w:r w:rsidR="00706AEB" w:rsidRPr="00003D6E">
        <w:t xml:space="preserve">). </w:t>
      </w:r>
    </w:p>
    <w:p w14:paraId="2FE4CAC4" w14:textId="55C2D26F" w:rsidR="00706AEB" w:rsidRPr="00003D6E" w:rsidRDefault="003E50C5" w:rsidP="003E50C5">
      <w:pPr>
        <w:pStyle w:val="Caption"/>
        <w:keepNext/>
        <w:ind w:left="1134" w:hanging="1134"/>
        <w:rPr>
          <w:b/>
          <w:bCs/>
          <w:i w:val="0"/>
          <w:iCs w:val="0"/>
          <w:color w:val="auto"/>
          <w:sz w:val="22"/>
          <w:szCs w:val="22"/>
        </w:rPr>
      </w:pPr>
      <w:bookmarkStart w:id="30" w:name="_Ref81564511"/>
      <w:r w:rsidRPr="00003D6E">
        <w:rPr>
          <w:b/>
          <w:bCs/>
          <w:i w:val="0"/>
          <w:iCs w:val="0"/>
          <w:color w:val="auto"/>
          <w:sz w:val="22"/>
          <w:szCs w:val="22"/>
        </w:rPr>
        <w:lastRenderedPageBreak/>
        <w:t xml:space="preserve">Figure </w:t>
      </w:r>
      <w:r w:rsidRPr="00003D6E">
        <w:rPr>
          <w:b/>
          <w:bCs/>
          <w:i w:val="0"/>
          <w:iCs w:val="0"/>
          <w:color w:val="auto"/>
          <w:sz w:val="22"/>
          <w:szCs w:val="22"/>
        </w:rPr>
        <w:fldChar w:fldCharType="begin"/>
      </w:r>
      <w:r w:rsidRPr="00003D6E">
        <w:rPr>
          <w:b/>
          <w:bCs/>
          <w:i w:val="0"/>
          <w:iCs w:val="0"/>
          <w:color w:val="auto"/>
          <w:sz w:val="22"/>
          <w:szCs w:val="22"/>
        </w:rPr>
        <w:instrText xml:space="preserve"> SEQ Figure \* ARABIC </w:instrText>
      </w:r>
      <w:r w:rsidRPr="00003D6E">
        <w:rPr>
          <w:b/>
          <w:bCs/>
          <w:i w:val="0"/>
          <w:iCs w:val="0"/>
          <w:color w:val="auto"/>
          <w:sz w:val="22"/>
          <w:szCs w:val="22"/>
        </w:rPr>
        <w:fldChar w:fldCharType="separate"/>
      </w:r>
      <w:r w:rsidR="00006DA4">
        <w:rPr>
          <w:b/>
          <w:bCs/>
          <w:i w:val="0"/>
          <w:iCs w:val="0"/>
          <w:noProof/>
          <w:color w:val="auto"/>
          <w:sz w:val="22"/>
          <w:szCs w:val="22"/>
        </w:rPr>
        <w:t>1</w:t>
      </w:r>
      <w:r w:rsidRPr="00003D6E">
        <w:rPr>
          <w:b/>
          <w:bCs/>
          <w:i w:val="0"/>
          <w:iCs w:val="0"/>
          <w:color w:val="auto"/>
          <w:sz w:val="22"/>
          <w:szCs w:val="22"/>
        </w:rPr>
        <w:fldChar w:fldCharType="end"/>
      </w:r>
      <w:bookmarkEnd w:id="30"/>
      <w:r w:rsidR="00706AEB" w:rsidRPr="00003D6E">
        <w:rPr>
          <w:b/>
          <w:bCs/>
          <w:i w:val="0"/>
          <w:iCs w:val="0"/>
          <w:color w:val="auto"/>
          <w:sz w:val="22"/>
          <w:szCs w:val="22"/>
        </w:rPr>
        <w:t>:</w:t>
      </w:r>
      <w:r w:rsidR="00706AEB" w:rsidRPr="00003D6E">
        <w:rPr>
          <w:b/>
          <w:bCs/>
          <w:i w:val="0"/>
          <w:iCs w:val="0"/>
          <w:color w:val="auto"/>
          <w:sz w:val="22"/>
          <w:szCs w:val="22"/>
        </w:rPr>
        <w:tab/>
        <w:t>PASI 75 response (NRI) through Week 52 by visit in POETYK PSO-1</w:t>
      </w:r>
    </w:p>
    <w:p w14:paraId="77438D2D" w14:textId="217B895E" w:rsidR="00706AEB" w:rsidRPr="00003D6E" w:rsidRDefault="00B95439" w:rsidP="00B95439">
      <w:pPr>
        <w:keepNext/>
        <w:ind w:left="284"/>
      </w:pPr>
      <w:r w:rsidRPr="00003D6E">
        <w:rPr>
          <w:noProof/>
          <w:szCs w:val="20"/>
        </w:rPr>
        <mc:AlternateContent>
          <mc:Choice Requires="wps">
            <w:drawing>
              <wp:anchor distT="0" distB="0" distL="114300" distR="114300" simplePos="0" relativeHeight="251658240" behindDoc="0" locked="0" layoutInCell="1" allowOverlap="1" wp14:anchorId="34B4E602" wp14:editId="2E100B0E">
                <wp:simplePos x="0" y="0"/>
                <wp:positionH relativeFrom="column">
                  <wp:posOffset>908685</wp:posOffset>
                </wp:positionH>
                <wp:positionV relativeFrom="paragraph">
                  <wp:posOffset>48433</wp:posOffset>
                </wp:positionV>
                <wp:extent cx="1440180" cy="448573"/>
                <wp:effectExtent l="0" t="0" r="7620" b="8890"/>
                <wp:wrapNone/>
                <wp:docPr id="15" name="Text Box 15"/>
                <wp:cNvGraphicFramePr/>
                <a:graphic xmlns:a="http://schemas.openxmlformats.org/drawingml/2006/main">
                  <a:graphicData uri="http://schemas.microsoft.com/office/word/2010/wordprocessingShape">
                    <wps:wsp>
                      <wps:cNvSpPr txBox="1"/>
                      <wps:spPr>
                        <a:xfrm>
                          <a:off x="0" y="0"/>
                          <a:ext cx="1440180" cy="448573"/>
                        </a:xfrm>
                        <a:prstGeom prst="rect">
                          <a:avLst/>
                        </a:prstGeom>
                        <a:solidFill>
                          <a:schemeClr val="lt1"/>
                        </a:solidFill>
                        <a:ln w="6350">
                          <a:noFill/>
                        </a:ln>
                      </wps:spPr>
                      <wps:txbx>
                        <w:txbxContent>
                          <w:p w14:paraId="1053DE65" w14:textId="77777777" w:rsidR="003E50C5" w:rsidRPr="003E50C5" w:rsidRDefault="00706AEB" w:rsidP="003E50C5">
                            <w:pPr>
                              <w:pStyle w:val="BMSBodyText"/>
                              <w:spacing w:after="0" w:line="240" w:lineRule="auto"/>
                              <w:rPr>
                                <w:color w:val="auto"/>
                                <w:sz w:val="18"/>
                                <w:szCs w:val="18"/>
                              </w:rPr>
                            </w:pPr>
                            <w:r w:rsidRPr="003E50C5">
                              <w:rPr>
                                <w:color w:val="auto"/>
                                <w:sz w:val="18"/>
                                <w:szCs w:val="18"/>
                              </w:rPr>
                              <w:t>deucravacitinib, n=332</w:t>
                            </w:r>
                          </w:p>
                          <w:p w14:paraId="21105E0F" w14:textId="2AF4E722" w:rsidR="00706AEB" w:rsidRPr="003E50C5" w:rsidRDefault="00706AEB" w:rsidP="003E50C5">
                            <w:pPr>
                              <w:pStyle w:val="BMSBodyText"/>
                              <w:spacing w:after="0" w:line="240" w:lineRule="auto"/>
                              <w:rPr>
                                <w:color w:val="auto"/>
                                <w:sz w:val="18"/>
                                <w:szCs w:val="18"/>
                              </w:rPr>
                            </w:pPr>
                            <w:r w:rsidRPr="003E50C5">
                              <w:rPr>
                                <w:color w:val="auto"/>
                                <w:sz w:val="18"/>
                                <w:szCs w:val="18"/>
                              </w:rPr>
                              <w:t>apremilast, n=168</w:t>
                            </w:r>
                          </w:p>
                          <w:p w14:paraId="0BF524EB" w14:textId="77777777" w:rsidR="00706AEB" w:rsidRDefault="00706AEB" w:rsidP="00706AEB">
                            <w:pPr>
                              <w:rPr>
                                <w:sz w:val="16"/>
                                <w:szCs w:val="16"/>
                              </w:rPr>
                            </w:pPr>
                            <w:r>
                              <w:rPr>
                                <w:sz w:val="16"/>
                                <w:szCs w:val="16"/>
                              </w:rPr>
                              <w:t>placebo, n=166</w:t>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4E602" id="_x0000_t202" coordsize="21600,21600" o:spt="202" path="m,l,21600r21600,l21600,xe">
                <v:stroke joinstyle="miter"/>
                <v:path gradientshapeok="t" o:connecttype="rect"/>
              </v:shapetype>
              <v:shape id="Text Box 15" o:spid="_x0000_s1026" type="#_x0000_t202" style="position:absolute;left:0;text-align:left;margin-left:71.55pt;margin-top:3.8pt;width:113.4pt;height:3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" fillcolor="white [3201]" stroked="f" strokeweight=".5pt">
                <v:textbox inset="1mm,.5mm,1mm,.5mm">
                  <w:txbxContent>
                    <w:p w14:paraId="1053DE65" w14:textId="77777777" w:rsidR="003E50C5" w:rsidRPr="003E50C5" w:rsidRDefault="00706AEB" w:rsidP="003E50C5">
                      <w:pPr>
                        <w:pStyle w:val="BMSBodyText"/>
                        <w:spacing w:after="0" w:line="240" w:lineRule="auto"/>
                        <w:rPr>
                          <w:color w:val="auto"/>
                          <w:sz w:val="18"/>
                          <w:szCs w:val="18"/>
                        </w:rPr>
                      </w:pPr>
                      <w:r w:rsidRPr="003E50C5">
                        <w:rPr>
                          <w:color w:val="auto"/>
                          <w:sz w:val="18"/>
                          <w:szCs w:val="18"/>
                        </w:rPr>
                        <w:t>deucravacitinib, n=332</w:t>
                      </w:r>
                    </w:p>
                    <w:p w14:paraId="21105E0F" w14:textId="2AF4E722" w:rsidR="00706AEB" w:rsidRPr="003E50C5" w:rsidRDefault="00706AEB" w:rsidP="003E50C5">
                      <w:pPr>
                        <w:pStyle w:val="BMSBodyText"/>
                        <w:spacing w:after="0" w:line="240" w:lineRule="auto"/>
                        <w:rPr>
                          <w:color w:val="auto"/>
                          <w:sz w:val="18"/>
                          <w:szCs w:val="18"/>
                        </w:rPr>
                      </w:pPr>
                      <w:r w:rsidRPr="003E50C5">
                        <w:rPr>
                          <w:color w:val="auto"/>
                          <w:sz w:val="18"/>
                          <w:szCs w:val="18"/>
                        </w:rPr>
                        <w:t>apremilast, n=168</w:t>
                      </w:r>
                    </w:p>
                    <w:p w14:paraId="0BF524EB" w14:textId="77777777" w:rsidR="00706AEB" w:rsidRDefault="00706AEB" w:rsidP="00706AEB">
                      <w:pPr>
                        <w:rPr>
                          <w:sz w:val="16"/>
                          <w:szCs w:val="16"/>
                        </w:rPr>
                      </w:pPr>
                      <w:r>
                        <w:rPr>
                          <w:sz w:val="16"/>
                          <w:szCs w:val="16"/>
                        </w:rPr>
                        <w:t>placebo, n=166</w:t>
                      </w:r>
                    </w:p>
                  </w:txbxContent>
                </v:textbox>
              </v:shape>
            </w:pict>
          </mc:Fallback>
        </mc:AlternateContent>
      </w:r>
      <w:r w:rsidR="003E50C5" w:rsidRPr="00003D6E">
        <w:rPr>
          <w:noProof/>
          <w:szCs w:val="20"/>
        </w:rPr>
        <mc:AlternateContent>
          <mc:Choice Requires="wps">
            <w:drawing>
              <wp:anchor distT="0" distB="0" distL="114300" distR="114300" simplePos="0" relativeHeight="251658242" behindDoc="1" locked="0" layoutInCell="1" allowOverlap="1" wp14:anchorId="6BD7222F" wp14:editId="6C5DB382">
                <wp:simplePos x="0" y="0"/>
                <wp:positionH relativeFrom="column">
                  <wp:posOffset>2664124</wp:posOffset>
                </wp:positionH>
                <wp:positionV relativeFrom="paragraph">
                  <wp:posOffset>1535933</wp:posOffset>
                </wp:positionV>
                <wp:extent cx="396815" cy="152400"/>
                <wp:effectExtent l="0" t="0" r="3810" b="0"/>
                <wp:wrapNone/>
                <wp:docPr id="12" name="Text Box 12"/>
                <wp:cNvGraphicFramePr/>
                <a:graphic xmlns:a="http://schemas.openxmlformats.org/drawingml/2006/main">
                  <a:graphicData uri="http://schemas.microsoft.com/office/word/2010/wordprocessingShape">
                    <wps:wsp>
                      <wps:cNvSpPr txBox="1"/>
                      <wps:spPr>
                        <a:xfrm>
                          <a:off x="0" y="0"/>
                          <a:ext cx="396815" cy="152400"/>
                        </a:xfrm>
                        <a:prstGeom prst="rect">
                          <a:avLst/>
                        </a:prstGeom>
                        <a:solidFill>
                          <a:schemeClr val="lt1"/>
                        </a:solidFill>
                        <a:ln w="6350">
                          <a:noFill/>
                        </a:ln>
                      </wps:spPr>
                      <wps:txbx>
                        <w:txbxContent>
                          <w:p w14:paraId="711B9E39" w14:textId="77777777" w:rsidR="00706AEB" w:rsidRPr="003E50C5" w:rsidRDefault="00706AEB" w:rsidP="00706AEB">
                            <w:pPr>
                              <w:rPr>
                                <w:sz w:val="18"/>
                                <w:szCs w:val="18"/>
                              </w:rPr>
                            </w:pPr>
                            <w:r w:rsidRPr="003E50C5">
                              <w:rPr>
                                <w:sz w:val="18"/>
                                <w:szCs w:val="18"/>
                              </w:rPr>
                              <w:t>Week</w:t>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7222F" id="Text Box 12" o:spid="_x0000_s1027" type="#_x0000_t202" style="position:absolute;left:0;text-align:left;margin-left:209.75pt;margin-top:120.95pt;width:31.25pt;height:1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" fillcolor="white [3201]" stroked="f" strokeweight=".5pt">
                <v:textbox inset="1mm,.5mm,1mm,.5mm">
                  <w:txbxContent>
                    <w:p w14:paraId="711B9E39" w14:textId="77777777" w:rsidR="00706AEB" w:rsidRPr="003E50C5" w:rsidRDefault="00706AEB" w:rsidP="00706AEB">
                      <w:pPr>
                        <w:rPr>
                          <w:sz w:val="18"/>
                          <w:szCs w:val="18"/>
                        </w:rPr>
                      </w:pPr>
                      <w:r w:rsidRPr="003E50C5">
                        <w:rPr>
                          <w:sz w:val="18"/>
                          <w:szCs w:val="18"/>
                        </w:rPr>
                        <w:t>Week</w:t>
                      </w:r>
                    </w:p>
                  </w:txbxContent>
                </v:textbox>
              </v:shape>
            </w:pict>
          </mc:Fallback>
        </mc:AlternateContent>
      </w:r>
      <w:r w:rsidR="003E50C5" w:rsidRPr="00003D6E">
        <w:rPr>
          <w:noProof/>
          <w:szCs w:val="20"/>
        </w:rPr>
        <mc:AlternateContent>
          <mc:Choice Requires="wps">
            <w:drawing>
              <wp:anchor distT="0" distB="0" distL="114300" distR="114300" simplePos="0" relativeHeight="251658241" behindDoc="0" locked="0" layoutInCell="1" allowOverlap="1" wp14:anchorId="1AE8B0E6" wp14:editId="5C393284">
                <wp:simplePos x="0" y="0"/>
                <wp:positionH relativeFrom="column">
                  <wp:posOffset>-531500</wp:posOffset>
                </wp:positionH>
                <wp:positionV relativeFrom="paragraph">
                  <wp:posOffset>487452</wp:posOffset>
                </wp:positionV>
                <wp:extent cx="1180986" cy="206944"/>
                <wp:effectExtent l="0" t="8255" r="0" b="0"/>
                <wp:wrapNone/>
                <wp:docPr id="13" name="Text Box 13"/>
                <wp:cNvGraphicFramePr/>
                <a:graphic xmlns:a="http://schemas.openxmlformats.org/drawingml/2006/main">
                  <a:graphicData uri="http://schemas.microsoft.com/office/word/2010/wordprocessingShape">
                    <wps:wsp>
                      <wps:cNvSpPr txBox="1"/>
                      <wps:spPr>
                        <a:xfrm rot="16200000">
                          <a:off x="0" y="0"/>
                          <a:ext cx="1180986" cy="206944"/>
                        </a:xfrm>
                        <a:prstGeom prst="rect">
                          <a:avLst/>
                        </a:prstGeom>
                        <a:solidFill>
                          <a:schemeClr val="lt1"/>
                        </a:solidFill>
                        <a:ln w="6350">
                          <a:noFill/>
                        </a:ln>
                      </wps:spPr>
                      <wps:txbx>
                        <w:txbxContent>
                          <w:p w14:paraId="52814676" w14:textId="77777777" w:rsidR="00706AEB" w:rsidRPr="003E50C5" w:rsidRDefault="00706AEB" w:rsidP="00706AEB">
                            <w:pPr>
                              <w:rPr>
                                <w:sz w:val="18"/>
                                <w:szCs w:val="18"/>
                              </w:rPr>
                            </w:pPr>
                            <w:r w:rsidRPr="003E50C5">
                              <w:rPr>
                                <w:sz w:val="18"/>
                                <w:szCs w:val="18"/>
                              </w:rPr>
                              <w:t>Percent of Patients (%)</w:t>
                            </w:r>
                          </w:p>
                        </w:txbxContent>
                      </wps:txbx>
                      <wps:bodyPr rot="0" spcFirstLastPara="0" vertOverflow="overflow" horzOverflow="overflow" vert="horz" wrap="square" lIns="36000" tIns="18000" rIns="36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8B0E6" id="Text Box 13" o:spid="_x0000_s1028" type="#_x0000_t202" style="position:absolute;left:0;text-align:left;margin-left:-41.85pt;margin-top:38.4pt;width:93pt;height:16.3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" fillcolor="white [3201]" stroked="f" strokeweight=".5pt">
                <v:textbox inset="1mm,.5mm,1mm,.5mm">
                  <w:txbxContent>
                    <w:p w14:paraId="52814676" w14:textId="77777777" w:rsidR="00706AEB" w:rsidRPr="003E50C5" w:rsidRDefault="00706AEB" w:rsidP="00706AEB">
                      <w:pPr>
                        <w:rPr>
                          <w:sz w:val="18"/>
                          <w:szCs w:val="18"/>
                        </w:rPr>
                      </w:pPr>
                      <w:r w:rsidRPr="003E50C5">
                        <w:rPr>
                          <w:sz w:val="18"/>
                          <w:szCs w:val="18"/>
                        </w:rPr>
                        <w:t>Percent of Patients (%)</w:t>
                      </w:r>
                    </w:p>
                  </w:txbxContent>
                </v:textbox>
              </v:shape>
            </w:pict>
          </mc:Fallback>
        </mc:AlternateContent>
      </w:r>
      <w:r w:rsidR="00706AEB" w:rsidRPr="00003D6E">
        <w:rPr>
          <w:noProof/>
          <w:lang w:eastAsia="en-GB"/>
        </w:rPr>
        <w:drawing>
          <wp:inline distT="0" distB="0" distL="0" distR="0" wp14:anchorId="3747573A" wp14:editId="03DF033D">
            <wp:extent cx="6207765" cy="1440612"/>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26395" cy="1444935"/>
                    </a:xfrm>
                    <a:prstGeom prst="rect">
                      <a:avLst/>
                    </a:prstGeom>
                    <a:noFill/>
                    <a:ln>
                      <a:noFill/>
                    </a:ln>
                  </pic:spPr>
                </pic:pic>
              </a:graphicData>
            </a:graphic>
          </wp:inline>
        </w:drawing>
      </w:r>
    </w:p>
    <w:p w14:paraId="758BFE97" w14:textId="5B9BDC11" w:rsidR="00706AEB" w:rsidRPr="00003D6E" w:rsidRDefault="00706AEB" w:rsidP="003E50C5"/>
    <w:p w14:paraId="52F8919F" w14:textId="0A306549" w:rsidR="00706AEB" w:rsidRPr="00003D6E" w:rsidRDefault="00706AEB" w:rsidP="003761AC">
      <w:pPr>
        <w:rPr>
          <w:i/>
          <w:iCs/>
          <w:szCs w:val="20"/>
        </w:rPr>
      </w:pPr>
      <w:r w:rsidRPr="00003D6E">
        <w:t>In POETYK PSO-1, among patients initially randomised to apremilast who did not achieve PASI</w:t>
      </w:r>
      <w:r w:rsidRPr="00003D6E">
        <w:rPr>
          <w:noProof/>
        </w:rPr>
        <w:t> </w:t>
      </w:r>
      <w:r w:rsidRPr="00003D6E">
        <w:t xml:space="preserve">50 response and were switched to </w:t>
      </w:r>
      <w:r w:rsidR="005C7ECB" w:rsidRPr="00003D6E">
        <w:t>SOTYKTU</w:t>
      </w:r>
      <w:r w:rsidRPr="00003D6E">
        <w:t xml:space="preserve"> at Week</w:t>
      </w:r>
      <w:r w:rsidR="00F160B9" w:rsidRPr="00003D6E">
        <w:t> </w:t>
      </w:r>
      <w:r w:rsidRPr="00003D6E">
        <w:t>24, 46.3% achieved PASI</w:t>
      </w:r>
      <w:r w:rsidRPr="00003D6E">
        <w:rPr>
          <w:noProof/>
        </w:rPr>
        <w:t> </w:t>
      </w:r>
      <w:r w:rsidRPr="00003D6E">
        <w:t>75 response by Week</w:t>
      </w:r>
      <w:r w:rsidRPr="00003D6E">
        <w:rPr>
          <w:noProof/>
        </w:rPr>
        <w:t> </w:t>
      </w:r>
      <w:r w:rsidRPr="00003D6E">
        <w:t xml:space="preserve">52. </w:t>
      </w:r>
    </w:p>
    <w:p w14:paraId="146DA1CB" w14:textId="25C818E9" w:rsidR="00447BDE" w:rsidRPr="00003D6E" w:rsidRDefault="00447BDE" w:rsidP="001E2CB9">
      <w:pPr>
        <w:rPr>
          <w:b/>
          <w:bCs/>
        </w:rPr>
      </w:pPr>
      <w:r w:rsidRPr="00003D6E">
        <w:rPr>
          <w:b/>
          <w:bCs/>
        </w:rPr>
        <w:t>Maintenance and Durability of Response</w:t>
      </w:r>
    </w:p>
    <w:p w14:paraId="4A09302D" w14:textId="0A390FE9" w:rsidR="00A77974" w:rsidRPr="00003D6E" w:rsidRDefault="00A77974" w:rsidP="00A77974">
      <w:r w:rsidRPr="00003D6E">
        <w:t>In POETYK PSO-1, among patients who received</w:t>
      </w:r>
      <w:r w:rsidR="00E6565F" w:rsidRPr="00003D6E">
        <w:t xml:space="preserve"> </w:t>
      </w:r>
      <w:r w:rsidR="005C7ECB" w:rsidRPr="00003D6E">
        <w:t>SOTYKTU</w:t>
      </w:r>
      <w:r w:rsidRPr="00003D6E">
        <w:t xml:space="preserve"> and achieved PASI</w:t>
      </w:r>
      <w:r w:rsidR="00F160B9" w:rsidRPr="00003D6E">
        <w:t> </w:t>
      </w:r>
      <w:r w:rsidRPr="00003D6E">
        <w:t>75 response at Week</w:t>
      </w:r>
      <w:r w:rsidR="00F160B9" w:rsidRPr="00003D6E">
        <w:t> </w:t>
      </w:r>
      <w:r w:rsidRPr="00003D6E">
        <w:t xml:space="preserve">24, 81.3% of patients who </w:t>
      </w:r>
      <w:proofErr w:type="gramStart"/>
      <w:r w:rsidRPr="00003D6E">
        <w:t>continued on</w:t>
      </w:r>
      <w:proofErr w:type="gramEnd"/>
      <w:r w:rsidRPr="00003D6E">
        <w:t xml:space="preserve"> </w:t>
      </w:r>
      <w:r w:rsidR="005C7ECB" w:rsidRPr="00003D6E">
        <w:t>SOTYKTU</w:t>
      </w:r>
      <w:r w:rsidRPr="00003D6E">
        <w:t xml:space="preserve"> maintained PASI</w:t>
      </w:r>
      <w:r w:rsidR="00F160B9" w:rsidRPr="00003D6E">
        <w:t> </w:t>
      </w:r>
      <w:r w:rsidRPr="00003D6E">
        <w:t>75 response at Week</w:t>
      </w:r>
      <w:r w:rsidR="00F160B9" w:rsidRPr="00003D6E">
        <w:t> </w:t>
      </w:r>
      <w:r w:rsidRPr="00003D6E">
        <w:t>52. Among PASI</w:t>
      </w:r>
      <w:r w:rsidR="00F160B9" w:rsidRPr="00003D6E">
        <w:t> </w:t>
      </w:r>
      <w:r w:rsidRPr="00003D6E">
        <w:t>90 responders at Week</w:t>
      </w:r>
      <w:r w:rsidR="004B776A" w:rsidRPr="00003D6E">
        <w:t> </w:t>
      </w:r>
      <w:r w:rsidRPr="00003D6E">
        <w:t xml:space="preserve">24, </w:t>
      </w:r>
      <w:r w:rsidR="00473CF1" w:rsidRPr="00003D6E">
        <w:t>73.6</w:t>
      </w:r>
      <w:r w:rsidRPr="00003D6E">
        <w:t>% of patients maintained PASI</w:t>
      </w:r>
      <w:r w:rsidR="004B776A" w:rsidRPr="00003D6E">
        <w:t> </w:t>
      </w:r>
      <w:r w:rsidRPr="00003D6E">
        <w:t>90 response at Week</w:t>
      </w:r>
      <w:r w:rsidR="004B776A" w:rsidRPr="00003D6E">
        <w:t> </w:t>
      </w:r>
      <w:r w:rsidRPr="00003D6E">
        <w:t xml:space="preserve">52. Among </w:t>
      </w:r>
      <w:proofErr w:type="spellStart"/>
      <w:r w:rsidRPr="00003D6E">
        <w:t>sPGA</w:t>
      </w:r>
      <w:proofErr w:type="spellEnd"/>
      <w:r w:rsidR="004B776A" w:rsidRPr="00003D6E">
        <w:t> </w:t>
      </w:r>
      <w:r w:rsidRPr="00003D6E">
        <w:t>0/1 responders at Week</w:t>
      </w:r>
      <w:r w:rsidR="004B776A" w:rsidRPr="00003D6E">
        <w:t> </w:t>
      </w:r>
      <w:r w:rsidRPr="00003D6E">
        <w:t xml:space="preserve">24, 77.4% of patients maintained </w:t>
      </w:r>
      <w:proofErr w:type="spellStart"/>
      <w:r w:rsidRPr="00003D6E">
        <w:t>sPGA</w:t>
      </w:r>
      <w:proofErr w:type="spellEnd"/>
      <w:r w:rsidR="004B776A" w:rsidRPr="00003D6E">
        <w:t> </w:t>
      </w:r>
      <w:r w:rsidRPr="00003D6E">
        <w:t>0/1 response at Week</w:t>
      </w:r>
      <w:r w:rsidR="004B776A" w:rsidRPr="00003D6E">
        <w:t> </w:t>
      </w:r>
      <w:r w:rsidRPr="00003D6E">
        <w:t>52.</w:t>
      </w:r>
    </w:p>
    <w:p w14:paraId="681AB98A" w14:textId="0CEC082D" w:rsidR="00A77974" w:rsidRPr="00003D6E" w:rsidRDefault="00A77974" w:rsidP="00A77974">
      <w:r w:rsidRPr="00003D6E">
        <w:t>In POETYK PSO-2, to evaluate maintenance and durability of response, patients who were originally randomi</w:t>
      </w:r>
      <w:r w:rsidR="00941F92" w:rsidRPr="00003D6E">
        <w:t>s</w:t>
      </w:r>
      <w:r w:rsidRPr="00003D6E">
        <w:t xml:space="preserve">ed to </w:t>
      </w:r>
      <w:r w:rsidR="005C7ECB" w:rsidRPr="00003D6E">
        <w:t>SOTYKTU</w:t>
      </w:r>
      <w:r w:rsidRPr="00003D6E">
        <w:t xml:space="preserve"> and were PASI</w:t>
      </w:r>
      <w:r w:rsidR="004B776A" w:rsidRPr="00003D6E">
        <w:t> </w:t>
      </w:r>
      <w:r w:rsidRPr="00003D6E">
        <w:t>75 responders at Week</w:t>
      </w:r>
      <w:r w:rsidR="004B776A" w:rsidRPr="00003D6E">
        <w:t> </w:t>
      </w:r>
      <w:r w:rsidRPr="00003D6E">
        <w:t>24, were re-randomi</w:t>
      </w:r>
      <w:r w:rsidR="00941F92" w:rsidRPr="00003D6E">
        <w:t>s</w:t>
      </w:r>
      <w:r w:rsidRPr="00003D6E">
        <w:t>ed to either continue treatment on</w:t>
      </w:r>
      <w:r w:rsidR="00E6565F" w:rsidRPr="00003D6E">
        <w:t xml:space="preserve"> </w:t>
      </w:r>
      <w:r w:rsidR="005C7ECB" w:rsidRPr="00003D6E">
        <w:t>SOTYKTU</w:t>
      </w:r>
      <w:r w:rsidRPr="00003D6E">
        <w:t xml:space="preserve"> or receive placebo.</w:t>
      </w:r>
      <w:r w:rsidR="0060428B" w:rsidRPr="00003D6E">
        <w:t xml:space="preserve"> </w:t>
      </w:r>
      <w:r w:rsidRPr="00003D6E">
        <w:t>At Week</w:t>
      </w:r>
      <w:r w:rsidR="004B776A" w:rsidRPr="00003D6E">
        <w:t> </w:t>
      </w:r>
      <w:r w:rsidRPr="00003D6E">
        <w:t xml:space="preserve">52, 80.4% of patients who </w:t>
      </w:r>
      <w:proofErr w:type="gramStart"/>
      <w:r w:rsidRPr="00003D6E">
        <w:t>continued on</w:t>
      </w:r>
      <w:proofErr w:type="gramEnd"/>
      <w:r w:rsidRPr="00003D6E">
        <w:t xml:space="preserve"> </w:t>
      </w:r>
      <w:r w:rsidR="005C7ECB" w:rsidRPr="00003D6E">
        <w:t>SOTYKTU</w:t>
      </w:r>
      <w:r w:rsidRPr="00003D6E">
        <w:t xml:space="preserve"> maintained PASI</w:t>
      </w:r>
      <w:r w:rsidR="004B776A" w:rsidRPr="00003D6E">
        <w:t> </w:t>
      </w:r>
      <w:r w:rsidRPr="00003D6E">
        <w:t xml:space="preserve">75 compared to 31.3% of patients who were </w:t>
      </w:r>
      <w:r w:rsidR="00042FC9" w:rsidRPr="00003D6E">
        <w:t xml:space="preserve">re-randomised to placebo </w:t>
      </w:r>
      <w:r w:rsidRPr="00003D6E">
        <w:t xml:space="preserve">withdrawn from </w:t>
      </w:r>
      <w:r w:rsidR="005C7ECB" w:rsidRPr="00003D6E">
        <w:t>SOTYKTU</w:t>
      </w:r>
      <w:r w:rsidRPr="00003D6E">
        <w:t>. For responders at Week</w:t>
      </w:r>
      <w:r w:rsidR="004B776A" w:rsidRPr="00003D6E">
        <w:t> </w:t>
      </w:r>
      <w:r w:rsidRPr="00003D6E">
        <w:t xml:space="preserve">24 who were </w:t>
      </w:r>
      <w:r w:rsidR="0024071A" w:rsidRPr="00003D6E">
        <w:t>re-randomised to placebo,</w:t>
      </w:r>
      <w:r w:rsidRPr="00003D6E">
        <w:t xml:space="preserve"> the median time to loss of PASI</w:t>
      </w:r>
      <w:r w:rsidR="004B776A" w:rsidRPr="00003D6E">
        <w:t> </w:t>
      </w:r>
      <w:r w:rsidRPr="00003D6E">
        <w:t>75 was approximately 12 weeks.</w:t>
      </w:r>
    </w:p>
    <w:p w14:paraId="2870FE07" w14:textId="35564D24" w:rsidR="001C27A7" w:rsidRPr="00003D6E" w:rsidRDefault="00AC19BC" w:rsidP="00EE6FB9">
      <w:r w:rsidRPr="00003D6E">
        <w:fldChar w:fldCharType="begin"/>
      </w:r>
      <w:r w:rsidRPr="00003D6E">
        <w:instrText xml:space="preserve"> REF _Ref81564738 \h  \* MERGEFORMAT </w:instrText>
      </w:r>
      <w:r w:rsidRPr="00003D6E">
        <w:fldChar w:fldCharType="separate"/>
      </w:r>
      <w:r w:rsidR="00006DA4" w:rsidRPr="00567331">
        <w:t>Figure 2</w:t>
      </w:r>
      <w:r w:rsidRPr="00003D6E">
        <w:fldChar w:fldCharType="end"/>
      </w:r>
      <w:r w:rsidR="001C27A7" w:rsidRPr="00003D6E">
        <w:t xml:space="preserve"> shows the PASI 75 responses in the two arms from Week</w:t>
      </w:r>
      <w:r w:rsidR="00A82CE0" w:rsidRPr="00003D6E">
        <w:t> </w:t>
      </w:r>
      <w:r w:rsidR="001C27A7" w:rsidRPr="00003D6E">
        <w:t xml:space="preserve">24-52. </w:t>
      </w:r>
    </w:p>
    <w:p w14:paraId="28427A0F" w14:textId="4ADA3418" w:rsidR="001C27A7" w:rsidRPr="00003D6E" w:rsidRDefault="003F34C1" w:rsidP="00251F20">
      <w:pPr>
        <w:pStyle w:val="Caption"/>
        <w:keepNext/>
        <w:ind w:left="1134" w:hanging="1134"/>
        <w:rPr>
          <w:b/>
          <w:bCs/>
          <w:i w:val="0"/>
          <w:iCs w:val="0"/>
          <w:color w:val="auto"/>
          <w:sz w:val="22"/>
          <w:szCs w:val="22"/>
        </w:rPr>
      </w:pPr>
      <w:bookmarkStart w:id="31" w:name="_Ref81564738"/>
      <w:r w:rsidRPr="00003D6E">
        <w:rPr>
          <w:b/>
          <w:bCs/>
          <w:i w:val="0"/>
          <w:iCs w:val="0"/>
          <w:noProof/>
          <w:color w:val="auto"/>
          <w:sz w:val="22"/>
          <w:szCs w:val="22"/>
        </w:rPr>
        <mc:AlternateContent>
          <mc:Choice Requires="wpg">
            <w:drawing>
              <wp:anchor distT="0" distB="0" distL="114300" distR="114300" simplePos="0" relativeHeight="251658243" behindDoc="0" locked="0" layoutInCell="1" allowOverlap="1" wp14:anchorId="5FC9191D" wp14:editId="7FC080B9">
                <wp:simplePos x="0" y="0"/>
                <wp:positionH relativeFrom="column">
                  <wp:posOffset>-35943</wp:posOffset>
                </wp:positionH>
                <wp:positionV relativeFrom="paragraph">
                  <wp:posOffset>285295</wp:posOffset>
                </wp:positionV>
                <wp:extent cx="3746849" cy="1495554"/>
                <wp:effectExtent l="0" t="0" r="6350" b="9525"/>
                <wp:wrapNone/>
                <wp:docPr id="7" name="Group 7"/>
                <wp:cNvGraphicFramePr/>
                <a:graphic xmlns:a="http://schemas.openxmlformats.org/drawingml/2006/main">
                  <a:graphicData uri="http://schemas.microsoft.com/office/word/2010/wordprocessingGroup">
                    <wpg:wgp>
                      <wpg:cNvGrpSpPr/>
                      <wpg:grpSpPr>
                        <a:xfrm>
                          <a:off x="0" y="0"/>
                          <a:ext cx="3746849" cy="1495554"/>
                          <a:chOff x="73855" y="-152979"/>
                          <a:chExt cx="1371187" cy="1395517"/>
                        </a:xfrm>
                      </wpg:grpSpPr>
                      <wps:wsp>
                        <wps:cNvPr id="10" name="Text Box 21"/>
                        <wps:cNvSpPr txBox="1"/>
                        <wps:spPr>
                          <a:xfrm>
                            <a:off x="1169091" y="1090138"/>
                            <a:ext cx="275951" cy="152400"/>
                          </a:xfrm>
                          <a:prstGeom prst="rect">
                            <a:avLst/>
                          </a:prstGeom>
                          <a:solidFill>
                            <a:schemeClr val="lt1"/>
                          </a:solidFill>
                          <a:ln w="6350">
                            <a:noFill/>
                          </a:ln>
                        </wps:spPr>
                        <wps:txbx>
                          <w:txbxContent>
                            <w:p w14:paraId="510340D7" w14:textId="77777777" w:rsidR="001C27A7" w:rsidRPr="00251F20" w:rsidRDefault="001C27A7" w:rsidP="001C27A7">
                              <w:pPr>
                                <w:rPr>
                                  <w:sz w:val="18"/>
                                  <w:szCs w:val="18"/>
                                </w:rPr>
                              </w:pPr>
                              <w:r w:rsidRPr="00251F20">
                                <w:rPr>
                                  <w:sz w:val="18"/>
                                  <w:szCs w:val="18"/>
                                </w:rPr>
                                <w:t>Week</w:t>
                              </w:r>
                            </w:p>
                          </w:txbxContent>
                        </wps:txbx>
                        <wps:bodyPr rot="0" spcFirstLastPara="0" vert="horz" wrap="square" lIns="36000" tIns="18000" rIns="36000" bIns="18000" numCol="1" spcCol="0" rtlCol="0" fromWordArt="0" anchor="t" anchorCtr="0" forceAA="0" compatLnSpc="1">
                          <a:prstTxWarp prst="textNoShape">
                            <a:avLst/>
                          </a:prstTxWarp>
                          <a:noAutofit/>
                        </wps:bodyPr>
                      </wps:wsp>
                      <wps:wsp>
                        <wps:cNvPr id="11" name="Text Box 22"/>
                        <wps:cNvSpPr txBox="1"/>
                        <wps:spPr>
                          <a:xfrm rot="16200000">
                            <a:off x="-437602" y="358478"/>
                            <a:ext cx="1096767" cy="73853"/>
                          </a:xfrm>
                          <a:prstGeom prst="rect">
                            <a:avLst/>
                          </a:prstGeom>
                          <a:solidFill>
                            <a:schemeClr val="lt1"/>
                          </a:solidFill>
                          <a:ln w="6350">
                            <a:noFill/>
                          </a:ln>
                        </wps:spPr>
                        <wps:txbx>
                          <w:txbxContent>
                            <w:p w14:paraId="6D3F7E72" w14:textId="77777777" w:rsidR="001C27A7" w:rsidRPr="00251F20" w:rsidRDefault="001C27A7" w:rsidP="001C27A7">
                              <w:pPr>
                                <w:rPr>
                                  <w:sz w:val="18"/>
                                  <w:szCs w:val="18"/>
                                </w:rPr>
                              </w:pPr>
                              <w:r w:rsidRPr="00251F20">
                                <w:rPr>
                                  <w:sz w:val="18"/>
                                  <w:szCs w:val="18"/>
                                </w:rPr>
                                <w:t>Percent of Patients (%)</w:t>
                              </w:r>
                            </w:p>
                          </w:txbxContent>
                        </wps:txbx>
                        <wps:bodyPr rot="0" spcFirstLastPara="0" vert="horz" wrap="square" lIns="36000" tIns="18000" rIns="36000" bIns="18000" numCol="1" spcCol="0" rtlCol="0" fromWordArt="0" anchor="t" anchorCtr="0" forceAA="0" compatLnSpc="1">
                          <a:prstTxWarp prst="textNoShape">
                            <a:avLst/>
                          </a:prstTxWarp>
                          <a:noAutofit/>
                        </wps:bodyPr>
                      </wps:wsp>
                      <wps:wsp>
                        <wps:cNvPr id="14" name="Text Box 20"/>
                        <wps:cNvSpPr txBox="1"/>
                        <wps:spPr>
                          <a:xfrm>
                            <a:off x="380265" y="394031"/>
                            <a:ext cx="417103" cy="304800"/>
                          </a:xfrm>
                          <a:prstGeom prst="rect">
                            <a:avLst/>
                          </a:prstGeom>
                          <a:solidFill>
                            <a:schemeClr val="lt1"/>
                          </a:solidFill>
                          <a:ln w="6350">
                            <a:noFill/>
                          </a:ln>
                        </wps:spPr>
                        <wps:txbx>
                          <w:txbxContent>
                            <w:p w14:paraId="76E25475" w14:textId="77777777" w:rsidR="00EE6FB9" w:rsidRPr="00251F20" w:rsidRDefault="001C27A7" w:rsidP="00251F20">
                              <w:pPr>
                                <w:pStyle w:val="BMSBodyText"/>
                                <w:spacing w:after="0" w:line="240" w:lineRule="auto"/>
                                <w:rPr>
                                  <w:sz w:val="18"/>
                                  <w:szCs w:val="18"/>
                                </w:rPr>
                              </w:pPr>
                              <w:r w:rsidRPr="00251F20">
                                <w:rPr>
                                  <w:sz w:val="18"/>
                                  <w:szCs w:val="18"/>
                                </w:rPr>
                                <w:t>deucravacitinib, n=148</w:t>
                              </w:r>
                            </w:p>
                            <w:p w14:paraId="10B85EF3" w14:textId="6A7DCB04" w:rsidR="001C27A7" w:rsidRPr="00251F20" w:rsidRDefault="001C27A7" w:rsidP="00251F20">
                              <w:pPr>
                                <w:pStyle w:val="BMSBodyText"/>
                                <w:spacing w:after="0" w:line="240" w:lineRule="auto"/>
                                <w:rPr>
                                  <w:sz w:val="18"/>
                                  <w:szCs w:val="18"/>
                                </w:rPr>
                              </w:pPr>
                              <w:r w:rsidRPr="00251F20">
                                <w:rPr>
                                  <w:sz w:val="18"/>
                                  <w:szCs w:val="18"/>
                                </w:rPr>
                                <w:t>placebo, n=150</w:t>
                              </w:r>
                            </w:p>
                          </w:txbxContent>
                        </wps:txbx>
                        <wps:bodyPr rot="0" spcFirstLastPara="0" vert="horz" wrap="square" lIns="36000" tIns="18000" rIns="36000" bIns="18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C9191D" id="Group 7" o:spid="_x0000_s1029" style="position:absolute;left:0;text-align:left;margin-left:-2.85pt;margin-top:22.45pt;width:295.05pt;height:117.75pt;z-index:251658243;mso-width-relative:margin;mso-height-relative:margin" coordorigin="738,-1529" coordsize="13711,13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">
                <v:shape id="Text Box 21" o:spid="_x0000_s1030" type="#_x0000_t202" style="position:absolute;left:11690;top:10901;width:2760;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" fillcolor="white [3201]" stroked="f" strokeweight=".5pt">
                  <v:textbox inset="1mm,.5mm,1mm,.5mm">
                    <w:txbxContent>
                      <w:p w14:paraId="510340D7" w14:textId="77777777" w:rsidR="001C27A7" w:rsidRPr="00251F20" w:rsidRDefault="001C27A7" w:rsidP="001C27A7">
                        <w:pPr>
                          <w:rPr>
                            <w:sz w:val="18"/>
                            <w:szCs w:val="18"/>
                          </w:rPr>
                        </w:pPr>
                        <w:r w:rsidRPr="00251F20">
                          <w:rPr>
                            <w:sz w:val="18"/>
                            <w:szCs w:val="18"/>
                          </w:rPr>
                          <w:t>Week</w:t>
                        </w:r>
                      </w:p>
                    </w:txbxContent>
                  </v:textbox>
                </v:shape>
                <v:shape id="Text Box 22" o:spid="_x0000_s1031" type="#_x0000_t202" style="position:absolute;left:-4375;top:3584;width:10966;height:73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" fillcolor="white [3201]" stroked="f" strokeweight=".5pt">
                  <v:textbox inset="1mm,.5mm,1mm,.5mm">
                    <w:txbxContent>
                      <w:p w14:paraId="6D3F7E72" w14:textId="77777777" w:rsidR="001C27A7" w:rsidRPr="00251F20" w:rsidRDefault="001C27A7" w:rsidP="001C27A7">
                        <w:pPr>
                          <w:rPr>
                            <w:sz w:val="18"/>
                            <w:szCs w:val="18"/>
                          </w:rPr>
                        </w:pPr>
                        <w:r w:rsidRPr="00251F20">
                          <w:rPr>
                            <w:sz w:val="18"/>
                            <w:szCs w:val="18"/>
                          </w:rPr>
                          <w:t>Percent of Patients (%)</w:t>
                        </w:r>
                      </w:p>
                    </w:txbxContent>
                  </v:textbox>
                </v:shape>
                <v:shape id="Text Box 20" o:spid="_x0000_s1032" type="#_x0000_t202" style="position:absolute;left:3802;top:3940;width:417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" fillcolor="white [3201]" stroked="f" strokeweight=".5pt">
                  <v:textbox inset="1mm,.5mm,1mm,.5mm">
                    <w:txbxContent>
                      <w:p w14:paraId="76E25475" w14:textId="77777777" w:rsidR="00EE6FB9" w:rsidRPr="00251F20" w:rsidRDefault="001C27A7" w:rsidP="00251F20">
                        <w:pPr>
                          <w:pStyle w:val="BMSBodyText"/>
                          <w:spacing w:after="0" w:line="240" w:lineRule="auto"/>
                          <w:rPr>
                            <w:sz w:val="18"/>
                            <w:szCs w:val="18"/>
                          </w:rPr>
                        </w:pPr>
                        <w:r w:rsidRPr="00251F20">
                          <w:rPr>
                            <w:sz w:val="18"/>
                            <w:szCs w:val="18"/>
                          </w:rPr>
                          <w:t>deucravacitinib, n=148</w:t>
                        </w:r>
                      </w:p>
                      <w:p w14:paraId="10B85EF3" w14:textId="6A7DCB04" w:rsidR="001C27A7" w:rsidRPr="00251F20" w:rsidRDefault="001C27A7" w:rsidP="00251F20">
                        <w:pPr>
                          <w:pStyle w:val="BMSBodyText"/>
                          <w:spacing w:after="0" w:line="240" w:lineRule="auto"/>
                          <w:rPr>
                            <w:sz w:val="18"/>
                            <w:szCs w:val="18"/>
                          </w:rPr>
                        </w:pPr>
                        <w:r w:rsidRPr="00251F20">
                          <w:rPr>
                            <w:sz w:val="18"/>
                            <w:szCs w:val="18"/>
                          </w:rPr>
                          <w:t>placebo, n=150</w:t>
                        </w:r>
                      </w:p>
                    </w:txbxContent>
                  </v:textbox>
                </v:shape>
              </v:group>
            </w:pict>
          </mc:Fallback>
        </mc:AlternateContent>
      </w:r>
      <w:r w:rsidR="00251F20" w:rsidRPr="00003D6E">
        <w:rPr>
          <w:b/>
          <w:bCs/>
          <w:i w:val="0"/>
          <w:iCs w:val="0"/>
          <w:color w:val="auto"/>
          <w:sz w:val="22"/>
          <w:szCs w:val="22"/>
        </w:rPr>
        <w:t xml:space="preserve">Figure </w:t>
      </w:r>
      <w:r w:rsidR="00251F20" w:rsidRPr="00003D6E">
        <w:rPr>
          <w:b/>
          <w:bCs/>
          <w:i w:val="0"/>
          <w:iCs w:val="0"/>
          <w:color w:val="auto"/>
          <w:sz w:val="22"/>
          <w:szCs w:val="22"/>
        </w:rPr>
        <w:fldChar w:fldCharType="begin"/>
      </w:r>
      <w:r w:rsidR="00251F20" w:rsidRPr="00003D6E">
        <w:rPr>
          <w:b/>
          <w:bCs/>
          <w:i w:val="0"/>
          <w:iCs w:val="0"/>
          <w:color w:val="auto"/>
          <w:sz w:val="22"/>
          <w:szCs w:val="22"/>
        </w:rPr>
        <w:instrText xml:space="preserve"> SEQ Figure \* ARABIC </w:instrText>
      </w:r>
      <w:r w:rsidR="00251F20" w:rsidRPr="00003D6E">
        <w:rPr>
          <w:b/>
          <w:bCs/>
          <w:i w:val="0"/>
          <w:iCs w:val="0"/>
          <w:color w:val="auto"/>
          <w:sz w:val="22"/>
          <w:szCs w:val="22"/>
        </w:rPr>
        <w:fldChar w:fldCharType="separate"/>
      </w:r>
      <w:r w:rsidR="00006DA4">
        <w:rPr>
          <w:b/>
          <w:bCs/>
          <w:i w:val="0"/>
          <w:iCs w:val="0"/>
          <w:noProof/>
          <w:color w:val="auto"/>
          <w:sz w:val="22"/>
          <w:szCs w:val="22"/>
        </w:rPr>
        <w:t>2</w:t>
      </w:r>
      <w:r w:rsidR="00251F20" w:rsidRPr="00003D6E">
        <w:rPr>
          <w:b/>
          <w:bCs/>
          <w:i w:val="0"/>
          <w:iCs w:val="0"/>
          <w:color w:val="auto"/>
          <w:sz w:val="22"/>
          <w:szCs w:val="22"/>
        </w:rPr>
        <w:fldChar w:fldCharType="end"/>
      </w:r>
      <w:bookmarkEnd w:id="31"/>
      <w:r w:rsidR="001C27A7" w:rsidRPr="00003D6E">
        <w:rPr>
          <w:b/>
          <w:bCs/>
          <w:i w:val="0"/>
          <w:iCs w:val="0"/>
          <w:color w:val="auto"/>
          <w:sz w:val="22"/>
          <w:szCs w:val="22"/>
        </w:rPr>
        <w:t>:</w:t>
      </w:r>
      <w:r w:rsidR="001C27A7" w:rsidRPr="00003D6E">
        <w:rPr>
          <w:b/>
          <w:bCs/>
          <w:i w:val="0"/>
          <w:iCs w:val="0"/>
          <w:color w:val="auto"/>
          <w:sz w:val="22"/>
          <w:szCs w:val="22"/>
        </w:rPr>
        <w:tab/>
        <w:t>PASI 75 response (NRI) after re-randomisation at Week</w:t>
      </w:r>
      <w:r w:rsidR="00A82CE0" w:rsidRPr="00003D6E">
        <w:rPr>
          <w:b/>
          <w:bCs/>
          <w:i w:val="0"/>
          <w:iCs w:val="0"/>
          <w:color w:val="auto"/>
          <w:sz w:val="22"/>
          <w:szCs w:val="22"/>
        </w:rPr>
        <w:t> </w:t>
      </w:r>
      <w:r w:rsidR="001C27A7" w:rsidRPr="00003D6E">
        <w:rPr>
          <w:b/>
          <w:bCs/>
          <w:i w:val="0"/>
          <w:iCs w:val="0"/>
          <w:color w:val="auto"/>
          <w:sz w:val="22"/>
          <w:szCs w:val="22"/>
        </w:rPr>
        <w:t>24 in POETYK PSO</w:t>
      </w:r>
      <w:r w:rsidR="001C27A7" w:rsidRPr="00003D6E">
        <w:rPr>
          <w:b/>
          <w:bCs/>
          <w:i w:val="0"/>
          <w:iCs w:val="0"/>
          <w:color w:val="auto"/>
          <w:sz w:val="22"/>
          <w:szCs w:val="22"/>
        </w:rPr>
        <w:noBreakHyphen/>
        <w:t>2</w:t>
      </w:r>
    </w:p>
    <w:p w14:paraId="608B6A36" w14:textId="347EF6ED" w:rsidR="001C27A7" w:rsidRPr="00003D6E" w:rsidRDefault="001C27A7" w:rsidP="00251F20">
      <w:pPr>
        <w:keepNext/>
        <w:tabs>
          <w:tab w:val="left" w:pos="720"/>
        </w:tabs>
        <w:ind w:left="284"/>
      </w:pPr>
      <w:r w:rsidRPr="00003D6E">
        <w:rPr>
          <w:noProof/>
          <w:lang w:eastAsia="en-GB"/>
        </w:rPr>
        <w:drawing>
          <wp:inline distT="0" distB="0" distL="0" distR="0" wp14:anchorId="40D546A0" wp14:editId="46398001">
            <wp:extent cx="5900468" cy="1332713"/>
            <wp:effectExtent l="0" t="0" r="508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4893" cy="1333712"/>
                    </a:xfrm>
                    <a:prstGeom prst="rect">
                      <a:avLst/>
                    </a:prstGeom>
                    <a:noFill/>
                    <a:ln>
                      <a:noFill/>
                    </a:ln>
                  </pic:spPr>
                </pic:pic>
              </a:graphicData>
            </a:graphic>
          </wp:inline>
        </w:drawing>
      </w:r>
    </w:p>
    <w:p w14:paraId="69B235F8" w14:textId="77777777" w:rsidR="001C27A7" w:rsidRPr="00003D6E" w:rsidRDefault="001C27A7" w:rsidP="00A77974"/>
    <w:p w14:paraId="6DF248C0" w14:textId="1B74BA45" w:rsidR="00447BDE" w:rsidRPr="00003D6E" w:rsidRDefault="00447BDE" w:rsidP="00A77974">
      <w:pPr>
        <w:rPr>
          <w:b/>
          <w:bCs/>
        </w:rPr>
      </w:pPr>
      <w:r w:rsidRPr="00003D6E">
        <w:rPr>
          <w:b/>
          <w:bCs/>
        </w:rPr>
        <w:t>Patient Reported Outcomes</w:t>
      </w:r>
    </w:p>
    <w:p w14:paraId="6576AFB4" w14:textId="7A70B2F9" w:rsidR="00DD61C5" w:rsidRPr="00003D6E" w:rsidRDefault="00DD61C5" w:rsidP="00044C66">
      <w:r w:rsidRPr="00003D6E">
        <w:t>Significantly greater improvements in psoriasis symptoms (itch, pain, burning, stinging, and skin tightness) at Week 16 were observed with SOTYKTU compared to apremilast in both studies based on the Psoriasis Symptoms and Signs Diary (PSSD) (</w:t>
      </w:r>
      <w:r w:rsidR="00044C66" w:rsidRPr="00003D6E">
        <w:fldChar w:fldCharType="begin"/>
      </w:r>
      <w:r w:rsidR="00044C66" w:rsidRPr="00003D6E">
        <w:instrText xml:space="preserve"> REF _Ref118379878 \h  \* MERGEFORMAT </w:instrText>
      </w:r>
      <w:r w:rsidR="00044C66" w:rsidRPr="00003D6E">
        <w:fldChar w:fldCharType="separate"/>
      </w:r>
      <w:r w:rsidR="00006DA4" w:rsidRPr="00567331">
        <w:t>Table 4</w:t>
      </w:r>
      <w:r w:rsidR="00044C66" w:rsidRPr="00003D6E">
        <w:fldChar w:fldCharType="end"/>
      </w:r>
      <w:r w:rsidRPr="00003D6E">
        <w:t>). Significantly greater proportions of patients on SOTYKTU compared to placebo achieved a PSSD symptom score of 0 (symptom-free) at Week 16 in both studies (</w:t>
      </w:r>
      <w:r w:rsidR="00044C66" w:rsidRPr="00003D6E">
        <w:fldChar w:fldCharType="begin"/>
      </w:r>
      <w:r w:rsidR="00044C66" w:rsidRPr="00003D6E">
        <w:instrText xml:space="preserve"> REF _Ref118379878 \h  \* MERGEFORMAT </w:instrText>
      </w:r>
      <w:r w:rsidR="00044C66" w:rsidRPr="00003D6E">
        <w:fldChar w:fldCharType="separate"/>
      </w:r>
      <w:r w:rsidR="00006DA4" w:rsidRPr="00567331">
        <w:t>Table 4</w:t>
      </w:r>
      <w:r w:rsidR="00044C66" w:rsidRPr="00003D6E">
        <w:fldChar w:fldCharType="end"/>
      </w:r>
      <w:r w:rsidRPr="00003D6E">
        <w:t>).</w:t>
      </w:r>
    </w:p>
    <w:p w14:paraId="3C58B612" w14:textId="3AD108DA" w:rsidR="00DD61C5" w:rsidRPr="00003D6E" w:rsidRDefault="00DD61C5" w:rsidP="00044C66">
      <w:r w:rsidRPr="00003D6E">
        <w:lastRenderedPageBreak/>
        <w:t>Significantly greater proportions of patients on SOTYKTU compared to placebo achieved a Dermatology Life Quality Index (DLQI) score of 0/1 (no effect at all on patient’s life) at Week 16 in both studies (</w:t>
      </w:r>
      <w:r w:rsidR="00044C66" w:rsidRPr="00003D6E">
        <w:fldChar w:fldCharType="begin"/>
      </w:r>
      <w:r w:rsidR="00044C66" w:rsidRPr="00003D6E">
        <w:instrText xml:space="preserve"> REF _Ref118379878 \h  \* MERGEFORMAT </w:instrText>
      </w:r>
      <w:r w:rsidR="00044C66" w:rsidRPr="00003D6E">
        <w:fldChar w:fldCharType="separate"/>
      </w:r>
      <w:r w:rsidR="00006DA4" w:rsidRPr="00567331">
        <w:t>Table 4</w:t>
      </w:r>
      <w:r w:rsidR="00044C66" w:rsidRPr="00003D6E">
        <w:fldChar w:fldCharType="end"/>
      </w:r>
      <w:r w:rsidRPr="00003D6E">
        <w:t>).</w:t>
      </w:r>
    </w:p>
    <w:p w14:paraId="324DAF53" w14:textId="77777777" w:rsidR="00DD61C5" w:rsidRPr="00003D6E" w:rsidRDefault="00DD61C5" w:rsidP="00044C66">
      <w:r w:rsidRPr="00003D6E">
        <w:t>Improvement of these responses in patients receiving continuous SOTYKTU treatment was observed through Week 24 and was maintained through Week 52 in POETYK PSO-1.</w:t>
      </w:r>
    </w:p>
    <w:p w14:paraId="694BD45F" w14:textId="5717811B" w:rsidR="00DD61C5" w:rsidRPr="00003D6E" w:rsidRDefault="00044C66" w:rsidP="00044C66">
      <w:pPr>
        <w:pStyle w:val="Caption"/>
        <w:keepNext/>
        <w:rPr>
          <w:color w:val="auto"/>
        </w:rPr>
      </w:pPr>
      <w:bookmarkStart w:id="32" w:name="_Ref118379878"/>
      <w:r w:rsidRPr="00003D6E">
        <w:rPr>
          <w:b/>
          <w:bCs/>
          <w:i w:val="0"/>
          <w:iCs w:val="0"/>
          <w:color w:val="auto"/>
          <w:sz w:val="22"/>
          <w:szCs w:val="22"/>
        </w:rPr>
        <w:t xml:space="preserve">Table </w:t>
      </w:r>
      <w:r w:rsidRPr="00003D6E">
        <w:rPr>
          <w:b/>
          <w:bCs/>
          <w:i w:val="0"/>
          <w:iCs w:val="0"/>
          <w:color w:val="auto"/>
          <w:sz w:val="22"/>
          <w:szCs w:val="22"/>
        </w:rPr>
        <w:fldChar w:fldCharType="begin"/>
      </w:r>
      <w:r w:rsidRPr="00003D6E">
        <w:rPr>
          <w:b/>
          <w:bCs/>
          <w:i w:val="0"/>
          <w:iCs w:val="0"/>
          <w:color w:val="auto"/>
          <w:sz w:val="22"/>
          <w:szCs w:val="22"/>
        </w:rPr>
        <w:instrText xml:space="preserve"> SEQ Table \* ARABIC </w:instrText>
      </w:r>
      <w:r w:rsidRPr="00003D6E">
        <w:rPr>
          <w:b/>
          <w:bCs/>
          <w:i w:val="0"/>
          <w:iCs w:val="0"/>
          <w:color w:val="auto"/>
          <w:sz w:val="22"/>
          <w:szCs w:val="22"/>
        </w:rPr>
        <w:fldChar w:fldCharType="separate"/>
      </w:r>
      <w:r w:rsidR="00006DA4">
        <w:rPr>
          <w:b/>
          <w:bCs/>
          <w:i w:val="0"/>
          <w:iCs w:val="0"/>
          <w:noProof/>
          <w:color w:val="auto"/>
          <w:sz w:val="22"/>
          <w:szCs w:val="22"/>
        </w:rPr>
        <w:t>4</w:t>
      </w:r>
      <w:r w:rsidRPr="00003D6E">
        <w:rPr>
          <w:b/>
          <w:bCs/>
          <w:i w:val="0"/>
          <w:iCs w:val="0"/>
          <w:color w:val="auto"/>
          <w:sz w:val="22"/>
          <w:szCs w:val="22"/>
        </w:rPr>
        <w:fldChar w:fldCharType="end"/>
      </w:r>
      <w:bookmarkEnd w:id="32"/>
      <w:r w:rsidRPr="00003D6E">
        <w:rPr>
          <w:b/>
          <w:bCs/>
          <w:i w:val="0"/>
          <w:iCs w:val="0"/>
          <w:color w:val="auto"/>
          <w:sz w:val="22"/>
          <w:szCs w:val="22"/>
        </w:rPr>
        <w:t>:</w:t>
      </w:r>
      <w:r w:rsidR="00DD61C5" w:rsidRPr="00003D6E">
        <w:rPr>
          <w:b/>
          <w:bCs/>
          <w:i w:val="0"/>
          <w:iCs w:val="0"/>
          <w:color w:val="auto"/>
          <w:sz w:val="22"/>
          <w:szCs w:val="22"/>
        </w:rPr>
        <w:t xml:space="preserve"> Patient reported outcomes in POETYK PSO-1 and POETYK PSO-2</w:t>
      </w:r>
    </w:p>
    <w:tbl>
      <w:tblPr>
        <w:tblStyle w:val="TableGrid"/>
        <w:tblW w:w="9781" w:type="dxa"/>
        <w:tblInd w:w="-5" w:type="dxa"/>
        <w:tblLayout w:type="fixed"/>
        <w:tblLook w:val="04A0" w:firstRow="1" w:lastRow="0" w:firstColumn="1" w:lastColumn="0" w:noHBand="0" w:noVBand="1"/>
      </w:tblPr>
      <w:tblGrid>
        <w:gridCol w:w="3402"/>
        <w:gridCol w:w="1701"/>
        <w:gridCol w:w="1560"/>
        <w:gridCol w:w="1559"/>
        <w:gridCol w:w="1559"/>
      </w:tblGrid>
      <w:tr w:rsidR="00003D6E" w:rsidRPr="00003D6E" w14:paraId="11AD2CA2" w14:textId="77777777" w:rsidTr="000A50A0">
        <w:trPr>
          <w:trHeight w:val="188"/>
        </w:trPr>
        <w:tc>
          <w:tcPr>
            <w:tcW w:w="340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1F3CD2" w14:textId="77777777" w:rsidR="00DD61C5" w:rsidRPr="00003D6E" w:rsidRDefault="00DD61C5">
            <w:pPr>
              <w:keepNext/>
              <w:rPr>
                <w:rFonts w:eastAsia="Times New Roman" w:cs="Times New Roman"/>
                <w:sz w:val="20"/>
                <w:szCs w:val="20"/>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6D04E0" w14:textId="77777777" w:rsidR="00DD61C5" w:rsidRPr="00003D6E" w:rsidRDefault="00DD61C5">
            <w:pPr>
              <w:keepNext/>
              <w:spacing w:before="60" w:after="60"/>
              <w:jc w:val="center"/>
              <w:rPr>
                <w:rFonts w:eastAsia="MS Mincho" w:cs="Times New Roman"/>
                <w:b/>
                <w:sz w:val="20"/>
                <w:szCs w:val="20"/>
              </w:rPr>
            </w:pPr>
            <w:r w:rsidRPr="00003D6E">
              <w:rPr>
                <w:rFonts w:cs="Times New Roman"/>
                <w:b/>
                <w:sz w:val="20"/>
                <w:szCs w:val="20"/>
              </w:rPr>
              <w:t>POETYK PSO-1</w:t>
            </w: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60F53E" w14:textId="77777777" w:rsidR="00DD61C5" w:rsidRPr="00003D6E" w:rsidRDefault="00DD61C5">
            <w:pPr>
              <w:keepNext/>
              <w:spacing w:before="60" w:after="60"/>
              <w:jc w:val="center"/>
              <w:rPr>
                <w:rFonts w:cs="Times New Roman"/>
                <w:b/>
                <w:sz w:val="20"/>
                <w:szCs w:val="20"/>
              </w:rPr>
            </w:pPr>
            <w:r w:rsidRPr="00003D6E">
              <w:rPr>
                <w:rFonts w:cs="Times New Roman"/>
                <w:b/>
                <w:sz w:val="20"/>
                <w:szCs w:val="20"/>
              </w:rPr>
              <w:t>POETYK PSO-2</w:t>
            </w:r>
          </w:p>
        </w:tc>
      </w:tr>
      <w:tr w:rsidR="00003D6E" w:rsidRPr="00003D6E" w14:paraId="3C450D4F" w14:textId="77777777" w:rsidTr="000A50A0">
        <w:trPr>
          <w:trHeight w:val="188"/>
        </w:trPr>
        <w:tc>
          <w:tcPr>
            <w:tcW w:w="340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605EA" w14:textId="77777777" w:rsidR="00DD61C5" w:rsidRPr="00003D6E" w:rsidRDefault="00DD61C5">
            <w:pPr>
              <w:rPr>
                <w:rFonts w:eastAsia="Times New Roman" w:cs="Times New Roman"/>
                <w:sz w:val="20"/>
                <w:szCs w:val="20"/>
                <w:lang w:eastAsia="ja-JP"/>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6DAB4B" w14:textId="77777777" w:rsidR="00DD61C5" w:rsidRPr="00003D6E" w:rsidRDefault="00DD61C5">
            <w:pPr>
              <w:keepNext/>
              <w:spacing w:before="60" w:after="60"/>
              <w:ind w:left="-105" w:right="-110"/>
              <w:jc w:val="center"/>
              <w:rPr>
                <w:rFonts w:cs="Times New Roman"/>
                <w:b/>
                <w:bCs/>
                <w:sz w:val="20"/>
                <w:szCs w:val="20"/>
              </w:rPr>
            </w:pPr>
            <w:r w:rsidRPr="00003D6E">
              <w:rPr>
                <w:rFonts w:cs="Times New Roman"/>
                <w:b/>
                <w:bCs/>
                <w:sz w:val="20"/>
                <w:szCs w:val="20"/>
              </w:rPr>
              <w:t>SOTYKTU</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510215" w14:textId="77777777" w:rsidR="00DD61C5" w:rsidRPr="00003D6E" w:rsidRDefault="00DD61C5">
            <w:pPr>
              <w:keepNext/>
              <w:spacing w:before="60" w:after="60"/>
              <w:ind w:left="-102" w:right="-142"/>
              <w:jc w:val="center"/>
              <w:rPr>
                <w:rFonts w:cs="Times New Roman"/>
                <w:b/>
                <w:bCs/>
                <w:sz w:val="20"/>
                <w:szCs w:val="20"/>
              </w:rPr>
            </w:pPr>
            <w:r w:rsidRPr="00003D6E">
              <w:rPr>
                <w:rFonts w:cs="Times New Roman"/>
                <w:b/>
                <w:bCs/>
                <w:sz w:val="20"/>
                <w:szCs w:val="20"/>
              </w:rPr>
              <w:t>Apremilast</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C9D56A" w14:textId="77777777" w:rsidR="00DD61C5" w:rsidRPr="00003D6E" w:rsidRDefault="00DD61C5">
            <w:pPr>
              <w:keepNext/>
              <w:spacing w:before="60" w:after="60"/>
              <w:ind w:left="-110" w:right="-107"/>
              <w:jc w:val="center"/>
              <w:rPr>
                <w:rFonts w:cs="Times New Roman"/>
                <w:b/>
                <w:bCs/>
                <w:sz w:val="20"/>
                <w:szCs w:val="20"/>
              </w:rPr>
            </w:pPr>
            <w:r w:rsidRPr="00003D6E">
              <w:rPr>
                <w:rFonts w:cs="Times New Roman"/>
                <w:b/>
                <w:bCs/>
                <w:sz w:val="20"/>
                <w:szCs w:val="20"/>
              </w:rPr>
              <w:t>SOTYKTU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D3207" w14:textId="77777777" w:rsidR="00DD61C5" w:rsidRPr="00003D6E" w:rsidRDefault="00DD61C5">
            <w:pPr>
              <w:keepNext/>
              <w:spacing w:before="60" w:after="60"/>
              <w:ind w:left="-110" w:right="-107"/>
              <w:jc w:val="center"/>
              <w:rPr>
                <w:rFonts w:cs="Times New Roman"/>
                <w:b/>
                <w:bCs/>
                <w:sz w:val="20"/>
                <w:szCs w:val="20"/>
              </w:rPr>
            </w:pPr>
            <w:r w:rsidRPr="00003D6E">
              <w:rPr>
                <w:rFonts w:cs="Times New Roman"/>
                <w:b/>
                <w:bCs/>
                <w:sz w:val="20"/>
                <w:szCs w:val="20"/>
              </w:rPr>
              <w:t>Apremilast</w:t>
            </w:r>
          </w:p>
        </w:tc>
      </w:tr>
      <w:tr w:rsidR="00003D6E" w:rsidRPr="00003D6E" w14:paraId="7928F177" w14:textId="77777777" w:rsidTr="000A50A0">
        <w:trPr>
          <w:trHeight w:val="188"/>
        </w:trPr>
        <w:tc>
          <w:tcPr>
            <w:tcW w:w="3402" w:type="dxa"/>
            <w:tcBorders>
              <w:top w:val="single" w:sz="4" w:space="0" w:color="auto"/>
              <w:left w:val="single" w:sz="4" w:space="0" w:color="auto"/>
              <w:bottom w:val="single" w:sz="4" w:space="0" w:color="auto"/>
              <w:right w:val="single" w:sz="4" w:space="0" w:color="auto"/>
            </w:tcBorders>
            <w:hideMark/>
          </w:tcPr>
          <w:p w14:paraId="401C7693" w14:textId="5A373A2A" w:rsidR="00DD61C5" w:rsidRPr="00003D6E" w:rsidRDefault="00DD61C5">
            <w:pPr>
              <w:keepNext/>
              <w:ind w:left="30"/>
              <w:rPr>
                <w:rFonts w:cs="Times New Roman"/>
                <w:b/>
                <w:sz w:val="20"/>
                <w:szCs w:val="20"/>
              </w:rPr>
            </w:pPr>
            <w:r w:rsidRPr="00003D6E">
              <w:rPr>
                <w:rFonts w:cs="Times New Roman"/>
                <w:b/>
                <w:sz w:val="20"/>
                <w:szCs w:val="20"/>
              </w:rPr>
              <w:t>PSSD symptom score</w:t>
            </w:r>
          </w:p>
          <w:p w14:paraId="1EFDCE4E" w14:textId="77777777" w:rsidR="00DD61C5" w:rsidRPr="00003D6E" w:rsidRDefault="00DD61C5">
            <w:pPr>
              <w:keepNext/>
              <w:tabs>
                <w:tab w:val="left" w:pos="1735"/>
              </w:tabs>
              <w:ind w:right="-108"/>
              <w:rPr>
                <w:rFonts w:cs="Times New Roman"/>
                <w:sz w:val="20"/>
                <w:szCs w:val="20"/>
              </w:rPr>
            </w:pPr>
            <w:r w:rsidRPr="00003D6E">
              <w:rPr>
                <w:rFonts w:cs="Times New Roman"/>
                <w:sz w:val="20"/>
                <w:szCs w:val="20"/>
              </w:rPr>
              <w:t>Change from baseline (</w:t>
            </w:r>
            <w:proofErr w:type="spellStart"/>
            <w:r w:rsidRPr="00003D6E">
              <w:rPr>
                <w:rFonts w:cs="Times New Roman"/>
                <w:sz w:val="20"/>
                <w:szCs w:val="20"/>
              </w:rPr>
              <w:t>mBOCF</w:t>
            </w:r>
            <w:proofErr w:type="spellEnd"/>
            <w:r w:rsidRPr="00003D6E">
              <w:rPr>
                <w:rFonts w:cs="Times New Roman"/>
                <w:sz w:val="20"/>
                <w:szCs w:val="20"/>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E04534" w14:textId="77777777" w:rsidR="00DD61C5" w:rsidRPr="00003D6E" w:rsidRDefault="00DD61C5">
            <w:pPr>
              <w:keepNext/>
              <w:spacing w:before="60"/>
              <w:ind w:left="-113"/>
              <w:jc w:val="center"/>
              <w:rPr>
                <w:rFonts w:cs="Times New Roman"/>
                <w:sz w:val="20"/>
                <w:szCs w:val="20"/>
              </w:rPr>
            </w:pPr>
            <w:r w:rsidRPr="00003D6E">
              <w:rPr>
                <w:rFonts w:cs="Times New Roman"/>
                <w:sz w:val="20"/>
                <w:szCs w:val="20"/>
              </w:rPr>
              <w:t>N=306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BCB9E93" w14:textId="77777777" w:rsidR="00DD61C5" w:rsidRPr="00003D6E" w:rsidRDefault="00DD61C5">
            <w:pPr>
              <w:keepNext/>
              <w:spacing w:before="60"/>
              <w:ind w:left="-108" w:right="-176"/>
              <w:jc w:val="center"/>
              <w:rPr>
                <w:rFonts w:cs="Times New Roman"/>
                <w:sz w:val="20"/>
                <w:szCs w:val="20"/>
              </w:rPr>
            </w:pPr>
            <w:r w:rsidRPr="00003D6E">
              <w:rPr>
                <w:rFonts w:cs="Times New Roman"/>
                <w:sz w:val="20"/>
                <w:szCs w:val="20"/>
              </w:rPr>
              <w:t>N=158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8F6091" w14:textId="77777777" w:rsidR="00DD61C5" w:rsidRPr="00003D6E" w:rsidRDefault="00DD61C5">
            <w:pPr>
              <w:keepNext/>
              <w:spacing w:before="60"/>
              <w:ind w:left="-153" w:right="-108"/>
              <w:jc w:val="center"/>
              <w:rPr>
                <w:rFonts w:cs="Times New Roman"/>
                <w:sz w:val="20"/>
                <w:szCs w:val="20"/>
              </w:rPr>
            </w:pPr>
            <w:r w:rsidRPr="00003D6E">
              <w:rPr>
                <w:rFonts w:cs="Times New Roman"/>
                <w:sz w:val="20"/>
                <w:szCs w:val="20"/>
              </w:rPr>
              <w:t>N=466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787B90" w14:textId="77777777" w:rsidR="00DD61C5" w:rsidRPr="00003D6E" w:rsidRDefault="00DD61C5">
            <w:pPr>
              <w:keepNext/>
              <w:spacing w:before="60"/>
              <w:ind w:left="-136" w:right="-108"/>
              <w:jc w:val="center"/>
              <w:rPr>
                <w:rFonts w:cs="Times New Roman"/>
                <w:sz w:val="20"/>
                <w:szCs w:val="20"/>
              </w:rPr>
            </w:pPr>
            <w:r w:rsidRPr="00003D6E">
              <w:rPr>
                <w:rFonts w:cs="Times New Roman"/>
                <w:sz w:val="20"/>
                <w:szCs w:val="20"/>
              </w:rPr>
              <w:t>N=233</w:t>
            </w:r>
          </w:p>
        </w:tc>
      </w:tr>
      <w:tr w:rsidR="00003D6E" w:rsidRPr="00003D6E" w14:paraId="5C28CE60" w14:textId="77777777" w:rsidTr="000A50A0">
        <w:trPr>
          <w:trHeight w:val="188"/>
        </w:trPr>
        <w:tc>
          <w:tcPr>
            <w:tcW w:w="3402" w:type="dxa"/>
            <w:tcBorders>
              <w:top w:val="single" w:sz="4" w:space="0" w:color="auto"/>
              <w:left w:val="single" w:sz="4" w:space="0" w:color="auto"/>
              <w:bottom w:val="single" w:sz="4" w:space="0" w:color="auto"/>
              <w:right w:val="single" w:sz="4" w:space="0" w:color="auto"/>
            </w:tcBorders>
            <w:hideMark/>
          </w:tcPr>
          <w:p w14:paraId="32C45E3D" w14:textId="77777777" w:rsidR="00DD61C5" w:rsidRPr="00003D6E" w:rsidRDefault="00DD61C5">
            <w:pPr>
              <w:keepNext/>
              <w:tabs>
                <w:tab w:val="left" w:pos="253"/>
              </w:tabs>
              <w:spacing w:before="40" w:afterLines="20" w:after="48" w:line="264" w:lineRule="auto"/>
              <w:rPr>
                <w:rFonts w:cs="Times New Roman"/>
                <w:sz w:val="20"/>
                <w:szCs w:val="20"/>
              </w:rPr>
            </w:pPr>
            <w:r w:rsidRPr="00003D6E">
              <w:rPr>
                <w:rFonts w:cs="Times New Roman"/>
                <w:sz w:val="20"/>
                <w:szCs w:val="20"/>
              </w:rPr>
              <w:tab/>
              <w:t>Week 16, mean (SE)</w:t>
            </w:r>
          </w:p>
        </w:tc>
        <w:tc>
          <w:tcPr>
            <w:tcW w:w="1701" w:type="dxa"/>
            <w:tcBorders>
              <w:top w:val="single" w:sz="4" w:space="0" w:color="auto"/>
              <w:left w:val="single" w:sz="4" w:space="0" w:color="auto"/>
              <w:bottom w:val="single" w:sz="4" w:space="0" w:color="auto"/>
              <w:right w:val="single" w:sz="4" w:space="0" w:color="auto"/>
            </w:tcBorders>
            <w:hideMark/>
          </w:tcPr>
          <w:p w14:paraId="32601550" w14:textId="77777777" w:rsidR="00DD61C5" w:rsidRPr="00003D6E" w:rsidRDefault="00DD61C5">
            <w:pPr>
              <w:keepNext/>
              <w:spacing w:before="40" w:afterLines="20" w:after="48" w:line="264" w:lineRule="auto"/>
              <w:jc w:val="center"/>
              <w:rPr>
                <w:rFonts w:cs="Times New Roman"/>
                <w:sz w:val="20"/>
                <w:szCs w:val="20"/>
              </w:rPr>
            </w:pPr>
            <w:r w:rsidRPr="00003D6E">
              <w:rPr>
                <w:rFonts w:cs="Times New Roman"/>
                <w:sz w:val="20"/>
                <w:szCs w:val="20"/>
              </w:rPr>
              <w:t>-26.7 (1.8)</w:t>
            </w:r>
          </w:p>
        </w:tc>
        <w:tc>
          <w:tcPr>
            <w:tcW w:w="1560" w:type="dxa"/>
            <w:tcBorders>
              <w:top w:val="single" w:sz="4" w:space="0" w:color="auto"/>
              <w:left w:val="single" w:sz="4" w:space="0" w:color="auto"/>
              <w:bottom w:val="single" w:sz="4" w:space="0" w:color="auto"/>
              <w:right w:val="single" w:sz="4" w:space="0" w:color="auto"/>
            </w:tcBorders>
            <w:hideMark/>
          </w:tcPr>
          <w:p w14:paraId="2B1E7F05" w14:textId="77777777" w:rsidR="00DD61C5" w:rsidRPr="00003D6E" w:rsidRDefault="00DD61C5">
            <w:pPr>
              <w:keepNext/>
              <w:spacing w:before="40" w:afterLines="20" w:after="48" w:line="264" w:lineRule="auto"/>
              <w:jc w:val="center"/>
              <w:rPr>
                <w:rFonts w:cs="Times New Roman"/>
                <w:sz w:val="20"/>
                <w:szCs w:val="20"/>
              </w:rPr>
            </w:pPr>
            <w:r w:rsidRPr="00003D6E">
              <w:rPr>
                <w:rFonts w:cs="Times New Roman"/>
                <w:sz w:val="20"/>
                <w:szCs w:val="20"/>
              </w:rPr>
              <w:t>-17.8 (2.2)</w:t>
            </w:r>
            <w:r w:rsidRPr="00003D6E">
              <w:rPr>
                <w:rFonts w:cs="Times New Roman"/>
                <w:sz w:val="20"/>
                <w:szCs w:val="20"/>
                <w:vertAlign w:val="superscript"/>
              </w:rPr>
              <w:t xml:space="preserve"> a</w:t>
            </w:r>
          </w:p>
        </w:tc>
        <w:tc>
          <w:tcPr>
            <w:tcW w:w="1559" w:type="dxa"/>
            <w:tcBorders>
              <w:top w:val="single" w:sz="4" w:space="0" w:color="auto"/>
              <w:left w:val="single" w:sz="4" w:space="0" w:color="auto"/>
              <w:bottom w:val="single" w:sz="4" w:space="0" w:color="auto"/>
              <w:right w:val="single" w:sz="4" w:space="0" w:color="auto"/>
            </w:tcBorders>
            <w:hideMark/>
          </w:tcPr>
          <w:p w14:paraId="4BFBBE4E" w14:textId="77777777" w:rsidR="00DD61C5" w:rsidRPr="00003D6E" w:rsidRDefault="00DD61C5">
            <w:pPr>
              <w:keepNext/>
              <w:spacing w:before="40" w:afterLines="20" w:after="48" w:line="264" w:lineRule="auto"/>
              <w:jc w:val="center"/>
              <w:rPr>
                <w:rFonts w:cs="Times New Roman"/>
                <w:sz w:val="20"/>
                <w:szCs w:val="20"/>
              </w:rPr>
            </w:pPr>
            <w:r w:rsidRPr="00003D6E">
              <w:rPr>
                <w:rFonts w:cs="Times New Roman"/>
                <w:sz w:val="20"/>
                <w:szCs w:val="20"/>
              </w:rPr>
              <w:t>-28.3 (1.1)</w:t>
            </w:r>
          </w:p>
        </w:tc>
        <w:tc>
          <w:tcPr>
            <w:tcW w:w="1559" w:type="dxa"/>
            <w:tcBorders>
              <w:top w:val="single" w:sz="4" w:space="0" w:color="auto"/>
              <w:left w:val="single" w:sz="4" w:space="0" w:color="auto"/>
              <w:bottom w:val="single" w:sz="4" w:space="0" w:color="auto"/>
              <w:right w:val="single" w:sz="4" w:space="0" w:color="auto"/>
            </w:tcBorders>
            <w:hideMark/>
          </w:tcPr>
          <w:p w14:paraId="13C087DC" w14:textId="77777777" w:rsidR="00DD61C5" w:rsidRPr="00003D6E" w:rsidRDefault="00DD61C5">
            <w:pPr>
              <w:keepNext/>
              <w:spacing w:before="40" w:afterLines="20" w:after="48" w:line="264" w:lineRule="auto"/>
              <w:jc w:val="center"/>
              <w:rPr>
                <w:rFonts w:cs="Times New Roman"/>
                <w:sz w:val="20"/>
                <w:szCs w:val="20"/>
              </w:rPr>
            </w:pPr>
            <w:r w:rsidRPr="00003D6E">
              <w:rPr>
                <w:rFonts w:cs="Times New Roman"/>
                <w:sz w:val="20"/>
                <w:szCs w:val="20"/>
              </w:rPr>
              <w:t>-21.1 (1.4)</w:t>
            </w:r>
            <w:r w:rsidRPr="00003D6E">
              <w:rPr>
                <w:rFonts w:cs="Times New Roman"/>
                <w:sz w:val="20"/>
                <w:szCs w:val="20"/>
                <w:vertAlign w:val="superscript"/>
              </w:rPr>
              <w:t xml:space="preserve"> a</w:t>
            </w:r>
          </w:p>
        </w:tc>
      </w:tr>
      <w:tr w:rsidR="00003D6E" w:rsidRPr="00003D6E" w14:paraId="17C1780D" w14:textId="77777777" w:rsidTr="000A50A0">
        <w:trPr>
          <w:trHeight w:val="188"/>
        </w:trPr>
        <w:tc>
          <w:tcPr>
            <w:tcW w:w="340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820F58" w14:textId="77777777" w:rsidR="00DD61C5" w:rsidRPr="00003D6E" w:rsidRDefault="00DD61C5">
            <w:pPr>
              <w:keepNext/>
              <w:rPr>
                <w:rFonts w:cs="Times New Roman"/>
                <w:sz w:val="20"/>
                <w:szCs w:val="20"/>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936DF9" w14:textId="77777777" w:rsidR="00DD61C5" w:rsidRPr="00003D6E" w:rsidRDefault="00DD61C5">
            <w:pPr>
              <w:keepNext/>
              <w:spacing w:before="20"/>
              <w:ind w:right="-174"/>
              <w:jc w:val="center"/>
              <w:rPr>
                <w:rFonts w:cs="Times New Roman"/>
                <w:b/>
                <w:bCs/>
                <w:sz w:val="20"/>
                <w:szCs w:val="20"/>
              </w:rPr>
            </w:pPr>
            <w:r w:rsidRPr="00003D6E">
              <w:rPr>
                <w:rFonts w:cs="Times New Roman"/>
                <w:b/>
                <w:bCs/>
                <w:sz w:val="20"/>
                <w:szCs w:val="20"/>
              </w:rPr>
              <w:t>POETYK PSO-1</w:t>
            </w: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EEBC7B" w14:textId="77777777" w:rsidR="00DD61C5" w:rsidRPr="00003D6E" w:rsidRDefault="00DD61C5">
            <w:pPr>
              <w:keepNext/>
              <w:spacing w:before="20"/>
              <w:ind w:right="-174"/>
              <w:jc w:val="center"/>
              <w:rPr>
                <w:rFonts w:cs="Times New Roman"/>
                <w:b/>
                <w:bCs/>
                <w:sz w:val="20"/>
                <w:szCs w:val="20"/>
              </w:rPr>
            </w:pPr>
            <w:r w:rsidRPr="00003D6E">
              <w:rPr>
                <w:rFonts w:cs="Times New Roman"/>
                <w:b/>
                <w:bCs/>
                <w:sz w:val="20"/>
                <w:szCs w:val="20"/>
              </w:rPr>
              <w:t>POETYK PSO-2</w:t>
            </w:r>
          </w:p>
        </w:tc>
      </w:tr>
      <w:tr w:rsidR="00003D6E" w:rsidRPr="00003D6E" w14:paraId="08847EEB" w14:textId="77777777" w:rsidTr="000A50A0">
        <w:trPr>
          <w:trHeight w:val="188"/>
        </w:trPr>
        <w:tc>
          <w:tcPr>
            <w:tcW w:w="340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275B7E" w14:textId="77777777" w:rsidR="00DD61C5" w:rsidRPr="00003D6E" w:rsidRDefault="00DD61C5">
            <w:pPr>
              <w:rPr>
                <w:rFonts w:eastAsia="MS Mincho" w:cs="Times New Roman"/>
                <w:sz w:val="20"/>
                <w:szCs w:val="20"/>
                <w:lang w:eastAsia="ja-JP"/>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EDE9A2" w14:textId="77777777" w:rsidR="00DD61C5" w:rsidRPr="00003D6E" w:rsidRDefault="00DD61C5">
            <w:pPr>
              <w:keepNext/>
              <w:spacing w:before="20"/>
              <w:ind w:right="-106"/>
              <w:jc w:val="center"/>
              <w:rPr>
                <w:rFonts w:cs="Times New Roman"/>
                <w:b/>
                <w:bCs/>
                <w:sz w:val="20"/>
                <w:szCs w:val="20"/>
              </w:rPr>
            </w:pPr>
            <w:r w:rsidRPr="00003D6E">
              <w:rPr>
                <w:rFonts w:cs="Times New Roman"/>
                <w:b/>
                <w:bCs/>
                <w:sz w:val="20"/>
                <w:szCs w:val="20"/>
              </w:rPr>
              <w:t>SOTYKTU</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28C53D" w14:textId="77777777" w:rsidR="00DD61C5" w:rsidRPr="00003D6E" w:rsidRDefault="00DD61C5">
            <w:pPr>
              <w:keepNext/>
              <w:spacing w:before="20"/>
              <w:ind w:right="-174"/>
              <w:jc w:val="center"/>
              <w:rPr>
                <w:rFonts w:cs="Times New Roman"/>
                <w:b/>
                <w:bCs/>
                <w:sz w:val="20"/>
                <w:szCs w:val="20"/>
              </w:rPr>
            </w:pPr>
            <w:r w:rsidRPr="00003D6E">
              <w:rPr>
                <w:rFonts w:cs="Times New Roman"/>
                <w:b/>
                <w:bCs/>
                <w:sz w:val="20"/>
                <w:szCs w:val="20"/>
              </w:rPr>
              <w:t>Placebo</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23A9BF" w14:textId="77777777" w:rsidR="00DD61C5" w:rsidRPr="00003D6E" w:rsidRDefault="00DD61C5">
            <w:pPr>
              <w:keepNext/>
              <w:spacing w:before="20"/>
              <w:ind w:right="-108"/>
              <w:jc w:val="center"/>
              <w:rPr>
                <w:rFonts w:cs="Times New Roman"/>
                <w:b/>
                <w:bCs/>
                <w:sz w:val="20"/>
                <w:szCs w:val="20"/>
              </w:rPr>
            </w:pPr>
            <w:r w:rsidRPr="00003D6E">
              <w:rPr>
                <w:rFonts w:cs="Times New Roman"/>
                <w:b/>
                <w:bCs/>
                <w:sz w:val="20"/>
                <w:szCs w:val="20"/>
              </w:rPr>
              <w:t>SOTYKTU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33F680" w14:textId="77777777" w:rsidR="00DD61C5" w:rsidRPr="00003D6E" w:rsidRDefault="00DD61C5">
            <w:pPr>
              <w:keepNext/>
              <w:spacing w:before="20"/>
              <w:ind w:right="-174"/>
              <w:jc w:val="center"/>
              <w:rPr>
                <w:rFonts w:cs="Times New Roman"/>
                <w:b/>
                <w:bCs/>
                <w:sz w:val="20"/>
                <w:szCs w:val="20"/>
              </w:rPr>
            </w:pPr>
            <w:r w:rsidRPr="00003D6E">
              <w:rPr>
                <w:rFonts w:cs="Times New Roman"/>
                <w:b/>
                <w:bCs/>
                <w:sz w:val="20"/>
                <w:szCs w:val="20"/>
              </w:rPr>
              <w:t>Placebo</w:t>
            </w:r>
          </w:p>
        </w:tc>
      </w:tr>
      <w:tr w:rsidR="00003D6E" w:rsidRPr="00003D6E" w14:paraId="2A0E9A6C" w14:textId="77777777" w:rsidTr="000A50A0">
        <w:trPr>
          <w:trHeight w:val="188"/>
        </w:trPr>
        <w:tc>
          <w:tcPr>
            <w:tcW w:w="3402" w:type="dxa"/>
            <w:tcBorders>
              <w:top w:val="single" w:sz="4" w:space="0" w:color="auto"/>
              <w:left w:val="single" w:sz="4" w:space="0" w:color="auto"/>
              <w:bottom w:val="single" w:sz="4" w:space="0" w:color="auto"/>
              <w:right w:val="single" w:sz="4" w:space="0" w:color="auto"/>
            </w:tcBorders>
            <w:hideMark/>
          </w:tcPr>
          <w:p w14:paraId="5E05BEEF" w14:textId="77777777" w:rsidR="00DD61C5" w:rsidRPr="00003D6E" w:rsidRDefault="00DD61C5">
            <w:pPr>
              <w:keepNext/>
              <w:tabs>
                <w:tab w:val="left" w:pos="313"/>
              </w:tabs>
              <w:ind w:left="30" w:right="-104"/>
              <w:rPr>
                <w:rFonts w:cs="Times New Roman"/>
                <w:sz w:val="20"/>
                <w:szCs w:val="20"/>
              </w:rPr>
            </w:pPr>
            <w:r w:rsidRPr="00003D6E">
              <w:rPr>
                <w:rFonts w:cs="Times New Roman"/>
                <w:b/>
                <w:sz w:val="20"/>
                <w:szCs w:val="20"/>
              </w:rPr>
              <w:t>PSSD symptom score</w:t>
            </w:r>
          </w:p>
          <w:p w14:paraId="1D7AAE31" w14:textId="77777777" w:rsidR="00DD61C5" w:rsidRPr="00003D6E" w:rsidRDefault="00DD61C5">
            <w:pPr>
              <w:keepNext/>
              <w:ind w:left="30"/>
              <w:rPr>
                <w:rFonts w:cs="Times New Roman"/>
                <w:sz w:val="20"/>
                <w:szCs w:val="20"/>
              </w:rPr>
            </w:pPr>
            <w:r w:rsidRPr="00003D6E">
              <w:rPr>
                <w:rFonts w:cs="Times New Roman"/>
                <w:sz w:val="20"/>
                <w:szCs w:val="20"/>
              </w:rPr>
              <w:t>Patients achieving 0 (NRI)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795FB4" w14:textId="77777777" w:rsidR="00DD61C5" w:rsidRPr="00003D6E" w:rsidRDefault="00DD61C5">
            <w:pPr>
              <w:keepNext/>
              <w:spacing w:before="60"/>
              <w:ind w:left="-113"/>
              <w:jc w:val="center"/>
              <w:rPr>
                <w:rFonts w:cs="Times New Roman"/>
                <w:sz w:val="20"/>
                <w:szCs w:val="20"/>
              </w:rPr>
            </w:pPr>
            <w:r w:rsidRPr="00003D6E">
              <w:rPr>
                <w:rFonts w:cs="Times New Roman"/>
                <w:sz w:val="20"/>
                <w:szCs w:val="20"/>
              </w:rPr>
              <w:t>N=305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9591DF5" w14:textId="77777777" w:rsidR="00DD61C5" w:rsidRPr="00003D6E" w:rsidRDefault="00DD61C5">
            <w:pPr>
              <w:keepNext/>
              <w:spacing w:before="60"/>
              <w:ind w:left="-108" w:right="-34"/>
              <w:jc w:val="center"/>
              <w:rPr>
                <w:rFonts w:cs="Times New Roman"/>
                <w:sz w:val="20"/>
                <w:szCs w:val="20"/>
              </w:rPr>
            </w:pPr>
            <w:r w:rsidRPr="00003D6E">
              <w:rPr>
                <w:rFonts w:cs="Times New Roman"/>
                <w:sz w:val="20"/>
                <w:szCs w:val="20"/>
              </w:rPr>
              <w:t>N=149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DF283A" w14:textId="77777777" w:rsidR="00DD61C5" w:rsidRPr="00003D6E" w:rsidRDefault="00DD61C5">
            <w:pPr>
              <w:keepNext/>
              <w:spacing w:before="60"/>
              <w:ind w:left="-153" w:right="-108"/>
              <w:jc w:val="center"/>
              <w:rPr>
                <w:rFonts w:cs="Times New Roman"/>
                <w:sz w:val="20"/>
                <w:szCs w:val="20"/>
              </w:rPr>
            </w:pPr>
            <w:r w:rsidRPr="00003D6E">
              <w:rPr>
                <w:rFonts w:cs="Times New Roman"/>
                <w:sz w:val="20"/>
                <w:szCs w:val="20"/>
              </w:rPr>
              <w:t>N=466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172C63" w14:textId="77777777" w:rsidR="00DD61C5" w:rsidRPr="00003D6E" w:rsidRDefault="00DD61C5">
            <w:pPr>
              <w:keepNext/>
              <w:spacing w:before="60"/>
              <w:ind w:left="-136" w:right="-108"/>
              <w:jc w:val="center"/>
              <w:rPr>
                <w:rFonts w:cs="Times New Roman"/>
                <w:sz w:val="20"/>
                <w:szCs w:val="20"/>
              </w:rPr>
            </w:pPr>
            <w:r w:rsidRPr="00003D6E">
              <w:rPr>
                <w:rFonts w:cs="Times New Roman"/>
                <w:sz w:val="20"/>
                <w:szCs w:val="20"/>
              </w:rPr>
              <w:t>N=238</w:t>
            </w:r>
          </w:p>
        </w:tc>
      </w:tr>
      <w:tr w:rsidR="00003D6E" w:rsidRPr="00003D6E" w14:paraId="12110B88" w14:textId="77777777" w:rsidTr="000A50A0">
        <w:trPr>
          <w:trHeight w:val="188"/>
        </w:trPr>
        <w:tc>
          <w:tcPr>
            <w:tcW w:w="3402" w:type="dxa"/>
            <w:tcBorders>
              <w:top w:val="single" w:sz="4" w:space="0" w:color="auto"/>
              <w:left w:val="single" w:sz="4" w:space="0" w:color="auto"/>
              <w:bottom w:val="single" w:sz="4" w:space="0" w:color="auto"/>
              <w:right w:val="single" w:sz="4" w:space="0" w:color="auto"/>
            </w:tcBorders>
            <w:hideMark/>
          </w:tcPr>
          <w:p w14:paraId="0D46ED84" w14:textId="77777777" w:rsidR="00DD61C5" w:rsidRPr="00003D6E" w:rsidRDefault="00DD61C5">
            <w:pPr>
              <w:keepNext/>
              <w:tabs>
                <w:tab w:val="left" w:pos="262"/>
              </w:tabs>
              <w:spacing w:before="40" w:afterLines="20" w:after="48" w:line="264" w:lineRule="auto"/>
              <w:ind w:left="30"/>
              <w:rPr>
                <w:rFonts w:cs="Times New Roman"/>
                <w:sz w:val="20"/>
                <w:szCs w:val="20"/>
              </w:rPr>
            </w:pPr>
            <w:r w:rsidRPr="00003D6E">
              <w:rPr>
                <w:rFonts w:cs="Times New Roman"/>
                <w:sz w:val="20"/>
                <w:szCs w:val="20"/>
              </w:rPr>
              <w:tab/>
              <w:t>Week 16, n (%)</w:t>
            </w:r>
          </w:p>
        </w:tc>
        <w:tc>
          <w:tcPr>
            <w:tcW w:w="1701" w:type="dxa"/>
            <w:tcBorders>
              <w:top w:val="single" w:sz="4" w:space="0" w:color="auto"/>
              <w:left w:val="single" w:sz="4" w:space="0" w:color="auto"/>
              <w:bottom w:val="single" w:sz="4" w:space="0" w:color="auto"/>
              <w:right w:val="single" w:sz="4" w:space="0" w:color="auto"/>
            </w:tcBorders>
            <w:hideMark/>
          </w:tcPr>
          <w:p w14:paraId="751290FB" w14:textId="77777777" w:rsidR="00DD61C5" w:rsidRPr="00003D6E" w:rsidRDefault="00DD61C5">
            <w:pPr>
              <w:keepNext/>
              <w:spacing w:before="40" w:afterLines="20" w:after="48" w:line="264" w:lineRule="auto"/>
              <w:jc w:val="center"/>
              <w:rPr>
                <w:rFonts w:cs="Times New Roman"/>
                <w:sz w:val="20"/>
                <w:szCs w:val="20"/>
              </w:rPr>
            </w:pPr>
            <w:r w:rsidRPr="00003D6E">
              <w:rPr>
                <w:rFonts w:cs="Times New Roman"/>
                <w:sz w:val="20"/>
                <w:szCs w:val="20"/>
              </w:rPr>
              <w:t xml:space="preserve">24 (7.9)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450D794" w14:textId="77777777" w:rsidR="00DD61C5" w:rsidRPr="00003D6E" w:rsidRDefault="00DD61C5">
            <w:pPr>
              <w:keepNext/>
              <w:spacing w:before="40" w:afterLines="20" w:after="48" w:line="264" w:lineRule="auto"/>
              <w:jc w:val="center"/>
              <w:rPr>
                <w:rFonts w:cs="Times New Roman"/>
                <w:sz w:val="20"/>
                <w:szCs w:val="20"/>
              </w:rPr>
            </w:pPr>
            <w:r w:rsidRPr="00003D6E">
              <w:rPr>
                <w:rFonts w:cs="Times New Roman"/>
                <w:sz w:val="20"/>
                <w:szCs w:val="20"/>
              </w:rPr>
              <w:t>1 (0.7)</w:t>
            </w:r>
            <w:r w:rsidRPr="00003D6E">
              <w:rPr>
                <w:rFonts w:cs="Times New Roman"/>
                <w:sz w:val="20"/>
                <w:szCs w:val="20"/>
                <w:vertAlign w:val="superscript"/>
              </w:rPr>
              <w:t xml:space="preserve"> c</w:t>
            </w:r>
          </w:p>
        </w:tc>
        <w:tc>
          <w:tcPr>
            <w:tcW w:w="1559" w:type="dxa"/>
            <w:tcBorders>
              <w:top w:val="single" w:sz="4" w:space="0" w:color="auto"/>
              <w:left w:val="single" w:sz="4" w:space="0" w:color="auto"/>
              <w:bottom w:val="single" w:sz="4" w:space="0" w:color="auto"/>
              <w:right w:val="single" w:sz="4" w:space="0" w:color="auto"/>
            </w:tcBorders>
            <w:hideMark/>
          </w:tcPr>
          <w:p w14:paraId="0C6B4646" w14:textId="77777777" w:rsidR="00DD61C5" w:rsidRPr="00003D6E" w:rsidRDefault="00DD61C5">
            <w:pPr>
              <w:keepNext/>
              <w:spacing w:before="40" w:afterLines="20" w:after="48" w:line="264" w:lineRule="auto"/>
              <w:jc w:val="center"/>
              <w:rPr>
                <w:rFonts w:cs="Times New Roman"/>
                <w:sz w:val="20"/>
                <w:szCs w:val="20"/>
              </w:rPr>
            </w:pPr>
            <w:r w:rsidRPr="00003D6E">
              <w:rPr>
                <w:rFonts w:cs="Times New Roman"/>
                <w:sz w:val="20"/>
                <w:szCs w:val="20"/>
              </w:rPr>
              <w:t xml:space="preserve">35 (7.5)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73A86D" w14:textId="77777777" w:rsidR="00DD61C5" w:rsidRPr="00003D6E" w:rsidRDefault="00DD61C5">
            <w:pPr>
              <w:keepNext/>
              <w:spacing w:before="40" w:afterLines="20" w:after="48" w:line="264" w:lineRule="auto"/>
              <w:jc w:val="center"/>
              <w:rPr>
                <w:rFonts w:cs="Times New Roman"/>
                <w:sz w:val="20"/>
                <w:szCs w:val="20"/>
              </w:rPr>
            </w:pPr>
            <w:r w:rsidRPr="00003D6E">
              <w:rPr>
                <w:rFonts w:cs="Times New Roman"/>
                <w:sz w:val="20"/>
                <w:szCs w:val="20"/>
              </w:rPr>
              <w:t>3 (1.3)</w:t>
            </w:r>
            <w:r w:rsidRPr="00003D6E">
              <w:rPr>
                <w:rFonts w:cs="Times New Roman"/>
                <w:sz w:val="20"/>
                <w:szCs w:val="20"/>
                <w:vertAlign w:val="superscript"/>
              </w:rPr>
              <w:t xml:space="preserve"> b</w:t>
            </w:r>
          </w:p>
        </w:tc>
      </w:tr>
      <w:tr w:rsidR="00003D6E" w:rsidRPr="00003D6E" w14:paraId="7B9374A7" w14:textId="77777777" w:rsidTr="000A50A0">
        <w:trPr>
          <w:trHeight w:val="188"/>
        </w:trPr>
        <w:tc>
          <w:tcPr>
            <w:tcW w:w="3402" w:type="dxa"/>
            <w:tcBorders>
              <w:top w:val="single" w:sz="4" w:space="0" w:color="auto"/>
              <w:left w:val="single" w:sz="4" w:space="0" w:color="auto"/>
              <w:bottom w:val="single" w:sz="4" w:space="0" w:color="auto"/>
              <w:right w:val="single" w:sz="4" w:space="0" w:color="auto"/>
            </w:tcBorders>
            <w:hideMark/>
          </w:tcPr>
          <w:p w14:paraId="32F42125" w14:textId="77777777" w:rsidR="00DD61C5" w:rsidRPr="00003D6E" w:rsidRDefault="00DD61C5">
            <w:pPr>
              <w:keepNext/>
              <w:tabs>
                <w:tab w:val="left" w:pos="1735"/>
              </w:tabs>
              <w:ind w:left="30"/>
              <w:rPr>
                <w:rFonts w:cs="Times New Roman"/>
                <w:b/>
                <w:sz w:val="20"/>
                <w:szCs w:val="20"/>
              </w:rPr>
            </w:pPr>
            <w:r w:rsidRPr="00003D6E">
              <w:rPr>
                <w:rFonts w:cs="Times New Roman"/>
                <w:b/>
                <w:sz w:val="20"/>
                <w:szCs w:val="20"/>
              </w:rPr>
              <w:t>DLQI</w:t>
            </w:r>
          </w:p>
          <w:p w14:paraId="5AA85FE2" w14:textId="77777777" w:rsidR="00DD61C5" w:rsidRPr="00003D6E" w:rsidRDefault="00DD61C5">
            <w:pPr>
              <w:keepNext/>
              <w:ind w:left="30"/>
              <w:rPr>
                <w:rFonts w:cs="Times New Roman"/>
                <w:sz w:val="20"/>
                <w:szCs w:val="20"/>
              </w:rPr>
            </w:pPr>
            <w:r w:rsidRPr="00003D6E">
              <w:rPr>
                <w:rFonts w:cs="Times New Roman"/>
                <w:sz w:val="20"/>
                <w:szCs w:val="20"/>
              </w:rPr>
              <w:t>Patients achieving 0 or 1 (NRI)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7339F8" w14:textId="77777777" w:rsidR="00DD61C5" w:rsidRPr="00003D6E" w:rsidRDefault="00DD61C5">
            <w:pPr>
              <w:keepNext/>
              <w:spacing w:before="60"/>
              <w:ind w:left="-113"/>
              <w:jc w:val="center"/>
              <w:rPr>
                <w:rFonts w:cs="Times New Roman"/>
                <w:sz w:val="20"/>
                <w:szCs w:val="20"/>
              </w:rPr>
            </w:pPr>
            <w:r w:rsidRPr="00003D6E">
              <w:rPr>
                <w:rFonts w:cs="Times New Roman"/>
                <w:sz w:val="20"/>
                <w:szCs w:val="20"/>
              </w:rPr>
              <w:t>N=322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783A2E7" w14:textId="77777777" w:rsidR="00DD61C5" w:rsidRPr="00003D6E" w:rsidRDefault="00DD61C5">
            <w:pPr>
              <w:keepNext/>
              <w:spacing w:before="60"/>
              <w:ind w:left="-108" w:right="-34"/>
              <w:jc w:val="center"/>
              <w:rPr>
                <w:rFonts w:cs="Times New Roman"/>
                <w:sz w:val="20"/>
                <w:szCs w:val="20"/>
              </w:rPr>
            </w:pPr>
            <w:r w:rsidRPr="00003D6E">
              <w:rPr>
                <w:rFonts w:cs="Times New Roman"/>
                <w:sz w:val="20"/>
                <w:szCs w:val="20"/>
              </w:rPr>
              <w:t>N=160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0D6085" w14:textId="77777777" w:rsidR="00DD61C5" w:rsidRPr="00003D6E" w:rsidRDefault="00DD61C5">
            <w:pPr>
              <w:keepNext/>
              <w:spacing w:before="60"/>
              <w:ind w:left="-153" w:right="-108"/>
              <w:jc w:val="center"/>
              <w:rPr>
                <w:rFonts w:cs="Times New Roman"/>
                <w:sz w:val="20"/>
                <w:szCs w:val="20"/>
              </w:rPr>
            </w:pPr>
            <w:r w:rsidRPr="00003D6E">
              <w:rPr>
                <w:rFonts w:cs="Times New Roman"/>
                <w:sz w:val="20"/>
                <w:szCs w:val="20"/>
              </w:rPr>
              <w:t>N=495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3C97AC" w14:textId="77777777" w:rsidR="00DD61C5" w:rsidRPr="00003D6E" w:rsidRDefault="00DD61C5">
            <w:pPr>
              <w:keepNext/>
              <w:spacing w:before="60"/>
              <w:ind w:left="-136" w:right="-108"/>
              <w:jc w:val="center"/>
              <w:rPr>
                <w:rFonts w:cs="Times New Roman"/>
                <w:sz w:val="20"/>
                <w:szCs w:val="20"/>
              </w:rPr>
            </w:pPr>
            <w:r w:rsidRPr="00003D6E">
              <w:rPr>
                <w:rFonts w:cs="Times New Roman"/>
                <w:sz w:val="20"/>
                <w:szCs w:val="20"/>
              </w:rPr>
              <w:t>N=246</w:t>
            </w:r>
          </w:p>
        </w:tc>
      </w:tr>
      <w:tr w:rsidR="00003D6E" w:rsidRPr="00003D6E" w14:paraId="03F68CFA" w14:textId="77777777" w:rsidTr="000A50A0">
        <w:trPr>
          <w:trHeight w:val="188"/>
        </w:trPr>
        <w:tc>
          <w:tcPr>
            <w:tcW w:w="3402" w:type="dxa"/>
            <w:tcBorders>
              <w:top w:val="single" w:sz="4" w:space="0" w:color="auto"/>
              <w:left w:val="single" w:sz="4" w:space="0" w:color="auto"/>
              <w:bottom w:val="single" w:sz="4" w:space="0" w:color="auto"/>
              <w:right w:val="single" w:sz="4" w:space="0" w:color="auto"/>
            </w:tcBorders>
            <w:hideMark/>
          </w:tcPr>
          <w:p w14:paraId="62EF1C55" w14:textId="77777777" w:rsidR="00DD61C5" w:rsidRPr="00003D6E" w:rsidRDefault="00DD61C5">
            <w:pPr>
              <w:keepNext/>
              <w:tabs>
                <w:tab w:val="left" w:pos="262"/>
              </w:tabs>
              <w:spacing w:before="40" w:afterLines="20" w:after="48" w:line="264" w:lineRule="auto"/>
              <w:rPr>
                <w:rFonts w:cs="Times New Roman"/>
                <w:sz w:val="20"/>
                <w:szCs w:val="20"/>
              </w:rPr>
            </w:pPr>
            <w:r w:rsidRPr="00003D6E">
              <w:rPr>
                <w:rFonts w:cs="Times New Roman"/>
                <w:sz w:val="20"/>
                <w:szCs w:val="20"/>
              </w:rPr>
              <w:tab/>
              <w:t>Week 16, n (%)</w:t>
            </w:r>
          </w:p>
        </w:tc>
        <w:tc>
          <w:tcPr>
            <w:tcW w:w="1701" w:type="dxa"/>
            <w:tcBorders>
              <w:top w:val="single" w:sz="4" w:space="0" w:color="auto"/>
              <w:left w:val="single" w:sz="4" w:space="0" w:color="auto"/>
              <w:bottom w:val="single" w:sz="4" w:space="0" w:color="auto"/>
              <w:right w:val="single" w:sz="4" w:space="0" w:color="auto"/>
            </w:tcBorders>
            <w:hideMark/>
          </w:tcPr>
          <w:p w14:paraId="0A1ED7DA" w14:textId="77777777" w:rsidR="00DD61C5" w:rsidRPr="00003D6E" w:rsidRDefault="00DD61C5">
            <w:pPr>
              <w:keepNext/>
              <w:spacing w:before="40" w:afterLines="20" w:after="48" w:line="264" w:lineRule="auto"/>
              <w:jc w:val="center"/>
              <w:rPr>
                <w:rFonts w:cs="Times New Roman"/>
                <w:sz w:val="20"/>
                <w:szCs w:val="20"/>
              </w:rPr>
            </w:pPr>
            <w:r w:rsidRPr="00003D6E">
              <w:rPr>
                <w:rFonts w:cs="Times New Roman"/>
                <w:sz w:val="20"/>
                <w:szCs w:val="20"/>
              </w:rPr>
              <w:t>132 (41.0)</w:t>
            </w:r>
          </w:p>
        </w:tc>
        <w:tc>
          <w:tcPr>
            <w:tcW w:w="1560" w:type="dxa"/>
            <w:tcBorders>
              <w:top w:val="single" w:sz="4" w:space="0" w:color="auto"/>
              <w:left w:val="single" w:sz="4" w:space="0" w:color="auto"/>
              <w:bottom w:val="single" w:sz="4" w:space="0" w:color="auto"/>
              <w:right w:val="single" w:sz="4" w:space="0" w:color="auto"/>
            </w:tcBorders>
            <w:hideMark/>
          </w:tcPr>
          <w:p w14:paraId="5C4B7A0B" w14:textId="77777777" w:rsidR="00DD61C5" w:rsidRPr="00003D6E" w:rsidRDefault="00DD61C5">
            <w:pPr>
              <w:keepNext/>
              <w:spacing w:before="40" w:afterLines="20" w:after="48" w:line="264" w:lineRule="auto"/>
              <w:jc w:val="center"/>
              <w:rPr>
                <w:rFonts w:cs="Times New Roman"/>
                <w:sz w:val="20"/>
                <w:szCs w:val="20"/>
              </w:rPr>
            </w:pPr>
            <w:r w:rsidRPr="00003D6E">
              <w:rPr>
                <w:rFonts w:cs="Times New Roman"/>
                <w:sz w:val="20"/>
                <w:szCs w:val="20"/>
              </w:rPr>
              <w:t xml:space="preserve">17 (10.6) </w:t>
            </w:r>
            <w:r w:rsidRPr="00003D6E">
              <w:rPr>
                <w:rFonts w:cs="Times New Roman"/>
                <w:sz w:val="20"/>
                <w:szCs w:val="20"/>
                <w:vertAlign w:val="superscript"/>
              </w:rPr>
              <w:t>a</w:t>
            </w:r>
          </w:p>
        </w:tc>
        <w:tc>
          <w:tcPr>
            <w:tcW w:w="1559" w:type="dxa"/>
            <w:tcBorders>
              <w:top w:val="single" w:sz="4" w:space="0" w:color="auto"/>
              <w:left w:val="single" w:sz="4" w:space="0" w:color="auto"/>
              <w:bottom w:val="single" w:sz="4" w:space="0" w:color="auto"/>
              <w:right w:val="single" w:sz="4" w:space="0" w:color="auto"/>
            </w:tcBorders>
            <w:hideMark/>
          </w:tcPr>
          <w:p w14:paraId="5695EC82" w14:textId="77777777" w:rsidR="00DD61C5" w:rsidRPr="00003D6E" w:rsidRDefault="00DD61C5">
            <w:pPr>
              <w:keepNext/>
              <w:spacing w:before="40" w:afterLines="20" w:after="48" w:line="264" w:lineRule="auto"/>
              <w:jc w:val="center"/>
              <w:rPr>
                <w:rFonts w:cs="Times New Roman"/>
                <w:sz w:val="20"/>
                <w:szCs w:val="20"/>
              </w:rPr>
            </w:pPr>
            <w:r w:rsidRPr="00003D6E">
              <w:rPr>
                <w:rFonts w:cs="Times New Roman"/>
                <w:sz w:val="20"/>
                <w:szCs w:val="20"/>
              </w:rPr>
              <w:t>186 (37.6)</w:t>
            </w:r>
          </w:p>
        </w:tc>
        <w:tc>
          <w:tcPr>
            <w:tcW w:w="1559" w:type="dxa"/>
            <w:tcBorders>
              <w:top w:val="single" w:sz="4" w:space="0" w:color="auto"/>
              <w:left w:val="single" w:sz="4" w:space="0" w:color="auto"/>
              <w:bottom w:val="single" w:sz="4" w:space="0" w:color="auto"/>
              <w:right w:val="single" w:sz="4" w:space="0" w:color="auto"/>
            </w:tcBorders>
            <w:hideMark/>
          </w:tcPr>
          <w:p w14:paraId="509F2260" w14:textId="77777777" w:rsidR="00DD61C5" w:rsidRPr="00003D6E" w:rsidRDefault="00DD61C5">
            <w:pPr>
              <w:keepNext/>
              <w:spacing w:before="40" w:afterLines="20" w:after="48" w:line="264" w:lineRule="auto"/>
              <w:jc w:val="center"/>
              <w:rPr>
                <w:rFonts w:cs="Times New Roman"/>
                <w:sz w:val="20"/>
                <w:szCs w:val="20"/>
              </w:rPr>
            </w:pPr>
            <w:r w:rsidRPr="00003D6E">
              <w:rPr>
                <w:rFonts w:cs="Times New Roman"/>
                <w:sz w:val="20"/>
                <w:szCs w:val="20"/>
              </w:rPr>
              <w:t xml:space="preserve">24 (9.8) </w:t>
            </w:r>
            <w:r w:rsidRPr="00003D6E">
              <w:rPr>
                <w:rFonts w:cs="Times New Roman"/>
                <w:sz w:val="20"/>
                <w:szCs w:val="20"/>
                <w:vertAlign w:val="superscript"/>
              </w:rPr>
              <w:t>a</w:t>
            </w:r>
          </w:p>
        </w:tc>
      </w:tr>
    </w:tbl>
    <w:p w14:paraId="564D956F" w14:textId="77777777" w:rsidR="00EA2BEA" w:rsidRPr="00003D6E" w:rsidRDefault="00EA2BEA" w:rsidP="00EA2BEA">
      <w:pPr>
        <w:pStyle w:val="BMSTableText"/>
        <w:jc w:val="left"/>
        <w:rPr>
          <w:sz w:val="18"/>
          <w:szCs w:val="18"/>
          <w:lang w:val="en-CA" w:eastAsia="en-CA"/>
        </w:rPr>
      </w:pPr>
      <w:r w:rsidRPr="00003D6E">
        <w:rPr>
          <w:sz w:val="18"/>
          <w:szCs w:val="18"/>
          <w:lang w:val="en-CA" w:eastAsia="en-CA"/>
        </w:rPr>
        <w:t>NRI: Non-responder imputation</w:t>
      </w:r>
    </w:p>
    <w:p w14:paraId="796AB4FD" w14:textId="77777777" w:rsidR="00EA2BEA" w:rsidRPr="00003D6E" w:rsidRDefault="00EA2BEA" w:rsidP="00EA2BEA">
      <w:pPr>
        <w:pStyle w:val="BMSTableText"/>
        <w:jc w:val="left"/>
        <w:rPr>
          <w:sz w:val="18"/>
          <w:szCs w:val="18"/>
          <w:lang w:val="en-CA" w:eastAsia="en-CA"/>
        </w:rPr>
      </w:pPr>
      <w:r w:rsidRPr="00003D6E">
        <w:rPr>
          <w:sz w:val="18"/>
          <w:szCs w:val="18"/>
          <w:lang w:val="en-CA" w:eastAsia="en-CA"/>
        </w:rPr>
        <w:t xml:space="preserve">*    Adjusted mean change; </w:t>
      </w:r>
      <w:proofErr w:type="spellStart"/>
      <w:r w:rsidRPr="00003D6E">
        <w:rPr>
          <w:sz w:val="18"/>
          <w:szCs w:val="18"/>
          <w:lang w:val="en-CA" w:eastAsia="en-CA"/>
        </w:rPr>
        <w:t>mBOCF</w:t>
      </w:r>
      <w:proofErr w:type="spellEnd"/>
      <w:r w:rsidRPr="00003D6E">
        <w:rPr>
          <w:sz w:val="18"/>
          <w:szCs w:val="18"/>
          <w:lang w:val="en-CA" w:eastAsia="en-CA"/>
        </w:rPr>
        <w:t xml:space="preserve"> – modified baseline observation carried forward; standard error (SE)  </w:t>
      </w:r>
    </w:p>
    <w:p w14:paraId="0DAE3CCF" w14:textId="77777777" w:rsidR="00EA2BEA" w:rsidRPr="00003D6E" w:rsidRDefault="00EA2BEA" w:rsidP="00EA2BEA">
      <w:pPr>
        <w:pStyle w:val="BMSTableText"/>
        <w:jc w:val="left"/>
        <w:rPr>
          <w:sz w:val="18"/>
          <w:szCs w:val="18"/>
          <w:lang w:val="en-CA" w:eastAsia="en-CA"/>
        </w:rPr>
      </w:pPr>
      <w:r w:rsidRPr="00003D6E">
        <w:rPr>
          <w:sz w:val="18"/>
          <w:szCs w:val="18"/>
          <w:lang w:val="en-CA" w:eastAsia="en-CA"/>
        </w:rPr>
        <w:t>*</w:t>
      </w:r>
      <w:proofErr w:type="gramStart"/>
      <w:r w:rsidRPr="00003D6E">
        <w:rPr>
          <w:sz w:val="18"/>
          <w:szCs w:val="18"/>
          <w:lang w:val="en-CA" w:eastAsia="en-CA"/>
        </w:rPr>
        <w:t>*  Patients</w:t>
      </w:r>
      <w:proofErr w:type="gramEnd"/>
      <w:r w:rsidRPr="00003D6E">
        <w:rPr>
          <w:sz w:val="18"/>
          <w:szCs w:val="18"/>
          <w:lang w:val="en-CA" w:eastAsia="en-CA"/>
        </w:rPr>
        <w:t xml:space="preserve"> with baseline score ≥ 2 </w:t>
      </w:r>
    </w:p>
    <w:p w14:paraId="705F7E14" w14:textId="77777777" w:rsidR="00EA2BEA" w:rsidRPr="00003D6E" w:rsidRDefault="00EA2BEA" w:rsidP="00EA2BEA">
      <w:pPr>
        <w:pStyle w:val="BMSTableText"/>
        <w:jc w:val="left"/>
        <w:rPr>
          <w:sz w:val="18"/>
          <w:szCs w:val="18"/>
          <w:lang w:val="en-CA" w:eastAsia="en-CA"/>
        </w:rPr>
      </w:pPr>
      <w:r w:rsidRPr="00003D6E">
        <w:rPr>
          <w:sz w:val="18"/>
          <w:szCs w:val="18"/>
          <w:lang w:val="en-CA" w:eastAsia="en-CA"/>
        </w:rPr>
        <w:t>*** Patients with baseline score ≥ 1</w:t>
      </w:r>
    </w:p>
    <w:p w14:paraId="1A74BDE7" w14:textId="77777777" w:rsidR="00EA2BEA" w:rsidRPr="00003D6E" w:rsidRDefault="00EA2BEA" w:rsidP="00EA2BEA">
      <w:pPr>
        <w:pStyle w:val="BMSTableText"/>
        <w:jc w:val="left"/>
        <w:rPr>
          <w:sz w:val="18"/>
          <w:szCs w:val="18"/>
          <w:lang w:val="en-CA" w:eastAsia="en-CA"/>
        </w:rPr>
      </w:pPr>
      <w:r w:rsidRPr="00003D6E">
        <w:rPr>
          <w:rStyle w:val="BMSSuperscript"/>
          <w:sz w:val="18"/>
          <w:szCs w:val="18"/>
        </w:rPr>
        <w:t>a</w:t>
      </w:r>
      <w:r w:rsidRPr="00003D6E">
        <w:rPr>
          <w:sz w:val="18"/>
          <w:szCs w:val="18"/>
          <w:lang w:val="en-CA" w:eastAsia="en-CA"/>
        </w:rPr>
        <w:t xml:space="preserve"> p &lt;0.0001 for multiplicity adjusted comparison between SOTYKTU and placebo or SOTYKTU and </w:t>
      </w:r>
      <w:proofErr w:type="gramStart"/>
      <w:r w:rsidRPr="00003D6E">
        <w:rPr>
          <w:sz w:val="18"/>
          <w:szCs w:val="18"/>
          <w:lang w:val="en-CA" w:eastAsia="en-CA"/>
        </w:rPr>
        <w:t>apremilast</w:t>
      </w:r>
      <w:proofErr w:type="gramEnd"/>
      <w:r w:rsidRPr="00003D6E">
        <w:rPr>
          <w:sz w:val="18"/>
          <w:szCs w:val="18"/>
          <w:lang w:val="en-CA" w:eastAsia="en-CA"/>
        </w:rPr>
        <w:t xml:space="preserve"> </w:t>
      </w:r>
    </w:p>
    <w:p w14:paraId="0BA60B7B" w14:textId="77777777" w:rsidR="00EA2BEA" w:rsidRPr="00003D6E" w:rsidRDefault="00EA2BEA" w:rsidP="00EA2BEA">
      <w:pPr>
        <w:pStyle w:val="BMSTableText"/>
        <w:jc w:val="left"/>
        <w:rPr>
          <w:sz w:val="18"/>
          <w:szCs w:val="18"/>
          <w:lang w:val="en-CA" w:eastAsia="en-CA"/>
        </w:rPr>
      </w:pPr>
      <w:r w:rsidRPr="00003D6E">
        <w:rPr>
          <w:rStyle w:val="BMSSuperscript"/>
          <w:sz w:val="18"/>
          <w:szCs w:val="18"/>
        </w:rPr>
        <w:t>b</w:t>
      </w:r>
      <w:r w:rsidRPr="00003D6E">
        <w:rPr>
          <w:sz w:val="18"/>
          <w:szCs w:val="18"/>
          <w:lang w:val="en-CA" w:eastAsia="en-CA"/>
        </w:rPr>
        <w:t xml:space="preserve"> p ≤ 0.001 for multiplicity adjusted comparison between SOTYKTU and placebo</w:t>
      </w:r>
    </w:p>
    <w:p w14:paraId="66729F13" w14:textId="7C1328E0" w:rsidR="00EA2BEA" w:rsidRPr="00003D6E" w:rsidRDefault="00EA2BEA" w:rsidP="00EA2BEA">
      <w:pPr>
        <w:keepNext/>
      </w:pPr>
      <w:r w:rsidRPr="00003D6E">
        <w:rPr>
          <w:rStyle w:val="BMSSuperscript"/>
          <w:rFonts w:cs="Times New Roman"/>
          <w:sz w:val="18"/>
          <w:szCs w:val="18"/>
        </w:rPr>
        <w:t>c</w:t>
      </w:r>
      <w:r w:rsidRPr="00003D6E">
        <w:rPr>
          <w:rFonts w:cs="Times New Roman"/>
          <w:sz w:val="18"/>
          <w:szCs w:val="18"/>
        </w:rPr>
        <w:t xml:space="preserve"> p &lt; 0.01 for multiplicity adjusted comparison between SOTYKTU and placebo</w:t>
      </w:r>
    </w:p>
    <w:p w14:paraId="2B165BC1" w14:textId="400BECD5" w:rsidR="00EC1279" w:rsidRPr="00B74DE8" w:rsidRDefault="00EC1279" w:rsidP="00B74DE8">
      <w:pPr>
        <w:pStyle w:val="BMSBodyText"/>
        <w:spacing w:after="0" w:line="240" w:lineRule="auto"/>
        <w:rPr>
          <w:color w:val="auto"/>
          <w:sz w:val="18"/>
          <w:szCs w:val="18"/>
        </w:rPr>
      </w:pPr>
    </w:p>
    <w:p w14:paraId="2C1443B1" w14:textId="24896E0A" w:rsidR="00806D42" w:rsidRPr="00003D6E" w:rsidRDefault="00806D42" w:rsidP="001C1FFA">
      <w:pPr>
        <w:rPr>
          <w:lang w:val="en-GB"/>
        </w:rPr>
      </w:pPr>
      <w:r w:rsidRPr="00003D6E">
        <w:rPr>
          <w:lang w:val="en-US"/>
        </w:rPr>
        <w:t xml:space="preserve">In addition, </w:t>
      </w:r>
      <w:r w:rsidR="005C7ECB" w:rsidRPr="00003D6E">
        <w:t>SOTYKTU</w:t>
      </w:r>
      <w:r w:rsidRPr="00003D6E">
        <w:t xml:space="preserve"> patients had significantly greater improvement from baseline compared to placebo in health-related quality of life at Week 16 as measured by the 36</w:t>
      </w:r>
      <w:r w:rsidRPr="00003D6E">
        <w:noBreakHyphen/>
        <w:t>item Short Form physical component summary (SF</w:t>
      </w:r>
      <w:r w:rsidRPr="00003D6E">
        <w:noBreakHyphen/>
        <w:t>36 PCS) and EQ</w:t>
      </w:r>
      <w:r w:rsidRPr="00003D6E">
        <w:noBreakHyphen/>
        <w:t>5D</w:t>
      </w:r>
      <w:r w:rsidRPr="00003D6E">
        <w:noBreakHyphen/>
        <w:t>3L Visual Analogue Scale (VAS). These improvements were maintained through Week 52.</w:t>
      </w:r>
    </w:p>
    <w:p w14:paraId="50673038" w14:textId="4322C654" w:rsidR="007B4510" w:rsidRPr="00003D6E" w:rsidRDefault="00266F2C" w:rsidP="00266F2C">
      <w:pPr>
        <w:pStyle w:val="Heading2"/>
      </w:pPr>
      <w:r w:rsidRPr="00003D6E">
        <w:t>5.2</w:t>
      </w:r>
      <w:r w:rsidRPr="00003D6E">
        <w:tab/>
      </w:r>
      <w:r w:rsidR="007B4510" w:rsidRPr="00003D6E">
        <w:t xml:space="preserve">Pharmacokinetic Properties </w:t>
      </w:r>
    </w:p>
    <w:p w14:paraId="256BBB37" w14:textId="448F75D5" w:rsidR="002C41CE" w:rsidRPr="00003D6E" w:rsidRDefault="002C41CE" w:rsidP="0013144F">
      <w:proofErr w:type="spellStart"/>
      <w:r w:rsidRPr="00003D6E">
        <w:t>Deucravacitinib</w:t>
      </w:r>
      <w:proofErr w:type="spellEnd"/>
      <w:r w:rsidRPr="00003D6E">
        <w:t xml:space="preserve"> exhibited consistent oral absorption, dose-related increase in exposure, and no evident time-dependent pharmacokinetics.</w:t>
      </w:r>
      <w:r w:rsidR="00D806B7" w:rsidRPr="00003D6E">
        <w:t xml:space="preserve"> </w:t>
      </w:r>
      <w:r w:rsidRPr="00003D6E">
        <w:t xml:space="preserve">The pharmacokinetics of </w:t>
      </w:r>
      <w:proofErr w:type="spellStart"/>
      <w:r w:rsidRPr="00003D6E">
        <w:t>deucravacitinib</w:t>
      </w:r>
      <w:proofErr w:type="spellEnd"/>
      <w:r w:rsidRPr="00003D6E">
        <w:t xml:space="preserve"> administered as tablets was linear across a 3</w:t>
      </w:r>
      <w:r w:rsidR="000311E3" w:rsidRPr="00003D6E">
        <w:t> </w:t>
      </w:r>
      <w:r w:rsidRPr="00003D6E">
        <w:t>mg to 36</w:t>
      </w:r>
      <w:r w:rsidR="000311E3" w:rsidRPr="00003D6E">
        <w:t> </w:t>
      </w:r>
      <w:r w:rsidRPr="00003D6E">
        <w:t xml:space="preserve">mg dose range. </w:t>
      </w:r>
    </w:p>
    <w:p w14:paraId="21B1B4DB" w14:textId="422420D6" w:rsidR="007B4510" w:rsidRPr="00003D6E" w:rsidRDefault="007B4510" w:rsidP="007B4510">
      <w:pPr>
        <w:pStyle w:val="Heading3"/>
        <w:rPr>
          <w:rFonts w:cs="Times New Roman"/>
        </w:rPr>
      </w:pPr>
      <w:r w:rsidRPr="00003D6E">
        <w:rPr>
          <w:rFonts w:cs="Times New Roman"/>
        </w:rPr>
        <w:t>Absorption</w:t>
      </w:r>
    </w:p>
    <w:p w14:paraId="1F73F8E3" w14:textId="4EA84DC9" w:rsidR="003E4475" w:rsidRPr="00003D6E" w:rsidRDefault="00CD7C0D" w:rsidP="00AC5BC9">
      <w:r w:rsidRPr="00003D6E">
        <w:t xml:space="preserve">Following oral administration of tablets, </w:t>
      </w:r>
      <w:proofErr w:type="spellStart"/>
      <w:r w:rsidRPr="00003D6E">
        <w:t>deucravacitinib</w:t>
      </w:r>
      <w:proofErr w:type="spellEnd"/>
      <w:r w:rsidRPr="00003D6E">
        <w:t xml:space="preserve"> exhibited rapid and near complete absorption. The median </w:t>
      </w:r>
      <w:proofErr w:type="spellStart"/>
      <w:r w:rsidRPr="00003D6E">
        <w:t>T</w:t>
      </w:r>
      <w:r w:rsidRPr="00003D6E">
        <w:rPr>
          <w:vertAlign w:val="subscript"/>
        </w:rPr>
        <w:t>max</w:t>
      </w:r>
      <w:proofErr w:type="spellEnd"/>
      <w:r w:rsidRPr="00003D6E">
        <w:t xml:space="preserve"> ranged from 2 to 3</w:t>
      </w:r>
      <w:r w:rsidR="00816BD7" w:rsidRPr="00003D6E">
        <w:t> </w:t>
      </w:r>
      <w:r w:rsidRPr="00003D6E">
        <w:t xml:space="preserve">hours and absolute oral bioavailability was 99%. </w:t>
      </w:r>
      <w:r w:rsidR="003E4475" w:rsidRPr="00003D6E">
        <w:t>Modest accumulation (&lt;1.4</w:t>
      </w:r>
      <w:r w:rsidR="003E4475" w:rsidRPr="00003D6E">
        <w:noBreakHyphen/>
        <w:t>fold) was observed following once daily dosing.</w:t>
      </w:r>
    </w:p>
    <w:p w14:paraId="08598982" w14:textId="12916D8E" w:rsidR="00AC5BC9" w:rsidRPr="00003D6E" w:rsidRDefault="00AC5BC9" w:rsidP="00AC5BC9">
      <w:proofErr w:type="spellStart"/>
      <w:r w:rsidRPr="00003D6E">
        <w:t>Deucravacitinib</w:t>
      </w:r>
      <w:proofErr w:type="spellEnd"/>
      <w:r w:rsidRPr="00003D6E">
        <w:t xml:space="preserve"> can be administered without consideration for food or gastric pH modulators </w:t>
      </w:r>
      <w:r w:rsidR="008A23A1" w:rsidRPr="00003D6E">
        <w:t>(H2 receptor blockers and proton pump inhibitors)</w:t>
      </w:r>
      <w:r w:rsidRPr="00003D6E">
        <w:t>. Co-administration of food or gastric pH modulators did not affect total exposure (AUC</w:t>
      </w:r>
      <w:r w:rsidRPr="00003D6E">
        <w:rPr>
          <w:vertAlign w:val="subscript"/>
        </w:rPr>
        <w:t>[INF]</w:t>
      </w:r>
      <w:r w:rsidRPr="00003D6E">
        <w:t xml:space="preserve">) of </w:t>
      </w:r>
      <w:proofErr w:type="spellStart"/>
      <w:r w:rsidRPr="00003D6E">
        <w:t>deucravacitinib</w:t>
      </w:r>
      <w:proofErr w:type="spellEnd"/>
      <w:r w:rsidRPr="00003D6E">
        <w:t xml:space="preserve">. </w:t>
      </w:r>
    </w:p>
    <w:p w14:paraId="38FF3C91" w14:textId="774E732C" w:rsidR="007B4510" w:rsidRPr="00003D6E" w:rsidRDefault="007B4510" w:rsidP="00AC5BC9">
      <w:pPr>
        <w:pStyle w:val="Heading3"/>
        <w:rPr>
          <w:rFonts w:cs="Times New Roman"/>
        </w:rPr>
      </w:pPr>
      <w:r w:rsidRPr="00003D6E">
        <w:rPr>
          <w:rFonts w:cs="Times New Roman"/>
        </w:rPr>
        <w:lastRenderedPageBreak/>
        <w:t>Distribution</w:t>
      </w:r>
    </w:p>
    <w:p w14:paraId="17A54C88" w14:textId="515ACDCC" w:rsidR="008E64BA" w:rsidRPr="00003D6E" w:rsidRDefault="008E64BA" w:rsidP="008E64BA">
      <w:r w:rsidRPr="00003D6E">
        <w:t>The volume of distribution at steady state (</w:t>
      </w:r>
      <w:proofErr w:type="spellStart"/>
      <w:r w:rsidRPr="00003D6E">
        <w:t>Vss</w:t>
      </w:r>
      <w:proofErr w:type="spellEnd"/>
      <w:r w:rsidRPr="00003D6E">
        <w:t>), at 140</w:t>
      </w:r>
      <w:r w:rsidR="002C0193" w:rsidRPr="00003D6E">
        <w:t> </w:t>
      </w:r>
      <w:r w:rsidRPr="00003D6E">
        <w:t xml:space="preserve">L, is greater than total body water </w:t>
      </w:r>
      <w:r w:rsidR="005A142F" w:rsidRPr="00003D6E">
        <w:t>[</w:t>
      </w:r>
      <w:r w:rsidRPr="00003D6E">
        <w:t>42</w:t>
      </w:r>
      <w:r w:rsidR="002C0193" w:rsidRPr="00003D6E">
        <w:t> </w:t>
      </w:r>
      <w:r w:rsidRPr="00003D6E">
        <w:t>L</w:t>
      </w:r>
      <w:r w:rsidR="005A142F" w:rsidRPr="00003D6E">
        <w:t>]</w:t>
      </w:r>
      <w:r w:rsidRPr="00003D6E">
        <w:t xml:space="preserve"> indicating extravascular distribution. </w:t>
      </w:r>
      <w:proofErr w:type="spellStart"/>
      <w:r w:rsidRPr="00003D6E">
        <w:t>Deucravacitinib</w:t>
      </w:r>
      <w:proofErr w:type="spellEnd"/>
      <w:r w:rsidRPr="00003D6E">
        <w:t xml:space="preserve"> is 81.6% bound to human plasma proteins. </w:t>
      </w:r>
      <w:proofErr w:type="spellStart"/>
      <w:r w:rsidRPr="00003D6E">
        <w:t>Deucravacitinib</w:t>
      </w:r>
      <w:proofErr w:type="spellEnd"/>
      <w:r w:rsidRPr="00003D6E">
        <w:t xml:space="preserve"> distributes similarly between plasma and red blood cell components with blood-to-plasma concentration ratio of 1.26.</w:t>
      </w:r>
    </w:p>
    <w:p w14:paraId="10550896" w14:textId="326AEF1C" w:rsidR="007B4510" w:rsidRPr="00003D6E" w:rsidRDefault="007B4510" w:rsidP="007B4510">
      <w:pPr>
        <w:pStyle w:val="Heading3"/>
        <w:rPr>
          <w:rFonts w:cs="Times New Roman"/>
        </w:rPr>
      </w:pPr>
      <w:r w:rsidRPr="00003D6E">
        <w:rPr>
          <w:rFonts w:cs="Times New Roman"/>
        </w:rPr>
        <w:t>Metabolism</w:t>
      </w:r>
    </w:p>
    <w:p w14:paraId="4F56EF95" w14:textId="3D973351" w:rsidR="00051651" w:rsidRPr="00003D6E" w:rsidRDefault="00051651" w:rsidP="00051651">
      <w:r w:rsidRPr="00003D6E">
        <w:t xml:space="preserve">In humans, </w:t>
      </w:r>
      <w:proofErr w:type="spellStart"/>
      <w:r w:rsidRPr="00003D6E">
        <w:t>deucravacitinib</w:t>
      </w:r>
      <w:proofErr w:type="spellEnd"/>
      <w:r w:rsidRPr="00003D6E">
        <w:t xml:space="preserve"> is </w:t>
      </w:r>
      <w:r w:rsidR="00427F8E" w:rsidRPr="00003D6E">
        <w:t xml:space="preserve">mainly </w:t>
      </w:r>
      <w:r w:rsidRPr="00003D6E">
        <w:t xml:space="preserve">metabolised via </w:t>
      </w:r>
      <w:r w:rsidR="00B044FB" w:rsidRPr="00003D6E">
        <w:t>three</w:t>
      </w:r>
      <w:r w:rsidRPr="00003D6E">
        <w:t xml:space="preserve"> primary biotransformation pathways, which include N-demethylation at the triazole moiety by cytochrome P-450 (CYP) 1A2 to form major metabolite BMT-153261, cyclopropyl carboxamide hydrolysis by carboxylesterase 2 (CES2) to form major metabolite BMT-158170</w:t>
      </w:r>
      <w:r w:rsidR="000D11C9" w:rsidRPr="00003D6E">
        <w:t xml:space="preserve"> and</w:t>
      </w:r>
      <w:r w:rsidRPr="00003D6E">
        <w:t xml:space="preserve"> N-glucuronidation by uridine </w:t>
      </w:r>
      <w:proofErr w:type="spellStart"/>
      <w:r w:rsidRPr="00003D6E">
        <w:t>glucuronyl</w:t>
      </w:r>
      <w:proofErr w:type="spellEnd"/>
      <w:r w:rsidRPr="00003D6E">
        <w:t xml:space="preserve"> transferase (UGT) </w:t>
      </w:r>
      <w:r w:rsidR="000D11C9" w:rsidRPr="00003D6E">
        <w:t xml:space="preserve">1A9 </w:t>
      </w:r>
      <w:r w:rsidRPr="00003D6E">
        <w:t>to form BMT-334616.</w:t>
      </w:r>
    </w:p>
    <w:p w14:paraId="19ECC685" w14:textId="4C198A09" w:rsidR="008962F5" w:rsidRPr="00003D6E" w:rsidRDefault="00051651" w:rsidP="00051651">
      <w:r w:rsidRPr="00003D6E">
        <w:t xml:space="preserve">At steady state, </w:t>
      </w:r>
      <w:proofErr w:type="spellStart"/>
      <w:r w:rsidRPr="00003D6E">
        <w:t>deucravacitinib</w:t>
      </w:r>
      <w:proofErr w:type="spellEnd"/>
      <w:r w:rsidRPr="00003D6E">
        <w:t xml:space="preserve"> is the major circulating species constituting 49% of measured drug-related components. Two major circulating metabolites, BMT-153261 and BMT-158170, were identified, both of which have half-lives comparable to the parent </w:t>
      </w:r>
      <w:proofErr w:type="spellStart"/>
      <w:r w:rsidRPr="00003D6E">
        <w:t>deucravacitinib</w:t>
      </w:r>
      <w:proofErr w:type="spellEnd"/>
      <w:r w:rsidRPr="00003D6E">
        <w:t xml:space="preserve">. BMT-153261 has comparable potency to the parent drug and BMT-158170 </w:t>
      </w:r>
      <w:r w:rsidR="00D57374" w:rsidRPr="00003D6E">
        <w:t xml:space="preserve">has no </w:t>
      </w:r>
      <w:proofErr w:type="gramStart"/>
      <w:r w:rsidR="00D57374" w:rsidRPr="00003D6E">
        <w:t>clinically-relevant</w:t>
      </w:r>
      <w:proofErr w:type="gramEnd"/>
      <w:r w:rsidR="00D57374" w:rsidRPr="00003D6E">
        <w:t xml:space="preserve"> pharmacological activity</w:t>
      </w:r>
      <w:r w:rsidR="0017323D" w:rsidRPr="00003D6E">
        <w:t xml:space="preserve">. </w:t>
      </w:r>
      <w:r w:rsidR="00821906" w:rsidRPr="00003D6E">
        <w:t>The circulating exposure of BMT-153261 accounts for approximately 20% of the systemic exposure of the total drug-related components.</w:t>
      </w:r>
    </w:p>
    <w:p w14:paraId="2EFB5FF0" w14:textId="7B0EF182" w:rsidR="007B4510" w:rsidRPr="00003D6E" w:rsidRDefault="007B4510" w:rsidP="007B4510">
      <w:pPr>
        <w:pStyle w:val="Heading3"/>
        <w:rPr>
          <w:rFonts w:cs="Times New Roman"/>
        </w:rPr>
      </w:pPr>
      <w:r w:rsidRPr="00003D6E">
        <w:rPr>
          <w:rFonts w:cs="Times New Roman"/>
        </w:rPr>
        <w:t>Excretion</w:t>
      </w:r>
    </w:p>
    <w:p w14:paraId="152E9C7F" w14:textId="0AA59611" w:rsidR="00C548B8" w:rsidRPr="00003D6E" w:rsidRDefault="00C548B8" w:rsidP="00C548B8">
      <w:proofErr w:type="spellStart"/>
      <w:r w:rsidRPr="00003D6E">
        <w:t>Deucravacitinib</w:t>
      </w:r>
      <w:proofErr w:type="spellEnd"/>
      <w:r w:rsidRPr="00003D6E">
        <w:t xml:space="preserve"> is eliminated via multiple pathways including Phase I and II </w:t>
      </w:r>
      <w:proofErr w:type="gramStart"/>
      <w:r w:rsidRPr="00003D6E">
        <w:t>metabolism</w:t>
      </w:r>
      <w:proofErr w:type="gramEnd"/>
      <w:r w:rsidRPr="00003D6E">
        <w:t xml:space="preserve"> along with direct renal and faecal elimination. Additionally, no single enzyme or pathway contributed more than 26% of total clearance. </w:t>
      </w:r>
      <w:proofErr w:type="spellStart"/>
      <w:r w:rsidRPr="00003D6E">
        <w:t>Deucravacitinib</w:t>
      </w:r>
      <w:proofErr w:type="spellEnd"/>
      <w:r w:rsidRPr="00003D6E">
        <w:t xml:space="preserve"> was extensively metaboli</w:t>
      </w:r>
      <w:r w:rsidR="004B53B7" w:rsidRPr="00003D6E">
        <w:t>s</w:t>
      </w:r>
      <w:r w:rsidRPr="00003D6E">
        <w:t>ed, with 59% of the orally administered [</w:t>
      </w:r>
      <w:r w:rsidRPr="00003D6E">
        <w:rPr>
          <w:rStyle w:val="BMSSuperscript"/>
        </w:rPr>
        <w:t>14</w:t>
      </w:r>
      <w:r w:rsidRPr="00003D6E">
        <w:t>C]-</w:t>
      </w:r>
      <w:proofErr w:type="spellStart"/>
      <w:r w:rsidRPr="00003D6E">
        <w:t>deucravacitinib</w:t>
      </w:r>
      <w:proofErr w:type="spellEnd"/>
      <w:r w:rsidRPr="00003D6E">
        <w:t xml:space="preserve"> dose eliminated as metabolites in urine (37% of the dose) and f</w:t>
      </w:r>
      <w:r w:rsidR="004B53B7" w:rsidRPr="00003D6E">
        <w:t>a</w:t>
      </w:r>
      <w:r w:rsidRPr="00003D6E">
        <w:t xml:space="preserve">eces (22% of the dose). Unchanged </w:t>
      </w:r>
      <w:proofErr w:type="spellStart"/>
      <w:r w:rsidRPr="00003D6E">
        <w:t>deucravacitinib</w:t>
      </w:r>
      <w:proofErr w:type="spellEnd"/>
      <w:r w:rsidRPr="00003D6E">
        <w:t xml:space="preserve"> in urine and f</w:t>
      </w:r>
      <w:r w:rsidR="004B53B7" w:rsidRPr="00003D6E">
        <w:t>a</w:t>
      </w:r>
      <w:r w:rsidRPr="00003D6E">
        <w:t>eces represented 13% and 26% of the dose, respectively</w:t>
      </w:r>
      <w:r w:rsidR="00213702" w:rsidRPr="00003D6E">
        <w:t>.</w:t>
      </w:r>
    </w:p>
    <w:p w14:paraId="1B8AB431" w14:textId="6D22EEBD" w:rsidR="00C548B8" w:rsidRPr="00003D6E" w:rsidRDefault="00C548B8" w:rsidP="00C548B8">
      <w:r w:rsidRPr="00003D6E">
        <w:t>Terminal half-life in healthy human volunteers is 10</w:t>
      </w:r>
      <w:r w:rsidR="005D7A64" w:rsidRPr="00003D6E">
        <w:t> </w:t>
      </w:r>
      <w:r w:rsidRPr="00003D6E">
        <w:t xml:space="preserve">hours. </w:t>
      </w:r>
      <w:r w:rsidR="00AC3751" w:rsidRPr="00003D6E">
        <w:t xml:space="preserve">Renal clearance of </w:t>
      </w:r>
      <w:proofErr w:type="spellStart"/>
      <w:r w:rsidR="00AC3751" w:rsidRPr="00003D6E">
        <w:rPr>
          <w:bCs/>
          <w:iCs/>
        </w:rPr>
        <w:t>deucravacitinib</w:t>
      </w:r>
      <w:proofErr w:type="spellEnd"/>
      <w:r w:rsidR="00AC3751" w:rsidRPr="00003D6E">
        <w:t xml:space="preserve"> ranges from 27 to 54 mL/min.</w:t>
      </w:r>
    </w:p>
    <w:p w14:paraId="4F4EC276" w14:textId="0E522358" w:rsidR="006C0905" w:rsidRPr="00003D6E" w:rsidRDefault="006C0905" w:rsidP="006C0905">
      <w:pPr>
        <w:pStyle w:val="Heading3"/>
        <w:rPr>
          <w:rFonts w:cs="Times New Roman"/>
        </w:rPr>
      </w:pPr>
      <w:r w:rsidRPr="00003D6E">
        <w:rPr>
          <w:rFonts w:cs="Times New Roman"/>
        </w:rPr>
        <w:t>Special population</w:t>
      </w:r>
    </w:p>
    <w:p w14:paraId="2C0BFA81" w14:textId="77777777" w:rsidR="00FC6A9C" w:rsidRPr="00003D6E" w:rsidRDefault="00FC6A9C" w:rsidP="00FC6A9C">
      <w:pPr>
        <w:rPr>
          <w:i/>
          <w:iCs/>
        </w:rPr>
      </w:pPr>
      <w:bookmarkStart w:id="33" w:name="_Toc2059789"/>
      <w:bookmarkStart w:id="34" w:name="_Toc2060998"/>
      <w:bookmarkStart w:id="35" w:name="_Toc2061105"/>
      <w:bookmarkStart w:id="36" w:name="_Toc2061616"/>
      <w:bookmarkStart w:id="37" w:name="_Toc2061680"/>
      <w:bookmarkStart w:id="38" w:name="_Toc2061745"/>
      <w:bookmarkStart w:id="39" w:name="_Toc2062061"/>
      <w:r w:rsidRPr="00003D6E">
        <w:rPr>
          <w:i/>
          <w:iCs/>
        </w:rPr>
        <w:t>Renal impairment</w:t>
      </w:r>
      <w:bookmarkEnd w:id="33"/>
      <w:bookmarkEnd w:id="34"/>
      <w:bookmarkEnd w:id="35"/>
      <w:bookmarkEnd w:id="36"/>
      <w:bookmarkEnd w:id="37"/>
      <w:bookmarkEnd w:id="38"/>
      <w:bookmarkEnd w:id="39"/>
    </w:p>
    <w:p w14:paraId="6295FC48" w14:textId="0AFB109B" w:rsidR="00FC6A9C" w:rsidRPr="00003D6E" w:rsidRDefault="00FC6A9C" w:rsidP="00FC6A9C">
      <w:r w:rsidRPr="00003D6E">
        <w:t xml:space="preserve">Renal impairment has no clinically meaningful effect on </w:t>
      </w:r>
      <w:proofErr w:type="spellStart"/>
      <w:r w:rsidRPr="00003D6E">
        <w:t>deucravacitinib</w:t>
      </w:r>
      <w:proofErr w:type="spellEnd"/>
      <w:r w:rsidRPr="00003D6E">
        <w:t xml:space="preserve"> exposures</w:t>
      </w:r>
      <w:r w:rsidR="002A1473" w:rsidRPr="00003D6E">
        <w:t xml:space="preserve"> (see Section 4.2</w:t>
      </w:r>
      <w:r w:rsidR="008E2B0A">
        <w:t xml:space="preserve"> Dose and Method of Administration</w:t>
      </w:r>
      <w:r w:rsidR="002A1473" w:rsidRPr="00003D6E">
        <w:t>).</w:t>
      </w:r>
      <w:r w:rsidRPr="00003D6E">
        <w:t xml:space="preserve"> </w:t>
      </w:r>
    </w:p>
    <w:p w14:paraId="3CD1E8CA" w14:textId="6472FD2C" w:rsidR="00A12479" w:rsidRPr="00003D6E" w:rsidRDefault="00FC6A9C" w:rsidP="00A12479">
      <w:r w:rsidRPr="00003D6E">
        <w:t xml:space="preserve">Compared to the normal renal function group, </w:t>
      </w:r>
      <w:proofErr w:type="spellStart"/>
      <w:r w:rsidRPr="00003D6E">
        <w:t>deucravacitinib</w:t>
      </w:r>
      <w:proofErr w:type="spellEnd"/>
      <w:r w:rsidRPr="00003D6E">
        <w:t xml:space="preserve"> </w:t>
      </w:r>
      <w:proofErr w:type="spellStart"/>
      <w:r w:rsidR="0071210C" w:rsidRPr="00003D6E">
        <w:t>C</w:t>
      </w:r>
      <w:r w:rsidR="0071210C" w:rsidRPr="00003D6E">
        <w:rPr>
          <w:vertAlign w:val="subscript"/>
        </w:rPr>
        <w:t>max</w:t>
      </w:r>
      <w:proofErr w:type="spellEnd"/>
      <w:r w:rsidRPr="00003D6E">
        <w:t xml:space="preserve"> </w:t>
      </w:r>
      <w:r w:rsidR="00A12479" w:rsidRPr="00003D6E">
        <w:t>was 14% lower and 6% higher in patients with mild (eGFR ≥60 to &lt;90 mL/min/1.73m</w:t>
      </w:r>
      <w:r w:rsidR="00A12479" w:rsidRPr="00003D6E">
        <w:rPr>
          <w:vertAlign w:val="superscript"/>
        </w:rPr>
        <w:t>2</w:t>
      </w:r>
      <w:r w:rsidR="00A12479" w:rsidRPr="00003D6E">
        <w:t>) and moderate (eGFR ≥30 to &lt;60 mL/min/1.73m</w:t>
      </w:r>
      <w:r w:rsidR="00A12479" w:rsidRPr="00003D6E">
        <w:rPr>
          <w:vertAlign w:val="superscript"/>
        </w:rPr>
        <w:t>2</w:t>
      </w:r>
      <w:r w:rsidR="00A12479" w:rsidRPr="00003D6E">
        <w:t xml:space="preserve">) renal impairment, no change in </w:t>
      </w:r>
      <w:proofErr w:type="spellStart"/>
      <w:r w:rsidR="00A12479" w:rsidRPr="00003D6E">
        <w:t>C</w:t>
      </w:r>
      <w:r w:rsidR="00A12479" w:rsidRPr="00003D6E">
        <w:rPr>
          <w:vertAlign w:val="subscript"/>
        </w:rPr>
        <w:t>max</w:t>
      </w:r>
      <w:proofErr w:type="spellEnd"/>
      <w:r w:rsidR="00A12479" w:rsidRPr="00003D6E">
        <w:t xml:space="preserve"> was observed in patients with severe (eGFR &lt;30 mL/min/1.73m</w:t>
      </w:r>
      <w:r w:rsidR="00A12479" w:rsidRPr="00003D6E">
        <w:rPr>
          <w:vertAlign w:val="superscript"/>
        </w:rPr>
        <w:t>2</w:t>
      </w:r>
      <w:r w:rsidR="00A12479" w:rsidRPr="00003D6E">
        <w:t>) renal impairment, and ESRD (eGFR &lt;15 mL/min/1.73m</w:t>
      </w:r>
      <w:r w:rsidR="00A12479" w:rsidRPr="00003D6E">
        <w:rPr>
          <w:vertAlign w:val="superscript"/>
        </w:rPr>
        <w:t>2</w:t>
      </w:r>
      <w:r w:rsidR="00A12479" w:rsidRPr="00003D6E">
        <w:t xml:space="preserve">) on dialysis. </w:t>
      </w:r>
      <w:proofErr w:type="spellStart"/>
      <w:r w:rsidR="00A12479" w:rsidRPr="00003D6E">
        <w:t>Deucravacitinib</w:t>
      </w:r>
      <w:proofErr w:type="spellEnd"/>
      <w:r w:rsidR="00A12479" w:rsidRPr="00003D6E">
        <w:t xml:space="preserve"> AUC</w:t>
      </w:r>
      <w:r w:rsidR="00A12479" w:rsidRPr="00003D6E">
        <w:rPr>
          <w:vertAlign w:val="subscript"/>
        </w:rPr>
        <w:t>[INF]</w:t>
      </w:r>
      <w:r w:rsidR="00A12479" w:rsidRPr="00003D6E">
        <w:t xml:space="preserve"> was unchanged in patients with mild renal impairment but higher by 39%, 28% and 34% in patients with moderate, severe and ESRD on dialysis, respectively, compared to subjects with normal renal function.</w:t>
      </w:r>
    </w:p>
    <w:p w14:paraId="5BDC63B3" w14:textId="36B619C7" w:rsidR="00A12479" w:rsidRPr="00003D6E" w:rsidRDefault="00A12479" w:rsidP="00A12479">
      <w:r w:rsidRPr="00003D6E">
        <w:t xml:space="preserve">BMT-153261 </w:t>
      </w:r>
      <w:proofErr w:type="spellStart"/>
      <w:r w:rsidRPr="00003D6E">
        <w:t>C</w:t>
      </w:r>
      <w:r w:rsidRPr="00003D6E">
        <w:rPr>
          <w:vertAlign w:val="subscript"/>
        </w:rPr>
        <w:t>max</w:t>
      </w:r>
      <w:proofErr w:type="spellEnd"/>
      <w:r w:rsidRPr="00003D6E">
        <w:t xml:space="preserve"> was 11% lower, 8% lower, 28% higher and 9% higher in patients with mild, moderate, severe renal impairment and ESRD on dialysis, respectively, compared to subjects with normal renal function. BMT-153261 AUC</w:t>
      </w:r>
      <w:r w:rsidRPr="00003D6E">
        <w:rPr>
          <w:vertAlign w:val="subscript"/>
        </w:rPr>
        <w:t>[INF]</w:t>
      </w:r>
      <w:r w:rsidRPr="00003D6E">
        <w:t xml:space="preserve"> was 2% lower, 24% higher, 81% higher and 27% higher in patients with mild, moderate, severe renal impairment and ESRD on dialysis, respectively, compared to subjects with normal renal function.</w:t>
      </w:r>
    </w:p>
    <w:p w14:paraId="30E9AD75" w14:textId="77777777" w:rsidR="00A12479" w:rsidRPr="00003D6E" w:rsidRDefault="00A12479" w:rsidP="00A12479">
      <w:r w:rsidRPr="00003D6E">
        <w:t xml:space="preserve">Dialysis did not substantially clear </w:t>
      </w:r>
      <w:proofErr w:type="spellStart"/>
      <w:r w:rsidRPr="00003D6E">
        <w:t>deucravacitinib</w:t>
      </w:r>
      <w:proofErr w:type="spellEnd"/>
      <w:r w:rsidRPr="00003D6E">
        <w:t xml:space="preserve"> from systemic circulation (5.4% of dose cleared per dialysis).</w:t>
      </w:r>
    </w:p>
    <w:p w14:paraId="356D6327" w14:textId="14F5B2CA" w:rsidR="00FC6A9C" w:rsidRPr="00003D6E" w:rsidRDefault="00FC6A9C" w:rsidP="00FC6A9C">
      <w:pPr>
        <w:rPr>
          <w:i/>
          <w:iCs/>
        </w:rPr>
      </w:pPr>
      <w:bookmarkStart w:id="40" w:name="_Toc2059790"/>
      <w:bookmarkStart w:id="41" w:name="_Toc2060999"/>
      <w:bookmarkStart w:id="42" w:name="_Toc2061106"/>
      <w:bookmarkStart w:id="43" w:name="_Toc2061617"/>
      <w:bookmarkStart w:id="44" w:name="_Toc2061681"/>
      <w:bookmarkStart w:id="45" w:name="_Toc2061746"/>
      <w:bookmarkStart w:id="46" w:name="_Toc2062062"/>
      <w:r w:rsidRPr="00003D6E">
        <w:rPr>
          <w:i/>
          <w:iCs/>
        </w:rPr>
        <w:lastRenderedPageBreak/>
        <w:t>Hepatic impairment</w:t>
      </w:r>
      <w:bookmarkEnd w:id="40"/>
      <w:bookmarkEnd w:id="41"/>
      <w:bookmarkEnd w:id="42"/>
      <w:bookmarkEnd w:id="43"/>
      <w:bookmarkEnd w:id="44"/>
      <w:bookmarkEnd w:id="45"/>
      <w:bookmarkEnd w:id="46"/>
    </w:p>
    <w:p w14:paraId="4081AAE1" w14:textId="6DC3D445" w:rsidR="00FC6A9C" w:rsidRPr="00003D6E" w:rsidRDefault="00FC6A9C" w:rsidP="00FC6A9C">
      <w:r w:rsidRPr="00003D6E">
        <w:t xml:space="preserve">Mild (Child-Pugh Class A) and moderate (Child-Pugh Class B) hepatic impairment has no clinically meaningful effect on </w:t>
      </w:r>
      <w:proofErr w:type="spellStart"/>
      <w:r w:rsidRPr="00003D6E">
        <w:t>deucravacitinib</w:t>
      </w:r>
      <w:proofErr w:type="spellEnd"/>
      <w:r w:rsidRPr="00003D6E">
        <w:t xml:space="preserve"> exposures </w:t>
      </w:r>
      <w:r w:rsidR="00AC70C0" w:rsidRPr="00003D6E">
        <w:t>(see Section 4.2</w:t>
      </w:r>
      <w:r w:rsidR="003B6DA5">
        <w:t xml:space="preserve"> Dose and Method of Administration</w:t>
      </w:r>
      <w:r w:rsidR="00AC70C0" w:rsidRPr="00003D6E">
        <w:t>).</w:t>
      </w:r>
    </w:p>
    <w:p w14:paraId="36A413C5" w14:textId="7C2A7924" w:rsidR="001000F9" w:rsidRPr="00003D6E" w:rsidRDefault="00FC6A9C" w:rsidP="001000F9">
      <w:r w:rsidRPr="00003D6E">
        <w:t xml:space="preserve">Compared to normal hepatic function group, total </w:t>
      </w:r>
      <w:proofErr w:type="spellStart"/>
      <w:r w:rsidRPr="00003D6E">
        <w:t>deucravacitinib</w:t>
      </w:r>
      <w:proofErr w:type="spellEnd"/>
      <w:r w:rsidRPr="00003D6E">
        <w:t xml:space="preserve"> </w:t>
      </w:r>
      <w:proofErr w:type="spellStart"/>
      <w:r w:rsidR="0071210C" w:rsidRPr="00003D6E">
        <w:t>C</w:t>
      </w:r>
      <w:r w:rsidR="0071210C" w:rsidRPr="00003D6E">
        <w:rPr>
          <w:vertAlign w:val="subscript"/>
        </w:rPr>
        <w:t>max</w:t>
      </w:r>
      <w:proofErr w:type="spellEnd"/>
      <w:r w:rsidRPr="00003D6E">
        <w:t xml:space="preserve"> </w:t>
      </w:r>
      <w:r w:rsidR="001000F9" w:rsidRPr="00003D6E">
        <w:t xml:space="preserve">was higher by 4%, 10% and 1% in patients with mild (Child-Pugh Class A), moderate (Child-Pugh Class B), and severe (Child-Pugh Class C) hepatic impairment, respectively. </w:t>
      </w:r>
      <w:proofErr w:type="spellStart"/>
      <w:r w:rsidR="001000F9" w:rsidRPr="00003D6E">
        <w:t>Deucravacitinib</w:t>
      </w:r>
      <w:proofErr w:type="spellEnd"/>
      <w:r w:rsidR="001000F9" w:rsidRPr="00003D6E">
        <w:t xml:space="preserve"> </w:t>
      </w:r>
      <w:r w:rsidR="00FC3E90" w:rsidRPr="00003D6E">
        <w:t>AUC</w:t>
      </w:r>
      <w:r w:rsidR="00FC3E90" w:rsidRPr="00003D6E">
        <w:rPr>
          <w:vertAlign w:val="subscript"/>
        </w:rPr>
        <w:t>[INF]</w:t>
      </w:r>
      <w:r w:rsidR="001000F9" w:rsidRPr="00003D6E">
        <w:t xml:space="preserve"> was higher by 10%, 40% and 43% in patients with mild, moderate, and severe hepatic impairment, respectively, compared to subjects with normal hepatic function.</w:t>
      </w:r>
    </w:p>
    <w:p w14:paraId="4F974EB9" w14:textId="047661C7" w:rsidR="001000F9" w:rsidRPr="00003D6E" w:rsidRDefault="001000F9" w:rsidP="001000F9">
      <w:r w:rsidRPr="00003D6E">
        <w:t xml:space="preserve">BMT-153261 </w:t>
      </w:r>
      <w:proofErr w:type="spellStart"/>
      <w:r w:rsidRPr="00003D6E">
        <w:t>C</w:t>
      </w:r>
      <w:r w:rsidRPr="00003D6E">
        <w:rPr>
          <w:vertAlign w:val="subscript"/>
        </w:rPr>
        <w:t>max</w:t>
      </w:r>
      <w:proofErr w:type="spellEnd"/>
      <w:r w:rsidRPr="00003D6E">
        <w:t xml:space="preserve"> was lower by 25%, 59% and 79% in patients with mild, moderate, and severe hepatic impairment, respectively, compared to subjects with normal hepatic function. BMT 153261 </w:t>
      </w:r>
      <w:r w:rsidR="00FC3E90" w:rsidRPr="00003D6E">
        <w:t>AUC</w:t>
      </w:r>
      <w:r w:rsidR="00FC3E90" w:rsidRPr="00003D6E">
        <w:rPr>
          <w:vertAlign w:val="subscript"/>
        </w:rPr>
        <w:t>[INF]</w:t>
      </w:r>
      <w:r w:rsidRPr="00003D6E">
        <w:t xml:space="preserve"> was lower by 3%, 20% and 50% in patients with mild, moderate, and severe hepatic impairment, respectively, compared to subjects with normal hepatic function.</w:t>
      </w:r>
    </w:p>
    <w:p w14:paraId="40DB6C84" w14:textId="214C8502" w:rsidR="00FC6A9C" w:rsidRPr="00003D6E" w:rsidRDefault="00FC6A9C" w:rsidP="00FC6A9C">
      <w:pPr>
        <w:rPr>
          <w:i/>
          <w:iCs/>
        </w:rPr>
      </w:pPr>
      <w:bookmarkStart w:id="47" w:name="_Toc2059793"/>
      <w:bookmarkStart w:id="48" w:name="_Toc2061002"/>
      <w:bookmarkStart w:id="49" w:name="_Toc2061109"/>
      <w:bookmarkStart w:id="50" w:name="_Toc2061620"/>
      <w:bookmarkStart w:id="51" w:name="_Toc2061684"/>
      <w:bookmarkStart w:id="52" w:name="_Toc2061749"/>
      <w:bookmarkStart w:id="53" w:name="_Toc2062065"/>
      <w:r w:rsidRPr="00003D6E">
        <w:rPr>
          <w:i/>
          <w:iCs/>
        </w:rPr>
        <w:t>P</w:t>
      </w:r>
      <w:r w:rsidR="00140E36" w:rsidRPr="00003D6E">
        <w:rPr>
          <w:i/>
          <w:iCs/>
        </w:rPr>
        <w:t>a</w:t>
      </w:r>
      <w:r w:rsidRPr="00003D6E">
        <w:rPr>
          <w:i/>
          <w:iCs/>
        </w:rPr>
        <w:t>ediatric and adolescent</w:t>
      </w:r>
      <w:bookmarkEnd w:id="47"/>
      <w:bookmarkEnd w:id="48"/>
      <w:bookmarkEnd w:id="49"/>
      <w:bookmarkEnd w:id="50"/>
      <w:bookmarkEnd w:id="51"/>
      <w:bookmarkEnd w:id="52"/>
      <w:bookmarkEnd w:id="53"/>
    </w:p>
    <w:p w14:paraId="3CDEED61" w14:textId="313D1716" w:rsidR="00FC6A9C" w:rsidRPr="00003D6E" w:rsidRDefault="00FC6A9C" w:rsidP="00FC6A9C">
      <w:r w:rsidRPr="00003D6E">
        <w:t xml:space="preserve">The safety and efficacy of </w:t>
      </w:r>
      <w:proofErr w:type="spellStart"/>
      <w:r w:rsidR="00383609" w:rsidRPr="00003D6E">
        <w:t>deucravacitinib</w:t>
      </w:r>
      <w:proofErr w:type="spellEnd"/>
      <w:r w:rsidRPr="00003D6E">
        <w:t xml:space="preserve"> in p</w:t>
      </w:r>
      <w:r w:rsidR="0016031A" w:rsidRPr="00003D6E">
        <w:t>a</w:t>
      </w:r>
      <w:r w:rsidRPr="00003D6E">
        <w:t xml:space="preserve">ediatric patients </w:t>
      </w:r>
      <w:r w:rsidR="00C7776B" w:rsidRPr="00003D6E">
        <w:t>less than 18</w:t>
      </w:r>
      <w:r w:rsidR="00080557" w:rsidRPr="00003D6E">
        <w:t> </w:t>
      </w:r>
      <w:r w:rsidR="00C7776B" w:rsidRPr="00003D6E">
        <w:t xml:space="preserve">years of age </w:t>
      </w:r>
      <w:r w:rsidRPr="00003D6E">
        <w:t>have not been established.</w:t>
      </w:r>
    </w:p>
    <w:p w14:paraId="63FDA926" w14:textId="77777777" w:rsidR="0062472A" w:rsidRPr="00003D6E" w:rsidRDefault="0062472A" w:rsidP="0062472A">
      <w:pPr>
        <w:numPr>
          <w:ilvl w:val="12"/>
          <w:numId w:val="0"/>
        </w:numPr>
        <w:ind w:right="-2"/>
        <w:rPr>
          <w:i/>
          <w:iCs/>
          <w:noProof/>
        </w:rPr>
      </w:pPr>
      <w:r w:rsidRPr="00003D6E">
        <w:rPr>
          <w:i/>
          <w:iCs/>
          <w:noProof/>
        </w:rPr>
        <w:t>Intrinsic factors</w:t>
      </w:r>
    </w:p>
    <w:p w14:paraId="10C05820" w14:textId="77777777" w:rsidR="0062472A" w:rsidRPr="00003D6E" w:rsidRDefault="0062472A" w:rsidP="0062472A">
      <w:pPr>
        <w:numPr>
          <w:ilvl w:val="12"/>
          <w:numId w:val="0"/>
        </w:numPr>
        <w:ind w:right="-2"/>
      </w:pPr>
      <w:r w:rsidRPr="00003D6E">
        <w:t xml:space="preserve">Body weight, gender, race, and ethnicity did not have a clinically meaningful effect on </w:t>
      </w:r>
      <w:proofErr w:type="spellStart"/>
      <w:r w:rsidRPr="00003D6E">
        <w:t>deucravacitinib</w:t>
      </w:r>
      <w:proofErr w:type="spellEnd"/>
      <w:r w:rsidRPr="00003D6E">
        <w:t xml:space="preserve"> exposure.</w:t>
      </w:r>
    </w:p>
    <w:p w14:paraId="1272FD1D" w14:textId="56598414" w:rsidR="007B4510" w:rsidRPr="00003D6E" w:rsidRDefault="00266F2C" w:rsidP="00266F2C">
      <w:pPr>
        <w:pStyle w:val="Heading2"/>
      </w:pPr>
      <w:r w:rsidRPr="00003D6E">
        <w:t>5.3</w:t>
      </w:r>
      <w:r w:rsidRPr="00003D6E">
        <w:tab/>
      </w:r>
      <w:r w:rsidR="007B4510" w:rsidRPr="00003D6E">
        <w:t>Preclinical Safety Data</w:t>
      </w:r>
    </w:p>
    <w:p w14:paraId="60650E43" w14:textId="3577033F" w:rsidR="007B4510" w:rsidRPr="00003D6E" w:rsidRDefault="007B4510" w:rsidP="007B4510">
      <w:pPr>
        <w:pStyle w:val="Heading3"/>
        <w:rPr>
          <w:rFonts w:cs="Times New Roman"/>
        </w:rPr>
      </w:pPr>
      <w:r w:rsidRPr="00003D6E">
        <w:rPr>
          <w:rFonts w:cs="Times New Roman"/>
        </w:rPr>
        <w:t>Genotoxicity</w:t>
      </w:r>
    </w:p>
    <w:p w14:paraId="3C213056" w14:textId="0FAB778B" w:rsidR="00FF392A" w:rsidRPr="00003D6E" w:rsidRDefault="00FF392A" w:rsidP="00FF392A">
      <w:proofErr w:type="spellStart"/>
      <w:r w:rsidRPr="00003D6E">
        <w:t>Deucravacitinib</w:t>
      </w:r>
      <w:proofErr w:type="spellEnd"/>
      <w:r w:rsidRPr="00003D6E">
        <w:t xml:space="preserve"> was not mutagenic in a bacterial mutagenicity assay (Ames test) or clastogenic in </w:t>
      </w:r>
      <w:proofErr w:type="gramStart"/>
      <w:r w:rsidRPr="00003D6E">
        <w:t xml:space="preserve">an </w:t>
      </w:r>
      <w:r w:rsidR="00DE24AD" w:rsidRPr="00003D6E">
        <w:rPr>
          <w:i/>
          <w:iCs/>
        </w:rPr>
        <w:t xml:space="preserve"> in</w:t>
      </w:r>
      <w:proofErr w:type="gramEnd"/>
      <w:r w:rsidR="00DE24AD" w:rsidRPr="00003D6E">
        <w:rPr>
          <w:i/>
          <w:iCs/>
        </w:rPr>
        <w:t xml:space="preserve"> vitro</w:t>
      </w:r>
      <w:r w:rsidRPr="00003D6E">
        <w:t xml:space="preserve"> chromosomal aberration assay (cultured Chinese hamster ovary cells) or </w:t>
      </w:r>
      <w:r w:rsidRPr="00003D6E">
        <w:rPr>
          <w:i/>
          <w:iCs/>
        </w:rPr>
        <w:t>in vivo</w:t>
      </w:r>
      <w:r w:rsidRPr="00003D6E">
        <w:t xml:space="preserve"> in a rat peripheral blood micronucleus assay.</w:t>
      </w:r>
    </w:p>
    <w:p w14:paraId="047EF0FF" w14:textId="7DADFDC7" w:rsidR="007B4510" w:rsidRPr="00003D6E" w:rsidRDefault="007B4510" w:rsidP="007B4510">
      <w:pPr>
        <w:pStyle w:val="Heading3"/>
        <w:rPr>
          <w:rFonts w:cs="Times New Roman"/>
        </w:rPr>
      </w:pPr>
      <w:r w:rsidRPr="00003D6E">
        <w:rPr>
          <w:rFonts w:cs="Times New Roman"/>
        </w:rPr>
        <w:t>Carcinogenicity</w:t>
      </w:r>
    </w:p>
    <w:p w14:paraId="3C294722" w14:textId="18DB99E5" w:rsidR="00163176" w:rsidRPr="00003D6E" w:rsidRDefault="00163176" w:rsidP="00163176">
      <w:r w:rsidRPr="00003D6E">
        <w:t xml:space="preserve">The carcinogenic potential of </w:t>
      </w:r>
      <w:proofErr w:type="spellStart"/>
      <w:r w:rsidRPr="00003D6E">
        <w:t>deucravacitinib</w:t>
      </w:r>
      <w:proofErr w:type="spellEnd"/>
      <w:r w:rsidRPr="00003D6E">
        <w:t xml:space="preserve"> was assessed in 6-month rasH2 transgenic mouse and 2-year rat studies.</w:t>
      </w:r>
      <w:r w:rsidR="00FB479B" w:rsidRPr="00003D6E">
        <w:t xml:space="preserve"> </w:t>
      </w:r>
      <w:r w:rsidRPr="00003D6E">
        <w:t xml:space="preserve">No evidence of tumorigenicity was observed in male or female </w:t>
      </w:r>
      <w:proofErr w:type="gramStart"/>
      <w:r w:rsidRPr="00003D6E">
        <w:t>Tg.rasH</w:t>
      </w:r>
      <w:proofErr w:type="gramEnd"/>
      <w:r w:rsidRPr="00003D6E">
        <w:t xml:space="preserve">2 mice that received </w:t>
      </w:r>
      <w:proofErr w:type="spellStart"/>
      <w:r w:rsidRPr="00003D6E">
        <w:t>deucravacitinib</w:t>
      </w:r>
      <w:proofErr w:type="spellEnd"/>
      <w:r w:rsidRPr="00003D6E">
        <w:t xml:space="preserve"> at oral doses up to 60</w:t>
      </w:r>
      <w:r w:rsidR="00735043" w:rsidRPr="00003D6E">
        <w:t> </w:t>
      </w:r>
      <w:r w:rsidRPr="00003D6E">
        <w:t xml:space="preserve">mg/kg/day and exposure </w:t>
      </w:r>
      <w:r w:rsidR="000572A5" w:rsidRPr="00003D6E">
        <w:t>to total pharmacologically-active material 160</w:t>
      </w:r>
      <w:r w:rsidR="00062063" w:rsidRPr="00003D6E">
        <w:t> </w:t>
      </w:r>
      <w:r w:rsidRPr="00003D6E">
        <w:t xml:space="preserve">times the </w:t>
      </w:r>
      <w:r w:rsidR="00297874" w:rsidRPr="00003D6E">
        <w:t>M</w:t>
      </w:r>
      <w:r w:rsidRPr="00003D6E">
        <w:t>RHD.</w:t>
      </w:r>
      <w:r w:rsidR="00FB479B" w:rsidRPr="00003D6E">
        <w:t xml:space="preserve"> No evidence of tumorigenicity was observed in male or female rats that received </w:t>
      </w:r>
      <w:proofErr w:type="spellStart"/>
      <w:r w:rsidR="00FB479B" w:rsidRPr="00003D6E">
        <w:t>deucravacitinib</w:t>
      </w:r>
      <w:proofErr w:type="spellEnd"/>
      <w:r w:rsidR="00FB479B" w:rsidRPr="00003D6E">
        <w:t xml:space="preserve"> at oral doses up to 15</w:t>
      </w:r>
      <w:r w:rsidR="00735043" w:rsidRPr="00003D6E">
        <w:t> </w:t>
      </w:r>
      <w:r w:rsidR="00FB479B" w:rsidRPr="00003D6E">
        <w:t xml:space="preserve">mg/kg/day and exposure </w:t>
      </w:r>
      <w:r w:rsidR="00D75780" w:rsidRPr="00003D6E">
        <w:t xml:space="preserve">to total pharmacologically-active material </w:t>
      </w:r>
      <w:proofErr w:type="gramStart"/>
      <w:r w:rsidR="00FB479B" w:rsidRPr="00003D6E">
        <w:t xml:space="preserve">approximately </w:t>
      </w:r>
      <w:r w:rsidR="00143C85">
        <w:t xml:space="preserve"> </w:t>
      </w:r>
      <w:r w:rsidR="00DB6BE5" w:rsidRPr="00003D6E">
        <w:t>43</w:t>
      </w:r>
      <w:proofErr w:type="gramEnd"/>
      <w:r w:rsidR="00062063" w:rsidRPr="00003D6E">
        <w:t> </w:t>
      </w:r>
      <w:r w:rsidR="00FB479B" w:rsidRPr="00003D6E">
        <w:t xml:space="preserve">times the </w:t>
      </w:r>
      <w:r w:rsidR="00DB6BE5" w:rsidRPr="00003D6E">
        <w:t>M</w:t>
      </w:r>
      <w:r w:rsidR="00FB479B" w:rsidRPr="00003D6E">
        <w:t>RHD.</w:t>
      </w:r>
    </w:p>
    <w:p w14:paraId="35F6D6BD" w14:textId="77777777" w:rsidR="007B4510" w:rsidRPr="00003D6E" w:rsidRDefault="007B4510" w:rsidP="00083462">
      <w:pPr>
        <w:pStyle w:val="Heading1"/>
      </w:pPr>
      <w:r w:rsidRPr="00003D6E">
        <w:t>Pharmaceutical particulars</w:t>
      </w:r>
    </w:p>
    <w:p w14:paraId="5998E52E" w14:textId="2E07C593" w:rsidR="007B4510" w:rsidRPr="00003D6E" w:rsidRDefault="00083462" w:rsidP="00083462">
      <w:pPr>
        <w:pStyle w:val="Heading2"/>
      </w:pPr>
      <w:r w:rsidRPr="00003D6E">
        <w:t>6.1</w:t>
      </w:r>
      <w:r w:rsidRPr="00003D6E">
        <w:tab/>
      </w:r>
      <w:r w:rsidR="007B4510" w:rsidRPr="00003D6E">
        <w:t xml:space="preserve">List of Excipients </w:t>
      </w:r>
    </w:p>
    <w:p w14:paraId="6E69E435" w14:textId="77777777" w:rsidR="00490AF1" w:rsidRPr="00003D6E" w:rsidRDefault="003C785A" w:rsidP="0020483C">
      <w:pPr>
        <w:spacing w:after="0"/>
        <w:rPr>
          <w:rStyle w:val="Emphasis"/>
        </w:rPr>
      </w:pPr>
      <w:r w:rsidRPr="00003D6E">
        <w:rPr>
          <w:rStyle w:val="Emphasis"/>
        </w:rPr>
        <w:t>Hypromellose acetate succinate</w:t>
      </w:r>
    </w:p>
    <w:p w14:paraId="6F2FB06A" w14:textId="604BD51C" w:rsidR="00490AF1" w:rsidRPr="00003D6E" w:rsidRDefault="00A93881" w:rsidP="0020483C">
      <w:pPr>
        <w:spacing w:after="0"/>
        <w:rPr>
          <w:rStyle w:val="Emphasis"/>
        </w:rPr>
      </w:pPr>
      <w:r w:rsidRPr="00003D6E">
        <w:rPr>
          <w:rStyle w:val="Emphasis"/>
        </w:rPr>
        <w:t>Lactose</w:t>
      </w:r>
    </w:p>
    <w:p w14:paraId="79643D91" w14:textId="39EFCAC5" w:rsidR="00490AF1" w:rsidRPr="00003D6E" w:rsidRDefault="00490AF1" w:rsidP="0020483C">
      <w:pPr>
        <w:spacing w:after="0"/>
        <w:rPr>
          <w:rStyle w:val="Emphasis"/>
        </w:rPr>
      </w:pPr>
      <w:r w:rsidRPr="00003D6E">
        <w:rPr>
          <w:rStyle w:val="Emphasis"/>
        </w:rPr>
        <w:t>Mic</w:t>
      </w:r>
      <w:r w:rsidR="003C785A" w:rsidRPr="00003D6E">
        <w:rPr>
          <w:rStyle w:val="Emphasis"/>
        </w:rPr>
        <w:t>roc</w:t>
      </w:r>
      <w:r w:rsidR="000E4D9D" w:rsidRPr="00003D6E">
        <w:rPr>
          <w:rStyle w:val="Emphasis"/>
        </w:rPr>
        <w:t>r</w:t>
      </w:r>
      <w:r w:rsidR="003C785A" w:rsidRPr="00003D6E">
        <w:rPr>
          <w:rStyle w:val="Emphasis"/>
        </w:rPr>
        <w:t>ystalline cellulose</w:t>
      </w:r>
    </w:p>
    <w:p w14:paraId="2C5F6B86" w14:textId="77777777" w:rsidR="00490AF1" w:rsidRPr="00003D6E" w:rsidRDefault="00490AF1" w:rsidP="0020483C">
      <w:pPr>
        <w:spacing w:after="0"/>
        <w:rPr>
          <w:rStyle w:val="Emphasis"/>
        </w:rPr>
      </w:pPr>
      <w:r w:rsidRPr="00003D6E">
        <w:rPr>
          <w:rStyle w:val="Emphasis"/>
        </w:rPr>
        <w:t>C</w:t>
      </w:r>
      <w:r w:rsidR="003C785A" w:rsidRPr="00003D6E">
        <w:rPr>
          <w:rStyle w:val="Emphasis"/>
        </w:rPr>
        <w:t>roscarmellose sodium</w:t>
      </w:r>
    </w:p>
    <w:p w14:paraId="1E242791" w14:textId="77777777" w:rsidR="00490AF1" w:rsidRPr="00003D6E" w:rsidRDefault="00490AF1" w:rsidP="0020483C">
      <w:pPr>
        <w:spacing w:after="0"/>
        <w:rPr>
          <w:rStyle w:val="Emphasis"/>
        </w:rPr>
      </w:pPr>
      <w:r w:rsidRPr="00003D6E">
        <w:rPr>
          <w:rStyle w:val="Emphasis"/>
        </w:rPr>
        <w:t>S</w:t>
      </w:r>
      <w:r w:rsidR="003C785A" w:rsidRPr="00003D6E">
        <w:rPr>
          <w:rStyle w:val="Emphasis"/>
        </w:rPr>
        <w:t>ilicon dioxide</w:t>
      </w:r>
    </w:p>
    <w:p w14:paraId="2D3EFBE5" w14:textId="0A469A1D" w:rsidR="003C785A" w:rsidRPr="00003D6E" w:rsidRDefault="00490AF1" w:rsidP="0020483C">
      <w:pPr>
        <w:spacing w:after="0"/>
        <w:rPr>
          <w:rStyle w:val="Emphasis"/>
        </w:rPr>
      </w:pPr>
      <w:r w:rsidRPr="00003D6E">
        <w:rPr>
          <w:rStyle w:val="Emphasis"/>
        </w:rPr>
        <w:t>M</w:t>
      </w:r>
      <w:r w:rsidR="003C785A" w:rsidRPr="00003D6E">
        <w:rPr>
          <w:rStyle w:val="Emphasis"/>
        </w:rPr>
        <w:t>agnesium stearate</w:t>
      </w:r>
    </w:p>
    <w:p w14:paraId="448BAB24" w14:textId="15A0D9A0" w:rsidR="003C785A" w:rsidRPr="00003D6E" w:rsidRDefault="00FF4114" w:rsidP="0020483C">
      <w:pPr>
        <w:spacing w:after="0"/>
        <w:rPr>
          <w:rStyle w:val="Emphasis"/>
        </w:rPr>
      </w:pPr>
      <w:r w:rsidRPr="00003D6E">
        <w:rPr>
          <w:rStyle w:val="Emphasis"/>
        </w:rPr>
        <w:t xml:space="preserve">Film-coating: </w:t>
      </w:r>
      <w:r w:rsidR="003C785A" w:rsidRPr="00003D6E">
        <w:rPr>
          <w:rStyle w:val="Emphasis"/>
        </w:rPr>
        <w:t xml:space="preserve">Opadry II </w:t>
      </w:r>
      <w:r w:rsidR="008A7FBD" w:rsidRPr="00003D6E">
        <w:rPr>
          <w:rStyle w:val="Emphasis"/>
        </w:rPr>
        <w:t xml:space="preserve">Complete Film Coating System 85F140184 </w:t>
      </w:r>
      <w:r w:rsidR="003C785A" w:rsidRPr="00003D6E">
        <w:rPr>
          <w:rStyle w:val="Emphasis"/>
        </w:rPr>
        <w:t>Pink</w:t>
      </w:r>
      <w:r w:rsidR="008A363C" w:rsidRPr="00003D6E">
        <w:rPr>
          <w:rStyle w:val="Emphasis"/>
        </w:rPr>
        <w:t xml:space="preserve"> </w:t>
      </w:r>
      <w:r w:rsidR="0064258A" w:rsidRPr="00003D6E">
        <w:rPr>
          <w:rStyle w:val="Emphasis"/>
        </w:rPr>
        <w:t>(PI 141510)</w:t>
      </w:r>
    </w:p>
    <w:p w14:paraId="29EF980F" w14:textId="77777777" w:rsidR="0020483C" w:rsidRPr="00003D6E" w:rsidRDefault="0020483C" w:rsidP="0020483C">
      <w:pPr>
        <w:spacing w:after="0"/>
        <w:rPr>
          <w:rStyle w:val="Emphasis"/>
        </w:rPr>
      </w:pPr>
    </w:p>
    <w:p w14:paraId="18723A85" w14:textId="327F68D9" w:rsidR="007B4510" w:rsidRPr="00003D6E" w:rsidRDefault="00083462" w:rsidP="00083462">
      <w:pPr>
        <w:pStyle w:val="Heading2"/>
      </w:pPr>
      <w:r w:rsidRPr="00003D6E">
        <w:lastRenderedPageBreak/>
        <w:t>6.2</w:t>
      </w:r>
      <w:r w:rsidRPr="00003D6E">
        <w:tab/>
      </w:r>
      <w:r w:rsidR="007B4510" w:rsidRPr="00003D6E">
        <w:t xml:space="preserve">Incompatibilities </w:t>
      </w:r>
    </w:p>
    <w:p w14:paraId="6E71694E" w14:textId="691E58F2" w:rsidR="00C96E2E" w:rsidRPr="00003D6E" w:rsidRDefault="00210353" w:rsidP="007B4510">
      <w:r w:rsidRPr="00003D6E">
        <w:t>Not applicable.</w:t>
      </w:r>
    </w:p>
    <w:p w14:paraId="5A916E9E" w14:textId="2B4E2834" w:rsidR="007B4510" w:rsidRPr="00003D6E" w:rsidRDefault="00083462" w:rsidP="00083462">
      <w:pPr>
        <w:pStyle w:val="Heading2"/>
      </w:pPr>
      <w:r w:rsidRPr="00003D6E">
        <w:t>6.3</w:t>
      </w:r>
      <w:r w:rsidRPr="00003D6E">
        <w:tab/>
      </w:r>
      <w:r w:rsidR="007B4510" w:rsidRPr="00003D6E">
        <w:t xml:space="preserve">Shelf Life </w:t>
      </w:r>
    </w:p>
    <w:p w14:paraId="5EBDE5C6" w14:textId="74003BC9" w:rsidR="002F368A" w:rsidRPr="00003D6E" w:rsidRDefault="00FD429D" w:rsidP="007B4510">
      <w:r w:rsidRPr="00003D6E">
        <w:t xml:space="preserve">In Australia, information on the shelf life can be found on the public summary of the ARTG. The expiry date can be found on the packaging. </w:t>
      </w:r>
    </w:p>
    <w:p w14:paraId="25A0396D" w14:textId="6555EB78" w:rsidR="007B4510" w:rsidRPr="00003D6E" w:rsidRDefault="00F66585" w:rsidP="00F66585">
      <w:pPr>
        <w:pStyle w:val="Heading2"/>
      </w:pPr>
      <w:r w:rsidRPr="00003D6E">
        <w:t>6.4</w:t>
      </w:r>
      <w:r w:rsidRPr="00003D6E">
        <w:tab/>
      </w:r>
      <w:r w:rsidR="007B4510" w:rsidRPr="00003D6E">
        <w:t xml:space="preserve">Special Precautions for Storage </w:t>
      </w:r>
    </w:p>
    <w:p w14:paraId="5658E23C" w14:textId="79657B86" w:rsidR="007B4510" w:rsidRPr="00003D6E" w:rsidRDefault="0035628A" w:rsidP="007B4510">
      <w:r w:rsidRPr="00003D6E">
        <w:t xml:space="preserve">Store below </w:t>
      </w:r>
      <w:r w:rsidR="004F179C" w:rsidRPr="00003D6E">
        <w:t>30</w:t>
      </w:r>
      <w:r w:rsidRPr="00003D6E">
        <w:rPr>
          <w:rFonts w:cs="Times New Roman"/>
        </w:rPr>
        <w:t>°</w:t>
      </w:r>
      <w:r w:rsidRPr="00003D6E">
        <w:t>C.</w:t>
      </w:r>
      <w:r w:rsidR="00887971" w:rsidRPr="00003D6E">
        <w:t xml:space="preserve"> Store in origina</w:t>
      </w:r>
      <w:r w:rsidR="008446EE" w:rsidRPr="00003D6E">
        <w:t xml:space="preserve">l container. </w:t>
      </w:r>
    </w:p>
    <w:p w14:paraId="3CBDDC8E" w14:textId="289CFA92" w:rsidR="007B4510" w:rsidRPr="00003D6E" w:rsidRDefault="00F66585" w:rsidP="00F66585">
      <w:pPr>
        <w:pStyle w:val="Heading2"/>
      </w:pPr>
      <w:r w:rsidRPr="00003D6E">
        <w:t>6.5</w:t>
      </w:r>
      <w:r w:rsidRPr="00003D6E">
        <w:tab/>
      </w:r>
      <w:r w:rsidR="007B4510" w:rsidRPr="00003D6E">
        <w:t xml:space="preserve">Nature and Contents of Container </w:t>
      </w:r>
    </w:p>
    <w:p w14:paraId="6CB22849" w14:textId="4D0D5959" w:rsidR="00570F21" w:rsidRPr="00003D6E" w:rsidRDefault="00570F21" w:rsidP="00987908">
      <w:r w:rsidRPr="00003D6E">
        <w:t xml:space="preserve">Polyvinyl chloride (PVC) / polychlorotrifluoroethylene (PCTFE) / aluminium foil blisters. </w:t>
      </w:r>
    </w:p>
    <w:p w14:paraId="3328B2C3" w14:textId="5DB31090" w:rsidR="00987908" w:rsidRPr="00003D6E" w:rsidRDefault="0091713F" w:rsidP="00987908">
      <w:r w:rsidRPr="00003D6E">
        <w:t>Pack size</w:t>
      </w:r>
      <w:r w:rsidR="008E615E" w:rsidRPr="00003D6E">
        <w:t>s</w:t>
      </w:r>
      <w:r w:rsidR="004F6D43" w:rsidRPr="00003D6E">
        <w:t>:</w:t>
      </w:r>
      <w:r w:rsidRPr="00003D6E">
        <w:t xml:space="preserve"> </w:t>
      </w:r>
      <w:r w:rsidR="00D45513" w:rsidRPr="00003D6E">
        <w:t xml:space="preserve">7 </w:t>
      </w:r>
      <w:r w:rsidR="004F6D43" w:rsidRPr="00003D6E">
        <w:t>and</w:t>
      </w:r>
      <w:r w:rsidR="00D45513" w:rsidRPr="00003D6E">
        <w:t xml:space="preserve"> 28</w:t>
      </w:r>
      <w:r w:rsidR="008E615E" w:rsidRPr="00003D6E">
        <w:t xml:space="preserve"> film-coated</w:t>
      </w:r>
      <w:r w:rsidR="00D45513" w:rsidRPr="00003D6E">
        <w:t xml:space="preserve"> tablets. </w:t>
      </w:r>
    </w:p>
    <w:p w14:paraId="4D56F2F9" w14:textId="357B2070" w:rsidR="007B4510" w:rsidRPr="00003D6E" w:rsidRDefault="00F66585" w:rsidP="00F66585">
      <w:pPr>
        <w:pStyle w:val="Heading2"/>
      </w:pPr>
      <w:r w:rsidRPr="00003D6E">
        <w:t>6.6</w:t>
      </w:r>
      <w:r w:rsidRPr="00003D6E">
        <w:tab/>
      </w:r>
      <w:r w:rsidR="007B4510" w:rsidRPr="00003D6E">
        <w:t xml:space="preserve">Special Precautions for Disposal </w:t>
      </w:r>
    </w:p>
    <w:p w14:paraId="4D5BC4C4" w14:textId="77777777" w:rsidR="007B4510" w:rsidRPr="00003D6E" w:rsidRDefault="007B4510" w:rsidP="007B4510">
      <w:pPr>
        <w:rPr>
          <w:rFonts w:cs="Times New Roman"/>
          <w:lang w:val="en"/>
        </w:rPr>
      </w:pPr>
      <w:r w:rsidRPr="00003D6E">
        <w:rPr>
          <w:rFonts w:cs="Times New Roman"/>
          <w:lang w:val="en"/>
        </w:rPr>
        <w:t xml:space="preserve">In Australia, any unused medicine or waste material should be disposed of in accordance with local requirements. </w:t>
      </w:r>
    </w:p>
    <w:p w14:paraId="74C1C601" w14:textId="0E5C99DC" w:rsidR="007B4510" w:rsidRPr="00003D6E" w:rsidRDefault="00F66585" w:rsidP="00F66585">
      <w:pPr>
        <w:pStyle w:val="Heading2"/>
      </w:pPr>
      <w:r w:rsidRPr="00003D6E">
        <w:t>6.7</w:t>
      </w:r>
      <w:r w:rsidRPr="00003D6E">
        <w:tab/>
      </w:r>
      <w:r w:rsidR="007B4510" w:rsidRPr="00003D6E">
        <w:t>Physicochemical Properties</w:t>
      </w:r>
    </w:p>
    <w:tbl>
      <w:tblPr>
        <w:tblW w:w="9497" w:type="dxa"/>
        <w:tblInd w:w="132" w:type="dxa"/>
        <w:tblLayout w:type="fixed"/>
        <w:tblCellMar>
          <w:left w:w="0" w:type="dxa"/>
          <w:right w:w="0" w:type="dxa"/>
        </w:tblCellMar>
        <w:tblLook w:val="01E0" w:firstRow="1" w:lastRow="1" w:firstColumn="1" w:lastColumn="1" w:noHBand="0" w:noVBand="0"/>
      </w:tblPr>
      <w:tblGrid>
        <w:gridCol w:w="3260"/>
        <w:gridCol w:w="6237"/>
      </w:tblGrid>
      <w:tr w:rsidR="00003D6E" w:rsidRPr="00003D6E" w14:paraId="224586FC" w14:textId="77777777" w:rsidTr="00B34772">
        <w:trPr>
          <w:trHeight w:hRule="exact" w:val="354"/>
        </w:trPr>
        <w:tc>
          <w:tcPr>
            <w:tcW w:w="3260" w:type="dxa"/>
            <w:tcBorders>
              <w:top w:val="single" w:sz="8" w:space="0" w:color="000000"/>
              <w:left w:val="single" w:sz="8" w:space="0" w:color="000000"/>
              <w:bottom w:val="single" w:sz="8" w:space="0" w:color="000000"/>
              <w:right w:val="single" w:sz="8" w:space="0" w:color="000000"/>
            </w:tcBorders>
          </w:tcPr>
          <w:p w14:paraId="0E982634" w14:textId="77777777" w:rsidR="00F50F23" w:rsidRPr="00003D6E" w:rsidRDefault="00F50F23" w:rsidP="00326FD7">
            <w:pPr>
              <w:spacing w:before="37" w:after="0"/>
              <w:ind w:left="97" w:right="-20"/>
              <w:rPr>
                <w:rFonts w:eastAsia="Times New Roman" w:cs="Times New Roman"/>
              </w:rPr>
            </w:pPr>
            <w:r w:rsidRPr="00003D6E">
              <w:rPr>
                <w:rFonts w:eastAsia="Times New Roman" w:cs="Times New Roman"/>
              </w:rPr>
              <w:t>M</w:t>
            </w:r>
            <w:r w:rsidRPr="00003D6E">
              <w:rPr>
                <w:rFonts w:eastAsia="Times New Roman" w:cs="Times New Roman"/>
                <w:spacing w:val="1"/>
              </w:rPr>
              <w:t>o</w:t>
            </w:r>
            <w:r w:rsidRPr="00003D6E">
              <w:rPr>
                <w:rFonts w:eastAsia="Times New Roman" w:cs="Times New Roman"/>
              </w:rPr>
              <w:t>lec</w:t>
            </w:r>
            <w:r w:rsidRPr="00003D6E">
              <w:rPr>
                <w:rFonts w:eastAsia="Times New Roman" w:cs="Times New Roman"/>
                <w:spacing w:val="1"/>
              </w:rPr>
              <w:t>u</w:t>
            </w:r>
            <w:r w:rsidRPr="00003D6E">
              <w:rPr>
                <w:rFonts w:eastAsia="Times New Roman" w:cs="Times New Roman"/>
              </w:rPr>
              <w:t>lar</w:t>
            </w:r>
            <w:r w:rsidRPr="00003D6E">
              <w:rPr>
                <w:rFonts w:eastAsia="Times New Roman" w:cs="Times New Roman"/>
                <w:spacing w:val="-9"/>
              </w:rPr>
              <w:t xml:space="preserve"> </w:t>
            </w:r>
            <w:r w:rsidRPr="00003D6E">
              <w:rPr>
                <w:rFonts w:eastAsia="Times New Roman" w:cs="Times New Roman"/>
              </w:rPr>
              <w:t>f</w:t>
            </w:r>
            <w:r w:rsidRPr="00003D6E">
              <w:rPr>
                <w:rFonts w:eastAsia="Times New Roman" w:cs="Times New Roman"/>
                <w:spacing w:val="1"/>
              </w:rPr>
              <w:t>o</w:t>
            </w:r>
            <w:r w:rsidRPr="00003D6E">
              <w:rPr>
                <w:rFonts w:eastAsia="Times New Roman" w:cs="Times New Roman"/>
              </w:rPr>
              <w:t>r</w:t>
            </w:r>
            <w:r w:rsidRPr="00003D6E">
              <w:rPr>
                <w:rFonts w:eastAsia="Times New Roman" w:cs="Times New Roman"/>
                <w:spacing w:val="-2"/>
              </w:rPr>
              <w:t>m</w:t>
            </w:r>
            <w:r w:rsidRPr="00003D6E">
              <w:rPr>
                <w:rFonts w:eastAsia="Times New Roman" w:cs="Times New Roman"/>
                <w:spacing w:val="1"/>
              </w:rPr>
              <w:t>ul</w:t>
            </w:r>
            <w:r w:rsidRPr="00003D6E">
              <w:rPr>
                <w:rFonts w:eastAsia="Times New Roman" w:cs="Times New Roman"/>
              </w:rPr>
              <w:t>a</w:t>
            </w:r>
          </w:p>
        </w:tc>
        <w:tc>
          <w:tcPr>
            <w:tcW w:w="6237" w:type="dxa"/>
            <w:tcBorders>
              <w:top w:val="single" w:sz="8" w:space="0" w:color="000000"/>
              <w:left w:val="single" w:sz="8" w:space="0" w:color="000000"/>
              <w:bottom w:val="single" w:sz="8" w:space="0" w:color="000000"/>
              <w:right w:val="single" w:sz="8" w:space="0" w:color="000000"/>
            </w:tcBorders>
          </w:tcPr>
          <w:p w14:paraId="7DFE5D12" w14:textId="3BABB76A" w:rsidR="00F50F23" w:rsidRPr="00003D6E" w:rsidRDefault="00176C34" w:rsidP="00BF0ED7">
            <w:pPr>
              <w:ind w:left="130"/>
              <w:rPr>
                <w:rFonts w:eastAsia="Times New Roman" w:cs="Times New Roman"/>
              </w:rPr>
            </w:pPr>
            <w:r w:rsidRPr="00003D6E">
              <w:t>C</w:t>
            </w:r>
            <w:r w:rsidRPr="00003D6E">
              <w:rPr>
                <w:rStyle w:val="BMSSubscript"/>
              </w:rPr>
              <w:t>20</w:t>
            </w:r>
            <w:r w:rsidRPr="00003D6E">
              <w:t>H</w:t>
            </w:r>
            <w:r w:rsidRPr="00003D6E">
              <w:rPr>
                <w:rStyle w:val="BMSSubscript"/>
              </w:rPr>
              <w:t>19</w:t>
            </w:r>
            <w:r w:rsidR="000E61E5" w:rsidRPr="00003D6E">
              <w:rPr>
                <w:vertAlign w:val="superscript"/>
              </w:rPr>
              <w:t>2</w:t>
            </w:r>
            <w:r w:rsidR="000E61E5" w:rsidRPr="00003D6E">
              <w:t>H</w:t>
            </w:r>
            <w:r w:rsidRPr="00003D6E">
              <w:rPr>
                <w:rStyle w:val="BMSSubscript"/>
              </w:rPr>
              <w:t>3</w:t>
            </w:r>
            <w:r w:rsidRPr="00003D6E">
              <w:t>N</w:t>
            </w:r>
            <w:r w:rsidRPr="00003D6E">
              <w:rPr>
                <w:rStyle w:val="BMSSubscript"/>
              </w:rPr>
              <w:t>8</w:t>
            </w:r>
            <w:r w:rsidRPr="00003D6E">
              <w:t>O</w:t>
            </w:r>
            <w:r w:rsidRPr="00003D6E">
              <w:rPr>
                <w:rStyle w:val="BMSSubscript"/>
              </w:rPr>
              <w:t>3</w:t>
            </w:r>
          </w:p>
        </w:tc>
      </w:tr>
      <w:tr w:rsidR="00003D6E" w:rsidRPr="00003D6E" w14:paraId="0CCC7E9F" w14:textId="77777777" w:rsidTr="00B34772">
        <w:trPr>
          <w:trHeight w:hRule="exact" w:val="353"/>
        </w:trPr>
        <w:tc>
          <w:tcPr>
            <w:tcW w:w="3260" w:type="dxa"/>
            <w:tcBorders>
              <w:top w:val="single" w:sz="8" w:space="0" w:color="000000"/>
              <w:left w:val="single" w:sz="8" w:space="0" w:color="000000"/>
              <w:bottom w:val="single" w:sz="8" w:space="0" w:color="000000"/>
              <w:right w:val="single" w:sz="8" w:space="0" w:color="000000"/>
            </w:tcBorders>
          </w:tcPr>
          <w:p w14:paraId="6058265F" w14:textId="77777777" w:rsidR="00F50F23" w:rsidRPr="00003D6E" w:rsidRDefault="00F50F23" w:rsidP="00326FD7">
            <w:pPr>
              <w:spacing w:before="36" w:after="0"/>
              <w:ind w:left="97" w:right="-20"/>
              <w:rPr>
                <w:rFonts w:eastAsia="Times New Roman" w:cs="Times New Roman"/>
              </w:rPr>
            </w:pPr>
            <w:r w:rsidRPr="00003D6E">
              <w:rPr>
                <w:rFonts w:eastAsia="Times New Roman" w:cs="Times New Roman"/>
              </w:rPr>
              <w:t>M</w:t>
            </w:r>
            <w:r w:rsidRPr="00003D6E">
              <w:rPr>
                <w:rFonts w:eastAsia="Times New Roman" w:cs="Times New Roman"/>
                <w:spacing w:val="1"/>
              </w:rPr>
              <w:t>o</w:t>
            </w:r>
            <w:r w:rsidRPr="00003D6E">
              <w:rPr>
                <w:rFonts w:eastAsia="Times New Roman" w:cs="Times New Roman"/>
              </w:rPr>
              <w:t>lec</w:t>
            </w:r>
            <w:r w:rsidRPr="00003D6E">
              <w:rPr>
                <w:rFonts w:eastAsia="Times New Roman" w:cs="Times New Roman"/>
                <w:spacing w:val="1"/>
              </w:rPr>
              <w:t>u</w:t>
            </w:r>
            <w:r w:rsidRPr="00003D6E">
              <w:rPr>
                <w:rFonts w:eastAsia="Times New Roman" w:cs="Times New Roman"/>
              </w:rPr>
              <w:t>lar</w:t>
            </w:r>
            <w:r w:rsidRPr="00003D6E">
              <w:rPr>
                <w:rFonts w:eastAsia="Times New Roman" w:cs="Times New Roman"/>
                <w:spacing w:val="-9"/>
              </w:rPr>
              <w:t xml:space="preserve"> </w:t>
            </w:r>
            <w:r w:rsidRPr="00003D6E">
              <w:rPr>
                <w:rFonts w:eastAsia="Times New Roman" w:cs="Times New Roman"/>
              </w:rPr>
              <w:t>w</w:t>
            </w:r>
            <w:r w:rsidRPr="00003D6E">
              <w:rPr>
                <w:rFonts w:eastAsia="Times New Roman" w:cs="Times New Roman"/>
                <w:spacing w:val="1"/>
              </w:rPr>
              <w:t>e</w:t>
            </w:r>
            <w:r w:rsidRPr="00003D6E">
              <w:rPr>
                <w:rFonts w:eastAsia="Times New Roman" w:cs="Times New Roman"/>
              </w:rPr>
              <w:t>i</w:t>
            </w:r>
            <w:r w:rsidRPr="00003D6E">
              <w:rPr>
                <w:rFonts w:eastAsia="Times New Roman" w:cs="Times New Roman"/>
                <w:spacing w:val="1"/>
              </w:rPr>
              <w:t>gh</w:t>
            </w:r>
            <w:r w:rsidRPr="00003D6E">
              <w:rPr>
                <w:rFonts w:eastAsia="Times New Roman" w:cs="Times New Roman"/>
              </w:rPr>
              <w:t>t</w:t>
            </w:r>
          </w:p>
        </w:tc>
        <w:tc>
          <w:tcPr>
            <w:tcW w:w="6237" w:type="dxa"/>
            <w:tcBorders>
              <w:top w:val="single" w:sz="8" w:space="0" w:color="000000"/>
              <w:left w:val="single" w:sz="8" w:space="0" w:color="000000"/>
              <w:bottom w:val="single" w:sz="8" w:space="0" w:color="000000"/>
              <w:right w:val="single" w:sz="8" w:space="0" w:color="000000"/>
            </w:tcBorders>
          </w:tcPr>
          <w:p w14:paraId="30C4E686" w14:textId="7692BC77" w:rsidR="00F50F23" w:rsidRPr="00003D6E" w:rsidRDefault="00C55DCA" w:rsidP="00BF0ED7">
            <w:pPr>
              <w:ind w:left="130"/>
              <w:rPr>
                <w:rFonts w:eastAsia="Times New Roman" w:cs="Times New Roman"/>
              </w:rPr>
            </w:pPr>
            <w:r w:rsidRPr="00003D6E">
              <w:t>425.47</w:t>
            </w:r>
          </w:p>
        </w:tc>
      </w:tr>
      <w:tr w:rsidR="00003D6E" w:rsidRPr="00003D6E" w14:paraId="116B57E1" w14:textId="77777777" w:rsidTr="00B34772">
        <w:trPr>
          <w:trHeight w:hRule="exact" w:val="352"/>
        </w:trPr>
        <w:tc>
          <w:tcPr>
            <w:tcW w:w="3260" w:type="dxa"/>
            <w:tcBorders>
              <w:top w:val="single" w:sz="8" w:space="0" w:color="000000"/>
              <w:left w:val="single" w:sz="8" w:space="0" w:color="000000"/>
              <w:bottom w:val="single" w:sz="8" w:space="0" w:color="000000"/>
              <w:right w:val="single" w:sz="8" w:space="0" w:color="000000"/>
            </w:tcBorders>
          </w:tcPr>
          <w:p w14:paraId="1C22485F" w14:textId="77777777" w:rsidR="00F50F23" w:rsidRPr="00003D6E" w:rsidRDefault="00F50F23" w:rsidP="00326FD7">
            <w:pPr>
              <w:spacing w:before="36" w:after="0"/>
              <w:ind w:left="97" w:right="-20"/>
              <w:rPr>
                <w:rFonts w:eastAsia="Times New Roman" w:cs="Times New Roman"/>
              </w:rPr>
            </w:pPr>
            <w:r w:rsidRPr="00003D6E">
              <w:rPr>
                <w:rFonts w:eastAsia="Times New Roman" w:cs="Times New Roman"/>
              </w:rPr>
              <w:t>ATC</w:t>
            </w:r>
            <w:r w:rsidRPr="00003D6E">
              <w:rPr>
                <w:rFonts w:eastAsia="Times New Roman" w:cs="Times New Roman"/>
                <w:spacing w:val="-4"/>
              </w:rPr>
              <w:t xml:space="preserve"> </w:t>
            </w:r>
            <w:r w:rsidRPr="00003D6E">
              <w:rPr>
                <w:rFonts w:eastAsia="Times New Roman" w:cs="Times New Roman"/>
              </w:rPr>
              <w:t>c</w:t>
            </w:r>
            <w:r w:rsidRPr="00003D6E">
              <w:rPr>
                <w:rFonts w:eastAsia="Times New Roman" w:cs="Times New Roman"/>
                <w:spacing w:val="1"/>
              </w:rPr>
              <w:t>od</w:t>
            </w:r>
            <w:r w:rsidRPr="00003D6E">
              <w:rPr>
                <w:rFonts w:eastAsia="Times New Roman" w:cs="Times New Roman"/>
              </w:rPr>
              <w:t>e</w:t>
            </w:r>
          </w:p>
        </w:tc>
        <w:tc>
          <w:tcPr>
            <w:tcW w:w="6237" w:type="dxa"/>
            <w:tcBorders>
              <w:top w:val="single" w:sz="8" w:space="0" w:color="000000"/>
              <w:left w:val="single" w:sz="8" w:space="0" w:color="000000"/>
              <w:bottom w:val="single" w:sz="8" w:space="0" w:color="000000"/>
              <w:right w:val="single" w:sz="8" w:space="0" w:color="000000"/>
            </w:tcBorders>
          </w:tcPr>
          <w:p w14:paraId="6A3F173C" w14:textId="1AD849C5" w:rsidR="00F50F23" w:rsidRPr="00003D6E" w:rsidRDefault="00E25B0C" w:rsidP="00BF0ED7">
            <w:pPr>
              <w:ind w:left="130"/>
            </w:pPr>
            <w:r w:rsidRPr="00003D6E">
              <w:t>L04AA56</w:t>
            </w:r>
          </w:p>
        </w:tc>
      </w:tr>
      <w:tr w:rsidR="00003D6E" w:rsidRPr="00003D6E" w14:paraId="3455458F" w14:textId="77777777" w:rsidTr="003F708F">
        <w:trPr>
          <w:trHeight w:hRule="exact" w:val="1032"/>
        </w:trPr>
        <w:tc>
          <w:tcPr>
            <w:tcW w:w="3260" w:type="dxa"/>
            <w:tcBorders>
              <w:top w:val="nil"/>
              <w:left w:val="single" w:sz="8" w:space="0" w:color="000000"/>
              <w:bottom w:val="single" w:sz="8" w:space="0" w:color="000000"/>
              <w:right w:val="single" w:sz="8" w:space="0" w:color="000000"/>
            </w:tcBorders>
          </w:tcPr>
          <w:p w14:paraId="5E17089C" w14:textId="77777777" w:rsidR="00F50F23" w:rsidRPr="00003D6E" w:rsidRDefault="00F50F23" w:rsidP="00326FD7">
            <w:pPr>
              <w:spacing w:before="38" w:after="0"/>
              <w:ind w:left="97" w:right="-20"/>
              <w:rPr>
                <w:rFonts w:eastAsia="Times New Roman" w:cs="Times New Roman"/>
              </w:rPr>
            </w:pPr>
            <w:r w:rsidRPr="00003D6E">
              <w:rPr>
                <w:rFonts w:eastAsia="Times New Roman" w:cs="Times New Roman"/>
              </w:rPr>
              <w:t>C</w:t>
            </w:r>
            <w:r w:rsidRPr="00003D6E">
              <w:rPr>
                <w:rFonts w:eastAsia="Times New Roman" w:cs="Times New Roman"/>
                <w:spacing w:val="1"/>
              </w:rPr>
              <w:t>he</w:t>
            </w:r>
            <w:r w:rsidRPr="00003D6E">
              <w:rPr>
                <w:rFonts w:eastAsia="Times New Roman" w:cs="Times New Roman"/>
                <w:spacing w:val="-2"/>
              </w:rPr>
              <w:t>m</w:t>
            </w:r>
            <w:r w:rsidRPr="00003D6E">
              <w:rPr>
                <w:rFonts w:eastAsia="Times New Roman" w:cs="Times New Roman"/>
              </w:rPr>
              <w:t>i</w:t>
            </w:r>
            <w:r w:rsidRPr="00003D6E">
              <w:rPr>
                <w:rFonts w:eastAsia="Times New Roman" w:cs="Times New Roman"/>
                <w:spacing w:val="1"/>
              </w:rPr>
              <w:t>c</w:t>
            </w:r>
            <w:r w:rsidRPr="00003D6E">
              <w:rPr>
                <w:rFonts w:eastAsia="Times New Roman" w:cs="Times New Roman"/>
              </w:rPr>
              <w:t>al</w:t>
            </w:r>
            <w:r w:rsidRPr="00003D6E">
              <w:rPr>
                <w:rFonts w:eastAsia="Times New Roman" w:cs="Times New Roman"/>
                <w:spacing w:val="-8"/>
              </w:rPr>
              <w:t xml:space="preserve"> </w:t>
            </w:r>
            <w:r w:rsidRPr="00003D6E">
              <w:rPr>
                <w:rFonts w:eastAsia="Times New Roman" w:cs="Times New Roman"/>
                <w:spacing w:val="1"/>
              </w:rPr>
              <w:t>n</w:t>
            </w:r>
            <w:r w:rsidRPr="00003D6E">
              <w:rPr>
                <w:rFonts w:eastAsia="Times New Roman" w:cs="Times New Roman"/>
              </w:rPr>
              <w:t>ame</w:t>
            </w:r>
          </w:p>
        </w:tc>
        <w:tc>
          <w:tcPr>
            <w:tcW w:w="6237" w:type="dxa"/>
            <w:tcBorders>
              <w:top w:val="nil"/>
              <w:left w:val="single" w:sz="8" w:space="0" w:color="000000"/>
              <w:bottom w:val="single" w:sz="8" w:space="0" w:color="000000"/>
              <w:right w:val="single" w:sz="8" w:space="0" w:color="000000"/>
            </w:tcBorders>
          </w:tcPr>
          <w:p w14:paraId="34B23984" w14:textId="45A83373" w:rsidR="00F50F23" w:rsidRPr="00003D6E" w:rsidRDefault="00F25B08" w:rsidP="007227A2">
            <w:pPr>
              <w:ind w:left="130"/>
            </w:pPr>
            <w:r w:rsidRPr="00003D6E">
              <w:t>6-(cyclopropanecarboxamido)-4-[2-methoxy-3-(1-methyl-1</w:t>
            </w:r>
            <w:r w:rsidRPr="00003D6E">
              <w:rPr>
                <w:i/>
                <w:iCs/>
              </w:rPr>
              <w:t>H</w:t>
            </w:r>
            <w:r w:rsidRPr="00003D6E">
              <w:t>-1,2,4-triazol-3-</w:t>
            </w:r>
            <w:proofErr w:type="gramStart"/>
            <w:r w:rsidRPr="00003D6E">
              <w:t>yl)anilino</w:t>
            </w:r>
            <w:proofErr w:type="gramEnd"/>
            <w:r w:rsidRPr="00003D6E">
              <w:t>]-</w:t>
            </w:r>
            <w:r w:rsidRPr="00003D6E">
              <w:rPr>
                <w:i/>
                <w:iCs/>
              </w:rPr>
              <w:t>N</w:t>
            </w:r>
            <w:r w:rsidRPr="00003D6E">
              <w:t>-(</w:t>
            </w:r>
            <w:r w:rsidRPr="00003D6E">
              <w:rPr>
                <w:vertAlign w:val="superscript"/>
              </w:rPr>
              <w:t>2</w:t>
            </w:r>
            <w:r w:rsidRPr="00003D6E">
              <w:t>H</w:t>
            </w:r>
            <w:r w:rsidRPr="00003D6E">
              <w:rPr>
                <w:vertAlign w:val="subscript"/>
              </w:rPr>
              <w:t>3</w:t>
            </w:r>
            <w:r w:rsidRPr="00003D6E">
              <w:t>)methylpyridazine-3-carboxamide</w:t>
            </w:r>
            <w:r w:rsidR="003F708F" w:rsidRPr="00003D6E">
              <w:t xml:space="preserve"> </w:t>
            </w:r>
          </w:p>
        </w:tc>
      </w:tr>
      <w:tr w:rsidR="00003D6E" w:rsidRPr="00003D6E" w14:paraId="024A5890" w14:textId="77777777" w:rsidTr="00B34772">
        <w:trPr>
          <w:trHeight w:hRule="exact" w:val="606"/>
        </w:trPr>
        <w:tc>
          <w:tcPr>
            <w:tcW w:w="3260" w:type="dxa"/>
            <w:tcBorders>
              <w:top w:val="single" w:sz="8" w:space="0" w:color="000000"/>
              <w:left w:val="single" w:sz="8" w:space="0" w:color="000000"/>
              <w:bottom w:val="single" w:sz="8" w:space="0" w:color="000000"/>
              <w:right w:val="single" w:sz="8" w:space="0" w:color="000000"/>
            </w:tcBorders>
          </w:tcPr>
          <w:p w14:paraId="465A592A" w14:textId="77777777" w:rsidR="00F50F23" w:rsidRPr="00003D6E" w:rsidRDefault="00F50F23" w:rsidP="00326FD7">
            <w:pPr>
              <w:spacing w:before="37" w:after="0"/>
              <w:ind w:left="97" w:right="-20"/>
              <w:rPr>
                <w:rFonts w:eastAsia="Times New Roman" w:cs="Times New Roman"/>
              </w:rPr>
            </w:pPr>
            <w:r w:rsidRPr="00003D6E">
              <w:rPr>
                <w:rFonts w:eastAsia="Times New Roman" w:cs="Times New Roman"/>
              </w:rPr>
              <w:t>C</w:t>
            </w:r>
            <w:r w:rsidRPr="00003D6E">
              <w:rPr>
                <w:rFonts w:eastAsia="Times New Roman" w:cs="Times New Roman"/>
                <w:spacing w:val="1"/>
              </w:rPr>
              <w:t>he</w:t>
            </w:r>
            <w:r w:rsidRPr="00003D6E">
              <w:rPr>
                <w:rFonts w:eastAsia="Times New Roman" w:cs="Times New Roman"/>
                <w:spacing w:val="-2"/>
              </w:rPr>
              <w:t>m</w:t>
            </w:r>
            <w:r w:rsidRPr="00003D6E">
              <w:rPr>
                <w:rFonts w:eastAsia="Times New Roman" w:cs="Times New Roman"/>
              </w:rPr>
              <w:t>i</w:t>
            </w:r>
            <w:r w:rsidRPr="00003D6E">
              <w:rPr>
                <w:rFonts w:eastAsia="Times New Roman" w:cs="Times New Roman"/>
                <w:spacing w:val="1"/>
              </w:rPr>
              <w:t>c</w:t>
            </w:r>
            <w:r w:rsidRPr="00003D6E">
              <w:rPr>
                <w:rFonts w:eastAsia="Times New Roman" w:cs="Times New Roman"/>
              </w:rPr>
              <w:t>al</w:t>
            </w:r>
            <w:r w:rsidRPr="00003D6E">
              <w:rPr>
                <w:rFonts w:eastAsia="Times New Roman" w:cs="Times New Roman"/>
                <w:spacing w:val="-8"/>
              </w:rPr>
              <w:t xml:space="preserve"> </w:t>
            </w:r>
            <w:r w:rsidRPr="00003D6E">
              <w:rPr>
                <w:rFonts w:eastAsia="Times New Roman" w:cs="Times New Roman"/>
              </w:rPr>
              <w:t>A</w:t>
            </w:r>
            <w:r w:rsidRPr="00003D6E">
              <w:rPr>
                <w:rFonts w:eastAsia="Times New Roman" w:cs="Times New Roman"/>
                <w:spacing w:val="1"/>
              </w:rPr>
              <w:t>b</w:t>
            </w:r>
            <w:r w:rsidRPr="00003D6E">
              <w:rPr>
                <w:rFonts w:eastAsia="Times New Roman" w:cs="Times New Roman"/>
              </w:rPr>
              <w:t>stract</w:t>
            </w:r>
            <w:r w:rsidRPr="00003D6E">
              <w:rPr>
                <w:rFonts w:eastAsia="Times New Roman" w:cs="Times New Roman"/>
                <w:spacing w:val="-7"/>
              </w:rPr>
              <w:t xml:space="preserve"> </w:t>
            </w:r>
            <w:r w:rsidRPr="00003D6E">
              <w:rPr>
                <w:rFonts w:eastAsia="Times New Roman" w:cs="Times New Roman"/>
              </w:rPr>
              <w:t>Ser</w:t>
            </w:r>
            <w:r w:rsidRPr="00003D6E">
              <w:rPr>
                <w:rFonts w:eastAsia="Times New Roman" w:cs="Times New Roman"/>
                <w:spacing w:val="1"/>
              </w:rPr>
              <w:t>v</w:t>
            </w:r>
            <w:r w:rsidRPr="00003D6E">
              <w:rPr>
                <w:rFonts w:eastAsia="Times New Roman" w:cs="Times New Roman"/>
              </w:rPr>
              <w:t>i</w:t>
            </w:r>
            <w:r w:rsidRPr="00003D6E">
              <w:rPr>
                <w:rFonts w:eastAsia="Times New Roman" w:cs="Times New Roman"/>
                <w:spacing w:val="1"/>
              </w:rPr>
              <w:t>c</w:t>
            </w:r>
            <w:r w:rsidRPr="00003D6E">
              <w:rPr>
                <w:rFonts w:eastAsia="Times New Roman" w:cs="Times New Roman"/>
              </w:rPr>
              <w:t>e</w:t>
            </w:r>
            <w:r w:rsidRPr="00003D6E">
              <w:rPr>
                <w:rFonts w:eastAsia="Times New Roman" w:cs="Times New Roman"/>
                <w:spacing w:val="-6"/>
              </w:rPr>
              <w:t xml:space="preserve"> </w:t>
            </w:r>
            <w:r w:rsidRPr="00003D6E">
              <w:rPr>
                <w:rFonts w:eastAsia="Times New Roman" w:cs="Times New Roman"/>
              </w:rPr>
              <w:t>(CAS)</w:t>
            </w:r>
          </w:p>
          <w:p w14:paraId="131B6E69" w14:textId="77777777" w:rsidR="00F50F23" w:rsidRPr="00003D6E" w:rsidRDefault="00F50F23" w:rsidP="00326FD7">
            <w:pPr>
              <w:spacing w:after="0"/>
              <w:ind w:left="97" w:right="-20"/>
              <w:rPr>
                <w:rFonts w:eastAsia="Times New Roman" w:cs="Times New Roman"/>
              </w:rPr>
            </w:pPr>
            <w:r w:rsidRPr="00003D6E">
              <w:rPr>
                <w:rFonts w:eastAsia="Times New Roman" w:cs="Times New Roman"/>
              </w:rPr>
              <w:t>re</w:t>
            </w:r>
            <w:r w:rsidRPr="00003D6E">
              <w:rPr>
                <w:rFonts w:eastAsia="Times New Roman" w:cs="Times New Roman"/>
                <w:spacing w:val="1"/>
              </w:rPr>
              <w:t>g</w:t>
            </w:r>
            <w:r w:rsidRPr="00003D6E">
              <w:rPr>
                <w:rFonts w:eastAsia="Times New Roman" w:cs="Times New Roman"/>
              </w:rPr>
              <w:t>istry</w:t>
            </w:r>
            <w:r w:rsidRPr="00003D6E">
              <w:rPr>
                <w:rFonts w:eastAsia="Times New Roman" w:cs="Times New Roman"/>
                <w:spacing w:val="-6"/>
              </w:rPr>
              <w:t xml:space="preserve"> </w:t>
            </w:r>
            <w:r w:rsidRPr="00003D6E">
              <w:rPr>
                <w:rFonts w:eastAsia="Times New Roman" w:cs="Times New Roman"/>
                <w:spacing w:val="1"/>
              </w:rPr>
              <w:t>nu</w:t>
            </w:r>
            <w:r w:rsidRPr="00003D6E">
              <w:rPr>
                <w:rFonts w:eastAsia="Times New Roman" w:cs="Times New Roman"/>
                <w:spacing w:val="-2"/>
              </w:rPr>
              <w:t>m</w:t>
            </w:r>
            <w:r w:rsidRPr="00003D6E">
              <w:rPr>
                <w:rFonts w:eastAsia="Times New Roman" w:cs="Times New Roman"/>
                <w:spacing w:val="1"/>
              </w:rPr>
              <w:t>b</w:t>
            </w:r>
            <w:r w:rsidRPr="00003D6E">
              <w:rPr>
                <w:rFonts w:eastAsia="Times New Roman" w:cs="Times New Roman"/>
              </w:rPr>
              <w:t>er</w:t>
            </w:r>
          </w:p>
        </w:tc>
        <w:tc>
          <w:tcPr>
            <w:tcW w:w="6237" w:type="dxa"/>
            <w:tcBorders>
              <w:top w:val="single" w:sz="8" w:space="0" w:color="000000"/>
              <w:left w:val="single" w:sz="8" w:space="0" w:color="000000"/>
              <w:bottom w:val="single" w:sz="8" w:space="0" w:color="000000"/>
              <w:right w:val="single" w:sz="8" w:space="0" w:color="000000"/>
            </w:tcBorders>
          </w:tcPr>
          <w:p w14:paraId="2D9DF466" w14:textId="3AC832E2" w:rsidR="008B622F" w:rsidRPr="00003D6E" w:rsidRDefault="008B622F" w:rsidP="00BF0ED7">
            <w:pPr>
              <w:ind w:left="130"/>
            </w:pPr>
            <w:r w:rsidRPr="00003D6E">
              <w:t>1609392-27-9</w:t>
            </w:r>
          </w:p>
          <w:p w14:paraId="1E6776EE" w14:textId="5B8F7585" w:rsidR="00F50F23" w:rsidRPr="00003D6E" w:rsidRDefault="00F50F23" w:rsidP="00BF0ED7">
            <w:pPr>
              <w:ind w:left="130"/>
            </w:pPr>
          </w:p>
        </w:tc>
      </w:tr>
      <w:tr w:rsidR="00F50F23" w:rsidRPr="00003D6E" w14:paraId="7323ABBF" w14:textId="77777777" w:rsidTr="00356A30">
        <w:trPr>
          <w:trHeight w:hRule="exact" w:val="2723"/>
        </w:trPr>
        <w:tc>
          <w:tcPr>
            <w:tcW w:w="3260" w:type="dxa"/>
            <w:tcBorders>
              <w:top w:val="single" w:sz="8" w:space="0" w:color="000000"/>
              <w:left w:val="single" w:sz="8" w:space="0" w:color="000000"/>
              <w:bottom w:val="single" w:sz="8" w:space="0" w:color="000000"/>
              <w:right w:val="single" w:sz="8" w:space="0" w:color="000000"/>
            </w:tcBorders>
          </w:tcPr>
          <w:p w14:paraId="79344674" w14:textId="77777777" w:rsidR="00F50F23" w:rsidRPr="00003D6E" w:rsidRDefault="00F50F23" w:rsidP="00326FD7">
            <w:pPr>
              <w:spacing w:before="37" w:after="0"/>
              <w:ind w:left="97" w:right="-20"/>
              <w:rPr>
                <w:rFonts w:eastAsia="Times New Roman" w:cs="Times New Roman"/>
              </w:rPr>
            </w:pPr>
            <w:r w:rsidRPr="00003D6E">
              <w:rPr>
                <w:rFonts w:eastAsia="Times New Roman" w:cs="Times New Roman"/>
              </w:rPr>
              <w:t>C</w:t>
            </w:r>
            <w:r w:rsidRPr="00003D6E">
              <w:rPr>
                <w:rFonts w:eastAsia="Times New Roman" w:cs="Times New Roman"/>
                <w:spacing w:val="1"/>
              </w:rPr>
              <w:t>he</w:t>
            </w:r>
            <w:r w:rsidRPr="00003D6E">
              <w:rPr>
                <w:rFonts w:eastAsia="Times New Roman" w:cs="Times New Roman"/>
                <w:spacing w:val="-2"/>
              </w:rPr>
              <w:t>m</w:t>
            </w:r>
            <w:r w:rsidRPr="00003D6E">
              <w:rPr>
                <w:rFonts w:eastAsia="Times New Roman" w:cs="Times New Roman"/>
              </w:rPr>
              <w:t>i</w:t>
            </w:r>
            <w:r w:rsidRPr="00003D6E">
              <w:rPr>
                <w:rFonts w:eastAsia="Times New Roman" w:cs="Times New Roman"/>
                <w:spacing w:val="1"/>
              </w:rPr>
              <w:t>c</w:t>
            </w:r>
            <w:r w:rsidRPr="00003D6E">
              <w:rPr>
                <w:rFonts w:eastAsia="Times New Roman" w:cs="Times New Roman"/>
              </w:rPr>
              <w:t>al</w:t>
            </w:r>
            <w:r w:rsidRPr="00003D6E">
              <w:rPr>
                <w:rFonts w:eastAsia="Times New Roman" w:cs="Times New Roman"/>
                <w:spacing w:val="-8"/>
              </w:rPr>
              <w:t xml:space="preserve"> </w:t>
            </w:r>
            <w:r w:rsidRPr="00003D6E">
              <w:rPr>
                <w:rFonts w:eastAsia="Times New Roman" w:cs="Times New Roman"/>
              </w:rPr>
              <w:t>str</w:t>
            </w:r>
            <w:r w:rsidRPr="00003D6E">
              <w:rPr>
                <w:rFonts w:eastAsia="Times New Roman" w:cs="Times New Roman"/>
                <w:spacing w:val="1"/>
              </w:rPr>
              <w:t>u</w:t>
            </w:r>
            <w:r w:rsidRPr="00003D6E">
              <w:rPr>
                <w:rFonts w:eastAsia="Times New Roman" w:cs="Times New Roman"/>
              </w:rPr>
              <w:t>ct</w:t>
            </w:r>
            <w:r w:rsidRPr="00003D6E">
              <w:rPr>
                <w:rFonts w:eastAsia="Times New Roman" w:cs="Times New Roman"/>
                <w:spacing w:val="1"/>
              </w:rPr>
              <w:t>u</w:t>
            </w:r>
            <w:r w:rsidRPr="00003D6E">
              <w:rPr>
                <w:rFonts w:eastAsia="Times New Roman" w:cs="Times New Roman"/>
              </w:rPr>
              <w:t>re</w:t>
            </w:r>
          </w:p>
        </w:tc>
        <w:tc>
          <w:tcPr>
            <w:tcW w:w="6237" w:type="dxa"/>
            <w:tcBorders>
              <w:top w:val="single" w:sz="8" w:space="0" w:color="000000"/>
              <w:left w:val="single" w:sz="8" w:space="0" w:color="000000"/>
              <w:bottom w:val="single" w:sz="8" w:space="0" w:color="000000"/>
              <w:right w:val="single" w:sz="8" w:space="0" w:color="000000"/>
            </w:tcBorders>
          </w:tcPr>
          <w:p w14:paraId="657FCE8C" w14:textId="60CAA9BA" w:rsidR="00F50F23" w:rsidRPr="00003D6E" w:rsidRDefault="00356A30" w:rsidP="00326FD7">
            <w:pPr>
              <w:spacing w:before="38" w:after="0"/>
              <w:ind w:left="98" w:right="-20"/>
              <w:rPr>
                <w:rFonts w:eastAsia="Times New Roman" w:cs="Times New Roman"/>
                <w:sz w:val="20"/>
                <w:szCs w:val="20"/>
              </w:rPr>
            </w:pPr>
            <w:r w:rsidRPr="00003D6E">
              <w:rPr>
                <w:noProof/>
                <w:lang w:val="en-US"/>
              </w:rPr>
              <w:drawing>
                <wp:inline distT="0" distB="0" distL="0" distR="0" wp14:anchorId="2A049D75" wp14:editId="7889EB54">
                  <wp:extent cx="2174164" cy="1289241"/>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r:link="rId16" cstate="print">
                            <a:extLst>
                              <a:ext uri="{28A0092B-C50C-407E-A947-70E740481C1C}">
                                <a14:useLocalDpi xmlns:a14="http://schemas.microsoft.com/office/drawing/2010/main" val="0"/>
                              </a:ext>
                            </a:extLst>
                          </a:blip>
                          <a:srcRect r="4084" b="5664"/>
                          <a:stretch/>
                        </pic:blipFill>
                        <pic:spPr bwMode="auto">
                          <a:xfrm>
                            <a:off x="0" y="0"/>
                            <a:ext cx="2190520" cy="129894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23C4B03" w14:textId="77777777" w:rsidR="00EB42F7" w:rsidRPr="00003D6E" w:rsidRDefault="00EB42F7" w:rsidP="00EB42F7"/>
    <w:p w14:paraId="3621ED98" w14:textId="6293FC20" w:rsidR="007B4510" w:rsidRPr="00003D6E" w:rsidRDefault="007B4510" w:rsidP="00F66585">
      <w:pPr>
        <w:pStyle w:val="Heading1"/>
      </w:pPr>
      <w:r w:rsidRPr="00003D6E">
        <w:t>Medicine schedule (Poisons Standard)</w:t>
      </w:r>
    </w:p>
    <w:p w14:paraId="4EA4A0CE" w14:textId="2431CCD6" w:rsidR="007B4510" w:rsidRPr="00003D6E" w:rsidRDefault="007B4510" w:rsidP="007B4510">
      <w:r w:rsidRPr="00003D6E">
        <w:t xml:space="preserve">Schedule 4 </w:t>
      </w:r>
      <w:r w:rsidR="00CF42F5" w:rsidRPr="00003D6E">
        <w:t xml:space="preserve">- </w:t>
      </w:r>
      <w:r w:rsidRPr="00003D6E">
        <w:t>Prescription Only Medicine</w:t>
      </w:r>
    </w:p>
    <w:p w14:paraId="24075080" w14:textId="77777777" w:rsidR="007B4510" w:rsidRPr="00003D6E" w:rsidRDefault="007B4510" w:rsidP="00F66585">
      <w:pPr>
        <w:pStyle w:val="Heading1"/>
      </w:pPr>
      <w:r w:rsidRPr="00003D6E">
        <w:lastRenderedPageBreak/>
        <w:t xml:space="preserve">Sponsor </w:t>
      </w:r>
    </w:p>
    <w:p w14:paraId="19965353" w14:textId="77777777" w:rsidR="00CF42F5" w:rsidRPr="00003D6E" w:rsidRDefault="00CF42F5" w:rsidP="00CF42F5">
      <w:pPr>
        <w:spacing w:after="0"/>
        <w:rPr>
          <w:rFonts w:cs="Times New Roman"/>
        </w:rPr>
      </w:pPr>
      <w:r w:rsidRPr="00003D6E">
        <w:rPr>
          <w:rFonts w:cs="Times New Roman"/>
        </w:rPr>
        <w:t>Bristol-Myers Squibb Australia Pty Ltd</w:t>
      </w:r>
    </w:p>
    <w:p w14:paraId="3707689A" w14:textId="77777777" w:rsidR="00CF42F5" w:rsidRPr="00003D6E" w:rsidRDefault="00CF42F5" w:rsidP="00CF42F5">
      <w:pPr>
        <w:spacing w:after="0"/>
        <w:rPr>
          <w:rFonts w:cs="Times New Roman"/>
        </w:rPr>
      </w:pPr>
      <w:r w:rsidRPr="00003D6E">
        <w:rPr>
          <w:rFonts w:cs="Times New Roman"/>
        </w:rPr>
        <w:t>4 Nexus Court, Mulgrave,</w:t>
      </w:r>
    </w:p>
    <w:p w14:paraId="3244A06E" w14:textId="77777777" w:rsidR="00CF42F5" w:rsidRPr="00003D6E" w:rsidRDefault="00CF42F5" w:rsidP="00CF42F5">
      <w:pPr>
        <w:spacing w:after="0"/>
        <w:rPr>
          <w:rFonts w:cs="Times New Roman"/>
        </w:rPr>
      </w:pPr>
      <w:r w:rsidRPr="00003D6E">
        <w:rPr>
          <w:rFonts w:cs="Times New Roman"/>
        </w:rPr>
        <w:t>Victoria 3170, Australia.</w:t>
      </w:r>
    </w:p>
    <w:p w14:paraId="0DCB768D" w14:textId="77777777" w:rsidR="00CF42F5" w:rsidRPr="00003D6E" w:rsidRDefault="00CF42F5" w:rsidP="00CF42F5">
      <w:pPr>
        <w:spacing w:after="0"/>
        <w:rPr>
          <w:rFonts w:cs="Times New Roman"/>
        </w:rPr>
      </w:pPr>
      <w:r w:rsidRPr="00003D6E">
        <w:rPr>
          <w:rFonts w:cs="Times New Roman"/>
        </w:rPr>
        <w:t>Toll free number: 1800 067 567</w:t>
      </w:r>
    </w:p>
    <w:p w14:paraId="0F92E9CA" w14:textId="39CF58F2" w:rsidR="007B4510" w:rsidRPr="00003D6E" w:rsidRDefault="00CF42F5" w:rsidP="007B4510">
      <w:pPr>
        <w:rPr>
          <w:rFonts w:cs="Times New Roman"/>
        </w:rPr>
      </w:pPr>
      <w:r w:rsidRPr="00003D6E">
        <w:rPr>
          <w:rFonts w:cs="Times New Roman"/>
        </w:rPr>
        <w:t xml:space="preserve">Email: </w:t>
      </w:r>
      <w:hyperlink r:id="rId17" w:history="1">
        <w:r w:rsidRPr="00003D6E">
          <w:rPr>
            <w:rFonts w:cs="Times New Roman"/>
          </w:rPr>
          <w:t>MedInfo.Australia@bms.com</w:t>
        </w:r>
      </w:hyperlink>
    </w:p>
    <w:p w14:paraId="121FACEC" w14:textId="77777777" w:rsidR="007B4510" w:rsidRPr="00003D6E" w:rsidRDefault="007B4510" w:rsidP="00F66585">
      <w:pPr>
        <w:pStyle w:val="Heading1"/>
      </w:pPr>
      <w:r w:rsidRPr="00003D6E">
        <w:t xml:space="preserve">Date of first approval  </w:t>
      </w:r>
    </w:p>
    <w:p w14:paraId="64399899" w14:textId="377840D1" w:rsidR="007B4510" w:rsidRPr="00003D6E" w:rsidRDefault="00023555" w:rsidP="007B4510">
      <w:r>
        <w:t>1 December 2022</w:t>
      </w:r>
    </w:p>
    <w:p w14:paraId="675E29A7" w14:textId="77777777" w:rsidR="007B4510" w:rsidRPr="00003D6E" w:rsidRDefault="007B4510" w:rsidP="00F66585">
      <w:pPr>
        <w:pStyle w:val="Heading1"/>
      </w:pPr>
      <w:r w:rsidRPr="00003D6E">
        <w:t xml:space="preserve">Date of revision </w:t>
      </w:r>
    </w:p>
    <w:p w14:paraId="2270CC7A" w14:textId="26ADC0B2" w:rsidR="007B4510" w:rsidRPr="00003D6E" w:rsidRDefault="00DE63FD" w:rsidP="007B4510">
      <w:r w:rsidRPr="00003D6E">
        <w:t>N/A</w:t>
      </w:r>
    </w:p>
    <w:p w14:paraId="17C311C7" w14:textId="77777777" w:rsidR="007B4510" w:rsidRPr="00003D6E" w:rsidRDefault="007B4510" w:rsidP="007B4510">
      <w:pPr>
        <w:pStyle w:val="Heading2"/>
        <w:rPr>
          <w:rFonts w:cs="Times New Roman"/>
        </w:rPr>
      </w:pPr>
      <w:r w:rsidRPr="00003D6E">
        <w:rPr>
          <w:rFonts w:cs="Times New Roman"/>
        </w:rPr>
        <w:t>Summary Table of Changes</w:t>
      </w:r>
    </w:p>
    <w:tbl>
      <w:tblPr>
        <w:tblStyle w:val="LightGrid"/>
        <w:tblW w:w="0" w:type="auto"/>
        <w:tblCellMar>
          <w:top w:w="57" w:type="dxa"/>
          <w:bottom w:w="57" w:type="dxa"/>
        </w:tblCellMar>
        <w:tblLook w:val="06A0" w:firstRow="1" w:lastRow="0" w:firstColumn="1" w:lastColumn="0" w:noHBand="1" w:noVBand="1"/>
      </w:tblPr>
      <w:tblGrid>
        <w:gridCol w:w="1384"/>
        <w:gridCol w:w="7858"/>
      </w:tblGrid>
      <w:tr w:rsidR="00003D6E" w:rsidRPr="00003D6E" w14:paraId="1E5094A8" w14:textId="77777777" w:rsidTr="00326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318DC9FF" w14:textId="77777777" w:rsidR="007B4510" w:rsidRPr="00003D6E" w:rsidRDefault="007B4510" w:rsidP="00326FD7">
            <w:pPr>
              <w:rPr>
                <w:rFonts w:cs="Times New Roman"/>
                <w:szCs w:val="24"/>
                <w:lang w:val="en-US"/>
              </w:rPr>
            </w:pPr>
            <w:r w:rsidRPr="00003D6E">
              <w:rPr>
                <w:rFonts w:cs="Times New Roman"/>
                <w:szCs w:val="24"/>
                <w:lang w:val="en-US"/>
              </w:rPr>
              <w:t>Section Changed</w:t>
            </w:r>
          </w:p>
        </w:tc>
        <w:tc>
          <w:tcPr>
            <w:tcW w:w="7858" w:type="dxa"/>
            <w:shd w:val="clear" w:color="auto" w:fill="F2F2F2" w:themeFill="background1" w:themeFillShade="F2"/>
            <w:vAlign w:val="center"/>
          </w:tcPr>
          <w:p w14:paraId="278B1926" w14:textId="77777777" w:rsidR="007B4510" w:rsidRPr="00003D6E" w:rsidRDefault="007B4510" w:rsidP="00326FD7">
            <w:pPr>
              <w:cnfStyle w:val="100000000000" w:firstRow="1" w:lastRow="0" w:firstColumn="0" w:lastColumn="0" w:oddVBand="0" w:evenVBand="0" w:oddHBand="0" w:evenHBand="0" w:firstRowFirstColumn="0" w:firstRowLastColumn="0" w:lastRowFirstColumn="0" w:lastRowLastColumn="0"/>
              <w:rPr>
                <w:rFonts w:cs="Times New Roman"/>
                <w:szCs w:val="24"/>
                <w:lang w:val="en-US"/>
              </w:rPr>
            </w:pPr>
            <w:r w:rsidRPr="00003D6E">
              <w:rPr>
                <w:rFonts w:cs="Times New Roman"/>
                <w:szCs w:val="24"/>
                <w:lang w:val="en-US"/>
              </w:rPr>
              <w:t>Summary of New Information</w:t>
            </w:r>
          </w:p>
        </w:tc>
      </w:tr>
      <w:tr w:rsidR="00003D6E" w:rsidRPr="00003D6E" w14:paraId="7F8E2660" w14:textId="77777777" w:rsidTr="00326FD7">
        <w:tc>
          <w:tcPr>
            <w:cnfStyle w:val="001000000000" w:firstRow="0" w:lastRow="0" w:firstColumn="1" w:lastColumn="0" w:oddVBand="0" w:evenVBand="0" w:oddHBand="0" w:evenHBand="0" w:firstRowFirstColumn="0" w:firstRowLastColumn="0" w:lastRowFirstColumn="0" w:lastRowLastColumn="0"/>
            <w:tcW w:w="1384" w:type="dxa"/>
            <w:vAlign w:val="center"/>
          </w:tcPr>
          <w:p w14:paraId="1463C04F" w14:textId="77777777" w:rsidR="007B4510" w:rsidRPr="00003D6E" w:rsidRDefault="007B4510" w:rsidP="00326FD7">
            <w:pPr>
              <w:rPr>
                <w:rFonts w:cs="Times New Roman"/>
                <w:b w:val="0"/>
                <w:lang w:val="en-US"/>
              </w:rPr>
            </w:pPr>
            <w:r w:rsidRPr="00003D6E">
              <w:rPr>
                <w:rFonts w:cs="Times New Roman"/>
                <w:b w:val="0"/>
                <w:lang w:val="en-US"/>
              </w:rPr>
              <w:t>N/A</w:t>
            </w:r>
          </w:p>
        </w:tc>
        <w:tc>
          <w:tcPr>
            <w:tcW w:w="7858" w:type="dxa"/>
            <w:vAlign w:val="center"/>
          </w:tcPr>
          <w:p w14:paraId="51D550EB" w14:textId="77777777" w:rsidR="007B4510" w:rsidRPr="00003D6E" w:rsidRDefault="007B4510" w:rsidP="00326FD7">
            <w:pPr>
              <w:cnfStyle w:val="000000000000" w:firstRow="0" w:lastRow="0" w:firstColumn="0" w:lastColumn="0" w:oddVBand="0" w:evenVBand="0" w:oddHBand="0" w:evenHBand="0" w:firstRowFirstColumn="0" w:firstRowLastColumn="0" w:lastRowFirstColumn="0" w:lastRowLastColumn="0"/>
              <w:rPr>
                <w:rFonts w:cs="Times New Roman"/>
                <w:lang w:val="en-US"/>
              </w:rPr>
            </w:pPr>
            <w:r w:rsidRPr="00003D6E">
              <w:rPr>
                <w:rFonts w:cs="Times New Roman"/>
                <w:lang w:val="en-US"/>
              </w:rPr>
              <w:t>Initial version</w:t>
            </w:r>
          </w:p>
        </w:tc>
      </w:tr>
    </w:tbl>
    <w:p w14:paraId="4509AB8F" w14:textId="7B927B54" w:rsidR="00DB2539" w:rsidRPr="00003D6E" w:rsidRDefault="00DB2539" w:rsidP="00DD186D"/>
    <w:p w14:paraId="3D923084" w14:textId="72C639D6" w:rsidR="00DD186D" w:rsidRPr="00003D6E" w:rsidRDefault="005C7ECB" w:rsidP="00DD186D">
      <w:pPr>
        <w:rPr>
          <w:b/>
        </w:rPr>
      </w:pPr>
      <w:r w:rsidRPr="00003D6E">
        <w:t>SOTYKTU</w:t>
      </w:r>
      <w:r w:rsidR="00DD186D" w:rsidRPr="00003D6E">
        <w:t xml:space="preserve"> is a trademark of Bristol-Myers Squibb Company.</w:t>
      </w:r>
    </w:p>
    <w:sectPr w:rsidR="00DD186D" w:rsidRPr="00003D6E">
      <w:headerReference w:type="default" r:id="rId18"/>
      <w:footerReference w:type="default" r:id="rId19"/>
      <w:endnotePr>
        <w:numFmt w:val="decimal"/>
      </w:endnotePr>
      <w:pgSz w:w="12240" w:h="15840"/>
      <w:pgMar w:top="1040" w:right="1320" w:bottom="1060" w:left="1320" w:header="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7E8C8" w14:textId="77777777" w:rsidR="00414800" w:rsidRDefault="00414800">
      <w:pPr>
        <w:spacing w:after="0"/>
      </w:pPr>
      <w:r>
        <w:separator/>
      </w:r>
    </w:p>
  </w:endnote>
  <w:endnote w:type="continuationSeparator" w:id="0">
    <w:p w14:paraId="6856765B" w14:textId="77777777" w:rsidR="00414800" w:rsidRDefault="00414800">
      <w:pPr>
        <w:spacing w:after="0"/>
      </w:pPr>
      <w:r>
        <w:continuationSeparator/>
      </w:r>
    </w:p>
  </w:endnote>
  <w:endnote w:type="continuationNotice" w:id="1">
    <w:p w14:paraId="2E0E9187" w14:textId="77777777" w:rsidR="00414800" w:rsidRDefault="004148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70CC7" w14:textId="323AA131" w:rsidR="002C0998" w:rsidRDefault="002D6FF3" w:rsidP="003C5280">
    <w:pPr>
      <w:tabs>
        <w:tab w:val="left" w:pos="1465"/>
      </w:tabs>
      <w:spacing w:after="0" w:line="200" w:lineRule="exact"/>
      <w:rPr>
        <w:sz w:val="20"/>
        <w:szCs w:val="20"/>
      </w:rPr>
    </w:pPr>
    <w:r>
      <w:rPr>
        <w:noProof/>
        <w:lang w:eastAsia="en-AU"/>
      </w:rPr>
      <mc:AlternateContent>
        <mc:Choice Requires="wps">
          <w:drawing>
            <wp:anchor distT="0" distB="0" distL="114300" distR="114300" simplePos="0" relativeHeight="251658241" behindDoc="1" locked="0" layoutInCell="1" allowOverlap="1" wp14:anchorId="5BC20A41" wp14:editId="2B2E8E60">
              <wp:simplePos x="0" y="0"/>
              <wp:positionH relativeFrom="page">
                <wp:posOffset>898497</wp:posOffset>
              </wp:positionH>
              <wp:positionV relativeFrom="page">
                <wp:posOffset>9393665</wp:posOffset>
              </wp:positionV>
              <wp:extent cx="4071068" cy="305435"/>
              <wp:effectExtent l="0" t="0" r="5715"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1068"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9773F" w14:textId="04BCEC7E" w:rsidR="002C0998" w:rsidRPr="00365482" w:rsidRDefault="00704C79" w:rsidP="00365482">
                          <w:pPr>
                            <w:pStyle w:val="C-Footer"/>
                            <w:tabs>
                              <w:tab w:val="center" w:pos="4680"/>
                              <w:tab w:val="right" w:pos="9360"/>
                            </w:tabs>
                            <w:rPr>
                              <w:sz w:val="18"/>
                              <w:szCs w:val="18"/>
                            </w:rPr>
                          </w:pPr>
                          <w:r>
                            <w:rPr>
                              <w:sz w:val="18"/>
                              <w:szCs w:val="18"/>
                            </w:rPr>
                            <w:t>AU_PI_</w:t>
                          </w:r>
                          <w:r w:rsidR="005C7ECB">
                            <w:rPr>
                              <w:sz w:val="18"/>
                              <w:szCs w:val="18"/>
                            </w:rPr>
                            <w:t>SOTYKTU</w:t>
                          </w:r>
                          <w:r>
                            <w:rPr>
                              <w:sz w:val="18"/>
                              <w:szCs w:val="18"/>
                            </w:rPr>
                            <w:t>_</w:t>
                          </w:r>
                          <w:r w:rsidR="00930919">
                            <w:rPr>
                              <w:sz w:val="18"/>
                              <w:szCs w:val="18"/>
                            </w:rPr>
                            <w:t>V</w:t>
                          </w:r>
                          <w:r w:rsidR="004E45DB">
                            <w:rPr>
                              <w:sz w:val="18"/>
                              <w:szCs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20A41" id="_x0000_t202" coordsize="21600,21600" o:spt="202" path="m,l,21600r21600,l21600,xe">
              <v:stroke joinstyle="miter"/>
              <v:path gradientshapeok="t" o:connecttype="rect"/>
            </v:shapetype>
            <v:shape id="Text Box 1" o:spid="_x0000_s1033" type="#_x0000_t202" style="position:absolute;left:0;text-align:left;margin-left:70.75pt;margin-top:739.65pt;width:320.55pt;height:24.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" filled="f" stroked="f">
              <v:textbox inset="0,0,0,0">
                <w:txbxContent>
                  <w:p w14:paraId="4F99773F" w14:textId="04BCEC7E" w:rsidR="002C0998" w:rsidRPr="00365482" w:rsidRDefault="00704C79" w:rsidP="00365482">
                    <w:pPr>
                      <w:pStyle w:val="C-Footer"/>
                      <w:tabs>
                        <w:tab w:val="center" w:pos="4680"/>
                        <w:tab w:val="right" w:pos="9360"/>
                      </w:tabs>
                      <w:rPr>
                        <w:sz w:val="18"/>
                        <w:szCs w:val="18"/>
                      </w:rPr>
                    </w:pPr>
                    <w:r>
                      <w:rPr>
                        <w:sz w:val="18"/>
                        <w:szCs w:val="18"/>
                      </w:rPr>
                      <w:t>AU_PI_</w:t>
                    </w:r>
                    <w:r w:rsidR="005C7ECB">
                      <w:rPr>
                        <w:sz w:val="18"/>
                        <w:szCs w:val="18"/>
                      </w:rPr>
                      <w:t>SOTYKTU</w:t>
                    </w:r>
                    <w:r>
                      <w:rPr>
                        <w:sz w:val="18"/>
                        <w:szCs w:val="18"/>
                      </w:rPr>
                      <w:t>_</w:t>
                    </w:r>
                    <w:r w:rsidR="00930919">
                      <w:rPr>
                        <w:sz w:val="18"/>
                        <w:szCs w:val="18"/>
                      </w:rPr>
                      <w:t>V</w:t>
                    </w:r>
                    <w:r w:rsidR="004E45DB">
                      <w:rPr>
                        <w:sz w:val="18"/>
                        <w:szCs w:val="18"/>
                      </w:rPr>
                      <w:t>1.0</w:t>
                    </w:r>
                  </w:p>
                </w:txbxContent>
              </v:textbox>
              <w10:wrap anchorx="page" anchory="page"/>
            </v:shape>
          </w:pict>
        </mc:Fallback>
      </mc:AlternateContent>
    </w:r>
    <w:r w:rsidR="002C0998">
      <w:rPr>
        <w:noProof/>
        <w:lang w:eastAsia="en-AU"/>
      </w:rPr>
      <mc:AlternateContent>
        <mc:Choice Requires="wps">
          <w:drawing>
            <wp:anchor distT="0" distB="0" distL="114300" distR="114300" simplePos="0" relativeHeight="251658240" behindDoc="1" locked="0" layoutInCell="1" allowOverlap="1" wp14:anchorId="077983CD" wp14:editId="65168823">
              <wp:simplePos x="0" y="0"/>
              <wp:positionH relativeFrom="page">
                <wp:posOffset>6680200</wp:posOffset>
              </wp:positionH>
              <wp:positionV relativeFrom="page">
                <wp:posOffset>9371330</wp:posOffset>
              </wp:positionV>
              <wp:extent cx="203200" cy="177800"/>
              <wp:effectExtent l="3175" t="0" r="317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03957" w14:textId="15FF587E" w:rsidR="002C0998" w:rsidRDefault="002C0998">
                          <w:pPr>
                            <w:spacing w:after="0" w:line="265" w:lineRule="exact"/>
                            <w:ind w:left="40" w:right="-20"/>
                            <w:rPr>
                              <w:rFonts w:eastAsia="Times New Roman" w:cs="Times New Roman"/>
                              <w:sz w:val="24"/>
                              <w:szCs w:val="24"/>
                            </w:rPr>
                          </w:pPr>
                          <w:r>
                            <w:fldChar w:fldCharType="begin"/>
                          </w:r>
                          <w:r>
                            <w:rPr>
                              <w:rFonts w:eastAsia="Times New Roman" w:cs="Times New Roman"/>
                              <w:sz w:val="24"/>
                              <w:szCs w:val="24"/>
                            </w:rPr>
                            <w:instrText xml:space="preserve"> PAGE </w:instrText>
                          </w:r>
                          <w:r>
                            <w:fldChar w:fldCharType="separate"/>
                          </w:r>
                          <w:r w:rsidR="00B8757F">
                            <w:rPr>
                              <w:rFonts w:eastAsia="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983CD" id="Text Box 2" o:spid="_x0000_s1034" type="#_x0000_t202" style="position:absolute;left:0;text-align:left;margin-left:526pt;margin-top:737.9pt;width:16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" filled="f" stroked="f">
              <v:textbox inset="0,0,0,0">
                <w:txbxContent>
                  <w:p w14:paraId="3E103957" w14:textId="15FF587E" w:rsidR="002C0998" w:rsidRDefault="002C0998">
                    <w:pPr>
                      <w:spacing w:after="0" w:line="265" w:lineRule="exact"/>
                      <w:ind w:left="40" w:right="-20"/>
                      <w:rPr>
                        <w:rFonts w:eastAsia="Times New Roman" w:cs="Times New Roman"/>
                        <w:sz w:val="24"/>
                        <w:szCs w:val="24"/>
                      </w:rPr>
                    </w:pPr>
                    <w:r>
                      <w:fldChar w:fldCharType="begin"/>
                    </w:r>
                    <w:r>
                      <w:rPr>
                        <w:rFonts w:eastAsia="Times New Roman" w:cs="Times New Roman"/>
                        <w:sz w:val="24"/>
                        <w:szCs w:val="24"/>
                      </w:rPr>
                      <w:instrText xml:space="preserve"> PAGE </w:instrText>
                    </w:r>
                    <w:r>
                      <w:fldChar w:fldCharType="separate"/>
                    </w:r>
                    <w:r w:rsidR="00B8757F">
                      <w:rPr>
                        <w:rFonts w:eastAsia="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57688" w14:textId="77777777" w:rsidR="00414800" w:rsidRDefault="00414800">
      <w:pPr>
        <w:spacing w:after="0"/>
      </w:pPr>
      <w:r>
        <w:separator/>
      </w:r>
    </w:p>
  </w:footnote>
  <w:footnote w:type="continuationSeparator" w:id="0">
    <w:p w14:paraId="4536A66A" w14:textId="77777777" w:rsidR="00414800" w:rsidRDefault="00414800">
      <w:pPr>
        <w:spacing w:after="0"/>
      </w:pPr>
      <w:r>
        <w:continuationSeparator/>
      </w:r>
    </w:p>
  </w:footnote>
  <w:footnote w:type="continuationNotice" w:id="1">
    <w:p w14:paraId="43DFFEE2" w14:textId="77777777" w:rsidR="00414800" w:rsidRDefault="004148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0AF3" w14:textId="77777777" w:rsidR="00CC2506" w:rsidRDefault="00CC2506">
    <w:pPr>
      <w:pStyle w:val="Header"/>
    </w:pPr>
  </w:p>
  <w:tbl>
    <w:tblPr>
      <w:tblStyle w:val="TableGrid"/>
      <w:tblW w:w="0" w:type="auto"/>
      <w:shd w:val="clear" w:color="auto" w:fill="E4F2E0"/>
      <w:tblLook w:val="04A0" w:firstRow="1" w:lastRow="0" w:firstColumn="1" w:lastColumn="0" w:noHBand="0" w:noVBand="1"/>
    </w:tblPr>
    <w:tblGrid>
      <w:gridCol w:w="9039"/>
    </w:tblGrid>
    <w:tr w:rsidR="00D75D8A" w:rsidRPr="000B2145" w14:paraId="56AF8B82" w14:textId="77777777" w:rsidTr="005307F2">
      <w:trPr>
        <w:trHeight w:val="1012"/>
      </w:trPr>
      <w:tc>
        <w:tcPr>
          <w:tcW w:w="9039" w:type="dxa"/>
          <w:shd w:val="clear" w:color="auto" w:fill="E4F2E0"/>
        </w:tcPr>
        <w:p w14:paraId="0072FF0F" w14:textId="5C4FB71E" w:rsidR="00D75D8A" w:rsidRPr="000E4791" w:rsidRDefault="00D75D8A" w:rsidP="00B06FD1">
          <w:pPr>
            <w:pStyle w:val="Footer"/>
            <w:spacing w:before="40"/>
            <w:jc w:val="left"/>
            <w:rPr>
              <w:b/>
              <w:sz w:val="18"/>
              <w:szCs w:val="18"/>
            </w:rPr>
          </w:pPr>
          <w:bookmarkStart w:id="54" w:name="_Hlk109054010"/>
          <w:r w:rsidRPr="00EE2A41">
            <w:rPr>
              <w:b/>
              <w:sz w:val="18"/>
              <w:szCs w:val="18"/>
            </w:rPr>
            <w:t xml:space="preserve">Attachment </w:t>
          </w:r>
          <w:proofErr w:type="spellStart"/>
          <w:r w:rsidRPr="00482FFF">
            <w:rPr>
              <w:b/>
              <w:sz w:val="18"/>
              <w:szCs w:val="18"/>
            </w:rPr>
            <w:t>AusPAR</w:t>
          </w:r>
          <w:proofErr w:type="spellEnd"/>
          <w:r w:rsidRPr="00482FFF">
            <w:rPr>
              <w:b/>
              <w:sz w:val="18"/>
              <w:szCs w:val="18"/>
            </w:rPr>
            <w:t xml:space="preserve"> - </w:t>
          </w:r>
          <w:proofErr w:type="spellStart"/>
          <w:r w:rsidR="001B22DD" w:rsidRPr="001B22DD">
            <w:rPr>
              <w:b/>
              <w:sz w:val="18"/>
              <w:szCs w:val="18"/>
            </w:rPr>
            <w:t>Sotyktu</w:t>
          </w:r>
          <w:proofErr w:type="spellEnd"/>
          <w:r w:rsidRPr="00482FFF">
            <w:rPr>
              <w:b/>
              <w:sz w:val="18"/>
              <w:szCs w:val="18"/>
            </w:rPr>
            <w:t xml:space="preserve"> - </w:t>
          </w:r>
          <w:proofErr w:type="spellStart"/>
          <w:r w:rsidR="001B22DD" w:rsidRPr="001B22DD">
            <w:rPr>
              <w:b/>
              <w:sz w:val="18"/>
              <w:szCs w:val="18"/>
            </w:rPr>
            <w:t>Deucravacitinib</w:t>
          </w:r>
          <w:proofErr w:type="spellEnd"/>
          <w:r w:rsidRPr="00482FFF">
            <w:rPr>
              <w:b/>
              <w:sz w:val="18"/>
              <w:szCs w:val="18"/>
            </w:rPr>
            <w:t xml:space="preserve"> - </w:t>
          </w:r>
          <w:r w:rsidR="00B60EAB" w:rsidRPr="00B60EAB">
            <w:rPr>
              <w:b/>
              <w:sz w:val="18"/>
              <w:szCs w:val="18"/>
            </w:rPr>
            <w:t>Bristol-Myers Squibb Australia Pty Ltd</w:t>
          </w:r>
          <w:r w:rsidR="00B60EAB">
            <w:rPr>
              <w:b/>
              <w:sz w:val="18"/>
              <w:szCs w:val="18"/>
            </w:rPr>
            <w:t xml:space="preserve"> </w:t>
          </w:r>
          <w:r w:rsidRPr="00482FFF">
            <w:rPr>
              <w:b/>
              <w:sz w:val="18"/>
              <w:szCs w:val="18"/>
            </w:rPr>
            <w:t xml:space="preserve">- </w:t>
          </w:r>
          <w:r w:rsidR="00B60EAB" w:rsidRPr="00B60EAB">
            <w:rPr>
              <w:b/>
              <w:sz w:val="18"/>
              <w:szCs w:val="18"/>
            </w:rPr>
            <w:t>PM-2021-04758-1-1</w:t>
          </w:r>
          <w:r w:rsidR="001C1FC3">
            <w:rPr>
              <w:b/>
              <w:sz w:val="18"/>
              <w:szCs w:val="18"/>
            </w:rPr>
            <w:t xml:space="preserve"> - </w:t>
          </w:r>
          <w:r w:rsidRPr="00482FFF">
            <w:rPr>
              <w:b/>
              <w:sz w:val="18"/>
              <w:szCs w:val="18"/>
            </w:rPr>
            <w:t xml:space="preserve">FINAL </w:t>
          </w:r>
          <w:r w:rsidR="00F965B4">
            <w:rPr>
              <w:b/>
              <w:sz w:val="18"/>
              <w:szCs w:val="18"/>
            </w:rPr>
            <w:t>30</w:t>
          </w:r>
          <w:r w:rsidRPr="00482FFF">
            <w:rPr>
              <w:b/>
              <w:sz w:val="18"/>
              <w:szCs w:val="18"/>
            </w:rPr>
            <w:t xml:space="preserve"> August 2023</w:t>
          </w:r>
          <w:r>
            <w:rPr>
              <w:b/>
              <w:sz w:val="18"/>
              <w:szCs w:val="18"/>
            </w:rPr>
            <w:t>.</w:t>
          </w:r>
          <w:r w:rsidRPr="00EE2A41">
            <w:rPr>
              <w:b/>
              <w:sz w:val="18"/>
              <w:szCs w:val="18"/>
            </w:rPr>
            <w:t xml:space="preserve"> This is the Product Information that was approved with the submission described in this </w:t>
          </w:r>
          <w:proofErr w:type="spellStart"/>
          <w:r w:rsidRPr="00EE2A41">
            <w:rPr>
              <w:b/>
              <w:sz w:val="18"/>
              <w:szCs w:val="18"/>
            </w:rPr>
            <w:t>AusPAR</w:t>
          </w:r>
          <w:proofErr w:type="spellEnd"/>
          <w:r w:rsidRPr="00EE2A41">
            <w:rPr>
              <w:b/>
              <w:sz w:val="18"/>
              <w:szCs w:val="18"/>
            </w:rPr>
            <w:t>.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54"/>
  </w:tbl>
  <w:p w14:paraId="244EDCA2" w14:textId="77777777" w:rsidR="00D75D8A" w:rsidRDefault="00D75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AA7"/>
    <w:multiLevelType w:val="hybridMultilevel"/>
    <w:tmpl w:val="A9BE7986"/>
    <w:name w:val="C-Number List Template"/>
    <w:lvl w:ilvl="0" w:tplc="17D0CD0E">
      <w:start w:val="1"/>
      <w:numFmt w:val="decimal"/>
      <w:lvlText w:val="%1."/>
      <w:lvlJc w:val="left"/>
      <w:pPr>
        <w:tabs>
          <w:tab w:val="num" w:pos="720"/>
        </w:tabs>
        <w:ind w:left="720" w:hanging="360"/>
      </w:pPr>
      <w:rPr>
        <w:rFonts w:hint="default"/>
        <w:b w:val="0"/>
        <w:i w:val="0"/>
        <w:caps w:val="0"/>
        <w:strike w:val="0"/>
        <w:dstrike w:val="0"/>
        <w:outline w:val="0"/>
        <w:shadow w:val="0"/>
        <w:emboss w:val="0"/>
        <w:imprint w:val="0"/>
        <w:vanish w:val="0"/>
        <w:color w:val="auto"/>
        <w:sz w:val="24"/>
        <w:u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2" w15:restartNumberingAfterBreak="0">
    <w:nsid w:val="0DBD3D4B"/>
    <w:multiLevelType w:val="hybridMultilevel"/>
    <w:tmpl w:val="AAC004AE"/>
    <w:lvl w:ilvl="0" w:tplc="064002EA">
      <w:start w:val="1"/>
      <w:numFmt w:val="upperLetter"/>
      <w:pStyle w:val="C-Alphabe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858FB"/>
    <w:multiLevelType w:val="hybridMultilevel"/>
    <w:tmpl w:val="BC663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1E017A"/>
    <w:multiLevelType w:val="hybridMultilevel"/>
    <w:tmpl w:val="A1D4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6" w15:restartNumberingAfterBreak="0">
    <w:nsid w:val="19591682"/>
    <w:multiLevelType w:val="multilevel"/>
    <w:tmpl w:val="507ACA76"/>
    <w:styleLink w:val="BMSBulletMulti"/>
    <w:lvl w:ilvl="0">
      <w:start w:val="1"/>
      <w:numFmt w:val="bullet"/>
      <w:lvlRestart w:val="0"/>
      <w:pStyle w:val="BMSBullets"/>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o"/>
      <w:lvlJc w:val="left"/>
      <w:pPr>
        <w:tabs>
          <w:tab w:val="num" w:pos="1440"/>
        </w:tabs>
        <w:ind w:left="1440" w:hanging="360"/>
      </w:pPr>
      <w:rPr>
        <w:rFonts w:ascii="Courier New" w:hAnsi="Courier New"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7" w15:restartNumberingAfterBreak="0">
    <w:nsid w:val="21C66B21"/>
    <w:multiLevelType w:val="hybridMultilevel"/>
    <w:tmpl w:val="511E4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D905CD"/>
    <w:multiLevelType w:val="hybridMultilevel"/>
    <w:tmpl w:val="3432F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97758C"/>
    <w:multiLevelType w:val="hybridMultilevel"/>
    <w:tmpl w:val="016AAAE6"/>
    <w:lvl w:ilvl="0" w:tplc="D93EBD12">
      <w:start w:val="1"/>
      <w:numFmt w:val="decimal"/>
      <w:pStyle w:val="C-AppendixNumbered"/>
      <w:lvlText w:val="Appendix %1."/>
      <w:lvlJc w:val="left"/>
      <w:pPr>
        <w:ind w:left="135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2F463B31"/>
    <w:multiLevelType w:val="hybridMultilevel"/>
    <w:tmpl w:val="FF8EB34C"/>
    <w:lvl w:ilvl="0" w:tplc="96106D14">
      <w:start w:val="1"/>
      <w:numFmt w:val="decimal"/>
      <w:lvlText w:val="%1."/>
      <w:lvlJc w:val="left"/>
      <w:pPr>
        <w:ind w:left="900" w:hanging="5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1119AE"/>
    <w:multiLevelType w:val="hybridMultilevel"/>
    <w:tmpl w:val="C5A01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860737"/>
    <w:multiLevelType w:val="hybridMultilevel"/>
    <w:tmpl w:val="DE527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4" w15:restartNumberingAfterBreak="0">
    <w:nsid w:val="40A37A97"/>
    <w:multiLevelType w:val="hybridMultilevel"/>
    <w:tmpl w:val="77B6E4AE"/>
    <w:lvl w:ilvl="0" w:tplc="42784AB4">
      <w:start w:val="1"/>
      <w:numFmt w:val="bullet"/>
      <w:pStyle w:val="C-PLR-BulletIndented"/>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A2329"/>
    <w:multiLevelType w:val="hybridMultilevel"/>
    <w:tmpl w:val="5DA4F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E94FCB"/>
    <w:multiLevelType w:val="hybridMultilevel"/>
    <w:tmpl w:val="BA421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18" w15:restartNumberingAfterBreak="0">
    <w:nsid w:val="49FD3E76"/>
    <w:multiLevelType w:val="hybridMultilevel"/>
    <w:tmpl w:val="D02CE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2A19D7"/>
    <w:multiLevelType w:val="hybridMultilevel"/>
    <w:tmpl w:val="F18A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1" w15:restartNumberingAfterBreak="0">
    <w:nsid w:val="50DC5144"/>
    <w:multiLevelType w:val="hybridMultilevel"/>
    <w:tmpl w:val="C1DE1710"/>
    <w:lvl w:ilvl="0" w:tplc="DBB686D2">
      <w:start w:val="1"/>
      <w:numFmt w:val="decimal"/>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3" w15:restartNumberingAfterBreak="0">
    <w:nsid w:val="5289187B"/>
    <w:multiLevelType w:val="hybridMultilevel"/>
    <w:tmpl w:val="A55675D8"/>
    <w:lvl w:ilvl="0" w:tplc="BDC494C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5" w15:restartNumberingAfterBreak="0">
    <w:nsid w:val="54F74453"/>
    <w:multiLevelType w:val="hybridMultilevel"/>
    <w:tmpl w:val="DC702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FE6191"/>
    <w:multiLevelType w:val="hybridMultilevel"/>
    <w:tmpl w:val="989AC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8C44BB"/>
    <w:multiLevelType w:val="hybridMultilevel"/>
    <w:tmpl w:val="0422F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195017"/>
    <w:multiLevelType w:val="hybridMultilevel"/>
    <w:tmpl w:val="D31C6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0" w15:restartNumberingAfterBreak="0">
    <w:nsid w:val="69E42151"/>
    <w:multiLevelType w:val="hybridMultilevel"/>
    <w:tmpl w:val="935CB0C6"/>
    <w:lvl w:ilvl="0" w:tplc="62D29A18">
      <w:start w:val="1"/>
      <w:numFmt w:val="bullet"/>
      <w:pStyle w:val="C-PL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DB75DA"/>
    <w:multiLevelType w:val="hybridMultilevel"/>
    <w:tmpl w:val="15023650"/>
    <w:lvl w:ilvl="0" w:tplc="8856ED3E">
      <w:start w:val="1"/>
      <w:numFmt w:val="decimal"/>
      <w:pStyle w:val="C-PLR-NumberedList"/>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75BE4035"/>
    <w:multiLevelType w:val="hybridMultilevel"/>
    <w:tmpl w:val="9D14A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F75C57"/>
    <w:multiLevelType w:val="hybridMultilevel"/>
    <w:tmpl w:val="AC246424"/>
    <w:lvl w:ilvl="0" w:tplc="C5001C28">
      <w:start w:val="1"/>
      <w:numFmt w:val="lowerLetter"/>
      <w:pStyle w:val="C-PLR-AlphabeticList"/>
      <w:lvlText w:val="%1."/>
      <w:lvlJc w:val="left"/>
      <w:pPr>
        <w:tabs>
          <w:tab w:val="num" w:pos="1080"/>
        </w:tabs>
        <w:ind w:left="1080" w:hanging="360"/>
      </w:pPr>
      <w:rPr>
        <w:rFonts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18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18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180"/>
      </w:pPr>
      <w:rPr>
        <w:rFonts w:ascii="Wingdings" w:hAnsi="Wingdings" w:hint="default"/>
      </w:rPr>
    </w:lvl>
  </w:abstractNum>
  <w:abstractNum w:abstractNumId="35" w15:restartNumberingAfterBreak="0">
    <w:nsid w:val="7F6645BB"/>
    <w:multiLevelType w:val="hybridMultilevel"/>
    <w:tmpl w:val="CD5CCCD2"/>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16cid:durableId="1144085538">
    <w:abstractNumId w:val="13"/>
  </w:num>
  <w:num w:numId="2" w16cid:durableId="344982479">
    <w:abstractNumId w:val="32"/>
  </w:num>
  <w:num w:numId="3" w16cid:durableId="1247424825">
    <w:abstractNumId w:val="30"/>
  </w:num>
  <w:num w:numId="4" w16cid:durableId="833380472">
    <w:abstractNumId w:val="14"/>
  </w:num>
  <w:num w:numId="5" w16cid:durableId="1432965700">
    <w:abstractNumId w:val="22"/>
  </w:num>
  <w:num w:numId="6" w16cid:durableId="1680741899">
    <w:abstractNumId w:val="34"/>
  </w:num>
  <w:num w:numId="7" w16cid:durableId="1231305636">
    <w:abstractNumId w:val="31"/>
  </w:num>
  <w:num w:numId="8" w16cid:durableId="856310975">
    <w:abstractNumId w:val="9"/>
  </w:num>
  <w:num w:numId="9" w16cid:durableId="1462966358">
    <w:abstractNumId w:val="20"/>
  </w:num>
  <w:num w:numId="10" w16cid:durableId="344480904">
    <w:abstractNumId w:val="24"/>
  </w:num>
  <w:num w:numId="11" w16cid:durableId="870799215">
    <w:abstractNumId w:val="17"/>
  </w:num>
  <w:num w:numId="12" w16cid:durableId="1038314905">
    <w:abstractNumId w:val="2"/>
  </w:num>
  <w:num w:numId="13" w16cid:durableId="627442033">
    <w:abstractNumId w:val="29"/>
  </w:num>
  <w:num w:numId="14" w16cid:durableId="706106527">
    <w:abstractNumId w:val="35"/>
  </w:num>
  <w:num w:numId="15" w16cid:durableId="218789101">
    <w:abstractNumId w:val="28"/>
  </w:num>
  <w:num w:numId="16" w16cid:durableId="1668288026">
    <w:abstractNumId w:val="26"/>
  </w:num>
  <w:num w:numId="17" w16cid:durableId="1548252220">
    <w:abstractNumId w:val="33"/>
  </w:num>
  <w:num w:numId="18" w16cid:durableId="907377646">
    <w:abstractNumId w:val="21"/>
  </w:num>
  <w:num w:numId="19" w16cid:durableId="1393775705">
    <w:abstractNumId w:val="10"/>
  </w:num>
  <w:num w:numId="20" w16cid:durableId="894462531">
    <w:abstractNumId w:val="16"/>
  </w:num>
  <w:num w:numId="21" w16cid:durableId="1578981326">
    <w:abstractNumId w:val="8"/>
  </w:num>
  <w:num w:numId="22" w16cid:durableId="1872642514">
    <w:abstractNumId w:val="18"/>
  </w:num>
  <w:num w:numId="23" w16cid:durableId="90049573">
    <w:abstractNumId w:val="4"/>
  </w:num>
  <w:num w:numId="24" w16cid:durableId="1650279682">
    <w:abstractNumId w:val="6"/>
  </w:num>
  <w:num w:numId="25" w16cid:durableId="169878205">
    <w:abstractNumId w:val="12"/>
  </w:num>
  <w:num w:numId="26" w16cid:durableId="1619798434">
    <w:abstractNumId w:val="7"/>
  </w:num>
  <w:num w:numId="27" w16cid:durableId="1556965637">
    <w:abstractNumId w:val="27"/>
  </w:num>
  <w:num w:numId="28" w16cid:durableId="1025979673">
    <w:abstractNumId w:val="11"/>
  </w:num>
  <w:num w:numId="29" w16cid:durableId="1337153286">
    <w:abstractNumId w:val="25"/>
  </w:num>
  <w:num w:numId="30" w16cid:durableId="1852378210">
    <w:abstractNumId w:val="3"/>
  </w:num>
  <w:num w:numId="31" w16cid:durableId="1128670803">
    <w:abstractNumId w:val="15"/>
  </w:num>
  <w:num w:numId="32" w16cid:durableId="418405469">
    <w:abstractNumId w:val="23"/>
  </w:num>
  <w:num w:numId="33" w16cid:durableId="807091957">
    <w:abstractNumId w:val="0"/>
  </w:num>
  <w:num w:numId="34" w16cid:durableId="476797760">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MSCT_UpdatedStyles" w:val="Y"/>
  </w:docVars>
  <w:rsids>
    <w:rsidRoot w:val="00C1685F"/>
    <w:rsid w:val="000003BE"/>
    <w:rsid w:val="000005F4"/>
    <w:rsid w:val="00000E6D"/>
    <w:rsid w:val="00002334"/>
    <w:rsid w:val="00003D6E"/>
    <w:rsid w:val="000063B3"/>
    <w:rsid w:val="000063D9"/>
    <w:rsid w:val="00006DA4"/>
    <w:rsid w:val="00007419"/>
    <w:rsid w:val="00011230"/>
    <w:rsid w:val="000121DF"/>
    <w:rsid w:val="00013403"/>
    <w:rsid w:val="00013880"/>
    <w:rsid w:val="000146AB"/>
    <w:rsid w:val="00015BF5"/>
    <w:rsid w:val="00015C3A"/>
    <w:rsid w:val="00016084"/>
    <w:rsid w:val="0001614E"/>
    <w:rsid w:val="00020928"/>
    <w:rsid w:val="00021694"/>
    <w:rsid w:val="00022206"/>
    <w:rsid w:val="00022B2C"/>
    <w:rsid w:val="00023555"/>
    <w:rsid w:val="00023D1B"/>
    <w:rsid w:val="00024B06"/>
    <w:rsid w:val="00026494"/>
    <w:rsid w:val="00030625"/>
    <w:rsid w:val="000306BF"/>
    <w:rsid w:val="00031036"/>
    <w:rsid w:val="000311E3"/>
    <w:rsid w:val="00031A11"/>
    <w:rsid w:val="000331C8"/>
    <w:rsid w:val="00033476"/>
    <w:rsid w:val="000342D1"/>
    <w:rsid w:val="0003489D"/>
    <w:rsid w:val="00034C50"/>
    <w:rsid w:val="00035715"/>
    <w:rsid w:val="000362C9"/>
    <w:rsid w:val="000365A6"/>
    <w:rsid w:val="00037001"/>
    <w:rsid w:val="00040C28"/>
    <w:rsid w:val="00040DE7"/>
    <w:rsid w:val="0004145E"/>
    <w:rsid w:val="00041B33"/>
    <w:rsid w:val="00041E92"/>
    <w:rsid w:val="000426EA"/>
    <w:rsid w:val="00042FC9"/>
    <w:rsid w:val="00043116"/>
    <w:rsid w:val="000448D9"/>
    <w:rsid w:val="00044C66"/>
    <w:rsid w:val="00050D9D"/>
    <w:rsid w:val="00051651"/>
    <w:rsid w:val="00052300"/>
    <w:rsid w:val="000529CF"/>
    <w:rsid w:val="00052A49"/>
    <w:rsid w:val="00052ACC"/>
    <w:rsid w:val="00053191"/>
    <w:rsid w:val="00053BAF"/>
    <w:rsid w:val="000555CA"/>
    <w:rsid w:val="000565D9"/>
    <w:rsid w:val="000572A5"/>
    <w:rsid w:val="00060994"/>
    <w:rsid w:val="00061D5A"/>
    <w:rsid w:val="00061E80"/>
    <w:rsid w:val="00062063"/>
    <w:rsid w:val="0006351A"/>
    <w:rsid w:val="000635C7"/>
    <w:rsid w:val="00066045"/>
    <w:rsid w:val="00066616"/>
    <w:rsid w:val="00071EB4"/>
    <w:rsid w:val="00072C40"/>
    <w:rsid w:val="000736A2"/>
    <w:rsid w:val="00073F69"/>
    <w:rsid w:val="00074020"/>
    <w:rsid w:val="000801F2"/>
    <w:rsid w:val="0008049A"/>
    <w:rsid w:val="00080557"/>
    <w:rsid w:val="00080598"/>
    <w:rsid w:val="00083462"/>
    <w:rsid w:val="000834BB"/>
    <w:rsid w:val="000849D2"/>
    <w:rsid w:val="00084B7E"/>
    <w:rsid w:val="000854BA"/>
    <w:rsid w:val="00087C23"/>
    <w:rsid w:val="0009264D"/>
    <w:rsid w:val="0009350A"/>
    <w:rsid w:val="00094914"/>
    <w:rsid w:val="00095117"/>
    <w:rsid w:val="000954D5"/>
    <w:rsid w:val="000A1847"/>
    <w:rsid w:val="000A3B7A"/>
    <w:rsid w:val="000A3C62"/>
    <w:rsid w:val="000A4AD8"/>
    <w:rsid w:val="000A50A0"/>
    <w:rsid w:val="000A5D41"/>
    <w:rsid w:val="000A79DD"/>
    <w:rsid w:val="000B08AC"/>
    <w:rsid w:val="000B2864"/>
    <w:rsid w:val="000B2D7B"/>
    <w:rsid w:val="000B4EA7"/>
    <w:rsid w:val="000B52D9"/>
    <w:rsid w:val="000B5984"/>
    <w:rsid w:val="000B66F2"/>
    <w:rsid w:val="000C06B4"/>
    <w:rsid w:val="000C08A3"/>
    <w:rsid w:val="000C1179"/>
    <w:rsid w:val="000C119F"/>
    <w:rsid w:val="000C1ACE"/>
    <w:rsid w:val="000C22AB"/>
    <w:rsid w:val="000C2EBE"/>
    <w:rsid w:val="000C3010"/>
    <w:rsid w:val="000C34EF"/>
    <w:rsid w:val="000C37B2"/>
    <w:rsid w:val="000C4A2A"/>
    <w:rsid w:val="000C628C"/>
    <w:rsid w:val="000C6778"/>
    <w:rsid w:val="000C6E32"/>
    <w:rsid w:val="000C6E6E"/>
    <w:rsid w:val="000D02BC"/>
    <w:rsid w:val="000D11C9"/>
    <w:rsid w:val="000D3F5C"/>
    <w:rsid w:val="000D4E8E"/>
    <w:rsid w:val="000D6D7D"/>
    <w:rsid w:val="000E08D4"/>
    <w:rsid w:val="000E1160"/>
    <w:rsid w:val="000E1C4C"/>
    <w:rsid w:val="000E4D9D"/>
    <w:rsid w:val="000E55F9"/>
    <w:rsid w:val="000E5F01"/>
    <w:rsid w:val="000E5F57"/>
    <w:rsid w:val="000E61E5"/>
    <w:rsid w:val="000F0860"/>
    <w:rsid w:val="000F1919"/>
    <w:rsid w:val="000F1C3D"/>
    <w:rsid w:val="000F2A8E"/>
    <w:rsid w:val="000F3274"/>
    <w:rsid w:val="000F4CAB"/>
    <w:rsid w:val="000F4F42"/>
    <w:rsid w:val="000F50D2"/>
    <w:rsid w:val="000F5504"/>
    <w:rsid w:val="001000F9"/>
    <w:rsid w:val="00100B02"/>
    <w:rsid w:val="00102301"/>
    <w:rsid w:val="00102591"/>
    <w:rsid w:val="00102701"/>
    <w:rsid w:val="00102DC7"/>
    <w:rsid w:val="00105A28"/>
    <w:rsid w:val="001074A1"/>
    <w:rsid w:val="00114973"/>
    <w:rsid w:val="001235A7"/>
    <w:rsid w:val="0012375A"/>
    <w:rsid w:val="001238AC"/>
    <w:rsid w:val="00123EF3"/>
    <w:rsid w:val="0012642C"/>
    <w:rsid w:val="00130EE6"/>
    <w:rsid w:val="001313B5"/>
    <w:rsid w:val="0013144F"/>
    <w:rsid w:val="00131761"/>
    <w:rsid w:val="00133ACF"/>
    <w:rsid w:val="001346DB"/>
    <w:rsid w:val="001352FB"/>
    <w:rsid w:val="00135D6C"/>
    <w:rsid w:val="001361DF"/>
    <w:rsid w:val="0013623D"/>
    <w:rsid w:val="00136BC6"/>
    <w:rsid w:val="00137D02"/>
    <w:rsid w:val="00140E36"/>
    <w:rsid w:val="00141778"/>
    <w:rsid w:val="0014269F"/>
    <w:rsid w:val="001426F0"/>
    <w:rsid w:val="00143C85"/>
    <w:rsid w:val="0014576B"/>
    <w:rsid w:val="00145887"/>
    <w:rsid w:val="001470EA"/>
    <w:rsid w:val="00147E5B"/>
    <w:rsid w:val="001509D9"/>
    <w:rsid w:val="001552F9"/>
    <w:rsid w:val="001553BD"/>
    <w:rsid w:val="0015754E"/>
    <w:rsid w:val="0016031A"/>
    <w:rsid w:val="00160BEB"/>
    <w:rsid w:val="00160F55"/>
    <w:rsid w:val="00161799"/>
    <w:rsid w:val="00161D31"/>
    <w:rsid w:val="00161E3E"/>
    <w:rsid w:val="00163176"/>
    <w:rsid w:val="0016358C"/>
    <w:rsid w:val="00163FE1"/>
    <w:rsid w:val="001649C4"/>
    <w:rsid w:val="001670F8"/>
    <w:rsid w:val="00167C38"/>
    <w:rsid w:val="001708F4"/>
    <w:rsid w:val="001723D6"/>
    <w:rsid w:val="0017323D"/>
    <w:rsid w:val="00173347"/>
    <w:rsid w:val="00173553"/>
    <w:rsid w:val="00173B51"/>
    <w:rsid w:val="0017508A"/>
    <w:rsid w:val="00176C34"/>
    <w:rsid w:val="00177AA9"/>
    <w:rsid w:val="00177B35"/>
    <w:rsid w:val="00177CB0"/>
    <w:rsid w:val="001801FE"/>
    <w:rsid w:val="0018179B"/>
    <w:rsid w:val="001817F3"/>
    <w:rsid w:val="00181A8A"/>
    <w:rsid w:val="00185C47"/>
    <w:rsid w:val="0018614D"/>
    <w:rsid w:val="00186FD8"/>
    <w:rsid w:val="001877CB"/>
    <w:rsid w:val="00192036"/>
    <w:rsid w:val="0019422F"/>
    <w:rsid w:val="0019509C"/>
    <w:rsid w:val="00195F6E"/>
    <w:rsid w:val="001A0A27"/>
    <w:rsid w:val="001A0FB9"/>
    <w:rsid w:val="001A14BC"/>
    <w:rsid w:val="001A57A1"/>
    <w:rsid w:val="001A5940"/>
    <w:rsid w:val="001B1628"/>
    <w:rsid w:val="001B21C7"/>
    <w:rsid w:val="001B228D"/>
    <w:rsid w:val="001B22DD"/>
    <w:rsid w:val="001B45B3"/>
    <w:rsid w:val="001B5631"/>
    <w:rsid w:val="001B67DA"/>
    <w:rsid w:val="001B7477"/>
    <w:rsid w:val="001B76F6"/>
    <w:rsid w:val="001C0F23"/>
    <w:rsid w:val="001C1FC3"/>
    <w:rsid w:val="001C1FFA"/>
    <w:rsid w:val="001C218F"/>
    <w:rsid w:val="001C23CE"/>
    <w:rsid w:val="001C27A7"/>
    <w:rsid w:val="001C432A"/>
    <w:rsid w:val="001C76AA"/>
    <w:rsid w:val="001C79E8"/>
    <w:rsid w:val="001D09A3"/>
    <w:rsid w:val="001D148C"/>
    <w:rsid w:val="001D1568"/>
    <w:rsid w:val="001D1E30"/>
    <w:rsid w:val="001D5279"/>
    <w:rsid w:val="001D64D0"/>
    <w:rsid w:val="001E04F1"/>
    <w:rsid w:val="001E2C41"/>
    <w:rsid w:val="001E2CB9"/>
    <w:rsid w:val="001E54E9"/>
    <w:rsid w:val="001E74AC"/>
    <w:rsid w:val="001F02EF"/>
    <w:rsid w:val="001F140E"/>
    <w:rsid w:val="001F25FA"/>
    <w:rsid w:val="001F472A"/>
    <w:rsid w:val="001F4967"/>
    <w:rsid w:val="001F4A45"/>
    <w:rsid w:val="001F5827"/>
    <w:rsid w:val="001F5ADC"/>
    <w:rsid w:val="0020213D"/>
    <w:rsid w:val="00202FF3"/>
    <w:rsid w:val="00204379"/>
    <w:rsid w:val="0020483C"/>
    <w:rsid w:val="002061F5"/>
    <w:rsid w:val="0020659D"/>
    <w:rsid w:val="00207805"/>
    <w:rsid w:val="0021016A"/>
    <w:rsid w:val="00210353"/>
    <w:rsid w:val="002124E8"/>
    <w:rsid w:val="00213702"/>
    <w:rsid w:val="002149F4"/>
    <w:rsid w:val="00214ACB"/>
    <w:rsid w:val="00215E1B"/>
    <w:rsid w:val="00215ECE"/>
    <w:rsid w:val="00220334"/>
    <w:rsid w:val="002205F7"/>
    <w:rsid w:val="00220D73"/>
    <w:rsid w:val="002215DE"/>
    <w:rsid w:val="00223072"/>
    <w:rsid w:val="002235A0"/>
    <w:rsid w:val="00224033"/>
    <w:rsid w:val="00230653"/>
    <w:rsid w:val="00232A95"/>
    <w:rsid w:val="00232AB1"/>
    <w:rsid w:val="00232F13"/>
    <w:rsid w:val="00235EBD"/>
    <w:rsid w:val="0023667C"/>
    <w:rsid w:val="00236FA4"/>
    <w:rsid w:val="002375CF"/>
    <w:rsid w:val="00237EEB"/>
    <w:rsid w:val="0024071A"/>
    <w:rsid w:val="00240928"/>
    <w:rsid w:val="002411CF"/>
    <w:rsid w:val="00241969"/>
    <w:rsid w:val="002419FD"/>
    <w:rsid w:val="00242516"/>
    <w:rsid w:val="0024303F"/>
    <w:rsid w:val="002457A7"/>
    <w:rsid w:val="00245FE1"/>
    <w:rsid w:val="002463EA"/>
    <w:rsid w:val="00246576"/>
    <w:rsid w:val="00247183"/>
    <w:rsid w:val="002473A4"/>
    <w:rsid w:val="00247F95"/>
    <w:rsid w:val="00251F20"/>
    <w:rsid w:val="0025238D"/>
    <w:rsid w:val="00252483"/>
    <w:rsid w:val="00253C3B"/>
    <w:rsid w:val="00255809"/>
    <w:rsid w:val="00256AC9"/>
    <w:rsid w:val="00257170"/>
    <w:rsid w:val="0026156A"/>
    <w:rsid w:val="00263178"/>
    <w:rsid w:val="00266F2C"/>
    <w:rsid w:val="00267369"/>
    <w:rsid w:val="00271C9C"/>
    <w:rsid w:val="00274FB8"/>
    <w:rsid w:val="002754C3"/>
    <w:rsid w:val="00275BFB"/>
    <w:rsid w:val="00276016"/>
    <w:rsid w:val="00276109"/>
    <w:rsid w:val="00277993"/>
    <w:rsid w:val="00277F58"/>
    <w:rsid w:val="002814D7"/>
    <w:rsid w:val="00281659"/>
    <w:rsid w:val="00281C6E"/>
    <w:rsid w:val="002821AB"/>
    <w:rsid w:val="0028249C"/>
    <w:rsid w:val="00283D75"/>
    <w:rsid w:val="00283E64"/>
    <w:rsid w:val="0028400F"/>
    <w:rsid w:val="00284112"/>
    <w:rsid w:val="00284DD0"/>
    <w:rsid w:val="002914F0"/>
    <w:rsid w:val="00292D11"/>
    <w:rsid w:val="00294570"/>
    <w:rsid w:val="002951D6"/>
    <w:rsid w:val="002958BE"/>
    <w:rsid w:val="00295C2F"/>
    <w:rsid w:val="00297874"/>
    <w:rsid w:val="002979D8"/>
    <w:rsid w:val="002A1038"/>
    <w:rsid w:val="002A1473"/>
    <w:rsid w:val="002A1DCB"/>
    <w:rsid w:val="002A21C6"/>
    <w:rsid w:val="002A395E"/>
    <w:rsid w:val="002A5833"/>
    <w:rsid w:val="002A6C58"/>
    <w:rsid w:val="002A74A6"/>
    <w:rsid w:val="002B0566"/>
    <w:rsid w:val="002B0641"/>
    <w:rsid w:val="002B1E35"/>
    <w:rsid w:val="002B490D"/>
    <w:rsid w:val="002B51F6"/>
    <w:rsid w:val="002B71DF"/>
    <w:rsid w:val="002B7D68"/>
    <w:rsid w:val="002C0193"/>
    <w:rsid w:val="002C020F"/>
    <w:rsid w:val="002C0998"/>
    <w:rsid w:val="002C1304"/>
    <w:rsid w:val="002C1C3E"/>
    <w:rsid w:val="002C2AB4"/>
    <w:rsid w:val="002C2FAF"/>
    <w:rsid w:val="002C41CE"/>
    <w:rsid w:val="002C4EC3"/>
    <w:rsid w:val="002C7646"/>
    <w:rsid w:val="002D2798"/>
    <w:rsid w:val="002D28C2"/>
    <w:rsid w:val="002D4312"/>
    <w:rsid w:val="002D4405"/>
    <w:rsid w:val="002D445A"/>
    <w:rsid w:val="002D5BC8"/>
    <w:rsid w:val="002D5F1C"/>
    <w:rsid w:val="002D6D44"/>
    <w:rsid w:val="002D6FF3"/>
    <w:rsid w:val="002D73B9"/>
    <w:rsid w:val="002E0988"/>
    <w:rsid w:val="002E1B34"/>
    <w:rsid w:val="002E1BC6"/>
    <w:rsid w:val="002E1F75"/>
    <w:rsid w:val="002E373E"/>
    <w:rsid w:val="002E5E40"/>
    <w:rsid w:val="002F0848"/>
    <w:rsid w:val="002F1010"/>
    <w:rsid w:val="002F1081"/>
    <w:rsid w:val="002F368A"/>
    <w:rsid w:val="002F3F94"/>
    <w:rsid w:val="002F44EE"/>
    <w:rsid w:val="002F4777"/>
    <w:rsid w:val="002F51F2"/>
    <w:rsid w:val="00302D16"/>
    <w:rsid w:val="003033E6"/>
    <w:rsid w:val="00304113"/>
    <w:rsid w:val="003048ED"/>
    <w:rsid w:val="00305EA0"/>
    <w:rsid w:val="00305FCC"/>
    <w:rsid w:val="00306BBD"/>
    <w:rsid w:val="0031133C"/>
    <w:rsid w:val="00311F6C"/>
    <w:rsid w:val="003132F8"/>
    <w:rsid w:val="003140E5"/>
    <w:rsid w:val="00314E8D"/>
    <w:rsid w:val="0031553B"/>
    <w:rsid w:val="00316072"/>
    <w:rsid w:val="0031725B"/>
    <w:rsid w:val="00317FF9"/>
    <w:rsid w:val="00321338"/>
    <w:rsid w:val="00323326"/>
    <w:rsid w:val="003239B6"/>
    <w:rsid w:val="0032532D"/>
    <w:rsid w:val="00326921"/>
    <w:rsid w:val="00326FD7"/>
    <w:rsid w:val="00327742"/>
    <w:rsid w:val="0033020B"/>
    <w:rsid w:val="00330CFE"/>
    <w:rsid w:val="003314C7"/>
    <w:rsid w:val="00333AE9"/>
    <w:rsid w:val="00334E56"/>
    <w:rsid w:val="00334E60"/>
    <w:rsid w:val="003360F2"/>
    <w:rsid w:val="00337658"/>
    <w:rsid w:val="00340FA6"/>
    <w:rsid w:val="00341154"/>
    <w:rsid w:val="00344B20"/>
    <w:rsid w:val="00345693"/>
    <w:rsid w:val="00345878"/>
    <w:rsid w:val="00346BCD"/>
    <w:rsid w:val="00350829"/>
    <w:rsid w:val="00350BA2"/>
    <w:rsid w:val="00351AC4"/>
    <w:rsid w:val="00351EB1"/>
    <w:rsid w:val="00352F95"/>
    <w:rsid w:val="003534AE"/>
    <w:rsid w:val="00355305"/>
    <w:rsid w:val="0035628A"/>
    <w:rsid w:val="00356A30"/>
    <w:rsid w:val="00357572"/>
    <w:rsid w:val="00360277"/>
    <w:rsid w:val="00360B00"/>
    <w:rsid w:val="00360B4B"/>
    <w:rsid w:val="00360F8A"/>
    <w:rsid w:val="00361833"/>
    <w:rsid w:val="003630F0"/>
    <w:rsid w:val="00363304"/>
    <w:rsid w:val="0036369D"/>
    <w:rsid w:val="0036397D"/>
    <w:rsid w:val="0036509F"/>
    <w:rsid w:val="00365482"/>
    <w:rsid w:val="00365524"/>
    <w:rsid w:val="00365A33"/>
    <w:rsid w:val="003661AA"/>
    <w:rsid w:val="003668E4"/>
    <w:rsid w:val="00371FFE"/>
    <w:rsid w:val="00374535"/>
    <w:rsid w:val="003754E7"/>
    <w:rsid w:val="003761AC"/>
    <w:rsid w:val="003776CC"/>
    <w:rsid w:val="00382359"/>
    <w:rsid w:val="00383059"/>
    <w:rsid w:val="00383609"/>
    <w:rsid w:val="00383B7E"/>
    <w:rsid w:val="00384921"/>
    <w:rsid w:val="0038559F"/>
    <w:rsid w:val="0038696A"/>
    <w:rsid w:val="00387651"/>
    <w:rsid w:val="00387657"/>
    <w:rsid w:val="00391B6E"/>
    <w:rsid w:val="00391F95"/>
    <w:rsid w:val="00393D07"/>
    <w:rsid w:val="00394816"/>
    <w:rsid w:val="00394CF1"/>
    <w:rsid w:val="00395C7F"/>
    <w:rsid w:val="003971BD"/>
    <w:rsid w:val="00397ADC"/>
    <w:rsid w:val="00397D75"/>
    <w:rsid w:val="003A4609"/>
    <w:rsid w:val="003A5970"/>
    <w:rsid w:val="003A5BEA"/>
    <w:rsid w:val="003A64DF"/>
    <w:rsid w:val="003A7256"/>
    <w:rsid w:val="003B12B5"/>
    <w:rsid w:val="003B14DD"/>
    <w:rsid w:val="003B1A36"/>
    <w:rsid w:val="003B1F45"/>
    <w:rsid w:val="003B2F97"/>
    <w:rsid w:val="003B415F"/>
    <w:rsid w:val="003B4B7B"/>
    <w:rsid w:val="003B6657"/>
    <w:rsid w:val="003B6DA5"/>
    <w:rsid w:val="003B7B24"/>
    <w:rsid w:val="003B7F46"/>
    <w:rsid w:val="003C009A"/>
    <w:rsid w:val="003C0F2F"/>
    <w:rsid w:val="003C1BAA"/>
    <w:rsid w:val="003C28A1"/>
    <w:rsid w:val="003C318E"/>
    <w:rsid w:val="003C3A36"/>
    <w:rsid w:val="003C4E5F"/>
    <w:rsid w:val="003C5280"/>
    <w:rsid w:val="003C785A"/>
    <w:rsid w:val="003C7C87"/>
    <w:rsid w:val="003D0371"/>
    <w:rsid w:val="003D2B83"/>
    <w:rsid w:val="003D2F71"/>
    <w:rsid w:val="003D48D6"/>
    <w:rsid w:val="003D5BB7"/>
    <w:rsid w:val="003D716C"/>
    <w:rsid w:val="003D76B2"/>
    <w:rsid w:val="003E08F7"/>
    <w:rsid w:val="003E0F68"/>
    <w:rsid w:val="003E0FDC"/>
    <w:rsid w:val="003E3220"/>
    <w:rsid w:val="003E39A6"/>
    <w:rsid w:val="003E4475"/>
    <w:rsid w:val="003E50C5"/>
    <w:rsid w:val="003F0145"/>
    <w:rsid w:val="003F222B"/>
    <w:rsid w:val="003F2D90"/>
    <w:rsid w:val="003F2DEB"/>
    <w:rsid w:val="003F2EA5"/>
    <w:rsid w:val="003F34C1"/>
    <w:rsid w:val="003F433F"/>
    <w:rsid w:val="003F4442"/>
    <w:rsid w:val="003F69BB"/>
    <w:rsid w:val="003F6B63"/>
    <w:rsid w:val="003F708F"/>
    <w:rsid w:val="003F7506"/>
    <w:rsid w:val="003F7DB3"/>
    <w:rsid w:val="0040092D"/>
    <w:rsid w:val="0040116D"/>
    <w:rsid w:val="00401B23"/>
    <w:rsid w:val="004020EA"/>
    <w:rsid w:val="00403DBD"/>
    <w:rsid w:val="0040491E"/>
    <w:rsid w:val="00404BFF"/>
    <w:rsid w:val="00405951"/>
    <w:rsid w:val="0040634F"/>
    <w:rsid w:val="00406F08"/>
    <w:rsid w:val="00407F9B"/>
    <w:rsid w:val="004136B2"/>
    <w:rsid w:val="00413D33"/>
    <w:rsid w:val="00414800"/>
    <w:rsid w:val="004149DC"/>
    <w:rsid w:val="00415DEE"/>
    <w:rsid w:val="00416E95"/>
    <w:rsid w:val="00417528"/>
    <w:rsid w:val="00420B94"/>
    <w:rsid w:val="004227C0"/>
    <w:rsid w:val="0042392C"/>
    <w:rsid w:val="0042468C"/>
    <w:rsid w:val="00424BDB"/>
    <w:rsid w:val="00426CCA"/>
    <w:rsid w:val="00427F8E"/>
    <w:rsid w:val="004302F4"/>
    <w:rsid w:val="004310FF"/>
    <w:rsid w:val="00431284"/>
    <w:rsid w:val="0043674C"/>
    <w:rsid w:val="0044080A"/>
    <w:rsid w:val="00441DEB"/>
    <w:rsid w:val="004423A9"/>
    <w:rsid w:val="004435BB"/>
    <w:rsid w:val="00443FA9"/>
    <w:rsid w:val="00444AC3"/>
    <w:rsid w:val="00445803"/>
    <w:rsid w:val="00447BDE"/>
    <w:rsid w:val="0045114F"/>
    <w:rsid w:val="0045327D"/>
    <w:rsid w:val="004537FE"/>
    <w:rsid w:val="004559AF"/>
    <w:rsid w:val="004601EC"/>
    <w:rsid w:val="00461819"/>
    <w:rsid w:val="004648C9"/>
    <w:rsid w:val="004665FF"/>
    <w:rsid w:val="0046687E"/>
    <w:rsid w:val="00467FB2"/>
    <w:rsid w:val="00467FBD"/>
    <w:rsid w:val="004703BD"/>
    <w:rsid w:val="0047105A"/>
    <w:rsid w:val="004714AE"/>
    <w:rsid w:val="004715C2"/>
    <w:rsid w:val="00473CF1"/>
    <w:rsid w:val="004741BE"/>
    <w:rsid w:val="004761A2"/>
    <w:rsid w:val="00476645"/>
    <w:rsid w:val="004770A7"/>
    <w:rsid w:val="00477B58"/>
    <w:rsid w:val="00477E0B"/>
    <w:rsid w:val="00481CD1"/>
    <w:rsid w:val="0048218C"/>
    <w:rsid w:val="0048274F"/>
    <w:rsid w:val="0048543A"/>
    <w:rsid w:val="00485B9A"/>
    <w:rsid w:val="00486FE8"/>
    <w:rsid w:val="0048713D"/>
    <w:rsid w:val="00487C40"/>
    <w:rsid w:val="0049001E"/>
    <w:rsid w:val="0049015D"/>
    <w:rsid w:val="00490971"/>
    <w:rsid w:val="00490AF1"/>
    <w:rsid w:val="004914A4"/>
    <w:rsid w:val="00492125"/>
    <w:rsid w:val="004934A6"/>
    <w:rsid w:val="00495633"/>
    <w:rsid w:val="004963B6"/>
    <w:rsid w:val="00496411"/>
    <w:rsid w:val="00496F7F"/>
    <w:rsid w:val="004970BD"/>
    <w:rsid w:val="004975CD"/>
    <w:rsid w:val="004A0DA8"/>
    <w:rsid w:val="004A240D"/>
    <w:rsid w:val="004A3DCC"/>
    <w:rsid w:val="004A43CC"/>
    <w:rsid w:val="004A4AC4"/>
    <w:rsid w:val="004A7B1D"/>
    <w:rsid w:val="004A7B24"/>
    <w:rsid w:val="004B2314"/>
    <w:rsid w:val="004B3001"/>
    <w:rsid w:val="004B3232"/>
    <w:rsid w:val="004B53B7"/>
    <w:rsid w:val="004B776A"/>
    <w:rsid w:val="004C04F1"/>
    <w:rsid w:val="004C6E20"/>
    <w:rsid w:val="004D0F7F"/>
    <w:rsid w:val="004D4670"/>
    <w:rsid w:val="004D6113"/>
    <w:rsid w:val="004D7677"/>
    <w:rsid w:val="004E1012"/>
    <w:rsid w:val="004E1BC7"/>
    <w:rsid w:val="004E2889"/>
    <w:rsid w:val="004E2CE4"/>
    <w:rsid w:val="004E4068"/>
    <w:rsid w:val="004E45DB"/>
    <w:rsid w:val="004E4D52"/>
    <w:rsid w:val="004E7529"/>
    <w:rsid w:val="004E7B09"/>
    <w:rsid w:val="004F0037"/>
    <w:rsid w:val="004F0141"/>
    <w:rsid w:val="004F0AC7"/>
    <w:rsid w:val="004F179C"/>
    <w:rsid w:val="004F1E50"/>
    <w:rsid w:val="004F3C68"/>
    <w:rsid w:val="004F5AC8"/>
    <w:rsid w:val="004F5B70"/>
    <w:rsid w:val="004F6760"/>
    <w:rsid w:val="004F69CB"/>
    <w:rsid w:val="004F6B5E"/>
    <w:rsid w:val="004F6D43"/>
    <w:rsid w:val="004F7BE3"/>
    <w:rsid w:val="00500820"/>
    <w:rsid w:val="00501F80"/>
    <w:rsid w:val="00502421"/>
    <w:rsid w:val="0050251D"/>
    <w:rsid w:val="00502846"/>
    <w:rsid w:val="00503D6F"/>
    <w:rsid w:val="005048F1"/>
    <w:rsid w:val="0050588E"/>
    <w:rsid w:val="005058EA"/>
    <w:rsid w:val="00505B4C"/>
    <w:rsid w:val="00506D49"/>
    <w:rsid w:val="00512E17"/>
    <w:rsid w:val="00515A3E"/>
    <w:rsid w:val="00516578"/>
    <w:rsid w:val="00517C32"/>
    <w:rsid w:val="00520910"/>
    <w:rsid w:val="00520B75"/>
    <w:rsid w:val="00522122"/>
    <w:rsid w:val="00523423"/>
    <w:rsid w:val="005249A1"/>
    <w:rsid w:val="00526711"/>
    <w:rsid w:val="00526C06"/>
    <w:rsid w:val="00530174"/>
    <w:rsid w:val="0053039A"/>
    <w:rsid w:val="005303F0"/>
    <w:rsid w:val="005330AD"/>
    <w:rsid w:val="005332B3"/>
    <w:rsid w:val="00533D78"/>
    <w:rsid w:val="005342FA"/>
    <w:rsid w:val="005362B1"/>
    <w:rsid w:val="00536DC7"/>
    <w:rsid w:val="00536EA8"/>
    <w:rsid w:val="0054036F"/>
    <w:rsid w:val="00540C62"/>
    <w:rsid w:val="005432A0"/>
    <w:rsid w:val="00543E3F"/>
    <w:rsid w:val="00551548"/>
    <w:rsid w:val="005522F3"/>
    <w:rsid w:val="005530CF"/>
    <w:rsid w:val="00553A60"/>
    <w:rsid w:val="00553B8F"/>
    <w:rsid w:val="0055419E"/>
    <w:rsid w:val="00554CC2"/>
    <w:rsid w:val="00555417"/>
    <w:rsid w:val="0055588D"/>
    <w:rsid w:val="005559E2"/>
    <w:rsid w:val="00555F00"/>
    <w:rsid w:val="0055761D"/>
    <w:rsid w:val="0056229A"/>
    <w:rsid w:val="00562FE6"/>
    <w:rsid w:val="0056426D"/>
    <w:rsid w:val="00564CE8"/>
    <w:rsid w:val="00564D78"/>
    <w:rsid w:val="005654B1"/>
    <w:rsid w:val="00567331"/>
    <w:rsid w:val="00570F21"/>
    <w:rsid w:val="00572C89"/>
    <w:rsid w:val="00573052"/>
    <w:rsid w:val="0057524E"/>
    <w:rsid w:val="00576D3C"/>
    <w:rsid w:val="0058274D"/>
    <w:rsid w:val="00582911"/>
    <w:rsid w:val="005873B3"/>
    <w:rsid w:val="00587F2A"/>
    <w:rsid w:val="00590F72"/>
    <w:rsid w:val="00591C15"/>
    <w:rsid w:val="00595A21"/>
    <w:rsid w:val="005A0BA3"/>
    <w:rsid w:val="005A142F"/>
    <w:rsid w:val="005A1CE4"/>
    <w:rsid w:val="005A61AE"/>
    <w:rsid w:val="005A68F5"/>
    <w:rsid w:val="005B3067"/>
    <w:rsid w:val="005B36EA"/>
    <w:rsid w:val="005B3B80"/>
    <w:rsid w:val="005B4E12"/>
    <w:rsid w:val="005B636F"/>
    <w:rsid w:val="005B6564"/>
    <w:rsid w:val="005B7779"/>
    <w:rsid w:val="005B7A80"/>
    <w:rsid w:val="005C2709"/>
    <w:rsid w:val="005C3D33"/>
    <w:rsid w:val="005C3F22"/>
    <w:rsid w:val="005C506F"/>
    <w:rsid w:val="005C53E0"/>
    <w:rsid w:val="005C624A"/>
    <w:rsid w:val="005C7ECB"/>
    <w:rsid w:val="005D08A7"/>
    <w:rsid w:val="005D37DB"/>
    <w:rsid w:val="005D47C2"/>
    <w:rsid w:val="005D705F"/>
    <w:rsid w:val="005D7A27"/>
    <w:rsid w:val="005D7A64"/>
    <w:rsid w:val="005E10C6"/>
    <w:rsid w:val="005E176B"/>
    <w:rsid w:val="005E1C5F"/>
    <w:rsid w:val="005E376A"/>
    <w:rsid w:val="005E789A"/>
    <w:rsid w:val="005E7DB5"/>
    <w:rsid w:val="005F175E"/>
    <w:rsid w:val="005F1D44"/>
    <w:rsid w:val="005F207E"/>
    <w:rsid w:val="005F29CB"/>
    <w:rsid w:val="005F55C7"/>
    <w:rsid w:val="005F6D61"/>
    <w:rsid w:val="005F6EDB"/>
    <w:rsid w:val="006001E6"/>
    <w:rsid w:val="00601342"/>
    <w:rsid w:val="00603D49"/>
    <w:rsid w:val="00603ED3"/>
    <w:rsid w:val="0060428B"/>
    <w:rsid w:val="00604B41"/>
    <w:rsid w:val="00604EB4"/>
    <w:rsid w:val="006055C9"/>
    <w:rsid w:val="0060677F"/>
    <w:rsid w:val="00606D6F"/>
    <w:rsid w:val="00607D4C"/>
    <w:rsid w:val="00611B03"/>
    <w:rsid w:val="00613042"/>
    <w:rsid w:val="00614823"/>
    <w:rsid w:val="00614A03"/>
    <w:rsid w:val="006150E6"/>
    <w:rsid w:val="006169FA"/>
    <w:rsid w:val="00617517"/>
    <w:rsid w:val="00620780"/>
    <w:rsid w:val="00621854"/>
    <w:rsid w:val="006237DB"/>
    <w:rsid w:val="00623F9F"/>
    <w:rsid w:val="0062420E"/>
    <w:rsid w:val="0062472A"/>
    <w:rsid w:val="00624A1D"/>
    <w:rsid w:val="0062619B"/>
    <w:rsid w:val="00627989"/>
    <w:rsid w:val="006279D4"/>
    <w:rsid w:val="0063147C"/>
    <w:rsid w:val="0063378B"/>
    <w:rsid w:val="00634CE2"/>
    <w:rsid w:val="00635718"/>
    <w:rsid w:val="00635AA8"/>
    <w:rsid w:val="00635B65"/>
    <w:rsid w:val="00635EC5"/>
    <w:rsid w:val="006375B8"/>
    <w:rsid w:val="006376EC"/>
    <w:rsid w:val="00637C37"/>
    <w:rsid w:val="00637CE8"/>
    <w:rsid w:val="0064155A"/>
    <w:rsid w:val="0064258A"/>
    <w:rsid w:val="00643AB9"/>
    <w:rsid w:val="00652120"/>
    <w:rsid w:val="006534F9"/>
    <w:rsid w:val="00653D17"/>
    <w:rsid w:val="00654593"/>
    <w:rsid w:val="00660457"/>
    <w:rsid w:val="006611A1"/>
    <w:rsid w:val="00662385"/>
    <w:rsid w:val="006623C1"/>
    <w:rsid w:val="006644B7"/>
    <w:rsid w:val="00665F7A"/>
    <w:rsid w:val="00666654"/>
    <w:rsid w:val="00666F19"/>
    <w:rsid w:val="00667703"/>
    <w:rsid w:val="00670F28"/>
    <w:rsid w:val="00672795"/>
    <w:rsid w:val="00672C17"/>
    <w:rsid w:val="00674DCA"/>
    <w:rsid w:val="006750A1"/>
    <w:rsid w:val="00677269"/>
    <w:rsid w:val="00677829"/>
    <w:rsid w:val="00677F85"/>
    <w:rsid w:val="0068062A"/>
    <w:rsid w:val="00681455"/>
    <w:rsid w:val="0068255C"/>
    <w:rsid w:val="00684D44"/>
    <w:rsid w:val="00690EE6"/>
    <w:rsid w:val="00694259"/>
    <w:rsid w:val="00694385"/>
    <w:rsid w:val="00695354"/>
    <w:rsid w:val="006969D1"/>
    <w:rsid w:val="00697B7D"/>
    <w:rsid w:val="006A1244"/>
    <w:rsid w:val="006A3504"/>
    <w:rsid w:val="006A47E3"/>
    <w:rsid w:val="006A588C"/>
    <w:rsid w:val="006B157C"/>
    <w:rsid w:val="006B1CF9"/>
    <w:rsid w:val="006B2429"/>
    <w:rsid w:val="006B3955"/>
    <w:rsid w:val="006B4617"/>
    <w:rsid w:val="006B5E64"/>
    <w:rsid w:val="006C0905"/>
    <w:rsid w:val="006C2062"/>
    <w:rsid w:val="006C2C16"/>
    <w:rsid w:val="006C35B2"/>
    <w:rsid w:val="006C3753"/>
    <w:rsid w:val="006C5169"/>
    <w:rsid w:val="006C57D9"/>
    <w:rsid w:val="006C6CA9"/>
    <w:rsid w:val="006C7E38"/>
    <w:rsid w:val="006D0309"/>
    <w:rsid w:val="006D0471"/>
    <w:rsid w:val="006D0720"/>
    <w:rsid w:val="006D0B18"/>
    <w:rsid w:val="006D41D0"/>
    <w:rsid w:val="006D4596"/>
    <w:rsid w:val="006D4D6C"/>
    <w:rsid w:val="006D6937"/>
    <w:rsid w:val="006D72D9"/>
    <w:rsid w:val="006E1402"/>
    <w:rsid w:val="006E1694"/>
    <w:rsid w:val="006E21F2"/>
    <w:rsid w:val="006E433D"/>
    <w:rsid w:val="006E6A1A"/>
    <w:rsid w:val="006E7AD5"/>
    <w:rsid w:val="006F0043"/>
    <w:rsid w:val="006F053E"/>
    <w:rsid w:val="006F0882"/>
    <w:rsid w:val="006F14CE"/>
    <w:rsid w:val="006F19B4"/>
    <w:rsid w:val="006F3306"/>
    <w:rsid w:val="006F4568"/>
    <w:rsid w:val="006F4604"/>
    <w:rsid w:val="007001E4"/>
    <w:rsid w:val="007019E0"/>
    <w:rsid w:val="00701D8D"/>
    <w:rsid w:val="0070207D"/>
    <w:rsid w:val="00704C79"/>
    <w:rsid w:val="00705609"/>
    <w:rsid w:val="00706838"/>
    <w:rsid w:val="00706AEB"/>
    <w:rsid w:val="00707011"/>
    <w:rsid w:val="0070741B"/>
    <w:rsid w:val="00710EDF"/>
    <w:rsid w:val="00710F7D"/>
    <w:rsid w:val="0071210C"/>
    <w:rsid w:val="007127C1"/>
    <w:rsid w:val="00712B20"/>
    <w:rsid w:val="00714C21"/>
    <w:rsid w:val="007169FA"/>
    <w:rsid w:val="00720D29"/>
    <w:rsid w:val="00720F30"/>
    <w:rsid w:val="007227A2"/>
    <w:rsid w:val="00722C7E"/>
    <w:rsid w:val="00724BF3"/>
    <w:rsid w:val="00724EAB"/>
    <w:rsid w:val="00725FEB"/>
    <w:rsid w:val="0072763E"/>
    <w:rsid w:val="00727DAD"/>
    <w:rsid w:val="00733BFD"/>
    <w:rsid w:val="00735043"/>
    <w:rsid w:val="00736C44"/>
    <w:rsid w:val="0074060D"/>
    <w:rsid w:val="00742B30"/>
    <w:rsid w:val="0074302E"/>
    <w:rsid w:val="00745010"/>
    <w:rsid w:val="0074570E"/>
    <w:rsid w:val="00747BAA"/>
    <w:rsid w:val="0075067F"/>
    <w:rsid w:val="00750F6D"/>
    <w:rsid w:val="00751580"/>
    <w:rsid w:val="0075203D"/>
    <w:rsid w:val="0075222E"/>
    <w:rsid w:val="00752A8B"/>
    <w:rsid w:val="00752D5D"/>
    <w:rsid w:val="00752F57"/>
    <w:rsid w:val="007542AA"/>
    <w:rsid w:val="00754AA5"/>
    <w:rsid w:val="00757438"/>
    <w:rsid w:val="007618A2"/>
    <w:rsid w:val="00762415"/>
    <w:rsid w:val="00763334"/>
    <w:rsid w:val="00763702"/>
    <w:rsid w:val="007644C3"/>
    <w:rsid w:val="00764D51"/>
    <w:rsid w:val="007654C1"/>
    <w:rsid w:val="00765CC1"/>
    <w:rsid w:val="007704A7"/>
    <w:rsid w:val="00770DA3"/>
    <w:rsid w:val="00771007"/>
    <w:rsid w:val="00771D96"/>
    <w:rsid w:val="00773279"/>
    <w:rsid w:val="00774902"/>
    <w:rsid w:val="007765A8"/>
    <w:rsid w:val="0078035A"/>
    <w:rsid w:val="0078096C"/>
    <w:rsid w:val="007814B4"/>
    <w:rsid w:val="00781E8D"/>
    <w:rsid w:val="00783A2A"/>
    <w:rsid w:val="007860E8"/>
    <w:rsid w:val="007871C6"/>
    <w:rsid w:val="00787EAF"/>
    <w:rsid w:val="00790342"/>
    <w:rsid w:val="00790671"/>
    <w:rsid w:val="00792799"/>
    <w:rsid w:val="00794674"/>
    <w:rsid w:val="007959C3"/>
    <w:rsid w:val="00796052"/>
    <w:rsid w:val="0079609D"/>
    <w:rsid w:val="00796C8B"/>
    <w:rsid w:val="007A2103"/>
    <w:rsid w:val="007A3967"/>
    <w:rsid w:val="007A3FA5"/>
    <w:rsid w:val="007A4936"/>
    <w:rsid w:val="007A7010"/>
    <w:rsid w:val="007B00FC"/>
    <w:rsid w:val="007B2CC6"/>
    <w:rsid w:val="007B4510"/>
    <w:rsid w:val="007B6CA8"/>
    <w:rsid w:val="007C09C0"/>
    <w:rsid w:val="007C0AB7"/>
    <w:rsid w:val="007C142E"/>
    <w:rsid w:val="007C188D"/>
    <w:rsid w:val="007C26E9"/>
    <w:rsid w:val="007C2B5F"/>
    <w:rsid w:val="007C2B7D"/>
    <w:rsid w:val="007C2F4B"/>
    <w:rsid w:val="007C4E8C"/>
    <w:rsid w:val="007C5022"/>
    <w:rsid w:val="007C5F1E"/>
    <w:rsid w:val="007D358C"/>
    <w:rsid w:val="007D467D"/>
    <w:rsid w:val="007D47BE"/>
    <w:rsid w:val="007D4A3B"/>
    <w:rsid w:val="007D5F92"/>
    <w:rsid w:val="007E03FB"/>
    <w:rsid w:val="007E145E"/>
    <w:rsid w:val="007E1552"/>
    <w:rsid w:val="007E170B"/>
    <w:rsid w:val="007E1806"/>
    <w:rsid w:val="007E2B5A"/>
    <w:rsid w:val="007E33E0"/>
    <w:rsid w:val="007E3A68"/>
    <w:rsid w:val="007E473E"/>
    <w:rsid w:val="007E5A21"/>
    <w:rsid w:val="007E5E09"/>
    <w:rsid w:val="007E6A86"/>
    <w:rsid w:val="007E6E22"/>
    <w:rsid w:val="007F33C1"/>
    <w:rsid w:val="007F363B"/>
    <w:rsid w:val="007F41D1"/>
    <w:rsid w:val="007F43C6"/>
    <w:rsid w:val="007F70C2"/>
    <w:rsid w:val="007F7743"/>
    <w:rsid w:val="007F7DC3"/>
    <w:rsid w:val="00800EDE"/>
    <w:rsid w:val="00801AAD"/>
    <w:rsid w:val="0080355E"/>
    <w:rsid w:val="008036EE"/>
    <w:rsid w:val="00803E69"/>
    <w:rsid w:val="00805B8C"/>
    <w:rsid w:val="00806D42"/>
    <w:rsid w:val="00807622"/>
    <w:rsid w:val="0081144A"/>
    <w:rsid w:val="00812938"/>
    <w:rsid w:val="00814A0D"/>
    <w:rsid w:val="00814C04"/>
    <w:rsid w:val="00816BD7"/>
    <w:rsid w:val="00816EDF"/>
    <w:rsid w:val="0081721F"/>
    <w:rsid w:val="00820033"/>
    <w:rsid w:val="00820939"/>
    <w:rsid w:val="00821906"/>
    <w:rsid w:val="0082291E"/>
    <w:rsid w:val="00823BA9"/>
    <w:rsid w:val="00824839"/>
    <w:rsid w:val="00824D50"/>
    <w:rsid w:val="00825D4F"/>
    <w:rsid w:val="00826538"/>
    <w:rsid w:val="00826929"/>
    <w:rsid w:val="00830867"/>
    <w:rsid w:val="00832830"/>
    <w:rsid w:val="00832A94"/>
    <w:rsid w:val="0083394F"/>
    <w:rsid w:val="00835232"/>
    <w:rsid w:val="00835401"/>
    <w:rsid w:val="00835ADC"/>
    <w:rsid w:val="0084264B"/>
    <w:rsid w:val="008446EE"/>
    <w:rsid w:val="00845E27"/>
    <w:rsid w:val="008509AA"/>
    <w:rsid w:val="00851CF4"/>
    <w:rsid w:val="00853A33"/>
    <w:rsid w:val="00854910"/>
    <w:rsid w:val="0085507B"/>
    <w:rsid w:val="008550DF"/>
    <w:rsid w:val="008557E1"/>
    <w:rsid w:val="0085657E"/>
    <w:rsid w:val="008571C2"/>
    <w:rsid w:val="00857A5F"/>
    <w:rsid w:val="00857D7F"/>
    <w:rsid w:val="00860815"/>
    <w:rsid w:val="00861CB2"/>
    <w:rsid w:val="00862643"/>
    <w:rsid w:val="008635C0"/>
    <w:rsid w:val="0086524F"/>
    <w:rsid w:val="0086552A"/>
    <w:rsid w:val="00866885"/>
    <w:rsid w:val="00867B82"/>
    <w:rsid w:val="0087086B"/>
    <w:rsid w:val="008719D3"/>
    <w:rsid w:val="0087434E"/>
    <w:rsid w:val="008744F6"/>
    <w:rsid w:val="008773B9"/>
    <w:rsid w:val="008806EC"/>
    <w:rsid w:val="00882898"/>
    <w:rsid w:val="00883217"/>
    <w:rsid w:val="008839CF"/>
    <w:rsid w:val="00885338"/>
    <w:rsid w:val="00885E20"/>
    <w:rsid w:val="00886DFF"/>
    <w:rsid w:val="00887513"/>
    <w:rsid w:val="00887971"/>
    <w:rsid w:val="008905D3"/>
    <w:rsid w:val="00890DD0"/>
    <w:rsid w:val="00892EA1"/>
    <w:rsid w:val="008931F5"/>
    <w:rsid w:val="008931F9"/>
    <w:rsid w:val="00893E37"/>
    <w:rsid w:val="00894200"/>
    <w:rsid w:val="008943E8"/>
    <w:rsid w:val="00895884"/>
    <w:rsid w:val="008962F5"/>
    <w:rsid w:val="00896613"/>
    <w:rsid w:val="00897015"/>
    <w:rsid w:val="008A0A33"/>
    <w:rsid w:val="008A0A66"/>
    <w:rsid w:val="008A128C"/>
    <w:rsid w:val="008A234A"/>
    <w:rsid w:val="008A23A1"/>
    <w:rsid w:val="008A363C"/>
    <w:rsid w:val="008A58BF"/>
    <w:rsid w:val="008A6CB7"/>
    <w:rsid w:val="008A7FBD"/>
    <w:rsid w:val="008B03B6"/>
    <w:rsid w:val="008B0F92"/>
    <w:rsid w:val="008B1539"/>
    <w:rsid w:val="008B1BF7"/>
    <w:rsid w:val="008B2503"/>
    <w:rsid w:val="008B3261"/>
    <w:rsid w:val="008B450F"/>
    <w:rsid w:val="008B4A69"/>
    <w:rsid w:val="008B5FCD"/>
    <w:rsid w:val="008B622F"/>
    <w:rsid w:val="008B77DF"/>
    <w:rsid w:val="008C0A41"/>
    <w:rsid w:val="008C0F03"/>
    <w:rsid w:val="008C2528"/>
    <w:rsid w:val="008C5259"/>
    <w:rsid w:val="008C61B1"/>
    <w:rsid w:val="008C682F"/>
    <w:rsid w:val="008C6DBB"/>
    <w:rsid w:val="008C71D3"/>
    <w:rsid w:val="008D0CEB"/>
    <w:rsid w:val="008D1BC2"/>
    <w:rsid w:val="008D1E8E"/>
    <w:rsid w:val="008D2EB0"/>
    <w:rsid w:val="008D2F5A"/>
    <w:rsid w:val="008D2F9C"/>
    <w:rsid w:val="008D4623"/>
    <w:rsid w:val="008D5933"/>
    <w:rsid w:val="008D5FE3"/>
    <w:rsid w:val="008E2B0A"/>
    <w:rsid w:val="008E455E"/>
    <w:rsid w:val="008E46B6"/>
    <w:rsid w:val="008E5032"/>
    <w:rsid w:val="008E5491"/>
    <w:rsid w:val="008E5EA0"/>
    <w:rsid w:val="008E615E"/>
    <w:rsid w:val="008E64BA"/>
    <w:rsid w:val="008E70D5"/>
    <w:rsid w:val="008E7725"/>
    <w:rsid w:val="008E7987"/>
    <w:rsid w:val="008F0275"/>
    <w:rsid w:val="008F0A58"/>
    <w:rsid w:val="008F423B"/>
    <w:rsid w:val="008F5866"/>
    <w:rsid w:val="008F5BA1"/>
    <w:rsid w:val="008F7E67"/>
    <w:rsid w:val="009006AA"/>
    <w:rsid w:val="009029C1"/>
    <w:rsid w:val="0090569C"/>
    <w:rsid w:val="00905E6A"/>
    <w:rsid w:val="0090695D"/>
    <w:rsid w:val="00910E0D"/>
    <w:rsid w:val="00911097"/>
    <w:rsid w:val="0091213C"/>
    <w:rsid w:val="009127A4"/>
    <w:rsid w:val="00913409"/>
    <w:rsid w:val="009134A8"/>
    <w:rsid w:val="0091587D"/>
    <w:rsid w:val="00915C02"/>
    <w:rsid w:val="009162B1"/>
    <w:rsid w:val="00916E82"/>
    <w:rsid w:val="0091713F"/>
    <w:rsid w:val="009174FA"/>
    <w:rsid w:val="0091787E"/>
    <w:rsid w:val="00920932"/>
    <w:rsid w:val="00921B80"/>
    <w:rsid w:val="0092611A"/>
    <w:rsid w:val="00926693"/>
    <w:rsid w:val="009275EF"/>
    <w:rsid w:val="00927730"/>
    <w:rsid w:val="00930919"/>
    <w:rsid w:val="00931C11"/>
    <w:rsid w:val="0093427F"/>
    <w:rsid w:val="009347A0"/>
    <w:rsid w:val="00935971"/>
    <w:rsid w:val="00937869"/>
    <w:rsid w:val="00941F92"/>
    <w:rsid w:val="00945AA2"/>
    <w:rsid w:val="009472DD"/>
    <w:rsid w:val="0095046E"/>
    <w:rsid w:val="00950616"/>
    <w:rsid w:val="00951455"/>
    <w:rsid w:val="0095152D"/>
    <w:rsid w:val="00954C02"/>
    <w:rsid w:val="009560FB"/>
    <w:rsid w:val="00957C75"/>
    <w:rsid w:val="00960EA6"/>
    <w:rsid w:val="009635E4"/>
    <w:rsid w:val="009646C0"/>
    <w:rsid w:val="00964CB6"/>
    <w:rsid w:val="009654E8"/>
    <w:rsid w:val="009667A0"/>
    <w:rsid w:val="009668F7"/>
    <w:rsid w:val="009704C6"/>
    <w:rsid w:val="009709CA"/>
    <w:rsid w:val="00974ED6"/>
    <w:rsid w:val="009750A3"/>
    <w:rsid w:val="00975401"/>
    <w:rsid w:val="0097586E"/>
    <w:rsid w:val="009767FC"/>
    <w:rsid w:val="00976CC9"/>
    <w:rsid w:val="00977496"/>
    <w:rsid w:val="00977A70"/>
    <w:rsid w:val="00977B12"/>
    <w:rsid w:val="00977C5B"/>
    <w:rsid w:val="00980AF6"/>
    <w:rsid w:val="00980BAA"/>
    <w:rsid w:val="00982185"/>
    <w:rsid w:val="0098289D"/>
    <w:rsid w:val="009828BE"/>
    <w:rsid w:val="00983B0D"/>
    <w:rsid w:val="00983EA9"/>
    <w:rsid w:val="009857DF"/>
    <w:rsid w:val="00987908"/>
    <w:rsid w:val="00987BA2"/>
    <w:rsid w:val="0099033F"/>
    <w:rsid w:val="00990962"/>
    <w:rsid w:val="00991128"/>
    <w:rsid w:val="00992654"/>
    <w:rsid w:val="00992D3A"/>
    <w:rsid w:val="00992FC3"/>
    <w:rsid w:val="00993C59"/>
    <w:rsid w:val="00995C91"/>
    <w:rsid w:val="009970CB"/>
    <w:rsid w:val="009A0435"/>
    <w:rsid w:val="009A0DFE"/>
    <w:rsid w:val="009A132B"/>
    <w:rsid w:val="009A2875"/>
    <w:rsid w:val="009A361B"/>
    <w:rsid w:val="009A5393"/>
    <w:rsid w:val="009A5A1C"/>
    <w:rsid w:val="009A67F9"/>
    <w:rsid w:val="009A6A36"/>
    <w:rsid w:val="009A7324"/>
    <w:rsid w:val="009A77B5"/>
    <w:rsid w:val="009A7B36"/>
    <w:rsid w:val="009B0350"/>
    <w:rsid w:val="009B07A6"/>
    <w:rsid w:val="009B0C5A"/>
    <w:rsid w:val="009B11A1"/>
    <w:rsid w:val="009B1CC5"/>
    <w:rsid w:val="009B396D"/>
    <w:rsid w:val="009B3990"/>
    <w:rsid w:val="009B3E27"/>
    <w:rsid w:val="009B5D5C"/>
    <w:rsid w:val="009B682E"/>
    <w:rsid w:val="009B6E6F"/>
    <w:rsid w:val="009C097A"/>
    <w:rsid w:val="009C225F"/>
    <w:rsid w:val="009C484A"/>
    <w:rsid w:val="009C4923"/>
    <w:rsid w:val="009C589A"/>
    <w:rsid w:val="009C656F"/>
    <w:rsid w:val="009C6DD8"/>
    <w:rsid w:val="009C7BE2"/>
    <w:rsid w:val="009D02BD"/>
    <w:rsid w:val="009D0A21"/>
    <w:rsid w:val="009D0D1C"/>
    <w:rsid w:val="009D10FA"/>
    <w:rsid w:val="009D1155"/>
    <w:rsid w:val="009D18BA"/>
    <w:rsid w:val="009D2417"/>
    <w:rsid w:val="009D27D5"/>
    <w:rsid w:val="009D29F6"/>
    <w:rsid w:val="009D2D85"/>
    <w:rsid w:val="009D30FA"/>
    <w:rsid w:val="009D381D"/>
    <w:rsid w:val="009D4691"/>
    <w:rsid w:val="009D4EDF"/>
    <w:rsid w:val="009D5B2F"/>
    <w:rsid w:val="009D6702"/>
    <w:rsid w:val="009E0823"/>
    <w:rsid w:val="009E0CFF"/>
    <w:rsid w:val="009E224F"/>
    <w:rsid w:val="009E28D0"/>
    <w:rsid w:val="009E2E5D"/>
    <w:rsid w:val="009E4BB7"/>
    <w:rsid w:val="009E53F4"/>
    <w:rsid w:val="009E5F1F"/>
    <w:rsid w:val="009F2692"/>
    <w:rsid w:val="009F2C15"/>
    <w:rsid w:val="009F387B"/>
    <w:rsid w:val="009F49CB"/>
    <w:rsid w:val="009F5034"/>
    <w:rsid w:val="009F5762"/>
    <w:rsid w:val="009F6D26"/>
    <w:rsid w:val="009F6D59"/>
    <w:rsid w:val="00A006CB"/>
    <w:rsid w:val="00A012EF"/>
    <w:rsid w:val="00A01495"/>
    <w:rsid w:val="00A01980"/>
    <w:rsid w:val="00A01DE5"/>
    <w:rsid w:val="00A0200F"/>
    <w:rsid w:val="00A02490"/>
    <w:rsid w:val="00A03302"/>
    <w:rsid w:val="00A03456"/>
    <w:rsid w:val="00A07352"/>
    <w:rsid w:val="00A07D1C"/>
    <w:rsid w:val="00A10E93"/>
    <w:rsid w:val="00A1111D"/>
    <w:rsid w:val="00A12479"/>
    <w:rsid w:val="00A12C1C"/>
    <w:rsid w:val="00A14056"/>
    <w:rsid w:val="00A153C4"/>
    <w:rsid w:val="00A163EE"/>
    <w:rsid w:val="00A16982"/>
    <w:rsid w:val="00A17001"/>
    <w:rsid w:val="00A17456"/>
    <w:rsid w:val="00A17B06"/>
    <w:rsid w:val="00A20DFB"/>
    <w:rsid w:val="00A2105E"/>
    <w:rsid w:val="00A22DB1"/>
    <w:rsid w:val="00A23BBC"/>
    <w:rsid w:val="00A24034"/>
    <w:rsid w:val="00A24587"/>
    <w:rsid w:val="00A24921"/>
    <w:rsid w:val="00A26A48"/>
    <w:rsid w:val="00A30DAE"/>
    <w:rsid w:val="00A31D35"/>
    <w:rsid w:val="00A35460"/>
    <w:rsid w:val="00A35EFE"/>
    <w:rsid w:val="00A35FEC"/>
    <w:rsid w:val="00A37657"/>
    <w:rsid w:val="00A37A94"/>
    <w:rsid w:val="00A40B69"/>
    <w:rsid w:val="00A40D40"/>
    <w:rsid w:val="00A4205D"/>
    <w:rsid w:val="00A43904"/>
    <w:rsid w:val="00A512CE"/>
    <w:rsid w:val="00A523A0"/>
    <w:rsid w:val="00A52B61"/>
    <w:rsid w:val="00A53D65"/>
    <w:rsid w:val="00A564B2"/>
    <w:rsid w:val="00A57CF5"/>
    <w:rsid w:val="00A60CD8"/>
    <w:rsid w:val="00A6156B"/>
    <w:rsid w:val="00A616FD"/>
    <w:rsid w:val="00A61A22"/>
    <w:rsid w:val="00A63D7B"/>
    <w:rsid w:val="00A6665A"/>
    <w:rsid w:val="00A7228A"/>
    <w:rsid w:val="00A72DCC"/>
    <w:rsid w:val="00A73F43"/>
    <w:rsid w:val="00A742FB"/>
    <w:rsid w:val="00A759C6"/>
    <w:rsid w:val="00A775D6"/>
    <w:rsid w:val="00A77974"/>
    <w:rsid w:val="00A80568"/>
    <w:rsid w:val="00A81F2B"/>
    <w:rsid w:val="00A82CE0"/>
    <w:rsid w:val="00A83644"/>
    <w:rsid w:val="00A836EC"/>
    <w:rsid w:val="00A83C49"/>
    <w:rsid w:val="00A84710"/>
    <w:rsid w:val="00A85CAD"/>
    <w:rsid w:val="00A87C4A"/>
    <w:rsid w:val="00A87F1F"/>
    <w:rsid w:val="00A9004F"/>
    <w:rsid w:val="00A90324"/>
    <w:rsid w:val="00A91FD9"/>
    <w:rsid w:val="00A92197"/>
    <w:rsid w:val="00A93705"/>
    <w:rsid w:val="00A93881"/>
    <w:rsid w:val="00AA1292"/>
    <w:rsid w:val="00AA3B70"/>
    <w:rsid w:val="00AA40FD"/>
    <w:rsid w:val="00AA4365"/>
    <w:rsid w:val="00AA4B54"/>
    <w:rsid w:val="00AA505F"/>
    <w:rsid w:val="00AA5357"/>
    <w:rsid w:val="00AA7CF5"/>
    <w:rsid w:val="00AB0BF0"/>
    <w:rsid w:val="00AB1A32"/>
    <w:rsid w:val="00AB3D2D"/>
    <w:rsid w:val="00AB4EE9"/>
    <w:rsid w:val="00AB5E18"/>
    <w:rsid w:val="00AB6C21"/>
    <w:rsid w:val="00AB6D54"/>
    <w:rsid w:val="00AB7327"/>
    <w:rsid w:val="00AB7A32"/>
    <w:rsid w:val="00AC0DEC"/>
    <w:rsid w:val="00AC16CF"/>
    <w:rsid w:val="00AC19BC"/>
    <w:rsid w:val="00AC3751"/>
    <w:rsid w:val="00AC5BC9"/>
    <w:rsid w:val="00AC6A9D"/>
    <w:rsid w:val="00AC70C0"/>
    <w:rsid w:val="00AD1581"/>
    <w:rsid w:val="00AD3968"/>
    <w:rsid w:val="00AD3B2C"/>
    <w:rsid w:val="00AD4402"/>
    <w:rsid w:val="00AD7159"/>
    <w:rsid w:val="00AE0346"/>
    <w:rsid w:val="00AE1279"/>
    <w:rsid w:val="00AE1468"/>
    <w:rsid w:val="00AE2396"/>
    <w:rsid w:val="00AE3BDE"/>
    <w:rsid w:val="00AF0A67"/>
    <w:rsid w:val="00AF26F9"/>
    <w:rsid w:val="00AF5D18"/>
    <w:rsid w:val="00AF5D5D"/>
    <w:rsid w:val="00AF6A26"/>
    <w:rsid w:val="00AF6D66"/>
    <w:rsid w:val="00AF6DCD"/>
    <w:rsid w:val="00B00A1B"/>
    <w:rsid w:val="00B021A2"/>
    <w:rsid w:val="00B023F4"/>
    <w:rsid w:val="00B0287C"/>
    <w:rsid w:val="00B03649"/>
    <w:rsid w:val="00B04346"/>
    <w:rsid w:val="00B044FB"/>
    <w:rsid w:val="00B06FD1"/>
    <w:rsid w:val="00B1254D"/>
    <w:rsid w:val="00B13795"/>
    <w:rsid w:val="00B140BE"/>
    <w:rsid w:val="00B15EED"/>
    <w:rsid w:val="00B21154"/>
    <w:rsid w:val="00B21576"/>
    <w:rsid w:val="00B21A32"/>
    <w:rsid w:val="00B2367D"/>
    <w:rsid w:val="00B2483D"/>
    <w:rsid w:val="00B2506C"/>
    <w:rsid w:val="00B251AE"/>
    <w:rsid w:val="00B25841"/>
    <w:rsid w:val="00B269DC"/>
    <w:rsid w:val="00B27781"/>
    <w:rsid w:val="00B27E79"/>
    <w:rsid w:val="00B30126"/>
    <w:rsid w:val="00B309BA"/>
    <w:rsid w:val="00B31C1F"/>
    <w:rsid w:val="00B32D50"/>
    <w:rsid w:val="00B33631"/>
    <w:rsid w:val="00B34772"/>
    <w:rsid w:val="00B35CB9"/>
    <w:rsid w:val="00B362C1"/>
    <w:rsid w:val="00B36939"/>
    <w:rsid w:val="00B36DBD"/>
    <w:rsid w:val="00B3792B"/>
    <w:rsid w:val="00B37E96"/>
    <w:rsid w:val="00B40BB9"/>
    <w:rsid w:val="00B40DFB"/>
    <w:rsid w:val="00B441B0"/>
    <w:rsid w:val="00B45977"/>
    <w:rsid w:val="00B471F2"/>
    <w:rsid w:val="00B47BBE"/>
    <w:rsid w:val="00B47E55"/>
    <w:rsid w:val="00B5035B"/>
    <w:rsid w:val="00B50787"/>
    <w:rsid w:val="00B522A3"/>
    <w:rsid w:val="00B532B7"/>
    <w:rsid w:val="00B53509"/>
    <w:rsid w:val="00B54AE3"/>
    <w:rsid w:val="00B5504F"/>
    <w:rsid w:val="00B5591B"/>
    <w:rsid w:val="00B56B0F"/>
    <w:rsid w:val="00B57883"/>
    <w:rsid w:val="00B60EAB"/>
    <w:rsid w:val="00B6398D"/>
    <w:rsid w:val="00B64AF6"/>
    <w:rsid w:val="00B64B0D"/>
    <w:rsid w:val="00B65DBB"/>
    <w:rsid w:val="00B673AB"/>
    <w:rsid w:val="00B7334A"/>
    <w:rsid w:val="00B73AB8"/>
    <w:rsid w:val="00B745E0"/>
    <w:rsid w:val="00B74DE8"/>
    <w:rsid w:val="00B770BB"/>
    <w:rsid w:val="00B77C38"/>
    <w:rsid w:val="00B80892"/>
    <w:rsid w:val="00B80A82"/>
    <w:rsid w:val="00B81079"/>
    <w:rsid w:val="00B814FF"/>
    <w:rsid w:val="00B82FB3"/>
    <w:rsid w:val="00B83FE5"/>
    <w:rsid w:val="00B84849"/>
    <w:rsid w:val="00B8517E"/>
    <w:rsid w:val="00B8757F"/>
    <w:rsid w:val="00B906DD"/>
    <w:rsid w:val="00B92633"/>
    <w:rsid w:val="00B92E15"/>
    <w:rsid w:val="00B93343"/>
    <w:rsid w:val="00B942B0"/>
    <w:rsid w:val="00B95439"/>
    <w:rsid w:val="00BA115E"/>
    <w:rsid w:val="00BA1885"/>
    <w:rsid w:val="00BA2E6B"/>
    <w:rsid w:val="00BA3937"/>
    <w:rsid w:val="00BA521E"/>
    <w:rsid w:val="00BB02B5"/>
    <w:rsid w:val="00BB0D74"/>
    <w:rsid w:val="00BB18F8"/>
    <w:rsid w:val="00BB1A36"/>
    <w:rsid w:val="00BB1F76"/>
    <w:rsid w:val="00BB20B7"/>
    <w:rsid w:val="00BB26BF"/>
    <w:rsid w:val="00BB3058"/>
    <w:rsid w:val="00BB32B9"/>
    <w:rsid w:val="00BB44FA"/>
    <w:rsid w:val="00BB4974"/>
    <w:rsid w:val="00BB49E1"/>
    <w:rsid w:val="00BB4C2F"/>
    <w:rsid w:val="00BB5F87"/>
    <w:rsid w:val="00BB6041"/>
    <w:rsid w:val="00BB728B"/>
    <w:rsid w:val="00BC0180"/>
    <w:rsid w:val="00BC1A3E"/>
    <w:rsid w:val="00BC1DA4"/>
    <w:rsid w:val="00BC393B"/>
    <w:rsid w:val="00BC3C0D"/>
    <w:rsid w:val="00BC40A9"/>
    <w:rsid w:val="00BC70FA"/>
    <w:rsid w:val="00BD46E3"/>
    <w:rsid w:val="00BD50DF"/>
    <w:rsid w:val="00BD6B22"/>
    <w:rsid w:val="00BD7055"/>
    <w:rsid w:val="00BD7D93"/>
    <w:rsid w:val="00BD7DE9"/>
    <w:rsid w:val="00BE091F"/>
    <w:rsid w:val="00BE26C8"/>
    <w:rsid w:val="00BE4576"/>
    <w:rsid w:val="00BE4FBD"/>
    <w:rsid w:val="00BE750A"/>
    <w:rsid w:val="00BE7F8B"/>
    <w:rsid w:val="00BF0ED7"/>
    <w:rsid w:val="00BF3181"/>
    <w:rsid w:val="00BF39C1"/>
    <w:rsid w:val="00BF39E8"/>
    <w:rsid w:val="00BF69D1"/>
    <w:rsid w:val="00C03201"/>
    <w:rsid w:val="00C0383B"/>
    <w:rsid w:val="00C0559F"/>
    <w:rsid w:val="00C059E5"/>
    <w:rsid w:val="00C0667C"/>
    <w:rsid w:val="00C06C56"/>
    <w:rsid w:val="00C0784D"/>
    <w:rsid w:val="00C07986"/>
    <w:rsid w:val="00C129E5"/>
    <w:rsid w:val="00C13D89"/>
    <w:rsid w:val="00C14959"/>
    <w:rsid w:val="00C150C2"/>
    <w:rsid w:val="00C1685F"/>
    <w:rsid w:val="00C214D3"/>
    <w:rsid w:val="00C230FC"/>
    <w:rsid w:val="00C237AC"/>
    <w:rsid w:val="00C244D6"/>
    <w:rsid w:val="00C249BE"/>
    <w:rsid w:val="00C24CE1"/>
    <w:rsid w:val="00C25391"/>
    <w:rsid w:val="00C25FF9"/>
    <w:rsid w:val="00C30171"/>
    <w:rsid w:val="00C3154C"/>
    <w:rsid w:val="00C31BE9"/>
    <w:rsid w:val="00C37EFA"/>
    <w:rsid w:val="00C40F16"/>
    <w:rsid w:val="00C416D4"/>
    <w:rsid w:val="00C41B36"/>
    <w:rsid w:val="00C42BF6"/>
    <w:rsid w:val="00C42EF5"/>
    <w:rsid w:val="00C46E4F"/>
    <w:rsid w:val="00C47972"/>
    <w:rsid w:val="00C520EE"/>
    <w:rsid w:val="00C52E86"/>
    <w:rsid w:val="00C548B8"/>
    <w:rsid w:val="00C54EA2"/>
    <w:rsid w:val="00C555C8"/>
    <w:rsid w:val="00C55DC8"/>
    <w:rsid w:val="00C55DCA"/>
    <w:rsid w:val="00C57244"/>
    <w:rsid w:val="00C57684"/>
    <w:rsid w:val="00C57C34"/>
    <w:rsid w:val="00C616DD"/>
    <w:rsid w:val="00C6242F"/>
    <w:rsid w:val="00C63148"/>
    <w:rsid w:val="00C638B6"/>
    <w:rsid w:val="00C6592A"/>
    <w:rsid w:val="00C6595D"/>
    <w:rsid w:val="00C65986"/>
    <w:rsid w:val="00C67785"/>
    <w:rsid w:val="00C7072D"/>
    <w:rsid w:val="00C71E15"/>
    <w:rsid w:val="00C73110"/>
    <w:rsid w:val="00C73B90"/>
    <w:rsid w:val="00C75A54"/>
    <w:rsid w:val="00C7776B"/>
    <w:rsid w:val="00C8087A"/>
    <w:rsid w:val="00C81233"/>
    <w:rsid w:val="00C8423A"/>
    <w:rsid w:val="00C85E55"/>
    <w:rsid w:val="00C86AFB"/>
    <w:rsid w:val="00C90CE3"/>
    <w:rsid w:val="00C90EA6"/>
    <w:rsid w:val="00C91813"/>
    <w:rsid w:val="00C92783"/>
    <w:rsid w:val="00C92A00"/>
    <w:rsid w:val="00C94268"/>
    <w:rsid w:val="00C946FA"/>
    <w:rsid w:val="00C94775"/>
    <w:rsid w:val="00C969E8"/>
    <w:rsid w:val="00C96E2E"/>
    <w:rsid w:val="00C97EFE"/>
    <w:rsid w:val="00CA03A6"/>
    <w:rsid w:val="00CA0CBD"/>
    <w:rsid w:val="00CA3284"/>
    <w:rsid w:val="00CA336C"/>
    <w:rsid w:val="00CA33B3"/>
    <w:rsid w:val="00CA3FA7"/>
    <w:rsid w:val="00CA4D16"/>
    <w:rsid w:val="00CA687D"/>
    <w:rsid w:val="00CB08BE"/>
    <w:rsid w:val="00CB2C70"/>
    <w:rsid w:val="00CB2E0D"/>
    <w:rsid w:val="00CB3359"/>
    <w:rsid w:val="00CB3388"/>
    <w:rsid w:val="00CB372E"/>
    <w:rsid w:val="00CB5DFA"/>
    <w:rsid w:val="00CB7302"/>
    <w:rsid w:val="00CC0D51"/>
    <w:rsid w:val="00CC1547"/>
    <w:rsid w:val="00CC1896"/>
    <w:rsid w:val="00CC2506"/>
    <w:rsid w:val="00CC361E"/>
    <w:rsid w:val="00CC3785"/>
    <w:rsid w:val="00CC4615"/>
    <w:rsid w:val="00CC7776"/>
    <w:rsid w:val="00CC7EDF"/>
    <w:rsid w:val="00CD2307"/>
    <w:rsid w:val="00CD2997"/>
    <w:rsid w:val="00CD386E"/>
    <w:rsid w:val="00CD53A4"/>
    <w:rsid w:val="00CD66AB"/>
    <w:rsid w:val="00CD7679"/>
    <w:rsid w:val="00CD7C0D"/>
    <w:rsid w:val="00CE08B6"/>
    <w:rsid w:val="00CE0DCF"/>
    <w:rsid w:val="00CE0DDE"/>
    <w:rsid w:val="00CE0EB6"/>
    <w:rsid w:val="00CE16D3"/>
    <w:rsid w:val="00CE39ED"/>
    <w:rsid w:val="00CE42F0"/>
    <w:rsid w:val="00CE5D11"/>
    <w:rsid w:val="00CE6991"/>
    <w:rsid w:val="00CE6E74"/>
    <w:rsid w:val="00CF11C6"/>
    <w:rsid w:val="00CF1465"/>
    <w:rsid w:val="00CF15C6"/>
    <w:rsid w:val="00CF241E"/>
    <w:rsid w:val="00CF2966"/>
    <w:rsid w:val="00CF42F5"/>
    <w:rsid w:val="00CF4966"/>
    <w:rsid w:val="00CF49D5"/>
    <w:rsid w:val="00D002D3"/>
    <w:rsid w:val="00D02CFA"/>
    <w:rsid w:val="00D04004"/>
    <w:rsid w:val="00D0420C"/>
    <w:rsid w:val="00D04CBF"/>
    <w:rsid w:val="00D0670B"/>
    <w:rsid w:val="00D06894"/>
    <w:rsid w:val="00D06B66"/>
    <w:rsid w:val="00D07182"/>
    <w:rsid w:val="00D07755"/>
    <w:rsid w:val="00D10735"/>
    <w:rsid w:val="00D10C28"/>
    <w:rsid w:val="00D11677"/>
    <w:rsid w:val="00D11E15"/>
    <w:rsid w:val="00D124B9"/>
    <w:rsid w:val="00D136DC"/>
    <w:rsid w:val="00D153B6"/>
    <w:rsid w:val="00D16485"/>
    <w:rsid w:val="00D16B0C"/>
    <w:rsid w:val="00D17A7B"/>
    <w:rsid w:val="00D17D11"/>
    <w:rsid w:val="00D21336"/>
    <w:rsid w:val="00D21EA7"/>
    <w:rsid w:val="00D239E3"/>
    <w:rsid w:val="00D26BE5"/>
    <w:rsid w:val="00D27780"/>
    <w:rsid w:val="00D2788F"/>
    <w:rsid w:val="00D2794B"/>
    <w:rsid w:val="00D27F7B"/>
    <w:rsid w:val="00D30D16"/>
    <w:rsid w:val="00D341BC"/>
    <w:rsid w:val="00D34E13"/>
    <w:rsid w:val="00D36F17"/>
    <w:rsid w:val="00D40DD5"/>
    <w:rsid w:val="00D4164E"/>
    <w:rsid w:val="00D427EB"/>
    <w:rsid w:val="00D434AA"/>
    <w:rsid w:val="00D43C84"/>
    <w:rsid w:val="00D44BF2"/>
    <w:rsid w:val="00D45513"/>
    <w:rsid w:val="00D45B98"/>
    <w:rsid w:val="00D45F1C"/>
    <w:rsid w:val="00D473F4"/>
    <w:rsid w:val="00D477A9"/>
    <w:rsid w:val="00D5103C"/>
    <w:rsid w:val="00D522CE"/>
    <w:rsid w:val="00D532E8"/>
    <w:rsid w:val="00D53D06"/>
    <w:rsid w:val="00D54D2A"/>
    <w:rsid w:val="00D57374"/>
    <w:rsid w:val="00D629DF"/>
    <w:rsid w:val="00D6561C"/>
    <w:rsid w:val="00D67A1C"/>
    <w:rsid w:val="00D70F84"/>
    <w:rsid w:val="00D734BA"/>
    <w:rsid w:val="00D74146"/>
    <w:rsid w:val="00D74BC3"/>
    <w:rsid w:val="00D75780"/>
    <w:rsid w:val="00D75880"/>
    <w:rsid w:val="00D75D8A"/>
    <w:rsid w:val="00D77E4A"/>
    <w:rsid w:val="00D806B7"/>
    <w:rsid w:val="00D806F1"/>
    <w:rsid w:val="00D81636"/>
    <w:rsid w:val="00D83301"/>
    <w:rsid w:val="00D83FA2"/>
    <w:rsid w:val="00D8415F"/>
    <w:rsid w:val="00D858E4"/>
    <w:rsid w:val="00D86A78"/>
    <w:rsid w:val="00D87CD5"/>
    <w:rsid w:val="00D904B4"/>
    <w:rsid w:val="00D94F7A"/>
    <w:rsid w:val="00D95FA6"/>
    <w:rsid w:val="00D96381"/>
    <w:rsid w:val="00D9648D"/>
    <w:rsid w:val="00DA07EB"/>
    <w:rsid w:val="00DA2FD8"/>
    <w:rsid w:val="00DA5518"/>
    <w:rsid w:val="00DA7939"/>
    <w:rsid w:val="00DB0321"/>
    <w:rsid w:val="00DB0360"/>
    <w:rsid w:val="00DB078C"/>
    <w:rsid w:val="00DB0A85"/>
    <w:rsid w:val="00DB2539"/>
    <w:rsid w:val="00DB2EBD"/>
    <w:rsid w:val="00DB5EFC"/>
    <w:rsid w:val="00DB5F71"/>
    <w:rsid w:val="00DB6BE5"/>
    <w:rsid w:val="00DB79FE"/>
    <w:rsid w:val="00DC037E"/>
    <w:rsid w:val="00DC0A81"/>
    <w:rsid w:val="00DC1F30"/>
    <w:rsid w:val="00DC2AE0"/>
    <w:rsid w:val="00DC2E4D"/>
    <w:rsid w:val="00DC336D"/>
    <w:rsid w:val="00DC5D0A"/>
    <w:rsid w:val="00DC6C24"/>
    <w:rsid w:val="00DC7F47"/>
    <w:rsid w:val="00DD02DC"/>
    <w:rsid w:val="00DD0A44"/>
    <w:rsid w:val="00DD186D"/>
    <w:rsid w:val="00DD2549"/>
    <w:rsid w:val="00DD2769"/>
    <w:rsid w:val="00DD2F86"/>
    <w:rsid w:val="00DD3089"/>
    <w:rsid w:val="00DD3A45"/>
    <w:rsid w:val="00DD4218"/>
    <w:rsid w:val="00DD61C5"/>
    <w:rsid w:val="00DD71FF"/>
    <w:rsid w:val="00DE0010"/>
    <w:rsid w:val="00DE14DC"/>
    <w:rsid w:val="00DE16A0"/>
    <w:rsid w:val="00DE24AD"/>
    <w:rsid w:val="00DE2940"/>
    <w:rsid w:val="00DE39B0"/>
    <w:rsid w:val="00DE5BAE"/>
    <w:rsid w:val="00DE63FD"/>
    <w:rsid w:val="00DE683D"/>
    <w:rsid w:val="00DF57BB"/>
    <w:rsid w:val="00DF5BD4"/>
    <w:rsid w:val="00DF667A"/>
    <w:rsid w:val="00DF7BEC"/>
    <w:rsid w:val="00E01DFC"/>
    <w:rsid w:val="00E02473"/>
    <w:rsid w:val="00E02A32"/>
    <w:rsid w:val="00E04D4C"/>
    <w:rsid w:val="00E05B97"/>
    <w:rsid w:val="00E06D6D"/>
    <w:rsid w:val="00E078FC"/>
    <w:rsid w:val="00E11148"/>
    <w:rsid w:val="00E13442"/>
    <w:rsid w:val="00E13C3A"/>
    <w:rsid w:val="00E15FE9"/>
    <w:rsid w:val="00E16C26"/>
    <w:rsid w:val="00E213A8"/>
    <w:rsid w:val="00E22C68"/>
    <w:rsid w:val="00E23346"/>
    <w:rsid w:val="00E240E3"/>
    <w:rsid w:val="00E25B0C"/>
    <w:rsid w:val="00E27787"/>
    <w:rsid w:val="00E27A53"/>
    <w:rsid w:val="00E300ED"/>
    <w:rsid w:val="00E30CAD"/>
    <w:rsid w:val="00E343B0"/>
    <w:rsid w:val="00E37DEF"/>
    <w:rsid w:val="00E41555"/>
    <w:rsid w:val="00E41D3F"/>
    <w:rsid w:val="00E44E95"/>
    <w:rsid w:val="00E4563D"/>
    <w:rsid w:val="00E46784"/>
    <w:rsid w:val="00E47EC1"/>
    <w:rsid w:val="00E52FE5"/>
    <w:rsid w:val="00E53623"/>
    <w:rsid w:val="00E5388E"/>
    <w:rsid w:val="00E53FC5"/>
    <w:rsid w:val="00E56483"/>
    <w:rsid w:val="00E5789A"/>
    <w:rsid w:val="00E57A89"/>
    <w:rsid w:val="00E603BF"/>
    <w:rsid w:val="00E60880"/>
    <w:rsid w:val="00E624FB"/>
    <w:rsid w:val="00E62E19"/>
    <w:rsid w:val="00E63239"/>
    <w:rsid w:val="00E64574"/>
    <w:rsid w:val="00E6565F"/>
    <w:rsid w:val="00E65DB7"/>
    <w:rsid w:val="00E71292"/>
    <w:rsid w:val="00E735D4"/>
    <w:rsid w:val="00E74873"/>
    <w:rsid w:val="00E74881"/>
    <w:rsid w:val="00E749AB"/>
    <w:rsid w:val="00E74C8F"/>
    <w:rsid w:val="00E757CA"/>
    <w:rsid w:val="00E75F1E"/>
    <w:rsid w:val="00E77601"/>
    <w:rsid w:val="00E812B7"/>
    <w:rsid w:val="00E84960"/>
    <w:rsid w:val="00E8527B"/>
    <w:rsid w:val="00E85503"/>
    <w:rsid w:val="00E86A67"/>
    <w:rsid w:val="00E879E2"/>
    <w:rsid w:val="00E90BE9"/>
    <w:rsid w:val="00E93FC4"/>
    <w:rsid w:val="00E94D49"/>
    <w:rsid w:val="00E957D6"/>
    <w:rsid w:val="00E97F7E"/>
    <w:rsid w:val="00EA06EE"/>
    <w:rsid w:val="00EA11AB"/>
    <w:rsid w:val="00EA2BEA"/>
    <w:rsid w:val="00EA5D74"/>
    <w:rsid w:val="00EA63C1"/>
    <w:rsid w:val="00EA6767"/>
    <w:rsid w:val="00EA78F6"/>
    <w:rsid w:val="00EB01B9"/>
    <w:rsid w:val="00EB1148"/>
    <w:rsid w:val="00EB2988"/>
    <w:rsid w:val="00EB3ABE"/>
    <w:rsid w:val="00EB42F7"/>
    <w:rsid w:val="00EB459D"/>
    <w:rsid w:val="00EB4973"/>
    <w:rsid w:val="00EB58C4"/>
    <w:rsid w:val="00EB777F"/>
    <w:rsid w:val="00EC1279"/>
    <w:rsid w:val="00EC3779"/>
    <w:rsid w:val="00EC3A41"/>
    <w:rsid w:val="00EC7742"/>
    <w:rsid w:val="00EC79F6"/>
    <w:rsid w:val="00EC7BE7"/>
    <w:rsid w:val="00ED00BE"/>
    <w:rsid w:val="00ED0FAD"/>
    <w:rsid w:val="00ED1808"/>
    <w:rsid w:val="00ED65BE"/>
    <w:rsid w:val="00ED6A61"/>
    <w:rsid w:val="00ED7120"/>
    <w:rsid w:val="00EE2041"/>
    <w:rsid w:val="00EE32AC"/>
    <w:rsid w:val="00EE5591"/>
    <w:rsid w:val="00EE6FB9"/>
    <w:rsid w:val="00EE7538"/>
    <w:rsid w:val="00EF04DD"/>
    <w:rsid w:val="00EF0FDC"/>
    <w:rsid w:val="00EF1E5F"/>
    <w:rsid w:val="00EF1E9F"/>
    <w:rsid w:val="00EF23A9"/>
    <w:rsid w:val="00EF2E9F"/>
    <w:rsid w:val="00EF4325"/>
    <w:rsid w:val="00F0096F"/>
    <w:rsid w:val="00F020EE"/>
    <w:rsid w:val="00F02568"/>
    <w:rsid w:val="00F03CD9"/>
    <w:rsid w:val="00F05F9E"/>
    <w:rsid w:val="00F061A1"/>
    <w:rsid w:val="00F06C33"/>
    <w:rsid w:val="00F106D9"/>
    <w:rsid w:val="00F12DBD"/>
    <w:rsid w:val="00F14727"/>
    <w:rsid w:val="00F14800"/>
    <w:rsid w:val="00F14866"/>
    <w:rsid w:val="00F160B9"/>
    <w:rsid w:val="00F16123"/>
    <w:rsid w:val="00F168CE"/>
    <w:rsid w:val="00F16BC6"/>
    <w:rsid w:val="00F200D1"/>
    <w:rsid w:val="00F2018B"/>
    <w:rsid w:val="00F207AC"/>
    <w:rsid w:val="00F20E05"/>
    <w:rsid w:val="00F2341F"/>
    <w:rsid w:val="00F23442"/>
    <w:rsid w:val="00F23D4C"/>
    <w:rsid w:val="00F23EE7"/>
    <w:rsid w:val="00F24030"/>
    <w:rsid w:val="00F24EC9"/>
    <w:rsid w:val="00F25B08"/>
    <w:rsid w:val="00F2691C"/>
    <w:rsid w:val="00F27F95"/>
    <w:rsid w:val="00F302CF"/>
    <w:rsid w:val="00F309B7"/>
    <w:rsid w:val="00F334AE"/>
    <w:rsid w:val="00F33728"/>
    <w:rsid w:val="00F349CA"/>
    <w:rsid w:val="00F35649"/>
    <w:rsid w:val="00F35734"/>
    <w:rsid w:val="00F36682"/>
    <w:rsid w:val="00F37BAF"/>
    <w:rsid w:val="00F405B2"/>
    <w:rsid w:val="00F408E9"/>
    <w:rsid w:val="00F40D0E"/>
    <w:rsid w:val="00F42731"/>
    <w:rsid w:val="00F44713"/>
    <w:rsid w:val="00F45D99"/>
    <w:rsid w:val="00F46C8A"/>
    <w:rsid w:val="00F47574"/>
    <w:rsid w:val="00F50F23"/>
    <w:rsid w:val="00F52828"/>
    <w:rsid w:val="00F53C14"/>
    <w:rsid w:val="00F5722F"/>
    <w:rsid w:val="00F57AC4"/>
    <w:rsid w:val="00F609F1"/>
    <w:rsid w:val="00F63241"/>
    <w:rsid w:val="00F655B3"/>
    <w:rsid w:val="00F658F6"/>
    <w:rsid w:val="00F66585"/>
    <w:rsid w:val="00F666AF"/>
    <w:rsid w:val="00F677F7"/>
    <w:rsid w:val="00F70FD6"/>
    <w:rsid w:val="00F745CE"/>
    <w:rsid w:val="00F7559C"/>
    <w:rsid w:val="00F761F2"/>
    <w:rsid w:val="00F76A1F"/>
    <w:rsid w:val="00F7736C"/>
    <w:rsid w:val="00F80A65"/>
    <w:rsid w:val="00F80E91"/>
    <w:rsid w:val="00F8100F"/>
    <w:rsid w:val="00F81C18"/>
    <w:rsid w:val="00F81CEF"/>
    <w:rsid w:val="00F8306E"/>
    <w:rsid w:val="00F832C2"/>
    <w:rsid w:val="00F84169"/>
    <w:rsid w:val="00F84C78"/>
    <w:rsid w:val="00F85093"/>
    <w:rsid w:val="00F86230"/>
    <w:rsid w:val="00F87454"/>
    <w:rsid w:val="00F9007B"/>
    <w:rsid w:val="00F9070F"/>
    <w:rsid w:val="00F9113F"/>
    <w:rsid w:val="00F91B10"/>
    <w:rsid w:val="00F91D77"/>
    <w:rsid w:val="00F920EF"/>
    <w:rsid w:val="00F92415"/>
    <w:rsid w:val="00F94384"/>
    <w:rsid w:val="00F965B4"/>
    <w:rsid w:val="00F965D7"/>
    <w:rsid w:val="00F97894"/>
    <w:rsid w:val="00FA00C9"/>
    <w:rsid w:val="00FA16A4"/>
    <w:rsid w:val="00FA2202"/>
    <w:rsid w:val="00FA2977"/>
    <w:rsid w:val="00FA3896"/>
    <w:rsid w:val="00FA39FB"/>
    <w:rsid w:val="00FA586D"/>
    <w:rsid w:val="00FA5958"/>
    <w:rsid w:val="00FA6526"/>
    <w:rsid w:val="00FA7CA3"/>
    <w:rsid w:val="00FB1AD4"/>
    <w:rsid w:val="00FB1CFD"/>
    <w:rsid w:val="00FB2CCC"/>
    <w:rsid w:val="00FB479B"/>
    <w:rsid w:val="00FB4875"/>
    <w:rsid w:val="00FB4BD9"/>
    <w:rsid w:val="00FB597A"/>
    <w:rsid w:val="00FB69FC"/>
    <w:rsid w:val="00FC08B9"/>
    <w:rsid w:val="00FC1057"/>
    <w:rsid w:val="00FC19E6"/>
    <w:rsid w:val="00FC2D12"/>
    <w:rsid w:val="00FC3DCD"/>
    <w:rsid w:val="00FC3E90"/>
    <w:rsid w:val="00FC4148"/>
    <w:rsid w:val="00FC4932"/>
    <w:rsid w:val="00FC4E10"/>
    <w:rsid w:val="00FC5AA3"/>
    <w:rsid w:val="00FC6A9C"/>
    <w:rsid w:val="00FC6D4B"/>
    <w:rsid w:val="00FD1482"/>
    <w:rsid w:val="00FD280B"/>
    <w:rsid w:val="00FD338D"/>
    <w:rsid w:val="00FD3B1D"/>
    <w:rsid w:val="00FD3F95"/>
    <w:rsid w:val="00FD4035"/>
    <w:rsid w:val="00FD41CB"/>
    <w:rsid w:val="00FD429D"/>
    <w:rsid w:val="00FD47FA"/>
    <w:rsid w:val="00FD5F1B"/>
    <w:rsid w:val="00FD67C9"/>
    <w:rsid w:val="00FD767F"/>
    <w:rsid w:val="00FE2DBB"/>
    <w:rsid w:val="00FE3A06"/>
    <w:rsid w:val="00FE3B76"/>
    <w:rsid w:val="00FE4E78"/>
    <w:rsid w:val="00FE5D5C"/>
    <w:rsid w:val="00FE61C8"/>
    <w:rsid w:val="00FE69F5"/>
    <w:rsid w:val="00FE6C4F"/>
    <w:rsid w:val="00FF150B"/>
    <w:rsid w:val="00FF1A03"/>
    <w:rsid w:val="00FF31B6"/>
    <w:rsid w:val="00FF392A"/>
    <w:rsid w:val="00FF3F32"/>
    <w:rsid w:val="00FF4114"/>
    <w:rsid w:val="00FF67F5"/>
    <w:rsid w:val="00FF688F"/>
    <w:rsid w:val="09E49B27"/>
    <w:rsid w:val="0D36354F"/>
    <w:rsid w:val="0D777A85"/>
    <w:rsid w:val="0E68E9F8"/>
    <w:rsid w:val="0E7C9013"/>
    <w:rsid w:val="0EB88694"/>
    <w:rsid w:val="0FA50563"/>
    <w:rsid w:val="106C12DF"/>
    <w:rsid w:val="11346E05"/>
    <w:rsid w:val="180B6223"/>
    <w:rsid w:val="1A1FB2BA"/>
    <w:rsid w:val="22C2C52B"/>
    <w:rsid w:val="2685BF72"/>
    <w:rsid w:val="2E3FACFC"/>
    <w:rsid w:val="2FBED146"/>
    <w:rsid w:val="31833A4C"/>
    <w:rsid w:val="331D8FAA"/>
    <w:rsid w:val="33A651C3"/>
    <w:rsid w:val="3690AC8B"/>
    <w:rsid w:val="3979240A"/>
    <w:rsid w:val="3D791DD4"/>
    <w:rsid w:val="3FF71F81"/>
    <w:rsid w:val="4A94786F"/>
    <w:rsid w:val="4AE5D163"/>
    <w:rsid w:val="4D99D95C"/>
    <w:rsid w:val="552FB520"/>
    <w:rsid w:val="559BCFD6"/>
    <w:rsid w:val="61F33ECB"/>
    <w:rsid w:val="6479C97C"/>
    <w:rsid w:val="662FE7EF"/>
    <w:rsid w:val="66A8BA27"/>
    <w:rsid w:val="683D92DE"/>
    <w:rsid w:val="6966F139"/>
    <w:rsid w:val="6B9F3B08"/>
    <w:rsid w:val="6E38805B"/>
    <w:rsid w:val="6E61C557"/>
    <w:rsid w:val="74B94C1B"/>
    <w:rsid w:val="792A2DAF"/>
    <w:rsid w:val="79F1DEDC"/>
    <w:rsid w:val="7D8595C3"/>
  </w:rsids>
  <m:mathPr>
    <m:mathFont m:val="Cambria Math"/>
    <m:brkBin m:val="before"/>
    <m:brkBinSub m:val="--"/>
    <m:smallFrac m:val="0"/>
    <m:dispDef/>
    <m:lMargin m:val="0"/>
    <m:rMargin m:val="0"/>
    <m:defJc m:val="centerGroup"/>
    <m:wrapIndent m:val="1440"/>
    <m:intLim m:val="subSup"/>
    <m:naryLim m:val="undOvr"/>
  </m:mathPr>
  <w:themeFontLang w:val="en-AU"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99739"/>
  <w15:docId w15:val="{40EA77E9-3719-4904-9A37-6F1F06AF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D02"/>
    <w:pPr>
      <w:widowControl/>
      <w:spacing w:line="240" w:lineRule="auto"/>
      <w:jc w:val="both"/>
    </w:pPr>
    <w:rPr>
      <w:rFonts w:ascii="Times New Roman" w:hAnsi="Times New Roman"/>
      <w:lang w:val="en-AU"/>
    </w:rPr>
  </w:style>
  <w:style w:type="paragraph" w:styleId="Heading1">
    <w:name w:val="heading 1"/>
    <w:aliases w:val="BMS Heading 1"/>
    <w:basedOn w:val="Normal"/>
    <w:link w:val="Heading1Char"/>
    <w:qFormat/>
    <w:rsid w:val="000B2864"/>
    <w:pPr>
      <w:keepNext/>
      <w:keepLines/>
      <w:numPr>
        <w:numId w:val="18"/>
      </w:numPr>
      <w:tabs>
        <w:tab w:val="left" w:pos="1152"/>
      </w:tabs>
      <w:spacing w:before="120"/>
      <w:ind w:left="357" w:hanging="357"/>
      <w:outlineLvl w:val="0"/>
    </w:pPr>
    <w:rPr>
      <w:rFonts w:ascii="Times New Roman Bold" w:eastAsiaTheme="majorEastAsia" w:hAnsi="Times New Roman Bold" w:cstheme="majorBidi"/>
      <w:b/>
      <w:caps/>
      <w:sz w:val="28"/>
      <w:szCs w:val="32"/>
    </w:rPr>
  </w:style>
  <w:style w:type="paragraph" w:styleId="Heading2">
    <w:name w:val="heading 2"/>
    <w:aliases w:val="BMS Heading 2"/>
    <w:link w:val="Heading2Char"/>
    <w:unhideWhenUsed/>
    <w:qFormat/>
    <w:rsid w:val="00B362C1"/>
    <w:pPr>
      <w:keepNext/>
      <w:keepLines/>
      <w:tabs>
        <w:tab w:val="left" w:pos="1152"/>
      </w:tabs>
      <w:spacing w:after="120" w:line="240" w:lineRule="auto"/>
      <w:ind w:left="539" w:hanging="539"/>
      <w:outlineLvl w:val="1"/>
    </w:pPr>
    <w:rPr>
      <w:rFonts w:ascii="Times New Roman Bold" w:eastAsiaTheme="majorEastAsia" w:hAnsi="Times New Roman Bold" w:cstheme="majorBidi"/>
      <w:b/>
      <w:caps/>
      <w:sz w:val="26"/>
      <w:szCs w:val="26"/>
      <w:lang w:val="en-AU"/>
    </w:rPr>
  </w:style>
  <w:style w:type="paragraph" w:styleId="Heading3">
    <w:name w:val="heading 3"/>
    <w:aliases w:val="BMS Heading 3"/>
    <w:basedOn w:val="Normal"/>
    <w:link w:val="Heading3Char"/>
    <w:unhideWhenUsed/>
    <w:qFormat/>
    <w:rsid w:val="007814B4"/>
    <w:pPr>
      <w:keepNext/>
      <w:keepLines/>
      <w:tabs>
        <w:tab w:val="left" w:pos="1152"/>
      </w:tabs>
      <w:spacing w:before="120"/>
      <w:ind w:left="1151" w:hanging="1151"/>
      <w:outlineLvl w:val="2"/>
    </w:pPr>
    <w:rPr>
      <w:rFonts w:eastAsiaTheme="majorEastAsia" w:cstheme="majorBidi"/>
      <w:b/>
      <w:sz w:val="24"/>
      <w:szCs w:val="24"/>
    </w:rPr>
  </w:style>
  <w:style w:type="paragraph" w:styleId="Heading4">
    <w:name w:val="heading 4"/>
    <w:aliases w:val="BMS Heading 4"/>
    <w:basedOn w:val="Normal"/>
    <w:link w:val="Heading4Char"/>
    <w:unhideWhenUsed/>
    <w:qFormat/>
    <w:rsid w:val="000D6D7D"/>
    <w:pPr>
      <w:keepNext/>
      <w:keepLines/>
      <w:tabs>
        <w:tab w:val="left" w:pos="1152"/>
      </w:tabs>
      <w:spacing w:before="120"/>
      <w:ind w:hanging="1152"/>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nhideWhenUsed/>
    <w:qFormat/>
    <w:rsid w:val="000D6D7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nhideWhenUsed/>
    <w:qFormat/>
    <w:rsid w:val="000D6D7D"/>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nhideWhenUsed/>
    <w:qFormat/>
    <w:rsid w:val="000D6D7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nhideWhenUsed/>
    <w:qFormat/>
    <w:rsid w:val="000D6D7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nhideWhenUsed/>
    <w:qFormat/>
    <w:rsid w:val="000D6D7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E82"/>
    <w:pPr>
      <w:tabs>
        <w:tab w:val="center" w:pos="4513"/>
        <w:tab w:val="right" w:pos="9026"/>
      </w:tabs>
      <w:spacing w:after="0"/>
    </w:pPr>
  </w:style>
  <w:style w:type="character" w:customStyle="1" w:styleId="HeaderChar">
    <w:name w:val="Header Char"/>
    <w:basedOn w:val="DefaultParagraphFont"/>
    <w:link w:val="Header"/>
    <w:uiPriority w:val="99"/>
    <w:rsid w:val="00916E82"/>
  </w:style>
  <w:style w:type="paragraph" w:styleId="Footer">
    <w:name w:val="footer"/>
    <w:basedOn w:val="Normal"/>
    <w:link w:val="FooterChar"/>
    <w:unhideWhenUsed/>
    <w:qFormat/>
    <w:rsid w:val="00916E82"/>
    <w:pPr>
      <w:tabs>
        <w:tab w:val="center" w:pos="4513"/>
        <w:tab w:val="right" w:pos="9026"/>
      </w:tabs>
      <w:spacing w:after="0"/>
    </w:pPr>
  </w:style>
  <w:style w:type="character" w:customStyle="1" w:styleId="FooterChar">
    <w:name w:val="Footer Char"/>
    <w:basedOn w:val="DefaultParagraphFont"/>
    <w:link w:val="Footer"/>
    <w:rsid w:val="00916E82"/>
  </w:style>
  <w:style w:type="paragraph" w:styleId="BalloonText">
    <w:name w:val="Balloon Text"/>
    <w:basedOn w:val="Normal"/>
    <w:link w:val="BalloonTextChar"/>
    <w:unhideWhenUsed/>
    <w:rsid w:val="00916E82"/>
    <w:pPr>
      <w:spacing w:after="0"/>
    </w:pPr>
    <w:rPr>
      <w:rFonts w:ascii="Segoe UI" w:hAnsi="Segoe UI" w:cs="Segoe UI"/>
      <w:sz w:val="18"/>
      <w:szCs w:val="18"/>
    </w:rPr>
  </w:style>
  <w:style w:type="character" w:customStyle="1" w:styleId="BalloonTextChar">
    <w:name w:val="Balloon Text Char"/>
    <w:basedOn w:val="DefaultParagraphFont"/>
    <w:link w:val="BalloonText"/>
    <w:rsid w:val="00916E82"/>
    <w:rPr>
      <w:rFonts w:ascii="Segoe UI" w:hAnsi="Segoe UI" w:cs="Segoe UI"/>
      <w:sz w:val="18"/>
      <w:szCs w:val="18"/>
    </w:rPr>
  </w:style>
  <w:style w:type="character" w:styleId="CommentReference">
    <w:name w:val="annotation reference"/>
    <w:aliases w:val="-H18,Annotationmark"/>
    <w:basedOn w:val="DefaultParagraphFont"/>
    <w:unhideWhenUsed/>
    <w:qFormat/>
    <w:rsid w:val="00614823"/>
    <w:rPr>
      <w:sz w:val="16"/>
      <w:szCs w:val="16"/>
    </w:rPr>
  </w:style>
  <w:style w:type="paragraph" w:styleId="CommentText">
    <w:name w:val="annotation text"/>
    <w:aliases w:val="Comment Text Char Char Char,Comment Text Char1,Comment Text Char1 Char,Car17,Car17 Car,Char Char Char,Char Char1,Annotationtext,C,Comment Text Char Char,Comment Text Char Char1 Char,Comment Text Char2 Char, Car17, Car17 Car, Char Char Char"/>
    <w:basedOn w:val="Normal"/>
    <w:link w:val="CommentTextChar"/>
    <w:unhideWhenUsed/>
    <w:qFormat/>
    <w:rsid w:val="00614823"/>
    <w:rPr>
      <w:sz w:val="20"/>
      <w:szCs w:val="20"/>
    </w:rPr>
  </w:style>
  <w:style w:type="character" w:customStyle="1" w:styleId="CommentTextChar">
    <w:name w:val="Comment Text Char"/>
    <w:aliases w:val="Comment Text Char Char Char Char,Comment Text Char1 Char1,Comment Text Char1 Char Char,Car17 Char,Car17 Car Char,Char Char Char Char,Char Char1 Char,Annotationtext Char,C Char,Comment Text Char Char Char1,Comment Text Char2 Char Char"/>
    <w:basedOn w:val="DefaultParagraphFont"/>
    <w:link w:val="CommentText"/>
    <w:qFormat/>
    <w:rsid w:val="00614823"/>
    <w:rPr>
      <w:sz w:val="20"/>
      <w:szCs w:val="20"/>
    </w:rPr>
  </w:style>
  <w:style w:type="paragraph" w:styleId="CommentSubject">
    <w:name w:val="annotation subject"/>
    <w:basedOn w:val="CommentText"/>
    <w:next w:val="CommentText"/>
    <w:link w:val="CommentSubjectChar"/>
    <w:unhideWhenUsed/>
    <w:rsid w:val="00614823"/>
    <w:rPr>
      <w:b/>
      <w:bCs/>
    </w:rPr>
  </w:style>
  <w:style w:type="character" w:customStyle="1" w:styleId="CommentSubjectChar">
    <w:name w:val="Comment Subject Char"/>
    <w:basedOn w:val="CommentTextChar"/>
    <w:link w:val="CommentSubject"/>
    <w:rsid w:val="00614823"/>
    <w:rPr>
      <w:b/>
      <w:bCs/>
      <w:sz w:val="20"/>
      <w:szCs w:val="20"/>
    </w:rPr>
  </w:style>
  <w:style w:type="paragraph" w:customStyle="1" w:styleId="Default">
    <w:name w:val="Default"/>
    <w:rsid w:val="00614823"/>
    <w:pPr>
      <w:widowControl/>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ListParagraph">
    <w:name w:val="List Paragraph"/>
    <w:aliases w:val="Questions,List Paragraph1,Question,Paragrafo elenco"/>
    <w:basedOn w:val="Normal"/>
    <w:link w:val="ListParagraphChar"/>
    <w:uiPriority w:val="34"/>
    <w:qFormat/>
    <w:rsid w:val="002821AB"/>
    <w:pPr>
      <w:ind w:left="720"/>
      <w:contextualSpacing/>
    </w:pPr>
  </w:style>
  <w:style w:type="table" w:styleId="TableGrid">
    <w:name w:val="Table Grid"/>
    <w:basedOn w:val="TableNormal"/>
    <w:uiPriority w:val="59"/>
    <w:rsid w:val="00D0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58BF"/>
    <w:pPr>
      <w:spacing w:before="100" w:beforeAutospacing="1" w:after="100" w:afterAutospacing="1"/>
    </w:pPr>
    <w:rPr>
      <w:rFonts w:eastAsia="Times New Roman" w:cs="Times New Roman"/>
      <w:sz w:val="24"/>
      <w:szCs w:val="24"/>
      <w:lang w:eastAsia="en-AU"/>
    </w:rPr>
  </w:style>
  <w:style w:type="paragraph" w:styleId="Caption">
    <w:name w:val="caption"/>
    <w:basedOn w:val="Normal"/>
    <w:next w:val="Normal"/>
    <w:unhideWhenUsed/>
    <w:qFormat/>
    <w:rsid w:val="00061E80"/>
    <w:rPr>
      <w:i/>
      <w:iCs/>
      <w:color w:val="1F497D" w:themeColor="text2"/>
      <w:sz w:val="18"/>
      <w:szCs w:val="18"/>
    </w:rPr>
  </w:style>
  <w:style w:type="character" w:styleId="Hyperlink">
    <w:name w:val="Hyperlink"/>
    <w:basedOn w:val="DefaultParagraphFont"/>
    <w:unhideWhenUsed/>
    <w:rsid w:val="00061E80"/>
    <w:rPr>
      <w:color w:val="0000FF" w:themeColor="hyperlink"/>
      <w:u w:val="single"/>
    </w:rPr>
  </w:style>
  <w:style w:type="paragraph" w:styleId="TableofFigures">
    <w:name w:val="table of figures"/>
    <w:basedOn w:val="Normal"/>
    <w:next w:val="Normal"/>
    <w:unhideWhenUsed/>
    <w:rsid w:val="00061E80"/>
    <w:pPr>
      <w:spacing w:after="0"/>
    </w:pPr>
  </w:style>
  <w:style w:type="paragraph" w:styleId="TOC1">
    <w:name w:val="toc 1"/>
    <w:basedOn w:val="Normal"/>
    <w:next w:val="Normal"/>
    <w:autoRedefine/>
    <w:unhideWhenUsed/>
    <w:rsid w:val="000D6D7D"/>
    <w:pPr>
      <w:tabs>
        <w:tab w:val="right" w:leader="dot" w:pos="9360"/>
      </w:tabs>
      <w:spacing w:after="100"/>
    </w:pPr>
  </w:style>
  <w:style w:type="paragraph" w:styleId="TOC2">
    <w:name w:val="toc 2"/>
    <w:basedOn w:val="Normal"/>
    <w:next w:val="Normal"/>
    <w:autoRedefine/>
    <w:unhideWhenUsed/>
    <w:rsid w:val="000D6D7D"/>
    <w:pPr>
      <w:tabs>
        <w:tab w:val="right" w:leader="dot" w:pos="9360"/>
      </w:tabs>
      <w:spacing w:after="100"/>
      <w:ind w:left="220"/>
    </w:pPr>
  </w:style>
  <w:style w:type="paragraph" w:styleId="TOC3">
    <w:name w:val="toc 3"/>
    <w:basedOn w:val="Normal"/>
    <w:next w:val="Normal"/>
    <w:autoRedefine/>
    <w:unhideWhenUsed/>
    <w:rsid w:val="000D6D7D"/>
    <w:pPr>
      <w:tabs>
        <w:tab w:val="right" w:leader="dot" w:pos="9360"/>
      </w:tabs>
      <w:spacing w:after="100"/>
      <w:ind w:left="440"/>
    </w:pPr>
  </w:style>
  <w:style w:type="paragraph" w:styleId="TOC4">
    <w:name w:val="toc 4"/>
    <w:basedOn w:val="Normal"/>
    <w:next w:val="Normal"/>
    <w:autoRedefine/>
    <w:unhideWhenUsed/>
    <w:rsid w:val="000D6D7D"/>
    <w:pPr>
      <w:tabs>
        <w:tab w:val="right" w:leader="dot" w:pos="9360"/>
      </w:tabs>
      <w:spacing w:after="100"/>
      <w:ind w:left="660"/>
    </w:pPr>
  </w:style>
  <w:style w:type="character" w:customStyle="1" w:styleId="Heading1Char">
    <w:name w:val="Heading 1 Char"/>
    <w:aliases w:val="BMS Heading 1 Char"/>
    <w:basedOn w:val="DefaultParagraphFont"/>
    <w:link w:val="Heading1"/>
    <w:rsid w:val="000B2864"/>
    <w:rPr>
      <w:rFonts w:ascii="Times New Roman Bold" w:eastAsiaTheme="majorEastAsia" w:hAnsi="Times New Roman Bold" w:cstheme="majorBidi"/>
      <w:b/>
      <w:caps/>
      <w:sz w:val="28"/>
      <w:szCs w:val="32"/>
      <w:lang w:val="en-AU"/>
    </w:rPr>
  </w:style>
  <w:style w:type="character" w:customStyle="1" w:styleId="Heading2Char">
    <w:name w:val="Heading 2 Char"/>
    <w:aliases w:val="BMS Heading 2 Char"/>
    <w:basedOn w:val="DefaultParagraphFont"/>
    <w:link w:val="Heading2"/>
    <w:rsid w:val="00B362C1"/>
    <w:rPr>
      <w:rFonts w:ascii="Times New Roman Bold" w:eastAsiaTheme="majorEastAsia" w:hAnsi="Times New Roman Bold" w:cstheme="majorBidi"/>
      <w:b/>
      <w:caps/>
      <w:sz w:val="26"/>
      <w:szCs w:val="26"/>
      <w:lang w:val="en-AU"/>
    </w:rPr>
  </w:style>
  <w:style w:type="character" w:customStyle="1" w:styleId="Heading3Char">
    <w:name w:val="Heading 3 Char"/>
    <w:aliases w:val="BMS Heading 3 Char"/>
    <w:basedOn w:val="DefaultParagraphFont"/>
    <w:link w:val="Heading3"/>
    <w:rsid w:val="007814B4"/>
    <w:rPr>
      <w:rFonts w:ascii="Times New Roman" w:eastAsiaTheme="majorEastAsia" w:hAnsi="Times New Roman" w:cstheme="majorBidi"/>
      <w:b/>
      <w:sz w:val="24"/>
      <w:szCs w:val="24"/>
      <w:lang w:val="en-AU"/>
    </w:rPr>
  </w:style>
  <w:style w:type="character" w:customStyle="1" w:styleId="Heading4Char">
    <w:name w:val="Heading 4 Char"/>
    <w:aliases w:val="BMS Heading 4 Char"/>
    <w:basedOn w:val="DefaultParagraphFont"/>
    <w:link w:val="Heading4"/>
    <w:uiPriority w:val="9"/>
    <w:semiHidden/>
    <w:rsid w:val="000D6D7D"/>
    <w:rPr>
      <w:rFonts w:asciiTheme="majorHAnsi" w:eastAsiaTheme="majorEastAsia" w:hAnsiTheme="majorHAnsi" w:cstheme="majorBidi"/>
      <w:i/>
      <w:iCs/>
      <w:color w:val="365F91" w:themeColor="accent1" w:themeShade="BF"/>
      <w:lang w:val="en-AU"/>
    </w:rPr>
  </w:style>
  <w:style w:type="character" w:customStyle="1" w:styleId="Heading5Char">
    <w:name w:val="Heading 5 Char"/>
    <w:basedOn w:val="DefaultParagraphFont"/>
    <w:link w:val="Heading5"/>
    <w:uiPriority w:val="9"/>
    <w:semiHidden/>
    <w:rsid w:val="000D6D7D"/>
    <w:rPr>
      <w:rFonts w:asciiTheme="majorHAnsi" w:eastAsiaTheme="majorEastAsia" w:hAnsiTheme="majorHAnsi" w:cstheme="majorBidi"/>
      <w:color w:val="365F91" w:themeColor="accent1" w:themeShade="BF"/>
      <w:lang w:val="en-AU"/>
    </w:rPr>
  </w:style>
  <w:style w:type="character" w:customStyle="1" w:styleId="Heading6Char">
    <w:name w:val="Heading 6 Char"/>
    <w:basedOn w:val="DefaultParagraphFont"/>
    <w:link w:val="Heading6"/>
    <w:uiPriority w:val="9"/>
    <w:semiHidden/>
    <w:rsid w:val="000D6D7D"/>
    <w:rPr>
      <w:rFonts w:asciiTheme="majorHAnsi" w:eastAsiaTheme="majorEastAsia" w:hAnsiTheme="majorHAnsi" w:cstheme="majorBidi"/>
      <w:color w:val="243F60" w:themeColor="accent1" w:themeShade="7F"/>
      <w:lang w:val="en-AU"/>
    </w:rPr>
  </w:style>
  <w:style w:type="character" w:customStyle="1" w:styleId="Heading7Char">
    <w:name w:val="Heading 7 Char"/>
    <w:basedOn w:val="DefaultParagraphFont"/>
    <w:link w:val="Heading7"/>
    <w:uiPriority w:val="9"/>
    <w:semiHidden/>
    <w:rsid w:val="000D6D7D"/>
    <w:rPr>
      <w:rFonts w:asciiTheme="majorHAnsi" w:eastAsiaTheme="majorEastAsia" w:hAnsiTheme="majorHAnsi" w:cstheme="majorBidi"/>
      <w:i/>
      <w:iCs/>
      <w:color w:val="243F60" w:themeColor="accent1" w:themeShade="7F"/>
      <w:lang w:val="en-AU"/>
    </w:rPr>
  </w:style>
  <w:style w:type="character" w:customStyle="1" w:styleId="Heading8Char">
    <w:name w:val="Heading 8 Char"/>
    <w:basedOn w:val="DefaultParagraphFont"/>
    <w:link w:val="Heading8"/>
    <w:uiPriority w:val="9"/>
    <w:semiHidden/>
    <w:rsid w:val="000D6D7D"/>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rsid w:val="000D6D7D"/>
    <w:rPr>
      <w:rFonts w:asciiTheme="majorHAnsi" w:eastAsiaTheme="majorEastAsia" w:hAnsiTheme="majorHAnsi" w:cstheme="majorBidi"/>
      <w:i/>
      <w:iCs/>
      <w:color w:val="272727" w:themeColor="text1" w:themeTint="D8"/>
      <w:sz w:val="21"/>
      <w:szCs w:val="21"/>
      <w:lang w:val="en-AU"/>
    </w:rPr>
  </w:style>
  <w:style w:type="paragraph" w:styleId="Title">
    <w:name w:val="Title"/>
    <w:basedOn w:val="Normal"/>
    <w:next w:val="Normal"/>
    <w:link w:val="TitleChar"/>
    <w:uiPriority w:val="10"/>
    <w:qFormat/>
    <w:rsid w:val="007814B4"/>
    <w:pPr>
      <w:spacing w:after="0" w:line="36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7814B4"/>
    <w:rPr>
      <w:rFonts w:ascii="Times New Roman" w:eastAsiaTheme="majorEastAsia" w:hAnsi="Times New Roman" w:cstheme="majorBidi"/>
      <w:b/>
      <w:spacing w:val="-10"/>
      <w:kern w:val="28"/>
      <w:sz w:val="32"/>
      <w:szCs w:val="56"/>
      <w:lang w:val="en-AU"/>
    </w:rPr>
  </w:style>
  <w:style w:type="paragraph" w:customStyle="1" w:styleId="C-Footer">
    <w:name w:val="C-Footer"/>
    <w:rsid w:val="002D6FF3"/>
    <w:pPr>
      <w:widowControl/>
      <w:spacing w:after="0" w:line="240" w:lineRule="auto"/>
    </w:pPr>
    <w:rPr>
      <w:rFonts w:ascii="Times New Roman" w:eastAsia="Times New Roman" w:hAnsi="Times New Roman" w:cs="Times New Roman"/>
      <w:sz w:val="24"/>
      <w:szCs w:val="20"/>
    </w:rPr>
  </w:style>
  <w:style w:type="paragraph" w:customStyle="1" w:styleId="C-BodyText">
    <w:name w:val="C-Body Text"/>
    <w:link w:val="C-BodyTextChar"/>
    <w:rsid w:val="007B4510"/>
    <w:pPr>
      <w:widowControl/>
      <w:spacing w:before="120" w:after="120" w:line="280" w:lineRule="atLeast"/>
    </w:pPr>
    <w:rPr>
      <w:rFonts w:ascii="Times New Roman" w:eastAsia="Times New Roman" w:hAnsi="Times New Roman" w:cs="Times New Roman"/>
      <w:sz w:val="24"/>
      <w:szCs w:val="20"/>
    </w:rPr>
  </w:style>
  <w:style w:type="paragraph" w:customStyle="1" w:styleId="C-Heading1">
    <w:name w:val="C-Heading 1"/>
    <w:next w:val="C-BodyText"/>
    <w:link w:val="C-Heading1Char"/>
    <w:rsid w:val="007B4510"/>
    <w:pPr>
      <w:keepNext/>
      <w:pageBreakBefore/>
      <w:widowControl/>
      <w:numPr>
        <w:numId w:val="1"/>
      </w:numPr>
      <w:spacing w:before="480" w:after="120" w:line="240" w:lineRule="auto"/>
      <w:outlineLvl w:val="0"/>
    </w:pPr>
    <w:rPr>
      <w:rFonts w:ascii="Times New Roman" w:eastAsia="Times New Roman" w:hAnsi="Times New Roman" w:cs="Times New Roman"/>
      <w:b/>
      <w:caps/>
      <w:sz w:val="28"/>
      <w:szCs w:val="20"/>
    </w:rPr>
  </w:style>
  <w:style w:type="paragraph" w:customStyle="1" w:styleId="C-Heading2">
    <w:name w:val="C-Heading 2"/>
    <w:next w:val="C-BodyText"/>
    <w:rsid w:val="007B4510"/>
    <w:pPr>
      <w:keepNext/>
      <w:widowControl/>
      <w:numPr>
        <w:ilvl w:val="1"/>
        <w:numId w:val="1"/>
      </w:numPr>
      <w:spacing w:before="240" w:after="0" w:line="240" w:lineRule="auto"/>
      <w:outlineLvl w:val="1"/>
    </w:pPr>
    <w:rPr>
      <w:rFonts w:ascii="Times New Roman" w:eastAsia="Times New Roman" w:hAnsi="Times New Roman" w:cs="Times New Roman"/>
      <w:b/>
      <w:sz w:val="28"/>
      <w:szCs w:val="20"/>
    </w:rPr>
  </w:style>
  <w:style w:type="paragraph" w:customStyle="1" w:styleId="C-Heading3">
    <w:name w:val="C-Heading 3"/>
    <w:next w:val="C-BodyText"/>
    <w:rsid w:val="007B4510"/>
    <w:pPr>
      <w:keepNext/>
      <w:widowControl/>
      <w:numPr>
        <w:ilvl w:val="2"/>
        <w:numId w:val="1"/>
      </w:numPr>
      <w:spacing w:before="240" w:after="0" w:line="240" w:lineRule="auto"/>
      <w:outlineLvl w:val="2"/>
    </w:pPr>
    <w:rPr>
      <w:rFonts w:ascii="Times New Roman" w:eastAsia="Times New Roman" w:hAnsi="Times New Roman" w:cs="Times New Roman"/>
      <w:b/>
      <w:sz w:val="24"/>
      <w:szCs w:val="20"/>
    </w:rPr>
  </w:style>
  <w:style w:type="paragraph" w:customStyle="1" w:styleId="C-Heading4">
    <w:name w:val="C-Heading 4"/>
    <w:next w:val="C-BodyText"/>
    <w:rsid w:val="007B4510"/>
    <w:pPr>
      <w:keepNext/>
      <w:widowControl/>
      <w:numPr>
        <w:ilvl w:val="3"/>
        <w:numId w:val="1"/>
      </w:numPr>
      <w:spacing w:before="240" w:after="0" w:line="240" w:lineRule="auto"/>
      <w:outlineLvl w:val="3"/>
    </w:pPr>
    <w:rPr>
      <w:rFonts w:ascii="Times New Roman" w:eastAsia="Times New Roman" w:hAnsi="Times New Roman" w:cs="Times New Roman"/>
      <w:b/>
      <w:sz w:val="24"/>
      <w:szCs w:val="20"/>
    </w:rPr>
  </w:style>
  <w:style w:type="paragraph" w:customStyle="1" w:styleId="C-Heading5">
    <w:name w:val="C-Heading 5"/>
    <w:next w:val="C-BodyText"/>
    <w:rsid w:val="007B4510"/>
    <w:pPr>
      <w:keepNext/>
      <w:widowControl/>
      <w:numPr>
        <w:ilvl w:val="4"/>
        <w:numId w:val="1"/>
      </w:numPr>
      <w:spacing w:before="240" w:after="0" w:line="240" w:lineRule="auto"/>
      <w:outlineLvl w:val="4"/>
    </w:pPr>
    <w:rPr>
      <w:rFonts w:ascii="Times New Roman" w:eastAsia="Times New Roman" w:hAnsi="Times New Roman" w:cs="Times New Roman"/>
      <w:b/>
      <w:sz w:val="24"/>
      <w:szCs w:val="20"/>
    </w:rPr>
  </w:style>
  <w:style w:type="paragraph" w:customStyle="1" w:styleId="C-Heading6">
    <w:name w:val="C-Heading 6"/>
    <w:next w:val="C-BodyText"/>
    <w:rsid w:val="007B4510"/>
    <w:pPr>
      <w:keepNext/>
      <w:widowControl/>
      <w:numPr>
        <w:ilvl w:val="5"/>
        <w:numId w:val="1"/>
      </w:numPr>
      <w:tabs>
        <w:tab w:val="clear" w:pos="1080"/>
        <w:tab w:val="num" w:pos="1224"/>
      </w:tabs>
      <w:spacing w:before="240" w:after="0" w:line="240" w:lineRule="auto"/>
      <w:ind w:left="1224" w:hanging="1224"/>
      <w:outlineLvl w:val="5"/>
    </w:pPr>
    <w:rPr>
      <w:rFonts w:ascii="Times New Roman" w:eastAsia="Times New Roman" w:hAnsi="Times New Roman" w:cs="Times New Roman"/>
      <w:b/>
      <w:sz w:val="24"/>
      <w:szCs w:val="20"/>
    </w:rPr>
  </w:style>
  <w:style w:type="paragraph" w:customStyle="1" w:styleId="C-BodyTextIndent">
    <w:name w:val="C-Body Text Indent"/>
    <w:rsid w:val="007B4510"/>
    <w:pPr>
      <w:widowControl/>
      <w:spacing w:before="120" w:after="120" w:line="280" w:lineRule="atLeast"/>
      <w:ind w:left="360"/>
    </w:pPr>
    <w:rPr>
      <w:rFonts w:ascii="Times New Roman" w:eastAsia="Times New Roman" w:hAnsi="Times New Roman" w:cs="Times New Roman"/>
      <w:sz w:val="24"/>
      <w:szCs w:val="20"/>
    </w:rPr>
  </w:style>
  <w:style w:type="paragraph" w:customStyle="1" w:styleId="C-Bullet">
    <w:name w:val="C-Bullet"/>
    <w:rsid w:val="007B4510"/>
    <w:pPr>
      <w:widowControl/>
      <w:numPr>
        <w:numId w:val="13"/>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rsid w:val="007B4510"/>
    <w:pPr>
      <w:widowControl/>
      <w:numPr>
        <w:ilvl w:val="1"/>
        <w:numId w:val="13"/>
      </w:numPr>
      <w:spacing w:before="120" w:after="120" w:line="280" w:lineRule="atLeast"/>
    </w:pPr>
    <w:rPr>
      <w:rFonts w:ascii="Times New Roman" w:eastAsia="Times New Roman" w:hAnsi="Times New Roman" w:cs="Arial"/>
      <w:sz w:val="24"/>
      <w:szCs w:val="20"/>
    </w:rPr>
  </w:style>
  <w:style w:type="paragraph" w:customStyle="1" w:styleId="C-TableHeader">
    <w:name w:val="C-Table Header"/>
    <w:next w:val="C-TableText"/>
    <w:link w:val="C-TableHeaderChar"/>
    <w:rsid w:val="007B4510"/>
    <w:pPr>
      <w:keepNext/>
      <w:widowControl/>
      <w:spacing w:before="60" w:after="60" w:line="240" w:lineRule="auto"/>
    </w:pPr>
    <w:rPr>
      <w:rFonts w:ascii="Times New Roman" w:eastAsia="Times New Roman" w:hAnsi="Times New Roman" w:cs="Times New Roman"/>
      <w:b/>
      <w:szCs w:val="20"/>
    </w:rPr>
  </w:style>
  <w:style w:type="paragraph" w:customStyle="1" w:styleId="C-TableText">
    <w:name w:val="C-Table Text"/>
    <w:link w:val="C-TableTextChar"/>
    <w:rsid w:val="007B4510"/>
    <w:pPr>
      <w:widowControl/>
      <w:spacing w:before="60" w:after="60" w:line="240" w:lineRule="auto"/>
    </w:pPr>
    <w:rPr>
      <w:rFonts w:ascii="Times New Roman" w:eastAsia="Times New Roman" w:hAnsi="Times New Roman" w:cs="Times New Roman"/>
      <w:szCs w:val="20"/>
    </w:rPr>
  </w:style>
  <w:style w:type="paragraph" w:customStyle="1" w:styleId="C-TableFootnote">
    <w:name w:val="C-Table Footnote"/>
    <w:next w:val="C-BodyText"/>
    <w:rsid w:val="007B4510"/>
    <w:pPr>
      <w:widowControl/>
      <w:tabs>
        <w:tab w:val="left" w:pos="144"/>
      </w:tabs>
      <w:spacing w:after="0" w:line="240" w:lineRule="auto"/>
      <w:ind w:left="144" w:hanging="144"/>
    </w:pPr>
    <w:rPr>
      <w:rFonts w:ascii="Times New Roman" w:eastAsia="Times New Roman" w:hAnsi="Times New Roman" w:cs="Arial"/>
      <w:sz w:val="20"/>
      <w:szCs w:val="20"/>
    </w:rPr>
  </w:style>
  <w:style w:type="paragraph" w:styleId="TOC5">
    <w:name w:val="toc 5"/>
    <w:basedOn w:val="TOC1"/>
    <w:next w:val="C-BodyText"/>
    <w:rsid w:val="007B4510"/>
    <w:pPr>
      <w:tabs>
        <w:tab w:val="left" w:pos="1152"/>
      </w:tabs>
      <w:spacing w:before="120" w:after="0"/>
      <w:ind w:left="1152" w:right="792" w:hanging="1152"/>
    </w:pPr>
    <w:rPr>
      <w:rFonts w:eastAsia="Times New Roman" w:cs="Arial"/>
      <w:color w:val="0000FF"/>
      <w:sz w:val="24"/>
      <w:szCs w:val="24"/>
      <w:lang w:val="en-US"/>
    </w:rPr>
  </w:style>
  <w:style w:type="paragraph" w:styleId="TOC6">
    <w:name w:val="toc 6"/>
    <w:basedOn w:val="TOC1"/>
    <w:next w:val="C-BodyText"/>
    <w:rsid w:val="007B4510"/>
    <w:pPr>
      <w:tabs>
        <w:tab w:val="left" w:pos="1152"/>
      </w:tabs>
      <w:spacing w:before="120" w:after="0"/>
      <w:ind w:left="1152" w:right="792" w:hanging="1152"/>
    </w:pPr>
    <w:rPr>
      <w:rFonts w:eastAsia="Times New Roman" w:cs="Arial"/>
      <w:color w:val="0000FF"/>
      <w:sz w:val="24"/>
      <w:szCs w:val="24"/>
      <w:lang w:val="en-US"/>
    </w:rPr>
  </w:style>
  <w:style w:type="paragraph" w:styleId="TOC7">
    <w:name w:val="toc 7"/>
    <w:basedOn w:val="TOC1"/>
    <w:next w:val="C-BodyText"/>
    <w:rsid w:val="007B4510"/>
    <w:pPr>
      <w:tabs>
        <w:tab w:val="left" w:pos="1152"/>
      </w:tabs>
      <w:spacing w:before="120" w:after="0"/>
      <w:ind w:left="1152" w:right="792" w:hanging="1152"/>
    </w:pPr>
    <w:rPr>
      <w:rFonts w:eastAsia="Times New Roman" w:cs="Arial"/>
      <w:color w:val="0000FF"/>
      <w:sz w:val="24"/>
      <w:szCs w:val="24"/>
      <w:lang w:val="en-US"/>
    </w:rPr>
  </w:style>
  <w:style w:type="paragraph" w:styleId="TOC8">
    <w:name w:val="toc 8"/>
    <w:basedOn w:val="TOC1"/>
    <w:next w:val="C-BodyText"/>
    <w:rsid w:val="007B4510"/>
    <w:pPr>
      <w:tabs>
        <w:tab w:val="left" w:pos="1152"/>
      </w:tabs>
      <w:spacing w:before="120" w:after="0"/>
      <w:ind w:left="1152" w:right="792" w:hanging="1152"/>
    </w:pPr>
    <w:rPr>
      <w:rFonts w:eastAsia="Times New Roman" w:cs="Arial"/>
      <w:color w:val="0000FF"/>
      <w:sz w:val="24"/>
      <w:szCs w:val="24"/>
      <w:lang w:val="en-US"/>
    </w:rPr>
  </w:style>
  <w:style w:type="paragraph" w:styleId="TOC9">
    <w:name w:val="toc 9"/>
    <w:basedOn w:val="TOC1"/>
    <w:next w:val="C-BodyText"/>
    <w:rsid w:val="007B4510"/>
    <w:pPr>
      <w:tabs>
        <w:tab w:val="left" w:pos="1152"/>
      </w:tabs>
      <w:spacing w:before="120" w:after="0"/>
      <w:ind w:left="1152" w:right="792" w:hanging="1152"/>
    </w:pPr>
    <w:rPr>
      <w:rFonts w:eastAsia="Times New Roman" w:cs="Arial"/>
      <w:caps/>
      <w:color w:val="0000FF"/>
      <w:sz w:val="24"/>
      <w:szCs w:val="24"/>
      <w:lang w:val="en-US"/>
    </w:rPr>
  </w:style>
  <w:style w:type="paragraph" w:customStyle="1" w:styleId="C-TOCTitle">
    <w:name w:val="C-TOC Title"/>
    <w:next w:val="C-BodyText"/>
    <w:rsid w:val="007B4510"/>
    <w:pPr>
      <w:widowControl/>
      <w:spacing w:after="120" w:line="240" w:lineRule="auto"/>
      <w:jc w:val="center"/>
    </w:pPr>
    <w:rPr>
      <w:rFonts w:ascii="Times New Roman" w:eastAsia="Times New Roman" w:hAnsi="Times New Roman" w:cs="Times New Roman"/>
      <w:b/>
      <w:caps/>
      <w:sz w:val="28"/>
      <w:szCs w:val="28"/>
    </w:rPr>
  </w:style>
  <w:style w:type="paragraph" w:customStyle="1" w:styleId="C-CaptionContinued">
    <w:name w:val="C-Caption Continued"/>
    <w:next w:val="C-BodyText"/>
    <w:rsid w:val="007B4510"/>
    <w:pPr>
      <w:keepNext/>
      <w:widowControl/>
      <w:spacing w:before="120" w:after="120" w:line="280" w:lineRule="atLeast"/>
      <w:ind w:left="1440" w:hanging="1440"/>
    </w:pPr>
    <w:rPr>
      <w:rFonts w:ascii="Times New Roman" w:eastAsia="Times New Roman" w:hAnsi="Times New Roman" w:cs="Arial"/>
      <w:b/>
      <w:sz w:val="24"/>
      <w:szCs w:val="20"/>
    </w:rPr>
  </w:style>
  <w:style w:type="paragraph" w:customStyle="1" w:styleId="C-NumberedList">
    <w:name w:val="C-Numbered List"/>
    <w:rsid w:val="007B4510"/>
    <w:pPr>
      <w:widowControl/>
      <w:numPr>
        <w:numId w:val="11"/>
      </w:numPr>
      <w:spacing w:before="120" w:after="120" w:line="280" w:lineRule="atLeast"/>
    </w:pPr>
    <w:rPr>
      <w:rFonts w:ascii="Times New Roman" w:eastAsia="Times New Roman" w:hAnsi="Times New Roman" w:cs="Times New Roman"/>
      <w:sz w:val="24"/>
      <w:szCs w:val="20"/>
    </w:rPr>
  </w:style>
  <w:style w:type="paragraph" w:customStyle="1" w:styleId="C-InstructionText">
    <w:name w:val="C-Instruction Text"/>
    <w:rsid w:val="007B4510"/>
    <w:pPr>
      <w:widowControl/>
      <w:spacing w:before="120" w:after="120" w:line="280" w:lineRule="atLeast"/>
    </w:pPr>
    <w:rPr>
      <w:rFonts w:ascii="Times New Roman" w:eastAsia="Times New Roman" w:hAnsi="Times New Roman" w:cs="Times New Roman"/>
      <w:vanish/>
      <w:color w:val="FF0000"/>
      <w:sz w:val="24"/>
      <w:szCs w:val="24"/>
    </w:rPr>
  </w:style>
  <w:style w:type="paragraph" w:styleId="TOAHeading">
    <w:name w:val="toa heading"/>
    <w:basedOn w:val="Normal"/>
    <w:next w:val="Normal"/>
    <w:rsid w:val="007B4510"/>
    <w:pPr>
      <w:spacing w:before="120" w:after="160" w:line="259" w:lineRule="auto"/>
    </w:pPr>
    <w:rPr>
      <w:rFonts w:ascii="Arial" w:hAnsi="Arial"/>
      <w:b/>
      <w:bCs/>
      <w:szCs w:val="24"/>
    </w:rPr>
  </w:style>
  <w:style w:type="paragraph" w:customStyle="1" w:styleId="C-Title">
    <w:name w:val="C-Title"/>
    <w:next w:val="C-BodyText"/>
    <w:rsid w:val="007B4510"/>
    <w:pPr>
      <w:widowControl/>
      <w:spacing w:after="120" w:line="240" w:lineRule="auto"/>
      <w:jc w:val="center"/>
    </w:pPr>
    <w:rPr>
      <w:rFonts w:ascii="Times New Roman" w:eastAsia="Times New Roman" w:hAnsi="Times New Roman" w:cs="Times New Roman"/>
      <w:b/>
      <w:caps/>
      <w:sz w:val="36"/>
      <w:szCs w:val="20"/>
    </w:rPr>
  </w:style>
  <w:style w:type="paragraph" w:customStyle="1" w:styleId="C-Header">
    <w:name w:val="C-Header"/>
    <w:rsid w:val="007B4510"/>
    <w:pPr>
      <w:widowControl/>
      <w:spacing w:after="0" w:line="240" w:lineRule="auto"/>
    </w:pPr>
    <w:rPr>
      <w:rFonts w:ascii="Times New Roman" w:eastAsia="Times New Roman" w:hAnsi="Times New Roman" w:cs="Times New Roman"/>
      <w:sz w:val="24"/>
      <w:szCs w:val="20"/>
    </w:rPr>
  </w:style>
  <w:style w:type="paragraph" w:customStyle="1" w:styleId="C-Heading1non-numbered">
    <w:name w:val="C-Heading 1 (non-numbered)"/>
    <w:basedOn w:val="C-Heading1"/>
    <w:next w:val="C-BodyText"/>
    <w:rsid w:val="007B4510"/>
    <w:pPr>
      <w:numPr>
        <w:numId w:val="0"/>
      </w:numPr>
      <w:tabs>
        <w:tab w:val="left" w:pos="1080"/>
      </w:tabs>
      <w:ind w:left="1080" w:hanging="1080"/>
    </w:pPr>
  </w:style>
  <w:style w:type="paragraph" w:customStyle="1" w:styleId="C-Heading2non-numbered">
    <w:name w:val="C-Heading 2 (non-numbered)"/>
    <w:basedOn w:val="C-Heading2"/>
    <w:next w:val="C-BodyText"/>
    <w:rsid w:val="007B4510"/>
    <w:pPr>
      <w:numPr>
        <w:ilvl w:val="0"/>
        <w:numId w:val="0"/>
      </w:numPr>
      <w:tabs>
        <w:tab w:val="left" w:pos="1080"/>
      </w:tabs>
      <w:ind w:left="1080" w:hanging="1080"/>
    </w:pPr>
  </w:style>
  <w:style w:type="paragraph" w:customStyle="1" w:styleId="C-Heading3non-numbered">
    <w:name w:val="C-Heading 3 (non-numbered)"/>
    <w:basedOn w:val="C-Heading3"/>
    <w:next w:val="C-BodyText"/>
    <w:rsid w:val="007B4510"/>
    <w:pPr>
      <w:numPr>
        <w:ilvl w:val="0"/>
        <w:numId w:val="0"/>
      </w:numPr>
      <w:tabs>
        <w:tab w:val="left" w:pos="1080"/>
      </w:tabs>
      <w:ind w:left="1080" w:hanging="1080"/>
    </w:pPr>
  </w:style>
  <w:style w:type="paragraph" w:customStyle="1" w:styleId="C-Heading4non-numbered">
    <w:name w:val="C-Heading 4 (non-numbered)"/>
    <w:basedOn w:val="C-Heading4"/>
    <w:next w:val="C-BodyText"/>
    <w:rsid w:val="007B4510"/>
    <w:pPr>
      <w:numPr>
        <w:ilvl w:val="0"/>
        <w:numId w:val="0"/>
      </w:numPr>
      <w:tabs>
        <w:tab w:val="left" w:pos="1080"/>
      </w:tabs>
      <w:ind w:left="1080" w:hanging="1080"/>
    </w:pPr>
  </w:style>
  <w:style w:type="paragraph" w:customStyle="1" w:styleId="C-Heading5non-numbered">
    <w:name w:val="C-Heading 5 (non-numbered)"/>
    <w:basedOn w:val="C-Heading5"/>
    <w:next w:val="C-BodyText"/>
    <w:rsid w:val="007B4510"/>
    <w:pPr>
      <w:numPr>
        <w:ilvl w:val="0"/>
        <w:numId w:val="0"/>
      </w:numPr>
      <w:tabs>
        <w:tab w:val="left" w:pos="1080"/>
      </w:tabs>
      <w:ind w:left="1080" w:hanging="1080"/>
    </w:pPr>
  </w:style>
  <w:style w:type="paragraph" w:customStyle="1" w:styleId="C-Heading6non-numbered">
    <w:name w:val="C-Heading 6 (non-numbered)"/>
    <w:basedOn w:val="C-Heading6"/>
    <w:next w:val="C-BodyText"/>
    <w:rsid w:val="007B4510"/>
    <w:pPr>
      <w:numPr>
        <w:ilvl w:val="0"/>
        <w:numId w:val="0"/>
      </w:numPr>
      <w:tabs>
        <w:tab w:val="left" w:pos="1080"/>
      </w:tabs>
      <w:ind w:left="1080" w:hanging="1080"/>
    </w:pPr>
  </w:style>
  <w:style w:type="paragraph" w:customStyle="1" w:styleId="C-Heading1nopagebreak">
    <w:name w:val="C-Heading 1 (no page break)"/>
    <w:basedOn w:val="C-Heading1"/>
    <w:next w:val="C-BodyText"/>
    <w:rsid w:val="007B4510"/>
    <w:pPr>
      <w:pageBreakBefore w:val="0"/>
    </w:pPr>
  </w:style>
  <w:style w:type="paragraph" w:customStyle="1" w:styleId="C-Heading1nopagebreak0">
    <w:name w:val="C-Heading 1 (no page break"/>
    <w:aliases w:val="non-numbered)"/>
    <w:basedOn w:val="C-Heading1non-numbered"/>
    <w:next w:val="C-BodyText"/>
    <w:rsid w:val="007B4510"/>
    <w:pPr>
      <w:pageBreakBefore w:val="0"/>
    </w:pPr>
  </w:style>
  <w:style w:type="character" w:styleId="HTMLKeyboard">
    <w:name w:val="HTML Keyboard"/>
    <w:rsid w:val="007B4510"/>
    <w:rPr>
      <w:rFonts w:ascii="Courier New" w:hAnsi="Courier New"/>
      <w:sz w:val="20"/>
      <w:szCs w:val="20"/>
    </w:rPr>
  </w:style>
  <w:style w:type="paragraph" w:customStyle="1" w:styleId="C-Appendix">
    <w:name w:val="C-Appendix"/>
    <w:next w:val="C-BodyText"/>
    <w:rsid w:val="007B4510"/>
    <w:pPr>
      <w:keepNext/>
      <w:pageBreakBefore/>
      <w:widowControl/>
      <w:numPr>
        <w:numId w:val="2"/>
      </w:numPr>
      <w:spacing w:before="480" w:after="120" w:line="240" w:lineRule="auto"/>
      <w:outlineLvl w:val="0"/>
    </w:pPr>
    <w:rPr>
      <w:rFonts w:ascii="Times New Roman" w:eastAsia="Times New Roman" w:hAnsi="Times New Roman" w:cs="Times New Roman"/>
      <w:b/>
      <w:caps/>
      <w:sz w:val="28"/>
      <w:szCs w:val="20"/>
    </w:rPr>
  </w:style>
  <w:style w:type="character" w:styleId="FollowedHyperlink">
    <w:name w:val="FollowedHyperlink"/>
    <w:basedOn w:val="DefaultParagraphFont"/>
    <w:rsid w:val="007B4510"/>
    <w:rPr>
      <w:color w:val="0000FF"/>
      <w:u w:val="none"/>
    </w:rPr>
  </w:style>
  <w:style w:type="paragraph" w:customStyle="1" w:styleId="C-AlphabeticList">
    <w:name w:val="C-Alphabetic List"/>
    <w:rsid w:val="007B4510"/>
    <w:pPr>
      <w:widowControl/>
      <w:numPr>
        <w:ilvl w:val="1"/>
        <w:numId w:val="11"/>
      </w:numPr>
      <w:spacing w:after="0" w:line="240" w:lineRule="auto"/>
    </w:pPr>
    <w:rPr>
      <w:rFonts w:ascii="Times New Roman" w:eastAsia="Times New Roman" w:hAnsi="Times New Roman" w:cs="Times New Roman"/>
      <w:sz w:val="24"/>
      <w:szCs w:val="20"/>
    </w:rPr>
  </w:style>
  <w:style w:type="paragraph" w:customStyle="1" w:styleId="C-PLR-NumberedList">
    <w:name w:val="C-PLR-Numbered List"/>
    <w:rsid w:val="007B4510"/>
    <w:pPr>
      <w:widowControl/>
      <w:numPr>
        <w:numId w:val="7"/>
      </w:numPr>
      <w:spacing w:after="0" w:line="240" w:lineRule="auto"/>
    </w:pPr>
    <w:rPr>
      <w:rFonts w:ascii="Times New Roman" w:eastAsia="Times New Roman" w:hAnsi="Times New Roman" w:cs="Times New Roman"/>
      <w:sz w:val="16"/>
      <w:szCs w:val="20"/>
    </w:rPr>
  </w:style>
  <w:style w:type="paragraph" w:customStyle="1" w:styleId="C-PLR-BodyText">
    <w:name w:val="C-PLR-Body Text"/>
    <w:rsid w:val="007B4510"/>
    <w:pPr>
      <w:widowControl/>
      <w:spacing w:after="0" w:line="240" w:lineRule="auto"/>
    </w:pPr>
    <w:rPr>
      <w:rFonts w:ascii="Times New Roman" w:eastAsia="Times New Roman" w:hAnsi="Times New Roman" w:cs="Times New Roman"/>
      <w:sz w:val="16"/>
      <w:szCs w:val="20"/>
    </w:rPr>
  </w:style>
  <w:style w:type="paragraph" w:customStyle="1" w:styleId="C-PLR-BodyTextIndent">
    <w:name w:val="C-PLR-Body Text Indent"/>
    <w:rsid w:val="007B4510"/>
    <w:pPr>
      <w:widowControl/>
      <w:spacing w:after="0" w:line="240" w:lineRule="auto"/>
      <w:ind w:left="360"/>
    </w:pPr>
    <w:rPr>
      <w:rFonts w:ascii="Times New Roman" w:eastAsia="Times New Roman" w:hAnsi="Times New Roman" w:cs="Times New Roman"/>
      <w:sz w:val="16"/>
      <w:szCs w:val="20"/>
    </w:rPr>
  </w:style>
  <w:style w:type="paragraph" w:customStyle="1" w:styleId="C-PLR-Bullet">
    <w:name w:val="C-PLR-Bullet"/>
    <w:rsid w:val="007B4510"/>
    <w:pPr>
      <w:widowControl/>
      <w:numPr>
        <w:numId w:val="3"/>
      </w:numPr>
      <w:spacing w:after="0" w:line="240" w:lineRule="auto"/>
    </w:pPr>
    <w:rPr>
      <w:rFonts w:ascii="Times New Roman" w:eastAsia="Times New Roman" w:hAnsi="Times New Roman" w:cs="Times New Roman"/>
      <w:sz w:val="16"/>
      <w:szCs w:val="20"/>
    </w:rPr>
  </w:style>
  <w:style w:type="paragraph" w:customStyle="1" w:styleId="C-PLR-BulletIndented">
    <w:name w:val="C-PLR-Bullet Indented"/>
    <w:rsid w:val="007B4510"/>
    <w:pPr>
      <w:widowControl/>
      <w:numPr>
        <w:numId w:val="4"/>
      </w:numPr>
      <w:spacing w:after="0" w:line="240" w:lineRule="auto"/>
    </w:pPr>
    <w:rPr>
      <w:rFonts w:ascii="Times New Roman" w:eastAsia="Times New Roman" w:hAnsi="Times New Roman" w:cs="Times New Roman"/>
      <w:sz w:val="16"/>
      <w:szCs w:val="20"/>
    </w:rPr>
  </w:style>
  <w:style w:type="paragraph" w:customStyle="1" w:styleId="C-PLR-Caption">
    <w:name w:val="C-PLR-Caption"/>
    <w:next w:val="C-PLR-BodyText"/>
    <w:rsid w:val="007B4510"/>
    <w:pPr>
      <w:keepNext/>
      <w:widowControl/>
      <w:spacing w:after="0" w:line="240" w:lineRule="auto"/>
      <w:ind w:left="360" w:hanging="360"/>
    </w:pPr>
    <w:rPr>
      <w:rFonts w:ascii="Times New Roman" w:eastAsia="Times New Roman" w:hAnsi="Times New Roman" w:cs="Times New Roman"/>
      <w:b/>
      <w:sz w:val="16"/>
      <w:szCs w:val="20"/>
    </w:rPr>
  </w:style>
  <w:style w:type="paragraph" w:customStyle="1" w:styleId="C-PLR-Heading1nopagebreaknon-numbered">
    <w:name w:val="C-PLR-Heading 1 (no page break.non-numbered)"/>
    <w:basedOn w:val="C-PLR-Heading1non-numbered"/>
    <w:next w:val="C-PLR-BodyText"/>
    <w:rsid w:val="007B4510"/>
  </w:style>
  <w:style w:type="paragraph" w:customStyle="1" w:styleId="C-PLR-Heading2non-numbered">
    <w:name w:val="C-PLR-Heading 2 (non-numbered)"/>
    <w:basedOn w:val="C-PLR-Heading2"/>
    <w:next w:val="C-PLR-BodyText"/>
    <w:rsid w:val="007B4510"/>
    <w:pPr>
      <w:numPr>
        <w:ilvl w:val="0"/>
        <w:numId w:val="0"/>
      </w:numPr>
      <w:ind w:left="720" w:hanging="720"/>
    </w:pPr>
  </w:style>
  <w:style w:type="paragraph" w:customStyle="1" w:styleId="C-PLR-TableHeader">
    <w:name w:val="C-PLR-Table Header"/>
    <w:next w:val="C-PLR-TableText"/>
    <w:rsid w:val="007B4510"/>
    <w:pPr>
      <w:keepNext/>
      <w:widowControl/>
      <w:spacing w:after="0" w:line="240" w:lineRule="auto"/>
    </w:pPr>
    <w:rPr>
      <w:rFonts w:ascii="Times New Roman" w:eastAsia="Times New Roman" w:hAnsi="Times New Roman" w:cs="Times New Roman"/>
      <w:b/>
      <w:sz w:val="16"/>
      <w:szCs w:val="20"/>
    </w:rPr>
  </w:style>
  <w:style w:type="paragraph" w:customStyle="1" w:styleId="C-PLR-TableText">
    <w:name w:val="C-PLR-Table Text"/>
    <w:rsid w:val="007B4510"/>
    <w:pPr>
      <w:widowControl/>
      <w:spacing w:after="0" w:line="240" w:lineRule="auto"/>
    </w:pPr>
    <w:rPr>
      <w:rFonts w:ascii="Times New Roman" w:eastAsia="Times New Roman" w:hAnsi="Times New Roman" w:cs="Times New Roman"/>
      <w:sz w:val="16"/>
      <w:szCs w:val="20"/>
    </w:rPr>
  </w:style>
  <w:style w:type="paragraph" w:customStyle="1" w:styleId="C-PLR-Title">
    <w:name w:val="C-PLR-Title"/>
    <w:next w:val="C-PLR-BodyText"/>
    <w:rsid w:val="007B4510"/>
    <w:pPr>
      <w:widowControl/>
      <w:spacing w:after="0" w:line="240" w:lineRule="auto"/>
      <w:jc w:val="center"/>
    </w:pPr>
    <w:rPr>
      <w:rFonts w:ascii="Times New Roman" w:eastAsia="Times New Roman" w:hAnsi="Times New Roman" w:cs="Times New Roman"/>
      <w:b/>
      <w:caps/>
      <w:sz w:val="16"/>
      <w:szCs w:val="20"/>
    </w:rPr>
  </w:style>
  <w:style w:type="paragraph" w:customStyle="1" w:styleId="C-PLR-TOCTitle">
    <w:name w:val="C-PLR-TOC Title"/>
    <w:next w:val="C-PLR-BodyText"/>
    <w:rsid w:val="007B4510"/>
    <w:pPr>
      <w:widowControl/>
      <w:tabs>
        <w:tab w:val="center" w:leader="underscore" w:pos="2520"/>
        <w:tab w:val="right" w:leader="underscore" w:pos="5040"/>
      </w:tabs>
      <w:spacing w:after="0" w:line="240" w:lineRule="auto"/>
      <w:jc w:val="center"/>
    </w:pPr>
    <w:rPr>
      <w:rFonts w:ascii="Times New Roman" w:eastAsia="Times New Roman" w:hAnsi="Times New Roman" w:cs="Times New Roman"/>
      <w:b/>
      <w:caps/>
      <w:sz w:val="16"/>
      <w:szCs w:val="20"/>
    </w:rPr>
  </w:style>
  <w:style w:type="paragraph" w:customStyle="1" w:styleId="C-PLR-TOC1">
    <w:name w:val="C-PLR-TOC 1"/>
    <w:next w:val="C-PLR-BodyText"/>
    <w:rsid w:val="007B4510"/>
    <w:pPr>
      <w:widowControl/>
      <w:spacing w:after="0" w:line="240" w:lineRule="auto"/>
      <w:ind w:left="432" w:hanging="432"/>
    </w:pPr>
    <w:rPr>
      <w:rFonts w:ascii="Times New Roman Bold" w:eastAsia="Times New Roman" w:hAnsi="Times New Roman Bold" w:cs="Times New Roman"/>
      <w:b/>
      <w:caps/>
      <w:color w:val="0000FF"/>
      <w:sz w:val="16"/>
      <w:szCs w:val="20"/>
    </w:rPr>
  </w:style>
  <w:style w:type="paragraph" w:customStyle="1" w:styleId="C-PLR-TOC2">
    <w:name w:val="C-PLR-TOC 2"/>
    <w:basedOn w:val="C-PLR-TOC1"/>
    <w:next w:val="C-PLR-BodyText"/>
    <w:rsid w:val="007B4510"/>
    <w:pPr>
      <w:ind w:left="864"/>
    </w:pPr>
    <w:rPr>
      <w:rFonts w:ascii="Times New Roman" w:hAnsi="Times New Roman"/>
      <w:b w:val="0"/>
      <w:caps w:val="0"/>
    </w:rPr>
  </w:style>
  <w:style w:type="paragraph" w:customStyle="1" w:styleId="C-PLR-TableFootnote">
    <w:name w:val="C-PLR-Table Footnote"/>
    <w:next w:val="C-PLR-BodyText"/>
    <w:rsid w:val="007B4510"/>
    <w:pPr>
      <w:widowControl/>
      <w:tabs>
        <w:tab w:val="left" w:pos="432"/>
      </w:tabs>
      <w:spacing w:after="0" w:line="240" w:lineRule="auto"/>
      <w:ind w:left="432" w:hanging="432"/>
    </w:pPr>
    <w:rPr>
      <w:rFonts w:ascii="Times New Roman" w:eastAsia="Times New Roman" w:hAnsi="Times New Roman" w:cs="Times New Roman"/>
      <w:sz w:val="16"/>
      <w:szCs w:val="20"/>
    </w:rPr>
  </w:style>
  <w:style w:type="character" w:customStyle="1" w:styleId="C-Hyperlink">
    <w:name w:val="C-Hyperlink"/>
    <w:rsid w:val="007B4510"/>
    <w:rPr>
      <w:color w:val="0000FF"/>
    </w:rPr>
  </w:style>
  <w:style w:type="table" w:customStyle="1" w:styleId="C-Table">
    <w:name w:val="C-Table"/>
    <w:basedOn w:val="TableNormal"/>
    <w:rsid w:val="007B4510"/>
    <w:pPr>
      <w:widowControl/>
      <w:spacing w:after="0" w:line="240" w:lineRule="auto"/>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sid w:val="007B4510"/>
    <w:rPr>
      <w:rFonts w:ascii="Times New Roman" w:hAnsi="Times New Roman"/>
      <w:dstrike w:val="0"/>
      <w:color w:val="auto"/>
      <w:spacing w:val="0"/>
      <w:w w:val="100"/>
      <w:position w:val="-1"/>
      <w:sz w:val="22"/>
      <w:szCs w:val="22"/>
      <w:u w:val="none"/>
      <w:effect w:val="none"/>
      <w:vertAlign w:val="superscript"/>
      <w:em w:val="none"/>
    </w:rPr>
  </w:style>
  <w:style w:type="paragraph" w:customStyle="1" w:styleId="C-PLR-AlphabeticList">
    <w:name w:val="C-PLR-Alphabetic List"/>
    <w:rsid w:val="007B4510"/>
    <w:pPr>
      <w:widowControl/>
      <w:numPr>
        <w:numId w:val="6"/>
      </w:numPr>
      <w:spacing w:after="0" w:line="240" w:lineRule="auto"/>
    </w:pPr>
    <w:rPr>
      <w:rFonts w:ascii="Times New Roman" w:eastAsia="Times New Roman" w:hAnsi="Times New Roman" w:cs="Arial"/>
      <w:sz w:val="16"/>
      <w:szCs w:val="20"/>
    </w:rPr>
  </w:style>
  <w:style w:type="paragraph" w:customStyle="1" w:styleId="C-PLR-CaptionContinued">
    <w:name w:val="C-PLR-Caption Continued"/>
    <w:next w:val="C-PLR-BodyText"/>
    <w:rsid w:val="007B4510"/>
    <w:pPr>
      <w:keepNext/>
      <w:widowControl/>
      <w:spacing w:after="0" w:line="240" w:lineRule="auto"/>
      <w:ind w:left="360" w:hanging="360"/>
    </w:pPr>
    <w:rPr>
      <w:rFonts w:ascii="Times New Roman Bold" w:eastAsia="Times New Roman" w:hAnsi="Times New Roman Bold" w:cs="Arial"/>
      <w:b/>
      <w:sz w:val="16"/>
      <w:szCs w:val="20"/>
    </w:rPr>
  </w:style>
  <w:style w:type="paragraph" w:customStyle="1" w:styleId="C-PLR-Heading1">
    <w:name w:val="C-PLR-Heading 1"/>
    <w:next w:val="C-PLR-BodyText"/>
    <w:rsid w:val="007B4510"/>
    <w:pPr>
      <w:keepNext/>
      <w:widowControl/>
      <w:numPr>
        <w:numId w:val="5"/>
      </w:numPr>
      <w:tabs>
        <w:tab w:val="clear" w:pos="1080"/>
        <w:tab w:val="left" w:pos="720"/>
      </w:tabs>
      <w:spacing w:after="0" w:line="240" w:lineRule="auto"/>
      <w:ind w:left="720" w:hanging="720"/>
      <w:outlineLvl w:val="0"/>
    </w:pPr>
    <w:rPr>
      <w:rFonts w:ascii="Times New Roman Bold" w:eastAsia="Times New Roman" w:hAnsi="Times New Roman Bold" w:cs="Times New Roman"/>
      <w:caps/>
      <w:sz w:val="16"/>
      <w:szCs w:val="20"/>
    </w:rPr>
  </w:style>
  <w:style w:type="paragraph" w:customStyle="1" w:styleId="C-PLR-Heading1nopagebreak">
    <w:name w:val="C-PLR-Heading 1 (no page break)"/>
    <w:basedOn w:val="C-PLR-Heading1"/>
    <w:next w:val="C-PLR-BodyText"/>
    <w:rsid w:val="007B4510"/>
  </w:style>
  <w:style w:type="paragraph" w:customStyle="1" w:styleId="C-PLR-Heading2">
    <w:name w:val="C-PLR-Heading 2"/>
    <w:next w:val="C-PLR-BodyText"/>
    <w:rsid w:val="007B4510"/>
    <w:pPr>
      <w:widowControl/>
      <w:numPr>
        <w:ilvl w:val="1"/>
        <w:numId w:val="5"/>
      </w:numPr>
      <w:tabs>
        <w:tab w:val="clear" w:pos="1080"/>
        <w:tab w:val="left" w:pos="720"/>
      </w:tabs>
      <w:spacing w:after="0" w:line="240" w:lineRule="auto"/>
      <w:ind w:left="720" w:hanging="720"/>
      <w:outlineLvl w:val="1"/>
    </w:pPr>
    <w:rPr>
      <w:rFonts w:ascii="Times New Roman Bold" w:eastAsia="Times New Roman" w:hAnsi="Times New Roman Bold" w:cs="Arial"/>
      <w:sz w:val="16"/>
      <w:szCs w:val="20"/>
    </w:rPr>
  </w:style>
  <w:style w:type="paragraph" w:customStyle="1" w:styleId="C-PLR-Heading3">
    <w:name w:val="C-PLR-Heading 3"/>
    <w:next w:val="C-PLR-BodyText"/>
    <w:rsid w:val="007B4510"/>
    <w:pPr>
      <w:widowControl/>
      <w:numPr>
        <w:ilvl w:val="2"/>
        <w:numId w:val="5"/>
      </w:numPr>
      <w:tabs>
        <w:tab w:val="clear" w:pos="1080"/>
        <w:tab w:val="left" w:pos="720"/>
      </w:tabs>
      <w:spacing w:after="0" w:line="240" w:lineRule="auto"/>
      <w:ind w:left="720" w:hanging="720"/>
      <w:outlineLvl w:val="2"/>
    </w:pPr>
    <w:rPr>
      <w:rFonts w:ascii="Times New Roman Bold" w:eastAsia="Times New Roman" w:hAnsi="Times New Roman Bold" w:cs="Arial"/>
      <w:sz w:val="16"/>
      <w:szCs w:val="20"/>
    </w:rPr>
  </w:style>
  <w:style w:type="paragraph" w:customStyle="1" w:styleId="C-PLR-Heading3non-numbered">
    <w:name w:val="C-PLR-Heading 3 (non-numbered)"/>
    <w:basedOn w:val="C-PLR-Heading3"/>
    <w:next w:val="C-PLR-BodyText"/>
    <w:rsid w:val="007B4510"/>
    <w:pPr>
      <w:numPr>
        <w:ilvl w:val="0"/>
        <w:numId w:val="0"/>
      </w:numPr>
      <w:ind w:left="720" w:hanging="720"/>
    </w:pPr>
  </w:style>
  <w:style w:type="paragraph" w:customStyle="1" w:styleId="C-PLR-Heading4">
    <w:name w:val="C-PLR-Heading 4"/>
    <w:next w:val="C-PLR-BodyText"/>
    <w:rsid w:val="007B4510"/>
    <w:pPr>
      <w:widowControl/>
      <w:numPr>
        <w:ilvl w:val="3"/>
        <w:numId w:val="5"/>
      </w:numPr>
      <w:tabs>
        <w:tab w:val="clear" w:pos="1080"/>
        <w:tab w:val="left" w:pos="720"/>
      </w:tabs>
      <w:spacing w:after="0" w:line="240" w:lineRule="auto"/>
      <w:ind w:left="720" w:hanging="720"/>
      <w:outlineLvl w:val="3"/>
    </w:pPr>
    <w:rPr>
      <w:rFonts w:ascii="Times New Roman Bold" w:eastAsia="Times New Roman" w:hAnsi="Times New Roman Bold" w:cs="Arial"/>
      <w:sz w:val="16"/>
      <w:szCs w:val="20"/>
    </w:rPr>
  </w:style>
  <w:style w:type="paragraph" w:customStyle="1" w:styleId="C-PLR-Heading4non-numbered">
    <w:name w:val="C-PLR-Heading 4 (non-numbered)"/>
    <w:basedOn w:val="C-PLR-Heading4"/>
    <w:next w:val="C-PLR-BodyText"/>
    <w:rsid w:val="007B4510"/>
    <w:pPr>
      <w:numPr>
        <w:ilvl w:val="0"/>
        <w:numId w:val="0"/>
      </w:numPr>
      <w:ind w:left="720" w:hanging="720"/>
    </w:pPr>
  </w:style>
  <w:style w:type="paragraph" w:customStyle="1" w:styleId="C-PLR-Heading5">
    <w:name w:val="C-PLR-Heading 5"/>
    <w:next w:val="C-PLR-BodyText"/>
    <w:rsid w:val="007B4510"/>
    <w:pPr>
      <w:widowControl/>
      <w:numPr>
        <w:ilvl w:val="4"/>
        <w:numId w:val="5"/>
      </w:numPr>
      <w:tabs>
        <w:tab w:val="clear" w:pos="1080"/>
        <w:tab w:val="left" w:pos="720"/>
      </w:tabs>
      <w:spacing w:after="0" w:line="240" w:lineRule="auto"/>
      <w:ind w:left="720" w:hanging="720"/>
      <w:outlineLvl w:val="4"/>
    </w:pPr>
    <w:rPr>
      <w:rFonts w:ascii="Times New Roman Bold" w:eastAsia="Times New Roman" w:hAnsi="Times New Roman Bold" w:cs="Arial"/>
      <w:sz w:val="16"/>
      <w:szCs w:val="20"/>
    </w:rPr>
  </w:style>
  <w:style w:type="paragraph" w:customStyle="1" w:styleId="C-PLR-Heading5non-numbered">
    <w:name w:val="C-PLR-Heading 5 (non-numbered)"/>
    <w:basedOn w:val="C-PLR-Heading5"/>
    <w:next w:val="C-PLR-BodyText"/>
    <w:rsid w:val="007B4510"/>
    <w:pPr>
      <w:numPr>
        <w:ilvl w:val="0"/>
        <w:numId w:val="0"/>
      </w:numPr>
      <w:ind w:left="720" w:hanging="720"/>
    </w:pPr>
  </w:style>
  <w:style w:type="paragraph" w:customStyle="1" w:styleId="C-PLR-Heading6">
    <w:name w:val="C-PLR-Heading 6"/>
    <w:next w:val="C-PLR-BodyText"/>
    <w:rsid w:val="007B4510"/>
    <w:pPr>
      <w:widowControl/>
      <w:numPr>
        <w:ilvl w:val="5"/>
        <w:numId w:val="5"/>
      </w:numPr>
      <w:tabs>
        <w:tab w:val="clear" w:pos="1080"/>
        <w:tab w:val="left" w:pos="864"/>
      </w:tabs>
      <w:spacing w:after="0" w:line="240" w:lineRule="auto"/>
      <w:ind w:left="864" w:hanging="864"/>
      <w:outlineLvl w:val="5"/>
    </w:pPr>
    <w:rPr>
      <w:rFonts w:ascii="Times New Roman Bold" w:eastAsia="Times New Roman" w:hAnsi="Times New Roman Bold" w:cs="Arial"/>
      <w:sz w:val="16"/>
      <w:szCs w:val="20"/>
    </w:rPr>
  </w:style>
  <w:style w:type="paragraph" w:customStyle="1" w:styleId="C-PLR-Heading6non-numbered">
    <w:name w:val="C-PLR-Heading 6 (non-numbered)"/>
    <w:basedOn w:val="C-PLR-Heading6"/>
    <w:next w:val="C-PLR-BodyText"/>
    <w:rsid w:val="007B4510"/>
    <w:pPr>
      <w:numPr>
        <w:ilvl w:val="0"/>
        <w:numId w:val="0"/>
      </w:numPr>
      <w:ind w:left="864" w:hanging="864"/>
    </w:pPr>
  </w:style>
  <w:style w:type="paragraph" w:customStyle="1" w:styleId="C-PLR-InstructionText">
    <w:name w:val="C-PLR-Instruction Text"/>
    <w:rsid w:val="007B4510"/>
    <w:pPr>
      <w:widowControl/>
      <w:spacing w:after="0" w:line="240" w:lineRule="auto"/>
    </w:pPr>
    <w:rPr>
      <w:rFonts w:ascii="Times New Roman Bold" w:eastAsia="Times New Roman" w:hAnsi="Times New Roman Bold" w:cs="Arial"/>
      <w:vanish/>
      <w:color w:val="FF0000"/>
      <w:sz w:val="16"/>
      <w:szCs w:val="20"/>
    </w:rPr>
  </w:style>
  <w:style w:type="paragraph" w:customStyle="1" w:styleId="C-PLR-TOC3">
    <w:name w:val="C-PLR-TOC 3"/>
    <w:basedOn w:val="C-PLR-TOC1"/>
    <w:next w:val="C-PLR-BodyText"/>
    <w:rsid w:val="007B4510"/>
    <w:pPr>
      <w:tabs>
        <w:tab w:val="left" w:pos="432"/>
      </w:tabs>
      <w:ind w:left="864"/>
    </w:pPr>
    <w:rPr>
      <w:rFonts w:ascii="Times New Roman" w:hAnsi="Times New Roman"/>
      <w:b w:val="0"/>
      <w:caps w:val="0"/>
    </w:rPr>
  </w:style>
  <w:style w:type="paragraph" w:customStyle="1" w:styleId="C-PLR-TOC4">
    <w:name w:val="C-PLR-TOC 4"/>
    <w:basedOn w:val="C-PLR-TOC1"/>
    <w:next w:val="C-PLR-BodyText"/>
    <w:rsid w:val="007B4510"/>
    <w:pPr>
      <w:tabs>
        <w:tab w:val="left" w:pos="432"/>
      </w:tabs>
      <w:ind w:left="864"/>
    </w:pPr>
    <w:rPr>
      <w:rFonts w:ascii="Times New Roman" w:hAnsi="Times New Roman"/>
      <w:b w:val="0"/>
      <w:caps w:val="0"/>
    </w:rPr>
  </w:style>
  <w:style w:type="paragraph" w:styleId="BodyTextIndent">
    <w:name w:val="Body Text Indent"/>
    <w:basedOn w:val="Normal"/>
    <w:link w:val="BodyTextIndentChar"/>
    <w:rsid w:val="007B4510"/>
    <w:pPr>
      <w:spacing w:line="259" w:lineRule="auto"/>
      <w:ind w:left="360"/>
    </w:pPr>
    <w:rPr>
      <w:rFonts w:asciiTheme="minorHAnsi" w:hAnsiTheme="minorHAnsi"/>
    </w:rPr>
  </w:style>
  <w:style w:type="character" w:customStyle="1" w:styleId="BodyTextIndentChar">
    <w:name w:val="Body Text Indent Char"/>
    <w:basedOn w:val="DefaultParagraphFont"/>
    <w:link w:val="BodyTextIndent"/>
    <w:rsid w:val="007B4510"/>
    <w:rPr>
      <w:lang w:val="en-AU"/>
    </w:rPr>
  </w:style>
  <w:style w:type="paragraph" w:styleId="BodyTextFirstIndent2">
    <w:name w:val="Body Text First Indent 2"/>
    <w:basedOn w:val="BodyTextIndent"/>
    <w:link w:val="BodyTextFirstIndent2Char"/>
    <w:rsid w:val="007B4510"/>
    <w:pPr>
      <w:ind w:firstLine="210"/>
    </w:pPr>
  </w:style>
  <w:style w:type="character" w:customStyle="1" w:styleId="BodyTextFirstIndent2Char">
    <w:name w:val="Body Text First Indent 2 Char"/>
    <w:basedOn w:val="BodyTextIndentChar"/>
    <w:link w:val="BodyTextFirstIndent2"/>
    <w:rsid w:val="007B4510"/>
    <w:rPr>
      <w:lang w:val="en-AU"/>
    </w:rPr>
  </w:style>
  <w:style w:type="paragraph" w:customStyle="1" w:styleId="C-PLR-Heading1non-numbered">
    <w:name w:val="C-PLR-Heading 1 (non-numbered)"/>
    <w:basedOn w:val="C-PLR-Heading1"/>
    <w:next w:val="C-PLR-BodyText"/>
    <w:rsid w:val="007B4510"/>
    <w:pPr>
      <w:numPr>
        <w:numId w:val="0"/>
      </w:numPr>
      <w:ind w:left="720" w:hanging="720"/>
    </w:pPr>
  </w:style>
  <w:style w:type="paragraph" w:customStyle="1" w:styleId="C-AppendixNumbered">
    <w:name w:val="C-Appendix (Numbered)"/>
    <w:basedOn w:val="C-Appendix"/>
    <w:next w:val="C-BodyText"/>
    <w:rsid w:val="007B4510"/>
    <w:pPr>
      <w:numPr>
        <w:numId w:val="8"/>
      </w:numPr>
      <w:tabs>
        <w:tab w:val="left" w:pos="1987"/>
      </w:tabs>
      <w:ind w:left="1987" w:hanging="1987"/>
    </w:pPr>
  </w:style>
  <w:style w:type="numbering" w:customStyle="1" w:styleId="SPNumberedTabs">
    <w:name w:val="SP Numbered Tabs"/>
    <w:rsid w:val="007B4510"/>
    <w:pPr>
      <w:numPr>
        <w:numId w:val="9"/>
      </w:numPr>
    </w:pPr>
  </w:style>
  <w:style w:type="numbering" w:customStyle="1" w:styleId="SPBulletTabs">
    <w:name w:val="SP Bullet Tabs"/>
    <w:rsid w:val="007B4510"/>
    <w:pPr>
      <w:numPr>
        <w:numId w:val="10"/>
      </w:numPr>
    </w:pPr>
  </w:style>
  <w:style w:type="paragraph" w:customStyle="1" w:styleId="C-Alphabetic">
    <w:name w:val="C-Alphabetic"/>
    <w:basedOn w:val="C-Heading1"/>
    <w:next w:val="C-BodyText"/>
    <w:link w:val="C-AlphabeticChar"/>
    <w:qFormat/>
    <w:rsid w:val="007B4510"/>
    <w:pPr>
      <w:numPr>
        <w:numId w:val="12"/>
      </w:numPr>
      <w:tabs>
        <w:tab w:val="left" w:pos="1080"/>
      </w:tabs>
      <w:ind w:left="1080" w:hanging="1080"/>
    </w:pPr>
  </w:style>
  <w:style w:type="paragraph" w:customStyle="1" w:styleId="C-Footnote">
    <w:name w:val="C-Footnote"/>
    <w:basedOn w:val="C-TableFootnote"/>
    <w:qFormat/>
    <w:rsid w:val="007B4510"/>
    <w:pPr>
      <w:ind w:left="0" w:firstLine="0"/>
    </w:pPr>
  </w:style>
  <w:style w:type="character" w:customStyle="1" w:styleId="C-Heading1Char">
    <w:name w:val="C-Heading 1 Char"/>
    <w:link w:val="C-Heading1"/>
    <w:rsid w:val="007B4510"/>
    <w:rPr>
      <w:rFonts w:ascii="Times New Roman" w:eastAsia="Times New Roman" w:hAnsi="Times New Roman" w:cs="Times New Roman"/>
      <w:b/>
      <w:caps/>
      <w:sz w:val="28"/>
      <w:szCs w:val="20"/>
    </w:rPr>
  </w:style>
  <w:style w:type="character" w:customStyle="1" w:styleId="C-AlphabeticChar">
    <w:name w:val="C-Alphabetic Char"/>
    <w:basedOn w:val="C-Heading1Char"/>
    <w:link w:val="C-Alphabetic"/>
    <w:rsid w:val="007B4510"/>
    <w:rPr>
      <w:rFonts w:ascii="Times New Roman" w:eastAsia="Times New Roman" w:hAnsi="Times New Roman" w:cs="Times New Roman"/>
      <w:b/>
      <w:caps/>
      <w:sz w:val="28"/>
      <w:szCs w:val="20"/>
    </w:rPr>
  </w:style>
  <w:style w:type="table" w:styleId="LightGrid">
    <w:name w:val="Light Grid"/>
    <w:basedOn w:val="TableNormal"/>
    <w:uiPriority w:val="62"/>
    <w:rsid w:val="007B4510"/>
    <w:pPr>
      <w:widowControl/>
      <w:spacing w:after="0" w:line="240" w:lineRule="auto"/>
    </w:pPr>
    <w:rPr>
      <w:lang w:val="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Questions Char,List Paragraph1 Char,Question Char,Paragrafo elenco Char"/>
    <w:link w:val="ListParagraph"/>
    <w:uiPriority w:val="34"/>
    <w:locked/>
    <w:rsid w:val="007B4510"/>
    <w:rPr>
      <w:rFonts w:ascii="Times New Roman" w:hAnsi="Times New Roman"/>
      <w:lang w:val="en-AU"/>
    </w:rPr>
  </w:style>
  <w:style w:type="character" w:customStyle="1" w:styleId="C-BodyTextChar">
    <w:name w:val="C-Body Text Char"/>
    <w:basedOn w:val="DefaultParagraphFont"/>
    <w:link w:val="C-BodyText"/>
    <w:rsid w:val="007B4510"/>
    <w:rPr>
      <w:rFonts w:ascii="Times New Roman" w:eastAsia="Times New Roman" w:hAnsi="Times New Roman" w:cs="Times New Roman"/>
      <w:sz w:val="24"/>
      <w:szCs w:val="20"/>
    </w:rPr>
  </w:style>
  <w:style w:type="character" w:customStyle="1" w:styleId="C-TableTextChar">
    <w:name w:val="C-Table Text Char"/>
    <w:link w:val="C-TableText"/>
    <w:rsid w:val="007B4510"/>
    <w:rPr>
      <w:rFonts w:ascii="Times New Roman" w:eastAsia="Times New Roman" w:hAnsi="Times New Roman" w:cs="Times New Roman"/>
      <w:szCs w:val="20"/>
    </w:rPr>
  </w:style>
  <w:style w:type="character" w:customStyle="1" w:styleId="C-TableHeaderChar">
    <w:name w:val="C-Table Header Char"/>
    <w:link w:val="C-TableHeader"/>
    <w:rsid w:val="007B4510"/>
    <w:rPr>
      <w:rFonts w:ascii="Times New Roman" w:eastAsia="Times New Roman" w:hAnsi="Times New Roman" w:cs="Times New Roman"/>
      <w:b/>
      <w:szCs w:val="20"/>
    </w:rPr>
  </w:style>
  <w:style w:type="paragraph" w:styleId="Revision">
    <w:name w:val="Revision"/>
    <w:hidden/>
    <w:uiPriority w:val="99"/>
    <w:semiHidden/>
    <w:rsid w:val="007B4510"/>
    <w:pPr>
      <w:widowControl/>
      <w:spacing w:after="0" w:line="240" w:lineRule="auto"/>
    </w:pPr>
    <w:rPr>
      <w:rFonts w:ascii="Times New Roman" w:eastAsia="Times New Roman" w:hAnsi="Times New Roman" w:cs="Arial"/>
      <w:sz w:val="24"/>
      <w:szCs w:val="20"/>
    </w:rPr>
  </w:style>
  <w:style w:type="paragraph" w:styleId="NoSpacing">
    <w:name w:val="No Spacing"/>
    <w:aliases w:val="Bullet"/>
    <w:uiPriority w:val="1"/>
    <w:qFormat/>
    <w:rsid w:val="00BD7D93"/>
    <w:pPr>
      <w:widowControl/>
      <w:spacing w:after="0" w:line="240" w:lineRule="auto"/>
      <w:jc w:val="both"/>
    </w:pPr>
    <w:rPr>
      <w:rFonts w:ascii="Times New Roman" w:hAnsi="Times New Roman"/>
      <w:lang w:val="en-AU"/>
    </w:rPr>
  </w:style>
  <w:style w:type="paragraph" w:styleId="EndnoteText">
    <w:name w:val="endnote text"/>
    <w:basedOn w:val="BMSBodyText"/>
    <w:link w:val="EndnoteTextChar"/>
    <w:rsid w:val="000E5F57"/>
    <w:pPr>
      <w:tabs>
        <w:tab w:val="left" w:pos="360"/>
      </w:tabs>
      <w:spacing w:line="240" w:lineRule="auto"/>
      <w:ind w:left="360" w:hanging="360"/>
    </w:pPr>
    <w:rPr>
      <w:lang w:val="x-none" w:eastAsia="x-none"/>
    </w:rPr>
  </w:style>
  <w:style w:type="character" w:customStyle="1" w:styleId="EndnoteTextChar">
    <w:name w:val="Endnote Text Char"/>
    <w:basedOn w:val="DefaultParagraphFont"/>
    <w:link w:val="EndnoteText"/>
    <w:rsid w:val="000E5F57"/>
    <w:rPr>
      <w:rFonts w:ascii="Times New Roman" w:eastAsia="MS Mincho" w:hAnsi="Times New Roman" w:cs="Times New Roman"/>
      <w:color w:val="000000"/>
      <w:sz w:val="24"/>
      <w:szCs w:val="20"/>
      <w:lang w:val="x-none" w:eastAsia="x-none"/>
    </w:rPr>
  </w:style>
  <w:style w:type="character" w:styleId="EndnoteReference">
    <w:name w:val="endnote reference"/>
    <w:qFormat/>
    <w:rsid w:val="000E5F57"/>
    <w:rPr>
      <w:color w:val="0000FF"/>
      <w:sz w:val="28"/>
      <w:vertAlign w:val="superscript"/>
    </w:rPr>
  </w:style>
  <w:style w:type="paragraph" w:customStyle="1" w:styleId="BMSBodyText">
    <w:name w:val="BMS Body Text"/>
    <w:link w:val="BMSBodyTextChar"/>
    <w:qFormat/>
    <w:rsid w:val="000E5F57"/>
    <w:pPr>
      <w:widowControl/>
      <w:spacing w:after="120" w:line="264" w:lineRule="auto"/>
      <w:jc w:val="both"/>
    </w:pPr>
    <w:rPr>
      <w:rFonts w:ascii="Times New Roman" w:eastAsia="MS Mincho" w:hAnsi="Times New Roman" w:cs="Times New Roman"/>
      <w:color w:val="000000"/>
      <w:sz w:val="24"/>
      <w:szCs w:val="20"/>
    </w:rPr>
  </w:style>
  <w:style w:type="character" w:customStyle="1" w:styleId="BMSBodyTextChar">
    <w:name w:val="BMS Body Text Char"/>
    <w:link w:val="BMSBodyText"/>
    <w:rsid w:val="000E5F57"/>
    <w:rPr>
      <w:rFonts w:ascii="Times New Roman" w:eastAsia="MS Mincho" w:hAnsi="Times New Roman" w:cs="Times New Roman"/>
      <w:color w:val="000000"/>
      <w:sz w:val="24"/>
      <w:szCs w:val="20"/>
    </w:rPr>
  </w:style>
  <w:style w:type="character" w:customStyle="1" w:styleId="BMSTableNote">
    <w:name w:val="BMS Table Note"/>
    <w:rsid w:val="008A0A33"/>
    <w:rPr>
      <w:rFonts w:ascii="Times New Roman" w:hAnsi="Times New Roman"/>
      <w:dstrike w:val="0"/>
      <w:color w:val="auto"/>
      <w:sz w:val="28"/>
      <w:vertAlign w:val="superscript"/>
    </w:rPr>
  </w:style>
  <w:style w:type="paragraph" w:customStyle="1" w:styleId="EMEABodyText">
    <w:name w:val="EMEA Body Text"/>
    <w:basedOn w:val="Normal"/>
    <w:link w:val="EMEABodyTextChar"/>
    <w:rsid w:val="008A0A33"/>
    <w:pPr>
      <w:spacing w:after="0"/>
      <w:jc w:val="left"/>
    </w:pPr>
    <w:rPr>
      <w:rFonts w:eastAsia="MS Mincho" w:cs="Times New Roman"/>
      <w:szCs w:val="20"/>
      <w:lang w:val="en-GB"/>
    </w:rPr>
  </w:style>
  <w:style w:type="character" w:customStyle="1" w:styleId="EMEABodyTextChar">
    <w:name w:val="EMEA Body Text Char"/>
    <w:link w:val="EMEABodyText"/>
    <w:rsid w:val="008A0A33"/>
    <w:rPr>
      <w:rFonts w:ascii="Times New Roman" w:eastAsia="MS Mincho" w:hAnsi="Times New Roman" w:cs="Times New Roman"/>
      <w:szCs w:val="20"/>
      <w:lang w:val="en-GB"/>
    </w:rPr>
  </w:style>
  <w:style w:type="character" w:customStyle="1" w:styleId="BMSSubscript">
    <w:name w:val="BMS Subscript"/>
    <w:rsid w:val="00AC5BC9"/>
    <w:rPr>
      <w:sz w:val="28"/>
      <w:vertAlign w:val="subscript"/>
    </w:rPr>
  </w:style>
  <w:style w:type="character" w:customStyle="1" w:styleId="BMSSuperscript">
    <w:name w:val="BMS Superscript"/>
    <w:rsid w:val="00885338"/>
    <w:rPr>
      <w:sz w:val="28"/>
      <w:vertAlign w:val="superscript"/>
    </w:rPr>
  </w:style>
  <w:style w:type="paragraph" w:customStyle="1" w:styleId="BMSBullets">
    <w:name w:val="BMS Bullets"/>
    <w:basedOn w:val="BMSBodyText"/>
    <w:link w:val="BMSBulletsChar"/>
    <w:rsid w:val="00447BDE"/>
    <w:pPr>
      <w:numPr>
        <w:numId w:val="24"/>
      </w:numPr>
      <w:tabs>
        <w:tab w:val="left" w:pos="360"/>
      </w:tabs>
      <w:spacing w:after="60" w:line="240" w:lineRule="auto"/>
    </w:pPr>
    <w:rPr>
      <w:lang w:val="x-none" w:eastAsia="x-none"/>
    </w:rPr>
  </w:style>
  <w:style w:type="character" w:customStyle="1" w:styleId="BMSBulletsChar">
    <w:name w:val="BMS Bullets Char"/>
    <w:link w:val="BMSBullets"/>
    <w:rsid w:val="00447BDE"/>
    <w:rPr>
      <w:rFonts w:ascii="Times New Roman" w:eastAsia="MS Mincho" w:hAnsi="Times New Roman" w:cs="Times New Roman"/>
      <w:color w:val="000000"/>
      <w:sz w:val="24"/>
      <w:szCs w:val="20"/>
      <w:lang w:val="x-none" w:eastAsia="x-none"/>
    </w:rPr>
  </w:style>
  <w:style w:type="numbering" w:customStyle="1" w:styleId="BMSBulletMulti">
    <w:name w:val="BMS_Bullet_Multi"/>
    <w:uiPriority w:val="99"/>
    <w:rsid w:val="00447BDE"/>
    <w:pPr>
      <w:numPr>
        <w:numId w:val="24"/>
      </w:numPr>
    </w:pPr>
  </w:style>
  <w:style w:type="character" w:styleId="Emphasis">
    <w:name w:val="Emphasis"/>
    <w:basedOn w:val="DefaultParagraphFont"/>
    <w:uiPriority w:val="20"/>
    <w:qFormat/>
    <w:rsid w:val="005E7DB5"/>
    <w:rPr>
      <w:rFonts w:ascii="Times New Roman" w:hAnsi="Times New Roman"/>
      <w:i w:val="0"/>
      <w:iCs/>
      <w:sz w:val="22"/>
    </w:rPr>
  </w:style>
  <w:style w:type="character" w:styleId="Mention">
    <w:name w:val="Mention"/>
    <w:basedOn w:val="DefaultParagraphFont"/>
    <w:uiPriority w:val="99"/>
    <w:unhideWhenUsed/>
    <w:rsid w:val="00BA115E"/>
    <w:rPr>
      <w:color w:val="2B579A"/>
      <w:shd w:val="clear" w:color="auto" w:fill="E1DFDD"/>
    </w:rPr>
  </w:style>
  <w:style w:type="character" w:customStyle="1" w:styleId="style1">
    <w:name w:val="style1"/>
    <w:basedOn w:val="DefaultParagraphFont"/>
    <w:rsid w:val="00D522CE"/>
  </w:style>
  <w:style w:type="character" w:customStyle="1" w:styleId="BMSTableTextChar">
    <w:name w:val="BMS Table Text Char"/>
    <w:link w:val="BMSTableText"/>
    <w:locked/>
    <w:rsid w:val="00DD61C5"/>
    <w:rPr>
      <w:rFonts w:ascii="Times New Roman" w:eastAsia="MS Mincho" w:hAnsi="Times New Roman" w:cs="Times New Roman"/>
    </w:rPr>
  </w:style>
  <w:style w:type="paragraph" w:customStyle="1" w:styleId="BMSTableText">
    <w:name w:val="BMS Table Text"/>
    <w:link w:val="BMSTableTextChar"/>
    <w:rsid w:val="00DD61C5"/>
    <w:pPr>
      <w:widowControl/>
      <w:tabs>
        <w:tab w:val="left" w:pos="360"/>
      </w:tabs>
      <w:spacing w:before="60" w:after="60" w:line="240" w:lineRule="auto"/>
      <w:jc w:val="center"/>
    </w:pPr>
    <w:rPr>
      <w:rFonts w:ascii="Times New Roman" w:eastAsia="MS Mincho" w:hAnsi="Times New Roman" w:cs="Times New Roman"/>
    </w:rPr>
  </w:style>
  <w:style w:type="paragraph" w:customStyle="1" w:styleId="CiteItBibliographyTitle">
    <w:name w:val="CiteIt Bibliography Title"/>
    <w:basedOn w:val="Normal"/>
    <w:link w:val="CiteItBibliographyTitleChar"/>
    <w:autoRedefine/>
    <w:qFormat/>
    <w:rsid w:val="00AE0346"/>
    <w:pPr>
      <w:spacing w:after="160" w:line="259" w:lineRule="auto"/>
      <w:jc w:val="center"/>
    </w:pPr>
    <w:rPr>
      <w:rFonts w:asciiTheme="minorHAnsi" w:hAnsiTheme="minorHAnsi"/>
      <w:sz w:val="32"/>
      <w:lang w:val="en-US"/>
    </w:rPr>
  </w:style>
  <w:style w:type="character" w:customStyle="1" w:styleId="CiteItBibliographyTitleChar">
    <w:name w:val="CiteIt Bibliography Title Char"/>
    <w:basedOn w:val="DefaultParagraphFont"/>
    <w:link w:val="CiteItBibliographyTitle"/>
    <w:rsid w:val="00AE0346"/>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5308">
      <w:bodyDiv w:val="1"/>
      <w:marLeft w:val="0"/>
      <w:marRight w:val="0"/>
      <w:marTop w:val="0"/>
      <w:marBottom w:val="0"/>
      <w:divBdr>
        <w:top w:val="none" w:sz="0" w:space="0" w:color="auto"/>
        <w:left w:val="none" w:sz="0" w:space="0" w:color="auto"/>
        <w:bottom w:val="none" w:sz="0" w:space="0" w:color="auto"/>
        <w:right w:val="none" w:sz="0" w:space="0" w:color="auto"/>
      </w:divBdr>
    </w:div>
    <w:div w:id="116335441">
      <w:bodyDiv w:val="1"/>
      <w:marLeft w:val="0"/>
      <w:marRight w:val="0"/>
      <w:marTop w:val="0"/>
      <w:marBottom w:val="0"/>
      <w:divBdr>
        <w:top w:val="none" w:sz="0" w:space="0" w:color="auto"/>
        <w:left w:val="none" w:sz="0" w:space="0" w:color="auto"/>
        <w:bottom w:val="none" w:sz="0" w:space="0" w:color="auto"/>
        <w:right w:val="none" w:sz="0" w:space="0" w:color="auto"/>
      </w:divBdr>
    </w:div>
    <w:div w:id="144903662">
      <w:bodyDiv w:val="1"/>
      <w:marLeft w:val="0"/>
      <w:marRight w:val="0"/>
      <w:marTop w:val="0"/>
      <w:marBottom w:val="0"/>
      <w:divBdr>
        <w:top w:val="none" w:sz="0" w:space="0" w:color="auto"/>
        <w:left w:val="none" w:sz="0" w:space="0" w:color="auto"/>
        <w:bottom w:val="none" w:sz="0" w:space="0" w:color="auto"/>
        <w:right w:val="none" w:sz="0" w:space="0" w:color="auto"/>
      </w:divBdr>
    </w:div>
    <w:div w:id="196703587">
      <w:bodyDiv w:val="1"/>
      <w:marLeft w:val="0"/>
      <w:marRight w:val="0"/>
      <w:marTop w:val="0"/>
      <w:marBottom w:val="0"/>
      <w:divBdr>
        <w:top w:val="none" w:sz="0" w:space="0" w:color="auto"/>
        <w:left w:val="none" w:sz="0" w:space="0" w:color="auto"/>
        <w:bottom w:val="none" w:sz="0" w:space="0" w:color="auto"/>
        <w:right w:val="none" w:sz="0" w:space="0" w:color="auto"/>
      </w:divBdr>
    </w:div>
    <w:div w:id="239484367">
      <w:bodyDiv w:val="1"/>
      <w:marLeft w:val="0"/>
      <w:marRight w:val="0"/>
      <w:marTop w:val="0"/>
      <w:marBottom w:val="0"/>
      <w:divBdr>
        <w:top w:val="none" w:sz="0" w:space="0" w:color="auto"/>
        <w:left w:val="none" w:sz="0" w:space="0" w:color="auto"/>
        <w:bottom w:val="none" w:sz="0" w:space="0" w:color="auto"/>
        <w:right w:val="none" w:sz="0" w:space="0" w:color="auto"/>
      </w:divBdr>
    </w:div>
    <w:div w:id="300040019">
      <w:bodyDiv w:val="1"/>
      <w:marLeft w:val="0"/>
      <w:marRight w:val="0"/>
      <w:marTop w:val="0"/>
      <w:marBottom w:val="0"/>
      <w:divBdr>
        <w:top w:val="none" w:sz="0" w:space="0" w:color="auto"/>
        <w:left w:val="none" w:sz="0" w:space="0" w:color="auto"/>
        <w:bottom w:val="none" w:sz="0" w:space="0" w:color="auto"/>
        <w:right w:val="none" w:sz="0" w:space="0" w:color="auto"/>
      </w:divBdr>
    </w:div>
    <w:div w:id="337969942">
      <w:bodyDiv w:val="1"/>
      <w:marLeft w:val="0"/>
      <w:marRight w:val="0"/>
      <w:marTop w:val="0"/>
      <w:marBottom w:val="0"/>
      <w:divBdr>
        <w:top w:val="none" w:sz="0" w:space="0" w:color="auto"/>
        <w:left w:val="none" w:sz="0" w:space="0" w:color="auto"/>
        <w:bottom w:val="none" w:sz="0" w:space="0" w:color="auto"/>
        <w:right w:val="none" w:sz="0" w:space="0" w:color="auto"/>
      </w:divBdr>
    </w:div>
    <w:div w:id="346521186">
      <w:bodyDiv w:val="1"/>
      <w:marLeft w:val="0"/>
      <w:marRight w:val="0"/>
      <w:marTop w:val="0"/>
      <w:marBottom w:val="0"/>
      <w:divBdr>
        <w:top w:val="none" w:sz="0" w:space="0" w:color="auto"/>
        <w:left w:val="none" w:sz="0" w:space="0" w:color="auto"/>
        <w:bottom w:val="none" w:sz="0" w:space="0" w:color="auto"/>
        <w:right w:val="none" w:sz="0" w:space="0" w:color="auto"/>
      </w:divBdr>
    </w:div>
    <w:div w:id="389035866">
      <w:bodyDiv w:val="1"/>
      <w:marLeft w:val="0"/>
      <w:marRight w:val="0"/>
      <w:marTop w:val="0"/>
      <w:marBottom w:val="0"/>
      <w:divBdr>
        <w:top w:val="none" w:sz="0" w:space="0" w:color="auto"/>
        <w:left w:val="none" w:sz="0" w:space="0" w:color="auto"/>
        <w:bottom w:val="none" w:sz="0" w:space="0" w:color="auto"/>
        <w:right w:val="none" w:sz="0" w:space="0" w:color="auto"/>
      </w:divBdr>
    </w:div>
    <w:div w:id="425614777">
      <w:bodyDiv w:val="1"/>
      <w:marLeft w:val="0"/>
      <w:marRight w:val="0"/>
      <w:marTop w:val="0"/>
      <w:marBottom w:val="0"/>
      <w:divBdr>
        <w:top w:val="none" w:sz="0" w:space="0" w:color="auto"/>
        <w:left w:val="none" w:sz="0" w:space="0" w:color="auto"/>
        <w:bottom w:val="none" w:sz="0" w:space="0" w:color="auto"/>
        <w:right w:val="none" w:sz="0" w:space="0" w:color="auto"/>
      </w:divBdr>
    </w:div>
    <w:div w:id="431902411">
      <w:bodyDiv w:val="1"/>
      <w:marLeft w:val="0"/>
      <w:marRight w:val="0"/>
      <w:marTop w:val="0"/>
      <w:marBottom w:val="0"/>
      <w:divBdr>
        <w:top w:val="none" w:sz="0" w:space="0" w:color="auto"/>
        <w:left w:val="none" w:sz="0" w:space="0" w:color="auto"/>
        <w:bottom w:val="none" w:sz="0" w:space="0" w:color="auto"/>
        <w:right w:val="none" w:sz="0" w:space="0" w:color="auto"/>
      </w:divBdr>
    </w:div>
    <w:div w:id="439493377">
      <w:bodyDiv w:val="1"/>
      <w:marLeft w:val="0"/>
      <w:marRight w:val="0"/>
      <w:marTop w:val="0"/>
      <w:marBottom w:val="0"/>
      <w:divBdr>
        <w:top w:val="none" w:sz="0" w:space="0" w:color="auto"/>
        <w:left w:val="none" w:sz="0" w:space="0" w:color="auto"/>
        <w:bottom w:val="none" w:sz="0" w:space="0" w:color="auto"/>
        <w:right w:val="none" w:sz="0" w:space="0" w:color="auto"/>
      </w:divBdr>
    </w:div>
    <w:div w:id="450242534">
      <w:bodyDiv w:val="1"/>
      <w:marLeft w:val="0"/>
      <w:marRight w:val="0"/>
      <w:marTop w:val="0"/>
      <w:marBottom w:val="0"/>
      <w:divBdr>
        <w:top w:val="none" w:sz="0" w:space="0" w:color="auto"/>
        <w:left w:val="none" w:sz="0" w:space="0" w:color="auto"/>
        <w:bottom w:val="none" w:sz="0" w:space="0" w:color="auto"/>
        <w:right w:val="none" w:sz="0" w:space="0" w:color="auto"/>
      </w:divBdr>
    </w:div>
    <w:div w:id="450632048">
      <w:bodyDiv w:val="1"/>
      <w:marLeft w:val="0"/>
      <w:marRight w:val="0"/>
      <w:marTop w:val="0"/>
      <w:marBottom w:val="0"/>
      <w:divBdr>
        <w:top w:val="none" w:sz="0" w:space="0" w:color="auto"/>
        <w:left w:val="none" w:sz="0" w:space="0" w:color="auto"/>
        <w:bottom w:val="none" w:sz="0" w:space="0" w:color="auto"/>
        <w:right w:val="none" w:sz="0" w:space="0" w:color="auto"/>
      </w:divBdr>
    </w:div>
    <w:div w:id="452790843">
      <w:bodyDiv w:val="1"/>
      <w:marLeft w:val="0"/>
      <w:marRight w:val="0"/>
      <w:marTop w:val="0"/>
      <w:marBottom w:val="0"/>
      <w:divBdr>
        <w:top w:val="none" w:sz="0" w:space="0" w:color="auto"/>
        <w:left w:val="none" w:sz="0" w:space="0" w:color="auto"/>
        <w:bottom w:val="none" w:sz="0" w:space="0" w:color="auto"/>
        <w:right w:val="none" w:sz="0" w:space="0" w:color="auto"/>
      </w:divBdr>
    </w:div>
    <w:div w:id="509222297">
      <w:bodyDiv w:val="1"/>
      <w:marLeft w:val="0"/>
      <w:marRight w:val="0"/>
      <w:marTop w:val="0"/>
      <w:marBottom w:val="0"/>
      <w:divBdr>
        <w:top w:val="none" w:sz="0" w:space="0" w:color="auto"/>
        <w:left w:val="none" w:sz="0" w:space="0" w:color="auto"/>
        <w:bottom w:val="none" w:sz="0" w:space="0" w:color="auto"/>
        <w:right w:val="none" w:sz="0" w:space="0" w:color="auto"/>
      </w:divBdr>
    </w:div>
    <w:div w:id="763839260">
      <w:bodyDiv w:val="1"/>
      <w:marLeft w:val="0"/>
      <w:marRight w:val="0"/>
      <w:marTop w:val="0"/>
      <w:marBottom w:val="0"/>
      <w:divBdr>
        <w:top w:val="none" w:sz="0" w:space="0" w:color="auto"/>
        <w:left w:val="none" w:sz="0" w:space="0" w:color="auto"/>
        <w:bottom w:val="none" w:sz="0" w:space="0" w:color="auto"/>
        <w:right w:val="none" w:sz="0" w:space="0" w:color="auto"/>
      </w:divBdr>
    </w:div>
    <w:div w:id="790519510">
      <w:bodyDiv w:val="1"/>
      <w:marLeft w:val="0"/>
      <w:marRight w:val="0"/>
      <w:marTop w:val="0"/>
      <w:marBottom w:val="0"/>
      <w:divBdr>
        <w:top w:val="none" w:sz="0" w:space="0" w:color="auto"/>
        <w:left w:val="none" w:sz="0" w:space="0" w:color="auto"/>
        <w:bottom w:val="none" w:sz="0" w:space="0" w:color="auto"/>
        <w:right w:val="none" w:sz="0" w:space="0" w:color="auto"/>
      </w:divBdr>
    </w:div>
    <w:div w:id="944271039">
      <w:bodyDiv w:val="1"/>
      <w:marLeft w:val="0"/>
      <w:marRight w:val="0"/>
      <w:marTop w:val="0"/>
      <w:marBottom w:val="0"/>
      <w:divBdr>
        <w:top w:val="none" w:sz="0" w:space="0" w:color="auto"/>
        <w:left w:val="none" w:sz="0" w:space="0" w:color="auto"/>
        <w:bottom w:val="none" w:sz="0" w:space="0" w:color="auto"/>
        <w:right w:val="none" w:sz="0" w:space="0" w:color="auto"/>
      </w:divBdr>
    </w:div>
    <w:div w:id="955524242">
      <w:bodyDiv w:val="1"/>
      <w:marLeft w:val="0"/>
      <w:marRight w:val="0"/>
      <w:marTop w:val="0"/>
      <w:marBottom w:val="0"/>
      <w:divBdr>
        <w:top w:val="none" w:sz="0" w:space="0" w:color="auto"/>
        <w:left w:val="none" w:sz="0" w:space="0" w:color="auto"/>
        <w:bottom w:val="none" w:sz="0" w:space="0" w:color="auto"/>
        <w:right w:val="none" w:sz="0" w:space="0" w:color="auto"/>
      </w:divBdr>
    </w:div>
    <w:div w:id="956374403">
      <w:bodyDiv w:val="1"/>
      <w:marLeft w:val="0"/>
      <w:marRight w:val="0"/>
      <w:marTop w:val="0"/>
      <w:marBottom w:val="0"/>
      <w:divBdr>
        <w:top w:val="none" w:sz="0" w:space="0" w:color="auto"/>
        <w:left w:val="none" w:sz="0" w:space="0" w:color="auto"/>
        <w:bottom w:val="none" w:sz="0" w:space="0" w:color="auto"/>
        <w:right w:val="none" w:sz="0" w:space="0" w:color="auto"/>
      </w:divBdr>
    </w:div>
    <w:div w:id="1027215722">
      <w:bodyDiv w:val="1"/>
      <w:marLeft w:val="0"/>
      <w:marRight w:val="0"/>
      <w:marTop w:val="0"/>
      <w:marBottom w:val="0"/>
      <w:divBdr>
        <w:top w:val="none" w:sz="0" w:space="0" w:color="auto"/>
        <w:left w:val="none" w:sz="0" w:space="0" w:color="auto"/>
        <w:bottom w:val="none" w:sz="0" w:space="0" w:color="auto"/>
        <w:right w:val="none" w:sz="0" w:space="0" w:color="auto"/>
      </w:divBdr>
    </w:div>
    <w:div w:id="1140344141">
      <w:bodyDiv w:val="1"/>
      <w:marLeft w:val="0"/>
      <w:marRight w:val="0"/>
      <w:marTop w:val="0"/>
      <w:marBottom w:val="0"/>
      <w:divBdr>
        <w:top w:val="none" w:sz="0" w:space="0" w:color="auto"/>
        <w:left w:val="none" w:sz="0" w:space="0" w:color="auto"/>
        <w:bottom w:val="none" w:sz="0" w:space="0" w:color="auto"/>
        <w:right w:val="none" w:sz="0" w:space="0" w:color="auto"/>
      </w:divBdr>
    </w:div>
    <w:div w:id="1157068220">
      <w:bodyDiv w:val="1"/>
      <w:marLeft w:val="0"/>
      <w:marRight w:val="0"/>
      <w:marTop w:val="0"/>
      <w:marBottom w:val="0"/>
      <w:divBdr>
        <w:top w:val="none" w:sz="0" w:space="0" w:color="auto"/>
        <w:left w:val="none" w:sz="0" w:space="0" w:color="auto"/>
        <w:bottom w:val="none" w:sz="0" w:space="0" w:color="auto"/>
        <w:right w:val="none" w:sz="0" w:space="0" w:color="auto"/>
      </w:divBdr>
    </w:div>
    <w:div w:id="1161116584">
      <w:bodyDiv w:val="1"/>
      <w:marLeft w:val="0"/>
      <w:marRight w:val="0"/>
      <w:marTop w:val="0"/>
      <w:marBottom w:val="0"/>
      <w:divBdr>
        <w:top w:val="none" w:sz="0" w:space="0" w:color="auto"/>
        <w:left w:val="none" w:sz="0" w:space="0" w:color="auto"/>
        <w:bottom w:val="none" w:sz="0" w:space="0" w:color="auto"/>
        <w:right w:val="none" w:sz="0" w:space="0" w:color="auto"/>
      </w:divBdr>
    </w:div>
    <w:div w:id="1215581653">
      <w:bodyDiv w:val="1"/>
      <w:marLeft w:val="0"/>
      <w:marRight w:val="0"/>
      <w:marTop w:val="0"/>
      <w:marBottom w:val="0"/>
      <w:divBdr>
        <w:top w:val="none" w:sz="0" w:space="0" w:color="auto"/>
        <w:left w:val="none" w:sz="0" w:space="0" w:color="auto"/>
        <w:bottom w:val="none" w:sz="0" w:space="0" w:color="auto"/>
        <w:right w:val="none" w:sz="0" w:space="0" w:color="auto"/>
      </w:divBdr>
    </w:div>
    <w:div w:id="1230263636">
      <w:bodyDiv w:val="1"/>
      <w:marLeft w:val="0"/>
      <w:marRight w:val="0"/>
      <w:marTop w:val="0"/>
      <w:marBottom w:val="0"/>
      <w:divBdr>
        <w:top w:val="none" w:sz="0" w:space="0" w:color="auto"/>
        <w:left w:val="none" w:sz="0" w:space="0" w:color="auto"/>
        <w:bottom w:val="none" w:sz="0" w:space="0" w:color="auto"/>
        <w:right w:val="none" w:sz="0" w:space="0" w:color="auto"/>
      </w:divBdr>
    </w:div>
    <w:div w:id="1246450702">
      <w:bodyDiv w:val="1"/>
      <w:marLeft w:val="0"/>
      <w:marRight w:val="0"/>
      <w:marTop w:val="0"/>
      <w:marBottom w:val="0"/>
      <w:divBdr>
        <w:top w:val="none" w:sz="0" w:space="0" w:color="auto"/>
        <w:left w:val="none" w:sz="0" w:space="0" w:color="auto"/>
        <w:bottom w:val="none" w:sz="0" w:space="0" w:color="auto"/>
        <w:right w:val="none" w:sz="0" w:space="0" w:color="auto"/>
      </w:divBdr>
    </w:div>
    <w:div w:id="1298146391">
      <w:bodyDiv w:val="1"/>
      <w:marLeft w:val="0"/>
      <w:marRight w:val="0"/>
      <w:marTop w:val="0"/>
      <w:marBottom w:val="0"/>
      <w:divBdr>
        <w:top w:val="none" w:sz="0" w:space="0" w:color="auto"/>
        <w:left w:val="none" w:sz="0" w:space="0" w:color="auto"/>
        <w:bottom w:val="none" w:sz="0" w:space="0" w:color="auto"/>
        <w:right w:val="none" w:sz="0" w:space="0" w:color="auto"/>
      </w:divBdr>
    </w:div>
    <w:div w:id="1305115383">
      <w:bodyDiv w:val="1"/>
      <w:marLeft w:val="0"/>
      <w:marRight w:val="0"/>
      <w:marTop w:val="0"/>
      <w:marBottom w:val="0"/>
      <w:divBdr>
        <w:top w:val="none" w:sz="0" w:space="0" w:color="auto"/>
        <w:left w:val="none" w:sz="0" w:space="0" w:color="auto"/>
        <w:bottom w:val="none" w:sz="0" w:space="0" w:color="auto"/>
        <w:right w:val="none" w:sz="0" w:space="0" w:color="auto"/>
      </w:divBdr>
    </w:div>
    <w:div w:id="1328167047">
      <w:bodyDiv w:val="1"/>
      <w:marLeft w:val="0"/>
      <w:marRight w:val="0"/>
      <w:marTop w:val="0"/>
      <w:marBottom w:val="0"/>
      <w:divBdr>
        <w:top w:val="none" w:sz="0" w:space="0" w:color="auto"/>
        <w:left w:val="none" w:sz="0" w:space="0" w:color="auto"/>
        <w:bottom w:val="none" w:sz="0" w:space="0" w:color="auto"/>
        <w:right w:val="none" w:sz="0" w:space="0" w:color="auto"/>
      </w:divBdr>
    </w:div>
    <w:div w:id="1350987912">
      <w:bodyDiv w:val="1"/>
      <w:marLeft w:val="0"/>
      <w:marRight w:val="0"/>
      <w:marTop w:val="0"/>
      <w:marBottom w:val="0"/>
      <w:divBdr>
        <w:top w:val="none" w:sz="0" w:space="0" w:color="auto"/>
        <w:left w:val="none" w:sz="0" w:space="0" w:color="auto"/>
        <w:bottom w:val="none" w:sz="0" w:space="0" w:color="auto"/>
        <w:right w:val="none" w:sz="0" w:space="0" w:color="auto"/>
      </w:divBdr>
    </w:div>
    <w:div w:id="1465585611">
      <w:bodyDiv w:val="1"/>
      <w:marLeft w:val="0"/>
      <w:marRight w:val="0"/>
      <w:marTop w:val="0"/>
      <w:marBottom w:val="0"/>
      <w:divBdr>
        <w:top w:val="none" w:sz="0" w:space="0" w:color="auto"/>
        <w:left w:val="none" w:sz="0" w:space="0" w:color="auto"/>
        <w:bottom w:val="none" w:sz="0" w:space="0" w:color="auto"/>
        <w:right w:val="none" w:sz="0" w:space="0" w:color="auto"/>
      </w:divBdr>
    </w:div>
    <w:div w:id="1477843845">
      <w:bodyDiv w:val="1"/>
      <w:marLeft w:val="0"/>
      <w:marRight w:val="0"/>
      <w:marTop w:val="0"/>
      <w:marBottom w:val="0"/>
      <w:divBdr>
        <w:top w:val="none" w:sz="0" w:space="0" w:color="auto"/>
        <w:left w:val="none" w:sz="0" w:space="0" w:color="auto"/>
        <w:bottom w:val="none" w:sz="0" w:space="0" w:color="auto"/>
        <w:right w:val="none" w:sz="0" w:space="0" w:color="auto"/>
      </w:divBdr>
    </w:div>
    <w:div w:id="1518080084">
      <w:bodyDiv w:val="1"/>
      <w:marLeft w:val="0"/>
      <w:marRight w:val="0"/>
      <w:marTop w:val="0"/>
      <w:marBottom w:val="0"/>
      <w:divBdr>
        <w:top w:val="none" w:sz="0" w:space="0" w:color="auto"/>
        <w:left w:val="none" w:sz="0" w:space="0" w:color="auto"/>
        <w:bottom w:val="none" w:sz="0" w:space="0" w:color="auto"/>
        <w:right w:val="none" w:sz="0" w:space="0" w:color="auto"/>
      </w:divBdr>
    </w:div>
    <w:div w:id="1560509636">
      <w:bodyDiv w:val="1"/>
      <w:marLeft w:val="0"/>
      <w:marRight w:val="0"/>
      <w:marTop w:val="0"/>
      <w:marBottom w:val="0"/>
      <w:divBdr>
        <w:top w:val="none" w:sz="0" w:space="0" w:color="auto"/>
        <w:left w:val="none" w:sz="0" w:space="0" w:color="auto"/>
        <w:bottom w:val="none" w:sz="0" w:space="0" w:color="auto"/>
        <w:right w:val="none" w:sz="0" w:space="0" w:color="auto"/>
      </w:divBdr>
    </w:div>
    <w:div w:id="1571387317">
      <w:bodyDiv w:val="1"/>
      <w:marLeft w:val="0"/>
      <w:marRight w:val="0"/>
      <w:marTop w:val="0"/>
      <w:marBottom w:val="0"/>
      <w:divBdr>
        <w:top w:val="none" w:sz="0" w:space="0" w:color="auto"/>
        <w:left w:val="none" w:sz="0" w:space="0" w:color="auto"/>
        <w:bottom w:val="none" w:sz="0" w:space="0" w:color="auto"/>
        <w:right w:val="none" w:sz="0" w:space="0" w:color="auto"/>
      </w:divBdr>
    </w:div>
    <w:div w:id="1581602227">
      <w:bodyDiv w:val="1"/>
      <w:marLeft w:val="0"/>
      <w:marRight w:val="0"/>
      <w:marTop w:val="0"/>
      <w:marBottom w:val="0"/>
      <w:divBdr>
        <w:top w:val="none" w:sz="0" w:space="0" w:color="auto"/>
        <w:left w:val="none" w:sz="0" w:space="0" w:color="auto"/>
        <w:bottom w:val="none" w:sz="0" w:space="0" w:color="auto"/>
        <w:right w:val="none" w:sz="0" w:space="0" w:color="auto"/>
      </w:divBdr>
    </w:div>
    <w:div w:id="1611544575">
      <w:bodyDiv w:val="1"/>
      <w:marLeft w:val="0"/>
      <w:marRight w:val="0"/>
      <w:marTop w:val="0"/>
      <w:marBottom w:val="0"/>
      <w:divBdr>
        <w:top w:val="none" w:sz="0" w:space="0" w:color="auto"/>
        <w:left w:val="none" w:sz="0" w:space="0" w:color="auto"/>
        <w:bottom w:val="none" w:sz="0" w:space="0" w:color="auto"/>
        <w:right w:val="none" w:sz="0" w:space="0" w:color="auto"/>
      </w:divBdr>
    </w:div>
    <w:div w:id="1619793605">
      <w:bodyDiv w:val="1"/>
      <w:marLeft w:val="0"/>
      <w:marRight w:val="0"/>
      <w:marTop w:val="0"/>
      <w:marBottom w:val="0"/>
      <w:divBdr>
        <w:top w:val="none" w:sz="0" w:space="0" w:color="auto"/>
        <w:left w:val="none" w:sz="0" w:space="0" w:color="auto"/>
        <w:bottom w:val="none" w:sz="0" w:space="0" w:color="auto"/>
        <w:right w:val="none" w:sz="0" w:space="0" w:color="auto"/>
      </w:divBdr>
    </w:div>
    <w:div w:id="1628657796">
      <w:bodyDiv w:val="1"/>
      <w:marLeft w:val="0"/>
      <w:marRight w:val="0"/>
      <w:marTop w:val="0"/>
      <w:marBottom w:val="0"/>
      <w:divBdr>
        <w:top w:val="none" w:sz="0" w:space="0" w:color="auto"/>
        <w:left w:val="none" w:sz="0" w:space="0" w:color="auto"/>
        <w:bottom w:val="none" w:sz="0" w:space="0" w:color="auto"/>
        <w:right w:val="none" w:sz="0" w:space="0" w:color="auto"/>
      </w:divBdr>
    </w:div>
    <w:div w:id="1652909347">
      <w:bodyDiv w:val="1"/>
      <w:marLeft w:val="0"/>
      <w:marRight w:val="0"/>
      <w:marTop w:val="0"/>
      <w:marBottom w:val="0"/>
      <w:divBdr>
        <w:top w:val="none" w:sz="0" w:space="0" w:color="auto"/>
        <w:left w:val="none" w:sz="0" w:space="0" w:color="auto"/>
        <w:bottom w:val="none" w:sz="0" w:space="0" w:color="auto"/>
        <w:right w:val="none" w:sz="0" w:space="0" w:color="auto"/>
      </w:divBdr>
    </w:div>
    <w:div w:id="1676348475">
      <w:bodyDiv w:val="1"/>
      <w:marLeft w:val="0"/>
      <w:marRight w:val="0"/>
      <w:marTop w:val="0"/>
      <w:marBottom w:val="0"/>
      <w:divBdr>
        <w:top w:val="none" w:sz="0" w:space="0" w:color="auto"/>
        <w:left w:val="none" w:sz="0" w:space="0" w:color="auto"/>
        <w:bottom w:val="none" w:sz="0" w:space="0" w:color="auto"/>
        <w:right w:val="none" w:sz="0" w:space="0" w:color="auto"/>
      </w:divBdr>
    </w:div>
    <w:div w:id="1702899646">
      <w:bodyDiv w:val="1"/>
      <w:marLeft w:val="0"/>
      <w:marRight w:val="0"/>
      <w:marTop w:val="0"/>
      <w:marBottom w:val="0"/>
      <w:divBdr>
        <w:top w:val="none" w:sz="0" w:space="0" w:color="auto"/>
        <w:left w:val="none" w:sz="0" w:space="0" w:color="auto"/>
        <w:bottom w:val="none" w:sz="0" w:space="0" w:color="auto"/>
        <w:right w:val="none" w:sz="0" w:space="0" w:color="auto"/>
      </w:divBdr>
    </w:div>
    <w:div w:id="1749770033">
      <w:bodyDiv w:val="1"/>
      <w:marLeft w:val="0"/>
      <w:marRight w:val="0"/>
      <w:marTop w:val="0"/>
      <w:marBottom w:val="0"/>
      <w:divBdr>
        <w:top w:val="none" w:sz="0" w:space="0" w:color="auto"/>
        <w:left w:val="none" w:sz="0" w:space="0" w:color="auto"/>
        <w:bottom w:val="none" w:sz="0" w:space="0" w:color="auto"/>
        <w:right w:val="none" w:sz="0" w:space="0" w:color="auto"/>
      </w:divBdr>
    </w:div>
    <w:div w:id="1750276151">
      <w:bodyDiv w:val="1"/>
      <w:marLeft w:val="0"/>
      <w:marRight w:val="0"/>
      <w:marTop w:val="0"/>
      <w:marBottom w:val="0"/>
      <w:divBdr>
        <w:top w:val="none" w:sz="0" w:space="0" w:color="auto"/>
        <w:left w:val="none" w:sz="0" w:space="0" w:color="auto"/>
        <w:bottom w:val="none" w:sz="0" w:space="0" w:color="auto"/>
        <w:right w:val="none" w:sz="0" w:space="0" w:color="auto"/>
      </w:divBdr>
    </w:div>
    <w:div w:id="1787961908">
      <w:bodyDiv w:val="1"/>
      <w:marLeft w:val="0"/>
      <w:marRight w:val="0"/>
      <w:marTop w:val="0"/>
      <w:marBottom w:val="0"/>
      <w:divBdr>
        <w:top w:val="none" w:sz="0" w:space="0" w:color="auto"/>
        <w:left w:val="none" w:sz="0" w:space="0" w:color="auto"/>
        <w:bottom w:val="none" w:sz="0" w:space="0" w:color="auto"/>
        <w:right w:val="none" w:sz="0" w:space="0" w:color="auto"/>
      </w:divBdr>
    </w:div>
    <w:div w:id="1833257720">
      <w:bodyDiv w:val="1"/>
      <w:marLeft w:val="0"/>
      <w:marRight w:val="0"/>
      <w:marTop w:val="0"/>
      <w:marBottom w:val="0"/>
      <w:divBdr>
        <w:top w:val="none" w:sz="0" w:space="0" w:color="auto"/>
        <w:left w:val="none" w:sz="0" w:space="0" w:color="auto"/>
        <w:bottom w:val="none" w:sz="0" w:space="0" w:color="auto"/>
        <w:right w:val="none" w:sz="0" w:space="0" w:color="auto"/>
      </w:divBdr>
    </w:div>
    <w:div w:id="1836915496">
      <w:bodyDiv w:val="1"/>
      <w:marLeft w:val="0"/>
      <w:marRight w:val="0"/>
      <w:marTop w:val="0"/>
      <w:marBottom w:val="0"/>
      <w:divBdr>
        <w:top w:val="none" w:sz="0" w:space="0" w:color="auto"/>
        <w:left w:val="none" w:sz="0" w:space="0" w:color="auto"/>
        <w:bottom w:val="none" w:sz="0" w:space="0" w:color="auto"/>
        <w:right w:val="none" w:sz="0" w:space="0" w:color="auto"/>
      </w:divBdr>
    </w:div>
    <w:div w:id="1852714948">
      <w:bodyDiv w:val="1"/>
      <w:marLeft w:val="0"/>
      <w:marRight w:val="0"/>
      <w:marTop w:val="0"/>
      <w:marBottom w:val="0"/>
      <w:divBdr>
        <w:top w:val="none" w:sz="0" w:space="0" w:color="auto"/>
        <w:left w:val="none" w:sz="0" w:space="0" w:color="auto"/>
        <w:bottom w:val="none" w:sz="0" w:space="0" w:color="auto"/>
        <w:right w:val="none" w:sz="0" w:space="0" w:color="auto"/>
      </w:divBdr>
    </w:div>
    <w:div w:id="1859082006">
      <w:bodyDiv w:val="1"/>
      <w:marLeft w:val="0"/>
      <w:marRight w:val="0"/>
      <w:marTop w:val="0"/>
      <w:marBottom w:val="0"/>
      <w:divBdr>
        <w:top w:val="none" w:sz="0" w:space="0" w:color="auto"/>
        <w:left w:val="none" w:sz="0" w:space="0" w:color="auto"/>
        <w:bottom w:val="none" w:sz="0" w:space="0" w:color="auto"/>
        <w:right w:val="none" w:sz="0" w:space="0" w:color="auto"/>
      </w:divBdr>
    </w:div>
    <w:div w:id="2006323603">
      <w:bodyDiv w:val="1"/>
      <w:marLeft w:val="0"/>
      <w:marRight w:val="0"/>
      <w:marTop w:val="0"/>
      <w:marBottom w:val="0"/>
      <w:divBdr>
        <w:top w:val="none" w:sz="0" w:space="0" w:color="auto"/>
        <w:left w:val="none" w:sz="0" w:space="0" w:color="auto"/>
        <w:bottom w:val="none" w:sz="0" w:space="0" w:color="auto"/>
        <w:right w:val="none" w:sz="0" w:space="0" w:color="auto"/>
      </w:divBdr>
    </w:div>
    <w:div w:id="2047218229">
      <w:bodyDiv w:val="1"/>
      <w:marLeft w:val="0"/>
      <w:marRight w:val="0"/>
      <w:marTop w:val="0"/>
      <w:marBottom w:val="0"/>
      <w:divBdr>
        <w:top w:val="none" w:sz="0" w:space="0" w:color="auto"/>
        <w:left w:val="none" w:sz="0" w:space="0" w:color="auto"/>
        <w:bottom w:val="none" w:sz="0" w:space="0" w:color="auto"/>
        <w:right w:val="none" w:sz="0" w:space="0" w:color="auto"/>
      </w:divBdr>
    </w:div>
    <w:div w:id="2128154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hyperlink" Target="mailto:MedInfo.Australia@bms.com" TargetMode="External"/><Relationship Id="rId2" Type="http://schemas.openxmlformats.org/officeDocument/2006/relationships/customXml" Target="../customXml/item2.xml"/><Relationship Id="rId16" Type="http://schemas.openxmlformats.org/officeDocument/2006/relationships/image" Target="cid:image002.png@01D87045.6E58FE5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reporting-problems"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46b709-8ecf-42fd-81b0-d282e67de71a">
      <Terms xmlns="http://schemas.microsoft.com/office/infopath/2007/PartnerControls"/>
    </lcf76f155ced4ddcb4097134ff3c332f>
    <TaxCatchAll xmlns="4212292e-fee3-4e58-b645-17c47387aa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78E1642ACF814DAE5C915C9F90BBB2" ma:contentTypeVersion="16" ma:contentTypeDescription="Create a new document." ma:contentTypeScope="" ma:versionID="d391947677994ed30b3e6fc490b5738e">
  <xsd:schema xmlns:xsd="http://www.w3.org/2001/XMLSchema" xmlns:xs="http://www.w3.org/2001/XMLSchema" xmlns:p="http://schemas.microsoft.com/office/2006/metadata/properties" xmlns:ns2="8a46b709-8ecf-42fd-81b0-d282e67de71a" xmlns:ns3="4212292e-fee3-4e58-b645-17c47387aa0e" targetNamespace="http://schemas.microsoft.com/office/2006/metadata/properties" ma:root="true" ma:fieldsID="76bb00030f7b0d22ce8f79783a53b93a" ns2:_="" ns3:_="">
    <xsd:import namespace="8a46b709-8ecf-42fd-81b0-d282e67de71a"/>
    <xsd:import namespace="4212292e-fee3-4e58-b645-17c47387a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6b709-8ecf-42fd-81b0-d282e67de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2292e-fee3-4e58-b645-17c47387aa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3151a9-9420-42c1-97d3-0cfd098718a8}" ma:internalName="TaxCatchAll" ma:showField="CatchAllData" ma:web="4212292e-fee3-4e58-b645-17c47387a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0A3A68-6B4D-4238-81B2-073BAA9CC731}">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212292e-fee3-4e58-b645-17c47387aa0e"/>
    <ds:schemaRef ds:uri="http://schemas.microsoft.com/office/2006/documentManagement/types"/>
    <ds:schemaRef ds:uri="8a46b709-8ecf-42fd-81b0-d282e67de71a"/>
    <ds:schemaRef ds:uri="http://www.w3.org/XML/1998/namespace"/>
    <ds:schemaRef ds:uri="http://purl.org/dc/dcmitype/"/>
  </ds:schemaRefs>
</ds:datastoreItem>
</file>

<file path=customXml/itemProps2.xml><?xml version="1.0" encoding="utf-8"?>
<ds:datastoreItem xmlns:ds="http://schemas.openxmlformats.org/officeDocument/2006/customXml" ds:itemID="{5A912E8C-8484-4DBD-AE4A-2391BB625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6b709-8ecf-42fd-81b0-d282e67de71a"/>
    <ds:schemaRef ds:uri="4212292e-fee3-4e58-b645-17c47387a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F8706-9FCD-48BB-A115-2A72CD9C7B46}">
  <ds:schemaRefs>
    <ds:schemaRef ds:uri="http://schemas.openxmlformats.org/officeDocument/2006/bibliography"/>
  </ds:schemaRefs>
</ds:datastoreItem>
</file>

<file path=customXml/itemProps4.xml><?xml version="1.0" encoding="utf-8"?>
<ds:datastoreItem xmlns:ds="http://schemas.openxmlformats.org/officeDocument/2006/customXml" ds:itemID="{1AFD92B2-A03F-412B-93AD-8B52D03DE7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6106</Words>
  <Characters>34806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AusPAR Attachment 1: Product Information for Sotyktu</vt:lpstr>
    </vt:vector>
  </TitlesOfParts>
  <Company/>
  <LinksUpToDate>false</LinksUpToDate>
  <CharactersWithSpaces>40831</CharactersWithSpaces>
  <SharedDoc>false</SharedDoc>
  <HLinks>
    <vt:vector size="18" baseType="variant">
      <vt:variant>
        <vt:i4>1572971</vt:i4>
      </vt:variant>
      <vt:variant>
        <vt:i4>51</vt:i4>
      </vt:variant>
      <vt:variant>
        <vt:i4>0</vt:i4>
      </vt:variant>
      <vt:variant>
        <vt:i4>5</vt:i4>
      </vt:variant>
      <vt:variant>
        <vt:lpwstr>mailto:MedInfo.Australia@bms.com</vt:lpwstr>
      </vt:variant>
      <vt:variant>
        <vt:lpwstr/>
      </vt:variant>
      <vt:variant>
        <vt:i4>5898317</vt:i4>
      </vt:variant>
      <vt:variant>
        <vt:i4>12</vt:i4>
      </vt:variant>
      <vt:variant>
        <vt:i4>0</vt:i4>
      </vt:variant>
      <vt:variant>
        <vt:i4>5</vt:i4>
      </vt:variant>
      <vt:variant>
        <vt:lpwstr>http://www.tga.gov.au/reporting-problems</vt:lpwstr>
      </vt:variant>
      <vt:variant>
        <vt:lpwstr/>
      </vt:variant>
      <vt:variant>
        <vt:i4>5570626</vt:i4>
      </vt:variant>
      <vt:variant>
        <vt:i4>0</vt:i4>
      </vt:variant>
      <vt:variant>
        <vt:i4>0</vt:i4>
      </vt:variant>
      <vt:variant>
        <vt:i4>5</vt:i4>
      </vt:variant>
      <vt:variant>
        <vt:lpwstr>https://www.tga.gov.au/reporting-problems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Sotyktu</dc:title>
  <dc:subject>Prescription medicines</dc:subject>
  <dc:creator>celgene corporation</dc:creator>
  <cp:keywords/>
  <dc:description/>
  <cp:lastModifiedBy>MCMAHON, Emily</cp:lastModifiedBy>
  <cp:revision>18</cp:revision>
  <cp:lastPrinted>2022-11-08T01:03:00Z</cp:lastPrinted>
  <dcterms:created xsi:type="dcterms:W3CDTF">2023-09-03T23:43:00Z</dcterms:created>
  <dcterms:modified xsi:type="dcterms:W3CDTF">2023-09-04T00:22:00Z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2020-07-20T00:00:00Z</vt:filetime>
  </property>
  <property fmtid="{D5CDD505-2E9C-101B-9397-08002B2CF9AE}" pid="3" name="LastSaved">
    <vt:filetime>2020-07-20T00:00:00Z</vt:filetime>
  </property>
  <property fmtid="{D5CDD505-2E9C-101B-9397-08002B2CF9AE}" pid="4" name="MediaServiceImageTags">
    <vt:lpwstr/>
  </property>
  <property fmtid="{D5CDD505-2E9C-101B-9397-08002B2CF9AE}" pid="5" name="BibliographyTitle">
    <vt:lpwstr/>
  </property>
  <property fmtid="{D5CDD505-2E9C-101B-9397-08002B2CF9AE}" pid="6" name="ContentTypeId">
    <vt:lpwstr>0x010100F678E1642ACF814DAE5C915C9F90BBB2</vt:lpwstr>
  </property>
</Properties>
</file>